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38A" w:rsidRDefault="003A238A" w:rsidP="003A238A">
      <w:pPr>
        <w:rPr>
          <w:rFonts w:ascii="Arial" w:hAnsi="Arial"/>
          <w:sz w:val="22"/>
        </w:rPr>
      </w:pPr>
    </w:p>
    <w:p w:rsidR="00914AC6" w:rsidRDefault="00BD246B" w:rsidP="0030755A">
      <w:pPr>
        <w:pStyle w:val="Heading1"/>
        <w:jc w:val="left"/>
      </w:pPr>
      <w:r w:rsidRPr="00CE0BE9">
        <w:t>6.03</w:t>
      </w:r>
      <w:r w:rsidR="00B60939" w:rsidRPr="00CE0BE9">
        <w:tab/>
      </w:r>
      <w:r w:rsidR="00E52812" w:rsidRPr="00CE0BE9">
        <w:t>Lenalidomide</w:t>
      </w:r>
      <w:r w:rsidR="00B60939" w:rsidRPr="00CE0BE9">
        <w:t xml:space="preserve">, </w:t>
      </w:r>
      <w:r w:rsidR="00C4432E" w:rsidRPr="00CE0BE9">
        <w:t>capsule</w:t>
      </w:r>
      <w:r w:rsidR="00B60939" w:rsidRPr="00CE0BE9">
        <w:t xml:space="preserve">, </w:t>
      </w:r>
    </w:p>
    <w:p w:rsidR="00914AC6" w:rsidRDefault="00C4432E" w:rsidP="00914AC6">
      <w:pPr>
        <w:pStyle w:val="Heading1"/>
        <w:ind w:firstLine="0"/>
        <w:jc w:val="left"/>
      </w:pPr>
      <w:r w:rsidRPr="00CE0BE9">
        <w:t>5</w:t>
      </w:r>
      <w:r w:rsidR="008D435F" w:rsidRPr="00CE0BE9">
        <w:t xml:space="preserve"> </w:t>
      </w:r>
      <w:r w:rsidRPr="00CE0BE9">
        <w:t>mg, 10</w:t>
      </w:r>
      <w:r w:rsidR="008D435F" w:rsidRPr="00CE0BE9">
        <w:t xml:space="preserve"> </w:t>
      </w:r>
      <w:r w:rsidRPr="00CE0BE9">
        <w:t>mg and 15</w:t>
      </w:r>
      <w:r w:rsidR="008D435F" w:rsidRPr="00CE0BE9">
        <w:t xml:space="preserve"> </w:t>
      </w:r>
      <w:r w:rsidRPr="00CE0BE9">
        <w:t>mg</w:t>
      </w:r>
      <w:r w:rsidR="00B60939" w:rsidRPr="00CE0BE9">
        <w:t xml:space="preserve">, </w:t>
      </w:r>
    </w:p>
    <w:p w:rsidR="00B60939" w:rsidRPr="00CE0BE9" w:rsidRDefault="00C4432E" w:rsidP="00914AC6">
      <w:pPr>
        <w:pStyle w:val="Heading1"/>
        <w:ind w:firstLine="0"/>
        <w:jc w:val="left"/>
      </w:pPr>
      <w:proofErr w:type="gramStart"/>
      <w:r w:rsidRPr="00CE0BE9">
        <w:t>Revlimid</w:t>
      </w:r>
      <w:r w:rsidR="00B60939" w:rsidRPr="00CE0BE9">
        <w:rPr>
          <w:vertAlign w:val="superscript"/>
        </w:rPr>
        <w:t>®</w:t>
      </w:r>
      <w:r w:rsidR="00B60939" w:rsidRPr="00CE0BE9">
        <w:t xml:space="preserve">, </w:t>
      </w:r>
      <w:r w:rsidRPr="00CE0BE9">
        <w:t>Celgene Pty Ltd</w:t>
      </w:r>
      <w:r w:rsidR="00B60939" w:rsidRPr="00CE0BE9">
        <w:t>.</w:t>
      </w:r>
      <w:proofErr w:type="gramEnd"/>
    </w:p>
    <w:p w:rsidR="00433044" w:rsidRPr="00CE0BE9" w:rsidRDefault="00433044" w:rsidP="00281014">
      <w:pPr>
        <w:pStyle w:val="BodyText"/>
      </w:pPr>
    </w:p>
    <w:p w:rsidR="00A51754" w:rsidRDefault="00A51754" w:rsidP="00CB123B">
      <w:pPr>
        <w:pStyle w:val="PBACHeading1"/>
        <w:numPr>
          <w:ilvl w:val="0"/>
          <w:numId w:val="2"/>
        </w:numPr>
        <w:outlineLvl w:val="0"/>
      </w:pPr>
      <w:bookmarkStart w:id="0" w:name="_Toc503271370"/>
      <w:r w:rsidRPr="0030755A">
        <w:t>Purpose of Application</w:t>
      </w:r>
      <w:bookmarkEnd w:id="0"/>
    </w:p>
    <w:p w:rsidR="00914AC6" w:rsidRPr="00914AC6" w:rsidRDefault="00914AC6" w:rsidP="00914AC6">
      <w:pPr>
        <w:pStyle w:val="PBACHeading1"/>
        <w:ind w:left="720"/>
        <w:outlineLvl w:val="0"/>
        <w:rPr>
          <w:sz w:val="24"/>
          <w:szCs w:val="24"/>
        </w:rPr>
      </w:pPr>
    </w:p>
    <w:p w:rsidR="00A51754" w:rsidRDefault="00A51754" w:rsidP="006F0DFD">
      <w:pPr>
        <w:pStyle w:val="ListParagraph"/>
        <w:widowControl/>
        <w:numPr>
          <w:ilvl w:val="1"/>
          <w:numId w:val="2"/>
        </w:numPr>
        <w:spacing w:after="120"/>
      </w:pPr>
      <w:r w:rsidRPr="00CE0BE9">
        <w:t xml:space="preserve">Section 100 (HSD) listing for </w:t>
      </w:r>
      <w:proofErr w:type="spellStart"/>
      <w:r w:rsidRPr="00CE0BE9">
        <w:t>lenalidomide</w:t>
      </w:r>
      <w:proofErr w:type="spellEnd"/>
      <w:r w:rsidRPr="00CE0BE9">
        <w:t xml:space="preserve"> for use as maintenance therapy in patients with newly diagno</w:t>
      </w:r>
      <w:r w:rsidR="00D17A82">
        <w:t xml:space="preserve">sed multiple </w:t>
      </w:r>
      <w:proofErr w:type="gramStart"/>
      <w:r w:rsidR="00D17A82">
        <w:t xml:space="preserve">myeloma (NDMM) </w:t>
      </w:r>
      <w:r w:rsidRPr="00CE0BE9">
        <w:t>who have</w:t>
      </w:r>
      <w:proofErr w:type="gramEnd"/>
      <w:r w:rsidRPr="00CE0BE9">
        <w:t xml:space="preserve"> undergone an autologous stem cell transplant (ASCT). </w:t>
      </w:r>
      <w:r w:rsidR="007B5427" w:rsidRPr="00CE0BE9">
        <w:t>An application specifically for use as maintenance therapy following first line ASCT in MM has not been previously considered by the PBAC.</w:t>
      </w:r>
      <w:r w:rsidRPr="00CE0BE9">
        <w:t xml:space="preserve"> </w:t>
      </w:r>
    </w:p>
    <w:p w:rsidR="00914AC6" w:rsidRPr="00CE0BE9" w:rsidRDefault="00914AC6" w:rsidP="00914AC6">
      <w:pPr>
        <w:pStyle w:val="ListParagraph"/>
        <w:widowControl/>
        <w:spacing w:after="120"/>
      </w:pPr>
    </w:p>
    <w:p w:rsidR="00A51754" w:rsidRPr="00CE0BE9" w:rsidRDefault="00A51754" w:rsidP="00A51754">
      <w:pPr>
        <w:rPr>
          <w:rStyle w:val="CommentReference"/>
        </w:rPr>
      </w:pPr>
      <w:r w:rsidRPr="00CE0BE9">
        <w:rPr>
          <w:rStyle w:val="CommentReference"/>
        </w:rPr>
        <w:t>Table 1:  Key components of the clinical issue addressed by the 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484"/>
      </w:tblGrid>
      <w:tr w:rsidR="00A51754" w:rsidRPr="00CE0BE9" w:rsidTr="00E9333E">
        <w:trPr>
          <w:cantSplit/>
          <w:tblHeader/>
        </w:trPr>
        <w:tc>
          <w:tcPr>
            <w:tcW w:w="1696" w:type="dxa"/>
            <w:shd w:val="clear" w:color="auto" w:fill="auto"/>
          </w:tcPr>
          <w:p w:rsidR="00A51754" w:rsidRPr="00CE0BE9" w:rsidRDefault="00A51754" w:rsidP="00E9333E">
            <w:pPr>
              <w:pStyle w:val="Tabletext"/>
              <w:rPr>
                <w:b/>
                <w:szCs w:val="20"/>
              </w:rPr>
            </w:pPr>
            <w:r w:rsidRPr="00CE0BE9">
              <w:rPr>
                <w:b/>
              </w:rPr>
              <w:t>Component</w:t>
            </w:r>
          </w:p>
        </w:tc>
        <w:tc>
          <w:tcPr>
            <w:tcW w:w="7484" w:type="dxa"/>
            <w:shd w:val="clear" w:color="auto" w:fill="auto"/>
          </w:tcPr>
          <w:p w:rsidR="00A51754" w:rsidRPr="00CE0BE9" w:rsidRDefault="00A51754" w:rsidP="00E9333E">
            <w:pPr>
              <w:pStyle w:val="Tabletext"/>
              <w:jc w:val="center"/>
              <w:rPr>
                <w:b/>
              </w:rPr>
            </w:pPr>
            <w:r w:rsidRPr="00CE0BE9">
              <w:rPr>
                <w:b/>
              </w:rPr>
              <w:t>Description</w:t>
            </w:r>
          </w:p>
        </w:tc>
      </w:tr>
      <w:tr w:rsidR="00A51754" w:rsidRPr="00CE0BE9" w:rsidTr="00E9333E">
        <w:trPr>
          <w:cantSplit/>
        </w:trPr>
        <w:tc>
          <w:tcPr>
            <w:tcW w:w="1696" w:type="dxa"/>
            <w:vAlign w:val="center"/>
          </w:tcPr>
          <w:p w:rsidR="00A51754" w:rsidRPr="00CE0BE9" w:rsidRDefault="00A51754" w:rsidP="00E9333E">
            <w:pPr>
              <w:pStyle w:val="Tabletext"/>
            </w:pPr>
            <w:r w:rsidRPr="00CE0BE9">
              <w:t>Population</w:t>
            </w:r>
          </w:p>
        </w:tc>
        <w:tc>
          <w:tcPr>
            <w:tcW w:w="7484" w:type="dxa"/>
            <w:vAlign w:val="center"/>
          </w:tcPr>
          <w:p w:rsidR="00A51754" w:rsidRPr="00CE0BE9" w:rsidRDefault="00A51754" w:rsidP="00E9333E">
            <w:pPr>
              <w:pStyle w:val="Tabletext"/>
            </w:pPr>
            <w:r w:rsidRPr="00CE0BE9">
              <w:t>NDMM patients who have undergone ASCT.</w:t>
            </w:r>
          </w:p>
        </w:tc>
      </w:tr>
      <w:tr w:rsidR="00A51754" w:rsidRPr="00CE0BE9" w:rsidTr="00E9333E">
        <w:trPr>
          <w:cantSplit/>
        </w:trPr>
        <w:tc>
          <w:tcPr>
            <w:tcW w:w="1696" w:type="dxa"/>
            <w:vAlign w:val="center"/>
          </w:tcPr>
          <w:p w:rsidR="00A51754" w:rsidRPr="00CE0BE9" w:rsidRDefault="00A51754" w:rsidP="00E9333E">
            <w:pPr>
              <w:pStyle w:val="Tabletext"/>
            </w:pPr>
            <w:r w:rsidRPr="00CE0BE9">
              <w:t>Intervention</w:t>
            </w:r>
          </w:p>
        </w:tc>
        <w:tc>
          <w:tcPr>
            <w:tcW w:w="7484" w:type="dxa"/>
            <w:vAlign w:val="center"/>
          </w:tcPr>
          <w:p w:rsidR="00A51754" w:rsidRPr="00CE0BE9" w:rsidRDefault="00A51754" w:rsidP="00E9333E">
            <w:pPr>
              <w:pStyle w:val="Tabletext"/>
            </w:pPr>
            <w:r w:rsidRPr="00CE0BE9">
              <w:t xml:space="preserve">Maintenance therapy with </w:t>
            </w:r>
            <w:proofErr w:type="spellStart"/>
            <w:r w:rsidRPr="00CE0BE9">
              <w:t>lenalidomide</w:t>
            </w:r>
            <w:proofErr w:type="spellEnd"/>
            <w:r w:rsidRPr="00CE0BE9">
              <w:t>.</w:t>
            </w:r>
          </w:p>
        </w:tc>
      </w:tr>
      <w:tr w:rsidR="00A51754" w:rsidRPr="00CE0BE9" w:rsidTr="00E9333E">
        <w:trPr>
          <w:cantSplit/>
        </w:trPr>
        <w:tc>
          <w:tcPr>
            <w:tcW w:w="1696" w:type="dxa"/>
            <w:vAlign w:val="center"/>
          </w:tcPr>
          <w:p w:rsidR="00A51754" w:rsidRPr="00CE0BE9" w:rsidRDefault="00A51754" w:rsidP="00E9333E">
            <w:pPr>
              <w:pStyle w:val="Tabletext"/>
            </w:pPr>
            <w:r w:rsidRPr="00CE0BE9">
              <w:t>Comparator</w:t>
            </w:r>
          </w:p>
        </w:tc>
        <w:tc>
          <w:tcPr>
            <w:tcW w:w="7484" w:type="dxa"/>
            <w:vAlign w:val="center"/>
          </w:tcPr>
          <w:p w:rsidR="00A51754" w:rsidRPr="00CE0BE9" w:rsidRDefault="00A51754" w:rsidP="00E9333E">
            <w:pPr>
              <w:pStyle w:val="Tabletext"/>
            </w:pPr>
            <w:r w:rsidRPr="00CE0BE9">
              <w:t>Main comparator: best supportive care (BSC) defined as ‘no maintenance therapy’ or observation.</w:t>
            </w:r>
          </w:p>
          <w:p w:rsidR="00A51754" w:rsidRPr="00CE0BE9" w:rsidRDefault="00A51754" w:rsidP="00E9333E">
            <w:pPr>
              <w:pStyle w:val="Tabletext"/>
            </w:pPr>
            <w:r w:rsidRPr="00CE0BE9">
              <w:t>Secondary comparator: maintenance therapy with thalidomide.</w:t>
            </w:r>
          </w:p>
        </w:tc>
      </w:tr>
      <w:tr w:rsidR="00A51754" w:rsidRPr="00CE0BE9" w:rsidTr="00E9333E">
        <w:trPr>
          <w:cantSplit/>
        </w:trPr>
        <w:tc>
          <w:tcPr>
            <w:tcW w:w="1696" w:type="dxa"/>
            <w:vAlign w:val="center"/>
          </w:tcPr>
          <w:p w:rsidR="00A51754" w:rsidRPr="00CE0BE9" w:rsidRDefault="00A51754" w:rsidP="00E9333E">
            <w:pPr>
              <w:pStyle w:val="Tabletext"/>
            </w:pPr>
            <w:r w:rsidRPr="00CE0BE9">
              <w:t>Outcomes</w:t>
            </w:r>
          </w:p>
        </w:tc>
        <w:tc>
          <w:tcPr>
            <w:tcW w:w="7484" w:type="dxa"/>
            <w:vAlign w:val="center"/>
          </w:tcPr>
          <w:p w:rsidR="00A51754" w:rsidRPr="00CE0BE9" w:rsidRDefault="00A51754" w:rsidP="00E9333E">
            <w:pPr>
              <w:pStyle w:val="Tabletext"/>
            </w:pPr>
            <w:r w:rsidRPr="00CE0BE9">
              <w:t>PFS, OS, PFS after next line therapy (PFS2) and response rate.</w:t>
            </w:r>
          </w:p>
        </w:tc>
      </w:tr>
      <w:tr w:rsidR="00A51754" w:rsidRPr="00CE0BE9" w:rsidTr="00E9333E">
        <w:trPr>
          <w:cantSplit/>
        </w:trPr>
        <w:tc>
          <w:tcPr>
            <w:tcW w:w="1696" w:type="dxa"/>
            <w:vAlign w:val="center"/>
          </w:tcPr>
          <w:p w:rsidR="00A51754" w:rsidRPr="00CE0BE9" w:rsidRDefault="00A51754" w:rsidP="00E9333E">
            <w:pPr>
              <w:pStyle w:val="Tabletext"/>
            </w:pPr>
            <w:r w:rsidRPr="00CE0BE9">
              <w:t>Clinical claim</w:t>
            </w:r>
          </w:p>
        </w:tc>
        <w:tc>
          <w:tcPr>
            <w:tcW w:w="7484" w:type="dxa"/>
            <w:vAlign w:val="center"/>
          </w:tcPr>
          <w:p w:rsidR="00A51754" w:rsidRPr="00CE0BE9" w:rsidRDefault="00A51754" w:rsidP="00E9333E">
            <w:pPr>
              <w:pStyle w:val="Tabletext"/>
            </w:pPr>
            <w:r w:rsidRPr="00CE0BE9">
              <w:t>In NDMM post-ASCT,</w:t>
            </w:r>
          </w:p>
          <w:p w:rsidR="00A51754" w:rsidRPr="00CE0BE9" w:rsidRDefault="00A51754" w:rsidP="006F0DFD">
            <w:pPr>
              <w:pStyle w:val="Tabletext"/>
              <w:numPr>
                <w:ilvl w:val="0"/>
                <w:numId w:val="1"/>
              </w:numPr>
            </w:pPr>
            <w:proofErr w:type="spellStart"/>
            <w:proofErr w:type="gramStart"/>
            <w:r w:rsidRPr="00CE0BE9">
              <w:t>lenalidomide</w:t>
            </w:r>
            <w:proofErr w:type="spellEnd"/>
            <w:proofErr w:type="gramEnd"/>
            <w:r w:rsidRPr="00CE0BE9">
              <w:t xml:space="preserve"> has superior comparative efficacy (OS and PFS) and inferior comparative safety than BSC. </w:t>
            </w:r>
          </w:p>
          <w:p w:rsidR="00A51754" w:rsidRPr="00CE0BE9" w:rsidRDefault="00A51754" w:rsidP="006F0DFD">
            <w:pPr>
              <w:pStyle w:val="Tabletext"/>
              <w:numPr>
                <w:ilvl w:val="0"/>
                <w:numId w:val="1"/>
              </w:numPr>
            </w:pPr>
            <w:proofErr w:type="spellStart"/>
            <w:proofErr w:type="gramStart"/>
            <w:r w:rsidRPr="00CE0BE9">
              <w:t>lenalidomide</w:t>
            </w:r>
            <w:proofErr w:type="spellEnd"/>
            <w:proofErr w:type="gramEnd"/>
            <w:r w:rsidRPr="00CE0BE9">
              <w:t xml:space="preserve"> has superior comparative OS, non-inferior PFS and different safety than thalidomide. </w:t>
            </w:r>
          </w:p>
        </w:tc>
      </w:tr>
    </w:tbl>
    <w:p w:rsidR="00A51754" w:rsidRPr="00CE0BE9" w:rsidRDefault="00A51754" w:rsidP="00A51754">
      <w:pPr>
        <w:pStyle w:val="TableFooter"/>
      </w:pPr>
      <w:r w:rsidRPr="00CE0BE9">
        <w:t xml:space="preserve">Abbreviations: ASCT = autologous stem cell transplant; BSC = best supportive care; NDMM = newly diagnosed multiple myeloma; OS = overall survival; PFS = progression free survival; PFS2 = progression free survival after next line of therapy. </w:t>
      </w:r>
    </w:p>
    <w:p w:rsidR="00A51754" w:rsidRPr="00CE0BE9" w:rsidRDefault="00A51754" w:rsidP="00A51754">
      <w:pPr>
        <w:pStyle w:val="TableFooter"/>
      </w:pPr>
      <w:r w:rsidRPr="00CE0BE9">
        <w:t>Source: Table 1.1.1, p.20 of the submission.</w:t>
      </w:r>
    </w:p>
    <w:p w:rsidR="00994C55" w:rsidRDefault="00994C55">
      <w:pPr>
        <w:widowControl/>
        <w:jc w:val="left"/>
        <w:rPr>
          <w:b/>
          <w:sz w:val="32"/>
        </w:rPr>
      </w:pPr>
      <w:bookmarkStart w:id="1" w:name="_Toc503271371"/>
    </w:p>
    <w:p w:rsidR="00A51754" w:rsidRPr="00CE0BE9" w:rsidRDefault="00A51754" w:rsidP="00CB123B">
      <w:pPr>
        <w:pStyle w:val="PBACHeading1"/>
        <w:numPr>
          <w:ilvl w:val="0"/>
          <w:numId w:val="2"/>
        </w:numPr>
        <w:outlineLvl w:val="0"/>
      </w:pPr>
      <w:r w:rsidRPr="00CE0BE9">
        <w:t>Requested listing</w:t>
      </w:r>
      <w:bookmarkEnd w:id="1"/>
    </w:p>
    <w:p w:rsidR="00A51754" w:rsidRDefault="00A51754" w:rsidP="00A51754"/>
    <w:p w:rsidR="001510EB" w:rsidRPr="001510EB" w:rsidRDefault="001510EB" w:rsidP="001510EB">
      <w:pPr>
        <w:pStyle w:val="ListParagraph"/>
        <w:widowControl/>
        <w:numPr>
          <w:ilvl w:val="1"/>
          <w:numId w:val="2"/>
        </w:numPr>
      </w:pPr>
      <w:r>
        <w:t xml:space="preserve">The sponsor requested listing is shown below. </w:t>
      </w:r>
      <w:r w:rsidRPr="001510EB">
        <w:t>Suggestions and additions to the requested listing are added in italics and suggested deletions are crossed out with strikethrough.</w:t>
      </w:r>
    </w:p>
    <w:p w:rsidR="001510EB" w:rsidRPr="00CE0BE9" w:rsidRDefault="001510EB" w:rsidP="00A51754"/>
    <w:tbl>
      <w:tblPr>
        <w:tblW w:w="5000" w:type="pct"/>
        <w:tblCellMar>
          <w:left w:w="28" w:type="dxa"/>
          <w:right w:w="28" w:type="dxa"/>
        </w:tblCellMar>
        <w:tblLook w:val="0000" w:firstRow="0" w:lastRow="0" w:firstColumn="0" w:lastColumn="0" w:noHBand="0" w:noVBand="0"/>
      </w:tblPr>
      <w:tblGrid>
        <w:gridCol w:w="2121"/>
        <w:gridCol w:w="1132"/>
        <w:gridCol w:w="854"/>
        <w:gridCol w:w="2896"/>
        <w:gridCol w:w="812"/>
        <w:gridCol w:w="1166"/>
        <w:gridCol w:w="102"/>
      </w:tblGrid>
      <w:tr w:rsidR="00A51754" w:rsidRPr="00CE0BE9" w:rsidTr="00454F3B">
        <w:trPr>
          <w:gridAfter w:val="1"/>
          <w:wAfter w:w="56" w:type="pct"/>
          <w:cantSplit/>
          <w:trHeight w:val="463"/>
        </w:trPr>
        <w:tc>
          <w:tcPr>
            <w:tcW w:w="1168" w:type="pct"/>
            <w:tcBorders>
              <w:top w:val="single" w:sz="4" w:space="0" w:color="auto"/>
              <w:bottom w:val="single" w:sz="4" w:space="0" w:color="auto"/>
            </w:tcBorders>
            <w:vAlign w:val="center"/>
          </w:tcPr>
          <w:p w:rsidR="00A51754" w:rsidRPr="00CE0BE9" w:rsidRDefault="00A51754" w:rsidP="00E9333E">
            <w:pPr>
              <w:keepNext/>
              <w:jc w:val="left"/>
              <w:rPr>
                <w:rFonts w:ascii="Arial Narrow" w:hAnsi="Arial Narrow"/>
                <w:b/>
                <w:sz w:val="20"/>
              </w:rPr>
            </w:pPr>
            <w:r w:rsidRPr="00CE0BE9">
              <w:rPr>
                <w:rFonts w:ascii="Arial Narrow" w:hAnsi="Arial Narrow"/>
                <w:b/>
                <w:sz w:val="20"/>
              </w:rPr>
              <w:lastRenderedPageBreak/>
              <w:t>Name, Restriction,</w:t>
            </w:r>
          </w:p>
          <w:p w:rsidR="00A51754" w:rsidRPr="00CE0BE9" w:rsidRDefault="00A51754" w:rsidP="00E9333E">
            <w:pPr>
              <w:keepNext/>
              <w:jc w:val="left"/>
              <w:rPr>
                <w:rFonts w:ascii="Arial Narrow" w:hAnsi="Arial Narrow"/>
                <w:b/>
                <w:sz w:val="20"/>
              </w:rPr>
            </w:pPr>
            <w:r w:rsidRPr="00CE0BE9">
              <w:rPr>
                <w:rFonts w:ascii="Arial Narrow" w:hAnsi="Arial Narrow"/>
                <w:b/>
                <w:sz w:val="20"/>
              </w:rPr>
              <w:t>Manner of administration and form</w:t>
            </w:r>
          </w:p>
        </w:tc>
        <w:tc>
          <w:tcPr>
            <w:tcW w:w="623" w:type="pct"/>
            <w:tcBorders>
              <w:top w:val="single" w:sz="4" w:space="0" w:color="auto"/>
              <w:bottom w:val="single" w:sz="4" w:space="0" w:color="auto"/>
            </w:tcBorders>
            <w:vAlign w:val="center"/>
          </w:tcPr>
          <w:p w:rsidR="00A51754" w:rsidRPr="00CE0BE9" w:rsidRDefault="00A51754" w:rsidP="00E9333E">
            <w:pPr>
              <w:keepNext/>
              <w:jc w:val="center"/>
              <w:rPr>
                <w:rFonts w:ascii="Arial Narrow" w:hAnsi="Arial Narrow"/>
                <w:b/>
                <w:sz w:val="20"/>
              </w:rPr>
            </w:pPr>
            <w:r w:rsidRPr="00CE0BE9">
              <w:rPr>
                <w:rFonts w:ascii="Arial Narrow" w:hAnsi="Arial Narrow"/>
                <w:b/>
                <w:sz w:val="20"/>
              </w:rPr>
              <w:t>Max.</w:t>
            </w:r>
          </w:p>
          <w:p w:rsidR="00A51754" w:rsidRPr="00CE0BE9" w:rsidRDefault="00A51754" w:rsidP="00E9333E">
            <w:pPr>
              <w:keepNext/>
              <w:jc w:val="center"/>
              <w:rPr>
                <w:rFonts w:ascii="Arial Narrow" w:hAnsi="Arial Narrow"/>
                <w:b/>
                <w:sz w:val="20"/>
              </w:rPr>
            </w:pPr>
            <w:proofErr w:type="spellStart"/>
            <w:r w:rsidRPr="00CE0BE9">
              <w:rPr>
                <w:rFonts w:ascii="Arial Narrow" w:hAnsi="Arial Narrow"/>
                <w:b/>
                <w:sz w:val="20"/>
              </w:rPr>
              <w:t>Qty</w:t>
            </w:r>
            <w:proofErr w:type="spellEnd"/>
            <w:r w:rsidRPr="00CE0BE9">
              <w:rPr>
                <w:rFonts w:ascii="Arial Narrow" w:hAnsi="Arial Narrow"/>
                <w:b/>
                <w:sz w:val="20"/>
              </w:rPr>
              <w:t xml:space="preserve"> </w:t>
            </w:r>
          </w:p>
        </w:tc>
        <w:tc>
          <w:tcPr>
            <w:tcW w:w="470" w:type="pct"/>
            <w:tcBorders>
              <w:top w:val="single" w:sz="4" w:space="0" w:color="auto"/>
              <w:bottom w:val="single" w:sz="4" w:space="0" w:color="auto"/>
            </w:tcBorders>
            <w:vAlign w:val="center"/>
          </w:tcPr>
          <w:p w:rsidR="00A51754" w:rsidRPr="00CE0BE9" w:rsidRDefault="00A51754" w:rsidP="00E9333E">
            <w:pPr>
              <w:keepNext/>
              <w:jc w:val="center"/>
              <w:rPr>
                <w:rFonts w:ascii="Arial Narrow" w:hAnsi="Arial Narrow"/>
                <w:b/>
                <w:sz w:val="20"/>
              </w:rPr>
            </w:pPr>
            <w:r w:rsidRPr="00CE0BE9">
              <w:rPr>
                <w:rFonts w:ascii="Arial Narrow" w:hAnsi="Arial Narrow" w:cs="Times New Roman"/>
                <w:b/>
                <w:sz w:val="20"/>
              </w:rPr>
              <w:t>№</w:t>
            </w:r>
            <w:r w:rsidRPr="00CE0BE9">
              <w:rPr>
                <w:rFonts w:ascii="Arial Narrow" w:hAnsi="Arial Narrow"/>
                <w:b/>
                <w:sz w:val="20"/>
              </w:rPr>
              <w:t>.of</w:t>
            </w:r>
          </w:p>
          <w:p w:rsidR="00A51754" w:rsidRPr="00CE0BE9" w:rsidRDefault="00A51754" w:rsidP="00E9333E">
            <w:pPr>
              <w:keepNext/>
              <w:jc w:val="center"/>
              <w:rPr>
                <w:rFonts w:ascii="Arial Narrow" w:hAnsi="Arial Narrow"/>
                <w:b/>
                <w:sz w:val="20"/>
              </w:rPr>
            </w:pPr>
            <w:proofErr w:type="spellStart"/>
            <w:r w:rsidRPr="00CE0BE9">
              <w:rPr>
                <w:rFonts w:ascii="Arial Narrow" w:hAnsi="Arial Narrow"/>
                <w:b/>
                <w:sz w:val="20"/>
              </w:rPr>
              <w:t>Rpts</w:t>
            </w:r>
            <w:proofErr w:type="spellEnd"/>
          </w:p>
        </w:tc>
        <w:tc>
          <w:tcPr>
            <w:tcW w:w="1594" w:type="pct"/>
            <w:tcBorders>
              <w:top w:val="single" w:sz="4" w:space="0" w:color="auto"/>
              <w:bottom w:val="single" w:sz="4" w:space="0" w:color="auto"/>
            </w:tcBorders>
            <w:vAlign w:val="center"/>
          </w:tcPr>
          <w:p w:rsidR="00A51754" w:rsidRPr="00CE0BE9" w:rsidRDefault="00A51754" w:rsidP="00E9333E">
            <w:pPr>
              <w:keepNext/>
              <w:jc w:val="center"/>
              <w:rPr>
                <w:rFonts w:ascii="Arial Narrow" w:hAnsi="Arial Narrow"/>
                <w:b/>
                <w:sz w:val="20"/>
              </w:rPr>
            </w:pPr>
            <w:r w:rsidRPr="00CE0BE9">
              <w:rPr>
                <w:rFonts w:ascii="Arial Narrow" w:hAnsi="Arial Narrow"/>
                <w:b/>
                <w:sz w:val="20"/>
              </w:rPr>
              <w:t xml:space="preserve">Dispensed Price for Max. </w:t>
            </w:r>
            <w:proofErr w:type="spellStart"/>
            <w:r w:rsidRPr="00CE0BE9">
              <w:rPr>
                <w:rFonts w:ascii="Arial Narrow" w:hAnsi="Arial Narrow"/>
                <w:b/>
                <w:sz w:val="20"/>
              </w:rPr>
              <w:t>Qty</w:t>
            </w:r>
            <w:proofErr w:type="spellEnd"/>
          </w:p>
        </w:tc>
        <w:tc>
          <w:tcPr>
            <w:tcW w:w="1089" w:type="pct"/>
            <w:gridSpan w:val="2"/>
            <w:tcBorders>
              <w:top w:val="single" w:sz="4" w:space="0" w:color="auto"/>
              <w:bottom w:val="single" w:sz="4" w:space="0" w:color="auto"/>
            </w:tcBorders>
            <w:vAlign w:val="center"/>
          </w:tcPr>
          <w:p w:rsidR="00A51754" w:rsidRPr="00CE0BE9" w:rsidRDefault="00A51754" w:rsidP="00E9333E">
            <w:pPr>
              <w:keepNext/>
              <w:jc w:val="center"/>
              <w:rPr>
                <w:rFonts w:ascii="Arial Narrow" w:hAnsi="Arial Narrow"/>
                <w:b/>
                <w:sz w:val="20"/>
                <w:lang w:val="fr-FR"/>
              </w:rPr>
            </w:pPr>
            <w:r w:rsidRPr="00CE0BE9">
              <w:rPr>
                <w:rFonts w:ascii="Arial Narrow" w:hAnsi="Arial Narrow"/>
                <w:b/>
                <w:sz w:val="20"/>
              </w:rPr>
              <w:t>Proprietary Name and Manufacturer</w:t>
            </w:r>
          </w:p>
        </w:tc>
      </w:tr>
      <w:tr w:rsidR="00A51754" w:rsidRPr="00CE0BE9" w:rsidTr="00454F3B">
        <w:trPr>
          <w:cantSplit/>
          <w:trHeight w:val="567"/>
        </w:trPr>
        <w:tc>
          <w:tcPr>
            <w:tcW w:w="1168" w:type="pct"/>
            <w:vAlign w:val="center"/>
          </w:tcPr>
          <w:p w:rsidR="00A51754" w:rsidRPr="00CE0BE9" w:rsidRDefault="00A51754" w:rsidP="00E9333E">
            <w:pPr>
              <w:keepNext/>
              <w:jc w:val="left"/>
              <w:rPr>
                <w:rFonts w:ascii="Arial Narrow" w:hAnsi="Arial Narrow"/>
                <w:sz w:val="20"/>
                <w:szCs w:val="20"/>
              </w:rPr>
            </w:pPr>
            <w:proofErr w:type="spellStart"/>
            <w:r w:rsidRPr="00CE0BE9">
              <w:rPr>
                <w:rFonts w:ascii="Arial Narrow" w:hAnsi="Arial Narrow"/>
                <w:sz w:val="20"/>
                <w:szCs w:val="20"/>
              </w:rPr>
              <w:t>Lenalidomide</w:t>
            </w:r>
            <w:proofErr w:type="spellEnd"/>
            <w:r w:rsidRPr="00CE0BE9">
              <w:rPr>
                <w:rFonts w:ascii="Arial Narrow" w:hAnsi="Arial Narrow"/>
                <w:sz w:val="20"/>
                <w:szCs w:val="20"/>
              </w:rPr>
              <w:t>,</w:t>
            </w:r>
          </w:p>
          <w:p w:rsidR="00A51754" w:rsidRPr="00CE0BE9" w:rsidRDefault="00A51754" w:rsidP="00E9333E">
            <w:pPr>
              <w:keepNext/>
              <w:jc w:val="left"/>
              <w:rPr>
                <w:rFonts w:ascii="Arial Narrow" w:hAnsi="Arial Narrow"/>
                <w:sz w:val="20"/>
                <w:szCs w:val="20"/>
              </w:rPr>
            </w:pPr>
            <w:r w:rsidRPr="00CE0BE9">
              <w:rPr>
                <w:rFonts w:ascii="Arial Narrow" w:hAnsi="Arial Narrow"/>
                <w:sz w:val="20"/>
                <w:szCs w:val="20"/>
              </w:rPr>
              <w:t>Capsule, 5 mg</w:t>
            </w:r>
            <w:r w:rsidR="0072666A">
              <w:rPr>
                <w:rFonts w:ascii="Arial Narrow" w:hAnsi="Arial Narrow"/>
                <w:sz w:val="20"/>
                <w:szCs w:val="20"/>
              </w:rPr>
              <w:t>, 28</w:t>
            </w:r>
          </w:p>
        </w:tc>
        <w:tc>
          <w:tcPr>
            <w:tcW w:w="623" w:type="pct"/>
            <w:vAlign w:val="center"/>
          </w:tcPr>
          <w:p w:rsidR="00A51754" w:rsidRPr="00CE0BE9" w:rsidRDefault="00A51754" w:rsidP="00E9333E">
            <w:pPr>
              <w:keepNext/>
              <w:jc w:val="center"/>
              <w:rPr>
                <w:rFonts w:ascii="Arial Narrow" w:hAnsi="Arial Narrow"/>
                <w:sz w:val="20"/>
                <w:szCs w:val="20"/>
              </w:rPr>
            </w:pPr>
          </w:p>
          <w:p w:rsidR="00A51754" w:rsidRPr="00CE0BE9" w:rsidRDefault="00A51754" w:rsidP="00E9333E">
            <w:pPr>
              <w:keepNext/>
              <w:jc w:val="center"/>
              <w:rPr>
                <w:rFonts w:ascii="Arial Narrow" w:hAnsi="Arial Narrow"/>
                <w:sz w:val="20"/>
                <w:szCs w:val="20"/>
              </w:rPr>
            </w:pPr>
            <w:r w:rsidRPr="00CE0BE9">
              <w:rPr>
                <w:rFonts w:ascii="Arial Narrow" w:hAnsi="Arial Narrow"/>
                <w:sz w:val="20"/>
                <w:szCs w:val="20"/>
              </w:rPr>
              <w:t>1</w:t>
            </w:r>
          </w:p>
        </w:tc>
        <w:tc>
          <w:tcPr>
            <w:tcW w:w="470" w:type="pct"/>
            <w:vAlign w:val="center"/>
          </w:tcPr>
          <w:p w:rsidR="00A51754" w:rsidRPr="001510EB" w:rsidRDefault="00A51754" w:rsidP="00E9333E">
            <w:pPr>
              <w:keepNext/>
              <w:jc w:val="center"/>
              <w:rPr>
                <w:rFonts w:ascii="Arial Narrow" w:hAnsi="Arial Narrow"/>
                <w:strike/>
                <w:sz w:val="20"/>
                <w:szCs w:val="20"/>
              </w:rPr>
            </w:pPr>
          </w:p>
          <w:p w:rsidR="00A51754" w:rsidRPr="001510EB" w:rsidRDefault="00A51754" w:rsidP="00E9333E">
            <w:pPr>
              <w:keepNext/>
              <w:jc w:val="center"/>
              <w:rPr>
                <w:rFonts w:ascii="Arial Narrow" w:hAnsi="Arial Narrow"/>
                <w:i/>
                <w:sz w:val="20"/>
                <w:szCs w:val="20"/>
              </w:rPr>
            </w:pPr>
            <w:r w:rsidRPr="001510EB">
              <w:rPr>
                <w:rFonts w:ascii="Arial Narrow" w:hAnsi="Arial Narrow"/>
                <w:strike/>
                <w:sz w:val="20"/>
                <w:szCs w:val="20"/>
              </w:rPr>
              <w:t>5</w:t>
            </w:r>
            <w:r w:rsidR="001510EB">
              <w:rPr>
                <w:rFonts w:ascii="Arial Narrow" w:hAnsi="Arial Narrow"/>
                <w:strike/>
                <w:sz w:val="20"/>
                <w:szCs w:val="20"/>
              </w:rPr>
              <w:t xml:space="preserve"> </w:t>
            </w:r>
            <w:r w:rsidR="0072666A">
              <w:rPr>
                <w:rFonts w:ascii="Arial Narrow" w:hAnsi="Arial Narrow"/>
                <w:i/>
                <w:sz w:val="20"/>
                <w:szCs w:val="20"/>
              </w:rPr>
              <w:t>2</w:t>
            </w:r>
          </w:p>
        </w:tc>
        <w:tc>
          <w:tcPr>
            <w:tcW w:w="1594" w:type="pct"/>
            <w:vAlign w:val="center"/>
          </w:tcPr>
          <w:p w:rsidR="00A51754" w:rsidRPr="00CE0BE9" w:rsidRDefault="00A51754" w:rsidP="00E9333E">
            <w:pPr>
              <w:keepNext/>
              <w:rPr>
                <w:rFonts w:ascii="Arial Narrow" w:hAnsi="Arial Narrow"/>
                <w:sz w:val="20"/>
                <w:szCs w:val="20"/>
              </w:rPr>
            </w:pPr>
            <w:r w:rsidRPr="00CE0BE9">
              <w:rPr>
                <w:rFonts w:ascii="Arial Narrow" w:hAnsi="Arial Narrow"/>
                <w:sz w:val="20"/>
                <w:szCs w:val="20"/>
              </w:rPr>
              <w:t>$</w:t>
            </w:r>
            <w:r w:rsidR="003F06F0">
              <w:rPr>
                <w:rFonts w:ascii="Arial Narrow" w:hAnsi="Arial Narrow"/>
                <w:noProof/>
                <w:color w:val="000000"/>
                <w:sz w:val="20"/>
                <w:szCs w:val="20"/>
                <w:highlight w:val="black"/>
              </w:rPr>
              <w:t>'''''''''''''''''''''''</w:t>
            </w:r>
            <w:r w:rsidRPr="00CE0BE9">
              <w:rPr>
                <w:rFonts w:ascii="Arial Narrow" w:hAnsi="Arial Narrow"/>
                <w:sz w:val="20"/>
                <w:szCs w:val="20"/>
              </w:rPr>
              <w:t xml:space="preserve"> published price (public)</w:t>
            </w:r>
          </w:p>
          <w:p w:rsidR="00A51754" w:rsidRPr="00CE0BE9" w:rsidRDefault="00A51754" w:rsidP="00E9333E">
            <w:pPr>
              <w:keepNext/>
              <w:rPr>
                <w:rFonts w:ascii="Arial Narrow" w:hAnsi="Arial Narrow"/>
                <w:sz w:val="20"/>
                <w:szCs w:val="20"/>
              </w:rPr>
            </w:pPr>
            <w:r w:rsidRPr="00CE0BE9">
              <w:rPr>
                <w:rFonts w:ascii="Arial Narrow" w:hAnsi="Arial Narrow"/>
                <w:sz w:val="20"/>
                <w:szCs w:val="20"/>
              </w:rPr>
              <w:t>$</w:t>
            </w:r>
            <w:r w:rsidR="003F06F0">
              <w:rPr>
                <w:rFonts w:ascii="Arial Narrow" w:hAnsi="Arial Narrow"/>
                <w:noProof/>
                <w:color w:val="000000"/>
                <w:sz w:val="20"/>
                <w:szCs w:val="20"/>
                <w:highlight w:val="black"/>
              </w:rPr>
              <w:t>'''''''''''''''''''''</w:t>
            </w:r>
            <w:r w:rsidRPr="00CE0BE9">
              <w:rPr>
                <w:rFonts w:ascii="Arial Narrow" w:hAnsi="Arial Narrow"/>
                <w:sz w:val="20"/>
                <w:szCs w:val="20"/>
              </w:rPr>
              <w:t xml:space="preserve"> published price (private)</w:t>
            </w:r>
          </w:p>
          <w:p w:rsidR="00A51754" w:rsidRPr="00CE0BE9" w:rsidRDefault="00A51754" w:rsidP="00E9333E">
            <w:pPr>
              <w:keepNext/>
              <w:rPr>
                <w:rFonts w:ascii="Arial Narrow" w:hAnsi="Arial Narrow"/>
                <w:sz w:val="20"/>
                <w:szCs w:val="20"/>
              </w:rPr>
            </w:pPr>
            <w:r w:rsidRPr="00CE0BE9">
              <w:rPr>
                <w:rFonts w:ascii="Arial Narrow" w:hAnsi="Arial Narrow"/>
                <w:sz w:val="20"/>
                <w:szCs w:val="20"/>
              </w:rPr>
              <w:t>$</w:t>
            </w:r>
            <w:r w:rsidR="003F06F0">
              <w:rPr>
                <w:rFonts w:ascii="Arial Narrow" w:hAnsi="Arial Narrow"/>
                <w:noProof/>
                <w:color w:val="000000"/>
                <w:sz w:val="20"/>
                <w:szCs w:val="20"/>
                <w:highlight w:val="black"/>
              </w:rPr>
              <w:t>''''''''''''''''''''</w:t>
            </w:r>
            <w:r w:rsidRPr="00CE0BE9">
              <w:rPr>
                <w:rFonts w:ascii="Arial Narrow" w:hAnsi="Arial Narrow"/>
                <w:sz w:val="20"/>
                <w:szCs w:val="20"/>
              </w:rPr>
              <w:t xml:space="preserve"> effective price (public)</w:t>
            </w:r>
          </w:p>
          <w:p w:rsidR="00A51754" w:rsidRPr="00CE0BE9" w:rsidRDefault="00A51754" w:rsidP="00E9333E">
            <w:pPr>
              <w:keepNext/>
              <w:rPr>
                <w:rFonts w:ascii="Arial Narrow" w:hAnsi="Arial Narrow"/>
                <w:sz w:val="20"/>
                <w:szCs w:val="20"/>
              </w:rPr>
            </w:pPr>
            <w:r w:rsidRPr="00CE0BE9">
              <w:rPr>
                <w:rFonts w:ascii="Arial Narrow" w:hAnsi="Arial Narrow"/>
                <w:sz w:val="20"/>
                <w:szCs w:val="20"/>
              </w:rPr>
              <w:t>$</w:t>
            </w:r>
            <w:r w:rsidR="003F06F0">
              <w:rPr>
                <w:rFonts w:ascii="Arial Narrow" w:hAnsi="Arial Narrow"/>
                <w:noProof/>
                <w:color w:val="000000"/>
                <w:sz w:val="20"/>
                <w:szCs w:val="20"/>
                <w:highlight w:val="black"/>
              </w:rPr>
              <w:t>''''''''''''''''''</w:t>
            </w:r>
            <w:r w:rsidRPr="00CE0BE9">
              <w:rPr>
                <w:rFonts w:ascii="Arial Narrow" w:hAnsi="Arial Narrow"/>
                <w:sz w:val="20"/>
                <w:szCs w:val="20"/>
              </w:rPr>
              <w:t xml:space="preserve"> effective price (private)</w:t>
            </w:r>
          </w:p>
        </w:tc>
        <w:tc>
          <w:tcPr>
            <w:tcW w:w="447" w:type="pct"/>
            <w:vAlign w:val="center"/>
          </w:tcPr>
          <w:p w:rsidR="00A51754" w:rsidRPr="00CE0BE9" w:rsidRDefault="00A51754" w:rsidP="00E9333E">
            <w:pPr>
              <w:keepNext/>
              <w:jc w:val="center"/>
              <w:rPr>
                <w:rFonts w:ascii="Arial Narrow" w:hAnsi="Arial Narrow"/>
                <w:sz w:val="20"/>
                <w:szCs w:val="20"/>
              </w:rPr>
            </w:pPr>
            <w:proofErr w:type="spellStart"/>
            <w:r w:rsidRPr="00CE0BE9">
              <w:rPr>
                <w:rFonts w:ascii="Arial Narrow" w:hAnsi="Arial Narrow"/>
                <w:sz w:val="20"/>
                <w:szCs w:val="20"/>
              </w:rPr>
              <w:t>Revlimid</w:t>
            </w:r>
            <w:proofErr w:type="spellEnd"/>
            <w:r w:rsidRPr="00CE0BE9">
              <w:rPr>
                <w:rFonts w:ascii="Arial Narrow" w:hAnsi="Arial Narrow"/>
                <w:sz w:val="20"/>
                <w:szCs w:val="20"/>
              </w:rPr>
              <w:t>®</w:t>
            </w:r>
          </w:p>
        </w:tc>
        <w:tc>
          <w:tcPr>
            <w:tcW w:w="698" w:type="pct"/>
            <w:gridSpan w:val="2"/>
            <w:vAlign w:val="center"/>
          </w:tcPr>
          <w:p w:rsidR="00A51754" w:rsidRPr="00CE0BE9" w:rsidRDefault="00A51754" w:rsidP="00E9333E">
            <w:pPr>
              <w:keepNext/>
              <w:rPr>
                <w:rFonts w:ascii="Arial Narrow" w:hAnsi="Arial Narrow"/>
                <w:sz w:val="20"/>
                <w:szCs w:val="20"/>
              </w:rPr>
            </w:pPr>
            <w:r w:rsidRPr="00CE0BE9">
              <w:rPr>
                <w:rFonts w:ascii="Arial Narrow" w:hAnsi="Arial Narrow"/>
                <w:sz w:val="20"/>
                <w:szCs w:val="20"/>
              </w:rPr>
              <w:t xml:space="preserve">Celgene Pty Ltd </w:t>
            </w:r>
          </w:p>
        </w:tc>
      </w:tr>
      <w:tr w:rsidR="00A51754" w:rsidRPr="00CE0BE9" w:rsidTr="00454F3B">
        <w:trPr>
          <w:cantSplit/>
          <w:trHeight w:val="567"/>
        </w:trPr>
        <w:tc>
          <w:tcPr>
            <w:tcW w:w="1168" w:type="pct"/>
            <w:vAlign w:val="center"/>
          </w:tcPr>
          <w:p w:rsidR="00A51754" w:rsidRPr="00CE0BE9" w:rsidRDefault="00A51754" w:rsidP="00E9333E">
            <w:pPr>
              <w:keepNext/>
              <w:jc w:val="left"/>
              <w:rPr>
                <w:rFonts w:ascii="Arial Narrow" w:hAnsi="Arial Narrow"/>
                <w:sz w:val="20"/>
                <w:szCs w:val="20"/>
              </w:rPr>
            </w:pPr>
            <w:proofErr w:type="spellStart"/>
            <w:r w:rsidRPr="00CE0BE9">
              <w:rPr>
                <w:rFonts w:ascii="Arial Narrow" w:hAnsi="Arial Narrow"/>
                <w:sz w:val="20"/>
                <w:szCs w:val="20"/>
              </w:rPr>
              <w:t>Lenalidomide</w:t>
            </w:r>
            <w:proofErr w:type="spellEnd"/>
            <w:r w:rsidRPr="00CE0BE9">
              <w:rPr>
                <w:rFonts w:ascii="Arial Narrow" w:hAnsi="Arial Narrow"/>
                <w:sz w:val="20"/>
                <w:szCs w:val="20"/>
              </w:rPr>
              <w:t>,</w:t>
            </w:r>
          </w:p>
          <w:p w:rsidR="00A51754" w:rsidRPr="00CE0BE9" w:rsidRDefault="00A51754" w:rsidP="00E9333E">
            <w:pPr>
              <w:keepNext/>
              <w:jc w:val="left"/>
              <w:rPr>
                <w:rFonts w:ascii="Arial Narrow" w:hAnsi="Arial Narrow"/>
                <w:smallCaps/>
                <w:sz w:val="20"/>
                <w:szCs w:val="20"/>
              </w:rPr>
            </w:pPr>
            <w:r w:rsidRPr="00CE0BE9">
              <w:rPr>
                <w:rFonts w:ascii="Arial Narrow" w:hAnsi="Arial Narrow"/>
                <w:sz w:val="20"/>
                <w:szCs w:val="20"/>
              </w:rPr>
              <w:t>Capsule, 10 mg</w:t>
            </w:r>
            <w:r w:rsidR="0072666A">
              <w:rPr>
                <w:rFonts w:ascii="Arial Narrow" w:hAnsi="Arial Narrow"/>
                <w:sz w:val="20"/>
                <w:szCs w:val="20"/>
              </w:rPr>
              <w:t>, 28</w:t>
            </w:r>
          </w:p>
        </w:tc>
        <w:tc>
          <w:tcPr>
            <w:tcW w:w="623" w:type="pct"/>
            <w:vAlign w:val="center"/>
          </w:tcPr>
          <w:p w:rsidR="00A51754" w:rsidRPr="00CE0BE9" w:rsidRDefault="00A51754" w:rsidP="00E9333E">
            <w:pPr>
              <w:keepNext/>
              <w:jc w:val="center"/>
              <w:rPr>
                <w:rFonts w:ascii="Arial Narrow" w:hAnsi="Arial Narrow"/>
                <w:sz w:val="20"/>
                <w:szCs w:val="20"/>
              </w:rPr>
            </w:pPr>
            <w:r w:rsidRPr="00CE0BE9">
              <w:rPr>
                <w:rFonts w:ascii="Arial Narrow" w:hAnsi="Arial Narrow"/>
                <w:sz w:val="20"/>
                <w:szCs w:val="20"/>
              </w:rPr>
              <w:t>1</w:t>
            </w:r>
          </w:p>
        </w:tc>
        <w:tc>
          <w:tcPr>
            <w:tcW w:w="470" w:type="pct"/>
            <w:vAlign w:val="center"/>
          </w:tcPr>
          <w:p w:rsidR="00A51754" w:rsidRPr="001510EB" w:rsidRDefault="00A51754" w:rsidP="00E9333E">
            <w:pPr>
              <w:keepNext/>
              <w:jc w:val="center"/>
              <w:rPr>
                <w:rFonts w:ascii="Arial Narrow" w:hAnsi="Arial Narrow"/>
                <w:i/>
                <w:sz w:val="20"/>
                <w:szCs w:val="20"/>
              </w:rPr>
            </w:pPr>
            <w:r w:rsidRPr="001510EB">
              <w:rPr>
                <w:rFonts w:ascii="Arial Narrow" w:hAnsi="Arial Narrow"/>
                <w:strike/>
                <w:sz w:val="20"/>
                <w:szCs w:val="20"/>
              </w:rPr>
              <w:t>5</w:t>
            </w:r>
            <w:r w:rsidR="001510EB">
              <w:rPr>
                <w:rFonts w:ascii="Arial Narrow" w:hAnsi="Arial Narrow"/>
                <w:strike/>
                <w:sz w:val="20"/>
                <w:szCs w:val="20"/>
              </w:rPr>
              <w:t xml:space="preserve"> </w:t>
            </w:r>
            <w:r w:rsidR="0072666A">
              <w:rPr>
                <w:rFonts w:ascii="Arial Narrow" w:hAnsi="Arial Narrow"/>
                <w:i/>
                <w:sz w:val="20"/>
                <w:szCs w:val="20"/>
              </w:rPr>
              <w:t>2</w:t>
            </w:r>
          </w:p>
        </w:tc>
        <w:tc>
          <w:tcPr>
            <w:tcW w:w="1594" w:type="pct"/>
            <w:vAlign w:val="center"/>
          </w:tcPr>
          <w:p w:rsidR="00A51754" w:rsidRPr="00CE0BE9" w:rsidRDefault="00A51754" w:rsidP="00E9333E">
            <w:pPr>
              <w:keepNext/>
              <w:rPr>
                <w:rFonts w:ascii="Arial Narrow" w:hAnsi="Arial Narrow"/>
                <w:sz w:val="20"/>
                <w:szCs w:val="20"/>
              </w:rPr>
            </w:pPr>
            <w:r w:rsidRPr="00CE0BE9">
              <w:rPr>
                <w:rFonts w:ascii="Arial Narrow" w:hAnsi="Arial Narrow"/>
                <w:sz w:val="20"/>
                <w:szCs w:val="20"/>
              </w:rPr>
              <w:t>$</w:t>
            </w:r>
            <w:r w:rsidR="003F06F0">
              <w:rPr>
                <w:rFonts w:ascii="Arial Narrow" w:hAnsi="Arial Narrow"/>
                <w:noProof/>
                <w:color w:val="000000"/>
                <w:sz w:val="20"/>
                <w:szCs w:val="20"/>
                <w:highlight w:val="black"/>
              </w:rPr>
              <w:t>''''''''''''''''''''''</w:t>
            </w:r>
            <w:r w:rsidRPr="00CE0BE9">
              <w:rPr>
                <w:rFonts w:ascii="Arial Narrow" w:hAnsi="Arial Narrow"/>
                <w:sz w:val="20"/>
                <w:szCs w:val="20"/>
              </w:rPr>
              <w:t xml:space="preserve"> published price (public)</w:t>
            </w:r>
          </w:p>
          <w:p w:rsidR="00A51754" w:rsidRPr="00CE0BE9" w:rsidRDefault="00A51754" w:rsidP="00E9333E">
            <w:pPr>
              <w:keepNext/>
              <w:rPr>
                <w:rFonts w:ascii="Arial Narrow" w:hAnsi="Arial Narrow"/>
                <w:sz w:val="20"/>
                <w:szCs w:val="20"/>
              </w:rPr>
            </w:pPr>
            <w:r w:rsidRPr="00CE0BE9">
              <w:rPr>
                <w:rFonts w:ascii="Arial Narrow" w:hAnsi="Arial Narrow"/>
                <w:sz w:val="20"/>
                <w:szCs w:val="20"/>
              </w:rPr>
              <w:t>$</w:t>
            </w:r>
            <w:r w:rsidR="003F06F0">
              <w:rPr>
                <w:rFonts w:ascii="Arial Narrow" w:hAnsi="Arial Narrow"/>
                <w:noProof/>
                <w:color w:val="000000"/>
                <w:sz w:val="20"/>
                <w:szCs w:val="20"/>
                <w:highlight w:val="black"/>
              </w:rPr>
              <w:t>'''''''''''''''''''''</w:t>
            </w:r>
            <w:r w:rsidRPr="00CE0BE9">
              <w:rPr>
                <w:rFonts w:ascii="Arial Narrow" w:hAnsi="Arial Narrow"/>
                <w:sz w:val="20"/>
                <w:szCs w:val="20"/>
              </w:rPr>
              <w:t xml:space="preserve"> published price (private)</w:t>
            </w:r>
          </w:p>
          <w:p w:rsidR="00A51754" w:rsidRPr="00CE0BE9" w:rsidRDefault="00A51754" w:rsidP="00E9333E">
            <w:pPr>
              <w:keepNext/>
              <w:rPr>
                <w:rFonts w:ascii="Arial Narrow" w:hAnsi="Arial Narrow"/>
                <w:sz w:val="20"/>
                <w:szCs w:val="20"/>
              </w:rPr>
            </w:pPr>
            <w:r w:rsidRPr="00CE0BE9">
              <w:rPr>
                <w:rFonts w:ascii="Arial Narrow" w:hAnsi="Arial Narrow"/>
                <w:sz w:val="20"/>
                <w:szCs w:val="20"/>
              </w:rPr>
              <w:t>$</w:t>
            </w:r>
            <w:r w:rsidR="003F06F0">
              <w:rPr>
                <w:rFonts w:ascii="Arial Narrow" w:hAnsi="Arial Narrow"/>
                <w:noProof/>
                <w:color w:val="000000"/>
                <w:sz w:val="20"/>
                <w:szCs w:val="20"/>
                <w:highlight w:val="black"/>
              </w:rPr>
              <w:t>'''''''''''''''''''''</w:t>
            </w:r>
            <w:r w:rsidRPr="00CE0BE9">
              <w:rPr>
                <w:rFonts w:ascii="Arial Narrow" w:hAnsi="Arial Narrow"/>
                <w:sz w:val="20"/>
                <w:szCs w:val="20"/>
              </w:rPr>
              <w:t xml:space="preserve"> effective price (public)</w:t>
            </w:r>
          </w:p>
          <w:p w:rsidR="00A51754" w:rsidRPr="00CE0BE9" w:rsidRDefault="00A51754" w:rsidP="00E9333E">
            <w:pPr>
              <w:keepNext/>
              <w:rPr>
                <w:rFonts w:ascii="Arial Narrow" w:hAnsi="Arial Narrow"/>
                <w:sz w:val="20"/>
                <w:szCs w:val="20"/>
              </w:rPr>
            </w:pPr>
            <w:r w:rsidRPr="00CE0BE9">
              <w:rPr>
                <w:rFonts w:ascii="Arial Narrow" w:hAnsi="Arial Narrow"/>
                <w:sz w:val="20"/>
                <w:szCs w:val="20"/>
              </w:rPr>
              <w:t>$</w:t>
            </w:r>
            <w:r w:rsidR="003F06F0">
              <w:rPr>
                <w:rFonts w:ascii="Arial Narrow" w:hAnsi="Arial Narrow"/>
                <w:noProof/>
                <w:color w:val="000000"/>
                <w:sz w:val="20"/>
                <w:szCs w:val="20"/>
                <w:highlight w:val="black"/>
              </w:rPr>
              <w:t>''''''''''''''''''''</w:t>
            </w:r>
            <w:r w:rsidRPr="00CE0BE9">
              <w:rPr>
                <w:rFonts w:ascii="Arial Narrow" w:hAnsi="Arial Narrow"/>
                <w:sz w:val="20"/>
                <w:szCs w:val="20"/>
              </w:rPr>
              <w:t xml:space="preserve"> effective price (private)</w:t>
            </w:r>
          </w:p>
        </w:tc>
        <w:tc>
          <w:tcPr>
            <w:tcW w:w="447" w:type="pct"/>
            <w:vAlign w:val="center"/>
          </w:tcPr>
          <w:p w:rsidR="00A51754" w:rsidRPr="00CE0BE9" w:rsidRDefault="00A51754" w:rsidP="00E9333E">
            <w:pPr>
              <w:keepNext/>
              <w:jc w:val="center"/>
              <w:rPr>
                <w:rFonts w:ascii="Arial Narrow" w:hAnsi="Arial Narrow"/>
                <w:sz w:val="20"/>
                <w:szCs w:val="20"/>
              </w:rPr>
            </w:pPr>
            <w:proofErr w:type="spellStart"/>
            <w:r w:rsidRPr="00CE0BE9">
              <w:rPr>
                <w:rFonts w:ascii="Arial Narrow" w:hAnsi="Arial Narrow"/>
                <w:sz w:val="20"/>
                <w:szCs w:val="20"/>
              </w:rPr>
              <w:t>Revlimid</w:t>
            </w:r>
            <w:proofErr w:type="spellEnd"/>
            <w:r w:rsidRPr="00CE0BE9">
              <w:rPr>
                <w:rFonts w:ascii="Arial Narrow" w:hAnsi="Arial Narrow"/>
                <w:sz w:val="20"/>
                <w:szCs w:val="20"/>
              </w:rPr>
              <w:t>®</w:t>
            </w:r>
          </w:p>
        </w:tc>
        <w:tc>
          <w:tcPr>
            <w:tcW w:w="698" w:type="pct"/>
            <w:gridSpan w:val="2"/>
            <w:vAlign w:val="center"/>
          </w:tcPr>
          <w:p w:rsidR="00A51754" w:rsidRPr="00CE0BE9" w:rsidRDefault="00A51754" w:rsidP="00E9333E">
            <w:pPr>
              <w:keepNext/>
              <w:rPr>
                <w:rFonts w:ascii="Arial Narrow" w:hAnsi="Arial Narrow"/>
                <w:sz w:val="20"/>
                <w:szCs w:val="20"/>
              </w:rPr>
            </w:pPr>
            <w:r w:rsidRPr="00CE0BE9">
              <w:rPr>
                <w:rFonts w:ascii="Arial Narrow" w:hAnsi="Arial Narrow"/>
                <w:sz w:val="20"/>
                <w:szCs w:val="20"/>
              </w:rPr>
              <w:t>Celgene Pty Ltd</w:t>
            </w:r>
          </w:p>
        </w:tc>
      </w:tr>
      <w:tr w:rsidR="00A51754" w:rsidRPr="00CE0BE9" w:rsidTr="00454F3B">
        <w:trPr>
          <w:cantSplit/>
          <w:trHeight w:val="963"/>
        </w:trPr>
        <w:tc>
          <w:tcPr>
            <w:tcW w:w="1168" w:type="pct"/>
            <w:vAlign w:val="center"/>
          </w:tcPr>
          <w:p w:rsidR="00A51754" w:rsidRPr="00CE0BE9" w:rsidRDefault="00A51754" w:rsidP="00E9333E">
            <w:pPr>
              <w:keepNext/>
              <w:jc w:val="left"/>
              <w:rPr>
                <w:rFonts w:ascii="Arial Narrow" w:hAnsi="Arial Narrow"/>
                <w:sz w:val="20"/>
                <w:szCs w:val="20"/>
              </w:rPr>
            </w:pPr>
            <w:proofErr w:type="spellStart"/>
            <w:r w:rsidRPr="00CE0BE9">
              <w:rPr>
                <w:rFonts w:ascii="Arial Narrow" w:hAnsi="Arial Narrow"/>
                <w:sz w:val="20"/>
                <w:szCs w:val="20"/>
              </w:rPr>
              <w:t>Lenalidomide</w:t>
            </w:r>
            <w:proofErr w:type="spellEnd"/>
            <w:r w:rsidRPr="00CE0BE9">
              <w:rPr>
                <w:rFonts w:ascii="Arial Narrow" w:hAnsi="Arial Narrow"/>
                <w:sz w:val="20"/>
                <w:szCs w:val="20"/>
              </w:rPr>
              <w:t>,</w:t>
            </w:r>
          </w:p>
          <w:p w:rsidR="00A51754" w:rsidRPr="00CE0BE9" w:rsidRDefault="00A51754" w:rsidP="00E9333E">
            <w:pPr>
              <w:keepNext/>
              <w:jc w:val="left"/>
              <w:rPr>
                <w:rFonts w:ascii="Arial Narrow" w:hAnsi="Arial Narrow"/>
                <w:smallCaps/>
                <w:sz w:val="20"/>
                <w:szCs w:val="20"/>
              </w:rPr>
            </w:pPr>
            <w:r w:rsidRPr="00CE0BE9">
              <w:rPr>
                <w:rFonts w:ascii="Arial Narrow" w:hAnsi="Arial Narrow"/>
                <w:sz w:val="20"/>
                <w:szCs w:val="20"/>
              </w:rPr>
              <w:t>Capsule, 15 mg</w:t>
            </w:r>
            <w:r w:rsidR="0072666A">
              <w:rPr>
                <w:rFonts w:ascii="Arial Narrow" w:hAnsi="Arial Narrow"/>
                <w:sz w:val="20"/>
                <w:szCs w:val="20"/>
              </w:rPr>
              <w:t>,28</w:t>
            </w:r>
          </w:p>
        </w:tc>
        <w:tc>
          <w:tcPr>
            <w:tcW w:w="623" w:type="pct"/>
            <w:vAlign w:val="center"/>
          </w:tcPr>
          <w:p w:rsidR="00A51754" w:rsidRPr="00CE0BE9" w:rsidRDefault="00A51754" w:rsidP="00E9333E">
            <w:pPr>
              <w:keepNext/>
              <w:jc w:val="center"/>
              <w:rPr>
                <w:rFonts w:ascii="Arial Narrow" w:hAnsi="Arial Narrow"/>
                <w:sz w:val="20"/>
                <w:szCs w:val="20"/>
              </w:rPr>
            </w:pPr>
            <w:r w:rsidRPr="00CE0BE9">
              <w:rPr>
                <w:rFonts w:ascii="Arial Narrow" w:hAnsi="Arial Narrow"/>
                <w:sz w:val="20"/>
                <w:szCs w:val="20"/>
              </w:rPr>
              <w:t>1</w:t>
            </w:r>
          </w:p>
        </w:tc>
        <w:tc>
          <w:tcPr>
            <w:tcW w:w="470" w:type="pct"/>
            <w:vAlign w:val="center"/>
          </w:tcPr>
          <w:p w:rsidR="00A51754" w:rsidRPr="001510EB" w:rsidRDefault="00A51754" w:rsidP="00E9333E">
            <w:pPr>
              <w:keepNext/>
              <w:jc w:val="center"/>
              <w:rPr>
                <w:rFonts w:ascii="Arial Narrow" w:hAnsi="Arial Narrow"/>
                <w:i/>
                <w:sz w:val="20"/>
                <w:szCs w:val="20"/>
              </w:rPr>
            </w:pPr>
            <w:r w:rsidRPr="001510EB">
              <w:rPr>
                <w:rFonts w:ascii="Arial Narrow" w:hAnsi="Arial Narrow"/>
                <w:strike/>
                <w:sz w:val="20"/>
                <w:szCs w:val="20"/>
              </w:rPr>
              <w:t>5</w:t>
            </w:r>
            <w:r w:rsidR="001510EB">
              <w:rPr>
                <w:rFonts w:ascii="Arial Narrow" w:hAnsi="Arial Narrow"/>
                <w:strike/>
                <w:sz w:val="20"/>
                <w:szCs w:val="20"/>
              </w:rPr>
              <w:t xml:space="preserve"> </w:t>
            </w:r>
            <w:r w:rsidR="0072666A">
              <w:rPr>
                <w:rFonts w:ascii="Arial Narrow" w:hAnsi="Arial Narrow"/>
                <w:i/>
                <w:sz w:val="20"/>
                <w:szCs w:val="20"/>
              </w:rPr>
              <w:t>2</w:t>
            </w:r>
          </w:p>
        </w:tc>
        <w:tc>
          <w:tcPr>
            <w:tcW w:w="1594" w:type="pct"/>
            <w:vAlign w:val="center"/>
          </w:tcPr>
          <w:p w:rsidR="00A51754" w:rsidRPr="00CE0BE9" w:rsidRDefault="00A51754" w:rsidP="00E9333E">
            <w:pPr>
              <w:keepNext/>
              <w:rPr>
                <w:rFonts w:ascii="Arial Narrow" w:hAnsi="Arial Narrow"/>
                <w:sz w:val="20"/>
                <w:szCs w:val="20"/>
              </w:rPr>
            </w:pPr>
            <w:r w:rsidRPr="00CE0BE9">
              <w:rPr>
                <w:rFonts w:ascii="Arial Narrow" w:hAnsi="Arial Narrow"/>
                <w:sz w:val="20"/>
                <w:szCs w:val="20"/>
              </w:rPr>
              <w:t>$</w:t>
            </w:r>
            <w:r w:rsidR="003F06F0">
              <w:rPr>
                <w:rFonts w:ascii="Arial Narrow" w:hAnsi="Arial Narrow"/>
                <w:noProof/>
                <w:color w:val="000000"/>
                <w:sz w:val="20"/>
                <w:szCs w:val="20"/>
                <w:highlight w:val="black"/>
              </w:rPr>
              <w:t>'''''''''''''''''''</w:t>
            </w:r>
            <w:r w:rsidRPr="00CE0BE9">
              <w:rPr>
                <w:rFonts w:ascii="Arial Narrow" w:hAnsi="Arial Narrow"/>
                <w:sz w:val="20"/>
                <w:szCs w:val="20"/>
              </w:rPr>
              <w:t xml:space="preserve"> published price (public)</w:t>
            </w:r>
          </w:p>
          <w:p w:rsidR="00A51754" w:rsidRPr="00CE0BE9" w:rsidRDefault="00A51754" w:rsidP="00E9333E">
            <w:pPr>
              <w:keepNext/>
              <w:rPr>
                <w:rFonts w:ascii="Arial Narrow" w:hAnsi="Arial Narrow"/>
                <w:sz w:val="20"/>
                <w:szCs w:val="20"/>
              </w:rPr>
            </w:pPr>
            <w:r w:rsidRPr="00CE0BE9">
              <w:rPr>
                <w:rFonts w:ascii="Arial Narrow" w:hAnsi="Arial Narrow"/>
                <w:sz w:val="20"/>
                <w:szCs w:val="20"/>
              </w:rPr>
              <w:t>$</w:t>
            </w:r>
            <w:r w:rsidR="003F06F0">
              <w:rPr>
                <w:rFonts w:ascii="Arial Narrow" w:hAnsi="Arial Narrow"/>
                <w:noProof/>
                <w:color w:val="000000"/>
                <w:sz w:val="20"/>
                <w:szCs w:val="20"/>
                <w:highlight w:val="black"/>
              </w:rPr>
              <w:t>'''''''''''''''''''''''</w:t>
            </w:r>
            <w:r w:rsidRPr="00CE0BE9">
              <w:rPr>
                <w:rFonts w:ascii="Arial Narrow" w:hAnsi="Arial Narrow"/>
                <w:sz w:val="20"/>
                <w:szCs w:val="20"/>
              </w:rPr>
              <w:t xml:space="preserve"> published price (private)</w:t>
            </w:r>
          </w:p>
          <w:p w:rsidR="00A51754" w:rsidRPr="00CE0BE9" w:rsidRDefault="00A51754" w:rsidP="00E9333E">
            <w:pPr>
              <w:keepNext/>
              <w:rPr>
                <w:rFonts w:ascii="Arial Narrow" w:hAnsi="Arial Narrow"/>
                <w:sz w:val="20"/>
                <w:szCs w:val="20"/>
              </w:rPr>
            </w:pPr>
            <w:r w:rsidRPr="00CE0BE9">
              <w:rPr>
                <w:rFonts w:ascii="Arial Narrow" w:hAnsi="Arial Narrow"/>
                <w:sz w:val="20"/>
                <w:szCs w:val="20"/>
              </w:rPr>
              <w:t>$</w:t>
            </w:r>
            <w:r w:rsidR="003F06F0">
              <w:rPr>
                <w:rFonts w:ascii="Arial Narrow" w:hAnsi="Arial Narrow"/>
                <w:noProof/>
                <w:color w:val="000000"/>
                <w:sz w:val="20"/>
                <w:szCs w:val="20"/>
                <w:highlight w:val="black"/>
              </w:rPr>
              <w:t>'''''''''''''''''''''</w:t>
            </w:r>
            <w:r w:rsidRPr="00CE0BE9">
              <w:rPr>
                <w:rFonts w:ascii="Arial Narrow" w:hAnsi="Arial Narrow"/>
                <w:sz w:val="20"/>
                <w:szCs w:val="20"/>
              </w:rPr>
              <w:t xml:space="preserve"> effective price (public)</w:t>
            </w:r>
          </w:p>
          <w:p w:rsidR="00A51754" w:rsidRPr="00CE0BE9" w:rsidRDefault="00A51754" w:rsidP="00E9333E">
            <w:pPr>
              <w:keepNext/>
              <w:rPr>
                <w:rFonts w:ascii="Arial Narrow" w:hAnsi="Arial Narrow"/>
                <w:sz w:val="20"/>
                <w:szCs w:val="20"/>
              </w:rPr>
            </w:pPr>
            <w:r w:rsidRPr="00CE0BE9">
              <w:rPr>
                <w:rFonts w:ascii="Arial Narrow" w:hAnsi="Arial Narrow"/>
                <w:sz w:val="20"/>
                <w:szCs w:val="20"/>
              </w:rPr>
              <w:t>$</w:t>
            </w:r>
            <w:r w:rsidR="003F06F0">
              <w:rPr>
                <w:rFonts w:ascii="Arial Narrow" w:hAnsi="Arial Narrow"/>
                <w:noProof/>
                <w:color w:val="000000"/>
                <w:sz w:val="20"/>
                <w:szCs w:val="20"/>
                <w:highlight w:val="black"/>
              </w:rPr>
              <w:t>'''''''''''''''''''''</w:t>
            </w:r>
            <w:r w:rsidRPr="00CE0BE9">
              <w:rPr>
                <w:rFonts w:ascii="Arial Narrow" w:hAnsi="Arial Narrow"/>
                <w:sz w:val="20"/>
                <w:szCs w:val="20"/>
              </w:rPr>
              <w:t xml:space="preserve"> effective price (private)</w:t>
            </w:r>
          </w:p>
        </w:tc>
        <w:tc>
          <w:tcPr>
            <w:tcW w:w="447" w:type="pct"/>
            <w:vAlign w:val="center"/>
          </w:tcPr>
          <w:p w:rsidR="00A51754" w:rsidRPr="00CE0BE9" w:rsidRDefault="00A51754" w:rsidP="00E9333E">
            <w:pPr>
              <w:keepNext/>
              <w:jc w:val="center"/>
              <w:rPr>
                <w:rFonts w:ascii="Arial Narrow" w:hAnsi="Arial Narrow"/>
                <w:sz w:val="20"/>
                <w:szCs w:val="20"/>
              </w:rPr>
            </w:pPr>
            <w:proofErr w:type="spellStart"/>
            <w:r w:rsidRPr="00CE0BE9">
              <w:rPr>
                <w:rFonts w:ascii="Arial Narrow" w:hAnsi="Arial Narrow"/>
                <w:sz w:val="20"/>
                <w:szCs w:val="20"/>
              </w:rPr>
              <w:t>Revlimid</w:t>
            </w:r>
            <w:proofErr w:type="spellEnd"/>
            <w:r w:rsidRPr="00CE0BE9">
              <w:rPr>
                <w:rFonts w:ascii="Arial Narrow" w:hAnsi="Arial Narrow"/>
                <w:sz w:val="20"/>
                <w:szCs w:val="20"/>
              </w:rPr>
              <w:t>®</w:t>
            </w:r>
          </w:p>
        </w:tc>
        <w:tc>
          <w:tcPr>
            <w:tcW w:w="698" w:type="pct"/>
            <w:gridSpan w:val="2"/>
            <w:vAlign w:val="center"/>
          </w:tcPr>
          <w:p w:rsidR="00A51754" w:rsidRPr="00CE0BE9" w:rsidRDefault="00A51754" w:rsidP="00E9333E">
            <w:pPr>
              <w:keepNext/>
              <w:rPr>
                <w:rFonts w:ascii="Arial Narrow" w:hAnsi="Arial Narrow"/>
                <w:sz w:val="20"/>
                <w:szCs w:val="20"/>
              </w:rPr>
            </w:pPr>
            <w:r w:rsidRPr="00CE0BE9">
              <w:rPr>
                <w:rFonts w:ascii="Arial Narrow" w:hAnsi="Arial Narrow"/>
                <w:sz w:val="20"/>
                <w:szCs w:val="20"/>
              </w:rPr>
              <w:t>Celgene Pty Ltd</w:t>
            </w:r>
          </w:p>
        </w:tc>
      </w:tr>
      <w:tr w:rsidR="00A51754" w:rsidRPr="00CE0BE9" w:rsidTr="00454F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6" w:type="pct"/>
          <w:trHeight w:val="20"/>
        </w:trPr>
        <w:tc>
          <w:tcPr>
            <w:tcW w:w="1168" w:type="pct"/>
            <w:tcBorders>
              <w:top w:val="single" w:sz="4" w:space="0" w:color="auto"/>
              <w:left w:val="single" w:sz="4" w:space="0" w:color="auto"/>
              <w:bottom w:val="single" w:sz="4" w:space="0" w:color="auto"/>
              <w:right w:val="single" w:sz="4" w:space="0" w:color="auto"/>
            </w:tcBorders>
            <w:hideMark/>
          </w:tcPr>
          <w:p w:rsidR="00A51754" w:rsidRPr="00CE0BE9" w:rsidRDefault="00A51754" w:rsidP="00E9333E">
            <w:pPr>
              <w:pStyle w:val="Tabletext"/>
              <w:rPr>
                <w:lang w:eastAsia="en-AU"/>
              </w:rPr>
            </w:pPr>
            <w:r w:rsidRPr="00CE0BE9">
              <w:rPr>
                <w:lang w:eastAsia="en-AU"/>
              </w:rPr>
              <w:t>Category/Program:</w:t>
            </w:r>
          </w:p>
        </w:tc>
        <w:tc>
          <w:tcPr>
            <w:tcW w:w="3776" w:type="pct"/>
            <w:gridSpan w:val="5"/>
            <w:tcBorders>
              <w:top w:val="single" w:sz="4" w:space="0" w:color="auto"/>
              <w:left w:val="single" w:sz="4" w:space="0" w:color="auto"/>
              <w:bottom w:val="single" w:sz="4" w:space="0" w:color="auto"/>
              <w:right w:val="single" w:sz="4" w:space="0" w:color="auto"/>
            </w:tcBorders>
          </w:tcPr>
          <w:p w:rsidR="00A51754" w:rsidRPr="00CE0BE9" w:rsidRDefault="00A51754" w:rsidP="00E9333E">
            <w:pPr>
              <w:pStyle w:val="Tabletext"/>
              <w:rPr>
                <w:lang w:eastAsia="en-AU"/>
              </w:rPr>
            </w:pPr>
            <w:r w:rsidRPr="00CE0BE9">
              <w:rPr>
                <w:lang w:eastAsia="en-AU"/>
              </w:rPr>
              <w:t xml:space="preserve">Section 100 </w:t>
            </w:r>
            <w:r w:rsidR="002603B1" w:rsidRPr="00CE0BE9">
              <w:rPr>
                <w:lang w:eastAsia="en-AU"/>
              </w:rPr>
              <w:t>–</w:t>
            </w:r>
            <w:r w:rsidRPr="00CE0BE9">
              <w:rPr>
                <w:lang w:eastAsia="en-AU"/>
              </w:rPr>
              <w:t xml:space="preserve"> HSD</w:t>
            </w:r>
          </w:p>
        </w:tc>
      </w:tr>
      <w:tr w:rsidR="00A51754" w:rsidRPr="00CE0BE9" w:rsidTr="00454F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6" w:type="pct"/>
          <w:trHeight w:val="20"/>
        </w:trPr>
        <w:tc>
          <w:tcPr>
            <w:tcW w:w="1168" w:type="pct"/>
            <w:tcBorders>
              <w:top w:val="single" w:sz="4" w:space="0" w:color="auto"/>
              <w:left w:val="single" w:sz="4" w:space="0" w:color="auto"/>
              <w:bottom w:val="single" w:sz="4" w:space="0" w:color="auto"/>
              <w:right w:val="single" w:sz="4" w:space="0" w:color="auto"/>
            </w:tcBorders>
            <w:hideMark/>
          </w:tcPr>
          <w:p w:rsidR="00A51754" w:rsidRPr="00CE0BE9" w:rsidRDefault="00A51754" w:rsidP="00E9333E">
            <w:pPr>
              <w:pStyle w:val="Tabletext"/>
              <w:rPr>
                <w:lang w:eastAsia="en-AU"/>
              </w:rPr>
            </w:pPr>
            <w:r w:rsidRPr="00CE0BE9">
              <w:rPr>
                <w:lang w:eastAsia="en-AU"/>
              </w:rPr>
              <w:t>PBS indication:</w:t>
            </w:r>
          </w:p>
        </w:tc>
        <w:tc>
          <w:tcPr>
            <w:tcW w:w="3776" w:type="pct"/>
            <w:gridSpan w:val="5"/>
            <w:tcBorders>
              <w:top w:val="single" w:sz="4" w:space="0" w:color="auto"/>
              <w:left w:val="single" w:sz="4" w:space="0" w:color="auto"/>
              <w:bottom w:val="single" w:sz="4" w:space="0" w:color="auto"/>
              <w:right w:val="single" w:sz="4" w:space="0" w:color="auto"/>
            </w:tcBorders>
          </w:tcPr>
          <w:p w:rsidR="00A51754" w:rsidRPr="00CE0BE9" w:rsidRDefault="00A51754" w:rsidP="00E9333E">
            <w:pPr>
              <w:pStyle w:val="Tabletext"/>
              <w:rPr>
                <w:lang w:eastAsia="en-AU"/>
              </w:rPr>
            </w:pPr>
            <w:r w:rsidRPr="00CE0BE9">
              <w:rPr>
                <w:lang w:eastAsia="en-AU"/>
              </w:rPr>
              <w:t>Multiple Myeloma</w:t>
            </w:r>
          </w:p>
        </w:tc>
      </w:tr>
      <w:tr w:rsidR="00A51754" w:rsidRPr="00CE0BE9" w:rsidTr="00454F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6" w:type="pct"/>
          <w:trHeight w:val="20"/>
        </w:trPr>
        <w:tc>
          <w:tcPr>
            <w:tcW w:w="1168" w:type="pct"/>
            <w:tcBorders>
              <w:top w:val="single" w:sz="4" w:space="0" w:color="auto"/>
              <w:left w:val="single" w:sz="4" w:space="0" w:color="auto"/>
              <w:bottom w:val="single" w:sz="4" w:space="0" w:color="auto"/>
              <w:right w:val="single" w:sz="4" w:space="0" w:color="auto"/>
            </w:tcBorders>
            <w:hideMark/>
          </w:tcPr>
          <w:p w:rsidR="00A51754" w:rsidRPr="00CE0BE9" w:rsidRDefault="00A51754" w:rsidP="00E9333E">
            <w:pPr>
              <w:pStyle w:val="Tabletext"/>
              <w:rPr>
                <w:lang w:eastAsia="en-AU"/>
              </w:rPr>
            </w:pPr>
            <w:r w:rsidRPr="00CE0BE9">
              <w:rPr>
                <w:lang w:eastAsia="en-AU"/>
              </w:rPr>
              <w:t>Treatment phase:</w:t>
            </w:r>
          </w:p>
        </w:tc>
        <w:tc>
          <w:tcPr>
            <w:tcW w:w="3776" w:type="pct"/>
            <w:gridSpan w:val="5"/>
            <w:tcBorders>
              <w:top w:val="single" w:sz="4" w:space="0" w:color="auto"/>
              <w:left w:val="single" w:sz="4" w:space="0" w:color="auto"/>
              <w:bottom w:val="single" w:sz="4" w:space="0" w:color="auto"/>
              <w:right w:val="single" w:sz="4" w:space="0" w:color="auto"/>
            </w:tcBorders>
          </w:tcPr>
          <w:p w:rsidR="00A51754" w:rsidRPr="00CE0BE9" w:rsidRDefault="00A51754" w:rsidP="00E9333E">
            <w:pPr>
              <w:pStyle w:val="Tabletext"/>
              <w:rPr>
                <w:lang w:eastAsia="en-AU"/>
              </w:rPr>
            </w:pPr>
            <w:r w:rsidRPr="00CE0BE9">
              <w:rPr>
                <w:lang w:eastAsia="en-AU"/>
              </w:rPr>
              <w:t>Initial</w:t>
            </w:r>
          </w:p>
        </w:tc>
      </w:tr>
      <w:tr w:rsidR="00A51754" w:rsidRPr="00CE0BE9" w:rsidTr="00454F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6" w:type="pct"/>
          <w:trHeight w:val="20"/>
        </w:trPr>
        <w:tc>
          <w:tcPr>
            <w:tcW w:w="1168" w:type="pct"/>
            <w:tcBorders>
              <w:top w:val="single" w:sz="4" w:space="0" w:color="auto"/>
              <w:left w:val="single" w:sz="4" w:space="0" w:color="auto"/>
              <w:bottom w:val="single" w:sz="4" w:space="0" w:color="auto"/>
              <w:right w:val="single" w:sz="4" w:space="0" w:color="auto"/>
            </w:tcBorders>
            <w:hideMark/>
          </w:tcPr>
          <w:p w:rsidR="00A51754" w:rsidRPr="00CE0BE9" w:rsidRDefault="00A51754" w:rsidP="00E9333E">
            <w:pPr>
              <w:pStyle w:val="Tabletext"/>
              <w:rPr>
                <w:lang w:eastAsia="en-AU"/>
              </w:rPr>
            </w:pPr>
            <w:r w:rsidRPr="00CE0BE9">
              <w:rPr>
                <w:lang w:eastAsia="en-AU"/>
              </w:rPr>
              <w:t>Restriction:</w:t>
            </w:r>
          </w:p>
        </w:tc>
        <w:tc>
          <w:tcPr>
            <w:tcW w:w="3776" w:type="pct"/>
            <w:gridSpan w:val="5"/>
            <w:tcBorders>
              <w:top w:val="single" w:sz="4" w:space="0" w:color="auto"/>
              <w:left w:val="single" w:sz="4" w:space="0" w:color="auto"/>
              <w:bottom w:val="single" w:sz="4" w:space="0" w:color="auto"/>
              <w:right w:val="single" w:sz="4" w:space="0" w:color="auto"/>
            </w:tcBorders>
          </w:tcPr>
          <w:p w:rsidR="00A51754" w:rsidRPr="00CE0BE9" w:rsidRDefault="00A51754" w:rsidP="00E9333E">
            <w:pPr>
              <w:pStyle w:val="Tabletext"/>
              <w:rPr>
                <w:lang w:eastAsia="en-AU"/>
              </w:rPr>
            </w:pPr>
            <w:r w:rsidRPr="00CE0BE9">
              <w:rPr>
                <w:lang w:eastAsia="en-AU"/>
              </w:rPr>
              <w:t>Authority Required – In Writing</w:t>
            </w:r>
          </w:p>
        </w:tc>
      </w:tr>
      <w:tr w:rsidR="00A51754" w:rsidRPr="00CE0BE9" w:rsidTr="00454F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6" w:type="pct"/>
          <w:trHeight w:val="20"/>
        </w:trPr>
        <w:tc>
          <w:tcPr>
            <w:tcW w:w="1168" w:type="pct"/>
            <w:tcBorders>
              <w:top w:val="single" w:sz="4" w:space="0" w:color="auto"/>
              <w:left w:val="single" w:sz="4" w:space="0" w:color="auto"/>
              <w:bottom w:val="single" w:sz="4" w:space="0" w:color="auto"/>
              <w:right w:val="single" w:sz="4" w:space="0" w:color="auto"/>
            </w:tcBorders>
            <w:hideMark/>
          </w:tcPr>
          <w:p w:rsidR="00A51754" w:rsidRPr="00CE0BE9" w:rsidRDefault="00A51754" w:rsidP="00E9333E">
            <w:pPr>
              <w:pStyle w:val="Tabletext"/>
              <w:rPr>
                <w:lang w:eastAsia="en-AU"/>
              </w:rPr>
            </w:pPr>
            <w:r w:rsidRPr="00CE0BE9">
              <w:rPr>
                <w:lang w:eastAsia="en-AU"/>
              </w:rPr>
              <w:t>Clinical criteria:</w:t>
            </w:r>
          </w:p>
        </w:tc>
        <w:tc>
          <w:tcPr>
            <w:tcW w:w="3776" w:type="pct"/>
            <w:gridSpan w:val="5"/>
            <w:tcBorders>
              <w:top w:val="single" w:sz="4" w:space="0" w:color="auto"/>
              <w:left w:val="single" w:sz="4" w:space="0" w:color="auto"/>
              <w:bottom w:val="single" w:sz="4" w:space="0" w:color="auto"/>
              <w:right w:val="single" w:sz="4" w:space="0" w:color="auto"/>
            </w:tcBorders>
          </w:tcPr>
          <w:p w:rsidR="00A51754" w:rsidRPr="001510EB" w:rsidRDefault="00A51754" w:rsidP="00E9333E">
            <w:pPr>
              <w:pStyle w:val="Tabletext"/>
              <w:rPr>
                <w:strike/>
                <w:lang w:eastAsia="en-AU"/>
              </w:rPr>
            </w:pPr>
            <w:r w:rsidRPr="001510EB">
              <w:rPr>
                <w:strike/>
                <w:lang w:eastAsia="en-AU"/>
              </w:rPr>
              <w:t>•</w:t>
            </w:r>
            <w:r w:rsidRPr="001510EB">
              <w:rPr>
                <w:strike/>
                <w:lang w:eastAsia="en-AU"/>
              </w:rPr>
              <w:tab/>
              <w:t>The condition must be newly diagnosed,</w:t>
            </w:r>
          </w:p>
          <w:p w:rsidR="00A51754" w:rsidRPr="001510EB" w:rsidRDefault="00A51754" w:rsidP="00E9333E">
            <w:pPr>
              <w:pStyle w:val="Tabletext"/>
              <w:rPr>
                <w:strike/>
                <w:lang w:eastAsia="en-AU"/>
              </w:rPr>
            </w:pPr>
            <w:r w:rsidRPr="001510EB">
              <w:rPr>
                <w:strike/>
                <w:lang w:eastAsia="en-AU"/>
              </w:rPr>
              <w:t>AND</w:t>
            </w:r>
          </w:p>
          <w:p w:rsidR="00A51754" w:rsidRPr="001510EB" w:rsidRDefault="00A51754" w:rsidP="00E9333E">
            <w:pPr>
              <w:pStyle w:val="Tabletext"/>
              <w:rPr>
                <w:strike/>
                <w:lang w:eastAsia="en-AU"/>
              </w:rPr>
            </w:pPr>
            <w:r w:rsidRPr="001510EB">
              <w:rPr>
                <w:strike/>
                <w:lang w:eastAsia="en-AU"/>
              </w:rPr>
              <w:t>•</w:t>
            </w:r>
            <w:r w:rsidRPr="001510EB">
              <w:rPr>
                <w:strike/>
                <w:lang w:eastAsia="en-AU"/>
              </w:rPr>
              <w:tab/>
              <w:t>The condition must be confirmed by a histological diagnosis,</w:t>
            </w:r>
          </w:p>
          <w:p w:rsidR="00A51754" w:rsidRPr="001510EB" w:rsidRDefault="00A51754" w:rsidP="00E9333E">
            <w:pPr>
              <w:pStyle w:val="Tabletext"/>
              <w:rPr>
                <w:strike/>
                <w:lang w:eastAsia="en-AU"/>
              </w:rPr>
            </w:pPr>
            <w:r w:rsidRPr="001510EB">
              <w:rPr>
                <w:strike/>
                <w:lang w:eastAsia="en-AU"/>
              </w:rPr>
              <w:t>AND</w:t>
            </w:r>
          </w:p>
          <w:p w:rsidR="00A51754" w:rsidRPr="001510EB" w:rsidRDefault="00A51754" w:rsidP="00E9333E">
            <w:pPr>
              <w:pStyle w:val="Tabletext"/>
              <w:rPr>
                <w:strike/>
                <w:lang w:eastAsia="en-AU"/>
              </w:rPr>
            </w:pPr>
            <w:r w:rsidRPr="00CE0BE9">
              <w:rPr>
                <w:lang w:eastAsia="en-AU"/>
              </w:rPr>
              <w:t>•</w:t>
            </w:r>
            <w:r w:rsidRPr="00CE0BE9">
              <w:rPr>
                <w:lang w:eastAsia="en-AU"/>
              </w:rPr>
              <w:tab/>
              <w:t xml:space="preserve">The treatment must be as monotherapy; </w:t>
            </w:r>
            <w:r w:rsidRPr="001510EB">
              <w:rPr>
                <w:strike/>
                <w:lang w:eastAsia="en-AU"/>
              </w:rPr>
              <w:t>OR</w:t>
            </w:r>
          </w:p>
          <w:p w:rsidR="00A51754" w:rsidRPr="001510EB" w:rsidRDefault="00A51754" w:rsidP="00E9333E">
            <w:pPr>
              <w:pStyle w:val="Tabletext"/>
              <w:rPr>
                <w:strike/>
                <w:lang w:eastAsia="en-AU"/>
              </w:rPr>
            </w:pPr>
            <w:r w:rsidRPr="001510EB">
              <w:rPr>
                <w:strike/>
                <w:lang w:eastAsia="en-AU"/>
              </w:rPr>
              <w:t>•</w:t>
            </w:r>
            <w:r w:rsidRPr="001510EB">
              <w:rPr>
                <w:strike/>
                <w:lang w:eastAsia="en-AU"/>
              </w:rPr>
              <w:tab/>
              <w:t>The treatment must be in combination with dexamethasone,</w:t>
            </w:r>
          </w:p>
          <w:p w:rsidR="00A51754" w:rsidRPr="00CE0BE9" w:rsidRDefault="00A51754" w:rsidP="00E9333E">
            <w:pPr>
              <w:pStyle w:val="Tabletext"/>
              <w:rPr>
                <w:lang w:eastAsia="en-AU"/>
              </w:rPr>
            </w:pPr>
            <w:r w:rsidRPr="00CE0BE9">
              <w:rPr>
                <w:lang w:eastAsia="en-AU"/>
              </w:rPr>
              <w:t>AND</w:t>
            </w:r>
          </w:p>
          <w:p w:rsidR="00E3609B" w:rsidRPr="001510EB" w:rsidRDefault="00A51754" w:rsidP="00E3609B">
            <w:pPr>
              <w:pStyle w:val="Tabletext"/>
              <w:rPr>
                <w:i/>
                <w:lang w:eastAsia="en-AU"/>
              </w:rPr>
            </w:pPr>
            <w:r w:rsidRPr="00CE0BE9">
              <w:rPr>
                <w:lang w:eastAsia="en-AU"/>
              </w:rPr>
              <w:t>•</w:t>
            </w:r>
            <w:r w:rsidRPr="00CE0BE9">
              <w:rPr>
                <w:lang w:eastAsia="en-AU"/>
              </w:rPr>
              <w:tab/>
              <w:t xml:space="preserve">Patient must have </w:t>
            </w:r>
            <w:r w:rsidR="00E3609B" w:rsidRPr="00CE0BE9">
              <w:rPr>
                <w:lang w:eastAsia="en-AU"/>
              </w:rPr>
              <w:t xml:space="preserve">undergone </w:t>
            </w:r>
            <w:r w:rsidR="00E3609B" w:rsidRPr="001510EB">
              <w:rPr>
                <w:strike/>
                <w:lang w:eastAsia="en-AU"/>
              </w:rPr>
              <w:t>a primary</w:t>
            </w:r>
            <w:r w:rsidR="00E3609B" w:rsidRPr="00CE0BE9">
              <w:rPr>
                <w:lang w:eastAsia="en-AU"/>
              </w:rPr>
              <w:t xml:space="preserve"> </w:t>
            </w:r>
            <w:r w:rsidR="001510EB" w:rsidRPr="001510EB">
              <w:rPr>
                <w:i/>
                <w:lang w:eastAsia="en-AU"/>
              </w:rPr>
              <w:t>an autologous</w:t>
            </w:r>
            <w:r w:rsidR="001510EB">
              <w:rPr>
                <w:lang w:eastAsia="en-AU"/>
              </w:rPr>
              <w:t xml:space="preserve"> </w:t>
            </w:r>
            <w:r w:rsidR="00E3609B" w:rsidRPr="00CE0BE9">
              <w:rPr>
                <w:lang w:eastAsia="en-AU"/>
              </w:rPr>
              <w:t>stem cell transplant</w:t>
            </w:r>
            <w:r w:rsidR="001510EB">
              <w:rPr>
                <w:lang w:eastAsia="en-AU"/>
              </w:rPr>
              <w:t xml:space="preserve"> </w:t>
            </w:r>
            <w:r w:rsidR="001510EB">
              <w:rPr>
                <w:i/>
                <w:lang w:eastAsia="en-AU"/>
              </w:rPr>
              <w:t xml:space="preserve"> as part of frontline therapy for newly diagnosed multiple myeloma</w:t>
            </w:r>
          </w:p>
          <w:p w:rsidR="00A51754" w:rsidRPr="00CE0BE9" w:rsidRDefault="00A51754" w:rsidP="00E9333E">
            <w:pPr>
              <w:pStyle w:val="Tabletext"/>
              <w:rPr>
                <w:lang w:eastAsia="en-AU"/>
              </w:rPr>
            </w:pPr>
          </w:p>
          <w:p w:rsidR="00A51754" w:rsidRPr="00CE0BE9" w:rsidRDefault="00A51754" w:rsidP="00E9333E">
            <w:pPr>
              <w:pStyle w:val="Tabletext"/>
              <w:rPr>
                <w:lang w:eastAsia="en-AU"/>
              </w:rPr>
            </w:pPr>
            <w:r w:rsidRPr="00CE0BE9">
              <w:rPr>
                <w:lang w:eastAsia="en-AU"/>
              </w:rPr>
              <w:t>AND</w:t>
            </w:r>
          </w:p>
          <w:p w:rsidR="00A51754" w:rsidRPr="001510EB" w:rsidRDefault="00A51754" w:rsidP="00E9333E">
            <w:pPr>
              <w:pStyle w:val="Tabletext"/>
              <w:rPr>
                <w:i/>
                <w:lang w:eastAsia="en-AU"/>
              </w:rPr>
            </w:pPr>
            <w:r w:rsidRPr="00CE0BE9">
              <w:rPr>
                <w:lang w:eastAsia="en-AU"/>
              </w:rPr>
              <w:t>•</w:t>
            </w:r>
            <w:r w:rsidRPr="00CE0BE9">
              <w:rPr>
                <w:lang w:eastAsia="en-AU"/>
              </w:rPr>
              <w:tab/>
              <w:t>Patient must not have progressive disease</w:t>
            </w:r>
            <w:r w:rsidR="001510EB">
              <w:rPr>
                <w:i/>
                <w:lang w:eastAsia="en-AU"/>
              </w:rPr>
              <w:t xml:space="preserve"> following autologous stem cell transplant</w:t>
            </w:r>
          </w:p>
        </w:tc>
      </w:tr>
      <w:tr w:rsidR="00A51754" w:rsidRPr="00CE0BE9" w:rsidTr="00454F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6" w:type="pct"/>
          <w:trHeight w:val="20"/>
        </w:trPr>
        <w:tc>
          <w:tcPr>
            <w:tcW w:w="1168" w:type="pct"/>
            <w:tcBorders>
              <w:top w:val="single" w:sz="4" w:space="0" w:color="auto"/>
              <w:left w:val="single" w:sz="4" w:space="0" w:color="auto"/>
              <w:bottom w:val="single" w:sz="4" w:space="0" w:color="auto"/>
              <w:right w:val="single" w:sz="4" w:space="0" w:color="auto"/>
            </w:tcBorders>
            <w:hideMark/>
          </w:tcPr>
          <w:p w:rsidR="00A51754" w:rsidRPr="00CE0BE9" w:rsidRDefault="00A51754" w:rsidP="00E9333E">
            <w:pPr>
              <w:pStyle w:val="Tabletext"/>
              <w:rPr>
                <w:lang w:eastAsia="en-AU"/>
              </w:rPr>
            </w:pPr>
            <w:r w:rsidRPr="00CE0BE9">
              <w:rPr>
                <w:lang w:eastAsia="en-AU"/>
              </w:rPr>
              <w:t>Prescriber criteria:</w:t>
            </w:r>
          </w:p>
        </w:tc>
        <w:tc>
          <w:tcPr>
            <w:tcW w:w="3776" w:type="pct"/>
            <w:gridSpan w:val="5"/>
            <w:tcBorders>
              <w:top w:val="single" w:sz="4" w:space="0" w:color="auto"/>
              <w:left w:val="single" w:sz="4" w:space="0" w:color="auto"/>
              <w:bottom w:val="single" w:sz="4" w:space="0" w:color="auto"/>
              <w:right w:val="single" w:sz="4" w:space="0" w:color="auto"/>
            </w:tcBorders>
          </w:tcPr>
          <w:p w:rsidR="00A51754" w:rsidRPr="00CE0BE9" w:rsidRDefault="00A51754" w:rsidP="00E9333E">
            <w:pPr>
              <w:pStyle w:val="Tabletext"/>
              <w:rPr>
                <w:color w:val="000000"/>
                <w:szCs w:val="24"/>
                <w:lang w:eastAsia="en-AU"/>
              </w:rPr>
            </w:pPr>
            <w:r w:rsidRPr="00CE0BE9">
              <w:rPr>
                <w:color w:val="000000"/>
                <w:szCs w:val="24"/>
                <w:lang w:eastAsia="en-AU"/>
              </w:rPr>
              <w:t>The authority application must be made in writing and must include:</w:t>
            </w:r>
          </w:p>
          <w:p w:rsidR="00A51754" w:rsidRPr="00CE0BE9" w:rsidRDefault="00A51754" w:rsidP="00E9333E">
            <w:pPr>
              <w:pStyle w:val="Tabletext"/>
              <w:rPr>
                <w:color w:val="000000"/>
                <w:szCs w:val="24"/>
                <w:lang w:eastAsia="en-AU"/>
              </w:rPr>
            </w:pPr>
            <w:r w:rsidRPr="00CE0BE9">
              <w:rPr>
                <w:color w:val="000000"/>
                <w:szCs w:val="24"/>
                <w:lang w:eastAsia="en-AU"/>
              </w:rPr>
              <w:t>(1) a completed authority prescription form; and</w:t>
            </w:r>
          </w:p>
          <w:p w:rsidR="00A51754" w:rsidRPr="00CE0BE9" w:rsidRDefault="00A51754" w:rsidP="00E9333E">
            <w:pPr>
              <w:pStyle w:val="Tabletext"/>
              <w:rPr>
                <w:color w:val="000000"/>
                <w:szCs w:val="24"/>
                <w:lang w:eastAsia="en-AU"/>
              </w:rPr>
            </w:pPr>
            <w:r w:rsidRPr="00CE0BE9">
              <w:rPr>
                <w:color w:val="000000"/>
                <w:szCs w:val="24"/>
                <w:lang w:eastAsia="en-AU"/>
              </w:rPr>
              <w:t xml:space="preserve">(2) a completed Multiple Myeloma </w:t>
            </w:r>
            <w:proofErr w:type="spellStart"/>
            <w:r w:rsidRPr="00CE0BE9">
              <w:rPr>
                <w:color w:val="000000"/>
                <w:szCs w:val="24"/>
                <w:lang w:eastAsia="en-AU"/>
              </w:rPr>
              <w:t>lenalidomide</w:t>
            </w:r>
            <w:proofErr w:type="spellEnd"/>
            <w:r w:rsidRPr="00CE0BE9">
              <w:rPr>
                <w:color w:val="000000"/>
                <w:szCs w:val="24"/>
                <w:lang w:eastAsia="en-AU"/>
              </w:rPr>
              <w:t xml:space="preserve"> Authority Application - Supporting Information Form, which includes details of the histological diagnosis of multiple myeloma</w:t>
            </w:r>
            <w:r w:rsidR="008A6465">
              <w:rPr>
                <w:color w:val="000000"/>
                <w:szCs w:val="24"/>
                <w:lang w:eastAsia="en-AU"/>
              </w:rPr>
              <w:t>;</w:t>
            </w:r>
            <w:r w:rsidRPr="00CE0BE9">
              <w:rPr>
                <w:color w:val="000000"/>
                <w:szCs w:val="24"/>
                <w:lang w:eastAsia="en-AU"/>
              </w:rPr>
              <w:t xml:space="preserve"> </w:t>
            </w:r>
            <w:r w:rsidRPr="008A6465">
              <w:rPr>
                <w:strike/>
                <w:color w:val="000000"/>
                <w:szCs w:val="24"/>
                <w:lang w:eastAsia="en-AU"/>
              </w:rPr>
              <w:t>and ineligibility for prior</w:t>
            </w:r>
            <w:r w:rsidRPr="00CE0BE9">
              <w:rPr>
                <w:color w:val="000000"/>
                <w:szCs w:val="24"/>
                <w:lang w:eastAsia="en-AU"/>
              </w:rPr>
              <w:t xml:space="preserve"> </w:t>
            </w:r>
            <w:r w:rsidR="008A6465">
              <w:rPr>
                <w:i/>
                <w:color w:val="000000"/>
                <w:szCs w:val="24"/>
                <w:lang w:eastAsia="en-AU"/>
              </w:rPr>
              <w:t xml:space="preserve">details of autologous </w:t>
            </w:r>
            <w:r w:rsidRPr="00CE0BE9">
              <w:rPr>
                <w:color w:val="000000"/>
                <w:szCs w:val="24"/>
                <w:lang w:eastAsia="en-AU"/>
              </w:rPr>
              <w:t xml:space="preserve">stem cell transplant; and nomination of which disease activity parameters will be used to assess </w:t>
            </w:r>
            <w:r w:rsidRPr="008A6465">
              <w:rPr>
                <w:strike/>
                <w:color w:val="000000"/>
                <w:szCs w:val="24"/>
                <w:lang w:eastAsia="en-AU"/>
              </w:rPr>
              <w:t>response</w:t>
            </w:r>
            <w:r w:rsidR="008A6465">
              <w:rPr>
                <w:color w:val="000000"/>
                <w:szCs w:val="24"/>
                <w:lang w:eastAsia="en-AU"/>
              </w:rPr>
              <w:t xml:space="preserve"> </w:t>
            </w:r>
            <w:r w:rsidR="008A6465">
              <w:rPr>
                <w:i/>
                <w:color w:val="000000"/>
                <w:szCs w:val="24"/>
                <w:lang w:eastAsia="en-AU"/>
              </w:rPr>
              <w:t>progression</w:t>
            </w:r>
            <w:r w:rsidRPr="00CE0BE9">
              <w:rPr>
                <w:color w:val="000000"/>
                <w:szCs w:val="24"/>
                <w:lang w:eastAsia="en-AU"/>
              </w:rPr>
              <w:t xml:space="preserve">; and </w:t>
            </w:r>
          </w:p>
          <w:p w:rsidR="00A51754" w:rsidRPr="00CE0BE9" w:rsidRDefault="00A51754" w:rsidP="00E9333E">
            <w:pPr>
              <w:pStyle w:val="Tabletext"/>
              <w:rPr>
                <w:color w:val="000000"/>
                <w:szCs w:val="24"/>
                <w:lang w:eastAsia="en-AU"/>
              </w:rPr>
            </w:pPr>
            <w:r w:rsidRPr="00CE0BE9">
              <w:rPr>
                <w:color w:val="000000"/>
                <w:szCs w:val="24"/>
                <w:lang w:eastAsia="en-AU"/>
              </w:rPr>
              <w:t xml:space="preserve">(3) </w:t>
            </w:r>
            <w:proofErr w:type="gramStart"/>
            <w:r w:rsidRPr="00CE0BE9">
              <w:rPr>
                <w:color w:val="000000"/>
                <w:szCs w:val="24"/>
                <w:lang w:eastAsia="en-AU"/>
              </w:rPr>
              <w:t>a</w:t>
            </w:r>
            <w:proofErr w:type="gramEnd"/>
            <w:r w:rsidRPr="00CE0BE9">
              <w:rPr>
                <w:color w:val="000000"/>
                <w:szCs w:val="24"/>
                <w:lang w:eastAsia="en-AU"/>
              </w:rPr>
              <w:t xml:space="preserve"> signed patient acknowledgement.</w:t>
            </w:r>
          </w:p>
          <w:p w:rsidR="00A51754" w:rsidRPr="00CE0BE9" w:rsidRDefault="00A51754" w:rsidP="00E9333E">
            <w:pPr>
              <w:pStyle w:val="Tabletext"/>
              <w:rPr>
                <w:color w:val="000000"/>
                <w:szCs w:val="24"/>
                <w:lang w:eastAsia="en-AU"/>
              </w:rPr>
            </w:pPr>
            <w:r w:rsidRPr="00CE0BE9">
              <w:rPr>
                <w:color w:val="000000"/>
                <w:szCs w:val="24"/>
                <w:lang w:eastAsia="en-AU"/>
              </w:rPr>
              <w:t xml:space="preserve">To enable confirmation of eligibility for treatment, current diagnostic reports of at least one of the following must be provided: </w:t>
            </w:r>
          </w:p>
          <w:p w:rsidR="00A51754" w:rsidRPr="00CE0BE9" w:rsidRDefault="00A51754" w:rsidP="00E9333E">
            <w:pPr>
              <w:pStyle w:val="Tabletext"/>
              <w:rPr>
                <w:color w:val="000000"/>
                <w:szCs w:val="24"/>
                <w:lang w:eastAsia="en-AU"/>
              </w:rPr>
            </w:pPr>
            <w:r w:rsidRPr="00CE0BE9">
              <w:rPr>
                <w:color w:val="000000"/>
                <w:szCs w:val="24"/>
                <w:lang w:eastAsia="en-AU"/>
              </w:rPr>
              <w:t>(a) the level of serum monoclonal protein; or</w:t>
            </w:r>
          </w:p>
          <w:p w:rsidR="00A51754" w:rsidRPr="00CE0BE9" w:rsidRDefault="00A51754" w:rsidP="00E9333E">
            <w:pPr>
              <w:pStyle w:val="Tabletext"/>
              <w:rPr>
                <w:color w:val="000000"/>
                <w:szCs w:val="24"/>
                <w:lang w:eastAsia="en-AU"/>
              </w:rPr>
            </w:pPr>
            <w:r w:rsidRPr="00CE0BE9">
              <w:rPr>
                <w:color w:val="000000"/>
                <w:szCs w:val="24"/>
                <w:lang w:eastAsia="en-AU"/>
              </w:rPr>
              <w:t xml:space="preserve">(b) </w:t>
            </w:r>
            <w:proofErr w:type="spellStart"/>
            <w:r w:rsidRPr="00CE0BE9">
              <w:rPr>
                <w:color w:val="000000"/>
                <w:szCs w:val="24"/>
                <w:lang w:eastAsia="en-AU"/>
              </w:rPr>
              <w:t>Bence</w:t>
            </w:r>
            <w:proofErr w:type="spellEnd"/>
            <w:r w:rsidRPr="00CE0BE9">
              <w:rPr>
                <w:color w:val="000000"/>
                <w:szCs w:val="24"/>
                <w:lang w:eastAsia="en-AU"/>
              </w:rPr>
              <w:t xml:space="preserve">-Jones proteinuria - the results of 24-hour urinary light chain M protein excretion; or </w:t>
            </w:r>
          </w:p>
          <w:p w:rsidR="00A51754" w:rsidRPr="00CE0BE9" w:rsidRDefault="00A51754" w:rsidP="00E9333E">
            <w:pPr>
              <w:pStyle w:val="Tabletext"/>
              <w:rPr>
                <w:color w:val="000000"/>
                <w:szCs w:val="24"/>
                <w:lang w:eastAsia="en-AU"/>
              </w:rPr>
            </w:pPr>
            <w:r w:rsidRPr="00CE0BE9">
              <w:rPr>
                <w:color w:val="000000"/>
                <w:szCs w:val="24"/>
                <w:lang w:eastAsia="en-AU"/>
              </w:rPr>
              <w:t>(c) the serum level of free kappa and lambda light chains; or</w:t>
            </w:r>
          </w:p>
          <w:p w:rsidR="00A51754" w:rsidRPr="00CE0BE9" w:rsidRDefault="00A51754" w:rsidP="00E9333E">
            <w:pPr>
              <w:pStyle w:val="Tabletext"/>
              <w:rPr>
                <w:color w:val="000000"/>
                <w:szCs w:val="24"/>
                <w:lang w:eastAsia="en-AU"/>
              </w:rPr>
            </w:pPr>
            <w:r w:rsidRPr="00CE0BE9">
              <w:rPr>
                <w:color w:val="000000"/>
                <w:szCs w:val="24"/>
                <w:lang w:eastAsia="en-AU"/>
              </w:rPr>
              <w:t>(d) bone marrow aspirate or trephine; or</w:t>
            </w:r>
          </w:p>
          <w:p w:rsidR="00A51754" w:rsidRPr="00CE0BE9" w:rsidRDefault="00A51754" w:rsidP="00E9333E">
            <w:pPr>
              <w:pStyle w:val="Tabletext"/>
              <w:rPr>
                <w:color w:val="000000"/>
                <w:szCs w:val="24"/>
                <w:lang w:eastAsia="en-AU"/>
              </w:rPr>
            </w:pPr>
            <w:r w:rsidRPr="00CE0BE9">
              <w:rPr>
                <w:color w:val="000000"/>
                <w:szCs w:val="24"/>
                <w:lang w:eastAsia="en-AU"/>
              </w:rPr>
              <w:t xml:space="preserve">(e) if present, the size and location of lytic bone lesions (not including compression fractures); or </w:t>
            </w:r>
          </w:p>
          <w:p w:rsidR="00A51754" w:rsidRPr="00CE0BE9" w:rsidRDefault="00A51754" w:rsidP="00E9333E">
            <w:pPr>
              <w:pStyle w:val="Tabletext"/>
              <w:rPr>
                <w:color w:val="000000"/>
                <w:szCs w:val="24"/>
                <w:lang w:eastAsia="en-AU"/>
              </w:rPr>
            </w:pPr>
            <w:r w:rsidRPr="00CE0BE9">
              <w:rPr>
                <w:color w:val="000000"/>
                <w:szCs w:val="24"/>
                <w:lang w:eastAsia="en-AU"/>
              </w:rPr>
              <w:t xml:space="preserve">(f) if present, the size and location of all soft tissue </w:t>
            </w:r>
            <w:proofErr w:type="spellStart"/>
            <w:r w:rsidRPr="00CE0BE9">
              <w:rPr>
                <w:color w:val="000000"/>
                <w:szCs w:val="24"/>
                <w:lang w:eastAsia="en-AU"/>
              </w:rPr>
              <w:t>plasmacytomas</w:t>
            </w:r>
            <w:proofErr w:type="spellEnd"/>
            <w:r w:rsidRPr="00CE0BE9">
              <w:rPr>
                <w:color w:val="000000"/>
                <w:szCs w:val="24"/>
                <w:lang w:eastAsia="en-AU"/>
              </w:rPr>
              <w:t xml:space="preserve"> by clinical or radiographic examination i.e. MRI or CT-scan; or </w:t>
            </w:r>
          </w:p>
          <w:p w:rsidR="00A51754" w:rsidRPr="00CE0BE9" w:rsidRDefault="00A51754" w:rsidP="00E9333E">
            <w:pPr>
              <w:pStyle w:val="Tabletext"/>
              <w:rPr>
                <w:color w:val="000000"/>
                <w:szCs w:val="24"/>
                <w:lang w:eastAsia="en-AU"/>
              </w:rPr>
            </w:pPr>
            <w:r w:rsidRPr="00CE0BE9">
              <w:rPr>
                <w:color w:val="000000"/>
                <w:szCs w:val="24"/>
                <w:lang w:eastAsia="en-AU"/>
              </w:rPr>
              <w:t xml:space="preserve">(g) </w:t>
            </w:r>
            <w:proofErr w:type="gramStart"/>
            <w:r w:rsidRPr="00CE0BE9">
              <w:rPr>
                <w:color w:val="000000"/>
                <w:szCs w:val="24"/>
                <w:lang w:eastAsia="en-AU"/>
              </w:rPr>
              <w:t>if</w:t>
            </w:r>
            <w:proofErr w:type="gramEnd"/>
            <w:r w:rsidRPr="00CE0BE9">
              <w:rPr>
                <w:color w:val="000000"/>
                <w:szCs w:val="24"/>
                <w:lang w:eastAsia="en-AU"/>
              </w:rPr>
              <w:t xml:space="preserve"> present, the level of hypercalcaemia, corrected for albumin concentration.</w:t>
            </w:r>
          </w:p>
          <w:p w:rsidR="00A51754" w:rsidRPr="00CE0BE9" w:rsidRDefault="00A51754" w:rsidP="00E9333E">
            <w:pPr>
              <w:pStyle w:val="Tabletext"/>
              <w:rPr>
                <w:color w:val="000000"/>
                <w:szCs w:val="24"/>
                <w:lang w:eastAsia="en-AU"/>
              </w:rPr>
            </w:pPr>
          </w:p>
          <w:p w:rsidR="00A51754" w:rsidRPr="00CE0BE9" w:rsidRDefault="00A51754" w:rsidP="00E9333E">
            <w:pPr>
              <w:pStyle w:val="Tabletext"/>
              <w:rPr>
                <w:color w:val="000000"/>
                <w:szCs w:val="24"/>
                <w:lang w:eastAsia="en-AU"/>
              </w:rPr>
            </w:pPr>
            <w:r w:rsidRPr="00CE0BE9">
              <w:rPr>
                <w:color w:val="000000"/>
                <w:szCs w:val="24"/>
                <w:lang w:eastAsia="en-AU"/>
              </w:rPr>
              <w:t xml:space="preserve">As these parameters will be used to determine </w:t>
            </w:r>
            <w:r w:rsidRPr="008A6465">
              <w:rPr>
                <w:strike/>
                <w:color w:val="000000"/>
                <w:szCs w:val="24"/>
                <w:lang w:eastAsia="en-AU"/>
              </w:rPr>
              <w:t>response</w:t>
            </w:r>
            <w:r w:rsidR="008A6465">
              <w:rPr>
                <w:color w:val="000000"/>
                <w:szCs w:val="24"/>
                <w:lang w:eastAsia="en-AU"/>
              </w:rPr>
              <w:t xml:space="preserve"> </w:t>
            </w:r>
            <w:r w:rsidR="008A6465">
              <w:rPr>
                <w:i/>
                <w:color w:val="000000"/>
                <w:szCs w:val="24"/>
                <w:lang w:eastAsia="en-AU"/>
              </w:rPr>
              <w:t>progression</w:t>
            </w:r>
            <w:r w:rsidRPr="00CE0BE9">
              <w:rPr>
                <w:color w:val="000000"/>
                <w:szCs w:val="24"/>
                <w:lang w:eastAsia="en-AU"/>
              </w:rPr>
              <w:t xml:space="preserve">, results for either (a) or (b) or (c) should be provided for all patients. Where the patient has oligo-secretory or non-secretory multiple myeloma, either (c) or (d) or if relevant (e), (f) or (g) should be provided. Where the prescriber plans to assess response in patients with oligo-secretory or non-secretory multiple myeloma with free light chain assays, evidence of the oligo-secretory or </w:t>
            </w:r>
            <w:r w:rsidRPr="00CE0BE9">
              <w:rPr>
                <w:color w:val="000000"/>
                <w:szCs w:val="24"/>
                <w:lang w:eastAsia="en-AU"/>
              </w:rPr>
              <w:lastRenderedPageBreak/>
              <w:t xml:space="preserve">non-secretory nature of the multiple myeloma (current serum M protein less than 10 g per L) must be provided. </w:t>
            </w:r>
          </w:p>
          <w:p w:rsidR="00A51754" w:rsidRPr="00CE0BE9" w:rsidRDefault="00A51754" w:rsidP="00E9333E">
            <w:pPr>
              <w:pStyle w:val="Tabletext"/>
              <w:rPr>
                <w:color w:val="000000"/>
                <w:szCs w:val="24"/>
                <w:lang w:eastAsia="en-AU"/>
              </w:rPr>
            </w:pPr>
          </w:p>
          <w:p w:rsidR="00A51754" w:rsidRPr="00CE0BE9" w:rsidRDefault="00A51754" w:rsidP="00E9333E">
            <w:pPr>
              <w:pStyle w:val="Tabletext"/>
              <w:rPr>
                <w:color w:val="000000"/>
                <w:szCs w:val="24"/>
                <w:lang w:eastAsia="en-AU"/>
              </w:rPr>
            </w:pPr>
            <w:r w:rsidRPr="00CE0BE9">
              <w:rPr>
                <w:color w:val="000000"/>
                <w:szCs w:val="24"/>
                <w:lang w:eastAsia="en-AU"/>
              </w:rPr>
              <w:t xml:space="preserve">Patient must be registered in </w:t>
            </w:r>
            <w:proofErr w:type="gramStart"/>
            <w:r w:rsidRPr="00CE0BE9">
              <w:rPr>
                <w:color w:val="000000"/>
                <w:szCs w:val="24"/>
                <w:lang w:eastAsia="en-AU"/>
              </w:rPr>
              <w:t xml:space="preserve">the </w:t>
            </w:r>
            <w:proofErr w:type="spellStart"/>
            <w:r w:rsidRPr="00CE0BE9">
              <w:rPr>
                <w:color w:val="000000"/>
                <w:szCs w:val="24"/>
                <w:lang w:eastAsia="en-AU"/>
              </w:rPr>
              <w:t>i</w:t>
            </w:r>
            <w:proofErr w:type="spellEnd"/>
            <w:proofErr w:type="gramEnd"/>
            <w:r w:rsidRPr="00CE0BE9">
              <w:rPr>
                <w:color w:val="000000"/>
                <w:szCs w:val="24"/>
                <w:lang w:eastAsia="en-AU"/>
              </w:rPr>
              <w:t>-access risk management program.</w:t>
            </w:r>
          </w:p>
        </w:tc>
      </w:tr>
    </w:tbl>
    <w:p w:rsidR="00A51754" w:rsidRPr="00CE0BE9" w:rsidRDefault="00A51754" w:rsidP="00A51754"/>
    <w:p w:rsidR="00E3609B" w:rsidRPr="00D17A82" w:rsidRDefault="00E3609B" w:rsidP="006F0DFD">
      <w:pPr>
        <w:pStyle w:val="ListParagraph"/>
        <w:widowControl/>
        <w:numPr>
          <w:ilvl w:val="1"/>
          <w:numId w:val="2"/>
        </w:numPr>
      </w:pPr>
      <w:r w:rsidRPr="00D17A82">
        <w:t xml:space="preserve">The submission proposed a special pricing arrangement with published and effective prices as presented above. </w:t>
      </w:r>
    </w:p>
    <w:p w:rsidR="00A51754" w:rsidRPr="00D17A82" w:rsidRDefault="00A51754" w:rsidP="006F0DFD">
      <w:pPr>
        <w:pStyle w:val="ListParagraph"/>
        <w:widowControl/>
        <w:numPr>
          <w:ilvl w:val="1"/>
          <w:numId w:val="2"/>
        </w:numPr>
      </w:pPr>
      <w:r w:rsidRPr="00D17A82">
        <w:t xml:space="preserve">The proposed restriction is largely consistent with the use of </w:t>
      </w:r>
      <w:proofErr w:type="spellStart"/>
      <w:r w:rsidRPr="00D17A82">
        <w:t>lenalidomide</w:t>
      </w:r>
      <w:proofErr w:type="spellEnd"/>
      <w:r w:rsidRPr="00D17A82">
        <w:t xml:space="preserve"> in the CALGB trial (the main source of the evidence comparing </w:t>
      </w:r>
      <w:proofErr w:type="spellStart"/>
      <w:r w:rsidRPr="00D17A82">
        <w:t>lenalidomide</w:t>
      </w:r>
      <w:proofErr w:type="spellEnd"/>
      <w:r w:rsidRPr="00D17A82">
        <w:t xml:space="preserve"> with BSC), the proposed TGA PI and the Medical Scientific Advisory Group (MSAG) to the Myeloma Foundation of Australia clinical guidelines for the treatment of multiple myeloma. However, </w:t>
      </w:r>
      <w:r w:rsidR="001E6D42" w:rsidRPr="00D17A82">
        <w:t xml:space="preserve">in the </w:t>
      </w:r>
      <w:r w:rsidR="00743CE2" w:rsidRPr="00D17A82">
        <w:t xml:space="preserve">approved </w:t>
      </w:r>
      <w:r w:rsidR="001E6D42" w:rsidRPr="00D17A82">
        <w:t xml:space="preserve">TGA PI and </w:t>
      </w:r>
      <w:r w:rsidR="00743CE2" w:rsidRPr="00D17A82">
        <w:t xml:space="preserve">the </w:t>
      </w:r>
      <w:r w:rsidR="001E6D42" w:rsidRPr="00D17A82">
        <w:t xml:space="preserve">clinical evidence presented in </w:t>
      </w:r>
      <w:r w:rsidR="009C7633" w:rsidRPr="00D17A82">
        <w:t>the submission,</w:t>
      </w:r>
      <w:r w:rsidR="001E6D42" w:rsidRPr="00D17A82">
        <w:t xml:space="preserve"> </w:t>
      </w:r>
      <w:r w:rsidRPr="00D17A82">
        <w:t xml:space="preserve">the use of </w:t>
      </w:r>
      <w:proofErr w:type="spellStart"/>
      <w:r w:rsidRPr="00D17A82">
        <w:t>lenalidomide</w:t>
      </w:r>
      <w:proofErr w:type="spellEnd"/>
      <w:r w:rsidRPr="00D17A82">
        <w:t xml:space="preserve"> in patients with NDMM </w:t>
      </w:r>
      <w:r w:rsidR="00961566" w:rsidRPr="00D17A82">
        <w:t>post</w:t>
      </w:r>
      <w:r w:rsidR="00961566" w:rsidRPr="00D17A82">
        <w:noBreakHyphen/>
      </w:r>
      <w:r w:rsidRPr="00D17A82">
        <w:t xml:space="preserve">ASCT is not in combination with dexamethasone (as requested in the restriction). </w:t>
      </w:r>
      <w:r w:rsidR="001E6D42" w:rsidRPr="00D17A82">
        <w:t xml:space="preserve">The </w:t>
      </w:r>
      <w:r w:rsidR="00A25D5B">
        <w:t xml:space="preserve">PBAC agreed with the </w:t>
      </w:r>
      <w:r w:rsidR="00315625" w:rsidRPr="00D17A82">
        <w:t xml:space="preserve">ESC that </w:t>
      </w:r>
      <w:r w:rsidR="00402D60" w:rsidRPr="00D17A82">
        <w:t>use should be restricted to monotherapy</w:t>
      </w:r>
      <w:r w:rsidR="00CF72FB" w:rsidRPr="00D17A82">
        <w:t xml:space="preserve"> for this </w:t>
      </w:r>
      <w:r w:rsidRPr="00D17A82">
        <w:t>indication</w:t>
      </w:r>
      <w:r w:rsidR="00CF72FB" w:rsidRPr="00D17A82">
        <w:t>.</w:t>
      </w:r>
      <w:r w:rsidR="00CF72FB" w:rsidRPr="00D17A82" w:rsidDel="00CF72FB">
        <w:t xml:space="preserve"> </w:t>
      </w:r>
    </w:p>
    <w:p w:rsidR="006A6BAE" w:rsidRPr="00D17A82" w:rsidRDefault="00315625" w:rsidP="006F0DFD">
      <w:pPr>
        <w:pStyle w:val="ListParagraph"/>
        <w:widowControl/>
        <w:numPr>
          <w:ilvl w:val="1"/>
          <w:numId w:val="2"/>
        </w:numPr>
      </w:pPr>
      <w:r w:rsidRPr="00D17A82">
        <w:t xml:space="preserve">The ESC considered that there was the potential for this restriction to be interpreted more broadly than intended, such that </w:t>
      </w:r>
      <w:proofErr w:type="spellStart"/>
      <w:r w:rsidRPr="00D17A82">
        <w:t>lenalidomide</w:t>
      </w:r>
      <w:proofErr w:type="spellEnd"/>
      <w:r w:rsidRPr="00D17A82">
        <w:t xml:space="preserve"> maintenance could be </w:t>
      </w:r>
      <w:r w:rsidR="00472884">
        <w:t xml:space="preserve">used at any time after an ASCT. </w:t>
      </w:r>
      <w:r w:rsidR="00332B2E">
        <w:t xml:space="preserve">While accepting that there was some risk of this, the PBAC considered that it was unlikely to be of sufficient magnitude to require the restriction to specify a time period cut off for commencement of maintenance. </w:t>
      </w:r>
      <w:r w:rsidR="00A25D5B">
        <w:t>The PBAC noted</w:t>
      </w:r>
      <w:r w:rsidR="00402D60" w:rsidRPr="00D17A82">
        <w:t xml:space="preserve"> that some patients may receive </w:t>
      </w:r>
      <w:r w:rsidR="0043548C">
        <w:t>tandem transplants and</w:t>
      </w:r>
      <w:r w:rsidR="00A25D5B">
        <w:t xml:space="preserve"> considered that </w:t>
      </w:r>
      <w:r w:rsidR="006A6BAE" w:rsidRPr="00D17A82">
        <w:t xml:space="preserve">the restriction should not preclude these patients from receiving maintenance treatment. </w:t>
      </w:r>
    </w:p>
    <w:p w:rsidR="006B59E7" w:rsidRDefault="0043548C" w:rsidP="006F0DFD">
      <w:pPr>
        <w:pStyle w:val="ListParagraph"/>
        <w:widowControl/>
        <w:numPr>
          <w:ilvl w:val="1"/>
          <w:numId w:val="2"/>
        </w:numPr>
      </w:pPr>
      <w:r>
        <w:t>The PBA</w:t>
      </w:r>
      <w:r w:rsidR="009109E5" w:rsidRPr="00D17A82">
        <w:t>C considered that it may be more appropriate to provide three months treatment</w:t>
      </w:r>
      <w:r w:rsidR="006A6BAE" w:rsidRPr="00D17A82">
        <w:t xml:space="preserve"> per prescription</w:t>
      </w:r>
      <w:r w:rsidR="009109E5" w:rsidRPr="00D17A82">
        <w:t>, instead of the requested six</w:t>
      </w:r>
      <w:r w:rsidR="006A6BAE" w:rsidRPr="00D17A82">
        <w:t xml:space="preserve">, as patients receiving </w:t>
      </w:r>
      <w:proofErr w:type="spellStart"/>
      <w:r w:rsidR="006A6BAE" w:rsidRPr="00D17A82">
        <w:t>lenalidomide</w:t>
      </w:r>
      <w:proofErr w:type="spellEnd"/>
      <w:r w:rsidR="006A6BAE" w:rsidRPr="00D17A82">
        <w:t xml:space="preserve"> maintenance treatment should be regularly reviewed</w:t>
      </w:r>
      <w:r w:rsidR="00D70E2E" w:rsidRPr="00D17A82">
        <w:t xml:space="preserve"> by a medical practitioner</w:t>
      </w:r>
      <w:r w:rsidR="009109E5" w:rsidRPr="00D17A82">
        <w:t>.</w:t>
      </w:r>
      <w:r w:rsidR="008A6465">
        <w:t xml:space="preserve"> The PBAC also considered that, consistent with the </w:t>
      </w:r>
      <w:proofErr w:type="spellStart"/>
      <w:r w:rsidR="008A6465">
        <w:t>lenalidomide</w:t>
      </w:r>
      <w:proofErr w:type="spellEnd"/>
      <w:r w:rsidR="008A6465">
        <w:t xml:space="preserve"> restriction for the treatment of relapsed or refractory multiple myeloma, it may be reasonable for continuing scripts to be telephone authority.</w:t>
      </w:r>
    </w:p>
    <w:p w:rsidR="006B59E7" w:rsidRPr="006B59E7" w:rsidRDefault="006B59E7" w:rsidP="006B59E7">
      <w:pPr>
        <w:pStyle w:val="ListParagraph"/>
        <w:widowControl/>
      </w:pPr>
      <w:r>
        <w:t xml:space="preserve"> </w:t>
      </w:r>
      <w:r w:rsidRPr="00B24D1F">
        <w:rPr>
          <w:rFonts w:asciiTheme="minorHAnsi" w:hAnsiTheme="minorHAnsi"/>
          <w:i/>
        </w:rPr>
        <w:t>For more detail on PBAC’s view, see section 7 PBAC outcome.</w:t>
      </w:r>
      <w:r>
        <w:tab/>
      </w:r>
      <w:r>
        <w:br/>
      </w:r>
    </w:p>
    <w:p w:rsidR="00994C55" w:rsidRDefault="00994C55">
      <w:pPr>
        <w:widowControl/>
        <w:jc w:val="left"/>
        <w:rPr>
          <w:b/>
          <w:sz w:val="32"/>
        </w:rPr>
      </w:pPr>
      <w:bookmarkStart w:id="2" w:name="_Toc503271372"/>
      <w:r>
        <w:br w:type="page"/>
      </w:r>
    </w:p>
    <w:p w:rsidR="00A51754" w:rsidRDefault="00A51754" w:rsidP="00CB123B">
      <w:pPr>
        <w:pStyle w:val="PBACHeading1"/>
        <w:numPr>
          <w:ilvl w:val="0"/>
          <w:numId w:val="2"/>
        </w:numPr>
        <w:outlineLvl w:val="0"/>
      </w:pPr>
      <w:r w:rsidRPr="00CE0BE9">
        <w:lastRenderedPageBreak/>
        <w:t>Background</w:t>
      </w:r>
      <w:bookmarkEnd w:id="2"/>
    </w:p>
    <w:p w:rsidR="006B59E7" w:rsidRPr="00914AC6" w:rsidRDefault="006B59E7" w:rsidP="006B59E7">
      <w:pPr>
        <w:pStyle w:val="PBACHeading1"/>
        <w:ind w:left="720"/>
        <w:rPr>
          <w:sz w:val="20"/>
          <w:szCs w:val="20"/>
        </w:rPr>
      </w:pPr>
    </w:p>
    <w:p w:rsidR="00914AC6" w:rsidRPr="00D17A82" w:rsidRDefault="00A51754" w:rsidP="00A51754">
      <w:pPr>
        <w:rPr>
          <w:i/>
        </w:rPr>
      </w:pPr>
      <w:r w:rsidRPr="00D17A82">
        <w:rPr>
          <w:b/>
          <w:i/>
          <w:sz w:val="28"/>
          <w:szCs w:val="28"/>
        </w:rPr>
        <w:t>Registration status</w:t>
      </w:r>
    </w:p>
    <w:p w:rsidR="00A51754" w:rsidRPr="00D17A82" w:rsidRDefault="00CE0BE9" w:rsidP="006F0DFD">
      <w:pPr>
        <w:pStyle w:val="ListParagraph"/>
        <w:widowControl/>
        <w:numPr>
          <w:ilvl w:val="1"/>
          <w:numId w:val="2"/>
        </w:numPr>
      </w:pPr>
      <w:r w:rsidRPr="00B24D1F">
        <w:rPr>
          <w:rFonts w:asciiTheme="minorHAnsi" w:hAnsiTheme="minorHAnsi"/>
          <w:bCs/>
        </w:rPr>
        <w:t xml:space="preserve">TGA status at time of </w:t>
      </w:r>
      <w:r w:rsidR="003A238A" w:rsidRPr="00B24D1F">
        <w:rPr>
          <w:rFonts w:asciiTheme="minorHAnsi" w:hAnsiTheme="minorHAnsi"/>
          <w:bCs/>
        </w:rPr>
        <w:t>PBAC consideration</w:t>
      </w:r>
      <w:r w:rsidRPr="00B24D1F">
        <w:rPr>
          <w:rFonts w:asciiTheme="minorHAnsi" w:hAnsiTheme="minorHAnsi"/>
          <w:bCs/>
        </w:rPr>
        <w:t xml:space="preserve">: </w:t>
      </w:r>
      <w:r w:rsidR="00A51754" w:rsidRPr="00B24D1F">
        <w:t>Th</w:t>
      </w:r>
      <w:r w:rsidR="00A51754" w:rsidRPr="00D17A82">
        <w:t xml:space="preserve">e submission was made under the TGA/PBAC Parallel Process. At the time of </w:t>
      </w:r>
      <w:r w:rsidR="003A238A">
        <w:t>PBA</w:t>
      </w:r>
      <w:r w:rsidR="00DC16C6" w:rsidRPr="00D17A82">
        <w:t xml:space="preserve">C consideration, </w:t>
      </w:r>
      <w:proofErr w:type="spellStart"/>
      <w:r w:rsidR="00DC16C6" w:rsidRPr="00D17A82">
        <w:t>lenalidomide</w:t>
      </w:r>
      <w:proofErr w:type="spellEnd"/>
      <w:r w:rsidR="00DC16C6" w:rsidRPr="00D17A82">
        <w:t xml:space="preserve"> was TGA registered </w:t>
      </w:r>
      <w:r w:rsidR="00CF72FB" w:rsidRPr="00D17A82">
        <w:t xml:space="preserve">“For the maintenance treatment of patients with newly diagnosed multiple </w:t>
      </w:r>
      <w:proofErr w:type="gramStart"/>
      <w:r w:rsidR="00CF72FB" w:rsidRPr="00D17A82">
        <w:t>myeloma</w:t>
      </w:r>
      <w:proofErr w:type="gramEnd"/>
      <w:r w:rsidR="00CF72FB" w:rsidRPr="00D17A82">
        <w:t xml:space="preserve"> who have undergone autologous stem cell transplantation.”</w:t>
      </w:r>
    </w:p>
    <w:p w:rsidR="006B59E7" w:rsidRPr="00D17A82" w:rsidRDefault="00F93EDD" w:rsidP="007F51BC">
      <w:pPr>
        <w:pStyle w:val="ListParagraph"/>
        <w:widowControl/>
        <w:numPr>
          <w:ilvl w:val="1"/>
          <w:numId w:val="2"/>
        </w:numPr>
      </w:pPr>
      <w:r w:rsidRPr="00D17A82">
        <w:t xml:space="preserve">The </w:t>
      </w:r>
      <w:r w:rsidR="00257489">
        <w:t xml:space="preserve">recommended </w:t>
      </w:r>
      <w:r w:rsidRPr="00D17A82">
        <w:t xml:space="preserve">dosing regimen for </w:t>
      </w:r>
      <w:proofErr w:type="spellStart"/>
      <w:r w:rsidRPr="00D17A82">
        <w:t>lenalidomide</w:t>
      </w:r>
      <w:proofErr w:type="spellEnd"/>
      <w:r w:rsidRPr="00D17A82">
        <w:t xml:space="preserve"> for use in the maintenance setting (NDMM post-ASCT) is 10 mg orally once daily, increasing to 15 mg/day after 3 months of therapy if tolerated</w:t>
      </w:r>
      <w:r w:rsidR="007F51BC">
        <w:t>, with patients continuing therapy until disease progression or intolerance.</w:t>
      </w:r>
      <w:r w:rsidR="00257489">
        <w:t xml:space="preserve"> The PBAC noted </w:t>
      </w:r>
      <w:r w:rsidR="002741BF">
        <w:t>lower doses</w:t>
      </w:r>
      <w:r w:rsidR="007804D4">
        <w:t xml:space="preserve"> were used in the clinical trials presented in the submission </w:t>
      </w:r>
      <w:r w:rsidR="00257489">
        <w:t>(</w:t>
      </w:r>
      <w:r w:rsidR="007804D4">
        <w:t>e</w:t>
      </w:r>
      <w:r w:rsidR="00F974DE">
        <w:t>.</w:t>
      </w:r>
      <w:r w:rsidR="007804D4">
        <w:t>g</w:t>
      </w:r>
      <w:r w:rsidR="00F974DE">
        <w:t>.</w:t>
      </w:r>
      <w:r w:rsidR="007804D4">
        <w:t xml:space="preserve"> </w:t>
      </w:r>
      <w:r w:rsidR="00257489">
        <w:t xml:space="preserve">10 mg/day for 21/28 days) </w:t>
      </w:r>
      <w:r w:rsidR="002741BF">
        <w:t xml:space="preserve">and these </w:t>
      </w:r>
      <w:r w:rsidR="00257489">
        <w:t xml:space="preserve">may be </w:t>
      </w:r>
      <w:r w:rsidR="007606D0">
        <w:t xml:space="preserve">clinically </w:t>
      </w:r>
      <w:r w:rsidR="00257489">
        <w:t>appropriate and used in clinical practice.</w:t>
      </w:r>
      <w:r w:rsidRPr="00D17A82">
        <w:t xml:space="preserve"> </w:t>
      </w:r>
    </w:p>
    <w:p w:rsidR="006B59E7" w:rsidRPr="006B59E7" w:rsidRDefault="006B59E7" w:rsidP="006B59E7">
      <w:pPr>
        <w:pStyle w:val="PBACHeading1"/>
        <w:ind w:firstLine="720"/>
        <w:rPr>
          <w:b w:val="0"/>
          <w:i/>
          <w:sz w:val="24"/>
          <w:szCs w:val="24"/>
        </w:rPr>
      </w:pPr>
      <w:r w:rsidRPr="00B24D1F">
        <w:rPr>
          <w:b w:val="0"/>
          <w:i/>
          <w:sz w:val="24"/>
          <w:szCs w:val="24"/>
        </w:rPr>
        <w:t>For more detail on PBAC’s view, see section 7 PBAC outcome.</w:t>
      </w:r>
    </w:p>
    <w:p w:rsidR="00F93EDD" w:rsidRPr="00D17A82" w:rsidRDefault="00F93EDD" w:rsidP="006B59E7">
      <w:pPr>
        <w:ind w:left="720"/>
      </w:pPr>
    </w:p>
    <w:p w:rsidR="00A51754" w:rsidRDefault="00A51754" w:rsidP="00CB123B">
      <w:pPr>
        <w:pStyle w:val="PBACHeading1"/>
        <w:numPr>
          <w:ilvl w:val="0"/>
          <w:numId w:val="2"/>
        </w:numPr>
        <w:outlineLvl w:val="0"/>
      </w:pPr>
      <w:bookmarkStart w:id="3" w:name="_Toc503271373"/>
      <w:r w:rsidRPr="00D17A82">
        <w:t>Population and disease</w:t>
      </w:r>
      <w:bookmarkEnd w:id="3"/>
    </w:p>
    <w:p w:rsidR="00914AC6" w:rsidRPr="00914AC6" w:rsidRDefault="00914AC6" w:rsidP="00914AC6">
      <w:pPr>
        <w:pStyle w:val="PBACHeading1"/>
        <w:ind w:left="720"/>
        <w:outlineLvl w:val="0"/>
        <w:rPr>
          <w:sz w:val="24"/>
          <w:szCs w:val="24"/>
        </w:rPr>
      </w:pPr>
    </w:p>
    <w:p w:rsidR="00A51754" w:rsidRPr="00D17A82" w:rsidRDefault="00A51754" w:rsidP="006F0DFD">
      <w:pPr>
        <w:pStyle w:val="ListParagraph"/>
        <w:widowControl/>
        <w:numPr>
          <w:ilvl w:val="1"/>
          <w:numId w:val="2"/>
        </w:numPr>
      </w:pPr>
      <w:r w:rsidRPr="00D17A82">
        <w:t>Multiple myeloma (MM) is a malignant plasma cell proliferation. The uncontrolled growth of myeloma cells can lead to skeletal destruction, bone marrow failure, increased plasma volume and viscosity, suppression of normal immunoglobulin production and renal insufficiency. In the symptomatic phase, the most common symptom is bone pain. MM is characterised by periods of remission post-treatment which are followed by relapse.</w:t>
      </w:r>
    </w:p>
    <w:p w:rsidR="00A51754" w:rsidRPr="00D17A82" w:rsidRDefault="00A51754" w:rsidP="006F0DFD">
      <w:pPr>
        <w:pStyle w:val="ListParagraph"/>
        <w:widowControl/>
        <w:numPr>
          <w:ilvl w:val="1"/>
          <w:numId w:val="2"/>
        </w:numPr>
      </w:pPr>
      <w:r w:rsidRPr="00D17A82">
        <w:t xml:space="preserve">The PBS listing </w:t>
      </w:r>
      <w:r w:rsidR="00F206B5" w:rsidRPr="00D17A82">
        <w:t>for</w:t>
      </w:r>
      <w:r w:rsidRPr="00D17A82">
        <w:t xml:space="preserve"> </w:t>
      </w:r>
      <w:proofErr w:type="spellStart"/>
      <w:r w:rsidRPr="00D17A82">
        <w:t>lenalidomide</w:t>
      </w:r>
      <w:proofErr w:type="spellEnd"/>
      <w:r w:rsidR="00A6661D" w:rsidRPr="00D17A82">
        <w:t xml:space="preserve"> </w:t>
      </w:r>
      <w:r w:rsidR="002B2A3F" w:rsidRPr="00D17A82">
        <w:t xml:space="preserve">proposed </w:t>
      </w:r>
      <w:r w:rsidR="00A6661D" w:rsidRPr="00D17A82">
        <w:t>in this submission</w:t>
      </w:r>
      <w:r w:rsidRPr="00D17A82">
        <w:t xml:space="preserve"> is as post</w:t>
      </w:r>
      <w:r w:rsidR="00F206B5" w:rsidRPr="00D17A82">
        <w:noBreakHyphen/>
      </w:r>
      <w:r w:rsidRPr="00D17A82">
        <w:t xml:space="preserve">ASCT maintenance treatment for patients with NDMM. </w:t>
      </w:r>
    </w:p>
    <w:p w:rsidR="006B59E7" w:rsidRPr="00D17A82" w:rsidRDefault="00961566" w:rsidP="00B24D1F">
      <w:pPr>
        <w:pStyle w:val="ListParagraph"/>
        <w:widowControl/>
        <w:numPr>
          <w:ilvl w:val="1"/>
          <w:numId w:val="2"/>
        </w:numPr>
      </w:pPr>
      <w:proofErr w:type="spellStart"/>
      <w:r w:rsidRPr="00D17A82">
        <w:t>Lenalidomide</w:t>
      </w:r>
      <w:proofErr w:type="spellEnd"/>
      <w:r w:rsidRPr="00D17A82">
        <w:t xml:space="preserve"> is an immunomodulatory drug (</w:t>
      </w:r>
      <w:proofErr w:type="spellStart"/>
      <w:r w:rsidRPr="00D17A82">
        <w:t>IMiD</w:t>
      </w:r>
      <w:proofErr w:type="spellEnd"/>
      <w:r w:rsidRPr="00D17A82">
        <w:t xml:space="preserve">). </w:t>
      </w:r>
      <w:proofErr w:type="spellStart"/>
      <w:r w:rsidRPr="00D17A82">
        <w:t>IMiDs</w:t>
      </w:r>
      <w:proofErr w:type="spellEnd"/>
      <w:r w:rsidRPr="00D17A82">
        <w:t xml:space="preserve"> have both immunomodulatory and anti-angiogenic properties which could confer anti-tumour and anti-metastatic effects.</w:t>
      </w:r>
      <w:r w:rsidR="006B59E7">
        <w:t xml:space="preserve"> </w:t>
      </w:r>
    </w:p>
    <w:p w:rsidR="00A51754" w:rsidRDefault="00A51754" w:rsidP="00CB123B">
      <w:pPr>
        <w:pStyle w:val="PBACHeading1"/>
        <w:numPr>
          <w:ilvl w:val="0"/>
          <w:numId w:val="2"/>
        </w:numPr>
        <w:outlineLvl w:val="0"/>
      </w:pPr>
      <w:bookmarkStart w:id="4" w:name="_Toc503271374"/>
      <w:r w:rsidRPr="00D17A82">
        <w:t>Comparator</w:t>
      </w:r>
      <w:bookmarkEnd w:id="4"/>
    </w:p>
    <w:p w:rsidR="00914AC6" w:rsidRPr="00914AC6" w:rsidRDefault="00914AC6" w:rsidP="00914AC6">
      <w:pPr>
        <w:pStyle w:val="PBACHeading1"/>
        <w:ind w:left="720"/>
        <w:outlineLvl w:val="0"/>
        <w:rPr>
          <w:sz w:val="24"/>
          <w:szCs w:val="24"/>
        </w:rPr>
      </w:pPr>
    </w:p>
    <w:p w:rsidR="00A51754" w:rsidRPr="00D17A82" w:rsidRDefault="00A51754" w:rsidP="006F0DFD">
      <w:pPr>
        <w:pStyle w:val="ListParagraph"/>
        <w:widowControl/>
        <w:numPr>
          <w:ilvl w:val="1"/>
          <w:numId w:val="2"/>
        </w:numPr>
      </w:pPr>
      <w:r w:rsidRPr="00D17A82">
        <w:rPr>
          <w:rFonts w:cs="Calibri"/>
          <w:snapToGrid/>
          <w:szCs w:val="24"/>
          <w:lang w:val="en-US" w:eastAsia="en-AU"/>
        </w:rPr>
        <w:t xml:space="preserve">The submission nominated </w:t>
      </w:r>
      <w:r w:rsidR="009A65BF">
        <w:rPr>
          <w:rFonts w:cs="Calibri"/>
          <w:snapToGrid/>
          <w:szCs w:val="24"/>
          <w:lang w:val="en-US" w:eastAsia="en-AU"/>
        </w:rPr>
        <w:t>best supportive care (</w:t>
      </w:r>
      <w:r w:rsidRPr="00D17A82">
        <w:rPr>
          <w:rFonts w:cs="Calibri"/>
          <w:snapToGrid/>
          <w:szCs w:val="24"/>
          <w:lang w:val="en-US" w:eastAsia="en-AU"/>
        </w:rPr>
        <w:t>BSC</w:t>
      </w:r>
      <w:r w:rsidR="009A65BF">
        <w:rPr>
          <w:rFonts w:cs="Calibri"/>
          <w:snapToGrid/>
          <w:szCs w:val="24"/>
          <w:lang w:val="en-US" w:eastAsia="en-AU"/>
        </w:rPr>
        <w:t>)</w:t>
      </w:r>
      <w:r w:rsidRPr="00D17A82">
        <w:rPr>
          <w:rFonts w:cs="Calibri"/>
          <w:snapToGrid/>
          <w:szCs w:val="24"/>
          <w:lang w:val="en-US" w:eastAsia="en-AU"/>
        </w:rPr>
        <w:t xml:space="preserve"> as the main comparator which is defined as ‘no maintenance therapy’ or observation. The main </w:t>
      </w:r>
      <w:r w:rsidR="004D10E8" w:rsidRPr="00D17A82">
        <w:rPr>
          <w:rFonts w:cs="Calibri"/>
          <w:snapToGrid/>
          <w:szCs w:val="24"/>
          <w:lang w:val="en-US" w:eastAsia="en-AU"/>
        </w:rPr>
        <w:t>justification</w:t>
      </w:r>
      <w:r w:rsidR="002603B1" w:rsidRPr="00D17A82">
        <w:rPr>
          <w:rFonts w:cs="Calibri"/>
          <w:snapToGrid/>
          <w:szCs w:val="24"/>
          <w:lang w:val="en-US" w:eastAsia="en-AU"/>
        </w:rPr>
        <w:t xml:space="preserve"> </w:t>
      </w:r>
      <w:r w:rsidR="00E3609B" w:rsidRPr="00D17A82">
        <w:rPr>
          <w:rFonts w:cs="Calibri"/>
          <w:snapToGrid/>
          <w:szCs w:val="24"/>
          <w:lang w:val="en-US" w:eastAsia="en-AU"/>
        </w:rPr>
        <w:t xml:space="preserve">was </w:t>
      </w:r>
      <w:r w:rsidRPr="00D17A82">
        <w:rPr>
          <w:rFonts w:cs="Calibri"/>
          <w:snapToGrid/>
          <w:szCs w:val="24"/>
          <w:lang w:val="en-US" w:eastAsia="en-AU"/>
        </w:rPr>
        <w:t xml:space="preserve">that there are no medicines approved by the TGA for maintenance therapy for NDMM </w:t>
      </w:r>
      <w:r w:rsidR="00961566" w:rsidRPr="00D17A82">
        <w:rPr>
          <w:rFonts w:cs="Calibri"/>
          <w:snapToGrid/>
          <w:szCs w:val="24"/>
          <w:lang w:val="en-US" w:eastAsia="en-AU"/>
        </w:rPr>
        <w:t>post</w:t>
      </w:r>
      <w:r w:rsidR="00961566" w:rsidRPr="00D17A82">
        <w:rPr>
          <w:rFonts w:cs="Calibri"/>
          <w:snapToGrid/>
          <w:szCs w:val="24"/>
          <w:lang w:val="en-US" w:eastAsia="en-AU"/>
        </w:rPr>
        <w:noBreakHyphen/>
      </w:r>
      <w:r w:rsidRPr="00D17A82">
        <w:rPr>
          <w:rFonts w:cs="Calibri"/>
          <w:snapToGrid/>
          <w:szCs w:val="24"/>
          <w:lang w:val="en-US" w:eastAsia="en-AU"/>
        </w:rPr>
        <w:t xml:space="preserve">ASCT. </w:t>
      </w:r>
    </w:p>
    <w:p w:rsidR="00A51754" w:rsidRPr="00D17A82" w:rsidRDefault="00A51754" w:rsidP="006F0DFD">
      <w:pPr>
        <w:pStyle w:val="ListParagraph"/>
        <w:widowControl/>
        <w:numPr>
          <w:ilvl w:val="1"/>
          <w:numId w:val="2"/>
        </w:numPr>
      </w:pPr>
      <w:r w:rsidRPr="00D17A82">
        <w:t xml:space="preserve">The submission nominated thalidomide as a secondary comparator as thalidomide is used in Australia, off-label, in the maintenance setting. Thalidomide is </w:t>
      </w:r>
      <w:r w:rsidR="00A6661D" w:rsidRPr="00D17A82">
        <w:t xml:space="preserve">also </w:t>
      </w:r>
      <w:r w:rsidRPr="00D17A82">
        <w:t xml:space="preserve">an </w:t>
      </w:r>
      <w:proofErr w:type="spellStart"/>
      <w:r w:rsidRPr="00D17A82">
        <w:t>IMiD</w:t>
      </w:r>
      <w:proofErr w:type="spellEnd"/>
      <w:r w:rsidRPr="00D17A82">
        <w:t xml:space="preserve">. The submission argued that thalidomide </w:t>
      </w:r>
      <w:r w:rsidR="00E3609B" w:rsidRPr="00D17A82">
        <w:t>“</w:t>
      </w:r>
      <w:r w:rsidRPr="00D17A82">
        <w:t xml:space="preserve">is not considered </w:t>
      </w:r>
      <w:r w:rsidR="00E3609B" w:rsidRPr="00D17A82">
        <w:t xml:space="preserve">to be a </w:t>
      </w:r>
      <w:r w:rsidRPr="00D17A82">
        <w:t>true ‘maintenance therapy’</w:t>
      </w:r>
      <w:r w:rsidR="00E3609B" w:rsidRPr="00D17A82">
        <w:t>” (p.24 of the submission)</w:t>
      </w:r>
      <w:r w:rsidRPr="00D17A82">
        <w:t xml:space="preserve"> </w:t>
      </w:r>
      <w:r w:rsidR="00F43560" w:rsidRPr="00D17A82">
        <w:t xml:space="preserve">because </w:t>
      </w:r>
      <w:r w:rsidRPr="00D17A82">
        <w:t>its toxicity and lack of tolerability</w:t>
      </w:r>
      <w:r w:rsidR="00AE3D4E" w:rsidRPr="00D17A82">
        <w:t xml:space="preserve"> as long</w:t>
      </w:r>
      <w:r w:rsidR="00AE3D4E" w:rsidRPr="00D17A82">
        <w:noBreakHyphen/>
        <w:t xml:space="preserve">term therapy </w:t>
      </w:r>
      <w:r w:rsidR="00F43560" w:rsidRPr="00D17A82">
        <w:t xml:space="preserve">have resulted in </w:t>
      </w:r>
      <w:r w:rsidRPr="00D17A82">
        <w:t xml:space="preserve">treatment </w:t>
      </w:r>
      <w:r w:rsidR="00F43560" w:rsidRPr="00D17A82">
        <w:t xml:space="preserve">being </w:t>
      </w:r>
      <w:r w:rsidR="00B24D1F">
        <w:t xml:space="preserve">capped at </w:t>
      </w:r>
      <w:r w:rsidR="00B24D1F">
        <w:lastRenderedPageBreak/>
        <w:t>12 </w:t>
      </w:r>
      <w:r w:rsidRPr="00D17A82">
        <w:t xml:space="preserve">months. </w:t>
      </w:r>
      <w:r w:rsidR="009A65BF">
        <w:t>However, the PBAC</w:t>
      </w:r>
      <w:r w:rsidR="00B24D1F">
        <w:t xml:space="preserve"> noted that </w:t>
      </w:r>
      <w:r w:rsidR="009E207B" w:rsidRPr="00D17A82">
        <w:t xml:space="preserve">Australian clinical guidelines </w:t>
      </w:r>
      <w:r w:rsidR="004D10E8" w:rsidRPr="00D17A82">
        <w:t>(</w:t>
      </w:r>
      <w:r w:rsidR="009E207B" w:rsidRPr="00D17A82">
        <w:t xml:space="preserve">MSAG to the Myeloma Foundation of Australia Guidelines 2017) </w:t>
      </w:r>
      <w:r w:rsidR="00F43560" w:rsidRPr="00D17A82">
        <w:t>recommend</w:t>
      </w:r>
      <w:r w:rsidR="009E207B" w:rsidRPr="00D17A82">
        <w:t xml:space="preserve"> the use of thalidomide (100 mg daily with or without corticosteroids) as maintenance therapy for approximately 12 months. </w:t>
      </w:r>
    </w:p>
    <w:p w:rsidR="006A48CE" w:rsidRPr="00D17A82" w:rsidRDefault="00A51754" w:rsidP="006F0DFD">
      <w:pPr>
        <w:pStyle w:val="ListParagraph"/>
        <w:widowControl/>
        <w:numPr>
          <w:ilvl w:val="1"/>
          <w:numId w:val="2"/>
        </w:numPr>
        <w:rPr>
          <w:rFonts w:cs="Calibri"/>
          <w:snapToGrid/>
          <w:szCs w:val="24"/>
          <w:lang w:val="en-US" w:eastAsia="en-AU"/>
        </w:rPr>
      </w:pPr>
      <w:r w:rsidRPr="00D17A82">
        <w:rPr>
          <w:rFonts w:cs="Calibri"/>
          <w:snapToGrid/>
          <w:szCs w:val="24"/>
          <w:lang w:val="en-US" w:eastAsia="en-AU"/>
        </w:rPr>
        <w:t xml:space="preserve">Data presented in the submission from the Myeloma and Related Diseases Registry (MRDR) </w:t>
      </w:r>
      <w:r w:rsidR="00DC16C6" w:rsidRPr="00D17A82">
        <w:rPr>
          <w:rFonts w:cs="Calibri"/>
          <w:snapToGrid/>
          <w:szCs w:val="24"/>
          <w:lang w:val="en-US" w:eastAsia="en-AU"/>
        </w:rPr>
        <w:t xml:space="preserve">and updated in the Pre-Sub-Committee Response (PSCR) </w:t>
      </w:r>
      <w:r w:rsidRPr="00D17A82">
        <w:rPr>
          <w:rFonts w:cs="Calibri"/>
          <w:snapToGrid/>
          <w:szCs w:val="24"/>
          <w:lang w:val="en-US" w:eastAsia="en-AU"/>
        </w:rPr>
        <w:t>indicate</w:t>
      </w:r>
      <w:r w:rsidR="00EE4748" w:rsidRPr="00D17A82">
        <w:rPr>
          <w:rFonts w:cs="Calibri"/>
          <w:snapToGrid/>
          <w:szCs w:val="24"/>
          <w:lang w:val="en-US" w:eastAsia="en-AU"/>
        </w:rPr>
        <w:t>d</w:t>
      </w:r>
      <w:r w:rsidRPr="00D17A82">
        <w:rPr>
          <w:rFonts w:cs="Calibri"/>
          <w:snapToGrid/>
          <w:szCs w:val="24"/>
          <w:lang w:val="en-US" w:eastAsia="en-AU"/>
        </w:rPr>
        <w:t xml:space="preserve"> that approximately </w:t>
      </w:r>
      <w:r w:rsidR="003F06F0">
        <w:rPr>
          <w:rFonts w:cs="Calibri"/>
          <w:noProof/>
          <w:snapToGrid/>
          <w:color w:val="000000"/>
          <w:szCs w:val="24"/>
          <w:highlight w:val="black"/>
          <w:lang w:val="en-US" w:eastAsia="en-AU"/>
        </w:rPr>
        <w:t>''''''''</w:t>
      </w:r>
      <w:r w:rsidR="004C7296" w:rsidRPr="00D17A82">
        <w:rPr>
          <w:rFonts w:cs="Calibri"/>
          <w:snapToGrid/>
          <w:szCs w:val="24"/>
          <w:lang w:val="en-US" w:eastAsia="en-AU"/>
        </w:rPr>
        <w:t>%</w:t>
      </w:r>
      <w:r w:rsidRPr="00D17A82">
        <w:rPr>
          <w:rFonts w:cs="Calibri"/>
          <w:snapToGrid/>
          <w:szCs w:val="24"/>
          <w:lang w:val="en-US" w:eastAsia="en-AU"/>
        </w:rPr>
        <w:t xml:space="preserve"> of MM patients who undergo an ASCT </w:t>
      </w:r>
      <w:proofErr w:type="gramStart"/>
      <w:r w:rsidR="00F00684" w:rsidRPr="00D17A82">
        <w:rPr>
          <w:rFonts w:cs="Calibri"/>
          <w:snapToGrid/>
          <w:szCs w:val="24"/>
          <w:lang w:val="en-US" w:eastAsia="en-AU"/>
        </w:rPr>
        <w:t>do</w:t>
      </w:r>
      <w:proofErr w:type="gramEnd"/>
      <w:r w:rsidR="00F00684" w:rsidRPr="00D17A82">
        <w:rPr>
          <w:rFonts w:cs="Calibri"/>
          <w:snapToGrid/>
          <w:szCs w:val="24"/>
          <w:lang w:val="en-US" w:eastAsia="en-AU"/>
        </w:rPr>
        <w:t xml:space="preserve"> </w:t>
      </w:r>
      <w:r w:rsidRPr="00D17A82">
        <w:rPr>
          <w:rFonts w:cs="Calibri"/>
          <w:snapToGrid/>
          <w:szCs w:val="24"/>
          <w:lang w:val="en-US" w:eastAsia="en-AU"/>
        </w:rPr>
        <w:t xml:space="preserve">not </w:t>
      </w:r>
      <w:r w:rsidR="00F00684" w:rsidRPr="00D17A82">
        <w:rPr>
          <w:rFonts w:cs="Calibri"/>
          <w:snapToGrid/>
          <w:szCs w:val="24"/>
          <w:lang w:val="en-US" w:eastAsia="en-AU"/>
        </w:rPr>
        <w:t xml:space="preserve">receive </w:t>
      </w:r>
      <w:r w:rsidRPr="00D17A82">
        <w:rPr>
          <w:rFonts w:cs="Calibri"/>
          <w:snapToGrid/>
          <w:szCs w:val="24"/>
          <w:lang w:val="en-US" w:eastAsia="en-AU"/>
        </w:rPr>
        <w:t>any active maintenance therapy. Of the remainder (</w:t>
      </w:r>
      <w:r w:rsidR="003F06F0">
        <w:rPr>
          <w:rFonts w:cs="Calibri"/>
          <w:noProof/>
          <w:snapToGrid/>
          <w:color w:val="000000"/>
          <w:szCs w:val="24"/>
          <w:highlight w:val="black"/>
          <w:lang w:val="en-US" w:eastAsia="en-AU"/>
        </w:rPr>
        <w:t>'''''''''</w:t>
      </w:r>
      <w:r w:rsidRPr="00D17A82">
        <w:rPr>
          <w:rFonts w:cs="Calibri"/>
          <w:snapToGrid/>
          <w:szCs w:val="24"/>
          <w:lang w:val="en-US" w:eastAsia="en-AU"/>
        </w:rPr>
        <w:t xml:space="preserve">%), </w:t>
      </w:r>
      <w:r w:rsidR="003F06F0">
        <w:rPr>
          <w:rFonts w:cs="Calibri"/>
          <w:noProof/>
          <w:snapToGrid/>
          <w:color w:val="000000"/>
          <w:szCs w:val="24"/>
          <w:highlight w:val="black"/>
          <w:lang w:val="en-US" w:eastAsia="en-AU"/>
        </w:rPr>
        <w:t>'''''''''</w:t>
      </w:r>
      <w:r w:rsidRPr="00D17A82">
        <w:rPr>
          <w:rFonts w:cs="Calibri"/>
          <w:snapToGrid/>
          <w:szCs w:val="24"/>
          <w:lang w:val="en-US" w:eastAsia="en-AU"/>
        </w:rPr>
        <w:t xml:space="preserve">% </w:t>
      </w:r>
      <w:r w:rsidR="00E62BDB" w:rsidRPr="00D17A82">
        <w:rPr>
          <w:rFonts w:cs="Calibri"/>
          <w:snapToGrid/>
          <w:szCs w:val="24"/>
          <w:lang w:val="en-US" w:eastAsia="en-AU"/>
        </w:rPr>
        <w:t>receive</w:t>
      </w:r>
      <w:r w:rsidR="00F00684" w:rsidRPr="00D17A82">
        <w:rPr>
          <w:rFonts w:cs="Calibri"/>
          <w:snapToGrid/>
          <w:szCs w:val="24"/>
          <w:lang w:val="en-US" w:eastAsia="en-AU"/>
        </w:rPr>
        <w:t xml:space="preserve"> </w:t>
      </w:r>
      <w:r w:rsidRPr="00D17A82">
        <w:rPr>
          <w:rFonts w:cs="Calibri"/>
          <w:snapToGrid/>
          <w:szCs w:val="24"/>
          <w:lang w:val="en-US" w:eastAsia="en-AU"/>
        </w:rPr>
        <w:t>maintenance therapy with thalidomide</w:t>
      </w:r>
      <w:r w:rsidR="004C7296" w:rsidRPr="00D17A82">
        <w:rPr>
          <w:rFonts w:cs="Calibri"/>
          <w:snapToGrid/>
          <w:szCs w:val="24"/>
          <w:lang w:val="en-US" w:eastAsia="en-AU"/>
        </w:rPr>
        <w:t xml:space="preserve"> (</w:t>
      </w:r>
      <w:r w:rsidR="003F06F0">
        <w:rPr>
          <w:rFonts w:cs="Calibri"/>
          <w:noProof/>
          <w:snapToGrid/>
          <w:color w:val="000000"/>
          <w:szCs w:val="24"/>
          <w:highlight w:val="black"/>
          <w:lang w:val="en-US" w:eastAsia="en-AU"/>
        </w:rPr>
        <w:t>'''''''''</w:t>
      </w:r>
      <w:r w:rsidR="00DC16C6" w:rsidRPr="00D17A82">
        <w:rPr>
          <w:rFonts w:cs="Calibri"/>
          <w:snapToGrid/>
          <w:szCs w:val="24"/>
          <w:lang w:val="en-US" w:eastAsia="en-AU"/>
        </w:rPr>
        <w:t>%</w:t>
      </w:r>
      <w:r w:rsidR="004C7296" w:rsidRPr="00D17A82">
        <w:rPr>
          <w:rFonts w:cs="Calibri"/>
          <w:snapToGrid/>
          <w:szCs w:val="24"/>
          <w:lang w:val="en-US" w:eastAsia="en-AU"/>
        </w:rPr>
        <w:t xml:space="preserve"> of the total population)</w:t>
      </w:r>
      <w:r w:rsidRPr="00D17A82">
        <w:rPr>
          <w:rFonts w:cs="Calibri"/>
          <w:snapToGrid/>
          <w:szCs w:val="24"/>
          <w:lang w:val="en-US" w:eastAsia="en-AU"/>
        </w:rPr>
        <w:t xml:space="preserve">. </w:t>
      </w:r>
      <w:r w:rsidR="006A48CE" w:rsidRPr="00D17A82">
        <w:rPr>
          <w:rFonts w:cs="Calibri"/>
          <w:snapToGrid/>
          <w:szCs w:val="24"/>
          <w:lang w:val="en-US" w:eastAsia="en-AU"/>
        </w:rPr>
        <w:t>The ESC noted that a presentation from the MRDR</w:t>
      </w:r>
      <w:r w:rsidR="00782208" w:rsidRPr="00D17A82">
        <w:rPr>
          <w:rStyle w:val="FootnoteReference"/>
          <w:rFonts w:cs="Calibri"/>
          <w:snapToGrid/>
          <w:szCs w:val="24"/>
          <w:lang w:val="en-US" w:eastAsia="en-AU"/>
        </w:rPr>
        <w:footnoteReference w:id="1"/>
      </w:r>
      <w:r w:rsidR="006A48CE" w:rsidRPr="00D17A82">
        <w:rPr>
          <w:rFonts w:cs="Calibri"/>
          <w:snapToGrid/>
          <w:szCs w:val="24"/>
          <w:lang w:val="en-US" w:eastAsia="en-AU"/>
        </w:rPr>
        <w:t xml:space="preserve"> reported that in a sample of patients between 2012 and 2015 “maintenance therapy was used in 105 (64.4%) of patients post-ASCT with thalidomide containing therapy most frequent (73%)</w:t>
      </w:r>
      <w:r w:rsidR="00782208" w:rsidRPr="00D17A82">
        <w:rPr>
          <w:rFonts w:cs="Calibri"/>
          <w:snapToGrid/>
          <w:szCs w:val="24"/>
          <w:lang w:val="en-US" w:eastAsia="en-AU"/>
        </w:rPr>
        <w:t xml:space="preserve"> [47.0% of total population]</w:t>
      </w:r>
      <w:r w:rsidR="006A48CE" w:rsidRPr="00D17A82">
        <w:rPr>
          <w:rFonts w:cs="Calibri"/>
          <w:snapToGrid/>
          <w:szCs w:val="24"/>
          <w:lang w:val="en-US" w:eastAsia="en-AU"/>
        </w:rPr>
        <w:t xml:space="preserve">”. The ESC considered that maintenance treatment, and the use of thalidomide for such </w:t>
      </w:r>
      <w:proofErr w:type="gramStart"/>
      <w:r w:rsidR="006A48CE" w:rsidRPr="00D17A82">
        <w:rPr>
          <w:rFonts w:cs="Calibri"/>
          <w:snapToGrid/>
          <w:szCs w:val="24"/>
          <w:lang w:val="en-US" w:eastAsia="en-AU"/>
        </w:rPr>
        <w:t>treatment,</w:t>
      </w:r>
      <w:proofErr w:type="gramEnd"/>
      <w:r w:rsidR="006A48CE" w:rsidRPr="00D17A82">
        <w:rPr>
          <w:rFonts w:cs="Calibri"/>
          <w:snapToGrid/>
          <w:szCs w:val="24"/>
          <w:lang w:val="en-US" w:eastAsia="en-AU"/>
        </w:rPr>
        <w:t xml:space="preserve"> was increasing in Australia, and therefore the proportion of both has likely increased in the time since this sample was taken.</w:t>
      </w:r>
      <w:r w:rsidR="00F7140F">
        <w:rPr>
          <w:rFonts w:cs="Calibri"/>
          <w:snapToGrid/>
          <w:szCs w:val="24"/>
          <w:lang w:val="en-US" w:eastAsia="en-AU"/>
        </w:rPr>
        <w:t xml:space="preserve"> The pre-PBAC response (p1) acknowledged th</w:t>
      </w:r>
      <w:r w:rsidR="002801B8">
        <w:rPr>
          <w:rFonts w:cs="Calibri"/>
          <w:snapToGrid/>
          <w:szCs w:val="24"/>
          <w:lang w:val="en-US" w:eastAsia="en-AU"/>
        </w:rPr>
        <w:t>e</w:t>
      </w:r>
      <w:r w:rsidR="00F7140F">
        <w:rPr>
          <w:rFonts w:cs="Calibri"/>
          <w:snapToGrid/>
          <w:szCs w:val="24"/>
          <w:lang w:val="en-US" w:eastAsia="en-AU"/>
        </w:rPr>
        <w:t xml:space="preserve"> updated MRDR data</w:t>
      </w:r>
      <w:r w:rsidR="002801B8">
        <w:rPr>
          <w:rFonts w:cs="Calibri"/>
          <w:snapToGrid/>
          <w:szCs w:val="24"/>
          <w:lang w:val="en-US" w:eastAsia="en-AU"/>
        </w:rPr>
        <w:t>, however maintained it supported BSC as an appropriate comparator</w:t>
      </w:r>
      <w:r w:rsidR="00F7140F">
        <w:rPr>
          <w:rFonts w:cs="Calibri"/>
          <w:snapToGrid/>
          <w:szCs w:val="24"/>
          <w:lang w:val="en-US" w:eastAsia="en-AU"/>
        </w:rPr>
        <w:t>.</w:t>
      </w:r>
      <w:r w:rsidR="009A65BF">
        <w:rPr>
          <w:rFonts w:cs="Calibri"/>
          <w:snapToGrid/>
          <w:szCs w:val="24"/>
          <w:lang w:val="en-US" w:eastAsia="en-AU"/>
        </w:rPr>
        <w:t xml:space="preserve"> The PBAC considered that although the data from the MRDR was a</w:t>
      </w:r>
      <w:r w:rsidR="002801B8">
        <w:rPr>
          <w:rFonts w:cs="Calibri"/>
          <w:snapToGrid/>
          <w:szCs w:val="24"/>
          <w:lang w:val="en-US" w:eastAsia="en-AU"/>
        </w:rPr>
        <w:t xml:space="preserve">n appropriate </w:t>
      </w:r>
      <w:r w:rsidR="009A65BF">
        <w:rPr>
          <w:rFonts w:cs="Calibri"/>
          <w:snapToGrid/>
          <w:szCs w:val="24"/>
          <w:lang w:val="en-US" w:eastAsia="en-AU"/>
        </w:rPr>
        <w:t xml:space="preserve">source to </w:t>
      </w:r>
      <w:r w:rsidR="004D7345">
        <w:rPr>
          <w:rFonts w:cs="Calibri"/>
          <w:snapToGrid/>
          <w:szCs w:val="24"/>
          <w:lang w:val="en-US" w:eastAsia="en-AU"/>
        </w:rPr>
        <w:t xml:space="preserve">ascertain the </w:t>
      </w:r>
      <w:r w:rsidR="002801B8">
        <w:rPr>
          <w:rFonts w:cs="Calibri"/>
          <w:snapToGrid/>
          <w:szCs w:val="24"/>
          <w:lang w:val="en-US" w:eastAsia="en-AU"/>
        </w:rPr>
        <w:t>treatments</w:t>
      </w:r>
      <w:r w:rsidR="004D7345">
        <w:rPr>
          <w:rFonts w:cs="Calibri"/>
          <w:snapToGrid/>
          <w:szCs w:val="24"/>
          <w:lang w:val="en-US" w:eastAsia="en-AU"/>
        </w:rPr>
        <w:t xml:space="preserve"> used</w:t>
      </w:r>
      <w:r w:rsidR="002801B8">
        <w:rPr>
          <w:rFonts w:cs="Calibri"/>
          <w:snapToGrid/>
          <w:szCs w:val="24"/>
          <w:lang w:val="en-US" w:eastAsia="en-AU"/>
        </w:rPr>
        <w:t xml:space="preserve"> post-ASCT</w:t>
      </w:r>
      <w:r w:rsidR="009A65BF">
        <w:rPr>
          <w:rFonts w:cs="Calibri"/>
          <w:snapToGrid/>
          <w:szCs w:val="24"/>
          <w:lang w:val="en-US" w:eastAsia="en-AU"/>
        </w:rPr>
        <w:t xml:space="preserve">, </w:t>
      </w:r>
      <w:r w:rsidR="004D7345">
        <w:rPr>
          <w:rFonts w:cs="Calibri"/>
          <w:snapToGrid/>
          <w:szCs w:val="24"/>
          <w:lang w:val="en-US" w:eastAsia="en-AU"/>
        </w:rPr>
        <w:t>there were some limitations with this source</w:t>
      </w:r>
      <w:r w:rsidR="009A65BF">
        <w:rPr>
          <w:rFonts w:cs="Calibri"/>
          <w:snapToGrid/>
          <w:szCs w:val="24"/>
          <w:lang w:val="en-US" w:eastAsia="en-AU"/>
        </w:rPr>
        <w:t xml:space="preserve">, particularly because of the limited information on the completeness of this data set, quality control measures, and how missing data </w:t>
      </w:r>
      <w:r w:rsidR="004D7345">
        <w:rPr>
          <w:rFonts w:cs="Calibri"/>
          <w:snapToGrid/>
          <w:szCs w:val="24"/>
          <w:lang w:val="en-US" w:eastAsia="en-AU"/>
        </w:rPr>
        <w:t>are</w:t>
      </w:r>
      <w:r w:rsidR="009A65BF">
        <w:rPr>
          <w:rFonts w:cs="Calibri"/>
          <w:snapToGrid/>
          <w:szCs w:val="24"/>
          <w:lang w:val="en-US" w:eastAsia="en-AU"/>
        </w:rPr>
        <w:t xml:space="preserve"> </w:t>
      </w:r>
      <w:r w:rsidR="004D7345">
        <w:rPr>
          <w:rFonts w:cs="Calibri"/>
          <w:snapToGrid/>
          <w:szCs w:val="24"/>
          <w:lang w:val="en-US" w:eastAsia="en-AU"/>
        </w:rPr>
        <w:t>accounted for</w:t>
      </w:r>
      <w:r w:rsidR="009A65BF">
        <w:rPr>
          <w:rFonts w:cs="Calibri"/>
          <w:snapToGrid/>
          <w:szCs w:val="24"/>
          <w:lang w:val="en-US" w:eastAsia="en-AU"/>
        </w:rPr>
        <w:t>.</w:t>
      </w:r>
    </w:p>
    <w:p w:rsidR="00327982" w:rsidRPr="008A21D4" w:rsidRDefault="009109E5" w:rsidP="006F0DFD">
      <w:pPr>
        <w:pStyle w:val="ListParagraph"/>
        <w:widowControl/>
        <w:numPr>
          <w:ilvl w:val="1"/>
          <w:numId w:val="2"/>
        </w:numPr>
      </w:pPr>
      <w:r w:rsidRPr="00D17A82">
        <w:t>Although</w:t>
      </w:r>
      <w:r w:rsidR="00A51754" w:rsidRPr="00D17A82">
        <w:t xml:space="preserve"> thalidomide is not TGA approved for use as maintenance therapy</w:t>
      </w:r>
      <w:r w:rsidR="00A36DCE" w:rsidRPr="00D17A82">
        <w:t>, the current PBS listing is broad, and there is evidence of considerable use in this setting</w:t>
      </w:r>
      <w:r w:rsidR="00F43560" w:rsidRPr="00D17A82">
        <w:t>.</w:t>
      </w:r>
      <w:r w:rsidR="00A51754" w:rsidRPr="00D17A82">
        <w:t xml:space="preserve"> </w:t>
      </w:r>
      <w:r w:rsidR="00327982" w:rsidRPr="00D17A82">
        <w:t xml:space="preserve">Thalidomide is less costly than </w:t>
      </w:r>
      <w:proofErr w:type="spellStart"/>
      <w:r w:rsidR="00327982" w:rsidRPr="00D17A82">
        <w:t>lenalidomide</w:t>
      </w:r>
      <w:proofErr w:type="spellEnd"/>
      <w:r w:rsidR="00327982" w:rsidRPr="00D17A82">
        <w:t xml:space="preserve"> and is an alternative therapy that </w:t>
      </w:r>
      <w:r w:rsidR="00F00684" w:rsidRPr="00D17A82">
        <w:t xml:space="preserve">is likely to </w:t>
      </w:r>
      <w:r w:rsidR="00327982" w:rsidRPr="00D17A82">
        <w:t>be replaced in practice</w:t>
      </w:r>
      <w:r w:rsidR="00327982" w:rsidRPr="008A21D4">
        <w:t>.</w:t>
      </w:r>
      <w:r w:rsidR="006B59E7" w:rsidRPr="008A21D4">
        <w:t xml:space="preserve"> </w:t>
      </w:r>
    </w:p>
    <w:p w:rsidR="003979BB" w:rsidRPr="008A21D4" w:rsidRDefault="0043548C" w:rsidP="00253543">
      <w:pPr>
        <w:pStyle w:val="ListParagraph"/>
        <w:widowControl/>
        <w:numPr>
          <w:ilvl w:val="1"/>
          <w:numId w:val="2"/>
        </w:numPr>
      </w:pPr>
      <w:r w:rsidRPr="008A21D4">
        <w:t xml:space="preserve">The PBAC noted that thalidomide was </w:t>
      </w:r>
      <w:r w:rsidR="004D7345">
        <w:t>recommended and used as</w:t>
      </w:r>
      <w:r w:rsidR="004D7345" w:rsidRPr="008A21D4">
        <w:t xml:space="preserve"> </w:t>
      </w:r>
      <w:r w:rsidRPr="008A21D4">
        <w:t xml:space="preserve">maintenance treatment </w:t>
      </w:r>
      <w:r w:rsidR="004D7345">
        <w:t>post-ASCT</w:t>
      </w:r>
      <w:r w:rsidR="004D7345" w:rsidRPr="008A21D4">
        <w:t xml:space="preserve"> </w:t>
      </w:r>
      <w:r w:rsidRPr="008A21D4">
        <w:t xml:space="preserve">in current Australian clinical practice. The PBAC also noted </w:t>
      </w:r>
      <w:r w:rsidR="002D66ED">
        <w:t>the</w:t>
      </w:r>
      <w:r w:rsidR="002D66ED" w:rsidRPr="008A21D4">
        <w:t xml:space="preserve"> </w:t>
      </w:r>
      <w:r w:rsidRPr="008A21D4">
        <w:t>data presented by the submission indica</w:t>
      </w:r>
      <w:r w:rsidR="008A21D4" w:rsidRPr="008A21D4">
        <w:t xml:space="preserve">ted </w:t>
      </w:r>
      <w:r w:rsidR="00D96C1D">
        <w:t xml:space="preserve">that </w:t>
      </w:r>
      <w:r w:rsidR="002D66ED">
        <w:t xml:space="preserve">not all patients receive </w:t>
      </w:r>
      <w:r w:rsidR="008A21D4" w:rsidRPr="008A21D4">
        <w:t>thalidomide</w:t>
      </w:r>
      <w:r w:rsidR="00D871F5">
        <w:t>,</w:t>
      </w:r>
      <w:r w:rsidR="008A21D4" w:rsidRPr="008A21D4">
        <w:t xml:space="preserve"> </w:t>
      </w:r>
      <w:r w:rsidR="002D66ED">
        <w:t>with a proportion receiving</w:t>
      </w:r>
      <w:r w:rsidR="002D66ED" w:rsidRPr="008A21D4">
        <w:t xml:space="preserve"> </w:t>
      </w:r>
      <w:r w:rsidR="008A21D4" w:rsidRPr="008A21D4">
        <w:t>BSC (no active maintenance treatment)</w:t>
      </w:r>
      <w:r w:rsidR="002D66ED">
        <w:t xml:space="preserve">. The PBAC considered the majority of patients </w:t>
      </w:r>
      <w:r w:rsidR="002D66ED" w:rsidRPr="002D66ED">
        <w:t>who do not receive thalidomide post</w:t>
      </w:r>
      <w:r w:rsidR="00D871F5">
        <w:noBreakHyphen/>
      </w:r>
      <w:r w:rsidR="002D66ED" w:rsidRPr="002D66ED">
        <w:t xml:space="preserve">ASCT </w:t>
      </w:r>
      <w:r w:rsidR="002D66ED">
        <w:t xml:space="preserve">are those patients unable to </w:t>
      </w:r>
      <w:r w:rsidR="002D66ED" w:rsidRPr="002D66ED">
        <w:t>tolerate thalidomide due to</w:t>
      </w:r>
      <w:r w:rsidR="002D66ED">
        <w:t xml:space="preserve"> adverse events such as neuropathy, somnolence and </w:t>
      </w:r>
      <w:r w:rsidR="002D66ED" w:rsidRPr="002D66ED">
        <w:t>constipation.</w:t>
      </w:r>
      <w:r w:rsidR="002D66ED">
        <w:t xml:space="preserve"> The PBAC considered, if listed, these patients would be treated with </w:t>
      </w:r>
      <w:proofErr w:type="spellStart"/>
      <w:r w:rsidR="002D66ED">
        <w:t>lenalidomide</w:t>
      </w:r>
      <w:proofErr w:type="spellEnd"/>
      <w:r w:rsidR="002D66ED">
        <w:t>.</w:t>
      </w:r>
      <w:r w:rsidR="00253543">
        <w:t xml:space="preserve"> Thus, the PBAC considered </w:t>
      </w:r>
      <w:r w:rsidR="008A21D4" w:rsidRPr="008A21D4">
        <w:t>a mixed comparator</w:t>
      </w:r>
      <w:r w:rsidR="00253543">
        <w:t xml:space="preserve"> of thalidomide and BSC</w:t>
      </w:r>
      <w:r w:rsidR="008A21D4" w:rsidRPr="008A21D4">
        <w:t xml:space="preserve"> </w:t>
      </w:r>
      <w:r w:rsidR="00253543">
        <w:t>to</w:t>
      </w:r>
      <w:r w:rsidR="00253543" w:rsidRPr="008A21D4">
        <w:t xml:space="preserve"> </w:t>
      </w:r>
      <w:r w:rsidR="008A21D4" w:rsidRPr="008A21D4">
        <w:t xml:space="preserve">be </w:t>
      </w:r>
      <w:r w:rsidR="00253543">
        <w:t>reasonable, however noted the weightings that should be applied to each treatment was unclear and inadequately justified in the submission</w:t>
      </w:r>
      <w:r w:rsidR="008A21D4" w:rsidRPr="008A21D4">
        <w:t>.</w:t>
      </w:r>
    </w:p>
    <w:p w:rsidR="006B59E7" w:rsidRPr="006B59E7" w:rsidRDefault="006B59E7" w:rsidP="006B59E7">
      <w:pPr>
        <w:pStyle w:val="PBACHeading1"/>
        <w:ind w:left="720"/>
        <w:rPr>
          <w:b w:val="0"/>
          <w:i/>
          <w:sz w:val="24"/>
          <w:szCs w:val="24"/>
        </w:rPr>
      </w:pPr>
      <w:r w:rsidRPr="008A21D4">
        <w:rPr>
          <w:b w:val="0"/>
          <w:i/>
          <w:sz w:val="24"/>
          <w:szCs w:val="24"/>
        </w:rPr>
        <w:t>For more detail on PBAC’s view, see section 7 PBAC outcome.</w:t>
      </w:r>
    </w:p>
    <w:p w:rsidR="00AC647E" w:rsidRPr="00D17A82" w:rsidRDefault="00AC647E" w:rsidP="00A51754"/>
    <w:p w:rsidR="00A51754" w:rsidRDefault="00A51754" w:rsidP="00CB123B">
      <w:pPr>
        <w:pStyle w:val="PBACHeading1"/>
        <w:numPr>
          <w:ilvl w:val="0"/>
          <w:numId w:val="2"/>
        </w:numPr>
        <w:outlineLvl w:val="0"/>
      </w:pPr>
      <w:bookmarkStart w:id="5" w:name="_Toc503271375"/>
      <w:r w:rsidRPr="00D17A82">
        <w:t>Consideration of the evidence</w:t>
      </w:r>
      <w:bookmarkEnd w:id="5"/>
    </w:p>
    <w:p w:rsidR="00290BD0" w:rsidRPr="003A238A" w:rsidRDefault="00290BD0" w:rsidP="00290BD0">
      <w:pPr>
        <w:spacing w:before="240" w:line="276" w:lineRule="auto"/>
        <w:rPr>
          <w:rFonts w:asciiTheme="minorHAnsi" w:hAnsiTheme="minorHAnsi"/>
          <w:b/>
          <w:bCs/>
          <w:i/>
          <w:sz w:val="28"/>
          <w:szCs w:val="28"/>
        </w:rPr>
      </w:pPr>
      <w:r w:rsidRPr="003A238A">
        <w:rPr>
          <w:rFonts w:asciiTheme="minorHAnsi" w:hAnsiTheme="minorHAnsi"/>
          <w:b/>
          <w:bCs/>
          <w:i/>
          <w:sz w:val="28"/>
          <w:szCs w:val="28"/>
        </w:rPr>
        <w:t>Sponsor hearing</w:t>
      </w:r>
    </w:p>
    <w:p w:rsidR="00290BD0" w:rsidRPr="003A238A" w:rsidRDefault="00290BD0" w:rsidP="006F0DFD">
      <w:pPr>
        <w:numPr>
          <w:ilvl w:val="1"/>
          <w:numId w:val="2"/>
        </w:numPr>
        <w:spacing w:after="120"/>
        <w:rPr>
          <w:rFonts w:asciiTheme="minorHAnsi" w:hAnsiTheme="minorHAnsi"/>
          <w:bCs/>
        </w:rPr>
      </w:pPr>
      <w:r w:rsidRPr="003A238A">
        <w:rPr>
          <w:rFonts w:asciiTheme="minorHAnsi" w:hAnsiTheme="minorHAnsi"/>
          <w:bCs/>
        </w:rPr>
        <w:t>There was no hearing for this item.</w:t>
      </w:r>
    </w:p>
    <w:p w:rsidR="00290BD0" w:rsidRPr="003770B6" w:rsidRDefault="00290BD0" w:rsidP="00290BD0">
      <w:pPr>
        <w:spacing w:before="240" w:line="276" w:lineRule="auto"/>
        <w:rPr>
          <w:rFonts w:asciiTheme="minorHAnsi" w:hAnsiTheme="minorHAnsi"/>
          <w:b/>
          <w:bCs/>
          <w:i/>
          <w:sz w:val="28"/>
          <w:szCs w:val="28"/>
        </w:rPr>
      </w:pPr>
      <w:r w:rsidRPr="003770B6">
        <w:rPr>
          <w:rFonts w:asciiTheme="minorHAnsi" w:hAnsiTheme="minorHAnsi"/>
          <w:b/>
          <w:bCs/>
          <w:i/>
          <w:sz w:val="28"/>
          <w:szCs w:val="28"/>
        </w:rPr>
        <w:t>Consumer comments</w:t>
      </w:r>
    </w:p>
    <w:p w:rsidR="00290BD0" w:rsidRPr="003770B6" w:rsidRDefault="00290BD0" w:rsidP="006F0DFD">
      <w:pPr>
        <w:numPr>
          <w:ilvl w:val="1"/>
          <w:numId w:val="2"/>
        </w:numPr>
        <w:spacing w:after="120"/>
        <w:rPr>
          <w:rFonts w:asciiTheme="minorHAnsi" w:hAnsiTheme="minorHAnsi"/>
          <w:bCs/>
        </w:rPr>
      </w:pPr>
      <w:r w:rsidRPr="003770B6">
        <w:rPr>
          <w:rFonts w:asciiTheme="minorHAnsi" w:hAnsiTheme="minorHAnsi"/>
          <w:bCs/>
        </w:rPr>
        <w:t>The PBAC noted and welcom</w:t>
      </w:r>
      <w:r w:rsidR="008A21D4" w:rsidRPr="003770B6">
        <w:rPr>
          <w:rFonts w:asciiTheme="minorHAnsi" w:hAnsiTheme="minorHAnsi"/>
          <w:bCs/>
        </w:rPr>
        <w:t>ed the input from individuals (199), health care professionals (2</w:t>
      </w:r>
      <w:r w:rsidRPr="003770B6">
        <w:rPr>
          <w:rFonts w:asciiTheme="minorHAnsi" w:hAnsiTheme="minorHAnsi"/>
          <w:bCs/>
        </w:rPr>
        <w:t>) and organisations (</w:t>
      </w:r>
      <w:r w:rsidR="008A21D4" w:rsidRPr="003770B6">
        <w:rPr>
          <w:rFonts w:asciiTheme="minorHAnsi" w:hAnsiTheme="minorHAnsi"/>
          <w:bCs/>
        </w:rPr>
        <w:t>2</w:t>
      </w:r>
      <w:r w:rsidRPr="003770B6">
        <w:rPr>
          <w:rFonts w:asciiTheme="minorHAnsi" w:hAnsiTheme="minorHAnsi"/>
          <w:bCs/>
        </w:rPr>
        <w:t xml:space="preserve">) via the Consumer Comments facility on the </w:t>
      </w:r>
      <w:r w:rsidR="00F7140F">
        <w:rPr>
          <w:rFonts w:asciiTheme="minorHAnsi" w:hAnsiTheme="minorHAnsi"/>
          <w:bCs/>
        </w:rPr>
        <w:t>PBS website.</w:t>
      </w:r>
      <w:r w:rsidRPr="003770B6">
        <w:rPr>
          <w:rFonts w:asciiTheme="minorHAnsi" w:hAnsiTheme="minorHAnsi"/>
          <w:bCs/>
        </w:rPr>
        <w:t xml:space="preserve"> The comments described a range of benefits of treatment with </w:t>
      </w:r>
      <w:proofErr w:type="spellStart"/>
      <w:r w:rsidR="00ED2422" w:rsidRPr="003770B6">
        <w:rPr>
          <w:rFonts w:asciiTheme="minorHAnsi" w:hAnsiTheme="minorHAnsi"/>
          <w:bCs/>
        </w:rPr>
        <w:t>lenalidomide</w:t>
      </w:r>
      <w:proofErr w:type="spellEnd"/>
      <w:r w:rsidR="00A70EB6">
        <w:rPr>
          <w:rFonts w:asciiTheme="minorHAnsi" w:hAnsiTheme="minorHAnsi"/>
          <w:bCs/>
        </w:rPr>
        <w:t>. In</w:t>
      </w:r>
      <w:r w:rsidR="00F7140F">
        <w:rPr>
          <w:rFonts w:asciiTheme="minorHAnsi" w:hAnsiTheme="minorHAnsi"/>
          <w:bCs/>
        </w:rPr>
        <w:t xml:space="preserve"> particular</w:t>
      </w:r>
      <w:r w:rsidR="00A70EB6">
        <w:rPr>
          <w:rFonts w:asciiTheme="minorHAnsi" w:hAnsiTheme="minorHAnsi"/>
          <w:bCs/>
        </w:rPr>
        <w:t>,</w:t>
      </w:r>
      <w:r w:rsidR="00F7140F">
        <w:rPr>
          <w:rFonts w:asciiTheme="minorHAnsi" w:hAnsiTheme="minorHAnsi"/>
          <w:bCs/>
        </w:rPr>
        <w:t xml:space="preserve"> consumers highlighted the benefit of</w:t>
      </w:r>
      <w:r w:rsidR="00ED2422" w:rsidRPr="003770B6">
        <w:rPr>
          <w:rFonts w:asciiTheme="minorHAnsi" w:hAnsiTheme="minorHAnsi"/>
          <w:bCs/>
        </w:rPr>
        <w:t xml:space="preserve"> avoiding the peripheral neuropathy that can be experienced with thalidomide. While some consumer</w:t>
      </w:r>
      <w:r w:rsidR="00F7140F">
        <w:rPr>
          <w:rFonts w:asciiTheme="minorHAnsi" w:hAnsiTheme="minorHAnsi"/>
          <w:bCs/>
        </w:rPr>
        <w:t>s</w:t>
      </w:r>
      <w:r w:rsidR="00ED2422" w:rsidRPr="003770B6">
        <w:rPr>
          <w:rFonts w:asciiTheme="minorHAnsi" w:hAnsiTheme="minorHAnsi"/>
          <w:bCs/>
        </w:rPr>
        <w:t xml:space="preserve"> noted that they still experienced side effects with </w:t>
      </w:r>
      <w:proofErr w:type="spellStart"/>
      <w:r w:rsidR="00ED2422" w:rsidRPr="003770B6">
        <w:rPr>
          <w:rFonts w:asciiTheme="minorHAnsi" w:hAnsiTheme="minorHAnsi"/>
          <w:bCs/>
        </w:rPr>
        <w:t>lenalidomide</w:t>
      </w:r>
      <w:proofErr w:type="spellEnd"/>
      <w:r w:rsidR="00ED2422" w:rsidRPr="003770B6">
        <w:rPr>
          <w:rFonts w:asciiTheme="minorHAnsi" w:hAnsiTheme="minorHAnsi"/>
          <w:bCs/>
        </w:rPr>
        <w:t xml:space="preserve">, they were also of the view that the </w:t>
      </w:r>
      <w:proofErr w:type="spellStart"/>
      <w:r w:rsidR="00ED2422" w:rsidRPr="003770B6">
        <w:rPr>
          <w:rFonts w:asciiTheme="minorHAnsi" w:hAnsiTheme="minorHAnsi"/>
          <w:bCs/>
        </w:rPr>
        <w:t>lenalidomide</w:t>
      </w:r>
      <w:proofErr w:type="spellEnd"/>
      <w:r w:rsidR="00ED2422" w:rsidRPr="003770B6">
        <w:rPr>
          <w:rFonts w:asciiTheme="minorHAnsi" w:hAnsiTheme="minorHAnsi"/>
          <w:bCs/>
        </w:rPr>
        <w:t xml:space="preserve"> side effect</w:t>
      </w:r>
      <w:r w:rsidR="0096188D">
        <w:rPr>
          <w:rFonts w:asciiTheme="minorHAnsi" w:hAnsiTheme="minorHAnsi"/>
          <w:bCs/>
        </w:rPr>
        <w:t>s</w:t>
      </w:r>
      <w:r w:rsidR="00ED2422" w:rsidRPr="003770B6">
        <w:rPr>
          <w:rFonts w:asciiTheme="minorHAnsi" w:hAnsiTheme="minorHAnsi"/>
          <w:bCs/>
        </w:rPr>
        <w:t xml:space="preserve"> were more manageable and some patients had </w:t>
      </w:r>
      <w:r w:rsidRPr="003770B6">
        <w:rPr>
          <w:rFonts w:asciiTheme="minorHAnsi" w:hAnsiTheme="minorHAnsi"/>
          <w:bCs/>
        </w:rPr>
        <w:t>the ability to return to work</w:t>
      </w:r>
      <w:r w:rsidR="00ED2422" w:rsidRPr="003770B6">
        <w:rPr>
          <w:rFonts w:asciiTheme="minorHAnsi" w:hAnsiTheme="minorHAnsi"/>
          <w:bCs/>
        </w:rPr>
        <w:t xml:space="preserve">, which they valued. A number of consumers cited cost as a barrier to accessing </w:t>
      </w:r>
      <w:proofErr w:type="spellStart"/>
      <w:r w:rsidR="00F7140F">
        <w:rPr>
          <w:rFonts w:asciiTheme="minorHAnsi" w:hAnsiTheme="minorHAnsi"/>
          <w:bCs/>
        </w:rPr>
        <w:t>lenalidomide</w:t>
      </w:r>
      <w:proofErr w:type="spellEnd"/>
      <w:r w:rsidR="00F7140F">
        <w:rPr>
          <w:rFonts w:asciiTheme="minorHAnsi" w:hAnsiTheme="minorHAnsi"/>
          <w:bCs/>
        </w:rPr>
        <w:t xml:space="preserve"> </w:t>
      </w:r>
      <w:r w:rsidR="00ED2422" w:rsidRPr="003770B6">
        <w:rPr>
          <w:rFonts w:asciiTheme="minorHAnsi" w:hAnsiTheme="minorHAnsi"/>
          <w:bCs/>
        </w:rPr>
        <w:t xml:space="preserve">treatment </w:t>
      </w:r>
      <w:r w:rsidR="00F7140F">
        <w:rPr>
          <w:rFonts w:asciiTheme="minorHAnsi" w:hAnsiTheme="minorHAnsi"/>
          <w:bCs/>
        </w:rPr>
        <w:t>in the absence of</w:t>
      </w:r>
      <w:r w:rsidR="00ED2422" w:rsidRPr="003770B6">
        <w:rPr>
          <w:rFonts w:asciiTheme="minorHAnsi" w:hAnsiTheme="minorHAnsi"/>
          <w:bCs/>
        </w:rPr>
        <w:t xml:space="preserve"> PBS subsidy.</w:t>
      </w:r>
    </w:p>
    <w:p w:rsidR="00290BD0" w:rsidRPr="003770B6" w:rsidRDefault="001E2B91" w:rsidP="006F0DFD">
      <w:pPr>
        <w:numPr>
          <w:ilvl w:val="1"/>
          <w:numId w:val="2"/>
        </w:numPr>
        <w:spacing w:after="120"/>
        <w:rPr>
          <w:rFonts w:asciiTheme="minorHAnsi" w:hAnsiTheme="minorHAnsi"/>
          <w:bCs/>
        </w:rPr>
      </w:pPr>
      <w:r w:rsidRPr="003770B6">
        <w:rPr>
          <w:rFonts w:asciiTheme="minorHAnsi" w:hAnsiTheme="minorHAnsi"/>
          <w:bCs/>
        </w:rPr>
        <w:t xml:space="preserve">The PBAC noted the advice from Myeloma Australia </w:t>
      </w:r>
      <w:r w:rsidR="003770B6" w:rsidRPr="003770B6">
        <w:rPr>
          <w:rFonts w:asciiTheme="minorHAnsi" w:hAnsiTheme="minorHAnsi"/>
          <w:bCs/>
        </w:rPr>
        <w:t xml:space="preserve">and the South East Myeloma Support Group SA </w:t>
      </w:r>
      <w:r w:rsidRPr="003770B6">
        <w:rPr>
          <w:rFonts w:asciiTheme="minorHAnsi" w:hAnsiTheme="minorHAnsi"/>
          <w:bCs/>
        </w:rPr>
        <w:t xml:space="preserve">that access to </w:t>
      </w:r>
      <w:proofErr w:type="spellStart"/>
      <w:r w:rsidRPr="003770B6">
        <w:rPr>
          <w:rFonts w:asciiTheme="minorHAnsi" w:hAnsiTheme="minorHAnsi"/>
          <w:bCs/>
        </w:rPr>
        <w:t>lenalidomide</w:t>
      </w:r>
      <w:proofErr w:type="spellEnd"/>
      <w:r w:rsidRPr="003770B6">
        <w:rPr>
          <w:rFonts w:asciiTheme="minorHAnsi" w:hAnsiTheme="minorHAnsi"/>
          <w:bCs/>
        </w:rPr>
        <w:t xml:space="preserve"> may result in fewer side effects </w:t>
      </w:r>
      <w:r w:rsidR="00A70EB6">
        <w:rPr>
          <w:rFonts w:asciiTheme="minorHAnsi" w:hAnsiTheme="minorHAnsi"/>
          <w:bCs/>
        </w:rPr>
        <w:t>than experienced on thalidomide</w:t>
      </w:r>
      <w:r w:rsidRPr="003770B6">
        <w:rPr>
          <w:rFonts w:asciiTheme="minorHAnsi" w:hAnsiTheme="minorHAnsi"/>
          <w:bCs/>
        </w:rPr>
        <w:t xml:space="preserve"> </w:t>
      </w:r>
      <w:r w:rsidR="00A70EB6">
        <w:rPr>
          <w:rFonts w:asciiTheme="minorHAnsi" w:hAnsiTheme="minorHAnsi"/>
          <w:bCs/>
        </w:rPr>
        <w:t>and that</w:t>
      </w:r>
      <w:r w:rsidR="00F7140F">
        <w:rPr>
          <w:rFonts w:asciiTheme="minorHAnsi" w:hAnsiTheme="minorHAnsi"/>
          <w:bCs/>
        </w:rPr>
        <w:t xml:space="preserve"> the side effects experienced with thalidomide,</w:t>
      </w:r>
      <w:r w:rsidRPr="003770B6">
        <w:rPr>
          <w:rFonts w:asciiTheme="minorHAnsi" w:hAnsiTheme="minorHAnsi"/>
          <w:bCs/>
        </w:rPr>
        <w:t xml:space="preserve"> such as peripheral neuropath</w:t>
      </w:r>
      <w:r w:rsidR="0096188D">
        <w:rPr>
          <w:rFonts w:asciiTheme="minorHAnsi" w:hAnsiTheme="minorHAnsi"/>
          <w:bCs/>
        </w:rPr>
        <w:t>y</w:t>
      </w:r>
      <w:r w:rsidRPr="003770B6">
        <w:rPr>
          <w:rFonts w:asciiTheme="minorHAnsi" w:hAnsiTheme="minorHAnsi"/>
          <w:bCs/>
        </w:rPr>
        <w:t>, constipation</w:t>
      </w:r>
      <w:r w:rsidR="00A70EB6">
        <w:rPr>
          <w:rFonts w:asciiTheme="minorHAnsi" w:hAnsiTheme="minorHAnsi"/>
          <w:bCs/>
        </w:rPr>
        <w:t>,</w:t>
      </w:r>
      <w:r w:rsidRPr="003770B6">
        <w:rPr>
          <w:rFonts w:asciiTheme="minorHAnsi" w:hAnsiTheme="minorHAnsi"/>
          <w:bCs/>
        </w:rPr>
        <w:t xml:space="preserve"> and fatigue</w:t>
      </w:r>
      <w:r w:rsidR="00F7140F">
        <w:rPr>
          <w:rFonts w:asciiTheme="minorHAnsi" w:hAnsiTheme="minorHAnsi"/>
          <w:bCs/>
        </w:rPr>
        <w:t>, have</w:t>
      </w:r>
      <w:r w:rsidR="00F7140F" w:rsidRPr="00F7140F">
        <w:rPr>
          <w:rFonts w:asciiTheme="minorHAnsi" w:hAnsiTheme="minorHAnsi"/>
          <w:bCs/>
        </w:rPr>
        <w:t xml:space="preserve"> </w:t>
      </w:r>
      <w:r w:rsidR="00F7140F" w:rsidRPr="003770B6">
        <w:rPr>
          <w:rFonts w:asciiTheme="minorHAnsi" w:hAnsiTheme="minorHAnsi"/>
          <w:bCs/>
        </w:rPr>
        <w:t>an impact on quality of life</w:t>
      </w:r>
      <w:r w:rsidRPr="003770B6">
        <w:rPr>
          <w:rFonts w:asciiTheme="minorHAnsi" w:hAnsiTheme="minorHAnsi"/>
          <w:bCs/>
        </w:rPr>
        <w:t>.</w:t>
      </w:r>
    </w:p>
    <w:p w:rsidR="00A51754" w:rsidRPr="00D17A82" w:rsidRDefault="00A51754" w:rsidP="00A51754">
      <w:pPr>
        <w:pStyle w:val="Heading2"/>
        <w:rPr>
          <w:i w:val="0"/>
        </w:rPr>
      </w:pPr>
      <w:bookmarkStart w:id="6" w:name="_Toc503271376"/>
      <w:r w:rsidRPr="00D17A82">
        <w:rPr>
          <w:i w:val="0"/>
        </w:rPr>
        <w:t>Clinical trials</w:t>
      </w:r>
      <w:bookmarkEnd w:id="6"/>
    </w:p>
    <w:p w:rsidR="00A51754" w:rsidRPr="00D17A82" w:rsidRDefault="00A51754" w:rsidP="006F0DFD">
      <w:pPr>
        <w:pStyle w:val="ListParagraph"/>
        <w:widowControl/>
        <w:numPr>
          <w:ilvl w:val="1"/>
          <w:numId w:val="2"/>
        </w:numPr>
      </w:pPr>
      <w:r w:rsidRPr="00D17A82">
        <w:t>The submission was based on four randomised trials</w:t>
      </w:r>
      <w:r w:rsidR="00F00684" w:rsidRPr="00D17A82">
        <w:t xml:space="preserve">. </w:t>
      </w:r>
      <w:r w:rsidR="004D10E8" w:rsidRPr="00D17A82">
        <w:t>T</w:t>
      </w:r>
      <w:r w:rsidR="00F00684" w:rsidRPr="00D17A82">
        <w:t xml:space="preserve">wo </w:t>
      </w:r>
      <w:r w:rsidR="004D10E8" w:rsidRPr="00D17A82">
        <w:t xml:space="preserve">trials </w:t>
      </w:r>
      <w:r w:rsidR="00F00684" w:rsidRPr="00D17A82">
        <w:t xml:space="preserve">compared </w:t>
      </w:r>
      <w:proofErr w:type="spellStart"/>
      <w:r w:rsidRPr="00D17A82">
        <w:t>lenalidomide</w:t>
      </w:r>
      <w:proofErr w:type="spellEnd"/>
      <w:r w:rsidRPr="00D17A82">
        <w:t xml:space="preserve"> to placebo </w:t>
      </w:r>
      <w:r w:rsidR="00F00684" w:rsidRPr="00D17A82">
        <w:t xml:space="preserve">following ASCT </w:t>
      </w:r>
      <w:r w:rsidRPr="00D17A82">
        <w:t>(CALGB n=460, IFM 2005-02 n=614)</w:t>
      </w:r>
      <w:r w:rsidR="00BF78C8" w:rsidRPr="00D17A82">
        <w:t>.</w:t>
      </w:r>
      <w:r w:rsidRPr="00D17A82">
        <w:t xml:space="preserve"> </w:t>
      </w:r>
      <w:r w:rsidR="00F00684" w:rsidRPr="00D17A82">
        <w:t>T</w:t>
      </w:r>
      <w:r w:rsidR="00BF78C8" w:rsidRPr="00D17A82">
        <w:t>wo included ASCT and non</w:t>
      </w:r>
      <w:r w:rsidR="00BF78C8" w:rsidRPr="00D17A82">
        <w:noBreakHyphen/>
        <w:t xml:space="preserve">ASCT patients receiving </w:t>
      </w:r>
      <w:proofErr w:type="spellStart"/>
      <w:r w:rsidRPr="00D17A82">
        <w:t>lenalidomide</w:t>
      </w:r>
      <w:proofErr w:type="spellEnd"/>
      <w:r w:rsidRPr="00D17A82">
        <w:t xml:space="preserve"> </w:t>
      </w:r>
      <w:r w:rsidR="00BF78C8" w:rsidRPr="00D17A82">
        <w:t xml:space="preserve">maintenance compared to </w:t>
      </w:r>
      <w:r w:rsidRPr="00D17A82">
        <w:t xml:space="preserve">BSC </w:t>
      </w:r>
      <w:r w:rsidR="00BF78C8" w:rsidRPr="00D17A82">
        <w:t>and thus</w:t>
      </w:r>
      <w:r w:rsidRPr="00D17A82">
        <w:t xml:space="preserve"> relied on subgroup analyses</w:t>
      </w:r>
      <w:r w:rsidR="00BF78C8" w:rsidRPr="00D17A82">
        <w:t xml:space="preserve"> </w:t>
      </w:r>
      <w:r w:rsidRPr="00D17A82">
        <w:t>(GIMEMA n=135, Myeloma XI n=788).</w:t>
      </w:r>
    </w:p>
    <w:p w:rsidR="00AD5371" w:rsidRPr="00D17A82" w:rsidRDefault="00A51754" w:rsidP="006F0DFD">
      <w:pPr>
        <w:pStyle w:val="ListParagraph"/>
        <w:numPr>
          <w:ilvl w:val="1"/>
          <w:numId w:val="2"/>
        </w:numPr>
      </w:pPr>
      <w:r w:rsidRPr="00D17A82">
        <w:t xml:space="preserve">No head-to-head trials were identified comparing </w:t>
      </w:r>
      <w:proofErr w:type="spellStart"/>
      <w:r w:rsidRPr="00D17A82">
        <w:t>lenalidomide</w:t>
      </w:r>
      <w:proofErr w:type="spellEnd"/>
      <w:r w:rsidRPr="00D17A82">
        <w:t xml:space="preserve"> and thalidomide. Therefore, an indirect comparison was conducted. The submission included one randomised trial comparing thalidomide to observation (Myeloma IX n=493), which was used to form an indirect comparison with </w:t>
      </w:r>
      <w:proofErr w:type="spellStart"/>
      <w:r w:rsidRPr="00D17A82">
        <w:t>lenalidomide</w:t>
      </w:r>
      <w:proofErr w:type="spellEnd"/>
      <w:r w:rsidRPr="00D17A82">
        <w:t xml:space="preserve"> via </w:t>
      </w:r>
      <w:r w:rsidR="00A63993" w:rsidRPr="00D17A82">
        <w:t xml:space="preserve">BSC </w:t>
      </w:r>
      <w:r w:rsidR="00A36DCE" w:rsidRPr="00D17A82">
        <w:t>as a</w:t>
      </w:r>
      <w:r w:rsidRPr="00D17A82">
        <w:t xml:space="preserve"> common reference. An independent search located </w:t>
      </w:r>
      <w:r w:rsidR="00D46DC2" w:rsidRPr="00D17A82">
        <w:t xml:space="preserve">two potentially </w:t>
      </w:r>
      <w:r w:rsidRPr="00D17A82">
        <w:t xml:space="preserve">relevant </w:t>
      </w:r>
      <w:r w:rsidR="00D46DC2" w:rsidRPr="00D17A82">
        <w:t>trials: the MM6 and Myeloma X</w:t>
      </w:r>
      <w:r w:rsidR="00F00684" w:rsidRPr="00D17A82">
        <w:t xml:space="preserve"> trials</w:t>
      </w:r>
      <w:r w:rsidR="00D46DC2" w:rsidRPr="00D17A82">
        <w:t xml:space="preserve">. </w:t>
      </w:r>
      <w:r w:rsidRPr="00D17A82">
        <w:t xml:space="preserve">MM6 (n=243), </w:t>
      </w:r>
      <w:r w:rsidR="00D46DC2" w:rsidRPr="00D17A82">
        <w:t xml:space="preserve">was an </w:t>
      </w:r>
      <w:r w:rsidR="00F00684" w:rsidRPr="00D17A82">
        <w:t>Australasian Leukaemia &amp; Lymphoma Group (</w:t>
      </w:r>
      <w:r w:rsidR="00D46DC2" w:rsidRPr="00D17A82">
        <w:t>ALLG</w:t>
      </w:r>
      <w:r w:rsidR="00F00684" w:rsidRPr="00D17A82">
        <w:t>)</w:t>
      </w:r>
      <w:r w:rsidR="00D46DC2" w:rsidRPr="00D17A82">
        <w:t xml:space="preserve"> trial </w:t>
      </w:r>
      <w:r w:rsidRPr="00D17A82">
        <w:t xml:space="preserve">published by </w:t>
      </w:r>
      <w:proofErr w:type="spellStart"/>
      <w:r w:rsidRPr="00D17A82">
        <w:t>Kalff</w:t>
      </w:r>
      <w:proofErr w:type="spellEnd"/>
      <w:r w:rsidRPr="00D17A82">
        <w:t xml:space="preserve"> et al. (2014) and Spencer et al. (2009), </w:t>
      </w:r>
      <w:r w:rsidR="00A36DCE" w:rsidRPr="00D17A82">
        <w:t>which</w:t>
      </w:r>
      <w:r w:rsidR="00A36DCE" w:rsidRPr="00CE0BE9">
        <w:t xml:space="preserve"> </w:t>
      </w:r>
      <w:r w:rsidR="00D46DC2" w:rsidRPr="00D17A82">
        <w:t xml:space="preserve">compared </w:t>
      </w:r>
      <w:r w:rsidRPr="00D17A82">
        <w:t xml:space="preserve">thalidomide with prednisolone alone </w:t>
      </w:r>
      <w:r w:rsidR="00A36DCE" w:rsidRPr="00D17A82">
        <w:t xml:space="preserve">for </w:t>
      </w:r>
      <w:r w:rsidRPr="00D17A82">
        <w:t>maintenance post-ASCT in pa</w:t>
      </w:r>
      <w:r w:rsidR="00F7140F">
        <w:t>tients with NDMM. Excluding the MM6</w:t>
      </w:r>
      <w:r w:rsidRPr="00D17A82">
        <w:t xml:space="preserve"> trial from the submission biased the indirect comparison between </w:t>
      </w:r>
      <w:proofErr w:type="spellStart"/>
      <w:r w:rsidRPr="00D17A82">
        <w:t>lenalidomide</w:t>
      </w:r>
      <w:proofErr w:type="spellEnd"/>
      <w:r w:rsidRPr="00D17A82">
        <w:t xml:space="preserve"> and thalidomide in favour of </w:t>
      </w:r>
      <w:proofErr w:type="spellStart"/>
      <w:r w:rsidRPr="00D17A82">
        <w:t>lenalidomide</w:t>
      </w:r>
      <w:proofErr w:type="spellEnd"/>
      <w:r w:rsidRPr="00D17A82">
        <w:t>.</w:t>
      </w:r>
    </w:p>
    <w:p w:rsidR="00A51754" w:rsidRDefault="00CA74AD" w:rsidP="006F0DFD">
      <w:pPr>
        <w:pStyle w:val="ListParagraph"/>
        <w:numPr>
          <w:ilvl w:val="1"/>
          <w:numId w:val="2"/>
        </w:numPr>
      </w:pPr>
      <w:r w:rsidRPr="00D17A82">
        <w:t>Myeloma X</w:t>
      </w:r>
      <w:r w:rsidR="00D46DC2" w:rsidRPr="00D17A82">
        <w:t>,</w:t>
      </w:r>
      <w:r w:rsidRPr="00D17A82">
        <w:t xml:space="preserve"> published by Stewart et al. (2013)</w:t>
      </w:r>
      <w:r w:rsidR="00D46DC2" w:rsidRPr="00D17A82">
        <w:t>,</w:t>
      </w:r>
      <w:r w:rsidRPr="00D17A82">
        <w:t xml:space="preserve"> reported the use of thalidomide for ongoing maintenance (over 4 years) at a dose up to 200 mg</w:t>
      </w:r>
      <w:r w:rsidR="00393C27" w:rsidRPr="00D17A82">
        <w:t>/day</w:t>
      </w:r>
      <w:r w:rsidRPr="00D17A82">
        <w:t xml:space="preserve">. The key results </w:t>
      </w:r>
      <w:r w:rsidRPr="00D17A82">
        <w:lastRenderedPageBreak/>
        <w:t xml:space="preserve">from </w:t>
      </w:r>
      <w:r w:rsidR="00F00684" w:rsidRPr="00D17A82">
        <w:t>Myeloma X</w:t>
      </w:r>
      <w:r w:rsidRPr="00D17A82">
        <w:t xml:space="preserve"> are presented </w:t>
      </w:r>
      <w:r w:rsidR="00F00684" w:rsidRPr="00D17A82">
        <w:t xml:space="preserve">as supplementary </w:t>
      </w:r>
      <w:r w:rsidR="0041220F" w:rsidRPr="00D17A82">
        <w:t>evidence for</w:t>
      </w:r>
      <w:r w:rsidRPr="00D17A82">
        <w:t xml:space="preserve"> thalidomide</w:t>
      </w:r>
      <w:r w:rsidR="00393C27" w:rsidRPr="00D17A82">
        <w:t xml:space="preserve"> on the basis that the dose range is higher than recommended in the MSAG Guidelines</w:t>
      </w:r>
      <w:r w:rsidRPr="00D17A82">
        <w:t>.</w:t>
      </w:r>
    </w:p>
    <w:p w:rsidR="005834E0" w:rsidRPr="00D17A82" w:rsidRDefault="00025AB1" w:rsidP="006F0DFD">
      <w:pPr>
        <w:pStyle w:val="ListParagraph"/>
        <w:numPr>
          <w:ilvl w:val="1"/>
          <w:numId w:val="2"/>
        </w:numPr>
      </w:pPr>
      <w:r>
        <w:t>The PBAC noted</w:t>
      </w:r>
      <w:r w:rsidR="005834E0">
        <w:t xml:space="preserve"> the 2012 IMWG consensus paper</w:t>
      </w:r>
      <w:r w:rsidR="007F51BC">
        <w:rPr>
          <w:rStyle w:val="FootnoteReference"/>
        </w:rPr>
        <w:footnoteReference w:id="2"/>
      </w:r>
      <w:r w:rsidR="005834E0">
        <w:t xml:space="preserve"> for maintenance therapy in MM included </w:t>
      </w:r>
      <w:r w:rsidR="00D91E22">
        <w:t>7 thalidomide trials</w:t>
      </w:r>
      <w:r w:rsidR="005834E0">
        <w:t>.</w:t>
      </w:r>
    </w:p>
    <w:p w:rsidR="00A51754" w:rsidRPr="00D17A82" w:rsidRDefault="00A51754" w:rsidP="006F0DFD">
      <w:pPr>
        <w:pStyle w:val="ListParagraph"/>
        <w:widowControl/>
        <w:numPr>
          <w:ilvl w:val="1"/>
          <w:numId w:val="2"/>
        </w:numPr>
      </w:pPr>
      <w:r w:rsidRPr="00D17A82">
        <w:rPr>
          <w:rFonts w:cs="Calibri"/>
          <w:snapToGrid/>
          <w:szCs w:val="24"/>
          <w:lang w:val="en-US" w:eastAsia="en-AU"/>
        </w:rPr>
        <w:t xml:space="preserve">Details of the trials presented in the submission are provided in the table below. </w:t>
      </w:r>
    </w:p>
    <w:p w:rsidR="00A51754" w:rsidRPr="00CE0BE9" w:rsidRDefault="00A51754" w:rsidP="00A51754">
      <w:pPr>
        <w:rPr>
          <w:rStyle w:val="CommentReference"/>
        </w:rPr>
      </w:pPr>
      <w:r w:rsidRPr="00CE0BE9">
        <w:rPr>
          <w:rStyle w:val="CommentReference"/>
        </w:rPr>
        <w:t>Table 2: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6"/>
        <w:gridCol w:w="5499"/>
        <w:gridCol w:w="2138"/>
      </w:tblGrid>
      <w:tr w:rsidR="00A51754" w:rsidRPr="00CE0BE9" w:rsidTr="00454F3B">
        <w:trPr>
          <w:tblHeader/>
        </w:trPr>
        <w:tc>
          <w:tcPr>
            <w:tcW w:w="796" w:type="pct"/>
            <w:vAlign w:val="center"/>
          </w:tcPr>
          <w:p w:rsidR="00A51754" w:rsidRPr="00CE0BE9" w:rsidRDefault="00A51754" w:rsidP="00E9333E">
            <w:pPr>
              <w:pStyle w:val="Tabletext"/>
              <w:rPr>
                <w:b/>
              </w:rPr>
            </w:pPr>
            <w:r w:rsidRPr="00CE0BE9">
              <w:rPr>
                <w:b/>
              </w:rPr>
              <w:t>Trial ID</w:t>
            </w:r>
          </w:p>
        </w:tc>
        <w:tc>
          <w:tcPr>
            <w:tcW w:w="3027" w:type="pct"/>
            <w:vAlign w:val="center"/>
          </w:tcPr>
          <w:p w:rsidR="00A51754" w:rsidRPr="00CE0BE9" w:rsidRDefault="00A51754" w:rsidP="00E9333E">
            <w:pPr>
              <w:pStyle w:val="Tabletext"/>
              <w:jc w:val="center"/>
              <w:rPr>
                <w:b/>
              </w:rPr>
            </w:pPr>
            <w:r w:rsidRPr="00CE0BE9">
              <w:rPr>
                <w:b/>
              </w:rPr>
              <w:t>Protocol title/ Publication title</w:t>
            </w:r>
          </w:p>
        </w:tc>
        <w:tc>
          <w:tcPr>
            <w:tcW w:w="1177" w:type="pct"/>
            <w:vAlign w:val="center"/>
          </w:tcPr>
          <w:p w:rsidR="00A51754" w:rsidRPr="00CE0BE9" w:rsidRDefault="00A51754" w:rsidP="00E9333E">
            <w:pPr>
              <w:pStyle w:val="Tabletext"/>
              <w:jc w:val="center"/>
              <w:rPr>
                <w:b/>
              </w:rPr>
            </w:pPr>
            <w:r w:rsidRPr="00CE0BE9">
              <w:rPr>
                <w:b/>
              </w:rPr>
              <w:t>Publication citation</w:t>
            </w:r>
          </w:p>
        </w:tc>
      </w:tr>
      <w:tr w:rsidR="00A51754" w:rsidRPr="00CE0BE9" w:rsidTr="00454F3B">
        <w:tc>
          <w:tcPr>
            <w:tcW w:w="796" w:type="pct"/>
            <w:tcBorders>
              <w:top w:val="single" w:sz="4" w:space="0" w:color="auto"/>
              <w:bottom w:val="nil"/>
            </w:tcBorders>
            <w:vAlign w:val="center"/>
          </w:tcPr>
          <w:p w:rsidR="00A51754" w:rsidRPr="00CE0BE9" w:rsidRDefault="00A51754" w:rsidP="00E9333E">
            <w:pPr>
              <w:pStyle w:val="Tabletext"/>
            </w:pPr>
            <w:proofErr w:type="spellStart"/>
            <w:r w:rsidRPr="00CE0BE9">
              <w:t>Lenalidomide</w:t>
            </w:r>
            <w:proofErr w:type="spellEnd"/>
            <w:r w:rsidRPr="00CE0BE9">
              <w:t xml:space="preserve"> </w:t>
            </w:r>
          </w:p>
        </w:tc>
        <w:tc>
          <w:tcPr>
            <w:tcW w:w="3027" w:type="pct"/>
            <w:tcBorders>
              <w:top w:val="single" w:sz="4" w:space="0" w:color="auto"/>
              <w:bottom w:val="nil"/>
            </w:tcBorders>
            <w:vAlign w:val="center"/>
          </w:tcPr>
          <w:p w:rsidR="00A51754" w:rsidRPr="00CE0BE9" w:rsidRDefault="00A51754" w:rsidP="00E9333E">
            <w:pPr>
              <w:pStyle w:val="Tabletext"/>
              <w:rPr>
                <w:szCs w:val="18"/>
                <w:lang w:val="en-US" w:eastAsia="en-AU"/>
              </w:rPr>
            </w:pPr>
          </w:p>
        </w:tc>
        <w:tc>
          <w:tcPr>
            <w:tcW w:w="1177" w:type="pct"/>
            <w:tcBorders>
              <w:top w:val="single" w:sz="4" w:space="0" w:color="auto"/>
              <w:bottom w:val="nil"/>
            </w:tcBorders>
            <w:vAlign w:val="center"/>
          </w:tcPr>
          <w:p w:rsidR="00A51754" w:rsidRPr="00CE0BE9" w:rsidRDefault="00A51754" w:rsidP="00E9333E">
            <w:pPr>
              <w:pStyle w:val="Tabletext"/>
              <w:rPr>
                <w:szCs w:val="18"/>
                <w:lang w:val="en-US" w:eastAsia="en-AU"/>
              </w:rPr>
            </w:pPr>
          </w:p>
        </w:tc>
      </w:tr>
      <w:tr w:rsidR="00A51754" w:rsidRPr="00CE0BE9" w:rsidTr="00454F3B">
        <w:tc>
          <w:tcPr>
            <w:tcW w:w="796" w:type="pct"/>
            <w:tcBorders>
              <w:top w:val="single" w:sz="4" w:space="0" w:color="auto"/>
              <w:bottom w:val="nil"/>
            </w:tcBorders>
            <w:vAlign w:val="center"/>
          </w:tcPr>
          <w:p w:rsidR="00A51754" w:rsidRPr="00CE0BE9" w:rsidRDefault="00A51754" w:rsidP="00E9333E">
            <w:pPr>
              <w:pStyle w:val="Tabletext"/>
            </w:pPr>
            <w:r w:rsidRPr="00CE0BE9">
              <w:t>CALGB</w:t>
            </w:r>
          </w:p>
        </w:tc>
        <w:tc>
          <w:tcPr>
            <w:tcW w:w="3027" w:type="pct"/>
            <w:tcBorders>
              <w:top w:val="single" w:sz="4" w:space="0" w:color="auto"/>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t xml:space="preserve">CSR. A Phase III Randomized, Double-Blind Study of Maintenance Therapy with </w:t>
            </w:r>
            <w:proofErr w:type="spellStart"/>
            <w:r w:rsidRPr="00CE0BE9">
              <w:rPr>
                <w:szCs w:val="18"/>
                <w:lang w:val="en-US" w:eastAsia="en-AU"/>
              </w:rPr>
              <w:t>Lenalidomide</w:t>
            </w:r>
            <w:proofErr w:type="spellEnd"/>
            <w:r w:rsidRPr="00CE0BE9">
              <w:rPr>
                <w:szCs w:val="18"/>
                <w:lang w:val="en-US" w:eastAsia="en-AU"/>
              </w:rPr>
              <w:t xml:space="preserve"> CC-5013 (NSC#703813, IND #70116) or Placebo Following Autologous Stem Cell Transplantation for Multiple Myeloma</w:t>
            </w:r>
          </w:p>
        </w:tc>
        <w:tc>
          <w:tcPr>
            <w:tcW w:w="1177" w:type="pct"/>
            <w:tcBorders>
              <w:top w:val="single" w:sz="4" w:space="0" w:color="auto"/>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t>January 2016</w:t>
            </w:r>
          </w:p>
        </w:tc>
      </w:tr>
      <w:tr w:rsidR="00A51754" w:rsidRPr="00CE0BE9" w:rsidTr="00454F3B">
        <w:tc>
          <w:tcPr>
            <w:tcW w:w="796" w:type="pct"/>
            <w:tcBorders>
              <w:top w:val="nil"/>
              <w:bottom w:val="nil"/>
            </w:tcBorders>
            <w:vAlign w:val="center"/>
          </w:tcPr>
          <w:p w:rsidR="00A51754" w:rsidRPr="00CE0BE9" w:rsidRDefault="00A51754" w:rsidP="00E9333E">
            <w:pPr>
              <w:pStyle w:val="Tabletext"/>
            </w:pPr>
            <w:r w:rsidRPr="00CE0BE9">
              <w:t>NCT00114101</w:t>
            </w:r>
          </w:p>
        </w:tc>
        <w:tc>
          <w:tcPr>
            <w:tcW w:w="3027" w:type="pct"/>
            <w:tcBorders>
              <w:top w:val="nil"/>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t xml:space="preserve">Holstein SA, Jung S-H, Richardson PG et al.  Updated analysis of CALGB (Alliance) 100104 assessing </w:t>
            </w:r>
            <w:proofErr w:type="spellStart"/>
            <w:r w:rsidRPr="00CE0BE9">
              <w:rPr>
                <w:szCs w:val="18"/>
                <w:lang w:val="en-US" w:eastAsia="en-AU"/>
              </w:rPr>
              <w:t>lenalidomide</w:t>
            </w:r>
            <w:proofErr w:type="spellEnd"/>
            <w:r w:rsidRPr="00CE0BE9">
              <w:rPr>
                <w:szCs w:val="18"/>
                <w:lang w:val="en-US" w:eastAsia="en-AU"/>
              </w:rPr>
              <w:t xml:space="preserve"> versus placebo maintenance after single autologous stem-cell transplantation for multiple myeloma: a </w:t>
            </w:r>
            <w:proofErr w:type="spellStart"/>
            <w:r w:rsidRPr="00CE0BE9">
              <w:rPr>
                <w:szCs w:val="18"/>
                <w:lang w:val="en-US" w:eastAsia="en-AU"/>
              </w:rPr>
              <w:t>randomised</w:t>
            </w:r>
            <w:proofErr w:type="spellEnd"/>
            <w:r w:rsidRPr="00CE0BE9">
              <w:rPr>
                <w:szCs w:val="18"/>
                <w:lang w:val="en-US" w:eastAsia="en-AU"/>
              </w:rPr>
              <w:t>, double-blind, phase 3 trial</w:t>
            </w:r>
          </w:p>
        </w:tc>
        <w:tc>
          <w:tcPr>
            <w:tcW w:w="1177" w:type="pct"/>
            <w:tcBorders>
              <w:top w:val="nil"/>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t xml:space="preserve">Lancet </w:t>
            </w:r>
            <w:proofErr w:type="spellStart"/>
            <w:r w:rsidRPr="00CE0BE9">
              <w:rPr>
                <w:szCs w:val="18"/>
                <w:lang w:val="en-US" w:eastAsia="en-AU"/>
              </w:rPr>
              <w:t>Haematol</w:t>
            </w:r>
            <w:proofErr w:type="spellEnd"/>
            <w:r w:rsidRPr="00CE0BE9">
              <w:rPr>
                <w:szCs w:val="18"/>
                <w:lang w:val="en-US" w:eastAsia="en-AU"/>
              </w:rPr>
              <w:t xml:space="preserve"> 2017; 4(9):e431-442</w:t>
            </w:r>
          </w:p>
        </w:tc>
      </w:tr>
      <w:tr w:rsidR="00A51754" w:rsidRPr="00CE0BE9" w:rsidTr="00454F3B">
        <w:tc>
          <w:tcPr>
            <w:tcW w:w="796" w:type="pct"/>
            <w:tcBorders>
              <w:top w:val="nil"/>
              <w:bottom w:val="nil"/>
            </w:tcBorders>
            <w:vAlign w:val="center"/>
          </w:tcPr>
          <w:p w:rsidR="00A51754" w:rsidRPr="00CE0BE9" w:rsidRDefault="00A51754" w:rsidP="00E9333E">
            <w:pPr>
              <w:pStyle w:val="Tabletext"/>
            </w:pPr>
          </w:p>
        </w:tc>
        <w:tc>
          <w:tcPr>
            <w:tcW w:w="3027" w:type="pct"/>
            <w:tcBorders>
              <w:top w:val="nil"/>
              <w:bottom w:val="nil"/>
            </w:tcBorders>
            <w:vAlign w:val="center"/>
          </w:tcPr>
          <w:p w:rsidR="00A51754" w:rsidRPr="00CE0BE9" w:rsidRDefault="00A51754" w:rsidP="00E9333E">
            <w:pPr>
              <w:pStyle w:val="Tabletext"/>
              <w:rPr>
                <w:szCs w:val="18"/>
                <w:lang w:val="en-US" w:eastAsia="en-AU"/>
              </w:rPr>
            </w:pPr>
            <w:proofErr w:type="spellStart"/>
            <w:r w:rsidRPr="00CE0BE9">
              <w:rPr>
                <w:szCs w:val="18"/>
                <w:lang w:val="en-US" w:eastAsia="en-AU"/>
              </w:rPr>
              <w:t>BresMed</w:t>
            </w:r>
            <w:proofErr w:type="spellEnd"/>
            <w:r w:rsidRPr="00CE0BE9">
              <w:rPr>
                <w:szCs w:val="18"/>
                <w:lang w:val="en-US" w:eastAsia="en-AU"/>
              </w:rPr>
              <w:t xml:space="preserve"> ‘Adjustment for treatment cross-over in the Cancer and </w:t>
            </w:r>
            <w:proofErr w:type="spellStart"/>
            <w:r w:rsidRPr="00CE0BE9">
              <w:rPr>
                <w:szCs w:val="18"/>
                <w:lang w:val="en-US" w:eastAsia="en-AU"/>
              </w:rPr>
              <w:t>Leukaemia</w:t>
            </w:r>
            <w:proofErr w:type="spellEnd"/>
            <w:r w:rsidRPr="00CE0BE9">
              <w:rPr>
                <w:szCs w:val="18"/>
                <w:lang w:val="en-US" w:eastAsia="en-AU"/>
              </w:rPr>
              <w:t xml:space="preserve"> Group B (CALGB) trial in multiple myeloma: Statistical analysis report’</w:t>
            </w:r>
          </w:p>
        </w:tc>
        <w:tc>
          <w:tcPr>
            <w:tcW w:w="1177" w:type="pct"/>
            <w:tcBorders>
              <w:top w:val="nil"/>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t>Feb 23 2017</w:t>
            </w:r>
          </w:p>
        </w:tc>
      </w:tr>
      <w:tr w:rsidR="00A51754" w:rsidRPr="00CE0BE9" w:rsidTr="00454F3B">
        <w:tc>
          <w:tcPr>
            <w:tcW w:w="796" w:type="pct"/>
            <w:tcBorders>
              <w:top w:val="nil"/>
              <w:bottom w:val="nil"/>
            </w:tcBorders>
            <w:vAlign w:val="center"/>
          </w:tcPr>
          <w:p w:rsidR="00A51754" w:rsidRPr="00CE0BE9" w:rsidRDefault="00A51754" w:rsidP="00E9333E">
            <w:pPr>
              <w:pStyle w:val="Tabletext"/>
            </w:pPr>
          </w:p>
        </w:tc>
        <w:tc>
          <w:tcPr>
            <w:tcW w:w="3027" w:type="pct"/>
            <w:tcBorders>
              <w:top w:val="nil"/>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t xml:space="preserve">McCarthy PL, </w:t>
            </w:r>
            <w:proofErr w:type="spellStart"/>
            <w:r w:rsidRPr="00CE0BE9">
              <w:rPr>
                <w:szCs w:val="18"/>
                <w:lang w:val="en-US" w:eastAsia="en-AU"/>
              </w:rPr>
              <w:t>Owzar</w:t>
            </w:r>
            <w:proofErr w:type="spellEnd"/>
            <w:r w:rsidRPr="00CE0BE9">
              <w:rPr>
                <w:szCs w:val="18"/>
                <w:lang w:val="en-US" w:eastAsia="en-AU"/>
              </w:rPr>
              <w:t xml:space="preserve"> K, </w:t>
            </w:r>
            <w:proofErr w:type="spellStart"/>
            <w:r w:rsidRPr="00CE0BE9">
              <w:rPr>
                <w:szCs w:val="18"/>
                <w:lang w:val="en-US" w:eastAsia="en-AU"/>
              </w:rPr>
              <w:t>Hofmeister</w:t>
            </w:r>
            <w:proofErr w:type="spellEnd"/>
            <w:r w:rsidRPr="00CE0BE9">
              <w:rPr>
                <w:szCs w:val="18"/>
                <w:lang w:val="en-US" w:eastAsia="en-AU"/>
              </w:rPr>
              <w:t xml:space="preserve"> CC et al. </w:t>
            </w:r>
            <w:proofErr w:type="spellStart"/>
            <w:r w:rsidRPr="00CE0BE9">
              <w:rPr>
                <w:szCs w:val="18"/>
                <w:lang w:val="en-US" w:eastAsia="en-AU"/>
              </w:rPr>
              <w:t>Lenalidomide</w:t>
            </w:r>
            <w:proofErr w:type="spellEnd"/>
            <w:r w:rsidRPr="00CE0BE9">
              <w:rPr>
                <w:szCs w:val="18"/>
                <w:lang w:val="en-US" w:eastAsia="en-AU"/>
              </w:rPr>
              <w:t xml:space="preserve"> after stem-cell transplantation for multiple myeloma</w:t>
            </w:r>
          </w:p>
        </w:tc>
        <w:tc>
          <w:tcPr>
            <w:tcW w:w="1177" w:type="pct"/>
            <w:tcBorders>
              <w:top w:val="nil"/>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t xml:space="preserve">N </w:t>
            </w:r>
            <w:proofErr w:type="spellStart"/>
            <w:r w:rsidRPr="00CE0BE9">
              <w:rPr>
                <w:szCs w:val="18"/>
                <w:lang w:val="en-US" w:eastAsia="en-AU"/>
              </w:rPr>
              <w:t>Engl</w:t>
            </w:r>
            <w:proofErr w:type="spellEnd"/>
            <w:r w:rsidRPr="00CE0BE9">
              <w:rPr>
                <w:szCs w:val="18"/>
                <w:lang w:val="en-US" w:eastAsia="en-AU"/>
              </w:rPr>
              <w:t xml:space="preserve"> J Med; 2012; 366(19):1770-81</w:t>
            </w:r>
          </w:p>
        </w:tc>
      </w:tr>
      <w:tr w:rsidR="00A51754" w:rsidRPr="00CE0BE9" w:rsidTr="00454F3B">
        <w:tc>
          <w:tcPr>
            <w:tcW w:w="796" w:type="pct"/>
            <w:tcBorders>
              <w:top w:val="nil"/>
              <w:bottom w:val="nil"/>
            </w:tcBorders>
            <w:vAlign w:val="center"/>
          </w:tcPr>
          <w:p w:rsidR="00A51754" w:rsidRPr="00CE0BE9" w:rsidRDefault="00A51754" w:rsidP="00E9333E">
            <w:pPr>
              <w:pStyle w:val="Tabletext"/>
            </w:pPr>
          </w:p>
        </w:tc>
        <w:tc>
          <w:tcPr>
            <w:tcW w:w="3027" w:type="pct"/>
            <w:tcBorders>
              <w:top w:val="nil"/>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t xml:space="preserve">McCarthy PL, Holstein SA, Jung S-H et al.  CALGB/ECOG 100104 (Alliance) study: </w:t>
            </w:r>
            <w:proofErr w:type="spellStart"/>
            <w:r w:rsidRPr="00CE0BE9">
              <w:rPr>
                <w:szCs w:val="18"/>
                <w:lang w:val="en-US" w:eastAsia="en-AU"/>
              </w:rPr>
              <w:t>Lenalidomide</w:t>
            </w:r>
            <w:proofErr w:type="spellEnd"/>
            <w:r w:rsidRPr="00CE0BE9">
              <w:rPr>
                <w:szCs w:val="18"/>
                <w:lang w:val="en-US" w:eastAsia="en-AU"/>
              </w:rPr>
              <w:t xml:space="preserve"> (LEN) vs placebo (PBO) maintenance (</w:t>
            </w:r>
            <w:proofErr w:type="spellStart"/>
            <w:r w:rsidRPr="00CE0BE9">
              <w:rPr>
                <w:szCs w:val="18"/>
                <w:lang w:val="en-US" w:eastAsia="en-AU"/>
              </w:rPr>
              <w:t>maint</w:t>
            </w:r>
            <w:proofErr w:type="spellEnd"/>
            <w:r w:rsidRPr="00CE0BE9">
              <w:rPr>
                <w:szCs w:val="18"/>
                <w:lang w:val="en-US" w:eastAsia="en-AU"/>
              </w:rPr>
              <w:t>) after stem cell transplant (SCT) for patients (pts) with multiple myeloma-Overall survival (OS) and progression-free survival (PFS) adjusted for treatment (</w:t>
            </w:r>
            <w:proofErr w:type="spellStart"/>
            <w:r w:rsidRPr="00CE0BE9">
              <w:rPr>
                <w:szCs w:val="18"/>
                <w:lang w:val="en-US" w:eastAsia="en-AU"/>
              </w:rPr>
              <w:t>tx</w:t>
            </w:r>
            <w:proofErr w:type="spellEnd"/>
            <w:r w:rsidRPr="00CE0BE9">
              <w:rPr>
                <w:szCs w:val="18"/>
                <w:lang w:val="en-US" w:eastAsia="en-AU"/>
              </w:rPr>
              <w:t xml:space="preserve">) cross-over (XO) </w:t>
            </w:r>
          </w:p>
        </w:tc>
        <w:tc>
          <w:tcPr>
            <w:tcW w:w="1177" w:type="pct"/>
            <w:tcBorders>
              <w:top w:val="nil"/>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t>Journal of Clinical Oncology; 35:15 Supplement 1</w:t>
            </w:r>
          </w:p>
        </w:tc>
      </w:tr>
      <w:tr w:rsidR="00A51754" w:rsidRPr="00CE0BE9" w:rsidTr="00454F3B">
        <w:tc>
          <w:tcPr>
            <w:tcW w:w="796" w:type="pct"/>
            <w:tcBorders>
              <w:top w:val="nil"/>
              <w:bottom w:val="nil"/>
            </w:tcBorders>
            <w:vAlign w:val="center"/>
          </w:tcPr>
          <w:p w:rsidR="00A51754" w:rsidRPr="00CE0BE9" w:rsidRDefault="00A51754" w:rsidP="00E9333E">
            <w:pPr>
              <w:pStyle w:val="Tabletext"/>
            </w:pPr>
          </w:p>
        </w:tc>
        <w:tc>
          <w:tcPr>
            <w:tcW w:w="3027" w:type="pct"/>
            <w:tcBorders>
              <w:top w:val="nil"/>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t xml:space="preserve">McCarthy PL, </w:t>
            </w:r>
            <w:proofErr w:type="spellStart"/>
            <w:r w:rsidRPr="00CE0BE9">
              <w:rPr>
                <w:szCs w:val="18"/>
                <w:lang w:val="en-US" w:eastAsia="en-AU"/>
              </w:rPr>
              <w:t>Owzar</w:t>
            </w:r>
            <w:proofErr w:type="spellEnd"/>
            <w:r w:rsidRPr="00CE0BE9">
              <w:rPr>
                <w:szCs w:val="18"/>
                <w:lang w:val="en-US" w:eastAsia="en-AU"/>
              </w:rPr>
              <w:t xml:space="preserve"> K, </w:t>
            </w:r>
            <w:proofErr w:type="spellStart"/>
            <w:r w:rsidRPr="00CE0BE9">
              <w:rPr>
                <w:szCs w:val="18"/>
                <w:lang w:val="en-US" w:eastAsia="en-AU"/>
              </w:rPr>
              <w:t>Hofmeister</w:t>
            </w:r>
            <w:proofErr w:type="spellEnd"/>
            <w:r w:rsidRPr="00CE0BE9">
              <w:rPr>
                <w:szCs w:val="18"/>
                <w:lang w:val="en-US" w:eastAsia="en-AU"/>
              </w:rPr>
              <w:t xml:space="preserve"> CC et al.</w:t>
            </w:r>
            <w:r w:rsidRPr="00CE0BE9">
              <w:t xml:space="preserve"> </w:t>
            </w:r>
            <w:r w:rsidRPr="00CE0BE9">
              <w:rPr>
                <w:szCs w:val="18"/>
                <w:lang w:val="en-US" w:eastAsia="en-AU"/>
              </w:rPr>
              <w:t xml:space="preserve">Analysis of overall survival (OS) in the context of cross-over from placebo to </w:t>
            </w:r>
            <w:proofErr w:type="spellStart"/>
            <w:r w:rsidRPr="00CE0BE9">
              <w:rPr>
                <w:szCs w:val="18"/>
                <w:lang w:val="en-US" w:eastAsia="en-AU"/>
              </w:rPr>
              <w:t>lenalidomide</w:t>
            </w:r>
            <w:proofErr w:type="spellEnd"/>
            <w:r w:rsidRPr="00CE0BE9">
              <w:rPr>
                <w:szCs w:val="18"/>
                <w:lang w:val="en-US" w:eastAsia="en-AU"/>
              </w:rPr>
              <w:t xml:space="preserve"> and the incidence of second primary malignancies (SPM) in the phase iii study of </w:t>
            </w:r>
            <w:proofErr w:type="spellStart"/>
            <w:r w:rsidRPr="00CE0BE9">
              <w:rPr>
                <w:szCs w:val="18"/>
                <w:lang w:val="en-US" w:eastAsia="en-AU"/>
              </w:rPr>
              <w:t>lenalidomide</w:t>
            </w:r>
            <w:proofErr w:type="spellEnd"/>
            <w:r w:rsidRPr="00CE0BE9">
              <w:rPr>
                <w:szCs w:val="18"/>
                <w:lang w:val="en-US" w:eastAsia="en-AU"/>
              </w:rPr>
              <w:t xml:space="preserve"> versus placebo maintenance therapy following autologous stem cell transplant (ASCT) for multiple myeloma (MM) CALGB (alliance) ECOG BMTCTN 100104’</w:t>
            </w:r>
          </w:p>
        </w:tc>
        <w:tc>
          <w:tcPr>
            <w:tcW w:w="1177" w:type="pct"/>
            <w:tcBorders>
              <w:top w:val="nil"/>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t>Clinical Lymphoma, Myeloma and Leukemia 2013; 13:28</w:t>
            </w:r>
          </w:p>
        </w:tc>
      </w:tr>
      <w:tr w:rsidR="00A51754" w:rsidRPr="00CE0BE9" w:rsidTr="00454F3B">
        <w:tc>
          <w:tcPr>
            <w:tcW w:w="796" w:type="pct"/>
            <w:tcBorders>
              <w:top w:val="nil"/>
              <w:bottom w:val="nil"/>
            </w:tcBorders>
            <w:vAlign w:val="center"/>
          </w:tcPr>
          <w:p w:rsidR="00A51754" w:rsidRPr="00CE0BE9" w:rsidRDefault="00A51754" w:rsidP="00E9333E">
            <w:pPr>
              <w:pStyle w:val="Tabletext"/>
            </w:pPr>
          </w:p>
        </w:tc>
        <w:tc>
          <w:tcPr>
            <w:tcW w:w="3027" w:type="pct"/>
            <w:tcBorders>
              <w:top w:val="nil"/>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t xml:space="preserve">McCarthy PL, </w:t>
            </w:r>
            <w:proofErr w:type="spellStart"/>
            <w:r w:rsidRPr="00CE0BE9">
              <w:rPr>
                <w:szCs w:val="18"/>
                <w:lang w:val="en-US" w:eastAsia="en-AU"/>
              </w:rPr>
              <w:t>Owzar</w:t>
            </w:r>
            <w:proofErr w:type="spellEnd"/>
            <w:r w:rsidRPr="00CE0BE9">
              <w:rPr>
                <w:szCs w:val="18"/>
                <w:lang w:val="en-US" w:eastAsia="en-AU"/>
              </w:rPr>
              <w:t xml:space="preserve"> K, Anderson KC, Phase III intergroup study of </w:t>
            </w:r>
            <w:proofErr w:type="spellStart"/>
            <w:r w:rsidRPr="00CE0BE9">
              <w:rPr>
                <w:szCs w:val="18"/>
                <w:lang w:val="en-US" w:eastAsia="en-AU"/>
              </w:rPr>
              <w:t>lenalidomide</w:t>
            </w:r>
            <w:proofErr w:type="spellEnd"/>
            <w:r w:rsidRPr="00CE0BE9">
              <w:rPr>
                <w:szCs w:val="18"/>
                <w:lang w:val="en-US" w:eastAsia="en-AU"/>
              </w:rPr>
              <w:t xml:space="preserve"> versus placebo maintenance therapy following single autologous stem cell transplant (ASCT) for multiple myeloma (MM): CALGB 100104</w:t>
            </w:r>
          </w:p>
        </w:tc>
        <w:tc>
          <w:tcPr>
            <w:tcW w:w="1177" w:type="pct"/>
            <w:tcBorders>
              <w:top w:val="nil"/>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t>Blood 2010; Conference: 52nd Annual Meeting of the American Society of Hematology, ASH. 21; 116</w:t>
            </w:r>
          </w:p>
        </w:tc>
      </w:tr>
      <w:tr w:rsidR="00A51754" w:rsidRPr="00CE0BE9" w:rsidTr="00454F3B">
        <w:tc>
          <w:tcPr>
            <w:tcW w:w="796" w:type="pct"/>
            <w:tcBorders>
              <w:top w:val="nil"/>
              <w:bottom w:val="single" w:sz="4" w:space="0" w:color="auto"/>
            </w:tcBorders>
            <w:vAlign w:val="center"/>
          </w:tcPr>
          <w:p w:rsidR="00A51754" w:rsidRPr="00CE0BE9" w:rsidRDefault="00A51754" w:rsidP="00E9333E">
            <w:pPr>
              <w:pStyle w:val="Tabletext"/>
            </w:pPr>
          </w:p>
        </w:tc>
        <w:tc>
          <w:tcPr>
            <w:tcW w:w="3027" w:type="pct"/>
            <w:tcBorders>
              <w:top w:val="nil"/>
              <w:bottom w:val="single" w:sz="4" w:space="0" w:color="auto"/>
            </w:tcBorders>
            <w:vAlign w:val="center"/>
          </w:tcPr>
          <w:p w:rsidR="00A51754" w:rsidRPr="00CE0BE9" w:rsidRDefault="00A51754" w:rsidP="00E9333E">
            <w:pPr>
              <w:pStyle w:val="Tabletext"/>
              <w:rPr>
                <w:szCs w:val="18"/>
                <w:lang w:val="en-US" w:eastAsia="en-AU"/>
              </w:rPr>
            </w:pPr>
            <w:r w:rsidRPr="00CE0BE9">
              <w:rPr>
                <w:szCs w:val="18"/>
                <w:lang w:val="en-US" w:eastAsia="en-AU"/>
              </w:rPr>
              <w:t xml:space="preserve">McCarthy PL et al. ‘Phase III intergroup study of </w:t>
            </w:r>
            <w:proofErr w:type="spellStart"/>
            <w:r w:rsidRPr="00CE0BE9">
              <w:rPr>
                <w:szCs w:val="18"/>
                <w:lang w:val="en-US" w:eastAsia="en-AU"/>
              </w:rPr>
              <w:t>lenalidomide</w:t>
            </w:r>
            <w:proofErr w:type="spellEnd"/>
            <w:r w:rsidRPr="00CE0BE9">
              <w:rPr>
                <w:szCs w:val="18"/>
                <w:lang w:val="en-US" w:eastAsia="en-AU"/>
              </w:rPr>
              <w:t xml:space="preserve"> versus placebo maintenance therapy following single autologous stem cell transplant (ASCT) for multiple myeloma (MM): </w:t>
            </w:r>
            <w:proofErr w:type="spellStart"/>
            <w:r w:rsidRPr="00CE0BE9">
              <w:rPr>
                <w:szCs w:val="18"/>
                <w:lang w:val="en-US" w:eastAsia="en-AU"/>
              </w:rPr>
              <w:t>Calgb</w:t>
            </w:r>
            <w:proofErr w:type="spellEnd"/>
            <w:r w:rsidRPr="00CE0BE9">
              <w:rPr>
                <w:szCs w:val="18"/>
                <w:lang w:val="en-US" w:eastAsia="en-AU"/>
              </w:rPr>
              <w:t xml:space="preserve"> </w:t>
            </w:r>
            <w:proofErr w:type="spellStart"/>
            <w:r w:rsidRPr="00CE0BE9">
              <w:rPr>
                <w:szCs w:val="18"/>
                <w:lang w:val="en-US" w:eastAsia="en-AU"/>
              </w:rPr>
              <w:t>ecog</w:t>
            </w:r>
            <w:proofErr w:type="spellEnd"/>
            <w:r w:rsidRPr="00CE0BE9">
              <w:rPr>
                <w:szCs w:val="18"/>
                <w:lang w:val="en-US" w:eastAsia="en-AU"/>
              </w:rPr>
              <w:t xml:space="preserve"> BMT-CTN 100104’. </w:t>
            </w:r>
          </w:p>
        </w:tc>
        <w:tc>
          <w:tcPr>
            <w:tcW w:w="1177" w:type="pct"/>
            <w:tcBorders>
              <w:top w:val="nil"/>
              <w:bottom w:val="single" w:sz="4" w:space="0" w:color="auto"/>
            </w:tcBorders>
            <w:vAlign w:val="center"/>
          </w:tcPr>
          <w:p w:rsidR="00A51754" w:rsidRPr="00CE0BE9" w:rsidRDefault="00A51754" w:rsidP="00E9333E">
            <w:pPr>
              <w:pStyle w:val="Tabletext"/>
              <w:rPr>
                <w:szCs w:val="18"/>
                <w:lang w:val="en-US" w:eastAsia="en-AU"/>
              </w:rPr>
            </w:pPr>
            <w:proofErr w:type="spellStart"/>
            <w:r w:rsidRPr="00CE0BE9">
              <w:rPr>
                <w:szCs w:val="18"/>
                <w:lang w:val="en-US" w:eastAsia="en-AU"/>
              </w:rPr>
              <w:t>Haematologica</w:t>
            </w:r>
            <w:proofErr w:type="spellEnd"/>
            <w:r w:rsidRPr="00CE0BE9">
              <w:rPr>
                <w:szCs w:val="18"/>
                <w:lang w:val="en-US" w:eastAsia="en-AU"/>
              </w:rPr>
              <w:t xml:space="preserve"> 2011; 96:S23 </w:t>
            </w:r>
          </w:p>
        </w:tc>
      </w:tr>
      <w:tr w:rsidR="00A51754" w:rsidRPr="00CE0BE9" w:rsidTr="00454F3B">
        <w:tc>
          <w:tcPr>
            <w:tcW w:w="796" w:type="pct"/>
            <w:tcBorders>
              <w:top w:val="single" w:sz="4" w:space="0" w:color="auto"/>
              <w:bottom w:val="nil"/>
            </w:tcBorders>
            <w:vAlign w:val="center"/>
          </w:tcPr>
          <w:p w:rsidR="00A51754" w:rsidRPr="00CE0BE9" w:rsidRDefault="00A51754" w:rsidP="00E9333E">
            <w:pPr>
              <w:pStyle w:val="Tabletext"/>
            </w:pPr>
            <w:r w:rsidRPr="00CE0BE9">
              <w:t>IFM 2005-02</w:t>
            </w:r>
          </w:p>
        </w:tc>
        <w:tc>
          <w:tcPr>
            <w:tcW w:w="3027" w:type="pct"/>
            <w:tcBorders>
              <w:top w:val="single" w:sz="4" w:space="0" w:color="auto"/>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t xml:space="preserve">CSR. Benefit of A Maintenance Treatment With </w:t>
            </w:r>
            <w:proofErr w:type="spellStart"/>
            <w:r w:rsidRPr="00CE0BE9">
              <w:rPr>
                <w:szCs w:val="18"/>
                <w:lang w:val="en-US" w:eastAsia="en-AU"/>
              </w:rPr>
              <w:t>Lenalidomide</w:t>
            </w:r>
            <w:proofErr w:type="spellEnd"/>
            <w:r w:rsidRPr="00CE0BE9">
              <w:rPr>
                <w:szCs w:val="18"/>
                <w:lang w:val="en-US" w:eastAsia="en-AU"/>
              </w:rPr>
              <w:t xml:space="preserve"> Following Autologous Stem Cell Transplantation in Patients With Myeloma Aged Less Than 65 Years</w:t>
            </w:r>
          </w:p>
        </w:tc>
        <w:tc>
          <w:tcPr>
            <w:tcW w:w="1177" w:type="pct"/>
            <w:tcBorders>
              <w:top w:val="single" w:sz="4" w:space="0" w:color="auto"/>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t>29 April 2016</w:t>
            </w:r>
          </w:p>
        </w:tc>
      </w:tr>
      <w:tr w:rsidR="00A51754" w:rsidRPr="00CE0BE9" w:rsidTr="00454F3B">
        <w:tc>
          <w:tcPr>
            <w:tcW w:w="796" w:type="pct"/>
            <w:tcBorders>
              <w:top w:val="nil"/>
              <w:bottom w:val="nil"/>
            </w:tcBorders>
            <w:vAlign w:val="center"/>
          </w:tcPr>
          <w:p w:rsidR="00A51754" w:rsidRPr="00CE0BE9" w:rsidRDefault="00A51754" w:rsidP="00E9333E">
            <w:pPr>
              <w:pStyle w:val="Tabletext"/>
            </w:pPr>
            <w:r w:rsidRPr="00CE0BE9">
              <w:t>NCT00430365</w:t>
            </w:r>
          </w:p>
        </w:tc>
        <w:tc>
          <w:tcPr>
            <w:tcW w:w="3027" w:type="pct"/>
            <w:tcBorders>
              <w:top w:val="nil"/>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t xml:space="preserve">Attal M, </w:t>
            </w:r>
            <w:proofErr w:type="spellStart"/>
            <w:r w:rsidRPr="00CE0BE9">
              <w:rPr>
                <w:szCs w:val="18"/>
                <w:lang w:val="en-US" w:eastAsia="en-AU"/>
              </w:rPr>
              <w:t>Lauwers-Cances</w:t>
            </w:r>
            <w:proofErr w:type="spellEnd"/>
            <w:r w:rsidRPr="00CE0BE9">
              <w:rPr>
                <w:szCs w:val="18"/>
                <w:lang w:val="en-US" w:eastAsia="en-AU"/>
              </w:rPr>
              <w:t xml:space="preserve"> V, </w:t>
            </w:r>
            <w:proofErr w:type="spellStart"/>
            <w:r w:rsidRPr="00CE0BE9">
              <w:rPr>
                <w:szCs w:val="18"/>
                <w:lang w:val="en-US" w:eastAsia="en-AU"/>
              </w:rPr>
              <w:t>Marit</w:t>
            </w:r>
            <w:proofErr w:type="spellEnd"/>
            <w:r w:rsidRPr="00CE0BE9">
              <w:rPr>
                <w:szCs w:val="18"/>
                <w:lang w:val="en-US" w:eastAsia="en-AU"/>
              </w:rPr>
              <w:t xml:space="preserve"> G et al., </w:t>
            </w:r>
            <w:proofErr w:type="spellStart"/>
            <w:r w:rsidRPr="00CE0BE9">
              <w:rPr>
                <w:szCs w:val="18"/>
                <w:lang w:val="en-US" w:eastAsia="en-AU"/>
              </w:rPr>
              <w:t>Lenalidomide</w:t>
            </w:r>
            <w:proofErr w:type="spellEnd"/>
            <w:r w:rsidRPr="00CE0BE9">
              <w:rPr>
                <w:szCs w:val="18"/>
                <w:lang w:val="en-US" w:eastAsia="en-AU"/>
              </w:rPr>
              <w:t xml:space="preserve"> Maintenance after Stem-Cell Transplantation for Multiple Myeloma</w:t>
            </w:r>
          </w:p>
        </w:tc>
        <w:tc>
          <w:tcPr>
            <w:tcW w:w="1177" w:type="pct"/>
            <w:tcBorders>
              <w:top w:val="nil"/>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t xml:space="preserve">N </w:t>
            </w:r>
            <w:proofErr w:type="spellStart"/>
            <w:r w:rsidRPr="00CE0BE9">
              <w:rPr>
                <w:szCs w:val="18"/>
                <w:lang w:val="en-US" w:eastAsia="en-AU"/>
              </w:rPr>
              <w:t>Engl</w:t>
            </w:r>
            <w:proofErr w:type="spellEnd"/>
            <w:r w:rsidRPr="00CE0BE9">
              <w:rPr>
                <w:szCs w:val="18"/>
                <w:lang w:val="en-US" w:eastAsia="en-AU"/>
              </w:rPr>
              <w:t xml:space="preserve"> J Med 2012; 2012366(19):1782-91</w:t>
            </w:r>
          </w:p>
        </w:tc>
      </w:tr>
      <w:tr w:rsidR="00A51754" w:rsidRPr="00CE0BE9" w:rsidTr="00454F3B">
        <w:tc>
          <w:tcPr>
            <w:tcW w:w="796" w:type="pct"/>
            <w:tcBorders>
              <w:top w:val="nil"/>
              <w:bottom w:val="nil"/>
            </w:tcBorders>
            <w:vAlign w:val="center"/>
          </w:tcPr>
          <w:p w:rsidR="00A51754" w:rsidRPr="00CE0BE9" w:rsidRDefault="00A51754" w:rsidP="00E9333E">
            <w:pPr>
              <w:pStyle w:val="Tabletext"/>
            </w:pPr>
          </w:p>
        </w:tc>
        <w:tc>
          <w:tcPr>
            <w:tcW w:w="3027" w:type="pct"/>
            <w:tcBorders>
              <w:top w:val="nil"/>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t xml:space="preserve">Attal M, </w:t>
            </w:r>
            <w:proofErr w:type="spellStart"/>
            <w:r w:rsidRPr="00CE0BE9">
              <w:rPr>
                <w:szCs w:val="18"/>
                <w:lang w:val="en-US" w:eastAsia="en-AU"/>
              </w:rPr>
              <w:t>Lauwers-Cances</w:t>
            </w:r>
            <w:proofErr w:type="spellEnd"/>
            <w:r w:rsidRPr="00CE0BE9">
              <w:rPr>
                <w:szCs w:val="18"/>
                <w:lang w:val="en-US" w:eastAsia="en-AU"/>
              </w:rPr>
              <w:t xml:space="preserve"> V, </w:t>
            </w:r>
            <w:proofErr w:type="spellStart"/>
            <w:r w:rsidRPr="00CE0BE9">
              <w:rPr>
                <w:szCs w:val="18"/>
                <w:lang w:val="en-US" w:eastAsia="en-AU"/>
              </w:rPr>
              <w:t>Marit</w:t>
            </w:r>
            <w:proofErr w:type="spellEnd"/>
            <w:r w:rsidRPr="00CE0BE9">
              <w:rPr>
                <w:szCs w:val="18"/>
                <w:lang w:val="en-US" w:eastAsia="en-AU"/>
              </w:rPr>
              <w:t xml:space="preserve"> G et al., </w:t>
            </w:r>
            <w:proofErr w:type="spellStart"/>
            <w:r w:rsidRPr="00CE0BE9">
              <w:rPr>
                <w:szCs w:val="18"/>
                <w:lang w:val="en-US" w:eastAsia="en-AU"/>
              </w:rPr>
              <w:t>Lenalidomide</w:t>
            </w:r>
            <w:proofErr w:type="spellEnd"/>
            <w:r w:rsidRPr="00CE0BE9">
              <w:rPr>
                <w:szCs w:val="18"/>
                <w:lang w:val="en-US" w:eastAsia="en-AU"/>
              </w:rPr>
              <w:t xml:space="preserve"> maintenance after stem-cell transplantation for multiple myeloma: Follow-up analysis of the </w:t>
            </w:r>
            <w:r w:rsidRPr="00CE0BE9">
              <w:rPr>
                <w:szCs w:val="18"/>
                <w:lang w:val="en-US" w:eastAsia="en-AU"/>
              </w:rPr>
              <w:lastRenderedPageBreak/>
              <w:t>IFM 2005-02 trial</w:t>
            </w:r>
          </w:p>
        </w:tc>
        <w:tc>
          <w:tcPr>
            <w:tcW w:w="1177" w:type="pct"/>
            <w:tcBorders>
              <w:top w:val="nil"/>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lastRenderedPageBreak/>
              <w:t xml:space="preserve">Blood 2013; Conference: 55th Annual Meeting of the </w:t>
            </w:r>
            <w:r w:rsidRPr="00CE0BE9">
              <w:rPr>
                <w:szCs w:val="18"/>
                <w:lang w:val="en-US" w:eastAsia="en-AU"/>
              </w:rPr>
              <w:lastRenderedPageBreak/>
              <w:t xml:space="preserve">American Society of Hematology, ASH;122 (406)  </w:t>
            </w:r>
          </w:p>
        </w:tc>
      </w:tr>
      <w:tr w:rsidR="00A51754" w:rsidRPr="00CE0BE9" w:rsidTr="00454F3B">
        <w:tc>
          <w:tcPr>
            <w:tcW w:w="796" w:type="pct"/>
            <w:tcBorders>
              <w:top w:val="nil"/>
              <w:bottom w:val="nil"/>
            </w:tcBorders>
            <w:vAlign w:val="center"/>
          </w:tcPr>
          <w:p w:rsidR="00A51754" w:rsidRPr="00CE0BE9" w:rsidRDefault="00A51754" w:rsidP="00E9333E">
            <w:pPr>
              <w:pStyle w:val="Tabletext"/>
            </w:pPr>
          </w:p>
        </w:tc>
        <w:tc>
          <w:tcPr>
            <w:tcW w:w="3027" w:type="pct"/>
            <w:tcBorders>
              <w:top w:val="nil"/>
              <w:bottom w:val="nil"/>
            </w:tcBorders>
            <w:vAlign w:val="center"/>
          </w:tcPr>
          <w:p w:rsidR="00A51754" w:rsidRPr="00CE0BE9" w:rsidRDefault="00A51754" w:rsidP="00E9333E">
            <w:pPr>
              <w:pStyle w:val="Tabletext"/>
              <w:rPr>
                <w:szCs w:val="18"/>
                <w:lang w:val="en-US" w:eastAsia="en-AU"/>
              </w:rPr>
            </w:pPr>
            <w:proofErr w:type="spellStart"/>
            <w:r w:rsidRPr="00CE0BE9">
              <w:rPr>
                <w:szCs w:val="18"/>
                <w:lang w:val="en-US" w:eastAsia="en-AU"/>
              </w:rPr>
              <w:t>Marit</w:t>
            </w:r>
            <w:proofErr w:type="spellEnd"/>
            <w:r w:rsidRPr="00CE0BE9">
              <w:rPr>
                <w:szCs w:val="18"/>
                <w:lang w:val="en-US" w:eastAsia="en-AU"/>
              </w:rPr>
              <w:t xml:space="preserve"> G, </w:t>
            </w:r>
            <w:proofErr w:type="spellStart"/>
            <w:r w:rsidRPr="00CE0BE9">
              <w:rPr>
                <w:szCs w:val="18"/>
                <w:lang w:val="en-US" w:eastAsia="en-AU"/>
              </w:rPr>
              <w:t>Lauwer-Cances</w:t>
            </w:r>
            <w:proofErr w:type="spellEnd"/>
            <w:r w:rsidRPr="00CE0BE9">
              <w:rPr>
                <w:szCs w:val="18"/>
                <w:lang w:val="en-US" w:eastAsia="en-AU"/>
              </w:rPr>
              <w:t xml:space="preserve"> V, </w:t>
            </w:r>
            <w:proofErr w:type="spellStart"/>
            <w:r w:rsidRPr="00CE0BE9">
              <w:rPr>
                <w:szCs w:val="18"/>
                <w:lang w:val="en-US" w:eastAsia="en-AU"/>
              </w:rPr>
              <w:t>Caillot</w:t>
            </w:r>
            <w:proofErr w:type="spellEnd"/>
            <w:r w:rsidRPr="00CE0BE9">
              <w:rPr>
                <w:szCs w:val="18"/>
                <w:lang w:val="en-US" w:eastAsia="en-AU"/>
              </w:rPr>
              <w:t xml:space="preserve"> D et al., Prognostic factors affecting progression free survival for multiple myeloma patients receiving </w:t>
            </w:r>
            <w:proofErr w:type="spellStart"/>
            <w:r w:rsidRPr="00CE0BE9">
              <w:rPr>
                <w:szCs w:val="18"/>
                <w:lang w:val="en-US" w:eastAsia="en-AU"/>
              </w:rPr>
              <w:t>lenalidomide</w:t>
            </w:r>
            <w:proofErr w:type="spellEnd"/>
            <w:r w:rsidRPr="00CE0BE9">
              <w:rPr>
                <w:szCs w:val="18"/>
                <w:lang w:val="en-US" w:eastAsia="en-AU"/>
              </w:rPr>
              <w:t xml:space="preserve"> maintenance after autologous transplantation. Follow-up analysis of the IFM 2005-02 trial</w:t>
            </w:r>
          </w:p>
        </w:tc>
        <w:tc>
          <w:tcPr>
            <w:tcW w:w="1177" w:type="pct"/>
            <w:tcBorders>
              <w:top w:val="nil"/>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t>Blood 2013. Conference: 55th Annual Meeting of the American Society of Hematology, ASH. 122 (21)</w:t>
            </w:r>
          </w:p>
        </w:tc>
      </w:tr>
      <w:tr w:rsidR="00A51754" w:rsidRPr="00CE0BE9" w:rsidTr="00454F3B">
        <w:tc>
          <w:tcPr>
            <w:tcW w:w="796" w:type="pct"/>
            <w:tcBorders>
              <w:top w:val="nil"/>
              <w:bottom w:val="single" w:sz="4" w:space="0" w:color="auto"/>
            </w:tcBorders>
            <w:vAlign w:val="center"/>
          </w:tcPr>
          <w:p w:rsidR="00A51754" w:rsidRPr="00CE0BE9" w:rsidRDefault="00A51754" w:rsidP="00E9333E">
            <w:pPr>
              <w:pStyle w:val="Tabletext"/>
            </w:pPr>
          </w:p>
        </w:tc>
        <w:tc>
          <w:tcPr>
            <w:tcW w:w="3027" w:type="pct"/>
            <w:tcBorders>
              <w:top w:val="nil"/>
              <w:bottom w:val="single" w:sz="4" w:space="0" w:color="auto"/>
            </w:tcBorders>
            <w:vAlign w:val="center"/>
          </w:tcPr>
          <w:p w:rsidR="00A51754" w:rsidRPr="00CE0BE9" w:rsidRDefault="00A51754" w:rsidP="00E9333E">
            <w:pPr>
              <w:pStyle w:val="Tabletext"/>
              <w:rPr>
                <w:szCs w:val="18"/>
                <w:lang w:val="en-US" w:eastAsia="en-AU"/>
              </w:rPr>
            </w:pPr>
            <w:r w:rsidRPr="00CE0BE9">
              <w:rPr>
                <w:szCs w:val="18"/>
                <w:lang w:val="en-US" w:eastAsia="en-AU"/>
              </w:rPr>
              <w:t xml:space="preserve">Attal M, </w:t>
            </w:r>
            <w:proofErr w:type="spellStart"/>
            <w:r w:rsidRPr="00CE0BE9">
              <w:rPr>
                <w:szCs w:val="18"/>
                <w:lang w:val="en-US" w:eastAsia="en-AU"/>
              </w:rPr>
              <w:t>Lauwers-Cances</w:t>
            </w:r>
            <w:proofErr w:type="spellEnd"/>
            <w:r w:rsidRPr="00CE0BE9">
              <w:rPr>
                <w:szCs w:val="18"/>
                <w:lang w:val="en-US" w:eastAsia="en-AU"/>
              </w:rPr>
              <w:t xml:space="preserve"> V, </w:t>
            </w:r>
            <w:proofErr w:type="spellStart"/>
            <w:r w:rsidRPr="00CE0BE9">
              <w:rPr>
                <w:szCs w:val="18"/>
                <w:lang w:val="en-US" w:eastAsia="en-AU"/>
              </w:rPr>
              <w:t>Marit</w:t>
            </w:r>
            <w:proofErr w:type="spellEnd"/>
            <w:r w:rsidRPr="00CE0BE9">
              <w:rPr>
                <w:szCs w:val="18"/>
                <w:lang w:val="en-US" w:eastAsia="en-AU"/>
              </w:rPr>
              <w:t xml:space="preserve"> G et al., Maintenance treatment with </w:t>
            </w:r>
            <w:proofErr w:type="spellStart"/>
            <w:r w:rsidRPr="00CE0BE9">
              <w:rPr>
                <w:szCs w:val="18"/>
                <w:lang w:val="en-US" w:eastAsia="en-AU"/>
              </w:rPr>
              <w:t>lenalidomide</w:t>
            </w:r>
            <w:proofErr w:type="spellEnd"/>
            <w:r w:rsidRPr="00CE0BE9">
              <w:rPr>
                <w:szCs w:val="18"/>
                <w:lang w:val="en-US" w:eastAsia="en-AU"/>
              </w:rPr>
              <w:t xml:space="preserve"> after transplantation for MYELOMA: Final analysis of the IFM 2005-02</w:t>
            </w:r>
          </w:p>
        </w:tc>
        <w:tc>
          <w:tcPr>
            <w:tcW w:w="1177" w:type="pct"/>
            <w:tcBorders>
              <w:top w:val="nil"/>
              <w:bottom w:val="single" w:sz="4" w:space="0" w:color="auto"/>
            </w:tcBorders>
            <w:vAlign w:val="center"/>
          </w:tcPr>
          <w:p w:rsidR="00A51754" w:rsidRPr="00CE0BE9" w:rsidRDefault="00A51754" w:rsidP="00E9333E">
            <w:pPr>
              <w:pStyle w:val="Tabletext"/>
              <w:rPr>
                <w:szCs w:val="18"/>
                <w:lang w:val="en-US" w:eastAsia="en-AU"/>
              </w:rPr>
            </w:pPr>
            <w:r w:rsidRPr="00CE0BE9">
              <w:rPr>
                <w:szCs w:val="18"/>
                <w:lang w:val="en-US" w:eastAsia="en-AU"/>
              </w:rPr>
              <w:t>Blood 2010. Conference: 52nd Annual Meeting of the American Society of Hematology, ASH; 116 (21)</w:t>
            </w:r>
          </w:p>
        </w:tc>
      </w:tr>
      <w:tr w:rsidR="00A51754" w:rsidRPr="00CE0BE9" w:rsidTr="00454F3B">
        <w:tc>
          <w:tcPr>
            <w:tcW w:w="796" w:type="pct"/>
            <w:tcBorders>
              <w:top w:val="single" w:sz="4" w:space="0" w:color="auto"/>
              <w:bottom w:val="nil"/>
            </w:tcBorders>
            <w:vAlign w:val="center"/>
          </w:tcPr>
          <w:p w:rsidR="00A51754" w:rsidRPr="00CE0BE9" w:rsidRDefault="00A51754" w:rsidP="00E9333E">
            <w:pPr>
              <w:pStyle w:val="Tabletext"/>
            </w:pPr>
            <w:r w:rsidRPr="00CE0BE9">
              <w:t>GIMEMA</w:t>
            </w:r>
          </w:p>
        </w:tc>
        <w:tc>
          <w:tcPr>
            <w:tcW w:w="3027" w:type="pct"/>
            <w:tcBorders>
              <w:top w:val="single" w:sz="4" w:space="0" w:color="auto"/>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t xml:space="preserve">Palumbo A, </w:t>
            </w:r>
            <w:proofErr w:type="spellStart"/>
            <w:r w:rsidRPr="00CE0BE9">
              <w:rPr>
                <w:szCs w:val="18"/>
                <w:lang w:val="en-US" w:eastAsia="en-AU"/>
              </w:rPr>
              <w:t>Cavallo</w:t>
            </w:r>
            <w:proofErr w:type="spellEnd"/>
            <w:r w:rsidRPr="00CE0BE9">
              <w:rPr>
                <w:szCs w:val="18"/>
                <w:lang w:val="en-US" w:eastAsia="en-AU"/>
              </w:rPr>
              <w:t xml:space="preserve"> F, Gay F et al. Autologous Transplantation and Maintenance Therapy in Multiple Myeloma</w:t>
            </w:r>
          </w:p>
        </w:tc>
        <w:tc>
          <w:tcPr>
            <w:tcW w:w="1177" w:type="pct"/>
            <w:tcBorders>
              <w:top w:val="single" w:sz="4" w:space="0" w:color="auto"/>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t xml:space="preserve">N </w:t>
            </w:r>
            <w:proofErr w:type="spellStart"/>
            <w:r w:rsidRPr="00CE0BE9">
              <w:rPr>
                <w:szCs w:val="18"/>
                <w:lang w:val="en-US" w:eastAsia="en-AU"/>
              </w:rPr>
              <w:t>Engl</w:t>
            </w:r>
            <w:proofErr w:type="spellEnd"/>
            <w:r w:rsidRPr="00CE0BE9">
              <w:rPr>
                <w:szCs w:val="18"/>
                <w:lang w:val="en-US" w:eastAsia="en-AU"/>
              </w:rPr>
              <w:t xml:space="preserve"> J Med 2014; 310(10):895-905</w:t>
            </w:r>
          </w:p>
        </w:tc>
      </w:tr>
      <w:tr w:rsidR="00A51754" w:rsidRPr="00CE0BE9" w:rsidTr="00454F3B">
        <w:tc>
          <w:tcPr>
            <w:tcW w:w="796" w:type="pct"/>
            <w:tcBorders>
              <w:top w:val="nil"/>
              <w:bottom w:val="nil"/>
            </w:tcBorders>
            <w:vAlign w:val="center"/>
          </w:tcPr>
          <w:p w:rsidR="00A51754" w:rsidRPr="00CE0BE9" w:rsidRDefault="00A51754" w:rsidP="00E9333E">
            <w:pPr>
              <w:pStyle w:val="Tabletext"/>
            </w:pPr>
            <w:r w:rsidRPr="00CE0BE9">
              <w:t>NCT00551928</w:t>
            </w:r>
          </w:p>
        </w:tc>
        <w:tc>
          <w:tcPr>
            <w:tcW w:w="3027" w:type="pct"/>
            <w:tcBorders>
              <w:top w:val="nil"/>
              <w:bottom w:val="nil"/>
            </w:tcBorders>
            <w:vAlign w:val="center"/>
          </w:tcPr>
          <w:p w:rsidR="00A51754" w:rsidRPr="00CE0BE9" w:rsidRDefault="00A51754" w:rsidP="00E9333E">
            <w:pPr>
              <w:pStyle w:val="Tabletext"/>
              <w:rPr>
                <w:szCs w:val="18"/>
                <w:lang w:val="en-US" w:eastAsia="en-AU"/>
              </w:rPr>
            </w:pPr>
            <w:proofErr w:type="spellStart"/>
            <w:r w:rsidRPr="00CE0BE9">
              <w:rPr>
                <w:szCs w:val="18"/>
                <w:lang w:val="en-US" w:eastAsia="en-AU"/>
              </w:rPr>
              <w:t>Boccadoro</w:t>
            </w:r>
            <w:proofErr w:type="spellEnd"/>
            <w:r w:rsidRPr="00CE0BE9">
              <w:rPr>
                <w:szCs w:val="18"/>
                <w:lang w:val="en-US" w:eastAsia="en-AU"/>
              </w:rPr>
              <w:t xml:space="preserve"> M, </w:t>
            </w:r>
            <w:proofErr w:type="spellStart"/>
            <w:r w:rsidRPr="00CE0BE9">
              <w:rPr>
                <w:szCs w:val="18"/>
                <w:lang w:val="en-US" w:eastAsia="en-AU"/>
              </w:rPr>
              <w:t>Cavallo</w:t>
            </w:r>
            <w:proofErr w:type="spellEnd"/>
            <w:r w:rsidRPr="00CE0BE9">
              <w:rPr>
                <w:szCs w:val="18"/>
                <w:lang w:val="en-US" w:eastAsia="en-AU"/>
              </w:rPr>
              <w:t xml:space="preserve"> F, Gay F et al. </w:t>
            </w:r>
            <w:proofErr w:type="spellStart"/>
            <w:r w:rsidRPr="00CE0BE9">
              <w:rPr>
                <w:szCs w:val="18"/>
                <w:lang w:val="en-US" w:eastAsia="en-AU"/>
              </w:rPr>
              <w:t>Melphalan</w:t>
            </w:r>
            <w:proofErr w:type="spellEnd"/>
            <w:r w:rsidRPr="00CE0BE9">
              <w:rPr>
                <w:szCs w:val="18"/>
                <w:lang w:val="en-US" w:eastAsia="en-AU"/>
              </w:rPr>
              <w:t>/prednisone/</w:t>
            </w:r>
            <w:proofErr w:type="spellStart"/>
            <w:r w:rsidRPr="00CE0BE9">
              <w:rPr>
                <w:szCs w:val="18"/>
                <w:lang w:val="en-US" w:eastAsia="en-AU"/>
              </w:rPr>
              <w:t>lenalidomide</w:t>
            </w:r>
            <w:proofErr w:type="spellEnd"/>
            <w:r w:rsidRPr="00CE0BE9">
              <w:rPr>
                <w:szCs w:val="18"/>
                <w:lang w:val="en-US" w:eastAsia="en-AU"/>
              </w:rPr>
              <w:t xml:space="preserve"> (MPR) versus high-dose </w:t>
            </w:r>
            <w:proofErr w:type="spellStart"/>
            <w:r w:rsidRPr="00CE0BE9">
              <w:rPr>
                <w:szCs w:val="18"/>
                <w:lang w:val="en-US" w:eastAsia="en-AU"/>
              </w:rPr>
              <w:t>melphalan</w:t>
            </w:r>
            <w:proofErr w:type="spellEnd"/>
            <w:r w:rsidRPr="00CE0BE9">
              <w:rPr>
                <w:szCs w:val="18"/>
                <w:lang w:val="en-US" w:eastAsia="en-AU"/>
              </w:rPr>
              <w:t xml:space="preserve"> and autologous transplantation (MEL200) plus </w:t>
            </w:r>
            <w:proofErr w:type="spellStart"/>
            <w:r w:rsidRPr="00CE0BE9">
              <w:rPr>
                <w:szCs w:val="18"/>
                <w:lang w:val="en-US" w:eastAsia="en-AU"/>
              </w:rPr>
              <w:t>lenalidomide</w:t>
            </w:r>
            <w:proofErr w:type="spellEnd"/>
            <w:r w:rsidRPr="00CE0BE9">
              <w:rPr>
                <w:szCs w:val="18"/>
                <w:lang w:val="en-US" w:eastAsia="en-AU"/>
              </w:rPr>
              <w:t xml:space="preserve"> maintenance or no maintenance in newly diagnosed multiple myeloma (MM) patients</w:t>
            </w:r>
          </w:p>
        </w:tc>
        <w:tc>
          <w:tcPr>
            <w:tcW w:w="1177" w:type="pct"/>
            <w:tcBorders>
              <w:top w:val="nil"/>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t>Journal of clinical oncology; 31(15 suppl. 1) ASCO</w:t>
            </w:r>
          </w:p>
        </w:tc>
      </w:tr>
      <w:tr w:rsidR="00A51754" w:rsidRPr="00CE0BE9" w:rsidTr="00454F3B">
        <w:tc>
          <w:tcPr>
            <w:tcW w:w="796" w:type="pct"/>
            <w:tcBorders>
              <w:top w:val="nil"/>
              <w:bottom w:val="nil"/>
            </w:tcBorders>
            <w:vAlign w:val="center"/>
          </w:tcPr>
          <w:p w:rsidR="00A51754" w:rsidRPr="00CE0BE9" w:rsidRDefault="00A51754" w:rsidP="00E9333E">
            <w:pPr>
              <w:pStyle w:val="Tabletext"/>
            </w:pPr>
          </w:p>
        </w:tc>
        <w:tc>
          <w:tcPr>
            <w:tcW w:w="3027" w:type="pct"/>
            <w:tcBorders>
              <w:top w:val="nil"/>
              <w:bottom w:val="nil"/>
            </w:tcBorders>
            <w:vAlign w:val="center"/>
          </w:tcPr>
          <w:p w:rsidR="00A51754" w:rsidRPr="00CE0BE9" w:rsidRDefault="00A51754" w:rsidP="00E9333E">
            <w:pPr>
              <w:pStyle w:val="Tabletext"/>
              <w:rPr>
                <w:szCs w:val="18"/>
                <w:lang w:val="en-US" w:eastAsia="en-AU"/>
              </w:rPr>
            </w:pPr>
            <w:proofErr w:type="spellStart"/>
            <w:r w:rsidRPr="00CE0BE9">
              <w:rPr>
                <w:szCs w:val="18"/>
                <w:lang w:val="en-US" w:eastAsia="en-AU"/>
              </w:rPr>
              <w:t>Cavallo</w:t>
            </w:r>
            <w:proofErr w:type="spellEnd"/>
            <w:r w:rsidRPr="00CE0BE9">
              <w:rPr>
                <w:szCs w:val="18"/>
                <w:lang w:val="en-US" w:eastAsia="en-AU"/>
              </w:rPr>
              <w:t xml:space="preserve"> F, Gay F, Di Raimondo F, et al.</w:t>
            </w:r>
            <w:r w:rsidRPr="00CE0BE9">
              <w:t xml:space="preserve"> </w:t>
            </w:r>
            <w:proofErr w:type="spellStart"/>
            <w:r w:rsidRPr="00CE0BE9">
              <w:rPr>
                <w:szCs w:val="18"/>
                <w:lang w:val="en-US" w:eastAsia="en-AU"/>
              </w:rPr>
              <w:t>Lenalidomide</w:t>
            </w:r>
            <w:proofErr w:type="spellEnd"/>
            <w:r w:rsidRPr="00CE0BE9">
              <w:rPr>
                <w:szCs w:val="18"/>
                <w:lang w:val="en-US" w:eastAsia="en-AU"/>
              </w:rPr>
              <w:t xml:space="preserve"> maintenance improves survival in newly diagnosed young multiple myeloma (MM) patients</w:t>
            </w:r>
          </w:p>
        </w:tc>
        <w:tc>
          <w:tcPr>
            <w:tcW w:w="1177" w:type="pct"/>
            <w:tcBorders>
              <w:top w:val="nil"/>
              <w:bottom w:val="nil"/>
            </w:tcBorders>
            <w:vAlign w:val="center"/>
          </w:tcPr>
          <w:p w:rsidR="00A51754" w:rsidRPr="00CE0BE9" w:rsidRDefault="00A51754" w:rsidP="00E9333E">
            <w:pPr>
              <w:pStyle w:val="Tabletext"/>
              <w:rPr>
                <w:szCs w:val="18"/>
                <w:lang w:val="en-US" w:eastAsia="en-AU"/>
              </w:rPr>
            </w:pPr>
            <w:proofErr w:type="spellStart"/>
            <w:r w:rsidRPr="00CE0BE9">
              <w:rPr>
                <w:szCs w:val="18"/>
                <w:lang w:val="en-US" w:eastAsia="en-AU"/>
              </w:rPr>
              <w:t>Haematologica</w:t>
            </w:r>
            <w:proofErr w:type="spellEnd"/>
            <w:r w:rsidRPr="00CE0BE9">
              <w:rPr>
                <w:szCs w:val="18"/>
                <w:lang w:val="en-US" w:eastAsia="en-AU"/>
              </w:rPr>
              <w:t xml:space="preserve"> 2013; 98:50</w:t>
            </w:r>
          </w:p>
        </w:tc>
      </w:tr>
      <w:tr w:rsidR="00A51754" w:rsidRPr="00CE0BE9" w:rsidTr="00454F3B">
        <w:tc>
          <w:tcPr>
            <w:tcW w:w="796" w:type="pct"/>
            <w:tcBorders>
              <w:top w:val="nil"/>
              <w:bottom w:val="nil"/>
            </w:tcBorders>
            <w:vAlign w:val="center"/>
          </w:tcPr>
          <w:p w:rsidR="00A51754" w:rsidRPr="00CE0BE9" w:rsidRDefault="00A51754" w:rsidP="00E9333E">
            <w:pPr>
              <w:pStyle w:val="Tabletext"/>
            </w:pPr>
          </w:p>
        </w:tc>
        <w:tc>
          <w:tcPr>
            <w:tcW w:w="3027" w:type="pct"/>
            <w:tcBorders>
              <w:top w:val="nil"/>
              <w:bottom w:val="nil"/>
            </w:tcBorders>
            <w:vAlign w:val="center"/>
          </w:tcPr>
          <w:p w:rsidR="00A51754" w:rsidRPr="00CE0BE9" w:rsidRDefault="00A51754" w:rsidP="00E9333E">
            <w:pPr>
              <w:pStyle w:val="Tabletext"/>
              <w:rPr>
                <w:szCs w:val="18"/>
                <w:lang w:val="en-US" w:eastAsia="en-AU"/>
              </w:rPr>
            </w:pPr>
            <w:proofErr w:type="spellStart"/>
            <w:r w:rsidRPr="00CE0BE9">
              <w:rPr>
                <w:szCs w:val="18"/>
                <w:lang w:val="en-US" w:eastAsia="en-AU"/>
              </w:rPr>
              <w:t>Cavallo</w:t>
            </w:r>
            <w:proofErr w:type="spellEnd"/>
            <w:r w:rsidRPr="00CE0BE9">
              <w:rPr>
                <w:szCs w:val="18"/>
                <w:lang w:val="en-US" w:eastAsia="en-AU"/>
              </w:rPr>
              <w:t xml:space="preserve"> F, </w:t>
            </w:r>
            <w:proofErr w:type="spellStart"/>
            <w:r w:rsidRPr="00CE0BE9">
              <w:rPr>
                <w:szCs w:val="18"/>
                <w:lang w:val="en-US" w:eastAsia="en-AU"/>
              </w:rPr>
              <w:t>Hardan</w:t>
            </w:r>
            <w:proofErr w:type="spellEnd"/>
            <w:r w:rsidRPr="00CE0BE9">
              <w:rPr>
                <w:szCs w:val="18"/>
                <w:lang w:val="en-US" w:eastAsia="en-AU"/>
              </w:rPr>
              <w:t xml:space="preserve"> I, Gay F et al., </w:t>
            </w:r>
            <w:proofErr w:type="spellStart"/>
            <w:r w:rsidRPr="00CE0BE9">
              <w:rPr>
                <w:szCs w:val="18"/>
                <w:lang w:val="en-US" w:eastAsia="en-AU"/>
              </w:rPr>
              <w:t>Lenalidomide</w:t>
            </w:r>
            <w:proofErr w:type="spellEnd"/>
            <w:r w:rsidRPr="00CE0BE9">
              <w:rPr>
                <w:szCs w:val="18"/>
                <w:lang w:val="en-US" w:eastAsia="en-AU"/>
              </w:rPr>
              <w:t xml:space="preserve"> maintenance significantly reduces the risk of progression in newly diagnosed young multiple myeloma patients enrolled in RV-MM-PI-209 trial</w:t>
            </w:r>
          </w:p>
        </w:tc>
        <w:tc>
          <w:tcPr>
            <w:tcW w:w="1177" w:type="pct"/>
            <w:tcBorders>
              <w:top w:val="nil"/>
              <w:bottom w:val="nil"/>
            </w:tcBorders>
            <w:vAlign w:val="center"/>
          </w:tcPr>
          <w:p w:rsidR="00A51754" w:rsidRPr="00CE0BE9" w:rsidRDefault="00A51754" w:rsidP="00E9333E">
            <w:pPr>
              <w:pStyle w:val="Tabletext"/>
              <w:rPr>
                <w:szCs w:val="18"/>
                <w:lang w:val="en-US" w:eastAsia="en-AU"/>
              </w:rPr>
            </w:pPr>
            <w:proofErr w:type="spellStart"/>
            <w:r w:rsidRPr="00CE0BE9">
              <w:rPr>
                <w:szCs w:val="18"/>
                <w:lang w:val="en-US" w:eastAsia="en-AU"/>
              </w:rPr>
              <w:t>Haematologica</w:t>
            </w:r>
            <w:proofErr w:type="spellEnd"/>
            <w:r w:rsidRPr="00CE0BE9">
              <w:rPr>
                <w:szCs w:val="18"/>
                <w:lang w:val="en-US" w:eastAsia="en-AU"/>
              </w:rPr>
              <w:t xml:space="preserve"> 2012. 97: 472-473 17th Congress of the European Hematology Association</w:t>
            </w:r>
          </w:p>
        </w:tc>
      </w:tr>
      <w:tr w:rsidR="00A51754" w:rsidRPr="00CE0BE9" w:rsidTr="00454F3B">
        <w:tc>
          <w:tcPr>
            <w:tcW w:w="796" w:type="pct"/>
            <w:tcBorders>
              <w:top w:val="nil"/>
              <w:bottom w:val="nil"/>
            </w:tcBorders>
            <w:vAlign w:val="center"/>
          </w:tcPr>
          <w:p w:rsidR="00A51754" w:rsidRPr="00CE0BE9" w:rsidRDefault="00A51754" w:rsidP="00E9333E">
            <w:pPr>
              <w:pStyle w:val="Tabletext"/>
            </w:pPr>
          </w:p>
        </w:tc>
        <w:tc>
          <w:tcPr>
            <w:tcW w:w="3027" w:type="pct"/>
            <w:tcBorders>
              <w:top w:val="nil"/>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t xml:space="preserve">Palumbo A, </w:t>
            </w:r>
            <w:proofErr w:type="spellStart"/>
            <w:r w:rsidRPr="00CE0BE9">
              <w:rPr>
                <w:szCs w:val="18"/>
                <w:lang w:val="en-US" w:eastAsia="en-AU"/>
              </w:rPr>
              <w:t>Cavallo</w:t>
            </w:r>
            <w:proofErr w:type="spellEnd"/>
            <w:r w:rsidRPr="00CE0BE9">
              <w:rPr>
                <w:szCs w:val="18"/>
                <w:lang w:val="en-US" w:eastAsia="en-AU"/>
              </w:rPr>
              <w:t xml:space="preserve"> F, Gay F et al. </w:t>
            </w:r>
            <w:proofErr w:type="spellStart"/>
            <w:r w:rsidRPr="00CE0BE9">
              <w:rPr>
                <w:szCs w:val="18"/>
                <w:lang w:val="en-US" w:eastAsia="en-AU"/>
              </w:rPr>
              <w:t>Melphalan</w:t>
            </w:r>
            <w:proofErr w:type="spellEnd"/>
            <w:r w:rsidRPr="00CE0BE9">
              <w:rPr>
                <w:szCs w:val="18"/>
                <w:lang w:val="en-US" w:eastAsia="en-AU"/>
              </w:rPr>
              <w:t>/Prednisone/</w:t>
            </w:r>
            <w:proofErr w:type="spellStart"/>
            <w:r w:rsidRPr="00CE0BE9">
              <w:rPr>
                <w:szCs w:val="18"/>
                <w:lang w:val="en-US" w:eastAsia="en-AU"/>
              </w:rPr>
              <w:t>Lenalidomide</w:t>
            </w:r>
            <w:proofErr w:type="spellEnd"/>
            <w:r w:rsidRPr="00CE0BE9">
              <w:rPr>
                <w:szCs w:val="18"/>
                <w:lang w:val="en-US" w:eastAsia="en-AU"/>
              </w:rPr>
              <w:t xml:space="preserve"> (</w:t>
            </w:r>
            <w:proofErr w:type="spellStart"/>
            <w:r w:rsidRPr="00CE0BE9">
              <w:rPr>
                <w:szCs w:val="18"/>
                <w:lang w:val="en-US" w:eastAsia="en-AU"/>
              </w:rPr>
              <w:t>Mpr</w:t>
            </w:r>
            <w:proofErr w:type="spellEnd"/>
            <w:r w:rsidRPr="00CE0BE9">
              <w:rPr>
                <w:szCs w:val="18"/>
                <w:lang w:val="en-US" w:eastAsia="en-AU"/>
              </w:rPr>
              <w:t xml:space="preserve">) Versus High-Dose </w:t>
            </w:r>
            <w:proofErr w:type="spellStart"/>
            <w:r w:rsidRPr="00CE0BE9">
              <w:rPr>
                <w:szCs w:val="18"/>
                <w:lang w:val="en-US" w:eastAsia="en-AU"/>
              </w:rPr>
              <w:t>Melphalan</w:t>
            </w:r>
            <w:proofErr w:type="spellEnd"/>
            <w:r w:rsidRPr="00CE0BE9">
              <w:rPr>
                <w:szCs w:val="18"/>
                <w:lang w:val="en-US" w:eastAsia="en-AU"/>
              </w:rPr>
              <w:t xml:space="preserve"> And Autologous Transplantation (Mel200) In Newly Diagnosed Multiple Myeloma (MM) Patients</w:t>
            </w:r>
          </w:p>
        </w:tc>
        <w:tc>
          <w:tcPr>
            <w:tcW w:w="1177" w:type="pct"/>
            <w:tcBorders>
              <w:top w:val="nil"/>
              <w:bottom w:val="nil"/>
            </w:tcBorders>
            <w:vAlign w:val="center"/>
          </w:tcPr>
          <w:p w:rsidR="00A51754" w:rsidRPr="00CE0BE9" w:rsidRDefault="00A51754" w:rsidP="00E9333E">
            <w:pPr>
              <w:pStyle w:val="Tabletext"/>
              <w:rPr>
                <w:szCs w:val="18"/>
                <w:lang w:val="en-US" w:eastAsia="en-AU"/>
              </w:rPr>
            </w:pPr>
            <w:proofErr w:type="spellStart"/>
            <w:r w:rsidRPr="00CE0BE9">
              <w:rPr>
                <w:szCs w:val="18"/>
                <w:lang w:val="en-US" w:eastAsia="en-AU"/>
              </w:rPr>
              <w:t>Haematologica</w:t>
            </w:r>
            <w:proofErr w:type="spellEnd"/>
            <w:r w:rsidRPr="00CE0BE9">
              <w:rPr>
                <w:szCs w:val="18"/>
                <w:lang w:val="en-US" w:eastAsia="en-AU"/>
              </w:rPr>
              <w:t xml:space="preserve"> 2013, 98:96, 18th Congress of the European Hematology Association</w:t>
            </w:r>
          </w:p>
        </w:tc>
      </w:tr>
      <w:tr w:rsidR="00A51754" w:rsidRPr="00CE0BE9" w:rsidTr="00454F3B">
        <w:tc>
          <w:tcPr>
            <w:tcW w:w="796" w:type="pct"/>
            <w:tcBorders>
              <w:top w:val="nil"/>
              <w:bottom w:val="single" w:sz="4" w:space="0" w:color="auto"/>
            </w:tcBorders>
            <w:vAlign w:val="center"/>
          </w:tcPr>
          <w:p w:rsidR="00A51754" w:rsidRPr="00CE0BE9" w:rsidRDefault="00A51754" w:rsidP="00E9333E">
            <w:pPr>
              <w:pStyle w:val="Tabletext"/>
            </w:pPr>
          </w:p>
        </w:tc>
        <w:tc>
          <w:tcPr>
            <w:tcW w:w="3027" w:type="pct"/>
            <w:tcBorders>
              <w:top w:val="nil"/>
              <w:bottom w:val="single" w:sz="4" w:space="0" w:color="auto"/>
            </w:tcBorders>
            <w:vAlign w:val="center"/>
          </w:tcPr>
          <w:p w:rsidR="00A51754" w:rsidRPr="00CE0BE9" w:rsidRDefault="00A51754" w:rsidP="00E9333E">
            <w:pPr>
              <w:pStyle w:val="Tabletext"/>
              <w:rPr>
                <w:szCs w:val="18"/>
                <w:lang w:val="en-US" w:eastAsia="en-AU"/>
              </w:rPr>
            </w:pPr>
            <w:proofErr w:type="spellStart"/>
            <w:r w:rsidRPr="00CE0BE9">
              <w:rPr>
                <w:szCs w:val="18"/>
                <w:lang w:val="en-US" w:eastAsia="en-AU"/>
              </w:rPr>
              <w:t>Cavallo</w:t>
            </w:r>
            <w:proofErr w:type="spellEnd"/>
            <w:r w:rsidRPr="00CE0BE9">
              <w:rPr>
                <w:szCs w:val="18"/>
                <w:lang w:val="en-US" w:eastAsia="en-AU"/>
              </w:rPr>
              <w:t xml:space="preserve"> F, Gay F, </w:t>
            </w:r>
            <w:proofErr w:type="spellStart"/>
            <w:r w:rsidRPr="00CE0BE9">
              <w:rPr>
                <w:szCs w:val="18"/>
                <w:lang w:val="en-US" w:eastAsia="en-AU"/>
              </w:rPr>
              <w:t>Caravita</w:t>
            </w:r>
            <w:proofErr w:type="spellEnd"/>
            <w:r w:rsidRPr="00CE0BE9">
              <w:rPr>
                <w:szCs w:val="18"/>
                <w:lang w:val="en-US" w:eastAsia="en-AU"/>
              </w:rPr>
              <w:t xml:space="preserve"> di </w:t>
            </w:r>
            <w:proofErr w:type="spellStart"/>
            <w:r w:rsidRPr="00CE0BE9">
              <w:rPr>
                <w:szCs w:val="18"/>
                <w:lang w:val="en-US" w:eastAsia="en-AU"/>
              </w:rPr>
              <w:t>toritto</w:t>
            </w:r>
            <w:proofErr w:type="spellEnd"/>
            <w:r w:rsidRPr="00CE0BE9">
              <w:rPr>
                <w:szCs w:val="18"/>
                <w:lang w:val="en-US" w:eastAsia="en-AU"/>
              </w:rPr>
              <w:t xml:space="preserve"> T, </w:t>
            </w:r>
            <w:proofErr w:type="spellStart"/>
            <w:r w:rsidRPr="00CE0BE9">
              <w:rPr>
                <w:szCs w:val="18"/>
                <w:lang w:val="en-US" w:eastAsia="en-AU"/>
              </w:rPr>
              <w:t>Lenalidomide</w:t>
            </w:r>
            <w:proofErr w:type="spellEnd"/>
            <w:r w:rsidRPr="00CE0BE9">
              <w:rPr>
                <w:szCs w:val="18"/>
                <w:lang w:val="en-US" w:eastAsia="en-AU"/>
              </w:rPr>
              <w:t xml:space="preserve"> Maintenance Improves Progression Free Survival in Newly Diagnosed</w:t>
            </w:r>
          </w:p>
          <w:p w:rsidR="00A51754" w:rsidRPr="00CE0BE9" w:rsidRDefault="00A51754" w:rsidP="00E9333E">
            <w:pPr>
              <w:pStyle w:val="Tabletext"/>
              <w:rPr>
                <w:szCs w:val="18"/>
                <w:lang w:val="en-US" w:eastAsia="en-AU"/>
              </w:rPr>
            </w:pPr>
            <w:r w:rsidRPr="00CE0BE9">
              <w:rPr>
                <w:szCs w:val="18"/>
                <w:lang w:val="en-US" w:eastAsia="en-AU"/>
              </w:rPr>
              <w:t>Young Multiple Myeloma (MM) Patients</w:t>
            </w:r>
          </w:p>
        </w:tc>
        <w:tc>
          <w:tcPr>
            <w:tcW w:w="1177" w:type="pct"/>
            <w:tcBorders>
              <w:top w:val="nil"/>
              <w:bottom w:val="single" w:sz="4" w:space="0" w:color="auto"/>
            </w:tcBorders>
            <w:vAlign w:val="center"/>
          </w:tcPr>
          <w:p w:rsidR="00A51754" w:rsidRPr="00CE0BE9" w:rsidRDefault="00A51754" w:rsidP="00E9333E">
            <w:pPr>
              <w:pStyle w:val="Tabletext"/>
              <w:rPr>
                <w:szCs w:val="18"/>
                <w:lang w:val="en-US" w:eastAsia="en-AU"/>
              </w:rPr>
            </w:pPr>
            <w:r w:rsidRPr="00CE0BE9">
              <w:rPr>
                <w:szCs w:val="18"/>
                <w:lang w:val="en-US" w:eastAsia="en-AU"/>
              </w:rPr>
              <w:t>Clinical Lymphoma, Myeloma and Leukemia 2013. 13. S12014th International Myeloma Workshop</w:t>
            </w:r>
          </w:p>
        </w:tc>
      </w:tr>
      <w:tr w:rsidR="00A51754" w:rsidRPr="00CE0BE9" w:rsidTr="00454F3B">
        <w:tc>
          <w:tcPr>
            <w:tcW w:w="796" w:type="pct"/>
            <w:tcBorders>
              <w:top w:val="single" w:sz="4" w:space="0" w:color="auto"/>
              <w:bottom w:val="nil"/>
            </w:tcBorders>
            <w:vAlign w:val="center"/>
          </w:tcPr>
          <w:p w:rsidR="00A51754" w:rsidRPr="00CE0BE9" w:rsidRDefault="00A51754" w:rsidP="00E9333E">
            <w:pPr>
              <w:pStyle w:val="Tabletext"/>
            </w:pPr>
            <w:r w:rsidRPr="00CE0BE9">
              <w:t>Myeloma XI</w:t>
            </w:r>
          </w:p>
        </w:tc>
        <w:tc>
          <w:tcPr>
            <w:tcW w:w="3027" w:type="pct"/>
            <w:tcBorders>
              <w:top w:val="single" w:sz="4" w:space="0" w:color="auto"/>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t xml:space="preserve">Jackson GH, Davies FE, </w:t>
            </w:r>
            <w:proofErr w:type="spellStart"/>
            <w:r w:rsidRPr="00CE0BE9">
              <w:rPr>
                <w:szCs w:val="18"/>
                <w:lang w:val="en-US" w:eastAsia="en-AU"/>
              </w:rPr>
              <w:t>Pawlyn</w:t>
            </w:r>
            <w:proofErr w:type="spellEnd"/>
            <w:r w:rsidRPr="00CE0BE9">
              <w:rPr>
                <w:szCs w:val="18"/>
                <w:lang w:val="en-US" w:eastAsia="en-AU"/>
              </w:rPr>
              <w:t xml:space="preserve"> C et al., </w:t>
            </w:r>
            <w:proofErr w:type="spellStart"/>
            <w:r w:rsidRPr="00CE0BE9">
              <w:rPr>
                <w:szCs w:val="18"/>
                <w:lang w:val="en-US" w:eastAsia="en-AU"/>
              </w:rPr>
              <w:t>Lenalidomide</w:t>
            </w:r>
            <w:proofErr w:type="spellEnd"/>
            <w:r w:rsidRPr="00CE0BE9">
              <w:rPr>
                <w:szCs w:val="18"/>
                <w:lang w:val="en-US" w:eastAsia="en-AU"/>
              </w:rPr>
              <w:t xml:space="preserve"> Is a Highly Effective Maintenance Therapy in Myeloma Subjects of All Ages; Results of the Phase III Myeloma XI Study</w:t>
            </w:r>
          </w:p>
        </w:tc>
        <w:tc>
          <w:tcPr>
            <w:tcW w:w="1177" w:type="pct"/>
            <w:tcBorders>
              <w:top w:val="single" w:sz="4" w:space="0" w:color="auto"/>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t>ASH 58th Annual Meeting and Exposition San Diego, CA December 3-6 2016</w:t>
            </w:r>
          </w:p>
        </w:tc>
      </w:tr>
      <w:tr w:rsidR="00A51754" w:rsidRPr="00CE0BE9" w:rsidTr="00454F3B">
        <w:tc>
          <w:tcPr>
            <w:tcW w:w="796" w:type="pct"/>
            <w:tcBorders>
              <w:top w:val="nil"/>
              <w:bottom w:val="nil"/>
            </w:tcBorders>
            <w:vAlign w:val="center"/>
          </w:tcPr>
          <w:p w:rsidR="00A51754" w:rsidRPr="00CE0BE9" w:rsidRDefault="00A51754" w:rsidP="00E9333E">
            <w:pPr>
              <w:pStyle w:val="Tabletext"/>
            </w:pPr>
            <w:r w:rsidRPr="00CE0BE9">
              <w:t>NCT01554852</w:t>
            </w:r>
          </w:p>
        </w:tc>
        <w:tc>
          <w:tcPr>
            <w:tcW w:w="3027" w:type="pct"/>
            <w:tcBorders>
              <w:top w:val="nil"/>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t xml:space="preserve">Jackson GH, Davies FE, </w:t>
            </w:r>
            <w:proofErr w:type="spellStart"/>
            <w:r w:rsidRPr="00CE0BE9">
              <w:rPr>
                <w:szCs w:val="18"/>
                <w:lang w:val="en-US" w:eastAsia="en-AU"/>
              </w:rPr>
              <w:t>Pawlyn</w:t>
            </w:r>
            <w:proofErr w:type="spellEnd"/>
            <w:r w:rsidRPr="00CE0BE9">
              <w:rPr>
                <w:szCs w:val="18"/>
                <w:lang w:val="en-US" w:eastAsia="en-AU"/>
              </w:rPr>
              <w:t xml:space="preserve"> C et al.,</w:t>
            </w:r>
            <w:r w:rsidRPr="00CE0BE9">
              <w:t xml:space="preserve"> </w:t>
            </w:r>
            <w:proofErr w:type="spellStart"/>
            <w:r w:rsidRPr="00CE0BE9">
              <w:rPr>
                <w:szCs w:val="18"/>
                <w:lang w:val="en-US" w:eastAsia="en-AU"/>
              </w:rPr>
              <w:t>Lenalidomide</w:t>
            </w:r>
            <w:proofErr w:type="spellEnd"/>
            <w:r w:rsidRPr="00CE0BE9">
              <w:rPr>
                <w:szCs w:val="18"/>
                <w:lang w:val="en-US" w:eastAsia="en-AU"/>
              </w:rPr>
              <w:t xml:space="preserve"> Induction and Maintenance Therapy for Transplant Eligible Myeloma Subjects: Results of the Myeloma XI Study’</w:t>
            </w:r>
          </w:p>
        </w:tc>
        <w:tc>
          <w:tcPr>
            <w:tcW w:w="1177" w:type="pct"/>
            <w:tcBorders>
              <w:top w:val="nil"/>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t>ASCO conference presentation 2017, abstract 8009</w:t>
            </w:r>
          </w:p>
        </w:tc>
      </w:tr>
      <w:tr w:rsidR="00A51754" w:rsidRPr="00CE0BE9" w:rsidTr="00454F3B">
        <w:tc>
          <w:tcPr>
            <w:tcW w:w="796" w:type="pct"/>
            <w:tcBorders>
              <w:top w:val="nil"/>
              <w:bottom w:val="nil"/>
            </w:tcBorders>
            <w:vAlign w:val="center"/>
          </w:tcPr>
          <w:p w:rsidR="00A51754" w:rsidRPr="00CE0BE9" w:rsidRDefault="00A51754" w:rsidP="00E9333E">
            <w:pPr>
              <w:pStyle w:val="Tabletext"/>
            </w:pPr>
          </w:p>
        </w:tc>
        <w:tc>
          <w:tcPr>
            <w:tcW w:w="3027" w:type="pct"/>
            <w:tcBorders>
              <w:top w:val="nil"/>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t xml:space="preserve">Jones JR, Cairns DA, </w:t>
            </w:r>
            <w:proofErr w:type="spellStart"/>
            <w:r w:rsidRPr="00CE0BE9">
              <w:rPr>
                <w:szCs w:val="18"/>
                <w:lang w:val="en-US" w:eastAsia="en-AU"/>
              </w:rPr>
              <w:t>Sigworth</w:t>
            </w:r>
            <w:proofErr w:type="spellEnd"/>
            <w:r w:rsidRPr="00CE0BE9">
              <w:rPr>
                <w:szCs w:val="18"/>
                <w:lang w:val="en-US" w:eastAsia="en-AU"/>
              </w:rPr>
              <w:t xml:space="preserve"> R et al, Myeloma XI Trial for Newly Diagnosed Multiple Myeloma (NDMM); A Report of Second Primary Malignancy (SPM) Rates and the Importance of Review of Reported Cases</w:t>
            </w:r>
          </w:p>
        </w:tc>
        <w:tc>
          <w:tcPr>
            <w:tcW w:w="1177" w:type="pct"/>
            <w:tcBorders>
              <w:top w:val="nil"/>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t>Blood 2015. 126 (23):1847</w:t>
            </w:r>
          </w:p>
        </w:tc>
      </w:tr>
      <w:tr w:rsidR="00A51754" w:rsidRPr="00CE0BE9" w:rsidTr="00454F3B">
        <w:tc>
          <w:tcPr>
            <w:tcW w:w="796" w:type="pct"/>
            <w:tcBorders>
              <w:top w:val="nil"/>
              <w:bottom w:val="single" w:sz="4" w:space="0" w:color="auto"/>
            </w:tcBorders>
            <w:vAlign w:val="center"/>
          </w:tcPr>
          <w:p w:rsidR="00A51754" w:rsidRPr="00CE0BE9" w:rsidRDefault="00A51754" w:rsidP="00E9333E">
            <w:pPr>
              <w:pStyle w:val="Tabletext"/>
            </w:pPr>
          </w:p>
        </w:tc>
        <w:tc>
          <w:tcPr>
            <w:tcW w:w="3027" w:type="pct"/>
            <w:tcBorders>
              <w:top w:val="nil"/>
              <w:bottom w:val="single" w:sz="4" w:space="0" w:color="auto"/>
            </w:tcBorders>
            <w:vAlign w:val="center"/>
          </w:tcPr>
          <w:p w:rsidR="00A51754" w:rsidRPr="00CE0BE9" w:rsidRDefault="00A51754" w:rsidP="00E9333E">
            <w:pPr>
              <w:pStyle w:val="Tabletext"/>
              <w:rPr>
                <w:szCs w:val="18"/>
                <w:lang w:val="en-US" w:eastAsia="en-AU"/>
              </w:rPr>
            </w:pPr>
            <w:r w:rsidRPr="00CE0BE9">
              <w:rPr>
                <w:szCs w:val="18"/>
                <w:lang w:val="en-US" w:eastAsia="en-AU"/>
              </w:rPr>
              <w:t xml:space="preserve">Jones J, </w:t>
            </w:r>
            <w:proofErr w:type="spellStart"/>
            <w:r w:rsidRPr="00CE0BE9">
              <w:rPr>
                <w:szCs w:val="18"/>
                <w:lang w:val="en-US" w:eastAsia="en-AU"/>
              </w:rPr>
              <w:t>Pawlyn</w:t>
            </w:r>
            <w:proofErr w:type="spellEnd"/>
            <w:r w:rsidRPr="00CE0BE9">
              <w:rPr>
                <w:szCs w:val="18"/>
                <w:lang w:val="en-US" w:eastAsia="en-AU"/>
              </w:rPr>
              <w:t xml:space="preserve"> C, </w:t>
            </w:r>
            <w:proofErr w:type="spellStart"/>
            <w:r w:rsidRPr="00CE0BE9">
              <w:rPr>
                <w:szCs w:val="18"/>
                <w:lang w:val="en-US" w:eastAsia="en-AU"/>
              </w:rPr>
              <w:t>Brioli</w:t>
            </w:r>
            <w:proofErr w:type="spellEnd"/>
            <w:r w:rsidRPr="00CE0BE9">
              <w:rPr>
                <w:szCs w:val="18"/>
                <w:lang w:val="en-US" w:eastAsia="en-AU"/>
              </w:rPr>
              <w:t xml:space="preserve"> A et al. Myeloma XI trial-second primary malignancy interim report in newly diagnosed multiple myeloma (NDMM) patients</w:t>
            </w:r>
          </w:p>
        </w:tc>
        <w:tc>
          <w:tcPr>
            <w:tcW w:w="1177" w:type="pct"/>
            <w:tcBorders>
              <w:top w:val="nil"/>
              <w:bottom w:val="single" w:sz="4" w:space="0" w:color="auto"/>
            </w:tcBorders>
            <w:vAlign w:val="center"/>
          </w:tcPr>
          <w:p w:rsidR="00A51754" w:rsidRPr="00CE0BE9" w:rsidRDefault="00A51754" w:rsidP="00E9333E">
            <w:pPr>
              <w:pStyle w:val="Tabletext"/>
              <w:rPr>
                <w:szCs w:val="18"/>
                <w:lang w:val="en-US" w:eastAsia="en-AU"/>
              </w:rPr>
            </w:pPr>
            <w:r w:rsidRPr="00CE0BE9">
              <w:rPr>
                <w:szCs w:val="18"/>
                <w:lang w:val="en-US" w:eastAsia="en-AU"/>
              </w:rPr>
              <w:t>Blood 2014 Conference: 56th Annual Meeting of the American Society of Hematology, ASH.124(21</w:t>
            </w:r>
          </w:p>
        </w:tc>
      </w:tr>
      <w:tr w:rsidR="00A51754" w:rsidRPr="00CE0BE9" w:rsidTr="00454F3B">
        <w:tc>
          <w:tcPr>
            <w:tcW w:w="796" w:type="pct"/>
            <w:tcBorders>
              <w:top w:val="single" w:sz="4" w:space="0" w:color="auto"/>
              <w:bottom w:val="single" w:sz="4" w:space="0" w:color="auto"/>
            </w:tcBorders>
            <w:vAlign w:val="center"/>
          </w:tcPr>
          <w:p w:rsidR="00A51754" w:rsidRPr="00CE0BE9" w:rsidRDefault="00A51754" w:rsidP="00E9333E">
            <w:pPr>
              <w:pStyle w:val="Tabletext"/>
            </w:pPr>
            <w:r w:rsidRPr="00CE0BE9">
              <w:t xml:space="preserve">Thalidomide </w:t>
            </w:r>
          </w:p>
        </w:tc>
        <w:tc>
          <w:tcPr>
            <w:tcW w:w="3027" w:type="pct"/>
            <w:tcBorders>
              <w:top w:val="single" w:sz="4" w:space="0" w:color="auto"/>
              <w:bottom w:val="single" w:sz="4" w:space="0" w:color="auto"/>
            </w:tcBorders>
            <w:vAlign w:val="center"/>
          </w:tcPr>
          <w:p w:rsidR="00A51754" w:rsidRPr="00CE0BE9" w:rsidRDefault="00A51754" w:rsidP="00E9333E">
            <w:pPr>
              <w:pStyle w:val="Tabletext"/>
              <w:rPr>
                <w:szCs w:val="18"/>
                <w:lang w:val="en-US" w:eastAsia="en-AU"/>
              </w:rPr>
            </w:pPr>
          </w:p>
        </w:tc>
        <w:tc>
          <w:tcPr>
            <w:tcW w:w="1177" w:type="pct"/>
            <w:tcBorders>
              <w:top w:val="single" w:sz="4" w:space="0" w:color="auto"/>
              <w:bottom w:val="single" w:sz="4" w:space="0" w:color="auto"/>
            </w:tcBorders>
            <w:vAlign w:val="center"/>
          </w:tcPr>
          <w:p w:rsidR="00A51754" w:rsidRPr="00CE0BE9" w:rsidRDefault="00A51754" w:rsidP="00E9333E">
            <w:pPr>
              <w:pStyle w:val="Tabletext"/>
              <w:rPr>
                <w:szCs w:val="18"/>
                <w:lang w:val="en-US" w:eastAsia="en-AU"/>
              </w:rPr>
            </w:pPr>
          </w:p>
        </w:tc>
      </w:tr>
      <w:tr w:rsidR="00A51754" w:rsidRPr="00CE0BE9" w:rsidTr="00454F3B">
        <w:tc>
          <w:tcPr>
            <w:tcW w:w="796" w:type="pct"/>
            <w:tcBorders>
              <w:top w:val="single" w:sz="4" w:space="0" w:color="auto"/>
              <w:bottom w:val="nil"/>
            </w:tcBorders>
            <w:vAlign w:val="center"/>
          </w:tcPr>
          <w:p w:rsidR="00A51754" w:rsidRPr="00CE0BE9" w:rsidRDefault="00A51754" w:rsidP="00E9333E">
            <w:pPr>
              <w:pStyle w:val="Tabletext"/>
            </w:pPr>
            <w:r w:rsidRPr="00CE0BE9">
              <w:t>Myeloma IX</w:t>
            </w:r>
          </w:p>
        </w:tc>
        <w:tc>
          <w:tcPr>
            <w:tcW w:w="3027" w:type="pct"/>
            <w:tcBorders>
              <w:top w:val="single" w:sz="4" w:space="0" w:color="auto"/>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t>Morgan G, Davies FE, Gregory WM et al. The role of maintenance thalidomide therapy in multiple myeloma: MRC Myeloma IX results and meta-analysis</w:t>
            </w:r>
          </w:p>
        </w:tc>
        <w:tc>
          <w:tcPr>
            <w:tcW w:w="1177" w:type="pct"/>
            <w:tcBorders>
              <w:top w:val="single" w:sz="4" w:space="0" w:color="auto"/>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t>Blood 2012, 119(1), pp. 7–15</w:t>
            </w:r>
          </w:p>
        </w:tc>
      </w:tr>
      <w:tr w:rsidR="00A51754" w:rsidRPr="00CE0BE9" w:rsidTr="00454F3B">
        <w:tc>
          <w:tcPr>
            <w:tcW w:w="796" w:type="pct"/>
            <w:tcBorders>
              <w:top w:val="nil"/>
              <w:bottom w:val="nil"/>
            </w:tcBorders>
            <w:vAlign w:val="center"/>
          </w:tcPr>
          <w:p w:rsidR="00A51754" w:rsidRPr="00CE0BE9" w:rsidRDefault="00A51754" w:rsidP="00E9333E">
            <w:pPr>
              <w:pStyle w:val="Tabletext"/>
            </w:pPr>
            <w:r w:rsidRPr="00CE0BE9">
              <w:t>ISRCTN68454111</w:t>
            </w:r>
          </w:p>
        </w:tc>
        <w:tc>
          <w:tcPr>
            <w:tcW w:w="3027" w:type="pct"/>
            <w:tcBorders>
              <w:top w:val="nil"/>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t>Morgan G, Davies FE, Gregory WM et al. Long-term follow-up of MRC Myeloma IX trial: Survival outcomes with bisphosphonate and thalidomide treatment</w:t>
            </w:r>
          </w:p>
        </w:tc>
        <w:tc>
          <w:tcPr>
            <w:tcW w:w="1177" w:type="pct"/>
            <w:tcBorders>
              <w:top w:val="nil"/>
              <w:bottom w:val="nil"/>
            </w:tcBorders>
            <w:vAlign w:val="center"/>
          </w:tcPr>
          <w:p w:rsidR="00A51754" w:rsidRPr="00CE0BE9" w:rsidRDefault="00A51754" w:rsidP="00E9333E">
            <w:pPr>
              <w:pStyle w:val="Tabletext"/>
              <w:rPr>
                <w:szCs w:val="18"/>
                <w:lang w:val="en-US" w:eastAsia="en-AU"/>
              </w:rPr>
            </w:pPr>
            <w:r w:rsidRPr="00CE0BE9">
              <w:rPr>
                <w:szCs w:val="18"/>
                <w:lang w:val="en-US" w:eastAsia="en-AU"/>
              </w:rPr>
              <w:t>Clinical Cancer Research 2013, 19 (21): 6030-6038</w:t>
            </w:r>
          </w:p>
        </w:tc>
      </w:tr>
      <w:tr w:rsidR="00A51754" w:rsidRPr="00CE0BE9" w:rsidTr="00454F3B">
        <w:tc>
          <w:tcPr>
            <w:tcW w:w="796" w:type="pct"/>
            <w:tcBorders>
              <w:top w:val="nil"/>
              <w:bottom w:val="single" w:sz="4" w:space="0" w:color="auto"/>
            </w:tcBorders>
            <w:vAlign w:val="center"/>
          </w:tcPr>
          <w:p w:rsidR="00A51754" w:rsidRPr="00CE0BE9" w:rsidRDefault="00A51754" w:rsidP="00E9333E">
            <w:pPr>
              <w:pStyle w:val="Tabletext"/>
            </w:pPr>
          </w:p>
        </w:tc>
        <w:tc>
          <w:tcPr>
            <w:tcW w:w="3027" w:type="pct"/>
            <w:tcBorders>
              <w:top w:val="nil"/>
              <w:bottom w:val="single" w:sz="4" w:space="0" w:color="auto"/>
            </w:tcBorders>
            <w:vAlign w:val="center"/>
          </w:tcPr>
          <w:p w:rsidR="00A51754" w:rsidRPr="00CE0BE9" w:rsidRDefault="00A51754" w:rsidP="00E9333E">
            <w:pPr>
              <w:pStyle w:val="Tabletext"/>
              <w:rPr>
                <w:szCs w:val="18"/>
                <w:lang w:val="en-US" w:eastAsia="en-AU"/>
              </w:rPr>
            </w:pPr>
            <w:r w:rsidRPr="00CE0BE9">
              <w:rPr>
                <w:szCs w:val="18"/>
                <w:lang w:val="en-US" w:eastAsia="en-AU"/>
              </w:rPr>
              <w:t xml:space="preserve">Morgan G, Davies FE, Gregory WM et al. Thalidomide maintenance </w:t>
            </w:r>
            <w:r w:rsidRPr="00CE0BE9">
              <w:rPr>
                <w:szCs w:val="18"/>
                <w:lang w:val="en-US" w:eastAsia="en-AU"/>
              </w:rPr>
              <w:lastRenderedPageBreak/>
              <w:t>significantly improves progression-free survival (PFS) and overall survival (OS) of myeloma patients when effective relapse treatments are used: MRC myeloma IX results’</w:t>
            </w:r>
          </w:p>
        </w:tc>
        <w:tc>
          <w:tcPr>
            <w:tcW w:w="1177" w:type="pct"/>
            <w:tcBorders>
              <w:top w:val="nil"/>
              <w:bottom w:val="single" w:sz="4" w:space="0" w:color="auto"/>
            </w:tcBorders>
            <w:vAlign w:val="center"/>
          </w:tcPr>
          <w:p w:rsidR="00A51754" w:rsidRPr="00CE0BE9" w:rsidRDefault="00A51754" w:rsidP="00E9333E">
            <w:pPr>
              <w:pStyle w:val="Tabletext"/>
              <w:rPr>
                <w:szCs w:val="18"/>
                <w:lang w:val="en-US" w:eastAsia="en-AU"/>
              </w:rPr>
            </w:pPr>
            <w:r w:rsidRPr="00CE0BE9">
              <w:rPr>
                <w:szCs w:val="18"/>
                <w:lang w:val="en-US" w:eastAsia="en-AU"/>
              </w:rPr>
              <w:lastRenderedPageBreak/>
              <w:t xml:space="preserve">Blood 2010. Conference: </w:t>
            </w:r>
            <w:r w:rsidRPr="00CE0BE9">
              <w:rPr>
                <w:szCs w:val="18"/>
                <w:lang w:val="en-US" w:eastAsia="en-AU"/>
              </w:rPr>
              <w:lastRenderedPageBreak/>
              <w:t>52nd Annual Meeting of the American Society of Hematology, ASH. 116 (21)</w:t>
            </w:r>
          </w:p>
        </w:tc>
      </w:tr>
    </w:tbl>
    <w:p w:rsidR="00A51754" w:rsidRPr="00CE0BE9" w:rsidRDefault="00A51754" w:rsidP="00A51754">
      <w:pPr>
        <w:pStyle w:val="TableFooter"/>
        <w:rPr>
          <w:sz w:val="20"/>
        </w:rPr>
      </w:pPr>
      <w:r w:rsidRPr="00CE0BE9">
        <w:lastRenderedPageBreak/>
        <w:t xml:space="preserve">Source: Table 2.2.1, p.40-42 of the submission. </w:t>
      </w:r>
    </w:p>
    <w:p w:rsidR="009A7140" w:rsidRPr="00CE0BE9" w:rsidRDefault="009A7140">
      <w:pPr>
        <w:widowControl/>
        <w:jc w:val="left"/>
      </w:pPr>
    </w:p>
    <w:p w:rsidR="00A51754" w:rsidRPr="00CE0BE9" w:rsidRDefault="00A51754" w:rsidP="006F0DFD">
      <w:pPr>
        <w:pStyle w:val="ListParagraph"/>
        <w:widowControl/>
        <w:numPr>
          <w:ilvl w:val="1"/>
          <w:numId w:val="2"/>
        </w:numPr>
      </w:pPr>
      <w:r w:rsidRPr="00CE0BE9">
        <w:t xml:space="preserve">The key features of the randomised trials are summarised in the table below.  </w:t>
      </w:r>
    </w:p>
    <w:p w:rsidR="00A51754" w:rsidRPr="00CE0BE9" w:rsidRDefault="00A51754" w:rsidP="00A51754">
      <w:pPr>
        <w:rPr>
          <w:rStyle w:val="CommentReference"/>
        </w:rPr>
      </w:pPr>
      <w:r w:rsidRPr="00CE0BE9">
        <w:rPr>
          <w:rStyle w:val="CommentReference"/>
        </w:rPr>
        <w:t xml:space="preserve">Table 3: Key features of the included evidence – </w:t>
      </w:r>
      <w:r w:rsidR="00F00684" w:rsidRPr="00CE0BE9">
        <w:rPr>
          <w:rStyle w:val="CommentReference"/>
        </w:rPr>
        <w:t xml:space="preserve">direct and </w:t>
      </w:r>
      <w:r w:rsidRPr="00CE0BE9">
        <w:rPr>
          <w:rStyle w:val="CommentReference"/>
        </w:rPr>
        <w:t>indirect comparison</w:t>
      </w:r>
      <w:r w:rsidR="00F00684" w:rsidRPr="00CE0BE9">
        <w:rPr>
          <w:rStyle w:val="CommentReference"/>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95"/>
        <w:gridCol w:w="847"/>
        <w:gridCol w:w="1421"/>
        <w:gridCol w:w="1128"/>
        <w:gridCol w:w="1557"/>
        <w:gridCol w:w="1315"/>
        <w:gridCol w:w="1520"/>
      </w:tblGrid>
      <w:tr w:rsidR="00A51754" w:rsidRPr="00CE0BE9" w:rsidTr="00E9333E">
        <w:tc>
          <w:tcPr>
            <w:tcW w:w="713" w:type="pct"/>
            <w:shd w:val="clear" w:color="auto" w:fill="auto"/>
            <w:vAlign w:val="center"/>
          </w:tcPr>
          <w:p w:rsidR="00A51754" w:rsidRPr="00CE0BE9" w:rsidRDefault="00A51754" w:rsidP="00E9333E">
            <w:pPr>
              <w:pStyle w:val="Tabletext"/>
              <w:rPr>
                <w:b/>
                <w:lang w:val="en-US"/>
              </w:rPr>
            </w:pPr>
            <w:r w:rsidRPr="00CE0BE9">
              <w:rPr>
                <w:b/>
                <w:lang w:val="en-US"/>
              </w:rPr>
              <w:t>Trial</w:t>
            </w:r>
          </w:p>
        </w:tc>
        <w:tc>
          <w:tcPr>
            <w:tcW w:w="466" w:type="pct"/>
            <w:shd w:val="clear" w:color="auto" w:fill="auto"/>
            <w:vAlign w:val="center"/>
          </w:tcPr>
          <w:p w:rsidR="00A51754" w:rsidRPr="00CE0BE9" w:rsidRDefault="00A51754" w:rsidP="00E9333E">
            <w:pPr>
              <w:pStyle w:val="Tabletext"/>
              <w:jc w:val="center"/>
              <w:rPr>
                <w:b/>
                <w:lang w:val="en-US"/>
              </w:rPr>
            </w:pPr>
            <w:r w:rsidRPr="00CE0BE9">
              <w:rPr>
                <w:b/>
                <w:lang w:val="en-US"/>
              </w:rPr>
              <w:t>N</w:t>
            </w:r>
          </w:p>
        </w:tc>
        <w:tc>
          <w:tcPr>
            <w:tcW w:w="782" w:type="pct"/>
            <w:shd w:val="clear" w:color="auto" w:fill="auto"/>
            <w:vAlign w:val="center"/>
          </w:tcPr>
          <w:p w:rsidR="00A51754" w:rsidRPr="00CE0BE9" w:rsidRDefault="00A51754" w:rsidP="00E9333E">
            <w:pPr>
              <w:pStyle w:val="Tabletext"/>
              <w:jc w:val="center"/>
              <w:rPr>
                <w:b/>
                <w:lang w:val="en-US"/>
              </w:rPr>
            </w:pPr>
            <w:r w:rsidRPr="00CE0BE9">
              <w:rPr>
                <w:b/>
                <w:lang w:val="en-US"/>
              </w:rPr>
              <w:t xml:space="preserve">Design/ </w:t>
            </w:r>
            <w:proofErr w:type="spellStart"/>
            <w:r w:rsidRPr="00CE0BE9">
              <w:rPr>
                <w:b/>
                <w:lang w:val="en-US"/>
              </w:rPr>
              <w:t>duration</w:t>
            </w:r>
            <w:r w:rsidRPr="00CE0BE9">
              <w:rPr>
                <w:b/>
                <w:vertAlign w:val="superscript"/>
                <w:lang w:val="en-US"/>
              </w:rPr>
              <w:t>a</w:t>
            </w:r>
            <w:proofErr w:type="spellEnd"/>
          </w:p>
        </w:tc>
        <w:tc>
          <w:tcPr>
            <w:tcW w:w="621" w:type="pct"/>
            <w:shd w:val="clear" w:color="auto" w:fill="auto"/>
            <w:vAlign w:val="center"/>
          </w:tcPr>
          <w:p w:rsidR="00A51754" w:rsidRPr="00CE0BE9" w:rsidRDefault="00A51754" w:rsidP="00E9333E">
            <w:pPr>
              <w:pStyle w:val="Tabletext"/>
              <w:jc w:val="center"/>
              <w:rPr>
                <w:b/>
                <w:lang w:val="en-US"/>
              </w:rPr>
            </w:pPr>
            <w:r w:rsidRPr="00CE0BE9">
              <w:rPr>
                <w:b/>
                <w:lang w:val="en-US"/>
              </w:rPr>
              <w:t>Risk of bias</w:t>
            </w:r>
          </w:p>
        </w:tc>
        <w:tc>
          <w:tcPr>
            <w:tcW w:w="857" w:type="pct"/>
            <w:shd w:val="clear" w:color="auto" w:fill="auto"/>
            <w:vAlign w:val="center"/>
          </w:tcPr>
          <w:p w:rsidR="00A51754" w:rsidRPr="00CE0BE9" w:rsidRDefault="00A51754" w:rsidP="00E9333E">
            <w:pPr>
              <w:pStyle w:val="Tabletext"/>
              <w:jc w:val="center"/>
              <w:rPr>
                <w:b/>
                <w:lang w:val="en-US"/>
              </w:rPr>
            </w:pPr>
            <w:r w:rsidRPr="00CE0BE9">
              <w:rPr>
                <w:b/>
                <w:lang w:val="en-US"/>
              </w:rPr>
              <w:t>Patient population</w:t>
            </w:r>
          </w:p>
        </w:tc>
        <w:tc>
          <w:tcPr>
            <w:tcW w:w="724" w:type="pct"/>
            <w:shd w:val="clear" w:color="auto" w:fill="auto"/>
            <w:vAlign w:val="center"/>
          </w:tcPr>
          <w:p w:rsidR="00A51754" w:rsidRPr="00CE0BE9" w:rsidRDefault="00A51754" w:rsidP="00E9333E">
            <w:pPr>
              <w:pStyle w:val="Tabletext"/>
              <w:jc w:val="center"/>
              <w:rPr>
                <w:b/>
                <w:lang w:val="en-US"/>
              </w:rPr>
            </w:pPr>
            <w:r w:rsidRPr="00CE0BE9">
              <w:rPr>
                <w:b/>
                <w:lang w:val="en-US"/>
              </w:rPr>
              <w:t>Outcomes</w:t>
            </w:r>
          </w:p>
        </w:tc>
        <w:tc>
          <w:tcPr>
            <w:tcW w:w="837" w:type="pct"/>
            <w:shd w:val="clear" w:color="auto" w:fill="auto"/>
            <w:vAlign w:val="center"/>
          </w:tcPr>
          <w:p w:rsidR="00A51754" w:rsidRPr="00CE0BE9" w:rsidRDefault="00A51754" w:rsidP="00E9333E">
            <w:pPr>
              <w:pStyle w:val="Tabletext"/>
              <w:jc w:val="center"/>
              <w:rPr>
                <w:b/>
                <w:lang w:val="en-US"/>
              </w:rPr>
            </w:pPr>
            <w:r w:rsidRPr="00CE0BE9">
              <w:rPr>
                <w:b/>
                <w:lang w:val="en-US"/>
              </w:rPr>
              <w:t>Use in modelled evaluation</w:t>
            </w:r>
          </w:p>
        </w:tc>
      </w:tr>
      <w:tr w:rsidR="00A51754" w:rsidRPr="00CE0BE9" w:rsidTr="00E9333E">
        <w:tc>
          <w:tcPr>
            <w:tcW w:w="5000" w:type="pct"/>
            <w:gridSpan w:val="7"/>
            <w:shd w:val="clear" w:color="auto" w:fill="auto"/>
            <w:vAlign w:val="center"/>
          </w:tcPr>
          <w:p w:rsidR="00A51754" w:rsidRPr="00CE0BE9" w:rsidRDefault="00A51754" w:rsidP="00E9333E">
            <w:pPr>
              <w:pStyle w:val="Tabletext"/>
              <w:rPr>
                <w:b/>
                <w:lang w:val="en-US"/>
              </w:rPr>
            </w:pPr>
            <w:proofErr w:type="spellStart"/>
            <w:r w:rsidRPr="00CE0BE9">
              <w:rPr>
                <w:b/>
                <w:lang w:val="en-US"/>
              </w:rPr>
              <w:t>Lenalidomide</w:t>
            </w:r>
            <w:proofErr w:type="spellEnd"/>
            <w:r w:rsidRPr="00CE0BE9">
              <w:rPr>
                <w:b/>
                <w:lang w:val="en-US"/>
              </w:rPr>
              <w:t xml:space="preserve"> vs. placebo</w:t>
            </w:r>
          </w:p>
        </w:tc>
      </w:tr>
      <w:tr w:rsidR="00A51754" w:rsidRPr="00CE0BE9" w:rsidTr="00E9333E">
        <w:tc>
          <w:tcPr>
            <w:tcW w:w="713" w:type="pct"/>
            <w:shd w:val="clear" w:color="auto" w:fill="auto"/>
            <w:vAlign w:val="center"/>
          </w:tcPr>
          <w:p w:rsidR="00A51754" w:rsidRPr="00CE0BE9" w:rsidRDefault="00A51754" w:rsidP="00E9333E">
            <w:pPr>
              <w:pStyle w:val="Tabletext"/>
              <w:rPr>
                <w:lang w:val="en-US"/>
              </w:rPr>
            </w:pPr>
            <w:r w:rsidRPr="00CE0BE9">
              <w:rPr>
                <w:lang w:val="en-US"/>
              </w:rPr>
              <w:t xml:space="preserve">CALGB </w:t>
            </w:r>
          </w:p>
        </w:tc>
        <w:tc>
          <w:tcPr>
            <w:tcW w:w="466" w:type="pct"/>
            <w:shd w:val="clear" w:color="auto" w:fill="auto"/>
            <w:vAlign w:val="center"/>
          </w:tcPr>
          <w:p w:rsidR="00A51754" w:rsidRPr="00CE0BE9" w:rsidRDefault="00A51754" w:rsidP="00E9333E">
            <w:pPr>
              <w:pStyle w:val="Tabletext"/>
              <w:jc w:val="center"/>
              <w:rPr>
                <w:lang w:val="en-US"/>
              </w:rPr>
            </w:pPr>
            <w:r w:rsidRPr="00CE0BE9">
              <w:rPr>
                <w:lang w:val="en-US"/>
              </w:rPr>
              <w:t>460</w:t>
            </w:r>
          </w:p>
        </w:tc>
        <w:tc>
          <w:tcPr>
            <w:tcW w:w="782" w:type="pct"/>
            <w:shd w:val="clear" w:color="auto" w:fill="auto"/>
            <w:vAlign w:val="center"/>
          </w:tcPr>
          <w:p w:rsidR="00A51754" w:rsidRPr="00CE0BE9" w:rsidRDefault="00A51754" w:rsidP="00E9333E">
            <w:pPr>
              <w:pStyle w:val="Tabletext"/>
              <w:jc w:val="center"/>
              <w:rPr>
                <w:lang w:val="en-US"/>
              </w:rPr>
            </w:pPr>
            <w:r w:rsidRPr="00CE0BE9">
              <w:rPr>
                <w:lang w:val="en-US"/>
              </w:rPr>
              <w:t>R, DB</w:t>
            </w:r>
          </w:p>
        </w:tc>
        <w:tc>
          <w:tcPr>
            <w:tcW w:w="621" w:type="pct"/>
            <w:shd w:val="clear" w:color="auto" w:fill="auto"/>
            <w:vAlign w:val="center"/>
          </w:tcPr>
          <w:p w:rsidR="00A51754" w:rsidRPr="00CE0BE9" w:rsidRDefault="00A51754" w:rsidP="00E9333E">
            <w:pPr>
              <w:pStyle w:val="Tabletext"/>
              <w:jc w:val="center"/>
              <w:rPr>
                <w:lang w:val="en-US"/>
              </w:rPr>
            </w:pPr>
            <w:r w:rsidRPr="00CE0BE9">
              <w:rPr>
                <w:lang w:val="en-US"/>
              </w:rPr>
              <w:t>Low; cross</w:t>
            </w:r>
            <w:r w:rsidRPr="00CE0BE9">
              <w:rPr>
                <w:lang w:val="en-US"/>
              </w:rPr>
              <w:noBreakHyphen/>
              <w:t>over</w:t>
            </w:r>
          </w:p>
        </w:tc>
        <w:tc>
          <w:tcPr>
            <w:tcW w:w="857" w:type="pct"/>
            <w:shd w:val="clear" w:color="auto" w:fill="auto"/>
            <w:vAlign w:val="center"/>
          </w:tcPr>
          <w:p w:rsidR="00A51754" w:rsidRPr="00CE0BE9" w:rsidRDefault="00A51754" w:rsidP="00E9333E">
            <w:pPr>
              <w:pStyle w:val="Tabletext"/>
              <w:jc w:val="center"/>
              <w:rPr>
                <w:lang w:val="en-US"/>
              </w:rPr>
            </w:pPr>
            <w:r w:rsidRPr="00CE0BE9">
              <w:rPr>
                <w:lang w:val="en-US"/>
              </w:rPr>
              <w:t>Post</w:t>
            </w:r>
            <w:r w:rsidRPr="00CE0BE9">
              <w:rPr>
                <w:lang w:val="en-US"/>
              </w:rPr>
              <w:noBreakHyphen/>
              <w:t>ASCT</w:t>
            </w:r>
          </w:p>
        </w:tc>
        <w:tc>
          <w:tcPr>
            <w:tcW w:w="724" w:type="pct"/>
            <w:shd w:val="clear" w:color="auto" w:fill="auto"/>
            <w:vAlign w:val="center"/>
          </w:tcPr>
          <w:p w:rsidR="00A51754" w:rsidRPr="00CE0BE9" w:rsidRDefault="00A51754" w:rsidP="00E9333E">
            <w:pPr>
              <w:pStyle w:val="Tabletext"/>
              <w:jc w:val="center"/>
              <w:rPr>
                <w:lang w:val="en-US"/>
              </w:rPr>
            </w:pPr>
            <w:r w:rsidRPr="00CE0BE9">
              <w:rPr>
                <w:lang w:val="en-US"/>
              </w:rPr>
              <w:t>PFS, OS, ORR, PFS2.</w:t>
            </w:r>
          </w:p>
        </w:tc>
        <w:tc>
          <w:tcPr>
            <w:tcW w:w="837" w:type="pct"/>
            <w:shd w:val="clear" w:color="auto" w:fill="auto"/>
            <w:vAlign w:val="center"/>
          </w:tcPr>
          <w:p w:rsidR="00A51754" w:rsidRPr="00CE0BE9" w:rsidRDefault="00A51754" w:rsidP="00E9333E">
            <w:pPr>
              <w:pStyle w:val="Tabletext"/>
              <w:jc w:val="center"/>
              <w:rPr>
                <w:lang w:val="en-US"/>
              </w:rPr>
            </w:pPr>
            <w:r w:rsidRPr="00CE0BE9">
              <w:rPr>
                <w:lang w:val="en-US"/>
              </w:rPr>
              <w:t>OS, PFS, AE.</w:t>
            </w:r>
          </w:p>
        </w:tc>
      </w:tr>
      <w:tr w:rsidR="00A51754" w:rsidRPr="00CE0BE9" w:rsidTr="00E9333E">
        <w:tc>
          <w:tcPr>
            <w:tcW w:w="713" w:type="pct"/>
            <w:shd w:val="clear" w:color="auto" w:fill="auto"/>
            <w:vAlign w:val="center"/>
          </w:tcPr>
          <w:p w:rsidR="00A51754" w:rsidRPr="00CE0BE9" w:rsidRDefault="00A51754" w:rsidP="00E9333E">
            <w:pPr>
              <w:pStyle w:val="Tabletext"/>
              <w:rPr>
                <w:lang w:val="en-US"/>
              </w:rPr>
            </w:pPr>
            <w:r w:rsidRPr="00CE0BE9">
              <w:rPr>
                <w:lang w:val="en-US"/>
              </w:rPr>
              <w:t>IFM 2005</w:t>
            </w:r>
            <w:r w:rsidRPr="00CE0BE9">
              <w:rPr>
                <w:lang w:val="en-US"/>
              </w:rPr>
              <w:noBreakHyphen/>
              <w:t>02</w:t>
            </w:r>
          </w:p>
        </w:tc>
        <w:tc>
          <w:tcPr>
            <w:tcW w:w="466" w:type="pct"/>
            <w:shd w:val="clear" w:color="auto" w:fill="auto"/>
            <w:vAlign w:val="center"/>
          </w:tcPr>
          <w:p w:rsidR="00A51754" w:rsidRPr="00CE0BE9" w:rsidRDefault="00A51754" w:rsidP="00E9333E">
            <w:pPr>
              <w:pStyle w:val="Tabletext"/>
              <w:jc w:val="center"/>
              <w:rPr>
                <w:lang w:val="en-US"/>
              </w:rPr>
            </w:pPr>
            <w:r w:rsidRPr="00CE0BE9">
              <w:rPr>
                <w:lang w:val="en-US"/>
              </w:rPr>
              <w:t>614</w:t>
            </w:r>
          </w:p>
        </w:tc>
        <w:tc>
          <w:tcPr>
            <w:tcW w:w="782" w:type="pct"/>
            <w:shd w:val="clear" w:color="auto" w:fill="auto"/>
            <w:vAlign w:val="center"/>
          </w:tcPr>
          <w:p w:rsidR="00A51754" w:rsidRPr="00CE0BE9" w:rsidRDefault="00A51754" w:rsidP="00E9333E">
            <w:pPr>
              <w:pStyle w:val="Tabletext"/>
              <w:jc w:val="center"/>
              <w:rPr>
                <w:lang w:val="en-US"/>
              </w:rPr>
            </w:pPr>
            <w:r w:rsidRPr="00CE0BE9">
              <w:rPr>
                <w:lang w:val="en-US"/>
              </w:rPr>
              <w:t>R, DB</w:t>
            </w:r>
          </w:p>
        </w:tc>
        <w:tc>
          <w:tcPr>
            <w:tcW w:w="621" w:type="pct"/>
            <w:shd w:val="clear" w:color="auto" w:fill="auto"/>
            <w:vAlign w:val="center"/>
          </w:tcPr>
          <w:p w:rsidR="00A51754" w:rsidRPr="00CE0BE9" w:rsidRDefault="00A51754" w:rsidP="00E9333E">
            <w:pPr>
              <w:pStyle w:val="Tabletext"/>
              <w:jc w:val="center"/>
              <w:rPr>
                <w:lang w:val="en-US"/>
              </w:rPr>
            </w:pPr>
            <w:r w:rsidRPr="00CE0BE9">
              <w:rPr>
                <w:lang w:val="en-US"/>
              </w:rPr>
              <w:t>Low</w:t>
            </w:r>
          </w:p>
        </w:tc>
        <w:tc>
          <w:tcPr>
            <w:tcW w:w="857" w:type="pct"/>
            <w:shd w:val="clear" w:color="auto" w:fill="auto"/>
            <w:vAlign w:val="center"/>
          </w:tcPr>
          <w:p w:rsidR="00A51754" w:rsidRPr="00CE0BE9" w:rsidRDefault="00A51754" w:rsidP="00E9333E">
            <w:pPr>
              <w:pStyle w:val="Tabletext"/>
              <w:jc w:val="center"/>
              <w:rPr>
                <w:vertAlign w:val="superscript"/>
                <w:lang w:val="en-US"/>
              </w:rPr>
            </w:pPr>
            <w:r w:rsidRPr="00CE0BE9">
              <w:rPr>
                <w:lang w:val="en-US"/>
              </w:rPr>
              <w:t>Post</w:t>
            </w:r>
            <w:r w:rsidRPr="00CE0BE9">
              <w:rPr>
                <w:lang w:val="en-US"/>
              </w:rPr>
              <w:noBreakHyphen/>
              <w:t>ASCT</w:t>
            </w:r>
          </w:p>
        </w:tc>
        <w:tc>
          <w:tcPr>
            <w:tcW w:w="724" w:type="pct"/>
            <w:shd w:val="clear" w:color="auto" w:fill="auto"/>
            <w:vAlign w:val="center"/>
          </w:tcPr>
          <w:p w:rsidR="00A51754" w:rsidRPr="00CE0BE9" w:rsidRDefault="00A51754" w:rsidP="00E9333E">
            <w:pPr>
              <w:pStyle w:val="Tabletext"/>
              <w:jc w:val="center"/>
              <w:rPr>
                <w:lang w:val="en-US"/>
              </w:rPr>
            </w:pPr>
            <w:r w:rsidRPr="00CE0BE9">
              <w:rPr>
                <w:lang w:val="en-US"/>
              </w:rPr>
              <w:t>PFS, OS, ORR, PFS2.</w:t>
            </w:r>
          </w:p>
        </w:tc>
        <w:tc>
          <w:tcPr>
            <w:tcW w:w="837" w:type="pct"/>
            <w:shd w:val="clear" w:color="auto" w:fill="auto"/>
            <w:vAlign w:val="center"/>
          </w:tcPr>
          <w:p w:rsidR="00A51754" w:rsidRPr="00CE0BE9" w:rsidRDefault="00A51754" w:rsidP="00E9333E">
            <w:pPr>
              <w:pStyle w:val="Tabletext"/>
              <w:jc w:val="center"/>
              <w:rPr>
                <w:lang w:val="en-US"/>
              </w:rPr>
            </w:pPr>
            <w:r w:rsidRPr="00CE0BE9">
              <w:rPr>
                <w:lang w:val="en-US"/>
              </w:rPr>
              <w:t>OS, PFS sensitivity analysis</w:t>
            </w:r>
            <w:r w:rsidR="00F00684" w:rsidRPr="00CE0BE9">
              <w:rPr>
                <w:lang w:val="en-US"/>
              </w:rPr>
              <w:t xml:space="preserve">, </w:t>
            </w:r>
            <w:r w:rsidRPr="00CE0BE9">
              <w:rPr>
                <w:lang w:val="en-US"/>
              </w:rPr>
              <w:t xml:space="preserve">AE. </w:t>
            </w:r>
          </w:p>
        </w:tc>
      </w:tr>
      <w:tr w:rsidR="00A51754" w:rsidRPr="00CE0BE9" w:rsidTr="00E9333E">
        <w:tc>
          <w:tcPr>
            <w:tcW w:w="713" w:type="pct"/>
            <w:shd w:val="clear" w:color="auto" w:fill="auto"/>
            <w:vAlign w:val="center"/>
          </w:tcPr>
          <w:p w:rsidR="00A51754" w:rsidRPr="00CE0BE9" w:rsidRDefault="00A51754" w:rsidP="00E9333E">
            <w:pPr>
              <w:pStyle w:val="Tabletext"/>
              <w:rPr>
                <w:lang w:val="en-US"/>
              </w:rPr>
            </w:pPr>
            <w:r w:rsidRPr="00CE0BE9">
              <w:rPr>
                <w:lang w:val="en-US"/>
              </w:rPr>
              <w:t>GIMEMA</w:t>
            </w:r>
          </w:p>
        </w:tc>
        <w:tc>
          <w:tcPr>
            <w:tcW w:w="466" w:type="pct"/>
            <w:shd w:val="clear" w:color="auto" w:fill="auto"/>
            <w:vAlign w:val="center"/>
          </w:tcPr>
          <w:p w:rsidR="00A51754" w:rsidRPr="00CE0BE9" w:rsidRDefault="00A51754" w:rsidP="00E9333E">
            <w:pPr>
              <w:pStyle w:val="Tabletext"/>
              <w:jc w:val="center"/>
              <w:rPr>
                <w:lang w:val="en-US"/>
              </w:rPr>
            </w:pPr>
            <w:r w:rsidRPr="00CE0BE9">
              <w:rPr>
                <w:lang w:val="en-US"/>
              </w:rPr>
              <w:t>135</w:t>
            </w:r>
            <w:r w:rsidR="00E9333E" w:rsidRPr="00CE0BE9">
              <w:rPr>
                <w:vertAlign w:val="superscript"/>
                <w:lang w:val="en-US"/>
              </w:rPr>
              <w:t>b</w:t>
            </w:r>
          </w:p>
        </w:tc>
        <w:tc>
          <w:tcPr>
            <w:tcW w:w="782" w:type="pct"/>
            <w:shd w:val="clear" w:color="auto" w:fill="auto"/>
            <w:vAlign w:val="center"/>
          </w:tcPr>
          <w:p w:rsidR="00A51754" w:rsidRPr="00CE0BE9" w:rsidRDefault="00A51754" w:rsidP="00E9333E">
            <w:pPr>
              <w:pStyle w:val="Tabletext"/>
              <w:jc w:val="center"/>
              <w:rPr>
                <w:lang w:val="en-US"/>
              </w:rPr>
            </w:pPr>
            <w:r w:rsidRPr="00CE0BE9">
              <w:rPr>
                <w:lang w:val="en-US"/>
              </w:rPr>
              <w:t>R, OL</w:t>
            </w:r>
          </w:p>
        </w:tc>
        <w:tc>
          <w:tcPr>
            <w:tcW w:w="621" w:type="pct"/>
            <w:shd w:val="clear" w:color="auto" w:fill="auto"/>
            <w:vAlign w:val="center"/>
          </w:tcPr>
          <w:p w:rsidR="00A51754" w:rsidRPr="00CE0BE9" w:rsidRDefault="00A51754" w:rsidP="00E9333E">
            <w:pPr>
              <w:pStyle w:val="Tabletext"/>
              <w:jc w:val="center"/>
              <w:rPr>
                <w:lang w:val="en-US"/>
              </w:rPr>
            </w:pPr>
            <w:r w:rsidRPr="00CE0BE9">
              <w:rPr>
                <w:lang w:val="en-US"/>
              </w:rPr>
              <w:t>Low/unclear</w:t>
            </w:r>
          </w:p>
        </w:tc>
        <w:tc>
          <w:tcPr>
            <w:tcW w:w="857" w:type="pct"/>
            <w:shd w:val="clear" w:color="auto" w:fill="auto"/>
            <w:vAlign w:val="center"/>
          </w:tcPr>
          <w:p w:rsidR="00A51754" w:rsidRPr="00CE0BE9" w:rsidRDefault="00A51754" w:rsidP="00E9333E">
            <w:pPr>
              <w:pStyle w:val="Tabletext"/>
              <w:jc w:val="center"/>
              <w:rPr>
                <w:lang w:val="en-US"/>
              </w:rPr>
            </w:pPr>
            <w:r w:rsidRPr="00CE0BE9">
              <w:rPr>
                <w:lang w:val="en-US"/>
              </w:rPr>
              <w:t>ASCT and non</w:t>
            </w:r>
            <w:r w:rsidRPr="00CE0BE9">
              <w:rPr>
                <w:lang w:val="en-US"/>
              </w:rPr>
              <w:noBreakHyphen/>
              <w:t>ASCT</w:t>
            </w:r>
          </w:p>
        </w:tc>
        <w:tc>
          <w:tcPr>
            <w:tcW w:w="724" w:type="pct"/>
            <w:shd w:val="clear" w:color="auto" w:fill="auto"/>
            <w:vAlign w:val="center"/>
          </w:tcPr>
          <w:p w:rsidR="00A51754" w:rsidRPr="00CE0BE9" w:rsidRDefault="00A51754" w:rsidP="00E9333E">
            <w:pPr>
              <w:pStyle w:val="Tabletext"/>
              <w:jc w:val="center"/>
              <w:rPr>
                <w:lang w:val="en-US"/>
              </w:rPr>
            </w:pPr>
            <w:r w:rsidRPr="00CE0BE9">
              <w:rPr>
                <w:lang w:val="en-US"/>
              </w:rPr>
              <w:t>PFS, OS, PFS2.</w:t>
            </w:r>
          </w:p>
        </w:tc>
        <w:tc>
          <w:tcPr>
            <w:tcW w:w="837" w:type="pct"/>
            <w:shd w:val="clear" w:color="auto" w:fill="auto"/>
            <w:vAlign w:val="center"/>
          </w:tcPr>
          <w:p w:rsidR="00A51754" w:rsidRPr="00CE0BE9" w:rsidRDefault="00A51754" w:rsidP="00E9333E">
            <w:pPr>
              <w:pStyle w:val="Tabletext"/>
              <w:jc w:val="center"/>
              <w:rPr>
                <w:lang w:val="en-US"/>
              </w:rPr>
            </w:pPr>
            <w:r w:rsidRPr="00CE0BE9">
              <w:rPr>
                <w:lang w:val="en-US"/>
              </w:rPr>
              <w:t>OS, PFS sensitivity analysis</w:t>
            </w:r>
            <w:r w:rsidR="00346CF7" w:rsidRPr="00CE0BE9">
              <w:rPr>
                <w:lang w:val="en-US"/>
              </w:rPr>
              <w:t xml:space="preserve">, </w:t>
            </w:r>
            <w:r w:rsidRPr="00CE0BE9">
              <w:rPr>
                <w:lang w:val="en-US"/>
              </w:rPr>
              <w:t>AE.</w:t>
            </w:r>
          </w:p>
        </w:tc>
      </w:tr>
      <w:tr w:rsidR="00A51754" w:rsidRPr="00CE0BE9" w:rsidTr="00E9333E">
        <w:tc>
          <w:tcPr>
            <w:tcW w:w="713" w:type="pct"/>
            <w:shd w:val="clear" w:color="auto" w:fill="auto"/>
            <w:vAlign w:val="center"/>
          </w:tcPr>
          <w:p w:rsidR="00A51754" w:rsidRPr="00CE0BE9" w:rsidRDefault="00A51754" w:rsidP="00E9333E">
            <w:pPr>
              <w:pStyle w:val="Tabletext"/>
              <w:rPr>
                <w:lang w:val="en-US"/>
              </w:rPr>
            </w:pPr>
            <w:r w:rsidRPr="00CE0BE9">
              <w:rPr>
                <w:lang w:val="en-US"/>
              </w:rPr>
              <w:t>Myeloma XI</w:t>
            </w:r>
          </w:p>
        </w:tc>
        <w:tc>
          <w:tcPr>
            <w:tcW w:w="466" w:type="pct"/>
            <w:shd w:val="clear" w:color="auto" w:fill="auto"/>
            <w:vAlign w:val="center"/>
          </w:tcPr>
          <w:p w:rsidR="00A51754" w:rsidRPr="00CE0BE9" w:rsidRDefault="00A51754" w:rsidP="00E9333E">
            <w:pPr>
              <w:pStyle w:val="Tabletext"/>
              <w:jc w:val="center"/>
              <w:rPr>
                <w:lang w:val="en-US"/>
              </w:rPr>
            </w:pPr>
            <w:r w:rsidRPr="00CE0BE9">
              <w:rPr>
                <w:lang w:val="en-US"/>
              </w:rPr>
              <w:t>788</w:t>
            </w:r>
            <w:r w:rsidR="00E9333E" w:rsidRPr="00CE0BE9">
              <w:rPr>
                <w:vertAlign w:val="superscript"/>
                <w:lang w:val="en-US"/>
              </w:rPr>
              <w:t>b</w:t>
            </w:r>
          </w:p>
        </w:tc>
        <w:tc>
          <w:tcPr>
            <w:tcW w:w="782" w:type="pct"/>
            <w:shd w:val="clear" w:color="auto" w:fill="auto"/>
            <w:vAlign w:val="center"/>
          </w:tcPr>
          <w:p w:rsidR="00A51754" w:rsidRPr="00CE0BE9" w:rsidRDefault="00A51754" w:rsidP="00E9333E">
            <w:pPr>
              <w:pStyle w:val="Tabletext"/>
              <w:jc w:val="center"/>
              <w:rPr>
                <w:lang w:val="en-US"/>
              </w:rPr>
            </w:pPr>
            <w:r w:rsidRPr="00CE0BE9">
              <w:rPr>
                <w:lang w:val="en-US"/>
              </w:rPr>
              <w:t>R, OL, ongoing</w:t>
            </w:r>
          </w:p>
        </w:tc>
        <w:tc>
          <w:tcPr>
            <w:tcW w:w="621" w:type="pct"/>
            <w:shd w:val="clear" w:color="auto" w:fill="auto"/>
            <w:vAlign w:val="center"/>
          </w:tcPr>
          <w:p w:rsidR="00A51754" w:rsidRPr="00CE0BE9" w:rsidRDefault="00A51754" w:rsidP="00E9333E">
            <w:pPr>
              <w:pStyle w:val="Tabletext"/>
              <w:jc w:val="center"/>
              <w:rPr>
                <w:lang w:val="en-US"/>
              </w:rPr>
            </w:pPr>
            <w:r w:rsidRPr="00CE0BE9">
              <w:rPr>
                <w:lang w:val="en-US"/>
              </w:rPr>
              <w:t>Low/unclear</w:t>
            </w:r>
          </w:p>
        </w:tc>
        <w:tc>
          <w:tcPr>
            <w:tcW w:w="857" w:type="pct"/>
            <w:shd w:val="clear" w:color="auto" w:fill="auto"/>
            <w:vAlign w:val="center"/>
          </w:tcPr>
          <w:p w:rsidR="00A51754" w:rsidRPr="00CE0BE9" w:rsidRDefault="00A51754" w:rsidP="00E9333E">
            <w:pPr>
              <w:pStyle w:val="Tabletext"/>
              <w:jc w:val="center"/>
              <w:rPr>
                <w:lang w:val="en-US"/>
              </w:rPr>
            </w:pPr>
            <w:r w:rsidRPr="00CE0BE9">
              <w:rPr>
                <w:lang w:val="en-US"/>
              </w:rPr>
              <w:t>ASCT and non</w:t>
            </w:r>
            <w:r w:rsidRPr="00CE0BE9">
              <w:rPr>
                <w:lang w:val="en-US"/>
              </w:rPr>
              <w:noBreakHyphen/>
              <w:t>ASCT</w:t>
            </w:r>
          </w:p>
        </w:tc>
        <w:tc>
          <w:tcPr>
            <w:tcW w:w="724" w:type="pct"/>
            <w:shd w:val="clear" w:color="auto" w:fill="auto"/>
            <w:vAlign w:val="center"/>
          </w:tcPr>
          <w:p w:rsidR="00A51754" w:rsidRPr="00CE0BE9" w:rsidRDefault="00A51754" w:rsidP="00E9333E">
            <w:pPr>
              <w:pStyle w:val="Tabletext"/>
              <w:jc w:val="center"/>
              <w:rPr>
                <w:lang w:val="en-US"/>
              </w:rPr>
            </w:pPr>
            <w:r w:rsidRPr="00CE0BE9">
              <w:rPr>
                <w:lang w:val="en-US"/>
              </w:rPr>
              <w:t>PFS</w:t>
            </w:r>
          </w:p>
        </w:tc>
        <w:tc>
          <w:tcPr>
            <w:tcW w:w="837" w:type="pct"/>
            <w:shd w:val="clear" w:color="auto" w:fill="auto"/>
            <w:vAlign w:val="center"/>
          </w:tcPr>
          <w:p w:rsidR="00A51754" w:rsidRPr="00CE0BE9" w:rsidRDefault="00A51754" w:rsidP="00E9333E">
            <w:pPr>
              <w:pStyle w:val="Tabletext"/>
              <w:jc w:val="center"/>
              <w:rPr>
                <w:lang w:val="en-US"/>
              </w:rPr>
            </w:pPr>
            <w:r w:rsidRPr="00CE0BE9">
              <w:rPr>
                <w:lang w:val="en-US"/>
              </w:rPr>
              <w:t>PFS sensitivity analysis</w:t>
            </w:r>
          </w:p>
        </w:tc>
      </w:tr>
      <w:tr w:rsidR="00A51754" w:rsidRPr="00CE0BE9" w:rsidTr="00E9333E">
        <w:tc>
          <w:tcPr>
            <w:tcW w:w="713" w:type="pct"/>
            <w:shd w:val="clear" w:color="auto" w:fill="auto"/>
            <w:vAlign w:val="center"/>
          </w:tcPr>
          <w:p w:rsidR="00A51754" w:rsidRPr="00CE0BE9" w:rsidRDefault="00A51754" w:rsidP="00E9333E">
            <w:pPr>
              <w:pStyle w:val="Tabletext"/>
              <w:rPr>
                <w:lang w:val="en-US"/>
              </w:rPr>
            </w:pPr>
            <w:r w:rsidRPr="00CE0BE9">
              <w:rPr>
                <w:lang w:val="en-US"/>
              </w:rPr>
              <w:t>Meta-analysis</w:t>
            </w:r>
          </w:p>
        </w:tc>
        <w:tc>
          <w:tcPr>
            <w:tcW w:w="466" w:type="pct"/>
            <w:shd w:val="clear" w:color="auto" w:fill="auto"/>
            <w:vAlign w:val="center"/>
          </w:tcPr>
          <w:p w:rsidR="00A51754" w:rsidRPr="00CE0BE9" w:rsidRDefault="00A51754" w:rsidP="00E9333E">
            <w:pPr>
              <w:pStyle w:val="Tabletext"/>
              <w:jc w:val="center"/>
              <w:rPr>
                <w:lang w:val="en-US"/>
              </w:rPr>
            </w:pPr>
          </w:p>
        </w:tc>
        <w:tc>
          <w:tcPr>
            <w:tcW w:w="2984" w:type="pct"/>
            <w:gridSpan w:val="4"/>
            <w:shd w:val="clear" w:color="auto" w:fill="auto"/>
            <w:vAlign w:val="center"/>
          </w:tcPr>
          <w:p w:rsidR="00A51754" w:rsidRPr="00CE0BE9" w:rsidRDefault="00A51754" w:rsidP="00E9333E">
            <w:pPr>
              <w:pStyle w:val="Tabletext"/>
              <w:rPr>
                <w:lang w:val="en-US"/>
              </w:rPr>
            </w:pPr>
            <w:r w:rsidRPr="00CE0BE9">
              <w:rPr>
                <w:lang w:val="en-US"/>
              </w:rPr>
              <w:t>Included CALGB (adjusted for cross</w:t>
            </w:r>
            <w:r w:rsidRPr="00CE0BE9">
              <w:rPr>
                <w:lang w:val="en-US"/>
              </w:rPr>
              <w:noBreakHyphen/>
              <w:t>over), IFM 2005</w:t>
            </w:r>
            <w:r w:rsidRPr="00CE0BE9">
              <w:rPr>
                <w:lang w:val="en-US"/>
              </w:rPr>
              <w:noBreakHyphen/>
              <w:t>02, GIMEMA (subgroup analysis) and Myeloma XI (subgroup analysis) assessed PFS.</w:t>
            </w:r>
          </w:p>
          <w:p w:rsidR="00A51754" w:rsidRPr="00CE0BE9" w:rsidRDefault="00A51754" w:rsidP="00E9333E">
            <w:pPr>
              <w:pStyle w:val="Tabletext"/>
              <w:rPr>
                <w:lang w:val="en-US"/>
              </w:rPr>
            </w:pPr>
            <w:r w:rsidRPr="00CE0BE9">
              <w:rPr>
                <w:lang w:val="en-US"/>
              </w:rPr>
              <w:t>Included CALGB (adjusted for cross over), IFM 2005 02 and GIMEMA (subgroup analysis) assessed OS.</w:t>
            </w:r>
          </w:p>
        </w:tc>
        <w:tc>
          <w:tcPr>
            <w:tcW w:w="837" w:type="pct"/>
            <w:shd w:val="clear" w:color="auto" w:fill="auto"/>
            <w:vAlign w:val="center"/>
          </w:tcPr>
          <w:p w:rsidR="00A51754" w:rsidRPr="00CE0BE9" w:rsidRDefault="00A51754" w:rsidP="00E9333E">
            <w:pPr>
              <w:pStyle w:val="Tabletext"/>
              <w:jc w:val="center"/>
              <w:rPr>
                <w:lang w:val="en-US"/>
              </w:rPr>
            </w:pPr>
            <w:r w:rsidRPr="00CE0BE9">
              <w:rPr>
                <w:lang w:val="en-US"/>
              </w:rPr>
              <w:t>OS and PFS, sensitivity analysis</w:t>
            </w:r>
          </w:p>
        </w:tc>
      </w:tr>
      <w:tr w:rsidR="00A51754" w:rsidRPr="00CE0BE9" w:rsidTr="00E9333E">
        <w:tc>
          <w:tcPr>
            <w:tcW w:w="5000" w:type="pct"/>
            <w:gridSpan w:val="7"/>
            <w:shd w:val="clear" w:color="auto" w:fill="auto"/>
            <w:vAlign w:val="center"/>
          </w:tcPr>
          <w:p w:rsidR="00A51754" w:rsidRPr="00CE0BE9" w:rsidRDefault="00A51754" w:rsidP="00E9333E">
            <w:pPr>
              <w:pStyle w:val="Tabletext"/>
              <w:rPr>
                <w:b/>
                <w:lang w:val="en-US"/>
              </w:rPr>
            </w:pPr>
            <w:r w:rsidRPr="00CE0BE9">
              <w:rPr>
                <w:b/>
                <w:lang w:val="en-US"/>
              </w:rPr>
              <w:t>Thalidomide vs.</w:t>
            </w:r>
            <w:r w:rsidR="00346CF7" w:rsidRPr="00CE0BE9">
              <w:rPr>
                <w:b/>
                <w:lang w:val="en-US"/>
              </w:rPr>
              <w:t xml:space="preserve"> BSC</w:t>
            </w:r>
          </w:p>
        </w:tc>
      </w:tr>
      <w:tr w:rsidR="00A51754" w:rsidRPr="00CE0BE9" w:rsidTr="00E9333E">
        <w:tc>
          <w:tcPr>
            <w:tcW w:w="713" w:type="pct"/>
            <w:shd w:val="clear" w:color="auto" w:fill="auto"/>
            <w:vAlign w:val="center"/>
          </w:tcPr>
          <w:p w:rsidR="00A51754" w:rsidRPr="00CE0BE9" w:rsidRDefault="00A51754" w:rsidP="00E9333E">
            <w:pPr>
              <w:pStyle w:val="Tabletext"/>
              <w:rPr>
                <w:lang w:val="en-US"/>
              </w:rPr>
            </w:pPr>
            <w:r w:rsidRPr="00CE0BE9">
              <w:rPr>
                <w:lang w:val="en-US"/>
              </w:rPr>
              <w:t>Myeloma IX</w:t>
            </w:r>
          </w:p>
        </w:tc>
        <w:tc>
          <w:tcPr>
            <w:tcW w:w="466" w:type="pct"/>
            <w:shd w:val="clear" w:color="auto" w:fill="auto"/>
            <w:vAlign w:val="center"/>
          </w:tcPr>
          <w:p w:rsidR="00A51754" w:rsidRPr="00CE0BE9" w:rsidRDefault="00A51754" w:rsidP="00E9333E">
            <w:pPr>
              <w:pStyle w:val="Tabletext"/>
              <w:jc w:val="center"/>
              <w:rPr>
                <w:lang w:val="en-US"/>
              </w:rPr>
            </w:pPr>
            <w:r w:rsidRPr="00CE0BE9">
              <w:rPr>
                <w:lang w:val="en-US"/>
              </w:rPr>
              <w:t>493</w:t>
            </w:r>
            <w:r w:rsidR="00E9333E" w:rsidRPr="00CE0BE9">
              <w:rPr>
                <w:vertAlign w:val="superscript"/>
                <w:lang w:val="en-US"/>
              </w:rPr>
              <w:t>b</w:t>
            </w:r>
          </w:p>
        </w:tc>
        <w:tc>
          <w:tcPr>
            <w:tcW w:w="782" w:type="pct"/>
            <w:shd w:val="clear" w:color="auto" w:fill="auto"/>
            <w:vAlign w:val="center"/>
          </w:tcPr>
          <w:p w:rsidR="00A51754" w:rsidRPr="00CE0BE9" w:rsidRDefault="00A51754" w:rsidP="00E9333E">
            <w:pPr>
              <w:pStyle w:val="Tabletext"/>
              <w:jc w:val="center"/>
              <w:rPr>
                <w:lang w:val="en-US"/>
              </w:rPr>
            </w:pPr>
            <w:r w:rsidRPr="00CE0BE9">
              <w:rPr>
                <w:lang w:val="en-US"/>
              </w:rPr>
              <w:t>R, OL</w:t>
            </w:r>
          </w:p>
        </w:tc>
        <w:tc>
          <w:tcPr>
            <w:tcW w:w="621" w:type="pct"/>
            <w:shd w:val="clear" w:color="auto" w:fill="auto"/>
            <w:vAlign w:val="center"/>
          </w:tcPr>
          <w:p w:rsidR="00A51754" w:rsidRPr="00CE0BE9" w:rsidRDefault="00A51754" w:rsidP="00E9333E">
            <w:pPr>
              <w:pStyle w:val="Tabletext"/>
              <w:jc w:val="center"/>
              <w:rPr>
                <w:lang w:val="en-US"/>
              </w:rPr>
            </w:pPr>
            <w:r w:rsidRPr="00CE0BE9">
              <w:rPr>
                <w:lang w:val="en-US"/>
              </w:rPr>
              <w:t>Low/unclear</w:t>
            </w:r>
          </w:p>
        </w:tc>
        <w:tc>
          <w:tcPr>
            <w:tcW w:w="857" w:type="pct"/>
            <w:shd w:val="clear" w:color="auto" w:fill="auto"/>
            <w:vAlign w:val="center"/>
          </w:tcPr>
          <w:p w:rsidR="00A51754" w:rsidRPr="00CE0BE9" w:rsidRDefault="00A51754" w:rsidP="00E9333E">
            <w:pPr>
              <w:pStyle w:val="Tabletext"/>
              <w:jc w:val="center"/>
              <w:rPr>
                <w:lang w:val="en-US"/>
              </w:rPr>
            </w:pPr>
            <w:r w:rsidRPr="00CE0BE9">
              <w:rPr>
                <w:lang w:val="en-US"/>
              </w:rPr>
              <w:t>ASCT and non</w:t>
            </w:r>
            <w:r w:rsidRPr="00CE0BE9">
              <w:rPr>
                <w:lang w:val="en-US"/>
              </w:rPr>
              <w:noBreakHyphen/>
              <w:t>ASCT</w:t>
            </w:r>
          </w:p>
        </w:tc>
        <w:tc>
          <w:tcPr>
            <w:tcW w:w="724" w:type="pct"/>
            <w:shd w:val="clear" w:color="auto" w:fill="auto"/>
            <w:vAlign w:val="center"/>
          </w:tcPr>
          <w:p w:rsidR="00A51754" w:rsidRPr="00CE0BE9" w:rsidRDefault="00A51754" w:rsidP="00E9333E">
            <w:pPr>
              <w:pStyle w:val="Tabletext"/>
              <w:jc w:val="center"/>
              <w:rPr>
                <w:lang w:val="en-US"/>
              </w:rPr>
            </w:pPr>
            <w:r w:rsidRPr="00CE0BE9">
              <w:rPr>
                <w:lang w:val="en-US"/>
              </w:rPr>
              <w:t>PFS, OS (partially reported).</w:t>
            </w:r>
          </w:p>
        </w:tc>
        <w:tc>
          <w:tcPr>
            <w:tcW w:w="837" w:type="pct"/>
            <w:shd w:val="clear" w:color="auto" w:fill="auto"/>
            <w:vAlign w:val="center"/>
          </w:tcPr>
          <w:p w:rsidR="00A51754" w:rsidRPr="00CE0BE9" w:rsidRDefault="00A51754" w:rsidP="00E9333E">
            <w:pPr>
              <w:pStyle w:val="Tabletext"/>
              <w:jc w:val="center"/>
              <w:rPr>
                <w:lang w:val="en-US"/>
              </w:rPr>
            </w:pPr>
            <w:r w:rsidRPr="00CE0BE9">
              <w:rPr>
                <w:lang w:val="en-US"/>
              </w:rPr>
              <w:t>OS (estimated), PFS</w:t>
            </w:r>
          </w:p>
        </w:tc>
      </w:tr>
      <w:tr w:rsidR="00A51754" w:rsidRPr="00CE0BE9" w:rsidTr="00E9333E">
        <w:tc>
          <w:tcPr>
            <w:tcW w:w="713" w:type="pct"/>
            <w:shd w:val="clear" w:color="auto" w:fill="auto"/>
            <w:vAlign w:val="center"/>
          </w:tcPr>
          <w:p w:rsidR="00A51754" w:rsidRPr="00CE0BE9" w:rsidRDefault="00A51754" w:rsidP="00E9333E">
            <w:pPr>
              <w:pStyle w:val="Tabletext"/>
              <w:rPr>
                <w:lang w:val="en-US"/>
              </w:rPr>
            </w:pPr>
            <w:r w:rsidRPr="00CE0BE9">
              <w:rPr>
                <w:lang w:val="en-US"/>
              </w:rPr>
              <w:t>MM6</w:t>
            </w:r>
          </w:p>
        </w:tc>
        <w:tc>
          <w:tcPr>
            <w:tcW w:w="466" w:type="pct"/>
            <w:shd w:val="clear" w:color="auto" w:fill="auto"/>
            <w:vAlign w:val="center"/>
          </w:tcPr>
          <w:p w:rsidR="00A51754" w:rsidRPr="00CE0BE9" w:rsidRDefault="00A51754" w:rsidP="00E9333E">
            <w:pPr>
              <w:pStyle w:val="Tabletext"/>
              <w:jc w:val="center"/>
              <w:rPr>
                <w:lang w:val="en-US"/>
              </w:rPr>
            </w:pPr>
            <w:r w:rsidRPr="00CE0BE9">
              <w:rPr>
                <w:lang w:val="en-US"/>
              </w:rPr>
              <w:t>243</w:t>
            </w:r>
          </w:p>
        </w:tc>
        <w:tc>
          <w:tcPr>
            <w:tcW w:w="782" w:type="pct"/>
            <w:shd w:val="clear" w:color="auto" w:fill="auto"/>
            <w:vAlign w:val="center"/>
          </w:tcPr>
          <w:p w:rsidR="00A51754" w:rsidRPr="00CE0BE9" w:rsidRDefault="00A51754" w:rsidP="00E9333E">
            <w:pPr>
              <w:pStyle w:val="Tabletext"/>
              <w:jc w:val="center"/>
              <w:rPr>
                <w:lang w:val="en-US"/>
              </w:rPr>
            </w:pPr>
            <w:r w:rsidRPr="00CE0BE9">
              <w:rPr>
                <w:lang w:val="en-US"/>
              </w:rPr>
              <w:t>R, OL</w:t>
            </w:r>
          </w:p>
        </w:tc>
        <w:tc>
          <w:tcPr>
            <w:tcW w:w="621" w:type="pct"/>
            <w:shd w:val="clear" w:color="auto" w:fill="auto"/>
            <w:vAlign w:val="center"/>
          </w:tcPr>
          <w:p w:rsidR="00A51754" w:rsidRPr="00CE0BE9" w:rsidRDefault="00A51754" w:rsidP="00E9333E">
            <w:pPr>
              <w:pStyle w:val="Tabletext"/>
              <w:jc w:val="center"/>
              <w:rPr>
                <w:lang w:val="en-US"/>
              </w:rPr>
            </w:pPr>
            <w:r w:rsidRPr="00CE0BE9">
              <w:rPr>
                <w:lang w:val="en-US"/>
              </w:rPr>
              <w:t>Low</w:t>
            </w:r>
          </w:p>
        </w:tc>
        <w:tc>
          <w:tcPr>
            <w:tcW w:w="857" w:type="pct"/>
            <w:shd w:val="clear" w:color="auto" w:fill="auto"/>
            <w:vAlign w:val="center"/>
          </w:tcPr>
          <w:p w:rsidR="00A51754" w:rsidRPr="00CE0BE9" w:rsidRDefault="00A51754" w:rsidP="00E9333E">
            <w:pPr>
              <w:pStyle w:val="Tabletext"/>
              <w:jc w:val="center"/>
              <w:rPr>
                <w:lang w:val="en-US"/>
              </w:rPr>
            </w:pPr>
            <w:r w:rsidRPr="00CE0BE9">
              <w:rPr>
                <w:lang w:val="en-US"/>
              </w:rPr>
              <w:t>Post</w:t>
            </w:r>
            <w:r w:rsidRPr="00CE0BE9">
              <w:rPr>
                <w:lang w:val="en-US"/>
              </w:rPr>
              <w:noBreakHyphen/>
              <w:t>ASCT</w:t>
            </w:r>
          </w:p>
        </w:tc>
        <w:tc>
          <w:tcPr>
            <w:tcW w:w="724" w:type="pct"/>
            <w:shd w:val="clear" w:color="auto" w:fill="auto"/>
            <w:vAlign w:val="center"/>
          </w:tcPr>
          <w:p w:rsidR="00A51754" w:rsidRPr="00CE0BE9" w:rsidRDefault="00A51754" w:rsidP="00E9333E">
            <w:pPr>
              <w:pStyle w:val="Tabletext"/>
              <w:jc w:val="center"/>
              <w:rPr>
                <w:lang w:val="en-US"/>
              </w:rPr>
            </w:pPr>
            <w:r w:rsidRPr="00CE0BE9">
              <w:rPr>
                <w:lang w:val="en-US"/>
              </w:rPr>
              <w:t>PFS, OS</w:t>
            </w:r>
          </w:p>
        </w:tc>
        <w:tc>
          <w:tcPr>
            <w:tcW w:w="837" w:type="pct"/>
            <w:shd w:val="clear" w:color="auto" w:fill="auto"/>
            <w:vAlign w:val="center"/>
          </w:tcPr>
          <w:p w:rsidR="00A51754" w:rsidRPr="00CE0BE9" w:rsidRDefault="00A51754" w:rsidP="00E9333E">
            <w:pPr>
              <w:pStyle w:val="Tabletext"/>
              <w:jc w:val="center"/>
              <w:rPr>
                <w:lang w:val="en-US"/>
              </w:rPr>
            </w:pPr>
            <w:r w:rsidRPr="00CE0BE9">
              <w:rPr>
                <w:lang w:val="en-US"/>
              </w:rPr>
              <w:t>Not used</w:t>
            </w:r>
          </w:p>
        </w:tc>
      </w:tr>
    </w:tbl>
    <w:p w:rsidR="00A51754" w:rsidRPr="00CE0BE9" w:rsidRDefault="00A51754" w:rsidP="00A51754">
      <w:pPr>
        <w:pStyle w:val="TableFooter"/>
      </w:pPr>
      <w:r w:rsidRPr="00CE0BE9">
        <w:t xml:space="preserve">Abbreviations: AE = adverse events; ASCT = autologous stem cell transplant; DB = double blind; OL = open label; OS = overall survival; PFS = progression-free survival; </w:t>
      </w:r>
      <w:r w:rsidR="00F00684" w:rsidRPr="00CE0BE9">
        <w:t xml:space="preserve">PFS2 = progression free survival after next line of therapy; </w:t>
      </w:r>
      <w:r w:rsidRPr="00CE0BE9">
        <w:t>R = randomised.</w:t>
      </w:r>
    </w:p>
    <w:p w:rsidR="00A51754" w:rsidRPr="00CE0BE9" w:rsidRDefault="00A51754" w:rsidP="00A51754">
      <w:pPr>
        <w:pStyle w:val="TableFooter"/>
      </w:pPr>
      <w:r w:rsidRPr="00CE0BE9">
        <w:t>Note: a. duration of use until progression or intolerance/significant AEs</w:t>
      </w:r>
      <w:r w:rsidR="00E9333E" w:rsidRPr="00CE0BE9">
        <w:t>.</w:t>
      </w:r>
    </w:p>
    <w:p w:rsidR="00E9333E" w:rsidRPr="00CE0BE9" w:rsidRDefault="00E9333E" w:rsidP="00A51754">
      <w:pPr>
        <w:pStyle w:val="TableFooter"/>
      </w:pPr>
      <w:r w:rsidRPr="00CE0BE9">
        <w:t xml:space="preserve">b. Reported subgroup only, Total population as follows: GIMEMA = 273; </w:t>
      </w:r>
      <w:r w:rsidR="00852B8F" w:rsidRPr="00CE0BE9">
        <w:t>Myeloma XI = 1,550 and Myeloma IX= 820.</w:t>
      </w:r>
    </w:p>
    <w:p w:rsidR="00A51754" w:rsidRPr="00CE0BE9" w:rsidRDefault="00A51754" w:rsidP="00A51754">
      <w:pPr>
        <w:pStyle w:val="TableFooter"/>
        <w:rPr>
          <w:sz w:val="20"/>
        </w:rPr>
      </w:pPr>
      <w:r w:rsidRPr="00CE0BE9">
        <w:t xml:space="preserve">Source: Table 2.3.1, p.51-54 and Table 2.3.2, p.56-57 of the submission. </w:t>
      </w:r>
      <w:proofErr w:type="gramStart"/>
      <w:r w:rsidRPr="00CE0BE9">
        <w:rPr>
          <w:szCs w:val="18"/>
        </w:rPr>
        <w:t>Section 2.5-2.6, p.80-127 of the submission.</w:t>
      </w:r>
      <w:proofErr w:type="gramEnd"/>
      <w:r w:rsidRPr="00CE0BE9">
        <w:rPr>
          <w:szCs w:val="18"/>
        </w:rPr>
        <w:t xml:space="preserve"> </w:t>
      </w:r>
      <w:proofErr w:type="gramStart"/>
      <w:r w:rsidRPr="00CE0BE9">
        <w:t xml:space="preserve">MM6 from Spencer 2009 and </w:t>
      </w:r>
      <w:proofErr w:type="spellStart"/>
      <w:r w:rsidRPr="00CE0BE9">
        <w:t>Kalff</w:t>
      </w:r>
      <w:proofErr w:type="spellEnd"/>
      <w:r w:rsidRPr="00CE0BE9">
        <w:t xml:space="preserve"> 2014.</w:t>
      </w:r>
      <w:proofErr w:type="gramEnd"/>
    </w:p>
    <w:p w:rsidR="00A51754" w:rsidRPr="00D17A82" w:rsidRDefault="00A51754" w:rsidP="00A51754"/>
    <w:p w:rsidR="00A51754" w:rsidRPr="00D17A82" w:rsidRDefault="00A51754" w:rsidP="006F0DFD">
      <w:pPr>
        <w:pStyle w:val="ListParagraph"/>
        <w:widowControl/>
        <w:numPr>
          <w:ilvl w:val="1"/>
          <w:numId w:val="2"/>
        </w:numPr>
      </w:pPr>
      <w:r w:rsidRPr="00D17A82">
        <w:t xml:space="preserve">In CALGB, cross-over occurred from the placebo arm to the </w:t>
      </w:r>
      <w:proofErr w:type="spellStart"/>
      <w:r w:rsidRPr="00D17A82">
        <w:t>lenalidomide</w:t>
      </w:r>
      <w:proofErr w:type="spellEnd"/>
      <w:r w:rsidRPr="00D17A82">
        <w:t xml:space="preserve"> arm after the study was </w:t>
      </w:r>
      <w:proofErr w:type="spellStart"/>
      <w:r w:rsidRPr="00D17A82">
        <w:t>unblinded</w:t>
      </w:r>
      <w:proofErr w:type="spellEnd"/>
      <w:r w:rsidRPr="00D17A82">
        <w:t xml:space="preserve"> </w:t>
      </w:r>
      <w:r w:rsidR="00346CF7" w:rsidRPr="00D17A82">
        <w:t xml:space="preserve">following </w:t>
      </w:r>
      <w:r w:rsidRPr="00D17A82">
        <w:t xml:space="preserve">the interim analysis. Cross-over was only allowed for placebo patients who had not progressed. The </w:t>
      </w:r>
      <w:r w:rsidR="00AD5371" w:rsidRPr="00D17A82">
        <w:t xml:space="preserve">ESC noted that </w:t>
      </w:r>
      <w:r w:rsidRPr="00D17A82">
        <w:t xml:space="preserve">comparative efficacy </w:t>
      </w:r>
      <w:r w:rsidR="00346CF7" w:rsidRPr="00D17A82">
        <w:t xml:space="preserve">based on </w:t>
      </w:r>
      <w:r w:rsidRPr="00D17A82">
        <w:t>PFS and OS outcomes may be diluted by cross-over</w:t>
      </w:r>
      <w:r w:rsidR="00F55DC5" w:rsidRPr="00D17A82">
        <w:t xml:space="preserve">, biasing against </w:t>
      </w:r>
      <w:proofErr w:type="spellStart"/>
      <w:r w:rsidR="00F55DC5" w:rsidRPr="00D17A82">
        <w:t>lenalidomide</w:t>
      </w:r>
      <w:proofErr w:type="spellEnd"/>
      <w:r w:rsidR="00F55DC5" w:rsidRPr="00D17A82">
        <w:t>,</w:t>
      </w:r>
      <w:r w:rsidRPr="00D17A82">
        <w:t xml:space="preserve"> and </w:t>
      </w:r>
      <w:r w:rsidR="00AD5371" w:rsidRPr="00D17A82">
        <w:t xml:space="preserve">while </w:t>
      </w:r>
      <w:r w:rsidRPr="00D17A82">
        <w:t>the submission adjusted for this effect</w:t>
      </w:r>
      <w:r w:rsidR="00330C36">
        <w:t>,</w:t>
      </w:r>
      <w:r w:rsidR="00AD5371" w:rsidRPr="00D17A82">
        <w:t xml:space="preserve"> the ESC considered that this made interpretation of long-term survival difficult</w:t>
      </w:r>
      <w:r w:rsidRPr="00D17A82">
        <w:t>.</w:t>
      </w:r>
      <w:r w:rsidR="00AD5371" w:rsidRPr="00D17A82">
        <w:t xml:space="preserve"> </w:t>
      </w:r>
    </w:p>
    <w:p w:rsidR="00524A6C" w:rsidRPr="00D17A82" w:rsidRDefault="009210C7" w:rsidP="006F0DFD">
      <w:pPr>
        <w:pStyle w:val="ListParagraph"/>
        <w:widowControl/>
        <w:numPr>
          <w:ilvl w:val="1"/>
          <w:numId w:val="2"/>
        </w:numPr>
      </w:pPr>
      <w:r w:rsidRPr="00D17A82">
        <w:t xml:space="preserve">The </w:t>
      </w:r>
      <w:r w:rsidR="00524A6C" w:rsidRPr="00D17A82">
        <w:t xml:space="preserve">IFM 2005-02 study was </w:t>
      </w:r>
      <w:proofErr w:type="spellStart"/>
      <w:r w:rsidR="00524A6C" w:rsidRPr="00D17A82">
        <w:t>unblinded</w:t>
      </w:r>
      <w:proofErr w:type="spellEnd"/>
      <w:r w:rsidR="00524A6C" w:rsidRPr="00D17A82">
        <w:t xml:space="preserve"> </w:t>
      </w:r>
      <w:r w:rsidR="000A7374" w:rsidRPr="00D17A82">
        <w:t>following the</w:t>
      </w:r>
      <w:r w:rsidR="00524A6C" w:rsidRPr="00D17A82">
        <w:t xml:space="preserve"> interim analysis (J</w:t>
      </w:r>
      <w:r w:rsidR="00734B2F" w:rsidRPr="00D17A82">
        <w:t>uly</w:t>
      </w:r>
      <w:r w:rsidR="00524A6C" w:rsidRPr="00D17A82">
        <w:t xml:space="preserve"> 2010). However, cross</w:t>
      </w:r>
      <w:r w:rsidR="00524A6C" w:rsidRPr="00D17A82">
        <w:noBreakHyphen/>
        <w:t xml:space="preserve">over by placebo patients to </w:t>
      </w:r>
      <w:proofErr w:type="spellStart"/>
      <w:r w:rsidR="00524A6C" w:rsidRPr="00D17A82">
        <w:t>lenalidomide</w:t>
      </w:r>
      <w:proofErr w:type="spellEnd"/>
      <w:r w:rsidR="00524A6C" w:rsidRPr="00D17A82">
        <w:t xml:space="preserve"> prior to progression was not allowed. </w:t>
      </w:r>
      <w:r w:rsidR="00734B2F" w:rsidRPr="00D17A82">
        <w:t>F</w:t>
      </w:r>
      <w:r w:rsidR="00524A6C" w:rsidRPr="00D17A82">
        <w:t xml:space="preserve">ollowing </w:t>
      </w:r>
      <w:r w:rsidR="00734B2F" w:rsidRPr="00D17A82">
        <w:t xml:space="preserve">a </w:t>
      </w:r>
      <w:r w:rsidR="00524A6C" w:rsidRPr="00D17A82">
        <w:t xml:space="preserve">subsequent interim analysis (January 2011) all patients remaining in the </w:t>
      </w:r>
      <w:proofErr w:type="spellStart"/>
      <w:r w:rsidR="00524A6C" w:rsidRPr="00D17A82">
        <w:t>lenalidomide</w:t>
      </w:r>
      <w:proofErr w:type="spellEnd"/>
      <w:r w:rsidR="00524A6C" w:rsidRPr="00D17A82">
        <w:t xml:space="preserve"> group (38%) were discontinued due to a higher number of second primary malignancies (SPM).</w:t>
      </w:r>
    </w:p>
    <w:p w:rsidR="009109E5" w:rsidRPr="00D17A82" w:rsidRDefault="0088199B" w:rsidP="006F0DFD">
      <w:pPr>
        <w:pStyle w:val="ListParagraph"/>
        <w:widowControl/>
        <w:numPr>
          <w:ilvl w:val="1"/>
          <w:numId w:val="2"/>
        </w:numPr>
        <w:rPr>
          <w:lang w:val="en-US"/>
        </w:rPr>
      </w:pPr>
      <w:r w:rsidRPr="00D17A82">
        <w:t xml:space="preserve">The </w:t>
      </w:r>
      <w:r w:rsidR="00A36DCE" w:rsidRPr="00D17A82">
        <w:t xml:space="preserve">included </w:t>
      </w:r>
      <w:r w:rsidR="00B55DE2" w:rsidRPr="00D17A82">
        <w:t xml:space="preserve">trials </w:t>
      </w:r>
      <w:r w:rsidR="00346CF7" w:rsidRPr="00D17A82">
        <w:t>differed</w:t>
      </w:r>
      <w:r w:rsidR="00B55DE2" w:rsidRPr="00D17A82">
        <w:t xml:space="preserve"> with regard to the </w:t>
      </w:r>
      <w:r w:rsidRPr="00D17A82">
        <w:t xml:space="preserve">type of induction therapy prior to ASCT. </w:t>
      </w:r>
      <w:r w:rsidR="00B55DE2" w:rsidRPr="00D17A82">
        <w:t xml:space="preserve">The </w:t>
      </w:r>
      <w:r w:rsidR="00D46DC2" w:rsidRPr="00D17A82">
        <w:t xml:space="preserve">proportion of </w:t>
      </w:r>
      <w:r w:rsidR="00B55DE2" w:rsidRPr="00D17A82">
        <w:t xml:space="preserve">use of </w:t>
      </w:r>
      <w:proofErr w:type="spellStart"/>
      <w:r w:rsidR="00B55DE2" w:rsidRPr="00D17A82">
        <w:t>lenalidomide</w:t>
      </w:r>
      <w:proofErr w:type="spellEnd"/>
      <w:r w:rsidR="00B55DE2" w:rsidRPr="00D17A82">
        <w:t xml:space="preserve"> as i</w:t>
      </w:r>
      <w:r w:rsidRPr="00D17A82">
        <w:t>nduction therapy differed across the trial</w:t>
      </w:r>
      <w:r w:rsidR="00D46DC2" w:rsidRPr="00D17A82">
        <w:t>s as follows:</w:t>
      </w:r>
      <w:r w:rsidRPr="00D17A82">
        <w:t xml:space="preserve"> CALGB (34%), IFM 2005</w:t>
      </w:r>
      <w:r w:rsidRPr="00D17A82">
        <w:noBreakHyphen/>
        <w:t xml:space="preserve">02 (0%), GIMEMA (100%), Myeloma </w:t>
      </w:r>
      <w:r w:rsidR="00D46DC2" w:rsidRPr="00D17A82">
        <w:t>I</w:t>
      </w:r>
      <w:r w:rsidRPr="00D17A82">
        <w:t>X (</w:t>
      </w:r>
      <w:r w:rsidR="00346CF7" w:rsidRPr="00D17A82">
        <w:t xml:space="preserve">not </w:t>
      </w:r>
      <w:r w:rsidR="00346CF7" w:rsidRPr="00D17A82">
        <w:lastRenderedPageBreak/>
        <w:t>reported</w:t>
      </w:r>
      <w:r w:rsidRPr="00D17A82">
        <w:t>) and Myeloma XI (5</w:t>
      </w:r>
      <w:r w:rsidR="00D46DC2" w:rsidRPr="00D17A82">
        <w:t>1</w:t>
      </w:r>
      <w:r w:rsidRPr="00D17A82">
        <w:t xml:space="preserve">%). Currently, only </w:t>
      </w:r>
      <w:proofErr w:type="spellStart"/>
      <w:r w:rsidRPr="00D17A82">
        <w:t>bortezomib</w:t>
      </w:r>
      <w:proofErr w:type="spellEnd"/>
      <w:r w:rsidRPr="00D17A82">
        <w:t xml:space="preserve"> or thalidomide, but not </w:t>
      </w:r>
      <w:proofErr w:type="spellStart"/>
      <w:r w:rsidRPr="00D17A82">
        <w:t>lenalidomide</w:t>
      </w:r>
      <w:proofErr w:type="spellEnd"/>
      <w:r w:rsidRPr="00D17A82">
        <w:t xml:space="preserve">, are available on the Australian PBS for induction therapy for transplant eligible patients with NDMM. Therefore, the use of </w:t>
      </w:r>
      <w:proofErr w:type="spellStart"/>
      <w:r w:rsidRPr="00D17A82">
        <w:t>lenalidomide</w:t>
      </w:r>
      <w:proofErr w:type="spellEnd"/>
      <w:r w:rsidRPr="00D17A82">
        <w:t xml:space="preserve"> as induction in CALGB (34%)</w:t>
      </w:r>
      <w:r w:rsidR="00D46DC2" w:rsidRPr="00D17A82">
        <w:t>,</w:t>
      </w:r>
      <w:r w:rsidRPr="00D17A82">
        <w:t xml:space="preserve"> GIMEMA (100%)</w:t>
      </w:r>
      <w:r w:rsidR="00D46DC2" w:rsidRPr="00D17A82">
        <w:t xml:space="preserve"> and Myeloma XI (51%)</w:t>
      </w:r>
      <w:r w:rsidRPr="00D17A82">
        <w:t xml:space="preserve"> </w:t>
      </w:r>
      <w:r w:rsidR="00B55DE2" w:rsidRPr="00D17A82">
        <w:t xml:space="preserve">represents </w:t>
      </w:r>
      <w:r w:rsidRPr="00D17A82">
        <w:t>an applicability issue between the trials and the Australian setting.</w:t>
      </w:r>
      <w:r w:rsidR="00BF78C8" w:rsidRPr="00D17A82">
        <w:t xml:space="preserve"> </w:t>
      </w:r>
    </w:p>
    <w:p w:rsidR="00A70EB6" w:rsidRDefault="009109E5" w:rsidP="006F0DFD">
      <w:pPr>
        <w:pStyle w:val="ListParagraph"/>
        <w:widowControl/>
        <w:numPr>
          <w:ilvl w:val="1"/>
          <w:numId w:val="2"/>
        </w:numPr>
        <w:rPr>
          <w:lang w:val="en-US"/>
        </w:rPr>
      </w:pPr>
      <w:r w:rsidRPr="00D17A82">
        <w:t xml:space="preserve"> A </w:t>
      </w:r>
      <w:r w:rsidR="00BF78C8" w:rsidRPr="00D17A82">
        <w:t>meta-analysis (</w:t>
      </w:r>
      <w:r w:rsidRPr="00D17A82">
        <w:t xml:space="preserve">McCarthy 2017; </w:t>
      </w:r>
      <w:r w:rsidR="00BF78C8" w:rsidRPr="00D17A82">
        <w:t>CALGB, IFM 2005</w:t>
      </w:r>
      <w:r w:rsidR="00BF78C8" w:rsidRPr="00D17A82">
        <w:noBreakHyphen/>
        <w:t xml:space="preserve">02 and GIMEMA) found that </w:t>
      </w:r>
      <w:r w:rsidR="00410098" w:rsidRPr="00D17A82">
        <w:t xml:space="preserve">the use of </w:t>
      </w:r>
      <w:proofErr w:type="spellStart"/>
      <w:r w:rsidR="00410098" w:rsidRPr="00D17A82">
        <w:t>lenalidomide</w:t>
      </w:r>
      <w:proofErr w:type="spellEnd"/>
      <w:r w:rsidR="00410098" w:rsidRPr="00D17A82">
        <w:t xml:space="preserve"> induction therapy </w:t>
      </w:r>
      <w:r w:rsidR="00635630" w:rsidRPr="00D17A82">
        <w:t xml:space="preserve">compared to alternative induction therapy </w:t>
      </w:r>
      <w:r w:rsidR="00410098" w:rsidRPr="00D17A82">
        <w:t xml:space="preserve">in </w:t>
      </w:r>
      <w:r w:rsidR="00BF78C8" w:rsidRPr="00D17A82">
        <w:t xml:space="preserve">subjects </w:t>
      </w:r>
      <w:r w:rsidR="00410098" w:rsidRPr="00D17A82">
        <w:t xml:space="preserve">undergoing </w:t>
      </w:r>
      <w:proofErr w:type="spellStart"/>
      <w:r w:rsidR="00410098" w:rsidRPr="00D17A82">
        <w:t>lenalidomide</w:t>
      </w:r>
      <w:proofErr w:type="spellEnd"/>
      <w:r w:rsidR="00410098" w:rsidRPr="00D17A82">
        <w:t xml:space="preserve"> maintenance conferred </w:t>
      </w:r>
      <w:r w:rsidR="00BF78C8" w:rsidRPr="00D17A82">
        <w:t xml:space="preserve">a statistically significant OS benefit </w:t>
      </w:r>
      <w:r w:rsidR="00635630" w:rsidRPr="00D17A82">
        <w:t>with</w:t>
      </w:r>
      <w:r w:rsidR="00BF78C8" w:rsidRPr="00D17A82">
        <w:t xml:space="preserve"> </w:t>
      </w:r>
      <w:r w:rsidR="00410098" w:rsidRPr="00D17A82">
        <w:t xml:space="preserve">an </w:t>
      </w:r>
      <w:r w:rsidR="00BF78C8" w:rsidRPr="00D17A82">
        <w:t xml:space="preserve">HR </w:t>
      </w:r>
      <w:r w:rsidR="00410098" w:rsidRPr="00D17A82">
        <w:t>=</w:t>
      </w:r>
      <w:r w:rsidR="00BF78C8" w:rsidRPr="00D17A82">
        <w:t xml:space="preserve"> 0.50 (95% CI: 0.32 to 0.77</w:t>
      </w:r>
      <w:r w:rsidR="00410098" w:rsidRPr="00D17A82">
        <w:t>)</w:t>
      </w:r>
      <w:r w:rsidR="00BF78C8" w:rsidRPr="00D17A82">
        <w:t xml:space="preserve">. </w:t>
      </w:r>
      <w:bookmarkStart w:id="7" w:name="_Hlk503265708"/>
      <w:r w:rsidR="004C7296" w:rsidRPr="00D17A82">
        <w:t xml:space="preserve">However, </w:t>
      </w:r>
      <w:r w:rsidRPr="00D17A82">
        <w:t>a</w:t>
      </w:r>
      <w:r w:rsidR="00782208" w:rsidRPr="00D17A82">
        <w:t xml:space="preserve"> publis</w:t>
      </w:r>
      <w:r w:rsidR="00F7140F">
        <w:t>hed analysis of the CALGB study</w:t>
      </w:r>
      <w:r w:rsidR="0042012E" w:rsidRPr="00D17A82">
        <w:rPr>
          <w:rStyle w:val="FootnoteReference"/>
        </w:rPr>
        <w:footnoteReference w:id="3"/>
      </w:r>
      <w:r w:rsidR="00F7140F">
        <w:t xml:space="preserve"> </w:t>
      </w:r>
      <w:r w:rsidRPr="00D17A82">
        <w:rPr>
          <w:lang w:val="en-US"/>
        </w:rPr>
        <w:t xml:space="preserve">presented in the PSCR </w:t>
      </w:r>
      <w:r w:rsidR="004C7296" w:rsidRPr="00D17A82">
        <w:rPr>
          <w:lang w:val="en-US"/>
        </w:rPr>
        <w:t xml:space="preserve">(p5) </w:t>
      </w:r>
      <w:r w:rsidRPr="00D17A82">
        <w:rPr>
          <w:lang w:val="en-US"/>
        </w:rPr>
        <w:t xml:space="preserve">found </w:t>
      </w:r>
      <w:r w:rsidR="004C7296" w:rsidRPr="00D17A82">
        <w:rPr>
          <w:lang w:val="en-US"/>
        </w:rPr>
        <w:t xml:space="preserve">that </w:t>
      </w:r>
      <w:r w:rsidRPr="00D17A82">
        <w:rPr>
          <w:lang w:val="en-US"/>
        </w:rPr>
        <w:t xml:space="preserve">there was improved OS with </w:t>
      </w:r>
      <w:proofErr w:type="spellStart"/>
      <w:r w:rsidRPr="00D17A82">
        <w:rPr>
          <w:lang w:val="en-US"/>
        </w:rPr>
        <w:t>l</w:t>
      </w:r>
      <w:r w:rsidR="004C7296" w:rsidRPr="00D17A82">
        <w:rPr>
          <w:lang w:val="en-US"/>
        </w:rPr>
        <w:t>enalidomide</w:t>
      </w:r>
      <w:proofErr w:type="spellEnd"/>
      <w:r w:rsidR="004C7296" w:rsidRPr="00D17A82">
        <w:rPr>
          <w:lang w:val="en-US"/>
        </w:rPr>
        <w:t xml:space="preserve"> maintenance regardless of whether or not patients had received previous induction</w:t>
      </w:r>
      <w:r w:rsidRPr="00D17A82">
        <w:rPr>
          <w:lang w:val="en-US"/>
        </w:rPr>
        <w:t xml:space="preserve"> with </w:t>
      </w:r>
      <w:proofErr w:type="spellStart"/>
      <w:r w:rsidRPr="00D17A82">
        <w:rPr>
          <w:lang w:val="en-US"/>
        </w:rPr>
        <w:t>lenalidomide</w:t>
      </w:r>
      <w:proofErr w:type="spellEnd"/>
      <w:r w:rsidR="004C7296" w:rsidRPr="00D17A82">
        <w:rPr>
          <w:lang w:val="en-US"/>
        </w:rPr>
        <w:t xml:space="preserve"> </w:t>
      </w:r>
      <w:r w:rsidRPr="00D17A82">
        <w:rPr>
          <w:lang w:val="en-US"/>
        </w:rPr>
        <w:t>, and</w:t>
      </w:r>
      <w:r w:rsidR="004C7296" w:rsidRPr="00D17A82">
        <w:rPr>
          <w:lang w:val="en-US"/>
        </w:rPr>
        <w:t xml:space="preserve"> </w:t>
      </w:r>
      <w:r w:rsidRPr="00D17A82">
        <w:rPr>
          <w:lang w:val="en-US"/>
        </w:rPr>
        <w:t>t</w:t>
      </w:r>
      <w:r w:rsidR="004C7296" w:rsidRPr="00D17A82">
        <w:rPr>
          <w:lang w:val="en-US"/>
        </w:rPr>
        <w:t xml:space="preserve">he median OS did not differ significantly between patients who received </w:t>
      </w:r>
      <w:proofErr w:type="spellStart"/>
      <w:r w:rsidRPr="00D17A82">
        <w:rPr>
          <w:lang w:val="en-US"/>
        </w:rPr>
        <w:t>lenalidomide</w:t>
      </w:r>
      <w:proofErr w:type="spellEnd"/>
      <w:r w:rsidR="004C7296" w:rsidRPr="00D17A82">
        <w:rPr>
          <w:lang w:val="en-US"/>
        </w:rPr>
        <w:t xml:space="preserve"> induction (104</w:t>
      </w:r>
      <w:r w:rsidR="004C7296" w:rsidRPr="00D17A82">
        <w:rPr>
          <w:rFonts w:eastAsia="MS Gothic" w:cs="MS Gothic"/>
          <w:lang w:val="en-US"/>
        </w:rPr>
        <w:t>.7</w:t>
      </w:r>
      <w:r w:rsidR="004C7296" w:rsidRPr="00D17A82">
        <w:rPr>
          <w:lang w:val="en-US"/>
        </w:rPr>
        <w:t xml:space="preserve"> months 95% CI 97</w:t>
      </w:r>
      <w:r w:rsidR="004C7296" w:rsidRPr="00D17A82">
        <w:rPr>
          <w:rFonts w:eastAsia="MS Gothic" w:cs="MS Gothic"/>
          <w:lang w:val="en-US"/>
        </w:rPr>
        <w:t>.</w:t>
      </w:r>
      <w:r w:rsidR="004C7296" w:rsidRPr="00D17A82">
        <w:rPr>
          <w:lang w:val="en-US"/>
        </w:rPr>
        <w:t xml:space="preserve">8, not reached) and those who </w:t>
      </w:r>
      <w:r w:rsidRPr="00D17A82">
        <w:rPr>
          <w:lang w:val="en-US"/>
        </w:rPr>
        <w:t xml:space="preserve">did not receive </w:t>
      </w:r>
      <w:proofErr w:type="spellStart"/>
      <w:r w:rsidRPr="00D17A82">
        <w:rPr>
          <w:lang w:val="en-US"/>
        </w:rPr>
        <w:t>lenalidomide</w:t>
      </w:r>
      <w:proofErr w:type="spellEnd"/>
      <w:r w:rsidRPr="00D17A82">
        <w:rPr>
          <w:lang w:val="en-US"/>
        </w:rPr>
        <w:t xml:space="preserve"> </w:t>
      </w:r>
      <w:r w:rsidR="004C7296" w:rsidRPr="00D17A82">
        <w:rPr>
          <w:lang w:val="en-US"/>
        </w:rPr>
        <w:t>induction (113</w:t>
      </w:r>
      <w:r w:rsidR="004C7296" w:rsidRPr="00D17A82">
        <w:rPr>
          <w:rFonts w:eastAsia="MS Gothic" w:cs="MS Gothic"/>
          <w:lang w:val="en-US"/>
        </w:rPr>
        <w:t>.</w:t>
      </w:r>
      <w:r w:rsidR="004C7296" w:rsidRPr="00D17A82">
        <w:rPr>
          <w:lang w:val="en-US"/>
        </w:rPr>
        <w:t>8 months; 95% CI 90</w:t>
      </w:r>
      <w:r w:rsidR="004C7296" w:rsidRPr="00D17A82">
        <w:rPr>
          <w:rFonts w:eastAsia="MS Gothic" w:cs="MS Gothic"/>
          <w:lang w:val="en-US"/>
        </w:rPr>
        <w:t>.</w:t>
      </w:r>
      <w:r w:rsidR="004C7296" w:rsidRPr="00D17A82">
        <w:rPr>
          <w:lang w:val="en-US"/>
        </w:rPr>
        <w:t>5, not reached; hazard ratio [HR] 0</w:t>
      </w:r>
      <w:r w:rsidR="004C7296" w:rsidRPr="00D17A82">
        <w:rPr>
          <w:rFonts w:eastAsia="MS Gothic" w:cs="MS Gothic"/>
          <w:lang w:val="en-US"/>
        </w:rPr>
        <w:t>.</w:t>
      </w:r>
      <w:r w:rsidR="004C7296" w:rsidRPr="00D17A82">
        <w:rPr>
          <w:lang w:val="en-US"/>
        </w:rPr>
        <w:t>66, 95% CI 0</w:t>
      </w:r>
      <w:r w:rsidR="004C7296" w:rsidRPr="00D17A82">
        <w:rPr>
          <w:rFonts w:eastAsia="MS Gothic" w:cs="MS Gothic"/>
          <w:lang w:val="en-US"/>
        </w:rPr>
        <w:t>.</w:t>
      </w:r>
      <w:r w:rsidR="004C7296" w:rsidRPr="00D17A82">
        <w:rPr>
          <w:lang w:val="en-US"/>
        </w:rPr>
        <w:t>41, -1</w:t>
      </w:r>
      <w:r w:rsidR="004C7296" w:rsidRPr="00D17A82">
        <w:rPr>
          <w:rFonts w:eastAsia="MS Gothic" w:cs="MS Gothic"/>
          <w:lang w:val="en-US"/>
        </w:rPr>
        <w:t>.</w:t>
      </w:r>
      <w:r w:rsidR="004C7296" w:rsidRPr="00D17A82">
        <w:rPr>
          <w:lang w:val="en-US"/>
        </w:rPr>
        <w:t>05; p=0</w:t>
      </w:r>
      <w:r w:rsidR="004C7296" w:rsidRPr="00D17A82">
        <w:rPr>
          <w:rFonts w:eastAsia="MS Gothic" w:cs="MS Gothic"/>
          <w:lang w:val="en-US"/>
        </w:rPr>
        <w:t>.</w:t>
      </w:r>
      <w:r w:rsidR="004C7296" w:rsidRPr="00D17A82">
        <w:rPr>
          <w:lang w:val="en-US"/>
        </w:rPr>
        <w:t xml:space="preserve">078).  For patients in the </w:t>
      </w:r>
      <w:r w:rsidR="004A5D00">
        <w:rPr>
          <w:lang w:val="en-US"/>
        </w:rPr>
        <w:t>placebo</w:t>
      </w:r>
      <w:r w:rsidR="004A5D00" w:rsidRPr="00D17A82">
        <w:rPr>
          <w:lang w:val="en-US"/>
        </w:rPr>
        <w:t xml:space="preserve"> </w:t>
      </w:r>
      <w:r w:rsidR="004C7296" w:rsidRPr="00D17A82">
        <w:rPr>
          <w:lang w:val="en-US"/>
        </w:rPr>
        <w:t xml:space="preserve">group, the presence or absence of </w:t>
      </w:r>
      <w:proofErr w:type="spellStart"/>
      <w:r w:rsidR="004A5D00">
        <w:rPr>
          <w:lang w:val="en-US"/>
        </w:rPr>
        <w:t>lenalidomide</w:t>
      </w:r>
      <w:proofErr w:type="spellEnd"/>
      <w:r w:rsidR="004A5D00" w:rsidRPr="00D17A82">
        <w:rPr>
          <w:lang w:val="en-US"/>
        </w:rPr>
        <w:t xml:space="preserve"> </w:t>
      </w:r>
      <w:r w:rsidR="004C7296" w:rsidRPr="00D17A82">
        <w:rPr>
          <w:lang w:val="en-US"/>
        </w:rPr>
        <w:t>induction did not affect the median time to disease progression (HR 0</w:t>
      </w:r>
      <w:r w:rsidR="004C7296" w:rsidRPr="00D17A82">
        <w:rPr>
          <w:rFonts w:eastAsia="MS Gothic" w:cs="MS Gothic"/>
          <w:lang w:val="en-US"/>
        </w:rPr>
        <w:t>.</w:t>
      </w:r>
      <w:r w:rsidR="004C7296" w:rsidRPr="00D17A82">
        <w:rPr>
          <w:lang w:val="en-US"/>
        </w:rPr>
        <w:t>84; 95% CI 0</w:t>
      </w:r>
      <w:r w:rsidR="004C7296" w:rsidRPr="00D17A82">
        <w:rPr>
          <w:rFonts w:eastAsia="MS Gothic" w:cs="MS Gothic"/>
          <w:lang w:val="en-US"/>
        </w:rPr>
        <w:t>.</w:t>
      </w:r>
      <w:r w:rsidR="004C7296" w:rsidRPr="00D17A82">
        <w:rPr>
          <w:lang w:val="en-US"/>
        </w:rPr>
        <w:t>62, 1</w:t>
      </w:r>
      <w:r w:rsidR="004C7296" w:rsidRPr="00D17A82">
        <w:rPr>
          <w:rFonts w:eastAsia="MS Gothic" w:cs="MS Gothic"/>
          <w:lang w:val="en-US"/>
        </w:rPr>
        <w:t>.</w:t>
      </w:r>
      <w:r w:rsidR="004C7296" w:rsidRPr="00D17A82">
        <w:rPr>
          <w:lang w:val="en-US"/>
        </w:rPr>
        <w:t>15) or OS (HR 0</w:t>
      </w:r>
      <w:r w:rsidR="004C7296" w:rsidRPr="00D17A82">
        <w:rPr>
          <w:rFonts w:eastAsia="MS Gothic" w:cs="MS Gothic"/>
          <w:lang w:val="en-US"/>
        </w:rPr>
        <w:t>.</w:t>
      </w:r>
      <w:r w:rsidR="004C7296" w:rsidRPr="00D17A82">
        <w:rPr>
          <w:lang w:val="en-US"/>
        </w:rPr>
        <w:t>97; 95% CI 0</w:t>
      </w:r>
      <w:r w:rsidR="004C7296" w:rsidRPr="00D17A82">
        <w:rPr>
          <w:rFonts w:eastAsia="MS Gothic" w:cs="MS Gothic"/>
          <w:lang w:val="en-US"/>
        </w:rPr>
        <w:t>.</w:t>
      </w:r>
      <w:r w:rsidR="004C7296" w:rsidRPr="00D17A82">
        <w:rPr>
          <w:lang w:val="en-US"/>
        </w:rPr>
        <w:t>67, 1</w:t>
      </w:r>
      <w:r w:rsidR="004C7296" w:rsidRPr="00D17A82">
        <w:rPr>
          <w:rFonts w:eastAsia="MS Gothic" w:cs="MS Gothic"/>
          <w:lang w:val="en-US"/>
        </w:rPr>
        <w:t>.</w:t>
      </w:r>
      <w:r w:rsidR="004C7296" w:rsidRPr="00D17A82">
        <w:rPr>
          <w:lang w:val="en-US"/>
        </w:rPr>
        <w:t xml:space="preserve">42; appendix p11). </w:t>
      </w:r>
    </w:p>
    <w:p w:rsidR="004C7296" w:rsidRPr="00D17A82" w:rsidRDefault="00A70EB6" w:rsidP="006F0DFD">
      <w:pPr>
        <w:pStyle w:val="ListParagraph"/>
        <w:widowControl/>
        <w:numPr>
          <w:ilvl w:val="1"/>
          <w:numId w:val="2"/>
        </w:numPr>
        <w:rPr>
          <w:lang w:val="en-US"/>
        </w:rPr>
      </w:pPr>
      <w:r>
        <w:rPr>
          <w:lang w:val="en-US"/>
        </w:rPr>
        <w:t xml:space="preserve">The PBAC noted that while there was evidence of benefit from </w:t>
      </w:r>
      <w:proofErr w:type="spellStart"/>
      <w:r>
        <w:rPr>
          <w:lang w:val="en-US"/>
        </w:rPr>
        <w:t>lenalidomide</w:t>
      </w:r>
      <w:proofErr w:type="spellEnd"/>
      <w:r>
        <w:rPr>
          <w:lang w:val="en-US"/>
        </w:rPr>
        <w:t xml:space="preserve"> maintenance therapy regardless of induction therapy used, there was some evidence of greater benefit in patients who had received </w:t>
      </w:r>
      <w:proofErr w:type="spellStart"/>
      <w:r>
        <w:rPr>
          <w:lang w:val="en-US"/>
        </w:rPr>
        <w:t>lenalidomide</w:t>
      </w:r>
      <w:proofErr w:type="spellEnd"/>
      <w:r>
        <w:rPr>
          <w:lang w:val="en-US"/>
        </w:rPr>
        <w:t xml:space="preserve"> induction therapy. As </w:t>
      </w:r>
      <w:proofErr w:type="spellStart"/>
      <w:r>
        <w:rPr>
          <w:lang w:val="en-US"/>
        </w:rPr>
        <w:t>lenalidomide</w:t>
      </w:r>
      <w:proofErr w:type="spellEnd"/>
      <w:r>
        <w:rPr>
          <w:lang w:val="en-US"/>
        </w:rPr>
        <w:t xml:space="preserve"> induction therapy </w:t>
      </w:r>
      <w:r w:rsidR="00330C36">
        <w:rPr>
          <w:lang w:val="en-US"/>
        </w:rPr>
        <w:t xml:space="preserve">for transplant-eligible patients </w:t>
      </w:r>
      <w:r>
        <w:rPr>
          <w:lang w:val="en-US"/>
        </w:rPr>
        <w:t xml:space="preserve">is not currently available through the PBS, this </w:t>
      </w:r>
      <w:r w:rsidR="00E61C1C">
        <w:rPr>
          <w:lang w:val="en-US"/>
        </w:rPr>
        <w:t>could</w:t>
      </w:r>
      <w:r>
        <w:rPr>
          <w:lang w:val="en-US"/>
        </w:rPr>
        <w:t xml:space="preserve"> indicate that the benefit of</w:t>
      </w:r>
      <w:r w:rsidR="00E61C1C">
        <w:rPr>
          <w:lang w:val="en-US"/>
        </w:rPr>
        <w:t xml:space="preserve"> </w:t>
      </w:r>
      <w:proofErr w:type="spellStart"/>
      <w:r w:rsidR="00E61C1C">
        <w:rPr>
          <w:lang w:val="en-US"/>
        </w:rPr>
        <w:t>lenalidomide</w:t>
      </w:r>
      <w:proofErr w:type="spellEnd"/>
      <w:r w:rsidR="00E61C1C">
        <w:rPr>
          <w:lang w:val="en-US"/>
        </w:rPr>
        <w:t xml:space="preserve"> maintenance m</w:t>
      </w:r>
      <w:r>
        <w:rPr>
          <w:lang w:val="en-US"/>
        </w:rPr>
        <w:t>ay be overestimated compared to the expected Australian population.</w:t>
      </w:r>
    </w:p>
    <w:p w:rsidR="0042012E" w:rsidRPr="0042012E" w:rsidRDefault="0042012E" w:rsidP="0042012E">
      <w:pPr>
        <w:pStyle w:val="TableFooter"/>
        <w:keepNext/>
        <w:rPr>
          <w:b/>
          <w:sz w:val="20"/>
          <w:szCs w:val="20"/>
        </w:rPr>
      </w:pPr>
      <w:r w:rsidRPr="0042012E">
        <w:rPr>
          <w:b/>
          <w:sz w:val="20"/>
          <w:szCs w:val="20"/>
        </w:rPr>
        <w:lastRenderedPageBreak/>
        <w:t xml:space="preserve">Figure </w:t>
      </w:r>
      <w:r w:rsidR="007D6AA8">
        <w:rPr>
          <w:b/>
          <w:sz w:val="20"/>
          <w:szCs w:val="20"/>
        </w:rPr>
        <w:t>1</w:t>
      </w:r>
      <w:r w:rsidRPr="0042012E">
        <w:rPr>
          <w:b/>
          <w:sz w:val="20"/>
          <w:szCs w:val="20"/>
        </w:rPr>
        <w:t xml:space="preserve"> Overall survival in CALGB: patients with and without prior </w:t>
      </w:r>
      <w:proofErr w:type="spellStart"/>
      <w:r w:rsidRPr="0042012E">
        <w:rPr>
          <w:b/>
          <w:sz w:val="20"/>
          <w:szCs w:val="20"/>
        </w:rPr>
        <w:t>lenalidomide</w:t>
      </w:r>
      <w:proofErr w:type="spellEnd"/>
      <w:r w:rsidRPr="0042012E">
        <w:rPr>
          <w:b/>
          <w:sz w:val="20"/>
          <w:szCs w:val="20"/>
        </w:rPr>
        <w:t xml:space="preserve"> induction</w:t>
      </w:r>
    </w:p>
    <w:p w:rsidR="0052266E" w:rsidRDefault="0052266E" w:rsidP="004C7296">
      <w:pPr>
        <w:rPr>
          <w:lang w:val="en-US"/>
        </w:rPr>
      </w:pPr>
      <w:r>
        <w:rPr>
          <w:noProof/>
          <w:lang w:eastAsia="en-AU"/>
        </w:rPr>
        <w:drawing>
          <wp:inline distT="0" distB="0" distL="0" distR="0" wp14:anchorId="13175BE6" wp14:editId="022D437A">
            <wp:extent cx="5018567" cy="279636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9675" cy="2796980"/>
                    </a:xfrm>
                    <a:prstGeom prst="rect">
                      <a:avLst/>
                    </a:prstGeom>
                    <a:noFill/>
                    <a:ln>
                      <a:noFill/>
                    </a:ln>
                  </pic:spPr>
                </pic:pic>
              </a:graphicData>
            </a:graphic>
          </wp:inline>
        </w:drawing>
      </w:r>
    </w:p>
    <w:bookmarkEnd w:id="7"/>
    <w:p w:rsidR="00A51754" w:rsidRDefault="00A51754" w:rsidP="006F0DFD">
      <w:pPr>
        <w:pStyle w:val="ListParagraph"/>
        <w:numPr>
          <w:ilvl w:val="1"/>
          <w:numId w:val="2"/>
        </w:numPr>
      </w:pPr>
      <w:r w:rsidRPr="00CE0BE9">
        <w:t xml:space="preserve">There </w:t>
      </w:r>
      <w:r w:rsidR="00D46DC2" w:rsidRPr="00CE0BE9">
        <w:t>we</w:t>
      </w:r>
      <w:r w:rsidRPr="00CE0BE9">
        <w:t xml:space="preserve">re transitivity issues </w:t>
      </w:r>
      <w:r w:rsidR="00B55DE2" w:rsidRPr="00CE0BE9">
        <w:t>between</w:t>
      </w:r>
      <w:r w:rsidRPr="00CE0BE9">
        <w:t xml:space="preserve"> the trials for </w:t>
      </w:r>
      <w:proofErr w:type="spellStart"/>
      <w:r w:rsidRPr="00CE0BE9">
        <w:t>lenalidomide</w:t>
      </w:r>
      <w:proofErr w:type="spellEnd"/>
      <w:r w:rsidRPr="00CE0BE9">
        <w:t>. IFM 2005</w:t>
      </w:r>
      <w:r w:rsidR="00A36DCE" w:rsidRPr="00CE0BE9">
        <w:noBreakHyphen/>
      </w:r>
      <w:r w:rsidRPr="00CE0BE9">
        <w:t xml:space="preserve">02, GIMEMA and Myeloma XI used </w:t>
      </w:r>
      <w:r w:rsidR="00346CF7" w:rsidRPr="00CE0BE9">
        <w:t xml:space="preserve">different </w:t>
      </w:r>
      <w:proofErr w:type="spellStart"/>
      <w:r w:rsidRPr="00CE0BE9">
        <w:t>lenalidomide</w:t>
      </w:r>
      <w:proofErr w:type="spellEnd"/>
      <w:r w:rsidR="00B55DE2" w:rsidRPr="00CE0BE9">
        <w:t xml:space="preserve"> dosing regimens</w:t>
      </w:r>
      <w:r w:rsidR="00081386">
        <w:t xml:space="preserve"> compared to the CALGB trial, which used a starting dose of 10 mg/day for each day of the 28-day cycle, with dose escalation </w:t>
      </w:r>
      <w:r w:rsidR="009A0B10">
        <w:t>after 3 months</w:t>
      </w:r>
      <w:r w:rsidR="007804D4">
        <w:t xml:space="preserve"> to</w:t>
      </w:r>
      <w:r w:rsidR="009A0B10">
        <w:t xml:space="preserve"> </w:t>
      </w:r>
      <w:r w:rsidR="00081386">
        <w:t>15 mg/day if tolerated</w:t>
      </w:r>
      <w:r w:rsidR="00346CF7" w:rsidRPr="00CE0BE9">
        <w:t xml:space="preserve">. Subjects </w:t>
      </w:r>
      <w:r w:rsidR="00B55DE2" w:rsidRPr="00CE0BE9">
        <w:t xml:space="preserve">in both arms of </w:t>
      </w:r>
      <w:r w:rsidR="00BB2CDE" w:rsidRPr="00CE0BE9">
        <w:t>IFM 2005</w:t>
      </w:r>
      <w:r w:rsidR="00BB2CDE" w:rsidRPr="00CE0BE9">
        <w:noBreakHyphen/>
        <w:t xml:space="preserve">02 received 2 cycles of 25 mg/day </w:t>
      </w:r>
      <w:proofErr w:type="spellStart"/>
      <w:r w:rsidR="00BB2CDE" w:rsidRPr="00CE0BE9">
        <w:t>lenalidomide</w:t>
      </w:r>
      <w:proofErr w:type="spellEnd"/>
      <w:r w:rsidR="00BB2CDE" w:rsidRPr="00CE0BE9">
        <w:t xml:space="preserve"> post</w:t>
      </w:r>
      <w:r w:rsidR="00BB2CDE" w:rsidRPr="00CE0BE9">
        <w:noBreakHyphen/>
        <w:t>ASCT</w:t>
      </w:r>
      <w:r w:rsidR="00B55DE2" w:rsidRPr="00CE0BE9">
        <w:t>,</w:t>
      </w:r>
      <w:r w:rsidR="00346CF7" w:rsidRPr="00CE0BE9">
        <w:t xml:space="preserve"> followed by 10 mg/day</w:t>
      </w:r>
      <w:r w:rsidR="008A6465">
        <w:t>, with subjects in IFM 2005-02 able to increase to 15 mg/day after 3 months</w:t>
      </w:r>
      <w:r w:rsidR="00346CF7" w:rsidRPr="00CE0BE9">
        <w:t>.</w:t>
      </w:r>
      <w:r w:rsidR="00391D5E" w:rsidRPr="00CE0BE9">
        <w:t xml:space="preserve"> </w:t>
      </w:r>
      <w:r w:rsidR="001956F9">
        <w:t>B</w:t>
      </w:r>
      <w:r w:rsidR="001956F9" w:rsidRPr="00CE0BE9">
        <w:t>oth GIMEMA and Myeloma XI used daily dosing for 21 days/28 day cycle; a</w:t>
      </w:r>
      <w:r w:rsidR="00081386">
        <w:t xml:space="preserve">t 10 mg/day for GIMEMA and </w:t>
      </w:r>
      <w:r w:rsidR="001956F9" w:rsidRPr="00CE0BE9">
        <w:t>Myeloma XI.</w:t>
      </w:r>
      <w:r w:rsidR="001956F9">
        <w:t xml:space="preserve"> </w:t>
      </w:r>
      <w:r w:rsidR="00901E64" w:rsidRPr="00CE0BE9">
        <w:t>Th</w:t>
      </w:r>
      <w:r w:rsidR="00F810C6">
        <w:t>is</w:t>
      </w:r>
      <w:r w:rsidR="00F6495E" w:rsidRPr="00CE0BE9">
        <w:t xml:space="preserve"> </w:t>
      </w:r>
      <w:r w:rsidR="009A0B10">
        <w:t>also</w:t>
      </w:r>
      <w:r w:rsidR="00F6495E" w:rsidRPr="00CE0BE9">
        <w:t xml:space="preserve"> </w:t>
      </w:r>
      <w:r w:rsidR="00F810C6">
        <w:t xml:space="preserve">poses </w:t>
      </w:r>
      <w:r w:rsidR="00B55DE2" w:rsidRPr="00CE0BE9">
        <w:t>applicability</w:t>
      </w:r>
      <w:r w:rsidR="00901E64" w:rsidRPr="00CE0BE9">
        <w:t xml:space="preserve"> issues</w:t>
      </w:r>
      <w:r w:rsidR="00B55DE2" w:rsidRPr="00CE0BE9">
        <w:t xml:space="preserve"> </w:t>
      </w:r>
      <w:r w:rsidR="00F6495E" w:rsidRPr="00CE0BE9">
        <w:t>for these trials with respect to the dosing</w:t>
      </w:r>
      <w:r w:rsidR="00B55DE2" w:rsidRPr="00CE0BE9">
        <w:t xml:space="preserve"> </w:t>
      </w:r>
      <w:r w:rsidR="00391D5E" w:rsidRPr="00CE0BE9">
        <w:t>requested for use</w:t>
      </w:r>
      <w:r w:rsidR="00F6495E" w:rsidRPr="00CE0BE9">
        <w:t xml:space="preserve"> in the </w:t>
      </w:r>
      <w:r w:rsidR="00B55DE2" w:rsidRPr="00CE0BE9">
        <w:t>Australian setting</w:t>
      </w:r>
      <w:r w:rsidR="00901E64" w:rsidRPr="00CE0BE9">
        <w:t xml:space="preserve"> </w:t>
      </w:r>
      <w:r w:rsidR="00F6495E" w:rsidRPr="00CE0BE9">
        <w:t>(</w:t>
      </w:r>
      <w:r w:rsidR="00901E64" w:rsidRPr="00CE0BE9">
        <w:t xml:space="preserve">daily dosing of </w:t>
      </w:r>
      <w:r w:rsidR="000070FD" w:rsidRPr="00CE0BE9">
        <w:t xml:space="preserve">10 mg </w:t>
      </w:r>
      <w:r w:rsidR="00F6495E" w:rsidRPr="00CE0BE9">
        <w:t xml:space="preserve">up to </w:t>
      </w:r>
      <w:r w:rsidR="00901E64" w:rsidRPr="00CE0BE9">
        <w:t>1</w:t>
      </w:r>
      <w:r w:rsidR="00F6495E" w:rsidRPr="00CE0BE9">
        <w:t>5</w:t>
      </w:r>
      <w:r w:rsidR="000070FD" w:rsidRPr="00CE0BE9">
        <w:t> </w:t>
      </w:r>
      <w:r w:rsidR="00901E64" w:rsidRPr="00CE0BE9">
        <w:t xml:space="preserve">mg </w:t>
      </w:r>
      <w:r w:rsidR="00F6495E" w:rsidRPr="00CE0BE9">
        <w:t xml:space="preserve">per day </w:t>
      </w:r>
      <w:r w:rsidR="00901E64" w:rsidRPr="00CE0BE9">
        <w:t xml:space="preserve">in </w:t>
      </w:r>
      <w:r w:rsidR="00734B2F" w:rsidRPr="00CE0BE9">
        <w:t>28-</w:t>
      </w:r>
      <w:r w:rsidR="00901E64" w:rsidRPr="00CE0BE9">
        <w:t>day cycles</w:t>
      </w:r>
      <w:r w:rsidR="00F6495E" w:rsidRPr="00CE0BE9">
        <w:t>)</w:t>
      </w:r>
      <w:r w:rsidR="00901E64" w:rsidRPr="00CE0BE9">
        <w:t xml:space="preserve">. </w:t>
      </w:r>
      <w:r w:rsidR="00F6495E" w:rsidRPr="00CE0BE9">
        <w:t>Accordingly, t</w:t>
      </w:r>
      <w:r w:rsidRPr="00CE0BE9">
        <w:t>he</w:t>
      </w:r>
      <w:r w:rsidR="00B55DE2" w:rsidRPr="00CE0BE9">
        <w:t>se</w:t>
      </w:r>
      <w:r w:rsidRPr="00CE0BE9">
        <w:t xml:space="preserve"> trials were included in the indirect comparison as a sensitivity analysis.</w:t>
      </w:r>
    </w:p>
    <w:p w:rsidR="00A51754" w:rsidRPr="00CE0BE9" w:rsidRDefault="00A51754" w:rsidP="00A51754"/>
    <w:p w:rsidR="00A51754" w:rsidRPr="00CE0BE9" w:rsidRDefault="00A51754" w:rsidP="009109E5">
      <w:pPr>
        <w:pStyle w:val="Heading2"/>
        <w:rPr>
          <w:i w:val="0"/>
        </w:rPr>
      </w:pPr>
      <w:bookmarkStart w:id="8" w:name="_Toc503271377"/>
      <w:r w:rsidRPr="00CE0BE9">
        <w:rPr>
          <w:i w:val="0"/>
        </w:rPr>
        <w:t>Comparative effectiveness</w:t>
      </w:r>
      <w:bookmarkEnd w:id="8"/>
    </w:p>
    <w:p w:rsidR="00E50D99" w:rsidRPr="00CE0BE9" w:rsidRDefault="00E50D99" w:rsidP="00E50D99">
      <w:pPr>
        <w:pStyle w:val="ListParagraph"/>
        <w:widowControl/>
        <w:ind w:left="0"/>
        <w:rPr>
          <w:u w:val="single"/>
        </w:rPr>
      </w:pPr>
      <w:proofErr w:type="spellStart"/>
      <w:r w:rsidRPr="00CE0BE9">
        <w:rPr>
          <w:u w:val="single"/>
        </w:rPr>
        <w:t>Lenalidomide</w:t>
      </w:r>
      <w:proofErr w:type="spellEnd"/>
      <w:r w:rsidRPr="00CE0BE9">
        <w:rPr>
          <w:u w:val="single"/>
        </w:rPr>
        <w:t xml:space="preserve"> vs. BSC</w:t>
      </w:r>
    </w:p>
    <w:p w:rsidR="00A51754" w:rsidRPr="00CE0BE9" w:rsidRDefault="00A51754" w:rsidP="006F0DFD">
      <w:pPr>
        <w:pStyle w:val="ListParagraph"/>
        <w:widowControl/>
        <w:numPr>
          <w:ilvl w:val="1"/>
          <w:numId w:val="2"/>
        </w:numPr>
      </w:pPr>
      <w:r w:rsidRPr="00CE0BE9">
        <w:rPr>
          <w:rFonts w:cs="Calibri"/>
          <w:snapToGrid/>
          <w:szCs w:val="24"/>
          <w:lang w:val="en-US" w:eastAsia="en-AU"/>
        </w:rPr>
        <w:t xml:space="preserve">The </w:t>
      </w:r>
      <w:r w:rsidR="00E67A12" w:rsidRPr="00CE0BE9">
        <w:rPr>
          <w:rFonts w:cs="Calibri"/>
          <w:snapToGrid/>
          <w:szCs w:val="24"/>
          <w:lang w:val="en-US" w:eastAsia="en-AU"/>
        </w:rPr>
        <w:t xml:space="preserve">PFS and OS </w:t>
      </w:r>
      <w:r w:rsidRPr="00CE0BE9">
        <w:rPr>
          <w:rFonts w:cs="Calibri"/>
          <w:snapToGrid/>
          <w:szCs w:val="24"/>
          <w:lang w:val="en-US" w:eastAsia="en-AU"/>
        </w:rPr>
        <w:t xml:space="preserve">results </w:t>
      </w:r>
      <w:r w:rsidR="00884464" w:rsidRPr="00CE0BE9">
        <w:rPr>
          <w:rFonts w:cs="Calibri"/>
          <w:snapToGrid/>
          <w:szCs w:val="24"/>
          <w:lang w:val="en-US" w:eastAsia="en-AU"/>
        </w:rPr>
        <w:t>from</w:t>
      </w:r>
      <w:r w:rsidRPr="00CE0BE9">
        <w:rPr>
          <w:rFonts w:cs="Calibri"/>
          <w:snapToGrid/>
          <w:szCs w:val="24"/>
          <w:lang w:val="en-US" w:eastAsia="en-AU"/>
        </w:rPr>
        <w:t xml:space="preserve"> CALGB and IFM 2005</w:t>
      </w:r>
      <w:r w:rsidRPr="00CE0BE9">
        <w:rPr>
          <w:rFonts w:cs="Calibri"/>
          <w:snapToGrid/>
          <w:szCs w:val="24"/>
          <w:lang w:val="en-US" w:eastAsia="en-AU"/>
        </w:rPr>
        <w:noBreakHyphen/>
        <w:t xml:space="preserve">02 are presented in Tables 4 and 5 (with the corresponding Kaplan-Meier data in Figures 1 and 2). </w:t>
      </w:r>
      <w:r w:rsidR="003B2682" w:rsidRPr="00CE0BE9">
        <w:rPr>
          <w:rFonts w:cs="Calibri"/>
          <w:snapToGrid/>
          <w:szCs w:val="24"/>
          <w:lang w:val="en-US" w:eastAsia="en-AU"/>
        </w:rPr>
        <w:t>While b</w:t>
      </w:r>
      <w:r w:rsidR="00EE1A64" w:rsidRPr="00CE0BE9">
        <w:rPr>
          <w:rFonts w:cs="Calibri"/>
          <w:snapToGrid/>
          <w:szCs w:val="24"/>
          <w:lang w:val="en-US" w:eastAsia="en-AU"/>
        </w:rPr>
        <w:t>oth trials showed a statistically significant improvement in PFS</w:t>
      </w:r>
      <w:r w:rsidR="005A7DD2" w:rsidRPr="00CE0BE9">
        <w:rPr>
          <w:rFonts w:cs="Calibri"/>
          <w:snapToGrid/>
          <w:szCs w:val="24"/>
          <w:lang w:val="en-US" w:eastAsia="en-AU"/>
        </w:rPr>
        <w:t>,</w:t>
      </w:r>
      <w:r w:rsidR="00EE1A64" w:rsidRPr="00CE0BE9">
        <w:rPr>
          <w:rFonts w:cs="Calibri"/>
          <w:snapToGrid/>
          <w:szCs w:val="24"/>
          <w:lang w:val="en-US" w:eastAsia="en-AU"/>
        </w:rPr>
        <w:t xml:space="preserve"> only CALGB showed a statistically significant improvement in OS. </w:t>
      </w:r>
      <w:r w:rsidR="00CC4B9C" w:rsidRPr="00CE0BE9">
        <w:rPr>
          <w:szCs w:val="20"/>
        </w:rPr>
        <w:t xml:space="preserve">The submission argued that this was due to the </w:t>
      </w:r>
      <w:r w:rsidR="006A4E2E" w:rsidRPr="00CE0BE9">
        <w:rPr>
          <w:szCs w:val="20"/>
        </w:rPr>
        <w:t>IFM 2005</w:t>
      </w:r>
      <w:r w:rsidR="006A4E2E" w:rsidRPr="00CE0BE9">
        <w:rPr>
          <w:szCs w:val="20"/>
        </w:rPr>
        <w:noBreakHyphen/>
        <w:t xml:space="preserve">02 </w:t>
      </w:r>
      <w:r w:rsidR="00CC4B9C" w:rsidRPr="00CE0BE9">
        <w:rPr>
          <w:szCs w:val="20"/>
        </w:rPr>
        <w:t xml:space="preserve">trial being underpowered to detect a difference in OS. Additionally, the trial was </w:t>
      </w:r>
      <w:proofErr w:type="spellStart"/>
      <w:r w:rsidR="00CC4B9C" w:rsidRPr="00CE0BE9">
        <w:rPr>
          <w:szCs w:val="20"/>
        </w:rPr>
        <w:t>unblinded</w:t>
      </w:r>
      <w:proofErr w:type="spellEnd"/>
      <w:r w:rsidR="00CC4B9C" w:rsidRPr="00CE0BE9">
        <w:rPr>
          <w:szCs w:val="20"/>
        </w:rPr>
        <w:t xml:space="preserve"> </w:t>
      </w:r>
      <w:r w:rsidR="007C053E" w:rsidRPr="00CE0BE9">
        <w:rPr>
          <w:szCs w:val="20"/>
        </w:rPr>
        <w:t>after the interim analysis (</w:t>
      </w:r>
      <w:r w:rsidR="00CC4B9C" w:rsidRPr="00CE0BE9">
        <w:rPr>
          <w:szCs w:val="20"/>
        </w:rPr>
        <w:t>July 2010</w:t>
      </w:r>
      <w:r w:rsidR="007C053E" w:rsidRPr="00CE0BE9">
        <w:rPr>
          <w:szCs w:val="20"/>
        </w:rPr>
        <w:t>)</w:t>
      </w:r>
      <w:r w:rsidR="00CC4B9C" w:rsidRPr="00CE0BE9">
        <w:rPr>
          <w:szCs w:val="20"/>
        </w:rPr>
        <w:t xml:space="preserve"> allowing for early stopping of treatment. </w:t>
      </w:r>
      <w:r w:rsidR="009D1DA7" w:rsidRPr="00CE0BE9">
        <w:t xml:space="preserve">The submission argued that subjects randomised to placebo may have started second-line anti-myeloma therapy prior to progression which may dilute the treatment effect for </w:t>
      </w:r>
      <w:proofErr w:type="spellStart"/>
      <w:r w:rsidR="009D1DA7" w:rsidRPr="00CE0BE9">
        <w:t>lenalidomide</w:t>
      </w:r>
      <w:proofErr w:type="spellEnd"/>
      <w:r w:rsidR="009D1DA7" w:rsidRPr="00CE0BE9">
        <w:t xml:space="preserve"> with respect to OS (p.87 of the submission). </w:t>
      </w:r>
    </w:p>
    <w:p w:rsidR="004905AF" w:rsidRPr="00CE0BE9" w:rsidRDefault="00A51754" w:rsidP="004905AF">
      <w:pPr>
        <w:keepNext/>
        <w:rPr>
          <w:rStyle w:val="CommentReference"/>
        </w:rPr>
      </w:pPr>
      <w:r w:rsidRPr="00CE0BE9">
        <w:rPr>
          <w:rStyle w:val="CommentReference"/>
        </w:rPr>
        <w:lastRenderedPageBreak/>
        <w:t xml:space="preserve">Table 4: </w:t>
      </w:r>
      <w:r w:rsidR="004905AF" w:rsidRPr="00CE0BE9">
        <w:rPr>
          <w:rStyle w:val="CommentReference"/>
        </w:rPr>
        <w:t xml:space="preserve">PFS results – </w:t>
      </w:r>
      <w:proofErr w:type="spellStart"/>
      <w:r w:rsidR="004905AF" w:rsidRPr="00CE0BE9">
        <w:rPr>
          <w:rStyle w:val="CommentReference"/>
        </w:rPr>
        <w:t>lenalidomide</w:t>
      </w:r>
      <w:proofErr w:type="spellEnd"/>
      <w:r w:rsidR="004905AF" w:rsidRPr="00CE0BE9">
        <w:rPr>
          <w:rStyle w:val="CommentReference"/>
        </w:rPr>
        <w:t xml:space="preserve"> versus </w:t>
      </w:r>
      <w:r w:rsidR="00CB1421" w:rsidRPr="00CE0BE9">
        <w:rPr>
          <w:rStyle w:val="CommentReference"/>
        </w:rPr>
        <w:t>best supportive care</w:t>
      </w:r>
      <w:r w:rsidR="00BB4E2C" w:rsidRPr="00CE0BE9">
        <w:rPr>
          <w:rStyle w:val="CommentReference"/>
        </w:rPr>
        <w:t xml:space="preserve"> </w:t>
      </w:r>
    </w:p>
    <w:tbl>
      <w:tblPr>
        <w:tblW w:w="50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1"/>
        <w:gridCol w:w="1282"/>
        <w:gridCol w:w="1130"/>
        <w:gridCol w:w="1454"/>
        <w:gridCol w:w="1108"/>
        <w:gridCol w:w="992"/>
        <w:gridCol w:w="1125"/>
      </w:tblGrid>
      <w:tr w:rsidR="00A51754" w:rsidRPr="00CE0BE9" w:rsidTr="00E9333E">
        <w:trPr>
          <w:tblHeader/>
        </w:trPr>
        <w:tc>
          <w:tcPr>
            <w:tcW w:w="681" w:type="pct"/>
            <w:vAlign w:val="center"/>
          </w:tcPr>
          <w:p w:rsidR="00A51754" w:rsidRPr="00CE0BE9" w:rsidRDefault="00A51754" w:rsidP="00E9333E">
            <w:pPr>
              <w:pStyle w:val="Tabletext"/>
              <w:keepNext/>
              <w:rPr>
                <w:b/>
              </w:rPr>
            </w:pPr>
            <w:r w:rsidRPr="00CE0BE9">
              <w:rPr>
                <w:b/>
              </w:rPr>
              <w:t>Trial ID</w:t>
            </w:r>
          </w:p>
        </w:tc>
        <w:tc>
          <w:tcPr>
            <w:tcW w:w="1214" w:type="pct"/>
            <w:gridSpan w:val="2"/>
            <w:vAlign w:val="center"/>
          </w:tcPr>
          <w:p w:rsidR="00A51754" w:rsidRPr="00CE0BE9" w:rsidRDefault="00A51754" w:rsidP="00E9333E">
            <w:pPr>
              <w:pStyle w:val="Tabletext"/>
              <w:keepNext/>
              <w:jc w:val="center"/>
              <w:rPr>
                <w:b/>
              </w:rPr>
            </w:pPr>
            <w:proofErr w:type="spellStart"/>
            <w:r w:rsidRPr="00CE0BE9">
              <w:rPr>
                <w:b/>
              </w:rPr>
              <w:t>Lenalidomide</w:t>
            </w:r>
            <w:proofErr w:type="spellEnd"/>
          </w:p>
        </w:tc>
        <w:tc>
          <w:tcPr>
            <w:tcW w:w="1381" w:type="pct"/>
            <w:gridSpan w:val="2"/>
            <w:vAlign w:val="center"/>
          </w:tcPr>
          <w:p w:rsidR="00A51754" w:rsidRPr="00CE0BE9" w:rsidRDefault="00CB1421" w:rsidP="00E9333E">
            <w:pPr>
              <w:pStyle w:val="Tabletext"/>
              <w:keepNext/>
              <w:jc w:val="center"/>
              <w:rPr>
                <w:b/>
              </w:rPr>
            </w:pPr>
            <w:r w:rsidRPr="00CE0BE9">
              <w:rPr>
                <w:b/>
              </w:rPr>
              <w:t>BSC</w:t>
            </w:r>
          </w:p>
        </w:tc>
        <w:tc>
          <w:tcPr>
            <w:tcW w:w="592" w:type="pct"/>
            <w:vMerge w:val="restart"/>
            <w:vAlign w:val="center"/>
          </w:tcPr>
          <w:p w:rsidR="00A51754" w:rsidRPr="00CE0BE9" w:rsidRDefault="00A51754" w:rsidP="00E9333E">
            <w:pPr>
              <w:pStyle w:val="Tabletext"/>
              <w:keepNext/>
              <w:jc w:val="center"/>
              <w:rPr>
                <w:b/>
              </w:rPr>
            </w:pPr>
            <w:r w:rsidRPr="00CE0BE9">
              <w:rPr>
                <w:b/>
              </w:rPr>
              <w:t>Difference in median, months</w:t>
            </w:r>
          </w:p>
        </w:tc>
        <w:tc>
          <w:tcPr>
            <w:tcW w:w="530" w:type="pct"/>
            <w:vMerge w:val="restart"/>
            <w:vAlign w:val="center"/>
          </w:tcPr>
          <w:p w:rsidR="00A51754" w:rsidRPr="00CE0BE9" w:rsidRDefault="00A51754" w:rsidP="00E9333E">
            <w:pPr>
              <w:pStyle w:val="Tabletext"/>
              <w:keepNext/>
              <w:jc w:val="center"/>
              <w:rPr>
                <w:b/>
              </w:rPr>
            </w:pPr>
            <w:r w:rsidRPr="00CE0BE9">
              <w:rPr>
                <w:b/>
              </w:rPr>
              <w:t>P value (log rank test)</w:t>
            </w:r>
          </w:p>
        </w:tc>
        <w:tc>
          <w:tcPr>
            <w:tcW w:w="601" w:type="pct"/>
            <w:vMerge w:val="restart"/>
            <w:vAlign w:val="center"/>
          </w:tcPr>
          <w:p w:rsidR="00A51754" w:rsidRPr="00CE0BE9" w:rsidRDefault="00A51754" w:rsidP="00E9333E">
            <w:pPr>
              <w:pStyle w:val="Tabletext"/>
              <w:keepNext/>
              <w:jc w:val="center"/>
              <w:rPr>
                <w:b/>
              </w:rPr>
            </w:pPr>
            <w:r w:rsidRPr="00CE0BE9">
              <w:rPr>
                <w:b/>
              </w:rPr>
              <w:t>Hazard ratio (95% CI)</w:t>
            </w:r>
          </w:p>
        </w:tc>
      </w:tr>
      <w:tr w:rsidR="00A51754" w:rsidRPr="00CE0BE9" w:rsidTr="00E9333E">
        <w:tc>
          <w:tcPr>
            <w:tcW w:w="681" w:type="pct"/>
            <w:tcBorders>
              <w:bottom w:val="single" w:sz="4" w:space="0" w:color="auto"/>
            </w:tcBorders>
            <w:vAlign w:val="center"/>
          </w:tcPr>
          <w:p w:rsidR="00A51754" w:rsidRPr="00CE0BE9" w:rsidRDefault="00A51754" w:rsidP="00E9333E">
            <w:pPr>
              <w:pStyle w:val="Tabletext"/>
            </w:pPr>
          </w:p>
        </w:tc>
        <w:tc>
          <w:tcPr>
            <w:tcW w:w="529" w:type="pct"/>
            <w:tcBorders>
              <w:bottom w:val="single" w:sz="4" w:space="0" w:color="auto"/>
            </w:tcBorders>
            <w:vAlign w:val="center"/>
          </w:tcPr>
          <w:p w:rsidR="00A51754" w:rsidRPr="00CE0BE9" w:rsidRDefault="00A51754" w:rsidP="00E9333E">
            <w:pPr>
              <w:pStyle w:val="Tabletext"/>
            </w:pPr>
            <w:proofErr w:type="gramStart"/>
            <w:r w:rsidRPr="00CE0BE9">
              <w:t>n/N</w:t>
            </w:r>
            <w:proofErr w:type="gramEnd"/>
            <w:r w:rsidRPr="00CE0BE9">
              <w:t xml:space="preserve"> event (%)</w:t>
            </w:r>
          </w:p>
        </w:tc>
        <w:tc>
          <w:tcPr>
            <w:tcW w:w="685" w:type="pct"/>
            <w:tcBorders>
              <w:bottom w:val="single" w:sz="4" w:space="0" w:color="auto"/>
            </w:tcBorders>
            <w:vAlign w:val="center"/>
          </w:tcPr>
          <w:p w:rsidR="00A51754" w:rsidRPr="00CE0BE9" w:rsidRDefault="00A51754" w:rsidP="00E9333E">
            <w:pPr>
              <w:pStyle w:val="Tabletext"/>
            </w:pPr>
            <w:r w:rsidRPr="00CE0BE9">
              <w:t xml:space="preserve">Median PFS, </w:t>
            </w:r>
            <w:proofErr w:type="spellStart"/>
            <w:r w:rsidRPr="00CE0BE9">
              <w:t>mths</w:t>
            </w:r>
            <w:proofErr w:type="spellEnd"/>
            <w:r w:rsidRPr="00CE0BE9">
              <w:t xml:space="preserve"> (95% CI)</w:t>
            </w:r>
          </w:p>
        </w:tc>
        <w:tc>
          <w:tcPr>
            <w:tcW w:w="604" w:type="pct"/>
            <w:tcBorders>
              <w:bottom w:val="single" w:sz="4" w:space="0" w:color="auto"/>
            </w:tcBorders>
            <w:vAlign w:val="center"/>
          </w:tcPr>
          <w:p w:rsidR="00A51754" w:rsidRPr="00CE0BE9" w:rsidRDefault="00A51754" w:rsidP="00E9333E">
            <w:pPr>
              <w:pStyle w:val="Tabletext"/>
            </w:pPr>
            <w:proofErr w:type="gramStart"/>
            <w:r w:rsidRPr="00CE0BE9">
              <w:t>n/N</w:t>
            </w:r>
            <w:proofErr w:type="gramEnd"/>
            <w:r w:rsidRPr="00CE0BE9">
              <w:t xml:space="preserve"> event (%)</w:t>
            </w:r>
          </w:p>
        </w:tc>
        <w:tc>
          <w:tcPr>
            <w:tcW w:w="777" w:type="pct"/>
            <w:tcBorders>
              <w:bottom w:val="single" w:sz="4" w:space="0" w:color="auto"/>
            </w:tcBorders>
            <w:vAlign w:val="center"/>
          </w:tcPr>
          <w:p w:rsidR="00A51754" w:rsidRPr="00CE0BE9" w:rsidRDefault="00A51754" w:rsidP="00E9333E">
            <w:pPr>
              <w:pStyle w:val="Tabletext"/>
            </w:pPr>
            <w:r w:rsidRPr="00CE0BE9">
              <w:t xml:space="preserve">Median PFS, </w:t>
            </w:r>
            <w:proofErr w:type="spellStart"/>
            <w:r w:rsidRPr="00CE0BE9">
              <w:t>mths</w:t>
            </w:r>
            <w:proofErr w:type="spellEnd"/>
            <w:r w:rsidRPr="00CE0BE9">
              <w:t xml:space="preserve"> (95% CI)</w:t>
            </w:r>
          </w:p>
        </w:tc>
        <w:tc>
          <w:tcPr>
            <w:tcW w:w="592" w:type="pct"/>
            <w:vMerge/>
            <w:tcBorders>
              <w:bottom w:val="single" w:sz="4" w:space="0" w:color="auto"/>
            </w:tcBorders>
            <w:vAlign w:val="center"/>
          </w:tcPr>
          <w:p w:rsidR="00A51754" w:rsidRPr="00CE0BE9" w:rsidRDefault="00A51754" w:rsidP="00E9333E">
            <w:pPr>
              <w:pStyle w:val="Tabletext"/>
            </w:pPr>
          </w:p>
        </w:tc>
        <w:tc>
          <w:tcPr>
            <w:tcW w:w="530" w:type="pct"/>
            <w:vMerge/>
            <w:tcBorders>
              <w:bottom w:val="single" w:sz="4" w:space="0" w:color="auto"/>
            </w:tcBorders>
            <w:vAlign w:val="center"/>
          </w:tcPr>
          <w:p w:rsidR="00A51754" w:rsidRPr="00CE0BE9" w:rsidRDefault="00A51754" w:rsidP="00E9333E">
            <w:pPr>
              <w:pStyle w:val="Tabletext"/>
            </w:pPr>
          </w:p>
        </w:tc>
        <w:tc>
          <w:tcPr>
            <w:tcW w:w="601" w:type="pct"/>
            <w:vMerge/>
            <w:tcBorders>
              <w:bottom w:val="single" w:sz="4" w:space="0" w:color="auto"/>
            </w:tcBorders>
            <w:vAlign w:val="center"/>
          </w:tcPr>
          <w:p w:rsidR="00A51754" w:rsidRPr="00CE0BE9" w:rsidRDefault="00A51754" w:rsidP="00E9333E">
            <w:pPr>
              <w:pStyle w:val="Tabletext"/>
            </w:pPr>
          </w:p>
        </w:tc>
      </w:tr>
      <w:tr w:rsidR="00A51754" w:rsidRPr="00CE0BE9" w:rsidTr="00E9333E">
        <w:tc>
          <w:tcPr>
            <w:tcW w:w="681" w:type="pct"/>
            <w:tcBorders>
              <w:right w:val="nil"/>
            </w:tcBorders>
            <w:vAlign w:val="center"/>
          </w:tcPr>
          <w:p w:rsidR="00A51754" w:rsidRPr="00CE0BE9" w:rsidRDefault="00A51754" w:rsidP="00E9333E">
            <w:pPr>
              <w:pStyle w:val="Tabletext"/>
            </w:pPr>
            <w:r w:rsidRPr="00CE0BE9">
              <w:t>CALGB</w:t>
            </w:r>
          </w:p>
        </w:tc>
        <w:tc>
          <w:tcPr>
            <w:tcW w:w="529" w:type="pct"/>
            <w:tcBorders>
              <w:left w:val="nil"/>
              <w:right w:val="nil"/>
            </w:tcBorders>
            <w:vAlign w:val="center"/>
          </w:tcPr>
          <w:p w:rsidR="00A51754" w:rsidRPr="00CE0BE9" w:rsidRDefault="00A51754" w:rsidP="00E9333E">
            <w:pPr>
              <w:pStyle w:val="Tabletext"/>
            </w:pPr>
          </w:p>
        </w:tc>
        <w:tc>
          <w:tcPr>
            <w:tcW w:w="685" w:type="pct"/>
            <w:tcBorders>
              <w:left w:val="nil"/>
              <w:right w:val="nil"/>
            </w:tcBorders>
            <w:vAlign w:val="center"/>
          </w:tcPr>
          <w:p w:rsidR="00A51754" w:rsidRPr="00CE0BE9" w:rsidRDefault="00A51754" w:rsidP="00E9333E">
            <w:pPr>
              <w:pStyle w:val="Tabletext"/>
            </w:pPr>
          </w:p>
        </w:tc>
        <w:tc>
          <w:tcPr>
            <w:tcW w:w="604" w:type="pct"/>
            <w:tcBorders>
              <w:left w:val="nil"/>
              <w:right w:val="nil"/>
            </w:tcBorders>
            <w:vAlign w:val="center"/>
          </w:tcPr>
          <w:p w:rsidR="00A51754" w:rsidRPr="00CE0BE9" w:rsidRDefault="00A51754" w:rsidP="00E9333E">
            <w:pPr>
              <w:pStyle w:val="Tabletext"/>
            </w:pPr>
          </w:p>
        </w:tc>
        <w:tc>
          <w:tcPr>
            <w:tcW w:w="777" w:type="pct"/>
            <w:tcBorders>
              <w:left w:val="nil"/>
              <w:right w:val="nil"/>
            </w:tcBorders>
            <w:vAlign w:val="center"/>
          </w:tcPr>
          <w:p w:rsidR="00A51754" w:rsidRPr="00CE0BE9" w:rsidRDefault="00A51754" w:rsidP="00E9333E">
            <w:pPr>
              <w:pStyle w:val="Tabletext"/>
            </w:pPr>
          </w:p>
        </w:tc>
        <w:tc>
          <w:tcPr>
            <w:tcW w:w="592" w:type="pct"/>
            <w:tcBorders>
              <w:left w:val="nil"/>
              <w:right w:val="nil"/>
            </w:tcBorders>
            <w:vAlign w:val="center"/>
          </w:tcPr>
          <w:p w:rsidR="00A51754" w:rsidRPr="00CE0BE9" w:rsidRDefault="00A51754" w:rsidP="00E9333E">
            <w:pPr>
              <w:pStyle w:val="Tabletext"/>
            </w:pPr>
          </w:p>
        </w:tc>
        <w:tc>
          <w:tcPr>
            <w:tcW w:w="530" w:type="pct"/>
            <w:tcBorders>
              <w:left w:val="nil"/>
              <w:right w:val="nil"/>
            </w:tcBorders>
            <w:vAlign w:val="center"/>
          </w:tcPr>
          <w:p w:rsidR="00A51754" w:rsidRPr="00CE0BE9" w:rsidRDefault="00A51754" w:rsidP="00E9333E">
            <w:pPr>
              <w:pStyle w:val="Tabletext"/>
            </w:pPr>
          </w:p>
        </w:tc>
        <w:tc>
          <w:tcPr>
            <w:tcW w:w="601" w:type="pct"/>
            <w:tcBorders>
              <w:left w:val="nil"/>
            </w:tcBorders>
            <w:vAlign w:val="center"/>
          </w:tcPr>
          <w:p w:rsidR="00A51754" w:rsidRPr="00CE0BE9" w:rsidRDefault="00A51754" w:rsidP="00E9333E">
            <w:pPr>
              <w:pStyle w:val="Tabletext"/>
            </w:pPr>
          </w:p>
        </w:tc>
      </w:tr>
      <w:tr w:rsidR="00A51754" w:rsidRPr="00CE0BE9" w:rsidTr="00E9333E">
        <w:tc>
          <w:tcPr>
            <w:tcW w:w="681" w:type="pct"/>
            <w:tcBorders>
              <w:bottom w:val="single" w:sz="4" w:space="0" w:color="auto"/>
            </w:tcBorders>
            <w:vAlign w:val="center"/>
          </w:tcPr>
          <w:p w:rsidR="00A51754" w:rsidRPr="00CE0BE9" w:rsidRDefault="00A51754" w:rsidP="00E9333E">
            <w:pPr>
              <w:pStyle w:val="Tabletext"/>
            </w:pPr>
            <w:r w:rsidRPr="00CE0BE9">
              <w:t>Oct 2016</w:t>
            </w:r>
            <w:r w:rsidRPr="00CE0BE9">
              <w:rPr>
                <w:vertAlign w:val="superscript"/>
              </w:rPr>
              <w:t>a</w:t>
            </w:r>
          </w:p>
        </w:tc>
        <w:tc>
          <w:tcPr>
            <w:tcW w:w="529" w:type="pct"/>
            <w:tcBorders>
              <w:bottom w:val="single" w:sz="4" w:space="0" w:color="auto"/>
            </w:tcBorders>
            <w:vAlign w:val="center"/>
          </w:tcPr>
          <w:p w:rsidR="00A51754" w:rsidRPr="00CE0BE9" w:rsidRDefault="00A51754" w:rsidP="00E9333E">
            <w:pPr>
              <w:pStyle w:val="Tabletext"/>
            </w:pPr>
            <w:r w:rsidRPr="00CE0BE9">
              <w:t>146/231 (63%)</w:t>
            </w:r>
          </w:p>
        </w:tc>
        <w:tc>
          <w:tcPr>
            <w:tcW w:w="685" w:type="pct"/>
            <w:tcBorders>
              <w:bottom w:val="single" w:sz="4" w:space="0" w:color="auto"/>
            </w:tcBorders>
            <w:vAlign w:val="center"/>
          </w:tcPr>
          <w:p w:rsidR="004905AF" w:rsidRPr="00CE0BE9" w:rsidRDefault="00A51754" w:rsidP="00E9333E">
            <w:pPr>
              <w:pStyle w:val="Tabletext"/>
            </w:pPr>
            <w:r w:rsidRPr="00CE0BE9">
              <w:t xml:space="preserve">57.3 </w:t>
            </w:r>
          </w:p>
          <w:p w:rsidR="00A51754" w:rsidRPr="00CE0BE9" w:rsidRDefault="00A51754" w:rsidP="00E9333E">
            <w:pPr>
              <w:pStyle w:val="Tabletext"/>
            </w:pPr>
            <w:r w:rsidRPr="00CE0BE9">
              <w:t>(44.2, 73.3)</w:t>
            </w:r>
          </w:p>
        </w:tc>
        <w:tc>
          <w:tcPr>
            <w:tcW w:w="604" w:type="pct"/>
            <w:tcBorders>
              <w:bottom w:val="single" w:sz="4" w:space="0" w:color="auto"/>
            </w:tcBorders>
            <w:vAlign w:val="center"/>
          </w:tcPr>
          <w:p w:rsidR="00A51754" w:rsidRPr="00CE0BE9" w:rsidRDefault="00A51754" w:rsidP="00E9333E">
            <w:pPr>
              <w:pStyle w:val="Tabletext"/>
            </w:pPr>
            <w:r w:rsidRPr="00CE0BE9">
              <w:t>176/229 (77%)</w:t>
            </w:r>
          </w:p>
        </w:tc>
        <w:tc>
          <w:tcPr>
            <w:tcW w:w="777" w:type="pct"/>
            <w:tcBorders>
              <w:bottom w:val="single" w:sz="4" w:space="0" w:color="auto"/>
            </w:tcBorders>
            <w:vAlign w:val="center"/>
          </w:tcPr>
          <w:p w:rsidR="004905AF" w:rsidRPr="00CE0BE9" w:rsidRDefault="00A51754" w:rsidP="00E9333E">
            <w:pPr>
              <w:pStyle w:val="Tabletext"/>
            </w:pPr>
            <w:r w:rsidRPr="00CE0BE9">
              <w:t xml:space="preserve">28.9 </w:t>
            </w:r>
          </w:p>
          <w:p w:rsidR="00A51754" w:rsidRPr="00CE0BE9" w:rsidRDefault="00A51754" w:rsidP="00E9333E">
            <w:pPr>
              <w:pStyle w:val="Tabletext"/>
            </w:pPr>
            <w:r w:rsidRPr="00CE0BE9">
              <w:t>(23.0, 36.3)</w:t>
            </w:r>
          </w:p>
        </w:tc>
        <w:tc>
          <w:tcPr>
            <w:tcW w:w="592" w:type="pct"/>
            <w:tcBorders>
              <w:bottom w:val="single" w:sz="4" w:space="0" w:color="auto"/>
            </w:tcBorders>
            <w:vAlign w:val="center"/>
          </w:tcPr>
          <w:p w:rsidR="00A51754" w:rsidRPr="00CE0BE9" w:rsidRDefault="00A51754" w:rsidP="00E9333E">
            <w:pPr>
              <w:pStyle w:val="Tabletext"/>
            </w:pPr>
            <w:r w:rsidRPr="00CE0BE9">
              <w:t>28.4</w:t>
            </w:r>
          </w:p>
        </w:tc>
        <w:tc>
          <w:tcPr>
            <w:tcW w:w="530" w:type="pct"/>
            <w:tcBorders>
              <w:bottom w:val="single" w:sz="4" w:space="0" w:color="auto"/>
            </w:tcBorders>
            <w:vAlign w:val="center"/>
          </w:tcPr>
          <w:p w:rsidR="00A51754" w:rsidRPr="00CE0BE9" w:rsidRDefault="00A51754" w:rsidP="00E9333E">
            <w:pPr>
              <w:pStyle w:val="Tabletext"/>
            </w:pPr>
            <w:r w:rsidRPr="00CE0BE9">
              <w:t>p&lt;0.001</w:t>
            </w:r>
          </w:p>
        </w:tc>
        <w:tc>
          <w:tcPr>
            <w:tcW w:w="601" w:type="pct"/>
            <w:tcBorders>
              <w:bottom w:val="single" w:sz="4" w:space="0" w:color="auto"/>
            </w:tcBorders>
            <w:vAlign w:val="center"/>
          </w:tcPr>
          <w:p w:rsidR="004905AF" w:rsidRPr="00CE0BE9" w:rsidRDefault="00A51754" w:rsidP="00E9333E">
            <w:pPr>
              <w:pStyle w:val="Tabletext"/>
              <w:rPr>
                <w:b/>
              </w:rPr>
            </w:pPr>
            <w:r w:rsidRPr="00CE0BE9">
              <w:rPr>
                <w:b/>
              </w:rPr>
              <w:t xml:space="preserve">0.57 </w:t>
            </w:r>
          </w:p>
          <w:p w:rsidR="00A51754" w:rsidRPr="00CE0BE9" w:rsidRDefault="00A51754" w:rsidP="00E9333E">
            <w:pPr>
              <w:pStyle w:val="Tabletext"/>
            </w:pPr>
            <w:r w:rsidRPr="00CE0BE9">
              <w:rPr>
                <w:b/>
              </w:rPr>
              <w:t>(0.46, 0.71)</w:t>
            </w:r>
          </w:p>
        </w:tc>
      </w:tr>
      <w:tr w:rsidR="00A51754" w:rsidRPr="00CE0BE9" w:rsidTr="00E9333E">
        <w:tc>
          <w:tcPr>
            <w:tcW w:w="681" w:type="pct"/>
            <w:tcBorders>
              <w:right w:val="nil"/>
            </w:tcBorders>
            <w:vAlign w:val="center"/>
          </w:tcPr>
          <w:p w:rsidR="00A51754" w:rsidRPr="00CE0BE9" w:rsidRDefault="00A51754" w:rsidP="00E9333E">
            <w:pPr>
              <w:pStyle w:val="Tabletext"/>
            </w:pPr>
            <w:r w:rsidRPr="00CE0BE9">
              <w:t>IFM 2005-02</w:t>
            </w:r>
          </w:p>
        </w:tc>
        <w:tc>
          <w:tcPr>
            <w:tcW w:w="529" w:type="pct"/>
            <w:tcBorders>
              <w:top w:val="single" w:sz="4" w:space="0" w:color="auto"/>
              <w:left w:val="nil"/>
              <w:bottom w:val="single" w:sz="4" w:space="0" w:color="auto"/>
              <w:right w:val="nil"/>
            </w:tcBorders>
            <w:shd w:val="clear" w:color="auto" w:fill="auto"/>
            <w:vAlign w:val="center"/>
          </w:tcPr>
          <w:p w:rsidR="00A51754" w:rsidRPr="00CE0BE9" w:rsidRDefault="00A51754" w:rsidP="00E9333E">
            <w:pPr>
              <w:pStyle w:val="Tabletext"/>
              <w:rPr>
                <w:rFonts w:eastAsia="SimSun"/>
                <w:iCs/>
                <w:szCs w:val="20"/>
              </w:rPr>
            </w:pPr>
          </w:p>
        </w:tc>
        <w:tc>
          <w:tcPr>
            <w:tcW w:w="685" w:type="pct"/>
            <w:tcBorders>
              <w:top w:val="single" w:sz="4" w:space="0" w:color="auto"/>
              <w:left w:val="nil"/>
              <w:bottom w:val="single" w:sz="4" w:space="0" w:color="auto"/>
              <w:right w:val="nil"/>
            </w:tcBorders>
            <w:shd w:val="clear" w:color="auto" w:fill="auto"/>
            <w:vAlign w:val="center"/>
          </w:tcPr>
          <w:p w:rsidR="00A51754" w:rsidRPr="00CE0BE9" w:rsidRDefault="00A51754" w:rsidP="00E9333E">
            <w:pPr>
              <w:pStyle w:val="Tabletext"/>
              <w:rPr>
                <w:rFonts w:eastAsia="SimSun"/>
                <w:iCs/>
                <w:szCs w:val="20"/>
              </w:rPr>
            </w:pPr>
          </w:p>
        </w:tc>
        <w:tc>
          <w:tcPr>
            <w:tcW w:w="604" w:type="pct"/>
            <w:tcBorders>
              <w:top w:val="single" w:sz="4" w:space="0" w:color="auto"/>
              <w:left w:val="nil"/>
              <w:bottom w:val="single" w:sz="4" w:space="0" w:color="auto"/>
              <w:right w:val="nil"/>
            </w:tcBorders>
            <w:shd w:val="clear" w:color="auto" w:fill="auto"/>
            <w:vAlign w:val="center"/>
          </w:tcPr>
          <w:p w:rsidR="00A51754" w:rsidRPr="00CE0BE9" w:rsidRDefault="00A51754" w:rsidP="00E9333E">
            <w:pPr>
              <w:pStyle w:val="Tabletext"/>
              <w:rPr>
                <w:rFonts w:eastAsia="SimSun"/>
                <w:iCs/>
                <w:szCs w:val="20"/>
              </w:rPr>
            </w:pPr>
          </w:p>
        </w:tc>
        <w:tc>
          <w:tcPr>
            <w:tcW w:w="777" w:type="pct"/>
            <w:tcBorders>
              <w:top w:val="single" w:sz="4" w:space="0" w:color="auto"/>
              <w:left w:val="nil"/>
              <w:bottom w:val="single" w:sz="4" w:space="0" w:color="auto"/>
              <w:right w:val="nil"/>
            </w:tcBorders>
            <w:shd w:val="clear" w:color="auto" w:fill="auto"/>
            <w:vAlign w:val="center"/>
          </w:tcPr>
          <w:p w:rsidR="00A51754" w:rsidRPr="00CE0BE9" w:rsidRDefault="00A51754" w:rsidP="00E9333E">
            <w:pPr>
              <w:pStyle w:val="Tabletext"/>
              <w:rPr>
                <w:rFonts w:eastAsia="SimSun"/>
                <w:iCs/>
                <w:szCs w:val="20"/>
              </w:rPr>
            </w:pPr>
          </w:p>
        </w:tc>
        <w:tc>
          <w:tcPr>
            <w:tcW w:w="592" w:type="pct"/>
            <w:tcBorders>
              <w:top w:val="single" w:sz="4" w:space="0" w:color="auto"/>
              <w:left w:val="nil"/>
              <w:bottom w:val="single" w:sz="4" w:space="0" w:color="auto"/>
              <w:right w:val="nil"/>
            </w:tcBorders>
            <w:shd w:val="clear" w:color="auto" w:fill="auto"/>
            <w:vAlign w:val="center"/>
          </w:tcPr>
          <w:p w:rsidR="00A51754" w:rsidRPr="00CE0BE9" w:rsidRDefault="00A51754" w:rsidP="00E9333E">
            <w:pPr>
              <w:pStyle w:val="Tabletext"/>
              <w:rPr>
                <w:rFonts w:eastAsia="SimSun"/>
                <w:iCs/>
                <w:szCs w:val="20"/>
              </w:rPr>
            </w:pPr>
          </w:p>
        </w:tc>
        <w:tc>
          <w:tcPr>
            <w:tcW w:w="530" w:type="pct"/>
            <w:tcBorders>
              <w:top w:val="single" w:sz="4" w:space="0" w:color="auto"/>
              <w:left w:val="nil"/>
              <w:bottom w:val="single" w:sz="4" w:space="0" w:color="auto"/>
              <w:right w:val="nil"/>
            </w:tcBorders>
            <w:shd w:val="clear" w:color="auto" w:fill="auto"/>
            <w:vAlign w:val="center"/>
          </w:tcPr>
          <w:p w:rsidR="00A51754" w:rsidRPr="00CE0BE9" w:rsidRDefault="00A51754" w:rsidP="00E9333E">
            <w:pPr>
              <w:pStyle w:val="Tabletext"/>
              <w:rPr>
                <w:rFonts w:eastAsia="SimSun"/>
                <w:iCs/>
                <w:szCs w:val="18"/>
                <w:bdr w:val="none" w:sz="0" w:space="0" w:color="auto" w:frame="1"/>
                <w:lang w:eastAsia="en-AU"/>
              </w:rPr>
            </w:pPr>
          </w:p>
        </w:tc>
        <w:tc>
          <w:tcPr>
            <w:tcW w:w="601" w:type="pct"/>
            <w:tcBorders>
              <w:top w:val="single" w:sz="4" w:space="0" w:color="auto"/>
              <w:left w:val="nil"/>
              <w:bottom w:val="single" w:sz="4" w:space="0" w:color="auto"/>
              <w:right w:val="single" w:sz="4" w:space="0" w:color="auto"/>
            </w:tcBorders>
            <w:shd w:val="clear" w:color="auto" w:fill="auto"/>
            <w:vAlign w:val="center"/>
          </w:tcPr>
          <w:p w:rsidR="00A51754" w:rsidRPr="00CE0BE9" w:rsidRDefault="00A51754" w:rsidP="00E9333E">
            <w:pPr>
              <w:pStyle w:val="Tabletext"/>
              <w:rPr>
                <w:rFonts w:eastAsia="SimSun"/>
                <w:iCs/>
                <w:szCs w:val="20"/>
              </w:rPr>
            </w:pPr>
          </w:p>
        </w:tc>
      </w:tr>
      <w:tr w:rsidR="00A51754" w:rsidRPr="00CE0BE9" w:rsidTr="00E9333E">
        <w:tc>
          <w:tcPr>
            <w:tcW w:w="681" w:type="pct"/>
            <w:vAlign w:val="center"/>
          </w:tcPr>
          <w:p w:rsidR="00A51754" w:rsidRPr="00CE0BE9" w:rsidRDefault="00A51754" w:rsidP="00E9333E">
            <w:pPr>
              <w:pStyle w:val="Tabletext"/>
            </w:pPr>
            <w:r w:rsidRPr="00CE0BE9">
              <w:t>Feb 2016</w:t>
            </w:r>
            <w:r w:rsidRPr="00CE0BE9">
              <w:rPr>
                <w:vertAlign w:val="superscript"/>
              </w:rPr>
              <w:t>b</w:t>
            </w:r>
          </w:p>
        </w:tc>
        <w:tc>
          <w:tcPr>
            <w:tcW w:w="529" w:type="pct"/>
            <w:tcBorders>
              <w:top w:val="single" w:sz="4" w:space="0" w:color="auto"/>
              <w:left w:val="single" w:sz="4" w:space="0" w:color="auto"/>
              <w:bottom w:val="single" w:sz="4" w:space="0" w:color="auto"/>
              <w:right w:val="single" w:sz="4" w:space="0" w:color="auto"/>
            </w:tcBorders>
            <w:vAlign w:val="center"/>
          </w:tcPr>
          <w:p w:rsidR="00A51754" w:rsidRPr="00CE0BE9" w:rsidRDefault="00A51754" w:rsidP="00E9333E">
            <w:pPr>
              <w:pStyle w:val="Tabletext"/>
            </w:pPr>
            <w:r w:rsidRPr="00CE0BE9">
              <w:rPr>
                <w:rFonts w:eastAsia="SimSun"/>
                <w:iCs/>
                <w:szCs w:val="18"/>
                <w:bdr w:val="none" w:sz="0" w:space="0" w:color="auto" w:frame="1"/>
                <w:lang w:eastAsia="en-AU"/>
              </w:rPr>
              <w:t>218/307 (71.0%)</w:t>
            </w:r>
          </w:p>
        </w:tc>
        <w:tc>
          <w:tcPr>
            <w:tcW w:w="685" w:type="pct"/>
            <w:tcBorders>
              <w:top w:val="single" w:sz="4" w:space="0" w:color="auto"/>
              <w:left w:val="single" w:sz="4" w:space="0" w:color="auto"/>
              <w:bottom w:val="single" w:sz="4" w:space="0" w:color="auto"/>
              <w:right w:val="single" w:sz="4" w:space="0" w:color="auto"/>
            </w:tcBorders>
            <w:vAlign w:val="center"/>
          </w:tcPr>
          <w:p w:rsidR="004905AF" w:rsidRPr="00CE0BE9" w:rsidRDefault="00A51754" w:rsidP="00E9333E">
            <w:pPr>
              <w:pStyle w:val="Tabletext"/>
              <w:rPr>
                <w:rFonts w:eastAsia="SimSun"/>
                <w:iCs/>
                <w:szCs w:val="18"/>
                <w:bdr w:val="none" w:sz="0" w:space="0" w:color="auto" w:frame="1"/>
                <w:lang w:eastAsia="en-AU"/>
              </w:rPr>
            </w:pPr>
            <w:r w:rsidRPr="00CE0BE9">
              <w:rPr>
                <w:rFonts w:eastAsia="SimSun"/>
                <w:iCs/>
                <w:szCs w:val="18"/>
                <w:bdr w:val="none" w:sz="0" w:space="0" w:color="auto" w:frame="1"/>
                <w:lang w:eastAsia="en-AU"/>
              </w:rPr>
              <w:t xml:space="preserve">44.4 </w:t>
            </w:r>
          </w:p>
          <w:p w:rsidR="00A51754" w:rsidRPr="00CE0BE9" w:rsidRDefault="00A51754" w:rsidP="00E9333E">
            <w:pPr>
              <w:pStyle w:val="Tabletext"/>
            </w:pPr>
            <w:r w:rsidRPr="00CE0BE9">
              <w:rPr>
                <w:rFonts w:eastAsia="SimSun"/>
                <w:iCs/>
                <w:szCs w:val="18"/>
                <w:bdr w:val="none" w:sz="0" w:space="0" w:color="auto" w:frame="1"/>
                <w:lang w:eastAsia="en-AU"/>
              </w:rPr>
              <w:t>(39.6, 52.0)</w:t>
            </w:r>
          </w:p>
        </w:tc>
        <w:tc>
          <w:tcPr>
            <w:tcW w:w="604" w:type="pct"/>
            <w:tcBorders>
              <w:top w:val="single" w:sz="4" w:space="0" w:color="auto"/>
              <w:left w:val="single" w:sz="4" w:space="0" w:color="auto"/>
              <w:bottom w:val="single" w:sz="4" w:space="0" w:color="auto"/>
              <w:right w:val="single" w:sz="4" w:space="0" w:color="auto"/>
            </w:tcBorders>
            <w:vAlign w:val="center"/>
          </w:tcPr>
          <w:p w:rsidR="00A51754" w:rsidRPr="00CE0BE9" w:rsidRDefault="00A51754" w:rsidP="00E9333E">
            <w:pPr>
              <w:pStyle w:val="Tabletext"/>
            </w:pPr>
            <w:r w:rsidRPr="00CE0BE9">
              <w:rPr>
                <w:rFonts w:eastAsia="SimSun"/>
                <w:iCs/>
                <w:szCs w:val="18"/>
                <w:bdr w:val="none" w:sz="0" w:space="0" w:color="auto" w:frame="1"/>
                <w:lang w:eastAsia="en-AU"/>
              </w:rPr>
              <w:t>257/307 (83.7%)</w:t>
            </w:r>
          </w:p>
        </w:tc>
        <w:tc>
          <w:tcPr>
            <w:tcW w:w="777" w:type="pct"/>
            <w:tcBorders>
              <w:top w:val="single" w:sz="4" w:space="0" w:color="auto"/>
              <w:left w:val="single" w:sz="4" w:space="0" w:color="auto"/>
              <w:bottom w:val="single" w:sz="4" w:space="0" w:color="auto"/>
              <w:right w:val="single" w:sz="4" w:space="0" w:color="auto"/>
            </w:tcBorders>
            <w:vAlign w:val="center"/>
          </w:tcPr>
          <w:p w:rsidR="004905AF" w:rsidRPr="00CE0BE9" w:rsidRDefault="00A51754" w:rsidP="00E9333E">
            <w:pPr>
              <w:pStyle w:val="Tabletext"/>
              <w:rPr>
                <w:rFonts w:eastAsia="SimSun"/>
                <w:iCs/>
                <w:szCs w:val="18"/>
                <w:bdr w:val="none" w:sz="0" w:space="0" w:color="auto" w:frame="1"/>
                <w:lang w:eastAsia="en-AU"/>
              </w:rPr>
            </w:pPr>
            <w:r w:rsidRPr="00CE0BE9">
              <w:rPr>
                <w:rFonts w:eastAsia="SimSun"/>
                <w:iCs/>
                <w:szCs w:val="18"/>
                <w:bdr w:val="none" w:sz="0" w:space="0" w:color="auto" w:frame="1"/>
                <w:lang w:eastAsia="en-AU"/>
              </w:rPr>
              <w:t xml:space="preserve">23.8 </w:t>
            </w:r>
          </w:p>
          <w:p w:rsidR="00A51754" w:rsidRPr="00CE0BE9" w:rsidRDefault="00A51754" w:rsidP="00E9333E">
            <w:pPr>
              <w:pStyle w:val="Tabletext"/>
            </w:pPr>
            <w:r w:rsidRPr="00CE0BE9">
              <w:rPr>
                <w:rFonts w:eastAsia="SimSun"/>
                <w:iCs/>
                <w:szCs w:val="18"/>
                <w:bdr w:val="none" w:sz="0" w:space="0" w:color="auto" w:frame="1"/>
                <w:lang w:eastAsia="en-AU"/>
              </w:rPr>
              <w:t>(21.2, 27.3)</w:t>
            </w:r>
          </w:p>
        </w:tc>
        <w:tc>
          <w:tcPr>
            <w:tcW w:w="592" w:type="pct"/>
            <w:tcBorders>
              <w:top w:val="single" w:sz="4" w:space="0" w:color="auto"/>
              <w:left w:val="single" w:sz="4" w:space="0" w:color="auto"/>
              <w:bottom w:val="single" w:sz="4" w:space="0" w:color="auto"/>
              <w:right w:val="single" w:sz="4" w:space="0" w:color="auto"/>
            </w:tcBorders>
            <w:vAlign w:val="center"/>
          </w:tcPr>
          <w:p w:rsidR="00A51754" w:rsidRPr="00CE0BE9" w:rsidRDefault="00A51754" w:rsidP="00E9333E">
            <w:pPr>
              <w:pStyle w:val="Tabletext"/>
            </w:pPr>
            <w:r w:rsidRPr="00CE0BE9">
              <w:rPr>
                <w:rFonts w:eastAsia="SimSun"/>
                <w:iCs/>
                <w:szCs w:val="18"/>
                <w:bdr w:val="none" w:sz="0" w:space="0" w:color="auto" w:frame="1"/>
                <w:lang w:eastAsia="en-AU"/>
              </w:rPr>
              <w:t>20.6</w:t>
            </w:r>
          </w:p>
        </w:tc>
        <w:tc>
          <w:tcPr>
            <w:tcW w:w="530" w:type="pct"/>
            <w:tcBorders>
              <w:top w:val="single" w:sz="4" w:space="0" w:color="auto"/>
              <w:left w:val="single" w:sz="4" w:space="0" w:color="auto"/>
              <w:bottom w:val="single" w:sz="4" w:space="0" w:color="auto"/>
              <w:right w:val="single" w:sz="4" w:space="0" w:color="auto"/>
            </w:tcBorders>
            <w:vAlign w:val="center"/>
          </w:tcPr>
          <w:p w:rsidR="00A51754" w:rsidRPr="00CE0BE9" w:rsidRDefault="00A51754" w:rsidP="00E9333E">
            <w:pPr>
              <w:pStyle w:val="Tabletext"/>
            </w:pPr>
            <w:r w:rsidRPr="00CE0BE9">
              <w:rPr>
                <w:rFonts w:eastAsia="SimSun"/>
                <w:iCs/>
                <w:szCs w:val="18"/>
                <w:bdr w:val="none" w:sz="0" w:space="0" w:color="auto" w:frame="1"/>
                <w:lang w:eastAsia="en-AU"/>
              </w:rPr>
              <w:t>p&lt; 0.001</w:t>
            </w:r>
          </w:p>
        </w:tc>
        <w:tc>
          <w:tcPr>
            <w:tcW w:w="601" w:type="pct"/>
            <w:tcBorders>
              <w:top w:val="single" w:sz="4" w:space="0" w:color="auto"/>
              <w:left w:val="single" w:sz="4" w:space="0" w:color="auto"/>
              <w:bottom w:val="single" w:sz="4" w:space="0" w:color="auto"/>
              <w:right w:val="single" w:sz="4" w:space="0" w:color="auto"/>
            </w:tcBorders>
            <w:vAlign w:val="center"/>
          </w:tcPr>
          <w:p w:rsidR="004905AF" w:rsidRPr="00CE0BE9" w:rsidRDefault="00A51754" w:rsidP="00E9333E">
            <w:pPr>
              <w:pStyle w:val="Tabletext"/>
              <w:rPr>
                <w:rFonts w:eastAsia="SimSun"/>
                <w:b/>
                <w:iCs/>
                <w:szCs w:val="18"/>
                <w:bdr w:val="none" w:sz="0" w:space="0" w:color="auto" w:frame="1"/>
                <w:lang w:eastAsia="en-AU"/>
              </w:rPr>
            </w:pPr>
            <w:r w:rsidRPr="00CE0BE9">
              <w:rPr>
                <w:rFonts w:eastAsia="SimSun"/>
                <w:b/>
                <w:iCs/>
                <w:szCs w:val="18"/>
                <w:bdr w:val="none" w:sz="0" w:space="0" w:color="auto" w:frame="1"/>
                <w:lang w:eastAsia="en-AU"/>
              </w:rPr>
              <w:t xml:space="preserve">0.57 </w:t>
            </w:r>
          </w:p>
          <w:p w:rsidR="00A51754" w:rsidRPr="00CE0BE9" w:rsidRDefault="00A51754" w:rsidP="00E9333E">
            <w:pPr>
              <w:pStyle w:val="Tabletext"/>
            </w:pPr>
            <w:r w:rsidRPr="00CE0BE9">
              <w:rPr>
                <w:rFonts w:eastAsia="SimSun"/>
                <w:b/>
                <w:iCs/>
                <w:szCs w:val="18"/>
                <w:bdr w:val="none" w:sz="0" w:space="0" w:color="auto" w:frame="1"/>
                <w:lang w:eastAsia="en-AU"/>
              </w:rPr>
              <w:t>(0.47, 0.68)</w:t>
            </w:r>
          </w:p>
        </w:tc>
      </w:tr>
    </w:tbl>
    <w:p w:rsidR="00A51754" w:rsidRPr="00CE0BE9" w:rsidRDefault="00A51754" w:rsidP="00A51754">
      <w:pPr>
        <w:pStyle w:val="TableFooter"/>
        <w:rPr>
          <w:rFonts w:eastAsia="Calibri"/>
        </w:rPr>
      </w:pPr>
      <w:r w:rsidRPr="00CE0BE9">
        <w:t xml:space="preserve">Abbreviations: </w:t>
      </w:r>
      <w:r w:rsidR="00CB1421" w:rsidRPr="00CE0BE9">
        <w:t xml:space="preserve">BSC=best supportive care; </w:t>
      </w:r>
      <w:r w:rsidRPr="00CE0BE9">
        <w:rPr>
          <w:rFonts w:eastAsia="Calibri"/>
        </w:rPr>
        <w:t>CI= confidence interval; n= number of participants reporting data; N= total participants in group; NE= not evaluable.</w:t>
      </w:r>
    </w:p>
    <w:p w:rsidR="00A51754" w:rsidRPr="00CE0BE9" w:rsidRDefault="00A51754" w:rsidP="00A51754">
      <w:pPr>
        <w:pStyle w:val="TableFooter"/>
        <w:rPr>
          <w:rFonts w:eastAsia="Calibri"/>
        </w:rPr>
      </w:pPr>
      <w:r w:rsidRPr="00CE0BE9">
        <w:rPr>
          <w:rFonts w:eastAsia="Calibri"/>
        </w:rPr>
        <w:t xml:space="preserve">Notes: </w:t>
      </w:r>
      <w:proofErr w:type="gramStart"/>
      <w:r w:rsidRPr="00CE0BE9">
        <w:rPr>
          <w:rFonts w:eastAsia="Calibri"/>
        </w:rPr>
        <w:t>a from</w:t>
      </w:r>
      <w:proofErr w:type="gramEnd"/>
      <w:r w:rsidRPr="00CE0BE9">
        <w:rPr>
          <w:rFonts w:eastAsia="Calibri"/>
        </w:rPr>
        <w:t xml:space="preserve"> ASCT; b from maintenance randomisation. </w:t>
      </w:r>
      <w:proofErr w:type="gramStart"/>
      <w:r w:rsidR="006F00BA" w:rsidRPr="00CE0BE9">
        <w:t>Statistically significant differences bolded.</w:t>
      </w:r>
      <w:proofErr w:type="gramEnd"/>
    </w:p>
    <w:p w:rsidR="00A51754" w:rsidRPr="00CE0BE9" w:rsidRDefault="00A51754" w:rsidP="00A51754">
      <w:pPr>
        <w:pStyle w:val="TableFooter"/>
        <w:rPr>
          <w:sz w:val="20"/>
        </w:rPr>
      </w:pPr>
      <w:r w:rsidRPr="00CE0BE9">
        <w:t>Source: Table 2.5.1, p.80 of the submission.</w:t>
      </w:r>
    </w:p>
    <w:p w:rsidR="002612DE" w:rsidRPr="00CE0BE9" w:rsidRDefault="00A51754" w:rsidP="00CC4B9C">
      <w:pPr>
        <w:pStyle w:val="TableFooter"/>
        <w:keepNext/>
      </w:pPr>
      <w:r w:rsidRPr="00CE0BE9">
        <w:rPr>
          <w:b/>
          <w:sz w:val="20"/>
          <w:szCs w:val="20"/>
        </w:rPr>
        <w:t xml:space="preserve">Figure </w:t>
      </w:r>
      <w:r w:rsidR="007D6AA8">
        <w:rPr>
          <w:b/>
          <w:sz w:val="20"/>
          <w:szCs w:val="20"/>
        </w:rPr>
        <w:t>2</w:t>
      </w:r>
      <w:r w:rsidRPr="00CE0BE9">
        <w:rPr>
          <w:b/>
          <w:sz w:val="20"/>
          <w:szCs w:val="20"/>
        </w:rPr>
        <w:t xml:space="preserve">: Kaplan-Meier curves of PFS comparing </w:t>
      </w:r>
      <w:proofErr w:type="spellStart"/>
      <w:r w:rsidRPr="00CE0BE9">
        <w:rPr>
          <w:b/>
          <w:sz w:val="20"/>
          <w:szCs w:val="20"/>
        </w:rPr>
        <w:t>lenalidomide</w:t>
      </w:r>
      <w:proofErr w:type="spellEnd"/>
      <w:r w:rsidRPr="00CE0BE9">
        <w:rPr>
          <w:b/>
          <w:sz w:val="20"/>
          <w:szCs w:val="20"/>
        </w:rPr>
        <w:t xml:space="preserve"> with BS</w:t>
      </w:r>
      <w:r w:rsidR="00C41989" w:rsidRPr="00CE0BE9">
        <w:rPr>
          <w:b/>
          <w:sz w:val="20"/>
          <w:szCs w:val="20"/>
        </w:rPr>
        <w:t>C (</w:t>
      </w:r>
      <w:r w:rsidR="002612DE" w:rsidRPr="00CE0BE9">
        <w:rPr>
          <w:b/>
          <w:sz w:val="20"/>
          <w:szCs w:val="20"/>
        </w:rPr>
        <w:t>CALGB (Oct 2016 cut-off)</w:t>
      </w:r>
      <w:r w:rsidR="00C41989" w:rsidRPr="00CE0BE9">
        <w:rPr>
          <w:b/>
          <w:sz w:val="20"/>
          <w:szCs w:val="20"/>
        </w:rPr>
        <w:t xml:space="preserve"> </w:t>
      </w:r>
      <w:r w:rsidR="001956F9">
        <w:rPr>
          <w:b/>
          <w:sz w:val="20"/>
          <w:szCs w:val="20"/>
        </w:rPr>
        <w:t>top</w:t>
      </w:r>
      <w:r w:rsidR="00C41989" w:rsidRPr="00CE0BE9">
        <w:rPr>
          <w:b/>
          <w:sz w:val="20"/>
          <w:szCs w:val="20"/>
        </w:rPr>
        <w:t>) IFM 2005-02 (March 2015 cut-off) (</w:t>
      </w:r>
      <w:r w:rsidR="001956F9">
        <w:rPr>
          <w:b/>
          <w:sz w:val="20"/>
          <w:szCs w:val="20"/>
        </w:rPr>
        <w:t>bottom</w:t>
      </w:r>
      <w:r w:rsidR="00C41989" w:rsidRPr="00CE0BE9">
        <w:rPr>
          <w:b/>
          <w:sz w:val="20"/>
          <w:szCs w:val="20"/>
        </w:rPr>
        <w:t>)</w:t>
      </w:r>
    </w:p>
    <w:p w:rsidR="00C41989" w:rsidRPr="00CE0BE9" w:rsidRDefault="00C41989" w:rsidP="00A51754">
      <w:pPr>
        <w:pStyle w:val="TableFooter"/>
        <w:keepNext/>
        <w:rPr>
          <w:b/>
          <w:sz w:val="20"/>
          <w:szCs w:val="20"/>
        </w:rPr>
      </w:pPr>
      <w:r w:rsidRPr="00CE0BE9">
        <w:rPr>
          <w:noProof/>
          <w:snapToGrid/>
          <w:lang w:eastAsia="en-AU"/>
        </w:rPr>
        <w:drawing>
          <wp:inline distT="0" distB="0" distL="0" distR="0" wp14:anchorId="1312E0B8" wp14:editId="003A6477">
            <wp:extent cx="4317558" cy="2639833"/>
            <wp:effectExtent l="0" t="0" r="6985" b="8255"/>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7558" cy="2639833"/>
                    </a:xfrm>
                    <a:prstGeom prst="rect">
                      <a:avLst/>
                    </a:prstGeom>
                    <a:noFill/>
                  </pic:spPr>
                </pic:pic>
              </a:graphicData>
            </a:graphic>
          </wp:inline>
        </w:drawing>
      </w:r>
    </w:p>
    <w:p w:rsidR="002612DE" w:rsidRPr="00CE0BE9" w:rsidRDefault="002612DE" w:rsidP="00A51754">
      <w:pPr>
        <w:pStyle w:val="TableFooter"/>
        <w:keepNext/>
        <w:rPr>
          <w:szCs w:val="18"/>
        </w:rPr>
      </w:pPr>
      <w:r w:rsidRPr="00CE0BE9">
        <w:rPr>
          <w:b/>
          <w:noProof/>
          <w:sz w:val="20"/>
          <w:szCs w:val="20"/>
          <w:lang w:eastAsia="en-AU"/>
        </w:rPr>
        <w:drawing>
          <wp:inline distT="0" distB="0" distL="0" distR="0" wp14:anchorId="6C2D2731" wp14:editId="61BA4D55">
            <wp:extent cx="4532243" cy="2761945"/>
            <wp:effectExtent l="0" t="0" r="1905"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2243" cy="2761945"/>
                    </a:xfrm>
                    <a:prstGeom prst="rect">
                      <a:avLst/>
                    </a:prstGeom>
                    <a:noFill/>
                  </pic:spPr>
                </pic:pic>
              </a:graphicData>
            </a:graphic>
          </wp:inline>
        </w:drawing>
      </w:r>
    </w:p>
    <w:p w:rsidR="00A51754" w:rsidRPr="00CE0BE9" w:rsidRDefault="00A51754" w:rsidP="00A51754">
      <w:pPr>
        <w:pStyle w:val="TableFooter"/>
        <w:keepNext/>
        <w:rPr>
          <w:szCs w:val="18"/>
        </w:rPr>
      </w:pPr>
      <w:r w:rsidRPr="00CE0BE9">
        <w:rPr>
          <w:szCs w:val="18"/>
        </w:rPr>
        <w:t>Abbreviations: ASCT = autologous stem cell transplant; CI = confidence interval; HR = hazard ratio; PFS = progression-free survival</w:t>
      </w:r>
    </w:p>
    <w:p w:rsidR="00A51754" w:rsidRPr="00CE0BE9" w:rsidRDefault="00A51754" w:rsidP="00A51754">
      <w:pPr>
        <w:keepNext/>
        <w:rPr>
          <w:rFonts w:ascii="Arial Narrow" w:hAnsi="Arial Narrow"/>
          <w:sz w:val="18"/>
          <w:szCs w:val="18"/>
        </w:rPr>
      </w:pPr>
      <w:r w:rsidRPr="00CE0BE9">
        <w:rPr>
          <w:rFonts w:ascii="Arial Narrow" w:hAnsi="Arial Narrow"/>
          <w:sz w:val="18"/>
          <w:szCs w:val="18"/>
        </w:rPr>
        <w:t>Notes: For CALGB, PFS was measured as time since ASCT according to EMA censoring rules (months); For IFM, PFS was measured as time since maintenance randomisation to EMA censored progression (months).</w:t>
      </w:r>
      <w:r w:rsidR="00CB1421" w:rsidRPr="00CE0BE9">
        <w:rPr>
          <w:rFonts w:ascii="Arial Narrow" w:hAnsi="Arial Narrow"/>
          <w:sz w:val="18"/>
          <w:szCs w:val="18"/>
        </w:rPr>
        <w:t xml:space="preserve"> </w:t>
      </w:r>
      <w:bookmarkStart w:id="9" w:name="_Hlk503771789"/>
      <w:r w:rsidR="00CB1421" w:rsidRPr="00CE0BE9">
        <w:rPr>
          <w:rFonts w:ascii="Arial Narrow" w:hAnsi="Arial Narrow"/>
          <w:sz w:val="18"/>
          <w:szCs w:val="18"/>
        </w:rPr>
        <w:t xml:space="preserve">Trial refers to placebo, have used best supportive care for </w:t>
      </w:r>
      <w:r w:rsidR="00CB1421" w:rsidRPr="00CE0BE9">
        <w:rPr>
          <w:rFonts w:ascii="Arial Narrow" w:hAnsi="Arial Narrow"/>
          <w:sz w:val="18"/>
          <w:szCs w:val="18"/>
        </w:rPr>
        <w:lastRenderedPageBreak/>
        <w:t xml:space="preserve">consistency. </w:t>
      </w:r>
    </w:p>
    <w:bookmarkEnd w:id="9"/>
    <w:p w:rsidR="00A51754" w:rsidRPr="00CE0BE9" w:rsidRDefault="00A51754" w:rsidP="00A51754">
      <w:pPr>
        <w:rPr>
          <w:rFonts w:ascii="Arial Narrow" w:hAnsi="Arial Narrow"/>
          <w:sz w:val="18"/>
          <w:szCs w:val="18"/>
        </w:rPr>
      </w:pPr>
      <w:r w:rsidRPr="00CE0BE9">
        <w:rPr>
          <w:rFonts w:ascii="Arial Narrow" w:hAnsi="Arial Narrow"/>
          <w:sz w:val="18"/>
          <w:szCs w:val="18"/>
        </w:rPr>
        <w:t>Source: CALGB, Figure 2.5.1, p.82 of the submission; IFM, Figure 2.5.2, p.84 of the submission.</w:t>
      </w:r>
    </w:p>
    <w:p w:rsidR="00994C55" w:rsidRDefault="00994C55">
      <w:pPr>
        <w:widowControl/>
        <w:jc w:val="left"/>
        <w:rPr>
          <w:rStyle w:val="CommentReference"/>
        </w:rPr>
      </w:pPr>
    </w:p>
    <w:p w:rsidR="00A51754" w:rsidRPr="00CE0BE9" w:rsidRDefault="00A51754" w:rsidP="00A51754">
      <w:pPr>
        <w:keepNext/>
        <w:rPr>
          <w:rStyle w:val="CommentReference"/>
        </w:rPr>
      </w:pPr>
      <w:r w:rsidRPr="00CE0BE9">
        <w:rPr>
          <w:rStyle w:val="CommentReference"/>
        </w:rPr>
        <w:t xml:space="preserve">Table 5: </w:t>
      </w:r>
      <w:r w:rsidR="004905AF" w:rsidRPr="00CE0BE9">
        <w:rPr>
          <w:rStyle w:val="CommentReference"/>
        </w:rPr>
        <w:t xml:space="preserve">OS results – </w:t>
      </w:r>
      <w:proofErr w:type="spellStart"/>
      <w:r w:rsidR="004905AF" w:rsidRPr="00CE0BE9">
        <w:rPr>
          <w:rStyle w:val="CommentReference"/>
        </w:rPr>
        <w:t>lenalidomide</w:t>
      </w:r>
      <w:proofErr w:type="spellEnd"/>
      <w:r w:rsidR="004905AF" w:rsidRPr="00CE0BE9">
        <w:rPr>
          <w:rStyle w:val="CommentReference"/>
        </w:rPr>
        <w:t xml:space="preserve"> versus </w:t>
      </w:r>
      <w:r w:rsidR="00CB1421" w:rsidRPr="00CE0BE9">
        <w:rPr>
          <w:rStyle w:val="CommentReference"/>
        </w:rPr>
        <w:t>BSC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022"/>
        <w:gridCol w:w="1276"/>
        <w:gridCol w:w="993"/>
        <w:gridCol w:w="1418"/>
        <w:gridCol w:w="1133"/>
        <w:gridCol w:w="993"/>
        <w:gridCol w:w="1196"/>
      </w:tblGrid>
      <w:tr w:rsidR="00A51754" w:rsidRPr="00CE0BE9" w:rsidTr="00E668FE">
        <w:trPr>
          <w:tblHeader/>
        </w:trPr>
        <w:tc>
          <w:tcPr>
            <w:tcW w:w="656" w:type="pct"/>
            <w:vAlign w:val="center"/>
          </w:tcPr>
          <w:p w:rsidR="00A51754" w:rsidRPr="00CE0BE9" w:rsidRDefault="00A51754" w:rsidP="00E9333E">
            <w:pPr>
              <w:pStyle w:val="Tabletext"/>
              <w:keepNext/>
              <w:rPr>
                <w:b/>
                <w:szCs w:val="20"/>
              </w:rPr>
            </w:pPr>
            <w:r w:rsidRPr="00CE0BE9">
              <w:rPr>
                <w:b/>
                <w:szCs w:val="20"/>
              </w:rPr>
              <w:t>Trial ID</w:t>
            </w:r>
          </w:p>
        </w:tc>
        <w:tc>
          <w:tcPr>
            <w:tcW w:w="1243" w:type="pct"/>
            <w:gridSpan w:val="2"/>
            <w:vAlign w:val="center"/>
          </w:tcPr>
          <w:p w:rsidR="00A51754" w:rsidRPr="00CE0BE9" w:rsidRDefault="00A51754" w:rsidP="00E9333E">
            <w:pPr>
              <w:pStyle w:val="Tabletext"/>
              <w:keepNext/>
              <w:jc w:val="center"/>
              <w:rPr>
                <w:b/>
                <w:szCs w:val="20"/>
              </w:rPr>
            </w:pPr>
            <w:proofErr w:type="spellStart"/>
            <w:r w:rsidRPr="00CE0BE9">
              <w:rPr>
                <w:b/>
                <w:szCs w:val="20"/>
              </w:rPr>
              <w:t>Lenalidomide</w:t>
            </w:r>
            <w:proofErr w:type="spellEnd"/>
          </w:p>
        </w:tc>
        <w:tc>
          <w:tcPr>
            <w:tcW w:w="1304" w:type="pct"/>
            <w:gridSpan w:val="2"/>
            <w:vAlign w:val="center"/>
          </w:tcPr>
          <w:p w:rsidR="00A51754" w:rsidRPr="00CE0BE9" w:rsidRDefault="00CB1421" w:rsidP="00E9333E">
            <w:pPr>
              <w:pStyle w:val="Tabletext"/>
              <w:keepNext/>
              <w:jc w:val="center"/>
              <w:rPr>
                <w:b/>
                <w:szCs w:val="20"/>
              </w:rPr>
            </w:pPr>
            <w:r w:rsidRPr="00CE0BE9">
              <w:rPr>
                <w:b/>
                <w:szCs w:val="20"/>
              </w:rPr>
              <w:t>BSC</w:t>
            </w:r>
          </w:p>
        </w:tc>
        <w:tc>
          <w:tcPr>
            <w:tcW w:w="613" w:type="pct"/>
            <w:vMerge w:val="restart"/>
            <w:vAlign w:val="center"/>
          </w:tcPr>
          <w:p w:rsidR="00A51754" w:rsidRPr="00CE0BE9" w:rsidRDefault="00A51754" w:rsidP="00E9333E">
            <w:pPr>
              <w:pStyle w:val="Tabletext"/>
              <w:keepNext/>
              <w:jc w:val="center"/>
              <w:rPr>
                <w:b/>
                <w:szCs w:val="20"/>
              </w:rPr>
            </w:pPr>
            <w:r w:rsidRPr="00CE0BE9">
              <w:rPr>
                <w:b/>
                <w:szCs w:val="20"/>
              </w:rPr>
              <w:t>Difference in median, months</w:t>
            </w:r>
          </w:p>
        </w:tc>
        <w:tc>
          <w:tcPr>
            <w:tcW w:w="537" w:type="pct"/>
            <w:vMerge w:val="restart"/>
            <w:vAlign w:val="center"/>
          </w:tcPr>
          <w:p w:rsidR="00A51754" w:rsidRPr="00CE0BE9" w:rsidRDefault="00A51754" w:rsidP="00E9333E">
            <w:pPr>
              <w:pStyle w:val="Tabletext"/>
              <w:keepNext/>
              <w:jc w:val="center"/>
              <w:rPr>
                <w:b/>
                <w:szCs w:val="20"/>
              </w:rPr>
            </w:pPr>
            <w:r w:rsidRPr="00CE0BE9">
              <w:rPr>
                <w:b/>
                <w:szCs w:val="20"/>
              </w:rPr>
              <w:t>P value</w:t>
            </w:r>
          </w:p>
          <w:p w:rsidR="00A51754" w:rsidRPr="00CE0BE9" w:rsidRDefault="00A51754" w:rsidP="00E9333E">
            <w:pPr>
              <w:pStyle w:val="Tabletext"/>
              <w:keepNext/>
              <w:jc w:val="center"/>
              <w:rPr>
                <w:b/>
                <w:szCs w:val="20"/>
              </w:rPr>
            </w:pPr>
            <w:r w:rsidRPr="00CE0BE9">
              <w:rPr>
                <w:b/>
                <w:szCs w:val="20"/>
              </w:rPr>
              <w:t>(log rank test)</w:t>
            </w:r>
          </w:p>
        </w:tc>
        <w:tc>
          <w:tcPr>
            <w:tcW w:w="648" w:type="pct"/>
            <w:vMerge w:val="restart"/>
            <w:vAlign w:val="center"/>
          </w:tcPr>
          <w:p w:rsidR="00A51754" w:rsidRPr="00CE0BE9" w:rsidRDefault="00A51754" w:rsidP="00E9333E">
            <w:pPr>
              <w:pStyle w:val="Tabletext"/>
              <w:keepNext/>
              <w:jc w:val="center"/>
              <w:rPr>
                <w:b/>
                <w:szCs w:val="20"/>
              </w:rPr>
            </w:pPr>
            <w:r w:rsidRPr="00CE0BE9">
              <w:rPr>
                <w:b/>
                <w:szCs w:val="20"/>
              </w:rPr>
              <w:t>Hazard ratio (95% CI)</w:t>
            </w:r>
          </w:p>
        </w:tc>
      </w:tr>
      <w:tr w:rsidR="00A51754" w:rsidRPr="00CE0BE9" w:rsidTr="00E668FE">
        <w:trPr>
          <w:tblHeader/>
        </w:trPr>
        <w:tc>
          <w:tcPr>
            <w:tcW w:w="656" w:type="pct"/>
            <w:tcBorders>
              <w:bottom w:val="single" w:sz="4" w:space="0" w:color="auto"/>
            </w:tcBorders>
            <w:vAlign w:val="center"/>
          </w:tcPr>
          <w:p w:rsidR="00A51754" w:rsidRPr="00CE0BE9" w:rsidRDefault="00A51754" w:rsidP="00E9333E">
            <w:pPr>
              <w:pStyle w:val="Tabletext"/>
              <w:rPr>
                <w:szCs w:val="20"/>
              </w:rPr>
            </w:pPr>
          </w:p>
        </w:tc>
        <w:tc>
          <w:tcPr>
            <w:tcW w:w="553" w:type="pct"/>
            <w:tcBorders>
              <w:bottom w:val="single" w:sz="4" w:space="0" w:color="auto"/>
            </w:tcBorders>
            <w:vAlign w:val="center"/>
          </w:tcPr>
          <w:p w:rsidR="00A51754" w:rsidRPr="00CE0BE9" w:rsidRDefault="00A51754" w:rsidP="00E9333E">
            <w:pPr>
              <w:pStyle w:val="Tabletext"/>
              <w:rPr>
                <w:szCs w:val="20"/>
              </w:rPr>
            </w:pPr>
            <w:proofErr w:type="gramStart"/>
            <w:r w:rsidRPr="00CE0BE9">
              <w:rPr>
                <w:szCs w:val="20"/>
              </w:rPr>
              <w:t>n/N</w:t>
            </w:r>
            <w:proofErr w:type="gramEnd"/>
            <w:r w:rsidRPr="00CE0BE9">
              <w:rPr>
                <w:szCs w:val="20"/>
              </w:rPr>
              <w:t xml:space="preserve"> event (%)</w:t>
            </w:r>
          </w:p>
        </w:tc>
        <w:tc>
          <w:tcPr>
            <w:tcW w:w="690" w:type="pct"/>
            <w:tcBorders>
              <w:bottom w:val="single" w:sz="4" w:space="0" w:color="auto"/>
            </w:tcBorders>
            <w:vAlign w:val="center"/>
          </w:tcPr>
          <w:p w:rsidR="00A51754" w:rsidRPr="00CE0BE9" w:rsidRDefault="00A51754" w:rsidP="00E9333E">
            <w:pPr>
              <w:pStyle w:val="Tabletext"/>
              <w:rPr>
                <w:szCs w:val="20"/>
              </w:rPr>
            </w:pPr>
            <w:r w:rsidRPr="00CE0BE9">
              <w:rPr>
                <w:szCs w:val="20"/>
              </w:rPr>
              <w:t xml:space="preserve">Median OS, </w:t>
            </w:r>
            <w:proofErr w:type="spellStart"/>
            <w:r w:rsidRPr="00CE0BE9">
              <w:rPr>
                <w:szCs w:val="20"/>
              </w:rPr>
              <w:t>mths</w:t>
            </w:r>
            <w:proofErr w:type="spellEnd"/>
            <w:r w:rsidRPr="00CE0BE9">
              <w:rPr>
                <w:szCs w:val="20"/>
              </w:rPr>
              <w:t xml:space="preserve"> (95% CI)</w:t>
            </w:r>
          </w:p>
        </w:tc>
        <w:tc>
          <w:tcPr>
            <w:tcW w:w="537" w:type="pct"/>
            <w:tcBorders>
              <w:bottom w:val="single" w:sz="4" w:space="0" w:color="auto"/>
            </w:tcBorders>
            <w:vAlign w:val="center"/>
          </w:tcPr>
          <w:p w:rsidR="00A51754" w:rsidRPr="00CE0BE9" w:rsidRDefault="00A51754" w:rsidP="00E9333E">
            <w:pPr>
              <w:pStyle w:val="Tabletext"/>
              <w:rPr>
                <w:szCs w:val="20"/>
              </w:rPr>
            </w:pPr>
            <w:proofErr w:type="gramStart"/>
            <w:r w:rsidRPr="00CE0BE9">
              <w:rPr>
                <w:szCs w:val="20"/>
              </w:rPr>
              <w:t>n/N</w:t>
            </w:r>
            <w:proofErr w:type="gramEnd"/>
            <w:r w:rsidRPr="00CE0BE9">
              <w:rPr>
                <w:szCs w:val="20"/>
              </w:rPr>
              <w:t xml:space="preserve"> event (%)</w:t>
            </w:r>
          </w:p>
        </w:tc>
        <w:tc>
          <w:tcPr>
            <w:tcW w:w="767" w:type="pct"/>
            <w:tcBorders>
              <w:bottom w:val="single" w:sz="4" w:space="0" w:color="auto"/>
            </w:tcBorders>
            <w:vAlign w:val="center"/>
          </w:tcPr>
          <w:p w:rsidR="00A51754" w:rsidRPr="00CE0BE9" w:rsidRDefault="00A51754" w:rsidP="00E9333E">
            <w:pPr>
              <w:pStyle w:val="Tabletext"/>
              <w:rPr>
                <w:szCs w:val="20"/>
              </w:rPr>
            </w:pPr>
            <w:r w:rsidRPr="00CE0BE9">
              <w:rPr>
                <w:szCs w:val="20"/>
              </w:rPr>
              <w:t xml:space="preserve">Median OS </w:t>
            </w:r>
            <w:proofErr w:type="spellStart"/>
            <w:r w:rsidRPr="00CE0BE9">
              <w:rPr>
                <w:szCs w:val="20"/>
              </w:rPr>
              <w:t>mths</w:t>
            </w:r>
            <w:proofErr w:type="spellEnd"/>
            <w:r w:rsidRPr="00CE0BE9">
              <w:rPr>
                <w:szCs w:val="20"/>
              </w:rPr>
              <w:t xml:space="preserve"> (95% CI)</w:t>
            </w:r>
          </w:p>
        </w:tc>
        <w:tc>
          <w:tcPr>
            <w:tcW w:w="613" w:type="pct"/>
            <w:vMerge/>
            <w:tcBorders>
              <w:bottom w:val="single" w:sz="4" w:space="0" w:color="auto"/>
            </w:tcBorders>
            <w:vAlign w:val="center"/>
          </w:tcPr>
          <w:p w:rsidR="00A51754" w:rsidRPr="00CE0BE9" w:rsidRDefault="00A51754" w:rsidP="00E9333E">
            <w:pPr>
              <w:pStyle w:val="Tabletext"/>
              <w:rPr>
                <w:szCs w:val="20"/>
              </w:rPr>
            </w:pPr>
          </w:p>
        </w:tc>
        <w:tc>
          <w:tcPr>
            <w:tcW w:w="537" w:type="pct"/>
            <w:vMerge/>
            <w:tcBorders>
              <w:bottom w:val="single" w:sz="4" w:space="0" w:color="auto"/>
            </w:tcBorders>
            <w:vAlign w:val="center"/>
          </w:tcPr>
          <w:p w:rsidR="00A51754" w:rsidRPr="00CE0BE9" w:rsidRDefault="00A51754" w:rsidP="00E9333E">
            <w:pPr>
              <w:pStyle w:val="Tabletext"/>
              <w:rPr>
                <w:szCs w:val="20"/>
              </w:rPr>
            </w:pPr>
          </w:p>
        </w:tc>
        <w:tc>
          <w:tcPr>
            <w:tcW w:w="648" w:type="pct"/>
            <w:vMerge/>
            <w:tcBorders>
              <w:bottom w:val="single" w:sz="4" w:space="0" w:color="auto"/>
            </w:tcBorders>
            <w:vAlign w:val="center"/>
          </w:tcPr>
          <w:p w:rsidR="00A51754" w:rsidRPr="00CE0BE9" w:rsidRDefault="00A51754" w:rsidP="00E9333E">
            <w:pPr>
              <w:pStyle w:val="Tabletext"/>
              <w:rPr>
                <w:szCs w:val="20"/>
              </w:rPr>
            </w:pPr>
          </w:p>
        </w:tc>
      </w:tr>
      <w:tr w:rsidR="00A51754" w:rsidRPr="00CE0BE9" w:rsidTr="00E668FE">
        <w:tc>
          <w:tcPr>
            <w:tcW w:w="656" w:type="pct"/>
            <w:tcBorders>
              <w:right w:val="nil"/>
            </w:tcBorders>
            <w:vAlign w:val="center"/>
          </w:tcPr>
          <w:p w:rsidR="00A51754" w:rsidRPr="00CE0BE9" w:rsidRDefault="00A51754" w:rsidP="00E9333E">
            <w:pPr>
              <w:pStyle w:val="Tabletext"/>
              <w:rPr>
                <w:szCs w:val="20"/>
              </w:rPr>
            </w:pPr>
            <w:r w:rsidRPr="00CE0BE9">
              <w:rPr>
                <w:szCs w:val="20"/>
              </w:rPr>
              <w:t>CALGB</w:t>
            </w:r>
          </w:p>
        </w:tc>
        <w:tc>
          <w:tcPr>
            <w:tcW w:w="553" w:type="pct"/>
            <w:tcBorders>
              <w:left w:val="nil"/>
              <w:right w:val="nil"/>
            </w:tcBorders>
            <w:vAlign w:val="center"/>
          </w:tcPr>
          <w:p w:rsidR="00A51754" w:rsidRPr="00CE0BE9" w:rsidRDefault="00A51754" w:rsidP="00E9333E">
            <w:pPr>
              <w:pStyle w:val="Tabletext"/>
              <w:rPr>
                <w:szCs w:val="20"/>
              </w:rPr>
            </w:pPr>
          </w:p>
        </w:tc>
        <w:tc>
          <w:tcPr>
            <w:tcW w:w="690" w:type="pct"/>
            <w:tcBorders>
              <w:left w:val="nil"/>
              <w:right w:val="nil"/>
            </w:tcBorders>
            <w:vAlign w:val="center"/>
          </w:tcPr>
          <w:p w:rsidR="00A51754" w:rsidRPr="00CE0BE9" w:rsidRDefault="00A51754" w:rsidP="00E9333E">
            <w:pPr>
              <w:pStyle w:val="Tabletext"/>
              <w:rPr>
                <w:szCs w:val="20"/>
              </w:rPr>
            </w:pPr>
          </w:p>
        </w:tc>
        <w:tc>
          <w:tcPr>
            <w:tcW w:w="537" w:type="pct"/>
            <w:tcBorders>
              <w:left w:val="nil"/>
              <w:right w:val="nil"/>
            </w:tcBorders>
            <w:vAlign w:val="center"/>
          </w:tcPr>
          <w:p w:rsidR="00A51754" w:rsidRPr="00CE0BE9" w:rsidRDefault="00A51754" w:rsidP="00E9333E">
            <w:pPr>
              <w:pStyle w:val="Tabletext"/>
              <w:rPr>
                <w:szCs w:val="20"/>
              </w:rPr>
            </w:pPr>
          </w:p>
        </w:tc>
        <w:tc>
          <w:tcPr>
            <w:tcW w:w="767" w:type="pct"/>
            <w:tcBorders>
              <w:left w:val="nil"/>
              <w:right w:val="nil"/>
            </w:tcBorders>
            <w:vAlign w:val="center"/>
          </w:tcPr>
          <w:p w:rsidR="00A51754" w:rsidRPr="00CE0BE9" w:rsidRDefault="00A51754" w:rsidP="00E9333E">
            <w:pPr>
              <w:pStyle w:val="Tabletext"/>
              <w:rPr>
                <w:szCs w:val="20"/>
              </w:rPr>
            </w:pPr>
          </w:p>
        </w:tc>
        <w:tc>
          <w:tcPr>
            <w:tcW w:w="613" w:type="pct"/>
            <w:tcBorders>
              <w:left w:val="nil"/>
              <w:right w:val="nil"/>
            </w:tcBorders>
            <w:vAlign w:val="center"/>
          </w:tcPr>
          <w:p w:rsidR="00A51754" w:rsidRPr="00CE0BE9" w:rsidRDefault="00A51754" w:rsidP="00E9333E">
            <w:pPr>
              <w:pStyle w:val="Tabletext"/>
              <w:rPr>
                <w:szCs w:val="20"/>
              </w:rPr>
            </w:pPr>
          </w:p>
        </w:tc>
        <w:tc>
          <w:tcPr>
            <w:tcW w:w="537" w:type="pct"/>
            <w:tcBorders>
              <w:left w:val="nil"/>
              <w:right w:val="nil"/>
            </w:tcBorders>
            <w:vAlign w:val="center"/>
          </w:tcPr>
          <w:p w:rsidR="00A51754" w:rsidRPr="00CE0BE9" w:rsidRDefault="00A51754" w:rsidP="00E9333E">
            <w:pPr>
              <w:pStyle w:val="Tabletext"/>
              <w:rPr>
                <w:szCs w:val="20"/>
              </w:rPr>
            </w:pPr>
          </w:p>
        </w:tc>
        <w:tc>
          <w:tcPr>
            <w:tcW w:w="648" w:type="pct"/>
            <w:tcBorders>
              <w:left w:val="nil"/>
            </w:tcBorders>
            <w:vAlign w:val="center"/>
          </w:tcPr>
          <w:p w:rsidR="00A51754" w:rsidRPr="00CE0BE9" w:rsidRDefault="00A51754" w:rsidP="00E9333E">
            <w:pPr>
              <w:pStyle w:val="Tabletext"/>
              <w:rPr>
                <w:szCs w:val="20"/>
              </w:rPr>
            </w:pPr>
          </w:p>
        </w:tc>
      </w:tr>
      <w:tr w:rsidR="00A51754" w:rsidRPr="00CE0BE9" w:rsidTr="00E668FE">
        <w:tc>
          <w:tcPr>
            <w:tcW w:w="656" w:type="pct"/>
            <w:tcBorders>
              <w:top w:val="single" w:sz="4" w:space="0" w:color="auto"/>
              <w:left w:val="single" w:sz="4" w:space="0" w:color="auto"/>
              <w:bottom w:val="single" w:sz="4" w:space="0" w:color="auto"/>
              <w:right w:val="single" w:sz="4" w:space="0" w:color="auto"/>
            </w:tcBorders>
            <w:vAlign w:val="center"/>
          </w:tcPr>
          <w:p w:rsidR="00A51754" w:rsidRPr="00CE0BE9" w:rsidRDefault="00A51754" w:rsidP="00E9333E">
            <w:pPr>
              <w:pStyle w:val="Tabletext"/>
              <w:rPr>
                <w:szCs w:val="20"/>
              </w:rPr>
            </w:pPr>
            <w:r w:rsidRPr="00CE0BE9">
              <w:rPr>
                <w:rFonts w:eastAsia="SimSun"/>
                <w:iCs/>
                <w:szCs w:val="20"/>
                <w:bdr w:val="none" w:sz="0" w:space="0" w:color="auto" w:frame="1"/>
                <w:lang w:eastAsia="en-AU"/>
              </w:rPr>
              <w:t>Oct 2016</w:t>
            </w:r>
            <w:r w:rsidRPr="00CE0BE9">
              <w:rPr>
                <w:rFonts w:eastAsia="SimSun"/>
                <w:iCs/>
                <w:szCs w:val="20"/>
                <w:bdr w:val="none" w:sz="0" w:space="0" w:color="auto" w:frame="1"/>
                <w:vertAlign w:val="superscript"/>
                <w:lang w:eastAsia="en-AU"/>
              </w:rPr>
              <w:t>a</w:t>
            </w:r>
          </w:p>
        </w:tc>
        <w:tc>
          <w:tcPr>
            <w:tcW w:w="553" w:type="pct"/>
            <w:tcBorders>
              <w:top w:val="single" w:sz="4" w:space="0" w:color="auto"/>
              <w:left w:val="single" w:sz="4" w:space="0" w:color="auto"/>
              <w:bottom w:val="single" w:sz="4" w:space="0" w:color="auto"/>
              <w:right w:val="single" w:sz="4" w:space="0" w:color="auto"/>
            </w:tcBorders>
            <w:vAlign w:val="center"/>
          </w:tcPr>
          <w:p w:rsidR="00A51754" w:rsidRPr="00CE0BE9" w:rsidRDefault="00A51754" w:rsidP="00E9333E">
            <w:pPr>
              <w:pStyle w:val="Tabletext"/>
              <w:rPr>
                <w:szCs w:val="20"/>
              </w:rPr>
            </w:pPr>
            <w:r w:rsidRPr="00CE0BE9">
              <w:rPr>
                <w:iCs/>
                <w:szCs w:val="20"/>
                <w:bdr w:val="none" w:sz="0" w:space="0" w:color="auto" w:frame="1"/>
                <w:lang w:eastAsia="en-AU"/>
              </w:rPr>
              <w:t>88/231</w:t>
            </w:r>
            <w:r w:rsidRPr="00CE0BE9">
              <w:rPr>
                <w:szCs w:val="20"/>
                <w:lang w:eastAsia="en-AU"/>
              </w:rPr>
              <w:t xml:space="preserve"> (38.1%)</w:t>
            </w:r>
          </w:p>
        </w:tc>
        <w:tc>
          <w:tcPr>
            <w:tcW w:w="690" w:type="pct"/>
            <w:tcBorders>
              <w:top w:val="single" w:sz="4" w:space="0" w:color="auto"/>
              <w:left w:val="single" w:sz="4" w:space="0" w:color="auto"/>
              <w:bottom w:val="single" w:sz="4" w:space="0" w:color="auto"/>
              <w:right w:val="single" w:sz="4" w:space="0" w:color="auto"/>
            </w:tcBorders>
            <w:vAlign w:val="center"/>
          </w:tcPr>
          <w:p w:rsidR="004905AF" w:rsidRPr="00CE0BE9" w:rsidRDefault="00A51754" w:rsidP="00E9333E">
            <w:pPr>
              <w:pStyle w:val="Tabletext"/>
              <w:rPr>
                <w:szCs w:val="20"/>
                <w:lang w:eastAsia="en-AU"/>
              </w:rPr>
            </w:pPr>
            <w:r w:rsidRPr="00CE0BE9">
              <w:rPr>
                <w:szCs w:val="20"/>
                <w:lang w:eastAsia="en-AU"/>
              </w:rPr>
              <w:t xml:space="preserve">113.8 </w:t>
            </w:r>
          </w:p>
          <w:p w:rsidR="00A51754" w:rsidRPr="00CE0BE9" w:rsidRDefault="00A51754" w:rsidP="00E9333E">
            <w:pPr>
              <w:pStyle w:val="Tabletext"/>
              <w:rPr>
                <w:szCs w:val="20"/>
              </w:rPr>
            </w:pPr>
            <w:r w:rsidRPr="00CE0BE9">
              <w:rPr>
                <w:szCs w:val="20"/>
                <w:lang w:eastAsia="en-AU"/>
              </w:rPr>
              <w:t>(100.4, NE)</w:t>
            </w:r>
          </w:p>
        </w:tc>
        <w:tc>
          <w:tcPr>
            <w:tcW w:w="537" w:type="pct"/>
            <w:tcBorders>
              <w:top w:val="single" w:sz="4" w:space="0" w:color="auto"/>
              <w:left w:val="single" w:sz="4" w:space="0" w:color="auto"/>
              <w:bottom w:val="single" w:sz="4" w:space="0" w:color="auto"/>
              <w:right w:val="single" w:sz="4" w:space="0" w:color="auto"/>
            </w:tcBorders>
            <w:vAlign w:val="center"/>
          </w:tcPr>
          <w:p w:rsidR="00A51754" w:rsidRPr="00CE0BE9" w:rsidRDefault="00A51754" w:rsidP="00E9333E">
            <w:pPr>
              <w:pStyle w:val="Tabletext"/>
              <w:rPr>
                <w:szCs w:val="20"/>
              </w:rPr>
            </w:pPr>
            <w:r w:rsidRPr="00CE0BE9">
              <w:rPr>
                <w:iCs/>
                <w:szCs w:val="20"/>
                <w:bdr w:val="none" w:sz="0" w:space="0" w:color="auto" w:frame="1"/>
                <w:lang w:eastAsia="en-AU"/>
              </w:rPr>
              <w:t xml:space="preserve">120/229 </w:t>
            </w:r>
            <w:r w:rsidRPr="00CE0BE9">
              <w:rPr>
                <w:szCs w:val="20"/>
                <w:lang w:eastAsia="en-AU"/>
              </w:rPr>
              <w:t>(52.4%)</w:t>
            </w:r>
          </w:p>
        </w:tc>
        <w:tc>
          <w:tcPr>
            <w:tcW w:w="767" w:type="pct"/>
            <w:tcBorders>
              <w:top w:val="single" w:sz="4" w:space="0" w:color="auto"/>
              <w:left w:val="single" w:sz="4" w:space="0" w:color="auto"/>
              <w:bottom w:val="single" w:sz="4" w:space="0" w:color="auto"/>
              <w:right w:val="single" w:sz="4" w:space="0" w:color="auto"/>
            </w:tcBorders>
            <w:vAlign w:val="center"/>
          </w:tcPr>
          <w:p w:rsidR="004905AF" w:rsidRPr="00CE0BE9" w:rsidRDefault="00A51754" w:rsidP="00E9333E">
            <w:pPr>
              <w:pStyle w:val="Tabletext"/>
              <w:rPr>
                <w:szCs w:val="20"/>
                <w:lang w:eastAsia="en-AU"/>
              </w:rPr>
            </w:pPr>
            <w:r w:rsidRPr="00CE0BE9">
              <w:rPr>
                <w:szCs w:val="20"/>
                <w:lang w:eastAsia="en-AU"/>
              </w:rPr>
              <w:t xml:space="preserve">84.1 </w:t>
            </w:r>
          </w:p>
          <w:p w:rsidR="00A51754" w:rsidRPr="00CE0BE9" w:rsidRDefault="00A51754" w:rsidP="00E9333E">
            <w:pPr>
              <w:pStyle w:val="Tabletext"/>
              <w:rPr>
                <w:szCs w:val="20"/>
              </w:rPr>
            </w:pPr>
            <w:r w:rsidRPr="00CE0BE9">
              <w:rPr>
                <w:szCs w:val="20"/>
                <w:lang w:eastAsia="en-AU"/>
              </w:rPr>
              <w:t>(73.8, 106.0)</w:t>
            </w:r>
          </w:p>
        </w:tc>
        <w:tc>
          <w:tcPr>
            <w:tcW w:w="613" w:type="pct"/>
            <w:tcBorders>
              <w:top w:val="single" w:sz="4" w:space="0" w:color="auto"/>
              <w:left w:val="single" w:sz="4" w:space="0" w:color="auto"/>
              <w:bottom w:val="single" w:sz="4" w:space="0" w:color="auto"/>
              <w:right w:val="single" w:sz="4" w:space="0" w:color="auto"/>
            </w:tcBorders>
            <w:vAlign w:val="center"/>
          </w:tcPr>
          <w:p w:rsidR="00A51754" w:rsidRPr="00CE0BE9" w:rsidRDefault="00A51754" w:rsidP="00E9333E">
            <w:pPr>
              <w:pStyle w:val="Tabletext"/>
              <w:rPr>
                <w:szCs w:val="20"/>
              </w:rPr>
            </w:pPr>
            <w:r w:rsidRPr="00CE0BE9">
              <w:rPr>
                <w:szCs w:val="20"/>
                <w:lang w:eastAsia="en-AU"/>
              </w:rPr>
              <w:t>29.7</w:t>
            </w:r>
          </w:p>
        </w:tc>
        <w:tc>
          <w:tcPr>
            <w:tcW w:w="537" w:type="pct"/>
            <w:tcBorders>
              <w:top w:val="single" w:sz="4" w:space="0" w:color="auto"/>
              <w:left w:val="single" w:sz="4" w:space="0" w:color="auto"/>
              <w:bottom w:val="single" w:sz="4" w:space="0" w:color="auto"/>
              <w:right w:val="single" w:sz="4" w:space="0" w:color="auto"/>
            </w:tcBorders>
            <w:vAlign w:val="center"/>
          </w:tcPr>
          <w:p w:rsidR="00A51754" w:rsidRPr="00CE0BE9" w:rsidRDefault="00A51754" w:rsidP="00E9333E">
            <w:pPr>
              <w:pStyle w:val="Tabletext"/>
              <w:rPr>
                <w:szCs w:val="20"/>
              </w:rPr>
            </w:pPr>
            <w:r w:rsidRPr="00CE0BE9">
              <w:rPr>
                <w:szCs w:val="20"/>
                <w:lang w:eastAsia="en-AU"/>
              </w:rPr>
              <w:t>p=0.0004</w:t>
            </w:r>
          </w:p>
        </w:tc>
        <w:tc>
          <w:tcPr>
            <w:tcW w:w="648" w:type="pct"/>
            <w:tcBorders>
              <w:top w:val="single" w:sz="4" w:space="0" w:color="auto"/>
              <w:left w:val="single" w:sz="4" w:space="0" w:color="auto"/>
              <w:bottom w:val="single" w:sz="4" w:space="0" w:color="auto"/>
              <w:right w:val="single" w:sz="4" w:space="0" w:color="auto"/>
            </w:tcBorders>
            <w:vAlign w:val="center"/>
          </w:tcPr>
          <w:p w:rsidR="004905AF" w:rsidRPr="00CE0BE9" w:rsidRDefault="00A51754" w:rsidP="00E9333E">
            <w:pPr>
              <w:pStyle w:val="Tabletext"/>
              <w:rPr>
                <w:b/>
                <w:szCs w:val="20"/>
                <w:lang w:eastAsia="en-AU"/>
              </w:rPr>
            </w:pPr>
            <w:r w:rsidRPr="00CE0BE9">
              <w:rPr>
                <w:b/>
                <w:szCs w:val="20"/>
                <w:lang w:eastAsia="en-AU"/>
              </w:rPr>
              <w:t xml:space="preserve">0.61 </w:t>
            </w:r>
          </w:p>
          <w:p w:rsidR="00A51754" w:rsidRPr="00CE0BE9" w:rsidRDefault="00A51754" w:rsidP="00E9333E">
            <w:pPr>
              <w:pStyle w:val="Tabletext"/>
              <w:rPr>
                <w:szCs w:val="20"/>
              </w:rPr>
            </w:pPr>
            <w:r w:rsidRPr="00CE0BE9">
              <w:rPr>
                <w:b/>
                <w:szCs w:val="20"/>
                <w:lang w:eastAsia="en-AU"/>
              </w:rPr>
              <w:t>(0·46, 0·80)</w:t>
            </w:r>
          </w:p>
        </w:tc>
      </w:tr>
      <w:tr w:rsidR="00A51754" w:rsidRPr="00CE0BE9" w:rsidTr="00E668FE">
        <w:tc>
          <w:tcPr>
            <w:tcW w:w="656" w:type="pct"/>
            <w:tcBorders>
              <w:top w:val="single" w:sz="4" w:space="0" w:color="auto"/>
              <w:left w:val="single" w:sz="4" w:space="0" w:color="auto"/>
              <w:bottom w:val="single" w:sz="4" w:space="0" w:color="auto"/>
              <w:right w:val="nil"/>
            </w:tcBorders>
            <w:vAlign w:val="center"/>
          </w:tcPr>
          <w:p w:rsidR="00A51754" w:rsidRPr="00CE0BE9" w:rsidRDefault="00A51754" w:rsidP="00E9333E">
            <w:pPr>
              <w:pStyle w:val="Tabletext"/>
              <w:rPr>
                <w:rFonts w:eastAsia="SimSun"/>
                <w:iCs/>
                <w:szCs w:val="20"/>
                <w:bdr w:val="none" w:sz="0" w:space="0" w:color="auto" w:frame="1"/>
                <w:lang w:eastAsia="en-AU"/>
              </w:rPr>
            </w:pPr>
            <w:r w:rsidRPr="00CE0BE9">
              <w:rPr>
                <w:rFonts w:eastAsia="SimSun"/>
                <w:iCs/>
                <w:szCs w:val="20"/>
                <w:bdr w:val="none" w:sz="0" w:space="0" w:color="auto" w:frame="1"/>
                <w:lang w:eastAsia="en-AU"/>
              </w:rPr>
              <w:t>IFM 2005-02</w:t>
            </w:r>
          </w:p>
        </w:tc>
        <w:tc>
          <w:tcPr>
            <w:tcW w:w="553" w:type="pct"/>
            <w:tcBorders>
              <w:top w:val="single" w:sz="4" w:space="0" w:color="auto"/>
              <w:left w:val="nil"/>
              <w:bottom w:val="single" w:sz="4" w:space="0" w:color="auto"/>
              <w:right w:val="nil"/>
            </w:tcBorders>
            <w:vAlign w:val="center"/>
          </w:tcPr>
          <w:p w:rsidR="00A51754" w:rsidRPr="00CE0BE9" w:rsidRDefault="00A51754" w:rsidP="00E9333E">
            <w:pPr>
              <w:pStyle w:val="Tabletext"/>
              <w:rPr>
                <w:szCs w:val="20"/>
                <w:lang w:eastAsia="en-AU"/>
              </w:rPr>
            </w:pPr>
          </w:p>
        </w:tc>
        <w:tc>
          <w:tcPr>
            <w:tcW w:w="690" w:type="pct"/>
            <w:tcBorders>
              <w:top w:val="single" w:sz="4" w:space="0" w:color="auto"/>
              <w:left w:val="nil"/>
              <w:bottom w:val="single" w:sz="4" w:space="0" w:color="auto"/>
              <w:right w:val="nil"/>
            </w:tcBorders>
            <w:vAlign w:val="center"/>
          </w:tcPr>
          <w:p w:rsidR="00A51754" w:rsidRPr="00CE0BE9" w:rsidRDefault="00A51754" w:rsidP="00E9333E">
            <w:pPr>
              <w:pStyle w:val="Tabletext"/>
              <w:rPr>
                <w:szCs w:val="20"/>
                <w:lang w:eastAsia="en-AU"/>
              </w:rPr>
            </w:pPr>
          </w:p>
        </w:tc>
        <w:tc>
          <w:tcPr>
            <w:tcW w:w="537" w:type="pct"/>
            <w:tcBorders>
              <w:top w:val="single" w:sz="4" w:space="0" w:color="auto"/>
              <w:left w:val="nil"/>
              <w:bottom w:val="single" w:sz="4" w:space="0" w:color="auto"/>
              <w:right w:val="nil"/>
            </w:tcBorders>
            <w:vAlign w:val="center"/>
          </w:tcPr>
          <w:p w:rsidR="00A51754" w:rsidRPr="00CE0BE9" w:rsidRDefault="00A51754" w:rsidP="00E9333E">
            <w:pPr>
              <w:pStyle w:val="Tabletext"/>
              <w:rPr>
                <w:szCs w:val="20"/>
                <w:lang w:eastAsia="en-AU"/>
              </w:rPr>
            </w:pPr>
          </w:p>
        </w:tc>
        <w:tc>
          <w:tcPr>
            <w:tcW w:w="767" w:type="pct"/>
            <w:tcBorders>
              <w:top w:val="single" w:sz="4" w:space="0" w:color="auto"/>
              <w:left w:val="nil"/>
              <w:bottom w:val="single" w:sz="4" w:space="0" w:color="auto"/>
              <w:right w:val="nil"/>
            </w:tcBorders>
            <w:vAlign w:val="center"/>
          </w:tcPr>
          <w:p w:rsidR="00A51754" w:rsidRPr="00CE0BE9" w:rsidRDefault="00A51754" w:rsidP="00E9333E">
            <w:pPr>
              <w:pStyle w:val="Tabletext"/>
              <w:rPr>
                <w:szCs w:val="20"/>
                <w:lang w:eastAsia="en-AU"/>
              </w:rPr>
            </w:pPr>
          </w:p>
        </w:tc>
        <w:tc>
          <w:tcPr>
            <w:tcW w:w="613" w:type="pct"/>
            <w:tcBorders>
              <w:top w:val="single" w:sz="4" w:space="0" w:color="auto"/>
              <w:left w:val="nil"/>
              <w:bottom w:val="single" w:sz="4" w:space="0" w:color="auto"/>
              <w:right w:val="nil"/>
            </w:tcBorders>
            <w:vAlign w:val="center"/>
          </w:tcPr>
          <w:p w:rsidR="00A51754" w:rsidRPr="00CE0BE9" w:rsidRDefault="00A51754" w:rsidP="00E9333E">
            <w:pPr>
              <w:pStyle w:val="Tabletext"/>
              <w:rPr>
                <w:szCs w:val="20"/>
                <w:lang w:eastAsia="en-AU"/>
              </w:rPr>
            </w:pPr>
          </w:p>
        </w:tc>
        <w:tc>
          <w:tcPr>
            <w:tcW w:w="537" w:type="pct"/>
            <w:tcBorders>
              <w:top w:val="single" w:sz="4" w:space="0" w:color="auto"/>
              <w:left w:val="nil"/>
              <w:bottom w:val="single" w:sz="4" w:space="0" w:color="auto"/>
              <w:right w:val="nil"/>
            </w:tcBorders>
            <w:vAlign w:val="center"/>
          </w:tcPr>
          <w:p w:rsidR="00A51754" w:rsidRPr="00CE0BE9" w:rsidRDefault="00A51754" w:rsidP="00E9333E">
            <w:pPr>
              <w:pStyle w:val="Tabletext"/>
              <w:rPr>
                <w:szCs w:val="20"/>
                <w:lang w:eastAsia="en-AU"/>
              </w:rPr>
            </w:pPr>
          </w:p>
        </w:tc>
        <w:tc>
          <w:tcPr>
            <w:tcW w:w="648" w:type="pct"/>
            <w:tcBorders>
              <w:top w:val="single" w:sz="4" w:space="0" w:color="auto"/>
              <w:left w:val="nil"/>
              <w:bottom w:val="single" w:sz="4" w:space="0" w:color="auto"/>
              <w:right w:val="single" w:sz="4" w:space="0" w:color="auto"/>
            </w:tcBorders>
            <w:vAlign w:val="center"/>
          </w:tcPr>
          <w:p w:rsidR="00A51754" w:rsidRPr="00CE0BE9" w:rsidRDefault="00A51754" w:rsidP="00E9333E">
            <w:pPr>
              <w:pStyle w:val="Tabletext"/>
              <w:rPr>
                <w:szCs w:val="20"/>
                <w:lang w:eastAsia="en-AU"/>
              </w:rPr>
            </w:pPr>
          </w:p>
        </w:tc>
      </w:tr>
      <w:tr w:rsidR="00A51754" w:rsidRPr="00CE0BE9" w:rsidTr="00E668FE">
        <w:tc>
          <w:tcPr>
            <w:tcW w:w="656" w:type="pct"/>
            <w:tcBorders>
              <w:top w:val="single" w:sz="4" w:space="0" w:color="auto"/>
              <w:left w:val="single" w:sz="4" w:space="0" w:color="auto"/>
              <w:bottom w:val="single" w:sz="4" w:space="0" w:color="auto"/>
              <w:right w:val="single" w:sz="4" w:space="0" w:color="auto"/>
            </w:tcBorders>
            <w:vAlign w:val="center"/>
          </w:tcPr>
          <w:p w:rsidR="00A51754" w:rsidRPr="00CE0BE9" w:rsidRDefault="00A51754" w:rsidP="00E9333E">
            <w:pPr>
              <w:pStyle w:val="Tabletext"/>
              <w:rPr>
                <w:szCs w:val="20"/>
              </w:rPr>
            </w:pPr>
            <w:r w:rsidRPr="00CE0BE9">
              <w:rPr>
                <w:rFonts w:eastAsia="SimSun"/>
                <w:iCs/>
                <w:szCs w:val="20"/>
                <w:bdr w:val="none" w:sz="0" w:space="0" w:color="auto" w:frame="1"/>
                <w:lang w:eastAsia="en-AU"/>
              </w:rPr>
              <w:t>Feb 2016</w:t>
            </w:r>
            <w:r w:rsidRPr="00CE0BE9">
              <w:rPr>
                <w:rFonts w:eastAsia="SimSun"/>
                <w:iCs/>
                <w:szCs w:val="20"/>
                <w:bdr w:val="none" w:sz="0" w:space="0" w:color="auto" w:frame="1"/>
                <w:vertAlign w:val="superscript"/>
                <w:lang w:eastAsia="en-AU"/>
              </w:rPr>
              <w:t xml:space="preserve">b </w:t>
            </w:r>
          </w:p>
        </w:tc>
        <w:tc>
          <w:tcPr>
            <w:tcW w:w="553" w:type="pct"/>
            <w:tcBorders>
              <w:top w:val="single" w:sz="4" w:space="0" w:color="auto"/>
              <w:left w:val="single" w:sz="4" w:space="0" w:color="auto"/>
              <w:bottom w:val="single" w:sz="4" w:space="0" w:color="auto"/>
              <w:right w:val="single" w:sz="4" w:space="0" w:color="auto"/>
            </w:tcBorders>
            <w:vAlign w:val="center"/>
          </w:tcPr>
          <w:p w:rsidR="00A51754" w:rsidRPr="00CE0BE9" w:rsidRDefault="00A51754" w:rsidP="00E9333E">
            <w:pPr>
              <w:pStyle w:val="Tabletext"/>
              <w:rPr>
                <w:szCs w:val="20"/>
              </w:rPr>
            </w:pPr>
            <w:r w:rsidRPr="00CE0BE9">
              <w:rPr>
                <w:szCs w:val="20"/>
                <w:lang w:eastAsia="en-AU"/>
              </w:rPr>
              <w:t>143/307 (46.6%)</w:t>
            </w:r>
          </w:p>
        </w:tc>
        <w:tc>
          <w:tcPr>
            <w:tcW w:w="690" w:type="pct"/>
            <w:tcBorders>
              <w:top w:val="single" w:sz="4" w:space="0" w:color="auto"/>
              <w:left w:val="single" w:sz="4" w:space="0" w:color="auto"/>
              <w:bottom w:val="single" w:sz="4" w:space="0" w:color="auto"/>
              <w:right w:val="single" w:sz="4" w:space="0" w:color="auto"/>
            </w:tcBorders>
            <w:vAlign w:val="center"/>
          </w:tcPr>
          <w:p w:rsidR="004905AF" w:rsidRPr="00CE0BE9" w:rsidRDefault="00A51754" w:rsidP="00E9333E">
            <w:pPr>
              <w:pStyle w:val="Tabletext"/>
              <w:rPr>
                <w:szCs w:val="20"/>
                <w:lang w:eastAsia="en-AU"/>
              </w:rPr>
            </w:pPr>
            <w:r w:rsidRPr="00CE0BE9">
              <w:rPr>
                <w:szCs w:val="20"/>
                <w:lang w:eastAsia="en-AU"/>
              </w:rPr>
              <w:t xml:space="preserve">105.9 </w:t>
            </w:r>
          </w:p>
          <w:p w:rsidR="00A51754" w:rsidRPr="00CE0BE9" w:rsidRDefault="00A51754" w:rsidP="00E9333E">
            <w:pPr>
              <w:pStyle w:val="Tabletext"/>
              <w:rPr>
                <w:szCs w:val="20"/>
              </w:rPr>
            </w:pPr>
            <w:r w:rsidRPr="00CE0BE9">
              <w:rPr>
                <w:szCs w:val="20"/>
                <w:lang w:eastAsia="en-AU"/>
              </w:rPr>
              <w:t>(88.8, NE)</w:t>
            </w:r>
          </w:p>
        </w:tc>
        <w:tc>
          <w:tcPr>
            <w:tcW w:w="537" w:type="pct"/>
            <w:tcBorders>
              <w:top w:val="single" w:sz="4" w:space="0" w:color="auto"/>
              <w:left w:val="single" w:sz="4" w:space="0" w:color="auto"/>
              <w:bottom w:val="single" w:sz="4" w:space="0" w:color="auto"/>
              <w:right w:val="single" w:sz="4" w:space="0" w:color="auto"/>
            </w:tcBorders>
            <w:vAlign w:val="center"/>
          </w:tcPr>
          <w:p w:rsidR="00A51754" w:rsidRPr="00CE0BE9" w:rsidRDefault="00A51754" w:rsidP="00E9333E">
            <w:pPr>
              <w:pStyle w:val="Tabletext"/>
              <w:rPr>
                <w:szCs w:val="20"/>
              </w:rPr>
            </w:pPr>
            <w:r w:rsidRPr="00CE0BE9">
              <w:rPr>
                <w:szCs w:val="20"/>
                <w:lang w:eastAsia="en-AU"/>
              </w:rPr>
              <w:t xml:space="preserve"> 160//307</w:t>
            </w:r>
            <w:r w:rsidR="00CE0BE9" w:rsidRPr="00CE0BE9">
              <w:rPr>
                <w:szCs w:val="20"/>
                <w:lang w:eastAsia="en-AU"/>
              </w:rPr>
              <w:t>*</w:t>
            </w:r>
            <w:r w:rsidRPr="00CE0BE9">
              <w:rPr>
                <w:szCs w:val="20"/>
                <w:lang w:eastAsia="en-AU"/>
              </w:rPr>
              <w:t xml:space="preserve"> (52.1%)</w:t>
            </w:r>
          </w:p>
        </w:tc>
        <w:tc>
          <w:tcPr>
            <w:tcW w:w="767" w:type="pct"/>
            <w:tcBorders>
              <w:top w:val="single" w:sz="4" w:space="0" w:color="auto"/>
              <w:left w:val="single" w:sz="4" w:space="0" w:color="auto"/>
              <w:bottom w:val="single" w:sz="4" w:space="0" w:color="auto"/>
              <w:right w:val="single" w:sz="4" w:space="0" w:color="auto"/>
            </w:tcBorders>
            <w:vAlign w:val="center"/>
          </w:tcPr>
          <w:p w:rsidR="004905AF" w:rsidRPr="00CE0BE9" w:rsidRDefault="00A51754" w:rsidP="00E9333E">
            <w:pPr>
              <w:pStyle w:val="Tabletext"/>
              <w:rPr>
                <w:szCs w:val="20"/>
                <w:lang w:eastAsia="en-AU"/>
              </w:rPr>
            </w:pPr>
            <w:r w:rsidRPr="00CE0BE9">
              <w:rPr>
                <w:szCs w:val="20"/>
                <w:lang w:eastAsia="en-AU"/>
              </w:rPr>
              <w:t xml:space="preserve">88.1 </w:t>
            </w:r>
          </w:p>
          <w:p w:rsidR="00A51754" w:rsidRPr="00CE0BE9" w:rsidRDefault="00A51754" w:rsidP="00E9333E">
            <w:pPr>
              <w:pStyle w:val="Tabletext"/>
              <w:rPr>
                <w:szCs w:val="20"/>
              </w:rPr>
            </w:pPr>
            <w:r w:rsidRPr="00CE0BE9">
              <w:rPr>
                <w:szCs w:val="20"/>
                <w:lang w:eastAsia="en-AU"/>
              </w:rPr>
              <w:t>(80.7, 108.4)</w:t>
            </w:r>
          </w:p>
        </w:tc>
        <w:tc>
          <w:tcPr>
            <w:tcW w:w="613" w:type="pct"/>
            <w:tcBorders>
              <w:top w:val="single" w:sz="4" w:space="0" w:color="auto"/>
              <w:left w:val="single" w:sz="4" w:space="0" w:color="auto"/>
              <w:bottom w:val="single" w:sz="4" w:space="0" w:color="auto"/>
              <w:right w:val="single" w:sz="4" w:space="0" w:color="auto"/>
            </w:tcBorders>
            <w:vAlign w:val="center"/>
          </w:tcPr>
          <w:p w:rsidR="00A51754" w:rsidRPr="00CE0BE9" w:rsidRDefault="00A51754" w:rsidP="00E9333E">
            <w:pPr>
              <w:pStyle w:val="Tabletext"/>
              <w:rPr>
                <w:szCs w:val="20"/>
              </w:rPr>
            </w:pPr>
            <w:r w:rsidRPr="00CE0BE9">
              <w:rPr>
                <w:szCs w:val="20"/>
                <w:lang w:eastAsia="en-AU"/>
              </w:rPr>
              <w:t xml:space="preserve">17.8 </w:t>
            </w:r>
          </w:p>
        </w:tc>
        <w:tc>
          <w:tcPr>
            <w:tcW w:w="537" w:type="pct"/>
            <w:tcBorders>
              <w:top w:val="single" w:sz="4" w:space="0" w:color="auto"/>
              <w:left w:val="single" w:sz="4" w:space="0" w:color="auto"/>
              <w:bottom w:val="single" w:sz="4" w:space="0" w:color="auto"/>
              <w:right w:val="single" w:sz="4" w:space="0" w:color="auto"/>
            </w:tcBorders>
            <w:vAlign w:val="center"/>
          </w:tcPr>
          <w:p w:rsidR="00A51754" w:rsidRPr="00CE0BE9" w:rsidRDefault="00A51754" w:rsidP="00E9333E">
            <w:pPr>
              <w:pStyle w:val="Tabletext"/>
              <w:rPr>
                <w:szCs w:val="20"/>
              </w:rPr>
            </w:pPr>
            <w:r w:rsidRPr="00CE0BE9">
              <w:rPr>
                <w:szCs w:val="20"/>
                <w:lang w:eastAsia="en-AU"/>
              </w:rPr>
              <w:t>p=0.355</w:t>
            </w:r>
          </w:p>
        </w:tc>
        <w:tc>
          <w:tcPr>
            <w:tcW w:w="648" w:type="pct"/>
            <w:tcBorders>
              <w:top w:val="single" w:sz="4" w:space="0" w:color="auto"/>
              <w:left w:val="single" w:sz="4" w:space="0" w:color="auto"/>
              <w:bottom w:val="single" w:sz="4" w:space="0" w:color="auto"/>
              <w:right w:val="single" w:sz="4" w:space="0" w:color="auto"/>
            </w:tcBorders>
            <w:vAlign w:val="center"/>
          </w:tcPr>
          <w:p w:rsidR="004905AF" w:rsidRPr="00CE0BE9" w:rsidRDefault="004905AF" w:rsidP="004905AF">
            <w:pPr>
              <w:pStyle w:val="Tabletext"/>
              <w:rPr>
                <w:szCs w:val="20"/>
                <w:lang w:eastAsia="en-AU"/>
              </w:rPr>
            </w:pPr>
            <w:r w:rsidRPr="00CE0BE9">
              <w:rPr>
                <w:szCs w:val="20"/>
                <w:lang w:eastAsia="en-AU"/>
              </w:rPr>
              <w:t xml:space="preserve">0.90 </w:t>
            </w:r>
          </w:p>
          <w:p w:rsidR="00A51754" w:rsidRPr="00CE0BE9" w:rsidRDefault="00A51754" w:rsidP="004905AF">
            <w:pPr>
              <w:pStyle w:val="Tabletext"/>
              <w:rPr>
                <w:szCs w:val="20"/>
              </w:rPr>
            </w:pPr>
            <w:r w:rsidRPr="00CE0BE9">
              <w:rPr>
                <w:szCs w:val="20"/>
                <w:lang w:eastAsia="en-AU"/>
              </w:rPr>
              <w:t>(0.72, 1.13)</w:t>
            </w:r>
          </w:p>
        </w:tc>
      </w:tr>
    </w:tbl>
    <w:p w:rsidR="00A51754" w:rsidRPr="00CE0BE9" w:rsidRDefault="00A51754" w:rsidP="00A51754">
      <w:pPr>
        <w:pStyle w:val="TableFooter"/>
        <w:rPr>
          <w:rFonts w:eastAsia="Calibri"/>
        </w:rPr>
      </w:pPr>
      <w:r w:rsidRPr="00CE0BE9">
        <w:t xml:space="preserve">Abbreviations: </w:t>
      </w:r>
      <w:r w:rsidRPr="00CE0BE9">
        <w:rPr>
          <w:rFonts w:eastAsia="Calibri"/>
        </w:rPr>
        <w:t xml:space="preserve">ASCT= autologous stem cell transplant; </w:t>
      </w:r>
      <w:r w:rsidR="00CB1421" w:rsidRPr="00CE0BE9">
        <w:rPr>
          <w:rFonts w:eastAsia="Calibri"/>
        </w:rPr>
        <w:t xml:space="preserve">BSC=best supportive care; </w:t>
      </w:r>
      <w:r w:rsidRPr="00CE0BE9">
        <w:rPr>
          <w:rFonts w:eastAsia="Calibri"/>
        </w:rPr>
        <w:t>CI = confidence interval; n = number of participants with event; N = total participants in arm; NA = not available (not reported); NE = not evaluable; NR = not reached; OS = overall survival</w:t>
      </w:r>
      <w:r w:rsidR="004204CE" w:rsidRPr="00CE0BE9">
        <w:rPr>
          <w:rFonts w:eastAsia="Calibri"/>
        </w:rPr>
        <w:t>.</w:t>
      </w:r>
    </w:p>
    <w:p w:rsidR="00A51754" w:rsidRPr="00CE0BE9" w:rsidRDefault="00A51754" w:rsidP="00A51754">
      <w:pPr>
        <w:pStyle w:val="TableFooter"/>
        <w:rPr>
          <w:rFonts w:eastAsia="Calibri"/>
        </w:rPr>
      </w:pPr>
      <w:r w:rsidRPr="00CE0BE9">
        <w:rPr>
          <w:rFonts w:eastAsia="Calibri"/>
        </w:rPr>
        <w:t xml:space="preserve">Notes: Myeloma XI: OS has not been reported; Myeloma IX: post-ASCT pathway, the median OS was not reached in </w:t>
      </w:r>
      <w:proofErr w:type="gramStart"/>
      <w:r w:rsidRPr="00CE0BE9">
        <w:rPr>
          <w:rFonts w:eastAsia="Calibri"/>
        </w:rPr>
        <w:t>either arm and</w:t>
      </w:r>
      <w:proofErr w:type="gramEnd"/>
      <w:r w:rsidRPr="00CE0BE9">
        <w:rPr>
          <w:rFonts w:eastAsia="Calibri"/>
        </w:rPr>
        <w:t xml:space="preserve"> the HR not reported. </w:t>
      </w:r>
      <w:proofErr w:type="gramStart"/>
      <w:r w:rsidRPr="00CE0BE9">
        <w:rPr>
          <w:rFonts w:eastAsia="Calibri"/>
        </w:rPr>
        <w:t>a</w:t>
      </w:r>
      <w:proofErr w:type="gramEnd"/>
      <w:r w:rsidRPr="00CE0BE9">
        <w:rPr>
          <w:rFonts w:eastAsia="Calibri"/>
        </w:rPr>
        <w:t xml:space="preserve"> from ASCT; b from maintenance randomisation. </w:t>
      </w:r>
      <w:r w:rsidR="00CE0BE9" w:rsidRPr="00CE0BE9">
        <w:rPr>
          <w:rFonts w:eastAsia="Calibri"/>
        </w:rPr>
        <w:t>*</w:t>
      </w:r>
      <w:r w:rsidRPr="00CE0BE9">
        <w:rPr>
          <w:rFonts w:eastAsia="Calibri"/>
        </w:rPr>
        <w:t>Figure</w:t>
      </w:r>
      <w:r w:rsidR="004905AF" w:rsidRPr="00CE0BE9">
        <w:rPr>
          <w:rFonts w:eastAsia="Calibri"/>
        </w:rPr>
        <w:t>s</w:t>
      </w:r>
      <w:r w:rsidR="008F0AC5" w:rsidRPr="00CE0BE9">
        <w:rPr>
          <w:rFonts w:eastAsia="Calibri"/>
        </w:rPr>
        <w:t xml:space="preserve"> </w:t>
      </w:r>
      <w:r w:rsidR="006A4E2E" w:rsidRPr="00CE0BE9">
        <w:rPr>
          <w:rFonts w:eastAsia="Calibri"/>
        </w:rPr>
        <w:t>corrected from submission</w:t>
      </w:r>
      <w:r w:rsidR="004905AF" w:rsidRPr="00CE0BE9">
        <w:rPr>
          <w:rFonts w:eastAsia="Calibri"/>
        </w:rPr>
        <w:t xml:space="preserve"> and proportions presented to 1 decimal point</w:t>
      </w:r>
      <w:r w:rsidR="00A51705" w:rsidRPr="00CE0BE9">
        <w:rPr>
          <w:rFonts w:eastAsia="Calibri"/>
        </w:rPr>
        <w:t>.</w:t>
      </w:r>
      <w:r w:rsidR="004905AF" w:rsidRPr="00CE0BE9">
        <w:rPr>
          <w:rFonts w:eastAsia="Calibri"/>
        </w:rPr>
        <w:t xml:space="preserve"> </w:t>
      </w:r>
      <w:r w:rsidRPr="00CE0BE9">
        <w:rPr>
          <w:rFonts w:eastAsia="Calibri"/>
        </w:rPr>
        <w:t xml:space="preserve"> </w:t>
      </w:r>
      <w:proofErr w:type="gramStart"/>
      <w:r w:rsidR="006F00BA" w:rsidRPr="00CE0BE9">
        <w:t>Statistically significant differences bolded.</w:t>
      </w:r>
      <w:proofErr w:type="gramEnd"/>
    </w:p>
    <w:p w:rsidR="00A51754" w:rsidRPr="00CE0BE9" w:rsidRDefault="00A51754" w:rsidP="00A51754">
      <w:pPr>
        <w:pStyle w:val="TableFooter"/>
        <w:rPr>
          <w:sz w:val="20"/>
        </w:rPr>
      </w:pPr>
      <w:r w:rsidRPr="00CE0BE9">
        <w:t>Source: Table 2.5.3, p.85-86 of the submission.</w:t>
      </w:r>
    </w:p>
    <w:p w:rsidR="00081386" w:rsidRDefault="00081386" w:rsidP="00A51754">
      <w:pPr>
        <w:pStyle w:val="TableFooter"/>
        <w:rPr>
          <w:b/>
          <w:sz w:val="20"/>
          <w:szCs w:val="20"/>
        </w:rPr>
      </w:pPr>
    </w:p>
    <w:p w:rsidR="002C645E" w:rsidRDefault="00081386" w:rsidP="00994C55">
      <w:pPr>
        <w:pStyle w:val="TableFooter"/>
        <w:keepNext/>
        <w:rPr>
          <w:b/>
          <w:sz w:val="20"/>
          <w:szCs w:val="20"/>
        </w:rPr>
      </w:pPr>
      <w:r w:rsidRPr="00CE0BE9">
        <w:rPr>
          <w:b/>
          <w:sz w:val="20"/>
          <w:szCs w:val="20"/>
        </w:rPr>
        <w:lastRenderedPageBreak/>
        <w:t xml:space="preserve">Figure </w:t>
      </w:r>
      <w:r>
        <w:rPr>
          <w:b/>
          <w:sz w:val="20"/>
          <w:szCs w:val="20"/>
        </w:rPr>
        <w:t>3</w:t>
      </w:r>
      <w:r w:rsidRPr="00CE0BE9">
        <w:rPr>
          <w:b/>
          <w:sz w:val="20"/>
          <w:szCs w:val="20"/>
        </w:rPr>
        <w:t xml:space="preserve">: Kaplan-Meier curve of OS of </w:t>
      </w:r>
      <w:proofErr w:type="spellStart"/>
      <w:r w:rsidRPr="00CE0BE9">
        <w:rPr>
          <w:b/>
          <w:sz w:val="20"/>
          <w:szCs w:val="20"/>
        </w:rPr>
        <w:t>lenalidomide</w:t>
      </w:r>
      <w:proofErr w:type="spellEnd"/>
      <w:r w:rsidRPr="00CE0BE9">
        <w:rPr>
          <w:b/>
          <w:sz w:val="20"/>
          <w:szCs w:val="20"/>
        </w:rPr>
        <w:t xml:space="preserve"> compared with BSC CALGB (Oct 2016 cut-off) (top) IFM 2005-02</w:t>
      </w:r>
      <w:r>
        <w:rPr>
          <w:b/>
          <w:sz w:val="20"/>
          <w:szCs w:val="20"/>
        </w:rPr>
        <w:t xml:space="preserve"> (bottom)</w:t>
      </w:r>
    </w:p>
    <w:p w:rsidR="00AC647E" w:rsidRPr="00CE0BE9" w:rsidRDefault="00081386" w:rsidP="00994C55">
      <w:pPr>
        <w:pStyle w:val="TableFooter"/>
        <w:keepNext/>
      </w:pPr>
      <w:r w:rsidRPr="00081386">
        <w:rPr>
          <w:noProof/>
          <w:szCs w:val="18"/>
          <w:lang w:eastAsia="en-AU"/>
        </w:rPr>
        <w:t xml:space="preserve"> </w:t>
      </w:r>
      <w:r w:rsidRPr="00CE0BE9">
        <w:rPr>
          <w:noProof/>
          <w:szCs w:val="18"/>
          <w:lang w:eastAsia="en-AU"/>
        </w:rPr>
        <w:drawing>
          <wp:inline distT="0" distB="0" distL="0" distR="0" wp14:anchorId="5796EA5C" wp14:editId="53A9AAA8">
            <wp:extent cx="4357315" cy="2866277"/>
            <wp:effectExtent l="0" t="0" r="571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96740" cy="2957992"/>
                    </a:xfrm>
                    <a:prstGeom prst="rect">
                      <a:avLst/>
                    </a:prstGeom>
                    <a:noFill/>
                  </pic:spPr>
                </pic:pic>
              </a:graphicData>
            </a:graphic>
          </wp:inline>
        </w:drawing>
      </w:r>
    </w:p>
    <w:p w:rsidR="009A7140" w:rsidRPr="00CE0BE9" w:rsidRDefault="002C645E">
      <w:pPr>
        <w:widowControl/>
        <w:jc w:val="left"/>
        <w:rPr>
          <w:rFonts w:ascii="Arial Narrow" w:hAnsi="Arial Narrow"/>
          <w:b/>
          <w:sz w:val="20"/>
          <w:szCs w:val="20"/>
        </w:rPr>
      </w:pPr>
      <w:r w:rsidRPr="00CE0BE9">
        <w:rPr>
          <w:rFonts w:ascii="Arial Narrow" w:hAnsi="Arial Narrow"/>
          <w:b/>
          <w:noProof/>
          <w:sz w:val="20"/>
          <w:szCs w:val="20"/>
          <w:lang w:eastAsia="en-AU"/>
        </w:rPr>
        <w:drawing>
          <wp:inline distT="0" distB="0" distL="0" distR="0" wp14:anchorId="16BAE155" wp14:editId="1A6327E3">
            <wp:extent cx="4524292" cy="2892634"/>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53277" cy="2975101"/>
                    </a:xfrm>
                    <a:prstGeom prst="rect">
                      <a:avLst/>
                    </a:prstGeom>
                    <a:noFill/>
                  </pic:spPr>
                </pic:pic>
              </a:graphicData>
            </a:graphic>
          </wp:inline>
        </w:drawing>
      </w:r>
    </w:p>
    <w:p w:rsidR="00A51754" w:rsidRPr="00CE0BE9" w:rsidRDefault="00A51754" w:rsidP="00A51754">
      <w:pPr>
        <w:pStyle w:val="TableFooter"/>
        <w:rPr>
          <w:szCs w:val="18"/>
        </w:rPr>
      </w:pPr>
      <w:r w:rsidRPr="00CE0BE9">
        <w:rPr>
          <w:szCs w:val="18"/>
        </w:rPr>
        <w:t>Abbreviations: ASCT= autologous stem cell transplant; CI= confidence interval; HR= hazard ratio; OS= overall survival.</w:t>
      </w:r>
    </w:p>
    <w:p w:rsidR="00A51754" w:rsidRPr="00CE0BE9" w:rsidRDefault="00A51754" w:rsidP="00A51754">
      <w:pPr>
        <w:pStyle w:val="TableFooter"/>
        <w:rPr>
          <w:szCs w:val="18"/>
        </w:rPr>
      </w:pPr>
      <w:r w:rsidRPr="00CE0BE9">
        <w:rPr>
          <w:szCs w:val="18"/>
        </w:rPr>
        <w:t>Notes: For CALGB, OS is measured as time since ASCT (months); for IFM, OS is measured as time since maintenance randomisation (months).</w:t>
      </w:r>
      <w:r w:rsidR="00DC4B97" w:rsidRPr="00CE0BE9">
        <w:rPr>
          <w:szCs w:val="18"/>
        </w:rPr>
        <w:t xml:space="preserve"> Trial refers to placebo, have used best supportive care for consistency.</w:t>
      </w:r>
    </w:p>
    <w:p w:rsidR="00A51754" w:rsidRPr="00CE0BE9" w:rsidRDefault="00A51754" w:rsidP="00A51754">
      <w:pPr>
        <w:pStyle w:val="TableFooter"/>
        <w:rPr>
          <w:szCs w:val="18"/>
        </w:rPr>
      </w:pPr>
      <w:r w:rsidRPr="00CE0BE9">
        <w:rPr>
          <w:szCs w:val="18"/>
        </w:rPr>
        <w:t>Source: CALGB, Figure 2.5.4, p.86 of the submission; IFM</w:t>
      </w:r>
      <w:r w:rsidR="006A4E2E" w:rsidRPr="00CE0BE9">
        <w:rPr>
          <w:szCs w:val="18"/>
        </w:rPr>
        <w:t> 2005</w:t>
      </w:r>
      <w:r w:rsidR="006A4E2E" w:rsidRPr="00CE0BE9">
        <w:rPr>
          <w:szCs w:val="18"/>
        </w:rPr>
        <w:noBreakHyphen/>
        <w:t>02</w:t>
      </w:r>
      <w:r w:rsidRPr="00CE0BE9">
        <w:rPr>
          <w:szCs w:val="18"/>
        </w:rPr>
        <w:t>, Figure 2.5.5, p.87 of the submission.</w:t>
      </w:r>
    </w:p>
    <w:p w:rsidR="00A51754" w:rsidRPr="00CE0BE9" w:rsidRDefault="00A51754" w:rsidP="00A51754">
      <w:pPr>
        <w:pStyle w:val="TableFooter"/>
      </w:pPr>
    </w:p>
    <w:p w:rsidR="00A51754" w:rsidRPr="00D17A82" w:rsidRDefault="00A51754" w:rsidP="002C645E">
      <w:pPr>
        <w:pStyle w:val="ListParagraph"/>
        <w:numPr>
          <w:ilvl w:val="1"/>
          <w:numId w:val="2"/>
        </w:numPr>
      </w:pPr>
      <w:r w:rsidRPr="00D17A82">
        <w:rPr>
          <w:rFonts w:cs="Calibri"/>
          <w:snapToGrid/>
          <w:szCs w:val="24"/>
          <w:lang w:val="en-US" w:eastAsia="en-AU"/>
        </w:rPr>
        <w:t xml:space="preserve">The results for the </w:t>
      </w:r>
      <w:r w:rsidR="00D359EF" w:rsidRPr="00D17A82">
        <w:rPr>
          <w:rFonts w:cs="Calibri"/>
          <w:snapToGrid/>
          <w:szCs w:val="24"/>
          <w:lang w:val="en-US" w:eastAsia="en-AU"/>
        </w:rPr>
        <w:t>post-</w:t>
      </w:r>
      <w:r w:rsidRPr="00D17A82">
        <w:rPr>
          <w:rFonts w:cs="Calibri"/>
          <w:snapToGrid/>
          <w:szCs w:val="24"/>
          <w:lang w:val="en-US" w:eastAsia="en-AU"/>
        </w:rPr>
        <w:t xml:space="preserve">ASCT subgroups in GIMEMA </w:t>
      </w:r>
      <w:r w:rsidR="00AC4C12" w:rsidRPr="00D17A82">
        <w:rPr>
          <w:rFonts w:cs="Calibri"/>
          <w:snapToGrid/>
          <w:szCs w:val="24"/>
          <w:lang w:val="en-US" w:eastAsia="en-AU"/>
        </w:rPr>
        <w:t xml:space="preserve">(PFS and OS) </w:t>
      </w:r>
      <w:r w:rsidRPr="00D17A82">
        <w:rPr>
          <w:rFonts w:cs="Calibri"/>
          <w:snapToGrid/>
          <w:szCs w:val="24"/>
          <w:lang w:val="en-US" w:eastAsia="en-AU"/>
        </w:rPr>
        <w:t xml:space="preserve">and Myeloma XI </w:t>
      </w:r>
      <w:r w:rsidR="00AC4C12" w:rsidRPr="00D17A82">
        <w:rPr>
          <w:rFonts w:cs="Calibri"/>
          <w:snapToGrid/>
          <w:szCs w:val="24"/>
          <w:lang w:val="en-US" w:eastAsia="en-AU"/>
        </w:rPr>
        <w:t xml:space="preserve">(PFS) </w:t>
      </w:r>
      <w:r w:rsidR="001956F9" w:rsidRPr="00D17A82">
        <w:rPr>
          <w:rFonts w:cs="Calibri"/>
          <w:snapToGrid/>
          <w:szCs w:val="24"/>
          <w:lang w:val="en-US" w:eastAsia="en-AU"/>
        </w:rPr>
        <w:t>were also presen</w:t>
      </w:r>
      <w:r w:rsidR="00CC39ED" w:rsidRPr="00D17A82">
        <w:rPr>
          <w:rFonts w:cs="Calibri"/>
          <w:snapToGrid/>
          <w:szCs w:val="24"/>
          <w:lang w:val="en-US" w:eastAsia="en-AU"/>
        </w:rPr>
        <w:t>ted by the submission. However,</w:t>
      </w:r>
      <w:r w:rsidR="001956F9" w:rsidRPr="00D17A82">
        <w:rPr>
          <w:rFonts w:cs="Calibri"/>
          <w:snapToGrid/>
          <w:szCs w:val="24"/>
          <w:lang w:val="en-US" w:eastAsia="en-AU"/>
        </w:rPr>
        <w:t xml:space="preserve"> </w:t>
      </w:r>
      <w:r w:rsidR="001956F9" w:rsidRPr="00D17A82">
        <w:t>both GIMEMA and Myeloma XI used daily dosing for 21 days/28 day cycle; at 10 mg/day. The GIMEMA</w:t>
      </w:r>
      <w:r w:rsidR="0042012E" w:rsidRPr="00D17A82">
        <w:t xml:space="preserve"> and</w:t>
      </w:r>
      <w:r w:rsidR="001956F9" w:rsidRPr="00D17A82">
        <w:t xml:space="preserve"> Myeloma XI included NDMM patients who did not receive an ASCT but were randomised to maintenance therapy; the submission relied on subgroups of patients who received maintenance therapy post</w:t>
      </w:r>
      <w:r w:rsidR="001956F9" w:rsidRPr="00D17A82">
        <w:noBreakHyphen/>
        <w:t xml:space="preserve">ASCT from the trials; none of these trials were powered to detect a difference in treatment effect in the post-ASCT subgroup. </w:t>
      </w:r>
      <w:r w:rsidR="0042012E" w:rsidRPr="00D17A82">
        <w:rPr>
          <w:rFonts w:cs="Calibri"/>
          <w:snapToGrid/>
          <w:szCs w:val="24"/>
          <w:lang w:val="en-US" w:eastAsia="en-AU"/>
        </w:rPr>
        <w:t xml:space="preserve"> </w:t>
      </w:r>
      <w:r w:rsidR="0042012E" w:rsidRPr="00D17A82">
        <w:rPr>
          <w:rFonts w:cs="Calibri"/>
          <w:snapToGrid/>
          <w:szCs w:val="24"/>
          <w:lang w:val="en-US" w:eastAsia="en-AU"/>
        </w:rPr>
        <w:lastRenderedPageBreak/>
        <w:t xml:space="preserve">The GIMEMA and Myeloma XI trials reported a significant improvement in PFS, HR 0.42 (95%CI 0.24, 0.73) and 0.47 (95%CI 0.38, 0.52) </w:t>
      </w:r>
      <w:r w:rsidR="00CE6401" w:rsidRPr="00D17A82">
        <w:rPr>
          <w:rFonts w:cs="Calibri"/>
          <w:snapToGrid/>
          <w:szCs w:val="24"/>
          <w:lang w:val="en-US" w:eastAsia="en-AU"/>
        </w:rPr>
        <w:t>respectively</w:t>
      </w:r>
      <w:r w:rsidR="0042012E" w:rsidRPr="00D17A82">
        <w:rPr>
          <w:rFonts w:cs="Calibri"/>
          <w:snapToGrid/>
          <w:szCs w:val="24"/>
          <w:lang w:val="en-US" w:eastAsia="en-AU"/>
        </w:rPr>
        <w:t xml:space="preserve"> in the post-ASCT subgroup. This was not significantly different to the complement g</w:t>
      </w:r>
      <w:r w:rsidR="00CE6401" w:rsidRPr="00D17A82">
        <w:rPr>
          <w:rFonts w:cs="Calibri"/>
          <w:snapToGrid/>
          <w:szCs w:val="24"/>
          <w:lang w:val="en-US" w:eastAsia="en-AU"/>
        </w:rPr>
        <w:t xml:space="preserve">roups in either trial (HR 0.43 </w:t>
      </w:r>
      <w:r w:rsidR="0042012E" w:rsidRPr="00D17A82">
        <w:rPr>
          <w:rFonts w:cs="Calibri"/>
          <w:snapToGrid/>
          <w:szCs w:val="24"/>
          <w:lang w:val="en-US" w:eastAsia="en-AU"/>
        </w:rPr>
        <w:t>95%CI 0.28, 0.67</w:t>
      </w:r>
      <w:r w:rsidR="008A023A">
        <w:rPr>
          <w:rFonts w:cs="Calibri"/>
          <w:snapToGrid/>
          <w:szCs w:val="24"/>
          <w:lang w:val="en-US" w:eastAsia="en-AU"/>
        </w:rPr>
        <w:t>;</w:t>
      </w:r>
      <w:r w:rsidR="0042012E" w:rsidRPr="00D17A82">
        <w:rPr>
          <w:rFonts w:cs="Calibri"/>
          <w:snapToGrid/>
          <w:szCs w:val="24"/>
          <w:lang w:val="en-US" w:eastAsia="en-AU"/>
        </w:rPr>
        <w:t xml:space="preserve"> and 0.42 </w:t>
      </w:r>
      <w:r w:rsidR="008A023A" w:rsidRPr="00D17A82">
        <w:rPr>
          <w:rFonts w:cs="Calibri"/>
          <w:snapToGrid/>
          <w:szCs w:val="24"/>
          <w:lang w:val="en-US" w:eastAsia="en-AU"/>
        </w:rPr>
        <w:t xml:space="preserve">95%CI </w:t>
      </w:r>
      <w:r w:rsidR="0042012E" w:rsidRPr="00D17A82">
        <w:rPr>
          <w:rFonts w:cs="Calibri"/>
          <w:snapToGrid/>
          <w:szCs w:val="24"/>
          <w:lang w:val="en-US" w:eastAsia="en-AU"/>
        </w:rPr>
        <w:t xml:space="preserve">0.35, 0.51, respectively). </w:t>
      </w:r>
      <w:r w:rsidR="00EE1A64" w:rsidRPr="00D17A82">
        <w:rPr>
          <w:rFonts w:cs="Calibri"/>
          <w:snapToGrid/>
          <w:szCs w:val="24"/>
          <w:lang w:val="en-US" w:eastAsia="en-AU"/>
        </w:rPr>
        <w:t>T</w:t>
      </w:r>
      <w:r w:rsidR="001956F9" w:rsidRPr="00D17A82">
        <w:rPr>
          <w:rFonts w:cs="Calibri"/>
          <w:snapToGrid/>
          <w:szCs w:val="24"/>
          <w:lang w:val="en-US" w:eastAsia="en-AU"/>
        </w:rPr>
        <w:t>he ESC noted that t</w:t>
      </w:r>
      <w:r w:rsidR="00EE1A64" w:rsidRPr="00D17A82">
        <w:rPr>
          <w:rFonts w:cs="Calibri"/>
          <w:snapToGrid/>
          <w:szCs w:val="24"/>
          <w:lang w:val="en-US" w:eastAsia="en-AU"/>
        </w:rPr>
        <w:t>here w</w:t>
      </w:r>
      <w:r w:rsidR="005A7DD2" w:rsidRPr="00D17A82">
        <w:rPr>
          <w:rFonts w:cs="Calibri"/>
          <w:snapToGrid/>
          <w:szCs w:val="24"/>
          <w:lang w:val="en-US" w:eastAsia="en-AU"/>
        </w:rPr>
        <w:t>ere</w:t>
      </w:r>
      <w:r w:rsidR="00EE1A64" w:rsidRPr="00D17A82">
        <w:rPr>
          <w:rFonts w:cs="Calibri"/>
          <w:snapToGrid/>
          <w:szCs w:val="24"/>
          <w:lang w:val="en-US" w:eastAsia="en-AU"/>
        </w:rPr>
        <w:t xml:space="preserve"> no statistically significant improvements in OS</w:t>
      </w:r>
      <w:r w:rsidR="005A7DD2" w:rsidRPr="00D17A82">
        <w:rPr>
          <w:rFonts w:cs="Calibri"/>
          <w:snapToGrid/>
          <w:szCs w:val="24"/>
          <w:lang w:val="en-US" w:eastAsia="en-AU"/>
        </w:rPr>
        <w:t xml:space="preserve"> </w:t>
      </w:r>
      <w:r w:rsidR="004905AF" w:rsidRPr="00D17A82">
        <w:rPr>
          <w:rFonts w:cs="Calibri"/>
          <w:snapToGrid/>
          <w:szCs w:val="24"/>
          <w:lang w:val="en-US" w:eastAsia="en-AU"/>
        </w:rPr>
        <w:t xml:space="preserve">with </w:t>
      </w:r>
      <w:proofErr w:type="spellStart"/>
      <w:r w:rsidR="004905AF" w:rsidRPr="00D17A82">
        <w:rPr>
          <w:rFonts w:cs="Calibri"/>
          <w:snapToGrid/>
          <w:szCs w:val="24"/>
          <w:lang w:val="en-US" w:eastAsia="en-AU"/>
        </w:rPr>
        <w:t>lenalidomide</w:t>
      </w:r>
      <w:proofErr w:type="spellEnd"/>
      <w:r w:rsidR="004905AF" w:rsidRPr="00D17A82">
        <w:rPr>
          <w:rFonts w:cs="Calibri"/>
          <w:snapToGrid/>
          <w:szCs w:val="24"/>
          <w:lang w:val="en-US" w:eastAsia="en-AU"/>
        </w:rPr>
        <w:t xml:space="preserve"> </w:t>
      </w:r>
      <w:r w:rsidR="00D359EF" w:rsidRPr="00D17A82">
        <w:rPr>
          <w:rFonts w:cs="Calibri"/>
          <w:snapToGrid/>
          <w:szCs w:val="24"/>
          <w:lang w:val="en-US" w:eastAsia="en-AU"/>
        </w:rPr>
        <w:t xml:space="preserve">versus BSC </w:t>
      </w:r>
      <w:r w:rsidR="005A7DD2" w:rsidRPr="00D17A82">
        <w:rPr>
          <w:rFonts w:cs="Calibri"/>
          <w:snapToGrid/>
          <w:szCs w:val="24"/>
          <w:lang w:val="en-US" w:eastAsia="en-AU"/>
        </w:rPr>
        <w:t xml:space="preserve">in </w:t>
      </w:r>
      <w:r w:rsidR="00EE1A64" w:rsidRPr="00D17A82">
        <w:rPr>
          <w:rFonts w:cs="Calibri"/>
          <w:snapToGrid/>
          <w:szCs w:val="24"/>
          <w:lang w:val="en-US" w:eastAsia="en-AU"/>
        </w:rPr>
        <w:t xml:space="preserve">the </w:t>
      </w:r>
      <w:r w:rsidR="00961566" w:rsidRPr="00D17A82">
        <w:rPr>
          <w:rFonts w:cs="Calibri"/>
          <w:snapToGrid/>
          <w:szCs w:val="24"/>
          <w:lang w:val="en-US" w:eastAsia="en-AU"/>
        </w:rPr>
        <w:t>post</w:t>
      </w:r>
      <w:r w:rsidR="009F77AC" w:rsidRPr="00D17A82">
        <w:rPr>
          <w:rFonts w:cs="Calibri"/>
          <w:snapToGrid/>
          <w:szCs w:val="24"/>
          <w:lang w:val="en-US" w:eastAsia="en-AU"/>
        </w:rPr>
        <w:t>-</w:t>
      </w:r>
      <w:r w:rsidR="00EE1A64" w:rsidRPr="00D17A82">
        <w:rPr>
          <w:rFonts w:cs="Calibri"/>
          <w:snapToGrid/>
          <w:szCs w:val="24"/>
          <w:lang w:val="en-US" w:eastAsia="en-AU"/>
        </w:rPr>
        <w:t>ASCT subgroup in GIMEMA</w:t>
      </w:r>
      <w:r w:rsidR="0042012E" w:rsidRPr="00D17A82">
        <w:rPr>
          <w:rFonts w:cs="Calibri"/>
          <w:snapToGrid/>
          <w:szCs w:val="24"/>
          <w:lang w:val="en-US" w:eastAsia="en-AU"/>
        </w:rPr>
        <w:t xml:space="preserve"> (HR 0.62 95% CI 0.24, 1.59) or th</w:t>
      </w:r>
      <w:r w:rsidR="00CE6401" w:rsidRPr="00D17A82">
        <w:rPr>
          <w:rFonts w:cs="Calibri"/>
          <w:snapToGrid/>
          <w:szCs w:val="24"/>
          <w:lang w:val="en-US" w:eastAsia="en-AU"/>
        </w:rPr>
        <w:t>e complement (HR 0.68 95%CI 0.32</w:t>
      </w:r>
      <w:r w:rsidR="0042012E" w:rsidRPr="00D17A82">
        <w:rPr>
          <w:rFonts w:cs="Calibri"/>
          <w:snapToGrid/>
          <w:szCs w:val="24"/>
          <w:lang w:val="en-US" w:eastAsia="en-AU"/>
        </w:rPr>
        <w:t>, 1</w:t>
      </w:r>
      <w:r w:rsidR="008A023A">
        <w:rPr>
          <w:rFonts w:cs="Calibri"/>
          <w:snapToGrid/>
          <w:szCs w:val="24"/>
          <w:lang w:val="en-US" w:eastAsia="en-AU"/>
        </w:rPr>
        <w:t>.45;</w:t>
      </w:r>
      <w:r w:rsidR="00CE6401" w:rsidRPr="00D17A82">
        <w:rPr>
          <w:rFonts w:cs="Calibri"/>
          <w:snapToGrid/>
          <w:szCs w:val="24"/>
          <w:lang w:val="en-US" w:eastAsia="en-AU"/>
        </w:rPr>
        <w:t xml:space="preserve"> test for interaction p=0.89)</w:t>
      </w:r>
      <w:r w:rsidR="00EE1A64" w:rsidRPr="00D17A82">
        <w:rPr>
          <w:rFonts w:cs="Calibri"/>
          <w:snapToGrid/>
          <w:szCs w:val="24"/>
          <w:lang w:val="en-US" w:eastAsia="en-AU"/>
        </w:rPr>
        <w:t>.</w:t>
      </w:r>
      <w:r w:rsidR="002C645E">
        <w:rPr>
          <w:rFonts w:cs="Calibri"/>
          <w:snapToGrid/>
          <w:szCs w:val="24"/>
          <w:lang w:val="en-US" w:eastAsia="en-AU"/>
        </w:rPr>
        <w:t xml:space="preserve"> The PBAC noted that updated results were presented for Myeloma </w:t>
      </w:r>
      <w:r w:rsidR="002C645E" w:rsidRPr="002C645E">
        <w:rPr>
          <w:rFonts w:cs="Calibri"/>
          <w:snapToGrid/>
          <w:szCs w:val="24"/>
          <w:lang w:val="en-US" w:eastAsia="en-AU"/>
        </w:rPr>
        <w:t>XI</w:t>
      </w:r>
      <w:r w:rsidR="002C645E">
        <w:rPr>
          <w:rFonts w:cs="Calibri"/>
          <w:snapToGrid/>
          <w:szCs w:val="24"/>
          <w:lang w:val="en-US" w:eastAsia="en-AU"/>
        </w:rPr>
        <w:t xml:space="preserve"> at the </w:t>
      </w:r>
      <w:r w:rsidR="004A5D00">
        <w:rPr>
          <w:rFonts w:cs="Calibri"/>
          <w:snapToGrid/>
          <w:szCs w:val="24"/>
          <w:lang w:val="en-US" w:eastAsia="en-AU"/>
        </w:rPr>
        <w:t xml:space="preserve">2017 </w:t>
      </w:r>
      <w:r w:rsidR="002C645E">
        <w:rPr>
          <w:rFonts w:cs="Calibri"/>
          <w:snapToGrid/>
          <w:szCs w:val="24"/>
          <w:lang w:val="en-US" w:eastAsia="en-AU"/>
        </w:rPr>
        <w:t>American Society of Hematology conference,</w:t>
      </w:r>
      <w:r w:rsidR="002C645E" w:rsidRPr="002C645E">
        <w:rPr>
          <w:rFonts w:cs="Calibri"/>
          <w:snapToGrid/>
          <w:szCs w:val="24"/>
          <w:lang w:val="en-US" w:eastAsia="en-AU"/>
        </w:rPr>
        <w:t xml:space="preserve"> </w:t>
      </w:r>
      <w:r w:rsidR="002C645E" w:rsidRPr="002C645E">
        <w:rPr>
          <w:szCs w:val="24"/>
        </w:rPr>
        <w:t xml:space="preserve">which </w:t>
      </w:r>
      <w:r w:rsidR="002C645E">
        <w:rPr>
          <w:szCs w:val="24"/>
        </w:rPr>
        <w:t>showed consistent PFS</w:t>
      </w:r>
      <w:r w:rsidR="002C645E" w:rsidRPr="002C645E">
        <w:rPr>
          <w:szCs w:val="24"/>
        </w:rPr>
        <w:t xml:space="preserve"> outcomes to those reported in submission and a significant improvement in </w:t>
      </w:r>
      <w:proofErr w:type="gramStart"/>
      <w:r w:rsidR="002C645E" w:rsidRPr="002C645E">
        <w:rPr>
          <w:szCs w:val="24"/>
        </w:rPr>
        <w:t>OS,</w:t>
      </w:r>
      <w:proofErr w:type="gramEnd"/>
      <w:r w:rsidR="002C645E" w:rsidRPr="002C645E">
        <w:rPr>
          <w:szCs w:val="24"/>
        </w:rPr>
        <w:t xml:space="preserve"> however these results are yet to be published</w:t>
      </w:r>
      <w:r w:rsidR="004A5D00">
        <w:rPr>
          <w:szCs w:val="24"/>
        </w:rPr>
        <w:t xml:space="preserve"> in full</w:t>
      </w:r>
      <w:r w:rsidR="002C645E" w:rsidRPr="002C645E">
        <w:rPr>
          <w:szCs w:val="24"/>
        </w:rPr>
        <w:t>.</w:t>
      </w:r>
      <w:r w:rsidR="002C645E" w:rsidRPr="002C645E">
        <w:rPr>
          <w:rStyle w:val="FootnoteReference"/>
          <w:szCs w:val="24"/>
        </w:rPr>
        <w:footnoteReference w:id="4"/>
      </w:r>
      <w:r w:rsidR="002C645E">
        <w:rPr>
          <w:szCs w:val="24"/>
        </w:rPr>
        <w:t xml:space="preserve"> </w:t>
      </w:r>
    </w:p>
    <w:p w:rsidR="00A51754" w:rsidRPr="00D17A82" w:rsidRDefault="00A51754" w:rsidP="00A51754">
      <w:pPr>
        <w:rPr>
          <w:rFonts w:ascii="Arial Narrow" w:hAnsi="Arial Narrow"/>
          <w:b/>
          <w:sz w:val="20"/>
          <w:szCs w:val="16"/>
        </w:rPr>
      </w:pPr>
    </w:p>
    <w:p w:rsidR="00CE6401" w:rsidRPr="00D17A82" w:rsidRDefault="00CE6401" w:rsidP="00CE6401">
      <w:pPr>
        <w:rPr>
          <w:rFonts w:cs="Calibri"/>
          <w:snapToGrid/>
          <w:szCs w:val="24"/>
          <w:u w:val="single"/>
          <w:lang w:val="en-US" w:eastAsia="en-AU"/>
        </w:rPr>
      </w:pPr>
      <w:bookmarkStart w:id="10" w:name="_Hlk501027944"/>
      <w:proofErr w:type="spellStart"/>
      <w:r w:rsidRPr="00D17A82">
        <w:rPr>
          <w:rFonts w:cs="Calibri"/>
          <w:snapToGrid/>
          <w:szCs w:val="24"/>
          <w:u w:val="single"/>
          <w:lang w:val="en-US" w:eastAsia="en-AU"/>
        </w:rPr>
        <w:t>Lenalidomide</w:t>
      </w:r>
      <w:proofErr w:type="spellEnd"/>
      <w:r w:rsidRPr="00D17A82">
        <w:rPr>
          <w:rFonts w:cs="Calibri"/>
          <w:snapToGrid/>
          <w:szCs w:val="24"/>
          <w:u w:val="single"/>
          <w:lang w:val="en-US" w:eastAsia="en-AU"/>
        </w:rPr>
        <w:t xml:space="preserve"> vs. BSC network meta-analysis</w:t>
      </w:r>
    </w:p>
    <w:p w:rsidR="00CE6401" w:rsidRPr="00D17A82" w:rsidRDefault="00CE6401" w:rsidP="006F0DFD">
      <w:pPr>
        <w:pStyle w:val="ListParagraph"/>
        <w:numPr>
          <w:ilvl w:val="1"/>
          <w:numId w:val="2"/>
        </w:numPr>
        <w:rPr>
          <w:rFonts w:ascii="Arial Narrow" w:hAnsi="Arial Narrow"/>
          <w:sz w:val="20"/>
          <w:szCs w:val="16"/>
        </w:rPr>
      </w:pPr>
      <w:r w:rsidRPr="00D17A82">
        <w:rPr>
          <w:rFonts w:cs="Calibri"/>
          <w:snapToGrid/>
          <w:szCs w:val="24"/>
          <w:lang w:val="en-US" w:eastAsia="en-AU"/>
        </w:rPr>
        <w:t xml:space="preserve">A network meta-analysis was commissioned for the submission using the most recent data available for CALGB, IFM 2005-02, GIMEMA and Myeloma XI. Because of the transitivity issues between CALGB, IFM 2005 02, GIMEMA and Myeloma XI with respect to the </w:t>
      </w:r>
      <w:proofErr w:type="spellStart"/>
      <w:r w:rsidRPr="00D17A82">
        <w:rPr>
          <w:rFonts w:cs="Calibri"/>
          <w:snapToGrid/>
          <w:szCs w:val="24"/>
          <w:lang w:val="en-US" w:eastAsia="en-AU"/>
        </w:rPr>
        <w:t>lenalidomide</w:t>
      </w:r>
      <w:proofErr w:type="spellEnd"/>
      <w:r w:rsidRPr="00D17A82">
        <w:rPr>
          <w:rFonts w:cs="Calibri"/>
          <w:snapToGrid/>
          <w:szCs w:val="24"/>
          <w:lang w:val="en-US" w:eastAsia="en-AU"/>
        </w:rPr>
        <w:t xml:space="preserve"> dosing regimen and use of </w:t>
      </w:r>
      <w:proofErr w:type="spellStart"/>
      <w:r w:rsidRPr="00D17A82">
        <w:rPr>
          <w:rFonts w:cs="Calibri"/>
          <w:snapToGrid/>
          <w:szCs w:val="24"/>
          <w:lang w:val="en-US" w:eastAsia="en-AU"/>
        </w:rPr>
        <w:t>lenalidomide</w:t>
      </w:r>
      <w:proofErr w:type="spellEnd"/>
      <w:r w:rsidRPr="00D17A82">
        <w:rPr>
          <w:rFonts w:cs="Calibri"/>
          <w:snapToGrid/>
          <w:szCs w:val="24"/>
          <w:lang w:val="en-US" w:eastAsia="en-AU"/>
        </w:rPr>
        <w:t xml:space="preserve"> as induction therapy, the ESC considered that it was inappropriate to conduct a meta-analysis of these studies.</w:t>
      </w:r>
      <w:r w:rsidR="008A023A">
        <w:rPr>
          <w:rFonts w:cs="Calibri"/>
          <w:snapToGrid/>
          <w:szCs w:val="24"/>
          <w:lang w:val="en-US" w:eastAsia="en-AU"/>
        </w:rPr>
        <w:t xml:space="preserve"> </w:t>
      </w:r>
      <w:r w:rsidR="004D27DC">
        <w:rPr>
          <w:rFonts w:cs="Calibri"/>
          <w:snapToGrid/>
          <w:szCs w:val="24"/>
          <w:lang w:val="en-US" w:eastAsia="en-AU"/>
        </w:rPr>
        <w:t xml:space="preserve">The PBAC noted this </w:t>
      </w:r>
      <w:r w:rsidR="008C4C80">
        <w:rPr>
          <w:rFonts w:cs="Calibri"/>
          <w:snapToGrid/>
          <w:szCs w:val="24"/>
          <w:lang w:val="en-US" w:eastAsia="en-AU"/>
        </w:rPr>
        <w:t xml:space="preserve">cautionary </w:t>
      </w:r>
      <w:r w:rsidR="004D27DC">
        <w:rPr>
          <w:rFonts w:cs="Calibri"/>
          <w:snapToGrid/>
          <w:szCs w:val="24"/>
          <w:lang w:val="en-US" w:eastAsia="en-AU"/>
        </w:rPr>
        <w:t xml:space="preserve">advice but considered it </w:t>
      </w:r>
      <w:r w:rsidR="008C4C80">
        <w:rPr>
          <w:rFonts w:cs="Calibri"/>
          <w:snapToGrid/>
          <w:szCs w:val="24"/>
          <w:lang w:val="en-US" w:eastAsia="en-AU"/>
        </w:rPr>
        <w:t xml:space="preserve">preferable and appropriate </w:t>
      </w:r>
      <w:r w:rsidR="004D27DC">
        <w:rPr>
          <w:rFonts w:cs="Calibri"/>
          <w:snapToGrid/>
          <w:szCs w:val="24"/>
          <w:lang w:val="en-US" w:eastAsia="en-AU"/>
        </w:rPr>
        <w:t xml:space="preserve">to </w:t>
      </w:r>
      <w:r w:rsidR="008C4C80">
        <w:rPr>
          <w:rFonts w:cs="Calibri"/>
          <w:snapToGrid/>
          <w:szCs w:val="24"/>
          <w:lang w:val="en-US" w:eastAsia="en-AU"/>
        </w:rPr>
        <w:t xml:space="preserve">also </w:t>
      </w:r>
      <w:r w:rsidR="004D27DC">
        <w:rPr>
          <w:rFonts w:cs="Calibri"/>
          <w:snapToGrid/>
          <w:szCs w:val="24"/>
          <w:lang w:val="en-US" w:eastAsia="en-AU"/>
        </w:rPr>
        <w:t>consider the totality of the evidence rather than rely on evidence from one trial.</w:t>
      </w:r>
    </w:p>
    <w:p w:rsidR="00CE6401" w:rsidRPr="00D17A82" w:rsidRDefault="00CE6401" w:rsidP="006F0DFD">
      <w:pPr>
        <w:pStyle w:val="ListParagraph"/>
        <w:numPr>
          <w:ilvl w:val="1"/>
          <w:numId w:val="2"/>
        </w:numPr>
        <w:rPr>
          <w:rFonts w:ascii="Arial Narrow" w:hAnsi="Arial Narrow"/>
          <w:sz w:val="20"/>
          <w:szCs w:val="16"/>
        </w:rPr>
      </w:pPr>
      <w:r w:rsidRPr="00D17A82">
        <w:rPr>
          <w:rFonts w:cs="Calibri"/>
          <w:snapToGrid/>
          <w:szCs w:val="24"/>
          <w:lang w:val="en-US" w:eastAsia="en-AU"/>
        </w:rPr>
        <w:t>The submission relied on the effectiveness data from the CALGB trial in the economic evaluation and presented a sensitivity analysis using the treatment effect from the meta</w:t>
      </w:r>
      <w:r w:rsidRPr="00D17A82">
        <w:rPr>
          <w:rFonts w:cs="Calibri"/>
          <w:snapToGrid/>
          <w:szCs w:val="24"/>
          <w:lang w:val="en-US" w:eastAsia="en-AU"/>
        </w:rPr>
        <w:noBreakHyphen/>
        <w:t>analysis.</w:t>
      </w:r>
    </w:p>
    <w:p w:rsidR="00CE6401" w:rsidRPr="00D17A82" w:rsidRDefault="00CE6401" w:rsidP="006F0DFD">
      <w:pPr>
        <w:pStyle w:val="ListParagraph"/>
        <w:numPr>
          <w:ilvl w:val="1"/>
          <w:numId w:val="2"/>
        </w:numPr>
        <w:rPr>
          <w:rFonts w:ascii="Arial Narrow" w:hAnsi="Arial Narrow"/>
          <w:sz w:val="20"/>
          <w:szCs w:val="16"/>
        </w:rPr>
      </w:pPr>
      <w:r w:rsidRPr="00D17A82">
        <w:rPr>
          <w:rFonts w:cs="Calibri"/>
          <w:snapToGrid/>
          <w:szCs w:val="24"/>
          <w:lang w:val="en-US" w:eastAsia="en-AU"/>
        </w:rPr>
        <w:t xml:space="preserve">The submission applied four analysis methods to account for cross-over effects in OS and PFS in CALGB. These were ITT, censoring subjects at time of cross-over (per protocol approach), rank preserving structural failure time model (RPSFTM); and iterative parameter estimation (IPE) algorithm. The adjusted PFS and OS using the RPSFTM were used in the indirect comparison to thalidomide. Application of the RPSFTM was consistent with the IPE for PFS and OS. </w:t>
      </w:r>
      <w:r w:rsidR="00583838" w:rsidRPr="00D17A82">
        <w:rPr>
          <w:rFonts w:cs="Calibri"/>
          <w:snapToGrid/>
          <w:szCs w:val="24"/>
          <w:lang w:val="en-US" w:eastAsia="en-AU"/>
        </w:rPr>
        <w:t>The meta-analysis of CALGB, IFM 2005-02 and GIMEMA for OS was subject to a high degree of heterogeneity. Thr</w:t>
      </w:r>
      <w:r w:rsidR="008A023A">
        <w:rPr>
          <w:rFonts w:cs="Calibri"/>
          <w:snapToGrid/>
          <w:szCs w:val="24"/>
          <w:lang w:val="en-US" w:eastAsia="en-AU"/>
        </w:rPr>
        <w:t>ee of the analysis methods showed</w:t>
      </w:r>
      <w:r w:rsidR="00583838" w:rsidRPr="00D17A82">
        <w:t xml:space="preserve"> a statistically significant difference in favour of </w:t>
      </w:r>
      <w:proofErr w:type="spellStart"/>
      <w:r w:rsidR="00583838" w:rsidRPr="00D17A82">
        <w:t>lenalidomide</w:t>
      </w:r>
      <w:proofErr w:type="spellEnd"/>
      <w:r w:rsidR="00583838" w:rsidRPr="00D17A82">
        <w:t>, while the fourth (which adjusted for cross-over in CALGB and adopted a random effects approach) resulted in a 95% CI for the HR that crossed 1.</w:t>
      </w:r>
      <w:r w:rsidR="00583838" w:rsidRPr="00D17A82">
        <w:rPr>
          <w:rFonts w:cs="Calibri"/>
          <w:snapToGrid/>
          <w:szCs w:val="24"/>
          <w:lang w:val="en-US" w:eastAsia="en-AU"/>
        </w:rPr>
        <w:t xml:space="preserve"> The ESC considered that if a network meta-analysis approach were to be taken, given the heterogeneity between the trials, a rand</w:t>
      </w:r>
      <w:r w:rsidR="002C645E">
        <w:rPr>
          <w:rFonts w:cs="Calibri"/>
          <w:snapToGrid/>
          <w:szCs w:val="24"/>
          <w:lang w:val="en-US" w:eastAsia="en-AU"/>
        </w:rPr>
        <w:t>om effects model should be used. The PB</w:t>
      </w:r>
      <w:r w:rsidR="00F810C6">
        <w:rPr>
          <w:rFonts w:cs="Calibri"/>
          <w:snapToGrid/>
          <w:szCs w:val="24"/>
          <w:lang w:val="en-US" w:eastAsia="en-AU"/>
        </w:rPr>
        <w:t>A</w:t>
      </w:r>
      <w:r w:rsidR="002C645E">
        <w:rPr>
          <w:rFonts w:cs="Calibri"/>
          <w:snapToGrid/>
          <w:szCs w:val="24"/>
          <w:lang w:val="en-US" w:eastAsia="en-AU"/>
        </w:rPr>
        <w:t>C noted that using the model preferred by ESC,</w:t>
      </w:r>
      <w:r w:rsidR="00583838" w:rsidRPr="00D17A82">
        <w:rPr>
          <w:rFonts w:cs="Calibri"/>
          <w:snapToGrid/>
          <w:szCs w:val="24"/>
          <w:lang w:val="en-US" w:eastAsia="en-AU"/>
        </w:rPr>
        <w:t xml:space="preserve"> this resulted in a non-significant improvement </w:t>
      </w:r>
      <w:r w:rsidR="00CC39ED" w:rsidRPr="00D17A82">
        <w:rPr>
          <w:rFonts w:cs="Calibri"/>
          <w:snapToGrid/>
          <w:szCs w:val="24"/>
          <w:lang w:val="en-US" w:eastAsia="en-AU"/>
        </w:rPr>
        <w:t>in OS after adjusting for cross</w:t>
      </w:r>
      <w:r w:rsidR="00CC39ED" w:rsidRPr="00D17A82">
        <w:rPr>
          <w:rFonts w:cs="Calibri"/>
          <w:snapToGrid/>
          <w:szCs w:val="24"/>
          <w:lang w:val="en-US" w:eastAsia="en-AU"/>
        </w:rPr>
        <w:noBreakHyphen/>
      </w:r>
      <w:r w:rsidR="00583838" w:rsidRPr="00D17A82">
        <w:rPr>
          <w:rFonts w:cs="Calibri"/>
          <w:snapToGrid/>
          <w:szCs w:val="24"/>
          <w:lang w:val="en-US" w:eastAsia="en-AU"/>
        </w:rPr>
        <w:t>over.</w:t>
      </w:r>
    </w:p>
    <w:p w:rsidR="00CE6401" w:rsidRPr="00CE6401" w:rsidRDefault="00CE6401" w:rsidP="00CE6401">
      <w:pPr>
        <w:keepNext/>
        <w:rPr>
          <w:rFonts w:ascii="Arial Narrow" w:hAnsi="Arial Narrow"/>
          <w:b/>
          <w:sz w:val="20"/>
          <w:szCs w:val="20"/>
        </w:rPr>
      </w:pPr>
      <w:r w:rsidRPr="00CE6401">
        <w:rPr>
          <w:rFonts w:ascii="Arial Narrow" w:hAnsi="Arial Narrow"/>
          <w:b/>
          <w:sz w:val="20"/>
          <w:szCs w:val="20"/>
        </w:rPr>
        <w:lastRenderedPageBreak/>
        <w:t xml:space="preserve">Table 11: Results of the network meta-analyses of </w:t>
      </w:r>
      <w:proofErr w:type="spellStart"/>
      <w:r w:rsidRPr="00CE6401">
        <w:rPr>
          <w:rFonts w:ascii="Arial Narrow" w:hAnsi="Arial Narrow"/>
          <w:b/>
          <w:sz w:val="20"/>
          <w:szCs w:val="20"/>
        </w:rPr>
        <w:t>lenalidomide</w:t>
      </w:r>
      <w:proofErr w:type="spellEnd"/>
      <w:r w:rsidRPr="00CE6401">
        <w:rPr>
          <w:rFonts w:ascii="Arial Narrow" w:hAnsi="Arial Narrow"/>
          <w:b/>
          <w:sz w:val="20"/>
          <w:szCs w:val="20"/>
        </w:rPr>
        <w:t xml:space="preserve">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835"/>
        <w:gridCol w:w="1842"/>
        <w:gridCol w:w="1560"/>
        <w:gridCol w:w="1225"/>
      </w:tblGrid>
      <w:tr w:rsidR="00CE6401" w:rsidRPr="00CE0BE9" w:rsidTr="00902ED9">
        <w:trPr>
          <w:cantSplit/>
        </w:trPr>
        <w:tc>
          <w:tcPr>
            <w:tcW w:w="1555" w:type="dxa"/>
            <w:shd w:val="clear" w:color="auto" w:fill="auto"/>
            <w:vAlign w:val="center"/>
            <w:hideMark/>
          </w:tcPr>
          <w:p w:rsidR="00CE6401" w:rsidRPr="00CE0BE9" w:rsidRDefault="00CE6401" w:rsidP="00902ED9">
            <w:pPr>
              <w:pStyle w:val="Tabletext"/>
              <w:keepNext/>
              <w:widowControl w:val="0"/>
              <w:adjustRightInd w:val="0"/>
              <w:snapToGrid w:val="0"/>
              <w:rPr>
                <w:rFonts w:eastAsia="SimSun"/>
                <w:b/>
                <w:szCs w:val="20"/>
                <w:lang w:eastAsia="en-AU"/>
              </w:rPr>
            </w:pPr>
            <w:r w:rsidRPr="00CE0BE9">
              <w:rPr>
                <w:rFonts w:eastAsia="SimSun"/>
                <w:b/>
                <w:szCs w:val="20"/>
                <w:lang w:eastAsia="en-AU"/>
              </w:rPr>
              <w:t>Measurement</w:t>
            </w:r>
          </w:p>
        </w:tc>
        <w:tc>
          <w:tcPr>
            <w:tcW w:w="2835" w:type="dxa"/>
            <w:shd w:val="clear" w:color="auto" w:fill="auto"/>
            <w:vAlign w:val="center"/>
            <w:hideMark/>
          </w:tcPr>
          <w:p w:rsidR="00CE6401" w:rsidRPr="00CE0BE9" w:rsidRDefault="00CE6401" w:rsidP="00902ED9">
            <w:pPr>
              <w:pStyle w:val="Tabletext"/>
              <w:keepNext/>
              <w:widowControl w:val="0"/>
              <w:jc w:val="center"/>
              <w:rPr>
                <w:rFonts w:eastAsia="SimSun"/>
                <w:b/>
                <w:szCs w:val="20"/>
                <w:lang w:eastAsia="en-AU"/>
              </w:rPr>
            </w:pPr>
            <w:r w:rsidRPr="00CE0BE9">
              <w:rPr>
                <w:rFonts w:eastAsia="SimSun"/>
                <w:b/>
                <w:szCs w:val="20"/>
                <w:lang w:eastAsia="en-AU"/>
              </w:rPr>
              <w:t>Outcome (LEN vs PBO/BSC) HR (95% CI)</w:t>
            </w:r>
            <w:r w:rsidRPr="00CE0BE9">
              <w:rPr>
                <w:rFonts w:eastAsia="SimSun"/>
                <w:szCs w:val="20"/>
                <w:vertAlign w:val="superscript"/>
                <w:lang w:eastAsia="en-AU"/>
              </w:rPr>
              <w:t>b</w:t>
            </w:r>
          </w:p>
        </w:tc>
        <w:tc>
          <w:tcPr>
            <w:tcW w:w="1842" w:type="dxa"/>
            <w:shd w:val="clear" w:color="auto" w:fill="auto"/>
            <w:vAlign w:val="center"/>
            <w:hideMark/>
          </w:tcPr>
          <w:p w:rsidR="00CE6401" w:rsidRPr="00CE0BE9" w:rsidRDefault="00CE6401" w:rsidP="00902ED9">
            <w:pPr>
              <w:pStyle w:val="Tabletext"/>
              <w:keepNext/>
              <w:widowControl w:val="0"/>
              <w:jc w:val="center"/>
              <w:rPr>
                <w:rFonts w:eastAsia="SimSun"/>
                <w:b/>
                <w:szCs w:val="20"/>
                <w:lang w:eastAsia="en-AU"/>
              </w:rPr>
            </w:pPr>
            <w:r w:rsidRPr="00CE0BE9">
              <w:rPr>
                <w:rFonts w:eastAsia="SimSun"/>
                <w:b/>
                <w:szCs w:val="20"/>
                <w:lang w:eastAsia="en-AU"/>
              </w:rPr>
              <w:t>Survival time, months Median (95% CI)</w:t>
            </w:r>
          </w:p>
        </w:tc>
        <w:tc>
          <w:tcPr>
            <w:tcW w:w="1560" w:type="dxa"/>
            <w:shd w:val="clear" w:color="auto" w:fill="auto"/>
            <w:vAlign w:val="center"/>
            <w:hideMark/>
          </w:tcPr>
          <w:p w:rsidR="00CE6401" w:rsidRPr="00CE0BE9" w:rsidRDefault="00CE6401" w:rsidP="00902ED9">
            <w:pPr>
              <w:pStyle w:val="Tabletext"/>
              <w:keepNext/>
              <w:widowControl w:val="0"/>
              <w:jc w:val="center"/>
              <w:rPr>
                <w:rFonts w:eastAsia="SimSun"/>
                <w:b/>
                <w:szCs w:val="20"/>
                <w:lang w:eastAsia="en-AU"/>
              </w:rPr>
            </w:pPr>
            <w:r w:rsidRPr="00CE0BE9">
              <w:rPr>
                <w:rFonts w:eastAsia="SimSun"/>
                <w:b/>
                <w:szCs w:val="20"/>
                <w:lang w:eastAsia="en-AU"/>
              </w:rPr>
              <w:t>Heterogeneity</w:t>
            </w:r>
          </w:p>
        </w:tc>
        <w:tc>
          <w:tcPr>
            <w:tcW w:w="1225" w:type="dxa"/>
            <w:vAlign w:val="center"/>
          </w:tcPr>
          <w:p w:rsidR="00CE6401" w:rsidRPr="00CE0BE9" w:rsidRDefault="00CE6401" w:rsidP="00902ED9">
            <w:pPr>
              <w:pStyle w:val="Tabletext"/>
              <w:keepNext/>
              <w:widowControl w:val="0"/>
              <w:jc w:val="center"/>
              <w:rPr>
                <w:rFonts w:eastAsia="SimSun"/>
                <w:b/>
                <w:szCs w:val="20"/>
                <w:lang w:eastAsia="en-AU"/>
              </w:rPr>
            </w:pPr>
            <w:r w:rsidRPr="00CE0BE9">
              <w:rPr>
                <w:rFonts w:eastAsia="SimSun"/>
                <w:b/>
                <w:szCs w:val="20"/>
                <w:lang w:eastAsia="en-AU"/>
              </w:rPr>
              <w:t>Studies</w:t>
            </w:r>
          </w:p>
        </w:tc>
      </w:tr>
      <w:tr w:rsidR="00CE6401" w:rsidRPr="00CE0BE9" w:rsidTr="00902ED9">
        <w:trPr>
          <w:cantSplit/>
        </w:trPr>
        <w:tc>
          <w:tcPr>
            <w:tcW w:w="1555" w:type="dxa"/>
            <w:shd w:val="clear" w:color="auto" w:fill="auto"/>
            <w:vAlign w:val="center"/>
          </w:tcPr>
          <w:p w:rsidR="00CE6401" w:rsidRPr="00CE0BE9" w:rsidRDefault="00CE6401" w:rsidP="00902ED9">
            <w:pPr>
              <w:pStyle w:val="Tabletext"/>
              <w:keepNext/>
              <w:widowControl w:val="0"/>
              <w:adjustRightInd w:val="0"/>
              <w:snapToGrid w:val="0"/>
              <w:rPr>
                <w:rFonts w:eastAsia="SimSun"/>
                <w:szCs w:val="20"/>
                <w:lang w:eastAsia="en-AU"/>
              </w:rPr>
            </w:pPr>
            <w:proofErr w:type="spellStart"/>
            <w:r w:rsidRPr="00CE0BE9">
              <w:rPr>
                <w:rFonts w:eastAsia="SimSun"/>
                <w:szCs w:val="20"/>
                <w:lang w:eastAsia="en-AU"/>
              </w:rPr>
              <w:t>PFS</w:t>
            </w:r>
            <w:r w:rsidRPr="00CE0BE9">
              <w:rPr>
                <w:rFonts w:eastAsia="SimSun"/>
                <w:szCs w:val="20"/>
                <w:vertAlign w:val="superscript"/>
                <w:lang w:eastAsia="en-AU"/>
              </w:rPr>
              <w:t>c</w:t>
            </w:r>
            <w:proofErr w:type="spellEnd"/>
            <w:r w:rsidRPr="00CE0BE9">
              <w:rPr>
                <w:rFonts w:eastAsia="SimSun"/>
                <w:szCs w:val="20"/>
                <w:lang w:eastAsia="en-AU"/>
              </w:rPr>
              <w:t xml:space="preserve"> </w:t>
            </w:r>
          </w:p>
        </w:tc>
        <w:tc>
          <w:tcPr>
            <w:tcW w:w="2835" w:type="dxa"/>
            <w:shd w:val="clear" w:color="auto" w:fill="auto"/>
            <w:vAlign w:val="center"/>
          </w:tcPr>
          <w:p w:rsidR="00CE6401" w:rsidRPr="00CE0BE9" w:rsidRDefault="00CE6401" w:rsidP="00902ED9">
            <w:pPr>
              <w:pStyle w:val="Tabletext"/>
              <w:keepNext/>
              <w:widowControl w:val="0"/>
              <w:adjustRightInd w:val="0"/>
              <w:snapToGrid w:val="0"/>
              <w:jc w:val="center"/>
              <w:rPr>
                <w:rFonts w:eastAsia="SimSun"/>
                <w:szCs w:val="20"/>
                <w:lang w:eastAsia="en-AU"/>
              </w:rPr>
            </w:pPr>
            <w:r w:rsidRPr="00CE0BE9">
              <w:rPr>
                <w:rFonts w:eastAsia="SimSun"/>
                <w:szCs w:val="20"/>
                <w:lang w:eastAsia="en-AU"/>
              </w:rPr>
              <w:t>Fixed effects 0.55 (0.49, 0.62)</w:t>
            </w:r>
          </w:p>
          <w:p w:rsidR="00CE6401" w:rsidRPr="00CE0BE9" w:rsidRDefault="00CE6401" w:rsidP="00902ED9">
            <w:pPr>
              <w:pStyle w:val="Tabletext"/>
              <w:keepNext/>
              <w:widowControl w:val="0"/>
              <w:adjustRightInd w:val="0"/>
              <w:snapToGrid w:val="0"/>
              <w:jc w:val="center"/>
              <w:rPr>
                <w:rFonts w:eastAsia="SimSun"/>
                <w:szCs w:val="20"/>
                <w:lang w:eastAsia="en-AU"/>
              </w:rPr>
            </w:pPr>
            <w:r w:rsidRPr="00CE0BE9">
              <w:rPr>
                <w:rFonts w:eastAsia="SimSun"/>
                <w:szCs w:val="20"/>
                <w:lang w:eastAsia="en-AU"/>
              </w:rPr>
              <w:t>Random effects 0.55 (0.49, 0.62)</w:t>
            </w:r>
          </w:p>
        </w:tc>
        <w:tc>
          <w:tcPr>
            <w:tcW w:w="1842" w:type="dxa"/>
            <w:shd w:val="clear" w:color="auto" w:fill="auto"/>
            <w:vAlign w:val="center"/>
          </w:tcPr>
          <w:p w:rsidR="00CE6401" w:rsidRPr="00CE0BE9" w:rsidRDefault="00CE6401" w:rsidP="00902ED9">
            <w:pPr>
              <w:pStyle w:val="Tabletext"/>
              <w:keepNext/>
              <w:widowControl w:val="0"/>
              <w:adjustRightInd w:val="0"/>
              <w:snapToGrid w:val="0"/>
              <w:jc w:val="center"/>
              <w:rPr>
                <w:rFonts w:eastAsia="SimSun"/>
                <w:szCs w:val="20"/>
                <w:lang w:eastAsia="en-AU"/>
              </w:rPr>
            </w:pPr>
            <w:r w:rsidRPr="00CE0BE9">
              <w:rPr>
                <w:rFonts w:eastAsia="SimSun"/>
                <w:iCs/>
                <w:szCs w:val="18"/>
                <w:bdr w:val="none" w:sz="0" w:space="0" w:color="auto" w:frame="1"/>
                <w:lang w:eastAsia="en-AU"/>
              </w:rPr>
              <w:t>NR</w:t>
            </w:r>
          </w:p>
        </w:tc>
        <w:tc>
          <w:tcPr>
            <w:tcW w:w="1560" w:type="dxa"/>
            <w:shd w:val="clear" w:color="auto" w:fill="auto"/>
            <w:vAlign w:val="center"/>
          </w:tcPr>
          <w:p w:rsidR="00CE6401" w:rsidRPr="00CE0BE9" w:rsidRDefault="00CE6401" w:rsidP="00902ED9">
            <w:pPr>
              <w:pStyle w:val="Tabletext"/>
              <w:keepNext/>
              <w:widowControl w:val="0"/>
              <w:adjustRightInd w:val="0"/>
              <w:snapToGrid w:val="0"/>
              <w:jc w:val="center"/>
              <w:rPr>
                <w:rFonts w:eastAsia="SimSun"/>
                <w:szCs w:val="20"/>
                <w:lang w:eastAsia="en-AU"/>
              </w:rPr>
            </w:pPr>
            <w:r w:rsidRPr="00CE0BE9">
              <w:rPr>
                <w:rFonts w:eastAsia="SimSun"/>
                <w:szCs w:val="20"/>
                <w:lang w:eastAsia="en-AU"/>
              </w:rPr>
              <w:t>I</w:t>
            </w:r>
            <w:r w:rsidRPr="00CE0BE9">
              <w:rPr>
                <w:rFonts w:eastAsia="SimSun"/>
                <w:szCs w:val="20"/>
                <w:vertAlign w:val="superscript"/>
                <w:lang w:eastAsia="en-AU"/>
              </w:rPr>
              <w:t>2</w:t>
            </w:r>
            <w:r w:rsidRPr="00CE0BE9">
              <w:rPr>
                <w:rFonts w:eastAsia="SimSun"/>
                <w:szCs w:val="20"/>
                <w:lang w:eastAsia="en-AU"/>
              </w:rPr>
              <w:t>=0%</w:t>
            </w:r>
          </w:p>
        </w:tc>
        <w:tc>
          <w:tcPr>
            <w:tcW w:w="1225" w:type="dxa"/>
            <w:vMerge w:val="restart"/>
            <w:vAlign w:val="center"/>
          </w:tcPr>
          <w:p w:rsidR="00CE6401" w:rsidRPr="00CE0BE9" w:rsidRDefault="00CE6401" w:rsidP="00902ED9">
            <w:pPr>
              <w:pStyle w:val="Tabletext"/>
              <w:keepNext/>
              <w:widowControl w:val="0"/>
              <w:adjustRightInd w:val="0"/>
              <w:snapToGrid w:val="0"/>
              <w:jc w:val="center"/>
              <w:rPr>
                <w:rFonts w:eastAsia="SimSun"/>
                <w:szCs w:val="20"/>
                <w:lang w:eastAsia="en-AU"/>
              </w:rPr>
            </w:pPr>
            <w:r w:rsidRPr="00CE0BE9">
              <w:rPr>
                <w:szCs w:val="20"/>
                <w:lang w:eastAsia="zh-CN"/>
              </w:rPr>
              <w:t>CALGB, IFM 2005</w:t>
            </w:r>
            <w:r w:rsidRPr="00CE0BE9">
              <w:rPr>
                <w:szCs w:val="20"/>
                <w:lang w:eastAsia="zh-CN"/>
              </w:rPr>
              <w:noBreakHyphen/>
              <w:t>02, GIMEMA, Myeloma</w:t>
            </w:r>
            <w:r w:rsidRPr="00CE0BE9">
              <w:rPr>
                <w:szCs w:val="20"/>
              </w:rPr>
              <w:t> XI</w:t>
            </w:r>
          </w:p>
        </w:tc>
      </w:tr>
      <w:tr w:rsidR="00CE6401" w:rsidRPr="00CE0BE9" w:rsidTr="00902ED9">
        <w:trPr>
          <w:cantSplit/>
        </w:trPr>
        <w:tc>
          <w:tcPr>
            <w:tcW w:w="1555" w:type="dxa"/>
            <w:shd w:val="clear" w:color="auto" w:fill="auto"/>
            <w:vAlign w:val="center"/>
          </w:tcPr>
          <w:p w:rsidR="00CE6401" w:rsidRPr="00CE0BE9" w:rsidRDefault="00CE6401" w:rsidP="00902ED9">
            <w:pPr>
              <w:pStyle w:val="Tabletext"/>
              <w:keepNext/>
              <w:widowControl w:val="0"/>
              <w:adjustRightInd w:val="0"/>
              <w:snapToGrid w:val="0"/>
              <w:rPr>
                <w:rFonts w:eastAsia="SimSun"/>
                <w:szCs w:val="20"/>
                <w:lang w:eastAsia="en-AU"/>
              </w:rPr>
            </w:pPr>
            <w:r w:rsidRPr="00CE0BE9">
              <w:rPr>
                <w:rFonts w:eastAsia="SimSun"/>
                <w:szCs w:val="20"/>
                <w:lang w:eastAsia="en-AU"/>
              </w:rPr>
              <w:t>PFS</w:t>
            </w:r>
            <w:r w:rsidRPr="00CE0BE9">
              <w:rPr>
                <w:rFonts w:eastAsia="SimSun"/>
                <w:szCs w:val="20"/>
                <w:lang w:val="en-US" w:eastAsia="en-AU"/>
              </w:rPr>
              <w:t xml:space="preserve"> (Adjusted))</w:t>
            </w:r>
            <w:r w:rsidRPr="00CE0BE9">
              <w:rPr>
                <w:rFonts w:eastAsia="SimSun"/>
                <w:szCs w:val="20"/>
                <w:vertAlign w:val="superscript"/>
                <w:lang w:eastAsia="en-AU"/>
              </w:rPr>
              <w:t>cd</w:t>
            </w:r>
          </w:p>
        </w:tc>
        <w:tc>
          <w:tcPr>
            <w:tcW w:w="2835" w:type="dxa"/>
            <w:shd w:val="clear" w:color="auto" w:fill="auto"/>
            <w:vAlign w:val="center"/>
          </w:tcPr>
          <w:p w:rsidR="00CE6401" w:rsidRPr="00CE0BE9" w:rsidRDefault="00CE6401" w:rsidP="00902ED9">
            <w:pPr>
              <w:pStyle w:val="Tabletext"/>
              <w:keepNext/>
              <w:widowControl w:val="0"/>
              <w:adjustRightInd w:val="0"/>
              <w:snapToGrid w:val="0"/>
              <w:jc w:val="center"/>
              <w:rPr>
                <w:rFonts w:eastAsia="SimSun"/>
                <w:szCs w:val="20"/>
                <w:lang w:eastAsia="en-AU"/>
              </w:rPr>
            </w:pPr>
            <w:r w:rsidRPr="00CE0BE9">
              <w:rPr>
                <w:rFonts w:eastAsia="SimSun"/>
                <w:szCs w:val="20"/>
                <w:lang w:eastAsia="en-AU"/>
              </w:rPr>
              <w:t>Fixed effects 0.53 (0.46, 0.59)</w:t>
            </w:r>
          </w:p>
          <w:p w:rsidR="00CE6401" w:rsidRPr="00CE0BE9" w:rsidRDefault="00CE6401" w:rsidP="00902ED9">
            <w:pPr>
              <w:pStyle w:val="Tabletext"/>
              <w:keepNext/>
              <w:widowControl w:val="0"/>
              <w:adjustRightInd w:val="0"/>
              <w:snapToGrid w:val="0"/>
              <w:jc w:val="center"/>
              <w:rPr>
                <w:rFonts w:eastAsia="SimSun"/>
                <w:szCs w:val="20"/>
                <w:lang w:eastAsia="en-AU"/>
              </w:rPr>
            </w:pPr>
            <w:r w:rsidRPr="00CE0BE9">
              <w:rPr>
                <w:rFonts w:eastAsia="SimSun"/>
                <w:szCs w:val="20"/>
                <w:lang w:eastAsia="en-AU"/>
              </w:rPr>
              <w:t>Random effects 0.53 (0.46, 0.59)</w:t>
            </w:r>
          </w:p>
        </w:tc>
        <w:tc>
          <w:tcPr>
            <w:tcW w:w="1842" w:type="dxa"/>
            <w:shd w:val="clear" w:color="auto" w:fill="auto"/>
            <w:vAlign w:val="center"/>
          </w:tcPr>
          <w:p w:rsidR="00CE6401" w:rsidRPr="00CE0BE9" w:rsidRDefault="00CE6401" w:rsidP="00902ED9">
            <w:pPr>
              <w:pStyle w:val="Tabletext"/>
              <w:keepNext/>
              <w:widowControl w:val="0"/>
              <w:adjustRightInd w:val="0"/>
              <w:snapToGrid w:val="0"/>
              <w:jc w:val="center"/>
              <w:rPr>
                <w:rFonts w:eastAsia="SimSun"/>
                <w:szCs w:val="20"/>
                <w:lang w:eastAsia="en-AU"/>
              </w:rPr>
            </w:pPr>
            <w:r w:rsidRPr="00CE0BE9">
              <w:rPr>
                <w:rFonts w:eastAsia="SimSun"/>
                <w:iCs/>
                <w:szCs w:val="18"/>
                <w:bdr w:val="none" w:sz="0" w:space="0" w:color="auto" w:frame="1"/>
                <w:lang w:eastAsia="en-AU"/>
              </w:rPr>
              <w:t>NR</w:t>
            </w:r>
          </w:p>
        </w:tc>
        <w:tc>
          <w:tcPr>
            <w:tcW w:w="1560" w:type="dxa"/>
            <w:shd w:val="clear" w:color="auto" w:fill="auto"/>
            <w:vAlign w:val="center"/>
          </w:tcPr>
          <w:p w:rsidR="00CE6401" w:rsidRPr="00CE0BE9" w:rsidRDefault="00CE6401" w:rsidP="00902ED9">
            <w:pPr>
              <w:pStyle w:val="Tabletext"/>
              <w:keepNext/>
              <w:widowControl w:val="0"/>
              <w:adjustRightInd w:val="0"/>
              <w:snapToGrid w:val="0"/>
              <w:jc w:val="center"/>
              <w:rPr>
                <w:rFonts w:eastAsia="SimSun"/>
                <w:szCs w:val="20"/>
                <w:lang w:eastAsia="en-AU"/>
              </w:rPr>
            </w:pPr>
            <w:r w:rsidRPr="00CE0BE9">
              <w:rPr>
                <w:rFonts w:eastAsia="SimSun"/>
                <w:szCs w:val="20"/>
                <w:lang w:eastAsia="en-AU"/>
              </w:rPr>
              <w:t>I</w:t>
            </w:r>
            <w:r w:rsidRPr="00CE0BE9">
              <w:rPr>
                <w:rFonts w:eastAsia="SimSun"/>
                <w:szCs w:val="20"/>
                <w:vertAlign w:val="superscript"/>
                <w:lang w:eastAsia="en-AU"/>
              </w:rPr>
              <w:t>2</w:t>
            </w:r>
            <w:r w:rsidRPr="00CE0BE9">
              <w:rPr>
                <w:rFonts w:eastAsia="SimSun"/>
                <w:szCs w:val="20"/>
                <w:lang w:eastAsia="en-AU"/>
              </w:rPr>
              <w:t>=0%</w:t>
            </w:r>
          </w:p>
        </w:tc>
        <w:tc>
          <w:tcPr>
            <w:tcW w:w="1225" w:type="dxa"/>
            <w:vMerge/>
            <w:vAlign w:val="center"/>
          </w:tcPr>
          <w:p w:rsidR="00CE6401" w:rsidRPr="00CE0BE9" w:rsidRDefault="00CE6401" w:rsidP="00902ED9">
            <w:pPr>
              <w:pStyle w:val="Tabletext"/>
              <w:keepNext/>
              <w:widowControl w:val="0"/>
              <w:adjustRightInd w:val="0"/>
              <w:snapToGrid w:val="0"/>
              <w:jc w:val="center"/>
              <w:rPr>
                <w:szCs w:val="20"/>
                <w:lang w:eastAsia="zh-CN"/>
              </w:rPr>
            </w:pPr>
          </w:p>
        </w:tc>
      </w:tr>
      <w:tr w:rsidR="00CE6401" w:rsidRPr="00CE0BE9" w:rsidTr="00902ED9">
        <w:trPr>
          <w:cantSplit/>
        </w:trPr>
        <w:tc>
          <w:tcPr>
            <w:tcW w:w="1555" w:type="dxa"/>
            <w:shd w:val="clear" w:color="auto" w:fill="auto"/>
            <w:vAlign w:val="center"/>
          </w:tcPr>
          <w:p w:rsidR="00CE6401" w:rsidRPr="00CE0BE9" w:rsidRDefault="00CE6401" w:rsidP="00902ED9">
            <w:pPr>
              <w:pStyle w:val="Tabletext"/>
              <w:keepNext/>
              <w:widowControl w:val="0"/>
              <w:adjustRightInd w:val="0"/>
              <w:snapToGrid w:val="0"/>
              <w:rPr>
                <w:rFonts w:eastAsia="SimSun"/>
                <w:szCs w:val="20"/>
                <w:lang w:eastAsia="en-AU"/>
              </w:rPr>
            </w:pPr>
            <w:r w:rsidRPr="00CE0BE9">
              <w:rPr>
                <w:rFonts w:eastAsia="SimSun"/>
                <w:szCs w:val="20"/>
                <w:lang w:eastAsia="en-AU"/>
              </w:rPr>
              <w:t>OS</w:t>
            </w:r>
          </w:p>
        </w:tc>
        <w:tc>
          <w:tcPr>
            <w:tcW w:w="2835" w:type="dxa"/>
            <w:shd w:val="clear" w:color="auto" w:fill="auto"/>
            <w:vAlign w:val="center"/>
          </w:tcPr>
          <w:p w:rsidR="00CE6401" w:rsidRPr="00CE0BE9" w:rsidRDefault="00CE6401" w:rsidP="00902ED9">
            <w:pPr>
              <w:pStyle w:val="Tabletext"/>
              <w:keepNext/>
              <w:widowControl w:val="0"/>
              <w:adjustRightInd w:val="0"/>
              <w:snapToGrid w:val="0"/>
              <w:jc w:val="center"/>
              <w:rPr>
                <w:rFonts w:eastAsia="SimSun"/>
                <w:szCs w:val="20"/>
                <w:lang w:eastAsia="en-AU"/>
              </w:rPr>
            </w:pPr>
            <w:r w:rsidRPr="00CE0BE9">
              <w:rPr>
                <w:rFonts w:eastAsia="SimSun"/>
                <w:szCs w:val="20"/>
                <w:lang w:eastAsia="en-AU"/>
              </w:rPr>
              <w:t>Fixed effects 0.76 (0.64, 0.90)</w:t>
            </w:r>
          </w:p>
          <w:p w:rsidR="00CE6401" w:rsidRPr="00CE0BE9" w:rsidRDefault="00CE6401" w:rsidP="00902ED9">
            <w:pPr>
              <w:pStyle w:val="Tabletext"/>
              <w:keepNext/>
              <w:widowControl w:val="0"/>
              <w:adjustRightInd w:val="0"/>
              <w:snapToGrid w:val="0"/>
              <w:jc w:val="center"/>
              <w:rPr>
                <w:rFonts w:eastAsia="SimSun"/>
                <w:szCs w:val="20"/>
                <w:lang w:eastAsia="en-AU"/>
              </w:rPr>
            </w:pPr>
            <w:r w:rsidRPr="00CE0BE9">
              <w:rPr>
                <w:rFonts w:eastAsia="SimSun"/>
                <w:szCs w:val="20"/>
                <w:lang w:eastAsia="en-AU"/>
              </w:rPr>
              <w:t xml:space="preserve">Random effects </w:t>
            </w:r>
            <w:r w:rsidRPr="00CE0BE9">
              <w:rPr>
                <w:szCs w:val="20"/>
                <w:lang w:val="fr-CH"/>
              </w:rPr>
              <w:t>0.73 (0.55,0.99)</w:t>
            </w:r>
          </w:p>
        </w:tc>
        <w:tc>
          <w:tcPr>
            <w:tcW w:w="1842" w:type="dxa"/>
            <w:shd w:val="clear" w:color="auto" w:fill="auto"/>
            <w:vAlign w:val="center"/>
          </w:tcPr>
          <w:p w:rsidR="00CE6401" w:rsidRPr="00CE0BE9" w:rsidRDefault="00CE6401" w:rsidP="00902ED9">
            <w:pPr>
              <w:pStyle w:val="Tabletext"/>
              <w:keepNext/>
              <w:widowControl w:val="0"/>
              <w:adjustRightInd w:val="0"/>
              <w:snapToGrid w:val="0"/>
              <w:jc w:val="center"/>
              <w:rPr>
                <w:rFonts w:eastAsia="SimSun"/>
                <w:szCs w:val="20"/>
                <w:lang w:eastAsia="en-AU"/>
              </w:rPr>
            </w:pPr>
            <w:r w:rsidRPr="00CE0BE9">
              <w:rPr>
                <w:rFonts w:eastAsia="SimSun"/>
                <w:iCs/>
                <w:szCs w:val="18"/>
                <w:bdr w:val="none" w:sz="0" w:space="0" w:color="auto" w:frame="1"/>
                <w:lang w:eastAsia="en-AU"/>
              </w:rPr>
              <w:t>NR</w:t>
            </w:r>
          </w:p>
        </w:tc>
        <w:tc>
          <w:tcPr>
            <w:tcW w:w="1560" w:type="dxa"/>
            <w:shd w:val="clear" w:color="auto" w:fill="auto"/>
            <w:vAlign w:val="center"/>
          </w:tcPr>
          <w:p w:rsidR="00CE6401" w:rsidRPr="00CE0BE9" w:rsidRDefault="00CE6401" w:rsidP="00902ED9">
            <w:pPr>
              <w:pStyle w:val="Tabletext"/>
              <w:keepNext/>
              <w:widowControl w:val="0"/>
              <w:adjustRightInd w:val="0"/>
              <w:snapToGrid w:val="0"/>
              <w:jc w:val="center"/>
              <w:rPr>
                <w:rFonts w:eastAsia="SimSun"/>
                <w:szCs w:val="20"/>
                <w:lang w:eastAsia="en-AU"/>
              </w:rPr>
            </w:pPr>
            <w:r w:rsidRPr="00CE0BE9">
              <w:rPr>
                <w:rFonts w:eastAsia="SimSun"/>
                <w:szCs w:val="20"/>
                <w:lang w:eastAsia="en-AU"/>
              </w:rPr>
              <w:t>I</w:t>
            </w:r>
            <w:r w:rsidRPr="00CE0BE9">
              <w:rPr>
                <w:rFonts w:eastAsia="SimSun"/>
                <w:szCs w:val="20"/>
                <w:vertAlign w:val="superscript"/>
                <w:lang w:eastAsia="en-AU"/>
              </w:rPr>
              <w:t>2</w:t>
            </w:r>
            <w:r w:rsidRPr="00CE0BE9">
              <w:rPr>
                <w:rFonts w:eastAsia="SimSun"/>
                <w:szCs w:val="20"/>
                <w:lang w:eastAsia="en-AU"/>
              </w:rPr>
              <w:t>=56.6%</w:t>
            </w:r>
          </w:p>
        </w:tc>
        <w:tc>
          <w:tcPr>
            <w:tcW w:w="1225" w:type="dxa"/>
            <w:vMerge w:val="restart"/>
            <w:vAlign w:val="center"/>
          </w:tcPr>
          <w:p w:rsidR="00CE6401" w:rsidRPr="00CE0BE9" w:rsidRDefault="00CE6401" w:rsidP="00902ED9">
            <w:pPr>
              <w:pStyle w:val="Tabletext"/>
              <w:keepNext/>
              <w:widowControl w:val="0"/>
              <w:adjustRightInd w:val="0"/>
              <w:snapToGrid w:val="0"/>
              <w:jc w:val="center"/>
              <w:rPr>
                <w:rFonts w:eastAsia="SimSun"/>
                <w:szCs w:val="20"/>
                <w:lang w:eastAsia="en-AU"/>
              </w:rPr>
            </w:pPr>
            <w:r w:rsidRPr="00CE0BE9">
              <w:rPr>
                <w:szCs w:val="20"/>
                <w:lang w:eastAsia="zh-CN"/>
              </w:rPr>
              <w:t>CALGB, IFM 2005</w:t>
            </w:r>
            <w:r w:rsidRPr="00CE0BE9">
              <w:rPr>
                <w:szCs w:val="20"/>
                <w:lang w:eastAsia="zh-CN"/>
              </w:rPr>
              <w:noBreakHyphen/>
              <w:t>02, GIMEMA</w:t>
            </w:r>
          </w:p>
        </w:tc>
      </w:tr>
      <w:tr w:rsidR="00CE6401" w:rsidRPr="00CE0BE9" w:rsidTr="00902ED9">
        <w:trPr>
          <w:cantSplit/>
        </w:trPr>
        <w:tc>
          <w:tcPr>
            <w:tcW w:w="1555" w:type="dxa"/>
            <w:shd w:val="clear" w:color="auto" w:fill="auto"/>
            <w:vAlign w:val="center"/>
          </w:tcPr>
          <w:p w:rsidR="00CE6401" w:rsidRPr="00CE0BE9" w:rsidRDefault="00CE6401" w:rsidP="00902ED9">
            <w:pPr>
              <w:pStyle w:val="Tabletext"/>
              <w:keepNext/>
              <w:widowControl w:val="0"/>
              <w:adjustRightInd w:val="0"/>
              <w:snapToGrid w:val="0"/>
              <w:rPr>
                <w:rFonts w:eastAsia="SimSun"/>
                <w:szCs w:val="20"/>
                <w:lang w:eastAsia="en-AU"/>
              </w:rPr>
            </w:pPr>
            <w:r w:rsidRPr="00CE0BE9">
              <w:rPr>
                <w:rFonts w:eastAsia="SimSun"/>
                <w:szCs w:val="20"/>
                <w:lang w:eastAsia="en-AU"/>
              </w:rPr>
              <w:t>OS (Adjusted)</w:t>
            </w:r>
            <w:r w:rsidRPr="00CE0BE9">
              <w:rPr>
                <w:rFonts w:eastAsia="SimSun"/>
                <w:szCs w:val="20"/>
                <w:vertAlign w:val="superscript"/>
                <w:lang w:eastAsia="en-AU"/>
              </w:rPr>
              <w:t>d</w:t>
            </w:r>
          </w:p>
        </w:tc>
        <w:tc>
          <w:tcPr>
            <w:tcW w:w="2835" w:type="dxa"/>
            <w:shd w:val="clear" w:color="auto" w:fill="auto"/>
            <w:vAlign w:val="center"/>
          </w:tcPr>
          <w:p w:rsidR="00CE6401" w:rsidRPr="00CE0BE9" w:rsidRDefault="00CE6401" w:rsidP="00902ED9">
            <w:pPr>
              <w:pStyle w:val="Tabletext"/>
              <w:keepNext/>
              <w:widowControl w:val="0"/>
              <w:adjustRightInd w:val="0"/>
              <w:snapToGrid w:val="0"/>
              <w:jc w:val="center"/>
              <w:rPr>
                <w:rFonts w:eastAsia="SimSun"/>
                <w:szCs w:val="20"/>
                <w:lang w:eastAsia="en-AU"/>
              </w:rPr>
            </w:pPr>
            <w:r w:rsidRPr="00CE0BE9">
              <w:rPr>
                <w:rFonts w:eastAsia="SimSun"/>
                <w:szCs w:val="20"/>
                <w:lang w:eastAsia="en-AU"/>
              </w:rPr>
              <w:t>Fixed effects 0.75 (0.63, 0.90)</w:t>
            </w:r>
          </w:p>
          <w:p w:rsidR="00CE6401" w:rsidRPr="00CE0BE9" w:rsidRDefault="00CE6401" w:rsidP="00902ED9">
            <w:pPr>
              <w:pStyle w:val="Tabletext"/>
              <w:keepNext/>
              <w:widowControl w:val="0"/>
              <w:adjustRightInd w:val="0"/>
              <w:snapToGrid w:val="0"/>
              <w:jc w:val="center"/>
              <w:rPr>
                <w:rFonts w:eastAsia="SimSun"/>
                <w:szCs w:val="20"/>
                <w:lang w:eastAsia="en-AU"/>
              </w:rPr>
            </w:pPr>
            <w:r w:rsidRPr="00CE0BE9">
              <w:rPr>
                <w:rFonts w:eastAsia="SimSun"/>
                <w:szCs w:val="20"/>
                <w:lang w:eastAsia="en-AU"/>
              </w:rPr>
              <w:t xml:space="preserve">Random effects </w:t>
            </w:r>
            <w:r w:rsidRPr="00CE0BE9">
              <w:rPr>
                <w:szCs w:val="20"/>
                <w:lang w:val="en-GB"/>
              </w:rPr>
              <w:t>0.68 (0.45,1.04)</w:t>
            </w:r>
          </w:p>
        </w:tc>
        <w:tc>
          <w:tcPr>
            <w:tcW w:w="1842" w:type="dxa"/>
            <w:shd w:val="clear" w:color="auto" w:fill="auto"/>
            <w:vAlign w:val="center"/>
          </w:tcPr>
          <w:p w:rsidR="00CE6401" w:rsidRPr="00CE0BE9" w:rsidRDefault="00CE6401" w:rsidP="00902ED9">
            <w:pPr>
              <w:pStyle w:val="Tabletext"/>
              <w:keepNext/>
              <w:widowControl w:val="0"/>
              <w:adjustRightInd w:val="0"/>
              <w:snapToGrid w:val="0"/>
              <w:jc w:val="center"/>
              <w:rPr>
                <w:rFonts w:eastAsia="SimSun"/>
                <w:szCs w:val="20"/>
                <w:lang w:eastAsia="en-AU"/>
              </w:rPr>
            </w:pPr>
            <w:r w:rsidRPr="00CE0BE9">
              <w:rPr>
                <w:rFonts w:eastAsia="SimSun"/>
                <w:iCs/>
                <w:szCs w:val="18"/>
                <w:bdr w:val="none" w:sz="0" w:space="0" w:color="auto" w:frame="1"/>
                <w:lang w:eastAsia="en-AU"/>
              </w:rPr>
              <w:t>NR</w:t>
            </w:r>
          </w:p>
        </w:tc>
        <w:tc>
          <w:tcPr>
            <w:tcW w:w="1560" w:type="dxa"/>
            <w:shd w:val="clear" w:color="auto" w:fill="auto"/>
            <w:vAlign w:val="center"/>
          </w:tcPr>
          <w:p w:rsidR="00CE6401" w:rsidRPr="00CE0BE9" w:rsidRDefault="00CE6401" w:rsidP="00902ED9">
            <w:pPr>
              <w:pStyle w:val="Tabletext"/>
              <w:keepNext/>
              <w:widowControl w:val="0"/>
              <w:adjustRightInd w:val="0"/>
              <w:snapToGrid w:val="0"/>
              <w:jc w:val="center"/>
              <w:rPr>
                <w:rFonts w:eastAsia="SimSun"/>
                <w:szCs w:val="20"/>
                <w:lang w:eastAsia="en-AU"/>
              </w:rPr>
            </w:pPr>
            <w:r w:rsidRPr="00CE0BE9">
              <w:rPr>
                <w:rFonts w:eastAsia="SimSun"/>
                <w:szCs w:val="20"/>
                <w:lang w:eastAsia="en-AU"/>
              </w:rPr>
              <w:t>I</w:t>
            </w:r>
            <w:r w:rsidRPr="00CE0BE9">
              <w:rPr>
                <w:rFonts w:eastAsia="SimSun"/>
                <w:szCs w:val="20"/>
                <w:vertAlign w:val="superscript"/>
                <w:lang w:eastAsia="en-AU"/>
              </w:rPr>
              <w:t>2</w:t>
            </w:r>
            <w:r w:rsidRPr="00CE0BE9">
              <w:rPr>
                <w:rFonts w:eastAsia="SimSun"/>
                <w:szCs w:val="20"/>
                <w:lang w:eastAsia="en-AU"/>
              </w:rPr>
              <w:t>=72.9%</w:t>
            </w:r>
          </w:p>
        </w:tc>
        <w:tc>
          <w:tcPr>
            <w:tcW w:w="1225" w:type="dxa"/>
            <w:vMerge/>
          </w:tcPr>
          <w:p w:rsidR="00CE6401" w:rsidRPr="00CE0BE9" w:rsidRDefault="00CE6401" w:rsidP="00902ED9">
            <w:pPr>
              <w:pStyle w:val="Tabletext"/>
              <w:keepNext/>
              <w:widowControl w:val="0"/>
              <w:adjustRightInd w:val="0"/>
              <w:snapToGrid w:val="0"/>
              <w:jc w:val="center"/>
              <w:rPr>
                <w:rFonts w:eastAsia="SimSun"/>
                <w:szCs w:val="20"/>
                <w:lang w:eastAsia="en-AU"/>
              </w:rPr>
            </w:pPr>
          </w:p>
        </w:tc>
      </w:tr>
    </w:tbl>
    <w:p w:rsidR="00CE6401" w:rsidRDefault="00CC39ED" w:rsidP="00CC39ED">
      <w:pPr>
        <w:pStyle w:val="ListParagraph"/>
        <w:spacing w:after="0"/>
        <w:ind w:left="0"/>
        <w:rPr>
          <w:rFonts w:ascii="Arial Narrow" w:hAnsi="Arial Narrow"/>
          <w:sz w:val="18"/>
          <w:szCs w:val="18"/>
        </w:rPr>
      </w:pPr>
      <w:r w:rsidRPr="00CE0BE9">
        <w:rPr>
          <w:rFonts w:ascii="Arial Narrow" w:hAnsi="Arial Narrow"/>
          <w:sz w:val="18"/>
          <w:szCs w:val="18"/>
        </w:rPr>
        <w:t>Source: Table 2.6.3, p.113-114 of the submission.</w:t>
      </w:r>
    </w:p>
    <w:p w:rsidR="00CE6401" w:rsidRPr="00CE0BE9" w:rsidRDefault="00CE6401" w:rsidP="00CE6401">
      <w:pPr>
        <w:pStyle w:val="ListParagraph"/>
        <w:ind w:left="0"/>
        <w:rPr>
          <w:rFonts w:ascii="Arial Narrow" w:hAnsi="Arial Narrow"/>
          <w:sz w:val="18"/>
          <w:szCs w:val="18"/>
        </w:rPr>
      </w:pPr>
      <w:r w:rsidRPr="00CE0BE9">
        <w:rPr>
          <w:rFonts w:ascii="Arial Narrow" w:hAnsi="Arial Narrow"/>
          <w:sz w:val="18"/>
          <w:szCs w:val="18"/>
        </w:rPr>
        <w:t>Abbreviations: AMT=anti-myeloma treatment; BSC=best supportive care; CI=confidence interval; EMA=European Medicines Agency; FDA=Federal Drug Administration; HR=hazard ratio; ITT=intention to treat; LEN=</w:t>
      </w:r>
      <w:proofErr w:type="spellStart"/>
      <w:r w:rsidRPr="00CE0BE9">
        <w:rPr>
          <w:rFonts w:ascii="Arial Narrow" w:hAnsi="Arial Narrow"/>
          <w:sz w:val="18"/>
          <w:szCs w:val="18"/>
        </w:rPr>
        <w:t>lenalidomide</w:t>
      </w:r>
      <w:proofErr w:type="spellEnd"/>
      <w:r w:rsidRPr="00CE0BE9">
        <w:rPr>
          <w:rFonts w:ascii="Arial Narrow" w:hAnsi="Arial Narrow"/>
          <w:sz w:val="18"/>
          <w:szCs w:val="18"/>
        </w:rPr>
        <w:t>; NMA=network meta-analysis; NR=not reported; OS=overall survival; PFS=progression-free survival; PFS2= progression-free survival after next therapy; PD=progressive disease; RPSFTM = rank preserving structural failure time model.</w:t>
      </w:r>
      <w:r w:rsidR="00F974DE">
        <w:rPr>
          <w:rFonts w:ascii="Arial Narrow" w:hAnsi="Arial Narrow"/>
          <w:sz w:val="18"/>
          <w:szCs w:val="18"/>
        </w:rPr>
        <w:t xml:space="preserve"> </w:t>
      </w:r>
      <w:r w:rsidRPr="00CE0BE9">
        <w:rPr>
          <w:rFonts w:ascii="Arial Narrow" w:hAnsi="Arial Narrow"/>
          <w:sz w:val="18"/>
          <w:szCs w:val="18"/>
        </w:rPr>
        <w:t xml:space="preserve">Notes: a There are some differences between McCarthy 2017 meta-analysis and the Celgene OS meta-analysis report in terms of OS at March 2015. Primary differences appear to be due to a smaller number of subjects used by McCarthy 2017 in the PBO/OBS arm (N=67 in McCarthy vs N=68 OS meta-analysis report) due to one person developing PD during consolidation being excluded by McCarthy 2017. Thus there were 491 deaths in OS meta-analysis report and 490 deaths in McCarthy 2017).  </w:t>
      </w:r>
      <w:proofErr w:type="gramStart"/>
      <w:r w:rsidRPr="00CE0BE9">
        <w:rPr>
          <w:rFonts w:ascii="Arial Narrow" w:hAnsi="Arial Narrow"/>
          <w:sz w:val="18"/>
          <w:szCs w:val="18"/>
        </w:rPr>
        <w:t>b</w:t>
      </w:r>
      <w:proofErr w:type="gramEnd"/>
      <w:r w:rsidRPr="00CE0BE9">
        <w:rPr>
          <w:rFonts w:ascii="Arial Narrow" w:hAnsi="Arial Narrow"/>
          <w:sz w:val="18"/>
          <w:szCs w:val="18"/>
        </w:rPr>
        <w:t xml:space="preserve"> Feb 2016 data cut used for CALGB, IFM 2005-02 and GIMEMA, except for CALGB OS (ITT) results which used the Oct 2016 data cut. Myeloma XI results are from Jackson 2016. c. EMA censoring was used for CALGB, IFM 2005 02 and GIMEMA and censoring rules were not reported for Myeloma XI d. CALGB results adjusted for cross-over using RPSFTM.  </w:t>
      </w:r>
    </w:p>
    <w:p w:rsidR="00E50D99" w:rsidRPr="00CE0BE9" w:rsidRDefault="00E50D99" w:rsidP="00E50D99">
      <w:pPr>
        <w:pStyle w:val="ListParagraph"/>
        <w:ind w:left="0"/>
        <w:rPr>
          <w:rFonts w:cs="Calibri"/>
          <w:snapToGrid/>
          <w:szCs w:val="24"/>
          <w:u w:val="single"/>
          <w:lang w:val="en-US" w:eastAsia="en-AU"/>
        </w:rPr>
      </w:pPr>
      <w:r w:rsidRPr="00CE0BE9">
        <w:rPr>
          <w:rFonts w:cs="Calibri"/>
          <w:snapToGrid/>
          <w:szCs w:val="24"/>
          <w:u w:val="single"/>
          <w:lang w:val="en-US" w:eastAsia="en-AU"/>
        </w:rPr>
        <w:t>Thalidomide vs. BSC</w:t>
      </w:r>
    </w:p>
    <w:p w:rsidR="00A51754" w:rsidRPr="00CE0BE9" w:rsidRDefault="00A51754" w:rsidP="006F0DFD">
      <w:pPr>
        <w:pStyle w:val="ListParagraph"/>
        <w:numPr>
          <w:ilvl w:val="1"/>
          <w:numId w:val="2"/>
        </w:numPr>
        <w:rPr>
          <w:rFonts w:cs="Calibri"/>
          <w:snapToGrid/>
          <w:szCs w:val="24"/>
          <w:lang w:val="en-US" w:eastAsia="en-AU"/>
        </w:rPr>
      </w:pPr>
      <w:r w:rsidRPr="00CE0BE9">
        <w:rPr>
          <w:rFonts w:cs="Calibri"/>
          <w:snapToGrid/>
          <w:szCs w:val="24"/>
          <w:lang w:val="en-US" w:eastAsia="en-AU"/>
        </w:rPr>
        <w:t>The</w:t>
      </w:r>
      <w:r w:rsidR="00765EA8">
        <w:rPr>
          <w:rFonts w:cs="Calibri"/>
          <w:snapToGrid/>
          <w:szCs w:val="24"/>
          <w:lang w:val="en-US" w:eastAsia="en-AU"/>
        </w:rPr>
        <w:t xml:space="preserve"> PFS and OS</w:t>
      </w:r>
      <w:r w:rsidRPr="00CE0BE9">
        <w:rPr>
          <w:rFonts w:cs="Calibri"/>
          <w:snapToGrid/>
          <w:szCs w:val="24"/>
          <w:lang w:val="en-US" w:eastAsia="en-AU"/>
        </w:rPr>
        <w:t xml:space="preserve"> results </w:t>
      </w:r>
      <w:r w:rsidR="00765EA8">
        <w:rPr>
          <w:rFonts w:cs="Calibri"/>
          <w:snapToGrid/>
          <w:szCs w:val="24"/>
          <w:lang w:val="en-US" w:eastAsia="en-AU"/>
        </w:rPr>
        <w:t>for</w:t>
      </w:r>
      <w:r w:rsidR="00765EA8" w:rsidRPr="00CE0BE9">
        <w:rPr>
          <w:rFonts w:cs="Calibri"/>
          <w:snapToGrid/>
          <w:szCs w:val="24"/>
          <w:lang w:val="en-US" w:eastAsia="en-AU"/>
        </w:rPr>
        <w:t xml:space="preserve"> </w:t>
      </w:r>
      <w:r w:rsidRPr="00CE0BE9">
        <w:rPr>
          <w:rFonts w:cs="Calibri"/>
          <w:snapToGrid/>
          <w:szCs w:val="24"/>
          <w:lang w:val="en-US" w:eastAsia="en-AU"/>
        </w:rPr>
        <w:t xml:space="preserve">the </w:t>
      </w:r>
      <w:r w:rsidR="005D0A65" w:rsidRPr="00CE0BE9">
        <w:rPr>
          <w:rFonts w:cs="Calibri"/>
          <w:snapToGrid/>
          <w:szCs w:val="24"/>
          <w:lang w:val="en-US" w:eastAsia="en-AU"/>
        </w:rPr>
        <w:t>post-</w:t>
      </w:r>
      <w:r w:rsidRPr="00CE0BE9">
        <w:rPr>
          <w:rFonts w:cs="Calibri"/>
          <w:snapToGrid/>
          <w:szCs w:val="24"/>
          <w:lang w:val="en-US" w:eastAsia="en-AU"/>
        </w:rPr>
        <w:t xml:space="preserve">ASCT subgroup in Myeloma IX are presented in Tables 8 and 9. No Kaplan-Meier curves were presented for the </w:t>
      </w:r>
      <w:r w:rsidR="00961566" w:rsidRPr="00CE0BE9">
        <w:rPr>
          <w:rFonts w:cs="Calibri"/>
          <w:snapToGrid/>
          <w:szCs w:val="24"/>
          <w:lang w:val="en-US" w:eastAsia="en-AU"/>
        </w:rPr>
        <w:t>post</w:t>
      </w:r>
      <w:r w:rsidR="00961566" w:rsidRPr="00CE0BE9">
        <w:rPr>
          <w:rFonts w:cs="Calibri"/>
          <w:snapToGrid/>
          <w:szCs w:val="24"/>
          <w:lang w:val="en-US" w:eastAsia="en-AU"/>
        </w:rPr>
        <w:noBreakHyphen/>
      </w:r>
      <w:r w:rsidRPr="00CE0BE9">
        <w:rPr>
          <w:rFonts w:cs="Calibri"/>
          <w:snapToGrid/>
          <w:szCs w:val="24"/>
          <w:lang w:val="en-US" w:eastAsia="en-AU"/>
        </w:rPr>
        <w:t xml:space="preserve">ASCT subgroup in Myeloma IX. </w:t>
      </w:r>
      <w:r w:rsidR="00EE1A64" w:rsidRPr="00CE0BE9">
        <w:rPr>
          <w:rFonts w:cs="Calibri"/>
          <w:snapToGrid/>
          <w:szCs w:val="24"/>
          <w:lang w:val="en-US" w:eastAsia="en-AU"/>
        </w:rPr>
        <w:t>There was a statistically significant improvement for the post</w:t>
      </w:r>
      <w:r w:rsidR="00EE1A64" w:rsidRPr="00CE0BE9">
        <w:rPr>
          <w:rFonts w:cs="Calibri"/>
          <w:snapToGrid/>
          <w:szCs w:val="24"/>
          <w:lang w:val="en-US" w:eastAsia="en-AU"/>
        </w:rPr>
        <w:noBreakHyphen/>
        <w:t xml:space="preserve">ASCT subgroup </w:t>
      </w:r>
      <w:r w:rsidR="005D0A65" w:rsidRPr="00CE0BE9">
        <w:rPr>
          <w:rFonts w:cs="Calibri"/>
          <w:snapToGrid/>
          <w:szCs w:val="24"/>
          <w:lang w:val="en-US" w:eastAsia="en-AU"/>
        </w:rPr>
        <w:t xml:space="preserve">for </w:t>
      </w:r>
      <w:r w:rsidR="00EE1A64" w:rsidRPr="00CE0BE9">
        <w:rPr>
          <w:rFonts w:cs="Calibri"/>
          <w:snapToGrid/>
          <w:szCs w:val="24"/>
          <w:lang w:val="en-US" w:eastAsia="en-AU"/>
        </w:rPr>
        <w:t>PFS but not for OS in Myeloma IX.</w:t>
      </w:r>
    </w:p>
    <w:bookmarkEnd w:id="10"/>
    <w:p w:rsidR="00A51754" w:rsidRPr="00CE0BE9" w:rsidRDefault="00A51754" w:rsidP="00A51754">
      <w:pPr>
        <w:keepNext/>
      </w:pPr>
      <w:r w:rsidRPr="00CE0BE9">
        <w:rPr>
          <w:rStyle w:val="CommentReference"/>
        </w:rPr>
        <w:t>Table 8: Results of</w:t>
      </w:r>
      <w:r w:rsidR="00E44EFE" w:rsidRPr="00CE0BE9">
        <w:rPr>
          <w:rStyle w:val="CommentReference"/>
        </w:rPr>
        <w:t xml:space="preserve"> </w:t>
      </w:r>
      <w:r w:rsidR="00BB4E2C" w:rsidRPr="00CE0BE9">
        <w:rPr>
          <w:rStyle w:val="CommentReference"/>
        </w:rPr>
        <w:t>post-</w:t>
      </w:r>
      <w:r w:rsidR="00E44EFE" w:rsidRPr="00CE0BE9">
        <w:rPr>
          <w:rStyle w:val="CommentReference"/>
        </w:rPr>
        <w:t>ASCT</w:t>
      </w:r>
      <w:r w:rsidRPr="00CE0BE9">
        <w:rPr>
          <w:rStyle w:val="CommentReference"/>
        </w:rPr>
        <w:t xml:space="preserve"> subgroup analysis– PFS -thalidomide</w:t>
      </w:r>
      <w:r w:rsidR="00E44EFE" w:rsidRPr="00CE0BE9">
        <w:rPr>
          <w:rStyle w:val="CommentReference"/>
        </w:rPr>
        <w:t xml:space="preserve"> versus BSC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7"/>
        <w:gridCol w:w="854"/>
        <w:gridCol w:w="994"/>
        <w:gridCol w:w="710"/>
        <w:gridCol w:w="1135"/>
        <w:gridCol w:w="994"/>
        <w:gridCol w:w="750"/>
        <w:gridCol w:w="1379"/>
        <w:gridCol w:w="990"/>
      </w:tblGrid>
      <w:tr w:rsidR="00A51754" w:rsidRPr="00CE0BE9" w:rsidTr="00454F3B">
        <w:trPr>
          <w:tblHeader/>
        </w:trPr>
        <w:tc>
          <w:tcPr>
            <w:tcW w:w="703" w:type="pct"/>
            <w:vMerge w:val="restart"/>
            <w:vAlign w:val="center"/>
          </w:tcPr>
          <w:p w:rsidR="00A51754" w:rsidRPr="00CE0BE9" w:rsidRDefault="00A51754" w:rsidP="00E9333E">
            <w:pPr>
              <w:pStyle w:val="Tabletext"/>
              <w:keepNext/>
              <w:rPr>
                <w:b/>
              </w:rPr>
            </w:pPr>
            <w:r w:rsidRPr="00CE0BE9">
              <w:rPr>
                <w:b/>
              </w:rPr>
              <w:t>Trial ID</w:t>
            </w:r>
          </w:p>
        </w:tc>
        <w:tc>
          <w:tcPr>
            <w:tcW w:w="1017" w:type="pct"/>
            <w:gridSpan w:val="2"/>
            <w:vAlign w:val="center"/>
          </w:tcPr>
          <w:p w:rsidR="00A51754" w:rsidRPr="00CE0BE9" w:rsidRDefault="00A51754" w:rsidP="00E9333E">
            <w:pPr>
              <w:pStyle w:val="Tabletext"/>
              <w:keepNext/>
              <w:jc w:val="center"/>
              <w:rPr>
                <w:b/>
              </w:rPr>
            </w:pPr>
            <w:r w:rsidRPr="00CE0BE9">
              <w:rPr>
                <w:b/>
              </w:rPr>
              <w:t>Thalidomide</w:t>
            </w:r>
          </w:p>
        </w:tc>
        <w:tc>
          <w:tcPr>
            <w:tcW w:w="1016" w:type="pct"/>
            <w:gridSpan w:val="2"/>
            <w:vAlign w:val="center"/>
          </w:tcPr>
          <w:p w:rsidR="00A51754" w:rsidRPr="00CE0BE9" w:rsidRDefault="001E6310" w:rsidP="00E9333E">
            <w:pPr>
              <w:pStyle w:val="Tabletext"/>
              <w:keepNext/>
              <w:jc w:val="center"/>
              <w:rPr>
                <w:b/>
              </w:rPr>
            </w:pPr>
            <w:r w:rsidRPr="00CE0BE9">
              <w:rPr>
                <w:b/>
              </w:rPr>
              <w:t>BSC</w:t>
            </w:r>
          </w:p>
        </w:tc>
        <w:tc>
          <w:tcPr>
            <w:tcW w:w="547" w:type="pct"/>
            <w:vMerge w:val="restart"/>
            <w:vAlign w:val="center"/>
          </w:tcPr>
          <w:p w:rsidR="00A51754" w:rsidRPr="00CE0BE9" w:rsidRDefault="00A51754" w:rsidP="00E9333E">
            <w:pPr>
              <w:pStyle w:val="Tabletext"/>
              <w:keepNext/>
              <w:jc w:val="center"/>
              <w:rPr>
                <w:b/>
              </w:rPr>
            </w:pPr>
            <w:r w:rsidRPr="00CE0BE9">
              <w:rPr>
                <w:b/>
              </w:rPr>
              <w:t>Difference in median, months</w:t>
            </w:r>
          </w:p>
        </w:tc>
        <w:tc>
          <w:tcPr>
            <w:tcW w:w="413" w:type="pct"/>
            <w:vMerge w:val="restart"/>
            <w:vAlign w:val="center"/>
          </w:tcPr>
          <w:p w:rsidR="00A51754" w:rsidRPr="00CE0BE9" w:rsidRDefault="00A51754" w:rsidP="00E9333E">
            <w:pPr>
              <w:pStyle w:val="Tabletext"/>
              <w:keepNext/>
              <w:jc w:val="center"/>
              <w:rPr>
                <w:b/>
              </w:rPr>
            </w:pPr>
            <w:r w:rsidRPr="00CE0BE9">
              <w:rPr>
                <w:b/>
              </w:rPr>
              <w:t xml:space="preserve">P-value </w:t>
            </w:r>
          </w:p>
        </w:tc>
        <w:tc>
          <w:tcPr>
            <w:tcW w:w="759" w:type="pct"/>
            <w:vMerge w:val="restart"/>
            <w:vAlign w:val="center"/>
          </w:tcPr>
          <w:p w:rsidR="00A51754" w:rsidRPr="00CE0BE9" w:rsidRDefault="00A51754" w:rsidP="00E9333E">
            <w:pPr>
              <w:pStyle w:val="Tabletext"/>
              <w:keepNext/>
              <w:jc w:val="center"/>
              <w:rPr>
                <w:b/>
              </w:rPr>
            </w:pPr>
            <w:r w:rsidRPr="00CE0BE9">
              <w:rPr>
                <w:b/>
              </w:rPr>
              <w:t>Hazard ratio (95% CI)</w:t>
            </w:r>
          </w:p>
        </w:tc>
        <w:tc>
          <w:tcPr>
            <w:tcW w:w="545" w:type="pct"/>
            <w:vMerge w:val="restart"/>
            <w:vAlign w:val="center"/>
          </w:tcPr>
          <w:p w:rsidR="00A51754" w:rsidRPr="00CE0BE9" w:rsidRDefault="00A51754" w:rsidP="00E9333E">
            <w:pPr>
              <w:pStyle w:val="Tabletext"/>
              <w:keepNext/>
              <w:jc w:val="center"/>
              <w:rPr>
                <w:b/>
              </w:rPr>
            </w:pPr>
            <w:r w:rsidRPr="00CE0BE9">
              <w:rPr>
                <w:b/>
              </w:rPr>
              <w:t>P-value for interaction</w:t>
            </w:r>
          </w:p>
        </w:tc>
      </w:tr>
      <w:tr w:rsidR="00A51754" w:rsidRPr="00CE0BE9" w:rsidTr="00454F3B">
        <w:tc>
          <w:tcPr>
            <w:tcW w:w="703" w:type="pct"/>
            <w:vMerge/>
            <w:tcBorders>
              <w:bottom w:val="single" w:sz="4" w:space="0" w:color="auto"/>
            </w:tcBorders>
            <w:vAlign w:val="center"/>
          </w:tcPr>
          <w:p w:rsidR="00A51754" w:rsidRPr="00CE0BE9" w:rsidRDefault="00A51754" w:rsidP="00E9333E">
            <w:pPr>
              <w:pStyle w:val="Tabletext"/>
            </w:pPr>
          </w:p>
        </w:tc>
        <w:tc>
          <w:tcPr>
            <w:tcW w:w="470" w:type="pct"/>
            <w:tcBorders>
              <w:bottom w:val="single" w:sz="4" w:space="0" w:color="auto"/>
            </w:tcBorders>
            <w:vAlign w:val="center"/>
          </w:tcPr>
          <w:p w:rsidR="00A51754" w:rsidRPr="00CE0BE9" w:rsidRDefault="00A51754" w:rsidP="00E9333E">
            <w:pPr>
              <w:pStyle w:val="Tabletext"/>
              <w:jc w:val="center"/>
              <w:rPr>
                <w:b/>
              </w:rPr>
            </w:pPr>
            <w:proofErr w:type="gramStart"/>
            <w:r w:rsidRPr="00CE0BE9">
              <w:rPr>
                <w:b/>
              </w:rPr>
              <w:t>n/N</w:t>
            </w:r>
            <w:proofErr w:type="gramEnd"/>
            <w:r w:rsidRPr="00CE0BE9">
              <w:rPr>
                <w:b/>
              </w:rPr>
              <w:t xml:space="preserve"> event (%)</w:t>
            </w:r>
          </w:p>
        </w:tc>
        <w:tc>
          <w:tcPr>
            <w:tcW w:w="547" w:type="pct"/>
            <w:tcBorders>
              <w:bottom w:val="single" w:sz="4" w:space="0" w:color="auto"/>
            </w:tcBorders>
            <w:vAlign w:val="center"/>
          </w:tcPr>
          <w:p w:rsidR="00A51754" w:rsidRPr="00CE0BE9" w:rsidRDefault="00A51754" w:rsidP="00E9333E">
            <w:pPr>
              <w:pStyle w:val="Tabletext"/>
              <w:jc w:val="center"/>
              <w:rPr>
                <w:b/>
              </w:rPr>
            </w:pPr>
            <w:r w:rsidRPr="00CE0BE9">
              <w:rPr>
                <w:b/>
              </w:rPr>
              <w:t xml:space="preserve">Median PFS, </w:t>
            </w:r>
            <w:proofErr w:type="spellStart"/>
            <w:r w:rsidRPr="00CE0BE9">
              <w:rPr>
                <w:b/>
              </w:rPr>
              <w:t>mths</w:t>
            </w:r>
            <w:proofErr w:type="spellEnd"/>
            <w:r w:rsidRPr="00CE0BE9">
              <w:rPr>
                <w:b/>
              </w:rPr>
              <w:t xml:space="preserve"> (95% CI)</w:t>
            </w:r>
          </w:p>
        </w:tc>
        <w:tc>
          <w:tcPr>
            <w:tcW w:w="391" w:type="pct"/>
            <w:tcBorders>
              <w:bottom w:val="single" w:sz="4" w:space="0" w:color="auto"/>
            </w:tcBorders>
            <w:vAlign w:val="center"/>
          </w:tcPr>
          <w:p w:rsidR="00A51754" w:rsidRPr="00CE0BE9" w:rsidRDefault="00A51754" w:rsidP="00E9333E">
            <w:pPr>
              <w:pStyle w:val="Tabletext"/>
              <w:jc w:val="center"/>
              <w:rPr>
                <w:b/>
              </w:rPr>
            </w:pPr>
            <w:proofErr w:type="gramStart"/>
            <w:r w:rsidRPr="00CE0BE9">
              <w:rPr>
                <w:b/>
              </w:rPr>
              <w:t>n/N</w:t>
            </w:r>
            <w:proofErr w:type="gramEnd"/>
            <w:r w:rsidRPr="00CE0BE9">
              <w:rPr>
                <w:b/>
              </w:rPr>
              <w:t xml:space="preserve"> event (%)</w:t>
            </w:r>
          </w:p>
        </w:tc>
        <w:tc>
          <w:tcPr>
            <w:tcW w:w="625" w:type="pct"/>
            <w:tcBorders>
              <w:bottom w:val="single" w:sz="4" w:space="0" w:color="auto"/>
            </w:tcBorders>
            <w:vAlign w:val="center"/>
          </w:tcPr>
          <w:p w:rsidR="00A51754" w:rsidRPr="00CE0BE9" w:rsidRDefault="00A51754" w:rsidP="00E9333E">
            <w:pPr>
              <w:pStyle w:val="Tabletext"/>
              <w:jc w:val="center"/>
              <w:rPr>
                <w:b/>
              </w:rPr>
            </w:pPr>
            <w:r w:rsidRPr="00CE0BE9">
              <w:rPr>
                <w:b/>
              </w:rPr>
              <w:t xml:space="preserve">Median PFS, </w:t>
            </w:r>
            <w:proofErr w:type="spellStart"/>
            <w:r w:rsidRPr="00CE0BE9">
              <w:rPr>
                <w:b/>
              </w:rPr>
              <w:t>mths</w:t>
            </w:r>
            <w:proofErr w:type="spellEnd"/>
            <w:r w:rsidRPr="00CE0BE9">
              <w:rPr>
                <w:b/>
              </w:rPr>
              <w:t xml:space="preserve"> (95% CI)</w:t>
            </w:r>
          </w:p>
        </w:tc>
        <w:tc>
          <w:tcPr>
            <w:tcW w:w="547" w:type="pct"/>
            <w:vMerge/>
            <w:tcBorders>
              <w:bottom w:val="single" w:sz="4" w:space="0" w:color="auto"/>
            </w:tcBorders>
            <w:vAlign w:val="center"/>
          </w:tcPr>
          <w:p w:rsidR="00A51754" w:rsidRPr="00CE0BE9" w:rsidRDefault="00A51754" w:rsidP="00E9333E">
            <w:pPr>
              <w:pStyle w:val="Tabletext"/>
            </w:pPr>
          </w:p>
        </w:tc>
        <w:tc>
          <w:tcPr>
            <w:tcW w:w="413" w:type="pct"/>
            <w:vMerge/>
            <w:tcBorders>
              <w:bottom w:val="single" w:sz="4" w:space="0" w:color="auto"/>
            </w:tcBorders>
            <w:vAlign w:val="center"/>
          </w:tcPr>
          <w:p w:rsidR="00A51754" w:rsidRPr="00CE0BE9" w:rsidRDefault="00A51754" w:rsidP="00E9333E">
            <w:pPr>
              <w:pStyle w:val="Tabletext"/>
            </w:pPr>
          </w:p>
        </w:tc>
        <w:tc>
          <w:tcPr>
            <w:tcW w:w="759" w:type="pct"/>
            <w:vMerge/>
            <w:tcBorders>
              <w:bottom w:val="single" w:sz="4" w:space="0" w:color="auto"/>
            </w:tcBorders>
            <w:vAlign w:val="center"/>
          </w:tcPr>
          <w:p w:rsidR="00A51754" w:rsidRPr="00CE0BE9" w:rsidRDefault="00A51754" w:rsidP="00E9333E">
            <w:pPr>
              <w:pStyle w:val="Tabletext"/>
            </w:pPr>
          </w:p>
        </w:tc>
        <w:tc>
          <w:tcPr>
            <w:tcW w:w="545" w:type="pct"/>
            <w:vMerge/>
            <w:tcBorders>
              <w:bottom w:val="single" w:sz="4" w:space="0" w:color="auto"/>
            </w:tcBorders>
          </w:tcPr>
          <w:p w:rsidR="00A51754" w:rsidRPr="00CE0BE9" w:rsidRDefault="00A51754" w:rsidP="00E9333E">
            <w:pPr>
              <w:pStyle w:val="Tabletext"/>
            </w:pPr>
          </w:p>
        </w:tc>
      </w:tr>
      <w:tr w:rsidR="00A51754" w:rsidRPr="00CE0BE9" w:rsidTr="00454F3B">
        <w:tc>
          <w:tcPr>
            <w:tcW w:w="1720" w:type="pct"/>
            <w:gridSpan w:val="3"/>
            <w:tcBorders>
              <w:right w:val="nil"/>
            </w:tcBorders>
            <w:vAlign w:val="center"/>
          </w:tcPr>
          <w:p w:rsidR="00A51754" w:rsidRPr="00CE0BE9" w:rsidRDefault="00A51754" w:rsidP="00E9333E">
            <w:pPr>
              <w:pStyle w:val="Tabletext"/>
            </w:pPr>
            <w:r w:rsidRPr="00CE0BE9">
              <w:t>Myeloma IX (October 2009)</w:t>
            </w:r>
          </w:p>
        </w:tc>
        <w:tc>
          <w:tcPr>
            <w:tcW w:w="391" w:type="pct"/>
            <w:tcBorders>
              <w:left w:val="nil"/>
              <w:right w:val="nil"/>
            </w:tcBorders>
          </w:tcPr>
          <w:p w:rsidR="00A51754" w:rsidRPr="00CE0BE9" w:rsidRDefault="00A51754" w:rsidP="00E9333E">
            <w:pPr>
              <w:pStyle w:val="Tabletext"/>
            </w:pPr>
          </w:p>
        </w:tc>
        <w:tc>
          <w:tcPr>
            <w:tcW w:w="625" w:type="pct"/>
            <w:tcBorders>
              <w:left w:val="nil"/>
              <w:right w:val="nil"/>
            </w:tcBorders>
          </w:tcPr>
          <w:p w:rsidR="00A51754" w:rsidRPr="00CE0BE9" w:rsidRDefault="00A51754" w:rsidP="00E9333E">
            <w:pPr>
              <w:pStyle w:val="Tabletext"/>
            </w:pPr>
          </w:p>
        </w:tc>
        <w:tc>
          <w:tcPr>
            <w:tcW w:w="547" w:type="pct"/>
            <w:tcBorders>
              <w:left w:val="nil"/>
              <w:right w:val="nil"/>
            </w:tcBorders>
          </w:tcPr>
          <w:p w:rsidR="00A51754" w:rsidRPr="00CE0BE9" w:rsidRDefault="00A51754" w:rsidP="00E9333E">
            <w:pPr>
              <w:pStyle w:val="Tabletext"/>
            </w:pPr>
          </w:p>
        </w:tc>
        <w:tc>
          <w:tcPr>
            <w:tcW w:w="413" w:type="pct"/>
            <w:tcBorders>
              <w:left w:val="nil"/>
              <w:right w:val="nil"/>
            </w:tcBorders>
          </w:tcPr>
          <w:p w:rsidR="00A51754" w:rsidRPr="00CE0BE9" w:rsidRDefault="00A51754" w:rsidP="00E9333E">
            <w:pPr>
              <w:pStyle w:val="Tabletext"/>
            </w:pPr>
          </w:p>
        </w:tc>
        <w:tc>
          <w:tcPr>
            <w:tcW w:w="759" w:type="pct"/>
            <w:tcBorders>
              <w:left w:val="nil"/>
              <w:right w:val="nil"/>
            </w:tcBorders>
          </w:tcPr>
          <w:p w:rsidR="00A51754" w:rsidRPr="00CE0BE9" w:rsidRDefault="00A51754" w:rsidP="00E9333E">
            <w:pPr>
              <w:pStyle w:val="Tabletext"/>
            </w:pPr>
          </w:p>
        </w:tc>
        <w:tc>
          <w:tcPr>
            <w:tcW w:w="545" w:type="pct"/>
            <w:tcBorders>
              <w:left w:val="nil"/>
            </w:tcBorders>
          </w:tcPr>
          <w:p w:rsidR="00A51754" w:rsidRPr="00CE0BE9" w:rsidRDefault="00A51754" w:rsidP="00E9333E">
            <w:pPr>
              <w:pStyle w:val="Tabletext"/>
            </w:pPr>
          </w:p>
        </w:tc>
      </w:tr>
      <w:tr w:rsidR="00A51754" w:rsidRPr="00CE0BE9" w:rsidTr="00454F3B">
        <w:tc>
          <w:tcPr>
            <w:tcW w:w="703" w:type="pct"/>
            <w:vAlign w:val="center"/>
          </w:tcPr>
          <w:p w:rsidR="00A51754" w:rsidRPr="00CE0BE9" w:rsidRDefault="00A51754" w:rsidP="00E9333E">
            <w:pPr>
              <w:pStyle w:val="Tabletext"/>
            </w:pPr>
            <w:r w:rsidRPr="00CE0BE9">
              <w:t>Whole</w:t>
            </w:r>
          </w:p>
        </w:tc>
        <w:tc>
          <w:tcPr>
            <w:tcW w:w="470" w:type="pct"/>
          </w:tcPr>
          <w:p w:rsidR="00A51754" w:rsidRPr="00CE0BE9" w:rsidRDefault="009B5B7B" w:rsidP="00E9333E">
            <w:pPr>
              <w:pStyle w:val="Tabletext"/>
            </w:pPr>
            <w:r w:rsidRPr="00CE0BE9">
              <w:t>NR</w:t>
            </w:r>
          </w:p>
        </w:tc>
        <w:tc>
          <w:tcPr>
            <w:tcW w:w="547" w:type="pct"/>
          </w:tcPr>
          <w:p w:rsidR="00A51754" w:rsidRPr="00CE0BE9" w:rsidRDefault="00A51754" w:rsidP="00E9333E">
            <w:pPr>
              <w:pStyle w:val="Tabletext"/>
            </w:pPr>
            <w:r w:rsidRPr="00CE0BE9">
              <w:t>23 (</w:t>
            </w:r>
            <w:r w:rsidR="009B5B7B" w:rsidRPr="00CE0BE9">
              <w:t>NR</w:t>
            </w:r>
            <w:r w:rsidRPr="00CE0BE9">
              <w:t>)</w:t>
            </w:r>
          </w:p>
        </w:tc>
        <w:tc>
          <w:tcPr>
            <w:tcW w:w="391" w:type="pct"/>
          </w:tcPr>
          <w:p w:rsidR="00A51754" w:rsidRPr="00CE0BE9" w:rsidRDefault="009B5B7B" w:rsidP="00E9333E">
            <w:pPr>
              <w:pStyle w:val="Tabletext"/>
            </w:pPr>
            <w:r w:rsidRPr="00CE0BE9">
              <w:t>NR</w:t>
            </w:r>
          </w:p>
        </w:tc>
        <w:tc>
          <w:tcPr>
            <w:tcW w:w="625" w:type="pct"/>
          </w:tcPr>
          <w:p w:rsidR="00A51754" w:rsidRPr="00CE0BE9" w:rsidRDefault="00A51754" w:rsidP="00E9333E">
            <w:pPr>
              <w:pStyle w:val="Tabletext"/>
            </w:pPr>
            <w:r w:rsidRPr="00CE0BE9">
              <w:t>15 (</w:t>
            </w:r>
            <w:r w:rsidR="00070EEB" w:rsidRPr="00CE0BE9">
              <w:t>NR</w:t>
            </w:r>
            <w:r w:rsidRPr="00CE0BE9">
              <w:t>)</w:t>
            </w:r>
          </w:p>
        </w:tc>
        <w:tc>
          <w:tcPr>
            <w:tcW w:w="547" w:type="pct"/>
          </w:tcPr>
          <w:p w:rsidR="00A51754" w:rsidRPr="00CE0BE9" w:rsidRDefault="00A51754" w:rsidP="00E9333E">
            <w:pPr>
              <w:pStyle w:val="Tabletext"/>
            </w:pPr>
            <w:r w:rsidRPr="00CE0BE9">
              <w:t>8</w:t>
            </w:r>
          </w:p>
        </w:tc>
        <w:tc>
          <w:tcPr>
            <w:tcW w:w="413" w:type="pct"/>
          </w:tcPr>
          <w:p w:rsidR="00A51754" w:rsidRPr="00CE0BE9" w:rsidRDefault="00A51754" w:rsidP="00E9333E">
            <w:pPr>
              <w:pStyle w:val="Tabletext"/>
            </w:pPr>
            <w:r w:rsidRPr="00CE0BE9">
              <w:t>p&lt;0.001</w:t>
            </w:r>
          </w:p>
        </w:tc>
        <w:tc>
          <w:tcPr>
            <w:tcW w:w="759" w:type="pct"/>
          </w:tcPr>
          <w:p w:rsidR="00A51754" w:rsidRPr="00CE0BE9" w:rsidRDefault="00A51754" w:rsidP="00E9333E">
            <w:pPr>
              <w:pStyle w:val="Tabletext"/>
              <w:rPr>
                <w:b/>
              </w:rPr>
            </w:pPr>
            <w:r w:rsidRPr="00CE0BE9">
              <w:rPr>
                <w:b/>
              </w:rPr>
              <w:t>0.69 (0.58, 0.82)</w:t>
            </w:r>
          </w:p>
        </w:tc>
        <w:tc>
          <w:tcPr>
            <w:tcW w:w="545" w:type="pct"/>
            <w:vAlign w:val="center"/>
          </w:tcPr>
          <w:p w:rsidR="00A51754" w:rsidRPr="00CE0BE9" w:rsidRDefault="00070EEB" w:rsidP="00E9333E">
            <w:pPr>
              <w:pStyle w:val="Tabletext"/>
              <w:jc w:val="center"/>
            </w:pPr>
            <w:r w:rsidRPr="00CE0BE9">
              <w:rPr>
                <w:rFonts w:eastAsia="SimSun"/>
                <w:iCs/>
                <w:szCs w:val="18"/>
                <w:bdr w:val="none" w:sz="0" w:space="0" w:color="auto" w:frame="1"/>
                <w:lang w:eastAsia="en-AU"/>
              </w:rPr>
              <w:t>NA</w:t>
            </w:r>
            <w:r w:rsidR="00202BD7" w:rsidRPr="00CE0BE9">
              <w:rPr>
                <w:rFonts w:eastAsia="SimSun"/>
                <w:iCs/>
                <w:szCs w:val="18"/>
                <w:bdr w:val="none" w:sz="0" w:space="0" w:color="auto" w:frame="1"/>
                <w:lang w:eastAsia="en-AU"/>
              </w:rPr>
              <w:t xml:space="preserve"> </w:t>
            </w:r>
          </w:p>
        </w:tc>
      </w:tr>
      <w:tr w:rsidR="00202BD7" w:rsidRPr="00CE0BE9" w:rsidTr="00454F3B">
        <w:tc>
          <w:tcPr>
            <w:tcW w:w="703" w:type="pct"/>
            <w:vAlign w:val="center"/>
          </w:tcPr>
          <w:p w:rsidR="00202BD7" w:rsidRPr="00CE0BE9" w:rsidRDefault="00202BD7" w:rsidP="00E9333E">
            <w:pPr>
              <w:pStyle w:val="Tabletext"/>
            </w:pPr>
            <w:r w:rsidRPr="00CE0BE9">
              <w:t xml:space="preserve">ASCT </w:t>
            </w:r>
          </w:p>
        </w:tc>
        <w:tc>
          <w:tcPr>
            <w:tcW w:w="470" w:type="pct"/>
          </w:tcPr>
          <w:p w:rsidR="00202BD7" w:rsidRPr="00CE0BE9" w:rsidRDefault="009B5B7B" w:rsidP="00E9333E">
            <w:pPr>
              <w:pStyle w:val="Tabletext"/>
            </w:pPr>
            <w:r w:rsidRPr="00CE0BE9">
              <w:t>NR</w:t>
            </w:r>
          </w:p>
        </w:tc>
        <w:tc>
          <w:tcPr>
            <w:tcW w:w="547" w:type="pct"/>
          </w:tcPr>
          <w:p w:rsidR="00202BD7" w:rsidRPr="00CE0BE9" w:rsidRDefault="00202BD7" w:rsidP="00E9333E">
            <w:pPr>
              <w:pStyle w:val="Tabletext"/>
            </w:pPr>
            <w:r w:rsidRPr="00CE0BE9">
              <w:t>30 (</w:t>
            </w:r>
            <w:r w:rsidR="009B5B7B" w:rsidRPr="00CE0BE9">
              <w:t>NR</w:t>
            </w:r>
            <w:r w:rsidRPr="00CE0BE9">
              <w:t>)</w:t>
            </w:r>
          </w:p>
        </w:tc>
        <w:tc>
          <w:tcPr>
            <w:tcW w:w="391" w:type="pct"/>
          </w:tcPr>
          <w:p w:rsidR="00202BD7" w:rsidRPr="00CE0BE9" w:rsidRDefault="009B5B7B" w:rsidP="00E9333E">
            <w:pPr>
              <w:pStyle w:val="Tabletext"/>
            </w:pPr>
            <w:r w:rsidRPr="00CE0BE9">
              <w:t>NR</w:t>
            </w:r>
          </w:p>
        </w:tc>
        <w:tc>
          <w:tcPr>
            <w:tcW w:w="625" w:type="pct"/>
          </w:tcPr>
          <w:p w:rsidR="00202BD7" w:rsidRPr="00CE0BE9" w:rsidRDefault="00202BD7" w:rsidP="00E9333E">
            <w:pPr>
              <w:pStyle w:val="Tabletext"/>
            </w:pPr>
            <w:r w:rsidRPr="00CE0BE9">
              <w:t>23 (</w:t>
            </w:r>
            <w:r w:rsidR="00070EEB" w:rsidRPr="00CE0BE9">
              <w:t>NR</w:t>
            </w:r>
            <w:r w:rsidRPr="00CE0BE9">
              <w:t>)</w:t>
            </w:r>
          </w:p>
        </w:tc>
        <w:tc>
          <w:tcPr>
            <w:tcW w:w="547" w:type="pct"/>
          </w:tcPr>
          <w:p w:rsidR="00202BD7" w:rsidRPr="00CE0BE9" w:rsidRDefault="00202BD7" w:rsidP="00E9333E">
            <w:pPr>
              <w:pStyle w:val="Tabletext"/>
            </w:pPr>
            <w:r w:rsidRPr="00CE0BE9">
              <w:t>7</w:t>
            </w:r>
          </w:p>
        </w:tc>
        <w:tc>
          <w:tcPr>
            <w:tcW w:w="413" w:type="pct"/>
          </w:tcPr>
          <w:p w:rsidR="00202BD7" w:rsidRPr="00CE0BE9" w:rsidRDefault="00202BD7" w:rsidP="00E9333E">
            <w:pPr>
              <w:pStyle w:val="Tabletext"/>
            </w:pPr>
            <w:r w:rsidRPr="00CE0BE9">
              <w:t>p=0.003</w:t>
            </w:r>
          </w:p>
        </w:tc>
        <w:tc>
          <w:tcPr>
            <w:tcW w:w="759" w:type="pct"/>
          </w:tcPr>
          <w:p w:rsidR="00202BD7" w:rsidRPr="00CE0BE9" w:rsidRDefault="00202BD7" w:rsidP="00E9333E">
            <w:pPr>
              <w:pStyle w:val="Tabletext"/>
              <w:rPr>
                <w:b/>
              </w:rPr>
            </w:pPr>
            <w:r w:rsidRPr="00CE0BE9">
              <w:rPr>
                <w:b/>
              </w:rPr>
              <w:t>0.70 (0.56, 0.88)</w:t>
            </w:r>
          </w:p>
        </w:tc>
        <w:tc>
          <w:tcPr>
            <w:tcW w:w="545" w:type="pct"/>
            <w:vMerge w:val="restart"/>
            <w:vAlign w:val="center"/>
          </w:tcPr>
          <w:p w:rsidR="00202BD7" w:rsidRPr="00CE0BE9" w:rsidRDefault="00070EEB" w:rsidP="00202BD7">
            <w:pPr>
              <w:pStyle w:val="Tabletext"/>
              <w:jc w:val="center"/>
            </w:pPr>
            <w:r w:rsidRPr="00CE0BE9">
              <w:t>NR</w:t>
            </w:r>
          </w:p>
        </w:tc>
      </w:tr>
      <w:tr w:rsidR="00202BD7" w:rsidRPr="00CE0BE9" w:rsidTr="00454F3B">
        <w:tc>
          <w:tcPr>
            <w:tcW w:w="703" w:type="pct"/>
            <w:vAlign w:val="center"/>
          </w:tcPr>
          <w:p w:rsidR="00202BD7" w:rsidRPr="00CE0BE9" w:rsidRDefault="00202BD7" w:rsidP="00E9333E">
            <w:pPr>
              <w:pStyle w:val="Tabletext"/>
            </w:pPr>
            <w:r w:rsidRPr="00CE0BE9">
              <w:t>Complement</w:t>
            </w:r>
          </w:p>
        </w:tc>
        <w:tc>
          <w:tcPr>
            <w:tcW w:w="470" w:type="pct"/>
          </w:tcPr>
          <w:p w:rsidR="00202BD7" w:rsidRPr="00CE0BE9" w:rsidRDefault="009B5B7B" w:rsidP="00E9333E">
            <w:pPr>
              <w:pStyle w:val="Tabletext"/>
            </w:pPr>
            <w:r w:rsidRPr="00CE0BE9">
              <w:t>NR</w:t>
            </w:r>
          </w:p>
        </w:tc>
        <w:tc>
          <w:tcPr>
            <w:tcW w:w="547" w:type="pct"/>
          </w:tcPr>
          <w:p w:rsidR="00202BD7" w:rsidRPr="00CE0BE9" w:rsidRDefault="00202BD7" w:rsidP="00E9333E">
            <w:pPr>
              <w:pStyle w:val="Tabletext"/>
            </w:pPr>
            <w:r w:rsidRPr="00CE0BE9">
              <w:t>11 (</w:t>
            </w:r>
            <w:r w:rsidR="009B5B7B" w:rsidRPr="00CE0BE9">
              <w:t>NR</w:t>
            </w:r>
            <w:r w:rsidRPr="00CE0BE9">
              <w:t>)</w:t>
            </w:r>
          </w:p>
        </w:tc>
        <w:tc>
          <w:tcPr>
            <w:tcW w:w="391" w:type="pct"/>
          </w:tcPr>
          <w:p w:rsidR="00202BD7" w:rsidRPr="00CE0BE9" w:rsidRDefault="009B5B7B" w:rsidP="00E9333E">
            <w:pPr>
              <w:pStyle w:val="Tabletext"/>
            </w:pPr>
            <w:r w:rsidRPr="00CE0BE9">
              <w:t>NR</w:t>
            </w:r>
          </w:p>
        </w:tc>
        <w:tc>
          <w:tcPr>
            <w:tcW w:w="625" w:type="pct"/>
          </w:tcPr>
          <w:p w:rsidR="00202BD7" w:rsidRPr="00CE0BE9" w:rsidRDefault="00202BD7" w:rsidP="00E9333E">
            <w:pPr>
              <w:pStyle w:val="Tabletext"/>
            </w:pPr>
            <w:r w:rsidRPr="00CE0BE9">
              <w:t>9 (</w:t>
            </w:r>
            <w:r w:rsidR="00070EEB" w:rsidRPr="00CE0BE9">
              <w:t>NR</w:t>
            </w:r>
            <w:r w:rsidRPr="00CE0BE9">
              <w:t>)</w:t>
            </w:r>
          </w:p>
        </w:tc>
        <w:tc>
          <w:tcPr>
            <w:tcW w:w="547" w:type="pct"/>
          </w:tcPr>
          <w:p w:rsidR="00202BD7" w:rsidRPr="00CE0BE9" w:rsidRDefault="00202BD7" w:rsidP="00E9333E">
            <w:pPr>
              <w:pStyle w:val="Tabletext"/>
            </w:pPr>
            <w:r w:rsidRPr="00CE0BE9">
              <w:t>2</w:t>
            </w:r>
          </w:p>
        </w:tc>
        <w:tc>
          <w:tcPr>
            <w:tcW w:w="413" w:type="pct"/>
          </w:tcPr>
          <w:p w:rsidR="00202BD7" w:rsidRPr="00CE0BE9" w:rsidRDefault="00202BD7" w:rsidP="00E9333E">
            <w:pPr>
              <w:pStyle w:val="Tabletext"/>
            </w:pPr>
            <w:r w:rsidRPr="00CE0BE9">
              <w:t>p=0.014</w:t>
            </w:r>
          </w:p>
        </w:tc>
        <w:tc>
          <w:tcPr>
            <w:tcW w:w="759" w:type="pct"/>
          </w:tcPr>
          <w:p w:rsidR="00202BD7" w:rsidRPr="00CE0BE9" w:rsidRDefault="00202BD7" w:rsidP="00E9333E">
            <w:pPr>
              <w:pStyle w:val="Tabletext"/>
              <w:rPr>
                <w:b/>
              </w:rPr>
            </w:pPr>
            <w:r w:rsidRPr="00CE0BE9">
              <w:rPr>
                <w:b/>
              </w:rPr>
              <w:t>0.74 (0.58, 0.94)</w:t>
            </w:r>
          </w:p>
        </w:tc>
        <w:tc>
          <w:tcPr>
            <w:tcW w:w="545" w:type="pct"/>
            <w:vMerge/>
          </w:tcPr>
          <w:p w:rsidR="00202BD7" w:rsidRPr="00CE0BE9" w:rsidRDefault="00202BD7" w:rsidP="00E9333E">
            <w:pPr>
              <w:pStyle w:val="Tabletext"/>
            </w:pPr>
          </w:p>
        </w:tc>
      </w:tr>
    </w:tbl>
    <w:p w:rsidR="00A51754" w:rsidRPr="00CE0BE9" w:rsidRDefault="00A51754" w:rsidP="00A51754">
      <w:pPr>
        <w:pStyle w:val="TableFooter"/>
        <w:rPr>
          <w:rFonts w:eastAsia="Calibri"/>
        </w:rPr>
      </w:pPr>
      <w:r w:rsidRPr="00CE0BE9">
        <w:t xml:space="preserve">Abbreviations: </w:t>
      </w:r>
      <w:r w:rsidR="003518B5" w:rsidRPr="00CE0BE9">
        <w:t xml:space="preserve">ASCT= autologous stem cell transplant; </w:t>
      </w:r>
      <w:r w:rsidR="001E6310" w:rsidRPr="00CE0BE9">
        <w:t xml:space="preserve">BSC=best supportive care; </w:t>
      </w:r>
      <w:r w:rsidRPr="00CE0BE9">
        <w:rPr>
          <w:rFonts w:eastAsia="Calibri"/>
        </w:rPr>
        <w:t>CI</w:t>
      </w:r>
      <w:r w:rsidR="003518B5" w:rsidRPr="00CE0BE9">
        <w:rPr>
          <w:rFonts w:eastAsia="Calibri"/>
        </w:rPr>
        <w:t>=</w:t>
      </w:r>
      <w:r w:rsidRPr="00CE0BE9">
        <w:rPr>
          <w:rFonts w:eastAsia="Calibri"/>
        </w:rPr>
        <w:t>confidence interval; n</w:t>
      </w:r>
      <w:r w:rsidR="003518B5" w:rsidRPr="00CE0BE9">
        <w:rPr>
          <w:rFonts w:eastAsia="Calibri"/>
        </w:rPr>
        <w:t>=</w:t>
      </w:r>
      <w:r w:rsidRPr="00CE0BE9">
        <w:rPr>
          <w:rFonts w:eastAsia="Calibri"/>
        </w:rPr>
        <w:t>number of participants reporting data; N</w:t>
      </w:r>
      <w:r w:rsidR="003518B5" w:rsidRPr="00CE0BE9">
        <w:rPr>
          <w:rFonts w:eastAsia="Calibri"/>
        </w:rPr>
        <w:t>=</w:t>
      </w:r>
      <w:r w:rsidRPr="00CE0BE9">
        <w:rPr>
          <w:rFonts w:eastAsia="Calibri"/>
        </w:rPr>
        <w:t>total participants in group; NA</w:t>
      </w:r>
      <w:r w:rsidR="003518B5" w:rsidRPr="00CE0BE9">
        <w:rPr>
          <w:rFonts w:eastAsia="Calibri"/>
        </w:rPr>
        <w:t>=</w:t>
      </w:r>
      <w:r w:rsidRPr="00CE0BE9">
        <w:rPr>
          <w:rFonts w:eastAsia="Calibri"/>
        </w:rPr>
        <w:t xml:space="preserve">not </w:t>
      </w:r>
      <w:r w:rsidR="009B5B7B" w:rsidRPr="00CE0BE9">
        <w:rPr>
          <w:rFonts w:eastAsia="Calibri"/>
        </w:rPr>
        <w:t>applicable</w:t>
      </w:r>
      <w:r w:rsidRPr="00CE0BE9">
        <w:rPr>
          <w:rFonts w:eastAsia="Calibri"/>
        </w:rPr>
        <w:t>; NE</w:t>
      </w:r>
      <w:r w:rsidR="003518B5" w:rsidRPr="00CE0BE9">
        <w:rPr>
          <w:rFonts w:eastAsia="Calibri"/>
        </w:rPr>
        <w:t xml:space="preserve">= </w:t>
      </w:r>
      <w:r w:rsidRPr="00CE0BE9">
        <w:rPr>
          <w:rFonts w:eastAsia="Calibri"/>
        </w:rPr>
        <w:t>not evaluable</w:t>
      </w:r>
      <w:r w:rsidR="009B5B7B" w:rsidRPr="00CE0BE9">
        <w:rPr>
          <w:rFonts w:eastAsia="Calibri"/>
        </w:rPr>
        <w:t>; NR = not reported</w:t>
      </w:r>
    </w:p>
    <w:p w:rsidR="00A51754" w:rsidRPr="00CE0BE9" w:rsidRDefault="00A51754" w:rsidP="00A51754">
      <w:pPr>
        <w:pStyle w:val="TableFooter"/>
        <w:rPr>
          <w:rFonts w:eastAsia="Calibri"/>
        </w:rPr>
      </w:pPr>
      <w:r w:rsidRPr="00CE0BE9">
        <w:rPr>
          <w:rFonts w:eastAsia="Calibri"/>
        </w:rPr>
        <w:t>Notes: Updated results for Myeloma IX for data cut-off 5 Jan 2012 show PFS remains unchanged with additional follow-up data for the whole trial population (update not available by pathway) median PFS in thalidomide and OBS was 22 months vs. 15 months HR for PFS 0.69 (95% ci: 0.59, 0.82)</w:t>
      </w:r>
      <w:r w:rsidR="00DF1D5A" w:rsidRPr="00CE0BE9">
        <w:rPr>
          <w:rFonts w:eastAsia="Calibri"/>
        </w:rPr>
        <w:t xml:space="preserve">. Inverse HR reported in submission. </w:t>
      </w:r>
      <w:proofErr w:type="gramStart"/>
      <w:r w:rsidR="006F00BA" w:rsidRPr="00CE0BE9">
        <w:t>Statistically significant differences bolded.</w:t>
      </w:r>
      <w:proofErr w:type="gramEnd"/>
    </w:p>
    <w:p w:rsidR="00AC647E" w:rsidRPr="00CE0BE9" w:rsidRDefault="00A51754" w:rsidP="00D073C9">
      <w:pPr>
        <w:pStyle w:val="TableFooter"/>
        <w:rPr>
          <w:rStyle w:val="CommentReference"/>
        </w:rPr>
      </w:pPr>
      <w:r w:rsidRPr="00CE0BE9">
        <w:t xml:space="preserve">Source: Table 2.5.1, p.80 and Table 2.6.1, p.108 of the submission. Figure 2.6.1, p.109 of the submission. </w:t>
      </w:r>
      <w:proofErr w:type="gramStart"/>
      <w:r w:rsidRPr="00CE0BE9">
        <w:t>p.10</w:t>
      </w:r>
      <w:proofErr w:type="gramEnd"/>
      <w:r w:rsidRPr="00CE0BE9">
        <w:t xml:space="preserve"> Morgan 2012.</w:t>
      </w:r>
      <w:r w:rsidR="00D073C9" w:rsidRPr="00CE0BE9">
        <w:rPr>
          <w:rStyle w:val="CommentReference"/>
        </w:rPr>
        <w:t xml:space="preserve"> </w:t>
      </w:r>
    </w:p>
    <w:p w:rsidR="00D073C9" w:rsidRDefault="00D073C9">
      <w:pPr>
        <w:widowControl/>
        <w:jc w:val="left"/>
        <w:rPr>
          <w:rStyle w:val="CommentReference"/>
        </w:rPr>
      </w:pPr>
      <w:r>
        <w:rPr>
          <w:rStyle w:val="CommentReference"/>
        </w:rPr>
        <w:br w:type="page"/>
      </w:r>
    </w:p>
    <w:p w:rsidR="00A51754" w:rsidRPr="00CE0BE9" w:rsidRDefault="00A51754" w:rsidP="00A51754">
      <w:pPr>
        <w:keepNext/>
      </w:pPr>
      <w:r w:rsidRPr="00CE0BE9">
        <w:rPr>
          <w:rStyle w:val="CommentReference"/>
        </w:rPr>
        <w:lastRenderedPageBreak/>
        <w:t xml:space="preserve">Table 9: Results of subgroup analysis – OS </w:t>
      </w:r>
      <w:r w:rsidR="00202BD7" w:rsidRPr="00CE0BE9">
        <w:rPr>
          <w:rStyle w:val="CommentReference"/>
        </w:rPr>
        <w:t>–</w:t>
      </w:r>
      <w:r w:rsidRPr="00CE0BE9">
        <w:rPr>
          <w:rStyle w:val="CommentReference"/>
        </w:rPr>
        <w:t xml:space="preserve"> thalidomide</w:t>
      </w:r>
      <w:r w:rsidR="00202BD7" w:rsidRPr="00CE0BE9">
        <w:rPr>
          <w:rStyle w:val="CommentReference"/>
        </w:rPr>
        <w:t xml:space="preserve"> versus BSC</w:t>
      </w: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50"/>
        <w:gridCol w:w="850"/>
        <w:gridCol w:w="992"/>
        <w:gridCol w:w="851"/>
        <w:gridCol w:w="992"/>
        <w:gridCol w:w="992"/>
        <w:gridCol w:w="851"/>
        <w:gridCol w:w="1417"/>
        <w:gridCol w:w="993"/>
      </w:tblGrid>
      <w:tr w:rsidR="00202BD7" w:rsidRPr="00CE0BE9" w:rsidTr="00991C26">
        <w:trPr>
          <w:trHeight w:val="20"/>
          <w:tblHeader/>
        </w:trPr>
        <w:tc>
          <w:tcPr>
            <w:tcW w:w="1050" w:type="dxa"/>
            <w:tcBorders>
              <w:bottom w:val="nil"/>
            </w:tcBorders>
            <w:shd w:val="clear" w:color="auto" w:fill="auto"/>
            <w:vAlign w:val="center"/>
          </w:tcPr>
          <w:p w:rsidR="00202BD7" w:rsidRPr="00CE0BE9" w:rsidRDefault="00202BD7" w:rsidP="00E9333E">
            <w:pPr>
              <w:pStyle w:val="Tabletext"/>
              <w:keepNext/>
              <w:adjustRightInd w:val="0"/>
              <w:snapToGrid w:val="0"/>
              <w:rPr>
                <w:rFonts w:eastAsia="SimSun"/>
                <w:b/>
                <w:iCs/>
                <w:szCs w:val="18"/>
                <w:bdr w:val="none" w:sz="0" w:space="0" w:color="auto" w:frame="1"/>
                <w:lang w:eastAsia="en-AU"/>
              </w:rPr>
            </w:pPr>
          </w:p>
        </w:tc>
        <w:tc>
          <w:tcPr>
            <w:tcW w:w="1842" w:type="dxa"/>
            <w:gridSpan w:val="2"/>
            <w:shd w:val="clear" w:color="auto" w:fill="auto"/>
            <w:vAlign w:val="center"/>
          </w:tcPr>
          <w:p w:rsidR="00202BD7" w:rsidRPr="00CE0BE9" w:rsidRDefault="00202BD7" w:rsidP="00E9333E">
            <w:pPr>
              <w:pStyle w:val="Tabletext"/>
              <w:keepNext/>
              <w:jc w:val="center"/>
              <w:rPr>
                <w:rFonts w:eastAsia="SimSun"/>
                <w:b/>
                <w:iCs/>
                <w:szCs w:val="18"/>
                <w:bdr w:val="none" w:sz="0" w:space="0" w:color="auto" w:frame="1"/>
                <w:lang w:eastAsia="en-AU"/>
              </w:rPr>
            </w:pPr>
            <w:r w:rsidRPr="00CE0BE9">
              <w:rPr>
                <w:rFonts w:eastAsia="SimSun"/>
                <w:b/>
                <w:iCs/>
                <w:szCs w:val="18"/>
                <w:bdr w:val="none" w:sz="0" w:space="0" w:color="auto" w:frame="1"/>
                <w:lang w:eastAsia="en-AU"/>
              </w:rPr>
              <w:t>Thalidomide</w:t>
            </w:r>
          </w:p>
        </w:tc>
        <w:tc>
          <w:tcPr>
            <w:tcW w:w="1843" w:type="dxa"/>
            <w:gridSpan w:val="2"/>
            <w:shd w:val="clear" w:color="auto" w:fill="auto"/>
            <w:vAlign w:val="center"/>
          </w:tcPr>
          <w:p w:rsidR="00202BD7" w:rsidRPr="00CE0BE9" w:rsidRDefault="00202BD7" w:rsidP="00E9333E">
            <w:pPr>
              <w:pStyle w:val="Tabletext"/>
              <w:keepNext/>
              <w:jc w:val="center"/>
              <w:rPr>
                <w:rFonts w:eastAsia="SimSun"/>
                <w:b/>
                <w:iCs/>
                <w:szCs w:val="18"/>
                <w:bdr w:val="none" w:sz="0" w:space="0" w:color="auto" w:frame="1"/>
                <w:lang w:eastAsia="en-AU"/>
              </w:rPr>
            </w:pPr>
            <w:r w:rsidRPr="00CE0BE9">
              <w:rPr>
                <w:rFonts w:eastAsia="SimSun"/>
                <w:b/>
                <w:iCs/>
                <w:szCs w:val="18"/>
                <w:bdr w:val="none" w:sz="0" w:space="0" w:color="auto" w:frame="1"/>
                <w:lang w:eastAsia="en-AU"/>
              </w:rPr>
              <w:t>BSC</w:t>
            </w:r>
          </w:p>
        </w:tc>
        <w:tc>
          <w:tcPr>
            <w:tcW w:w="992" w:type="dxa"/>
            <w:vMerge w:val="restart"/>
            <w:vAlign w:val="center"/>
          </w:tcPr>
          <w:p w:rsidR="00202BD7" w:rsidRPr="00CE0BE9" w:rsidRDefault="00202BD7" w:rsidP="00202BD7">
            <w:pPr>
              <w:pStyle w:val="Tabletext"/>
              <w:jc w:val="center"/>
              <w:rPr>
                <w:rFonts w:eastAsia="SimSun"/>
                <w:b/>
                <w:iCs/>
                <w:szCs w:val="18"/>
                <w:bdr w:val="none" w:sz="0" w:space="0" w:color="auto" w:frame="1"/>
                <w:lang w:eastAsia="en-AU"/>
              </w:rPr>
            </w:pPr>
            <w:r w:rsidRPr="00CE0BE9">
              <w:rPr>
                <w:rFonts w:eastAsia="SimSun"/>
                <w:b/>
                <w:iCs/>
                <w:szCs w:val="18"/>
                <w:bdr w:val="none" w:sz="0" w:space="0" w:color="auto" w:frame="1"/>
                <w:lang w:eastAsia="en-AU"/>
              </w:rPr>
              <w:t>Difference in median, months</w:t>
            </w:r>
          </w:p>
        </w:tc>
        <w:tc>
          <w:tcPr>
            <w:tcW w:w="851" w:type="dxa"/>
            <w:vMerge w:val="restart"/>
            <w:vAlign w:val="center"/>
          </w:tcPr>
          <w:p w:rsidR="00202BD7" w:rsidRPr="00CE0BE9" w:rsidRDefault="00202BD7" w:rsidP="00E9333E">
            <w:pPr>
              <w:pStyle w:val="Tabletext"/>
              <w:jc w:val="center"/>
              <w:rPr>
                <w:rFonts w:eastAsia="SimSun"/>
                <w:b/>
                <w:iCs/>
                <w:szCs w:val="18"/>
                <w:bdr w:val="none" w:sz="0" w:space="0" w:color="auto" w:frame="1"/>
                <w:lang w:eastAsia="en-AU"/>
              </w:rPr>
            </w:pPr>
            <w:r w:rsidRPr="00CE0BE9">
              <w:rPr>
                <w:rFonts w:eastAsia="SimSun"/>
                <w:b/>
                <w:iCs/>
                <w:szCs w:val="18"/>
                <w:bdr w:val="none" w:sz="0" w:space="0" w:color="auto" w:frame="1"/>
                <w:lang w:eastAsia="en-AU"/>
              </w:rPr>
              <w:t>P-value</w:t>
            </w:r>
          </w:p>
        </w:tc>
        <w:tc>
          <w:tcPr>
            <w:tcW w:w="1417" w:type="dxa"/>
            <w:vMerge w:val="restart"/>
            <w:shd w:val="clear" w:color="auto" w:fill="auto"/>
            <w:vAlign w:val="center"/>
          </w:tcPr>
          <w:p w:rsidR="00202BD7" w:rsidRPr="00CE0BE9" w:rsidRDefault="00202BD7" w:rsidP="00E9333E">
            <w:pPr>
              <w:pStyle w:val="Tabletext"/>
              <w:keepNext/>
              <w:adjustRightInd w:val="0"/>
              <w:snapToGrid w:val="0"/>
              <w:jc w:val="center"/>
              <w:rPr>
                <w:rFonts w:eastAsia="SimSun"/>
                <w:b/>
                <w:iCs/>
                <w:szCs w:val="18"/>
                <w:bdr w:val="none" w:sz="0" w:space="0" w:color="auto" w:frame="1"/>
                <w:lang w:eastAsia="en-AU"/>
              </w:rPr>
            </w:pPr>
            <w:r w:rsidRPr="00CE0BE9">
              <w:rPr>
                <w:rFonts w:eastAsia="SimSun"/>
                <w:b/>
                <w:iCs/>
                <w:szCs w:val="18"/>
                <w:bdr w:val="none" w:sz="0" w:space="0" w:color="auto" w:frame="1"/>
                <w:lang w:eastAsia="en-AU"/>
              </w:rPr>
              <w:t xml:space="preserve">Hazard ratio </w:t>
            </w:r>
          </w:p>
          <w:p w:rsidR="00202BD7" w:rsidRPr="00CE0BE9" w:rsidRDefault="00202BD7" w:rsidP="00E9333E">
            <w:pPr>
              <w:pStyle w:val="Tabletext"/>
              <w:keepNext/>
              <w:adjustRightInd w:val="0"/>
              <w:snapToGrid w:val="0"/>
              <w:jc w:val="center"/>
              <w:rPr>
                <w:rFonts w:eastAsia="SimSun"/>
                <w:b/>
                <w:iCs/>
                <w:szCs w:val="18"/>
                <w:bdr w:val="none" w:sz="0" w:space="0" w:color="auto" w:frame="1"/>
                <w:lang w:eastAsia="en-AU"/>
              </w:rPr>
            </w:pPr>
            <w:r w:rsidRPr="00CE0BE9">
              <w:rPr>
                <w:rFonts w:eastAsia="SimSun"/>
                <w:b/>
                <w:iCs/>
                <w:szCs w:val="18"/>
                <w:bdr w:val="none" w:sz="0" w:space="0" w:color="auto" w:frame="1"/>
                <w:lang w:eastAsia="en-AU"/>
              </w:rPr>
              <w:t>(95% CI)</w:t>
            </w:r>
          </w:p>
        </w:tc>
        <w:tc>
          <w:tcPr>
            <w:tcW w:w="993" w:type="dxa"/>
            <w:vMerge w:val="restart"/>
            <w:vAlign w:val="center"/>
          </w:tcPr>
          <w:p w:rsidR="00202BD7" w:rsidRPr="00CE0BE9" w:rsidRDefault="00202BD7" w:rsidP="00E9333E">
            <w:pPr>
              <w:pStyle w:val="Tabletext"/>
              <w:keepNext/>
              <w:adjustRightInd w:val="0"/>
              <w:snapToGrid w:val="0"/>
              <w:jc w:val="center"/>
              <w:rPr>
                <w:rFonts w:eastAsia="SimSun"/>
                <w:b/>
                <w:iCs/>
                <w:szCs w:val="18"/>
                <w:bdr w:val="none" w:sz="0" w:space="0" w:color="auto" w:frame="1"/>
                <w:lang w:eastAsia="en-AU"/>
              </w:rPr>
            </w:pPr>
            <w:r w:rsidRPr="00CE0BE9">
              <w:rPr>
                <w:rFonts w:eastAsia="SimSun"/>
                <w:b/>
                <w:iCs/>
                <w:szCs w:val="18"/>
                <w:bdr w:val="none" w:sz="0" w:space="0" w:color="auto" w:frame="1"/>
                <w:lang w:eastAsia="en-AU"/>
              </w:rPr>
              <w:t>P-value for interaction</w:t>
            </w:r>
          </w:p>
        </w:tc>
      </w:tr>
      <w:tr w:rsidR="00202BD7" w:rsidRPr="00CE0BE9" w:rsidTr="00991C26">
        <w:trPr>
          <w:trHeight w:val="20"/>
          <w:tblHeader/>
        </w:trPr>
        <w:tc>
          <w:tcPr>
            <w:tcW w:w="1050" w:type="dxa"/>
            <w:tcBorders>
              <w:top w:val="nil"/>
              <w:bottom w:val="single" w:sz="4" w:space="0" w:color="auto"/>
            </w:tcBorders>
            <w:shd w:val="clear" w:color="auto" w:fill="auto"/>
            <w:vAlign w:val="center"/>
            <w:hideMark/>
          </w:tcPr>
          <w:p w:rsidR="00202BD7" w:rsidRPr="00CE0BE9" w:rsidRDefault="00202BD7" w:rsidP="00E9333E">
            <w:pPr>
              <w:pStyle w:val="Tabletext"/>
              <w:adjustRightInd w:val="0"/>
              <w:snapToGrid w:val="0"/>
              <w:rPr>
                <w:rFonts w:eastAsia="SimSun"/>
                <w:b/>
                <w:iCs/>
                <w:szCs w:val="18"/>
                <w:bdr w:val="none" w:sz="0" w:space="0" w:color="auto" w:frame="1"/>
                <w:lang w:eastAsia="en-AU"/>
              </w:rPr>
            </w:pPr>
            <w:r w:rsidRPr="00CE0BE9">
              <w:rPr>
                <w:rFonts w:eastAsia="SimSun"/>
                <w:b/>
                <w:iCs/>
                <w:szCs w:val="18"/>
                <w:bdr w:val="none" w:sz="0" w:space="0" w:color="auto" w:frame="1"/>
                <w:lang w:eastAsia="en-AU"/>
              </w:rPr>
              <w:t>Trial ID</w:t>
            </w:r>
          </w:p>
        </w:tc>
        <w:tc>
          <w:tcPr>
            <w:tcW w:w="850" w:type="dxa"/>
            <w:tcBorders>
              <w:bottom w:val="single" w:sz="4" w:space="0" w:color="auto"/>
            </w:tcBorders>
            <w:shd w:val="clear" w:color="auto" w:fill="auto"/>
            <w:vAlign w:val="center"/>
            <w:hideMark/>
          </w:tcPr>
          <w:p w:rsidR="00202BD7" w:rsidRPr="00CE0BE9" w:rsidRDefault="00202BD7" w:rsidP="00E9333E">
            <w:pPr>
              <w:pStyle w:val="Tabletext"/>
              <w:jc w:val="center"/>
              <w:rPr>
                <w:rFonts w:eastAsia="SimSun"/>
                <w:b/>
                <w:iCs/>
                <w:szCs w:val="18"/>
                <w:bdr w:val="none" w:sz="0" w:space="0" w:color="auto" w:frame="1"/>
                <w:lang w:eastAsia="en-AU"/>
              </w:rPr>
            </w:pPr>
            <w:proofErr w:type="gramStart"/>
            <w:r w:rsidRPr="00CE0BE9">
              <w:rPr>
                <w:rFonts w:eastAsia="SimSun"/>
                <w:b/>
                <w:iCs/>
                <w:szCs w:val="18"/>
                <w:bdr w:val="none" w:sz="0" w:space="0" w:color="auto" w:frame="1"/>
                <w:lang w:eastAsia="en-AU"/>
              </w:rPr>
              <w:t>n/N</w:t>
            </w:r>
            <w:proofErr w:type="gramEnd"/>
            <w:r w:rsidRPr="00CE0BE9">
              <w:rPr>
                <w:rFonts w:eastAsia="SimSun"/>
                <w:b/>
                <w:iCs/>
                <w:szCs w:val="18"/>
                <w:bdr w:val="none" w:sz="0" w:space="0" w:color="auto" w:frame="1"/>
                <w:lang w:eastAsia="en-AU"/>
              </w:rPr>
              <w:t xml:space="preserve"> with event (%)</w:t>
            </w:r>
          </w:p>
        </w:tc>
        <w:tc>
          <w:tcPr>
            <w:tcW w:w="992" w:type="dxa"/>
            <w:tcBorders>
              <w:bottom w:val="single" w:sz="4" w:space="0" w:color="auto"/>
            </w:tcBorders>
            <w:shd w:val="clear" w:color="auto" w:fill="auto"/>
            <w:vAlign w:val="center"/>
            <w:hideMark/>
          </w:tcPr>
          <w:p w:rsidR="00202BD7" w:rsidRPr="00CE0BE9" w:rsidRDefault="00202BD7" w:rsidP="00E9333E">
            <w:pPr>
              <w:pStyle w:val="Tabletext"/>
              <w:jc w:val="center"/>
              <w:rPr>
                <w:rFonts w:eastAsia="SimSun"/>
                <w:b/>
                <w:iCs/>
                <w:szCs w:val="18"/>
                <w:bdr w:val="none" w:sz="0" w:space="0" w:color="auto" w:frame="1"/>
                <w:lang w:eastAsia="en-AU"/>
              </w:rPr>
            </w:pPr>
            <w:r w:rsidRPr="00CE0BE9">
              <w:rPr>
                <w:rFonts w:eastAsia="SimSun"/>
                <w:b/>
                <w:iCs/>
                <w:szCs w:val="18"/>
                <w:bdr w:val="none" w:sz="0" w:space="0" w:color="auto" w:frame="1"/>
                <w:lang w:eastAsia="en-AU"/>
              </w:rPr>
              <w:t xml:space="preserve">Median OS, </w:t>
            </w:r>
            <w:proofErr w:type="spellStart"/>
            <w:r w:rsidRPr="00CE0BE9">
              <w:rPr>
                <w:rFonts w:eastAsia="SimSun"/>
                <w:b/>
                <w:iCs/>
                <w:szCs w:val="18"/>
                <w:bdr w:val="none" w:sz="0" w:space="0" w:color="auto" w:frame="1"/>
                <w:lang w:eastAsia="en-AU"/>
              </w:rPr>
              <w:t>mths</w:t>
            </w:r>
            <w:proofErr w:type="spellEnd"/>
            <w:r w:rsidRPr="00CE0BE9">
              <w:rPr>
                <w:rFonts w:eastAsia="SimSun"/>
                <w:b/>
                <w:iCs/>
                <w:szCs w:val="18"/>
                <w:bdr w:val="none" w:sz="0" w:space="0" w:color="auto" w:frame="1"/>
                <w:lang w:eastAsia="en-AU"/>
              </w:rPr>
              <w:t xml:space="preserve"> (95% CI)</w:t>
            </w:r>
          </w:p>
        </w:tc>
        <w:tc>
          <w:tcPr>
            <w:tcW w:w="851" w:type="dxa"/>
            <w:tcBorders>
              <w:bottom w:val="single" w:sz="4" w:space="0" w:color="auto"/>
            </w:tcBorders>
            <w:shd w:val="clear" w:color="auto" w:fill="auto"/>
            <w:vAlign w:val="center"/>
            <w:hideMark/>
          </w:tcPr>
          <w:p w:rsidR="00202BD7" w:rsidRPr="00CE0BE9" w:rsidRDefault="00202BD7" w:rsidP="00E9333E">
            <w:pPr>
              <w:pStyle w:val="Tabletext"/>
              <w:jc w:val="center"/>
              <w:rPr>
                <w:rFonts w:eastAsia="SimSun"/>
                <w:b/>
                <w:iCs/>
                <w:szCs w:val="18"/>
                <w:bdr w:val="none" w:sz="0" w:space="0" w:color="auto" w:frame="1"/>
                <w:lang w:eastAsia="en-AU"/>
              </w:rPr>
            </w:pPr>
            <w:proofErr w:type="gramStart"/>
            <w:r w:rsidRPr="00CE0BE9">
              <w:rPr>
                <w:rFonts w:eastAsia="SimSun"/>
                <w:b/>
                <w:iCs/>
                <w:szCs w:val="18"/>
                <w:bdr w:val="none" w:sz="0" w:space="0" w:color="auto" w:frame="1"/>
                <w:lang w:eastAsia="en-AU"/>
              </w:rPr>
              <w:t>n/N</w:t>
            </w:r>
            <w:proofErr w:type="gramEnd"/>
            <w:r w:rsidRPr="00CE0BE9">
              <w:rPr>
                <w:rFonts w:eastAsia="SimSun"/>
                <w:b/>
                <w:iCs/>
                <w:szCs w:val="18"/>
                <w:bdr w:val="none" w:sz="0" w:space="0" w:color="auto" w:frame="1"/>
                <w:lang w:eastAsia="en-AU"/>
              </w:rPr>
              <w:t xml:space="preserve"> with event (%)</w:t>
            </w:r>
          </w:p>
        </w:tc>
        <w:tc>
          <w:tcPr>
            <w:tcW w:w="992" w:type="dxa"/>
            <w:tcBorders>
              <w:bottom w:val="single" w:sz="4" w:space="0" w:color="auto"/>
            </w:tcBorders>
            <w:shd w:val="clear" w:color="auto" w:fill="auto"/>
            <w:vAlign w:val="center"/>
            <w:hideMark/>
          </w:tcPr>
          <w:p w:rsidR="00202BD7" w:rsidRPr="00CE0BE9" w:rsidRDefault="00202BD7" w:rsidP="00E9333E">
            <w:pPr>
              <w:pStyle w:val="Tabletext"/>
              <w:jc w:val="center"/>
              <w:rPr>
                <w:rFonts w:eastAsia="SimSun"/>
                <w:b/>
                <w:iCs/>
                <w:szCs w:val="18"/>
                <w:bdr w:val="none" w:sz="0" w:space="0" w:color="auto" w:frame="1"/>
                <w:lang w:eastAsia="en-AU"/>
              </w:rPr>
            </w:pPr>
            <w:r w:rsidRPr="00CE0BE9">
              <w:rPr>
                <w:rFonts w:eastAsia="SimSun"/>
                <w:b/>
                <w:iCs/>
                <w:szCs w:val="18"/>
                <w:bdr w:val="none" w:sz="0" w:space="0" w:color="auto" w:frame="1"/>
                <w:lang w:eastAsia="en-AU"/>
              </w:rPr>
              <w:t xml:space="preserve">Median  OS, </w:t>
            </w:r>
            <w:proofErr w:type="spellStart"/>
            <w:r w:rsidRPr="00CE0BE9">
              <w:rPr>
                <w:rFonts w:eastAsia="SimSun"/>
                <w:b/>
                <w:iCs/>
                <w:szCs w:val="18"/>
                <w:bdr w:val="none" w:sz="0" w:space="0" w:color="auto" w:frame="1"/>
                <w:lang w:eastAsia="en-AU"/>
              </w:rPr>
              <w:t>mths</w:t>
            </w:r>
            <w:proofErr w:type="spellEnd"/>
            <w:r w:rsidRPr="00CE0BE9">
              <w:rPr>
                <w:rFonts w:eastAsia="SimSun"/>
                <w:b/>
                <w:iCs/>
                <w:szCs w:val="18"/>
                <w:bdr w:val="none" w:sz="0" w:space="0" w:color="auto" w:frame="1"/>
                <w:lang w:eastAsia="en-AU"/>
              </w:rPr>
              <w:t xml:space="preserve"> (95% CI)</w:t>
            </w:r>
          </w:p>
        </w:tc>
        <w:tc>
          <w:tcPr>
            <w:tcW w:w="992" w:type="dxa"/>
            <w:vMerge/>
            <w:tcBorders>
              <w:bottom w:val="single" w:sz="4" w:space="0" w:color="auto"/>
            </w:tcBorders>
          </w:tcPr>
          <w:p w:rsidR="00202BD7" w:rsidRPr="00CE0BE9" w:rsidRDefault="00202BD7" w:rsidP="00E9333E">
            <w:pPr>
              <w:pStyle w:val="Tabletext"/>
              <w:jc w:val="center"/>
              <w:rPr>
                <w:rFonts w:eastAsia="SimSun"/>
                <w:b/>
                <w:iCs/>
                <w:szCs w:val="18"/>
                <w:bdr w:val="none" w:sz="0" w:space="0" w:color="auto" w:frame="1"/>
                <w:lang w:eastAsia="en-AU"/>
              </w:rPr>
            </w:pPr>
          </w:p>
        </w:tc>
        <w:tc>
          <w:tcPr>
            <w:tcW w:w="851" w:type="dxa"/>
            <w:vMerge/>
            <w:tcBorders>
              <w:bottom w:val="single" w:sz="4" w:space="0" w:color="auto"/>
            </w:tcBorders>
          </w:tcPr>
          <w:p w:rsidR="00202BD7" w:rsidRPr="00CE0BE9" w:rsidRDefault="00202BD7" w:rsidP="00E9333E">
            <w:pPr>
              <w:pStyle w:val="Tabletext"/>
              <w:jc w:val="center"/>
              <w:rPr>
                <w:rFonts w:eastAsia="SimSun"/>
                <w:b/>
                <w:iCs/>
                <w:szCs w:val="18"/>
                <w:bdr w:val="none" w:sz="0" w:space="0" w:color="auto" w:frame="1"/>
                <w:lang w:eastAsia="en-AU"/>
              </w:rPr>
            </w:pPr>
          </w:p>
        </w:tc>
        <w:tc>
          <w:tcPr>
            <w:tcW w:w="1417" w:type="dxa"/>
            <w:vMerge/>
            <w:tcBorders>
              <w:bottom w:val="single" w:sz="4" w:space="0" w:color="auto"/>
            </w:tcBorders>
            <w:shd w:val="clear" w:color="auto" w:fill="auto"/>
            <w:vAlign w:val="center"/>
            <w:hideMark/>
          </w:tcPr>
          <w:p w:rsidR="00202BD7" w:rsidRPr="00CE0BE9" w:rsidRDefault="00202BD7" w:rsidP="00E9333E">
            <w:pPr>
              <w:pStyle w:val="Tabletext"/>
              <w:jc w:val="center"/>
              <w:rPr>
                <w:rFonts w:eastAsia="SimSun"/>
                <w:b/>
                <w:iCs/>
                <w:szCs w:val="18"/>
                <w:bdr w:val="none" w:sz="0" w:space="0" w:color="auto" w:frame="1"/>
                <w:lang w:eastAsia="en-AU"/>
              </w:rPr>
            </w:pPr>
          </w:p>
        </w:tc>
        <w:tc>
          <w:tcPr>
            <w:tcW w:w="993" w:type="dxa"/>
            <w:vMerge/>
            <w:tcBorders>
              <w:bottom w:val="single" w:sz="4" w:space="0" w:color="auto"/>
            </w:tcBorders>
          </w:tcPr>
          <w:p w:rsidR="00202BD7" w:rsidRPr="00CE0BE9" w:rsidRDefault="00202BD7" w:rsidP="00E9333E">
            <w:pPr>
              <w:pStyle w:val="Tabletext"/>
              <w:jc w:val="center"/>
              <w:rPr>
                <w:rFonts w:eastAsia="SimSun"/>
                <w:b/>
                <w:iCs/>
                <w:szCs w:val="18"/>
                <w:bdr w:val="none" w:sz="0" w:space="0" w:color="auto" w:frame="1"/>
                <w:lang w:eastAsia="en-AU"/>
              </w:rPr>
            </w:pPr>
          </w:p>
        </w:tc>
      </w:tr>
      <w:tr w:rsidR="00202BD7" w:rsidRPr="00CE0BE9" w:rsidTr="00991C26">
        <w:trPr>
          <w:trHeight w:val="20"/>
        </w:trPr>
        <w:tc>
          <w:tcPr>
            <w:tcW w:w="2892" w:type="dxa"/>
            <w:gridSpan w:val="3"/>
            <w:tcBorders>
              <w:top w:val="single" w:sz="4" w:space="0" w:color="auto"/>
              <w:left w:val="single" w:sz="4" w:space="0" w:color="auto"/>
              <w:bottom w:val="single" w:sz="4" w:space="0" w:color="auto"/>
              <w:right w:val="nil"/>
            </w:tcBorders>
            <w:shd w:val="clear" w:color="auto" w:fill="auto"/>
          </w:tcPr>
          <w:p w:rsidR="00202BD7" w:rsidRPr="00CE0BE9" w:rsidRDefault="00202BD7" w:rsidP="00E9333E">
            <w:pPr>
              <w:pStyle w:val="Tabletext"/>
              <w:adjustRightInd w:val="0"/>
              <w:snapToGrid w:val="0"/>
              <w:rPr>
                <w:rFonts w:eastAsia="SimSun"/>
                <w:iCs/>
                <w:szCs w:val="18"/>
                <w:bdr w:val="none" w:sz="0" w:space="0" w:color="auto" w:frame="1"/>
                <w:lang w:eastAsia="en-AU"/>
              </w:rPr>
            </w:pPr>
            <w:r w:rsidRPr="00CE0BE9">
              <w:rPr>
                <w:rFonts w:eastAsia="SimSun"/>
                <w:iCs/>
                <w:szCs w:val="18"/>
                <w:bdr w:val="none" w:sz="0" w:space="0" w:color="auto" w:frame="1"/>
                <w:lang w:eastAsia="en-AU"/>
              </w:rPr>
              <w:t>Myeloma IX (October 2009)</w:t>
            </w:r>
          </w:p>
        </w:tc>
        <w:tc>
          <w:tcPr>
            <w:tcW w:w="851" w:type="dxa"/>
            <w:tcBorders>
              <w:top w:val="single" w:sz="4" w:space="0" w:color="auto"/>
              <w:left w:val="nil"/>
              <w:bottom w:val="single" w:sz="4" w:space="0" w:color="auto"/>
              <w:right w:val="nil"/>
            </w:tcBorders>
            <w:shd w:val="clear" w:color="auto" w:fill="auto"/>
            <w:vAlign w:val="center"/>
          </w:tcPr>
          <w:p w:rsidR="00202BD7" w:rsidRPr="00CE0BE9" w:rsidRDefault="00202BD7" w:rsidP="00E9333E">
            <w:pPr>
              <w:pStyle w:val="Tabletext"/>
              <w:adjustRightInd w:val="0"/>
              <w:snapToGrid w:val="0"/>
              <w:jc w:val="center"/>
              <w:rPr>
                <w:rFonts w:eastAsia="SimSun"/>
                <w:iCs/>
                <w:szCs w:val="18"/>
                <w:bdr w:val="none" w:sz="0" w:space="0" w:color="auto" w:frame="1"/>
                <w:lang w:eastAsia="en-AU"/>
              </w:rPr>
            </w:pPr>
          </w:p>
        </w:tc>
        <w:tc>
          <w:tcPr>
            <w:tcW w:w="992" w:type="dxa"/>
            <w:tcBorders>
              <w:top w:val="single" w:sz="4" w:space="0" w:color="auto"/>
              <w:left w:val="nil"/>
              <w:bottom w:val="single" w:sz="4" w:space="0" w:color="auto"/>
              <w:right w:val="nil"/>
            </w:tcBorders>
            <w:shd w:val="clear" w:color="auto" w:fill="auto"/>
            <w:vAlign w:val="center"/>
          </w:tcPr>
          <w:p w:rsidR="00202BD7" w:rsidRPr="00CE0BE9" w:rsidRDefault="00202BD7" w:rsidP="00E9333E">
            <w:pPr>
              <w:pStyle w:val="Tabletext"/>
              <w:adjustRightInd w:val="0"/>
              <w:snapToGrid w:val="0"/>
              <w:jc w:val="center"/>
              <w:rPr>
                <w:rFonts w:eastAsia="SimSun"/>
                <w:iCs/>
                <w:szCs w:val="18"/>
                <w:bdr w:val="none" w:sz="0" w:space="0" w:color="auto" w:frame="1"/>
                <w:lang w:eastAsia="en-AU"/>
              </w:rPr>
            </w:pPr>
          </w:p>
        </w:tc>
        <w:tc>
          <w:tcPr>
            <w:tcW w:w="992" w:type="dxa"/>
            <w:tcBorders>
              <w:top w:val="single" w:sz="4" w:space="0" w:color="auto"/>
              <w:left w:val="nil"/>
              <w:bottom w:val="single" w:sz="4" w:space="0" w:color="auto"/>
              <w:right w:val="nil"/>
            </w:tcBorders>
          </w:tcPr>
          <w:p w:rsidR="00202BD7" w:rsidRPr="00CE0BE9" w:rsidRDefault="00202BD7" w:rsidP="00E9333E">
            <w:pPr>
              <w:pStyle w:val="Tabletext"/>
              <w:jc w:val="center"/>
              <w:rPr>
                <w:lang w:eastAsia="en-AU"/>
              </w:rPr>
            </w:pPr>
          </w:p>
        </w:tc>
        <w:tc>
          <w:tcPr>
            <w:tcW w:w="851" w:type="dxa"/>
            <w:tcBorders>
              <w:top w:val="single" w:sz="4" w:space="0" w:color="auto"/>
              <w:left w:val="nil"/>
              <w:bottom w:val="single" w:sz="4" w:space="0" w:color="auto"/>
              <w:right w:val="nil"/>
            </w:tcBorders>
          </w:tcPr>
          <w:p w:rsidR="00202BD7" w:rsidRPr="00CE0BE9" w:rsidRDefault="00202BD7" w:rsidP="00E9333E">
            <w:pPr>
              <w:pStyle w:val="Tabletext"/>
              <w:jc w:val="center"/>
              <w:rPr>
                <w:lang w:eastAsia="en-AU"/>
              </w:rPr>
            </w:pPr>
          </w:p>
        </w:tc>
        <w:tc>
          <w:tcPr>
            <w:tcW w:w="1417" w:type="dxa"/>
            <w:tcBorders>
              <w:top w:val="single" w:sz="4" w:space="0" w:color="auto"/>
              <w:left w:val="nil"/>
              <w:bottom w:val="single" w:sz="4" w:space="0" w:color="auto"/>
              <w:right w:val="nil"/>
            </w:tcBorders>
            <w:shd w:val="clear" w:color="auto" w:fill="auto"/>
            <w:vAlign w:val="center"/>
          </w:tcPr>
          <w:p w:rsidR="00202BD7" w:rsidRPr="00CE0BE9" w:rsidRDefault="00202BD7" w:rsidP="00E9333E">
            <w:pPr>
              <w:pStyle w:val="Tabletext"/>
              <w:jc w:val="center"/>
              <w:rPr>
                <w:lang w:eastAsia="en-AU"/>
              </w:rPr>
            </w:pPr>
          </w:p>
        </w:tc>
        <w:tc>
          <w:tcPr>
            <w:tcW w:w="993" w:type="dxa"/>
            <w:tcBorders>
              <w:top w:val="single" w:sz="4" w:space="0" w:color="auto"/>
              <w:left w:val="nil"/>
              <w:bottom w:val="single" w:sz="4" w:space="0" w:color="auto"/>
              <w:right w:val="single" w:sz="4" w:space="0" w:color="auto"/>
            </w:tcBorders>
          </w:tcPr>
          <w:p w:rsidR="00202BD7" w:rsidRPr="00CE0BE9" w:rsidRDefault="00202BD7" w:rsidP="00E9333E">
            <w:pPr>
              <w:pStyle w:val="Tabletext"/>
              <w:adjustRightInd w:val="0"/>
              <w:snapToGrid w:val="0"/>
              <w:jc w:val="center"/>
              <w:rPr>
                <w:rFonts w:eastAsia="SimSun"/>
                <w:iCs/>
                <w:szCs w:val="18"/>
                <w:bdr w:val="none" w:sz="0" w:space="0" w:color="auto" w:frame="1"/>
                <w:lang w:eastAsia="en-AU"/>
              </w:rPr>
            </w:pPr>
          </w:p>
        </w:tc>
      </w:tr>
      <w:tr w:rsidR="00202BD7" w:rsidRPr="00CE0BE9" w:rsidTr="00991C26">
        <w:trPr>
          <w:trHeight w:val="20"/>
        </w:trPr>
        <w:tc>
          <w:tcPr>
            <w:tcW w:w="1050" w:type="dxa"/>
            <w:tcBorders>
              <w:top w:val="single" w:sz="4" w:space="0" w:color="auto"/>
              <w:left w:val="single" w:sz="4" w:space="0" w:color="auto"/>
              <w:bottom w:val="single" w:sz="4" w:space="0" w:color="auto"/>
              <w:right w:val="single" w:sz="4" w:space="0" w:color="auto"/>
            </w:tcBorders>
            <w:shd w:val="clear" w:color="auto" w:fill="auto"/>
          </w:tcPr>
          <w:p w:rsidR="00202BD7" w:rsidRPr="00CE0BE9" w:rsidRDefault="00202BD7" w:rsidP="00E9333E">
            <w:pPr>
              <w:pStyle w:val="Tabletext"/>
              <w:adjustRightInd w:val="0"/>
              <w:snapToGrid w:val="0"/>
              <w:rPr>
                <w:rFonts w:eastAsia="SimSun"/>
                <w:iCs/>
                <w:szCs w:val="18"/>
                <w:bdr w:val="none" w:sz="0" w:space="0" w:color="auto" w:frame="1"/>
                <w:lang w:eastAsia="en-AU"/>
              </w:rPr>
            </w:pPr>
            <w:r w:rsidRPr="00CE0BE9">
              <w:rPr>
                <w:rFonts w:eastAsia="SimSun"/>
                <w:iCs/>
                <w:szCs w:val="18"/>
                <w:bdr w:val="none" w:sz="0" w:space="0" w:color="auto" w:frame="1"/>
                <w:lang w:eastAsia="en-AU"/>
              </w:rPr>
              <w:t xml:space="preserve">Whole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02BD7" w:rsidRPr="00CE0BE9" w:rsidRDefault="00070EEB" w:rsidP="00E9333E">
            <w:pPr>
              <w:pStyle w:val="Tabletext"/>
              <w:adjustRightInd w:val="0"/>
              <w:snapToGrid w:val="0"/>
              <w:jc w:val="center"/>
              <w:rPr>
                <w:rFonts w:eastAsia="SimSun"/>
                <w:iCs/>
                <w:szCs w:val="18"/>
                <w:bdr w:val="none" w:sz="0" w:space="0" w:color="auto" w:frame="1"/>
                <w:lang w:eastAsia="en-AU"/>
              </w:rPr>
            </w:pPr>
            <w:r w:rsidRPr="00CE0BE9">
              <w:rPr>
                <w:rFonts w:eastAsia="SimSun"/>
                <w:iCs/>
                <w:szCs w:val="18"/>
                <w:bdr w:val="none" w:sz="0" w:space="0" w:color="auto" w:frame="1"/>
                <w:lang w:eastAsia="en-AU"/>
              </w:rPr>
              <w:t>NR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02BD7" w:rsidRPr="00CE0BE9" w:rsidDel="009957D8" w:rsidRDefault="00070EEB" w:rsidP="00E9333E">
            <w:pPr>
              <w:pStyle w:val="Tabletext"/>
              <w:adjustRightInd w:val="0"/>
              <w:snapToGrid w:val="0"/>
              <w:jc w:val="center"/>
              <w:rPr>
                <w:rFonts w:eastAsia="SimSun"/>
                <w:iCs/>
                <w:szCs w:val="18"/>
                <w:bdr w:val="none" w:sz="0" w:space="0" w:color="auto" w:frame="1"/>
                <w:lang w:eastAsia="en-AU"/>
              </w:rPr>
            </w:pPr>
            <w:r w:rsidRPr="00CE0BE9">
              <w:rPr>
                <w:rFonts w:eastAsia="SimSun"/>
                <w:iCs/>
                <w:szCs w:val="18"/>
                <w:bdr w:val="none" w:sz="0" w:space="0" w:color="auto" w:frame="1"/>
                <w:lang w:eastAsia="en-AU"/>
              </w:rPr>
              <w:t>NR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2BD7" w:rsidRPr="00CE0BE9" w:rsidRDefault="00070EEB" w:rsidP="00E9333E">
            <w:pPr>
              <w:pStyle w:val="Tabletext"/>
              <w:adjustRightInd w:val="0"/>
              <w:snapToGrid w:val="0"/>
              <w:jc w:val="center"/>
              <w:rPr>
                <w:rFonts w:eastAsia="SimSun"/>
                <w:iCs/>
                <w:szCs w:val="18"/>
                <w:bdr w:val="none" w:sz="0" w:space="0" w:color="auto" w:frame="1"/>
                <w:lang w:eastAsia="en-AU"/>
              </w:rPr>
            </w:pPr>
            <w:r w:rsidRPr="00CE0BE9">
              <w:rPr>
                <w:rFonts w:eastAsia="SimSun"/>
                <w:iCs/>
                <w:szCs w:val="18"/>
                <w:bdr w:val="none" w:sz="0" w:space="0" w:color="auto" w:frame="1"/>
                <w:lang w:eastAsia="en-AU"/>
              </w:rPr>
              <w:t>NR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02BD7" w:rsidRPr="00CE0BE9" w:rsidDel="009957D8" w:rsidRDefault="00070EEB" w:rsidP="00E9333E">
            <w:pPr>
              <w:pStyle w:val="Tabletext"/>
              <w:adjustRightInd w:val="0"/>
              <w:snapToGrid w:val="0"/>
              <w:jc w:val="center"/>
              <w:rPr>
                <w:rFonts w:eastAsia="SimSun"/>
                <w:iCs/>
                <w:szCs w:val="18"/>
                <w:bdr w:val="none" w:sz="0" w:space="0" w:color="auto" w:frame="1"/>
                <w:lang w:eastAsia="en-AU"/>
              </w:rPr>
            </w:pPr>
            <w:r w:rsidRPr="00CE0BE9">
              <w:rPr>
                <w:rFonts w:eastAsia="SimSun"/>
                <w:iCs/>
                <w:szCs w:val="18"/>
                <w:bdr w:val="none" w:sz="0" w:space="0" w:color="auto" w:frame="1"/>
                <w:lang w:eastAsia="en-AU"/>
              </w:rPr>
              <w:t>NR</w:t>
            </w:r>
          </w:p>
        </w:tc>
        <w:tc>
          <w:tcPr>
            <w:tcW w:w="992" w:type="dxa"/>
            <w:tcBorders>
              <w:top w:val="single" w:sz="4" w:space="0" w:color="auto"/>
              <w:left w:val="single" w:sz="4" w:space="0" w:color="auto"/>
              <w:bottom w:val="single" w:sz="4" w:space="0" w:color="auto"/>
              <w:right w:val="single" w:sz="4" w:space="0" w:color="auto"/>
            </w:tcBorders>
            <w:vAlign w:val="center"/>
          </w:tcPr>
          <w:p w:rsidR="00202BD7" w:rsidRPr="00CE0BE9" w:rsidRDefault="00070EEB" w:rsidP="00202BD7">
            <w:pPr>
              <w:pStyle w:val="Tabletext"/>
              <w:jc w:val="center"/>
              <w:rPr>
                <w:lang w:eastAsia="en-AU"/>
              </w:rPr>
            </w:pPr>
            <w:r w:rsidRPr="00CE0BE9">
              <w:rPr>
                <w:rFonts w:eastAsia="SimSun"/>
                <w:iCs/>
                <w:szCs w:val="18"/>
                <w:bdr w:val="none" w:sz="0" w:space="0" w:color="auto" w:frame="1"/>
                <w:lang w:eastAsia="en-AU"/>
              </w:rPr>
              <w:t>NR</w:t>
            </w:r>
          </w:p>
        </w:tc>
        <w:tc>
          <w:tcPr>
            <w:tcW w:w="851" w:type="dxa"/>
            <w:tcBorders>
              <w:top w:val="single" w:sz="4" w:space="0" w:color="auto"/>
              <w:left w:val="single" w:sz="4" w:space="0" w:color="auto"/>
              <w:bottom w:val="single" w:sz="4" w:space="0" w:color="auto"/>
              <w:right w:val="single" w:sz="4" w:space="0" w:color="auto"/>
            </w:tcBorders>
            <w:vAlign w:val="center"/>
          </w:tcPr>
          <w:p w:rsidR="00202BD7" w:rsidRPr="00CE0BE9" w:rsidRDefault="00202BD7" w:rsidP="00765EA8">
            <w:pPr>
              <w:pStyle w:val="Tabletext"/>
              <w:jc w:val="center"/>
              <w:rPr>
                <w:lang w:eastAsia="en-AU"/>
              </w:rPr>
            </w:pPr>
            <w:r w:rsidRPr="00CE0BE9">
              <w:rPr>
                <w:lang w:eastAsia="en-AU"/>
              </w:rPr>
              <w:t>p=0.40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02BD7" w:rsidRPr="00CE0BE9" w:rsidRDefault="00202BD7" w:rsidP="00E9333E">
            <w:pPr>
              <w:pStyle w:val="Tabletext"/>
              <w:jc w:val="center"/>
              <w:rPr>
                <w:lang w:eastAsia="en-AU"/>
              </w:rPr>
            </w:pPr>
            <w:r w:rsidRPr="00CE0BE9">
              <w:rPr>
                <w:lang w:eastAsia="en-AU"/>
              </w:rPr>
              <w:t>1.10 (0.85, 1.35)</w:t>
            </w:r>
          </w:p>
        </w:tc>
        <w:tc>
          <w:tcPr>
            <w:tcW w:w="993" w:type="dxa"/>
            <w:tcBorders>
              <w:top w:val="single" w:sz="4" w:space="0" w:color="auto"/>
              <w:left w:val="single" w:sz="4" w:space="0" w:color="auto"/>
              <w:right w:val="single" w:sz="4" w:space="0" w:color="auto"/>
            </w:tcBorders>
            <w:vAlign w:val="center"/>
          </w:tcPr>
          <w:p w:rsidR="00202BD7" w:rsidRPr="00CE0BE9" w:rsidRDefault="00070EEB" w:rsidP="00E9333E">
            <w:pPr>
              <w:pStyle w:val="Tabletext"/>
              <w:adjustRightInd w:val="0"/>
              <w:snapToGrid w:val="0"/>
              <w:jc w:val="center"/>
              <w:rPr>
                <w:rFonts w:eastAsia="SimSun"/>
                <w:iCs/>
                <w:szCs w:val="18"/>
                <w:bdr w:val="none" w:sz="0" w:space="0" w:color="auto" w:frame="1"/>
                <w:lang w:eastAsia="en-AU"/>
              </w:rPr>
            </w:pPr>
            <w:r w:rsidRPr="00CE0BE9">
              <w:rPr>
                <w:rFonts w:eastAsia="SimSun"/>
                <w:iCs/>
                <w:szCs w:val="18"/>
                <w:bdr w:val="none" w:sz="0" w:space="0" w:color="auto" w:frame="1"/>
                <w:lang w:eastAsia="en-AU"/>
              </w:rPr>
              <w:t>NA</w:t>
            </w:r>
            <w:r w:rsidR="00202BD7" w:rsidRPr="00CE0BE9">
              <w:rPr>
                <w:rFonts w:eastAsia="SimSun"/>
                <w:iCs/>
                <w:szCs w:val="18"/>
                <w:bdr w:val="none" w:sz="0" w:space="0" w:color="auto" w:frame="1"/>
                <w:lang w:eastAsia="en-AU"/>
              </w:rPr>
              <w:t xml:space="preserve"> </w:t>
            </w:r>
          </w:p>
        </w:tc>
      </w:tr>
      <w:tr w:rsidR="00202BD7" w:rsidRPr="00CE0BE9" w:rsidTr="00991C26">
        <w:trPr>
          <w:trHeight w:val="20"/>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202BD7" w:rsidRPr="00CE0BE9" w:rsidRDefault="00202BD7" w:rsidP="00991C26">
            <w:pPr>
              <w:pStyle w:val="Tabletext"/>
              <w:adjustRightInd w:val="0"/>
              <w:snapToGrid w:val="0"/>
              <w:rPr>
                <w:rFonts w:eastAsia="SimSun"/>
                <w:iCs/>
                <w:szCs w:val="18"/>
                <w:bdr w:val="none" w:sz="0" w:space="0" w:color="auto" w:frame="1"/>
                <w:lang w:eastAsia="en-AU"/>
              </w:rPr>
            </w:pPr>
            <w:r w:rsidRPr="00CE0BE9">
              <w:rPr>
                <w:rFonts w:eastAsia="SimSun"/>
                <w:iCs/>
                <w:szCs w:val="18"/>
                <w:bdr w:val="none" w:sz="0" w:space="0" w:color="auto" w:frame="1"/>
                <w:lang w:eastAsia="en-AU"/>
              </w:rPr>
              <w:t>ASCT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02BD7" w:rsidRPr="00CE0BE9" w:rsidRDefault="00070EEB" w:rsidP="00E9333E">
            <w:pPr>
              <w:pStyle w:val="Tabletext"/>
              <w:adjustRightInd w:val="0"/>
              <w:snapToGrid w:val="0"/>
              <w:jc w:val="center"/>
              <w:rPr>
                <w:rFonts w:eastAsia="SimSun"/>
                <w:iCs/>
                <w:szCs w:val="18"/>
                <w:bdr w:val="none" w:sz="0" w:space="0" w:color="auto" w:frame="1"/>
                <w:lang w:eastAsia="en-AU"/>
              </w:rPr>
            </w:pPr>
            <w:r w:rsidRPr="00CE0BE9">
              <w:rPr>
                <w:rFonts w:eastAsia="SimSun"/>
                <w:iCs/>
                <w:szCs w:val="18"/>
                <w:bdr w:val="none" w:sz="0" w:space="0" w:color="auto" w:frame="1"/>
                <w:lang w:eastAsia="en-AU"/>
              </w:rPr>
              <w:t>NR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02BD7" w:rsidRPr="00CE0BE9" w:rsidRDefault="00202BD7" w:rsidP="00E9333E">
            <w:pPr>
              <w:pStyle w:val="Tabletext"/>
              <w:adjustRightInd w:val="0"/>
              <w:snapToGrid w:val="0"/>
              <w:jc w:val="center"/>
              <w:rPr>
                <w:rFonts w:eastAsia="SimSun"/>
                <w:iCs/>
                <w:szCs w:val="18"/>
                <w:bdr w:val="none" w:sz="0" w:space="0" w:color="auto" w:frame="1"/>
                <w:lang w:eastAsia="en-AU"/>
              </w:rPr>
            </w:pPr>
            <w:r w:rsidRPr="00CE0BE9">
              <w:rPr>
                <w:rFonts w:eastAsia="SimSun"/>
                <w:iCs/>
                <w:szCs w:val="18"/>
                <w:bdr w:val="none" w:sz="0" w:space="0" w:color="auto" w:frame="1"/>
                <w:lang w:eastAsia="en-AU"/>
              </w:rPr>
              <w:t>NR (3-yr OS 75%)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2BD7" w:rsidRPr="00CE0BE9" w:rsidRDefault="00070EEB" w:rsidP="00E9333E">
            <w:pPr>
              <w:pStyle w:val="Tabletext"/>
              <w:adjustRightInd w:val="0"/>
              <w:snapToGrid w:val="0"/>
              <w:jc w:val="center"/>
              <w:rPr>
                <w:rFonts w:eastAsia="SimSun"/>
                <w:iCs/>
                <w:szCs w:val="18"/>
                <w:bdr w:val="none" w:sz="0" w:space="0" w:color="auto" w:frame="1"/>
                <w:lang w:eastAsia="en-AU"/>
              </w:rPr>
            </w:pPr>
            <w:r w:rsidRPr="00CE0BE9">
              <w:rPr>
                <w:rFonts w:eastAsia="SimSun"/>
                <w:iCs/>
                <w:szCs w:val="18"/>
                <w:bdr w:val="none" w:sz="0" w:space="0" w:color="auto" w:frame="1"/>
                <w:lang w:eastAsia="en-AU"/>
              </w:rPr>
              <w:t>NR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02BD7" w:rsidRPr="00CE0BE9" w:rsidRDefault="00202BD7" w:rsidP="00E9333E">
            <w:pPr>
              <w:pStyle w:val="Tabletext"/>
              <w:adjustRightInd w:val="0"/>
              <w:snapToGrid w:val="0"/>
              <w:jc w:val="center"/>
              <w:rPr>
                <w:rFonts w:eastAsia="SimSun"/>
                <w:iCs/>
                <w:szCs w:val="18"/>
                <w:bdr w:val="none" w:sz="0" w:space="0" w:color="auto" w:frame="1"/>
                <w:lang w:eastAsia="en-AU"/>
              </w:rPr>
            </w:pPr>
            <w:r w:rsidRPr="00CE0BE9">
              <w:rPr>
                <w:rFonts w:eastAsia="SimSun"/>
                <w:iCs/>
                <w:szCs w:val="18"/>
                <w:bdr w:val="none" w:sz="0" w:space="0" w:color="auto" w:frame="1"/>
                <w:lang w:eastAsia="en-AU"/>
              </w:rPr>
              <w:t>NR (3-yr OS 80%)</w:t>
            </w:r>
          </w:p>
        </w:tc>
        <w:tc>
          <w:tcPr>
            <w:tcW w:w="992" w:type="dxa"/>
            <w:tcBorders>
              <w:top w:val="single" w:sz="4" w:space="0" w:color="auto"/>
              <w:left w:val="single" w:sz="4" w:space="0" w:color="auto"/>
              <w:bottom w:val="single" w:sz="4" w:space="0" w:color="auto"/>
              <w:right w:val="single" w:sz="4" w:space="0" w:color="auto"/>
            </w:tcBorders>
            <w:vAlign w:val="center"/>
          </w:tcPr>
          <w:p w:rsidR="00202BD7" w:rsidRPr="00CE0BE9" w:rsidRDefault="00070EEB" w:rsidP="00202BD7">
            <w:pPr>
              <w:pStyle w:val="Tabletext"/>
              <w:jc w:val="center"/>
              <w:rPr>
                <w:lang w:eastAsia="en-AU"/>
              </w:rPr>
            </w:pPr>
            <w:r w:rsidRPr="00CE0BE9">
              <w:rPr>
                <w:rFonts w:eastAsia="SimSun"/>
                <w:iCs/>
                <w:szCs w:val="18"/>
                <w:bdr w:val="none" w:sz="0" w:space="0" w:color="auto" w:frame="1"/>
                <w:lang w:eastAsia="en-AU"/>
              </w:rPr>
              <w:t>NR</w:t>
            </w:r>
          </w:p>
        </w:tc>
        <w:tc>
          <w:tcPr>
            <w:tcW w:w="851" w:type="dxa"/>
            <w:tcBorders>
              <w:top w:val="single" w:sz="4" w:space="0" w:color="auto"/>
              <w:left w:val="single" w:sz="4" w:space="0" w:color="auto"/>
              <w:bottom w:val="single" w:sz="4" w:space="0" w:color="auto"/>
              <w:right w:val="single" w:sz="4" w:space="0" w:color="auto"/>
            </w:tcBorders>
            <w:vAlign w:val="center"/>
          </w:tcPr>
          <w:p w:rsidR="00202BD7" w:rsidRPr="00CE0BE9" w:rsidRDefault="00202BD7" w:rsidP="00765EA8">
            <w:pPr>
              <w:pStyle w:val="Tabletext"/>
              <w:jc w:val="center"/>
              <w:rPr>
                <w:lang w:eastAsia="en-AU"/>
              </w:rPr>
            </w:pPr>
            <w:r w:rsidRPr="00CE0BE9">
              <w:rPr>
                <w:lang w:eastAsia="en-AU"/>
              </w:rPr>
              <w:t>p=0.26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02BD7" w:rsidRPr="00CE0BE9" w:rsidRDefault="00070EEB" w:rsidP="00E9333E">
            <w:pPr>
              <w:pStyle w:val="Tabletext"/>
              <w:jc w:val="center"/>
              <w:rPr>
                <w:lang w:eastAsia="en-AU"/>
              </w:rPr>
            </w:pPr>
            <w:r w:rsidRPr="00CE0BE9">
              <w:rPr>
                <w:rFonts w:eastAsia="SimSun"/>
                <w:iCs/>
                <w:szCs w:val="18"/>
                <w:bdr w:val="none" w:sz="0" w:space="0" w:color="auto" w:frame="1"/>
                <w:lang w:eastAsia="en-AU"/>
              </w:rPr>
              <w:t>NR</w:t>
            </w:r>
          </w:p>
        </w:tc>
        <w:tc>
          <w:tcPr>
            <w:tcW w:w="993" w:type="dxa"/>
            <w:vMerge w:val="restart"/>
            <w:tcBorders>
              <w:left w:val="single" w:sz="4" w:space="0" w:color="auto"/>
              <w:right w:val="single" w:sz="4" w:space="0" w:color="auto"/>
            </w:tcBorders>
            <w:vAlign w:val="center"/>
          </w:tcPr>
          <w:p w:rsidR="00202BD7" w:rsidRPr="00CE0BE9" w:rsidRDefault="00070EEB" w:rsidP="00070EEB">
            <w:pPr>
              <w:pStyle w:val="Tabletext"/>
              <w:adjustRightInd w:val="0"/>
              <w:snapToGrid w:val="0"/>
              <w:jc w:val="center"/>
              <w:rPr>
                <w:rFonts w:eastAsia="SimSun"/>
                <w:iCs/>
                <w:szCs w:val="18"/>
                <w:bdr w:val="none" w:sz="0" w:space="0" w:color="auto" w:frame="1"/>
                <w:lang w:eastAsia="en-AU"/>
              </w:rPr>
            </w:pPr>
            <w:r w:rsidRPr="00CE0BE9">
              <w:rPr>
                <w:rFonts w:eastAsia="SimSun"/>
                <w:iCs/>
                <w:szCs w:val="18"/>
                <w:bdr w:val="none" w:sz="0" w:space="0" w:color="auto" w:frame="1"/>
                <w:lang w:eastAsia="en-AU"/>
              </w:rPr>
              <w:t>NR</w:t>
            </w:r>
            <w:r w:rsidR="00202BD7" w:rsidRPr="00CE0BE9">
              <w:rPr>
                <w:rFonts w:eastAsia="SimSun"/>
                <w:iCs/>
                <w:szCs w:val="18"/>
                <w:bdr w:val="none" w:sz="0" w:space="0" w:color="auto" w:frame="1"/>
                <w:lang w:eastAsia="en-AU"/>
              </w:rPr>
              <w:t>.</w:t>
            </w:r>
          </w:p>
        </w:tc>
      </w:tr>
      <w:tr w:rsidR="00202BD7" w:rsidRPr="00CE0BE9" w:rsidTr="00991C26">
        <w:trPr>
          <w:trHeight w:val="20"/>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202BD7" w:rsidRPr="00CE0BE9" w:rsidRDefault="00202BD7" w:rsidP="00E9333E">
            <w:pPr>
              <w:pStyle w:val="Tabletext"/>
              <w:adjustRightInd w:val="0"/>
              <w:snapToGrid w:val="0"/>
              <w:rPr>
                <w:rFonts w:eastAsia="SimSun"/>
                <w:iCs/>
                <w:szCs w:val="18"/>
                <w:bdr w:val="none" w:sz="0" w:space="0" w:color="auto" w:frame="1"/>
                <w:lang w:eastAsia="en-AU"/>
              </w:rPr>
            </w:pPr>
            <w:r w:rsidRPr="00CE0BE9">
              <w:rPr>
                <w:rFonts w:eastAsia="SimSun"/>
                <w:iCs/>
                <w:szCs w:val="18"/>
                <w:bdr w:val="none" w:sz="0" w:space="0" w:color="auto" w:frame="1"/>
                <w:lang w:eastAsia="en-AU"/>
              </w:rPr>
              <w:t>Complement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02BD7" w:rsidRPr="00CE0BE9" w:rsidRDefault="00070EEB" w:rsidP="00E9333E">
            <w:pPr>
              <w:pStyle w:val="Tabletext"/>
              <w:adjustRightInd w:val="0"/>
              <w:snapToGrid w:val="0"/>
              <w:jc w:val="center"/>
              <w:rPr>
                <w:rFonts w:eastAsia="SimSun"/>
                <w:iCs/>
                <w:szCs w:val="18"/>
                <w:bdr w:val="none" w:sz="0" w:space="0" w:color="auto" w:frame="1"/>
                <w:lang w:eastAsia="en-AU"/>
              </w:rPr>
            </w:pPr>
            <w:r w:rsidRPr="00CE0BE9">
              <w:rPr>
                <w:rFonts w:eastAsia="SimSun"/>
                <w:iCs/>
                <w:szCs w:val="18"/>
                <w:bdr w:val="none" w:sz="0" w:space="0" w:color="auto" w:frame="1"/>
                <w:lang w:eastAsia="en-AU"/>
              </w:rPr>
              <w:t>NR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02BD7" w:rsidRPr="00CE0BE9" w:rsidDel="009957D8" w:rsidRDefault="00202BD7" w:rsidP="00E9333E">
            <w:pPr>
              <w:pStyle w:val="Tabletext"/>
              <w:adjustRightInd w:val="0"/>
              <w:snapToGrid w:val="0"/>
              <w:jc w:val="center"/>
              <w:rPr>
                <w:rFonts w:eastAsia="SimSun"/>
                <w:iCs/>
                <w:szCs w:val="18"/>
                <w:bdr w:val="none" w:sz="0" w:space="0" w:color="auto" w:frame="1"/>
                <w:lang w:eastAsia="en-AU"/>
              </w:rPr>
            </w:pPr>
            <w:r w:rsidRPr="00CE0BE9">
              <w:rPr>
                <w:rFonts w:eastAsia="SimSun"/>
                <w:iCs/>
                <w:szCs w:val="18"/>
                <w:bdr w:val="none" w:sz="0" w:space="0" w:color="auto" w:frame="1"/>
                <w:lang w:eastAsia="en-AU"/>
              </w:rPr>
              <w:t>38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2BD7" w:rsidRPr="00CE0BE9" w:rsidRDefault="00070EEB" w:rsidP="00E9333E">
            <w:pPr>
              <w:pStyle w:val="Tabletext"/>
              <w:adjustRightInd w:val="0"/>
              <w:snapToGrid w:val="0"/>
              <w:jc w:val="center"/>
              <w:rPr>
                <w:rFonts w:eastAsia="SimSun"/>
                <w:iCs/>
                <w:szCs w:val="18"/>
                <w:bdr w:val="none" w:sz="0" w:space="0" w:color="auto" w:frame="1"/>
                <w:lang w:eastAsia="en-AU"/>
              </w:rPr>
            </w:pPr>
            <w:r w:rsidRPr="00CE0BE9">
              <w:rPr>
                <w:rFonts w:eastAsia="SimSun"/>
                <w:iCs/>
                <w:szCs w:val="18"/>
                <w:bdr w:val="none" w:sz="0" w:space="0" w:color="auto" w:frame="1"/>
                <w:lang w:eastAsia="en-AU"/>
              </w:rPr>
              <w:t>NR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02BD7" w:rsidRPr="00CE0BE9" w:rsidDel="009957D8" w:rsidRDefault="00202BD7" w:rsidP="00E9333E">
            <w:pPr>
              <w:pStyle w:val="Tabletext"/>
              <w:adjustRightInd w:val="0"/>
              <w:snapToGrid w:val="0"/>
              <w:jc w:val="center"/>
              <w:rPr>
                <w:rFonts w:eastAsia="SimSun"/>
                <w:iCs/>
                <w:szCs w:val="18"/>
                <w:bdr w:val="none" w:sz="0" w:space="0" w:color="auto" w:frame="1"/>
                <w:lang w:eastAsia="en-AU"/>
              </w:rPr>
            </w:pPr>
            <w:r w:rsidRPr="00CE0BE9">
              <w:rPr>
                <w:rFonts w:eastAsia="SimSun"/>
                <w:iCs/>
                <w:szCs w:val="18"/>
                <w:bdr w:val="none" w:sz="0" w:space="0" w:color="auto" w:frame="1"/>
                <w:lang w:eastAsia="en-AU"/>
              </w:rPr>
              <w:t>39</w:t>
            </w:r>
          </w:p>
        </w:tc>
        <w:tc>
          <w:tcPr>
            <w:tcW w:w="992" w:type="dxa"/>
            <w:tcBorders>
              <w:top w:val="single" w:sz="4" w:space="0" w:color="auto"/>
              <w:left w:val="single" w:sz="4" w:space="0" w:color="auto"/>
              <w:bottom w:val="single" w:sz="4" w:space="0" w:color="auto"/>
              <w:right w:val="single" w:sz="4" w:space="0" w:color="auto"/>
            </w:tcBorders>
            <w:vAlign w:val="center"/>
          </w:tcPr>
          <w:p w:rsidR="00202BD7" w:rsidRPr="00CE0BE9" w:rsidRDefault="00202BD7" w:rsidP="00202BD7">
            <w:pPr>
              <w:pStyle w:val="Tabletext"/>
              <w:jc w:val="center"/>
              <w:rPr>
                <w:lang w:eastAsia="en-AU"/>
              </w:rPr>
            </w:pPr>
            <w:r w:rsidRPr="00CE0BE9">
              <w:rPr>
                <w:lang w:eastAsia="en-AU"/>
              </w:rPr>
              <w:t>-1</w:t>
            </w:r>
          </w:p>
        </w:tc>
        <w:tc>
          <w:tcPr>
            <w:tcW w:w="851" w:type="dxa"/>
            <w:tcBorders>
              <w:top w:val="single" w:sz="4" w:space="0" w:color="auto"/>
              <w:left w:val="single" w:sz="4" w:space="0" w:color="auto"/>
              <w:bottom w:val="single" w:sz="4" w:space="0" w:color="auto"/>
              <w:right w:val="single" w:sz="4" w:space="0" w:color="auto"/>
            </w:tcBorders>
            <w:vAlign w:val="center"/>
          </w:tcPr>
          <w:p w:rsidR="00202BD7" w:rsidRPr="00CE0BE9" w:rsidRDefault="00202BD7" w:rsidP="00E9333E">
            <w:pPr>
              <w:pStyle w:val="Tabletext"/>
              <w:jc w:val="center"/>
              <w:rPr>
                <w:lang w:eastAsia="en-AU"/>
              </w:rPr>
            </w:pPr>
            <w:r w:rsidRPr="00CE0BE9">
              <w:rPr>
                <w:lang w:eastAsia="en-AU"/>
              </w:rPr>
              <w:t>p=0.995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02BD7" w:rsidRPr="00CE0BE9" w:rsidRDefault="00202BD7" w:rsidP="00E9333E">
            <w:pPr>
              <w:pStyle w:val="Tabletext"/>
              <w:jc w:val="center"/>
              <w:rPr>
                <w:highlight w:val="yellow"/>
                <w:lang w:eastAsia="en-AU"/>
              </w:rPr>
            </w:pPr>
            <w:r w:rsidRPr="00CE0BE9">
              <w:rPr>
                <w:lang w:eastAsia="en-AU"/>
              </w:rPr>
              <w:t>1.00 (0.72, 1.37)</w:t>
            </w:r>
          </w:p>
        </w:tc>
        <w:tc>
          <w:tcPr>
            <w:tcW w:w="993" w:type="dxa"/>
            <w:vMerge/>
            <w:tcBorders>
              <w:left w:val="single" w:sz="4" w:space="0" w:color="auto"/>
              <w:bottom w:val="single" w:sz="4" w:space="0" w:color="auto"/>
              <w:right w:val="single" w:sz="4" w:space="0" w:color="auto"/>
            </w:tcBorders>
            <w:vAlign w:val="center"/>
          </w:tcPr>
          <w:p w:rsidR="00202BD7" w:rsidRPr="00CE0BE9" w:rsidRDefault="00202BD7" w:rsidP="00E9333E">
            <w:pPr>
              <w:pStyle w:val="Tabletext"/>
              <w:adjustRightInd w:val="0"/>
              <w:snapToGrid w:val="0"/>
              <w:jc w:val="center"/>
              <w:rPr>
                <w:rFonts w:eastAsia="SimSun"/>
                <w:iCs/>
                <w:szCs w:val="18"/>
                <w:bdr w:val="none" w:sz="0" w:space="0" w:color="auto" w:frame="1"/>
                <w:lang w:eastAsia="en-AU"/>
              </w:rPr>
            </w:pPr>
          </w:p>
        </w:tc>
      </w:tr>
    </w:tbl>
    <w:p w:rsidR="00A51754" w:rsidRPr="00CE0BE9" w:rsidRDefault="00A51754" w:rsidP="00A51754">
      <w:pPr>
        <w:rPr>
          <w:rFonts w:ascii="Arial Narrow" w:hAnsi="Arial Narrow"/>
          <w:sz w:val="18"/>
          <w:szCs w:val="18"/>
        </w:rPr>
      </w:pPr>
      <w:r w:rsidRPr="00CE0BE9">
        <w:rPr>
          <w:rFonts w:ascii="Arial Narrow" w:hAnsi="Arial Narrow"/>
          <w:sz w:val="18"/>
          <w:szCs w:val="18"/>
        </w:rPr>
        <w:t xml:space="preserve">Abbreviations: </w:t>
      </w:r>
      <w:r w:rsidR="00B71116" w:rsidRPr="00CE0BE9">
        <w:rPr>
          <w:rFonts w:ascii="Arial Narrow" w:hAnsi="Arial Narrow"/>
          <w:sz w:val="18"/>
          <w:szCs w:val="18"/>
        </w:rPr>
        <w:t xml:space="preserve">ASCT= autologous stem cell transplant; </w:t>
      </w:r>
      <w:r w:rsidR="001E6310" w:rsidRPr="00CE0BE9">
        <w:rPr>
          <w:rFonts w:ascii="Arial Narrow" w:hAnsi="Arial Narrow"/>
          <w:sz w:val="18"/>
          <w:szCs w:val="18"/>
        </w:rPr>
        <w:t xml:space="preserve">BSC=best supportive care; </w:t>
      </w:r>
      <w:r w:rsidRPr="00CE0BE9">
        <w:rPr>
          <w:rFonts w:ascii="Arial Narrow" w:hAnsi="Arial Narrow"/>
          <w:sz w:val="18"/>
          <w:szCs w:val="18"/>
        </w:rPr>
        <w:t>NA</w:t>
      </w:r>
      <w:r w:rsidR="003518B5" w:rsidRPr="00CE0BE9">
        <w:rPr>
          <w:rFonts w:ascii="Arial Narrow" w:hAnsi="Arial Narrow"/>
          <w:sz w:val="18"/>
          <w:szCs w:val="18"/>
        </w:rPr>
        <w:t>=</w:t>
      </w:r>
      <w:r w:rsidRPr="00CE0BE9">
        <w:rPr>
          <w:rFonts w:ascii="Arial Narrow" w:hAnsi="Arial Narrow"/>
          <w:sz w:val="18"/>
          <w:szCs w:val="18"/>
        </w:rPr>
        <w:t xml:space="preserve">not </w:t>
      </w:r>
      <w:r w:rsidR="00070EEB" w:rsidRPr="00CE0BE9">
        <w:rPr>
          <w:rFonts w:ascii="Arial Narrow" w:hAnsi="Arial Narrow"/>
          <w:sz w:val="18"/>
          <w:szCs w:val="18"/>
        </w:rPr>
        <w:t>applicable; NR=not reported</w:t>
      </w:r>
      <w:r w:rsidRPr="00CE0BE9">
        <w:rPr>
          <w:rFonts w:ascii="Arial Narrow" w:hAnsi="Arial Narrow"/>
          <w:sz w:val="18"/>
          <w:szCs w:val="18"/>
        </w:rPr>
        <w:t>; OS</w:t>
      </w:r>
      <w:r w:rsidR="003518B5" w:rsidRPr="00CE0BE9">
        <w:rPr>
          <w:rFonts w:ascii="Arial Narrow" w:hAnsi="Arial Narrow"/>
          <w:sz w:val="18"/>
          <w:szCs w:val="18"/>
        </w:rPr>
        <w:t>=</w:t>
      </w:r>
      <w:r w:rsidRPr="00CE0BE9">
        <w:rPr>
          <w:rFonts w:ascii="Arial Narrow" w:hAnsi="Arial Narrow"/>
          <w:sz w:val="18"/>
          <w:szCs w:val="18"/>
        </w:rPr>
        <w:t xml:space="preserve">overall survival. </w:t>
      </w:r>
    </w:p>
    <w:p w:rsidR="00A51754" w:rsidRPr="00CE0BE9" w:rsidRDefault="00A51754" w:rsidP="00A51754">
      <w:pPr>
        <w:rPr>
          <w:rFonts w:ascii="Arial Narrow" w:hAnsi="Arial Narrow"/>
          <w:sz w:val="18"/>
          <w:szCs w:val="18"/>
        </w:rPr>
      </w:pPr>
      <w:r w:rsidRPr="00CE0BE9">
        <w:rPr>
          <w:rFonts w:ascii="Arial Narrow" w:hAnsi="Arial Narrow"/>
          <w:sz w:val="18"/>
          <w:szCs w:val="18"/>
        </w:rPr>
        <w:t>Note: At most recent data cut (Jan 2012), there was no evidence of a difference in OS for the whole trial (both ASCT and no ASCT pathways combined; p=0.70) with median OS of 60 months with thalidomide maintenance and observation.</w:t>
      </w:r>
      <w:r w:rsidR="00DF1D5A" w:rsidRPr="00CE0BE9">
        <w:rPr>
          <w:rFonts w:ascii="Arial Narrow" w:hAnsi="Arial Narrow"/>
          <w:sz w:val="18"/>
          <w:szCs w:val="18"/>
        </w:rPr>
        <w:t xml:space="preserve"> Inverse HR reported in submission.</w:t>
      </w:r>
    </w:p>
    <w:p w:rsidR="00A51754" w:rsidRPr="00CE0BE9" w:rsidRDefault="00A51754" w:rsidP="00A51754">
      <w:pPr>
        <w:rPr>
          <w:rFonts w:ascii="Arial Narrow" w:hAnsi="Arial Narrow"/>
          <w:sz w:val="18"/>
          <w:szCs w:val="18"/>
        </w:rPr>
      </w:pPr>
      <w:r w:rsidRPr="00CE0BE9">
        <w:rPr>
          <w:rFonts w:ascii="Arial Narrow" w:hAnsi="Arial Narrow"/>
          <w:sz w:val="18"/>
          <w:szCs w:val="18"/>
        </w:rPr>
        <w:t xml:space="preserve">Source: Table 2.5.2 p.85 and Table 2.6.2, p.110 of the submission. P.10, Morgan 2012. </w:t>
      </w:r>
    </w:p>
    <w:p w:rsidR="00A51754" w:rsidRPr="00CE0BE9" w:rsidRDefault="00A51754" w:rsidP="00A51754">
      <w:pPr>
        <w:rPr>
          <w:rFonts w:ascii="Arial Narrow" w:hAnsi="Arial Narrow"/>
          <w:b/>
          <w:sz w:val="20"/>
          <w:szCs w:val="16"/>
        </w:rPr>
      </w:pPr>
    </w:p>
    <w:p w:rsidR="00BB135D" w:rsidRPr="00D17A82" w:rsidRDefault="00A51754" w:rsidP="006F0DFD">
      <w:pPr>
        <w:pStyle w:val="ListParagraph"/>
        <w:numPr>
          <w:ilvl w:val="1"/>
          <w:numId w:val="2"/>
        </w:numPr>
        <w:rPr>
          <w:rFonts w:cs="Calibri"/>
          <w:snapToGrid/>
          <w:szCs w:val="24"/>
          <w:lang w:val="en-US" w:eastAsia="en-AU"/>
        </w:rPr>
      </w:pPr>
      <w:bookmarkStart w:id="11" w:name="_Hlk500933857"/>
      <w:r w:rsidRPr="00D17A82">
        <w:rPr>
          <w:rFonts w:cs="Calibri"/>
          <w:snapToGrid/>
          <w:szCs w:val="24"/>
          <w:lang w:val="en-US" w:eastAsia="en-AU"/>
        </w:rPr>
        <w:t>The</w:t>
      </w:r>
      <w:r w:rsidR="00765EA8" w:rsidRPr="00D17A82">
        <w:rPr>
          <w:rFonts w:cs="Calibri"/>
          <w:snapToGrid/>
          <w:szCs w:val="24"/>
          <w:lang w:val="en-US" w:eastAsia="en-AU"/>
        </w:rPr>
        <w:t xml:space="preserve"> PFS and OS</w:t>
      </w:r>
      <w:r w:rsidRPr="00D17A82">
        <w:rPr>
          <w:rFonts w:cs="Calibri"/>
          <w:snapToGrid/>
          <w:szCs w:val="24"/>
          <w:lang w:val="en-US" w:eastAsia="en-AU"/>
        </w:rPr>
        <w:t xml:space="preserve"> results </w:t>
      </w:r>
      <w:r w:rsidR="00765EA8" w:rsidRPr="00D17A82">
        <w:rPr>
          <w:rFonts w:cs="Calibri"/>
          <w:snapToGrid/>
          <w:szCs w:val="24"/>
          <w:lang w:val="en-US" w:eastAsia="en-AU"/>
        </w:rPr>
        <w:t xml:space="preserve">for the MM6 and Myeloma X thalidomide </w:t>
      </w:r>
      <w:r w:rsidR="006A4E2E" w:rsidRPr="00D17A82">
        <w:rPr>
          <w:rFonts w:cs="Calibri"/>
          <w:snapToGrid/>
          <w:szCs w:val="24"/>
          <w:lang w:val="en-US" w:eastAsia="en-AU"/>
        </w:rPr>
        <w:t xml:space="preserve">trials </w:t>
      </w:r>
      <w:r w:rsidR="005A7DD2" w:rsidRPr="00D17A82">
        <w:rPr>
          <w:rFonts w:cs="Calibri"/>
          <w:snapToGrid/>
          <w:szCs w:val="24"/>
          <w:lang w:val="en-US" w:eastAsia="en-AU"/>
        </w:rPr>
        <w:t>(all post</w:t>
      </w:r>
      <w:r w:rsidR="005A7DD2" w:rsidRPr="00D17A82">
        <w:rPr>
          <w:rFonts w:cs="Calibri"/>
          <w:snapToGrid/>
          <w:szCs w:val="24"/>
          <w:lang w:val="en-US" w:eastAsia="en-AU"/>
        </w:rPr>
        <w:noBreakHyphen/>
        <w:t>ASCT)</w:t>
      </w:r>
      <w:r w:rsidR="00765EA8" w:rsidRPr="00D17A82">
        <w:rPr>
          <w:rFonts w:cs="Calibri"/>
          <w:snapToGrid/>
          <w:szCs w:val="24"/>
          <w:lang w:val="en-US" w:eastAsia="en-AU"/>
        </w:rPr>
        <w:t>, which were not presented in the submission,</w:t>
      </w:r>
      <w:r w:rsidR="005A7DD2" w:rsidRPr="00D17A82">
        <w:rPr>
          <w:rFonts w:cs="Calibri"/>
          <w:snapToGrid/>
          <w:szCs w:val="24"/>
          <w:lang w:val="en-US" w:eastAsia="en-AU"/>
        </w:rPr>
        <w:t xml:space="preserve"> </w:t>
      </w:r>
      <w:r w:rsidRPr="00D17A82">
        <w:rPr>
          <w:rFonts w:cs="Calibri"/>
          <w:snapToGrid/>
          <w:szCs w:val="24"/>
          <w:lang w:val="en-US" w:eastAsia="en-AU"/>
        </w:rPr>
        <w:t xml:space="preserve">are </w:t>
      </w:r>
      <w:proofErr w:type="spellStart"/>
      <w:r w:rsidR="00765EA8" w:rsidRPr="00D17A82">
        <w:rPr>
          <w:rFonts w:cs="Calibri"/>
          <w:snapToGrid/>
          <w:szCs w:val="24"/>
          <w:lang w:val="en-US" w:eastAsia="en-AU"/>
        </w:rPr>
        <w:t>summarised</w:t>
      </w:r>
      <w:proofErr w:type="spellEnd"/>
      <w:r w:rsidR="00765EA8" w:rsidRPr="00D17A82">
        <w:rPr>
          <w:rFonts w:cs="Calibri"/>
          <w:snapToGrid/>
          <w:szCs w:val="24"/>
          <w:lang w:val="en-US" w:eastAsia="en-AU"/>
        </w:rPr>
        <w:t xml:space="preserve"> </w:t>
      </w:r>
      <w:r w:rsidRPr="00D17A82">
        <w:rPr>
          <w:rFonts w:cs="Calibri"/>
          <w:snapToGrid/>
          <w:szCs w:val="24"/>
          <w:lang w:val="en-US" w:eastAsia="en-AU"/>
        </w:rPr>
        <w:t>in Table 10 (</w:t>
      </w:r>
      <w:r w:rsidR="003B2682" w:rsidRPr="00D17A82">
        <w:rPr>
          <w:rFonts w:cs="Calibri"/>
          <w:snapToGrid/>
          <w:szCs w:val="24"/>
          <w:lang w:val="en-US" w:eastAsia="en-AU"/>
        </w:rPr>
        <w:t xml:space="preserve">and </w:t>
      </w:r>
      <w:r w:rsidRPr="00D17A82">
        <w:rPr>
          <w:rFonts w:cs="Calibri"/>
          <w:snapToGrid/>
          <w:szCs w:val="24"/>
          <w:lang w:val="en-US" w:eastAsia="en-AU"/>
        </w:rPr>
        <w:t>Figure 4</w:t>
      </w:r>
      <w:r w:rsidR="003B2682" w:rsidRPr="00D17A82">
        <w:rPr>
          <w:rFonts w:cs="Calibri"/>
          <w:snapToGrid/>
          <w:szCs w:val="24"/>
          <w:lang w:val="en-US" w:eastAsia="en-AU"/>
        </w:rPr>
        <w:t xml:space="preserve"> for MM6</w:t>
      </w:r>
      <w:r w:rsidRPr="00D17A82">
        <w:rPr>
          <w:rFonts w:cs="Calibri"/>
          <w:snapToGrid/>
          <w:szCs w:val="24"/>
          <w:lang w:val="en-US" w:eastAsia="en-AU"/>
        </w:rPr>
        <w:t xml:space="preserve">). </w:t>
      </w:r>
      <w:r w:rsidR="00EE1A64" w:rsidRPr="00D17A82">
        <w:rPr>
          <w:rFonts w:cs="Calibri"/>
          <w:snapToGrid/>
          <w:szCs w:val="24"/>
          <w:lang w:val="en-US" w:eastAsia="en-AU"/>
        </w:rPr>
        <w:t>Thalidomide was associated with statistically significant improvement</w:t>
      </w:r>
      <w:r w:rsidR="003B2682" w:rsidRPr="00D17A82">
        <w:rPr>
          <w:rFonts w:cs="Calibri"/>
          <w:snapToGrid/>
          <w:szCs w:val="24"/>
          <w:lang w:val="en-US" w:eastAsia="en-AU"/>
        </w:rPr>
        <w:t>s</w:t>
      </w:r>
      <w:r w:rsidR="00EE1A64" w:rsidRPr="00D17A82">
        <w:rPr>
          <w:rFonts w:cs="Calibri"/>
          <w:snapToGrid/>
          <w:szCs w:val="24"/>
          <w:lang w:val="en-US" w:eastAsia="en-AU"/>
        </w:rPr>
        <w:t xml:space="preserve"> </w:t>
      </w:r>
      <w:r w:rsidR="003B2682" w:rsidRPr="00D17A82">
        <w:rPr>
          <w:rFonts w:cs="Calibri"/>
          <w:snapToGrid/>
          <w:szCs w:val="24"/>
          <w:lang w:val="en-US" w:eastAsia="en-AU"/>
        </w:rPr>
        <w:t>in</w:t>
      </w:r>
      <w:r w:rsidR="00EE1A64" w:rsidRPr="00D17A82">
        <w:rPr>
          <w:rFonts w:cs="Calibri"/>
          <w:snapToGrid/>
          <w:szCs w:val="24"/>
          <w:lang w:val="en-US" w:eastAsia="en-AU"/>
        </w:rPr>
        <w:t xml:space="preserve"> </w:t>
      </w:r>
      <w:r w:rsidR="00A063C8" w:rsidRPr="00D17A82">
        <w:rPr>
          <w:rFonts w:cs="Calibri"/>
          <w:snapToGrid/>
          <w:szCs w:val="24"/>
          <w:lang w:val="en-US" w:eastAsia="en-AU"/>
        </w:rPr>
        <w:t>PFS</w:t>
      </w:r>
      <w:r w:rsidR="003B2682" w:rsidRPr="00D17A82">
        <w:rPr>
          <w:rFonts w:cs="Calibri"/>
          <w:snapToGrid/>
          <w:szCs w:val="24"/>
          <w:lang w:val="en-US" w:eastAsia="en-AU"/>
        </w:rPr>
        <w:t xml:space="preserve"> in both trials, but </w:t>
      </w:r>
      <w:r w:rsidR="005D0A65" w:rsidRPr="00D17A82">
        <w:rPr>
          <w:rFonts w:cs="Calibri"/>
          <w:snapToGrid/>
          <w:szCs w:val="24"/>
          <w:lang w:val="en-US" w:eastAsia="en-AU"/>
        </w:rPr>
        <w:t xml:space="preserve">a statistically significant improvement in </w:t>
      </w:r>
      <w:r w:rsidR="00A063C8" w:rsidRPr="00D17A82">
        <w:rPr>
          <w:rFonts w:cs="Calibri"/>
          <w:snapToGrid/>
          <w:szCs w:val="24"/>
          <w:lang w:val="en-US" w:eastAsia="en-AU"/>
        </w:rPr>
        <w:t>OS</w:t>
      </w:r>
      <w:r w:rsidR="005D0A65" w:rsidRPr="00D17A82">
        <w:rPr>
          <w:rFonts w:cs="Calibri"/>
          <w:snapToGrid/>
          <w:szCs w:val="24"/>
          <w:lang w:val="en-US" w:eastAsia="en-AU"/>
        </w:rPr>
        <w:t xml:space="preserve"> was only demonstrated in MM6</w:t>
      </w:r>
      <w:r w:rsidR="00FC289F" w:rsidRPr="00D17A82">
        <w:rPr>
          <w:rFonts w:cs="Calibri"/>
          <w:snapToGrid/>
          <w:szCs w:val="24"/>
          <w:lang w:val="en-US" w:eastAsia="en-AU"/>
        </w:rPr>
        <w:t>.</w:t>
      </w:r>
      <w:r w:rsidR="00722A5D" w:rsidRPr="00D17A82">
        <w:rPr>
          <w:szCs w:val="24"/>
        </w:rPr>
        <w:t xml:space="preserve"> Failing to include MM6 </w:t>
      </w:r>
      <w:r w:rsidR="00BB135D" w:rsidRPr="00D17A82">
        <w:rPr>
          <w:szCs w:val="24"/>
        </w:rPr>
        <w:t xml:space="preserve">potentially resulted in the OS benefit with </w:t>
      </w:r>
      <w:r w:rsidR="00722A5D" w:rsidRPr="00D17A82">
        <w:rPr>
          <w:szCs w:val="24"/>
        </w:rPr>
        <w:t xml:space="preserve">thalidomide </w:t>
      </w:r>
      <w:r w:rsidR="00BB135D" w:rsidRPr="00D17A82">
        <w:rPr>
          <w:szCs w:val="24"/>
        </w:rPr>
        <w:t xml:space="preserve">being </w:t>
      </w:r>
      <w:r w:rsidR="00234895" w:rsidRPr="00D17A82">
        <w:rPr>
          <w:szCs w:val="24"/>
        </w:rPr>
        <w:t>under</w:t>
      </w:r>
      <w:r w:rsidR="00BB135D" w:rsidRPr="00D17A82">
        <w:rPr>
          <w:szCs w:val="24"/>
        </w:rPr>
        <w:t>estimated</w:t>
      </w:r>
      <w:r w:rsidR="00ED058C" w:rsidRPr="00D17A82">
        <w:rPr>
          <w:szCs w:val="24"/>
        </w:rPr>
        <w:t>.</w:t>
      </w:r>
    </w:p>
    <w:p w:rsidR="00A51754" w:rsidRDefault="00AD5371" w:rsidP="006F0DFD">
      <w:pPr>
        <w:pStyle w:val="ListParagraph"/>
        <w:numPr>
          <w:ilvl w:val="1"/>
          <w:numId w:val="2"/>
        </w:numPr>
        <w:rPr>
          <w:rFonts w:cs="Calibri"/>
          <w:snapToGrid/>
          <w:szCs w:val="24"/>
          <w:lang w:val="en-US" w:eastAsia="en-AU"/>
        </w:rPr>
      </w:pPr>
      <w:r w:rsidRPr="00D17A82">
        <w:rPr>
          <w:rFonts w:cs="Calibri"/>
          <w:snapToGrid/>
          <w:szCs w:val="24"/>
          <w:lang w:val="en-US" w:eastAsia="en-AU"/>
        </w:rPr>
        <w:t xml:space="preserve">The PSCR argued that the exclusion of MM6 was reasonable on the basis that it </w:t>
      </w:r>
      <w:r w:rsidR="0082788C" w:rsidRPr="00D17A82">
        <w:rPr>
          <w:rFonts w:cs="Calibri"/>
          <w:snapToGrid/>
          <w:szCs w:val="24"/>
          <w:lang w:val="en-US" w:eastAsia="en-AU"/>
        </w:rPr>
        <w:t xml:space="preserve">was investigating consolidation treatment and </w:t>
      </w:r>
      <w:r w:rsidRPr="00D17A82">
        <w:rPr>
          <w:rFonts w:cs="Calibri"/>
          <w:snapToGrid/>
          <w:szCs w:val="24"/>
          <w:lang w:val="en-US" w:eastAsia="en-AU"/>
        </w:rPr>
        <w:t xml:space="preserve">used an active comparator arm. The ESC </w:t>
      </w:r>
      <w:r w:rsidR="0082788C" w:rsidRPr="00D17A82">
        <w:rPr>
          <w:rFonts w:cs="Calibri"/>
          <w:snapToGrid/>
          <w:szCs w:val="24"/>
          <w:lang w:val="en-US" w:eastAsia="en-AU"/>
        </w:rPr>
        <w:t>considered</w:t>
      </w:r>
      <w:r w:rsidRPr="00D17A82">
        <w:rPr>
          <w:rFonts w:cs="Calibri"/>
          <w:snapToGrid/>
          <w:szCs w:val="24"/>
          <w:lang w:val="en-US" w:eastAsia="en-AU"/>
        </w:rPr>
        <w:t xml:space="preserve"> that </w:t>
      </w:r>
      <w:r w:rsidR="0082788C" w:rsidRPr="00D17A82">
        <w:rPr>
          <w:rFonts w:cs="Calibri"/>
          <w:snapToGrid/>
          <w:szCs w:val="24"/>
          <w:lang w:val="en-US" w:eastAsia="en-AU"/>
        </w:rPr>
        <w:t xml:space="preserve">with a starting and median dose of thalidomide in the trial of 100 mg, and treatment duration of up to 12 months, the setting was </w:t>
      </w:r>
      <w:r w:rsidR="00844F26" w:rsidRPr="00D17A82">
        <w:rPr>
          <w:rFonts w:cs="Calibri"/>
          <w:snapToGrid/>
          <w:szCs w:val="24"/>
          <w:lang w:val="en-US" w:eastAsia="en-AU"/>
        </w:rPr>
        <w:t xml:space="preserve">largely </w:t>
      </w:r>
      <w:r w:rsidR="0082788C" w:rsidRPr="00D17A82">
        <w:rPr>
          <w:rFonts w:cs="Calibri"/>
          <w:snapToGrid/>
          <w:szCs w:val="24"/>
          <w:lang w:val="en-US" w:eastAsia="en-AU"/>
        </w:rPr>
        <w:t xml:space="preserve">consistent with the current recommendation </w:t>
      </w:r>
      <w:r w:rsidR="00F810C6">
        <w:rPr>
          <w:rFonts w:cs="Calibri"/>
          <w:snapToGrid/>
          <w:szCs w:val="24"/>
          <w:lang w:val="en-US" w:eastAsia="en-AU"/>
        </w:rPr>
        <w:t xml:space="preserve">of the </w:t>
      </w:r>
      <w:r w:rsidR="00F810C6" w:rsidRPr="00D17A82">
        <w:rPr>
          <w:rFonts w:cs="Calibri"/>
          <w:snapToGrid/>
          <w:szCs w:val="24"/>
          <w:lang w:val="en-US" w:eastAsia="en-AU"/>
        </w:rPr>
        <w:t xml:space="preserve">MSAG guidelines </w:t>
      </w:r>
      <w:r w:rsidR="0082788C" w:rsidRPr="00D17A82">
        <w:rPr>
          <w:rFonts w:cs="Calibri"/>
          <w:snapToGrid/>
          <w:szCs w:val="24"/>
          <w:lang w:val="en-US" w:eastAsia="en-AU"/>
        </w:rPr>
        <w:t xml:space="preserve">for maintenance treatment. The ESC also considered that alternate days of prednisolone is a treatment approach currently used </w:t>
      </w:r>
      <w:r w:rsidR="00BE3145">
        <w:rPr>
          <w:rFonts w:cs="Calibri"/>
          <w:snapToGrid/>
          <w:szCs w:val="24"/>
          <w:lang w:val="en-US" w:eastAsia="en-AU"/>
        </w:rPr>
        <w:t>as</w:t>
      </w:r>
      <w:r w:rsidR="0082788C" w:rsidRPr="00D17A82">
        <w:rPr>
          <w:rFonts w:cs="Calibri"/>
          <w:snapToGrid/>
          <w:szCs w:val="24"/>
          <w:lang w:val="en-US" w:eastAsia="en-AU"/>
        </w:rPr>
        <w:t xml:space="preserve"> best supportive care and </w:t>
      </w:r>
      <w:r w:rsidR="00CA52CE" w:rsidRPr="00D17A82">
        <w:rPr>
          <w:rFonts w:cs="Calibri"/>
          <w:snapToGrid/>
          <w:szCs w:val="24"/>
          <w:lang w:val="en-US" w:eastAsia="en-AU"/>
        </w:rPr>
        <w:t>noted that this was consistent wi</w:t>
      </w:r>
      <w:r w:rsidR="008A023A">
        <w:rPr>
          <w:rFonts w:cs="Calibri"/>
          <w:snapToGrid/>
          <w:szCs w:val="24"/>
          <w:lang w:val="en-US" w:eastAsia="en-AU"/>
        </w:rPr>
        <w:t>th the statement in the PSCR (p</w:t>
      </w:r>
      <w:r w:rsidR="00CA52CE" w:rsidRPr="00D17A82">
        <w:rPr>
          <w:rFonts w:cs="Calibri"/>
          <w:snapToGrid/>
          <w:szCs w:val="24"/>
          <w:lang w:val="en-US" w:eastAsia="en-AU"/>
        </w:rPr>
        <w:t xml:space="preserve">1) that best supportive care included all therapies other than </w:t>
      </w:r>
      <w:proofErr w:type="spellStart"/>
      <w:r w:rsidR="00CA52CE" w:rsidRPr="00D17A82">
        <w:rPr>
          <w:rFonts w:cs="Calibri"/>
          <w:snapToGrid/>
          <w:szCs w:val="24"/>
          <w:lang w:val="en-US" w:eastAsia="en-AU"/>
        </w:rPr>
        <w:t>lenalidomide</w:t>
      </w:r>
      <w:proofErr w:type="spellEnd"/>
      <w:r w:rsidR="00CA52CE" w:rsidRPr="00D17A82">
        <w:rPr>
          <w:rFonts w:cs="Calibri"/>
          <w:snapToGrid/>
          <w:szCs w:val="24"/>
          <w:lang w:val="en-US" w:eastAsia="en-AU"/>
        </w:rPr>
        <w:t xml:space="preserve"> and thalidomide. The ESC further </w:t>
      </w:r>
      <w:r w:rsidR="00844F26" w:rsidRPr="00D17A82">
        <w:rPr>
          <w:rFonts w:cs="Calibri"/>
          <w:snapToGrid/>
          <w:szCs w:val="24"/>
          <w:lang w:val="en-US" w:eastAsia="en-AU"/>
        </w:rPr>
        <w:t xml:space="preserve">noted </w:t>
      </w:r>
      <w:r w:rsidR="0082788C" w:rsidRPr="00D17A82">
        <w:rPr>
          <w:rFonts w:cs="Calibri"/>
          <w:snapToGrid/>
          <w:szCs w:val="24"/>
          <w:lang w:val="en-US" w:eastAsia="en-AU"/>
        </w:rPr>
        <w:t xml:space="preserve">that inclusion of an active </w:t>
      </w:r>
      <w:r w:rsidR="00CA52CE" w:rsidRPr="00D17A82">
        <w:rPr>
          <w:rFonts w:cs="Calibri"/>
          <w:snapToGrid/>
          <w:szCs w:val="24"/>
          <w:lang w:val="en-US" w:eastAsia="en-AU"/>
        </w:rPr>
        <w:t>comparator treatment in the thalidomide trial</w:t>
      </w:r>
      <w:r w:rsidR="0082788C" w:rsidRPr="00D17A82">
        <w:rPr>
          <w:rFonts w:cs="Calibri"/>
          <w:snapToGrid/>
          <w:szCs w:val="24"/>
          <w:lang w:val="en-US" w:eastAsia="en-AU"/>
        </w:rPr>
        <w:t xml:space="preserve"> biased </w:t>
      </w:r>
      <w:r w:rsidR="00CA52CE" w:rsidRPr="00D17A82">
        <w:rPr>
          <w:rFonts w:cs="Calibri"/>
          <w:snapToGrid/>
          <w:szCs w:val="24"/>
          <w:lang w:val="en-US" w:eastAsia="en-AU"/>
        </w:rPr>
        <w:t xml:space="preserve">the comparison of </w:t>
      </w:r>
      <w:proofErr w:type="spellStart"/>
      <w:r w:rsidR="00CA52CE" w:rsidRPr="00D17A82">
        <w:rPr>
          <w:rFonts w:cs="Calibri"/>
          <w:snapToGrid/>
          <w:szCs w:val="24"/>
          <w:lang w:val="en-US" w:eastAsia="en-AU"/>
        </w:rPr>
        <w:t>lenalidomide</w:t>
      </w:r>
      <w:proofErr w:type="spellEnd"/>
      <w:r w:rsidR="00CA52CE" w:rsidRPr="00D17A82">
        <w:rPr>
          <w:rFonts w:cs="Calibri"/>
          <w:snapToGrid/>
          <w:szCs w:val="24"/>
          <w:lang w:val="en-US" w:eastAsia="en-AU"/>
        </w:rPr>
        <w:t xml:space="preserve"> versus thalidomide </w:t>
      </w:r>
      <w:r w:rsidR="0082788C" w:rsidRPr="00D17A82">
        <w:rPr>
          <w:rFonts w:cs="Calibri"/>
          <w:snapToGrid/>
          <w:szCs w:val="24"/>
          <w:lang w:val="en-US" w:eastAsia="en-AU"/>
        </w:rPr>
        <w:t xml:space="preserve">in </w:t>
      </w:r>
      <w:proofErr w:type="spellStart"/>
      <w:r w:rsidR="0082788C" w:rsidRPr="00D17A82">
        <w:rPr>
          <w:rFonts w:cs="Calibri"/>
          <w:snapToGrid/>
          <w:szCs w:val="24"/>
          <w:lang w:val="en-US" w:eastAsia="en-AU"/>
        </w:rPr>
        <w:t>favour</w:t>
      </w:r>
      <w:proofErr w:type="spellEnd"/>
      <w:r w:rsidR="0082788C" w:rsidRPr="00D17A82">
        <w:rPr>
          <w:rFonts w:cs="Calibri"/>
          <w:snapToGrid/>
          <w:szCs w:val="24"/>
          <w:lang w:val="en-US" w:eastAsia="en-AU"/>
        </w:rPr>
        <w:t xml:space="preserve"> of </w:t>
      </w:r>
      <w:proofErr w:type="spellStart"/>
      <w:r w:rsidR="0082788C" w:rsidRPr="00D17A82">
        <w:rPr>
          <w:rFonts w:cs="Calibri"/>
          <w:snapToGrid/>
          <w:szCs w:val="24"/>
          <w:lang w:val="en-US" w:eastAsia="en-AU"/>
        </w:rPr>
        <w:t>lenalidomide</w:t>
      </w:r>
      <w:proofErr w:type="spellEnd"/>
      <w:r w:rsidR="0082788C" w:rsidRPr="00D17A82">
        <w:rPr>
          <w:rFonts w:cs="Calibri"/>
          <w:snapToGrid/>
          <w:szCs w:val="24"/>
          <w:lang w:val="en-US" w:eastAsia="en-AU"/>
        </w:rPr>
        <w:t>.</w:t>
      </w:r>
    </w:p>
    <w:p w:rsidR="009A7140" w:rsidRPr="00CE0BE9" w:rsidRDefault="002C645E" w:rsidP="002B62EB">
      <w:pPr>
        <w:pStyle w:val="ListParagraph"/>
        <w:widowControl/>
        <w:numPr>
          <w:ilvl w:val="1"/>
          <w:numId w:val="2"/>
        </w:numPr>
        <w:rPr>
          <w:rStyle w:val="CommentReference"/>
        </w:rPr>
      </w:pPr>
      <w:r w:rsidRPr="002C645E">
        <w:rPr>
          <w:rFonts w:cs="Calibri"/>
          <w:snapToGrid/>
          <w:szCs w:val="24"/>
          <w:lang w:val="en-US" w:eastAsia="en-AU"/>
        </w:rPr>
        <w:t xml:space="preserve">The PBAC agreed with ESC that the MM6 was a relevant trial of an alternative maintenance treatment. However, the PBAC </w:t>
      </w:r>
      <w:r w:rsidR="0069509C">
        <w:rPr>
          <w:rFonts w:cs="Calibri"/>
          <w:snapToGrid/>
          <w:szCs w:val="24"/>
          <w:lang w:val="en-US" w:eastAsia="en-AU"/>
        </w:rPr>
        <w:t>noted</w:t>
      </w:r>
      <w:r w:rsidRPr="002C645E">
        <w:rPr>
          <w:rFonts w:cs="Calibri"/>
          <w:snapToGrid/>
          <w:szCs w:val="24"/>
          <w:lang w:val="en-US" w:eastAsia="en-AU"/>
        </w:rPr>
        <w:t xml:space="preserve"> that the MM6 trial was conducted </w:t>
      </w:r>
      <w:r w:rsidR="0069509C">
        <w:rPr>
          <w:rFonts w:cs="Calibri"/>
          <w:snapToGrid/>
          <w:szCs w:val="24"/>
          <w:lang w:val="en-US" w:eastAsia="en-AU"/>
        </w:rPr>
        <w:t>during an</w:t>
      </w:r>
      <w:r w:rsidR="0069509C" w:rsidRPr="002C645E">
        <w:rPr>
          <w:rFonts w:cs="Calibri"/>
          <w:snapToGrid/>
          <w:szCs w:val="24"/>
          <w:lang w:val="en-US" w:eastAsia="en-AU"/>
        </w:rPr>
        <w:t xml:space="preserve"> </w:t>
      </w:r>
      <w:r w:rsidRPr="002C645E">
        <w:rPr>
          <w:rFonts w:cs="Calibri"/>
          <w:snapToGrid/>
          <w:szCs w:val="24"/>
          <w:lang w:val="en-US" w:eastAsia="en-AU"/>
        </w:rPr>
        <w:t>earlier</w:t>
      </w:r>
      <w:r w:rsidR="0069509C">
        <w:rPr>
          <w:rFonts w:cs="Calibri"/>
          <w:snapToGrid/>
          <w:szCs w:val="24"/>
          <w:lang w:val="en-US" w:eastAsia="en-AU"/>
        </w:rPr>
        <w:t xml:space="preserve"> time period</w:t>
      </w:r>
      <w:r w:rsidRPr="002C645E">
        <w:rPr>
          <w:rFonts w:cs="Calibri"/>
          <w:snapToGrid/>
          <w:szCs w:val="24"/>
          <w:lang w:val="en-US" w:eastAsia="en-AU"/>
        </w:rPr>
        <w:t xml:space="preserve"> </w:t>
      </w:r>
      <w:r w:rsidR="0069509C">
        <w:rPr>
          <w:rFonts w:cs="Calibri"/>
          <w:snapToGrid/>
          <w:szCs w:val="24"/>
          <w:lang w:val="en-US" w:eastAsia="en-AU"/>
        </w:rPr>
        <w:t>compared with</w:t>
      </w:r>
      <w:r w:rsidR="0069509C" w:rsidRPr="002C645E">
        <w:rPr>
          <w:rFonts w:cs="Calibri"/>
          <w:snapToGrid/>
          <w:szCs w:val="24"/>
          <w:lang w:val="en-US" w:eastAsia="en-AU"/>
        </w:rPr>
        <w:t xml:space="preserve"> </w:t>
      </w:r>
      <w:r w:rsidRPr="002C645E">
        <w:rPr>
          <w:rFonts w:cs="Calibri"/>
          <w:snapToGrid/>
          <w:szCs w:val="24"/>
          <w:lang w:val="en-US" w:eastAsia="en-AU"/>
        </w:rPr>
        <w:t xml:space="preserve">the trials presented for </w:t>
      </w:r>
      <w:proofErr w:type="spellStart"/>
      <w:r w:rsidRPr="002C645E">
        <w:rPr>
          <w:rFonts w:cs="Calibri"/>
          <w:snapToGrid/>
          <w:szCs w:val="24"/>
          <w:lang w:val="en-US" w:eastAsia="en-AU"/>
        </w:rPr>
        <w:t>lenalidomide</w:t>
      </w:r>
      <w:proofErr w:type="spellEnd"/>
      <w:r w:rsidRPr="002C645E">
        <w:rPr>
          <w:rFonts w:cs="Calibri"/>
          <w:snapToGrid/>
          <w:szCs w:val="24"/>
          <w:lang w:val="en-US" w:eastAsia="en-AU"/>
        </w:rPr>
        <w:t xml:space="preserve"> maintenance, and </w:t>
      </w:r>
      <w:r w:rsidR="0069509C">
        <w:rPr>
          <w:rFonts w:cs="Calibri"/>
          <w:snapToGrid/>
          <w:szCs w:val="24"/>
          <w:lang w:val="en-US" w:eastAsia="en-AU"/>
        </w:rPr>
        <w:t xml:space="preserve">considered </w:t>
      </w:r>
      <w:r w:rsidRPr="002C645E">
        <w:rPr>
          <w:rFonts w:cs="Calibri"/>
          <w:snapToGrid/>
          <w:szCs w:val="24"/>
          <w:lang w:val="en-US" w:eastAsia="en-AU"/>
        </w:rPr>
        <w:t xml:space="preserve">that </w:t>
      </w:r>
      <w:r w:rsidR="002741BF">
        <w:rPr>
          <w:rFonts w:cs="Calibri"/>
          <w:snapToGrid/>
          <w:szCs w:val="24"/>
          <w:lang w:val="en-US" w:eastAsia="en-AU"/>
        </w:rPr>
        <w:t>substantial</w:t>
      </w:r>
      <w:r w:rsidR="002741BF" w:rsidRPr="002C645E">
        <w:rPr>
          <w:rFonts w:cs="Calibri"/>
          <w:snapToGrid/>
          <w:szCs w:val="24"/>
          <w:lang w:val="en-US" w:eastAsia="en-AU"/>
        </w:rPr>
        <w:t xml:space="preserve"> </w:t>
      </w:r>
      <w:r w:rsidRPr="002C645E">
        <w:rPr>
          <w:rFonts w:cs="Calibri"/>
          <w:snapToGrid/>
          <w:szCs w:val="24"/>
          <w:lang w:val="en-US" w:eastAsia="en-AU"/>
        </w:rPr>
        <w:t>changes in</w:t>
      </w:r>
      <w:r w:rsidR="0069509C">
        <w:rPr>
          <w:rFonts w:cs="Calibri"/>
          <w:snapToGrid/>
          <w:szCs w:val="24"/>
          <w:lang w:val="en-US" w:eastAsia="en-AU"/>
        </w:rPr>
        <w:t xml:space="preserve"> patient care over this time, and in particular in the</w:t>
      </w:r>
      <w:r w:rsidRPr="002C645E">
        <w:rPr>
          <w:rFonts w:cs="Calibri"/>
          <w:snapToGrid/>
          <w:szCs w:val="24"/>
          <w:lang w:val="en-US" w:eastAsia="en-AU"/>
        </w:rPr>
        <w:t xml:space="preserve"> induction regimens</w:t>
      </w:r>
      <w:r w:rsidR="0069509C">
        <w:rPr>
          <w:rFonts w:cs="Calibri"/>
          <w:snapToGrid/>
          <w:szCs w:val="24"/>
          <w:lang w:val="en-US" w:eastAsia="en-AU"/>
        </w:rPr>
        <w:t xml:space="preserve"> used,</w:t>
      </w:r>
      <w:r w:rsidRPr="002C645E">
        <w:rPr>
          <w:rFonts w:cs="Calibri"/>
          <w:snapToGrid/>
          <w:szCs w:val="24"/>
          <w:lang w:val="en-US" w:eastAsia="en-AU"/>
        </w:rPr>
        <w:t xml:space="preserve"> complicate the </w:t>
      </w:r>
      <w:r w:rsidR="0069509C">
        <w:rPr>
          <w:rFonts w:cs="Calibri"/>
          <w:snapToGrid/>
          <w:szCs w:val="24"/>
          <w:lang w:val="en-US" w:eastAsia="en-AU"/>
        </w:rPr>
        <w:t xml:space="preserve">interpretation of the </w:t>
      </w:r>
      <w:r w:rsidRPr="002C645E">
        <w:rPr>
          <w:rFonts w:cs="Calibri"/>
          <w:snapToGrid/>
          <w:szCs w:val="24"/>
          <w:lang w:val="en-US" w:eastAsia="en-AU"/>
        </w:rPr>
        <w:t>comparison.</w:t>
      </w:r>
      <w:bookmarkEnd w:id="11"/>
    </w:p>
    <w:p w:rsidR="00994C55" w:rsidRDefault="00994C55">
      <w:pPr>
        <w:widowControl/>
        <w:jc w:val="left"/>
        <w:rPr>
          <w:rStyle w:val="CommentReference"/>
        </w:rPr>
      </w:pPr>
      <w:r>
        <w:rPr>
          <w:rStyle w:val="CommentReference"/>
        </w:rPr>
        <w:br w:type="page"/>
      </w:r>
    </w:p>
    <w:p w:rsidR="00FC289F" w:rsidRPr="00CE0BE9" w:rsidRDefault="00FC289F" w:rsidP="00FC289F">
      <w:pPr>
        <w:rPr>
          <w:rStyle w:val="CommentReference"/>
        </w:rPr>
      </w:pPr>
      <w:r w:rsidRPr="00CE0BE9">
        <w:rPr>
          <w:rStyle w:val="CommentReference"/>
        </w:rPr>
        <w:lastRenderedPageBreak/>
        <w:t xml:space="preserve">Table </w:t>
      </w:r>
      <w:r w:rsidR="003B2682" w:rsidRPr="00CE0BE9">
        <w:rPr>
          <w:rStyle w:val="CommentReference"/>
        </w:rPr>
        <w:t>10</w:t>
      </w:r>
      <w:r w:rsidRPr="00CE0BE9">
        <w:rPr>
          <w:rStyle w:val="CommentReference"/>
        </w:rPr>
        <w:t>: Summary of survival outcomes in MM6 and Myeloma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05"/>
        <w:gridCol w:w="1701"/>
        <w:gridCol w:w="1559"/>
        <w:gridCol w:w="1134"/>
        <w:gridCol w:w="2218"/>
      </w:tblGrid>
      <w:tr w:rsidR="00FC289F" w:rsidRPr="00CE0BE9" w:rsidTr="003B2682">
        <w:trPr>
          <w:tblHeader/>
        </w:trPr>
        <w:tc>
          <w:tcPr>
            <w:tcW w:w="2405" w:type="dxa"/>
            <w:vAlign w:val="center"/>
          </w:tcPr>
          <w:p w:rsidR="00FC289F" w:rsidRPr="00CE0BE9" w:rsidRDefault="00FC289F" w:rsidP="00A075AD">
            <w:pPr>
              <w:pStyle w:val="Tabletext"/>
              <w:rPr>
                <w:b/>
              </w:rPr>
            </w:pPr>
          </w:p>
        </w:tc>
        <w:tc>
          <w:tcPr>
            <w:tcW w:w="1701" w:type="dxa"/>
            <w:vAlign w:val="center"/>
          </w:tcPr>
          <w:p w:rsidR="00FC289F" w:rsidRPr="00CE0BE9" w:rsidRDefault="00FC289F" w:rsidP="00A075AD">
            <w:pPr>
              <w:pStyle w:val="Tabletext"/>
              <w:jc w:val="center"/>
              <w:rPr>
                <w:b/>
              </w:rPr>
            </w:pPr>
            <w:r w:rsidRPr="00CE0BE9">
              <w:rPr>
                <w:b/>
              </w:rPr>
              <w:t xml:space="preserve">THAL </w:t>
            </w:r>
          </w:p>
        </w:tc>
        <w:tc>
          <w:tcPr>
            <w:tcW w:w="1559" w:type="dxa"/>
            <w:vAlign w:val="center"/>
          </w:tcPr>
          <w:p w:rsidR="00FC289F" w:rsidRPr="00CE0BE9" w:rsidRDefault="00FC289F" w:rsidP="00A075AD">
            <w:pPr>
              <w:pStyle w:val="Tabletext"/>
              <w:jc w:val="center"/>
              <w:rPr>
                <w:b/>
              </w:rPr>
            </w:pPr>
            <w:r w:rsidRPr="00CE0BE9">
              <w:rPr>
                <w:b/>
              </w:rPr>
              <w:t xml:space="preserve">BSC </w:t>
            </w:r>
          </w:p>
        </w:tc>
        <w:tc>
          <w:tcPr>
            <w:tcW w:w="1134" w:type="dxa"/>
            <w:vAlign w:val="center"/>
          </w:tcPr>
          <w:p w:rsidR="00FC289F" w:rsidRPr="00CE0BE9" w:rsidRDefault="00FC289F" w:rsidP="00A075AD">
            <w:pPr>
              <w:pStyle w:val="Tabletext"/>
              <w:jc w:val="center"/>
              <w:rPr>
                <w:b/>
              </w:rPr>
            </w:pPr>
            <w:r w:rsidRPr="00CE0BE9">
              <w:rPr>
                <w:b/>
              </w:rPr>
              <w:t>Absolute difference</w:t>
            </w:r>
          </w:p>
        </w:tc>
        <w:tc>
          <w:tcPr>
            <w:tcW w:w="2218" w:type="dxa"/>
            <w:vAlign w:val="center"/>
          </w:tcPr>
          <w:p w:rsidR="00FC289F" w:rsidRPr="00CE0BE9" w:rsidRDefault="00FC289F" w:rsidP="00A075AD">
            <w:pPr>
              <w:pStyle w:val="Tabletext"/>
              <w:jc w:val="center"/>
              <w:rPr>
                <w:b/>
              </w:rPr>
            </w:pPr>
            <w:r w:rsidRPr="00CE0BE9">
              <w:rPr>
                <w:b/>
              </w:rPr>
              <w:t>HR (95% CI)</w:t>
            </w:r>
          </w:p>
        </w:tc>
      </w:tr>
      <w:tr w:rsidR="00FC289F" w:rsidRPr="00CE0BE9" w:rsidTr="00A075AD">
        <w:tc>
          <w:tcPr>
            <w:tcW w:w="9017" w:type="dxa"/>
            <w:gridSpan w:val="5"/>
            <w:tcBorders>
              <w:bottom w:val="single" w:sz="4" w:space="0" w:color="auto"/>
            </w:tcBorders>
            <w:vAlign w:val="center"/>
          </w:tcPr>
          <w:p w:rsidR="00FC289F" w:rsidRPr="00CE0BE9" w:rsidRDefault="00FC289F" w:rsidP="00A075AD">
            <w:pPr>
              <w:pStyle w:val="Tabletext"/>
              <w:rPr>
                <w:b/>
              </w:rPr>
            </w:pPr>
            <w:r w:rsidRPr="00CE0BE9">
              <w:rPr>
                <w:b/>
              </w:rPr>
              <w:t>MM6</w:t>
            </w:r>
          </w:p>
        </w:tc>
      </w:tr>
      <w:tr w:rsidR="00FC289F" w:rsidRPr="00CE0BE9" w:rsidTr="00A075AD">
        <w:tc>
          <w:tcPr>
            <w:tcW w:w="9017" w:type="dxa"/>
            <w:gridSpan w:val="5"/>
            <w:tcBorders>
              <w:bottom w:val="single" w:sz="4" w:space="0" w:color="auto"/>
            </w:tcBorders>
            <w:vAlign w:val="center"/>
          </w:tcPr>
          <w:p w:rsidR="00FC289F" w:rsidRPr="00CE0BE9" w:rsidRDefault="00FC289F" w:rsidP="00A075AD">
            <w:pPr>
              <w:pStyle w:val="Tabletext"/>
              <w:rPr>
                <w:b/>
              </w:rPr>
            </w:pPr>
            <w:r w:rsidRPr="00CE0BE9">
              <w:rPr>
                <w:b/>
              </w:rPr>
              <w:t>Progression-free survival</w:t>
            </w:r>
          </w:p>
        </w:tc>
      </w:tr>
      <w:tr w:rsidR="00FC289F" w:rsidRPr="00CE0BE9" w:rsidTr="00A075AD">
        <w:tc>
          <w:tcPr>
            <w:tcW w:w="2405" w:type="dxa"/>
            <w:tcBorders>
              <w:right w:val="nil"/>
            </w:tcBorders>
            <w:vAlign w:val="center"/>
          </w:tcPr>
          <w:p w:rsidR="00FC289F" w:rsidRPr="00CE0BE9" w:rsidRDefault="00FC289F" w:rsidP="00A075AD">
            <w:pPr>
              <w:pStyle w:val="Tabletext"/>
            </w:pPr>
            <w:r w:rsidRPr="00CE0BE9">
              <w:t>3-year follow-up</w:t>
            </w:r>
          </w:p>
        </w:tc>
        <w:tc>
          <w:tcPr>
            <w:tcW w:w="1701" w:type="dxa"/>
            <w:tcBorders>
              <w:left w:val="nil"/>
              <w:right w:val="nil"/>
            </w:tcBorders>
            <w:vAlign w:val="center"/>
          </w:tcPr>
          <w:p w:rsidR="00FC289F" w:rsidRPr="00CE0BE9" w:rsidRDefault="00FC289F" w:rsidP="00A075AD">
            <w:pPr>
              <w:pStyle w:val="Tabletext"/>
              <w:jc w:val="center"/>
            </w:pPr>
          </w:p>
        </w:tc>
        <w:tc>
          <w:tcPr>
            <w:tcW w:w="1559" w:type="dxa"/>
            <w:tcBorders>
              <w:left w:val="nil"/>
              <w:right w:val="nil"/>
            </w:tcBorders>
            <w:vAlign w:val="center"/>
          </w:tcPr>
          <w:p w:rsidR="00FC289F" w:rsidRPr="00CE0BE9" w:rsidRDefault="00FC289F" w:rsidP="00A075AD">
            <w:pPr>
              <w:pStyle w:val="Tabletext"/>
              <w:jc w:val="center"/>
            </w:pPr>
          </w:p>
        </w:tc>
        <w:tc>
          <w:tcPr>
            <w:tcW w:w="1134" w:type="dxa"/>
            <w:tcBorders>
              <w:left w:val="nil"/>
              <w:right w:val="nil"/>
            </w:tcBorders>
            <w:vAlign w:val="center"/>
          </w:tcPr>
          <w:p w:rsidR="00FC289F" w:rsidRPr="00CE0BE9" w:rsidRDefault="00FC289F" w:rsidP="00A075AD">
            <w:pPr>
              <w:pStyle w:val="Tabletext"/>
              <w:jc w:val="center"/>
            </w:pPr>
          </w:p>
        </w:tc>
        <w:tc>
          <w:tcPr>
            <w:tcW w:w="2218" w:type="dxa"/>
            <w:tcBorders>
              <w:left w:val="nil"/>
            </w:tcBorders>
            <w:vAlign w:val="center"/>
          </w:tcPr>
          <w:p w:rsidR="00FC289F" w:rsidRPr="00CE0BE9" w:rsidRDefault="00FC289F" w:rsidP="00A075AD">
            <w:pPr>
              <w:pStyle w:val="Tabletext"/>
              <w:jc w:val="center"/>
            </w:pPr>
          </w:p>
        </w:tc>
      </w:tr>
      <w:tr w:rsidR="00FC289F" w:rsidRPr="00CE0BE9" w:rsidTr="00A075AD">
        <w:tc>
          <w:tcPr>
            <w:tcW w:w="2405" w:type="dxa"/>
            <w:vAlign w:val="center"/>
          </w:tcPr>
          <w:p w:rsidR="00FC289F" w:rsidRPr="00CE0BE9" w:rsidRDefault="00FC289F" w:rsidP="00A075AD">
            <w:pPr>
              <w:pStyle w:val="Tabletext"/>
            </w:pPr>
            <w:r w:rsidRPr="00CE0BE9">
              <w:t>Patients with event n/N (%)</w:t>
            </w:r>
          </w:p>
        </w:tc>
        <w:tc>
          <w:tcPr>
            <w:tcW w:w="1701" w:type="dxa"/>
            <w:vAlign w:val="center"/>
          </w:tcPr>
          <w:p w:rsidR="00FC289F" w:rsidRPr="00CE0BE9" w:rsidRDefault="00FC289F" w:rsidP="00A075AD">
            <w:pPr>
              <w:pStyle w:val="Tabletext"/>
              <w:jc w:val="center"/>
            </w:pPr>
            <w:r w:rsidRPr="00CE0BE9">
              <w:t>42%</w:t>
            </w:r>
          </w:p>
        </w:tc>
        <w:tc>
          <w:tcPr>
            <w:tcW w:w="1559" w:type="dxa"/>
            <w:vAlign w:val="center"/>
          </w:tcPr>
          <w:p w:rsidR="00FC289F" w:rsidRPr="00CE0BE9" w:rsidRDefault="00FC289F" w:rsidP="00A075AD">
            <w:pPr>
              <w:pStyle w:val="Tabletext"/>
              <w:jc w:val="center"/>
            </w:pPr>
            <w:r w:rsidRPr="00CE0BE9">
              <w:t>23%</w:t>
            </w:r>
          </w:p>
        </w:tc>
        <w:tc>
          <w:tcPr>
            <w:tcW w:w="1134" w:type="dxa"/>
            <w:vAlign w:val="center"/>
          </w:tcPr>
          <w:p w:rsidR="00FC289F" w:rsidRPr="00CE0BE9" w:rsidRDefault="00FC289F" w:rsidP="00A075AD">
            <w:pPr>
              <w:pStyle w:val="Tabletext"/>
              <w:jc w:val="center"/>
            </w:pPr>
            <w:r w:rsidRPr="00CE0BE9">
              <w:t>19%</w:t>
            </w:r>
          </w:p>
        </w:tc>
        <w:tc>
          <w:tcPr>
            <w:tcW w:w="2218" w:type="dxa"/>
            <w:vAlign w:val="center"/>
          </w:tcPr>
          <w:p w:rsidR="00FC289F" w:rsidRPr="00CE0BE9" w:rsidRDefault="00FC289F" w:rsidP="00A075AD">
            <w:pPr>
              <w:pStyle w:val="Tabletext"/>
              <w:jc w:val="center"/>
            </w:pPr>
            <w:r w:rsidRPr="00CE0BE9">
              <w:t>-</w:t>
            </w:r>
          </w:p>
        </w:tc>
      </w:tr>
      <w:tr w:rsidR="00FC289F" w:rsidRPr="00CE0BE9" w:rsidTr="00A075AD">
        <w:tc>
          <w:tcPr>
            <w:tcW w:w="2405" w:type="dxa"/>
            <w:tcBorders>
              <w:bottom w:val="single" w:sz="4" w:space="0" w:color="auto"/>
            </w:tcBorders>
            <w:vAlign w:val="center"/>
          </w:tcPr>
          <w:p w:rsidR="00FC289F" w:rsidRPr="00CE0BE9" w:rsidRDefault="00FC289F" w:rsidP="00A075AD">
            <w:pPr>
              <w:pStyle w:val="Tabletext"/>
            </w:pPr>
            <w:r w:rsidRPr="00CE0BE9">
              <w:t>Median PFS months (95% CI)</w:t>
            </w:r>
          </w:p>
        </w:tc>
        <w:tc>
          <w:tcPr>
            <w:tcW w:w="1701" w:type="dxa"/>
            <w:tcBorders>
              <w:bottom w:val="single" w:sz="4" w:space="0" w:color="auto"/>
            </w:tcBorders>
            <w:vAlign w:val="center"/>
          </w:tcPr>
          <w:p w:rsidR="00FC289F" w:rsidRPr="00CE0BE9" w:rsidRDefault="00FC289F" w:rsidP="00A075AD">
            <w:pPr>
              <w:pStyle w:val="Tabletext"/>
              <w:jc w:val="center"/>
            </w:pPr>
            <w:r w:rsidRPr="00CE0BE9">
              <w:t>30.6 (26.9, 40.1)</w:t>
            </w:r>
          </w:p>
        </w:tc>
        <w:tc>
          <w:tcPr>
            <w:tcW w:w="1559" w:type="dxa"/>
            <w:tcBorders>
              <w:bottom w:val="single" w:sz="4" w:space="0" w:color="auto"/>
            </w:tcBorders>
            <w:vAlign w:val="center"/>
          </w:tcPr>
          <w:p w:rsidR="00FC289F" w:rsidRPr="00CE0BE9" w:rsidRDefault="00FC289F" w:rsidP="00A075AD">
            <w:pPr>
              <w:pStyle w:val="Tabletext"/>
              <w:jc w:val="center"/>
            </w:pPr>
            <w:r w:rsidRPr="00CE0BE9">
              <w:t>18.4 (15.8, 24.1)</w:t>
            </w:r>
          </w:p>
        </w:tc>
        <w:tc>
          <w:tcPr>
            <w:tcW w:w="1134" w:type="dxa"/>
            <w:tcBorders>
              <w:bottom w:val="single" w:sz="4" w:space="0" w:color="auto"/>
            </w:tcBorders>
            <w:vAlign w:val="center"/>
          </w:tcPr>
          <w:p w:rsidR="00FC289F" w:rsidRPr="00CE0BE9" w:rsidRDefault="00FC289F" w:rsidP="00A075AD">
            <w:pPr>
              <w:pStyle w:val="Tabletext"/>
              <w:jc w:val="center"/>
            </w:pPr>
            <w:r w:rsidRPr="00CE0BE9">
              <w:t>12.2</w:t>
            </w:r>
          </w:p>
        </w:tc>
        <w:tc>
          <w:tcPr>
            <w:tcW w:w="2218" w:type="dxa"/>
            <w:tcBorders>
              <w:bottom w:val="single" w:sz="4" w:space="0" w:color="auto"/>
            </w:tcBorders>
            <w:vAlign w:val="center"/>
          </w:tcPr>
          <w:p w:rsidR="00FC289F" w:rsidRPr="00CE0BE9" w:rsidRDefault="00FC289F" w:rsidP="00A075AD">
            <w:pPr>
              <w:pStyle w:val="Tabletext"/>
              <w:jc w:val="center"/>
              <w:rPr>
                <w:b/>
              </w:rPr>
            </w:pPr>
            <w:r w:rsidRPr="00CE0BE9">
              <w:rPr>
                <w:b/>
              </w:rPr>
              <w:t>0.50 (0.35, 0.71); p&lt;0.001</w:t>
            </w:r>
          </w:p>
        </w:tc>
      </w:tr>
      <w:tr w:rsidR="00FC289F" w:rsidRPr="00CE0BE9" w:rsidTr="00A075AD">
        <w:tc>
          <w:tcPr>
            <w:tcW w:w="2405" w:type="dxa"/>
            <w:tcBorders>
              <w:right w:val="nil"/>
            </w:tcBorders>
            <w:vAlign w:val="center"/>
          </w:tcPr>
          <w:p w:rsidR="00FC289F" w:rsidRPr="00CE0BE9" w:rsidRDefault="00FC289F" w:rsidP="00A075AD">
            <w:pPr>
              <w:pStyle w:val="Tabletext"/>
            </w:pPr>
            <w:r w:rsidRPr="00CE0BE9">
              <w:t>5.4-year follow-up</w:t>
            </w:r>
          </w:p>
        </w:tc>
        <w:tc>
          <w:tcPr>
            <w:tcW w:w="1701" w:type="dxa"/>
            <w:tcBorders>
              <w:left w:val="nil"/>
              <w:right w:val="nil"/>
            </w:tcBorders>
            <w:vAlign w:val="center"/>
          </w:tcPr>
          <w:p w:rsidR="00FC289F" w:rsidRPr="00CE0BE9" w:rsidRDefault="00FC289F" w:rsidP="00A075AD">
            <w:pPr>
              <w:pStyle w:val="Tabletext"/>
              <w:jc w:val="center"/>
            </w:pPr>
          </w:p>
        </w:tc>
        <w:tc>
          <w:tcPr>
            <w:tcW w:w="1559" w:type="dxa"/>
            <w:tcBorders>
              <w:left w:val="nil"/>
              <w:right w:val="nil"/>
            </w:tcBorders>
            <w:vAlign w:val="center"/>
          </w:tcPr>
          <w:p w:rsidR="00FC289F" w:rsidRPr="00CE0BE9" w:rsidRDefault="00FC289F" w:rsidP="00A075AD">
            <w:pPr>
              <w:pStyle w:val="Tabletext"/>
              <w:jc w:val="center"/>
            </w:pPr>
          </w:p>
        </w:tc>
        <w:tc>
          <w:tcPr>
            <w:tcW w:w="1134" w:type="dxa"/>
            <w:tcBorders>
              <w:left w:val="nil"/>
              <w:right w:val="nil"/>
            </w:tcBorders>
            <w:vAlign w:val="center"/>
          </w:tcPr>
          <w:p w:rsidR="00FC289F" w:rsidRPr="00CE0BE9" w:rsidRDefault="00FC289F" w:rsidP="00A075AD">
            <w:pPr>
              <w:pStyle w:val="Tabletext"/>
              <w:jc w:val="center"/>
            </w:pPr>
          </w:p>
        </w:tc>
        <w:tc>
          <w:tcPr>
            <w:tcW w:w="2218" w:type="dxa"/>
            <w:tcBorders>
              <w:left w:val="nil"/>
            </w:tcBorders>
            <w:vAlign w:val="center"/>
          </w:tcPr>
          <w:p w:rsidR="00FC289F" w:rsidRPr="00CE0BE9" w:rsidRDefault="00FC289F" w:rsidP="00A075AD">
            <w:pPr>
              <w:pStyle w:val="Tabletext"/>
              <w:jc w:val="center"/>
            </w:pPr>
          </w:p>
        </w:tc>
      </w:tr>
      <w:tr w:rsidR="00FC289F" w:rsidRPr="00CE0BE9" w:rsidTr="00A075AD">
        <w:tc>
          <w:tcPr>
            <w:tcW w:w="2405" w:type="dxa"/>
            <w:vAlign w:val="center"/>
          </w:tcPr>
          <w:p w:rsidR="00FC289F" w:rsidRPr="00CE0BE9" w:rsidRDefault="00FC289F" w:rsidP="00A075AD">
            <w:pPr>
              <w:pStyle w:val="Tabletext"/>
            </w:pPr>
            <w:r w:rsidRPr="00CE0BE9">
              <w:t>Patient with event n/N (%)</w:t>
            </w:r>
          </w:p>
        </w:tc>
        <w:tc>
          <w:tcPr>
            <w:tcW w:w="1701" w:type="dxa"/>
            <w:vAlign w:val="center"/>
          </w:tcPr>
          <w:p w:rsidR="00FC289F" w:rsidRPr="00CE0BE9" w:rsidRDefault="00FC289F" w:rsidP="00A075AD">
            <w:pPr>
              <w:pStyle w:val="Tabletext"/>
              <w:jc w:val="center"/>
            </w:pPr>
            <w:r w:rsidRPr="00CE0BE9">
              <w:t>-</w:t>
            </w:r>
          </w:p>
        </w:tc>
        <w:tc>
          <w:tcPr>
            <w:tcW w:w="1559" w:type="dxa"/>
            <w:vAlign w:val="center"/>
          </w:tcPr>
          <w:p w:rsidR="00FC289F" w:rsidRPr="00CE0BE9" w:rsidRDefault="00FC289F" w:rsidP="00A075AD">
            <w:pPr>
              <w:pStyle w:val="Tabletext"/>
              <w:jc w:val="center"/>
            </w:pPr>
            <w:r w:rsidRPr="00CE0BE9">
              <w:t>-</w:t>
            </w:r>
          </w:p>
        </w:tc>
        <w:tc>
          <w:tcPr>
            <w:tcW w:w="1134" w:type="dxa"/>
            <w:vAlign w:val="center"/>
          </w:tcPr>
          <w:p w:rsidR="00FC289F" w:rsidRPr="00CE0BE9" w:rsidRDefault="00FC289F" w:rsidP="00A075AD">
            <w:pPr>
              <w:pStyle w:val="Tabletext"/>
              <w:jc w:val="center"/>
            </w:pPr>
            <w:r w:rsidRPr="00CE0BE9">
              <w:t>-</w:t>
            </w:r>
          </w:p>
        </w:tc>
        <w:tc>
          <w:tcPr>
            <w:tcW w:w="2218" w:type="dxa"/>
            <w:vAlign w:val="center"/>
          </w:tcPr>
          <w:p w:rsidR="00FC289F" w:rsidRPr="00CE0BE9" w:rsidRDefault="00FC289F" w:rsidP="00A075AD">
            <w:pPr>
              <w:pStyle w:val="Tabletext"/>
              <w:jc w:val="center"/>
            </w:pPr>
            <w:r w:rsidRPr="00CE0BE9">
              <w:t>-</w:t>
            </w:r>
          </w:p>
        </w:tc>
      </w:tr>
      <w:tr w:rsidR="00FC289F" w:rsidRPr="00CE0BE9" w:rsidTr="00A075AD">
        <w:tc>
          <w:tcPr>
            <w:tcW w:w="2405" w:type="dxa"/>
            <w:vAlign w:val="center"/>
          </w:tcPr>
          <w:p w:rsidR="00FC289F" w:rsidRPr="00CE0BE9" w:rsidRDefault="00FC289F" w:rsidP="00A075AD">
            <w:pPr>
              <w:pStyle w:val="Tabletext"/>
            </w:pPr>
            <w:r w:rsidRPr="00CE0BE9">
              <w:t>Median PFS months (95% CI)</w:t>
            </w:r>
          </w:p>
        </w:tc>
        <w:tc>
          <w:tcPr>
            <w:tcW w:w="1701" w:type="dxa"/>
            <w:vAlign w:val="center"/>
          </w:tcPr>
          <w:p w:rsidR="00FC289F" w:rsidRPr="00CE0BE9" w:rsidRDefault="00FC289F" w:rsidP="00A075AD">
            <w:pPr>
              <w:pStyle w:val="Tabletext"/>
              <w:jc w:val="center"/>
            </w:pPr>
            <w:r w:rsidRPr="00CE0BE9">
              <w:t>32.4 (25.2, 38.4)</w:t>
            </w:r>
          </w:p>
        </w:tc>
        <w:tc>
          <w:tcPr>
            <w:tcW w:w="1559" w:type="dxa"/>
            <w:vAlign w:val="center"/>
          </w:tcPr>
          <w:p w:rsidR="00FC289F" w:rsidRPr="00CE0BE9" w:rsidRDefault="00FC289F" w:rsidP="00A075AD">
            <w:pPr>
              <w:pStyle w:val="Tabletext"/>
              <w:jc w:val="center"/>
            </w:pPr>
            <w:r w:rsidRPr="00CE0BE9">
              <w:t>18.0 (13.2, 21.6)</w:t>
            </w:r>
          </w:p>
        </w:tc>
        <w:tc>
          <w:tcPr>
            <w:tcW w:w="1134" w:type="dxa"/>
            <w:vAlign w:val="center"/>
          </w:tcPr>
          <w:p w:rsidR="00FC289F" w:rsidRPr="00CE0BE9" w:rsidRDefault="00FC289F" w:rsidP="00A075AD">
            <w:pPr>
              <w:pStyle w:val="Tabletext"/>
              <w:jc w:val="center"/>
            </w:pPr>
            <w:r w:rsidRPr="00CE0BE9">
              <w:t>14.4</w:t>
            </w:r>
          </w:p>
        </w:tc>
        <w:tc>
          <w:tcPr>
            <w:tcW w:w="2218" w:type="dxa"/>
            <w:vAlign w:val="center"/>
          </w:tcPr>
          <w:p w:rsidR="00FC289F" w:rsidRPr="00CE0BE9" w:rsidRDefault="00FC289F" w:rsidP="00A075AD">
            <w:pPr>
              <w:pStyle w:val="Tabletext"/>
              <w:jc w:val="center"/>
              <w:rPr>
                <w:b/>
              </w:rPr>
            </w:pPr>
            <w:r w:rsidRPr="00CE0BE9">
              <w:rPr>
                <w:b/>
              </w:rPr>
              <w:t>0.16 (0.04, 0.58); p=0.005</w:t>
            </w:r>
          </w:p>
        </w:tc>
      </w:tr>
      <w:tr w:rsidR="00FC289F" w:rsidRPr="00CE0BE9" w:rsidTr="00A075AD">
        <w:tc>
          <w:tcPr>
            <w:tcW w:w="9017" w:type="dxa"/>
            <w:gridSpan w:val="5"/>
            <w:tcBorders>
              <w:bottom w:val="single" w:sz="4" w:space="0" w:color="auto"/>
            </w:tcBorders>
            <w:vAlign w:val="center"/>
          </w:tcPr>
          <w:p w:rsidR="00FC289F" w:rsidRPr="00CE0BE9" w:rsidRDefault="00FC289F" w:rsidP="00A075AD">
            <w:pPr>
              <w:pStyle w:val="Tabletext"/>
              <w:rPr>
                <w:b/>
              </w:rPr>
            </w:pPr>
            <w:r w:rsidRPr="00CE0BE9">
              <w:rPr>
                <w:b/>
              </w:rPr>
              <w:t>Overall survival</w:t>
            </w:r>
          </w:p>
        </w:tc>
      </w:tr>
      <w:tr w:rsidR="00FC289F" w:rsidRPr="00CE0BE9" w:rsidTr="00A075AD">
        <w:tc>
          <w:tcPr>
            <w:tcW w:w="2405" w:type="dxa"/>
            <w:tcBorders>
              <w:right w:val="nil"/>
            </w:tcBorders>
          </w:tcPr>
          <w:p w:rsidR="00FC289F" w:rsidRPr="00CE0BE9" w:rsidRDefault="00FC289F" w:rsidP="00A075AD">
            <w:pPr>
              <w:pStyle w:val="Tabletext"/>
            </w:pPr>
            <w:r w:rsidRPr="00CE0BE9">
              <w:t>3-year follow-up</w:t>
            </w:r>
          </w:p>
        </w:tc>
        <w:tc>
          <w:tcPr>
            <w:tcW w:w="1701" w:type="dxa"/>
            <w:tcBorders>
              <w:left w:val="nil"/>
              <w:right w:val="nil"/>
            </w:tcBorders>
            <w:vAlign w:val="center"/>
          </w:tcPr>
          <w:p w:rsidR="00FC289F" w:rsidRPr="00CE0BE9" w:rsidRDefault="00FC289F" w:rsidP="00A075AD">
            <w:pPr>
              <w:pStyle w:val="Tabletext"/>
              <w:jc w:val="center"/>
            </w:pPr>
          </w:p>
        </w:tc>
        <w:tc>
          <w:tcPr>
            <w:tcW w:w="1559" w:type="dxa"/>
            <w:tcBorders>
              <w:left w:val="nil"/>
              <w:right w:val="nil"/>
            </w:tcBorders>
            <w:vAlign w:val="center"/>
          </w:tcPr>
          <w:p w:rsidR="00FC289F" w:rsidRPr="00CE0BE9" w:rsidRDefault="00FC289F" w:rsidP="00A075AD">
            <w:pPr>
              <w:pStyle w:val="Tabletext"/>
              <w:jc w:val="center"/>
            </w:pPr>
          </w:p>
        </w:tc>
        <w:tc>
          <w:tcPr>
            <w:tcW w:w="1134" w:type="dxa"/>
            <w:tcBorders>
              <w:left w:val="nil"/>
              <w:right w:val="nil"/>
            </w:tcBorders>
            <w:vAlign w:val="center"/>
          </w:tcPr>
          <w:p w:rsidR="00FC289F" w:rsidRPr="00CE0BE9" w:rsidRDefault="00FC289F" w:rsidP="00A075AD">
            <w:pPr>
              <w:pStyle w:val="Tabletext"/>
              <w:jc w:val="center"/>
            </w:pPr>
          </w:p>
        </w:tc>
        <w:tc>
          <w:tcPr>
            <w:tcW w:w="2218" w:type="dxa"/>
            <w:tcBorders>
              <w:left w:val="nil"/>
            </w:tcBorders>
            <w:vAlign w:val="center"/>
          </w:tcPr>
          <w:p w:rsidR="00FC289F" w:rsidRPr="00CE0BE9" w:rsidRDefault="00FC289F" w:rsidP="00A075AD">
            <w:pPr>
              <w:pStyle w:val="Tabletext"/>
              <w:jc w:val="center"/>
            </w:pPr>
          </w:p>
        </w:tc>
      </w:tr>
      <w:tr w:rsidR="00FC289F" w:rsidRPr="00CE0BE9" w:rsidTr="00A075AD">
        <w:tc>
          <w:tcPr>
            <w:tcW w:w="2405" w:type="dxa"/>
          </w:tcPr>
          <w:p w:rsidR="00FC289F" w:rsidRPr="00CE0BE9" w:rsidRDefault="00FC289F" w:rsidP="00A075AD">
            <w:pPr>
              <w:pStyle w:val="Tabletext"/>
            </w:pPr>
            <w:r w:rsidRPr="00CE0BE9">
              <w:t>Patients with event n/N (%)</w:t>
            </w:r>
          </w:p>
        </w:tc>
        <w:tc>
          <w:tcPr>
            <w:tcW w:w="1701" w:type="dxa"/>
            <w:vAlign w:val="center"/>
          </w:tcPr>
          <w:p w:rsidR="00FC289F" w:rsidRPr="00CE0BE9" w:rsidRDefault="00FC289F" w:rsidP="00A075AD">
            <w:pPr>
              <w:pStyle w:val="Tabletext"/>
              <w:jc w:val="center"/>
            </w:pPr>
            <w:r w:rsidRPr="00CE0BE9">
              <w:t>86%</w:t>
            </w:r>
          </w:p>
        </w:tc>
        <w:tc>
          <w:tcPr>
            <w:tcW w:w="1559" w:type="dxa"/>
            <w:vAlign w:val="center"/>
          </w:tcPr>
          <w:p w:rsidR="00FC289F" w:rsidRPr="00CE0BE9" w:rsidRDefault="00FC289F" w:rsidP="00A075AD">
            <w:pPr>
              <w:pStyle w:val="Tabletext"/>
              <w:jc w:val="center"/>
            </w:pPr>
            <w:r w:rsidRPr="00CE0BE9">
              <w:t>75%</w:t>
            </w:r>
          </w:p>
        </w:tc>
        <w:tc>
          <w:tcPr>
            <w:tcW w:w="1134" w:type="dxa"/>
            <w:vAlign w:val="center"/>
          </w:tcPr>
          <w:p w:rsidR="00FC289F" w:rsidRPr="00CE0BE9" w:rsidRDefault="00FC289F" w:rsidP="00A075AD">
            <w:pPr>
              <w:pStyle w:val="Tabletext"/>
              <w:jc w:val="center"/>
            </w:pPr>
            <w:r w:rsidRPr="00CE0BE9">
              <w:t>11%</w:t>
            </w:r>
          </w:p>
        </w:tc>
        <w:tc>
          <w:tcPr>
            <w:tcW w:w="2218" w:type="dxa"/>
            <w:vAlign w:val="center"/>
          </w:tcPr>
          <w:p w:rsidR="00FC289F" w:rsidRPr="00CE0BE9" w:rsidRDefault="00FC289F" w:rsidP="00A075AD">
            <w:pPr>
              <w:pStyle w:val="Tabletext"/>
              <w:jc w:val="center"/>
            </w:pPr>
          </w:p>
        </w:tc>
      </w:tr>
      <w:tr w:rsidR="00FC289F" w:rsidRPr="00CE0BE9" w:rsidTr="00A075AD">
        <w:tc>
          <w:tcPr>
            <w:tcW w:w="2405" w:type="dxa"/>
            <w:tcBorders>
              <w:bottom w:val="single" w:sz="4" w:space="0" w:color="auto"/>
            </w:tcBorders>
          </w:tcPr>
          <w:p w:rsidR="00FC289F" w:rsidRPr="00CE0BE9" w:rsidRDefault="00FC289F" w:rsidP="00A075AD">
            <w:pPr>
              <w:pStyle w:val="Tabletext"/>
            </w:pPr>
            <w:r w:rsidRPr="00CE0BE9">
              <w:t>Median OS months (95% CI)</w:t>
            </w:r>
          </w:p>
        </w:tc>
        <w:tc>
          <w:tcPr>
            <w:tcW w:w="1701" w:type="dxa"/>
            <w:tcBorders>
              <w:bottom w:val="single" w:sz="4" w:space="0" w:color="auto"/>
            </w:tcBorders>
            <w:vAlign w:val="center"/>
          </w:tcPr>
          <w:p w:rsidR="00FC289F" w:rsidRPr="00CE0BE9" w:rsidRDefault="00FC289F" w:rsidP="00A075AD">
            <w:pPr>
              <w:pStyle w:val="Tabletext"/>
              <w:jc w:val="center"/>
            </w:pPr>
            <w:r w:rsidRPr="00CE0BE9">
              <w:t>-</w:t>
            </w:r>
          </w:p>
        </w:tc>
        <w:tc>
          <w:tcPr>
            <w:tcW w:w="1559" w:type="dxa"/>
            <w:tcBorders>
              <w:bottom w:val="single" w:sz="4" w:space="0" w:color="auto"/>
            </w:tcBorders>
            <w:vAlign w:val="center"/>
          </w:tcPr>
          <w:p w:rsidR="00FC289F" w:rsidRPr="00CE0BE9" w:rsidRDefault="00FC289F" w:rsidP="00A075AD">
            <w:pPr>
              <w:pStyle w:val="Tabletext"/>
              <w:jc w:val="center"/>
            </w:pPr>
            <w:r w:rsidRPr="00CE0BE9">
              <w:t>-</w:t>
            </w:r>
          </w:p>
        </w:tc>
        <w:tc>
          <w:tcPr>
            <w:tcW w:w="1134" w:type="dxa"/>
            <w:tcBorders>
              <w:bottom w:val="single" w:sz="4" w:space="0" w:color="auto"/>
            </w:tcBorders>
            <w:vAlign w:val="center"/>
          </w:tcPr>
          <w:p w:rsidR="00FC289F" w:rsidRPr="00CE0BE9" w:rsidRDefault="00FC289F" w:rsidP="00A075AD">
            <w:pPr>
              <w:pStyle w:val="Tabletext"/>
              <w:jc w:val="center"/>
            </w:pPr>
            <w:r w:rsidRPr="00CE0BE9">
              <w:t>-</w:t>
            </w:r>
          </w:p>
        </w:tc>
        <w:tc>
          <w:tcPr>
            <w:tcW w:w="2218" w:type="dxa"/>
            <w:tcBorders>
              <w:bottom w:val="single" w:sz="4" w:space="0" w:color="auto"/>
            </w:tcBorders>
            <w:vAlign w:val="center"/>
          </w:tcPr>
          <w:p w:rsidR="00FC289F" w:rsidRPr="00CE0BE9" w:rsidRDefault="00FC289F" w:rsidP="00A075AD">
            <w:pPr>
              <w:pStyle w:val="Tabletext"/>
              <w:jc w:val="center"/>
              <w:rPr>
                <w:b/>
              </w:rPr>
            </w:pPr>
            <w:r w:rsidRPr="00CE0BE9">
              <w:rPr>
                <w:b/>
              </w:rPr>
              <w:t>0.41 (0.22,0.76), p=0.004</w:t>
            </w:r>
          </w:p>
        </w:tc>
      </w:tr>
      <w:tr w:rsidR="00FC289F" w:rsidRPr="00CE0BE9" w:rsidTr="00A075AD">
        <w:tc>
          <w:tcPr>
            <w:tcW w:w="2405" w:type="dxa"/>
            <w:tcBorders>
              <w:right w:val="nil"/>
            </w:tcBorders>
            <w:vAlign w:val="center"/>
          </w:tcPr>
          <w:p w:rsidR="00FC289F" w:rsidRPr="00CE0BE9" w:rsidRDefault="00FC289F" w:rsidP="00A075AD">
            <w:pPr>
              <w:pStyle w:val="Tabletext"/>
            </w:pPr>
            <w:r w:rsidRPr="00CE0BE9">
              <w:t>5.4-year follow-up</w:t>
            </w:r>
          </w:p>
        </w:tc>
        <w:tc>
          <w:tcPr>
            <w:tcW w:w="1701" w:type="dxa"/>
            <w:tcBorders>
              <w:left w:val="nil"/>
              <w:right w:val="nil"/>
            </w:tcBorders>
            <w:vAlign w:val="center"/>
          </w:tcPr>
          <w:p w:rsidR="00FC289F" w:rsidRPr="00CE0BE9" w:rsidRDefault="00FC289F" w:rsidP="00A075AD">
            <w:pPr>
              <w:pStyle w:val="Tabletext"/>
              <w:jc w:val="center"/>
            </w:pPr>
          </w:p>
        </w:tc>
        <w:tc>
          <w:tcPr>
            <w:tcW w:w="1559" w:type="dxa"/>
            <w:tcBorders>
              <w:left w:val="nil"/>
              <w:right w:val="nil"/>
            </w:tcBorders>
            <w:vAlign w:val="center"/>
          </w:tcPr>
          <w:p w:rsidR="00FC289F" w:rsidRPr="00CE0BE9" w:rsidRDefault="00FC289F" w:rsidP="00A075AD">
            <w:pPr>
              <w:pStyle w:val="Tabletext"/>
              <w:jc w:val="center"/>
            </w:pPr>
          </w:p>
        </w:tc>
        <w:tc>
          <w:tcPr>
            <w:tcW w:w="1134" w:type="dxa"/>
            <w:tcBorders>
              <w:left w:val="nil"/>
              <w:right w:val="nil"/>
            </w:tcBorders>
            <w:vAlign w:val="center"/>
          </w:tcPr>
          <w:p w:rsidR="00FC289F" w:rsidRPr="00CE0BE9" w:rsidRDefault="00FC289F" w:rsidP="00A075AD">
            <w:pPr>
              <w:pStyle w:val="Tabletext"/>
              <w:jc w:val="center"/>
            </w:pPr>
          </w:p>
        </w:tc>
        <w:tc>
          <w:tcPr>
            <w:tcW w:w="2218" w:type="dxa"/>
            <w:tcBorders>
              <w:left w:val="nil"/>
            </w:tcBorders>
            <w:vAlign w:val="center"/>
          </w:tcPr>
          <w:p w:rsidR="00FC289F" w:rsidRPr="00CE0BE9" w:rsidRDefault="00FC289F" w:rsidP="00A075AD">
            <w:pPr>
              <w:pStyle w:val="Tabletext"/>
              <w:jc w:val="center"/>
            </w:pPr>
          </w:p>
        </w:tc>
      </w:tr>
      <w:tr w:rsidR="00FC289F" w:rsidRPr="00CE0BE9" w:rsidTr="00A075AD">
        <w:tc>
          <w:tcPr>
            <w:tcW w:w="2405" w:type="dxa"/>
            <w:vAlign w:val="center"/>
          </w:tcPr>
          <w:p w:rsidR="00FC289F" w:rsidRPr="00CE0BE9" w:rsidRDefault="00FC289F" w:rsidP="00A075AD">
            <w:pPr>
              <w:pStyle w:val="Tabletext"/>
            </w:pPr>
            <w:r w:rsidRPr="00CE0BE9">
              <w:t xml:space="preserve">Patients with event </w:t>
            </w:r>
          </w:p>
        </w:tc>
        <w:tc>
          <w:tcPr>
            <w:tcW w:w="1701" w:type="dxa"/>
            <w:vAlign w:val="center"/>
          </w:tcPr>
          <w:p w:rsidR="00FC289F" w:rsidRPr="00CE0BE9" w:rsidRDefault="00FC289F" w:rsidP="00A075AD">
            <w:pPr>
              <w:pStyle w:val="Tabletext"/>
              <w:jc w:val="center"/>
            </w:pPr>
            <w:r w:rsidRPr="00CE0BE9">
              <w:t>-</w:t>
            </w:r>
          </w:p>
        </w:tc>
        <w:tc>
          <w:tcPr>
            <w:tcW w:w="1559" w:type="dxa"/>
            <w:vAlign w:val="center"/>
          </w:tcPr>
          <w:p w:rsidR="00FC289F" w:rsidRPr="00CE0BE9" w:rsidRDefault="00FC289F" w:rsidP="00A075AD">
            <w:pPr>
              <w:pStyle w:val="Tabletext"/>
              <w:jc w:val="center"/>
            </w:pPr>
            <w:r w:rsidRPr="00CE0BE9">
              <w:t>-</w:t>
            </w:r>
          </w:p>
        </w:tc>
        <w:tc>
          <w:tcPr>
            <w:tcW w:w="1134" w:type="dxa"/>
            <w:vAlign w:val="center"/>
          </w:tcPr>
          <w:p w:rsidR="00FC289F" w:rsidRPr="00CE0BE9" w:rsidRDefault="00FC289F" w:rsidP="00A075AD">
            <w:pPr>
              <w:pStyle w:val="Tabletext"/>
              <w:jc w:val="center"/>
            </w:pPr>
            <w:r w:rsidRPr="00CE0BE9">
              <w:t>-</w:t>
            </w:r>
          </w:p>
        </w:tc>
        <w:tc>
          <w:tcPr>
            <w:tcW w:w="2218" w:type="dxa"/>
            <w:vAlign w:val="center"/>
          </w:tcPr>
          <w:p w:rsidR="00FC289F" w:rsidRPr="00CE0BE9" w:rsidRDefault="00FC289F" w:rsidP="00A075AD">
            <w:pPr>
              <w:pStyle w:val="Tabletext"/>
              <w:jc w:val="center"/>
            </w:pPr>
            <w:r w:rsidRPr="00CE0BE9">
              <w:t>-</w:t>
            </w:r>
          </w:p>
        </w:tc>
      </w:tr>
      <w:tr w:rsidR="00FC289F" w:rsidRPr="00CE0BE9" w:rsidTr="00A075AD">
        <w:tc>
          <w:tcPr>
            <w:tcW w:w="2405" w:type="dxa"/>
            <w:vAlign w:val="center"/>
          </w:tcPr>
          <w:p w:rsidR="00FC289F" w:rsidRPr="00CE0BE9" w:rsidRDefault="00FC289F" w:rsidP="00A075AD">
            <w:pPr>
              <w:pStyle w:val="Tabletext"/>
            </w:pPr>
            <w:r w:rsidRPr="00CE0BE9">
              <w:t>Median months OS (95% CI)</w:t>
            </w:r>
          </w:p>
        </w:tc>
        <w:tc>
          <w:tcPr>
            <w:tcW w:w="1701" w:type="dxa"/>
            <w:vAlign w:val="center"/>
          </w:tcPr>
          <w:p w:rsidR="00FC289F" w:rsidRPr="00CE0BE9" w:rsidRDefault="00FC289F" w:rsidP="00A075AD">
            <w:pPr>
              <w:pStyle w:val="Tabletext"/>
              <w:jc w:val="center"/>
            </w:pPr>
            <w:r w:rsidRPr="00CE0BE9">
              <w:t>102.0 (88.8, 116.4)</w:t>
            </w:r>
          </w:p>
        </w:tc>
        <w:tc>
          <w:tcPr>
            <w:tcW w:w="1559" w:type="dxa"/>
            <w:vAlign w:val="center"/>
          </w:tcPr>
          <w:p w:rsidR="00FC289F" w:rsidRPr="00CE0BE9" w:rsidRDefault="00FC289F" w:rsidP="00A075AD">
            <w:pPr>
              <w:pStyle w:val="Tabletext"/>
              <w:jc w:val="center"/>
            </w:pPr>
            <w:r w:rsidRPr="00CE0BE9">
              <w:t>54.0 (46.8, 61.2)</w:t>
            </w:r>
          </w:p>
        </w:tc>
        <w:tc>
          <w:tcPr>
            <w:tcW w:w="1134" w:type="dxa"/>
            <w:vAlign w:val="center"/>
          </w:tcPr>
          <w:p w:rsidR="00FC289F" w:rsidRPr="00CE0BE9" w:rsidRDefault="00FC289F" w:rsidP="00A075AD">
            <w:pPr>
              <w:pStyle w:val="Tabletext"/>
              <w:jc w:val="center"/>
            </w:pPr>
            <w:r w:rsidRPr="00CE0BE9">
              <w:t>48.0</w:t>
            </w:r>
          </w:p>
        </w:tc>
        <w:tc>
          <w:tcPr>
            <w:tcW w:w="2218" w:type="dxa"/>
            <w:vAlign w:val="center"/>
          </w:tcPr>
          <w:p w:rsidR="00FC289F" w:rsidRPr="00CE0BE9" w:rsidRDefault="00FC289F" w:rsidP="00A075AD">
            <w:pPr>
              <w:pStyle w:val="Tabletext"/>
              <w:jc w:val="center"/>
              <w:rPr>
                <w:b/>
              </w:rPr>
            </w:pPr>
            <w:r w:rsidRPr="00CE0BE9">
              <w:rPr>
                <w:b/>
              </w:rPr>
              <w:t>0.12 (0.028, 0.56), p=0.0072</w:t>
            </w:r>
          </w:p>
        </w:tc>
      </w:tr>
      <w:tr w:rsidR="00FC289F" w:rsidRPr="00CE0BE9" w:rsidTr="00A075AD">
        <w:tc>
          <w:tcPr>
            <w:tcW w:w="9017" w:type="dxa"/>
            <w:gridSpan w:val="5"/>
            <w:tcBorders>
              <w:bottom w:val="single" w:sz="4" w:space="0" w:color="auto"/>
            </w:tcBorders>
            <w:vAlign w:val="center"/>
          </w:tcPr>
          <w:p w:rsidR="00FC289F" w:rsidRPr="00CE0BE9" w:rsidRDefault="00FC289F" w:rsidP="00A075AD">
            <w:pPr>
              <w:pStyle w:val="Tabletext"/>
            </w:pPr>
            <w:r w:rsidRPr="00CE0BE9">
              <w:rPr>
                <w:b/>
              </w:rPr>
              <w:t>Myeloma X</w:t>
            </w:r>
          </w:p>
        </w:tc>
      </w:tr>
      <w:tr w:rsidR="00FC289F" w:rsidRPr="00CE0BE9" w:rsidTr="00A075AD">
        <w:tc>
          <w:tcPr>
            <w:tcW w:w="2405" w:type="dxa"/>
            <w:tcBorders>
              <w:right w:val="nil"/>
            </w:tcBorders>
            <w:vAlign w:val="center"/>
          </w:tcPr>
          <w:p w:rsidR="00FC289F" w:rsidRPr="00CE0BE9" w:rsidRDefault="00FC289F" w:rsidP="00A075AD">
            <w:pPr>
              <w:pStyle w:val="Tabletext"/>
            </w:pPr>
            <w:r w:rsidRPr="00CE0BE9">
              <w:rPr>
                <w:b/>
              </w:rPr>
              <w:t>Progression-free survival</w:t>
            </w:r>
          </w:p>
        </w:tc>
        <w:tc>
          <w:tcPr>
            <w:tcW w:w="1701" w:type="dxa"/>
            <w:tcBorders>
              <w:left w:val="nil"/>
              <w:right w:val="nil"/>
            </w:tcBorders>
            <w:vAlign w:val="center"/>
          </w:tcPr>
          <w:p w:rsidR="00FC289F" w:rsidRPr="00CE0BE9" w:rsidRDefault="00FC289F" w:rsidP="00A075AD">
            <w:pPr>
              <w:pStyle w:val="Tabletext"/>
              <w:jc w:val="center"/>
            </w:pPr>
          </w:p>
        </w:tc>
        <w:tc>
          <w:tcPr>
            <w:tcW w:w="1559" w:type="dxa"/>
            <w:tcBorders>
              <w:left w:val="nil"/>
              <w:right w:val="nil"/>
            </w:tcBorders>
            <w:vAlign w:val="center"/>
          </w:tcPr>
          <w:p w:rsidR="00FC289F" w:rsidRPr="00CE0BE9" w:rsidRDefault="00FC289F" w:rsidP="00A075AD">
            <w:pPr>
              <w:pStyle w:val="Tabletext"/>
              <w:jc w:val="center"/>
            </w:pPr>
          </w:p>
        </w:tc>
        <w:tc>
          <w:tcPr>
            <w:tcW w:w="1134" w:type="dxa"/>
            <w:tcBorders>
              <w:left w:val="nil"/>
              <w:right w:val="nil"/>
            </w:tcBorders>
            <w:vAlign w:val="center"/>
          </w:tcPr>
          <w:p w:rsidR="00FC289F" w:rsidRPr="00CE0BE9" w:rsidRDefault="00FC289F" w:rsidP="00A075AD">
            <w:pPr>
              <w:pStyle w:val="Tabletext"/>
              <w:jc w:val="center"/>
            </w:pPr>
          </w:p>
        </w:tc>
        <w:tc>
          <w:tcPr>
            <w:tcW w:w="2218" w:type="dxa"/>
            <w:tcBorders>
              <w:left w:val="nil"/>
            </w:tcBorders>
            <w:vAlign w:val="center"/>
          </w:tcPr>
          <w:p w:rsidR="00FC289F" w:rsidRPr="00CE0BE9" w:rsidRDefault="00FC289F" w:rsidP="00A075AD">
            <w:pPr>
              <w:pStyle w:val="Tabletext"/>
              <w:jc w:val="center"/>
            </w:pPr>
          </w:p>
        </w:tc>
      </w:tr>
      <w:tr w:rsidR="00FC289F" w:rsidRPr="00CE0BE9" w:rsidTr="00A075AD">
        <w:tc>
          <w:tcPr>
            <w:tcW w:w="2405" w:type="dxa"/>
            <w:vAlign w:val="center"/>
          </w:tcPr>
          <w:p w:rsidR="00FC289F" w:rsidRPr="00CE0BE9" w:rsidRDefault="00FC289F" w:rsidP="00A075AD">
            <w:pPr>
              <w:pStyle w:val="Tabletext"/>
              <w:rPr>
                <w:b/>
              </w:rPr>
            </w:pPr>
            <w:r w:rsidRPr="00CE0BE9">
              <w:t>4.1-year follow-up</w:t>
            </w:r>
          </w:p>
        </w:tc>
        <w:tc>
          <w:tcPr>
            <w:tcW w:w="1701" w:type="dxa"/>
            <w:vAlign w:val="center"/>
          </w:tcPr>
          <w:p w:rsidR="00FC289F" w:rsidRPr="00CE0BE9" w:rsidRDefault="00FC289F" w:rsidP="00A075AD">
            <w:pPr>
              <w:pStyle w:val="Tabletext"/>
              <w:jc w:val="center"/>
            </w:pPr>
          </w:p>
        </w:tc>
        <w:tc>
          <w:tcPr>
            <w:tcW w:w="1559" w:type="dxa"/>
            <w:vAlign w:val="center"/>
          </w:tcPr>
          <w:p w:rsidR="00FC289F" w:rsidRPr="00CE0BE9" w:rsidRDefault="00FC289F" w:rsidP="00A075AD">
            <w:pPr>
              <w:pStyle w:val="Tabletext"/>
              <w:jc w:val="center"/>
            </w:pPr>
          </w:p>
        </w:tc>
        <w:tc>
          <w:tcPr>
            <w:tcW w:w="1134" w:type="dxa"/>
            <w:vAlign w:val="center"/>
          </w:tcPr>
          <w:p w:rsidR="00FC289F" w:rsidRPr="00CE0BE9" w:rsidRDefault="00FC289F" w:rsidP="00A075AD">
            <w:pPr>
              <w:pStyle w:val="Tabletext"/>
              <w:jc w:val="center"/>
            </w:pPr>
          </w:p>
        </w:tc>
        <w:tc>
          <w:tcPr>
            <w:tcW w:w="2218" w:type="dxa"/>
            <w:vAlign w:val="center"/>
          </w:tcPr>
          <w:p w:rsidR="00FC289F" w:rsidRPr="00CE0BE9" w:rsidRDefault="00FC289F" w:rsidP="00A075AD">
            <w:pPr>
              <w:pStyle w:val="Tabletext"/>
              <w:jc w:val="center"/>
            </w:pPr>
          </w:p>
        </w:tc>
      </w:tr>
      <w:tr w:rsidR="00FC289F" w:rsidRPr="00CE0BE9" w:rsidTr="00A075AD">
        <w:tc>
          <w:tcPr>
            <w:tcW w:w="2405" w:type="dxa"/>
            <w:vAlign w:val="center"/>
          </w:tcPr>
          <w:p w:rsidR="00FC289F" w:rsidRPr="00CE0BE9" w:rsidRDefault="00FC289F" w:rsidP="00A075AD">
            <w:pPr>
              <w:pStyle w:val="Tabletext"/>
            </w:pPr>
            <w:r w:rsidRPr="00CE0BE9">
              <w:t>Patients with event n/N (%)</w:t>
            </w:r>
          </w:p>
        </w:tc>
        <w:tc>
          <w:tcPr>
            <w:tcW w:w="1701" w:type="dxa"/>
            <w:vAlign w:val="center"/>
          </w:tcPr>
          <w:p w:rsidR="00FC289F" w:rsidRPr="00CE0BE9" w:rsidRDefault="00FC289F" w:rsidP="00A075AD">
            <w:pPr>
              <w:pStyle w:val="Tabletext"/>
              <w:jc w:val="center"/>
            </w:pPr>
            <w:r w:rsidRPr="00CE0BE9">
              <w:t>4-yr estimates 32%</w:t>
            </w:r>
          </w:p>
        </w:tc>
        <w:tc>
          <w:tcPr>
            <w:tcW w:w="1559" w:type="dxa"/>
            <w:vAlign w:val="center"/>
          </w:tcPr>
          <w:p w:rsidR="00FC289F" w:rsidRPr="00CE0BE9" w:rsidRDefault="00FC289F" w:rsidP="00A075AD">
            <w:pPr>
              <w:pStyle w:val="Tabletext"/>
              <w:jc w:val="center"/>
            </w:pPr>
            <w:r w:rsidRPr="00CE0BE9">
              <w:t>4-yr estimates 14%</w:t>
            </w:r>
          </w:p>
        </w:tc>
        <w:tc>
          <w:tcPr>
            <w:tcW w:w="1134" w:type="dxa"/>
            <w:vAlign w:val="center"/>
          </w:tcPr>
          <w:p w:rsidR="00FC289F" w:rsidRPr="00CE0BE9" w:rsidRDefault="00FC289F" w:rsidP="00A075AD">
            <w:pPr>
              <w:pStyle w:val="Tabletext"/>
              <w:jc w:val="center"/>
            </w:pPr>
            <w:r w:rsidRPr="00CE0BE9">
              <w:t>-</w:t>
            </w:r>
          </w:p>
        </w:tc>
        <w:tc>
          <w:tcPr>
            <w:tcW w:w="2218" w:type="dxa"/>
            <w:vAlign w:val="center"/>
          </w:tcPr>
          <w:p w:rsidR="00FC289F" w:rsidRPr="00CE0BE9" w:rsidRDefault="00FC289F" w:rsidP="00A075AD">
            <w:pPr>
              <w:pStyle w:val="Tabletext"/>
              <w:jc w:val="center"/>
            </w:pPr>
            <w:r w:rsidRPr="00CE0BE9">
              <w:t>-</w:t>
            </w:r>
          </w:p>
        </w:tc>
      </w:tr>
      <w:tr w:rsidR="00FC289F" w:rsidRPr="00CE0BE9" w:rsidTr="00A075AD">
        <w:tc>
          <w:tcPr>
            <w:tcW w:w="2405" w:type="dxa"/>
            <w:tcBorders>
              <w:bottom w:val="single" w:sz="4" w:space="0" w:color="auto"/>
            </w:tcBorders>
            <w:vAlign w:val="center"/>
          </w:tcPr>
          <w:p w:rsidR="00FC289F" w:rsidRPr="00CE0BE9" w:rsidRDefault="00FC289F" w:rsidP="00A075AD">
            <w:pPr>
              <w:pStyle w:val="Tabletext"/>
            </w:pPr>
            <w:r w:rsidRPr="00CE0BE9">
              <w:t>Median PFS months (95% CI)</w:t>
            </w:r>
          </w:p>
        </w:tc>
        <w:tc>
          <w:tcPr>
            <w:tcW w:w="1701" w:type="dxa"/>
            <w:tcBorders>
              <w:bottom w:val="single" w:sz="4" w:space="0" w:color="auto"/>
            </w:tcBorders>
            <w:vAlign w:val="center"/>
          </w:tcPr>
          <w:p w:rsidR="00FC289F" w:rsidRPr="00CE0BE9" w:rsidRDefault="00FC289F" w:rsidP="00A075AD">
            <w:pPr>
              <w:pStyle w:val="Tabletext"/>
              <w:jc w:val="center"/>
            </w:pPr>
            <w:r w:rsidRPr="00CE0BE9">
              <w:t>-</w:t>
            </w:r>
          </w:p>
        </w:tc>
        <w:tc>
          <w:tcPr>
            <w:tcW w:w="1559" w:type="dxa"/>
            <w:tcBorders>
              <w:bottom w:val="single" w:sz="4" w:space="0" w:color="auto"/>
            </w:tcBorders>
            <w:vAlign w:val="center"/>
          </w:tcPr>
          <w:p w:rsidR="00FC289F" w:rsidRPr="00CE0BE9" w:rsidRDefault="00FC289F" w:rsidP="00A075AD">
            <w:pPr>
              <w:pStyle w:val="Tabletext"/>
              <w:jc w:val="center"/>
            </w:pPr>
            <w:r w:rsidRPr="00CE0BE9">
              <w:t>-</w:t>
            </w:r>
          </w:p>
        </w:tc>
        <w:tc>
          <w:tcPr>
            <w:tcW w:w="1134" w:type="dxa"/>
            <w:tcBorders>
              <w:bottom w:val="single" w:sz="4" w:space="0" w:color="auto"/>
            </w:tcBorders>
            <w:vAlign w:val="center"/>
          </w:tcPr>
          <w:p w:rsidR="00FC289F" w:rsidRPr="00CE0BE9" w:rsidRDefault="00FC289F" w:rsidP="00A075AD">
            <w:pPr>
              <w:pStyle w:val="Tabletext"/>
              <w:jc w:val="center"/>
            </w:pPr>
            <w:r w:rsidRPr="00CE0BE9">
              <w:t>-</w:t>
            </w:r>
          </w:p>
        </w:tc>
        <w:tc>
          <w:tcPr>
            <w:tcW w:w="2218" w:type="dxa"/>
            <w:tcBorders>
              <w:bottom w:val="single" w:sz="4" w:space="0" w:color="auto"/>
            </w:tcBorders>
            <w:vAlign w:val="center"/>
          </w:tcPr>
          <w:p w:rsidR="00FC289F" w:rsidRPr="00CE0BE9" w:rsidRDefault="00FC289F" w:rsidP="00A075AD">
            <w:pPr>
              <w:pStyle w:val="Tabletext"/>
              <w:jc w:val="center"/>
              <w:rPr>
                <w:b/>
              </w:rPr>
            </w:pPr>
            <w:r w:rsidRPr="00CE0BE9">
              <w:rPr>
                <w:b/>
              </w:rPr>
              <w:t>0.56 (NR,NR); p&lt;0.0001</w:t>
            </w:r>
          </w:p>
        </w:tc>
      </w:tr>
      <w:tr w:rsidR="00FC289F" w:rsidRPr="00CE0BE9" w:rsidTr="00A075AD">
        <w:tc>
          <w:tcPr>
            <w:tcW w:w="2405" w:type="dxa"/>
            <w:tcBorders>
              <w:right w:val="nil"/>
            </w:tcBorders>
            <w:vAlign w:val="center"/>
          </w:tcPr>
          <w:p w:rsidR="00FC289F" w:rsidRPr="00CE0BE9" w:rsidRDefault="00FC289F" w:rsidP="00A075AD">
            <w:pPr>
              <w:pStyle w:val="Tabletext"/>
            </w:pPr>
            <w:r w:rsidRPr="00CE0BE9">
              <w:rPr>
                <w:b/>
              </w:rPr>
              <w:t>Overall survival</w:t>
            </w:r>
          </w:p>
        </w:tc>
        <w:tc>
          <w:tcPr>
            <w:tcW w:w="1701" w:type="dxa"/>
            <w:tcBorders>
              <w:left w:val="nil"/>
              <w:right w:val="nil"/>
            </w:tcBorders>
            <w:vAlign w:val="center"/>
          </w:tcPr>
          <w:p w:rsidR="00FC289F" w:rsidRPr="00CE0BE9" w:rsidRDefault="00FC289F" w:rsidP="00A075AD">
            <w:pPr>
              <w:pStyle w:val="Tabletext"/>
              <w:jc w:val="center"/>
            </w:pPr>
          </w:p>
        </w:tc>
        <w:tc>
          <w:tcPr>
            <w:tcW w:w="1559" w:type="dxa"/>
            <w:tcBorders>
              <w:left w:val="nil"/>
              <w:right w:val="nil"/>
            </w:tcBorders>
            <w:vAlign w:val="center"/>
          </w:tcPr>
          <w:p w:rsidR="00FC289F" w:rsidRPr="00CE0BE9" w:rsidRDefault="00FC289F" w:rsidP="00A075AD">
            <w:pPr>
              <w:pStyle w:val="Tabletext"/>
              <w:jc w:val="center"/>
            </w:pPr>
          </w:p>
        </w:tc>
        <w:tc>
          <w:tcPr>
            <w:tcW w:w="1134" w:type="dxa"/>
            <w:tcBorders>
              <w:left w:val="nil"/>
              <w:right w:val="nil"/>
            </w:tcBorders>
            <w:vAlign w:val="center"/>
          </w:tcPr>
          <w:p w:rsidR="00FC289F" w:rsidRPr="00CE0BE9" w:rsidRDefault="00FC289F" w:rsidP="00A075AD">
            <w:pPr>
              <w:pStyle w:val="Tabletext"/>
              <w:jc w:val="center"/>
            </w:pPr>
          </w:p>
        </w:tc>
        <w:tc>
          <w:tcPr>
            <w:tcW w:w="2218" w:type="dxa"/>
            <w:tcBorders>
              <w:left w:val="nil"/>
            </w:tcBorders>
            <w:vAlign w:val="center"/>
          </w:tcPr>
          <w:p w:rsidR="00FC289F" w:rsidRPr="00CE0BE9" w:rsidRDefault="00FC289F" w:rsidP="00A075AD">
            <w:pPr>
              <w:pStyle w:val="Tabletext"/>
              <w:jc w:val="center"/>
            </w:pPr>
          </w:p>
        </w:tc>
      </w:tr>
      <w:tr w:rsidR="00FC289F" w:rsidRPr="00CE0BE9" w:rsidTr="00A075AD">
        <w:tc>
          <w:tcPr>
            <w:tcW w:w="2405" w:type="dxa"/>
          </w:tcPr>
          <w:p w:rsidR="00FC289F" w:rsidRPr="00CE0BE9" w:rsidRDefault="00FC289F" w:rsidP="00A075AD">
            <w:pPr>
              <w:pStyle w:val="Tabletext"/>
              <w:rPr>
                <w:b/>
              </w:rPr>
            </w:pPr>
            <w:r w:rsidRPr="00CE0BE9">
              <w:t>4.1-year follow-up</w:t>
            </w:r>
          </w:p>
        </w:tc>
        <w:tc>
          <w:tcPr>
            <w:tcW w:w="1701" w:type="dxa"/>
            <w:vAlign w:val="center"/>
          </w:tcPr>
          <w:p w:rsidR="00FC289F" w:rsidRPr="00CE0BE9" w:rsidRDefault="00FC289F" w:rsidP="00A075AD">
            <w:pPr>
              <w:pStyle w:val="Tabletext"/>
              <w:jc w:val="center"/>
            </w:pPr>
          </w:p>
        </w:tc>
        <w:tc>
          <w:tcPr>
            <w:tcW w:w="1559" w:type="dxa"/>
            <w:vAlign w:val="center"/>
          </w:tcPr>
          <w:p w:rsidR="00FC289F" w:rsidRPr="00CE0BE9" w:rsidRDefault="00FC289F" w:rsidP="00A075AD">
            <w:pPr>
              <w:pStyle w:val="Tabletext"/>
              <w:jc w:val="center"/>
            </w:pPr>
          </w:p>
        </w:tc>
        <w:tc>
          <w:tcPr>
            <w:tcW w:w="1134" w:type="dxa"/>
            <w:vAlign w:val="center"/>
          </w:tcPr>
          <w:p w:rsidR="00FC289F" w:rsidRPr="00CE0BE9" w:rsidRDefault="00FC289F" w:rsidP="00A075AD">
            <w:pPr>
              <w:pStyle w:val="Tabletext"/>
              <w:jc w:val="center"/>
            </w:pPr>
          </w:p>
        </w:tc>
        <w:tc>
          <w:tcPr>
            <w:tcW w:w="2218" w:type="dxa"/>
            <w:vAlign w:val="center"/>
          </w:tcPr>
          <w:p w:rsidR="00FC289F" w:rsidRPr="00CE0BE9" w:rsidRDefault="00FC289F" w:rsidP="00A075AD">
            <w:pPr>
              <w:pStyle w:val="Tabletext"/>
              <w:jc w:val="center"/>
            </w:pPr>
          </w:p>
        </w:tc>
      </w:tr>
      <w:tr w:rsidR="00FC289F" w:rsidRPr="00CE0BE9" w:rsidTr="00A075AD">
        <w:tc>
          <w:tcPr>
            <w:tcW w:w="2405" w:type="dxa"/>
          </w:tcPr>
          <w:p w:rsidR="00FC289F" w:rsidRPr="00CE0BE9" w:rsidRDefault="00FC289F" w:rsidP="00A075AD">
            <w:pPr>
              <w:pStyle w:val="Tabletext"/>
            </w:pPr>
            <w:r w:rsidRPr="00CE0BE9">
              <w:t>Patients with event n/N (%)</w:t>
            </w:r>
          </w:p>
        </w:tc>
        <w:tc>
          <w:tcPr>
            <w:tcW w:w="1701" w:type="dxa"/>
            <w:vAlign w:val="center"/>
          </w:tcPr>
          <w:p w:rsidR="00FC289F" w:rsidRPr="00CE0BE9" w:rsidRDefault="00FC289F" w:rsidP="00A075AD">
            <w:pPr>
              <w:pStyle w:val="Tabletext"/>
              <w:jc w:val="center"/>
            </w:pPr>
            <w:r w:rsidRPr="00CE0BE9">
              <w:t>4-yr estimates 68%</w:t>
            </w:r>
          </w:p>
        </w:tc>
        <w:tc>
          <w:tcPr>
            <w:tcW w:w="1559" w:type="dxa"/>
            <w:vAlign w:val="center"/>
          </w:tcPr>
          <w:p w:rsidR="00FC289F" w:rsidRPr="00CE0BE9" w:rsidRDefault="00FC289F" w:rsidP="00A075AD">
            <w:pPr>
              <w:pStyle w:val="Tabletext"/>
              <w:jc w:val="center"/>
            </w:pPr>
            <w:r w:rsidRPr="00CE0BE9">
              <w:t>4-yr estimates 60%</w:t>
            </w:r>
          </w:p>
        </w:tc>
        <w:tc>
          <w:tcPr>
            <w:tcW w:w="1134" w:type="dxa"/>
            <w:vAlign w:val="center"/>
          </w:tcPr>
          <w:p w:rsidR="00FC289F" w:rsidRPr="00CE0BE9" w:rsidRDefault="00FC289F" w:rsidP="00A075AD">
            <w:pPr>
              <w:pStyle w:val="Tabletext"/>
              <w:jc w:val="center"/>
            </w:pPr>
            <w:r w:rsidRPr="00CE0BE9">
              <w:t>-</w:t>
            </w:r>
          </w:p>
        </w:tc>
        <w:tc>
          <w:tcPr>
            <w:tcW w:w="2218" w:type="dxa"/>
            <w:vAlign w:val="center"/>
          </w:tcPr>
          <w:p w:rsidR="00FC289F" w:rsidRPr="00CE0BE9" w:rsidRDefault="00FC289F" w:rsidP="00A075AD">
            <w:pPr>
              <w:pStyle w:val="Tabletext"/>
              <w:jc w:val="center"/>
            </w:pPr>
          </w:p>
        </w:tc>
      </w:tr>
      <w:tr w:rsidR="00FC289F" w:rsidRPr="00CE0BE9" w:rsidTr="00A075AD">
        <w:tc>
          <w:tcPr>
            <w:tcW w:w="2405" w:type="dxa"/>
          </w:tcPr>
          <w:p w:rsidR="00FC289F" w:rsidRPr="00CE0BE9" w:rsidRDefault="00FC289F" w:rsidP="00A075AD">
            <w:pPr>
              <w:pStyle w:val="Tabletext"/>
            </w:pPr>
            <w:r w:rsidRPr="00CE0BE9">
              <w:t>Median OS months (95% CI)</w:t>
            </w:r>
          </w:p>
        </w:tc>
        <w:tc>
          <w:tcPr>
            <w:tcW w:w="1701" w:type="dxa"/>
            <w:vAlign w:val="center"/>
          </w:tcPr>
          <w:p w:rsidR="00FC289F" w:rsidRPr="00CE0BE9" w:rsidRDefault="00FC289F" w:rsidP="00A075AD">
            <w:pPr>
              <w:pStyle w:val="Tabletext"/>
              <w:jc w:val="center"/>
            </w:pPr>
            <w:r w:rsidRPr="00CE0BE9">
              <w:t>NE</w:t>
            </w:r>
          </w:p>
        </w:tc>
        <w:tc>
          <w:tcPr>
            <w:tcW w:w="1559" w:type="dxa"/>
            <w:vAlign w:val="center"/>
          </w:tcPr>
          <w:p w:rsidR="00FC289F" w:rsidRPr="00CE0BE9" w:rsidRDefault="00FC289F" w:rsidP="00A075AD">
            <w:pPr>
              <w:pStyle w:val="Tabletext"/>
              <w:jc w:val="center"/>
            </w:pPr>
            <w:r w:rsidRPr="00CE0BE9">
              <w:t>NE</w:t>
            </w:r>
          </w:p>
        </w:tc>
        <w:tc>
          <w:tcPr>
            <w:tcW w:w="1134" w:type="dxa"/>
            <w:vAlign w:val="center"/>
          </w:tcPr>
          <w:p w:rsidR="00FC289F" w:rsidRPr="00CE0BE9" w:rsidRDefault="00FC289F" w:rsidP="00A075AD">
            <w:pPr>
              <w:pStyle w:val="Tabletext"/>
              <w:jc w:val="center"/>
            </w:pPr>
            <w:r w:rsidRPr="00CE0BE9">
              <w:t>-</w:t>
            </w:r>
          </w:p>
        </w:tc>
        <w:tc>
          <w:tcPr>
            <w:tcW w:w="2218" w:type="dxa"/>
            <w:vAlign w:val="center"/>
          </w:tcPr>
          <w:p w:rsidR="00FC289F" w:rsidRPr="00CE0BE9" w:rsidRDefault="00FC289F" w:rsidP="00A075AD">
            <w:pPr>
              <w:pStyle w:val="Tabletext"/>
              <w:jc w:val="center"/>
            </w:pPr>
            <w:r w:rsidRPr="00CE0BE9">
              <w:t>0.77 (0.53, 1.14);p=0.18</w:t>
            </w:r>
          </w:p>
        </w:tc>
      </w:tr>
    </w:tbl>
    <w:p w:rsidR="00FC289F" w:rsidRPr="00CE0BE9" w:rsidRDefault="00FC289F" w:rsidP="00FC289F">
      <w:pPr>
        <w:pStyle w:val="TableFooter"/>
      </w:pPr>
      <w:r w:rsidRPr="00CE0BE9">
        <w:t>Abbreviations: CI</w:t>
      </w:r>
      <w:r w:rsidR="00070EEB" w:rsidRPr="00CE0BE9">
        <w:t>=</w:t>
      </w:r>
      <w:r w:rsidRPr="00CE0BE9">
        <w:t>confidence interval; HR</w:t>
      </w:r>
      <w:r w:rsidR="00070EEB" w:rsidRPr="00CE0BE9">
        <w:t>=</w:t>
      </w:r>
      <w:r w:rsidRPr="00CE0BE9">
        <w:t>hazard ratio; LEN</w:t>
      </w:r>
      <w:r w:rsidR="00070EEB" w:rsidRPr="00CE0BE9">
        <w:t>=</w:t>
      </w:r>
      <w:proofErr w:type="spellStart"/>
      <w:r w:rsidRPr="00CE0BE9">
        <w:t>lenalidomide</w:t>
      </w:r>
      <w:proofErr w:type="spellEnd"/>
      <w:r w:rsidRPr="00CE0BE9">
        <w:t>, PF</w:t>
      </w:r>
      <w:r w:rsidR="00070EEB" w:rsidRPr="00CE0BE9">
        <w:t>=</w:t>
      </w:r>
      <w:r w:rsidRPr="00CE0BE9">
        <w:t xml:space="preserve">progression free survival; </w:t>
      </w:r>
      <w:r w:rsidR="00070EEB" w:rsidRPr="00CE0BE9">
        <w:t xml:space="preserve">NE=not evaluable; </w:t>
      </w:r>
      <w:r w:rsidRPr="00CE0BE9">
        <w:t>OS</w:t>
      </w:r>
      <w:r w:rsidR="00070EEB" w:rsidRPr="00CE0BE9">
        <w:t>=</w:t>
      </w:r>
      <w:r w:rsidRPr="00CE0BE9">
        <w:t>overall survival.</w:t>
      </w:r>
    </w:p>
    <w:p w:rsidR="00FC289F" w:rsidRPr="00CE0BE9" w:rsidRDefault="00FC289F" w:rsidP="00FC289F">
      <w:pPr>
        <w:pStyle w:val="TableFooter"/>
      </w:pPr>
      <w:r w:rsidRPr="00CE0BE9">
        <w:t xml:space="preserve">Note: Spencer 2009 reported median PFS in days, this was converted into months. </w:t>
      </w:r>
      <w:proofErr w:type="spellStart"/>
      <w:r w:rsidRPr="00CE0BE9">
        <w:t>Kalff</w:t>
      </w:r>
      <w:proofErr w:type="spellEnd"/>
      <w:r w:rsidRPr="00CE0BE9">
        <w:t xml:space="preserve"> 2014 reported median PFS and OS in years, this was converted into months. Median follow-up in </w:t>
      </w:r>
      <w:proofErr w:type="spellStart"/>
      <w:r w:rsidRPr="00CE0BE9">
        <w:t>Kalff</w:t>
      </w:r>
      <w:proofErr w:type="spellEnd"/>
      <w:r w:rsidRPr="00CE0BE9">
        <w:t xml:space="preserve"> et al. 2014 was 5.4 years (IQR 3.1-7.2). Median follow-up in Spencer 2009 was approx. 3 years. </w:t>
      </w:r>
      <w:proofErr w:type="gramStart"/>
      <w:r w:rsidR="006F00BA" w:rsidRPr="00CE0BE9">
        <w:t>Statistically significant differences bolded.</w:t>
      </w:r>
      <w:proofErr w:type="gramEnd"/>
    </w:p>
    <w:p w:rsidR="00FC289F" w:rsidRPr="00CE0BE9" w:rsidRDefault="00FC289F" w:rsidP="00FC289F">
      <w:pPr>
        <w:pStyle w:val="TableFooter"/>
      </w:pPr>
      <w:r w:rsidRPr="00CE0BE9">
        <w:t xml:space="preserve">Source: MM6 from Spencer 2009 and </w:t>
      </w:r>
      <w:proofErr w:type="spellStart"/>
      <w:r w:rsidRPr="00CE0BE9">
        <w:t>Kalff</w:t>
      </w:r>
      <w:proofErr w:type="spellEnd"/>
      <w:r w:rsidRPr="00CE0BE9">
        <w:t xml:space="preserve"> 2014. </w:t>
      </w:r>
      <w:proofErr w:type="gramStart"/>
      <w:r w:rsidRPr="00CE0BE9">
        <w:t>Myeloma X from Stewart 2013.</w:t>
      </w:r>
      <w:proofErr w:type="gramEnd"/>
      <w:r w:rsidRPr="00CE0BE9">
        <w:t xml:space="preserve"> </w:t>
      </w:r>
    </w:p>
    <w:p w:rsidR="00FC289F" w:rsidRPr="00CE0BE9" w:rsidRDefault="00FC289F" w:rsidP="00A51754">
      <w:pPr>
        <w:rPr>
          <w:rStyle w:val="CommentReference"/>
          <w:b w:val="0"/>
        </w:rPr>
      </w:pPr>
    </w:p>
    <w:p w:rsidR="00A51754" w:rsidRPr="00CE0BE9" w:rsidRDefault="00A51754" w:rsidP="00A51754">
      <w:pPr>
        <w:keepNext/>
        <w:rPr>
          <w:rFonts w:ascii="Arial Narrow" w:hAnsi="Arial Narrow"/>
          <w:b/>
          <w:sz w:val="20"/>
          <w:szCs w:val="20"/>
        </w:rPr>
      </w:pPr>
      <w:r w:rsidRPr="00CE0BE9">
        <w:rPr>
          <w:rFonts w:ascii="Arial Narrow" w:hAnsi="Arial Narrow"/>
          <w:b/>
          <w:sz w:val="20"/>
          <w:szCs w:val="20"/>
        </w:rPr>
        <w:lastRenderedPageBreak/>
        <w:t xml:space="preserve">Figure 4: Kaplan-Meier curves showing progression-free survival (A) and overall survival (B) by treatment group in MM6, </w:t>
      </w:r>
      <w:proofErr w:type="spellStart"/>
      <w:r w:rsidRPr="00CE0BE9">
        <w:rPr>
          <w:rFonts w:ascii="Arial Narrow" w:hAnsi="Arial Narrow"/>
          <w:b/>
          <w:sz w:val="20"/>
          <w:szCs w:val="20"/>
        </w:rPr>
        <w:t>Kalff</w:t>
      </w:r>
      <w:proofErr w:type="spellEnd"/>
      <w:r w:rsidRPr="00CE0BE9">
        <w:rPr>
          <w:rFonts w:ascii="Arial Narrow" w:hAnsi="Arial Narrow"/>
          <w:b/>
          <w:sz w:val="20"/>
          <w:szCs w:val="20"/>
        </w:rPr>
        <w:t xml:space="preserve"> 2014</w:t>
      </w:r>
    </w:p>
    <w:p w:rsidR="00A51754" w:rsidRPr="00CE0BE9" w:rsidRDefault="00A51754" w:rsidP="00A51754">
      <w:pPr>
        <w:keepNext/>
        <w:rPr>
          <w:rFonts w:ascii="Arial Narrow" w:hAnsi="Arial Narrow"/>
          <w:b/>
          <w:sz w:val="20"/>
          <w:szCs w:val="20"/>
        </w:rPr>
      </w:pPr>
      <w:r w:rsidRPr="00CE0BE9">
        <w:rPr>
          <w:rFonts w:ascii="Arial Narrow" w:hAnsi="Arial Narrow"/>
          <w:b/>
          <w:noProof/>
          <w:sz w:val="20"/>
          <w:szCs w:val="20"/>
          <w:lang w:eastAsia="en-AU"/>
        </w:rPr>
        <w:drawing>
          <wp:inline distT="0" distB="0" distL="0" distR="0" wp14:anchorId="13772340" wp14:editId="65905B45">
            <wp:extent cx="4659464" cy="4270668"/>
            <wp:effectExtent l="0" t="0" r="825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7254" cy="4296139"/>
                    </a:xfrm>
                    <a:prstGeom prst="rect">
                      <a:avLst/>
                    </a:prstGeom>
                    <a:noFill/>
                    <a:ln>
                      <a:noFill/>
                    </a:ln>
                  </pic:spPr>
                </pic:pic>
              </a:graphicData>
            </a:graphic>
          </wp:inline>
        </w:drawing>
      </w:r>
    </w:p>
    <w:p w:rsidR="006C6739" w:rsidRPr="00CE0BE9" w:rsidRDefault="006C6739" w:rsidP="00A51754">
      <w:pPr>
        <w:keepNext/>
        <w:rPr>
          <w:rFonts w:ascii="Arial Narrow" w:hAnsi="Arial Narrow"/>
          <w:sz w:val="18"/>
          <w:szCs w:val="18"/>
        </w:rPr>
      </w:pPr>
      <w:r w:rsidRPr="00CE0BE9">
        <w:rPr>
          <w:rFonts w:ascii="Arial Narrow" w:hAnsi="Arial Narrow"/>
          <w:sz w:val="18"/>
          <w:szCs w:val="18"/>
        </w:rPr>
        <w:t>Note: 5.4 year follow</w:t>
      </w:r>
      <w:r w:rsidRPr="00CE0BE9">
        <w:rPr>
          <w:rFonts w:ascii="Arial Narrow" w:hAnsi="Arial Narrow"/>
          <w:sz w:val="18"/>
          <w:szCs w:val="18"/>
        </w:rPr>
        <w:noBreakHyphen/>
        <w:t xml:space="preserve">up </w:t>
      </w:r>
    </w:p>
    <w:p w:rsidR="00A51754" w:rsidRPr="00CE0BE9" w:rsidRDefault="00A51754" w:rsidP="00A51754">
      <w:pPr>
        <w:keepNext/>
        <w:rPr>
          <w:rStyle w:val="CommentReference"/>
          <w:b w:val="0"/>
          <w:sz w:val="18"/>
          <w:szCs w:val="18"/>
        </w:rPr>
      </w:pPr>
      <w:r w:rsidRPr="00CE0BE9">
        <w:rPr>
          <w:rFonts w:ascii="Arial Narrow" w:hAnsi="Arial Narrow"/>
          <w:sz w:val="18"/>
          <w:szCs w:val="18"/>
        </w:rPr>
        <w:t xml:space="preserve">Source: Figure 2, p115, </w:t>
      </w:r>
      <w:proofErr w:type="spellStart"/>
      <w:r w:rsidRPr="00CE0BE9">
        <w:rPr>
          <w:rFonts w:ascii="Arial Narrow" w:hAnsi="Arial Narrow"/>
          <w:sz w:val="18"/>
          <w:szCs w:val="18"/>
        </w:rPr>
        <w:t>Kalff</w:t>
      </w:r>
      <w:proofErr w:type="spellEnd"/>
      <w:r w:rsidRPr="00CE0BE9">
        <w:rPr>
          <w:rFonts w:ascii="Arial Narrow" w:hAnsi="Arial Narrow"/>
          <w:sz w:val="18"/>
          <w:szCs w:val="18"/>
        </w:rPr>
        <w:t xml:space="preserve"> 2014.</w:t>
      </w:r>
    </w:p>
    <w:p w:rsidR="00A51754" w:rsidRPr="00CE0BE9" w:rsidRDefault="00A51754" w:rsidP="00A51754">
      <w:pPr>
        <w:rPr>
          <w:rFonts w:cs="Calibri"/>
          <w:snapToGrid/>
          <w:szCs w:val="24"/>
          <w:lang w:val="en-US" w:eastAsia="en-AU"/>
        </w:rPr>
      </w:pPr>
    </w:p>
    <w:p w:rsidR="00A60E6B" w:rsidRPr="00CE0BE9" w:rsidRDefault="00A60E6B" w:rsidP="00CC39ED">
      <w:pPr>
        <w:pStyle w:val="ListParagraph"/>
        <w:ind w:left="0"/>
        <w:rPr>
          <w:rFonts w:ascii="Arial Narrow" w:hAnsi="Arial Narrow"/>
          <w:sz w:val="20"/>
          <w:szCs w:val="16"/>
        </w:rPr>
      </w:pPr>
    </w:p>
    <w:p w:rsidR="00E50D99" w:rsidRPr="00CE0BE9" w:rsidRDefault="00E50D99" w:rsidP="00E50D99">
      <w:pPr>
        <w:pStyle w:val="ListParagraph"/>
        <w:ind w:left="0"/>
        <w:rPr>
          <w:rFonts w:cs="Calibri"/>
          <w:snapToGrid/>
          <w:szCs w:val="24"/>
          <w:u w:val="single"/>
          <w:lang w:val="en-US" w:eastAsia="en-AU"/>
        </w:rPr>
      </w:pPr>
      <w:proofErr w:type="spellStart"/>
      <w:r w:rsidRPr="00CE0BE9">
        <w:rPr>
          <w:rFonts w:cs="Calibri"/>
          <w:snapToGrid/>
          <w:szCs w:val="24"/>
          <w:u w:val="single"/>
          <w:lang w:val="en-US" w:eastAsia="en-AU"/>
        </w:rPr>
        <w:t>Lenalidom</w:t>
      </w:r>
      <w:r w:rsidR="00ED058C">
        <w:rPr>
          <w:rFonts w:cs="Calibri"/>
          <w:snapToGrid/>
          <w:szCs w:val="24"/>
          <w:u w:val="single"/>
          <w:lang w:val="en-US" w:eastAsia="en-AU"/>
        </w:rPr>
        <w:t>i</w:t>
      </w:r>
      <w:r w:rsidRPr="00CE0BE9">
        <w:rPr>
          <w:rFonts w:cs="Calibri"/>
          <w:snapToGrid/>
          <w:szCs w:val="24"/>
          <w:u w:val="single"/>
          <w:lang w:val="en-US" w:eastAsia="en-AU"/>
        </w:rPr>
        <w:t>de</w:t>
      </w:r>
      <w:proofErr w:type="spellEnd"/>
      <w:r w:rsidRPr="00CE0BE9">
        <w:rPr>
          <w:rFonts w:cs="Calibri"/>
          <w:snapToGrid/>
          <w:szCs w:val="24"/>
          <w:u w:val="single"/>
          <w:lang w:val="en-US" w:eastAsia="en-AU"/>
        </w:rPr>
        <w:t xml:space="preserve"> vs. thalidomide indirect comparison</w:t>
      </w:r>
    </w:p>
    <w:p w:rsidR="000F223B" w:rsidRPr="00D17A82" w:rsidRDefault="000F223B" w:rsidP="006F0DFD">
      <w:pPr>
        <w:pStyle w:val="ListParagraph"/>
        <w:numPr>
          <w:ilvl w:val="1"/>
          <w:numId w:val="2"/>
        </w:numPr>
        <w:rPr>
          <w:rStyle w:val="CommentReference"/>
          <w:b w:val="0"/>
        </w:rPr>
      </w:pPr>
      <w:r w:rsidRPr="00D17A82">
        <w:rPr>
          <w:rFonts w:cs="Calibri"/>
          <w:snapToGrid/>
          <w:szCs w:val="24"/>
          <w:lang w:val="en-US" w:eastAsia="en-AU"/>
        </w:rPr>
        <w:t xml:space="preserve">The results of the </w:t>
      </w:r>
      <w:r w:rsidR="009E7296" w:rsidRPr="00D17A82">
        <w:rPr>
          <w:rFonts w:cs="Calibri"/>
          <w:snapToGrid/>
          <w:szCs w:val="24"/>
          <w:lang w:val="en-US" w:eastAsia="en-AU"/>
        </w:rPr>
        <w:t>indirect comparison of CALGB and Myeloma IX for PFS and OS are</w:t>
      </w:r>
      <w:r w:rsidRPr="00D17A82">
        <w:rPr>
          <w:rFonts w:cs="Calibri"/>
          <w:snapToGrid/>
          <w:szCs w:val="24"/>
          <w:lang w:val="en-US" w:eastAsia="en-AU"/>
        </w:rPr>
        <w:t xml:space="preserve"> presented in Tables </w:t>
      </w:r>
      <w:r w:rsidR="009E7296" w:rsidRPr="00D17A82">
        <w:rPr>
          <w:rFonts w:cs="Calibri"/>
          <w:snapToGrid/>
          <w:szCs w:val="24"/>
          <w:lang w:val="en-US" w:eastAsia="en-AU"/>
        </w:rPr>
        <w:t>1</w:t>
      </w:r>
      <w:r w:rsidR="0088199B" w:rsidRPr="00D17A82">
        <w:rPr>
          <w:rFonts w:cs="Calibri"/>
          <w:snapToGrid/>
          <w:szCs w:val="24"/>
          <w:lang w:val="en-US" w:eastAsia="en-AU"/>
        </w:rPr>
        <w:t>2</w:t>
      </w:r>
      <w:r w:rsidRPr="00D17A82">
        <w:rPr>
          <w:rFonts w:cs="Calibri"/>
          <w:snapToGrid/>
          <w:szCs w:val="24"/>
          <w:lang w:val="en-US" w:eastAsia="en-AU"/>
        </w:rPr>
        <w:t xml:space="preserve"> and </w:t>
      </w:r>
      <w:r w:rsidR="009E7296" w:rsidRPr="00D17A82">
        <w:rPr>
          <w:rFonts w:cs="Calibri"/>
          <w:snapToGrid/>
          <w:szCs w:val="24"/>
          <w:lang w:val="en-US" w:eastAsia="en-AU"/>
        </w:rPr>
        <w:t>1</w:t>
      </w:r>
      <w:r w:rsidR="0088199B" w:rsidRPr="00D17A82">
        <w:rPr>
          <w:rFonts w:cs="Calibri"/>
          <w:snapToGrid/>
          <w:szCs w:val="24"/>
          <w:lang w:val="en-US" w:eastAsia="en-AU"/>
        </w:rPr>
        <w:t>3</w:t>
      </w:r>
      <w:r w:rsidRPr="00D17A82">
        <w:rPr>
          <w:rFonts w:cs="Calibri"/>
          <w:snapToGrid/>
          <w:szCs w:val="24"/>
          <w:lang w:val="en-US" w:eastAsia="en-AU"/>
        </w:rPr>
        <w:t xml:space="preserve">. </w:t>
      </w:r>
      <w:r w:rsidR="00861515" w:rsidRPr="00D17A82">
        <w:rPr>
          <w:rFonts w:cs="Calibri"/>
          <w:snapToGrid/>
          <w:szCs w:val="24"/>
          <w:lang w:val="en-US" w:eastAsia="en-AU"/>
        </w:rPr>
        <w:t xml:space="preserve">The submission </w:t>
      </w:r>
      <w:r w:rsidR="009F77AC" w:rsidRPr="00D17A82">
        <w:rPr>
          <w:rFonts w:cs="Calibri"/>
          <w:snapToGrid/>
          <w:szCs w:val="24"/>
          <w:lang w:val="en-US" w:eastAsia="en-AU"/>
        </w:rPr>
        <w:t>applied an</w:t>
      </w:r>
      <w:r w:rsidR="00861515" w:rsidRPr="00D17A82">
        <w:rPr>
          <w:rFonts w:cs="Calibri"/>
          <w:snapToGrid/>
          <w:szCs w:val="24"/>
          <w:lang w:val="en-US" w:eastAsia="en-AU"/>
        </w:rPr>
        <w:t xml:space="preserve"> HR for OS in Myeloma IX </w:t>
      </w:r>
      <w:r w:rsidR="009F77AC" w:rsidRPr="00D17A82">
        <w:rPr>
          <w:rFonts w:cs="Calibri"/>
          <w:snapToGrid/>
          <w:szCs w:val="24"/>
          <w:lang w:val="en-US" w:eastAsia="en-AU"/>
        </w:rPr>
        <w:t>of</w:t>
      </w:r>
      <w:r w:rsidR="00861515" w:rsidRPr="00D17A82">
        <w:rPr>
          <w:rFonts w:cs="Calibri"/>
          <w:snapToGrid/>
          <w:szCs w:val="24"/>
          <w:lang w:val="en-US" w:eastAsia="en-AU"/>
        </w:rPr>
        <w:t xml:space="preserve"> 1.29</w:t>
      </w:r>
      <w:r w:rsidR="009F77AC" w:rsidRPr="00D17A82">
        <w:rPr>
          <w:rFonts w:cs="Calibri"/>
          <w:snapToGrid/>
          <w:szCs w:val="24"/>
          <w:lang w:val="en-US" w:eastAsia="en-AU"/>
        </w:rPr>
        <w:t>, estimated</w:t>
      </w:r>
      <w:r w:rsidR="00861515" w:rsidRPr="00D17A82">
        <w:rPr>
          <w:rFonts w:cs="Calibri"/>
          <w:snapToGrid/>
          <w:szCs w:val="24"/>
          <w:lang w:val="en-US" w:eastAsia="en-AU"/>
        </w:rPr>
        <w:t xml:space="preserve"> based on the proportion alive at 3 years from the October 2009 data cut-off (thalidomide 75% vs observation 80%, p=0.26) </w:t>
      </w:r>
      <w:r w:rsidR="009F77AC" w:rsidRPr="00D17A82">
        <w:rPr>
          <w:rFonts w:cs="Calibri"/>
          <w:snapToGrid/>
          <w:szCs w:val="24"/>
          <w:lang w:val="en-US" w:eastAsia="en-AU"/>
        </w:rPr>
        <w:t xml:space="preserve">and </w:t>
      </w:r>
      <w:r w:rsidR="00861515" w:rsidRPr="00D17A82">
        <w:rPr>
          <w:rFonts w:cs="Calibri"/>
          <w:snapToGrid/>
          <w:szCs w:val="24"/>
          <w:lang w:val="en-US" w:eastAsia="en-AU"/>
        </w:rPr>
        <w:t>assuming an exponential distribution</w:t>
      </w:r>
      <w:r w:rsidR="009F77AC" w:rsidRPr="00D17A82">
        <w:rPr>
          <w:rFonts w:cs="Calibri"/>
          <w:snapToGrid/>
          <w:szCs w:val="24"/>
          <w:lang w:val="en-US" w:eastAsia="en-AU"/>
        </w:rPr>
        <w:t xml:space="preserve"> for survival</w:t>
      </w:r>
      <w:r w:rsidR="00861515" w:rsidRPr="00D17A82">
        <w:rPr>
          <w:rFonts w:cs="Calibri"/>
          <w:snapToGrid/>
          <w:szCs w:val="24"/>
          <w:lang w:val="en-US" w:eastAsia="en-AU"/>
        </w:rPr>
        <w:t>.</w:t>
      </w:r>
      <w:r w:rsidR="009E7296" w:rsidRPr="00D17A82">
        <w:rPr>
          <w:rFonts w:cs="Calibri"/>
          <w:snapToGrid/>
          <w:szCs w:val="24"/>
          <w:lang w:val="en-US" w:eastAsia="en-AU"/>
        </w:rPr>
        <w:t xml:space="preserve"> </w:t>
      </w:r>
      <w:r w:rsidR="009F77AC" w:rsidRPr="00D17A82">
        <w:rPr>
          <w:rFonts w:cs="Calibri"/>
          <w:snapToGrid/>
          <w:szCs w:val="24"/>
          <w:lang w:val="en-US" w:eastAsia="en-AU"/>
        </w:rPr>
        <w:t xml:space="preserve">Applying this estimated </w:t>
      </w:r>
      <w:r w:rsidR="00FD30CF" w:rsidRPr="00D17A82">
        <w:rPr>
          <w:rFonts w:cs="Calibri"/>
          <w:snapToGrid/>
          <w:szCs w:val="24"/>
          <w:lang w:val="en-US" w:eastAsia="en-AU"/>
        </w:rPr>
        <w:t xml:space="preserve">HR </w:t>
      </w:r>
      <w:r w:rsidR="009F77AC" w:rsidRPr="00D17A82">
        <w:rPr>
          <w:rFonts w:cs="Calibri"/>
          <w:snapToGrid/>
          <w:szCs w:val="24"/>
          <w:lang w:val="en-US" w:eastAsia="en-AU"/>
        </w:rPr>
        <w:t xml:space="preserve">in the indirect comparison </w:t>
      </w:r>
      <w:r w:rsidR="009E7296" w:rsidRPr="00D17A82">
        <w:rPr>
          <w:rFonts w:cs="Calibri"/>
          <w:snapToGrid/>
          <w:szCs w:val="24"/>
          <w:lang w:val="en-US" w:eastAsia="en-AU"/>
        </w:rPr>
        <w:t xml:space="preserve">resulted in superior OS for </w:t>
      </w:r>
      <w:proofErr w:type="spellStart"/>
      <w:r w:rsidR="009E7296" w:rsidRPr="00D17A82">
        <w:rPr>
          <w:rFonts w:cs="Calibri"/>
          <w:snapToGrid/>
          <w:szCs w:val="24"/>
          <w:lang w:val="en-US" w:eastAsia="en-AU"/>
        </w:rPr>
        <w:t>lenalidomide</w:t>
      </w:r>
      <w:proofErr w:type="spellEnd"/>
      <w:r w:rsidR="009E7296" w:rsidRPr="00D17A82">
        <w:rPr>
          <w:rFonts w:cs="Calibri"/>
          <w:snapToGrid/>
          <w:szCs w:val="24"/>
          <w:lang w:val="en-US" w:eastAsia="en-AU"/>
        </w:rPr>
        <w:t xml:space="preserve"> </w:t>
      </w:r>
      <w:r w:rsidR="005A7DD2" w:rsidRPr="00D17A82">
        <w:rPr>
          <w:rFonts w:cs="Calibri"/>
          <w:snapToGrid/>
          <w:szCs w:val="24"/>
          <w:lang w:val="en-US" w:eastAsia="en-AU"/>
        </w:rPr>
        <w:t>compared with</w:t>
      </w:r>
      <w:r w:rsidR="009E7296" w:rsidRPr="00D17A82">
        <w:rPr>
          <w:rFonts w:cs="Calibri"/>
          <w:snapToGrid/>
          <w:szCs w:val="24"/>
          <w:lang w:val="en-US" w:eastAsia="en-AU"/>
        </w:rPr>
        <w:t xml:space="preserve"> thalidomide </w:t>
      </w:r>
      <w:r w:rsidR="00A327FC" w:rsidRPr="00D17A82">
        <w:rPr>
          <w:rFonts w:cs="Calibri"/>
          <w:snapToGrid/>
          <w:szCs w:val="24"/>
          <w:lang w:val="en-US" w:eastAsia="en-AU"/>
        </w:rPr>
        <w:t>that</w:t>
      </w:r>
      <w:r w:rsidR="009E7296" w:rsidRPr="00D17A82">
        <w:rPr>
          <w:rFonts w:cs="Calibri"/>
          <w:snapToGrid/>
          <w:szCs w:val="24"/>
          <w:lang w:val="en-US" w:eastAsia="en-AU"/>
        </w:rPr>
        <w:t xml:space="preserve"> flowed through to the economic evaluation. </w:t>
      </w:r>
      <w:r w:rsidR="005A7DD2" w:rsidRPr="00D17A82">
        <w:rPr>
          <w:rFonts w:cs="Calibri"/>
          <w:snapToGrid/>
          <w:szCs w:val="24"/>
          <w:lang w:val="en-US" w:eastAsia="en-AU"/>
        </w:rPr>
        <w:t>Th</w:t>
      </w:r>
      <w:r w:rsidR="00612B74" w:rsidRPr="00D17A82">
        <w:rPr>
          <w:rFonts w:cs="Calibri"/>
          <w:snapToGrid/>
          <w:szCs w:val="24"/>
          <w:lang w:val="en-US" w:eastAsia="en-AU"/>
        </w:rPr>
        <w:t>e</w:t>
      </w:r>
      <w:r w:rsidR="005A7DD2" w:rsidRPr="00D17A82">
        <w:rPr>
          <w:rFonts w:cs="Calibri"/>
          <w:snapToGrid/>
          <w:szCs w:val="24"/>
          <w:lang w:val="en-US" w:eastAsia="en-AU"/>
        </w:rPr>
        <w:t xml:space="preserve"> </w:t>
      </w:r>
      <w:r w:rsidR="00612B74" w:rsidRPr="00D17A82">
        <w:rPr>
          <w:rFonts w:cs="Calibri"/>
          <w:snapToGrid/>
          <w:szCs w:val="24"/>
          <w:lang w:val="en-US" w:eastAsia="en-AU"/>
        </w:rPr>
        <w:t xml:space="preserve">ESC agreed with the evaluation that the </w:t>
      </w:r>
      <w:r w:rsidR="005A7DD2" w:rsidRPr="00D17A82">
        <w:rPr>
          <w:rFonts w:cs="Calibri"/>
          <w:snapToGrid/>
          <w:szCs w:val="24"/>
          <w:lang w:val="en-US" w:eastAsia="en-AU"/>
        </w:rPr>
        <w:t xml:space="preserve">outcome </w:t>
      </w:r>
      <w:r w:rsidR="00AC4C12" w:rsidRPr="00D17A82">
        <w:rPr>
          <w:rFonts w:cs="Calibri"/>
          <w:snapToGrid/>
          <w:szCs w:val="24"/>
          <w:lang w:val="en-US" w:eastAsia="en-AU"/>
        </w:rPr>
        <w:t xml:space="preserve">of superior OS </w:t>
      </w:r>
      <w:r w:rsidR="005A7DD2" w:rsidRPr="00D17A82">
        <w:rPr>
          <w:rFonts w:cs="Calibri"/>
          <w:snapToGrid/>
          <w:szCs w:val="24"/>
          <w:lang w:val="en-US" w:eastAsia="en-AU"/>
        </w:rPr>
        <w:t>may not be supported if the results for thalidomide from MM</w:t>
      </w:r>
      <w:r w:rsidR="00861515" w:rsidRPr="00D17A82">
        <w:rPr>
          <w:rFonts w:cs="Calibri"/>
          <w:snapToGrid/>
          <w:szCs w:val="24"/>
          <w:lang w:val="en-US" w:eastAsia="en-AU"/>
        </w:rPr>
        <w:t>6</w:t>
      </w:r>
      <w:r w:rsidR="005A7DD2" w:rsidRPr="00D17A82">
        <w:rPr>
          <w:rFonts w:cs="Calibri"/>
          <w:snapToGrid/>
          <w:szCs w:val="24"/>
          <w:lang w:val="en-US" w:eastAsia="en-AU"/>
        </w:rPr>
        <w:t xml:space="preserve"> </w:t>
      </w:r>
      <w:r w:rsidR="009F77AC" w:rsidRPr="00D17A82">
        <w:rPr>
          <w:rFonts w:cs="Calibri"/>
          <w:snapToGrid/>
          <w:szCs w:val="24"/>
          <w:lang w:val="en-US" w:eastAsia="en-AU"/>
        </w:rPr>
        <w:t xml:space="preserve">(which showed thalidomide resulted in a survival gain compared with BSC) </w:t>
      </w:r>
      <w:r w:rsidR="005A7DD2" w:rsidRPr="00D17A82">
        <w:rPr>
          <w:rFonts w:cs="Calibri"/>
          <w:snapToGrid/>
          <w:szCs w:val="24"/>
          <w:lang w:val="en-US" w:eastAsia="en-AU"/>
        </w:rPr>
        <w:t xml:space="preserve">were included in the indirect comparison. </w:t>
      </w:r>
      <w:r w:rsidR="009E7296" w:rsidRPr="00D17A82">
        <w:rPr>
          <w:rFonts w:cs="Calibri"/>
          <w:snapToGrid/>
          <w:szCs w:val="24"/>
          <w:lang w:val="en-US" w:eastAsia="en-AU"/>
        </w:rPr>
        <w:t xml:space="preserve">The indirect comparison concluded that </w:t>
      </w:r>
      <w:proofErr w:type="spellStart"/>
      <w:r w:rsidR="009E7296" w:rsidRPr="00D17A82">
        <w:rPr>
          <w:rFonts w:cs="Calibri"/>
          <w:snapToGrid/>
          <w:szCs w:val="24"/>
          <w:lang w:val="en-US" w:eastAsia="en-AU"/>
        </w:rPr>
        <w:t>lenalidomide</w:t>
      </w:r>
      <w:proofErr w:type="spellEnd"/>
      <w:r w:rsidR="009E7296" w:rsidRPr="00D17A82">
        <w:rPr>
          <w:rFonts w:cs="Calibri"/>
          <w:snapToGrid/>
          <w:szCs w:val="24"/>
          <w:lang w:val="en-US" w:eastAsia="en-AU"/>
        </w:rPr>
        <w:t xml:space="preserve"> was non</w:t>
      </w:r>
      <w:r w:rsidR="009E7296" w:rsidRPr="00D17A82">
        <w:rPr>
          <w:rFonts w:cs="Calibri"/>
          <w:snapToGrid/>
          <w:szCs w:val="24"/>
          <w:lang w:val="en-US" w:eastAsia="en-AU"/>
        </w:rPr>
        <w:noBreakHyphen/>
        <w:t>inferior to thalidomide for PFS</w:t>
      </w:r>
      <w:r w:rsidR="00680354">
        <w:rPr>
          <w:rFonts w:cs="Calibri"/>
          <w:snapToGrid/>
          <w:szCs w:val="24"/>
          <w:lang w:val="en-US" w:eastAsia="en-AU"/>
        </w:rPr>
        <w:t xml:space="preserve"> and superior for OS</w:t>
      </w:r>
      <w:r w:rsidR="009E7296" w:rsidRPr="00D17A82">
        <w:rPr>
          <w:rFonts w:cs="Calibri"/>
          <w:snapToGrid/>
          <w:szCs w:val="24"/>
          <w:lang w:val="en-US" w:eastAsia="en-AU"/>
        </w:rPr>
        <w:t>.</w:t>
      </w:r>
      <w:r w:rsidR="00680354">
        <w:rPr>
          <w:rFonts w:cs="Calibri"/>
          <w:snapToGrid/>
          <w:szCs w:val="24"/>
          <w:lang w:val="en-US" w:eastAsia="en-AU"/>
        </w:rPr>
        <w:t xml:space="preserve"> The PBAC considered that it was implausible that </w:t>
      </w:r>
      <w:proofErr w:type="spellStart"/>
      <w:r w:rsidR="00680354">
        <w:rPr>
          <w:rFonts w:cs="Calibri"/>
          <w:snapToGrid/>
          <w:szCs w:val="24"/>
          <w:lang w:val="en-US" w:eastAsia="en-AU"/>
        </w:rPr>
        <w:t>lenalidomide</w:t>
      </w:r>
      <w:proofErr w:type="spellEnd"/>
      <w:r w:rsidR="00680354">
        <w:rPr>
          <w:rFonts w:cs="Calibri"/>
          <w:snapToGrid/>
          <w:szCs w:val="24"/>
          <w:lang w:val="en-US" w:eastAsia="en-AU"/>
        </w:rPr>
        <w:t xml:space="preserve"> could confer an OS benefit without also conferring a PFS benefit.</w:t>
      </w:r>
    </w:p>
    <w:p w:rsidR="009E7296" w:rsidRPr="00CE0BE9" w:rsidRDefault="009A7140" w:rsidP="008A023A">
      <w:pPr>
        <w:widowControl/>
        <w:jc w:val="left"/>
        <w:rPr>
          <w:rStyle w:val="CommentReference"/>
        </w:rPr>
      </w:pPr>
      <w:r w:rsidRPr="00CE0BE9">
        <w:rPr>
          <w:rStyle w:val="CommentReference"/>
        </w:rPr>
        <w:br w:type="page"/>
      </w:r>
      <w:r w:rsidR="009E7296" w:rsidRPr="00CE0BE9">
        <w:rPr>
          <w:rStyle w:val="CommentReference"/>
        </w:rPr>
        <w:lastRenderedPageBreak/>
        <w:t>Table 1</w:t>
      </w:r>
      <w:r w:rsidR="00252B63" w:rsidRPr="00CE0BE9">
        <w:rPr>
          <w:rStyle w:val="CommentReference"/>
        </w:rPr>
        <w:t>2</w:t>
      </w:r>
      <w:r w:rsidR="009E7296" w:rsidRPr="00CE0BE9">
        <w:rPr>
          <w:rStyle w:val="CommentReference"/>
        </w:rPr>
        <w:t>:  Results of the indirect comparison for PFS –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996"/>
        <w:gridCol w:w="1464"/>
        <w:gridCol w:w="1479"/>
        <w:gridCol w:w="1161"/>
        <w:gridCol w:w="1549"/>
      </w:tblGrid>
      <w:tr w:rsidR="009E7296" w:rsidRPr="00CE0BE9" w:rsidTr="00454F3B">
        <w:trPr>
          <w:tblHeader/>
        </w:trPr>
        <w:tc>
          <w:tcPr>
            <w:tcW w:w="862" w:type="pct"/>
            <w:vAlign w:val="center"/>
          </w:tcPr>
          <w:p w:rsidR="009E7296" w:rsidRPr="00CE0BE9" w:rsidRDefault="009E7296" w:rsidP="00A327FC">
            <w:pPr>
              <w:pStyle w:val="Tabletext"/>
              <w:keepNext/>
              <w:rPr>
                <w:b/>
              </w:rPr>
            </w:pPr>
          </w:p>
          <w:p w:rsidR="009E7296" w:rsidRPr="00CE0BE9" w:rsidRDefault="009E7296" w:rsidP="00A327FC">
            <w:pPr>
              <w:pStyle w:val="Tabletext"/>
              <w:keepNext/>
              <w:rPr>
                <w:b/>
              </w:rPr>
            </w:pPr>
          </w:p>
        </w:tc>
        <w:tc>
          <w:tcPr>
            <w:tcW w:w="1080" w:type="pct"/>
            <w:shd w:val="clear" w:color="auto" w:fill="auto"/>
            <w:vAlign w:val="center"/>
          </w:tcPr>
          <w:p w:rsidR="009E7296" w:rsidRPr="00CE0BE9" w:rsidRDefault="009E7296" w:rsidP="00A327FC">
            <w:pPr>
              <w:pStyle w:val="Tabletext"/>
              <w:keepNext/>
              <w:jc w:val="center"/>
              <w:rPr>
                <w:b/>
              </w:rPr>
            </w:pPr>
            <w:r w:rsidRPr="00CE0BE9">
              <w:rPr>
                <w:b/>
              </w:rPr>
              <w:t>Outcome</w:t>
            </w:r>
          </w:p>
        </w:tc>
        <w:tc>
          <w:tcPr>
            <w:tcW w:w="792" w:type="pct"/>
            <w:shd w:val="clear" w:color="auto" w:fill="auto"/>
            <w:vAlign w:val="center"/>
          </w:tcPr>
          <w:p w:rsidR="009E7296" w:rsidRPr="00CE0BE9" w:rsidRDefault="009E7296" w:rsidP="00A327FC">
            <w:pPr>
              <w:pStyle w:val="Tabletext"/>
              <w:keepNext/>
              <w:jc w:val="center"/>
              <w:rPr>
                <w:b/>
                <w:iCs/>
              </w:rPr>
            </w:pPr>
            <w:proofErr w:type="spellStart"/>
            <w:r w:rsidRPr="00CE0BE9">
              <w:rPr>
                <w:b/>
                <w:iCs/>
              </w:rPr>
              <w:t>Lenalidomide</w:t>
            </w:r>
            <w:proofErr w:type="spellEnd"/>
          </w:p>
          <w:p w:rsidR="009E7296" w:rsidRPr="00CE0BE9" w:rsidRDefault="009E7296" w:rsidP="00A327FC">
            <w:pPr>
              <w:pStyle w:val="Tabletext"/>
              <w:keepNext/>
              <w:jc w:val="center"/>
              <w:rPr>
                <w:b/>
              </w:rPr>
            </w:pPr>
            <w:proofErr w:type="gramStart"/>
            <w:r w:rsidRPr="00CE0BE9">
              <w:rPr>
                <w:b/>
                <w:iCs/>
              </w:rPr>
              <w:t>n/N</w:t>
            </w:r>
            <w:proofErr w:type="gramEnd"/>
            <w:r w:rsidRPr="00CE0BE9">
              <w:rPr>
                <w:b/>
                <w:iCs/>
              </w:rPr>
              <w:t xml:space="preserve"> (%)</w:t>
            </w:r>
          </w:p>
        </w:tc>
        <w:tc>
          <w:tcPr>
            <w:tcW w:w="800" w:type="pct"/>
            <w:shd w:val="clear" w:color="auto" w:fill="auto"/>
            <w:vAlign w:val="center"/>
          </w:tcPr>
          <w:p w:rsidR="009E7296" w:rsidRPr="00CE0BE9" w:rsidRDefault="001E6310" w:rsidP="00A327FC">
            <w:pPr>
              <w:pStyle w:val="Tabletext"/>
              <w:keepNext/>
              <w:jc w:val="center"/>
              <w:rPr>
                <w:b/>
              </w:rPr>
            </w:pPr>
            <w:r w:rsidRPr="00CE0BE9">
              <w:rPr>
                <w:b/>
              </w:rPr>
              <w:t>BSC</w:t>
            </w:r>
          </w:p>
          <w:p w:rsidR="009E7296" w:rsidRPr="00CE0BE9" w:rsidRDefault="009E7296" w:rsidP="00A327FC">
            <w:pPr>
              <w:pStyle w:val="Tabletext"/>
              <w:keepNext/>
              <w:jc w:val="center"/>
              <w:rPr>
                <w:b/>
              </w:rPr>
            </w:pPr>
            <w:proofErr w:type="gramStart"/>
            <w:r w:rsidRPr="00CE0BE9">
              <w:rPr>
                <w:b/>
              </w:rPr>
              <w:t>n/N</w:t>
            </w:r>
            <w:proofErr w:type="gramEnd"/>
            <w:r w:rsidRPr="00CE0BE9">
              <w:rPr>
                <w:b/>
              </w:rPr>
              <w:t xml:space="preserve"> (%)</w:t>
            </w:r>
          </w:p>
        </w:tc>
        <w:tc>
          <w:tcPr>
            <w:tcW w:w="628" w:type="pct"/>
            <w:shd w:val="clear" w:color="auto" w:fill="auto"/>
            <w:vAlign w:val="center"/>
          </w:tcPr>
          <w:p w:rsidR="009E7296" w:rsidRPr="00CE0BE9" w:rsidRDefault="009E7296" w:rsidP="00A327FC">
            <w:pPr>
              <w:pStyle w:val="Tabletext"/>
              <w:keepNext/>
              <w:jc w:val="center"/>
              <w:rPr>
                <w:b/>
              </w:rPr>
            </w:pPr>
            <w:r w:rsidRPr="00CE0BE9">
              <w:rPr>
                <w:b/>
              </w:rPr>
              <w:t>Absolute difference</w:t>
            </w:r>
          </w:p>
        </w:tc>
        <w:tc>
          <w:tcPr>
            <w:tcW w:w="838" w:type="pct"/>
            <w:shd w:val="clear" w:color="auto" w:fill="auto"/>
            <w:vAlign w:val="center"/>
          </w:tcPr>
          <w:p w:rsidR="009E7296" w:rsidRPr="00CE0BE9" w:rsidRDefault="009E7296" w:rsidP="00A327FC">
            <w:pPr>
              <w:pStyle w:val="Tabletext"/>
              <w:keepNext/>
              <w:jc w:val="center"/>
              <w:rPr>
                <w:b/>
              </w:rPr>
            </w:pPr>
            <w:r w:rsidRPr="00CE0BE9">
              <w:rPr>
                <w:b/>
              </w:rPr>
              <w:t>HR (95% CI)</w:t>
            </w:r>
          </w:p>
        </w:tc>
      </w:tr>
      <w:tr w:rsidR="009E7296" w:rsidRPr="00CE0BE9" w:rsidTr="00454F3B">
        <w:tc>
          <w:tcPr>
            <w:tcW w:w="862" w:type="pct"/>
            <w:vMerge w:val="restart"/>
            <w:vAlign w:val="center"/>
          </w:tcPr>
          <w:p w:rsidR="009E7296" w:rsidRPr="00CE0BE9" w:rsidRDefault="009E7296" w:rsidP="00A327FC">
            <w:pPr>
              <w:pStyle w:val="Tabletext"/>
            </w:pPr>
            <w:r w:rsidRPr="00CE0BE9">
              <w:t>CALGB (</w:t>
            </w:r>
            <w:proofErr w:type="spellStart"/>
            <w:r w:rsidRPr="00CE0BE9">
              <w:t>Adj</w:t>
            </w:r>
            <w:proofErr w:type="spellEnd"/>
            <w:r w:rsidRPr="00CE0BE9">
              <w:t xml:space="preserve"> - RPSFTM)</w:t>
            </w:r>
          </w:p>
        </w:tc>
        <w:tc>
          <w:tcPr>
            <w:tcW w:w="1080" w:type="pct"/>
            <w:shd w:val="clear" w:color="auto" w:fill="auto"/>
            <w:vAlign w:val="center"/>
          </w:tcPr>
          <w:p w:rsidR="009E7296" w:rsidRPr="00CE0BE9" w:rsidRDefault="009E7296" w:rsidP="00A327FC">
            <w:pPr>
              <w:pStyle w:val="Tabletext"/>
            </w:pPr>
            <w:r w:rsidRPr="00CE0BE9">
              <w:t>Progressed</w:t>
            </w:r>
          </w:p>
        </w:tc>
        <w:tc>
          <w:tcPr>
            <w:tcW w:w="792" w:type="pct"/>
            <w:shd w:val="clear" w:color="auto" w:fill="auto"/>
            <w:vAlign w:val="center"/>
          </w:tcPr>
          <w:p w:rsidR="009E7296" w:rsidRPr="00CE0BE9" w:rsidRDefault="009E7296" w:rsidP="00A327FC">
            <w:pPr>
              <w:pStyle w:val="Tabletext"/>
              <w:jc w:val="center"/>
              <w:rPr>
                <w:iCs/>
              </w:rPr>
            </w:pPr>
            <w:r w:rsidRPr="00CE0BE9">
              <w:rPr>
                <w:iCs/>
              </w:rPr>
              <w:t>NR</w:t>
            </w:r>
          </w:p>
        </w:tc>
        <w:tc>
          <w:tcPr>
            <w:tcW w:w="800" w:type="pct"/>
            <w:shd w:val="clear" w:color="auto" w:fill="auto"/>
            <w:vAlign w:val="center"/>
          </w:tcPr>
          <w:p w:rsidR="009E7296" w:rsidRPr="00CE0BE9" w:rsidRDefault="009E7296" w:rsidP="00A327FC">
            <w:pPr>
              <w:pStyle w:val="Tabletext"/>
              <w:jc w:val="center"/>
              <w:rPr>
                <w:iCs/>
              </w:rPr>
            </w:pPr>
            <w:r w:rsidRPr="00CE0BE9">
              <w:rPr>
                <w:iCs/>
              </w:rPr>
              <w:t>NR</w:t>
            </w:r>
          </w:p>
        </w:tc>
        <w:tc>
          <w:tcPr>
            <w:tcW w:w="628" w:type="pct"/>
            <w:shd w:val="clear" w:color="auto" w:fill="auto"/>
            <w:vAlign w:val="center"/>
          </w:tcPr>
          <w:p w:rsidR="009E7296" w:rsidRPr="00CE0BE9" w:rsidRDefault="009E7296" w:rsidP="00A327FC">
            <w:pPr>
              <w:pStyle w:val="Tabletext"/>
              <w:jc w:val="center"/>
            </w:pPr>
            <w:r w:rsidRPr="00CE0BE9">
              <w:t>-</w:t>
            </w:r>
          </w:p>
        </w:tc>
        <w:tc>
          <w:tcPr>
            <w:tcW w:w="838" w:type="pct"/>
            <w:shd w:val="clear" w:color="auto" w:fill="auto"/>
            <w:vAlign w:val="center"/>
          </w:tcPr>
          <w:p w:rsidR="009E7296" w:rsidRPr="00CE0BE9" w:rsidRDefault="009E7296" w:rsidP="00A327FC">
            <w:pPr>
              <w:pStyle w:val="Tabletext"/>
              <w:jc w:val="center"/>
            </w:pPr>
            <w:r w:rsidRPr="00CE0BE9">
              <w:t>-</w:t>
            </w:r>
          </w:p>
        </w:tc>
      </w:tr>
      <w:tr w:rsidR="009E7296" w:rsidRPr="00CE0BE9" w:rsidTr="00454F3B">
        <w:tc>
          <w:tcPr>
            <w:tcW w:w="862" w:type="pct"/>
            <w:vMerge/>
            <w:tcBorders>
              <w:bottom w:val="double" w:sz="4" w:space="0" w:color="auto"/>
            </w:tcBorders>
            <w:vAlign w:val="center"/>
          </w:tcPr>
          <w:p w:rsidR="009E7296" w:rsidRPr="00CE0BE9" w:rsidRDefault="009E7296" w:rsidP="00A327FC">
            <w:pPr>
              <w:pStyle w:val="Tabletext"/>
            </w:pPr>
          </w:p>
        </w:tc>
        <w:tc>
          <w:tcPr>
            <w:tcW w:w="1080" w:type="pct"/>
            <w:tcBorders>
              <w:bottom w:val="double" w:sz="4" w:space="0" w:color="auto"/>
            </w:tcBorders>
            <w:shd w:val="clear" w:color="auto" w:fill="auto"/>
            <w:vAlign w:val="center"/>
          </w:tcPr>
          <w:p w:rsidR="009E7296" w:rsidRPr="00CE0BE9" w:rsidRDefault="009E7296" w:rsidP="00A327FC">
            <w:pPr>
              <w:pStyle w:val="Tabletext"/>
            </w:pPr>
            <w:r w:rsidRPr="00CE0BE9">
              <w:t>Median months PFS</w:t>
            </w:r>
          </w:p>
        </w:tc>
        <w:tc>
          <w:tcPr>
            <w:tcW w:w="792" w:type="pct"/>
            <w:tcBorders>
              <w:bottom w:val="double" w:sz="4" w:space="0" w:color="auto"/>
            </w:tcBorders>
            <w:shd w:val="clear" w:color="auto" w:fill="auto"/>
            <w:vAlign w:val="center"/>
          </w:tcPr>
          <w:p w:rsidR="009E7296" w:rsidRPr="00CE0BE9" w:rsidRDefault="009E7296" w:rsidP="00A327FC">
            <w:pPr>
              <w:pStyle w:val="Tabletext"/>
              <w:jc w:val="center"/>
              <w:rPr>
                <w:iCs/>
              </w:rPr>
            </w:pPr>
            <w:r w:rsidRPr="00CE0BE9">
              <w:rPr>
                <w:iCs/>
              </w:rPr>
              <w:t>56.9 (22.1, NE)</w:t>
            </w:r>
          </w:p>
        </w:tc>
        <w:tc>
          <w:tcPr>
            <w:tcW w:w="800" w:type="pct"/>
            <w:tcBorders>
              <w:bottom w:val="double" w:sz="4" w:space="0" w:color="auto"/>
            </w:tcBorders>
            <w:shd w:val="clear" w:color="auto" w:fill="auto"/>
            <w:vAlign w:val="center"/>
          </w:tcPr>
          <w:p w:rsidR="009E7296" w:rsidRPr="00CE0BE9" w:rsidRDefault="009E7296" w:rsidP="00A327FC">
            <w:pPr>
              <w:pStyle w:val="Tabletext"/>
              <w:jc w:val="center"/>
              <w:rPr>
                <w:iCs/>
              </w:rPr>
            </w:pPr>
            <w:r w:rsidRPr="00CE0BE9">
              <w:rPr>
                <w:iCs/>
              </w:rPr>
              <w:t>25.8 (10.9, 66.1)</w:t>
            </w:r>
          </w:p>
        </w:tc>
        <w:tc>
          <w:tcPr>
            <w:tcW w:w="628" w:type="pct"/>
            <w:tcBorders>
              <w:bottom w:val="double" w:sz="4" w:space="0" w:color="auto"/>
            </w:tcBorders>
            <w:shd w:val="clear" w:color="auto" w:fill="auto"/>
            <w:vAlign w:val="center"/>
          </w:tcPr>
          <w:p w:rsidR="009E7296" w:rsidRPr="00CE0BE9" w:rsidRDefault="009E7296" w:rsidP="00A327FC">
            <w:pPr>
              <w:pStyle w:val="Tabletext"/>
              <w:jc w:val="center"/>
            </w:pPr>
            <w:r w:rsidRPr="00CE0BE9">
              <w:t xml:space="preserve">31.1 </w:t>
            </w:r>
            <w:proofErr w:type="spellStart"/>
            <w:r w:rsidRPr="00CE0BE9">
              <w:t>mths</w:t>
            </w:r>
            <w:proofErr w:type="spellEnd"/>
            <w:r w:rsidR="00CE0BE9" w:rsidRPr="00CE0BE9">
              <w:t>*</w:t>
            </w:r>
          </w:p>
        </w:tc>
        <w:tc>
          <w:tcPr>
            <w:tcW w:w="838" w:type="pct"/>
            <w:tcBorders>
              <w:bottom w:val="double" w:sz="4" w:space="0" w:color="auto"/>
            </w:tcBorders>
            <w:shd w:val="clear" w:color="auto" w:fill="auto"/>
            <w:vAlign w:val="center"/>
          </w:tcPr>
          <w:p w:rsidR="009E7296" w:rsidRPr="00CE0BE9" w:rsidRDefault="009E7296" w:rsidP="00A327FC">
            <w:pPr>
              <w:pStyle w:val="Tabletext"/>
              <w:jc w:val="center"/>
              <w:rPr>
                <w:b/>
              </w:rPr>
            </w:pPr>
            <w:r w:rsidRPr="00CE0BE9">
              <w:rPr>
                <w:b/>
              </w:rPr>
              <w:t>0.52 (0.39, 0.69)</w:t>
            </w:r>
          </w:p>
        </w:tc>
      </w:tr>
      <w:tr w:rsidR="009E7296" w:rsidRPr="00CE0BE9" w:rsidTr="00454F3B">
        <w:tc>
          <w:tcPr>
            <w:tcW w:w="862" w:type="pct"/>
            <w:vMerge w:val="restart"/>
            <w:tcBorders>
              <w:top w:val="double" w:sz="4" w:space="0" w:color="auto"/>
            </w:tcBorders>
            <w:vAlign w:val="center"/>
          </w:tcPr>
          <w:p w:rsidR="009E7296" w:rsidRPr="00CE0BE9" w:rsidRDefault="009E7296" w:rsidP="00A327FC">
            <w:pPr>
              <w:pStyle w:val="Tabletext"/>
            </w:pPr>
            <w:r w:rsidRPr="00CE0BE9">
              <w:t>CALGB (ITT)</w:t>
            </w:r>
          </w:p>
        </w:tc>
        <w:tc>
          <w:tcPr>
            <w:tcW w:w="1080" w:type="pct"/>
            <w:tcBorders>
              <w:top w:val="double" w:sz="4" w:space="0" w:color="auto"/>
              <w:bottom w:val="single" w:sz="4" w:space="0" w:color="auto"/>
            </w:tcBorders>
            <w:shd w:val="clear" w:color="auto" w:fill="auto"/>
          </w:tcPr>
          <w:p w:rsidR="009E7296" w:rsidRPr="00CE0BE9" w:rsidRDefault="009E7296" w:rsidP="00A327FC">
            <w:pPr>
              <w:pStyle w:val="Tabletext"/>
            </w:pPr>
            <w:r w:rsidRPr="00CE0BE9">
              <w:t>Progressed</w:t>
            </w:r>
          </w:p>
        </w:tc>
        <w:tc>
          <w:tcPr>
            <w:tcW w:w="792" w:type="pct"/>
            <w:tcBorders>
              <w:top w:val="double" w:sz="4" w:space="0" w:color="auto"/>
              <w:bottom w:val="single" w:sz="4" w:space="0" w:color="auto"/>
            </w:tcBorders>
            <w:shd w:val="clear" w:color="auto" w:fill="auto"/>
            <w:vAlign w:val="center"/>
          </w:tcPr>
          <w:p w:rsidR="009E7296" w:rsidRPr="00CE0BE9" w:rsidRDefault="009E7296" w:rsidP="00A327FC">
            <w:pPr>
              <w:pStyle w:val="Tabletext"/>
              <w:jc w:val="center"/>
              <w:rPr>
                <w:iCs/>
              </w:rPr>
            </w:pPr>
            <w:r w:rsidRPr="00CE0BE9">
              <w:rPr>
                <w:iCs/>
              </w:rPr>
              <w:t>NR</w:t>
            </w:r>
          </w:p>
        </w:tc>
        <w:tc>
          <w:tcPr>
            <w:tcW w:w="800" w:type="pct"/>
            <w:tcBorders>
              <w:top w:val="double" w:sz="4" w:space="0" w:color="auto"/>
              <w:bottom w:val="single" w:sz="4" w:space="0" w:color="auto"/>
            </w:tcBorders>
            <w:shd w:val="clear" w:color="auto" w:fill="auto"/>
            <w:vAlign w:val="center"/>
          </w:tcPr>
          <w:p w:rsidR="009E7296" w:rsidRPr="00CE0BE9" w:rsidRDefault="009E7296" w:rsidP="00A327FC">
            <w:pPr>
              <w:pStyle w:val="Tabletext"/>
              <w:jc w:val="center"/>
              <w:rPr>
                <w:iCs/>
              </w:rPr>
            </w:pPr>
            <w:r w:rsidRPr="00CE0BE9">
              <w:rPr>
                <w:iCs/>
              </w:rPr>
              <w:t>NR</w:t>
            </w:r>
          </w:p>
        </w:tc>
        <w:tc>
          <w:tcPr>
            <w:tcW w:w="628" w:type="pct"/>
            <w:tcBorders>
              <w:top w:val="double" w:sz="4" w:space="0" w:color="auto"/>
              <w:bottom w:val="single" w:sz="4" w:space="0" w:color="auto"/>
            </w:tcBorders>
            <w:shd w:val="clear" w:color="auto" w:fill="auto"/>
            <w:vAlign w:val="center"/>
          </w:tcPr>
          <w:p w:rsidR="009E7296" w:rsidRPr="00CE0BE9" w:rsidRDefault="009E7296" w:rsidP="00A327FC">
            <w:pPr>
              <w:pStyle w:val="Tabletext"/>
              <w:jc w:val="center"/>
            </w:pPr>
            <w:r w:rsidRPr="00CE0BE9">
              <w:t>-</w:t>
            </w:r>
          </w:p>
        </w:tc>
        <w:tc>
          <w:tcPr>
            <w:tcW w:w="838" w:type="pct"/>
            <w:tcBorders>
              <w:top w:val="double" w:sz="4" w:space="0" w:color="auto"/>
              <w:bottom w:val="single" w:sz="4" w:space="0" w:color="auto"/>
            </w:tcBorders>
            <w:shd w:val="clear" w:color="auto" w:fill="auto"/>
            <w:vAlign w:val="center"/>
          </w:tcPr>
          <w:p w:rsidR="009E7296" w:rsidRPr="00CE0BE9" w:rsidRDefault="009E7296" w:rsidP="00A327FC">
            <w:pPr>
              <w:pStyle w:val="Tabletext"/>
              <w:jc w:val="center"/>
            </w:pPr>
            <w:r w:rsidRPr="00CE0BE9">
              <w:t>-</w:t>
            </w:r>
          </w:p>
        </w:tc>
      </w:tr>
      <w:tr w:rsidR="009E7296" w:rsidRPr="00CE0BE9" w:rsidTr="00454F3B">
        <w:tc>
          <w:tcPr>
            <w:tcW w:w="862" w:type="pct"/>
            <w:vMerge/>
            <w:tcBorders>
              <w:bottom w:val="double" w:sz="4" w:space="0" w:color="auto"/>
            </w:tcBorders>
            <w:vAlign w:val="center"/>
          </w:tcPr>
          <w:p w:rsidR="009E7296" w:rsidRPr="00CE0BE9" w:rsidRDefault="009E7296" w:rsidP="00A327FC">
            <w:pPr>
              <w:pStyle w:val="Tabletext"/>
            </w:pPr>
          </w:p>
        </w:tc>
        <w:tc>
          <w:tcPr>
            <w:tcW w:w="1080" w:type="pct"/>
            <w:tcBorders>
              <w:bottom w:val="double" w:sz="4" w:space="0" w:color="auto"/>
            </w:tcBorders>
            <w:shd w:val="clear" w:color="auto" w:fill="auto"/>
          </w:tcPr>
          <w:p w:rsidR="009E7296" w:rsidRPr="00CE0BE9" w:rsidRDefault="009E7296" w:rsidP="00A327FC">
            <w:pPr>
              <w:pStyle w:val="Tabletext"/>
            </w:pPr>
            <w:r w:rsidRPr="00CE0BE9">
              <w:t>Median months PFS</w:t>
            </w:r>
          </w:p>
        </w:tc>
        <w:tc>
          <w:tcPr>
            <w:tcW w:w="792" w:type="pct"/>
            <w:tcBorders>
              <w:bottom w:val="double" w:sz="4" w:space="0" w:color="auto"/>
            </w:tcBorders>
            <w:shd w:val="clear" w:color="auto" w:fill="auto"/>
            <w:vAlign w:val="center"/>
          </w:tcPr>
          <w:p w:rsidR="009E7296" w:rsidRPr="00CE0BE9" w:rsidRDefault="009E7296" w:rsidP="00A327FC">
            <w:pPr>
              <w:pStyle w:val="Tabletext"/>
              <w:jc w:val="center"/>
              <w:rPr>
                <w:iCs/>
              </w:rPr>
            </w:pPr>
            <w:r w:rsidRPr="00CE0BE9">
              <w:rPr>
                <w:iCs/>
              </w:rPr>
              <w:t>56.9 (41.9, 71.7)</w:t>
            </w:r>
          </w:p>
        </w:tc>
        <w:tc>
          <w:tcPr>
            <w:tcW w:w="800" w:type="pct"/>
            <w:tcBorders>
              <w:bottom w:val="double" w:sz="4" w:space="0" w:color="auto"/>
            </w:tcBorders>
            <w:shd w:val="clear" w:color="auto" w:fill="auto"/>
            <w:vAlign w:val="center"/>
          </w:tcPr>
          <w:p w:rsidR="009E7296" w:rsidRPr="00CE0BE9" w:rsidRDefault="009E7296" w:rsidP="00A327FC">
            <w:pPr>
              <w:pStyle w:val="Tabletext"/>
              <w:jc w:val="center"/>
              <w:rPr>
                <w:iCs/>
              </w:rPr>
            </w:pPr>
            <w:r w:rsidRPr="00CE0BE9">
              <w:rPr>
                <w:iCs/>
              </w:rPr>
              <w:t>29.4 (20.7, 35.5)</w:t>
            </w:r>
          </w:p>
        </w:tc>
        <w:tc>
          <w:tcPr>
            <w:tcW w:w="628" w:type="pct"/>
            <w:tcBorders>
              <w:bottom w:val="double" w:sz="4" w:space="0" w:color="auto"/>
            </w:tcBorders>
            <w:shd w:val="clear" w:color="auto" w:fill="auto"/>
            <w:vAlign w:val="center"/>
          </w:tcPr>
          <w:p w:rsidR="009E7296" w:rsidRPr="00CE0BE9" w:rsidRDefault="009E7296" w:rsidP="00A327FC">
            <w:pPr>
              <w:pStyle w:val="Tabletext"/>
              <w:jc w:val="center"/>
            </w:pPr>
            <w:r w:rsidRPr="00CE0BE9">
              <w:t xml:space="preserve">27.5 </w:t>
            </w:r>
            <w:proofErr w:type="spellStart"/>
            <w:r w:rsidRPr="00CE0BE9">
              <w:t>mths</w:t>
            </w:r>
            <w:proofErr w:type="spellEnd"/>
          </w:p>
        </w:tc>
        <w:tc>
          <w:tcPr>
            <w:tcW w:w="838" w:type="pct"/>
            <w:tcBorders>
              <w:bottom w:val="double" w:sz="4" w:space="0" w:color="auto"/>
            </w:tcBorders>
            <w:shd w:val="clear" w:color="auto" w:fill="auto"/>
            <w:vAlign w:val="center"/>
          </w:tcPr>
          <w:p w:rsidR="009E7296" w:rsidRPr="00CE0BE9" w:rsidRDefault="009E7296" w:rsidP="00A327FC">
            <w:pPr>
              <w:pStyle w:val="Tabletext"/>
              <w:jc w:val="center"/>
              <w:rPr>
                <w:b/>
              </w:rPr>
            </w:pPr>
            <w:r w:rsidRPr="00CE0BE9">
              <w:rPr>
                <w:b/>
              </w:rPr>
              <w:t>0.61 (0.48, 0.76)</w:t>
            </w:r>
            <w:r w:rsidR="00CE0BE9" w:rsidRPr="00CE0BE9">
              <w:rPr>
                <w:b/>
              </w:rPr>
              <w:t>*</w:t>
            </w:r>
          </w:p>
        </w:tc>
      </w:tr>
      <w:tr w:rsidR="009E7296" w:rsidRPr="00CE0BE9" w:rsidTr="00454F3B">
        <w:tc>
          <w:tcPr>
            <w:tcW w:w="862" w:type="pct"/>
            <w:tcBorders>
              <w:top w:val="double" w:sz="4" w:space="0" w:color="auto"/>
              <w:bottom w:val="single" w:sz="4" w:space="0" w:color="auto"/>
            </w:tcBorders>
            <w:vAlign w:val="center"/>
          </w:tcPr>
          <w:p w:rsidR="009E7296" w:rsidRPr="00CE0BE9" w:rsidRDefault="009E7296" w:rsidP="00A327FC">
            <w:pPr>
              <w:pStyle w:val="Tabletext"/>
              <w:rPr>
                <w:b/>
              </w:rPr>
            </w:pPr>
            <w:r w:rsidRPr="00CE0BE9">
              <w:rPr>
                <w:b/>
              </w:rPr>
              <w:t>Comparators</w:t>
            </w:r>
          </w:p>
        </w:tc>
        <w:tc>
          <w:tcPr>
            <w:tcW w:w="1080" w:type="pct"/>
            <w:tcBorders>
              <w:top w:val="double" w:sz="4" w:space="0" w:color="auto"/>
              <w:bottom w:val="single" w:sz="4" w:space="0" w:color="auto"/>
            </w:tcBorders>
            <w:shd w:val="clear" w:color="auto" w:fill="auto"/>
            <w:vAlign w:val="center"/>
          </w:tcPr>
          <w:p w:rsidR="009E7296" w:rsidRPr="00CE0BE9" w:rsidRDefault="009E7296" w:rsidP="00A327FC">
            <w:pPr>
              <w:pStyle w:val="Tabletext"/>
              <w:rPr>
                <w:b/>
              </w:rPr>
            </w:pPr>
          </w:p>
        </w:tc>
        <w:tc>
          <w:tcPr>
            <w:tcW w:w="792" w:type="pct"/>
            <w:tcBorders>
              <w:top w:val="double" w:sz="4" w:space="0" w:color="auto"/>
              <w:bottom w:val="single" w:sz="4" w:space="0" w:color="auto"/>
            </w:tcBorders>
            <w:shd w:val="clear" w:color="auto" w:fill="auto"/>
            <w:vAlign w:val="center"/>
          </w:tcPr>
          <w:p w:rsidR="009E7296" w:rsidRPr="00CE0BE9" w:rsidRDefault="009E7296" w:rsidP="00A327FC">
            <w:pPr>
              <w:pStyle w:val="Tabletext"/>
              <w:jc w:val="center"/>
              <w:rPr>
                <w:b/>
              </w:rPr>
            </w:pPr>
            <w:r w:rsidRPr="00CE0BE9">
              <w:rPr>
                <w:b/>
              </w:rPr>
              <w:t>Thalidomide</w:t>
            </w:r>
          </w:p>
          <w:p w:rsidR="009E7296" w:rsidRPr="00CE0BE9" w:rsidRDefault="009E7296" w:rsidP="00A327FC">
            <w:pPr>
              <w:pStyle w:val="Tabletext"/>
              <w:jc w:val="center"/>
              <w:rPr>
                <w:b/>
              </w:rPr>
            </w:pPr>
            <w:proofErr w:type="gramStart"/>
            <w:r w:rsidRPr="00CE0BE9">
              <w:rPr>
                <w:b/>
              </w:rPr>
              <w:t>n/N</w:t>
            </w:r>
            <w:proofErr w:type="gramEnd"/>
            <w:r w:rsidRPr="00CE0BE9">
              <w:rPr>
                <w:b/>
              </w:rPr>
              <w:t xml:space="preserve"> (%)</w:t>
            </w:r>
          </w:p>
        </w:tc>
        <w:tc>
          <w:tcPr>
            <w:tcW w:w="800" w:type="pct"/>
            <w:tcBorders>
              <w:top w:val="double" w:sz="4" w:space="0" w:color="auto"/>
              <w:bottom w:val="single" w:sz="4" w:space="0" w:color="auto"/>
            </w:tcBorders>
            <w:shd w:val="clear" w:color="auto" w:fill="auto"/>
            <w:vAlign w:val="center"/>
          </w:tcPr>
          <w:p w:rsidR="009E7296" w:rsidRPr="00CE0BE9" w:rsidRDefault="001E6310" w:rsidP="00A327FC">
            <w:pPr>
              <w:pStyle w:val="Tabletext"/>
              <w:jc w:val="center"/>
              <w:rPr>
                <w:b/>
              </w:rPr>
            </w:pPr>
            <w:r w:rsidRPr="00CE0BE9">
              <w:rPr>
                <w:b/>
              </w:rPr>
              <w:t>BSC</w:t>
            </w:r>
          </w:p>
          <w:p w:rsidR="009E7296" w:rsidRPr="00CE0BE9" w:rsidRDefault="009E7296" w:rsidP="00A327FC">
            <w:pPr>
              <w:pStyle w:val="Tabletext"/>
              <w:jc w:val="center"/>
              <w:rPr>
                <w:b/>
              </w:rPr>
            </w:pPr>
            <w:proofErr w:type="gramStart"/>
            <w:r w:rsidRPr="00CE0BE9">
              <w:rPr>
                <w:b/>
              </w:rPr>
              <w:t>n/N</w:t>
            </w:r>
            <w:proofErr w:type="gramEnd"/>
            <w:r w:rsidRPr="00CE0BE9">
              <w:rPr>
                <w:b/>
              </w:rPr>
              <w:t xml:space="preserve"> (%)</w:t>
            </w:r>
          </w:p>
        </w:tc>
        <w:tc>
          <w:tcPr>
            <w:tcW w:w="628" w:type="pct"/>
            <w:tcBorders>
              <w:top w:val="double" w:sz="4" w:space="0" w:color="auto"/>
              <w:bottom w:val="single" w:sz="4" w:space="0" w:color="auto"/>
            </w:tcBorders>
            <w:shd w:val="clear" w:color="auto" w:fill="auto"/>
            <w:vAlign w:val="center"/>
          </w:tcPr>
          <w:p w:rsidR="009E7296" w:rsidRPr="00CE0BE9" w:rsidRDefault="009E7296" w:rsidP="00A327FC">
            <w:pPr>
              <w:pStyle w:val="Tabletext"/>
              <w:jc w:val="center"/>
              <w:rPr>
                <w:b/>
              </w:rPr>
            </w:pPr>
            <w:r w:rsidRPr="00CE0BE9">
              <w:rPr>
                <w:b/>
              </w:rPr>
              <w:t>Absolute difference</w:t>
            </w:r>
          </w:p>
        </w:tc>
        <w:tc>
          <w:tcPr>
            <w:tcW w:w="838" w:type="pct"/>
            <w:tcBorders>
              <w:top w:val="double" w:sz="4" w:space="0" w:color="auto"/>
              <w:bottom w:val="single" w:sz="4" w:space="0" w:color="auto"/>
            </w:tcBorders>
            <w:shd w:val="clear" w:color="auto" w:fill="auto"/>
            <w:vAlign w:val="center"/>
          </w:tcPr>
          <w:p w:rsidR="009E7296" w:rsidRPr="00CE0BE9" w:rsidRDefault="009E7296" w:rsidP="00A327FC">
            <w:pPr>
              <w:pStyle w:val="Tabletext"/>
              <w:jc w:val="center"/>
              <w:rPr>
                <w:b/>
              </w:rPr>
            </w:pPr>
            <w:r w:rsidRPr="00CE0BE9">
              <w:rPr>
                <w:b/>
              </w:rPr>
              <w:t>HR (95% CI)</w:t>
            </w:r>
          </w:p>
        </w:tc>
      </w:tr>
      <w:tr w:rsidR="009E7296" w:rsidRPr="00CE0BE9" w:rsidTr="00454F3B">
        <w:tc>
          <w:tcPr>
            <w:tcW w:w="862" w:type="pct"/>
            <w:vMerge w:val="restart"/>
            <w:tcBorders>
              <w:top w:val="single" w:sz="4" w:space="0" w:color="auto"/>
            </w:tcBorders>
            <w:vAlign w:val="center"/>
          </w:tcPr>
          <w:p w:rsidR="009E7296" w:rsidRPr="00CE0BE9" w:rsidRDefault="009E7296" w:rsidP="00A327FC">
            <w:pPr>
              <w:pStyle w:val="Tabletext"/>
            </w:pPr>
            <w:r w:rsidRPr="00CE0BE9">
              <w:t>Myeloma IX</w:t>
            </w:r>
          </w:p>
        </w:tc>
        <w:tc>
          <w:tcPr>
            <w:tcW w:w="1080" w:type="pct"/>
            <w:tcBorders>
              <w:top w:val="single" w:sz="4" w:space="0" w:color="auto"/>
            </w:tcBorders>
            <w:shd w:val="clear" w:color="auto" w:fill="auto"/>
            <w:vAlign w:val="center"/>
          </w:tcPr>
          <w:p w:rsidR="009E7296" w:rsidRPr="00CE0BE9" w:rsidRDefault="009E7296" w:rsidP="00A327FC">
            <w:pPr>
              <w:pStyle w:val="Tabletext"/>
            </w:pPr>
            <w:r w:rsidRPr="00CE0BE9">
              <w:t>Progressed</w:t>
            </w:r>
          </w:p>
        </w:tc>
        <w:tc>
          <w:tcPr>
            <w:tcW w:w="792" w:type="pct"/>
            <w:tcBorders>
              <w:top w:val="single" w:sz="4" w:space="0" w:color="auto"/>
            </w:tcBorders>
            <w:shd w:val="clear" w:color="auto" w:fill="auto"/>
            <w:vAlign w:val="center"/>
          </w:tcPr>
          <w:p w:rsidR="009E7296" w:rsidRPr="00CE0BE9" w:rsidRDefault="009E7296" w:rsidP="00A327FC">
            <w:pPr>
              <w:pStyle w:val="Tabletext"/>
              <w:jc w:val="center"/>
            </w:pPr>
            <w:r w:rsidRPr="00CE0BE9">
              <w:t>NR</w:t>
            </w:r>
          </w:p>
        </w:tc>
        <w:tc>
          <w:tcPr>
            <w:tcW w:w="800" w:type="pct"/>
            <w:tcBorders>
              <w:top w:val="single" w:sz="4" w:space="0" w:color="auto"/>
            </w:tcBorders>
            <w:shd w:val="clear" w:color="auto" w:fill="auto"/>
            <w:vAlign w:val="center"/>
          </w:tcPr>
          <w:p w:rsidR="009E7296" w:rsidRPr="00CE0BE9" w:rsidRDefault="009E7296" w:rsidP="00A327FC">
            <w:pPr>
              <w:pStyle w:val="Tabletext"/>
              <w:jc w:val="center"/>
            </w:pPr>
            <w:r w:rsidRPr="00CE0BE9">
              <w:t>NR</w:t>
            </w:r>
          </w:p>
        </w:tc>
        <w:tc>
          <w:tcPr>
            <w:tcW w:w="628" w:type="pct"/>
            <w:tcBorders>
              <w:top w:val="single" w:sz="4" w:space="0" w:color="auto"/>
            </w:tcBorders>
            <w:shd w:val="clear" w:color="auto" w:fill="auto"/>
            <w:vAlign w:val="center"/>
          </w:tcPr>
          <w:p w:rsidR="009E7296" w:rsidRPr="00CE0BE9" w:rsidRDefault="009E7296" w:rsidP="00A327FC">
            <w:pPr>
              <w:pStyle w:val="Tabletext"/>
              <w:jc w:val="center"/>
            </w:pPr>
            <w:r w:rsidRPr="00CE0BE9">
              <w:t>-</w:t>
            </w:r>
          </w:p>
        </w:tc>
        <w:tc>
          <w:tcPr>
            <w:tcW w:w="838" w:type="pct"/>
            <w:tcBorders>
              <w:top w:val="single" w:sz="4" w:space="0" w:color="auto"/>
            </w:tcBorders>
            <w:shd w:val="clear" w:color="auto" w:fill="auto"/>
            <w:vAlign w:val="center"/>
          </w:tcPr>
          <w:p w:rsidR="009E7296" w:rsidRPr="00CE0BE9" w:rsidRDefault="009E7296" w:rsidP="00A327FC">
            <w:pPr>
              <w:pStyle w:val="Tabletext"/>
              <w:jc w:val="center"/>
            </w:pPr>
          </w:p>
        </w:tc>
      </w:tr>
      <w:tr w:rsidR="009E7296" w:rsidRPr="00CE0BE9" w:rsidTr="00454F3B">
        <w:tc>
          <w:tcPr>
            <w:tcW w:w="862" w:type="pct"/>
            <w:vMerge/>
            <w:vAlign w:val="center"/>
          </w:tcPr>
          <w:p w:rsidR="009E7296" w:rsidRPr="00CE0BE9" w:rsidRDefault="009E7296" w:rsidP="00A327FC">
            <w:pPr>
              <w:pStyle w:val="Tabletext"/>
            </w:pPr>
          </w:p>
        </w:tc>
        <w:tc>
          <w:tcPr>
            <w:tcW w:w="1080" w:type="pct"/>
            <w:shd w:val="clear" w:color="auto" w:fill="auto"/>
            <w:vAlign w:val="center"/>
          </w:tcPr>
          <w:p w:rsidR="009E7296" w:rsidRPr="00CE0BE9" w:rsidRDefault="009E7296" w:rsidP="00A327FC">
            <w:pPr>
              <w:pStyle w:val="Tabletext"/>
            </w:pPr>
            <w:r w:rsidRPr="00CE0BE9">
              <w:t>Median months PFS</w:t>
            </w:r>
          </w:p>
        </w:tc>
        <w:tc>
          <w:tcPr>
            <w:tcW w:w="792" w:type="pct"/>
            <w:shd w:val="clear" w:color="auto" w:fill="auto"/>
            <w:vAlign w:val="center"/>
          </w:tcPr>
          <w:p w:rsidR="009E7296" w:rsidRPr="00CE0BE9" w:rsidRDefault="009E7296" w:rsidP="00A327FC">
            <w:pPr>
              <w:pStyle w:val="Tabletext"/>
              <w:jc w:val="center"/>
            </w:pPr>
            <w:r w:rsidRPr="00CE0BE9">
              <w:t>30 (NR)</w:t>
            </w:r>
          </w:p>
        </w:tc>
        <w:tc>
          <w:tcPr>
            <w:tcW w:w="800" w:type="pct"/>
            <w:shd w:val="clear" w:color="auto" w:fill="auto"/>
            <w:vAlign w:val="center"/>
          </w:tcPr>
          <w:p w:rsidR="009E7296" w:rsidRPr="00CE0BE9" w:rsidRDefault="009E7296" w:rsidP="00A327FC">
            <w:pPr>
              <w:pStyle w:val="Tabletext"/>
              <w:jc w:val="center"/>
            </w:pPr>
            <w:r w:rsidRPr="00CE0BE9">
              <w:t>23 (NR)</w:t>
            </w:r>
          </w:p>
        </w:tc>
        <w:tc>
          <w:tcPr>
            <w:tcW w:w="628" w:type="pct"/>
            <w:shd w:val="clear" w:color="auto" w:fill="auto"/>
            <w:vAlign w:val="center"/>
          </w:tcPr>
          <w:p w:rsidR="009E7296" w:rsidRPr="00CE0BE9" w:rsidRDefault="009E7296" w:rsidP="00A327FC">
            <w:pPr>
              <w:pStyle w:val="Tabletext"/>
              <w:jc w:val="center"/>
            </w:pPr>
            <w:r w:rsidRPr="00CE0BE9">
              <w:t xml:space="preserve">7 </w:t>
            </w:r>
            <w:proofErr w:type="spellStart"/>
            <w:r w:rsidRPr="00CE0BE9">
              <w:t>mths</w:t>
            </w:r>
            <w:proofErr w:type="spellEnd"/>
          </w:p>
        </w:tc>
        <w:tc>
          <w:tcPr>
            <w:tcW w:w="838" w:type="pct"/>
            <w:shd w:val="clear" w:color="auto" w:fill="auto"/>
            <w:vAlign w:val="center"/>
          </w:tcPr>
          <w:p w:rsidR="009E7296" w:rsidRPr="00CE0BE9" w:rsidRDefault="009E7296" w:rsidP="00A327FC">
            <w:pPr>
              <w:pStyle w:val="Tabletext"/>
              <w:jc w:val="center"/>
              <w:rPr>
                <w:b/>
              </w:rPr>
            </w:pPr>
            <w:r w:rsidRPr="00CE0BE9">
              <w:rPr>
                <w:b/>
              </w:rPr>
              <w:t>0.70 (0.56, 0.88)</w:t>
            </w:r>
          </w:p>
        </w:tc>
      </w:tr>
      <w:tr w:rsidR="009E7296" w:rsidRPr="00CE0BE9" w:rsidTr="00454F3B">
        <w:tc>
          <w:tcPr>
            <w:tcW w:w="4162" w:type="pct"/>
            <w:gridSpan w:val="5"/>
            <w:vAlign w:val="center"/>
          </w:tcPr>
          <w:p w:rsidR="009E7296" w:rsidRPr="00CE0BE9" w:rsidRDefault="009E7296" w:rsidP="00A327FC">
            <w:pPr>
              <w:pStyle w:val="Tabletext"/>
              <w:jc w:val="right"/>
              <w:rPr>
                <w:b/>
              </w:rPr>
            </w:pPr>
            <w:r w:rsidRPr="00CE0BE9">
              <w:rPr>
                <w:b/>
              </w:rPr>
              <w:t xml:space="preserve">Indirect comparison </w:t>
            </w:r>
            <w:proofErr w:type="spellStart"/>
            <w:r w:rsidRPr="00CE0BE9">
              <w:rPr>
                <w:b/>
              </w:rPr>
              <w:t>lenalidomide</w:t>
            </w:r>
            <w:proofErr w:type="spellEnd"/>
            <w:r w:rsidRPr="00CE0BE9">
              <w:rPr>
                <w:b/>
              </w:rPr>
              <w:t xml:space="preserve"> (CALGB </w:t>
            </w:r>
            <w:proofErr w:type="spellStart"/>
            <w:r w:rsidRPr="00CE0BE9">
              <w:rPr>
                <w:b/>
              </w:rPr>
              <w:t>adj</w:t>
            </w:r>
            <w:proofErr w:type="spellEnd"/>
            <w:r w:rsidRPr="00CE0BE9">
              <w:rPr>
                <w:b/>
              </w:rPr>
              <w:t>) vs. thalidomide (base case)</w:t>
            </w:r>
          </w:p>
        </w:tc>
        <w:tc>
          <w:tcPr>
            <w:tcW w:w="838" w:type="pct"/>
            <w:shd w:val="clear" w:color="auto" w:fill="auto"/>
            <w:vAlign w:val="center"/>
          </w:tcPr>
          <w:p w:rsidR="009E7296" w:rsidRPr="00CE0BE9" w:rsidRDefault="009E7296" w:rsidP="00A327FC">
            <w:pPr>
              <w:pStyle w:val="Tabletext"/>
              <w:jc w:val="center"/>
            </w:pPr>
            <w:r w:rsidRPr="00CE0BE9">
              <w:t>0.74 (0.52, 1.07)</w:t>
            </w:r>
          </w:p>
        </w:tc>
      </w:tr>
      <w:tr w:rsidR="009E7296" w:rsidRPr="00CE0BE9" w:rsidTr="00454F3B">
        <w:tc>
          <w:tcPr>
            <w:tcW w:w="4162" w:type="pct"/>
            <w:gridSpan w:val="5"/>
            <w:vAlign w:val="center"/>
          </w:tcPr>
          <w:p w:rsidR="009E7296" w:rsidRPr="00CE0BE9" w:rsidRDefault="009E7296" w:rsidP="00A327FC">
            <w:pPr>
              <w:pStyle w:val="Tabletext"/>
              <w:jc w:val="right"/>
              <w:rPr>
                <w:b/>
              </w:rPr>
            </w:pPr>
            <w:r w:rsidRPr="00CE0BE9">
              <w:rPr>
                <w:b/>
              </w:rPr>
              <w:t xml:space="preserve">Indirect comparison </w:t>
            </w:r>
            <w:proofErr w:type="spellStart"/>
            <w:r w:rsidRPr="00CE0BE9">
              <w:rPr>
                <w:b/>
              </w:rPr>
              <w:t>lenalidomide</w:t>
            </w:r>
            <w:proofErr w:type="spellEnd"/>
            <w:r w:rsidRPr="00CE0BE9">
              <w:rPr>
                <w:b/>
              </w:rPr>
              <w:t xml:space="preserve"> (CALGB ITT) vs. thalidomide</w:t>
            </w:r>
          </w:p>
        </w:tc>
        <w:tc>
          <w:tcPr>
            <w:tcW w:w="838" w:type="pct"/>
            <w:shd w:val="clear" w:color="auto" w:fill="auto"/>
            <w:vAlign w:val="center"/>
          </w:tcPr>
          <w:p w:rsidR="009E7296" w:rsidRPr="00CE0BE9" w:rsidRDefault="009E7296" w:rsidP="00A327FC">
            <w:pPr>
              <w:pStyle w:val="Tabletext"/>
              <w:jc w:val="center"/>
            </w:pPr>
            <w:r w:rsidRPr="00CE0BE9">
              <w:t>0.87 (0.63, 1.20)</w:t>
            </w:r>
          </w:p>
        </w:tc>
      </w:tr>
    </w:tbl>
    <w:p w:rsidR="009E7296" w:rsidRPr="00CE0BE9" w:rsidRDefault="009E7296" w:rsidP="009E7296">
      <w:pPr>
        <w:pStyle w:val="TableFooter"/>
      </w:pPr>
      <w:r w:rsidRPr="00CE0BE9">
        <w:t xml:space="preserve">Abbreviations: </w:t>
      </w:r>
      <w:r w:rsidR="001E6310" w:rsidRPr="00CE0BE9">
        <w:t xml:space="preserve">BSC=best supportive care; </w:t>
      </w:r>
      <w:r w:rsidRPr="00CE0BE9">
        <w:t>ITT</w:t>
      </w:r>
      <w:r w:rsidR="00B71116" w:rsidRPr="00CE0BE9">
        <w:t>=</w:t>
      </w:r>
      <w:r w:rsidRPr="00CE0BE9">
        <w:t>intention to treat, HR</w:t>
      </w:r>
      <w:r w:rsidR="00B71116" w:rsidRPr="00CE0BE9">
        <w:t>=</w:t>
      </w:r>
      <w:r w:rsidRPr="00CE0BE9">
        <w:t xml:space="preserve">hazard ratio; </w:t>
      </w:r>
      <w:r w:rsidR="00070EEB" w:rsidRPr="00CE0BE9">
        <w:t xml:space="preserve">NE=not evaluable; </w:t>
      </w:r>
      <w:r w:rsidRPr="00CE0BE9">
        <w:t>NR</w:t>
      </w:r>
      <w:r w:rsidR="00B71116" w:rsidRPr="00CE0BE9">
        <w:t>=</w:t>
      </w:r>
      <w:r w:rsidRPr="00CE0BE9">
        <w:t>not reported; PFS</w:t>
      </w:r>
      <w:r w:rsidR="00B71116" w:rsidRPr="00CE0BE9">
        <w:t>=</w:t>
      </w:r>
      <w:r w:rsidRPr="00CE0BE9">
        <w:t>progression free survival</w:t>
      </w:r>
      <w:r w:rsidR="002A04BD" w:rsidRPr="00CE0BE9">
        <w:t xml:space="preserve">; </w:t>
      </w:r>
      <w:r w:rsidR="002A04BD" w:rsidRPr="00CE0BE9">
        <w:rPr>
          <w:szCs w:val="18"/>
        </w:rPr>
        <w:t>RPSFTM = rank preserving structural failure time model</w:t>
      </w:r>
      <w:r w:rsidRPr="00CE0BE9">
        <w:t xml:space="preserve">.  </w:t>
      </w:r>
    </w:p>
    <w:p w:rsidR="009E7296" w:rsidRPr="00CE0BE9" w:rsidRDefault="009E7296" w:rsidP="009E7296">
      <w:pPr>
        <w:pStyle w:val="TableFooter"/>
      </w:pPr>
      <w:r w:rsidRPr="00CE0BE9">
        <w:t>Note: fixed effects used for PFS. Base case CALGB (February 2016) estimate adjusted for cross-over using RPSFTM.</w:t>
      </w:r>
      <w:r w:rsidR="006F00BA" w:rsidRPr="00CE0BE9">
        <w:t xml:space="preserve"> </w:t>
      </w:r>
      <w:proofErr w:type="gramStart"/>
      <w:r w:rsidR="006F00BA" w:rsidRPr="00CE0BE9">
        <w:t>Statistically significant differences bolded.</w:t>
      </w:r>
      <w:proofErr w:type="gramEnd"/>
    </w:p>
    <w:p w:rsidR="009E7296" w:rsidRPr="00CE0BE9" w:rsidRDefault="00CE0BE9" w:rsidP="009E7296">
      <w:pPr>
        <w:pStyle w:val="TableFooter"/>
      </w:pPr>
      <w:r w:rsidRPr="00CE0BE9">
        <w:t xml:space="preserve">* </w:t>
      </w:r>
      <w:r w:rsidR="009E7296" w:rsidRPr="00CE0BE9">
        <w:t>calculated during the evaluation (56.9-25.8 = 31.1)</w:t>
      </w:r>
    </w:p>
    <w:p w:rsidR="009E7296" w:rsidRPr="00CE0BE9" w:rsidRDefault="009E7296" w:rsidP="009E7296">
      <w:pPr>
        <w:pStyle w:val="TableFooter"/>
      </w:pPr>
      <w:r w:rsidRPr="00CE0BE9">
        <w:t xml:space="preserve">Source: Table 2.6.5, p.120 of the submission. </w:t>
      </w:r>
      <w:proofErr w:type="gramStart"/>
      <w:r w:rsidRPr="00CE0BE9">
        <w:t>Table 2.5.1, p.80 of the submission.</w:t>
      </w:r>
      <w:proofErr w:type="gramEnd"/>
      <w:r w:rsidRPr="00CE0BE9">
        <w:t xml:space="preserve"> </w:t>
      </w:r>
    </w:p>
    <w:p w:rsidR="009E7296" w:rsidRPr="00CE0BE9" w:rsidRDefault="009E7296" w:rsidP="00A51754">
      <w:pPr>
        <w:rPr>
          <w:rStyle w:val="CommentReference"/>
          <w:b w:val="0"/>
        </w:rPr>
      </w:pPr>
    </w:p>
    <w:p w:rsidR="009E7296" w:rsidRPr="00CE0BE9" w:rsidRDefault="009E7296" w:rsidP="009E7296">
      <w:pPr>
        <w:keepNext/>
        <w:rPr>
          <w:rStyle w:val="CommentReference"/>
        </w:rPr>
      </w:pPr>
      <w:r w:rsidRPr="00CE0BE9">
        <w:rPr>
          <w:rStyle w:val="CommentReference"/>
        </w:rPr>
        <w:t>Table 1</w:t>
      </w:r>
      <w:r w:rsidR="00252B63" w:rsidRPr="00CE0BE9">
        <w:rPr>
          <w:rStyle w:val="CommentReference"/>
        </w:rPr>
        <w:t>3</w:t>
      </w:r>
      <w:r w:rsidRPr="00CE0BE9">
        <w:rPr>
          <w:rStyle w:val="CommentReference"/>
        </w:rPr>
        <w:t>:  Results of the indirect comparison for OS –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1692"/>
        <w:gridCol w:w="1627"/>
        <w:gridCol w:w="1661"/>
        <w:gridCol w:w="1308"/>
        <w:gridCol w:w="1547"/>
      </w:tblGrid>
      <w:tr w:rsidR="009E7296" w:rsidRPr="00CE0BE9" w:rsidTr="00A327FC">
        <w:trPr>
          <w:tblHeader/>
        </w:trPr>
        <w:tc>
          <w:tcPr>
            <w:tcW w:w="1374" w:type="dxa"/>
            <w:tcBorders>
              <w:bottom w:val="single" w:sz="4" w:space="0" w:color="auto"/>
            </w:tcBorders>
            <w:vAlign w:val="center"/>
          </w:tcPr>
          <w:p w:rsidR="009E7296" w:rsidRPr="00CE0BE9" w:rsidRDefault="009E7296" w:rsidP="00A327FC">
            <w:pPr>
              <w:pStyle w:val="Tabletext"/>
              <w:keepNext/>
              <w:rPr>
                <w:b/>
              </w:rPr>
            </w:pPr>
          </w:p>
          <w:p w:rsidR="009E7296" w:rsidRPr="00CE0BE9" w:rsidRDefault="009E7296" w:rsidP="00A327FC">
            <w:pPr>
              <w:pStyle w:val="Tabletext"/>
              <w:keepNext/>
              <w:rPr>
                <w:b/>
              </w:rPr>
            </w:pPr>
          </w:p>
        </w:tc>
        <w:tc>
          <w:tcPr>
            <w:tcW w:w="1651" w:type="dxa"/>
            <w:tcBorders>
              <w:bottom w:val="single" w:sz="4" w:space="0" w:color="auto"/>
            </w:tcBorders>
            <w:shd w:val="clear" w:color="auto" w:fill="auto"/>
            <w:vAlign w:val="center"/>
          </w:tcPr>
          <w:p w:rsidR="009E7296" w:rsidRPr="00CE0BE9" w:rsidRDefault="009E7296" w:rsidP="00A327FC">
            <w:pPr>
              <w:pStyle w:val="Tabletext"/>
              <w:keepNext/>
              <w:jc w:val="center"/>
              <w:rPr>
                <w:b/>
              </w:rPr>
            </w:pPr>
            <w:r w:rsidRPr="00CE0BE9">
              <w:rPr>
                <w:b/>
              </w:rPr>
              <w:t>Outcome</w:t>
            </w:r>
          </w:p>
        </w:tc>
        <w:tc>
          <w:tcPr>
            <w:tcW w:w="1587" w:type="dxa"/>
            <w:tcBorders>
              <w:bottom w:val="single" w:sz="4" w:space="0" w:color="auto"/>
            </w:tcBorders>
            <w:shd w:val="clear" w:color="auto" w:fill="auto"/>
            <w:vAlign w:val="center"/>
          </w:tcPr>
          <w:p w:rsidR="009E7296" w:rsidRPr="00CE0BE9" w:rsidRDefault="009E7296" w:rsidP="00A327FC">
            <w:pPr>
              <w:pStyle w:val="Tabletext"/>
              <w:keepNext/>
              <w:jc w:val="center"/>
              <w:rPr>
                <w:b/>
                <w:iCs/>
              </w:rPr>
            </w:pPr>
            <w:proofErr w:type="spellStart"/>
            <w:r w:rsidRPr="00CE0BE9">
              <w:rPr>
                <w:b/>
                <w:iCs/>
              </w:rPr>
              <w:t>Lenalidomide</w:t>
            </w:r>
            <w:proofErr w:type="spellEnd"/>
          </w:p>
          <w:p w:rsidR="009E7296" w:rsidRPr="00CE0BE9" w:rsidRDefault="009E7296" w:rsidP="00A327FC">
            <w:pPr>
              <w:pStyle w:val="Tabletext"/>
              <w:keepNext/>
              <w:jc w:val="center"/>
              <w:rPr>
                <w:b/>
              </w:rPr>
            </w:pPr>
            <w:proofErr w:type="gramStart"/>
            <w:r w:rsidRPr="00CE0BE9">
              <w:rPr>
                <w:b/>
                <w:iCs/>
              </w:rPr>
              <w:t>n/N</w:t>
            </w:r>
            <w:proofErr w:type="gramEnd"/>
            <w:r w:rsidRPr="00CE0BE9">
              <w:rPr>
                <w:b/>
                <w:iCs/>
              </w:rPr>
              <w:t xml:space="preserve"> (%)</w:t>
            </w:r>
          </w:p>
        </w:tc>
        <w:tc>
          <w:tcPr>
            <w:tcW w:w="1620" w:type="dxa"/>
            <w:tcBorders>
              <w:bottom w:val="single" w:sz="4" w:space="0" w:color="auto"/>
            </w:tcBorders>
            <w:shd w:val="clear" w:color="auto" w:fill="auto"/>
            <w:vAlign w:val="center"/>
          </w:tcPr>
          <w:p w:rsidR="009E7296" w:rsidRPr="00CE0BE9" w:rsidRDefault="001E6310" w:rsidP="00A327FC">
            <w:pPr>
              <w:pStyle w:val="Tabletext"/>
              <w:keepNext/>
              <w:jc w:val="center"/>
              <w:rPr>
                <w:b/>
              </w:rPr>
            </w:pPr>
            <w:r w:rsidRPr="00CE0BE9">
              <w:rPr>
                <w:b/>
              </w:rPr>
              <w:t>BSC</w:t>
            </w:r>
          </w:p>
          <w:p w:rsidR="009E7296" w:rsidRPr="00CE0BE9" w:rsidRDefault="009E7296" w:rsidP="00A327FC">
            <w:pPr>
              <w:pStyle w:val="Tabletext"/>
              <w:keepNext/>
              <w:jc w:val="center"/>
              <w:rPr>
                <w:b/>
              </w:rPr>
            </w:pPr>
            <w:proofErr w:type="gramStart"/>
            <w:r w:rsidRPr="00CE0BE9">
              <w:rPr>
                <w:b/>
              </w:rPr>
              <w:t>n/N</w:t>
            </w:r>
            <w:proofErr w:type="gramEnd"/>
            <w:r w:rsidRPr="00CE0BE9">
              <w:rPr>
                <w:b/>
              </w:rPr>
              <w:t xml:space="preserve"> (%)</w:t>
            </w:r>
          </w:p>
        </w:tc>
        <w:tc>
          <w:tcPr>
            <w:tcW w:w="1276" w:type="dxa"/>
            <w:tcBorders>
              <w:bottom w:val="single" w:sz="4" w:space="0" w:color="auto"/>
            </w:tcBorders>
            <w:shd w:val="clear" w:color="auto" w:fill="auto"/>
            <w:vAlign w:val="center"/>
          </w:tcPr>
          <w:p w:rsidR="009E7296" w:rsidRPr="00CE0BE9" w:rsidRDefault="009E7296" w:rsidP="00A327FC">
            <w:pPr>
              <w:pStyle w:val="Tabletext"/>
              <w:keepNext/>
              <w:jc w:val="center"/>
              <w:rPr>
                <w:b/>
              </w:rPr>
            </w:pPr>
            <w:r w:rsidRPr="00CE0BE9">
              <w:rPr>
                <w:b/>
              </w:rPr>
              <w:t>Absolute difference</w:t>
            </w:r>
          </w:p>
        </w:tc>
        <w:tc>
          <w:tcPr>
            <w:tcW w:w="1509" w:type="dxa"/>
            <w:tcBorders>
              <w:bottom w:val="single" w:sz="4" w:space="0" w:color="auto"/>
            </w:tcBorders>
            <w:shd w:val="clear" w:color="auto" w:fill="auto"/>
            <w:vAlign w:val="center"/>
          </w:tcPr>
          <w:p w:rsidR="009E7296" w:rsidRPr="00CE0BE9" w:rsidRDefault="009E7296" w:rsidP="00A327FC">
            <w:pPr>
              <w:pStyle w:val="Tabletext"/>
              <w:keepNext/>
              <w:jc w:val="center"/>
              <w:rPr>
                <w:b/>
              </w:rPr>
            </w:pPr>
            <w:r w:rsidRPr="00CE0BE9">
              <w:rPr>
                <w:b/>
              </w:rPr>
              <w:t>HR (95% CI)</w:t>
            </w:r>
          </w:p>
        </w:tc>
      </w:tr>
      <w:tr w:rsidR="009E7296" w:rsidRPr="00CE0BE9" w:rsidTr="00A327FC">
        <w:tc>
          <w:tcPr>
            <w:tcW w:w="1374" w:type="dxa"/>
            <w:vMerge w:val="restart"/>
            <w:vAlign w:val="center"/>
          </w:tcPr>
          <w:p w:rsidR="009E7296" w:rsidRPr="00CE0BE9" w:rsidRDefault="009E7296" w:rsidP="00A327FC">
            <w:pPr>
              <w:pStyle w:val="Tabletext"/>
            </w:pPr>
            <w:r w:rsidRPr="00CE0BE9">
              <w:t>CALGB (</w:t>
            </w:r>
            <w:proofErr w:type="spellStart"/>
            <w:r w:rsidRPr="00CE0BE9">
              <w:t>Adj</w:t>
            </w:r>
            <w:proofErr w:type="spellEnd"/>
            <w:r w:rsidRPr="00CE0BE9">
              <w:t xml:space="preserve"> - RPSFTM)</w:t>
            </w:r>
          </w:p>
        </w:tc>
        <w:tc>
          <w:tcPr>
            <w:tcW w:w="1651" w:type="dxa"/>
            <w:shd w:val="clear" w:color="auto" w:fill="auto"/>
            <w:vAlign w:val="center"/>
          </w:tcPr>
          <w:p w:rsidR="009E7296" w:rsidRPr="00CE0BE9" w:rsidRDefault="009E7296" w:rsidP="00A327FC">
            <w:pPr>
              <w:pStyle w:val="Tabletext"/>
            </w:pPr>
            <w:r w:rsidRPr="00CE0BE9">
              <w:t>Death</w:t>
            </w:r>
          </w:p>
        </w:tc>
        <w:tc>
          <w:tcPr>
            <w:tcW w:w="1587" w:type="dxa"/>
            <w:shd w:val="clear" w:color="auto" w:fill="auto"/>
            <w:vAlign w:val="center"/>
          </w:tcPr>
          <w:p w:rsidR="009E7296" w:rsidRPr="00CE0BE9" w:rsidRDefault="009E7296" w:rsidP="00A327FC">
            <w:pPr>
              <w:pStyle w:val="Tabletext"/>
              <w:jc w:val="center"/>
              <w:rPr>
                <w:iCs/>
              </w:rPr>
            </w:pPr>
            <w:r w:rsidRPr="00CE0BE9">
              <w:rPr>
                <w:iCs/>
              </w:rPr>
              <w:t>NR</w:t>
            </w:r>
          </w:p>
        </w:tc>
        <w:tc>
          <w:tcPr>
            <w:tcW w:w="1620" w:type="dxa"/>
            <w:shd w:val="clear" w:color="auto" w:fill="auto"/>
            <w:vAlign w:val="center"/>
          </w:tcPr>
          <w:p w:rsidR="009E7296" w:rsidRPr="00CE0BE9" w:rsidRDefault="009E7296" w:rsidP="00A327FC">
            <w:pPr>
              <w:pStyle w:val="Tabletext"/>
              <w:jc w:val="center"/>
              <w:rPr>
                <w:iCs/>
              </w:rPr>
            </w:pPr>
            <w:r w:rsidRPr="00CE0BE9">
              <w:rPr>
                <w:iCs/>
              </w:rPr>
              <w:t>NR</w:t>
            </w:r>
          </w:p>
        </w:tc>
        <w:tc>
          <w:tcPr>
            <w:tcW w:w="1276" w:type="dxa"/>
            <w:shd w:val="clear" w:color="auto" w:fill="auto"/>
            <w:vAlign w:val="center"/>
          </w:tcPr>
          <w:p w:rsidR="009E7296" w:rsidRPr="00CE0BE9" w:rsidRDefault="009E7296" w:rsidP="00A327FC">
            <w:pPr>
              <w:pStyle w:val="Tabletext"/>
              <w:jc w:val="center"/>
            </w:pPr>
            <w:r w:rsidRPr="00CE0BE9">
              <w:t>-</w:t>
            </w:r>
          </w:p>
        </w:tc>
        <w:tc>
          <w:tcPr>
            <w:tcW w:w="1509" w:type="dxa"/>
            <w:shd w:val="clear" w:color="auto" w:fill="auto"/>
            <w:vAlign w:val="center"/>
          </w:tcPr>
          <w:p w:rsidR="009E7296" w:rsidRPr="00CE0BE9" w:rsidRDefault="009E7296" w:rsidP="00A327FC">
            <w:pPr>
              <w:pStyle w:val="Tabletext"/>
              <w:jc w:val="center"/>
            </w:pPr>
            <w:r w:rsidRPr="00CE0BE9">
              <w:t>-</w:t>
            </w:r>
          </w:p>
        </w:tc>
      </w:tr>
      <w:tr w:rsidR="009E7296" w:rsidRPr="00CE0BE9" w:rsidTr="00A327FC">
        <w:tc>
          <w:tcPr>
            <w:tcW w:w="1374" w:type="dxa"/>
            <w:vMerge/>
            <w:tcBorders>
              <w:bottom w:val="single" w:sz="4" w:space="0" w:color="auto"/>
            </w:tcBorders>
            <w:vAlign w:val="center"/>
          </w:tcPr>
          <w:p w:rsidR="009E7296" w:rsidRPr="00CE0BE9" w:rsidRDefault="009E7296" w:rsidP="00A327FC">
            <w:pPr>
              <w:pStyle w:val="Tabletext"/>
            </w:pPr>
          </w:p>
        </w:tc>
        <w:tc>
          <w:tcPr>
            <w:tcW w:w="1651" w:type="dxa"/>
            <w:tcBorders>
              <w:bottom w:val="single" w:sz="4" w:space="0" w:color="auto"/>
            </w:tcBorders>
            <w:shd w:val="clear" w:color="auto" w:fill="auto"/>
            <w:vAlign w:val="center"/>
          </w:tcPr>
          <w:p w:rsidR="009E7296" w:rsidRPr="00CE0BE9" w:rsidRDefault="009E7296" w:rsidP="00A327FC">
            <w:pPr>
              <w:pStyle w:val="Tabletext"/>
            </w:pPr>
            <w:r w:rsidRPr="00CE0BE9">
              <w:t>Median months OS</w:t>
            </w:r>
          </w:p>
        </w:tc>
        <w:tc>
          <w:tcPr>
            <w:tcW w:w="1587" w:type="dxa"/>
            <w:tcBorders>
              <w:bottom w:val="single" w:sz="4" w:space="0" w:color="auto"/>
            </w:tcBorders>
            <w:shd w:val="clear" w:color="auto" w:fill="auto"/>
            <w:vAlign w:val="center"/>
          </w:tcPr>
          <w:p w:rsidR="009E7296" w:rsidRPr="00CE0BE9" w:rsidRDefault="009E7296" w:rsidP="00A327FC">
            <w:pPr>
              <w:pStyle w:val="Tabletext"/>
              <w:jc w:val="center"/>
              <w:rPr>
                <w:iCs/>
              </w:rPr>
            </w:pPr>
            <w:r w:rsidRPr="00CE0BE9">
              <w:rPr>
                <w:iCs/>
              </w:rPr>
              <w:t>111.0 (59.4, NE)</w:t>
            </w:r>
          </w:p>
        </w:tc>
        <w:tc>
          <w:tcPr>
            <w:tcW w:w="1620" w:type="dxa"/>
            <w:tcBorders>
              <w:bottom w:val="single" w:sz="4" w:space="0" w:color="auto"/>
            </w:tcBorders>
            <w:shd w:val="clear" w:color="auto" w:fill="auto"/>
            <w:vAlign w:val="center"/>
          </w:tcPr>
          <w:p w:rsidR="009E7296" w:rsidRPr="00CE0BE9" w:rsidRDefault="009E7296" w:rsidP="00A327FC">
            <w:pPr>
              <w:pStyle w:val="Tabletext"/>
              <w:rPr>
                <w:iCs/>
              </w:rPr>
            </w:pPr>
            <w:r w:rsidRPr="00CE0BE9">
              <w:rPr>
                <w:iCs/>
              </w:rPr>
              <w:t>72.2 (34.6, 110.7)</w:t>
            </w:r>
          </w:p>
        </w:tc>
        <w:tc>
          <w:tcPr>
            <w:tcW w:w="1276" w:type="dxa"/>
            <w:tcBorders>
              <w:bottom w:val="single" w:sz="4" w:space="0" w:color="auto"/>
            </w:tcBorders>
            <w:shd w:val="clear" w:color="auto" w:fill="auto"/>
            <w:vAlign w:val="center"/>
          </w:tcPr>
          <w:p w:rsidR="009E7296" w:rsidRPr="00CE0BE9" w:rsidRDefault="009E7296" w:rsidP="00A327FC">
            <w:pPr>
              <w:pStyle w:val="Tabletext"/>
              <w:jc w:val="center"/>
            </w:pPr>
            <w:r w:rsidRPr="00CE0BE9">
              <w:t xml:space="preserve">38.8 </w:t>
            </w:r>
            <w:proofErr w:type="spellStart"/>
            <w:r w:rsidRPr="00CE0BE9">
              <w:t>mths</w:t>
            </w:r>
            <w:proofErr w:type="spellEnd"/>
            <w:r w:rsidR="00CE0BE9" w:rsidRPr="00CE0BE9">
              <w:t>*</w:t>
            </w:r>
          </w:p>
        </w:tc>
        <w:tc>
          <w:tcPr>
            <w:tcW w:w="1509" w:type="dxa"/>
            <w:tcBorders>
              <w:bottom w:val="single" w:sz="4" w:space="0" w:color="auto"/>
            </w:tcBorders>
            <w:shd w:val="clear" w:color="auto" w:fill="auto"/>
            <w:vAlign w:val="center"/>
          </w:tcPr>
          <w:p w:rsidR="009E7296" w:rsidRPr="00CE0BE9" w:rsidRDefault="009E7296" w:rsidP="00A327FC">
            <w:pPr>
              <w:pStyle w:val="Tabletext"/>
              <w:jc w:val="center"/>
              <w:rPr>
                <w:b/>
              </w:rPr>
            </w:pPr>
            <w:r w:rsidRPr="00CE0BE9">
              <w:rPr>
                <w:b/>
              </w:rPr>
              <w:t>0.51 (0.37, 0.74)</w:t>
            </w:r>
          </w:p>
        </w:tc>
      </w:tr>
      <w:tr w:rsidR="009E7296" w:rsidRPr="00CE0BE9" w:rsidTr="00A327FC">
        <w:tc>
          <w:tcPr>
            <w:tcW w:w="1374" w:type="dxa"/>
            <w:vMerge w:val="restart"/>
            <w:tcBorders>
              <w:top w:val="single" w:sz="4" w:space="0" w:color="auto"/>
            </w:tcBorders>
            <w:vAlign w:val="center"/>
          </w:tcPr>
          <w:p w:rsidR="009E7296" w:rsidRPr="00CE0BE9" w:rsidRDefault="009E7296" w:rsidP="00A327FC">
            <w:pPr>
              <w:pStyle w:val="Tabletext"/>
            </w:pPr>
            <w:r w:rsidRPr="00CE0BE9">
              <w:t>CALGB (ITT)</w:t>
            </w:r>
          </w:p>
        </w:tc>
        <w:tc>
          <w:tcPr>
            <w:tcW w:w="1651" w:type="dxa"/>
            <w:tcBorders>
              <w:top w:val="single" w:sz="4" w:space="0" w:color="auto"/>
              <w:bottom w:val="single" w:sz="4" w:space="0" w:color="auto"/>
            </w:tcBorders>
            <w:shd w:val="clear" w:color="auto" w:fill="auto"/>
          </w:tcPr>
          <w:p w:rsidR="009E7296" w:rsidRPr="00CE0BE9" w:rsidRDefault="009E7296" w:rsidP="00A327FC">
            <w:pPr>
              <w:pStyle w:val="Tabletext"/>
            </w:pPr>
            <w:r w:rsidRPr="00CE0BE9">
              <w:t>Death</w:t>
            </w:r>
          </w:p>
        </w:tc>
        <w:tc>
          <w:tcPr>
            <w:tcW w:w="1587" w:type="dxa"/>
            <w:tcBorders>
              <w:top w:val="single" w:sz="4" w:space="0" w:color="auto"/>
              <w:bottom w:val="single" w:sz="4" w:space="0" w:color="auto"/>
            </w:tcBorders>
            <w:shd w:val="clear" w:color="auto" w:fill="auto"/>
            <w:vAlign w:val="center"/>
          </w:tcPr>
          <w:p w:rsidR="009E7296" w:rsidRPr="00CE0BE9" w:rsidRDefault="009E7296" w:rsidP="00A327FC">
            <w:pPr>
              <w:pStyle w:val="Tabletext"/>
              <w:jc w:val="center"/>
              <w:rPr>
                <w:iCs/>
              </w:rPr>
            </w:pPr>
            <w:r w:rsidRPr="00CE0BE9">
              <w:rPr>
                <w:iCs/>
              </w:rPr>
              <w:t>88/231 (38%)</w:t>
            </w:r>
          </w:p>
        </w:tc>
        <w:tc>
          <w:tcPr>
            <w:tcW w:w="1620" w:type="dxa"/>
            <w:tcBorders>
              <w:top w:val="single" w:sz="4" w:space="0" w:color="auto"/>
              <w:bottom w:val="single" w:sz="4" w:space="0" w:color="auto"/>
            </w:tcBorders>
            <w:shd w:val="clear" w:color="auto" w:fill="auto"/>
            <w:vAlign w:val="center"/>
          </w:tcPr>
          <w:p w:rsidR="009E7296" w:rsidRPr="00CE0BE9" w:rsidRDefault="009E7296" w:rsidP="00A327FC">
            <w:pPr>
              <w:pStyle w:val="Tabletext"/>
              <w:jc w:val="center"/>
              <w:rPr>
                <w:iCs/>
              </w:rPr>
            </w:pPr>
            <w:r w:rsidRPr="00CE0BE9">
              <w:rPr>
                <w:iCs/>
              </w:rPr>
              <w:t>NR</w:t>
            </w:r>
          </w:p>
        </w:tc>
        <w:tc>
          <w:tcPr>
            <w:tcW w:w="1276" w:type="dxa"/>
            <w:tcBorders>
              <w:top w:val="single" w:sz="4" w:space="0" w:color="auto"/>
              <w:bottom w:val="single" w:sz="4" w:space="0" w:color="auto"/>
            </w:tcBorders>
            <w:shd w:val="clear" w:color="auto" w:fill="auto"/>
            <w:vAlign w:val="center"/>
          </w:tcPr>
          <w:p w:rsidR="009E7296" w:rsidRPr="00CE0BE9" w:rsidRDefault="009E7296" w:rsidP="00A327FC">
            <w:pPr>
              <w:pStyle w:val="Tabletext"/>
              <w:jc w:val="center"/>
            </w:pPr>
            <w:r w:rsidRPr="00CE0BE9">
              <w:t>-</w:t>
            </w:r>
          </w:p>
        </w:tc>
        <w:tc>
          <w:tcPr>
            <w:tcW w:w="1509" w:type="dxa"/>
            <w:tcBorders>
              <w:top w:val="single" w:sz="4" w:space="0" w:color="auto"/>
              <w:bottom w:val="single" w:sz="4" w:space="0" w:color="auto"/>
            </w:tcBorders>
            <w:shd w:val="clear" w:color="auto" w:fill="auto"/>
            <w:vAlign w:val="center"/>
          </w:tcPr>
          <w:p w:rsidR="009E7296" w:rsidRPr="00CE0BE9" w:rsidRDefault="009E7296" w:rsidP="00A327FC">
            <w:pPr>
              <w:pStyle w:val="Tabletext"/>
              <w:jc w:val="center"/>
            </w:pPr>
            <w:r w:rsidRPr="00CE0BE9">
              <w:t>-</w:t>
            </w:r>
          </w:p>
        </w:tc>
      </w:tr>
      <w:tr w:rsidR="009E7296" w:rsidRPr="00CE0BE9" w:rsidTr="00A327FC">
        <w:tc>
          <w:tcPr>
            <w:tcW w:w="1374" w:type="dxa"/>
            <w:vMerge/>
            <w:tcBorders>
              <w:bottom w:val="double" w:sz="4" w:space="0" w:color="auto"/>
            </w:tcBorders>
            <w:vAlign w:val="center"/>
          </w:tcPr>
          <w:p w:rsidR="009E7296" w:rsidRPr="00CE0BE9" w:rsidRDefault="009E7296" w:rsidP="00A327FC">
            <w:pPr>
              <w:pStyle w:val="Tabletext"/>
            </w:pPr>
          </w:p>
        </w:tc>
        <w:tc>
          <w:tcPr>
            <w:tcW w:w="1651" w:type="dxa"/>
            <w:tcBorders>
              <w:bottom w:val="double" w:sz="4" w:space="0" w:color="auto"/>
            </w:tcBorders>
            <w:shd w:val="clear" w:color="auto" w:fill="auto"/>
          </w:tcPr>
          <w:p w:rsidR="009E7296" w:rsidRPr="00CE0BE9" w:rsidRDefault="009E7296" w:rsidP="00A327FC">
            <w:pPr>
              <w:pStyle w:val="Tabletext"/>
            </w:pPr>
            <w:r w:rsidRPr="00CE0BE9">
              <w:t>Median months OS</w:t>
            </w:r>
          </w:p>
        </w:tc>
        <w:tc>
          <w:tcPr>
            <w:tcW w:w="1587" w:type="dxa"/>
            <w:tcBorders>
              <w:bottom w:val="double" w:sz="4" w:space="0" w:color="auto"/>
            </w:tcBorders>
            <w:shd w:val="clear" w:color="auto" w:fill="auto"/>
            <w:vAlign w:val="center"/>
          </w:tcPr>
          <w:p w:rsidR="009E7296" w:rsidRPr="00CE0BE9" w:rsidRDefault="009E7296" w:rsidP="00A327FC">
            <w:pPr>
              <w:pStyle w:val="Tabletext"/>
              <w:jc w:val="center"/>
              <w:rPr>
                <w:iCs/>
              </w:rPr>
            </w:pPr>
            <w:r w:rsidRPr="00CE0BE9">
              <w:rPr>
                <w:iCs/>
              </w:rPr>
              <w:t>113.8 (100.4, NE)</w:t>
            </w:r>
          </w:p>
        </w:tc>
        <w:tc>
          <w:tcPr>
            <w:tcW w:w="1620" w:type="dxa"/>
            <w:tcBorders>
              <w:bottom w:val="double" w:sz="4" w:space="0" w:color="auto"/>
            </w:tcBorders>
            <w:shd w:val="clear" w:color="auto" w:fill="auto"/>
            <w:vAlign w:val="center"/>
          </w:tcPr>
          <w:p w:rsidR="009E7296" w:rsidRPr="00CE0BE9" w:rsidRDefault="009E7296" w:rsidP="00A327FC">
            <w:pPr>
              <w:pStyle w:val="Tabletext"/>
              <w:jc w:val="center"/>
              <w:rPr>
                <w:iCs/>
              </w:rPr>
            </w:pPr>
            <w:r w:rsidRPr="00CE0BE9">
              <w:rPr>
                <w:iCs/>
              </w:rPr>
              <w:t>84.1 (73.8, 106.0)</w:t>
            </w:r>
          </w:p>
        </w:tc>
        <w:tc>
          <w:tcPr>
            <w:tcW w:w="1276" w:type="dxa"/>
            <w:tcBorders>
              <w:bottom w:val="double" w:sz="4" w:space="0" w:color="auto"/>
            </w:tcBorders>
            <w:shd w:val="clear" w:color="auto" w:fill="auto"/>
            <w:vAlign w:val="center"/>
          </w:tcPr>
          <w:p w:rsidR="009E7296" w:rsidRPr="00CE0BE9" w:rsidRDefault="009E7296" w:rsidP="00A327FC">
            <w:pPr>
              <w:pStyle w:val="Tabletext"/>
              <w:jc w:val="center"/>
            </w:pPr>
            <w:r w:rsidRPr="00CE0BE9">
              <w:t xml:space="preserve">29.7 </w:t>
            </w:r>
            <w:proofErr w:type="spellStart"/>
            <w:r w:rsidRPr="00CE0BE9">
              <w:t>mths</w:t>
            </w:r>
            <w:proofErr w:type="spellEnd"/>
          </w:p>
        </w:tc>
        <w:tc>
          <w:tcPr>
            <w:tcW w:w="1509" w:type="dxa"/>
            <w:tcBorders>
              <w:bottom w:val="double" w:sz="4" w:space="0" w:color="auto"/>
            </w:tcBorders>
            <w:shd w:val="clear" w:color="auto" w:fill="auto"/>
            <w:vAlign w:val="center"/>
          </w:tcPr>
          <w:p w:rsidR="009E7296" w:rsidRPr="00CE0BE9" w:rsidRDefault="009E7296" w:rsidP="00A327FC">
            <w:pPr>
              <w:pStyle w:val="Tabletext"/>
              <w:jc w:val="center"/>
              <w:rPr>
                <w:b/>
              </w:rPr>
            </w:pPr>
            <w:r w:rsidRPr="00CE0BE9">
              <w:rPr>
                <w:b/>
              </w:rPr>
              <w:t>0.61 (0.46, 0.80)</w:t>
            </w:r>
          </w:p>
        </w:tc>
      </w:tr>
      <w:tr w:rsidR="009E7296" w:rsidRPr="00CE0BE9" w:rsidTr="00A327FC">
        <w:tc>
          <w:tcPr>
            <w:tcW w:w="1374" w:type="dxa"/>
            <w:tcBorders>
              <w:top w:val="double" w:sz="4" w:space="0" w:color="auto"/>
              <w:bottom w:val="single" w:sz="4" w:space="0" w:color="auto"/>
            </w:tcBorders>
            <w:vAlign w:val="center"/>
          </w:tcPr>
          <w:p w:rsidR="009E7296" w:rsidRPr="00CE0BE9" w:rsidRDefault="009E7296" w:rsidP="00A327FC">
            <w:pPr>
              <w:pStyle w:val="Tabletext"/>
              <w:rPr>
                <w:b/>
              </w:rPr>
            </w:pPr>
            <w:r w:rsidRPr="00CE0BE9">
              <w:rPr>
                <w:b/>
              </w:rPr>
              <w:t>Comparators</w:t>
            </w:r>
          </w:p>
        </w:tc>
        <w:tc>
          <w:tcPr>
            <w:tcW w:w="1651" w:type="dxa"/>
            <w:tcBorders>
              <w:top w:val="double" w:sz="4" w:space="0" w:color="auto"/>
              <w:bottom w:val="single" w:sz="4" w:space="0" w:color="auto"/>
            </w:tcBorders>
            <w:shd w:val="clear" w:color="auto" w:fill="auto"/>
            <w:vAlign w:val="center"/>
          </w:tcPr>
          <w:p w:rsidR="009E7296" w:rsidRPr="00CE0BE9" w:rsidRDefault="009E7296" w:rsidP="00A327FC">
            <w:pPr>
              <w:pStyle w:val="Tabletext"/>
              <w:rPr>
                <w:b/>
              </w:rPr>
            </w:pPr>
          </w:p>
        </w:tc>
        <w:tc>
          <w:tcPr>
            <w:tcW w:w="1587" w:type="dxa"/>
            <w:tcBorders>
              <w:top w:val="double" w:sz="4" w:space="0" w:color="auto"/>
              <w:bottom w:val="single" w:sz="4" w:space="0" w:color="auto"/>
            </w:tcBorders>
            <w:shd w:val="clear" w:color="auto" w:fill="auto"/>
            <w:vAlign w:val="center"/>
          </w:tcPr>
          <w:p w:rsidR="009E7296" w:rsidRPr="00CE0BE9" w:rsidRDefault="009E7296" w:rsidP="00A327FC">
            <w:pPr>
              <w:pStyle w:val="Tabletext"/>
              <w:jc w:val="center"/>
              <w:rPr>
                <w:b/>
              </w:rPr>
            </w:pPr>
            <w:r w:rsidRPr="00CE0BE9">
              <w:rPr>
                <w:b/>
              </w:rPr>
              <w:t>Thalidomide</w:t>
            </w:r>
          </w:p>
          <w:p w:rsidR="009E7296" w:rsidRPr="00CE0BE9" w:rsidRDefault="009E7296" w:rsidP="00A327FC">
            <w:pPr>
              <w:pStyle w:val="Tabletext"/>
              <w:jc w:val="center"/>
              <w:rPr>
                <w:b/>
              </w:rPr>
            </w:pPr>
            <w:proofErr w:type="gramStart"/>
            <w:r w:rsidRPr="00CE0BE9">
              <w:rPr>
                <w:b/>
              </w:rPr>
              <w:t>n/N</w:t>
            </w:r>
            <w:proofErr w:type="gramEnd"/>
            <w:r w:rsidRPr="00CE0BE9">
              <w:rPr>
                <w:b/>
              </w:rPr>
              <w:t xml:space="preserve"> (%)</w:t>
            </w:r>
          </w:p>
        </w:tc>
        <w:tc>
          <w:tcPr>
            <w:tcW w:w="1620" w:type="dxa"/>
            <w:tcBorders>
              <w:top w:val="double" w:sz="4" w:space="0" w:color="auto"/>
              <w:bottom w:val="single" w:sz="4" w:space="0" w:color="auto"/>
            </w:tcBorders>
            <w:shd w:val="clear" w:color="auto" w:fill="auto"/>
            <w:vAlign w:val="center"/>
          </w:tcPr>
          <w:p w:rsidR="009E7296" w:rsidRPr="00CE0BE9" w:rsidRDefault="001E6310" w:rsidP="001E6310">
            <w:pPr>
              <w:pStyle w:val="Tabletext"/>
              <w:jc w:val="center"/>
              <w:rPr>
                <w:b/>
              </w:rPr>
            </w:pPr>
            <w:r w:rsidRPr="00CE0BE9">
              <w:rPr>
                <w:b/>
              </w:rPr>
              <w:t>BSC</w:t>
            </w:r>
          </w:p>
          <w:p w:rsidR="009E7296" w:rsidRPr="00CE0BE9" w:rsidRDefault="009E7296" w:rsidP="00A327FC">
            <w:pPr>
              <w:pStyle w:val="Tabletext"/>
              <w:jc w:val="center"/>
              <w:rPr>
                <w:b/>
              </w:rPr>
            </w:pPr>
            <w:proofErr w:type="gramStart"/>
            <w:r w:rsidRPr="00CE0BE9">
              <w:rPr>
                <w:b/>
              </w:rPr>
              <w:t>n/N</w:t>
            </w:r>
            <w:proofErr w:type="gramEnd"/>
            <w:r w:rsidRPr="00CE0BE9">
              <w:rPr>
                <w:b/>
              </w:rPr>
              <w:t xml:space="preserve"> (%)</w:t>
            </w:r>
          </w:p>
        </w:tc>
        <w:tc>
          <w:tcPr>
            <w:tcW w:w="1276" w:type="dxa"/>
            <w:tcBorders>
              <w:top w:val="double" w:sz="4" w:space="0" w:color="auto"/>
              <w:bottom w:val="single" w:sz="4" w:space="0" w:color="auto"/>
            </w:tcBorders>
            <w:shd w:val="clear" w:color="auto" w:fill="auto"/>
            <w:vAlign w:val="center"/>
          </w:tcPr>
          <w:p w:rsidR="009E7296" w:rsidRPr="00CE0BE9" w:rsidRDefault="009E7296" w:rsidP="00A327FC">
            <w:pPr>
              <w:pStyle w:val="Tabletext"/>
              <w:jc w:val="center"/>
              <w:rPr>
                <w:b/>
              </w:rPr>
            </w:pPr>
            <w:r w:rsidRPr="00CE0BE9">
              <w:rPr>
                <w:b/>
              </w:rPr>
              <w:t>Absolute difference</w:t>
            </w:r>
          </w:p>
        </w:tc>
        <w:tc>
          <w:tcPr>
            <w:tcW w:w="1509" w:type="dxa"/>
            <w:tcBorders>
              <w:top w:val="double" w:sz="4" w:space="0" w:color="auto"/>
              <w:bottom w:val="single" w:sz="4" w:space="0" w:color="auto"/>
            </w:tcBorders>
            <w:shd w:val="clear" w:color="auto" w:fill="auto"/>
            <w:vAlign w:val="center"/>
          </w:tcPr>
          <w:p w:rsidR="009E7296" w:rsidRPr="00CE0BE9" w:rsidRDefault="009E7296" w:rsidP="00A327FC">
            <w:pPr>
              <w:pStyle w:val="Tabletext"/>
              <w:jc w:val="center"/>
              <w:rPr>
                <w:b/>
              </w:rPr>
            </w:pPr>
            <w:r w:rsidRPr="00CE0BE9">
              <w:rPr>
                <w:b/>
              </w:rPr>
              <w:t>HR (95% CI)</w:t>
            </w:r>
          </w:p>
        </w:tc>
      </w:tr>
      <w:tr w:rsidR="009E7296" w:rsidRPr="00CE0BE9" w:rsidTr="00A327FC">
        <w:tc>
          <w:tcPr>
            <w:tcW w:w="1374" w:type="dxa"/>
            <w:vMerge w:val="restart"/>
            <w:tcBorders>
              <w:top w:val="single" w:sz="4" w:space="0" w:color="auto"/>
            </w:tcBorders>
            <w:vAlign w:val="center"/>
          </w:tcPr>
          <w:p w:rsidR="009E7296" w:rsidRPr="00CE0BE9" w:rsidRDefault="009E7296" w:rsidP="00A327FC">
            <w:pPr>
              <w:pStyle w:val="Tabletext"/>
            </w:pPr>
            <w:r w:rsidRPr="00CE0BE9">
              <w:t>Myeloma IX</w:t>
            </w:r>
          </w:p>
        </w:tc>
        <w:tc>
          <w:tcPr>
            <w:tcW w:w="1651" w:type="dxa"/>
            <w:tcBorders>
              <w:top w:val="single" w:sz="4" w:space="0" w:color="auto"/>
            </w:tcBorders>
            <w:shd w:val="clear" w:color="auto" w:fill="auto"/>
            <w:vAlign w:val="center"/>
          </w:tcPr>
          <w:p w:rsidR="009E7296" w:rsidRPr="00CE0BE9" w:rsidRDefault="009E7296" w:rsidP="00A327FC">
            <w:pPr>
              <w:pStyle w:val="Tabletext"/>
            </w:pPr>
            <w:r w:rsidRPr="00CE0BE9">
              <w:t>Death</w:t>
            </w:r>
          </w:p>
        </w:tc>
        <w:tc>
          <w:tcPr>
            <w:tcW w:w="1587" w:type="dxa"/>
            <w:tcBorders>
              <w:top w:val="single" w:sz="4" w:space="0" w:color="auto"/>
            </w:tcBorders>
            <w:shd w:val="clear" w:color="auto" w:fill="auto"/>
            <w:vAlign w:val="center"/>
          </w:tcPr>
          <w:p w:rsidR="009E7296" w:rsidRPr="00CE0BE9" w:rsidRDefault="009E7296" w:rsidP="00A327FC">
            <w:pPr>
              <w:pStyle w:val="Tabletext"/>
              <w:jc w:val="center"/>
            </w:pPr>
            <w:r w:rsidRPr="00CE0BE9">
              <w:t>NR</w:t>
            </w:r>
          </w:p>
        </w:tc>
        <w:tc>
          <w:tcPr>
            <w:tcW w:w="1620" w:type="dxa"/>
            <w:tcBorders>
              <w:top w:val="single" w:sz="4" w:space="0" w:color="auto"/>
            </w:tcBorders>
            <w:shd w:val="clear" w:color="auto" w:fill="auto"/>
            <w:vAlign w:val="center"/>
          </w:tcPr>
          <w:p w:rsidR="009E7296" w:rsidRPr="00CE0BE9" w:rsidRDefault="009E7296" w:rsidP="00A327FC">
            <w:pPr>
              <w:pStyle w:val="Tabletext"/>
              <w:jc w:val="center"/>
            </w:pPr>
            <w:r w:rsidRPr="00CE0BE9">
              <w:t>NR</w:t>
            </w:r>
          </w:p>
        </w:tc>
        <w:tc>
          <w:tcPr>
            <w:tcW w:w="1276" w:type="dxa"/>
            <w:tcBorders>
              <w:top w:val="single" w:sz="4" w:space="0" w:color="auto"/>
            </w:tcBorders>
            <w:shd w:val="clear" w:color="auto" w:fill="auto"/>
            <w:vAlign w:val="center"/>
          </w:tcPr>
          <w:p w:rsidR="009E7296" w:rsidRPr="00CE0BE9" w:rsidRDefault="009E7296" w:rsidP="00A327FC">
            <w:pPr>
              <w:pStyle w:val="Tabletext"/>
              <w:jc w:val="center"/>
            </w:pPr>
            <w:r w:rsidRPr="00CE0BE9">
              <w:t>-</w:t>
            </w:r>
          </w:p>
        </w:tc>
        <w:tc>
          <w:tcPr>
            <w:tcW w:w="1509" w:type="dxa"/>
            <w:tcBorders>
              <w:top w:val="single" w:sz="4" w:space="0" w:color="auto"/>
            </w:tcBorders>
            <w:shd w:val="clear" w:color="auto" w:fill="auto"/>
            <w:vAlign w:val="center"/>
          </w:tcPr>
          <w:p w:rsidR="009E7296" w:rsidRPr="00CE0BE9" w:rsidRDefault="009E7296" w:rsidP="00A327FC">
            <w:pPr>
              <w:pStyle w:val="Tabletext"/>
              <w:jc w:val="center"/>
            </w:pPr>
            <w:r w:rsidRPr="00CE0BE9">
              <w:t>-</w:t>
            </w:r>
          </w:p>
        </w:tc>
      </w:tr>
      <w:tr w:rsidR="009E7296" w:rsidRPr="00CE0BE9" w:rsidTr="00A327FC">
        <w:tc>
          <w:tcPr>
            <w:tcW w:w="1374" w:type="dxa"/>
            <w:vMerge/>
            <w:vAlign w:val="center"/>
          </w:tcPr>
          <w:p w:rsidR="009E7296" w:rsidRPr="00CE0BE9" w:rsidRDefault="009E7296" w:rsidP="00A327FC">
            <w:pPr>
              <w:pStyle w:val="Tabletext"/>
            </w:pPr>
          </w:p>
        </w:tc>
        <w:tc>
          <w:tcPr>
            <w:tcW w:w="1651" w:type="dxa"/>
            <w:shd w:val="clear" w:color="auto" w:fill="auto"/>
            <w:vAlign w:val="center"/>
          </w:tcPr>
          <w:p w:rsidR="009E7296" w:rsidRPr="00CE0BE9" w:rsidRDefault="009E7296" w:rsidP="00A327FC">
            <w:pPr>
              <w:pStyle w:val="Tabletext"/>
            </w:pPr>
            <w:r w:rsidRPr="00CE0BE9">
              <w:t>Median months OS</w:t>
            </w:r>
          </w:p>
        </w:tc>
        <w:tc>
          <w:tcPr>
            <w:tcW w:w="1587" w:type="dxa"/>
            <w:shd w:val="clear" w:color="auto" w:fill="auto"/>
            <w:vAlign w:val="center"/>
          </w:tcPr>
          <w:p w:rsidR="009E7296" w:rsidRPr="00CE0BE9" w:rsidRDefault="009E7296" w:rsidP="00A327FC">
            <w:pPr>
              <w:pStyle w:val="Tabletext"/>
              <w:jc w:val="center"/>
            </w:pPr>
            <w:r w:rsidRPr="00CE0BE9">
              <w:t>NR</w:t>
            </w:r>
          </w:p>
        </w:tc>
        <w:tc>
          <w:tcPr>
            <w:tcW w:w="1620" w:type="dxa"/>
            <w:shd w:val="clear" w:color="auto" w:fill="auto"/>
            <w:vAlign w:val="center"/>
          </w:tcPr>
          <w:p w:rsidR="009E7296" w:rsidRPr="00CE0BE9" w:rsidRDefault="009E7296" w:rsidP="00A327FC">
            <w:pPr>
              <w:pStyle w:val="Tabletext"/>
              <w:jc w:val="center"/>
            </w:pPr>
            <w:r w:rsidRPr="00CE0BE9">
              <w:t>NR</w:t>
            </w:r>
          </w:p>
        </w:tc>
        <w:tc>
          <w:tcPr>
            <w:tcW w:w="1276" w:type="dxa"/>
            <w:shd w:val="clear" w:color="auto" w:fill="auto"/>
            <w:vAlign w:val="center"/>
          </w:tcPr>
          <w:p w:rsidR="009E7296" w:rsidRPr="00CE0BE9" w:rsidRDefault="009E7296" w:rsidP="00A327FC">
            <w:pPr>
              <w:pStyle w:val="Tabletext"/>
              <w:jc w:val="center"/>
            </w:pPr>
            <w:r w:rsidRPr="00CE0BE9">
              <w:t>-</w:t>
            </w:r>
          </w:p>
        </w:tc>
        <w:tc>
          <w:tcPr>
            <w:tcW w:w="1509" w:type="dxa"/>
            <w:shd w:val="clear" w:color="auto" w:fill="auto"/>
            <w:vAlign w:val="center"/>
          </w:tcPr>
          <w:p w:rsidR="009E7296" w:rsidRPr="00CE0BE9" w:rsidRDefault="009E7296" w:rsidP="00A327FC">
            <w:pPr>
              <w:pStyle w:val="Tabletext"/>
              <w:jc w:val="center"/>
            </w:pPr>
            <w:r w:rsidRPr="00CE0BE9">
              <w:t>1.29</w:t>
            </w:r>
            <w:r w:rsidRPr="00CE0BE9">
              <w:rPr>
                <w:vertAlign w:val="superscript"/>
              </w:rPr>
              <w:t>a</w:t>
            </w:r>
          </w:p>
        </w:tc>
      </w:tr>
      <w:tr w:rsidR="009E7296" w:rsidRPr="00CE0BE9" w:rsidTr="00A327FC">
        <w:tc>
          <w:tcPr>
            <w:tcW w:w="7508" w:type="dxa"/>
            <w:gridSpan w:val="5"/>
            <w:vAlign w:val="center"/>
          </w:tcPr>
          <w:p w:rsidR="009E7296" w:rsidRPr="00CE0BE9" w:rsidRDefault="009E7296" w:rsidP="00A327FC">
            <w:pPr>
              <w:pStyle w:val="Tabletext"/>
              <w:jc w:val="right"/>
              <w:rPr>
                <w:b/>
              </w:rPr>
            </w:pPr>
            <w:r w:rsidRPr="00CE0BE9">
              <w:rPr>
                <w:b/>
              </w:rPr>
              <w:t xml:space="preserve">Indirect comparison </w:t>
            </w:r>
            <w:proofErr w:type="spellStart"/>
            <w:r w:rsidRPr="00CE0BE9">
              <w:rPr>
                <w:b/>
              </w:rPr>
              <w:t>lenalidomide</w:t>
            </w:r>
            <w:proofErr w:type="spellEnd"/>
            <w:r w:rsidRPr="00CE0BE9">
              <w:rPr>
                <w:b/>
              </w:rPr>
              <w:t xml:space="preserve"> (CALGB </w:t>
            </w:r>
            <w:proofErr w:type="spellStart"/>
            <w:r w:rsidRPr="00CE0BE9">
              <w:rPr>
                <w:b/>
              </w:rPr>
              <w:t>adj</w:t>
            </w:r>
            <w:proofErr w:type="spellEnd"/>
            <w:r w:rsidRPr="00CE0BE9">
              <w:rPr>
                <w:b/>
              </w:rPr>
              <w:t>) vs. thalidomide (base case)</w:t>
            </w:r>
          </w:p>
        </w:tc>
        <w:tc>
          <w:tcPr>
            <w:tcW w:w="1509" w:type="dxa"/>
            <w:shd w:val="clear" w:color="auto" w:fill="auto"/>
            <w:vAlign w:val="center"/>
          </w:tcPr>
          <w:p w:rsidR="009E7296" w:rsidRPr="00CE0BE9" w:rsidRDefault="009E7296" w:rsidP="00A327FC">
            <w:pPr>
              <w:pStyle w:val="Tabletext"/>
              <w:jc w:val="center"/>
              <w:rPr>
                <w:b/>
              </w:rPr>
            </w:pPr>
            <w:r w:rsidRPr="00CE0BE9">
              <w:rPr>
                <w:b/>
              </w:rPr>
              <w:t>0.40 (0.24, 0.66)</w:t>
            </w:r>
          </w:p>
        </w:tc>
      </w:tr>
      <w:tr w:rsidR="009E7296" w:rsidRPr="00CE0BE9" w:rsidTr="00A327FC">
        <w:tc>
          <w:tcPr>
            <w:tcW w:w="7508" w:type="dxa"/>
            <w:gridSpan w:val="5"/>
            <w:vAlign w:val="center"/>
          </w:tcPr>
          <w:p w:rsidR="009E7296" w:rsidRPr="00CE0BE9" w:rsidRDefault="009E7296" w:rsidP="00A327FC">
            <w:pPr>
              <w:pStyle w:val="Tabletext"/>
              <w:jc w:val="right"/>
              <w:rPr>
                <w:b/>
              </w:rPr>
            </w:pPr>
            <w:r w:rsidRPr="00CE0BE9">
              <w:rPr>
                <w:b/>
              </w:rPr>
              <w:t xml:space="preserve">Indirect comparison </w:t>
            </w:r>
            <w:proofErr w:type="spellStart"/>
            <w:r w:rsidRPr="00CE0BE9">
              <w:rPr>
                <w:b/>
              </w:rPr>
              <w:t>lenalidomide</w:t>
            </w:r>
            <w:proofErr w:type="spellEnd"/>
            <w:r w:rsidRPr="00CE0BE9">
              <w:rPr>
                <w:b/>
              </w:rPr>
              <w:t xml:space="preserve"> (CALGB ITT) vs. thalidomide</w:t>
            </w:r>
          </w:p>
        </w:tc>
        <w:tc>
          <w:tcPr>
            <w:tcW w:w="1509" w:type="dxa"/>
            <w:shd w:val="clear" w:color="auto" w:fill="auto"/>
            <w:vAlign w:val="center"/>
          </w:tcPr>
          <w:p w:rsidR="009E7296" w:rsidRPr="00CE0BE9" w:rsidRDefault="009E7296" w:rsidP="00A327FC">
            <w:pPr>
              <w:pStyle w:val="Tabletext"/>
              <w:jc w:val="center"/>
              <w:rPr>
                <w:b/>
              </w:rPr>
            </w:pPr>
            <w:r w:rsidRPr="00CE0BE9">
              <w:rPr>
                <w:b/>
              </w:rPr>
              <w:t>0.48 (0.29, 0.76)</w:t>
            </w:r>
          </w:p>
        </w:tc>
      </w:tr>
    </w:tbl>
    <w:p w:rsidR="009E7296" w:rsidRPr="00CE0BE9" w:rsidRDefault="009E7296" w:rsidP="009E7296">
      <w:pPr>
        <w:pStyle w:val="TableFooter"/>
      </w:pPr>
      <w:r w:rsidRPr="00CE0BE9">
        <w:t xml:space="preserve">Abbreviations: </w:t>
      </w:r>
      <w:r w:rsidR="001E6310" w:rsidRPr="00CE0BE9">
        <w:t xml:space="preserve">BSC=best supportive care; </w:t>
      </w:r>
      <w:r w:rsidRPr="00CE0BE9">
        <w:t>ITT</w:t>
      </w:r>
      <w:r w:rsidR="00B71116" w:rsidRPr="00CE0BE9">
        <w:t>=</w:t>
      </w:r>
      <w:r w:rsidRPr="00CE0BE9">
        <w:t>intention to treat</w:t>
      </w:r>
      <w:r w:rsidR="00B71116" w:rsidRPr="00CE0BE9">
        <w:t>=</w:t>
      </w:r>
      <w:r w:rsidRPr="00CE0BE9">
        <w:t xml:space="preserve">HR, hazard ratio; </w:t>
      </w:r>
      <w:r w:rsidR="00070EEB" w:rsidRPr="00CE0BE9">
        <w:t xml:space="preserve">NE=not evaluable; </w:t>
      </w:r>
      <w:r w:rsidRPr="00CE0BE9">
        <w:t>NR</w:t>
      </w:r>
      <w:r w:rsidR="00B71116" w:rsidRPr="00CE0BE9">
        <w:t>=</w:t>
      </w:r>
      <w:r w:rsidRPr="00CE0BE9">
        <w:t>not reported; PFS</w:t>
      </w:r>
      <w:r w:rsidR="00B71116" w:rsidRPr="00CE0BE9">
        <w:t>=</w:t>
      </w:r>
      <w:r w:rsidRPr="00CE0BE9">
        <w:t>progression free survival</w:t>
      </w:r>
      <w:r w:rsidR="002A04BD" w:rsidRPr="00CE0BE9">
        <w:t>;</w:t>
      </w:r>
      <w:r w:rsidR="002A04BD" w:rsidRPr="00CE0BE9">
        <w:rPr>
          <w:szCs w:val="18"/>
        </w:rPr>
        <w:t xml:space="preserve"> RPSFTM = rank preserving structural failure time </w:t>
      </w:r>
      <w:r w:rsidR="001E0605" w:rsidRPr="00CE0BE9">
        <w:rPr>
          <w:szCs w:val="18"/>
        </w:rPr>
        <w:t>model</w:t>
      </w:r>
      <w:r w:rsidR="001E0605" w:rsidRPr="00CE0BE9">
        <w:t>.</w:t>
      </w:r>
      <w:r w:rsidRPr="00CE0BE9">
        <w:t xml:space="preserve">  </w:t>
      </w:r>
    </w:p>
    <w:p w:rsidR="009E7296" w:rsidRPr="00CE0BE9" w:rsidRDefault="009E7296" w:rsidP="009E7296">
      <w:pPr>
        <w:pStyle w:val="TableFooter"/>
      </w:pPr>
      <w:r w:rsidRPr="00CE0BE9">
        <w:t>Note: fixed effects used for PFS. Base case CALGB (February 2016) estimate adjusted for cross-over using RPSFTM.</w:t>
      </w:r>
      <w:r w:rsidR="002A04BD" w:rsidRPr="00CE0BE9">
        <w:t xml:space="preserve"> </w:t>
      </w:r>
      <w:proofErr w:type="gramStart"/>
      <w:r w:rsidR="002A04BD" w:rsidRPr="00CE0BE9">
        <w:t>Statistically significant differences bolded.</w:t>
      </w:r>
      <w:proofErr w:type="gramEnd"/>
      <w:r w:rsidR="001E0605" w:rsidRPr="00CE0BE9">
        <w:t xml:space="preserve"> </w:t>
      </w:r>
      <w:r w:rsidR="00CE0BE9" w:rsidRPr="00CE0BE9">
        <w:t>*</w:t>
      </w:r>
      <w:r w:rsidRPr="00CE0BE9">
        <w:t xml:space="preserve"> calculated during the evaluation (111.0-72.2 = 38.8)</w:t>
      </w:r>
      <w:r w:rsidR="005A7DD2" w:rsidRPr="00CE0BE9">
        <w:t xml:space="preserve">. </w:t>
      </w:r>
      <w:proofErr w:type="gramStart"/>
      <w:r w:rsidRPr="00CE0BE9">
        <w:t>a</w:t>
      </w:r>
      <w:proofErr w:type="gramEnd"/>
      <w:r w:rsidRPr="00CE0BE9">
        <w:t>. Estimated based on the proportion alive at 3 –years from the October 2009 data cut-off (thalidomide 75% vs observation 80%, p=0.26) assuming exponential distribution.</w:t>
      </w:r>
    </w:p>
    <w:p w:rsidR="009E7296" w:rsidRDefault="009E7296" w:rsidP="009E7296">
      <w:pPr>
        <w:pStyle w:val="TableFooter"/>
      </w:pPr>
      <w:r w:rsidRPr="00CE0BE9">
        <w:t xml:space="preserve">Source: Table 2.6.5, p.120 of the submission. </w:t>
      </w:r>
      <w:proofErr w:type="gramStart"/>
      <w:r w:rsidRPr="00CE0BE9">
        <w:t>Table 2.5.1, p.80 of the submission.</w:t>
      </w:r>
      <w:proofErr w:type="gramEnd"/>
      <w:r w:rsidRPr="00CE0BE9">
        <w:t xml:space="preserve"> Morgan 2012.</w:t>
      </w:r>
    </w:p>
    <w:p w:rsidR="004E27F8" w:rsidRPr="00CE0BE9" w:rsidRDefault="004E27F8" w:rsidP="009E7296">
      <w:pPr>
        <w:pStyle w:val="TableFooter"/>
      </w:pPr>
    </w:p>
    <w:p w:rsidR="004E27F8" w:rsidRDefault="004E27F8" w:rsidP="006F0DFD">
      <w:pPr>
        <w:pStyle w:val="ListParagraph"/>
        <w:numPr>
          <w:ilvl w:val="1"/>
          <w:numId w:val="2"/>
        </w:numPr>
        <w:rPr>
          <w:rFonts w:cs="Calibri"/>
          <w:snapToGrid/>
          <w:szCs w:val="24"/>
          <w:lang w:val="en-US" w:eastAsia="en-AU"/>
        </w:rPr>
      </w:pPr>
      <w:r w:rsidRPr="00D17A82">
        <w:rPr>
          <w:rFonts w:cs="Calibri"/>
          <w:snapToGrid/>
          <w:szCs w:val="24"/>
          <w:lang w:val="en-US" w:eastAsia="en-AU"/>
        </w:rPr>
        <w:t xml:space="preserve">The ESC considered that due to the exclusion of MM6, the indirect comparison presented in the submission </w:t>
      </w:r>
      <w:r w:rsidR="00CE6401" w:rsidRPr="00D17A82">
        <w:rPr>
          <w:rFonts w:cs="Calibri"/>
          <w:snapToGrid/>
          <w:szCs w:val="24"/>
          <w:lang w:val="en-US" w:eastAsia="en-AU"/>
        </w:rPr>
        <w:t xml:space="preserve">may not provide an accurate representation of comparative efficacy between </w:t>
      </w:r>
      <w:proofErr w:type="spellStart"/>
      <w:r w:rsidR="00CE6401" w:rsidRPr="00D17A82">
        <w:rPr>
          <w:rFonts w:cs="Calibri"/>
          <w:snapToGrid/>
          <w:szCs w:val="24"/>
          <w:lang w:val="en-US" w:eastAsia="en-AU"/>
        </w:rPr>
        <w:t>lenalidomide</w:t>
      </w:r>
      <w:proofErr w:type="spellEnd"/>
      <w:r w:rsidR="00CE6401" w:rsidRPr="00D17A82">
        <w:rPr>
          <w:rFonts w:cs="Calibri"/>
          <w:snapToGrid/>
          <w:szCs w:val="24"/>
          <w:lang w:val="en-US" w:eastAsia="en-AU"/>
        </w:rPr>
        <w:t xml:space="preserve"> and thalidomide</w:t>
      </w:r>
      <w:r w:rsidRPr="00D17A82">
        <w:rPr>
          <w:rFonts w:cs="Calibri"/>
          <w:snapToGrid/>
          <w:szCs w:val="24"/>
          <w:lang w:val="en-US" w:eastAsia="en-AU"/>
        </w:rPr>
        <w:t xml:space="preserve">. </w:t>
      </w:r>
      <w:r w:rsidR="00801787" w:rsidRPr="00D17A82">
        <w:rPr>
          <w:rFonts w:cs="Calibri"/>
          <w:snapToGrid/>
          <w:szCs w:val="24"/>
          <w:lang w:val="en-US" w:eastAsia="en-AU"/>
        </w:rPr>
        <w:t xml:space="preserve">A naïve indirect comparison of the CALGB, IFM 2005-02, MM6 and Myeloma X trials is presented in tables </w:t>
      </w:r>
      <w:r w:rsidR="007D6AA8" w:rsidRPr="00D17A82">
        <w:rPr>
          <w:rFonts w:cs="Calibri"/>
          <w:snapToGrid/>
          <w:szCs w:val="24"/>
          <w:lang w:val="en-US" w:eastAsia="en-AU"/>
        </w:rPr>
        <w:t>14</w:t>
      </w:r>
      <w:r w:rsidR="00801787" w:rsidRPr="00D17A82">
        <w:rPr>
          <w:rFonts w:cs="Calibri"/>
          <w:snapToGrid/>
          <w:szCs w:val="24"/>
          <w:lang w:val="en-US" w:eastAsia="en-AU"/>
        </w:rPr>
        <w:t xml:space="preserve"> and </w:t>
      </w:r>
      <w:r w:rsidR="007D6AA8" w:rsidRPr="00D17A82">
        <w:rPr>
          <w:rFonts w:cs="Calibri"/>
          <w:snapToGrid/>
          <w:szCs w:val="24"/>
          <w:lang w:val="en-US" w:eastAsia="en-AU"/>
        </w:rPr>
        <w:t>15</w:t>
      </w:r>
      <w:r w:rsidR="00801787" w:rsidRPr="00D17A82">
        <w:rPr>
          <w:rFonts w:cs="Calibri"/>
          <w:snapToGrid/>
          <w:szCs w:val="24"/>
          <w:lang w:val="en-US" w:eastAsia="en-AU"/>
        </w:rPr>
        <w:t xml:space="preserve"> below. </w:t>
      </w:r>
      <w:r w:rsidRPr="00D17A82">
        <w:rPr>
          <w:rFonts w:cs="Calibri"/>
          <w:snapToGrid/>
          <w:szCs w:val="24"/>
          <w:lang w:val="en-US" w:eastAsia="en-AU"/>
        </w:rPr>
        <w:t xml:space="preserve">The ESC noted that the </w:t>
      </w:r>
      <w:r w:rsidR="00844F26" w:rsidRPr="00D17A82">
        <w:rPr>
          <w:rFonts w:cs="Calibri"/>
          <w:snapToGrid/>
          <w:szCs w:val="24"/>
          <w:lang w:val="en-US" w:eastAsia="en-AU"/>
        </w:rPr>
        <w:t xml:space="preserve">outcomes in the BSC arm of the MM6 trial were considerably worse than </w:t>
      </w:r>
      <w:r w:rsidR="002B62EB">
        <w:rPr>
          <w:rFonts w:cs="Calibri"/>
          <w:snapToGrid/>
          <w:szCs w:val="24"/>
          <w:lang w:val="en-US" w:eastAsia="en-AU"/>
        </w:rPr>
        <w:t xml:space="preserve">in </w:t>
      </w:r>
      <w:r w:rsidR="00844F26" w:rsidRPr="00D17A82">
        <w:rPr>
          <w:rFonts w:cs="Calibri"/>
          <w:snapToGrid/>
          <w:szCs w:val="24"/>
          <w:lang w:val="en-US" w:eastAsia="en-AU"/>
        </w:rPr>
        <w:t xml:space="preserve">the BSC arm in the two </w:t>
      </w:r>
      <w:proofErr w:type="spellStart"/>
      <w:r w:rsidR="00844F26" w:rsidRPr="00D17A82">
        <w:rPr>
          <w:rFonts w:cs="Calibri"/>
          <w:snapToGrid/>
          <w:szCs w:val="24"/>
          <w:lang w:val="en-US" w:eastAsia="en-AU"/>
        </w:rPr>
        <w:t>lenalidomide</w:t>
      </w:r>
      <w:proofErr w:type="spellEnd"/>
      <w:r w:rsidR="00844F26" w:rsidRPr="00D17A82">
        <w:rPr>
          <w:rFonts w:cs="Calibri"/>
          <w:snapToGrid/>
          <w:szCs w:val="24"/>
          <w:lang w:val="en-US" w:eastAsia="en-AU"/>
        </w:rPr>
        <w:t xml:space="preserve"> trials</w:t>
      </w:r>
      <w:r w:rsidR="00680354">
        <w:rPr>
          <w:rFonts w:cs="Calibri"/>
          <w:snapToGrid/>
          <w:szCs w:val="24"/>
          <w:lang w:val="en-US" w:eastAsia="en-AU"/>
        </w:rPr>
        <w:t>, but</w:t>
      </w:r>
      <w:r w:rsidR="00844F26" w:rsidRPr="00D17A82">
        <w:rPr>
          <w:rFonts w:cs="Calibri"/>
          <w:snapToGrid/>
          <w:szCs w:val="24"/>
          <w:lang w:val="en-US" w:eastAsia="en-AU"/>
        </w:rPr>
        <w:t xml:space="preserve"> that despite differences in the absolute values, the outcomes indicated a statistically significant improvement for both </w:t>
      </w:r>
      <w:proofErr w:type="spellStart"/>
      <w:r w:rsidR="00844F26" w:rsidRPr="00D17A82">
        <w:rPr>
          <w:rFonts w:cs="Calibri"/>
          <w:snapToGrid/>
          <w:szCs w:val="24"/>
          <w:lang w:val="en-US" w:eastAsia="en-AU"/>
        </w:rPr>
        <w:t>lenalidomide</w:t>
      </w:r>
      <w:proofErr w:type="spellEnd"/>
      <w:r w:rsidR="00844F26" w:rsidRPr="00D17A82">
        <w:rPr>
          <w:rFonts w:cs="Calibri"/>
          <w:snapToGrid/>
          <w:szCs w:val="24"/>
          <w:lang w:val="en-US" w:eastAsia="en-AU"/>
        </w:rPr>
        <w:t xml:space="preserve"> and thalidomide over BSC of similar proportions.</w:t>
      </w:r>
      <w:r w:rsidR="00680354">
        <w:rPr>
          <w:rFonts w:cs="Calibri"/>
          <w:snapToGrid/>
          <w:szCs w:val="24"/>
          <w:lang w:val="en-US" w:eastAsia="en-AU"/>
        </w:rPr>
        <w:t xml:space="preserve"> The PBAC considered that the difference in absolute values was likely due, at least in part, to improvements in </w:t>
      </w:r>
      <w:r w:rsidR="005B1190">
        <w:rPr>
          <w:rFonts w:cs="Calibri"/>
          <w:snapToGrid/>
          <w:szCs w:val="24"/>
          <w:lang w:val="en-US" w:eastAsia="en-AU"/>
        </w:rPr>
        <w:t xml:space="preserve">patient care, including </w:t>
      </w:r>
      <w:r w:rsidR="00680354">
        <w:rPr>
          <w:rFonts w:cs="Calibri"/>
          <w:snapToGrid/>
          <w:szCs w:val="24"/>
          <w:lang w:val="en-US" w:eastAsia="en-AU"/>
        </w:rPr>
        <w:t>induction therapies</w:t>
      </w:r>
      <w:r w:rsidR="005B1190">
        <w:rPr>
          <w:rFonts w:cs="Calibri"/>
          <w:snapToGrid/>
          <w:szCs w:val="24"/>
          <w:lang w:val="en-US" w:eastAsia="en-AU"/>
        </w:rPr>
        <w:t>,</w:t>
      </w:r>
      <w:r w:rsidR="00680354">
        <w:rPr>
          <w:rFonts w:cs="Calibri"/>
          <w:snapToGrid/>
          <w:szCs w:val="24"/>
          <w:lang w:val="en-US" w:eastAsia="en-AU"/>
        </w:rPr>
        <w:t xml:space="preserve"> in the time between the MM6 and </w:t>
      </w:r>
      <w:proofErr w:type="spellStart"/>
      <w:r w:rsidR="00680354">
        <w:rPr>
          <w:rFonts w:cs="Calibri"/>
          <w:snapToGrid/>
          <w:szCs w:val="24"/>
          <w:lang w:val="en-US" w:eastAsia="en-AU"/>
        </w:rPr>
        <w:t>lenalidomide</w:t>
      </w:r>
      <w:proofErr w:type="spellEnd"/>
      <w:r w:rsidR="00680354">
        <w:rPr>
          <w:rFonts w:cs="Calibri"/>
          <w:snapToGrid/>
          <w:szCs w:val="24"/>
          <w:lang w:val="en-US" w:eastAsia="en-AU"/>
        </w:rPr>
        <w:t xml:space="preserve"> maintenance trials being conducted.</w:t>
      </w:r>
      <w:r w:rsidR="005B1190">
        <w:rPr>
          <w:rFonts w:cs="Calibri"/>
          <w:snapToGrid/>
          <w:szCs w:val="24"/>
          <w:lang w:val="en-US" w:eastAsia="en-AU"/>
        </w:rPr>
        <w:t xml:space="preserve"> T</w:t>
      </w:r>
      <w:r w:rsidR="00680354">
        <w:rPr>
          <w:rFonts w:cs="Calibri"/>
          <w:snapToGrid/>
          <w:szCs w:val="24"/>
          <w:lang w:val="en-US" w:eastAsia="en-AU"/>
        </w:rPr>
        <w:t xml:space="preserve">he PBAC also considered that it was relevant that the </w:t>
      </w:r>
      <w:r w:rsidR="005B1190">
        <w:rPr>
          <w:rFonts w:cs="Calibri"/>
          <w:snapToGrid/>
          <w:szCs w:val="24"/>
          <w:lang w:val="en-US" w:eastAsia="en-AU"/>
        </w:rPr>
        <w:t xml:space="preserve">relative </w:t>
      </w:r>
      <w:r w:rsidR="00680354">
        <w:rPr>
          <w:rFonts w:cs="Calibri"/>
          <w:snapToGrid/>
          <w:szCs w:val="24"/>
          <w:lang w:val="en-US" w:eastAsia="en-AU"/>
        </w:rPr>
        <w:lastRenderedPageBreak/>
        <w:t xml:space="preserve">improvement in PFS and OS were comparable, which indicated that within their respective contexts both thalidomide and </w:t>
      </w:r>
      <w:proofErr w:type="spellStart"/>
      <w:r w:rsidR="00680354">
        <w:rPr>
          <w:rFonts w:cs="Calibri"/>
          <w:snapToGrid/>
          <w:szCs w:val="24"/>
          <w:lang w:val="en-US" w:eastAsia="en-AU"/>
        </w:rPr>
        <w:t>lenalidomide</w:t>
      </w:r>
      <w:proofErr w:type="spellEnd"/>
      <w:r w:rsidR="00680354">
        <w:rPr>
          <w:rFonts w:cs="Calibri"/>
          <w:snapToGrid/>
          <w:szCs w:val="24"/>
          <w:lang w:val="en-US" w:eastAsia="en-AU"/>
        </w:rPr>
        <w:t xml:space="preserve"> had similar </w:t>
      </w:r>
      <w:r w:rsidR="008A023A">
        <w:rPr>
          <w:rFonts w:cs="Calibri"/>
          <w:snapToGrid/>
          <w:szCs w:val="24"/>
          <w:lang w:val="en-US" w:eastAsia="en-AU"/>
        </w:rPr>
        <w:t>benefits over BSC</w:t>
      </w:r>
      <w:r w:rsidR="00680354">
        <w:rPr>
          <w:rFonts w:cs="Calibri"/>
          <w:snapToGrid/>
          <w:szCs w:val="24"/>
          <w:lang w:val="en-US" w:eastAsia="en-AU"/>
        </w:rPr>
        <w:t>.</w:t>
      </w:r>
    </w:p>
    <w:p w:rsidR="005B1190" w:rsidRPr="00D17A82" w:rsidRDefault="005B1190" w:rsidP="006F0DFD">
      <w:pPr>
        <w:pStyle w:val="ListParagraph"/>
        <w:numPr>
          <w:ilvl w:val="1"/>
          <w:numId w:val="2"/>
        </w:numPr>
        <w:rPr>
          <w:rFonts w:cs="Calibri"/>
          <w:snapToGrid/>
          <w:szCs w:val="24"/>
          <w:lang w:val="en-US" w:eastAsia="en-AU"/>
        </w:rPr>
      </w:pPr>
      <w:r w:rsidRPr="007F51BC">
        <w:rPr>
          <w:rFonts w:cs="Calibri"/>
          <w:snapToGrid/>
          <w:szCs w:val="24"/>
          <w:lang w:val="en-US" w:eastAsia="en-AU"/>
        </w:rPr>
        <w:t>The PBAC considered the indirect comparison should be based on all appropriate trials and preferably use more complete data for Myeloma IX</w:t>
      </w:r>
      <w:r w:rsidR="00F810C6">
        <w:rPr>
          <w:rFonts w:cs="Calibri"/>
          <w:snapToGrid/>
          <w:szCs w:val="24"/>
          <w:lang w:val="en-US" w:eastAsia="en-AU"/>
        </w:rPr>
        <w:t>, and updated data from Myeloma XI</w:t>
      </w:r>
      <w:r w:rsidRPr="007F51BC">
        <w:rPr>
          <w:rFonts w:cs="Calibri"/>
          <w:snapToGrid/>
          <w:szCs w:val="24"/>
          <w:lang w:val="en-US" w:eastAsia="en-AU"/>
        </w:rPr>
        <w:t>.</w:t>
      </w:r>
    </w:p>
    <w:p w:rsidR="004E27F8" w:rsidRDefault="004E27F8" w:rsidP="0082788C">
      <w:pPr>
        <w:keepNext/>
        <w:rPr>
          <w:rStyle w:val="CommentReference"/>
        </w:rPr>
      </w:pPr>
    </w:p>
    <w:p w:rsidR="0082788C" w:rsidRPr="00CE0BE9" w:rsidRDefault="0082788C" w:rsidP="0082788C">
      <w:pPr>
        <w:keepNext/>
        <w:rPr>
          <w:rStyle w:val="CommentReference"/>
        </w:rPr>
      </w:pPr>
      <w:r w:rsidRPr="00CE0BE9">
        <w:rPr>
          <w:rStyle w:val="CommentReference"/>
        </w:rPr>
        <w:t xml:space="preserve">Table </w:t>
      </w:r>
      <w:r w:rsidR="007D6AA8">
        <w:rPr>
          <w:rStyle w:val="CommentReference"/>
        </w:rPr>
        <w:t>14</w:t>
      </w:r>
      <w:r w:rsidRPr="00CE0BE9">
        <w:rPr>
          <w:rStyle w:val="CommentReference"/>
        </w:rPr>
        <w:t xml:space="preserve">: PFS results – </w:t>
      </w:r>
      <w:r w:rsidR="004E27F8">
        <w:rPr>
          <w:rStyle w:val="CommentReference"/>
        </w:rPr>
        <w:t xml:space="preserve">naïve indirect comparison </w:t>
      </w:r>
      <w:proofErr w:type="spellStart"/>
      <w:r w:rsidRPr="00CE0BE9">
        <w:rPr>
          <w:rStyle w:val="CommentReference"/>
        </w:rPr>
        <w:t>lenalidomide</w:t>
      </w:r>
      <w:proofErr w:type="spellEnd"/>
      <w:r w:rsidRPr="00CE0BE9">
        <w:rPr>
          <w:rStyle w:val="CommentReference"/>
        </w:rPr>
        <w:t xml:space="preserve"> versus </w:t>
      </w:r>
      <w:r w:rsidR="004E27F8">
        <w:rPr>
          <w:rStyle w:val="CommentReference"/>
        </w:rPr>
        <w:t>thalidomide</w:t>
      </w:r>
      <w:r w:rsidRPr="00CE0BE9">
        <w:rPr>
          <w:rStyle w:val="CommentReference"/>
        </w:rPr>
        <w:t xml:space="preserve"> </w:t>
      </w:r>
    </w:p>
    <w:tbl>
      <w:tblPr>
        <w:tblW w:w="50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132"/>
        <w:gridCol w:w="1282"/>
        <w:gridCol w:w="1130"/>
        <w:gridCol w:w="1454"/>
        <w:gridCol w:w="1108"/>
        <w:gridCol w:w="992"/>
        <w:gridCol w:w="1125"/>
      </w:tblGrid>
      <w:tr w:rsidR="0082788C" w:rsidRPr="00CE0BE9" w:rsidTr="004E27F8">
        <w:trPr>
          <w:tblHeader/>
        </w:trPr>
        <w:tc>
          <w:tcPr>
            <w:tcW w:w="606" w:type="pct"/>
            <w:vAlign w:val="center"/>
          </w:tcPr>
          <w:p w:rsidR="0082788C" w:rsidRPr="00CE0BE9" w:rsidRDefault="0082788C" w:rsidP="008539A6">
            <w:pPr>
              <w:pStyle w:val="Tabletext"/>
              <w:keepNext/>
              <w:rPr>
                <w:b/>
              </w:rPr>
            </w:pPr>
            <w:r w:rsidRPr="00CE0BE9">
              <w:rPr>
                <w:b/>
              </w:rPr>
              <w:t>Trial ID</w:t>
            </w:r>
          </w:p>
        </w:tc>
        <w:tc>
          <w:tcPr>
            <w:tcW w:w="1290" w:type="pct"/>
            <w:gridSpan w:val="2"/>
            <w:vAlign w:val="center"/>
          </w:tcPr>
          <w:p w:rsidR="0082788C" w:rsidRPr="00CE0BE9" w:rsidRDefault="0082788C" w:rsidP="008539A6">
            <w:pPr>
              <w:pStyle w:val="Tabletext"/>
              <w:keepNext/>
              <w:jc w:val="center"/>
              <w:rPr>
                <w:b/>
              </w:rPr>
            </w:pPr>
            <w:proofErr w:type="spellStart"/>
            <w:r w:rsidRPr="00CE0BE9">
              <w:rPr>
                <w:b/>
              </w:rPr>
              <w:t>Lenalidomide</w:t>
            </w:r>
            <w:proofErr w:type="spellEnd"/>
            <w:r w:rsidR="009978C2">
              <w:rPr>
                <w:b/>
              </w:rPr>
              <w:t>/Thalidomide</w:t>
            </w:r>
          </w:p>
        </w:tc>
        <w:tc>
          <w:tcPr>
            <w:tcW w:w="1381" w:type="pct"/>
            <w:gridSpan w:val="2"/>
            <w:vAlign w:val="center"/>
          </w:tcPr>
          <w:p w:rsidR="0082788C" w:rsidRPr="00CE0BE9" w:rsidRDefault="0082788C" w:rsidP="008539A6">
            <w:pPr>
              <w:pStyle w:val="Tabletext"/>
              <w:keepNext/>
              <w:jc w:val="center"/>
              <w:rPr>
                <w:b/>
              </w:rPr>
            </w:pPr>
            <w:r w:rsidRPr="00CE0BE9">
              <w:rPr>
                <w:b/>
              </w:rPr>
              <w:t>BSC</w:t>
            </w:r>
          </w:p>
        </w:tc>
        <w:tc>
          <w:tcPr>
            <w:tcW w:w="592" w:type="pct"/>
            <w:vMerge w:val="restart"/>
            <w:vAlign w:val="center"/>
          </w:tcPr>
          <w:p w:rsidR="0082788C" w:rsidRPr="00CE0BE9" w:rsidRDefault="0082788C" w:rsidP="008539A6">
            <w:pPr>
              <w:pStyle w:val="Tabletext"/>
              <w:keepNext/>
              <w:jc w:val="center"/>
              <w:rPr>
                <w:b/>
              </w:rPr>
            </w:pPr>
            <w:r w:rsidRPr="00CE0BE9">
              <w:rPr>
                <w:b/>
              </w:rPr>
              <w:t>Difference in median, months</w:t>
            </w:r>
          </w:p>
        </w:tc>
        <w:tc>
          <w:tcPr>
            <w:tcW w:w="530" w:type="pct"/>
            <w:vMerge w:val="restart"/>
            <w:vAlign w:val="center"/>
          </w:tcPr>
          <w:p w:rsidR="0082788C" w:rsidRPr="00CE0BE9" w:rsidRDefault="0082788C" w:rsidP="00583838">
            <w:pPr>
              <w:pStyle w:val="Tabletext"/>
              <w:keepNext/>
              <w:jc w:val="center"/>
              <w:rPr>
                <w:b/>
              </w:rPr>
            </w:pPr>
            <w:r w:rsidRPr="00CE0BE9">
              <w:rPr>
                <w:b/>
              </w:rPr>
              <w:t xml:space="preserve">P value </w:t>
            </w:r>
          </w:p>
        </w:tc>
        <w:tc>
          <w:tcPr>
            <w:tcW w:w="601" w:type="pct"/>
            <w:vMerge w:val="restart"/>
            <w:vAlign w:val="center"/>
          </w:tcPr>
          <w:p w:rsidR="0082788C" w:rsidRPr="00CE0BE9" w:rsidRDefault="0082788C" w:rsidP="008539A6">
            <w:pPr>
              <w:pStyle w:val="Tabletext"/>
              <w:keepNext/>
              <w:jc w:val="center"/>
              <w:rPr>
                <w:b/>
              </w:rPr>
            </w:pPr>
            <w:r w:rsidRPr="00CE0BE9">
              <w:rPr>
                <w:b/>
              </w:rPr>
              <w:t>Hazard ratio (95% CI)</w:t>
            </w:r>
          </w:p>
        </w:tc>
      </w:tr>
      <w:tr w:rsidR="0082788C" w:rsidRPr="00CE0BE9" w:rsidTr="004E27F8">
        <w:tc>
          <w:tcPr>
            <w:tcW w:w="606" w:type="pct"/>
            <w:tcBorders>
              <w:bottom w:val="single" w:sz="4" w:space="0" w:color="auto"/>
            </w:tcBorders>
            <w:vAlign w:val="center"/>
          </w:tcPr>
          <w:p w:rsidR="0082788C" w:rsidRPr="00CE0BE9" w:rsidRDefault="0082788C" w:rsidP="008539A6">
            <w:pPr>
              <w:pStyle w:val="Tabletext"/>
            </w:pPr>
          </w:p>
        </w:tc>
        <w:tc>
          <w:tcPr>
            <w:tcW w:w="605" w:type="pct"/>
            <w:tcBorders>
              <w:bottom w:val="single" w:sz="4" w:space="0" w:color="auto"/>
            </w:tcBorders>
            <w:vAlign w:val="center"/>
          </w:tcPr>
          <w:p w:rsidR="0082788C" w:rsidRPr="00CE0BE9" w:rsidRDefault="0082788C" w:rsidP="008539A6">
            <w:pPr>
              <w:pStyle w:val="Tabletext"/>
            </w:pPr>
            <w:proofErr w:type="gramStart"/>
            <w:r w:rsidRPr="00CE0BE9">
              <w:t>n/N</w:t>
            </w:r>
            <w:proofErr w:type="gramEnd"/>
            <w:r w:rsidRPr="00CE0BE9">
              <w:t xml:space="preserve"> event (%)</w:t>
            </w:r>
          </w:p>
        </w:tc>
        <w:tc>
          <w:tcPr>
            <w:tcW w:w="685" w:type="pct"/>
            <w:tcBorders>
              <w:bottom w:val="single" w:sz="4" w:space="0" w:color="auto"/>
            </w:tcBorders>
            <w:vAlign w:val="center"/>
          </w:tcPr>
          <w:p w:rsidR="0082788C" w:rsidRPr="00CE0BE9" w:rsidRDefault="0082788C" w:rsidP="008539A6">
            <w:pPr>
              <w:pStyle w:val="Tabletext"/>
            </w:pPr>
            <w:r w:rsidRPr="00CE0BE9">
              <w:t xml:space="preserve">Median PFS, </w:t>
            </w:r>
            <w:proofErr w:type="spellStart"/>
            <w:r w:rsidRPr="00CE0BE9">
              <w:t>mths</w:t>
            </w:r>
            <w:proofErr w:type="spellEnd"/>
            <w:r w:rsidRPr="00CE0BE9">
              <w:t xml:space="preserve"> (95% CI)</w:t>
            </w:r>
          </w:p>
        </w:tc>
        <w:tc>
          <w:tcPr>
            <w:tcW w:w="604" w:type="pct"/>
            <w:tcBorders>
              <w:bottom w:val="single" w:sz="4" w:space="0" w:color="auto"/>
            </w:tcBorders>
            <w:vAlign w:val="center"/>
          </w:tcPr>
          <w:p w:rsidR="0082788C" w:rsidRPr="00CE0BE9" w:rsidRDefault="0082788C" w:rsidP="008539A6">
            <w:pPr>
              <w:pStyle w:val="Tabletext"/>
            </w:pPr>
            <w:proofErr w:type="gramStart"/>
            <w:r w:rsidRPr="00CE0BE9">
              <w:t>n/N</w:t>
            </w:r>
            <w:proofErr w:type="gramEnd"/>
            <w:r w:rsidRPr="00CE0BE9">
              <w:t xml:space="preserve"> event (%)</w:t>
            </w:r>
          </w:p>
        </w:tc>
        <w:tc>
          <w:tcPr>
            <w:tcW w:w="777" w:type="pct"/>
            <w:tcBorders>
              <w:bottom w:val="single" w:sz="4" w:space="0" w:color="auto"/>
            </w:tcBorders>
            <w:vAlign w:val="center"/>
          </w:tcPr>
          <w:p w:rsidR="0082788C" w:rsidRPr="00CE0BE9" w:rsidRDefault="0082788C" w:rsidP="008539A6">
            <w:pPr>
              <w:pStyle w:val="Tabletext"/>
            </w:pPr>
            <w:r w:rsidRPr="00CE0BE9">
              <w:t xml:space="preserve">Median PFS, </w:t>
            </w:r>
            <w:proofErr w:type="spellStart"/>
            <w:r w:rsidRPr="00CE0BE9">
              <w:t>mths</w:t>
            </w:r>
            <w:proofErr w:type="spellEnd"/>
            <w:r w:rsidRPr="00CE0BE9">
              <w:t xml:space="preserve"> (95% CI)</w:t>
            </w:r>
          </w:p>
        </w:tc>
        <w:tc>
          <w:tcPr>
            <w:tcW w:w="592" w:type="pct"/>
            <w:vMerge/>
            <w:tcBorders>
              <w:bottom w:val="single" w:sz="4" w:space="0" w:color="auto"/>
            </w:tcBorders>
            <w:vAlign w:val="center"/>
          </w:tcPr>
          <w:p w:rsidR="0082788C" w:rsidRPr="00CE0BE9" w:rsidRDefault="0082788C" w:rsidP="008539A6">
            <w:pPr>
              <w:pStyle w:val="Tabletext"/>
            </w:pPr>
          </w:p>
        </w:tc>
        <w:tc>
          <w:tcPr>
            <w:tcW w:w="530" w:type="pct"/>
            <w:vMerge/>
            <w:tcBorders>
              <w:bottom w:val="single" w:sz="4" w:space="0" w:color="auto"/>
            </w:tcBorders>
            <w:vAlign w:val="center"/>
          </w:tcPr>
          <w:p w:rsidR="0082788C" w:rsidRPr="00CE0BE9" w:rsidRDefault="0082788C" w:rsidP="008539A6">
            <w:pPr>
              <w:pStyle w:val="Tabletext"/>
            </w:pPr>
          </w:p>
        </w:tc>
        <w:tc>
          <w:tcPr>
            <w:tcW w:w="601" w:type="pct"/>
            <w:vMerge/>
            <w:tcBorders>
              <w:bottom w:val="single" w:sz="4" w:space="0" w:color="auto"/>
            </w:tcBorders>
            <w:vAlign w:val="center"/>
          </w:tcPr>
          <w:p w:rsidR="0082788C" w:rsidRPr="00CE0BE9" w:rsidRDefault="0082788C" w:rsidP="008539A6">
            <w:pPr>
              <w:pStyle w:val="Tabletext"/>
            </w:pPr>
          </w:p>
        </w:tc>
      </w:tr>
      <w:tr w:rsidR="004E27F8" w:rsidRPr="00CE0BE9" w:rsidTr="004E27F8">
        <w:tc>
          <w:tcPr>
            <w:tcW w:w="5000" w:type="pct"/>
            <w:gridSpan w:val="8"/>
            <w:vAlign w:val="center"/>
          </w:tcPr>
          <w:p w:rsidR="004E27F8" w:rsidRPr="00CE0BE9" w:rsidRDefault="004E27F8" w:rsidP="008539A6">
            <w:pPr>
              <w:pStyle w:val="Tabletext"/>
              <w:rPr>
                <w:b/>
              </w:rPr>
            </w:pPr>
            <w:proofErr w:type="spellStart"/>
            <w:r>
              <w:t>Lenalidomide</w:t>
            </w:r>
            <w:proofErr w:type="spellEnd"/>
            <w:r>
              <w:t xml:space="preserve"> vs. BSC</w:t>
            </w:r>
          </w:p>
        </w:tc>
      </w:tr>
      <w:tr w:rsidR="0082788C" w:rsidRPr="00CE0BE9" w:rsidTr="004E27F8">
        <w:tc>
          <w:tcPr>
            <w:tcW w:w="606" w:type="pct"/>
            <w:vAlign w:val="center"/>
          </w:tcPr>
          <w:p w:rsidR="009978C2" w:rsidRDefault="009978C2" w:rsidP="008539A6">
            <w:pPr>
              <w:pStyle w:val="Tabletext"/>
            </w:pPr>
            <w:r w:rsidRPr="00CE0BE9">
              <w:t xml:space="preserve">CALGB </w:t>
            </w:r>
          </w:p>
          <w:p w:rsidR="0082788C" w:rsidRPr="00CE0BE9" w:rsidRDefault="0082788C" w:rsidP="008539A6">
            <w:pPr>
              <w:pStyle w:val="Tabletext"/>
            </w:pPr>
            <w:r w:rsidRPr="00CE0BE9">
              <w:t>Oct 2016</w:t>
            </w:r>
            <w:r w:rsidRPr="00CE0BE9">
              <w:rPr>
                <w:vertAlign w:val="superscript"/>
              </w:rPr>
              <w:t>a</w:t>
            </w:r>
          </w:p>
        </w:tc>
        <w:tc>
          <w:tcPr>
            <w:tcW w:w="605" w:type="pct"/>
            <w:vAlign w:val="center"/>
          </w:tcPr>
          <w:p w:rsidR="0082788C" w:rsidRPr="00CE0BE9" w:rsidRDefault="0082788C" w:rsidP="008539A6">
            <w:pPr>
              <w:pStyle w:val="Tabletext"/>
            </w:pPr>
            <w:r w:rsidRPr="00CE0BE9">
              <w:t>146/231 (63%)</w:t>
            </w:r>
          </w:p>
        </w:tc>
        <w:tc>
          <w:tcPr>
            <w:tcW w:w="685" w:type="pct"/>
            <w:vAlign w:val="center"/>
          </w:tcPr>
          <w:p w:rsidR="0082788C" w:rsidRPr="00CE0BE9" w:rsidRDefault="0082788C" w:rsidP="008539A6">
            <w:pPr>
              <w:pStyle w:val="Tabletext"/>
            </w:pPr>
            <w:r w:rsidRPr="00CE0BE9">
              <w:t xml:space="preserve">57.3 </w:t>
            </w:r>
          </w:p>
          <w:p w:rsidR="0082788C" w:rsidRPr="00CE0BE9" w:rsidRDefault="0082788C" w:rsidP="008539A6">
            <w:pPr>
              <w:pStyle w:val="Tabletext"/>
            </w:pPr>
            <w:r w:rsidRPr="00CE0BE9">
              <w:t>(44.2, 73.3)</w:t>
            </w:r>
          </w:p>
        </w:tc>
        <w:tc>
          <w:tcPr>
            <w:tcW w:w="604" w:type="pct"/>
            <w:vAlign w:val="center"/>
          </w:tcPr>
          <w:p w:rsidR="0082788C" w:rsidRPr="00CE0BE9" w:rsidRDefault="0082788C" w:rsidP="008539A6">
            <w:pPr>
              <w:pStyle w:val="Tabletext"/>
            </w:pPr>
            <w:r w:rsidRPr="00CE0BE9">
              <w:t>176/229 (77%)</w:t>
            </w:r>
          </w:p>
        </w:tc>
        <w:tc>
          <w:tcPr>
            <w:tcW w:w="777" w:type="pct"/>
            <w:vAlign w:val="center"/>
          </w:tcPr>
          <w:p w:rsidR="0082788C" w:rsidRPr="00CE0BE9" w:rsidRDefault="0082788C" w:rsidP="008539A6">
            <w:pPr>
              <w:pStyle w:val="Tabletext"/>
            </w:pPr>
            <w:r w:rsidRPr="00CE0BE9">
              <w:t xml:space="preserve">28.9 </w:t>
            </w:r>
          </w:p>
          <w:p w:rsidR="0082788C" w:rsidRPr="00CE0BE9" w:rsidRDefault="0082788C" w:rsidP="008539A6">
            <w:pPr>
              <w:pStyle w:val="Tabletext"/>
            </w:pPr>
            <w:r w:rsidRPr="00CE0BE9">
              <w:t>(23.0, 36.3)</w:t>
            </w:r>
          </w:p>
        </w:tc>
        <w:tc>
          <w:tcPr>
            <w:tcW w:w="592" w:type="pct"/>
            <w:vAlign w:val="center"/>
          </w:tcPr>
          <w:p w:rsidR="0082788C" w:rsidRPr="00CE0BE9" w:rsidRDefault="0082788C" w:rsidP="008539A6">
            <w:pPr>
              <w:pStyle w:val="Tabletext"/>
            </w:pPr>
            <w:r w:rsidRPr="00CE0BE9">
              <w:t>28.4</w:t>
            </w:r>
          </w:p>
        </w:tc>
        <w:tc>
          <w:tcPr>
            <w:tcW w:w="530" w:type="pct"/>
            <w:vAlign w:val="center"/>
          </w:tcPr>
          <w:p w:rsidR="0082788C" w:rsidRPr="00CE0BE9" w:rsidRDefault="0082788C" w:rsidP="008539A6">
            <w:pPr>
              <w:pStyle w:val="Tabletext"/>
            </w:pPr>
            <w:r w:rsidRPr="00CE0BE9">
              <w:t>p&lt;0.001</w:t>
            </w:r>
          </w:p>
        </w:tc>
        <w:tc>
          <w:tcPr>
            <w:tcW w:w="601" w:type="pct"/>
            <w:vAlign w:val="center"/>
          </w:tcPr>
          <w:p w:rsidR="0082788C" w:rsidRPr="00CE0BE9" w:rsidRDefault="0082788C" w:rsidP="008539A6">
            <w:pPr>
              <w:pStyle w:val="Tabletext"/>
              <w:rPr>
                <w:b/>
              </w:rPr>
            </w:pPr>
            <w:r w:rsidRPr="00CE0BE9">
              <w:rPr>
                <w:b/>
              </w:rPr>
              <w:t xml:space="preserve">0.57 </w:t>
            </w:r>
          </w:p>
          <w:p w:rsidR="0082788C" w:rsidRPr="00CE0BE9" w:rsidRDefault="0082788C" w:rsidP="008539A6">
            <w:pPr>
              <w:pStyle w:val="Tabletext"/>
            </w:pPr>
            <w:r w:rsidRPr="00CE0BE9">
              <w:rPr>
                <w:b/>
              </w:rPr>
              <w:t>(0.46, 0.71)</w:t>
            </w:r>
          </w:p>
        </w:tc>
      </w:tr>
      <w:tr w:rsidR="003C3B9B" w:rsidRPr="00CE0BE9" w:rsidTr="004E27F8">
        <w:tc>
          <w:tcPr>
            <w:tcW w:w="606" w:type="pct"/>
            <w:vAlign w:val="center"/>
          </w:tcPr>
          <w:p w:rsidR="003C3B9B" w:rsidRDefault="003C3B9B" w:rsidP="008539A6">
            <w:pPr>
              <w:pStyle w:val="Tabletext"/>
            </w:pPr>
            <w:r>
              <w:t>IFM 2005-02</w:t>
            </w:r>
          </w:p>
          <w:p w:rsidR="003C3B9B" w:rsidRPr="00CE0BE9" w:rsidRDefault="003C3B9B" w:rsidP="008539A6">
            <w:pPr>
              <w:pStyle w:val="Tabletext"/>
            </w:pPr>
            <w:r w:rsidRPr="00CE0BE9">
              <w:t>Feb 2016</w:t>
            </w:r>
            <w:r w:rsidRPr="00CE0BE9">
              <w:rPr>
                <w:vertAlign w:val="superscript"/>
              </w:rPr>
              <w:t>b</w:t>
            </w:r>
          </w:p>
        </w:tc>
        <w:tc>
          <w:tcPr>
            <w:tcW w:w="605" w:type="pct"/>
            <w:vAlign w:val="center"/>
          </w:tcPr>
          <w:p w:rsidR="003C3B9B" w:rsidRPr="00CE0BE9" w:rsidRDefault="003C3B9B" w:rsidP="008539A6">
            <w:pPr>
              <w:pStyle w:val="Tabletext"/>
            </w:pPr>
            <w:r w:rsidRPr="00CE0BE9">
              <w:rPr>
                <w:rFonts w:eastAsia="SimSun"/>
                <w:iCs/>
                <w:szCs w:val="18"/>
                <w:bdr w:val="none" w:sz="0" w:space="0" w:color="auto" w:frame="1"/>
                <w:lang w:eastAsia="en-AU"/>
              </w:rPr>
              <w:t>218/307 (71.0%)</w:t>
            </w:r>
          </w:p>
        </w:tc>
        <w:tc>
          <w:tcPr>
            <w:tcW w:w="685" w:type="pct"/>
            <w:vAlign w:val="center"/>
          </w:tcPr>
          <w:p w:rsidR="003C3B9B" w:rsidRPr="00CE0BE9" w:rsidRDefault="003C3B9B" w:rsidP="008539A6">
            <w:pPr>
              <w:pStyle w:val="Tabletext"/>
              <w:rPr>
                <w:rFonts w:eastAsia="SimSun"/>
                <w:iCs/>
                <w:szCs w:val="18"/>
                <w:bdr w:val="none" w:sz="0" w:space="0" w:color="auto" w:frame="1"/>
                <w:lang w:eastAsia="en-AU"/>
              </w:rPr>
            </w:pPr>
            <w:r w:rsidRPr="00CE0BE9">
              <w:rPr>
                <w:rFonts w:eastAsia="SimSun"/>
                <w:iCs/>
                <w:szCs w:val="18"/>
                <w:bdr w:val="none" w:sz="0" w:space="0" w:color="auto" w:frame="1"/>
                <w:lang w:eastAsia="en-AU"/>
              </w:rPr>
              <w:t xml:space="preserve">44.4 </w:t>
            </w:r>
          </w:p>
          <w:p w:rsidR="003C3B9B" w:rsidRPr="00CE0BE9" w:rsidRDefault="003C3B9B" w:rsidP="008539A6">
            <w:pPr>
              <w:pStyle w:val="Tabletext"/>
            </w:pPr>
            <w:r w:rsidRPr="00CE0BE9">
              <w:rPr>
                <w:rFonts w:eastAsia="SimSun"/>
                <w:iCs/>
                <w:szCs w:val="18"/>
                <w:bdr w:val="none" w:sz="0" w:space="0" w:color="auto" w:frame="1"/>
                <w:lang w:eastAsia="en-AU"/>
              </w:rPr>
              <w:t>(39.6, 52.0)</w:t>
            </w:r>
          </w:p>
        </w:tc>
        <w:tc>
          <w:tcPr>
            <w:tcW w:w="604" w:type="pct"/>
            <w:vAlign w:val="center"/>
          </w:tcPr>
          <w:p w:rsidR="003C3B9B" w:rsidRPr="00CE0BE9" w:rsidRDefault="003C3B9B" w:rsidP="008539A6">
            <w:pPr>
              <w:pStyle w:val="Tabletext"/>
            </w:pPr>
            <w:r w:rsidRPr="00CE0BE9">
              <w:rPr>
                <w:rFonts w:eastAsia="SimSun"/>
                <w:iCs/>
                <w:szCs w:val="18"/>
                <w:bdr w:val="none" w:sz="0" w:space="0" w:color="auto" w:frame="1"/>
                <w:lang w:eastAsia="en-AU"/>
              </w:rPr>
              <w:t>257/307 (83.7%)</w:t>
            </w:r>
          </w:p>
        </w:tc>
        <w:tc>
          <w:tcPr>
            <w:tcW w:w="777" w:type="pct"/>
            <w:vAlign w:val="center"/>
          </w:tcPr>
          <w:p w:rsidR="003C3B9B" w:rsidRPr="00CE0BE9" w:rsidRDefault="003C3B9B" w:rsidP="008539A6">
            <w:pPr>
              <w:pStyle w:val="Tabletext"/>
              <w:rPr>
                <w:rFonts w:eastAsia="SimSun"/>
                <w:iCs/>
                <w:szCs w:val="18"/>
                <w:bdr w:val="none" w:sz="0" w:space="0" w:color="auto" w:frame="1"/>
                <w:lang w:eastAsia="en-AU"/>
              </w:rPr>
            </w:pPr>
            <w:r w:rsidRPr="00CE0BE9">
              <w:rPr>
                <w:rFonts w:eastAsia="SimSun"/>
                <w:iCs/>
                <w:szCs w:val="18"/>
                <w:bdr w:val="none" w:sz="0" w:space="0" w:color="auto" w:frame="1"/>
                <w:lang w:eastAsia="en-AU"/>
              </w:rPr>
              <w:t xml:space="preserve">23.8 </w:t>
            </w:r>
          </w:p>
          <w:p w:rsidR="003C3B9B" w:rsidRPr="00CE0BE9" w:rsidRDefault="003C3B9B" w:rsidP="008539A6">
            <w:pPr>
              <w:pStyle w:val="Tabletext"/>
            </w:pPr>
            <w:r w:rsidRPr="00CE0BE9">
              <w:rPr>
                <w:rFonts w:eastAsia="SimSun"/>
                <w:iCs/>
                <w:szCs w:val="18"/>
                <w:bdr w:val="none" w:sz="0" w:space="0" w:color="auto" w:frame="1"/>
                <w:lang w:eastAsia="en-AU"/>
              </w:rPr>
              <w:t>(21.2, 27.3)</w:t>
            </w:r>
          </w:p>
        </w:tc>
        <w:tc>
          <w:tcPr>
            <w:tcW w:w="592" w:type="pct"/>
            <w:vAlign w:val="center"/>
          </w:tcPr>
          <w:p w:rsidR="003C3B9B" w:rsidRPr="00CE0BE9" w:rsidRDefault="003C3B9B" w:rsidP="008539A6">
            <w:pPr>
              <w:pStyle w:val="Tabletext"/>
            </w:pPr>
            <w:r w:rsidRPr="00CE0BE9">
              <w:rPr>
                <w:rFonts w:eastAsia="SimSun"/>
                <w:iCs/>
                <w:szCs w:val="18"/>
                <w:bdr w:val="none" w:sz="0" w:space="0" w:color="auto" w:frame="1"/>
                <w:lang w:eastAsia="en-AU"/>
              </w:rPr>
              <w:t>20.6</w:t>
            </w:r>
          </w:p>
        </w:tc>
        <w:tc>
          <w:tcPr>
            <w:tcW w:w="530" w:type="pct"/>
            <w:vAlign w:val="center"/>
          </w:tcPr>
          <w:p w:rsidR="003C3B9B" w:rsidRPr="00CE0BE9" w:rsidRDefault="003C3B9B" w:rsidP="008539A6">
            <w:pPr>
              <w:pStyle w:val="Tabletext"/>
            </w:pPr>
            <w:r w:rsidRPr="00CE0BE9">
              <w:rPr>
                <w:rFonts w:eastAsia="SimSun"/>
                <w:iCs/>
                <w:szCs w:val="18"/>
                <w:bdr w:val="none" w:sz="0" w:space="0" w:color="auto" w:frame="1"/>
                <w:lang w:eastAsia="en-AU"/>
              </w:rPr>
              <w:t>p&lt; 0.001</w:t>
            </w:r>
          </w:p>
        </w:tc>
        <w:tc>
          <w:tcPr>
            <w:tcW w:w="601" w:type="pct"/>
            <w:vAlign w:val="center"/>
          </w:tcPr>
          <w:p w:rsidR="003C3B9B" w:rsidRPr="00CE0BE9" w:rsidRDefault="003C3B9B" w:rsidP="008539A6">
            <w:pPr>
              <w:pStyle w:val="Tabletext"/>
              <w:rPr>
                <w:rFonts w:eastAsia="SimSun"/>
                <w:b/>
                <w:iCs/>
                <w:szCs w:val="18"/>
                <w:bdr w:val="none" w:sz="0" w:space="0" w:color="auto" w:frame="1"/>
                <w:lang w:eastAsia="en-AU"/>
              </w:rPr>
            </w:pPr>
            <w:r w:rsidRPr="00CE0BE9">
              <w:rPr>
                <w:rFonts w:eastAsia="SimSun"/>
                <w:b/>
                <w:iCs/>
                <w:szCs w:val="18"/>
                <w:bdr w:val="none" w:sz="0" w:space="0" w:color="auto" w:frame="1"/>
                <w:lang w:eastAsia="en-AU"/>
              </w:rPr>
              <w:t xml:space="preserve">0.57 </w:t>
            </w:r>
          </w:p>
          <w:p w:rsidR="003C3B9B" w:rsidRPr="00CE0BE9" w:rsidRDefault="003C3B9B" w:rsidP="008539A6">
            <w:pPr>
              <w:pStyle w:val="Tabletext"/>
              <w:rPr>
                <w:b/>
              </w:rPr>
            </w:pPr>
            <w:r w:rsidRPr="00CE0BE9">
              <w:rPr>
                <w:rFonts w:eastAsia="SimSun"/>
                <w:b/>
                <w:iCs/>
                <w:szCs w:val="18"/>
                <w:bdr w:val="none" w:sz="0" w:space="0" w:color="auto" w:frame="1"/>
                <w:lang w:eastAsia="en-AU"/>
              </w:rPr>
              <w:t>(0.47, 0.68)</w:t>
            </w:r>
          </w:p>
        </w:tc>
      </w:tr>
      <w:tr w:rsidR="004E27F8" w:rsidRPr="00CE0BE9" w:rsidTr="004E27F8">
        <w:tc>
          <w:tcPr>
            <w:tcW w:w="5000" w:type="pct"/>
            <w:gridSpan w:val="8"/>
            <w:tcBorders>
              <w:bottom w:val="single" w:sz="4" w:space="0" w:color="auto"/>
            </w:tcBorders>
            <w:vAlign w:val="center"/>
          </w:tcPr>
          <w:p w:rsidR="004E27F8" w:rsidRDefault="004E27F8" w:rsidP="009978C2">
            <w:pPr>
              <w:pStyle w:val="Tabletext"/>
              <w:rPr>
                <w:b/>
              </w:rPr>
            </w:pPr>
            <w:proofErr w:type="spellStart"/>
            <w:r>
              <w:t>Thalidmoide</w:t>
            </w:r>
            <w:proofErr w:type="spellEnd"/>
            <w:r>
              <w:t xml:space="preserve"> vs BSC</w:t>
            </w:r>
          </w:p>
        </w:tc>
      </w:tr>
      <w:tr w:rsidR="003C3B9B" w:rsidRPr="00CE0BE9" w:rsidTr="004E27F8">
        <w:tc>
          <w:tcPr>
            <w:tcW w:w="606" w:type="pct"/>
            <w:vAlign w:val="center"/>
          </w:tcPr>
          <w:p w:rsidR="003C3B9B" w:rsidRDefault="003C3B9B" w:rsidP="008539A6">
            <w:pPr>
              <w:pStyle w:val="Tabletext"/>
            </w:pPr>
            <w:r>
              <w:t>MM6</w:t>
            </w:r>
          </w:p>
          <w:p w:rsidR="003C3B9B" w:rsidRPr="00CE0BE9" w:rsidRDefault="003C3B9B" w:rsidP="008539A6">
            <w:pPr>
              <w:pStyle w:val="Tabletext"/>
            </w:pPr>
            <w:r>
              <w:t>5.4 year follow-up</w:t>
            </w:r>
          </w:p>
        </w:tc>
        <w:tc>
          <w:tcPr>
            <w:tcW w:w="605" w:type="pct"/>
            <w:vAlign w:val="center"/>
          </w:tcPr>
          <w:p w:rsidR="003C3B9B" w:rsidRPr="00CE0BE9" w:rsidRDefault="003C3B9B" w:rsidP="008539A6">
            <w:pPr>
              <w:pStyle w:val="Tabletext"/>
            </w:pPr>
            <w:r>
              <w:t>-</w:t>
            </w:r>
          </w:p>
        </w:tc>
        <w:tc>
          <w:tcPr>
            <w:tcW w:w="685" w:type="pct"/>
            <w:vAlign w:val="center"/>
          </w:tcPr>
          <w:p w:rsidR="003C3B9B" w:rsidRPr="00CE0BE9" w:rsidRDefault="003C3B9B" w:rsidP="008539A6">
            <w:pPr>
              <w:pStyle w:val="Tabletext"/>
            </w:pPr>
            <w:r w:rsidRPr="00CE0BE9">
              <w:t>32.4 (25.2, 38.4)</w:t>
            </w:r>
          </w:p>
        </w:tc>
        <w:tc>
          <w:tcPr>
            <w:tcW w:w="604" w:type="pct"/>
            <w:vAlign w:val="center"/>
          </w:tcPr>
          <w:p w:rsidR="003C3B9B" w:rsidRPr="00CE0BE9" w:rsidRDefault="003C3B9B" w:rsidP="008539A6">
            <w:pPr>
              <w:pStyle w:val="Tabletext"/>
            </w:pPr>
            <w:r>
              <w:t>-</w:t>
            </w:r>
          </w:p>
        </w:tc>
        <w:tc>
          <w:tcPr>
            <w:tcW w:w="777" w:type="pct"/>
            <w:vAlign w:val="center"/>
          </w:tcPr>
          <w:p w:rsidR="003C3B9B" w:rsidRPr="00CE0BE9" w:rsidRDefault="003C3B9B" w:rsidP="008539A6">
            <w:pPr>
              <w:pStyle w:val="Tabletext"/>
            </w:pPr>
            <w:r w:rsidRPr="00CE0BE9">
              <w:t>18.0 (13.2, 21.6)</w:t>
            </w:r>
          </w:p>
        </w:tc>
        <w:tc>
          <w:tcPr>
            <w:tcW w:w="592" w:type="pct"/>
            <w:vAlign w:val="center"/>
          </w:tcPr>
          <w:p w:rsidR="003C3B9B" w:rsidRPr="00CE0BE9" w:rsidRDefault="003C3B9B" w:rsidP="008539A6">
            <w:pPr>
              <w:pStyle w:val="Tabletext"/>
            </w:pPr>
            <w:r w:rsidRPr="00CE0BE9">
              <w:t>14.4</w:t>
            </w:r>
          </w:p>
        </w:tc>
        <w:tc>
          <w:tcPr>
            <w:tcW w:w="530" w:type="pct"/>
            <w:vAlign w:val="center"/>
          </w:tcPr>
          <w:p w:rsidR="003C3B9B" w:rsidRPr="004E27F8" w:rsidRDefault="003C3B9B" w:rsidP="008539A6">
            <w:pPr>
              <w:pStyle w:val="Tabletext"/>
            </w:pPr>
            <w:r w:rsidRPr="004E27F8">
              <w:t>p=0.005</w:t>
            </w:r>
          </w:p>
        </w:tc>
        <w:tc>
          <w:tcPr>
            <w:tcW w:w="601" w:type="pct"/>
            <w:vAlign w:val="center"/>
          </w:tcPr>
          <w:p w:rsidR="003C3B9B" w:rsidRPr="00CE0BE9" w:rsidRDefault="003C3B9B" w:rsidP="009978C2">
            <w:pPr>
              <w:pStyle w:val="Tabletext"/>
              <w:rPr>
                <w:b/>
              </w:rPr>
            </w:pPr>
            <w:r>
              <w:rPr>
                <w:b/>
              </w:rPr>
              <w:t>0.16 (0.04, 0.58)</w:t>
            </w:r>
          </w:p>
        </w:tc>
      </w:tr>
      <w:tr w:rsidR="00CE6401" w:rsidRPr="00CE0BE9" w:rsidTr="00CC39ED">
        <w:tc>
          <w:tcPr>
            <w:tcW w:w="606" w:type="pct"/>
            <w:vAlign w:val="center"/>
          </w:tcPr>
          <w:p w:rsidR="00CE6401" w:rsidRDefault="00CE6401" w:rsidP="008539A6">
            <w:pPr>
              <w:pStyle w:val="Tabletext"/>
            </w:pPr>
            <w:r w:rsidRPr="00CE0BE9">
              <w:t>Myeloma IX (October 2009)</w:t>
            </w:r>
            <w:r>
              <w:t xml:space="preserve"> ASCT sub-group</w:t>
            </w:r>
          </w:p>
        </w:tc>
        <w:tc>
          <w:tcPr>
            <w:tcW w:w="605" w:type="pct"/>
          </w:tcPr>
          <w:p w:rsidR="00CE6401" w:rsidRDefault="00CE6401" w:rsidP="008539A6">
            <w:pPr>
              <w:pStyle w:val="Tabletext"/>
            </w:pPr>
            <w:r w:rsidRPr="00CE0BE9">
              <w:t>NR</w:t>
            </w:r>
          </w:p>
        </w:tc>
        <w:tc>
          <w:tcPr>
            <w:tcW w:w="685" w:type="pct"/>
          </w:tcPr>
          <w:p w:rsidR="00CE6401" w:rsidRPr="00CE0BE9" w:rsidRDefault="00CE6401" w:rsidP="008539A6">
            <w:pPr>
              <w:pStyle w:val="Tabletext"/>
            </w:pPr>
            <w:r w:rsidRPr="00CE0BE9">
              <w:t>30 (NR)</w:t>
            </w:r>
          </w:p>
        </w:tc>
        <w:tc>
          <w:tcPr>
            <w:tcW w:w="604" w:type="pct"/>
          </w:tcPr>
          <w:p w:rsidR="00CE6401" w:rsidRDefault="00CE6401" w:rsidP="008539A6">
            <w:pPr>
              <w:pStyle w:val="Tabletext"/>
            </w:pPr>
            <w:r w:rsidRPr="00CE0BE9">
              <w:t>NR</w:t>
            </w:r>
          </w:p>
        </w:tc>
        <w:tc>
          <w:tcPr>
            <w:tcW w:w="777" w:type="pct"/>
          </w:tcPr>
          <w:p w:rsidR="00CE6401" w:rsidRPr="00CE0BE9" w:rsidRDefault="00CE6401" w:rsidP="008539A6">
            <w:pPr>
              <w:pStyle w:val="Tabletext"/>
            </w:pPr>
            <w:r w:rsidRPr="00CE0BE9">
              <w:t>23 (NR)</w:t>
            </w:r>
          </w:p>
        </w:tc>
        <w:tc>
          <w:tcPr>
            <w:tcW w:w="592" w:type="pct"/>
          </w:tcPr>
          <w:p w:rsidR="00CE6401" w:rsidRPr="00CE0BE9" w:rsidRDefault="00CE6401" w:rsidP="008539A6">
            <w:pPr>
              <w:pStyle w:val="Tabletext"/>
            </w:pPr>
            <w:r w:rsidRPr="00CE0BE9">
              <w:t>7</w:t>
            </w:r>
          </w:p>
        </w:tc>
        <w:tc>
          <w:tcPr>
            <w:tcW w:w="530" w:type="pct"/>
          </w:tcPr>
          <w:p w:rsidR="00CE6401" w:rsidRPr="004E27F8" w:rsidRDefault="00CE6401" w:rsidP="008539A6">
            <w:pPr>
              <w:pStyle w:val="Tabletext"/>
            </w:pPr>
            <w:r w:rsidRPr="00CE0BE9">
              <w:t>p=0.003</w:t>
            </w:r>
          </w:p>
        </w:tc>
        <w:tc>
          <w:tcPr>
            <w:tcW w:w="601" w:type="pct"/>
          </w:tcPr>
          <w:p w:rsidR="00CE6401" w:rsidRDefault="00CE6401" w:rsidP="009978C2">
            <w:pPr>
              <w:pStyle w:val="Tabletext"/>
              <w:rPr>
                <w:b/>
              </w:rPr>
            </w:pPr>
            <w:r w:rsidRPr="00CE0BE9">
              <w:rPr>
                <w:b/>
              </w:rPr>
              <w:t>0.70 (0.56, 0.88)</w:t>
            </w:r>
          </w:p>
        </w:tc>
      </w:tr>
    </w:tbl>
    <w:p w:rsidR="003C3B9B" w:rsidRPr="00CE0BE9" w:rsidRDefault="003C3B9B" w:rsidP="003C3B9B">
      <w:pPr>
        <w:pStyle w:val="TableFooter"/>
        <w:rPr>
          <w:rFonts w:eastAsia="Calibri"/>
        </w:rPr>
      </w:pPr>
      <w:r w:rsidRPr="00CE0BE9">
        <w:t xml:space="preserve">Abbreviations: BSC=best supportive care; </w:t>
      </w:r>
      <w:r w:rsidRPr="00CE0BE9">
        <w:rPr>
          <w:rFonts w:eastAsia="Calibri"/>
        </w:rPr>
        <w:t>CI= confidence interval; n= number of participants reporting data; N= total participants in group; NE= not evaluable.</w:t>
      </w:r>
    </w:p>
    <w:p w:rsidR="003C3B9B" w:rsidRPr="00CE0BE9" w:rsidRDefault="003C3B9B" w:rsidP="003C3B9B">
      <w:pPr>
        <w:pStyle w:val="TableFooter"/>
      </w:pPr>
      <w:r w:rsidRPr="00CE0BE9">
        <w:rPr>
          <w:rFonts w:eastAsia="Calibri"/>
        </w:rPr>
        <w:t xml:space="preserve">Notes: </w:t>
      </w:r>
      <w:proofErr w:type="gramStart"/>
      <w:r w:rsidRPr="00CE0BE9">
        <w:rPr>
          <w:rFonts w:eastAsia="Calibri"/>
        </w:rPr>
        <w:t>a from</w:t>
      </w:r>
      <w:proofErr w:type="gramEnd"/>
      <w:r w:rsidRPr="00CE0BE9">
        <w:rPr>
          <w:rFonts w:eastAsia="Calibri"/>
        </w:rPr>
        <w:t xml:space="preserve"> ASCT; b from maintenance randomisation. </w:t>
      </w:r>
      <w:r w:rsidRPr="00CE0BE9">
        <w:t xml:space="preserve">Note: Spencer 2009 reported median PFS in days, this was converted into months. </w:t>
      </w:r>
      <w:proofErr w:type="spellStart"/>
      <w:r w:rsidRPr="00CE0BE9">
        <w:t>Kalff</w:t>
      </w:r>
      <w:proofErr w:type="spellEnd"/>
      <w:r w:rsidRPr="00CE0BE9">
        <w:t xml:space="preserve"> 2014 reported median PFS and OS in years, this was converted into months. Median follow-up in </w:t>
      </w:r>
      <w:proofErr w:type="spellStart"/>
      <w:r w:rsidRPr="00CE0BE9">
        <w:t>Kalff</w:t>
      </w:r>
      <w:proofErr w:type="spellEnd"/>
      <w:r w:rsidRPr="00CE0BE9">
        <w:t xml:space="preserve"> et al. 2014 was 5.4 years (IQR 3.1-7.2). Median follow-up in Spencer 2009 was approx. 3 years. </w:t>
      </w:r>
      <w:proofErr w:type="gramStart"/>
      <w:r w:rsidRPr="00CE0BE9">
        <w:t>Statistically significant differences bolded.</w:t>
      </w:r>
      <w:proofErr w:type="gramEnd"/>
    </w:p>
    <w:p w:rsidR="003C3B9B" w:rsidRPr="00CE0BE9" w:rsidRDefault="003C3B9B" w:rsidP="003C3B9B">
      <w:pPr>
        <w:pStyle w:val="TableFooter"/>
        <w:rPr>
          <w:sz w:val="20"/>
        </w:rPr>
      </w:pPr>
      <w:r w:rsidRPr="00CE0BE9">
        <w:t xml:space="preserve">Source: MM6 from Spencer 2009 and </w:t>
      </w:r>
      <w:proofErr w:type="spellStart"/>
      <w:r w:rsidRPr="00CE0BE9">
        <w:t>Kalff</w:t>
      </w:r>
      <w:proofErr w:type="spellEnd"/>
      <w:r w:rsidRPr="00CE0BE9">
        <w:t xml:space="preserve"> 2014. </w:t>
      </w:r>
      <w:proofErr w:type="gramStart"/>
      <w:r w:rsidRPr="00CE0BE9">
        <w:t>Myeloma X from Stewart 2013.</w:t>
      </w:r>
      <w:proofErr w:type="gramEnd"/>
      <w:r w:rsidRPr="00CE0BE9">
        <w:t xml:space="preserve"> </w:t>
      </w:r>
      <w:proofErr w:type="gramStart"/>
      <w:r w:rsidRPr="00CE0BE9">
        <w:t>Table 2.5.1, p.80 of the submission.</w:t>
      </w:r>
      <w:proofErr w:type="gramEnd"/>
    </w:p>
    <w:p w:rsidR="000F223B" w:rsidRPr="00CE0BE9" w:rsidRDefault="000F223B" w:rsidP="00A51754">
      <w:pPr>
        <w:rPr>
          <w:rStyle w:val="CommentReference"/>
          <w:b w:val="0"/>
        </w:rPr>
      </w:pPr>
    </w:p>
    <w:p w:rsidR="00994C55" w:rsidRDefault="00994C55">
      <w:pPr>
        <w:widowControl/>
        <w:jc w:val="left"/>
        <w:rPr>
          <w:rStyle w:val="CommentReference"/>
        </w:rPr>
      </w:pPr>
      <w:bookmarkStart w:id="12" w:name="_Toc503271378"/>
      <w:r>
        <w:rPr>
          <w:rStyle w:val="CommentReference"/>
        </w:rPr>
        <w:br w:type="page"/>
      </w:r>
    </w:p>
    <w:p w:rsidR="0082788C" w:rsidRPr="004E27F8" w:rsidRDefault="004E27F8" w:rsidP="004E27F8">
      <w:pPr>
        <w:keepNext/>
        <w:rPr>
          <w:rStyle w:val="CommentReference"/>
        </w:rPr>
      </w:pPr>
      <w:r w:rsidRPr="004E27F8">
        <w:rPr>
          <w:rStyle w:val="CommentReference"/>
        </w:rPr>
        <w:lastRenderedPageBreak/>
        <w:t xml:space="preserve">Table </w:t>
      </w:r>
      <w:r w:rsidR="007D6AA8">
        <w:rPr>
          <w:rStyle w:val="CommentReference"/>
        </w:rPr>
        <w:t>15</w:t>
      </w:r>
      <w:r w:rsidRPr="004E27F8">
        <w:rPr>
          <w:rStyle w:val="CommentReference"/>
        </w:rPr>
        <w:t xml:space="preserve">: OS results – naïve indirect comparison </w:t>
      </w:r>
      <w:proofErr w:type="spellStart"/>
      <w:r w:rsidRPr="004E27F8">
        <w:rPr>
          <w:rStyle w:val="CommentReference"/>
        </w:rPr>
        <w:t>lenalidomide</w:t>
      </w:r>
      <w:proofErr w:type="spellEnd"/>
      <w:r w:rsidRPr="004E27F8">
        <w:rPr>
          <w:rStyle w:val="CommentReference"/>
        </w:rPr>
        <w:t xml:space="preserve"> vs. thalidomide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196"/>
        <w:gridCol w:w="1276"/>
        <w:gridCol w:w="1135"/>
        <w:gridCol w:w="1248"/>
        <w:gridCol w:w="1109"/>
        <w:gridCol w:w="969"/>
        <w:gridCol w:w="1098"/>
      </w:tblGrid>
      <w:tr w:rsidR="0082788C" w:rsidRPr="00CE0BE9" w:rsidTr="008539A6">
        <w:trPr>
          <w:tblHeader/>
        </w:trPr>
        <w:tc>
          <w:tcPr>
            <w:tcW w:w="656" w:type="pct"/>
            <w:vAlign w:val="center"/>
          </w:tcPr>
          <w:p w:rsidR="0082788C" w:rsidRPr="00CE0BE9" w:rsidRDefault="0082788C" w:rsidP="008539A6">
            <w:pPr>
              <w:pStyle w:val="Tabletext"/>
              <w:keepNext/>
              <w:rPr>
                <w:b/>
                <w:szCs w:val="20"/>
              </w:rPr>
            </w:pPr>
            <w:r w:rsidRPr="00CE0BE9">
              <w:rPr>
                <w:b/>
                <w:szCs w:val="20"/>
              </w:rPr>
              <w:t>Trial ID</w:t>
            </w:r>
          </w:p>
        </w:tc>
        <w:tc>
          <w:tcPr>
            <w:tcW w:w="1337" w:type="pct"/>
            <w:gridSpan w:val="2"/>
            <w:vAlign w:val="center"/>
          </w:tcPr>
          <w:p w:rsidR="0082788C" w:rsidRPr="00CE0BE9" w:rsidRDefault="0082788C" w:rsidP="008539A6">
            <w:pPr>
              <w:pStyle w:val="Tabletext"/>
              <w:keepNext/>
              <w:jc w:val="center"/>
              <w:rPr>
                <w:b/>
                <w:szCs w:val="20"/>
              </w:rPr>
            </w:pPr>
            <w:proofErr w:type="spellStart"/>
            <w:r w:rsidRPr="00CE0BE9">
              <w:rPr>
                <w:b/>
                <w:szCs w:val="20"/>
              </w:rPr>
              <w:t>Lenalidomide</w:t>
            </w:r>
            <w:proofErr w:type="spellEnd"/>
            <w:r w:rsidR="009978C2">
              <w:rPr>
                <w:b/>
                <w:szCs w:val="20"/>
              </w:rPr>
              <w:t>/Thalidomide</w:t>
            </w:r>
          </w:p>
        </w:tc>
        <w:tc>
          <w:tcPr>
            <w:tcW w:w="1289" w:type="pct"/>
            <w:gridSpan w:val="2"/>
            <w:vAlign w:val="center"/>
          </w:tcPr>
          <w:p w:rsidR="0082788C" w:rsidRPr="00CE0BE9" w:rsidRDefault="0082788C" w:rsidP="008539A6">
            <w:pPr>
              <w:pStyle w:val="Tabletext"/>
              <w:keepNext/>
              <w:jc w:val="center"/>
              <w:rPr>
                <w:b/>
                <w:szCs w:val="20"/>
              </w:rPr>
            </w:pPr>
            <w:r w:rsidRPr="00CE0BE9">
              <w:rPr>
                <w:b/>
                <w:szCs w:val="20"/>
              </w:rPr>
              <w:t>BSC</w:t>
            </w:r>
          </w:p>
        </w:tc>
        <w:tc>
          <w:tcPr>
            <w:tcW w:w="600" w:type="pct"/>
            <w:vMerge w:val="restart"/>
            <w:vAlign w:val="center"/>
          </w:tcPr>
          <w:p w:rsidR="0082788C" w:rsidRPr="00CE0BE9" w:rsidRDefault="0082788C" w:rsidP="008539A6">
            <w:pPr>
              <w:pStyle w:val="Tabletext"/>
              <w:keepNext/>
              <w:jc w:val="center"/>
              <w:rPr>
                <w:b/>
                <w:szCs w:val="20"/>
              </w:rPr>
            </w:pPr>
            <w:r w:rsidRPr="00CE0BE9">
              <w:rPr>
                <w:b/>
                <w:szCs w:val="20"/>
              </w:rPr>
              <w:t>Difference in median, months</w:t>
            </w:r>
          </w:p>
        </w:tc>
        <w:tc>
          <w:tcPr>
            <w:tcW w:w="524" w:type="pct"/>
            <w:vMerge w:val="restart"/>
            <w:vAlign w:val="center"/>
          </w:tcPr>
          <w:p w:rsidR="0082788C" w:rsidRPr="00CE0BE9" w:rsidRDefault="0082788C" w:rsidP="008539A6">
            <w:pPr>
              <w:pStyle w:val="Tabletext"/>
              <w:keepNext/>
              <w:jc w:val="center"/>
              <w:rPr>
                <w:b/>
                <w:szCs w:val="20"/>
              </w:rPr>
            </w:pPr>
            <w:r w:rsidRPr="00CE0BE9">
              <w:rPr>
                <w:b/>
                <w:szCs w:val="20"/>
              </w:rPr>
              <w:t>P value</w:t>
            </w:r>
          </w:p>
          <w:p w:rsidR="0082788C" w:rsidRPr="00CE0BE9" w:rsidRDefault="0082788C" w:rsidP="008539A6">
            <w:pPr>
              <w:pStyle w:val="Tabletext"/>
              <w:keepNext/>
              <w:jc w:val="center"/>
              <w:rPr>
                <w:b/>
                <w:szCs w:val="20"/>
              </w:rPr>
            </w:pPr>
            <w:r w:rsidRPr="00CE0BE9">
              <w:rPr>
                <w:b/>
                <w:szCs w:val="20"/>
              </w:rPr>
              <w:t>(log rank test)</w:t>
            </w:r>
          </w:p>
        </w:tc>
        <w:tc>
          <w:tcPr>
            <w:tcW w:w="594" w:type="pct"/>
            <w:vMerge w:val="restart"/>
            <w:vAlign w:val="center"/>
          </w:tcPr>
          <w:p w:rsidR="0082788C" w:rsidRPr="00CE0BE9" w:rsidRDefault="0082788C" w:rsidP="008539A6">
            <w:pPr>
              <w:pStyle w:val="Tabletext"/>
              <w:keepNext/>
              <w:jc w:val="center"/>
              <w:rPr>
                <w:b/>
                <w:szCs w:val="20"/>
              </w:rPr>
            </w:pPr>
            <w:r w:rsidRPr="00CE0BE9">
              <w:rPr>
                <w:b/>
                <w:szCs w:val="20"/>
              </w:rPr>
              <w:t>Hazard ratio (95% CI)</w:t>
            </w:r>
          </w:p>
        </w:tc>
      </w:tr>
      <w:tr w:rsidR="0082788C" w:rsidRPr="00CE0BE9" w:rsidTr="008539A6">
        <w:trPr>
          <w:tblHeader/>
        </w:trPr>
        <w:tc>
          <w:tcPr>
            <w:tcW w:w="656" w:type="pct"/>
            <w:tcBorders>
              <w:bottom w:val="single" w:sz="4" w:space="0" w:color="auto"/>
            </w:tcBorders>
            <w:vAlign w:val="center"/>
          </w:tcPr>
          <w:p w:rsidR="0082788C" w:rsidRPr="00CE0BE9" w:rsidRDefault="0082788C" w:rsidP="008539A6">
            <w:pPr>
              <w:pStyle w:val="Tabletext"/>
              <w:rPr>
                <w:szCs w:val="20"/>
              </w:rPr>
            </w:pPr>
          </w:p>
        </w:tc>
        <w:tc>
          <w:tcPr>
            <w:tcW w:w="647" w:type="pct"/>
            <w:tcBorders>
              <w:bottom w:val="single" w:sz="4" w:space="0" w:color="auto"/>
            </w:tcBorders>
            <w:vAlign w:val="center"/>
          </w:tcPr>
          <w:p w:rsidR="0082788C" w:rsidRPr="00CE0BE9" w:rsidRDefault="0082788C" w:rsidP="008539A6">
            <w:pPr>
              <w:pStyle w:val="Tabletext"/>
              <w:rPr>
                <w:szCs w:val="20"/>
              </w:rPr>
            </w:pPr>
            <w:proofErr w:type="gramStart"/>
            <w:r w:rsidRPr="00CE0BE9">
              <w:rPr>
                <w:szCs w:val="20"/>
              </w:rPr>
              <w:t>n/N</w:t>
            </w:r>
            <w:proofErr w:type="gramEnd"/>
            <w:r w:rsidRPr="00CE0BE9">
              <w:rPr>
                <w:szCs w:val="20"/>
              </w:rPr>
              <w:t xml:space="preserve"> event (%)</w:t>
            </w:r>
          </w:p>
        </w:tc>
        <w:tc>
          <w:tcPr>
            <w:tcW w:w="690" w:type="pct"/>
            <w:tcBorders>
              <w:bottom w:val="single" w:sz="4" w:space="0" w:color="auto"/>
            </w:tcBorders>
            <w:vAlign w:val="center"/>
          </w:tcPr>
          <w:p w:rsidR="0082788C" w:rsidRPr="00CE0BE9" w:rsidRDefault="0082788C" w:rsidP="008539A6">
            <w:pPr>
              <w:pStyle w:val="Tabletext"/>
              <w:rPr>
                <w:szCs w:val="20"/>
              </w:rPr>
            </w:pPr>
            <w:r w:rsidRPr="00CE0BE9">
              <w:rPr>
                <w:szCs w:val="20"/>
              </w:rPr>
              <w:t xml:space="preserve">Median OS, </w:t>
            </w:r>
            <w:proofErr w:type="spellStart"/>
            <w:r w:rsidRPr="00CE0BE9">
              <w:rPr>
                <w:szCs w:val="20"/>
              </w:rPr>
              <w:t>mths</w:t>
            </w:r>
            <w:proofErr w:type="spellEnd"/>
            <w:r w:rsidRPr="00CE0BE9">
              <w:rPr>
                <w:szCs w:val="20"/>
              </w:rPr>
              <w:t xml:space="preserve"> (95% CI)</w:t>
            </w:r>
          </w:p>
        </w:tc>
        <w:tc>
          <w:tcPr>
            <w:tcW w:w="614" w:type="pct"/>
            <w:tcBorders>
              <w:bottom w:val="single" w:sz="4" w:space="0" w:color="auto"/>
            </w:tcBorders>
            <w:vAlign w:val="center"/>
          </w:tcPr>
          <w:p w:rsidR="0082788C" w:rsidRPr="00CE0BE9" w:rsidRDefault="0082788C" w:rsidP="008539A6">
            <w:pPr>
              <w:pStyle w:val="Tabletext"/>
              <w:rPr>
                <w:szCs w:val="20"/>
              </w:rPr>
            </w:pPr>
            <w:proofErr w:type="gramStart"/>
            <w:r w:rsidRPr="00CE0BE9">
              <w:rPr>
                <w:szCs w:val="20"/>
              </w:rPr>
              <w:t>n/N</w:t>
            </w:r>
            <w:proofErr w:type="gramEnd"/>
            <w:r w:rsidRPr="00CE0BE9">
              <w:rPr>
                <w:szCs w:val="20"/>
              </w:rPr>
              <w:t xml:space="preserve"> event (%)</w:t>
            </w:r>
          </w:p>
        </w:tc>
        <w:tc>
          <w:tcPr>
            <w:tcW w:w="675" w:type="pct"/>
            <w:tcBorders>
              <w:bottom w:val="single" w:sz="4" w:space="0" w:color="auto"/>
            </w:tcBorders>
            <w:vAlign w:val="center"/>
          </w:tcPr>
          <w:p w:rsidR="0082788C" w:rsidRPr="00CE0BE9" w:rsidRDefault="0082788C" w:rsidP="008539A6">
            <w:pPr>
              <w:pStyle w:val="Tabletext"/>
              <w:rPr>
                <w:szCs w:val="20"/>
              </w:rPr>
            </w:pPr>
            <w:r w:rsidRPr="00CE0BE9">
              <w:rPr>
                <w:szCs w:val="20"/>
              </w:rPr>
              <w:t xml:space="preserve">Median OS </w:t>
            </w:r>
            <w:proofErr w:type="spellStart"/>
            <w:r w:rsidRPr="00CE0BE9">
              <w:rPr>
                <w:szCs w:val="20"/>
              </w:rPr>
              <w:t>mths</w:t>
            </w:r>
            <w:proofErr w:type="spellEnd"/>
            <w:r w:rsidRPr="00CE0BE9">
              <w:rPr>
                <w:szCs w:val="20"/>
              </w:rPr>
              <w:t xml:space="preserve"> (95% CI)</w:t>
            </w:r>
          </w:p>
        </w:tc>
        <w:tc>
          <w:tcPr>
            <w:tcW w:w="600" w:type="pct"/>
            <w:vMerge/>
            <w:tcBorders>
              <w:bottom w:val="single" w:sz="4" w:space="0" w:color="auto"/>
            </w:tcBorders>
            <w:vAlign w:val="center"/>
          </w:tcPr>
          <w:p w:rsidR="0082788C" w:rsidRPr="00CE0BE9" w:rsidRDefault="0082788C" w:rsidP="008539A6">
            <w:pPr>
              <w:pStyle w:val="Tabletext"/>
              <w:rPr>
                <w:szCs w:val="20"/>
              </w:rPr>
            </w:pPr>
          </w:p>
        </w:tc>
        <w:tc>
          <w:tcPr>
            <w:tcW w:w="524" w:type="pct"/>
            <w:vMerge/>
            <w:tcBorders>
              <w:bottom w:val="single" w:sz="4" w:space="0" w:color="auto"/>
            </w:tcBorders>
            <w:vAlign w:val="center"/>
          </w:tcPr>
          <w:p w:rsidR="0082788C" w:rsidRPr="00CE0BE9" w:rsidRDefault="0082788C" w:rsidP="008539A6">
            <w:pPr>
              <w:pStyle w:val="Tabletext"/>
              <w:rPr>
                <w:szCs w:val="20"/>
              </w:rPr>
            </w:pPr>
          </w:p>
        </w:tc>
        <w:tc>
          <w:tcPr>
            <w:tcW w:w="594" w:type="pct"/>
            <w:vMerge/>
            <w:tcBorders>
              <w:bottom w:val="single" w:sz="4" w:space="0" w:color="auto"/>
            </w:tcBorders>
            <w:vAlign w:val="center"/>
          </w:tcPr>
          <w:p w:rsidR="0082788C" w:rsidRPr="00CE0BE9" w:rsidRDefault="0082788C" w:rsidP="008539A6">
            <w:pPr>
              <w:pStyle w:val="Tabletext"/>
              <w:rPr>
                <w:szCs w:val="20"/>
              </w:rPr>
            </w:pPr>
          </w:p>
        </w:tc>
      </w:tr>
      <w:tr w:rsidR="003C3B9B" w:rsidRPr="00CE0BE9" w:rsidTr="003C3B9B">
        <w:tc>
          <w:tcPr>
            <w:tcW w:w="5000" w:type="pct"/>
            <w:gridSpan w:val="8"/>
            <w:tcBorders>
              <w:top w:val="single" w:sz="4" w:space="0" w:color="auto"/>
              <w:left w:val="single" w:sz="4" w:space="0" w:color="auto"/>
              <w:bottom w:val="single" w:sz="4" w:space="0" w:color="auto"/>
              <w:right w:val="single" w:sz="4" w:space="0" w:color="auto"/>
            </w:tcBorders>
            <w:vAlign w:val="center"/>
          </w:tcPr>
          <w:p w:rsidR="003C3B9B" w:rsidRPr="00CE0BE9" w:rsidRDefault="003C3B9B" w:rsidP="008539A6">
            <w:pPr>
              <w:pStyle w:val="Tabletext"/>
              <w:rPr>
                <w:b/>
                <w:szCs w:val="20"/>
                <w:lang w:eastAsia="en-AU"/>
              </w:rPr>
            </w:pPr>
            <w:proofErr w:type="spellStart"/>
            <w:r>
              <w:rPr>
                <w:szCs w:val="20"/>
              </w:rPr>
              <w:t>Lenalidomide</w:t>
            </w:r>
            <w:proofErr w:type="spellEnd"/>
            <w:r>
              <w:rPr>
                <w:szCs w:val="20"/>
              </w:rPr>
              <w:t xml:space="preserve"> vs. BSC</w:t>
            </w:r>
          </w:p>
        </w:tc>
      </w:tr>
      <w:tr w:rsidR="0082788C" w:rsidRPr="00CE0BE9" w:rsidTr="008539A6">
        <w:tc>
          <w:tcPr>
            <w:tcW w:w="656" w:type="pct"/>
            <w:tcBorders>
              <w:top w:val="single" w:sz="4" w:space="0" w:color="auto"/>
              <w:left w:val="single" w:sz="4" w:space="0" w:color="auto"/>
              <w:bottom w:val="single" w:sz="4" w:space="0" w:color="auto"/>
              <w:right w:val="single" w:sz="4" w:space="0" w:color="auto"/>
            </w:tcBorders>
            <w:vAlign w:val="center"/>
          </w:tcPr>
          <w:p w:rsidR="009978C2" w:rsidRDefault="009978C2" w:rsidP="008539A6">
            <w:pPr>
              <w:pStyle w:val="Tabletext"/>
              <w:rPr>
                <w:rFonts w:eastAsia="SimSun"/>
                <w:iCs/>
                <w:szCs w:val="20"/>
                <w:bdr w:val="none" w:sz="0" w:space="0" w:color="auto" w:frame="1"/>
                <w:lang w:eastAsia="en-AU"/>
              </w:rPr>
            </w:pPr>
            <w:r w:rsidRPr="00CE0BE9">
              <w:rPr>
                <w:szCs w:val="20"/>
              </w:rPr>
              <w:t>CALGB</w:t>
            </w:r>
            <w:r w:rsidRPr="00CE0BE9">
              <w:rPr>
                <w:rFonts w:eastAsia="SimSun"/>
                <w:iCs/>
                <w:szCs w:val="20"/>
                <w:bdr w:val="none" w:sz="0" w:space="0" w:color="auto" w:frame="1"/>
                <w:lang w:eastAsia="en-AU"/>
              </w:rPr>
              <w:t xml:space="preserve"> </w:t>
            </w:r>
          </w:p>
          <w:p w:rsidR="0082788C" w:rsidRPr="00CE0BE9" w:rsidRDefault="0082788C" w:rsidP="008539A6">
            <w:pPr>
              <w:pStyle w:val="Tabletext"/>
              <w:rPr>
                <w:szCs w:val="20"/>
              </w:rPr>
            </w:pPr>
            <w:r w:rsidRPr="00CE0BE9">
              <w:rPr>
                <w:rFonts w:eastAsia="SimSun"/>
                <w:iCs/>
                <w:szCs w:val="20"/>
                <w:bdr w:val="none" w:sz="0" w:space="0" w:color="auto" w:frame="1"/>
                <w:lang w:eastAsia="en-AU"/>
              </w:rPr>
              <w:t>Oct 2016</w:t>
            </w:r>
            <w:r w:rsidRPr="00CE0BE9">
              <w:rPr>
                <w:rFonts w:eastAsia="SimSun"/>
                <w:iCs/>
                <w:szCs w:val="20"/>
                <w:bdr w:val="none" w:sz="0" w:space="0" w:color="auto" w:frame="1"/>
                <w:vertAlign w:val="superscript"/>
                <w:lang w:eastAsia="en-AU"/>
              </w:rPr>
              <w:t>a</w:t>
            </w:r>
          </w:p>
        </w:tc>
        <w:tc>
          <w:tcPr>
            <w:tcW w:w="647" w:type="pct"/>
            <w:tcBorders>
              <w:top w:val="single" w:sz="4" w:space="0" w:color="auto"/>
              <w:left w:val="single" w:sz="4" w:space="0" w:color="auto"/>
              <w:bottom w:val="single" w:sz="4" w:space="0" w:color="auto"/>
              <w:right w:val="single" w:sz="4" w:space="0" w:color="auto"/>
            </w:tcBorders>
            <w:vAlign w:val="center"/>
          </w:tcPr>
          <w:p w:rsidR="0082788C" w:rsidRPr="00CE0BE9" w:rsidRDefault="0082788C" w:rsidP="008539A6">
            <w:pPr>
              <w:pStyle w:val="Tabletext"/>
              <w:rPr>
                <w:szCs w:val="20"/>
              </w:rPr>
            </w:pPr>
            <w:r w:rsidRPr="00CE0BE9">
              <w:rPr>
                <w:iCs/>
                <w:szCs w:val="20"/>
                <w:bdr w:val="none" w:sz="0" w:space="0" w:color="auto" w:frame="1"/>
                <w:lang w:eastAsia="en-AU"/>
              </w:rPr>
              <w:t>88/231</w:t>
            </w:r>
            <w:r w:rsidRPr="00CE0BE9">
              <w:rPr>
                <w:szCs w:val="20"/>
                <w:lang w:eastAsia="en-AU"/>
              </w:rPr>
              <w:t xml:space="preserve"> (38.1%)</w:t>
            </w:r>
          </w:p>
        </w:tc>
        <w:tc>
          <w:tcPr>
            <w:tcW w:w="690" w:type="pct"/>
            <w:tcBorders>
              <w:top w:val="single" w:sz="4" w:space="0" w:color="auto"/>
              <w:left w:val="single" w:sz="4" w:space="0" w:color="auto"/>
              <w:bottom w:val="single" w:sz="4" w:space="0" w:color="auto"/>
              <w:right w:val="single" w:sz="4" w:space="0" w:color="auto"/>
            </w:tcBorders>
            <w:vAlign w:val="center"/>
          </w:tcPr>
          <w:p w:rsidR="0082788C" w:rsidRPr="00CE0BE9" w:rsidRDefault="0082788C" w:rsidP="008539A6">
            <w:pPr>
              <w:pStyle w:val="Tabletext"/>
              <w:rPr>
                <w:szCs w:val="20"/>
                <w:lang w:eastAsia="en-AU"/>
              </w:rPr>
            </w:pPr>
            <w:r w:rsidRPr="00CE0BE9">
              <w:rPr>
                <w:szCs w:val="20"/>
                <w:lang w:eastAsia="en-AU"/>
              </w:rPr>
              <w:t xml:space="preserve">113.8 </w:t>
            </w:r>
          </w:p>
          <w:p w:rsidR="0082788C" w:rsidRPr="00CE0BE9" w:rsidRDefault="0082788C" w:rsidP="008539A6">
            <w:pPr>
              <w:pStyle w:val="Tabletext"/>
              <w:rPr>
                <w:szCs w:val="20"/>
              </w:rPr>
            </w:pPr>
            <w:r w:rsidRPr="00CE0BE9">
              <w:rPr>
                <w:szCs w:val="20"/>
                <w:lang w:eastAsia="en-AU"/>
              </w:rPr>
              <w:t>(100.4, NE)</w:t>
            </w:r>
          </w:p>
        </w:tc>
        <w:tc>
          <w:tcPr>
            <w:tcW w:w="614" w:type="pct"/>
            <w:tcBorders>
              <w:top w:val="single" w:sz="4" w:space="0" w:color="auto"/>
              <w:left w:val="single" w:sz="4" w:space="0" w:color="auto"/>
              <w:bottom w:val="single" w:sz="4" w:space="0" w:color="auto"/>
              <w:right w:val="single" w:sz="4" w:space="0" w:color="auto"/>
            </w:tcBorders>
            <w:vAlign w:val="center"/>
          </w:tcPr>
          <w:p w:rsidR="0082788C" w:rsidRPr="00CE0BE9" w:rsidRDefault="0082788C" w:rsidP="008539A6">
            <w:pPr>
              <w:pStyle w:val="Tabletext"/>
              <w:rPr>
                <w:szCs w:val="20"/>
              </w:rPr>
            </w:pPr>
            <w:r w:rsidRPr="00CE0BE9">
              <w:rPr>
                <w:iCs/>
                <w:szCs w:val="20"/>
                <w:bdr w:val="none" w:sz="0" w:space="0" w:color="auto" w:frame="1"/>
                <w:lang w:eastAsia="en-AU"/>
              </w:rPr>
              <w:t xml:space="preserve">120/229 </w:t>
            </w:r>
            <w:r w:rsidRPr="00CE0BE9">
              <w:rPr>
                <w:szCs w:val="20"/>
                <w:lang w:eastAsia="en-AU"/>
              </w:rPr>
              <w:t>(52.4%)</w:t>
            </w:r>
          </w:p>
        </w:tc>
        <w:tc>
          <w:tcPr>
            <w:tcW w:w="675" w:type="pct"/>
            <w:tcBorders>
              <w:top w:val="single" w:sz="4" w:space="0" w:color="auto"/>
              <w:left w:val="single" w:sz="4" w:space="0" w:color="auto"/>
              <w:bottom w:val="single" w:sz="4" w:space="0" w:color="auto"/>
              <w:right w:val="single" w:sz="4" w:space="0" w:color="auto"/>
            </w:tcBorders>
            <w:vAlign w:val="center"/>
          </w:tcPr>
          <w:p w:rsidR="0082788C" w:rsidRPr="00CE0BE9" w:rsidRDefault="0082788C" w:rsidP="008539A6">
            <w:pPr>
              <w:pStyle w:val="Tabletext"/>
              <w:rPr>
                <w:szCs w:val="20"/>
                <w:lang w:eastAsia="en-AU"/>
              </w:rPr>
            </w:pPr>
            <w:r w:rsidRPr="00CE0BE9">
              <w:rPr>
                <w:szCs w:val="20"/>
                <w:lang w:eastAsia="en-AU"/>
              </w:rPr>
              <w:t xml:space="preserve">84.1 </w:t>
            </w:r>
          </w:p>
          <w:p w:rsidR="0082788C" w:rsidRPr="00CE0BE9" w:rsidRDefault="0082788C" w:rsidP="008539A6">
            <w:pPr>
              <w:pStyle w:val="Tabletext"/>
              <w:rPr>
                <w:szCs w:val="20"/>
              </w:rPr>
            </w:pPr>
            <w:r w:rsidRPr="00CE0BE9">
              <w:rPr>
                <w:szCs w:val="20"/>
                <w:lang w:eastAsia="en-AU"/>
              </w:rPr>
              <w:t>(73.8, 106.0)</w:t>
            </w:r>
          </w:p>
        </w:tc>
        <w:tc>
          <w:tcPr>
            <w:tcW w:w="600" w:type="pct"/>
            <w:tcBorders>
              <w:top w:val="single" w:sz="4" w:space="0" w:color="auto"/>
              <w:left w:val="single" w:sz="4" w:space="0" w:color="auto"/>
              <w:bottom w:val="single" w:sz="4" w:space="0" w:color="auto"/>
              <w:right w:val="single" w:sz="4" w:space="0" w:color="auto"/>
            </w:tcBorders>
            <w:vAlign w:val="center"/>
          </w:tcPr>
          <w:p w:rsidR="0082788C" w:rsidRPr="00CE0BE9" w:rsidRDefault="0082788C" w:rsidP="008539A6">
            <w:pPr>
              <w:pStyle w:val="Tabletext"/>
              <w:rPr>
                <w:szCs w:val="20"/>
              </w:rPr>
            </w:pPr>
            <w:r w:rsidRPr="00CE0BE9">
              <w:rPr>
                <w:szCs w:val="20"/>
                <w:lang w:eastAsia="en-AU"/>
              </w:rPr>
              <w:t>29.7</w:t>
            </w:r>
          </w:p>
        </w:tc>
        <w:tc>
          <w:tcPr>
            <w:tcW w:w="524" w:type="pct"/>
            <w:tcBorders>
              <w:top w:val="single" w:sz="4" w:space="0" w:color="auto"/>
              <w:left w:val="single" w:sz="4" w:space="0" w:color="auto"/>
              <w:bottom w:val="single" w:sz="4" w:space="0" w:color="auto"/>
              <w:right w:val="single" w:sz="4" w:space="0" w:color="auto"/>
            </w:tcBorders>
            <w:vAlign w:val="center"/>
          </w:tcPr>
          <w:p w:rsidR="0082788C" w:rsidRPr="00CE0BE9" w:rsidRDefault="0082788C" w:rsidP="008539A6">
            <w:pPr>
              <w:pStyle w:val="Tabletext"/>
              <w:rPr>
                <w:szCs w:val="20"/>
              </w:rPr>
            </w:pPr>
            <w:r w:rsidRPr="00CE0BE9">
              <w:rPr>
                <w:szCs w:val="20"/>
                <w:lang w:eastAsia="en-AU"/>
              </w:rPr>
              <w:t>p=0.0004</w:t>
            </w:r>
          </w:p>
        </w:tc>
        <w:tc>
          <w:tcPr>
            <w:tcW w:w="594" w:type="pct"/>
            <w:tcBorders>
              <w:top w:val="single" w:sz="4" w:space="0" w:color="auto"/>
              <w:left w:val="single" w:sz="4" w:space="0" w:color="auto"/>
              <w:bottom w:val="single" w:sz="4" w:space="0" w:color="auto"/>
              <w:right w:val="single" w:sz="4" w:space="0" w:color="auto"/>
            </w:tcBorders>
            <w:vAlign w:val="center"/>
          </w:tcPr>
          <w:p w:rsidR="0082788C" w:rsidRPr="00CE0BE9" w:rsidRDefault="0082788C" w:rsidP="008539A6">
            <w:pPr>
              <w:pStyle w:val="Tabletext"/>
              <w:rPr>
                <w:b/>
                <w:szCs w:val="20"/>
                <w:lang w:eastAsia="en-AU"/>
              </w:rPr>
            </w:pPr>
            <w:r w:rsidRPr="00CE0BE9">
              <w:rPr>
                <w:b/>
                <w:szCs w:val="20"/>
                <w:lang w:eastAsia="en-AU"/>
              </w:rPr>
              <w:t xml:space="preserve">0.61 </w:t>
            </w:r>
          </w:p>
          <w:p w:rsidR="0082788C" w:rsidRPr="00CE0BE9" w:rsidRDefault="0082788C" w:rsidP="008539A6">
            <w:pPr>
              <w:pStyle w:val="Tabletext"/>
              <w:rPr>
                <w:szCs w:val="20"/>
              </w:rPr>
            </w:pPr>
            <w:r w:rsidRPr="00CE0BE9">
              <w:rPr>
                <w:b/>
                <w:szCs w:val="20"/>
                <w:lang w:eastAsia="en-AU"/>
              </w:rPr>
              <w:t>(0·46, 0·80)</w:t>
            </w:r>
          </w:p>
        </w:tc>
      </w:tr>
      <w:tr w:rsidR="003C3B9B" w:rsidRPr="00CE0BE9" w:rsidTr="008539A6">
        <w:tc>
          <w:tcPr>
            <w:tcW w:w="656" w:type="pct"/>
            <w:tcBorders>
              <w:top w:val="single" w:sz="4" w:space="0" w:color="auto"/>
              <w:left w:val="single" w:sz="4" w:space="0" w:color="auto"/>
              <w:bottom w:val="single" w:sz="4" w:space="0" w:color="auto"/>
              <w:right w:val="single" w:sz="4" w:space="0" w:color="auto"/>
            </w:tcBorders>
            <w:vAlign w:val="center"/>
          </w:tcPr>
          <w:p w:rsidR="003C3B9B" w:rsidRDefault="003C3B9B" w:rsidP="008539A6">
            <w:pPr>
              <w:pStyle w:val="Tabletext"/>
              <w:rPr>
                <w:rFonts w:eastAsia="SimSun"/>
                <w:iCs/>
                <w:szCs w:val="20"/>
                <w:bdr w:val="none" w:sz="0" w:space="0" w:color="auto" w:frame="1"/>
                <w:lang w:eastAsia="en-AU"/>
              </w:rPr>
            </w:pPr>
            <w:r w:rsidRPr="00CE0BE9">
              <w:rPr>
                <w:rFonts w:eastAsia="SimSun"/>
                <w:iCs/>
                <w:szCs w:val="20"/>
                <w:bdr w:val="none" w:sz="0" w:space="0" w:color="auto" w:frame="1"/>
                <w:lang w:eastAsia="en-AU"/>
              </w:rPr>
              <w:t>IFM 2005-02</w:t>
            </w:r>
          </w:p>
          <w:p w:rsidR="003C3B9B" w:rsidRPr="00CE0BE9" w:rsidRDefault="003C3B9B" w:rsidP="008539A6">
            <w:pPr>
              <w:pStyle w:val="Tabletext"/>
              <w:rPr>
                <w:szCs w:val="20"/>
              </w:rPr>
            </w:pPr>
            <w:r w:rsidRPr="00CE0BE9">
              <w:rPr>
                <w:rFonts w:eastAsia="SimSun"/>
                <w:iCs/>
                <w:szCs w:val="20"/>
                <w:bdr w:val="none" w:sz="0" w:space="0" w:color="auto" w:frame="1"/>
                <w:lang w:eastAsia="en-AU"/>
              </w:rPr>
              <w:t>Feb 2016</w:t>
            </w:r>
            <w:r w:rsidRPr="00CE0BE9">
              <w:rPr>
                <w:rFonts w:eastAsia="SimSun"/>
                <w:iCs/>
                <w:szCs w:val="20"/>
                <w:bdr w:val="none" w:sz="0" w:space="0" w:color="auto" w:frame="1"/>
                <w:vertAlign w:val="superscript"/>
                <w:lang w:eastAsia="en-AU"/>
              </w:rPr>
              <w:t xml:space="preserve">b </w:t>
            </w:r>
          </w:p>
        </w:tc>
        <w:tc>
          <w:tcPr>
            <w:tcW w:w="647" w:type="pct"/>
            <w:tcBorders>
              <w:top w:val="single" w:sz="4" w:space="0" w:color="auto"/>
              <w:left w:val="single" w:sz="4" w:space="0" w:color="auto"/>
              <w:bottom w:val="single" w:sz="4" w:space="0" w:color="auto"/>
              <w:right w:val="single" w:sz="4" w:space="0" w:color="auto"/>
            </w:tcBorders>
            <w:vAlign w:val="center"/>
          </w:tcPr>
          <w:p w:rsidR="003C3B9B" w:rsidRPr="00CE0BE9" w:rsidRDefault="003C3B9B" w:rsidP="008539A6">
            <w:pPr>
              <w:pStyle w:val="Tabletext"/>
              <w:rPr>
                <w:iCs/>
                <w:szCs w:val="20"/>
                <w:bdr w:val="none" w:sz="0" w:space="0" w:color="auto" w:frame="1"/>
                <w:lang w:eastAsia="en-AU"/>
              </w:rPr>
            </w:pPr>
            <w:r w:rsidRPr="00CE0BE9">
              <w:rPr>
                <w:szCs w:val="20"/>
                <w:lang w:eastAsia="en-AU"/>
              </w:rPr>
              <w:t>143/307 (46.6%)</w:t>
            </w:r>
          </w:p>
        </w:tc>
        <w:tc>
          <w:tcPr>
            <w:tcW w:w="690" w:type="pct"/>
            <w:tcBorders>
              <w:top w:val="single" w:sz="4" w:space="0" w:color="auto"/>
              <w:left w:val="single" w:sz="4" w:space="0" w:color="auto"/>
              <w:bottom w:val="single" w:sz="4" w:space="0" w:color="auto"/>
              <w:right w:val="single" w:sz="4" w:space="0" w:color="auto"/>
            </w:tcBorders>
            <w:vAlign w:val="center"/>
          </w:tcPr>
          <w:p w:rsidR="003C3B9B" w:rsidRPr="00CE0BE9" w:rsidRDefault="003C3B9B" w:rsidP="008539A6">
            <w:pPr>
              <w:pStyle w:val="Tabletext"/>
              <w:rPr>
                <w:szCs w:val="20"/>
                <w:lang w:eastAsia="en-AU"/>
              </w:rPr>
            </w:pPr>
            <w:r w:rsidRPr="00CE0BE9">
              <w:rPr>
                <w:szCs w:val="20"/>
                <w:lang w:eastAsia="en-AU"/>
              </w:rPr>
              <w:t xml:space="preserve">105.9 </w:t>
            </w:r>
          </w:p>
          <w:p w:rsidR="003C3B9B" w:rsidRPr="00CE0BE9" w:rsidRDefault="003C3B9B" w:rsidP="008539A6">
            <w:pPr>
              <w:pStyle w:val="Tabletext"/>
              <w:rPr>
                <w:szCs w:val="20"/>
                <w:lang w:eastAsia="en-AU"/>
              </w:rPr>
            </w:pPr>
            <w:r w:rsidRPr="00CE0BE9">
              <w:rPr>
                <w:szCs w:val="20"/>
                <w:lang w:eastAsia="en-AU"/>
              </w:rPr>
              <w:t>(88.8, NE)</w:t>
            </w:r>
          </w:p>
        </w:tc>
        <w:tc>
          <w:tcPr>
            <w:tcW w:w="614" w:type="pct"/>
            <w:tcBorders>
              <w:top w:val="single" w:sz="4" w:space="0" w:color="auto"/>
              <w:left w:val="single" w:sz="4" w:space="0" w:color="auto"/>
              <w:bottom w:val="single" w:sz="4" w:space="0" w:color="auto"/>
              <w:right w:val="single" w:sz="4" w:space="0" w:color="auto"/>
            </w:tcBorders>
            <w:vAlign w:val="center"/>
          </w:tcPr>
          <w:p w:rsidR="003C3B9B" w:rsidRPr="00CE0BE9" w:rsidRDefault="003C3B9B" w:rsidP="008539A6">
            <w:pPr>
              <w:pStyle w:val="Tabletext"/>
              <w:rPr>
                <w:iCs/>
                <w:szCs w:val="20"/>
                <w:bdr w:val="none" w:sz="0" w:space="0" w:color="auto" w:frame="1"/>
                <w:lang w:eastAsia="en-AU"/>
              </w:rPr>
            </w:pPr>
            <w:r w:rsidRPr="00CE0BE9">
              <w:rPr>
                <w:szCs w:val="20"/>
                <w:lang w:eastAsia="en-AU"/>
              </w:rPr>
              <w:t xml:space="preserve"> 160//307* (52.1%)</w:t>
            </w:r>
          </w:p>
        </w:tc>
        <w:tc>
          <w:tcPr>
            <w:tcW w:w="675" w:type="pct"/>
            <w:tcBorders>
              <w:top w:val="single" w:sz="4" w:space="0" w:color="auto"/>
              <w:left w:val="single" w:sz="4" w:space="0" w:color="auto"/>
              <w:bottom w:val="single" w:sz="4" w:space="0" w:color="auto"/>
              <w:right w:val="single" w:sz="4" w:space="0" w:color="auto"/>
            </w:tcBorders>
            <w:vAlign w:val="center"/>
          </w:tcPr>
          <w:p w:rsidR="003C3B9B" w:rsidRPr="00CE0BE9" w:rsidRDefault="003C3B9B" w:rsidP="008539A6">
            <w:pPr>
              <w:pStyle w:val="Tabletext"/>
              <w:rPr>
                <w:szCs w:val="20"/>
                <w:lang w:eastAsia="en-AU"/>
              </w:rPr>
            </w:pPr>
            <w:r w:rsidRPr="00CE0BE9">
              <w:rPr>
                <w:szCs w:val="20"/>
                <w:lang w:eastAsia="en-AU"/>
              </w:rPr>
              <w:t xml:space="preserve">88.1 </w:t>
            </w:r>
          </w:p>
          <w:p w:rsidR="003C3B9B" w:rsidRPr="00CE0BE9" w:rsidRDefault="003C3B9B" w:rsidP="008539A6">
            <w:pPr>
              <w:pStyle w:val="Tabletext"/>
              <w:rPr>
                <w:szCs w:val="20"/>
                <w:lang w:eastAsia="en-AU"/>
              </w:rPr>
            </w:pPr>
            <w:r w:rsidRPr="00CE0BE9">
              <w:rPr>
                <w:szCs w:val="20"/>
                <w:lang w:eastAsia="en-AU"/>
              </w:rPr>
              <w:t>(80.7, 108.4)</w:t>
            </w:r>
          </w:p>
        </w:tc>
        <w:tc>
          <w:tcPr>
            <w:tcW w:w="600" w:type="pct"/>
            <w:tcBorders>
              <w:top w:val="single" w:sz="4" w:space="0" w:color="auto"/>
              <w:left w:val="single" w:sz="4" w:space="0" w:color="auto"/>
              <w:bottom w:val="single" w:sz="4" w:space="0" w:color="auto"/>
              <w:right w:val="single" w:sz="4" w:space="0" w:color="auto"/>
            </w:tcBorders>
            <w:vAlign w:val="center"/>
          </w:tcPr>
          <w:p w:rsidR="003C3B9B" w:rsidRPr="00CE0BE9" w:rsidRDefault="003C3B9B" w:rsidP="008539A6">
            <w:pPr>
              <w:pStyle w:val="Tabletext"/>
              <w:rPr>
                <w:szCs w:val="20"/>
                <w:lang w:eastAsia="en-AU"/>
              </w:rPr>
            </w:pPr>
            <w:r w:rsidRPr="00CE0BE9">
              <w:rPr>
                <w:szCs w:val="20"/>
                <w:lang w:eastAsia="en-AU"/>
              </w:rPr>
              <w:t xml:space="preserve">17.8 </w:t>
            </w:r>
          </w:p>
        </w:tc>
        <w:tc>
          <w:tcPr>
            <w:tcW w:w="524" w:type="pct"/>
            <w:tcBorders>
              <w:top w:val="single" w:sz="4" w:space="0" w:color="auto"/>
              <w:left w:val="single" w:sz="4" w:space="0" w:color="auto"/>
              <w:bottom w:val="single" w:sz="4" w:space="0" w:color="auto"/>
              <w:right w:val="single" w:sz="4" w:space="0" w:color="auto"/>
            </w:tcBorders>
            <w:vAlign w:val="center"/>
          </w:tcPr>
          <w:p w:rsidR="003C3B9B" w:rsidRPr="00CE0BE9" w:rsidRDefault="003C3B9B" w:rsidP="008539A6">
            <w:pPr>
              <w:pStyle w:val="Tabletext"/>
              <w:rPr>
                <w:szCs w:val="20"/>
                <w:lang w:eastAsia="en-AU"/>
              </w:rPr>
            </w:pPr>
            <w:r w:rsidRPr="00CE0BE9">
              <w:rPr>
                <w:szCs w:val="20"/>
                <w:lang w:eastAsia="en-AU"/>
              </w:rPr>
              <w:t>p=0.355</w:t>
            </w:r>
          </w:p>
        </w:tc>
        <w:tc>
          <w:tcPr>
            <w:tcW w:w="594" w:type="pct"/>
            <w:tcBorders>
              <w:top w:val="single" w:sz="4" w:space="0" w:color="auto"/>
              <w:left w:val="single" w:sz="4" w:space="0" w:color="auto"/>
              <w:bottom w:val="single" w:sz="4" w:space="0" w:color="auto"/>
              <w:right w:val="single" w:sz="4" w:space="0" w:color="auto"/>
            </w:tcBorders>
            <w:vAlign w:val="center"/>
          </w:tcPr>
          <w:p w:rsidR="003C3B9B" w:rsidRPr="00CE0BE9" w:rsidRDefault="003C3B9B" w:rsidP="008539A6">
            <w:pPr>
              <w:pStyle w:val="Tabletext"/>
              <w:rPr>
                <w:szCs w:val="20"/>
                <w:lang w:eastAsia="en-AU"/>
              </w:rPr>
            </w:pPr>
            <w:r w:rsidRPr="00CE0BE9">
              <w:rPr>
                <w:szCs w:val="20"/>
                <w:lang w:eastAsia="en-AU"/>
              </w:rPr>
              <w:t xml:space="preserve">0.90 </w:t>
            </w:r>
          </w:p>
          <w:p w:rsidR="003C3B9B" w:rsidRPr="00CE0BE9" w:rsidRDefault="003C3B9B" w:rsidP="008539A6">
            <w:pPr>
              <w:pStyle w:val="Tabletext"/>
              <w:rPr>
                <w:b/>
                <w:szCs w:val="20"/>
                <w:lang w:eastAsia="en-AU"/>
              </w:rPr>
            </w:pPr>
            <w:r w:rsidRPr="00CE0BE9" w:rsidDel="004905AF">
              <w:rPr>
                <w:szCs w:val="20"/>
                <w:lang w:eastAsia="en-AU"/>
              </w:rPr>
              <w:t xml:space="preserve"> </w:t>
            </w:r>
            <w:r w:rsidRPr="00CE0BE9">
              <w:rPr>
                <w:szCs w:val="20"/>
                <w:lang w:eastAsia="en-AU"/>
              </w:rPr>
              <w:t>(0.72, 1.13)</w:t>
            </w:r>
          </w:p>
        </w:tc>
      </w:tr>
      <w:tr w:rsidR="003C3B9B" w:rsidRPr="00CE0BE9" w:rsidTr="003C3B9B">
        <w:tc>
          <w:tcPr>
            <w:tcW w:w="5000" w:type="pct"/>
            <w:gridSpan w:val="8"/>
            <w:tcBorders>
              <w:top w:val="single" w:sz="4" w:space="0" w:color="auto"/>
              <w:left w:val="single" w:sz="4" w:space="0" w:color="auto"/>
              <w:bottom w:val="single" w:sz="4" w:space="0" w:color="auto"/>
              <w:right w:val="single" w:sz="4" w:space="0" w:color="auto"/>
            </w:tcBorders>
            <w:vAlign w:val="center"/>
          </w:tcPr>
          <w:p w:rsidR="003C3B9B" w:rsidRPr="00CE0BE9" w:rsidRDefault="003C3B9B" w:rsidP="008539A6">
            <w:pPr>
              <w:pStyle w:val="Tabletext"/>
              <w:rPr>
                <w:b/>
                <w:szCs w:val="20"/>
                <w:lang w:eastAsia="en-AU"/>
              </w:rPr>
            </w:pPr>
            <w:r>
              <w:rPr>
                <w:szCs w:val="20"/>
              </w:rPr>
              <w:t>Thalidomide vs BSC</w:t>
            </w:r>
          </w:p>
        </w:tc>
      </w:tr>
      <w:tr w:rsidR="003C3B9B" w:rsidRPr="00CE0BE9" w:rsidTr="008539A6">
        <w:tc>
          <w:tcPr>
            <w:tcW w:w="656" w:type="pct"/>
            <w:tcBorders>
              <w:top w:val="single" w:sz="4" w:space="0" w:color="auto"/>
              <w:left w:val="single" w:sz="4" w:space="0" w:color="auto"/>
              <w:bottom w:val="single" w:sz="4" w:space="0" w:color="auto"/>
              <w:right w:val="single" w:sz="4" w:space="0" w:color="auto"/>
            </w:tcBorders>
            <w:vAlign w:val="center"/>
          </w:tcPr>
          <w:p w:rsidR="003C3B9B" w:rsidRDefault="003C3B9B" w:rsidP="008539A6">
            <w:pPr>
              <w:pStyle w:val="Tabletext"/>
              <w:rPr>
                <w:szCs w:val="20"/>
              </w:rPr>
            </w:pPr>
            <w:r>
              <w:rPr>
                <w:szCs w:val="20"/>
              </w:rPr>
              <w:t>MM6</w:t>
            </w:r>
          </w:p>
          <w:p w:rsidR="003C3B9B" w:rsidRPr="00CE0BE9" w:rsidRDefault="003C3B9B" w:rsidP="008539A6">
            <w:pPr>
              <w:pStyle w:val="Tabletext"/>
              <w:rPr>
                <w:szCs w:val="20"/>
              </w:rPr>
            </w:pPr>
            <w:r>
              <w:rPr>
                <w:szCs w:val="20"/>
              </w:rPr>
              <w:t>5.4 year follow-up</w:t>
            </w:r>
          </w:p>
        </w:tc>
        <w:tc>
          <w:tcPr>
            <w:tcW w:w="647" w:type="pct"/>
            <w:tcBorders>
              <w:top w:val="single" w:sz="4" w:space="0" w:color="auto"/>
              <w:left w:val="single" w:sz="4" w:space="0" w:color="auto"/>
              <w:bottom w:val="single" w:sz="4" w:space="0" w:color="auto"/>
              <w:right w:val="single" w:sz="4" w:space="0" w:color="auto"/>
            </w:tcBorders>
            <w:vAlign w:val="center"/>
          </w:tcPr>
          <w:p w:rsidR="003C3B9B" w:rsidRPr="00CE0BE9" w:rsidRDefault="003C3B9B" w:rsidP="008539A6">
            <w:pPr>
              <w:pStyle w:val="Tabletext"/>
              <w:rPr>
                <w:iCs/>
                <w:szCs w:val="20"/>
                <w:bdr w:val="none" w:sz="0" w:space="0" w:color="auto" w:frame="1"/>
                <w:lang w:eastAsia="en-AU"/>
              </w:rPr>
            </w:pPr>
            <w:r>
              <w:rPr>
                <w:iCs/>
                <w:szCs w:val="20"/>
                <w:bdr w:val="none" w:sz="0" w:space="0" w:color="auto" w:frame="1"/>
                <w:lang w:eastAsia="en-AU"/>
              </w:rPr>
              <w:t>-</w:t>
            </w:r>
          </w:p>
        </w:tc>
        <w:tc>
          <w:tcPr>
            <w:tcW w:w="690" w:type="pct"/>
            <w:tcBorders>
              <w:top w:val="single" w:sz="4" w:space="0" w:color="auto"/>
              <w:left w:val="single" w:sz="4" w:space="0" w:color="auto"/>
              <w:bottom w:val="single" w:sz="4" w:space="0" w:color="auto"/>
              <w:right w:val="single" w:sz="4" w:space="0" w:color="auto"/>
            </w:tcBorders>
            <w:vAlign w:val="center"/>
          </w:tcPr>
          <w:p w:rsidR="003C3B9B" w:rsidRPr="00CE0BE9" w:rsidRDefault="003C3B9B" w:rsidP="008539A6">
            <w:pPr>
              <w:pStyle w:val="Tabletext"/>
              <w:rPr>
                <w:szCs w:val="20"/>
                <w:lang w:eastAsia="en-AU"/>
              </w:rPr>
            </w:pPr>
            <w:r w:rsidRPr="00CE0BE9">
              <w:t>102.0 (88.8, 116.4)</w:t>
            </w:r>
          </w:p>
        </w:tc>
        <w:tc>
          <w:tcPr>
            <w:tcW w:w="614" w:type="pct"/>
            <w:tcBorders>
              <w:top w:val="single" w:sz="4" w:space="0" w:color="auto"/>
              <w:left w:val="single" w:sz="4" w:space="0" w:color="auto"/>
              <w:bottom w:val="single" w:sz="4" w:space="0" w:color="auto"/>
              <w:right w:val="single" w:sz="4" w:space="0" w:color="auto"/>
            </w:tcBorders>
            <w:vAlign w:val="center"/>
          </w:tcPr>
          <w:p w:rsidR="003C3B9B" w:rsidRPr="00CE0BE9" w:rsidRDefault="003C3B9B" w:rsidP="008539A6">
            <w:pPr>
              <w:pStyle w:val="Tabletext"/>
              <w:rPr>
                <w:iCs/>
                <w:szCs w:val="20"/>
                <w:bdr w:val="none" w:sz="0" w:space="0" w:color="auto" w:frame="1"/>
                <w:lang w:eastAsia="en-AU"/>
              </w:rPr>
            </w:pPr>
            <w:r>
              <w:rPr>
                <w:iCs/>
                <w:szCs w:val="20"/>
                <w:bdr w:val="none" w:sz="0" w:space="0" w:color="auto" w:frame="1"/>
                <w:lang w:eastAsia="en-AU"/>
              </w:rPr>
              <w:t>-</w:t>
            </w:r>
          </w:p>
        </w:tc>
        <w:tc>
          <w:tcPr>
            <w:tcW w:w="675" w:type="pct"/>
            <w:tcBorders>
              <w:top w:val="single" w:sz="4" w:space="0" w:color="auto"/>
              <w:left w:val="single" w:sz="4" w:space="0" w:color="auto"/>
              <w:bottom w:val="single" w:sz="4" w:space="0" w:color="auto"/>
              <w:right w:val="single" w:sz="4" w:space="0" w:color="auto"/>
            </w:tcBorders>
            <w:vAlign w:val="center"/>
          </w:tcPr>
          <w:p w:rsidR="003C3B9B" w:rsidRPr="00CE0BE9" w:rsidRDefault="003C3B9B" w:rsidP="008539A6">
            <w:pPr>
              <w:pStyle w:val="Tabletext"/>
              <w:rPr>
                <w:szCs w:val="20"/>
                <w:lang w:eastAsia="en-AU"/>
              </w:rPr>
            </w:pPr>
            <w:r w:rsidRPr="00CE0BE9">
              <w:t>54.0 (46.8, 61.2)</w:t>
            </w:r>
          </w:p>
        </w:tc>
        <w:tc>
          <w:tcPr>
            <w:tcW w:w="600" w:type="pct"/>
            <w:tcBorders>
              <w:top w:val="single" w:sz="4" w:space="0" w:color="auto"/>
              <w:left w:val="single" w:sz="4" w:space="0" w:color="auto"/>
              <w:bottom w:val="single" w:sz="4" w:space="0" w:color="auto"/>
              <w:right w:val="single" w:sz="4" w:space="0" w:color="auto"/>
            </w:tcBorders>
            <w:vAlign w:val="center"/>
          </w:tcPr>
          <w:p w:rsidR="003C3B9B" w:rsidRPr="00CE0BE9" w:rsidRDefault="003C3B9B" w:rsidP="008539A6">
            <w:pPr>
              <w:pStyle w:val="Tabletext"/>
              <w:rPr>
                <w:szCs w:val="20"/>
                <w:lang w:eastAsia="en-AU"/>
              </w:rPr>
            </w:pPr>
            <w:r w:rsidRPr="00CE0BE9">
              <w:t>48.0</w:t>
            </w:r>
          </w:p>
        </w:tc>
        <w:tc>
          <w:tcPr>
            <w:tcW w:w="524" w:type="pct"/>
            <w:tcBorders>
              <w:top w:val="single" w:sz="4" w:space="0" w:color="auto"/>
              <w:left w:val="single" w:sz="4" w:space="0" w:color="auto"/>
              <w:bottom w:val="single" w:sz="4" w:space="0" w:color="auto"/>
              <w:right w:val="single" w:sz="4" w:space="0" w:color="auto"/>
            </w:tcBorders>
            <w:vAlign w:val="center"/>
          </w:tcPr>
          <w:p w:rsidR="003C3B9B" w:rsidRPr="004E27F8" w:rsidRDefault="003C3B9B" w:rsidP="008539A6">
            <w:pPr>
              <w:pStyle w:val="Tabletext"/>
              <w:rPr>
                <w:szCs w:val="20"/>
                <w:lang w:eastAsia="en-AU"/>
              </w:rPr>
            </w:pPr>
            <w:r w:rsidRPr="004E27F8">
              <w:t>p=0.0072</w:t>
            </w:r>
          </w:p>
        </w:tc>
        <w:tc>
          <w:tcPr>
            <w:tcW w:w="594" w:type="pct"/>
            <w:tcBorders>
              <w:top w:val="single" w:sz="4" w:space="0" w:color="auto"/>
              <w:left w:val="single" w:sz="4" w:space="0" w:color="auto"/>
              <w:bottom w:val="single" w:sz="4" w:space="0" w:color="auto"/>
              <w:right w:val="single" w:sz="4" w:space="0" w:color="auto"/>
            </w:tcBorders>
            <w:vAlign w:val="center"/>
          </w:tcPr>
          <w:p w:rsidR="003C3B9B" w:rsidRPr="00CE0BE9" w:rsidRDefault="003C3B9B" w:rsidP="009978C2">
            <w:pPr>
              <w:pStyle w:val="Tabletext"/>
              <w:rPr>
                <w:b/>
                <w:szCs w:val="20"/>
                <w:lang w:eastAsia="en-AU"/>
              </w:rPr>
            </w:pPr>
            <w:r>
              <w:rPr>
                <w:b/>
              </w:rPr>
              <w:t>0.12 (0.028, 0.56)</w:t>
            </w:r>
          </w:p>
        </w:tc>
      </w:tr>
      <w:tr w:rsidR="00583838" w:rsidRPr="00CE0BE9" w:rsidTr="008539A6">
        <w:tc>
          <w:tcPr>
            <w:tcW w:w="656" w:type="pct"/>
            <w:tcBorders>
              <w:top w:val="single" w:sz="4" w:space="0" w:color="auto"/>
              <w:left w:val="single" w:sz="4" w:space="0" w:color="auto"/>
              <w:bottom w:val="single" w:sz="4" w:space="0" w:color="auto"/>
              <w:right w:val="single" w:sz="4" w:space="0" w:color="auto"/>
            </w:tcBorders>
            <w:vAlign w:val="center"/>
          </w:tcPr>
          <w:p w:rsidR="00583838" w:rsidRDefault="00583838" w:rsidP="008539A6">
            <w:pPr>
              <w:pStyle w:val="Tabletext"/>
              <w:rPr>
                <w:szCs w:val="20"/>
              </w:rPr>
            </w:pPr>
            <w:r w:rsidRPr="00CE0BE9">
              <w:rPr>
                <w:rFonts w:eastAsia="SimSun"/>
                <w:iCs/>
                <w:szCs w:val="18"/>
                <w:bdr w:val="none" w:sz="0" w:space="0" w:color="auto" w:frame="1"/>
                <w:lang w:eastAsia="en-AU"/>
              </w:rPr>
              <w:t>Myeloma IX (October 2009)</w:t>
            </w:r>
            <w:r>
              <w:rPr>
                <w:rFonts w:eastAsia="SimSun"/>
                <w:iCs/>
                <w:szCs w:val="18"/>
                <w:bdr w:val="none" w:sz="0" w:space="0" w:color="auto" w:frame="1"/>
                <w:lang w:eastAsia="en-AU"/>
              </w:rPr>
              <w:t xml:space="preserve"> Post-ASCT subgroup</w:t>
            </w:r>
          </w:p>
        </w:tc>
        <w:tc>
          <w:tcPr>
            <w:tcW w:w="647" w:type="pct"/>
            <w:tcBorders>
              <w:top w:val="single" w:sz="4" w:space="0" w:color="auto"/>
              <w:left w:val="single" w:sz="4" w:space="0" w:color="auto"/>
              <w:bottom w:val="single" w:sz="4" w:space="0" w:color="auto"/>
              <w:right w:val="single" w:sz="4" w:space="0" w:color="auto"/>
            </w:tcBorders>
            <w:vAlign w:val="center"/>
          </w:tcPr>
          <w:p w:rsidR="00583838" w:rsidRDefault="00583838" w:rsidP="008539A6">
            <w:pPr>
              <w:pStyle w:val="Tabletext"/>
              <w:rPr>
                <w:iCs/>
                <w:szCs w:val="20"/>
                <w:bdr w:val="none" w:sz="0" w:space="0" w:color="auto" w:frame="1"/>
                <w:lang w:eastAsia="en-AU"/>
              </w:rPr>
            </w:pPr>
            <w:r w:rsidRPr="00CE0BE9">
              <w:rPr>
                <w:rFonts w:eastAsia="SimSun"/>
                <w:iCs/>
                <w:szCs w:val="18"/>
                <w:bdr w:val="none" w:sz="0" w:space="0" w:color="auto" w:frame="1"/>
                <w:lang w:eastAsia="en-AU"/>
              </w:rPr>
              <w:t>NR</w:t>
            </w:r>
          </w:p>
        </w:tc>
        <w:tc>
          <w:tcPr>
            <w:tcW w:w="690" w:type="pct"/>
            <w:tcBorders>
              <w:top w:val="single" w:sz="4" w:space="0" w:color="auto"/>
              <w:left w:val="single" w:sz="4" w:space="0" w:color="auto"/>
              <w:bottom w:val="single" w:sz="4" w:space="0" w:color="auto"/>
              <w:right w:val="single" w:sz="4" w:space="0" w:color="auto"/>
            </w:tcBorders>
            <w:vAlign w:val="center"/>
          </w:tcPr>
          <w:p w:rsidR="00583838" w:rsidRPr="00CE0BE9" w:rsidRDefault="00583838" w:rsidP="008539A6">
            <w:pPr>
              <w:pStyle w:val="Tabletext"/>
            </w:pPr>
            <w:r w:rsidRPr="00CE0BE9">
              <w:rPr>
                <w:rFonts w:eastAsia="SimSun"/>
                <w:iCs/>
                <w:szCs w:val="18"/>
                <w:bdr w:val="none" w:sz="0" w:space="0" w:color="auto" w:frame="1"/>
                <w:lang w:eastAsia="en-AU"/>
              </w:rPr>
              <w:t>NR (3-yr OS 75%)</w:t>
            </w:r>
          </w:p>
        </w:tc>
        <w:tc>
          <w:tcPr>
            <w:tcW w:w="614" w:type="pct"/>
            <w:tcBorders>
              <w:top w:val="single" w:sz="4" w:space="0" w:color="auto"/>
              <w:left w:val="single" w:sz="4" w:space="0" w:color="auto"/>
              <w:bottom w:val="single" w:sz="4" w:space="0" w:color="auto"/>
              <w:right w:val="single" w:sz="4" w:space="0" w:color="auto"/>
            </w:tcBorders>
            <w:vAlign w:val="center"/>
          </w:tcPr>
          <w:p w:rsidR="00583838" w:rsidRDefault="00583838" w:rsidP="008539A6">
            <w:pPr>
              <w:pStyle w:val="Tabletext"/>
              <w:rPr>
                <w:iCs/>
                <w:szCs w:val="20"/>
                <w:bdr w:val="none" w:sz="0" w:space="0" w:color="auto" w:frame="1"/>
                <w:lang w:eastAsia="en-AU"/>
              </w:rPr>
            </w:pPr>
            <w:r w:rsidRPr="00CE0BE9">
              <w:rPr>
                <w:rFonts w:eastAsia="SimSun"/>
                <w:iCs/>
                <w:szCs w:val="18"/>
                <w:bdr w:val="none" w:sz="0" w:space="0" w:color="auto" w:frame="1"/>
                <w:lang w:eastAsia="en-AU"/>
              </w:rPr>
              <w:t>NR</w:t>
            </w:r>
          </w:p>
        </w:tc>
        <w:tc>
          <w:tcPr>
            <w:tcW w:w="675" w:type="pct"/>
            <w:tcBorders>
              <w:top w:val="single" w:sz="4" w:space="0" w:color="auto"/>
              <w:left w:val="single" w:sz="4" w:space="0" w:color="auto"/>
              <w:bottom w:val="single" w:sz="4" w:space="0" w:color="auto"/>
              <w:right w:val="single" w:sz="4" w:space="0" w:color="auto"/>
            </w:tcBorders>
            <w:vAlign w:val="center"/>
          </w:tcPr>
          <w:p w:rsidR="00583838" w:rsidRPr="00CE0BE9" w:rsidRDefault="00583838" w:rsidP="008539A6">
            <w:pPr>
              <w:pStyle w:val="Tabletext"/>
            </w:pPr>
            <w:r w:rsidRPr="00CE0BE9">
              <w:rPr>
                <w:rFonts w:eastAsia="SimSun"/>
                <w:iCs/>
                <w:szCs w:val="18"/>
                <w:bdr w:val="none" w:sz="0" w:space="0" w:color="auto" w:frame="1"/>
                <w:lang w:eastAsia="en-AU"/>
              </w:rPr>
              <w:t>NR (3-yr OS 80%)</w:t>
            </w:r>
          </w:p>
        </w:tc>
        <w:tc>
          <w:tcPr>
            <w:tcW w:w="600" w:type="pct"/>
            <w:tcBorders>
              <w:top w:val="single" w:sz="4" w:space="0" w:color="auto"/>
              <w:left w:val="single" w:sz="4" w:space="0" w:color="auto"/>
              <w:bottom w:val="single" w:sz="4" w:space="0" w:color="auto"/>
              <w:right w:val="single" w:sz="4" w:space="0" w:color="auto"/>
            </w:tcBorders>
            <w:vAlign w:val="center"/>
          </w:tcPr>
          <w:p w:rsidR="00583838" w:rsidRPr="00CE0BE9" w:rsidRDefault="00583838" w:rsidP="008539A6">
            <w:pPr>
              <w:pStyle w:val="Tabletext"/>
            </w:pPr>
            <w:r w:rsidRPr="00CE0BE9">
              <w:rPr>
                <w:rFonts w:eastAsia="SimSun"/>
                <w:iCs/>
                <w:szCs w:val="18"/>
                <w:bdr w:val="none" w:sz="0" w:space="0" w:color="auto" w:frame="1"/>
                <w:lang w:eastAsia="en-AU"/>
              </w:rPr>
              <w:t>NR</w:t>
            </w:r>
          </w:p>
        </w:tc>
        <w:tc>
          <w:tcPr>
            <w:tcW w:w="524" w:type="pct"/>
            <w:tcBorders>
              <w:top w:val="single" w:sz="4" w:space="0" w:color="auto"/>
              <w:left w:val="single" w:sz="4" w:space="0" w:color="auto"/>
              <w:bottom w:val="single" w:sz="4" w:space="0" w:color="auto"/>
              <w:right w:val="single" w:sz="4" w:space="0" w:color="auto"/>
            </w:tcBorders>
            <w:vAlign w:val="center"/>
          </w:tcPr>
          <w:p w:rsidR="00583838" w:rsidRPr="004E27F8" w:rsidRDefault="00583838" w:rsidP="008539A6">
            <w:pPr>
              <w:pStyle w:val="Tabletext"/>
            </w:pPr>
            <w:r w:rsidRPr="00CE0BE9">
              <w:rPr>
                <w:lang w:eastAsia="en-AU"/>
              </w:rPr>
              <w:t>p=0.26</w:t>
            </w:r>
          </w:p>
        </w:tc>
        <w:tc>
          <w:tcPr>
            <w:tcW w:w="594" w:type="pct"/>
            <w:tcBorders>
              <w:top w:val="single" w:sz="4" w:space="0" w:color="auto"/>
              <w:left w:val="single" w:sz="4" w:space="0" w:color="auto"/>
              <w:bottom w:val="single" w:sz="4" w:space="0" w:color="auto"/>
              <w:right w:val="single" w:sz="4" w:space="0" w:color="auto"/>
            </w:tcBorders>
            <w:vAlign w:val="center"/>
          </w:tcPr>
          <w:p w:rsidR="00583838" w:rsidRDefault="00583838" w:rsidP="009978C2">
            <w:pPr>
              <w:pStyle w:val="Tabletext"/>
              <w:rPr>
                <w:b/>
              </w:rPr>
            </w:pPr>
            <w:r w:rsidRPr="00CE0BE9">
              <w:rPr>
                <w:rFonts w:eastAsia="SimSun"/>
                <w:iCs/>
                <w:szCs w:val="18"/>
                <w:bdr w:val="none" w:sz="0" w:space="0" w:color="auto" w:frame="1"/>
                <w:lang w:eastAsia="en-AU"/>
              </w:rPr>
              <w:t>NR</w:t>
            </w:r>
          </w:p>
        </w:tc>
      </w:tr>
    </w:tbl>
    <w:p w:rsidR="003C3B9B" w:rsidRPr="00CE0BE9" w:rsidRDefault="003C3B9B" w:rsidP="003C3B9B">
      <w:pPr>
        <w:pStyle w:val="TableFooter"/>
        <w:rPr>
          <w:rFonts w:eastAsia="Calibri"/>
        </w:rPr>
      </w:pPr>
      <w:r w:rsidRPr="00CE0BE9">
        <w:t xml:space="preserve">Abbreviations: </w:t>
      </w:r>
      <w:r w:rsidRPr="00CE0BE9">
        <w:rPr>
          <w:rFonts w:eastAsia="Calibri"/>
        </w:rPr>
        <w:t>BSC=best supportive care; CI = confidence interval; n = number of participants with event; N = total participants in arm; NA = not available (not reported); NE = not evaluable; NR = not reached; OS = overall survival.</w:t>
      </w:r>
    </w:p>
    <w:p w:rsidR="003C3B9B" w:rsidRPr="00CE0BE9" w:rsidRDefault="003C3B9B" w:rsidP="003C3B9B">
      <w:pPr>
        <w:pStyle w:val="TableFooter"/>
      </w:pPr>
      <w:r w:rsidRPr="00CE0BE9">
        <w:rPr>
          <w:rFonts w:eastAsia="Calibri"/>
        </w:rPr>
        <w:t>Notes</w:t>
      </w:r>
      <w:proofErr w:type="gramStart"/>
      <w:r w:rsidRPr="00CE0BE9">
        <w:rPr>
          <w:rFonts w:eastAsia="Calibri"/>
        </w:rPr>
        <w:t>:.</w:t>
      </w:r>
      <w:proofErr w:type="gramEnd"/>
      <w:r w:rsidRPr="00CE0BE9">
        <w:rPr>
          <w:rFonts w:eastAsia="Calibri"/>
        </w:rPr>
        <w:t xml:space="preserve"> </w:t>
      </w:r>
      <w:proofErr w:type="gramStart"/>
      <w:r w:rsidRPr="00CE0BE9">
        <w:rPr>
          <w:rFonts w:eastAsia="Calibri"/>
        </w:rPr>
        <w:t>a</w:t>
      </w:r>
      <w:proofErr w:type="gramEnd"/>
      <w:r w:rsidRPr="00CE0BE9">
        <w:rPr>
          <w:rFonts w:eastAsia="Calibri"/>
        </w:rPr>
        <w:t xml:space="preserve"> from ASCT; b from maintenance randomisation. *Figures corrected from submission and proportions presented to 1 decimal point.  </w:t>
      </w:r>
      <w:r w:rsidRPr="00CE0BE9">
        <w:t xml:space="preserve">Spencer 2009 reported median PFS in days, this was converted into months. </w:t>
      </w:r>
      <w:proofErr w:type="spellStart"/>
      <w:r w:rsidRPr="00CE0BE9">
        <w:t>Kalff</w:t>
      </w:r>
      <w:proofErr w:type="spellEnd"/>
      <w:r w:rsidRPr="00CE0BE9">
        <w:t xml:space="preserve"> 2014 reported median PFS and OS in years, this was converted into months. Median follow-up in </w:t>
      </w:r>
      <w:proofErr w:type="spellStart"/>
      <w:r w:rsidRPr="00CE0BE9">
        <w:t>Kalff</w:t>
      </w:r>
      <w:proofErr w:type="spellEnd"/>
      <w:r w:rsidRPr="00CE0BE9">
        <w:t xml:space="preserve"> et al. 2014 was 5.4 years (IQR 3.1-7.2). Median follow-up in Spencer 2009 was approx. 3 years. </w:t>
      </w:r>
      <w:proofErr w:type="gramStart"/>
      <w:r w:rsidRPr="00CE0BE9">
        <w:t>Statistically significant differences bolded.</w:t>
      </w:r>
      <w:proofErr w:type="gramEnd"/>
    </w:p>
    <w:p w:rsidR="0082788C" w:rsidRPr="00AC647E" w:rsidRDefault="003C3B9B" w:rsidP="00AC647E">
      <w:pPr>
        <w:pStyle w:val="TableFooter"/>
        <w:rPr>
          <w:rFonts w:eastAsia="Calibri"/>
        </w:rPr>
      </w:pPr>
      <w:r w:rsidRPr="00CE0BE9">
        <w:t xml:space="preserve">Source: MM6 from Spencer 2009 and </w:t>
      </w:r>
      <w:proofErr w:type="spellStart"/>
      <w:r w:rsidRPr="00CE0BE9">
        <w:t>Kalff</w:t>
      </w:r>
      <w:proofErr w:type="spellEnd"/>
      <w:r w:rsidRPr="00CE0BE9">
        <w:t xml:space="preserve"> 2014. Myeloma X from Stewart 2013.</w:t>
      </w:r>
      <w:r w:rsidRPr="003C3B9B">
        <w:rPr>
          <w:rFonts w:eastAsia="Calibri"/>
        </w:rPr>
        <w:t>Table 2.5.3, p.85-86 of the submission.</w:t>
      </w:r>
    </w:p>
    <w:p w:rsidR="00CB123B" w:rsidRPr="00CB123B" w:rsidRDefault="00CB123B" w:rsidP="00CB123B">
      <w:pPr>
        <w:keepNext/>
        <w:rPr>
          <w:rStyle w:val="CommentReference"/>
        </w:rPr>
      </w:pPr>
    </w:p>
    <w:p w:rsidR="00A51754" w:rsidRPr="00CE0BE9" w:rsidRDefault="00A51754" w:rsidP="00A51754">
      <w:pPr>
        <w:pStyle w:val="Heading2"/>
        <w:rPr>
          <w:i w:val="0"/>
        </w:rPr>
      </w:pPr>
      <w:r w:rsidRPr="00CE0BE9">
        <w:rPr>
          <w:i w:val="0"/>
        </w:rPr>
        <w:t>Comparative harms</w:t>
      </w:r>
      <w:bookmarkEnd w:id="12"/>
    </w:p>
    <w:p w:rsidR="009A7140" w:rsidRPr="00583838" w:rsidRDefault="00A51754" w:rsidP="00C763D8">
      <w:pPr>
        <w:pStyle w:val="ListParagraph"/>
        <w:widowControl/>
        <w:numPr>
          <w:ilvl w:val="1"/>
          <w:numId w:val="2"/>
        </w:numPr>
        <w:rPr>
          <w:rFonts w:ascii="Arial Narrow" w:hAnsi="Arial Narrow" w:cs="Times New Roman"/>
          <w:b/>
          <w:snapToGrid/>
          <w:sz w:val="20"/>
        </w:rPr>
      </w:pPr>
      <w:r w:rsidRPr="00CE0BE9">
        <w:t xml:space="preserve">A summary of the </w:t>
      </w:r>
      <w:r w:rsidR="00861515" w:rsidRPr="00CE0BE9">
        <w:t>adverse events (</w:t>
      </w:r>
      <w:r w:rsidRPr="00CE0BE9">
        <w:t>AEs</w:t>
      </w:r>
      <w:r w:rsidR="00861515" w:rsidRPr="00CE0BE9">
        <w:t>)</w:t>
      </w:r>
      <w:r w:rsidRPr="00CE0BE9">
        <w:t xml:space="preserve"> and occurrence of second primary malignancies (SPMs) in the randomised trials CALGB and IFM 2005-02 is presented in Tables 1</w:t>
      </w:r>
      <w:r w:rsidR="007D6AA8">
        <w:t>6</w:t>
      </w:r>
      <w:r w:rsidRPr="00CE0BE9">
        <w:t xml:space="preserve"> and 1</w:t>
      </w:r>
      <w:r w:rsidR="007D6AA8">
        <w:t>7</w:t>
      </w:r>
      <w:r w:rsidRPr="00CE0BE9">
        <w:t xml:space="preserve">. This shows that the use of </w:t>
      </w:r>
      <w:proofErr w:type="spellStart"/>
      <w:r w:rsidRPr="00CE0BE9">
        <w:t>lenalidomide</w:t>
      </w:r>
      <w:proofErr w:type="spellEnd"/>
      <w:r w:rsidR="00046136" w:rsidRPr="00CE0BE9">
        <w:t xml:space="preserve"> compared with placebo</w:t>
      </w:r>
      <w:r w:rsidRPr="00CE0BE9">
        <w:t xml:space="preserve"> is associated with a higher incidence of haematological AEs (neutropenia, leukopenia, </w:t>
      </w:r>
      <w:proofErr w:type="gramStart"/>
      <w:r w:rsidRPr="00CE0BE9">
        <w:t>thrombocytopenia</w:t>
      </w:r>
      <w:proofErr w:type="gramEnd"/>
      <w:r w:rsidRPr="00CE0BE9">
        <w:t>), infections (lung infection, pneumonia), fatigue and SPMs</w:t>
      </w:r>
      <w:r w:rsidR="00046136" w:rsidRPr="00CE0BE9">
        <w:t>.</w:t>
      </w:r>
    </w:p>
    <w:p w:rsidR="00994C55" w:rsidRDefault="00994C55">
      <w:pPr>
        <w:widowControl/>
        <w:jc w:val="left"/>
        <w:rPr>
          <w:rFonts w:ascii="Arial Narrow" w:hAnsi="Arial Narrow" w:cs="Times New Roman"/>
          <w:b/>
          <w:snapToGrid/>
          <w:sz w:val="20"/>
        </w:rPr>
      </w:pPr>
      <w:r>
        <w:rPr>
          <w:b/>
        </w:rPr>
        <w:br w:type="page"/>
      </w:r>
    </w:p>
    <w:p w:rsidR="00A51754" w:rsidRPr="00CE0BE9" w:rsidRDefault="00A51754" w:rsidP="00A51754">
      <w:pPr>
        <w:pStyle w:val="Tabletext"/>
        <w:keepNext/>
        <w:widowControl w:val="0"/>
        <w:rPr>
          <w:b/>
        </w:rPr>
      </w:pPr>
      <w:r w:rsidRPr="00CE0BE9">
        <w:rPr>
          <w:b/>
        </w:rPr>
        <w:lastRenderedPageBreak/>
        <w:t xml:space="preserve">Table </w:t>
      </w:r>
      <w:r w:rsidR="007D6AA8">
        <w:rPr>
          <w:b/>
        </w:rPr>
        <w:t>16</w:t>
      </w:r>
      <w:r w:rsidRPr="00CE0BE9">
        <w:rPr>
          <w:b/>
        </w:rPr>
        <w:t>:  Summary of key Grade 3 or 4 treatment-emergent adverse events in the randomised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348"/>
        <w:gridCol w:w="1444"/>
        <w:gridCol w:w="1318"/>
        <w:gridCol w:w="1743"/>
        <w:gridCol w:w="1545"/>
      </w:tblGrid>
      <w:tr w:rsidR="002D3800" w:rsidRPr="00CE0BE9" w:rsidTr="00454F3B">
        <w:trPr>
          <w:tblHeader/>
        </w:trPr>
        <w:tc>
          <w:tcPr>
            <w:tcW w:w="998" w:type="pct"/>
            <w:tcBorders>
              <w:bottom w:val="single" w:sz="4" w:space="0" w:color="auto"/>
            </w:tcBorders>
            <w:vAlign w:val="center"/>
          </w:tcPr>
          <w:p w:rsidR="002D3800" w:rsidRPr="00CE0BE9" w:rsidRDefault="002D3800" w:rsidP="00144BF5">
            <w:pPr>
              <w:pStyle w:val="Tabletext"/>
              <w:rPr>
                <w:b/>
                <w:szCs w:val="20"/>
              </w:rPr>
            </w:pPr>
            <w:r w:rsidRPr="00CE0BE9">
              <w:rPr>
                <w:b/>
                <w:szCs w:val="20"/>
              </w:rPr>
              <w:t>Trial ID</w:t>
            </w:r>
          </w:p>
        </w:tc>
        <w:tc>
          <w:tcPr>
            <w:tcW w:w="729" w:type="pct"/>
            <w:tcBorders>
              <w:bottom w:val="single" w:sz="4" w:space="0" w:color="auto"/>
            </w:tcBorders>
            <w:vAlign w:val="center"/>
          </w:tcPr>
          <w:p w:rsidR="002D3800" w:rsidRPr="00CE0BE9" w:rsidRDefault="002D3800" w:rsidP="00144BF5">
            <w:pPr>
              <w:pStyle w:val="Tabletext"/>
              <w:jc w:val="center"/>
              <w:rPr>
                <w:b/>
                <w:szCs w:val="20"/>
              </w:rPr>
            </w:pPr>
            <w:r w:rsidRPr="00CE0BE9">
              <w:rPr>
                <w:b/>
                <w:szCs w:val="20"/>
              </w:rPr>
              <w:t>LEN</w:t>
            </w:r>
          </w:p>
          <w:p w:rsidR="002D3800" w:rsidRPr="00CE0BE9" w:rsidRDefault="002D3800" w:rsidP="00144BF5">
            <w:pPr>
              <w:pStyle w:val="Tabletext"/>
              <w:jc w:val="center"/>
              <w:rPr>
                <w:b/>
                <w:szCs w:val="20"/>
              </w:rPr>
            </w:pPr>
            <w:proofErr w:type="gramStart"/>
            <w:r w:rsidRPr="00CE0BE9">
              <w:rPr>
                <w:b/>
                <w:szCs w:val="20"/>
              </w:rPr>
              <w:t>n</w:t>
            </w:r>
            <w:proofErr w:type="gramEnd"/>
            <w:r w:rsidRPr="00CE0BE9">
              <w:rPr>
                <w:b/>
                <w:szCs w:val="20"/>
              </w:rPr>
              <w:t xml:space="preserve"> with event/224 (%)</w:t>
            </w:r>
          </w:p>
        </w:tc>
        <w:tc>
          <w:tcPr>
            <w:tcW w:w="781" w:type="pct"/>
            <w:tcBorders>
              <w:bottom w:val="single" w:sz="4" w:space="0" w:color="auto"/>
            </w:tcBorders>
            <w:vAlign w:val="center"/>
          </w:tcPr>
          <w:p w:rsidR="002D3800" w:rsidRPr="00CE0BE9" w:rsidRDefault="00210E3F" w:rsidP="00144BF5">
            <w:pPr>
              <w:pStyle w:val="Tabletext"/>
              <w:jc w:val="center"/>
              <w:rPr>
                <w:b/>
                <w:szCs w:val="20"/>
              </w:rPr>
            </w:pPr>
            <w:r w:rsidRPr="00CE0BE9">
              <w:rPr>
                <w:b/>
                <w:szCs w:val="20"/>
              </w:rPr>
              <w:t xml:space="preserve">BSC </w:t>
            </w:r>
            <w:r w:rsidR="002D3800" w:rsidRPr="00CE0BE9">
              <w:rPr>
                <w:b/>
                <w:szCs w:val="20"/>
              </w:rPr>
              <w:t>(to XO)</w:t>
            </w:r>
          </w:p>
          <w:p w:rsidR="002D3800" w:rsidRPr="00CE0BE9" w:rsidRDefault="002D3800" w:rsidP="00144BF5">
            <w:pPr>
              <w:pStyle w:val="Tabletext"/>
              <w:jc w:val="center"/>
              <w:rPr>
                <w:b/>
                <w:szCs w:val="20"/>
              </w:rPr>
            </w:pPr>
            <w:proofErr w:type="gramStart"/>
            <w:r w:rsidRPr="00CE0BE9">
              <w:rPr>
                <w:b/>
                <w:szCs w:val="20"/>
              </w:rPr>
              <w:t>n</w:t>
            </w:r>
            <w:proofErr w:type="gramEnd"/>
            <w:r w:rsidRPr="00CE0BE9">
              <w:rPr>
                <w:b/>
                <w:szCs w:val="20"/>
              </w:rPr>
              <w:t xml:space="preserve"> with event/221(%)</w:t>
            </w:r>
          </w:p>
        </w:tc>
        <w:tc>
          <w:tcPr>
            <w:tcW w:w="713" w:type="pct"/>
            <w:tcBorders>
              <w:bottom w:val="single" w:sz="4" w:space="0" w:color="auto"/>
            </w:tcBorders>
          </w:tcPr>
          <w:p w:rsidR="002D3800" w:rsidRPr="00CE0BE9" w:rsidRDefault="00210E3F" w:rsidP="00144BF5">
            <w:pPr>
              <w:pStyle w:val="Tabletext"/>
              <w:jc w:val="center"/>
              <w:rPr>
                <w:b/>
                <w:szCs w:val="20"/>
              </w:rPr>
            </w:pPr>
            <w:r w:rsidRPr="00CE0BE9">
              <w:rPr>
                <w:b/>
                <w:szCs w:val="20"/>
              </w:rPr>
              <w:t xml:space="preserve">BSC </w:t>
            </w:r>
            <w:r w:rsidR="002D3800" w:rsidRPr="00CE0BE9">
              <w:rPr>
                <w:b/>
                <w:szCs w:val="20"/>
              </w:rPr>
              <w:t>(after X</w:t>
            </w:r>
            <w:r w:rsidR="00583838">
              <w:rPr>
                <w:b/>
                <w:szCs w:val="20"/>
              </w:rPr>
              <w:t>O</w:t>
            </w:r>
            <w:r w:rsidR="002D3800" w:rsidRPr="00CE0BE9">
              <w:rPr>
                <w:b/>
                <w:szCs w:val="20"/>
              </w:rPr>
              <w:t>)</w:t>
            </w:r>
          </w:p>
          <w:p w:rsidR="002D3800" w:rsidRPr="00CE0BE9" w:rsidRDefault="002D3800" w:rsidP="00144BF5">
            <w:pPr>
              <w:pStyle w:val="Tabletext"/>
              <w:jc w:val="center"/>
              <w:rPr>
                <w:b/>
                <w:szCs w:val="20"/>
              </w:rPr>
            </w:pPr>
            <w:proofErr w:type="gramStart"/>
            <w:r w:rsidRPr="00CE0BE9">
              <w:rPr>
                <w:b/>
                <w:szCs w:val="20"/>
              </w:rPr>
              <w:t>n</w:t>
            </w:r>
            <w:proofErr w:type="gramEnd"/>
            <w:r w:rsidRPr="00CE0BE9">
              <w:rPr>
                <w:b/>
                <w:szCs w:val="20"/>
              </w:rPr>
              <w:t xml:space="preserve"> with event/76 (%)</w:t>
            </w:r>
          </w:p>
        </w:tc>
        <w:tc>
          <w:tcPr>
            <w:tcW w:w="943" w:type="pct"/>
            <w:tcBorders>
              <w:bottom w:val="single" w:sz="4" w:space="0" w:color="auto"/>
            </w:tcBorders>
            <w:vAlign w:val="center"/>
          </w:tcPr>
          <w:p w:rsidR="002D3800" w:rsidRPr="00CE0BE9" w:rsidRDefault="002D3800" w:rsidP="00144BF5">
            <w:pPr>
              <w:pStyle w:val="Tabletext"/>
              <w:jc w:val="center"/>
              <w:rPr>
                <w:b/>
                <w:szCs w:val="20"/>
              </w:rPr>
            </w:pPr>
            <w:r w:rsidRPr="00CE0BE9">
              <w:rPr>
                <w:b/>
                <w:szCs w:val="20"/>
              </w:rPr>
              <w:t>RR (95% CI)</w:t>
            </w:r>
          </w:p>
        </w:tc>
        <w:tc>
          <w:tcPr>
            <w:tcW w:w="837" w:type="pct"/>
            <w:tcBorders>
              <w:bottom w:val="single" w:sz="4" w:space="0" w:color="auto"/>
            </w:tcBorders>
            <w:vAlign w:val="center"/>
          </w:tcPr>
          <w:p w:rsidR="002D3800" w:rsidRPr="00CE0BE9" w:rsidRDefault="002D3800" w:rsidP="00144BF5">
            <w:pPr>
              <w:pStyle w:val="Tabletext"/>
              <w:jc w:val="center"/>
              <w:rPr>
                <w:b/>
                <w:szCs w:val="20"/>
                <w:highlight w:val="yellow"/>
              </w:rPr>
            </w:pPr>
            <w:r w:rsidRPr="00CE0BE9">
              <w:rPr>
                <w:b/>
                <w:szCs w:val="20"/>
              </w:rPr>
              <w:t>RD (95% CI)</w:t>
            </w:r>
          </w:p>
        </w:tc>
      </w:tr>
      <w:tr w:rsidR="007112F2" w:rsidRPr="00CE0BE9" w:rsidTr="00454F3B">
        <w:tc>
          <w:tcPr>
            <w:tcW w:w="4163" w:type="pct"/>
            <w:gridSpan w:val="5"/>
            <w:tcBorders>
              <w:bottom w:val="single" w:sz="4" w:space="0" w:color="auto"/>
              <w:right w:val="nil"/>
            </w:tcBorders>
          </w:tcPr>
          <w:p w:rsidR="007112F2" w:rsidRPr="00CE0BE9" w:rsidRDefault="007112F2" w:rsidP="00144BF5">
            <w:pPr>
              <w:pStyle w:val="Tabletext"/>
              <w:rPr>
                <w:b/>
                <w:szCs w:val="20"/>
              </w:rPr>
            </w:pPr>
            <w:r w:rsidRPr="00CE0BE9">
              <w:rPr>
                <w:b/>
                <w:szCs w:val="20"/>
              </w:rPr>
              <w:t>CALGB (March 2015)</w:t>
            </w:r>
          </w:p>
        </w:tc>
        <w:tc>
          <w:tcPr>
            <w:tcW w:w="837" w:type="pct"/>
            <w:tcBorders>
              <w:left w:val="nil"/>
              <w:bottom w:val="single" w:sz="4" w:space="0" w:color="auto"/>
            </w:tcBorders>
          </w:tcPr>
          <w:p w:rsidR="007112F2" w:rsidRPr="00CE0BE9" w:rsidRDefault="007112F2" w:rsidP="00144BF5">
            <w:pPr>
              <w:pStyle w:val="Tabletext"/>
              <w:rPr>
                <w:b/>
                <w:szCs w:val="20"/>
                <w:highlight w:val="yellow"/>
              </w:rPr>
            </w:pPr>
          </w:p>
        </w:tc>
      </w:tr>
      <w:tr w:rsidR="002D3800" w:rsidRPr="00CE0BE9" w:rsidTr="00454F3B">
        <w:tc>
          <w:tcPr>
            <w:tcW w:w="998" w:type="pct"/>
            <w:tcBorders>
              <w:right w:val="nil"/>
            </w:tcBorders>
            <w:shd w:val="clear" w:color="auto" w:fill="auto"/>
            <w:vAlign w:val="center"/>
          </w:tcPr>
          <w:p w:rsidR="002D3800" w:rsidRPr="00CE0BE9" w:rsidRDefault="002D3800" w:rsidP="00144BF5">
            <w:pPr>
              <w:pStyle w:val="Tabletext"/>
              <w:rPr>
                <w:rFonts w:eastAsia="SimSun"/>
                <w:szCs w:val="20"/>
                <w:lang w:eastAsia="en-AU"/>
              </w:rPr>
            </w:pPr>
            <w:r w:rsidRPr="00CE0BE9">
              <w:rPr>
                <w:rFonts w:eastAsia="SimSun"/>
                <w:szCs w:val="20"/>
                <w:lang w:eastAsia="en-AU"/>
              </w:rPr>
              <w:t>Haematological</w:t>
            </w:r>
          </w:p>
        </w:tc>
        <w:tc>
          <w:tcPr>
            <w:tcW w:w="729" w:type="pct"/>
            <w:tcBorders>
              <w:left w:val="nil"/>
              <w:right w:val="nil"/>
            </w:tcBorders>
            <w:shd w:val="clear" w:color="auto" w:fill="auto"/>
            <w:vAlign w:val="center"/>
          </w:tcPr>
          <w:p w:rsidR="002D3800" w:rsidRPr="00CE0BE9" w:rsidRDefault="002D3800" w:rsidP="00144BF5">
            <w:pPr>
              <w:pStyle w:val="Tabletext"/>
              <w:jc w:val="center"/>
              <w:rPr>
                <w:rFonts w:cs="Arial"/>
                <w:szCs w:val="20"/>
              </w:rPr>
            </w:pPr>
          </w:p>
        </w:tc>
        <w:tc>
          <w:tcPr>
            <w:tcW w:w="781" w:type="pct"/>
            <w:tcBorders>
              <w:left w:val="nil"/>
              <w:right w:val="nil"/>
            </w:tcBorders>
            <w:shd w:val="clear" w:color="auto" w:fill="auto"/>
            <w:vAlign w:val="center"/>
          </w:tcPr>
          <w:p w:rsidR="002D3800" w:rsidRPr="00CE0BE9" w:rsidRDefault="002D3800" w:rsidP="00144BF5">
            <w:pPr>
              <w:pStyle w:val="Tabletext"/>
              <w:jc w:val="center"/>
              <w:rPr>
                <w:rFonts w:cs="Arial"/>
                <w:szCs w:val="20"/>
              </w:rPr>
            </w:pPr>
          </w:p>
        </w:tc>
        <w:tc>
          <w:tcPr>
            <w:tcW w:w="713" w:type="pct"/>
            <w:tcBorders>
              <w:left w:val="nil"/>
              <w:right w:val="nil"/>
            </w:tcBorders>
            <w:vAlign w:val="center"/>
          </w:tcPr>
          <w:p w:rsidR="002D3800" w:rsidRPr="00CE0BE9" w:rsidRDefault="002D3800" w:rsidP="00144BF5">
            <w:pPr>
              <w:pStyle w:val="Tabletext"/>
              <w:jc w:val="center"/>
              <w:rPr>
                <w:rFonts w:cs="Arial"/>
                <w:szCs w:val="20"/>
              </w:rPr>
            </w:pPr>
          </w:p>
        </w:tc>
        <w:tc>
          <w:tcPr>
            <w:tcW w:w="943" w:type="pct"/>
            <w:tcBorders>
              <w:left w:val="nil"/>
              <w:right w:val="nil"/>
            </w:tcBorders>
            <w:vAlign w:val="center"/>
          </w:tcPr>
          <w:p w:rsidR="002D3800" w:rsidRPr="00CE0BE9" w:rsidRDefault="002D3800" w:rsidP="00144BF5">
            <w:pPr>
              <w:pStyle w:val="Tabletext"/>
              <w:jc w:val="center"/>
              <w:rPr>
                <w:szCs w:val="20"/>
              </w:rPr>
            </w:pPr>
          </w:p>
        </w:tc>
        <w:tc>
          <w:tcPr>
            <w:tcW w:w="837" w:type="pct"/>
            <w:tcBorders>
              <w:left w:val="nil"/>
            </w:tcBorders>
          </w:tcPr>
          <w:p w:rsidR="002D3800" w:rsidRPr="00CE0BE9" w:rsidRDefault="002D3800" w:rsidP="00144BF5">
            <w:pPr>
              <w:pStyle w:val="Tabletext"/>
              <w:jc w:val="center"/>
              <w:rPr>
                <w:szCs w:val="20"/>
                <w:highlight w:val="yellow"/>
              </w:rPr>
            </w:pPr>
          </w:p>
        </w:tc>
      </w:tr>
      <w:tr w:rsidR="002D3800" w:rsidRPr="00CE0BE9" w:rsidTr="00454F3B">
        <w:tc>
          <w:tcPr>
            <w:tcW w:w="998" w:type="pct"/>
            <w:shd w:val="clear" w:color="auto" w:fill="auto"/>
            <w:vAlign w:val="center"/>
          </w:tcPr>
          <w:p w:rsidR="002D3800" w:rsidRPr="00CE0BE9" w:rsidRDefault="002D3800" w:rsidP="00144BF5">
            <w:pPr>
              <w:pStyle w:val="Tabletext"/>
              <w:rPr>
                <w:szCs w:val="20"/>
              </w:rPr>
            </w:pPr>
            <w:r w:rsidRPr="00CE0BE9">
              <w:rPr>
                <w:rFonts w:eastAsia="SimSun"/>
                <w:szCs w:val="20"/>
                <w:lang w:eastAsia="en-AU"/>
              </w:rPr>
              <w:t>Neutropenia</w:t>
            </w:r>
          </w:p>
        </w:tc>
        <w:tc>
          <w:tcPr>
            <w:tcW w:w="729" w:type="pct"/>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133 (59.4%)</w:t>
            </w:r>
          </w:p>
        </w:tc>
        <w:tc>
          <w:tcPr>
            <w:tcW w:w="781" w:type="pct"/>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73 (33.0%)</w:t>
            </w:r>
          </w:p>
        </w:tc>
        <w:tc>
          <w:tcPr>
            <w:tcW w:w="713" w:type="pct"/>
            <w:vAlign w:val="center"/>
          </w:tcPr>
          <w:p w:rsidR="002D3800" w:rsidRPr="00CE0BE9" w:rsidRDefault="002D3800" w:rsidP="00144BF5">
            <w:pPr>
              <w:pStyle w:val="Tabletext"/>
              <w:jc w:val="center"/>
              <w:rPr>
                <w:szCs w:val="20"/>
                <w:highlight w:val="yellow"/>
              </w:rPr>
            </w:pPr>
            <w:r w:rsidRPr="00CE0BE9">
              <w:rPr>
                <w:rFonts w:cs="Arial"/>
                <w:szCs w:val="20"/>
              </w:rPr>
              <w:t>29 (38.2%)</w:t>
            </w:r>
          </w:p>
        </w:tc>
        <w:tc>
          <w:tcPr>
            <w:tcW w:w="943" w:type="pct"/>
            <w:vAlign w:val="center"/>
          </w:tcPr>
          <w:p w:rsidR="002D3800" w:rsidRPr="00CE0BE9" w:rsidRDefault="002D3800" w:rsidP="00144BF5">
            <w:pPr>
              <w:pStyle w:val="Tabletext"/>
              <w:jc w:val="center"/>
              <w:rPr>
                <w:b/>
                <w:szCs w:val="20"/>
              </w:rPr>
            </w:pPr>
            <w:r w:rsidRPr="00CE0BE9">
              <w:rPr>
                <w:b/>
                <w:szCs w:val="20"/>
              </w:rPr>
              <w:t>1.80 (1.45, 2.23)</w:t>
            </w:r>
          </w:p>
        </w:tc>
        <w:tc>
          <w:tcPr>
            <w:tcW w:w="837" w:type="pct"/>
            <w:shd w:val="clear" w:color="auto" w:fill="auto"/>
            <w:vAlign w:val="center"/>
          </w:tcPr>
          <w:p w:rsidR="002D3800" w:rsidRPr="00CE0BE9" w:rsidRDefault="002D3800" w:rsidP="00144BF5">
            <w:pPr>
              <w:pStyle w:val="Tabletext"/>
              <w:jc w:val="center"/>
              <w:rPr>
                <w:b/>
                <w:szCs w:val="20"/>
                <w:highlight w:val="yellow"/>
              </w:rPr>
            </w:pPr>
            <w:r w:rsidRPr="00CE0BE9">
              <w:rPr>
                <w:rFonts w:cs="Arial"/>
                <w:b/>
                <w:szCs w:val="20"/>
              </w:rPr>
              <w:t>26% (17%, 35%)</w:t>
            </w:r>
          </w:p>
        </w:tc>
      </w:tr>
      <w:tr w:rsidR="002D3800" w:rsidRPr="00CE0BE9" w:rsidTr="00454F3B">
        <w:tc>
          <w:tcPr>
            <w:tcW w:w="998" w:type="pct"/>
            <w:shd w:val="clear" w:color="auto" w:fill="auto"/>
            <w:vAlign w:val="center"/>
          </w:tcPr>
          <w:p w:rsidR="002D3800" w:rsidRPr="00CE0BE9" w:rsidRDefault="002D3800" w:rsidP="00144BF5">
            <w:pPr>
              <w:pStyle w:val="Tabletext"/>
              <w:rPr>
                <w:szCs w:val="20"/>
              </w:rPr>
            </w:pPr>
            <w:r w:rsidRPr="00CE0BE9">
              <w:rPr>
                <w:rFonts w:eastAsia="SimSun"/>
                <w:szCs w:val="20"/>
                <w:lang w:eastAsia="en-AU"/>
              </w:rPr>
              <w:t>Thrombocytopenia</w:t>
            </w:r>
          </w:p>
        </w:tc>
        <w:tc>
          <w:tcPr>
            <w:tcW w:w="729" w:type="pct"/>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84 (37.5%)</w:t>
            </w:r>
          </w:p>
        </w:tc>
        <w:tc>
          <w:tcPr>
            <w:tcW w:w="781" w:type="pct"/>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67 (30.3%)</w:t>
            </w:r>
          </w:p>
        </w:tc>
        <w:tc>
          <w:tcPr>
            <w:tcW w:w="713" w:type="pct"/>
            <w:vAlign w:val="center"/>
          </w:tcPr>
          <w:p w:rsidR="002D3800" w:rsidRPr="00CE0BE9" w:rsidRDefault="002D3800" w:rsidP="00144BF5">
            <w:pPr>
              <w:pStyle w:val="Tabletext"/>
              <w:jc w:val="center"/>
              <w:rPr>
                <w:szCs w:val="20"/>
                <w:highlight w:val="yellow"/>
              </w:rPr>
            </w:pPr>
            <w:r w:rsidRPr="00CE0BE9">
              <w:rPr>
                <w:rFonts w:cs="Arial"/>
                <w:szCs w:val="20"/>
              </w:rPr>
              <w:t>9 (11.8%)</w:t>
            </w:r>
          </w:p>
        </w:tc>
        <w:tc>
          <w:tcPr>
            <w:tcW w:w="943" w:type="pct"/>
          </w:tcPr>
          <w:p w:rsidR="002D3800" w:rsidRPr="00CE0BE9" w:rsidRDefault="002D3800" w:rsidP="00144BF5">
            <w:pPr>
              <w:pStyle w:val="Tabletext"/>
              <w:jc w:val="center"/>
              <w:rPr>
                <w:szCs w:val="20"/>
              </w:rPr>
            </w:pPr>
            <w:r w:rsidRPr="00CE0BE9">
              <w:t>1.24 (0.95, 1.61)</w:t>
            </w:r>
          </w:p>
        </w:tc>
        <w:tc>
          <w:tcPr>
            <w:tcW w:w="837" w:type="pct"/>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7% (-2%, 16%)</w:t>
            </w:r>
          </w:p>
        </w:tc>
      </w:tr>
      <w:tr w:rsidR="002D3800" w:rsidRPr="00CE0BE9" w:rsidTr="00454F3B">
        <w:tc>
          <w:tcPr>
            <w:tcW w:w="998" w:type="pct"/>
            <w:shd w:val="clear" w:color="auto" w:fill="auto"/>
            <w:vAlign w:val="center"/>
          </w:tcPr>
          <w:p w:rsidR="002D3800" w:rsidRPr="00CE0BE9" w:rsidRDefault="002D3800" w:rsidP="00144BF5">
            <w:pPr>
              <w:pStyle w:val="Tabletext"/>
              <w:rPr>
                <w:szCs w:val="20"/>
              </w:rPr>
            </w:pPr>
            <w:r w:rsidRPr="00CE0BE9">
              <w:rPr>
                <w:rFonts w:eastAsia="SimSun"/>
                <w:szCs w:val="20"/>
                <w:lang w:eastAsia="en-AU"/>
              </w:rPr>
              <w:t>Leukopenia</w:t>
            </w:r>
          </w:p>
        </w:tc>
        <w:tc>
          <w:tcPr>
            <w:tcW w:w="729" w:type="pct"/>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45 (20.1%)</w:t>
            </w:r>
          </w:p>
        </w:tc>
        <w:tc>
          <w:tcPr>
            <w:tcW w:w="781" w:type="pct"/>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22 (10.0%)</w:t>
            </w:r>
          </w:p>
        </w:tc>
        <w:tc>
          <w:tcPr>
            <w:tcW w:w="713" w:type="pct"/>
            <w:vAlign w:val="center"/>
          </w:tcPr>
          <w:p w:rsidR="002D3800" w:rsidRPr="00CE0BE9" w:rsidRDefault="002D3800" w:rsidP="00144BF5">
            <w:pPr>
              <w:pStyle w:val="Tabletext"/>
              <w:jc w:val="center"/>
              <w:rPr>
                <w:szCs w:val="20"/>
                <w:highlight w:val="yellow"/>
              </w:rPr>
            </w:pPr>
            <w:r w:rsidRPr="00CE0BE9">
              <w:rPr>
                <w:rFonts w:cs="Arial"/>
                <w:szCs w:val="20"/>
              </w:rPr>
              <w:t>9 (11.8%)</w:t>
            </w:r>
          </w:p>
        </w:tc>
        <w:tc>
          <w:tcPr>
            <w:tcW w:w="943" w:type="pct"/>
            <w:tcBorders>
              <w:bottom w:val="single" w:sz="4" w:space="0" w:color="auto"/>
            </w:tcBorders>
          </w:tcPr>
          <w:p w:rsidR="002D3800" w:rsidRPr="00CE0BE9" w:rsidRDefault="002D3800" w:rsidP="00144BF5">
            <w:pPr>
              <w:pStyle w:val="Tabletext"/>
              <w:jc w:val="center"/>
              <w:rPr>
                <w:b/>
                <w:szCs w:val="20"/>
              </w:rPr>
            </w:pPr>
            <w:r w:rsidRPr="00CE0BE9">
              <w:rPr>
                <w:b/>
              </w:rPr>
              <w:t>2.02 (1.26, 3.24)</w:t>
            </w:r>
          </w:p>
        </w:tc>
        <w:tc>
          <w:tcPr>
            <w:tcW w:w="837" w:type="pct"/>
            <w:shd w:val="clear" w:color="auto" w:fill="auto"/>
            <w:vAlign w:val="center"/>
          </w:tcPr>
          <w:p w:rsidR="002D3800" w:rsidRPr="00CE0BE9" w:rsidRDefault="002D3800" w:rsidP="00144BF5">
            <w:pPr>
              <w:pStyle w:val="Tabletext"/>
              <w:jc w:val="center"/>
              <w:rPr>
                <w:b/>
                <w:szCs w:val="20"/>
                <w:highlight w:val="yellow"/>
              </w:rPr>
            </w:pPr>
            <w:r w:rsidRPr="00CE0BE9">
              <w:rPr>
                <w:rFonts w:cs="Arial"/>
                <w:b/>
                <w:szCs w:val="20"/>
              </w:rPr>
              <w:t>10% (4%, 17%)</w:t>
            </w:r>
          </w:p>
        </w:tc>
      </w:tr>
      <w:tr w:rsidR="002D3800" w:rsidRPr="00CE0BE9" w:rsidTr="00454F3B">
        <w:tc>
          <w:tcPr>
            <w:tcW w:w="998" w:type="pct"/>
            <w:shd w:val="clear" w:color="auto" w:fill="auto"/>
            <w:vAlign w:val="center"/>
          </w:tcPr>
          <w:p w:rsidR="002D3800" w:rsidRPr="00CE0BE9" w:rsidRDefault="002D3800" w:rsidP="00144BF5">
            <w:pPr>
              <w:pStyle w:val="Tabletext"/>
              <w:rPr>
                <w:szCs w:val="20"/>
              </w:rPr>
            </w:pPr>
            <w:r w:rsidRPr="00CE0BE9">
              <w:rPr>
                <w:rFonts w:eastAsia="SimSun"/>
                <w:szCs w:val="20"/>
                <w:lang w:eastAsia="en-AU"/>
              </w:rPr>
              <w:t>Febrile neutropenia</w:t>
            </w:r>
          </w:p>
        </w:tc>
        <w:tc>
          <w:tcPr>
            <w:tcW w:w="729" w:type="pct"/>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39 (17.4%)</w:t>
            </w:r>
          </w:p>
        </w:tc>
        <w:tc>
          <w:tcPr>
            <w:tcW w:w="781" w:type="pct"/>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34 (15.4%)</w:t>
            </w:r>
          </w:p>
        </w:tc>
        <w:tc>
          <w:tcPr>
            <w:tcW w:w="713" w:type="pct"/>
            <w:vAlign w:val="center"/>
          </w:tcPr>
          <w:p w:rsidR="002D3800" w:rsidRPr="00CE0BE9" w:rsidRDefault="002D3800" w:rsidP="00144BF5">
            <w:pPr>
              <w:pStyle w:val="Tabletext"/>
              <w:jc w:val="center"/>
              <w:rPr>
                <w:szCs w:val="20"/>
                <w:highlight w:val="yellow"/>
              </w:rPr>
            </w:pPr>
            <w:r w:rsidRPr="00CE0BE9">
              <w:rPr>
                <w:rFonts w:cs="Arial"/>
                <w:szCs w:val="20"/>
              </w:rPr>
              <w:t>1 (1.3%)</w:t>
            </w:r>
          </w:p>
        </w:tc>
        <w:tc>
          <w:tcPr>
            <w:tcW w:w="943" w:type="pct"/>
            <w:tcBorders>
              <w:bottom w:val="single" w:sz="4" w:space="0" w:color="auto"/>
            </w:tcBorders>
          </w:tcPr>
          <w:p w:rsidR="002D3800" w:rsidRPr="00CE0BE9" w:rsidRDefault="002D3800" w:rsidP="00144BF5">
            <w:pPr>
              <w:pStyle w:val="Tabletext"/>
              <w:jc w:val="center"/>
              <w:rPr>
                <w:szCs w:val="20"/>
              </w:rPr>
            </w:pPr>
            <w:r w:rsidRPr="00CE0BE9">
              <w:t>1.13 (0.74, 1.72)</w:t>
            </w:r>
          </w:p>
        </w:tc>
        <w:tc>
          <w:tcPr>
            <w:tcW w:w="837" w:type="pct"/>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2% (-5%, 9%)</w:t>
            </w:r>
          </w:p>
        </w:tc>
      </w:tr>
      <w:tr w:rsidR="002D3800" w:rsidRPr="00CE0BE9" w:rsidTr="00454F3B">
        <w:tc>
          <w:tcPr>
            <w:tcW w:w="998" w:type="pct"/>
            <w:shd w:val="clear" w:color="auto" w:fill="auto"/>
            <w:vAlign w:val="center"/>
          </w:tcPr>
          <w:p w:rsidR="002D3800" w:rsidRPr="00CE0BE9" w:rsidRDefault="002D3800" w:rsidP="00144BF5">
            <w:pPr>
              <w:pStyle w:val="Tabletext"/>
              <w:rPr>
                <w:szCs w:val="20"/>
              </w:rPr>
            </w:pPr>
            <w:r w:rsidRPr="00CE0BE9">
              <w:rPr>
                <w:rFonts w:eastAsia="SimSun"/>
                <w:szCs w:val="20"/>
                <w:lang w:eastAsia="en-AU"/>
              </w:rPr>
              <w:t>Lymphopenia</w:t>
            </w:r>
          </w:p>
        </w:tc>
        <w:tc>
          <w:tcPr>
            <w:tcW w:w="729" w:type="pct"/>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37 (16.5%)</w:t>
            </w:r>
          </w:p>
        </w:tc>
        <w:tc>
          <w:tcPr>
            <w:tcW w:w="781" w:type="pct"/>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26 (11.8%)</w:t>
            </w:r>
          </w:p>
        </w:tc>
        <w:tc>
          <w:tcPr>
            <w:tcW w:w="713" w:type="pct"/>
            <w:vAlign w:val="center"/>
          </w:tcPr>
          <w:p w:rsidR="002D3800" w:rsidRPr="00CE0BE9" w:rsidRDefault="002D3800" w:rsidP="00144BF5">
            <w:pPr>
              <w:pStyle w:val="Tabletext"/>
              <w:jc w:val="center"/>
              <w:rPr>
                <w:szCs w:val="20"/>
                <w:highlight w:val="yellow"/>
              </w:rPr>
            </w:pPr>
            <w:r w:rsidRPr="00CE0BE9">
              <w:rPr>
                <w:rFonts w:cs="Arial"/>
                <w:szCs w:val="20"/>
              </w:rPr>
              <w:t>5 (6.6%)</w:t>
            </w:r>
          </w:p>
        </w:tc>
        <w:tc>
          <w:tcPr>
            <w:tcW w:w="943" w:type="pct"/>
            <w:tcBorders>
              <w:bottom w:val="single" w:sz="4" w:space="0" w:color="auto"/>
            </w:tcBorders>
          </w:tcPr>
          <w:p w:rsidR="002D3800" w:rsidRPr="00CE0BE9" w:rsidRDefault="002D3800" w:rsidP="00144BF5">
            <w:pPr>
              <w:pStyle w:val="Tabletext"/>
              <w:jc w:val="center"/>
              <w:rPr>
                <w:szCs w:val="20"/>
              </w:rPr>
            </w:pPr>
            <w:r w:rsidRPr="00CE0BE9">
              <w:t>1.40 (0.88, 2.24)</w:t>
            </w:r>
          </w:p>
        </w:tc>
        <w:tc>
          <w:tcPr>
            <w:tcW w:w="837" w:type="pct"/>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5% (-2%, 11%)</w:t>
            </w:r>
          </w:p>
        </w:tc>
      </w:tr>
      <w:tr w:rsidR="002D3800" w:rsidRPr="00CE0BE9" w:rsidTr="00454F3B">
        <w:tc>
          <w:tcPr>
            <w:tcW w:w="998" w:type="pct"/>
            <w:tcBorders>
              <w:bottom w:val="single" w:sz="4" w:space="0" w:color="auto"/>
            </w:tcBorders>
            <w:shd w:val="clear" w:color="auto" w:fill="auto"/>
            <w:vAlign w:val="center"/>
          </w:tcPr>
          <w:p w:rsidR="002D3800" w:rsidRPr="00CE0BE9" w:rsidRDefault="002D3800" w:rsidP="00144BF5">
            <w:pPr>
              <w:pStyle w:val="Tabletext"/>
              <w:rPr>
                <w:szCs w:val="20"/>
              </w:rPr>
            </w:pPr>
            <w:r w:rsidRPr="00CE0BE9">
              <w:rPr>
                <w:rFonts w:eastAsia="SimSun"/>
                <w:szCs w:val="20"/>
                <w:lang w:eastAsia="en-AU"/>
              </w:rPr>
              <w:t>Anaemia</w:t>
            </w:r>
          </w:p>
        </w:tc>
        <w:tc>
          <w:tcPr>
            <w:tcW w:w="729" w:type="pct"/>
            <w:tcBorders>
              <w:bottom w:val="single" w:sz="4" w:space="0" w:color="auto"/>
            </w:tcBorders>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23 (10.3%)</w:t>
            </w:r>
          </w:p>
        </w:tc>
        <w:tc>
          <w:tcPr>
            <w:tcW w:w="781" w:type="pct"/>
            <w:tcBorders>
              <w:bottom w:val="single" w:sz="4" w:space="0" w:color="auto"/>
            </w:tcBorders>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18 (8.1%)</w:t>
            </w:r>
          </w:p>
        </w:tc>
        <w:tc>
          <w:tcPr>
            <w:tcW w:w="713" w:type="pct"/>
            <w:tcBorders>
              <w:bottom w:val="single" w:sz="4" w:space="0" w:color="auto"/>
            </w:tcBorders>
            <w:vAlign w:val="center"/>
          </w:tcPr>
          <w:p w:rsidR="002D3800" w:rsidRPr="00CE0BE9" w:rsidRDefault="002D3800" w:rsidP="00144BF5">
            <w:pPr>
              <w:pStyle w:val="Tabletext"/>
              <w:jc w:val="center"/>
              <w:rPr>
                <w:szCs w:val="20"/>
                <w:highlight w:val="yellow"/>
              </w:rPr>
            </w:pPr>
            <w:r w:rsidRPr="00CE0BE9">
              <w:rPr>
                <w:rFonts w:cs="Arial"/>
                <w:szCs w:val="20"/>
              </w:rPr>
              <w:t>2 (2.6%)</w:t>
            </w:r>
          </w:p>
        </w:tc>
        <w:tc>
          <w:tcPr>
            <w:tcW w:w="943" w:type="pct"/>
            <w:tcBorders>
              <w:bottom w:val="single" w:sz="4" w:space="0" w:color="auto"/>
            </w:tcBorders>
          </w:tcPr>
          <w:p w:rsidR="002D3800" w:rsidRPr="00CE0BE9" w:rsidRDefault="002D3800" w:rsidP="00144BF5">
            <w:pPr>
              <w:pStyle w:val="Tabletext"/>
              <w:jc w:val="center"/>
              <w:rPr>
                <w:szCs w:val="20"/>
              </w:rPr>
            </w:pPr>
            <w:r w:rsidRPr="00CE0BE9">
              <w:t>1.26 (0.70, 2.27)</w:t>
            </w:r>
          </w:p>
        </w:tc>
        <w:tc>
          <w:tcPr>
            <w:tcW w:w="837" w:type="pct"/>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2% (-3%, 8%)</w:t>
            </w:r>
          </w:p>
        </w:tc>
      </w:tr>
      <w:tr w:rsidR="002D3800" w:rsidRPr="00CE0BE9" w:rsidTr="00454F3B">
        <w:tc>
          <w:tcPr>
            <w:tcW w:w="998" w:type="pct"/>
            <w:tcBorders>
              <w:bottom w:val="single" w:sz="4" w:space="0" w:color="auto"/>
              <w:right w:val="nil"/>
            </w:tcBorders>
            <w:vAlign w:val="center"/>
          </w:tcPr>
          <w:p w:rsidR="002D3800" w:rsidRPr="00CE0BE9" w:rsidRDefault="002D3800" w:rsidP="00144BF5">
            <w:pPr>
              <w:pStyle w:val="Tabletext"/>
              <w:rPr>
                <w:szCs w:val="20"/>
              </w:rPr>
            </w:pPr>
            <w:r w:rsidRPr="00CE0BE9">
              <w:rPr>
                <w:szCs w:val="20"/>
              </w:rPr>
              <w:t xml:space="preserve">Non-haematological </w:t>
            </w:r>
          </w:p>
        </w:tc>
        <w:tc>
          <w:tcPr>
            <w:tcW w:w="729" w:type="pct"/>
            <w:tcBorders>
              <w:left w:val="nil"/>
              <w:bottom w:val="single" w:sz="4" w:space="0" w:color="auto"/>
              <w:right w:val="nil"/>
            </w:tcBorders>
            <w:vAlign w:val="center"/>
          </w:tcPr>
          <w:p w:rsidR="002D3800" w:rsidRPr="00CE0BE9" w:rsidRDefault="002D3800" w:rsidP="00144BF5">
            <w:pPr>
              <w:pStyle w:val="Tabletext"/>
              <w:jc w:val="center"/>
              <w:rPr>
                <w:szCs w:val="20"/>
                <w:highlight w:val="yellow"/>
              </w:rPr>
            </w:pPr>
          </w:p>
        </w:tc>
        <w:tc>
          <w:tcPr>
            <w:tcW w:w="781" w:type="pct"/>
            <w:tcBorders>
              <w:left w:val="nil"/>
              <w:bottom w:val="single" w:sz="4" w:space="0" w:color="auto"/>
              <w:right w:val="nil"/>
            </w:tcBorders>
            <w:vAlign w:val="center"/>
          </w:tcPr>
          <w:p w:rsidR="002D3800" w:rsidRPr="00CE0BE9" w:rsidRDefault="002D3800" w:rsidP="00144BF5">
            <w:pPr>
              <w:pStyle w:val="Tabletext"/>
              <w:jc w:val="center"/>
              <w:rPr>
                <w:szCs w:val="20"/>
                <w:highlight w:val="yellow"/>
              </w:rPr>
            </w:pPr>
          </w:p>
        </w:tc>
        <w:tc>
          <w:tcPr>
            <w:tcW w:w="713" w:type="pct"/>
            <w:tcBorders>
              <w:left w:val="nil"/>
              <w:bottom w:val="single" w:sz="4" w:space="0" w:color="auto"/>
              <w:right w:val="nil"/>
            </w:tcBorders>
          </w:tcPr>
          <w:p w:rsidR="002D3800" w:rsidRPr="00CE0BE9" w:rsidRDefault="002D3800" w:rsidP="00144BF5">
            <w:pPr>
              <w:pStyle w:val="Tabletext"/>
              <w:jc w:val="center"/>
              <w:rPr>
                <w:szCs w:val="20"/>
                <w:highlight w:val="yellow"/>
              </w:rPr>
            </w:pPr>
          </w:p>
        </w:tc>
        <w:tc>
          <w:tcPr>
            <w:tcW w:w="943" w:type="pct"/>
            <w:tcBorders>
              <w:left w:val="nil"/>
              <w:bottom w:val="single" w:sz="4" w:space="0" w:color="auto"/>
              <w:right w:val="nil"/>
            </w:tcBorders>
            <w:vAlign w:val="center"/>
          </w:tcPr>
          <w:p w:rsidR="002D3800" w:rsidRPr="00CE0BE9" w:rsidRDefault="002D3800" w:rsidP="00144BF5">
            <w:pPr>
              <w:pStyle w:val="Tabletext"/>
              <w:jc w:val="center"/>
              <w:rPr>
                <w:szCs w:val="20"/>
              </w:rPr>
            </w:pPr>
          </w:p>
        </w:tc>
        <w:tc>
          <w:tcPr>
            <w:tcW w:w="837" w:type="pct"/>
            <w:tcBorders>
              <w:left w:val="nil"/>
              <w:bottom w:val="single" w:sz="4" w:space="0" w:color="auto"/>
            </w:tcBorders>
          </w:tcPr>
          <w:p w:rsidR="002D3800" w:rsidRPr="00CE0BE9" w:rsidRDefault="002D3800" w:rsidP="00144BF5">
            <w:pPr>
              <w:pStyle w:val="Tabletext"/>
              <w:jc w:val="center"/>
              <w:rPr>
                <w:szCs w:val="20"/>
                <w:highlight w:val="yellow"/>
              </w:rPr>
            </w:pPr>
          </w:p>
        </w:tc>
      </w:tr>
      <w:tr w:rsidR="002D3800" w:rsidRPr="00CE0BE9" w:rsidTr="00454F3B">
        <w:tc>
          <w:tcPr>
            <w:tcW w:w="998" w:type="pct"/>
            <w:shd w:val="clear" w:color="auto" w:fill="auto"/>
            <w:vAlign w:val="center"/>
          </w:tcPr>
          <w:p w:rsidR="002D3800" w:rsidRPr="00CE0BE9" w:rsidRDefault="002D3800" w:rsidP="00144BF5">
            <w:pPr>
              <w:pStyle w:val="Tabletext"/>
              <w:rPr>
                <w:szCs w:val="20"/>
              </w:rPr>
            </w:pPr>
            <w:r w:rsidRPr="00CE0BE9">
              <w:rPr>
                <w:rFonts w:eastAsia="SimSun"/>
                <w:szCs w:val="20"/>
                <w:lang w:eastAsia="en-AU"/>
              </w:rPr>
              <w:t>Neutropenic infection</w:t>
            </w:r>
          </w:p>
        </w:tc>
        <w:tc>
          <w:tcPr>
            <w:tcW w:w="729" w:type="pct"/>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27 (12.1%)</w:t>
            </w:r>
          </w:p>
        </w:tc>
        <w:tc>
          <w:tcPr>
            <w:tcW w:w="781" w:type="pct"/>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14 (6.3%)</w:t>
            </w:r>
          </w:p>
        </w:tc>
        <w:tc>
          <w:tcPr>
            <w:tcW w:w="713" w:type="pct"/>
            <w:vAlign w:val="center"/>
          </w:tcPr>
          <w:p w:rsidR="002D3800" w:rsidRPr="00CE0BE9" w:rsidRDefault="002D3800" w:rsidP="00144BF5">
            <w:pPr>
              <w:pStyle w:val="Tabletext"/>
              <w:jc w:val="center"/>
              <w:rPr>
                <w:szCs w:val="20"/>
                <w:highlight w:val="yellow"/>
              </w:rPr>
            </w:pPr>
            <w:r w:rsidRPr="00CE0BE9">
              <w:rPr>
                <w:rFonts w:cs="Arial"/>
                <w:szCs w:val="20"/>
              </w:rPr>
              <w:t>5 (6.6%)</w:t>
            </w:r>
          </w:p>
        </w:tc>
        <w:tc>
          <w:tcPr>
            <w:tcW w:w="943" w:type="pct"/>
            <w:tcBorders>
              <w:bottom w:val="single" w:sz="4" w:space="0" w:color="auto"/>
            </w:tcBorders>
          </w:tcPr>
          <w:p w:rsidR="002D3800" w:rsidRPr="00CE0BE9" w:rsidRDefault="002D3800" w:rsidP="00144BF5">
            <w:pPr>
              <w:pStyle w:val="Tabletext"/>
              <w:jc w:val="center"/>
              <w:rPr>
                <w:szCs w:val="20"/>
              </w:rPr>
            </w:pPr>
            <w:r w:rsidRPr="00CE0BE9">
              <w:t>1.90 (1.03, 3.53)</w:t>
            </w:r>
          </w:p>
        </w:tc>
        <w:tc>
          <w:tcPr>
            <w:tcW w:w="837" w:type="pct"/>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6% (0%, 11%)</w:t>
            </w:r>
          </w:p>
        </w:tc>
      </w:tr>
      <w:tr w:rsidR="002D3800" w:rsidRPr="00CE0BE9" w:rsidTr="00454F3B">
        <w:tc>
          <w:tcPr>
            <w:tcW w:w="998" w:type="pct"/>
            <w:shd w:val="clear" w:color="auto" w:fill="auto"/>
            <w:vAlign w:val="center"/>
          </w:tcPr>
          <w:p w:rsidR="002D3800" w:rsidRPr="00CE0BE9" w:rsidRDefault="002D3800" w:rsidP="00144BF5">
            <w:pPr>
              <w:pStyle w:val="Tabletext"/>
              <w:rPr>
                <w:szCs w:val="20"/>
              </w:rPr>
            </w:pPr>
            <w:r w:rsidRPr="00CE0BE9">
              <w:rPr>
                <w:rFonts w:eastAsia="SimSun"/>
                <w:szCs w:val="20"/>
                <w:lang w:eastAsia="en-AU"/>
              </w:rPr>
              <w:t>Lung infection</w:t>
            </w:r>
          </w:p>
        </w:tc>
        <w:tc>
          <w:tcPr>
            <w:tcW w:w="729" w:type="pct"/>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19 (8.5%)</w:t>
            </w:r>
          </w:p>
        </w:tc>
        <w:tc>
          <w:tcPr>
            <w:tcW w:w="781" w:type="pct"/>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2 (0.9%)</w:t>
            </w:r>
          </w:p>
        </w:tc>
        <w:tc>
          <w:tcPr>
            <w:tcW w:w="713" w:type="pct"/>
            <w:vAlign w:val="center"/>
          </w:tcPr>
          <w:p w:rsidR="002D3800" w:rsidRPr="00CE0BE9" w:rsidRDefault="002D3800" w:rsidP="00144BF5">
            <w:pPr>
              <w:pStyle w:val="Tabletext"/>
              <w:jc w:val="center"/>
              <w:rPr>
                <w:szCs w:val="20"/>
                <w:highlight w:val="yellow"/>
              </w:rPr>
            </w:pPr>
            <w:r w:rsidRPr="00CE0BE9">
              <w:rPr>
                <w:rFonts w:cs="Arial"/>
                <w:szCs w:val="20"/>
              </w:rPr>
              <w:t>2 (2.6%)</w:t>
            </w:r>
          </w:p>
        </w:tc>
        <w:tc>
          <w:tcPr>
            <w:tcW w:w="943" w:type="pct"/>
            <w:tcBorders>
              <w:bottom w:val="single" w:sz="4" w:space="0" w:color="auto"/>
            </w:tcBorders>
          </w:tcPr>
          <w:p w:rsidR="002D3800" w:rsidRPr="00CE0BE9" w:rsidRDefault="002D3800" w:rsidP="00144BF5">
            <w:pPr>
              <w:pStyle w:val="Tabletext"/>
              <w:jc w:val="center"/>
              <w:rPr>
                <w:b/>
                <w:szCs w:val="20"/>
              </w:rPr>
            </w:pPr>
            <w:r w:rsidRPr="00CE0BE9">
              <w:rPr>
                <w:b/>
              </w:rPr>
              <w:t>9.37 (2.21, 39.76)</w:t>
            </w:r>
          </w:p>
        </w:tc>
        <w:tc>
          <w:tcPr>
            <w:tcW w:w="837" w:type="pct"/>
            <w:shd w:val="clear" w:color="auto" w:fill="auto"/>
            <w:vAlign w:val="center"/>
          </w:tcPr>
          <w:p w:rsidR="002D3800" w:rsidRPr="00CE0BE9" w:rsidRDefault="002D3800" w:rsidP="00144BF5">
            <w:pPr>
              <w:pStyle w:val="Tabletext"/>
              <w:jc w:val="center"/>
              <w:rPr>
                <w:b/>
                <w:szCs w:val="20"/>
                <w:highlight w:val="yellow"/>
              </w:rPr>
            </w:pPr>
            <w:r w:rsidRPr="00CE0BE9">
              <w:rPr>
                <w:rFonts w:cs="Arial"/>
                <w:b/>
                <w:szCs w:val="20"/>
              </w:rPr>
              <w:t>8% (4%, 11%)</w:t>
            </w:r>
          </w:p>
        </w:tc>
      </w:tr>
      <w:tr w:rsidR="002D3800" w:rsidRPr="00CE0BE9" w:rsidTr="00454F3B">
        <w:tc>
          <w:tcPr>
            <w:tcW w:w="998" w:type="pct"/>
            <w:shd w:val="clear" w:color="auto" w:fill="auto"/>
            <w:vAlign w:val="center"/>
          </w:tcPr>
          <w:p w:rsidR="002D3800" w:rsidRPr="00CE0BE9" w:rsidRDefault="002D3800" w:rsidP="00144BF5">
            <w:pPr>
              <w:pStyle w:val="Tabletext"/>
              <w:rPr>
                <w:szCs w:val="20"/>
              </w:rPr>
            </w:pPr>
            <w:r w:rsidRPr="00CE0BE9">
              <w:rPr>
                <w:rFonts w:eastAsia="SimSun"/>
                <w:szCs w:val="20"/>
                <w:lang w:eastAsia="en-AU"/>
              </w:rPr>
              <w:t>Pneumonia</w:t>
            </w:r>
          </w:p>
        </w:tc>
        <w:tc>
          <w:tcPr>
            <w:tcW w:w="729" w:type="pct"/>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15 (6.7%)</w:t>
            </w:r>
          </w:p>
        </w:tc>
        <w:tc>
          <w:tcPr>
            <w:tcW w:w="781" w:type="pct"/>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4 (1.8%)</w:t>
            </w:r>
          </w:p>
        </w:tc>
        <w:tc>
          <w:tcPr>
            <w:tcW w:w="713" w:type="pct"/>
            <w:vAlign w:val="center"/>
          </w:tcPr>
          <w:p w:rsidR="002D3800" w:rsidRPr="00CE0BE9" w:rsidRDefault="002D3800" w:rsidP="00144BF5">
            <w:pPr>
              <w:pStyle w:val="Tabletext"/>
              <w:jc w:val="center"/>
              <w:rPr>
                <w:szCs w:val="20"/>
                <w:highlight w:val="yellow"/>
              </w:rPr>
            </w:pPr>
            <w:r w:rsidRPr="00CE0BE9">
              <w:rPr>
                <w:rFonts w:cs="Arial"/>
                <w:szCs w:val="20"/>
              </w:rPr>
              <w:t>1 (1.3%)</w:t>
            </w:r>
          </w:p>
        </w:tc>
        <w:tc>
          <w:tcPr>
            <w:tcW w:w="943" w:type="pct"/>
            <w:tcBorders>
              <w:bottom w:val="single" w:sz="4" w:space="0" w:color="auto"/>
            </w:tcBorders>
          </w:tcPr>
          <w:p w:rsidR="002D3800" w:rsidRPr="00CE0BE9" w:rsidRDefault="002D3800" w:rsidP="00144BF5">
            <w:pPr>
              <w:pStyle w:val="Tabletext"/>
              <w:jc w:val="center"/>
              <w:rPr>
                <w:b/>
                <w:szCs w:val="20"/>
              </w:rPr>
            </w:pPr>
            <w:r w:rsidRPr="00CE0BE9">
              <w:rPr>
                <w:b/>
              </w:rPr>
              <w:t>3.70 (1.25, 10.97)</w:t>
            </w:r>
          </w:p>
        </w:tc>
        <w:tc>
          <w:tcPr>
            <w:tcW w:w="837" w:type="pct"/>
            <w:shd w:val="clear" w:color="auto" w:fill="auto"/>
            <w:vAlign w:val="center"/>
          </w:tcPr>
          <w:p w:rsidR="002D3800" w:rsidRPr="00CE0BE9" w:rsidRDefault="002D3800" w:rsidP="00144BF5">
            <w:pPr>
              <w:pStyle w:val="Tabletext"/>
              <w:jc w:val="center"/>
              <w:rPr>
                <w:b/>
                <w:szCs w:val="20"/>
                <w:highlight w:val="yellow"/>
              </w:rPr>
            </w:pPr>
            <w:r w:rsidRPr="00CE0BE9">
              <w:rPr>
                <w:rFonts w:cs="Arial"/>
                <w:b/>
                <w:szCs w:val="20"/>
              </w:rPr>
              <w:t>5% (1%, 9%)</w:t>
            </w:r>
          </w:p>
        </w:tc>
      </w:tr>
      <w:tr w:rsidR="002D3800" w:rsidRPr="00CE0BE9" w:rsidTr="00454F3B">
        <w:tc>
          <w:tcPr>
            <w:tcW w:w="998" w:type="pct"/>
            <w:shd w:val="clear" w:color="auto" w:fill="auto"/>
            <w:vAlign w:val="center"/>
          </w:tcPr>
          <w:p w:rsidR="002D3800" w:rsidRPr="00CE0BE9" w:rsidRDefault="002D3800" w:rsidP="00144BF5">
            <w:pPr>
              <w:pStyle w:val="Tabletext"/>
              <w:rPr>
                <w:szCs w:val="20"/>
              </w:rPr>
            </w:pPr>
            <w:r w:rsidRPr="00CE0BE9">
              <w:rPr>
                <w:rFonts w:eastAsia="SimSun"/>
                <w:szCs w:val="20"/>
                <w:lang w:eastAsia="en-AU"/>
              </w:rPr>
              <w:t>Diarrhoea</w:t>
            </w:r>
          </w:p>
        </w:tc>
        <w:tc>
          <w:tcPr>
            <w:tcW w:w="729" w:type="pct"/>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22 (9.8%)</w:t>
            </w:r>
          </w:p>
        </w:tc>
        <w:tc>
          <w:tcPr>
            <w:tcW w:w="781" w:type="pct"/>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17 (7.7%)</w:t>
            </w:r>
          </w:p>
        </w:tc>
        <w:tc>
          <w:tcPr>
            <w:tcW w:w="713" w:type="pct"/>
            <w:vAlign w:val="center"/>
          </w:tcPr>
          <w:p w:rsidR="002D3800" w:rsidRPr="00CE0BE9" w:rsidRDefault="002D3800" w:rsidP="00144BF5">
            <w:pPr>
              <w:pStyle w:val="Tabletext"/>
              <w:jc w:val="center"/>
              <w:rPr>
                <w:szCs w:val="20"/>
                <w:highlight w:val="yellow"/>
              </w:rPr>
            </w:pPr>
            <w:r w:rsidRPr="00CE0BE9">
              <w:rPr>
                <w:rFonts w:cs="Arial"/>
                <w:szCs w:val="20"/>
              </w:rPr>
              <w:t>6 (7.9%)</w:t>
            </w:r>
          </w:p>
        </w:tc>
        <w:tc>
          <w:tcPr>
            <w:tcW w:w="943" w:type="pct"/>
            <w:tcBorders>
              <w:bottom w:val="single" w:sz="4" w:space="0" w:color="auto"/>
            </w:tcBorders>
          </w:tcPr>
          <w:p w:rsidR="002D3800" w:rsidRPr="00CE0BE9" w:rsidRDefault="002D3800" w:rsidP="00144BF5">
            <w:pPr>
              <w:pStyle w:val="Tabletext"/>
              <w:jc w:val="center"/>
              <w:rPr>
                <w:szCs w:val="20"/>
              </w:rPr>
            </w:pPr>
            <w:r w:rsidRPr="00CE0BE9">
              <w:t>1.28 (0.70, 2.34)</w:t>
            </w:r>
          </w:p>
        </w:tc>
        <w:tc>
          <w:tcPr>
            <w:tcW w:w="837" w:type="pct"/>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2% (-3%, 7%)</w:t>
            </w:r>
          </w:p>
        </w:tc>
      </w:tr>
      <w:tr w:rsidR="002D3800" w:rsidRPr="00CE0BE9" w:rsidTr="00454F3B">
        <w:tc>
          <w:tcPr>
            <w:tcW w:w="998" w:type="pct"/>
            <w:shd w:val="clear" w:color="auto" w:fill="auto"/>
            <w:vAlign w:val="center"/>
          </w:tcPr>
          <w:p w:rsidR="002D3800" w:rsidRPr="00CE0BE9" w:rsidRDefault="002D3800" w:rsidP="00144BF5">
            <w:pPr>
              <w:pStyle w:val="Tabletext"/>
              <w:rPr>
                <w:szCs w:val="20"/>
              </w:rPr>
            </w:pPr>
            <w:r w:rsidRPr="00CE0BE9">
              <w:rPr>
                <w:rFonts w:eastAsia="SimSun"/>
                <w:szCs w:val="20"/>
                <w:lang w:eastAsia="en-AU"/>
              </w:rPr>
              <w:t>Nausea</w:t>
            </w:r>
          </w:p>
        </w:tc>
        <w:tc>
          <w:tcPr>
            <w:tcW w:w="729" w:type="pct"/>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16 (7.1%)</w:t>
            </w:r>
          </w:p>
        </w:tc>
        <w:tc>
          <w:tcPr>
            <w:tcW w:w="781" w:type="pct"/>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10 (4.5%)</w:t>
            </w:r>
          </w:p>
        </w:tc>
        <w:tc>
          <w:tcPr>
            <w:tcW w:w="713" w:type="pct"/>
            <w:vAlign w:val="center"/>
          </w:tcPr>
          <w:p w:rsidR="002D3800" w:rsidRPr="00CE0BE9" w:rsidRDefault="002D3800" w:rsidP="00144BF5">
            <w:pPr>
              <w:pStyle w:val="Tabletext"/>
              <w:jc w:val="center"/>
              <w:rPr>
                <w:szCs w:val="20"/>
                <w:highlight w:val="yellow"/>
              </w:rPr>
            </w:pPr>
            <w:r w:rsidRPr="00CE0BE9">
              <w:rPr>
                <w:rFonts w:cs="Arial"/>
                <w:szCs w:val="20"/>
              </w:rPr>
              <w:t>2 (2.6%)</w:t>
            </w:r>
          </w:p>
        </w:tc>
        <w:tc>
          <w:tcPr>
            <w:tcW w:w="943" w:type="pct"/>
            <w:tcBorders>
              <w:bottom w:val="single" w:sz="4" w:space="0" w:color="auto"/>
            </w:tcBorders>
          </w:tcPr>
          <w:p w:rsidR="002D3800" w:rsidRPr="00CE0BE9" w:rsidRDefault="002D3800" w:rsidP="00144BF5">
            <w:pPr>
              <w:pStyle w:val="Tabletext"/>
              <w:jc w:val="center"/>
              <w:rPr>
                <w:szCs w:val="20"/>
              </w:rPr>
            </w:pPr>
            <w:r w:rsidRPr="00CE0BE9">
              <w:t>1.58 (0.73, 3.40)</w:t>
            </w:r>
          </w:p>
        </w:tc>
        <w:tc>
          <w:tcPr>
            <w:tcW w:w="837" w:type="pct"/>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3% (-2%, 7%)</w:t>
            </w:r>
          </w:p>
        </w:tc>
      </w:tr>
      <w:tr w:rsidR="002D3800" w:rsidRPr="00CE0BE9" w:rsidTr="00454F3B">
        <w:tc>
          <w:tcPr>
            <w:tcW w:w="998" w:type="pct"/>
            <w:shd w:val="clear" w:color="auto" w:fill="auto"/>
            <w:vAlign w:val="center"/>
          </w:tcPr>
          <w:p w:rsidR="002D3800" w:rsidRPr="00CE0BE9" w:rsidRDefault="002D3800" w:rsidP="00144BF5">
            <w:pPr>
              <w:pStyle w:val="Tabletext"/>
              <w:rPr>
                <w:szCs w:val="20"/>
              </w:rPr>
            </w:pPr>
            <w:r w:rsidRPr="00CE0BE9">
              <w:rPr>
                <w:rFonts w:eastAsia="SimSun"/>
                <w:szCs w:val="20"/>
                <w:lang w:eastAsia="en-AU"/>
              </w:rPr>
              <w:t>Hypokalaemia</w:t>
            </w:r>
          </w:p>
        </w:tc>
        <w:tc>
          <w:tcPr>
            <w:tcW w:w="729" w:type="pct"/>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16 (7.1%)</w:t>
            </w:r>
          </w:p>
        </w:tc>
        <w:tc>
          <w:tcPr>
            <w:tcW w:w="781" w:type="pct"/>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12 (5.4%)</w:t>
            </w:r>
          </w:p>
        </w:tc>
        <w:tc>
          <w:tcPr>
            <w:tcW w:w="713" w:type="pct"/>
            <w:vAlign w:val="center"/>
          </w:tcPr>
          <w:p w:rsidR="002D3800" w:rsidRPr="00CE0BE9" w:rsidRDefault="002D3800" w:rsidP="00144BF5">
            <w:pPr>
              <w:pStyle w:val="Tabletext"/>
              <w:jc w:val="center"/>
              <w:rPr>
                <w:szCs w:val="20"/>
                <w:highlight w:val="yellow"/>
              </w:rPr>
            </w:pPr>
            <w:r w:rsidRPr="00CE0BE9">
              <w:rPr>
                <w:rFonts w:cs="Arial"/>
                <w:szCs w:val="20"/>
              </w:rPr>
              <w:t>3 (3.9%)</w:t>
            </w:r>
          </w:p>
        </w:tc>
        <w:tc>
          <w:tcPr>
            <w:tcW w:w="943" w:type="pct"/>
            <w:tcBorders>
              <w:bottom w:val="single" w:sz="4" w:space="0" w:color="auto"/>
            </w:tcBorders>
          </w:tcPr>
          <w:p w:rsidR="002D3800" w:rsidRPr="00CE0BE9" w:rsidRDefault="002D3800" w:rsidP="00144BF5">
            <w:pPr>
              <w:pStyle w:val="Tabletext"/>
              <w:jc w:val="center"/>
              <w:rPr>
                <w:szCs w:val="20"/>
              </w:rPr>
            </w:pPr>
            <w:r w:rsidRPr="00CE0BE9">
              <w:t>1.32 (0.64, 2.72)</w:t>
            </w:r>
          </w:p>
        </w:tc>
        <w:tc>
          <w:tcPr>
            <w:tcW w:w="837" w:type="pct"/>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2% (-3%, 6%)</w:t>
            </w:r>
          </w:p>
        </w:tc>
      </w:tr>
      <w:tr w:rsidR="002D3800" w:rsidRPr="00CE0BE9" w:rsidTr="00454F3B">
        <w:tc>
          <w:tcPr>
            <w:tcW w:w="998" w:type="pct"/>
            <w:shd w:val="clear" w:color="auto" w:fill="auto"/>
            <w:vAlign w:val="center"/>
          </w:tcPr>
          <w:p w:rsidR="002D3800" w:rsidRPr="00CE0BE9" w:rsidRDefault="002D3800" w:rsidP="00144BF5">
            <w:pPr>
              <w:pStyle w:val="Tabletext"/>
              <w:rPr>
                <w:szCs w:val="20"/>
              </w:rPr>
            </w:pPr>
            <w:proofErr w:type="spellStart"/>
            <w:r w:rsidRPr="00CE0BE9">
              <w:rPr>
                <w:rFonts w:eastAsia="SimSun"/>
                <w:szCs w:val="20"/>
                <w:lang w:eastAsia="en-AU"/>
              </w:rPr>
              <w:t>Hypophosphataemia</w:t>
            </w:r>
            <w:proofErr w:type="spellEnd"/>
          </w:p>
        </w:tc>
        <w:tc>
          <w:tcPr>
            <w:tcW w:w="729" w:type="pct"/>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13 (5.8%)</w:t>
            </w:r>
          </w:p>
        </w:tc>
        <w:tc>
          <w:tcPr>
            <w:tcW w:w="781" w:type="pct"/>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14 (6.3%)</w:t>
            </w:r>
          </w:p>
        </w:tc>
        <w:tc>
          <w:tcPr>
            <w:tcW w:w="713" w:type="pct"/>
            <w:vAlign w:val="center"/>
          </w:tcPr>
          <w:p w:rsidR="002D3800" w:rsidRPr="00CE0BE9" w:rsidRDefault="002D3800" w:rsidP="00144BF5">
            <w:pPr>
              <w:pStyle w:val="Tabletext"/>
              <w:jc w:val="center"/>
              <w:rPr>
                <w:szCs w:val="20"/>
                <w:highlight w:val="yellow"/>
              </w:rPr>
            </w:pPr>
            <w:r w:rsidRPr="00CE0BE9">
              <w:rPr>
                <w:rFonts w:cs="Arial"/>
                <w:szCs w:val="20"/>
              </w:rPr>
              <w:t>1 (1.3%)</w:t>
            </w:r>
          </w:p>
        </w:tc>
        <w:tc>
          <w:tcPr>
            <w:tcW w:w="943" w:type="pct"/>
            <w:tcBorders>
              <w:bottom w:val="single" w:sz="4" w:space="0" w:color="auto"/>
            </w:tcBorders>
          </w:tcPr>
          <w:p w:rsidR="002D3800" w:rsidRPr="00CE0BE9" w:rsidRDefault="002D3800" w:rsidP="00144BF5">
            <w:pPr>
              <w:pStyle w:val="Tabletext"/>
              <w:jc w:val="center"/>
              <w:rPr>
                <w:szCs w:val="20"/>
              </w:rPr>
            </w:pPr>
            <w:r w:rsidRPr="00CE0BE9">
              <w:t>0.92 (0.44, 1.90)</w:t>
            </w:r>
          </w:p>
        </w:tc>
        <w:tc>
          <w:tcPr>
            <w:tcW w:w="837" w:type="pct"/>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-1% (-5%, 4%)</w:t>
            </w:r>
          </w:p>
        </w:tc>
      </w:tr>
      <w:tr w:rsidR="002D3800" w:rsidRPr="00CE0BE9" w:rsidTr="00454F3B">
        <w:tc>
          <w:tcPr>
            <w:tcW w:w="998" w:type="pct"/>
            <w:tcBorders>
              <w:bottom w:val="single" w:sz="4" w:space="0" w:color="auto"/>
            </w:tcBorders>
            <w:shd w:val="clear" w:color="auto" w:fill="auto"/>
            <w:vAlign w:val="center"/>
          </w:tcPr>
          <w:p w:rsidR="002D3800" w:rsidRPr="00CE0BE9" w:rsidRDefault="002D3800" w:rsidP="00144BF5">
            <w:pPr>
              <w:pStyle w:val="Tabletext"/>
              <w:rPr>
                <w:szCs w:val="20"/>
              </w:rPr>
            </w:pPr>
            <w:r w:rsidRPr="00CE0BE9">
              <w:rPr>
                <w:rFonts w:eastAsia="SimSun"/>
                <w:szCs w:val="20"/>
                <w:lang w:eastAsia="en-AU"/>
              </w:rPr>
              <w:t>Fatigue</w:t>
            </w:r>
          </w:p>
        </w:tc>
        <w:tc>
          <w:tcPr>
            <w:tcW w:w="729" w:type="pct"/>
            <w:tcBorders>
              <w:bottom w:val="single" w:sz="4" w:space="0" w:color="auto"/>
            </w:tcBorders>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21 (9.4%)</w:t>
            </w:r>
          </w:p>
        </w:tc>
        <w:tc>
          <w:tcPr>
            <w:tcW w:w="781" w:type="pct"/>
            <w:tcBorders>
              <w:bottom w:val="single" w:sz="4" w:space="0" w:color="auto"/>
            </w:tcBorders>
            <w:shd w:val="clear" w:color="auto" w:fill="auto"/>
            <w:vAlign w:val="center"/>
          </w:tcPr>
          <w:p w:rsidR="002D3800" w:rsidRPr="00CE0BE9" w:rsidRDefault="002D3800" w:rsidP="00144BF5">
            <w:pPr>
              <w:pStyle w:val="Tabletext"/>
              <w:jc w:val="center"/>
              <w:rPr>
                <w:szCs w:val="20"/>
                <w:highlight w:val="yellow"/>
              </w:rPr>
            </w:pPr>
            <w:r w:rsidRPr="00CE0BE9">
              <w:rPr>
                <w:rFonts w:cs="Arial"/>
                <w:szCs w:val="20"/>
              </w:rPr>
              <w:t>9 (4.1%)</w:t>
            </w:r>
          </w:p>
        </w:tc>
        <w:tc>
          <w:tcPr>
            <w:tcW w:w="713" w:type="pct"/>
            <w:tcBorders>
              <w:bottom w:val="single" w:sz="4" w:space="0" w:color="auto"/>
            </w:tcBorders>
            <w:vAlign w:val="center"/>
          </w:tcPr>
          <w:p w:rsidR="002D3800" w:rsidRPr="00CE0BE9" w:rsidRDefault="002D3800" w:rsidP="00144BF5">
            <w:pPr>
              <w:pStyle w:val="Tabletext"/>
              <w:jc w:val="center"/>
              <w:rPr>
                <w:szCs w:val="20"/>
                <w:highlight w:val="yellow"/>
              </w:rPr>
            </w:pPr>
            <w:r w:rsidRPr="00CE0BE9">
              <w:rPr>
                <w:rFonts w:cs="Arial"/>
                <w:szCs w:val="20"/>
              </w:rPr>
              <w:t>6 (7.9%)</w:t>
            </w:r>
          </w:p>
        </w:tc>
        <w:tc>
          <w:tcPr>
            <w:tcW w:w="943" w:type="pct"/>
            <w:tcBorders>
              <w:bottom w:val="single" w:sz="4" w:space="0" w:color="auto"/>
            </w:tcBorders>
          </w:tcPr>
          <w:p w:rsidR="002D3800" w:rsidRPr="00CE0BE9" w:rsidRDefault="002D3800" w:rsidP="00144BF5">
            <w:pPr>
              <w:pStyle w:val="Tabletext"/>
              <w:jc w:val="center"/>
              <w:rPr>
                <w:b/>
                <w:szCs w:val="20"/>
              </w:rPr>
            </w:pPr>
            <w:r w:rsidRPr="00CE0BE9">
              <w:rPr>
                <w:b/>
              </w:rPr>
              <w:t>2.30 (1.08, 4.91)</w:t>
            </w:r>
          </w:p>
        </w:tc>
        <w:tc>
          <w:tcPr>
            <w:tcW w:w="837" w:type="pct"/>
            <w:tcBorders>
              <w:bottom w:val="single" w:sz="4" w:space="0" w:color="auto"/>
            </w:tcBorders>
            <w:shd w:val="clear" w:color="auto" w:fill="auto"/>
            <w:vAlign w:val="center"/>
          </w:tcPr>
          <w:p w:rsidR="002D3800" w:rsidRPr="00CE0BE9" w:rsidRDefault="002D3800" w:rsidP="00144BF5">
            <w:pPr>
              <w:pStyle w:val="Tabletext"/>
              <w:jc w:val="center"/>
              <w:rPr>
                <w:b/>
                <w:szCs w:val="20"/>
                <w:highlight w:val="yellow"/>
              </w:rPr>
            </w:pPr>
            <w:r w:rsidRPr="00CE0BE9">
              <w:rPr>
                <w:rFonts w:cs="Arial"/>
                <w:b/>
                <w:szCs w:val="20"/>
              </w:rPr>
              <w:t>5% (1%, 10%)</w:t>
            </w:r>
          </w:p>
        </w:tc>
      </w:tr>
      <w:tr w:rsidR="007112F2" w:rsidRPr="00CE0BE9" w:rsidTr="00454F3B">
        <w:tc>
          <w:tcPr>
            <w:tcW w:w="4163" w:type="pct"/>
            <w:gridSpan w:val="5"/>
            <w:tcBorders>
              <w:bottom w:val="single" w:sz="4" w:space="0" w:color="auto"/>
              <w:right w:val="nil"/>
            </w:tcBorders>
          </w:tcPr>
          <w:p w:rsidR="007112F2" w:rsidRPr="00CE0BE9" w:rsidRDefault="007112F2" w:rsidP="00144BF5">
            <w:pPr>
              <w:pStyle w:val="Tabletext"/>
              <w:rPr>
                <w:b/>
                <w:szCs w:val="20"/>
              </w:rPr>
            </w:pPr>
            <w:r w:rsidRPr="00CE0BE9">
              <w:rPr>
                <w:b/>
                <w:szCs w:val="20"/>
              </w:rPr>
              <w:t xml:space="preserve">IFM 2005-02 </w:t>
            </w:r>
            <w:r w:rsidR="005A7DD2" w:rsidRPr="00CE0BE9">
              <w:rPr>
                <w:b/>
                <w:szCs w:val="20"/>
              </w:rPr>
              <w:t>(</w:t>
            </w:r>
            <w:r w:rsidRPr="00CE0BE9">
              <w:rPr>
                <w:b/>
                <w:szCs w:val="20"/>
              </w:rPr>
              <w:t>March 2015)</w:t>
            </w:r>
          </w:p>
        </w:tc>
        <w:tc>
          <w:tcPr>
            <w:tcW w:w="837" w:type="pct"/>
            <w:tcBorders>
              <w:left w:val="nil"/>
              <w:bottom w:val="single" w:sz="4" w:space="0" w:color="auto"/>
            </w:tcBorders>
          </w:tcPr>
          <w:p w:rsidR="007112F2" w:rsidRPr="00CE0BE9" w:rsidRDefault="007112F2" w:rsidP="00144BF5">
            <w:pPr>
              <w:pStyle w:val="Tabletext"/>
              <w:rPr>
                <w:b/>
                <w:szCs w:val="20"/>
                <w:highlight w:val="yellow"/>
              </w:rPr>
            </w:pPr>
          </w:p>
        </w:tc>
      </w:tr>
      <w:tr w:rsidR="002D3800" w:rsidRPr="00CE0BE9" w:rsidTr="00454F3B">
        <w:tc>
          <w:tcPr>
            <w:tcW w:w="998" w:type="pct"/>
            <w:tcBorders>
              <w:right w:val="nil"/>
            </w:tcBorders>
            <w:vAlign w:val="center"/>
          </w:tcPr>
          <w:p w:rsidR="002D3800" w:rsidRPr="00CE0BE9" w:rsidRDefault="002D3800" w:rsidP="00144BF5">
            <w:pPr>
              <w:pStyle w:val="Tabletext"/>
              <w:rPr>
                <w:szCs w:val="20"/>
              </w:rPr>
            </w:pPr>
            <w:r w:rsidRPr="00CE0BE9">
              <w:rPr>
                <w:szCs w:val="20"/>
              </w:rPr>
              <w:t xml:space="preserve">Haematological </w:t>
            </w:r>
          </w:p>
        </w:tc>
        <w:tc>
          <w:tcPr>
            <w:tcW w:w="729" w:type="pct"/>
            <w:tcBorders>
              <w:left w:val="nil"/>
              <w:right w:val="nil"/>
            </w:tcBorders>
            <w:vAlign w:val="center"/>
          </w:tcPr>
          <w:p w:rsidR="002D3800" w:rsidRPr="00CE0BE9" w:rsidRDefault="002D3800" w:rsidP="00144BF5">
            <w:pPr>
              <w:pStyle w:val="Tabletext"/>
              <w:jc w:val="center"/>
              <w:rPr>
                <w:szCs w:val="20"/>
                <w:highlight w:val="yellow"/>
              </w:rPr>
            </w:pPr>
          </w:p>
        </w:tc>
        <w:tc>
          <w:tcPr>
            <w:tcW w:w="781" w:type="pct"/>
            <w:tcBorders>
              <w:left w:val="nil"/>
              <w:right w:val="nil"/>
            </w:tcBorders>
            <w:vAlign w:val="center"/>
          </w:tcPr>
          <w:p w:rsidR="002D3800" w:rsidRPr="00CE0BE9" w:rsidRDefault="002D3800" w:rsidP="00144BF5">
            <w:pPr>
              <w:pStyle w:val="Tabletext"/>
              <w:jc w:val="center"/>
              <w:rPr>
                <w:szCs w:val="20"/>
                <w:highlight w:val="yellow"/>
              </w:rPr>
            </w:pPr>
          </w:p>
        </w:tc>
        <w:tc>
          <w:tcPr>
            <w:tcW w:w="713" w:type="pct"/>
            <w:tcBorders>
              <w:left w:val="nil"/>
              <w:right w:val="nil"/>
            </w:tcBorders>
          </w:tcPr>
          <w:p w:rsidR="002D3800" w:rsidRPr="00CE0BE9" w:rsidRDefault="002D3800" w:rsidP="00144BF5">
            <w:pPr>
              <w:pStyle w:val="Tabletext"/>
              <w:jc w:val="center"/>
              <w:rPr>
                <w:szCs w:val="20"/>
                <w:highlight w:val="yellow"/>
              </w:rPr>
            </w:pPr>
          </w:p>
        </w:tc>
        <w:tc>
          <w:tcPr>
            <w:tcW w:w="943" w:type="pct"/>
            <w:tcBorders>
              <w:left w:val="nil"/>
              <w:right w:val="nil"/>
            </w:tcBorders>
            <w:vAlign w:val="center"/>
          </w:tcPr>
          <w:p w:rsidR="002D3800" w:rsidRPr="00CE0BE9" w:rsidRDefault="002D3800" w:rsidP="00144BF5">
            <w:pPr>
              <w:pStyle w:val="Tabletext"/>
              <w:jc w:val="center"/>
              <w:rPr>
                <w:szCs w:val="20"/>
              </w:rPr>
            </w:pPr>
          </w:p>
        </w:tc>
        <w:tc>
          <w:tcPr>
            <w:tcW w:w="837" w:type="pct"/>
            <w:tcBorders>
              <w:left w:val="nil"/>
            </w:tcBorders>
          </w:tcPr>
          <w:p w:rsidR="002D3800" w:rsidRPr="00CE0BE9" w:rsidRDefault="002D3800" w:rsidP="00144BF5">
            <w:pPr>
              <w:pStyle w:val="Tabletext"/>
              <w:jc w:val="center"/>
              <w:rPr>
                <w:szCs w:val="20"/>
                <w:highlight w:val="yellow"/>
              </w:rPr>
            </w:pPr>
          </w:p>
        </w:tc>
      </w:tr>
      <w:tr w:rsidR="002D3800" w:rsidRPr="00CE0BE9" w:rsidTr="00454F3B">
        <w:tc>
          <w:tcPr>
            <w:tcW w:w="998" w:type="pct"/>
            <w:shd w:val="clear" w:color="auto" w:fill="auto"/>
            <w:vAlign w:val="center"/>
          </w:tcPr>
          <w:p w:rsidR="002D3800" w:rsidRPr="00CE0BE9" w:rsidRDefault="002D3800" w:rsidP="00144BF5">
            <w:pPr>
              <w:pStyle w:val="Tabletext"/>
              <w:rPr>
                <w:szCs w:val="20"/>
              </w:rPr>
            </w:pPr>
            <w:r w:rsidRPr="00CE0BE9">
              <w:rPr>
                <w:rFonts w:eastAsia="SimSun"/>
                <w:szCs w:val="20"/>
                <w:lang w:eastAsia="en-AU"/>
              </w:rPr>
              <w:t>Neutropenia</w:t>
            </w:r>
          </w:p>
        </w:tc>
        <w:tc>
          <w:tcPr>
            <w:tcW w:w="729" w:type="pct"/>
            <w:shd w:val="clear" w:color="auto" w:fill="auto"/>
            <w:vAlign w:val="bottom"/>
          </w:tcPr>
          <w:p w:rsidR="002D3800" w:rsidRPr="00CE0BE9" w:rsidRDefault="002D3800" w:rsidP="00144BF5">
            <w:pPr>
              <w:pStyle w:val="Tabletext"/>
              <w:jc w:val="center"/>
              <w:rPr>
                <w:szCs w:val="20"/>
                <w:highlight w:val="yellow"/>
              </w:rPr>
            </w:pPr>
            <w:r w:rsidRPr="00CE0BE9">
              <w:rPr>
                <w:rFonts w:cs="Arial"/>
                <w:szCs w:val="20"/>
              </w:rPr>
              <w:t>158 (53.9%)</w:t>
            </w:r>
          </w:p>
        </w:tc>
        <w:tc>
          <w:tcPr>
            <w:tcW w:w="781" w:type="pct"/>
            <w:shd w:val="clear" w:color="auto" w:fill="auto"/>
            <w:vAlign w:val="bottom"/>
          </w:tcPr>
          <w:p w:rsidR="002D3800" w:rsidRPr="00CE0BE9" w:rsidRDefault="002D3800" w:rsidP="00144BF5">
            <w:pPr>
              <w:pStyle w:val="Tabletext"/>
              <w:jc w:val="center"/>
              <w:rPr>
                <w:szCs w:val="20"/>
                <w:highlight w:val="yellow"/>
              </w:rPr>
            </w:pPr>
            <w:r w:rsidRPr="00CE0BE9">
              <w:rPr>
                <w:rFonts w:cs="Arial"/>
                <w:szCs w:val="20"/>
              </w:rPr>
              <w:t>21 (7.5%)</w:t>
            </w:r>
          </w:p>
        </w:tc>
        <w:tc>
          <w:tcPr>
            <w:tcW w:w="713" w:type="pct"/>
          </w:tcPr>
          <w:p w:rsidR="002D3800" w:rsidRPr="00CE0BE9" w:rsidRDefault="002D3800" w:rsidP="00144BF5">
            <w:pPr>
              <w:pStyle w:val="Tabletext"/>
              <w:jc w:val="center"/>
              <w:rPr>
                <w:szCs w:val="20"/>
              </w:rPr>
            </w:pPr>
            <w:r w:rsidRPr="00CE0BE9">
              <w:rPr>
                <w:szCs w:val="20"/>
              </w:rPr>
              <w:t>-</w:t>
            </w:r>
          </w:p>
        </w:tc>
        <w:tc>
          <w:tcPr>
            <w:tcW w:w="943" w:type="pct"/>
          </w:tcPr>
          <w:p w:rsidR="002D3800" w:rsidRPr="00CE0BE9" w:rsidRDefault="002D3800" w:rsidP="00144BF5">
            <w:pPr>
              <w:pStyle w:val="Tabletext"/>
              <w:jc w:val="center"/>
              <w:rPr>
                <w:b/>
                <w:szCs w:val="20"/>
              </w:rPr>
            </w:pPr>
            <w:r w:rsidRPr="00CE0BE9">
              <w:rPr>
                <w:b/>
              </w:rPr>
              <w:t>7.19 (4.70, 11.00)</w:t>
            </w:r>
          </w:p>
        </w:tc>
        <w:tc>
          <w:tcPr>
            <w:tcW w:w="837" w:type="pct"/>
            <w:shd w:val="clear" w:color="auto" w:fill="auto"/>
            <w:vAlign w:val="center"/>
          </w:tcPr>
          <w:p w:rsidR="002D3800" w:rsidRPr="00CE0BE9" w:rsidRDefault="002D3800" w:rsidP="00144BF5">
            <w:pPr>
              <w:pStyle w:val="Tabletext"/>
              <w:jc w:val="center"/>
              <w:rPr>
                <w:b/>
                <w:szCs w:val="20"/>
                <w:highlight w:val="yellow"/>
              </w:rPr>
            </w:pPr>
            <w:r w:rsidRPr="00CE0BE9">
              <w:rPr>
                <w:rFonts w:cs="Arial"/>
                <w:b/>
                <w:szCs w:val="20"/>
              </w:rPr>
              <w:t>49% (42%, 56%)</w:t>
            </w:r>
          </w:p>
        </w:tc>
      </w:tr>
      <w:tr w:rsidR="002D3800" w:rsidRPr="00CE0BE9" w:rsidTr="00454F3B">
        <w:tc>
          <w:tcPr>
            <w:tcW w:w="998" w:type="pct"/>
            <w:shd w:val="clear" w:color="auto" w:fill="auto"/>
            <w:vAlign w:val="center"/>
          </w:tcPr>
          <w:p w:rsidR="002D3800" w:rsidRPr="00CE0BE9" w:rsidRDefault="002D3800" w:rsidP="00144BF5">
            <w:pPr>
              <w:pStyle w:val="Tabletext"/>
              <w:rPr>
                <w:szCs w:val="20"/>
              </w:rPr>
            </w:pPr>
            <w:r w:rsidRPr="00CE0BE9">
              <w:rPr>
                <w:rFonts w:eastAsia="SimSun"/>
                <w:szCs w:val="20"/>
                <w:lang w:eastAsia="en-AU"/>
              </w:rPr>
              <w:t>Leukopenia</w:t>
            </w:r>
          </w:p>
        </w:tc>
        <w:tc>
          <w:tcPr>
            <w:tcW w:w="729" w:type="pct"/>
            <w:shd w:val="clear" w:color="auto" w:fill="auto"/>
            <w:vAlign w:val="bottom"/>
          </w:tcPr>
          <w:p w:rsidR="002D3800" w:rsidRPr="00CE0BE9" w:rsidRDefault="002D3800" w:rsidP="00144BF5">
            <w:pPr>
              <w:pStyle w:val="Tabletext"/>
              <w:jc w:val="center"/>
              <w:rPr>
                <w:szCs w:val="20"/>
                <w:highlight w:val="yellow"/>
              </w:rPr>
            </w:pPr>
            <w:r w:rsidRPr="00CE0BE9">
              <w:rPr>
                <w:rFonts w:cs="Arial"/>
                <w:szCs w:val="20"/>
              </w:rPr>
              <w:t>71 (24.2%)</w:t>
            </w:r>
          </w:p>
        </w:tc>
        <w:tc>
          <w:tcPr>
            <w:tcW w:w="781" w:type="pct"/>
            <w:shd w:val="clear" w:color="auto" w:fill="auto"/>
            <w:vAlign w:val="bottom"/>
          </w:tcPr>
          <w:p w:rsidR="002D3800" w:rsidRPr="00CE0BE9" w:rsidRDefault="002D3800" w:rsidP="00144BF5">
            <w:pPr>
              <w:pStyle w:val="Tabletext"/>
              <w:jc w:val="center"/>
              <w:rPr>
                <w:szCs w:val="20"/>
                <w:highlight w:val="yellow"/>
              </w:rPr>
            </w:pPr>
            <w:r w:rsidRPr="00CE0BE9">
              <w:rPr>
                <w:rFonts w:cs="Arial"/>
                <w:szCs w:val="20"/>
              </w:rPr>
              <w:t>5 (1.8%)</w:t>
            </w:r>
          </w:p>
        </w:tc>
        <w:tc>
          <w:tcPr>
            <w:tcW w:w="713" w:type="pct"/>
          </w:tcPr>
          <w:p w:rsidR="002D3800" w:rsidRPr="00CE0BE9" w:rsidRDefault="002D3800" w:rsidP="00144BF5">
            <w:pPr>
              <w:pStyle w:val="Tabletext"/>
              <w:jc w:val="center"/>
              <w:rPr>
                <w:szCs w:val="20"/>
              </w:rPr>
            </w:pPr>
            <w:r w:rsidRPr="00CE0BE9">
              <w:rPr>
                <w:szCs w:val="20"/>
              </w:rPr>
              <w:t>-</w:t>
            </w:r>
          </w:p>
        </w:tc>
        <w:tc>
          <w:tcPr>
            <w:tcW w:w="943" w:type="pct"/>
          </w:tcPr>
          <w:p w:rsidR="002D3800" w:rsidRPr="00CE0BE9" w:rsidRDefault="002D3800" w:rsidP="00144BF5">
            <w:pPr>
              <w:pStyle w:val="Tabletext"/>
              <w:jc w:val="center"/>
              <w:rPr>
                <w:b/>
                <w:szCs w:val="20"/>
              </w:rPr>
            </w:pPr>
            <w:r w:rsidRPr="00CE0BE9">
              <w:rPr>
                <w:b/>
              </w:rPr>
              <w:t>13.57 (5.56, 33.11)</w:t>
            </w:r>
          </w:p>
        </w:tc>
        <w:tc>
          <w:tcPr>
            <w:tcW w:w="837" w:type="pct"/>
            <w:shd w:val="clear" w:color="auto" w:fill="auto"/>
            <w:vAlign w:val="center"/>
          </w:tcPr>
          <w:p w:rsidR="002D3800" w:rsidRPr="00CE0BE9" w:rsidRDefault="002D3800" w:rsidP="00144BF5">
            <w:pPr>
              <w:pStyle w:val="Tabletext"/>
              <w:jc w:val="center"/>
              <w:rPr>
                <w:b/>
                <w:szCs w:val="20"/>
                <w:highlight w:val="yellow"/>
              </w:rPr>
            </w:pPr>
            <w:r w:rsidRPr="00CE0BE9">
              <w:rPr>
                <w:rFonts w:cs="Arial"/>
                <w:b/>
                <w:szCs w:val="20"/>
              </w:rPr>
              <w:t>24% (18%, 30%)</w:t>
            </w:r>
          </w:p>
        </w:tc>
      </w:tr>
      <w:tr w:rsidR="002D3800" w:rsidRPr="00CE0BE9" w:rsidTr="00454F3B">
        <w:trPr>
          <w:trHeight w:val="60"/>
        </w:trPr>
        <w:tc>
          <w:tcPr>
            <w:tcW w:w="998" w:type="pct"/>
            <w:tcBorders>
              <w:bottom w:val="single" w:sz="4" w:space="0" w:color="auto"/>
            </w:tcBorders>
            <w:shd w:val="clear" w:color="auto" w:fill="auto"/>
            <w:vAlign w:val="center"/>
          </w:tcPr>
          <w:p w:rsidR="002D3800" w:rsidRPr="00CE0BE9" w:rsidRDefault="002D3800" w:rsidP="00144BF5">
            <w:pPr>
              <w:pStyle w:val="Tabletext"/>
              <w:rPr>
                <w:szCs w:val="20"/>
              </w:rPr>
            </w:pPr>
            <w:r w:rsidRPr="00CE0BE9">
              <w:rPr>
                <w:rFonts w:eastAsia="SimSun"/>
                <w:szCs w:val="20"/>
                <w:lang w:eastAsia="en-AU"/>
              </w:rPr>
              <w:t>Thrombocytopenia</w:t>
            </w:r>
          </w:p>
        </w:tc>
        <w:tc>
          <w:tcPr>
            <w:tcW w:w="729" w:type="pct"/>
            <w:tcBorders>
              <w:bottom w:val="single" w:sz="4" w:space="0" w:color="auto"/>
            </w:tcBorders>
            <w:shd w:val="clear" w:color="auto" w:fill="auto"/>
            <w:vAlign w:val="bottom"/>
          </w:tcPr>
          <w:p w:rsidR="002D3800" w:rsidRPr="00CE0BE9" w:rsidRDefault="002D3800" w:rsidP="00144BF5">
            <w:pPr>
              <w:pStyle w:val="Tabletext"/>
              <w:jc w:val="center"/>
              <w:rPr>
                <w:szCs w:val="20"/>
                <w:highlight w:val="yellow"/>
              </w:rPr>
            </w:pPr>
            <w:r w:rsidRPr="00CE0BE9">
              <w:rPr>
                <w:rFonts w:cs="Arial"/>
                <w:szCs w:val="20"/>
              </w:rPr>
              <w:t>38 (13.0%)</w:t>
            </w:r>
          </w:p>
        </w:tc>
        <w:tc>
          <w:tcPr>
            <w:tcW w:w="781" w:type="pct"/>
            <w:tcBorders>
              <w:bottom w:val="single" w:sz="4" w:space="0" w:color="auto"/>
            </w:tcBorders>
            <w:shd w:val="clear" w:color="auto" w:fill="auto"/>
            <w:vAlign w:val="bottom"/>
          </w:tcPr>
          <w:p w:rsidR="002D3800" w:rsidRPr="00CE0BE9" w:rsidRDefault="002D3800" w:rsidP="00144BF5">
            <w:pPr>
              <w:pStyle w:val="Tabletext"/>
              <w:jc w:val="center"/>
              <w:rPr>
                <w:szCs w:val="20"/>
                <w:highlight w:val="yellow"/>
              </w:rPr>
            </w:pPr>
            <w:r w:rsidRPr="00CE0BE9">
              <w:rPr>
                <w:rFonts w:cs="Arial"/>
                <w:szCs w:val="20"/>
              </w:rPr>
              <w:t>8 (2.9%)</w:t>
            </w:r>
          </w:p>
        </w:tc>
        <w:tc>
          <w:tcPr>
            <w:tcW w:w="713" w:type="pct"/>
            <w:tcBorders>
              <w:bottom w:val="single" w:sz="4" w:space="0" w:color="auto"/>
            </w:tcBorders>
          </w:tcPr>
          <w:p w:rsidR="002D3800" w:rsidRPr="00CE0BE9" w:rsidRDefault="002D3800" w:rsidP="00144BF5">
            <w:pPr>
              <w:pStyle w:val="Tabletext"/>
              <w:jc w:val="center"/>
              <w:rPr>
                <w:szCs w:val="20"/>
              </w:rPr>
            </w:pPr>
            <w:r w:rsidRPr="00CE0BE9">
              <w:rPr>
                <w:szCs w:val="20"/>
              </w:rPr>
              <w:t>-</w:t>
            </w:r>
          </w:p>
        </w:tc>
        <w:tc>
          <w:tcPr>
            <w:tcW w:w="943" w:type="pct"/>
            <w:tcBorders>
              <w:bottom w:val="single" w:sz="4" w:space="0" w:color="auto"/>
            </w:tcBorders>
          </w:tcPr>
          <w:p w:rsidR="002D3800" w:rsidRPr="00CE0BE9" w:rsidRDefault="002D3800" w:rsidP="00144BF5">
            <w:pPr>
              <w:pStyle w:val="Tabletext"/>
              <w:jc w:val="center"/>
              <w:rPr>
                <w:b/>
                <w:szCs w:val="20"/>
              </w:rPr>
            </w:pPr>
            <w:r w:rsidRPr="00CE0BE9">
              <w:rPr>
                <w:b/>
              </w:rPr>
              <w:t>4.54 (2.16, 9.56)</w:t>
            </w:r>
          </w:p>
        </w:tc>
        <w:tc>
          <w:tcPr>
            <w:tcW w:w="837" w:type="pct"/>
            <w:tcBorders>
              <w:bottom w:val="single" w:sz="4" w:space="0" w:color="auto"/>
            </w:tcBorders>
            <w:shd w:val="clear" w:color="auto" w:fill="auto"/>
            <w:vAlign w:val="center"/>
          </w:tcPr>
          <w:p w:rsidR="002D3800" w:rsidRPr="00CE0BE9" w:rsidRDefault="002D3800" w:rsidP="00144BF5">
            <w:pPr>
              <w:pStyle w:val="Tabletext"/>
              <w:jc w:val="center"/>
              <w:rPr>
                <w:b/>
                <w:szCs w:val="20"/>
                <w:highlight w:val="yellow"/>
              </w:rPr>
            </w:pPr>
            <w:r w:rsidRPr="00CE0BE9">
              <w:rPr>
                <w:rFonts w:cs="Arial"/>
                <w:b/>
                <w:szCs w:val="20"/>
              </w:rPr>
              <w:t>13% (7%, 19%)</w:t>
            </w:r>
          </w:p>
        </w:tc>
      </w:tr>
      <w:tr w:rsidR="002D3800" w:rsidRPr="00CE0BE9" w:rsidTr="00454F3B">
        <w:tc>
          <w:tcPr>
            <w:tcW w:w="998" w:type="pct"/>
            <w:tcBorders>
              <w:right w:val="nil"/>
            </w:tcBorders>
            <w:vAlign w:val="center"/>
          </w:tcPr>
          <w:p w:rsidR="002D3800" w:rsidRPr="00CE0BE9" w:rsidRDefault="002D3800" w:rsidP="00144BF5">
            <w:pPr>
              <w:pStyle w:val="Tabletext"/>
              <w:rPr>
                <w:szCs w:val="20"/>
              </w:rPr>
            </w:pPr>
            <w:r w:rsidRPr="00CE0BE9">
              <w:rPr>
                <w:szCs w:val="20"/>
              </w:rPr>
              <w:t xml:space="preserve">Non-haematological </w:t>
            </w:r>
          </w:p>
        </w:tc>
        <w:tc>
          <w:tcPr>
            <w:tcW w:w="729" w:type="pct"/>
            <w:tcBorders>
              <w:left w:val="nil"/>
              <w:right w:val="nil"/>
            </w:tcBorders>
            <w:vAlign w:val="center"/>
          </w:tcPr>
          <w:p w:rsidR="002D3800" w:rsidRPr="00CE0BE9" w:rsidRDefault="002D3800" w:rsidP="00144BF5">
            <w:pPr>
              <w:pStyle w:val="Tabletext"/>
              <w:jc w:val="center"/>
              <w:rPr>
                <w:szCs w:val="20"/>
                <w:highlight w:val="yellow"/>
              </w:rPr>
            </w:pPr>
          </w:p>
        </w:tc>
        <w:tc>
          <w:tcPr>
            <w:tcW w:w="781" w:type="pct"/>
            <w:tcBorders>
              <w:left w:val="nil"/>
              <w:right w:val="nil"/>
            </w:tcBorders>
            <w:vAlign w:val="center"/>
          </w:tcPr>
          <w:p w:rsidR="002D3800" w:rsidRPr="00CE0BE9" w:rsidRDefault="002D3800" w:rsidP="00144BF5">
            <w:pPr>
              <w:pStyle w:val="Tabletext"/>
              <w:jc w:val="center"/>
              <w:rPr>
                <w:szCs w:val="20"/>
                <w:highlight w:val="yellow"/>
              </w:rPr>
            </w:pPr>
          </w:p>
        </w:tc>
        <w:tc>
          <w:tcPr>
            <w:tcW w:w="713" w:type="pct"/>
            <w:tcBorders>
              <w:left w:val="nil"/>
              <w:right w:val="nil"/>
            </w:tcBorders>
          </w:tcPr>
          <w:p w:rsidR="002D3800" w:rsidRPr="00CE0BE9" w:rsidRDefault="002D3800" w:rsidP="00144BF5">
            <w:pPr>
              <w:pStyle w:val="Tabletext"/>
              <w:jc w:val="center"/>
              <w:rPr>
                <w:szCs w:val="20"/>
              </w:rPr>
            </w:pPr>
          </w:p>
        </w:tc>
        <w:tc>
          <w:tcPr>
            <w:tcW w:w="943" w:type="pct"/>
            <w:tcBorders>
              <w:left w:val="nil"/>
              <w:right w:val="nil"/>
            </w:tcBorders>
            <w:vAlign w:val="center"/>
          </w:tcPr>
          <w:p w:rsidR="002D3800" w:rsidRPr="00CE0BE9" w:rsidRDefault="002D3800" w:rsidP="00144BF5">
            <w:pPr>
              <w:pStyle w:val="Tabletext"/>
              <w:jc w:val="center"/>
              <w:rPr>
                <w:szCs w:val="20"/>
              </w:rPr>
            </w:pPr>
          </w:p>
        </w:tc>
        <w:tc>
          <w:tcPr>
            <w:tcW w:w="837" w:type="pct"/>
            <w:tcBorders>
              <w:left w:val="nil"/>
            </w:tcBorders>
          </w:tcPr>
          <w:p w:rsidR="002D3800" w:rsidRPr="00CE0BE9" w:rsidRDefault="002D3800" w:rsidP="00144BF5">
            <w:pPr>
              <w:pStyle w:val="Tabletext"/>
              <w:jc w:val="center"/>
              <w:rPr>
                <w:szCs w:val="20"/>
                <w:highlight w:val="yellow"/>
              </w:rPr>
            </w:pPr>
          </w:p>
        </w:tc>
      </w:tr>
      <w:tr w:rsidR="002D3800" w:rsidRPr="00CE0BE9" w:rsidTr="00454F3B">
        <w:tc>
          <w:tcPr>
            <w:tcW w:w="998" w:type="pct"/>
            <w:shd w:val="clear" w:color="auto" w:fill="auto"/>
            <w:vAlign w:val="center"/>
          </w:tcPr>
          <w:p w:rsidR="002D3800" w:rsidRPr="00CE0BE9" w:rsidRDefault="002D3800" w:rsidP="00144BF5">
            <w:pPr>
              <w:pStyle w:val="Tabletext"/>
              <w:rPr>
                <w:rFonts w:eastAsia="SimSun"/>
                <w:szCs w:val="20"/>
                <w:lang w:eastAsia="en-AU"/>
              </w:rPr>
            </w:pPr>
            <w:r w:rsidRPr="00CE0BE9">
              <w:rPr>
                <w:rFonts w:eastAsia="SimSun"/>
                <w:szCs w:val="20"/>
                <w:lang w:eastAsia="en-AU"/>
              </w:rPr>
              <w:t>Bronchitis</w:t>
            </w:r>
          </w:p>
        </w:tc>
        <w:tc>
          <w:tcPr>
            <w:tcW w:w="729" w:type="pct"/>
            <w:shd w:val="clear" w:color="auto" w:fill="auto"/>
            <w:vAlign w:val="center"/>
          </w:tcPr>
          <w:p w:rsidR="002D3800" w:rsidRPr="00CE0BE9" w:rsidRDefault="002D3800" w:rsidP="00144BF5">
            <w:pPr>
              <w:pStyle w:val="Tabletext"/>
              <w:jc w:val="center"/>
              <w:rPr>
                <w:rFonts w:cs="Arial"/>
                <w:szCs w:val="20"/>
              </w:rPr>
            </w:pPr>
            <w:r w:rsidRPr="00CE0BE9">
              <w:rPr>
                <w:rFonts w:cs="Arial"/>
                <w:szCs w:val="20"/>
              </w:rPr>
              <w:t>139 (47.4%)</w:t>
            </w:r>
          </w:p>
        </w:tc>
        <w:tc>
          <w:tcPr>
            <w:tcW w:w="781" w:type="pct"/>
            <w:shd w:val="clear" w:color="auto" w:fill="auto"/>
            <w:vAlign w:val="center"/>
          </w:tcPr>
          <w:p w:rsidR="002D3800" w:rsidRPr="00CE0BE9" w:rsidRDefault="002D3800" w:rsidP="00144BF5">
            <w:pPr>
              <w:pStyle w:val="Tabletext"/>
              <w:jc w:val="center"/>
              <w:rPr>
                <w:rFonts w:cs="Arial"/>
                <w:szCs w:val="20"/>
              </w:rPr>
            </w:pPr>
            <w:r w:rsidRPr="00CE0BE9">
              <w:rPr>
                <w:rFonts w:cs="Arial"/>
                <w:szCs w:val="20"/>
              </w:rPr>
              <w:t>104 (37.1%)</w:t>
            </w:r>
          </w:p>
        </w:tc>
        <w:tc>
          <w:tcPr>
            <w:tcW w:w="713" w:type="pct"/>
            <w:shd w:val="clear" w:color="auto" w:fill="auto"/>
            <w:vAlign w:val="center"/>
          </w:tcPr>
          <w:p w:rsidR="002D3800" w:rsidRPr="00CE0BE9" w:rsidRDefault="002D3800" w:rsidP="00144BF5">
            <w:pPr>
              <w:pStyle w:val="Tabletext"/>
              <w:jc w:val="center"/>
              <w:rPr>
                <w:szCs w:val="20"/>
              </w:rPr>
            </w:pPr>
            <w:r w:rsidRPr="00CE0BE9">
              <w:rPr>
                <w:rFonts w:cs="Arial"/>
                <w:szCs w:val="20"/>
              </w:rPr>
              <w:t>-</w:t>
            </w:r>
          </w:p>
        </w:tc>
        <w:tc>
          <w:tcPr>
            <w:tcW w:w="943" w:type="pct"/>
            <w:shd w:val="clear" w:color="auto" w:fill="auto"/>
            <w:vAlign w:val="center"/>
          </w:tcPr>
          <w:p w:rsidR="002D3800" w:rsidRPr="00CE0BE9" w:rsidRDefault="002D3800" w:rsidP="00144BF5">
            <w:pPr>
              <w:pStyle w:val="Tabletext"/>
              <w:jc w:val="center"/>
              <w:rPr>
                <w:b/>
                <w:szCs w:val="20"/>
              </w:rPr>
            </w:pPr>
            <w:r w:rsidRPr="00CE0BE9">
              <w:rPr>
                <w:rFonts w:cs="Arial"/>
                <w:b/>
                <w:szCs w:val="20"/>
              </w:rPr>
              <w:t>1.28 (1.05, 1.55)</w:t>
            </w:r>
          </w:p>
        </w:tc>
        <w:tc>
          <w:tcPr>
            <w:tcW w:w="837" w:type="pct"/>
            <w:shd w:val="clear" w:color="auto" w:fill="auto"/>
            <w:vAlign w:val="center"/>
          </w:tcPr>
          <w:p w:rsidR="002D3800" w:rsidRPr="00CE0BE9" w:rsidRDefault="002D3800" w:rsidP="00144BF5">
            <w:pPr>
              <w:pStyle w:val="Tabletext"/>
              <w:jc w:val="center"/>
              <w:rPr>
                <w:b/>
                <w:szCs w:val="20"/>
              </w:rPr>
            </w:pPr>
            <w:r w:rsidRPr="00CE0BE9">
              <w:rPr>
                <w:rFonts w:cs="Arial"/>
                <w:b/>
                <w:szCs w:val="20"/>
              </w:rPr>
              <w:t>10% (2%, 18%)</w:t>
            </w:r>
          </w:p>
        </w:tc>
      </w:tr>
      <w:tr w:rsidR="002D3800" w:rsidRPr="00CE0BE9" w:rsidTr="00454F3B">
        <w:tc>
          <w:tcPr>
            <w:tcW w:w="998" w:type="pct"/>
            <w:shd w:val="clear" w:color="auto" w:fill="auto"/>
            <w:vAlign w:val="center"/>
          </w:tcPr>
          <w:p w:rsidR="002D3800" w:rsidRPr="00CE0BE9" w:rsidRDefault="002D3800" w:rsidP="00144BF5">
            <w:pPr>
              <w:pStyle w:val="Tabletext"/>
              <w:rPr>
                <w:rFonts w:eastAsia="SimSun"/>
                <w:szCs w:val="20"/>
                <w:lang w:eastAsia="en-AU"/>
              </w:rPr>
            </w:pPr>
            <w:r w:rsidRPr="00CE0BE9">
              <w:rPr>
                <w:rFonts w:eastAsia="SimSun"/>
                <w:szCs w:val="20"/>
                <w:lang w:eastAsia="en-AU"/>
              </w:rPr>
              <w:t>Diarrhoea</w:t>
            </w:r>
          </w:p>
        </w:tc>
        <w:tc>
          <w:tcPr>
            <w:tcW w:w="729" w:type="pct"/>
            <w:shd w:val="clear" w:color="auto" w:fill="auto"/>
            <w:vAlign w:val="center"/>
          </w:tcPr>
          <w:p w:rsidR="002D3800" w:rsidRPr="00CE0BE9" w:rsidRDefault="002D3800" w:rsidP="00144BF5">
            <w:pPr>
              <w:pStyle w:val="Tabletext"/>
              <w:jc w:val="center"/>
              <w:rPr>
                <w:rFonts w:cs="Arial"/>
                <w:szCs w:val="20"/>
              </w:rPr>
            </w:pPr>
            <w:r w:rsidRPr="00CE0BE9">
              <w:rPr>
                <w:rFonts w:cs="Arial"/>
                <w:szCs w:val="20"/>
              </w:rPr>
              <w:t>114 (38.9%)</w:t>
            </w:r>
          </w:p>
        </w:tc>
        <w:tc>
          <w:tcPr>
            <w:tcW w:w="781" w:type="pct"/>
            <w:shd w:val="clear" w:color="auto" w:fill="auto"/>
            <w:vAlign w:val="center"/>
          </w:tcPr>
          <w:p w:rsidR="002D3800" w:rsidRPr="00CE0BE9" w:rsidRDefault="002D3800" w:rsidP="00144BF5">
            <w:pPr>
              <w:pStyle w:val="Tabletext"/>
              <w:jc w:val="center"/>
              <w:rPr>
                <w:rFonts w:cs="Arial"/>
                <w:szCs w:val="20"/>
              </w:rPr>
            </w:pPr>
            <w:r w:rsidRPr="00CE0BE9">
              <w:rPr>
                <w:rFonts w:cs="Arial"/>
                <w:szCs w:val="20"/>
              </w:rPr>
              <w:t>34 (12.1%)</w:t>
            </w:r>
          </w:p>
        </w:tc>
        <w:tc>
          <w:tcPr>
            <w:tcW w:w="713" w:type="pct"/>
            <w:shd w:val="clear" w:color="auto" w:fill="auto"/>
            <w:vAlign w:val="center"/>
          </w:tcPr>
          <w:p w:rsidR="002D3800" w:rsidRPr="00CE0BE9" w:rsidRDefault="002D3800" w:rsidP="00144BF5">
            <w:pPr>
              <w:pStyle w:val="Tabletext"/>
              <w:jc w:val="center"/>
              <w:rPr>
                <w:rFonts w:cs="Arial"/>
                <w:szCs w:val="20"/>
              </w:rPr>
            </w:pPr>
            <w:r w:rsidRPr="00CE0BE9">
              <w:rPr>
                <w:rFonts w:cs="Arial"/>
                <w:szCs w:val="20"/>
              </w:rPr>
              <w:t>-</w:t>
            </w:r>
          </w:p>
        </w:tc>
        <w:tc>
          <w:tcPr>
            <w:tcW w:w="943" w:type="pct"/>
            <w:shd w:val="clear" w:color="auto" w:fill="auto"/>
            <w:vAlign w:val="center"/>
          </w:tcPr>
          <w:p w:rsidR="002D3800" w:rsidRPr="00CE0BE9" w:rsidRDefault="002D3800" w:rsidP="00144BF5">
            <w:pPr>
              <w:pStyle w:val="Tabletext"/>
              <w:jc w:val="center"/>
              <w:rPr>
                <w:rFonts w:cs="Arial"/>
                <w:b/>
                <w:szCs w:val="20"/>
              </w:rPr>
            </w:pPr>
            <w:r w:rsidRPr="00CE0BE9">
              <w:rPr>
                <w:rFonts w:cs="Arial"/>
                <w:b/>
                <w:szCs w:val="20"/>
              </w:rPr>
              <w:t>3.20 (2.27, 4.53)</w:t>
            </w:r>
          </w:p>
        </w:tc>
        <w:tc>
          <w:tcPr>
            <w:tcW w:w="837" w:type="pct"/>
            <w:shd w:val="clear" w:color="auto" w:fill="auto"/>
            <w:vAlign w:val="center"/>
          </w:tcPr>
          <w:p w:rsidR="002D3800" w:rsidRPr="00CE0BE9" w:rsidRDefault="002D3800" w:rsidP="00144BF5">
            <w:pPr>
              <w:pStyle w:val="Tabletext"/>
              <w:jc w:val="center"/>
              <w:rPr>
                <w:rFonts w:cs="Arial"/>
                <w:b/>
                <w:szCs w:val="20"/>
              </w:rPr>
            </w:pPr>
            <w:r w:rsidRPr="00CE0BE9">
              <w:rPr>
                <w:rFonts w:cs="Arial"/>
                <w:b/>
                <w:szCs w:val="20"/>
              </w:rPr>
              <w:t>27% (20%, 34%)</w:t>
            </w:r>
          </w:p>
        </w:tc>
      </w:tr>
      <w:tr w:rsidR="002D3800" w:rsidRPr="00CE0BE9" w:rsidTr="00454F3B">
        <w:tc>
          <w:tcPr>
            <w:tcW w:w="998" w:type="pct"/>
            <w:shd w:val="clear" w:color="auto" w:fill="auto"/>
            <w:vAlign w:val="center"/>
          </w:tcPr>
          <w:p w:rsidR="002D3800" w:rsidRPr="00CE0BE9" w:rsidRDefault="002D3800" w:rsidP="00144BF5">
            <w:pPr>
              <w:pStyle w:val="Tabletext"/>
              <w:rPr>
                <w:rFonts w:eastAsia="SimSun"/>
                <w:szCs w:val="20"/>
                <w:lang w:eastAsia="en-AU"/>
              </w:rPr>
            </w:pPr>
            <w:r w:rsidRPr="00CE0BE9">
              <w:rPr>
                <w:rFonts w:eastAsia="SimSun"/>
                <w:szCs w:val="20"/>
                <w:lang w:eastAsia="en-AU"/>
              </w:rPr>
              <w:t>Fatigue</w:t>
            </w:r>
          </w:p>
        </w:tc>
        <w:tc>
          <w:tcPr>
            <w:tcW w:w="729" w:type="pct"/>
            <w:shd w:val="clear" w:color="auto" w:fill="auto"/>
            <w:vAlign w:val="center"/>
          </w:tcPr>
          <w:p w:rsidR="002D3800" w:rsidRPr="00CE0BE9" w:rsidRDefault="002D3800" w:rsidP="00144BF5">
            <w:pPr>
              <w:pStyle w:val="Tabletext"/>
              <w:jc w:val="center"/>
              <w:rPr>
                <w:rFonts w:cs="Arial"/>
                <w:szCs w:val="20"/>
              </w:rPr>
            </w:pPr>
            <w:r w:rsidRPr="00CE0BE9">
              <w:rPr>
                <w:rFonts w:cs="Arial"/>
                <w:szCs w:val="20"/>
              </w:rPr>
              <w:t>31 (10.6%)</w:t>
            </w:r>
          </w:p>
        </w:tc>
        <w:tc>
          <w:tcPr>
            <w:tcW w:w="781" w:type="pct"/>
            <w:shd w:val="clear" w:color="auto" w:fill="auto"/>
            <w:vAlign w:val="center"/>
          </w:tcPr>
          <w:p w:rsidR="002D3800" w:rsidRPr="00CE0BE9" w:rsidRDefault="002D3800" w:rsidP="00144BF5">
            <w:pPr>
              <w:pStyle w:val="Tabletext"/>
              <w:jc w:val="center"/>
              <w:rPr>
                <w:rFonts w:cs="Arial"/>
                <w:szCs w:val="20"/>
              </w:rPr>
            </w:pPr>
            <w:r w:rsidRPr="00CE0BE9">
              <w:rPr>
                <w:rFonts w:cs="Arial"/>
                <w:szCs w:val="20"/>
              </w:rPr>
              <w:t>15 (5.4%)</w:t>
            </w:r>
          </w:p>
        </w:tc>
        <w:tc>
          <w:tcPr>
            <w:tcW w:w="713" w:type="pct"/>
            <w:shd w:val="clear" w:color="auto" w:fill="auto"/>
            <w:vAlign w:val="center"/>
          </w:tcPr>
          <w:p w:rsidR="002D3800" w:rsidRPr="00CE0BE9" w:rsidRDefault="002D3800" w:rsidP="00144BF5">
            <w:pPr>
              <w:pStyle w:val="Tabletext"/>
              <w:jc w:val="center"/>
              <w:rPr>
                <w:rFonts w:cs="Arial"/>
                <w:szCs w:val="20"/>
              </w:rPr>
            </w:pPr>
            <w:r w:rsidRPr="00CE0BE9">
              <w:rPr>
                <w:rFonts w:cs="Arial"/>
                <w:szCs w:val="20"/>
              </w:rPr>
              <w:t>-</w:t>
            </w:r>
          </w:p>
        </w:tc>
        <w:tc>
          <w:tcPr>
            <w:tcW w:w="943" w:type="pct"/>
            <w:shd w:val="clear" w:color="auto" w:fill="auto"/>
            <w:vAlign w:val="center"/>
          </w:tcPr>
          <w:p w:rsidR="002D3800" w:rsidRPr="00CE0BE9" w:rsidRDefault="002D3800" w:rsidP="00144BF5">
            <w:pPr>
              <w:pStyle w:val="Tabletext"/>
              <w:jc w:val="center"/>
              <w:rPr>
                <w:rFonts w:cs="Arial"/>
                <w:b/>
                <w:szCs w:val="20"/>
              </w:rPr>
            </w:pPr>
            <w:r w:rsidRPr="00CE0BE9">
              <w:rPr>
                <w:rFonts w:cs="Arial"/>
                <w:b/>
                <w:szCs w:val="20"/>
              </w:rPr>
              <w:t>1.97 (1.09, 3.58)</w:t>
            </w:r>
          </w:p>
        </w:tc>
        <w:tc>
          <w:tcPr>
            <w:tcW w:w="837" w:type="pct"/>
            <w:shd w:val="clear" w:color="auto" w:fill="auto"/>
            <w:vAlign w:val="center"/>
          </w:tcPr>
          <w:p w:rsidR="002D3800" w:rsidRPr="00CE0BE9" w:rsidRDefault="002D3800" w:rsidP="00144BF5">
            <w:pPr>
              <w:pStyle w:val="Tabletext"/>
              <w:jc w:val="center"/>
              <w:rPr>
                <w:rFonts w:eastAsia="SimSun"/>
                <w:b/>
                <w:szCs w:val="20"/>
                <w:lang w:eastAsia="en-AU"/>
              </w:rPr>
            </w:pPr>
            <w:r w:rsidRPr="00CE0BE9">
              <w:rPr>
                <w:rFonts w:cs="Arial"/>
                <w:b/>
                <w:szCs w:val="20"/>
              </w:rPr>
              <w:t>5% (1%, 10%)</w:t>
            </w:r>
          </w:p>
        </w:tc>
      </w:tr>
      <w:tr w:rsidR="002D3800" w:rsidRPr="00CE0BE9" w:rsidTr="00454F3B">
        <w:tc>
          <w:tcPr>
            <w:tcW w:w="998" w:type="pct"/>
            <w:shd w:val="clear" w:color="auto" w:fill="auto"/>
            <w:vAlign w:val="center"/>
          </w:tcPr>
          <w:p w:rsidR="002D3800" w:rsidRPr="00CE0BE9" w:rsidRDefault="002D3800" w:rsidP="00144BF5">
            <w:pPr>
              <w:pStyle w:val="Tabletext"/>
              <w:rPr>
                <w:rFonts w:eastAsia="SimSun"/>
                <w:szCs w:val="20"/>
                <w:lang w:eastAsia="en-AU"/>
              </w:rPr>
            </w:pPr>
            <w:r w:rsidRPr="00CE0BE9">
              <w:rPr>
                <w:rFonts w:eastAsia="SimSun"/>
                <w:szCs w:val="20"/>
                <w:lang w:eastAsia="en-AU"/>
              </w:rPr>
              <w:t>Nausea</w:t>
            </w:r>
          </w:p>
        </w:tc>
        <w:tc>
          <w:tcPr>
            <w:tcW w:w="729" w:type="pct"/>
            <w:shd w:val="clear" w:color="auto" w:fill="auto"/>
            <w:vAlign w:val="center"/>
          </w:tcPr>
          <w:p w:rsidR="002D3800" w:rsidRPr="00CE0BE9" w:rsidRDefault="002D3800" w:rsidP="00144BF5">
            <w:pPr>
              <w:pStyle w:val="Tabletext"/>
              <w:jc w:val="center"/>
              <w:rPr>
                <w:rFonts w:cs="Arial"/>
                <w:szCs w:val="20"/>
              </w:rPr>
            </w:pPr>
            <w:r w:rsidRPr="00CE0BE9">
              <w:rPr>
                <w:rFonts w:cs="Arial"/>
                <w:szCs w:val="20"/>
              </w:rPr>
              <w:t>31 (10.6%)</w:t>
            </w:r>
          </w:p>
        </w:tc>
        <w:tc>
          <w:tcPr>
            <w:tcW w:w="781" w:type="pct"/>
            <w:shd w:val="clear" w:color="auto" w:fill="auto"/>
            <w:vAlign w:val="center"/>
          </w:tcPr>
          <w:p w:rsidR="002D3800" w:rsidRPr="00CE0BE9" w:rsidRDefault="002D3800" w:rsidP="00144BF5">
            <w:pPr>
              <w:pStyle w:val="Tabletext"/>
              <w:jc w:val="center"/>
              <w:rPr>
                <w:rFonts w:cs="Arial"/>
                <w:szCs w:val="20"/>
              </w:rPr>
            </w:pPr>
            <w:r w:rsidRPr="00CE0BE9">
              <w:rPr>
                <w:rFonts w:cs="Arial"/>
                <w:szCs w:val="20"/>
              </w:rPr>
              <w:t>28 (10%)</w:t>
            </w:r>
          </w:p>
        </w:tc>
        <w:tc>
          <w:tcPr>
            <w:tcW w:w="713" w:type="pct"/>
            <w:shd w:val="clear" w:color="auto" w:fill="auto"/>
            <w:vAlign w:val="center"/>
          </w:tcPr>
          <w:p w:rsidR="002D3800" w:rsidRPr="00CE0BE9" w:rsidRDefault="002D3800" w:rsidP="00144BF5">
            <w:pPr>
              <w:pStyle w:val="Tabletext"/>
              <w:jc w:val="center"/>
              <w:rPr>
                <w:rFonts w:cs="Arial"/>
                <w:szCs w:val="20"/>
              </w:rPr>
            </w:pPr>
            <w:r w:rsidRPr="00CE0BE9">
              <w:rPr>
                <w:rFonts w:cs="Arial"/>
                <w:szCs w:val="20"/>
              </w:rPr>
              <w:t>-</w:t>
            </w:r>
          </w:p>
        </w:tc>
        <w:tc>
          <w:tcPr>
            <w:tcW w:w="943" w:type="pct"/>
            <w:shd w:val="clear" w:color="auto" w:fill="auto"/>
            <w:vAlign w:val="center"/>
          </w:tcPr>
          <w:p w:rsidR="002D3800" w:rsidRPr="00CE0BE9" w:rsidRDefault="002D3800" w:rsidP="00144BF5">
            <w:pPr>
              <w:pStyle w:val="Tabletext"/>
              <w:jc w:val="center"/>
              <w:rPr>
                <w:rFonts w:cs="Arial"/>
                <w:szCs w:val="20"/>
              </w:rPr>
            </w:pPr>
            <w:r w:rsidRPr="00CE0BE9">
              <w:rPr>
                <w:rFonts w:cs="Arial"/>
                <w:szCs w:val="20"/>
              </w:rPr>
              <w:t>1.06 (0.65, 1.72)</w:t>
            </w:r>
          </w:p>
        </w:tc>
        <w:tc>
          <w:tcPr>
            <w:tcW w:w="837" w:type="pct"/>
            <w:shd w:val="clear" w:color="auto" w:fill="auto"/>
            <w:vAlign w:val="center"/>
          </w:tcPr>
          <w:p w:rsidR="002D3800" w:rsidRPr="00CE0BE9" w:rsidRDefault="002D3800" w:rsidP="00144BF5">
            <w:pPr>
              <w:pStyle w:val="Tabletext"/>
              <w:jc w:val="center"/>
              <w:rPr>
                <w:rFonts w:eastAsia="SimSun"/>
                <w:szCs w:val="20"/>
                <w:lang w:eastAsia="en-AU"/>
              </w:rPr>
            </w:pPr>
            <w:r w:rsidRPr="00CE0BE9">
              <w:rPr>
                <w:rFonts w:cs="Arial"/>
                <w:szCs w:val="20"/>
              </w:rPr>
              <w:t>1% (-4%, 6%)</w:t>
            </w:r>
          </w:p>
        </w:tc>
      </w:tr>
      <w:tr w:rsidR="002D3800" w:rsidRPr="00CE0BE9" w:rsidTr="00454F3B">
        <w:tc>
          <w:tcPr>
            <w:tcW w:w="998" w:type="pct"/>
            <w:shd w:val="clear" w:color="auto" w:fill="auto"/>
            <w:vAlign w:val="center"/>
          </w:tcPr>
          <w:p w:rsidR="002D3800" w:rsidRPr="00CE0BE9" w:rsidRDefault="002D3800" w:rsidP="00144BF5">
            <w:pPr>
              <w:pStyle w:val="Tabletext"/>
              <w:rPr>
                <w:szCs w:val="20"/>
                <w:highlight w:val="yellow"/>
              </w:rPr>
            </w:pPr>
            <w:r w:rsidRPr="00CE0BE9">
              <w:rPr>
                <w:rFonts w:eastAsia="SimSun"/>
                <w:szCs w:val="20"/>
                <w:lang w:eastAsia="en-AU"/>
              </w:rPr>
              <w:t>Lung disorder</w:t>
            </w:r>
          </w:p>
        </w:tc>
        <w:tc>
          <w:tcPr>
            <w:tcW w:w="729" w:type="pct"/>
            <w:shd w:val="clear" w:color="auto" w:fill="auto"/>
            <w:vAlign w:val="bottom"/>
          </w:tcPr>
          <w:p w:rsidR="002D3800" w:rsidRPr="00CE0BE9" w:rsidRDefault="002D3800" w:rsidP="00144BF5">
            <w:pPr>
              <w:pStyle w:val="Tabletext"/>
              <w:jc w:val="center"/>
              <w:rPr>
                <w:szCs w:val="20"/>
                <w:highlight w:val="yellow"/>
              </w:rPr>
            </w:pPr>
            <w:r w:rsidRPr="00CE0BE9">
              <w:rPr>
                <w:rFonts w:cs="Arial"/>
                <w:szCs w:val="20"/>
              </w:rPr>
              <w:t>19 (6.5%)</w:t>
            </w:r>
          </w:p>
        </w:tc>
        <w:tc>
          <w:tcPr>
            <w:tcW w:w="781" w:type="pct"/>
            <w:shd w:val="clear" w:color="auto" w:fill="auto"/>
            <w:vAlign w:val="bottom"/>
          </w:tcPr>
          <w:p w:rsidR="002D3800" w:rsidRPr="00CE0BE9" w:rsidRDefault="002D3800" w:rsidP="00144BF5">
            <w:pPr>
              <w:pStyle w:val="Tabletext"/>
              <w:jc w:val="center"/>
              <w:rPr>
                <w:szCs w:val="20"/>
                <w:highlight w:val="yellow"/>
              </w:rPr>
            </w:pPr>
            <w:r w:rsidRPr="00CE0BE9">
              <w:rPr>
                <w:rFonts w:cs="Arial"/>
                <w:szCs w:val="20"/>
              </w:rPr>
              <w:t>3 (1.1%)</w:t>
            </w:r>
          </w:p>
        </w:tc>
        <w:tc>
          <w:tcPr>
            <w:tcW w:w="713" w:type="pct"/>
          </w:tcPr>
          <w:p w:rsidR="002D3800" w:rsidRPr="00CE0BE9" w:rsidRDefault="002D3800" w:rsidP="00144BF5">
            <w:pPr>
              <w:pStyle w:val="Tabletext"/>
              <w:jc w:val="center"/>
              <w:rPr>
                <w:szCs w:val="20"/>
              </w:rPr>
            </w:pPr>
            <w:r w:rsidRPr="00CE0BE9">
              <w:rPr>
                <w:szCs w:val="20"/>
              </w:rPr>
              <w:t>-</w:t>
            </w:r>
          </w:p>
        </w:tc>
        <w:tc>
          <w:tcPr>
            <w:tcW w:w="943" w:type="pct"/>
            <w:vAlign w:val="center"/>
          </w:tcPr>
          <w:p w:rsidR="002D3800" w:rsidRPr="00CE0BE9" w:rsidRDefault="002D3800" w:rsidP="00144BF5">
            <w:pPr>
              <w:pStyle w:val="Tabletext"/>
              <w:jc w:val="center"/>
              <w:rPr>
                <w:b/>
                <w:szCs w:val="20"/>
              </w:rPr>
            </w:pPr>
            <w:r w:rsidRPr="00CE0BE9">
              <w:rPr>
                <w:b/>
                <w:szCs w:val="20"/>
              </w:rPr>
              <w:t>6.05 (1.81, 20.23)</w:t>
            </w:r>
          </w:p>
        </w:tc>
        <w:tc>
          <w:tcPr>
            <w:tcW w:w="837" w:type="pct"/>
          </w:tcPr>
          <w:p w:rsidR="002D3800" w:rsidRPr="00CE0BE9" w:rsidRDefault="002D3800" w:rsidP="00144BF5">
            <w:pPr>
              <w:pStyle w:val="Tabletext"/>
              <w:jc w:val="center"/>
              <w:rPr>
                <w:b/>
                <w:szCs w:val="20"/>
              </w:rPr>
            </w:pPr>
            <w:r w:rsidRPr="00CE0BE9">
              <w:rPr>
                <w:b/>
                <w:szCs w:val="20"/>
              </w:rPr>
              <w:t>8% (4%, 12%)</w:t>
            </w:r>
          </w:p>
        </w:tc>
      </w:tr>
    </w:tbl>
    <w:p w:rsidR="00A51754" w:rsidRPr="00CE0BE9" w:rsidRDefault="00A51754" w:rsidP="003B2682">
      <w:pPr>
        <w:pStyle w:val="TableFooter"/>
      </w:pPr>
      <w:r w:rsidRPr="00CE0BE9">
        <w:t xml:space="preserve">Abbreviations: </w:t>
      </w:r>
      <w:r w:rsidR="00210E3F" w:rsidRPr="00CE0BE9">
        <w:t xml:space="preserve">BSC=best supportive care; </w:t>
      </w:r>
      <w:r w:rsidRPr="00CE0BE9">
        <w:t>CI</w:t>
      </w:r>
      <w:r w:rsidR="00B71116" w:rsidRPr="00CE0BE9">
        <w:t>=</w:t>
      </w:r>
      <w:r w:rsidRPr="00CE0BE9">
        <w:t>confidence interval; LEN</w:t>
      </w:r>
      <w:r w:rsidR="00B71116" w:rsidRPr="00CE0BE9">
        <w:t>=</w:t>
      </w:r>
      <w:proofErr w:type="spellStart"/>
      <w:r w:rsidRPr="00CE0BE9">
        <w:t>lenalidomide</w:t>
      </w:r>
      <w:proofErr w:type="spellEnd"/>
      <w:r w:rsidRPr="00CE0BE9">
        <w:t>; XO</w:t>
      </w:r>
      <w:r w:rsidR="00B71116" w:rsidRPr="00CE0BE9">
        <w:t>=</w:t>
      </w:r>
      <w:r w:rsidRPr="00CE0BE9">
        <w:t>cross-over</w:t>
      </w:r>
    </w:p>
    <w:p w:rsidR="00A51754" w:rsidRPr="00CE0BE9" w:rsidRDefault="00A51754" w:rsidP="003B2682">
      <w:pPr>
        <w:pStyle w:val="TableFooter"/>
      </w:pPr>
      <w:r w:rsidRPr="00CE0BE9">
        <w:t>Source: Table 2.5.8, p.93-94 and Table 2.5.11, p.96-97 of the submission.</w:t>
      </w:r>
      <w:r w:rsidR="00861515" w:rsidRPr="00CE0BE9">
        <w:t xml:space="preserve"> </w:t>
      </w:r>
    </w:p>
    <w:p w:rsidR="00A51754" w:rsidRPr="00CE0BE9" w:rsidRDefault="00A51754" w:rsidP="003B2682">
      <w:pPr>
        <w:pStyle w:val="TableFooter"/>
      </w:pPr>
      <w:r w:rsidRPr="00CE0BE9">
        <w:t>Note: RR is calculated for events in the PBO group up to the point of cross-over to PBO.</w:t>
      </w:r>
      <w:r w:rsidR="00861515" w:rsidRPr="00CE0BE9">
        <w:t xml:space="preserve"> </w:t>
      </w:r>
      <w:bookmarkStart w:id="13" w:name="_Hlk503268036"/>
      <w:proofErr w:type="gramStart"/>
      <w:r w:rsidR="00861515" w:rsidRPr="00CE0BE9">
        <w:t xml:space="preserve">Statistically significant </w:t>
      </w:r>
      <w:r w:rsidR="002A04BD" w:rsidRPr="00CE0BE9">
        <w:t xml:space="preserve">differences </w:t>
      </w:r>
      <w:r w:rsidR="00861515" w:rsidRPr="00CE0BE9">
        <w:t>bolded.</w:t>
      </w:r>
      <w:proofErr w:type="gramEnd"/>
      <w:r w:rsidR="00861515" w:rsidRPr="00CE0BE9">
        <w:t xml:space="preserve"> </w:t>
      </w:r>
      <w:bookmarkEnd w:id="13"/>
    </w:p>
    <w:p w:rsidR="00A51754" w:rsidRDefault="00A51754" w:rsidP="00A51754">
      <w:pPr>
        <w:pStyle w:val="ListParagraph"/>
        <w:spacing w:after="0"/>
        <w:ind w:left="0"/>
      </w:pPr>
    </w:p>
    <w:p w:rsidR="00D073C9" w:rsidRDefault="00D073C9">
      <w:pPr>
        <w:widowControl/>
        <w:jc w:val="left"/>
        <w:rPr>
          <w:rFonts w:ascii="Arial Narrow" w:hAnsi="Arial Narrow"/>
          <w:b/>
          <w:sz w:val="20"/>
          <w:szCs w:val="20"/>
        </w:rPr>
      </w:pPr>
      <w:r>
        <w:rPr>
          <w:rFonts w:ascii="Arial Narrow" w:hAnsi="Arial Narrow"/>
          <w:b/>
          <w:sz w:val="20"/>
          <w:szCs w:val="20"/>
        </w:rPr>
        <w:br w:type="page"/>
      </w:r>
    </w:p>
    <w:p w:rsidR="00A51754" w:rsidRPr="00CE0BE9" w:rsidRDefault="00A51754" w:rsidP="00A51754">
      <w:pPr>
        <w:keepNext/>
        <w:rPr>
          <w:rFonts w:ascii="Arial Narrow" w:hAnsi="Arial Narrow"/>
          <w:b/>
          <w:sz w:val="20"/>
          <w:szCs w:val="20"/>
        </w:rPr>
      </w:pPr>
      <w:r w:rsidRPr="00CE0BE9">
        <w:rPr>
          <w:rFonts w:ascii="Arial Narrow" w:hAnsi="Arial Narrow"/>
          <w:b/>
          <w:sz w:val="20"/>
          <w:szCs w:val="20"/>
        </w:rPr>
        <w:lastRenderedPageBreak/>
        <w:t xml:space="preserve">Table </w:t>
      </w:r>
      <w:r w:rsidR="007D6AA8">
        <w:rPr>
          <w:rFonts w:ascii="Arial Narrow" w:hAnsi="Arial Narrow"/>
          <w:b/>
          <w:sz w:val="20"/>
          <w:szCs w:val="20"/>
        </w:rPr>
        <w:t>17</w:t>
      </w:r>
      <w:r w:rsidRPr="00CE0BE9">
        <w:rPr>
          <w:rFonts w:ascii="Arial Narrow" w:hAnsi="Arial Narrow"/>
          <w:b/>
          <w:sz w:val="20"/>
          <w:szCs w:val="20"/>
        </w:rPr>
        <w:t>: Secondary primary malignancies with maintenance therapy across the trials</w:t>
      </w:r>
    </w:p>
    <w:tbl>
      <w:tblPr>
        <w:tblW w:w="495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9"/>
        <w:gridCol w:w="996"/>
        <w:gridCol w:w="999"/>
        <w:gridCol w:w="999"/>
        <w:gridCol w:w="1429"/>
        <w:gridCol w:w="1004"/>
        <w:gridCol w:w="999"/>
        <w:gridCol w:w="1281"/>
      </w:tblGrid>
      <w:tr w:rsidR="00071583" w:rsidRPr="00CE0BE9" w:rsidTr="00144BF5">
        <w:trPr>
          <w:cantSplit/>
          <w:trHeight w:val="20"/>
          <w:tblHeader/>
        </w:trPr>
        <w:tc>
          <w:tcPr>
            <w:tcW w:w="717" w:type="pct"/>
            <w:tcBorders>
              <w:top w:val="single" w:sz="4" w:space="0" w:color="auto"/>
              <w:left w:val="single" w:sz="4" w:space="0" w:color="auto"/>
              <w:bottom w:val="nil"/>
              <w:right w:val="single" w:sz="4" w:space="0" w:color="auto"/>
            </w:tcBorders>
          </w:tcPr>
          <w:p w:rsidR="00071583" w:rsidRPr="00CE0BE9" w:rsidRDefault="00071583" w:rsidP="00144BF5">
            <w:pPr>
              <w:jc w:val="left"/>
              <w:rPr>
                <w:rFonts w:ascii="Arial Narrow" w:hAnsi="Arial Narrow"/>
                <w:sz w:val="20"/>
                <w:szCs w:val="20"/>
              </w:rPr>
            </w:pPr>
          </w:p>
        </w:tc>
        <w:tc>
          <w:tcPr>
            <w:tcW w:w="1663" w:type="pct"/>
            <w:gridSpan w:val="3"/>
            <w:tcBorders>
              <w:top w:val="single" w:sz="4" w:space="0" w:color="auto"/>
              <w:left w:val="single" w:sz="4" w:space="0" w:color="auto"/>
              <w:bottom w:val="single" w:sz="4" w:space="0" w:color="auto"/>
              <w:right w:val="nil"/>
            </w:tcBorders>
            <w:vAlign w:val="center"/>
          </w:tcPr>
          <w:p w:rsidR="00071583" w:rsidRPr="00CE0BE9" w:rsidRDefault="00071583" w:rsidP="00144BF5">
            <w:pPr>
              <w:jc w:val="left"/>
              <w:rPr>
                <w:rFonts w:ascii="Arial Narrow" w:hAnsi="Arial Narrow"/>
                <w:b/>
                <w:sz w:val="20"/>
                <w:szCs w:val="20"/>
              </w:rPr>
            </w:pPr>
            <w:r w:rsidRPr="00CE0BE9">
              <w:rPr>
                <w:rFonts w:ascii="Arial Narrow" w:hAnsi="Arial Narrow"/>
                <w:b/>
                <w:sz w:val="20"/>
                <w:szCs w:val="20"/>
              </w:rPr>
              <w:t>CALGB</w:t>
            </w:r>
          </w:p>
        </w:tc>
        <w:tc>
          <w:tcPr>
            <w:tcW w:w="794" w:type="pct"/>
            <w:tcBorders>
              <w:top w:val="single" w:sz="4" w:space="0" w:color="auto"/>
              <w:left w:val="single" w:sz="4" w:space="0" w:color="auto"/>
              <w:bottom w:val="single" w:sz="4" w:space="0" w:color="auto"/>
              <w:right w:val="single" w:sz="4" w:space="0" w:color="auto"/>
            </w:tcBorders>
          </w:tcPr>
          <w:p w:rsidR="00071583" w:rsidRPr="00CE0BE9" w:rsidRDefault="00071583" w:rsidP="00144BF5">
            <w:pPr>
              <w:jc w:val="left"/>
              <w:rPr>
                <w:rFonts w:ascii="Arial Narrow" w:hAnsi="Arial Narrow"/>
                <w:b/>
                <w:sz w:val="20"/>
                <w:szCs w:val="20"/>
              </w:rPr>
            </w:pPr>
            <w:r w:rsidRPr="00CE0BE9">
              <w:rPr>
                <w:rFonts w:ascii="Arial Narrow" w:hAnsi="Arial Narrow"/>
                <w:b/>
                <w:sz w:val="20"/>
                <w:szCs w:val="20"/>
              </w:rPr>
              <w:t>RR</w:t>
            </w:r>
          </w:p>
        </w:tc>
        <w:tc>
          <w:tcPr>
            <w:tcW w:w="1113" w:type="pct"/>
            <w:gridSpan w:val="2"/>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b/>
                <w:sz w:val="20"/>
                <w:szCs w:val="20"/>
              </w:rPr>
            </w:pPr>
            <w:r w:rsidRPr="00CE0BE9">
              <w:rPr>
                <w:rFonts w:ascii="Arial Narrow" w:hAnsi="Arial Narrow"/>
                <w:b/>
                <w:sz w:val="20"/>
                <w:szCs w:val="20"/>
              </w:rPr>
              <w:t>IFM 2005-02</w:t>
            </w:r>
          </w:p>
        </w:tc>
        <w:tc>
          <w:tcPr>
            <w:tcW w:w="712" w:type="pct"/>
            <w:tcBorders>
              <w:top w:val="single" w:sz="4" w:space="0" w:color="auto"/>
              <w:left w:val="single" w:sz="4" w:space="0" w:color="auto"/>
              <w:bottom w:val="single" w:sz="4" w:space="0" w:color="auto"/>
              <w:right w:val="single" w:sz="4" w:space="0" w:color="auto"/>
            </w:tcBorders>
          </w:tcPr>
          <w:p w:rsidR="00071583" w:rsidRPr="00CE0BE9" w:rsidRDefault="00071583" w:rsidP="00144BF5">
            <w:pPr>
              <w:jc w:val="left"/>
              <w:rPr>
                <w:rFonts w:ascii="Arial Narrow" w:hAnsi="Arial Narrow"/>
                <w:b/>
                <w:sz w:val="20"/>
                <w:szCs w:val="20"/>
              </w:rPr>
            </w:pPr>
            <w:r w:rsidRPr="00CE0BE9">
              <w:rPr>
                <w:rFonts w:ascii="Arial Narrow" w:hAnsi="Arial Narrow"/>
                <w:b/>
                <w:sz w:val="20"/>
                <w:szCs w:val="20"/>
              </w:rPr>
              <w:t>RR</w:t>
            </w:r>
          </w:p>
        </w:tc>
      </w:tr>
      <w:tr w:rsidR="00071583" w:rsidRPr="00CE0BE9" w:rsidTr="00144BF5">
        <w:trPr>
          <w:cantSplit/>
          <w:trHeight w:val="20"/>
        </w:trPr>
        <w:tc>
          <w:tcPr>
            <w:tcW w:w="717" w:type="pct"/>
            <w:tcBorders>
              <w:top w:val="nil"/>
              <w:left w:val="single" w:sz="4" w:space="0" w:color="auto"/>
              <w:bottom w:val="single" w:sz="4" w:space="0" w:color="auto"/>
              <w:right w:val="single" w:sz="4" w:space="0" w:color="auto"/>
            </w:tcBorders>
          </w:tcPr>
          <w:p w:rsidR="00071583" w:rsidRPr="00CE0BE9" w:rsidRDefault="00071583" w:rsidP="00144BF5">
            <w:pPr>
              <w:jc w:val="left"/>
              <w:rPr>
                <w:rFonts w:ascii="Arial Narrow" w:hAnsi="Arial Narrow"/>
                <w:sz w:val="20"/>
                <w:szCs w:val="20"/>
              </w:rPr>
            </w:pPr>
          </w:p>
        </w:tc>
        <w:tc>
          <w:tcPr>
            <w:tcW w:w="554"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b/>
                <w:sz w:val="20"/>
                <w:szCs w:val="20"/>
              </w:rPr>
            </w:pPr>
            <w:r w:rsidRPr="00CE0BE9">
              <w:rPr>
                <w:rFonts w:ascii="Arial Narrow" w:hAnsi="Arial Narrow"/>
                <w:b/>
                <w:sz w:val="20"/>
                <w:szCs w:val="20"/>
              </w:rPr>
              <w:t>LEN N=224</w:t>
            </w:r>
          </w:p>
        </w:tc>
        <w:tc>
          <w:tcPr>
            <w:tcW w:w="1110" w:type="pct"/>
            <w:gridSpan w:val="2"/>
            <w:tcBorders>
              <w:top w:val="single" w:sz="4" w:space="0" w:color="auto"/>
              <w:left w:val="single" w:sz="4" w:space="0" w:color="auto"/>
              <w:bottom w:val="single" w:sz="4" w:space="0" w:color="auto"/>
              <w:right w:val="single" w:sz="4" w:space="0" w:color="auto"/>
            </w:tcBorders>
            <w:vAlign w:val="center"/>
          </w:tcPr>
          <w:p w:rsidR="00071583" w:rsidRPr="00CE0BE9" w:rsidRDefault="00210E3F" w:rsidP="00144BF5">
            <w:pPr>
              <w:jc w:val="left"/>
              <w:rPr>
                <w:rFonts w:ascii="Arial Narrow" w:hAnsi="Arial Narrow"/>
                <w:b/>
                <w:sz w:val="20"/>
                <w:szCs w:val="20"/>
              </w:rPr>
            </w:pPr>
            <w:r w:rsidRPr="00CE0BE9">
              <w:rPr>
                <w:rFonts w:ascii="Arial Narrow" w:hAnsi="Arial Narrow"/>
                <w:b/>
                <w:sz w:val="20"/>
                <w:szCs w:val="20"/>
              </w:rPr>
              <w:t xml:space="preserve">BSC </w:t>
            </w:r>
            <w:r w:rsidR="00071583" w:rsidRPr="00CE0BE9">
              <w:rPr>
                <w:rFonts w:ascii="Arial Narrow" w:hAnsi="Arial Narrow"/>
                <w:b/>
                <w:sz w:val="20"/>
                <w:szCs w:val="20"/>
              </w:rPr>
              <w:t>N=221</w:t>
            </w:r>
          </w:p>
        </w:tc>
        <w:tc>
          <w:tcPr>
            <w:tcW w:w="794" w:type="pct"/>
            <w:tcBorders>
              <w:top w:val="single" w:sz="4" w:space="0" w:color="auto"/>
              <w:left w:val="single" w:sz="4" w:space="0" w:color="auto"/>
              <w:bottom w:val="single" w:sz="4" w:space="0" w:color="auto"/>
              <w:right w:val="single" w:sz="4" w:space="0" w:color="auto"/>
            </w:tcBorders>
          </w:tcPr>
          <w:p w:rsidR="00071583" w:rsidRPr="00CE0BE9" w:rsidRDefault="00071583" w:rsidP="00144BF5">
            <w:pPr>
              <w:jc w:val="left"/>
              <w:rPr>
                <w:rFonts w:ascii="Arial Narrow" w:hAnsi="Arial Narrow"/>
                <w:b/>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b/>
                <w:sz w:val="20"/>
                <w:szCs w:val="20"/>
              </w:rPr>
            </w:pPr>
            <w:r w:rsidRPr="00CE0BE9">
              <w:rPr>
                <w:rFonts w:ascii="Arial Narrow" w:hAnsi="Arial Narrow"/>
                <w:b/>
                <w:sz w:val="20"/>
                <w:szCs w:val="20"/>
              </w:rPr>
              <w:t>LEN N=306</w:t>
            </w:r>
          </w:p>
        </w:tc>
        <w:tc>
          <w:tcPr>
            <w:tcW w:w="555" w:type="pct"/>
            <w:tcBorders>
              <w:top w:val="single" w:sz="4" w:space="0" w:color="auto"/>
              <w:left w:val="single" w:sz="4" w:space="0" w:color="auto"/>
              <w:bottom w:val="single" w:sz="4" w:space="0" w:color="auto"/>
              <w:right w:val="single" w:sz="4" w:space="0" w:color="auto"/>
            </w:tcBorders>
            <w:vAlign w:val="center"/>
          </w:tcPr>
          <w:p w:rsidR="00071583" w:rsidRPr="00CE0BE9" w:rsidRDefault="00210E3F" w:rsidP="00144BF5">
            <w:pPr>
              <w:jc w:val="left"/>
              <w:rPr>
                <w:rFonts w:ascii="Arial Narrow" w:hAnsi="Arial Narrow"/>
                <w:b/>
                <w:sz w:val="20"/>
                <w:szCs w:val="20"/>
              </w:rPr>
            </w:pPr>
            <w:r w:rsidRPr="00CE0BE9">
              <w:rPr>
                <w:rFonts w:ascii="Arial Narrow" w:hAnsi="Arial Narrow"/>
                <w:b/>
                <w:sz w:val="20"/>
                <w:szCs w:val="20"/>
              </w:rPr>
              <w:t xml:space="preserve">BSC </w:t>
            </w:r>
            <w:r w:rsidR="00071583" w:rsidRPr="00CE0BE9">
              <w:rPr>
                <w:rFonts w:ascii="Arial Narrow" w:hAnsi="Arial Narrow"/>
                <w:b/>
                <w:sz w:val="20"/>
                <w:szCs w:val="20"/>
              </w:rPr>
              <w:t>N=302</w:t>
            </w:r>
          </w:p>
        </w:tc>
        <w:tc>
          <w:tcPr>
            <w:tcW w:w="712" w:type="pct"/>
            <w:tcBorders>
              <w:top w:val="single" w:sz="4" w:space="0" w:color="auto"/>
              <w:left w:val="single" w:sz="4" w:space="0" w:color="auto"/>
              <w:bottom w:val="single" w:sz="4" w:space="0" w:color="auto"/>
              <w:right w:val="single" w:sz="4" w:space="0" w:color="auto"/>
            </w:tcBorders>
          </w:tcPr>
          <w:p w:rsidR="00071583" w:rsidRPr="00CE0BE9" w:rsidRDefault="00071583" w:rsidP="00144BF5">
            <w:pPr>
              <w:jc w:val="left"/>
              <w:rPr>
                <w:rFonts w:ascii="Arial Narrow" w:hAnsi="Arial Narrow"/>
                <w:b/>
                <w:sz w:val="20"/>
                <w:szCs w:val="20"/>
              </w:rPr>
            </w:pPr>
          </w:p>
        </w:tc>
      </w:tr>
      <w:tr w:rsidR="00071583" w:rsidRPr="00CE0BE9" w:rsidTr="00144BF5">
        <w:trPr>
          <w:cantSplit/>
          <w:trHeight w:val="20"/>
        </w:trPr>
        <w:tc>
          <w:tcPr>
            <w:tcW w:w="717" w:type="pct"/>
            <w:tcBorders>
              <w:top w:val="nil"/>
              <w:left w:val="single" w:sz="4" w:space="0" w:color="auto"/>
              <w:bottom w:val="single" w:sz="4" w:space="0" w:color="auto"/>
              <w:right w:val="single" w:sz="4" w:space="0" w:color="auto"/>
            </w:tcBorders>
            <w:vAlign w:val="center"/>
          </w:tcPr>
          <w:p w:rsidR="00071583" w:rsidRPr="00CE0BE9" w:rsidRDefault="00071583" w:rsidP="00144BF5">
            <w:pPr>
              <w:adjustRightInd w:val="0"/>
              <w:snapToGrid w:val="0"/>
              <w:jc w:val="left"/>
              <w:rPr>
                <w:rFonts w:ascii="Arial Narrow" w:eastAsia="SimSun" w:hAnsi="Arial Narrow"/>
                <w:sz w:val="20"/>
                <w:szCs w:val="20"/>
                <w:lang w:eastAsia="en-AU"/>
              </w:rPr>
            </w:pPr>
            <w:r w:rsidRPr="00CE0BE9">
              <w:rPr>
                <w:rFonts w:ascii="Arial Narrow" w:hAnsi="Arial Narrow"/>
                <w:b/>
                <w:sz w:val="20"/>
                <w:szCs w:val="20"/>
              </w:rPr>
              <w:t>Mar 2015</w:t>
            </w:r>
          </w:p>
        </w:tc>
        <w:tc>
          <w:tcPr>
            <w:tcW w:w="554"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p>
        </w:tc>
        <w:tc>
          <w:tcPr>
            <w:tcW w:w="1110" w:type="pct"/>
            <w:gridSpan w:val="2"/>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p>
        </w:tc>
        <w:tc>
          <w:tcPr>
            <w:tcW w:w="794" w:type="pct"/>
            <w:tcBorders>
              <w:top w:val="single" w:sz="4" w:space="0" w:color="auto"/>
              <w:left w:val="single" w:sz="4" w:space="0" w:color="auto"/>
              <w:bottom w:val="single" w:sz="4" w:space="0" w:color="auto"/>
              <w:right w:val="single" w:sz="4" w:space="0" w:color="auto"/>
            </w:tcBorders>
          </w:tcPr>
          <w:p w:rsidR="00071583" w:rsidRPr="00CE0BE9" w:rsidRDefault="00071583" w:rsidP="00144BF5">
            <w:pPr>
              <w:jc w:val="left"/>
              <w:rPr>
                <w:rFonts w:ascii="Arial Narrow" w:hAnsi="Arial Narrow"/>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p>
        </w:tc>
        <w:tc>
          <w:tcPr>
            <w:tcW w:w="712" w:type="pct"/>
            <w:tcBorders>
              <w:top w:val="single" w:sz="4" w:space="0" w:color="auto"/>
              <w:left w:val="single" w:sz="4" w:space="0" w:color="auto"/>
              <w:bottom w:val="single" w:sz="4" w:space="0" w:color="auto"/>
              <w:right w:val="single" w:sz="4" w:space="0" w:color="auto"/>
            </w:tcBorders>
          </w:tcPr>
          <w:p w:rsidR="00071583" w:rsidRPr="00CE0BE9" w:rsidRDefault="00071583" w:rsidP="00144BF5">
            <w:pPr>
              <w:jc w:val="left"/>
              <w:rPr>
                <w:rFonts w:ascii="Arial Narrow" w:hAnsi="Arial Narrow"/>
                <w:sz w:val="20"/>
                <w:szCs w:val="20"/>
              </w:rPr>
            </w:pPr>
          </w:p>
        </w:tc>
      </w:tr>
      <w:tr w:rsidR="00071583" w:rsidRPr="00CE0BE9" w:rsidTr="00144BF5">
        <w:trPr>
          <w:cantSplit/>
          <w:trHeight w:val="20"/>
        </w:trPr>
        <w:tc>
          <w:tcPr>
            <w:tcW w:w="717" w:type="pct"/>
            <w:tcBorders>
              <w:top w:val="nil"/>
              <w:left w:val="single" w:sz="4" w:space="0" w:color="auto"/>
              <w:bottom w:val="single" w:sz="4" w:space="0" w:color="auto"/>
              <w:right w:val="single" w:sz="4" w:space="0" w:color="auto"/>
            </w:tcBorders>
            <w:vAlign w:val="center"/>
          </w:tcPr>
          <w:p w:rsidR="00071583" w:rsidRPr="00CE0BE9" w:rsidRDefault="00071583" w:rsidP="00144BF5">
            <w:pPr>
              <w:adjustRightInd w:val="0"/>
              <w:snapToGrid w:val="0"/>
              <w:jc w:val="left"/>
              <w:rPr>
                <w:rFonts w:ascii="Arial Narrow" w:eastAsia="SimSun" w:hAnsi="Arial Narrow"/>
                <w:sz w:val="20"/>
                <w:szCs w:val="20"/>
                <w:lang w:eastAsia="en-AU"/>
              </w:rPr>
            </w:pPr>
            <w:r w:rsidRPr="00CE0BE9">
              <w:rPr>
                <w:rFonts w:ascii="Arial Narrow" w:eastAsia="SimSun" w:hAnsi="Arial Narrow"/>
                <w:sz w:val="20"/>
                <w:szCs w:val="20"/>
                <w:lang w:eastAsia="en-AU"/>
              </w:rPr>
              <w:t>SPM</w:t>
            </w:r>
          </w:p>
        </w:tc>
        <w:tc>
          <w:tcPr>
            <w:tcW w:w="554"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42</w:t>
            </w:r>
            <w:r w:rsidRPr="00CE0BE9">
              <w:rPr>
                <w:rFonts w:ascii="Arial Narrow" w:hAnsi="Arial Narrow"/>
                <w:sz w:val="20"/>
                <w:szCs w:val="20"/>
                <w:vertAlign w:val="superscript"/>
              </w:rPr>
              <w:t>b</w:t>
            </w:r>
            <w:r w:rsidRPr="00CE0BE9">
              <w:rPr>
                <w:rFonts w:ascii="Arial Narrow" w:hAnsi="Arial Narrow"/>
                <w:sz w:val="20"/>
                <w:szCs w:val="20"/>
              </w:rPr>
              <w:t xml:space="preserve"> (18.8%)</w:t>
            </w:r>
          </w:p>
        </w:tc>
        <w:tc>
          <w:tcPr>
            <w:tcW w:w="1110" w:type="pct"/>
            <w:gridSpan w:val="2"/>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24</w:t>
            </w:r>
            <w:r w:rsidRPr="00CE0BE9">
              <w:rPr>
                <w:rFonts w:ascii="Arial Narrow" w:hAnsi="Arial Narrow"/>
                <w:sz w:val="20"/>
                <w:szCs w:val="20"/>
                <w:vertAlign w:val="superscript"/>
              </w:rPr>
              <w:t>b</w:t>
            </w:r>
            <w:r w:rsidRPr="00CE0BE9">
              <w:rPr>
                <w:rFonts w:ascii="Arial Narrow" w:hAnsi="Arial Narrow"/>
                <w:sz w:val="20"/>
                <w:szCs w:val="20"/>
              </w:rPr>
              <w:t xml:space="preserve"> (10.9%)</w:t>
            </w:r>
          </w:p>
        </w:tc>
        <w:tc>
          <w:tcPr>
            <w:tcW w:w="794" w:type="pct"/>
            <w:tcBorders>
              <w:top w:val="single" w:sz="4" w:space="0" w:color="auto"/>
              <w:left w:val="single" w:sz="4" w:space="0" w:color="auto"/>
              <w:bottom w:val="single" w:sz="4" w:space="0" w:color="auto"/>
              <w:right w:val="single" w:sz="4" w:space="0" w:color="auto"/>
            </w:tcBorders>
          </w:tcPr>
          <w:p w:rsidR="00071583" w:rsidRPr="00CE0BE9" w:rsidRDefault="00071583" w:rsidP="00144BF5">
            <w:pPr>
              <w:jc w:val="left"/>
              <w:rPr>
                <w:rFonts w:ascii="Arial Narrow" w:hAnsi="Arial Narrow"/>
                <w:b/>
                <w:sz w:val="20"/>
                <w:szCs w:val="20"/>
              </w:rPr>
            </w:pPr>
            <w:r w:rsidRPr="00CE0BE9">
              <w:rPr>
                <w:rFonts w:ascii="Arial Narrow" w:hAnsi="Arial Narrow"/>
                <w:b/>
                <w:sz w:val="20"/>
                <w:szCs w:val="20"/>
              </w:rPr>
              <w:t>1.73 (1.08, 2.75)</w:t>
            </w:r>
          </w:p>
        </w:tc>
        <w:tc>
          <w:tcPr>
            <w:tcW w:w="558"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49</w:t>
            </w:r>
            <w:r w:rsidRPr="00CE0BE9">
              <w:rPr>
                <w:rFonts w:ascii="Arial Narrow" w:hAnsi="Arial Narrow"/>
                <w:sz w:val="20"/>
                <w:szCs w:val="20"/>
                <w:vertAlign w:val="superscript"/>
              </w:rPr>
              <w:t>d</w:t>
            </w:r>
            <w:r w:rsidRPr="00CE0BE9">
              <w:rPr>
                <w:rFonts w:ascii="Arial Narrow" w:hAnsi="Arial Narrow"/>
                <w:sz w:val="20"/>
                <w:szCs w:val="20"/>
              </w:rPr>
              <w:t xml:space="preserve"> (16%)</w:t>
            </w:r>
          </w:p>
        </w:tc>
        <w:tc>
          <w:tcPr>
            <w:tcW w:w="555"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27</w:t>
            </w:r>
            <w:r w:rsidRPr="00CE0BE9">
              <w:rPr>
                <w:rFonts w:ascii="Arial Narrow" w:hAnsi="Arial Narrow"/>
                <w:sz w:val="20"/>
                <w:szCs w:val="20"/>
                <w:vertAlign w:val="superscript"/>
              </w:rPr>
              <w:t>d</w:t>
            </w:r>
            <w:r w:rsidRPr="00CE0BE9">
              <w:rPr>
                <w:rFonts w:ascii="Arial Narrow" w:hAnsi="Arial Narrow"/>
                <w:sz w:val="20"/>
                <w:szCs w:val="20"/>
              </w:rPr>
              <w:t xml:space="preserve"> (9%)</w:t>
            </w:r>
          </w:p>
        </w:tc>
        <w:tc>
          <w:tcPr>
            <w:tcW w:w="712" w:type="pct"/>
            <w:tcBorders>
              <w:top w:val="single" w:sz="4" w:space="0" w:color="auto"/>
              <w:left w:val="single" w:sz="4" w:space="0" w:color="auto"/>
              <w:bottom w:val="single" w:sz="4" w:space="0" w:color="auto"/>
              <w:right w:val="single" w:sz="4" w:space="0" w:color="auto"/>
            </w:tcBorders>
          </w:tcPr>
          <w:p w:rsidR="00071583" w:rsidRPr="00CE0BE9" w:rsidRDefault="00071583" w:rsidP="00144BF5">
            <w:pPr>
              <w:jc w:val="left"/>
              <w:rPr>
                <w:rFonts w:ascii="Arial Narrow" w:hAnsi="Arial Narrow"/>
                <w:b/>
                <w:sz w:val="20"/>
                <w:szCs w:val="20"/>
              </w:rPr>
            </w:pPr>
            <w:r w:rsidRPr="00CE0BE9">
              <w:rPr>
                <w:rFonts w:ascii="Arial Narrow" w:hAnsi="Arial Narrow"/>
                <w:b/>
                <w:sz w:val="20"/>
                <w:szCs w:val="20"/>
              </w:rPr>
              <w:t>1.79 (1.15, 2.79)</w:t>
            </w:r>
          </w:p>
        </w:tc>
      </w:tr>
      <w:tr w:rsidR="00071583" w:rsidRPr="00CE0BE9" w:rsidTr="00144BF5">
        <w:trPr>
          <w:cantSplit/>
          <w:trHeight w:val="20"/>
        </w:trPr>
        <w:tc>
          <w:tcPr>
            <w:tcW w:w="717" w:type="pct"/>
            <w:tcBorders>
              <w:top w:val="nil"/>
              <w:left w:val="single" w:sz="4" w:space="0" w:color="auto"/>
              <w:bottom w:val="single" w:sz="4" w:space="0" w:color="auto"/>
              <w:right w:val="single" w:sz="4" w:space="0" w:color="auto"/>
            </w:tcBorders>
            <w:vAlign w:val="center"/>
          </w:tcPr>
          <w:p w:rsidR="00071583" w:rsidRPr="00CE0BE9" w:rsidRDefault="00071583" w:rsidP="00144BF5">
            <w:pPr>
              <w:adjustRightInd w:val="0"/>
              <w:snapToGrid w:val="0"/>
              <w:jc w:val="left"/>
              <w:rPr>
                <w:rFonts w:ascii="Arial Narrow" w:eastAsia="SimSun" w:hAnsi="Arial Narrow"/>
                <w:sz w:val="20"/>
                <w:szCs w:val="20"/>
                <w:lang w:eastAsia="en-AU"/>
              </w:rPr>
            </w:pPr>
            <w:r w:rsidRPr="00CE0BE9">
              <w:rPr>
                <w:rFonts w:ascii="Arial Narrow" w:eastAsia="SimSun" w:hAnsi="Arial Narrow"/>
                <w:sz w:val="20"/>
                <w:szCs w:val="20"/>
                <w:lang w:eastAsia="en-AU"/>
              </w:rPr>
              <w:t>Haematological</w:t>
            </w:r>
          </w:p>
        </w:tc>
        <w:tc>
          <w:tcPr>
            <w:tcW w:w="554"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15 (6.7%)</w:t>
            </w:r>
          </w:p>
        </w:tc>
        <w:tc>
          <w:tcPr>
            <w:tcW w:w="1110" w:type="pct"/>
            <w:gridSpan w:val="2"/>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8 (3.6%)</w:t>
            </w:r>
          </w:p>
        </w:tc>
        <w:tc>
          <w:tcPr>
            <w:tcW w:w="794" w:type="pct"/>
            <w:tcBorders>
              <w:top w:val="single" w:sz="4" w:space="0" w:color="auto"/>
              <w:left w:val="single" w:sz="4" w:space="0" w:color="auto"/>
              <w:bottom w:val="single" w:sz="4" w:space="0" w:color="auto"/>
              <w:right w:val="single" w:sz="4" w:space="0" w:color="auto"/>
            </w:tcBorders>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1.85 (0.80, 4.28)</w:t>
            </w:r>
          </w:p>
        </w:tc>
        <w:tc>
          <w:tcPr>
            <w:tcW w:w="558"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 xml:space="preserve">21 (6.9%) </w:t>
            </w:r>
          </w:p>
        </w:tc>
        <w:tc>
          <w:tcPr>
            <w:tcW w:w="555"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 xml:space="preserve">9 (3%) </w:t>
            </w:r>
          </w:p>
        </w:tc>
        <w:tc>
          <w:tcPr>
            <w:tcW w:w="712" w:type="pct"/>
            <w:tcBorders>
              <w:top w:val="single" w:sz="4" w:space="0" w:color="auto"/>
              <w:left w:val="single" w:sz="4" w:space="0" w:color="auto"/>
              <w:bottom w:val="single" w:sz="4" w:space="0" w:color="auto"/>
              <w:right w:val="single" w:sz="4" w:space="0" w:color="auto"/>
            </w:tcBorders>
          </w:tcPr>
          <w:p w:rsidR="00071583" w:rsidRPr="00CE0BE9" w:rsidRDefault="00071583" w:rsidP="00144BF5">
            <w:pPr>
              <w:jc w:val="left"/>
              <w:rPr>
                <w:rFonts w:ascii="Arial Narrow" w:hAnsi="Arial Narrow"/>
                <w:b/>
                <w:sz w:val="20"/>
                <w:szCs w:val="20"/>
              </w:rPr>
            </w:pPr>
            <w:r w:rsidRPr="00CE0BE9">
              <w:rPr>
                <w:rFonts w:ascii="Arial Narrow" w:hAnsi="Arial Narrow"/>
                <w:b/>
                <w:sz w:val="20"/>
                <w:szCs w:val="20"/>
              </w:rPr>
              <w:t>2.30 (1.07, 4.95)</w:t>
            </w:r>
          </w:p>
        </w:tc>
      </w:tr>
      <w:tr w:rsidR="00071583" w:rsidRPr="00CE0BE9" w:rsidTr="00144BF5">
        <w:trPr>
          <w:cantSplit/>
          <w:trHeight w:val="20"/>
        </w:trPr>
        <w:tc>
          <w:tcPr>
            <w:tcW w:w="717" w:type="pct"/>
            <w:tcBorders>
              <w:top w:val="nil"/>
              <w:left w:val="single" w:sz="4" w:space="0" w:color="auto"/>
              <w:bottom w:val="single" w:sz="4" w:space="0" w:color="auto"/>
              <w:right w:val="single" w:sz="4" w:space="0" w:color="auto"/>
            </w:tcBorders>
            <w:vAlign w:val="center"/>
          </w:tcPr>
          <w:p w:rsidR="00071583" w:rsidRPr="00CE0BE9" w:rsidRDefault="00071583" w:rsidP="00144BF5">
            <w:pPr>
              <w:adjustRightInd w:val="0"/>
              <w:snapToGrid w:val="0"/>
              <w:jc w:val="left"/>
              <w:rPr>
                <w:rFonts w:ascii="Arial Narrow" w:eastAsia="SimSun" w:hAnsi="Arial Narrow"/>
                <w:sz w:val="20"/>
                <w:szCs w:val="20"/>
                <w:lang w:eastAsia="en-AU"/>
              </w:rPr>
            </w:pPr>
            <w:r w:rsidRPr="00CE0BE9">
              <w:rPr>
                <w:rFonts w:ascii="Arial Narrow" w:eastAsia="SimSun" w:hAnsi="Arial Narrow"/>
                <w:sz w:val="20"/>
                <w:szCs w:val="20"/>
                <w:lang w:eastAsia="en-AU"/>
              </w:rPr>
              <w:t>Solid tumour</w:t>
            </w:r>
          </w:p>
        </w:tc>
        <w:tc>
          <w:tcPr>
            <w:tcW w:w="554"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17</w:t>
            </w:r>
            <w:r w:rsidRPr="00CE0BE9">
              <w:rPr>
                <w:rFonts w:ascii="Arial Narrow" w:hAnsi="Arial Narrow"/>
                <w:sz w:val="20"/>
                <w:szCs w:val="20"/>
                <w:vertAlign w:val="superscript"/>
              </w:rPr>
              <w:t>c</w:t>
            </w:r>
            <w:r w:rsidRPr="00CE0BE9">
              <w:rPr>
                <w:rFonts w:ascii="Arial Narrow" w:hAnsi="Arial Narrow"/>
                <w:sz w:val="20"/>
                <w:szCs w:val="20"/>
              </w:rPr>
              <w:t xml:space="preserve"> (7.6%)</w:t>
            </w:r>
          </w:p>
        </w:tc>
        <w:tc>
          <w:tcPr>
            <w:tcW w:w="1110" w:type="pct"/>
            <w:gridSpan w:val="2"/>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10</w:t>
            </w:r>
            <w:r w:rsidRPr="00CE0BE9">
              <w:rPr>
                <w:rFonts w:ascii="Arial Narrow" w:hAnsi="Arial Narrow"/>
                <w:sz w:val="20"/>
                <w:szCs w:val="20"/>
                <w:vertAlign w:val="superscript"/>
              </w:rPr>
              <w:t>c</w:t>
            </w:r>
            <w:r w:rsidRPr="00CE0BE9">
              <w:rPr>
                <w:rFonts w:ascii="Arial Narrow" w:hAnsi="Arial Narrow"/>
                <w:sz w:val="20"/>
                <w:szCs w:val="20"/>
              </w:rPr>
              <w:t xml:space="preserve"> (4.5%)</w:t>
            </w:r>
          </w:p>
        </w:tc>
        <w:tc>
          <w:tcPr>
            <w:tcW w:w="794" w:type="pct"/>
            <w:tcBorders>
              <w:top w:val="single" w:sz="4" w:space="0" w:color="auto"/>
              <w:left w:val="single" w:sz="4" w:space="0" w:color="auto"/>
              <w:bottom w:val="single" w:sz="4" w:space="0" w:color="auto"/>
              <w:right w:val="single" w:sz="4" w:space="0" w:color="auto"/>
            </w:tcBorders>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1.68 (0.79, 3.58)</w:t>
            </w:r>
          </w:p>
        </w:tc>
        <w:tc>
          <w:tcPr>
            <w:tcW w:w="558"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21 (6.9%)</w:t>
            </w:r>
          </w:p>
        </w:tc>
        <w:tc>
          <w:tcPr>
            <w:tcW w:w="555"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13 (4.3%)</w:t>
            </w:r>
          </w:p>
        </w:tc>
        <w:tc>
          <w:tcPr>
            <w:tcW w:w="712" w:type="pct"/>
            <w:tcBorders>
              <w:top w:val="single" w:sz="4" w:space="0" w:color="auto"/>
              <w:left w:val="single" w:sz="4" w:space="0" w:color="auto"/>
              <w:bottom w:val="single" w:sz="4" w:space="0" w:color="auto"/>
              <w:right w:val="single" w:sz="4" w:space="0" w:color="auto"/>
            </w:tcBorders>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1.59 (0.81, 3.13)</w:t>
            </w:r>
          </w:p>
        </w:tc>
      </w:tr>
      <w:tr w:rsidR="00071583" w:rsidRPr="00CE0BE9" w:rsidTr="00144BF5">
        <w:trPr>
          <w:cantSplit/>
          <w:trHeight w:val="20"/>
        </w:trPr>
        <w:tc>
          <w:tcPr>
            <w:tcW w:w="717" w:type="pct"/>
            <w:tcBorders>
              <w:top w:val="nil"/>
              <w:left w:val="single" w:sz="4" w:space="0" w:color="auto"/>
              <w:bottom w:val="single" w:sz="4" w:space="0" w:color="auto"/>
              <w:right w:val="single" w:sz="4" w:space="0" w:color="auto"/>
            </w:tcBorders>
            <w:vAlign w:val="center"/>
          </w:tcPr>
          <w:p w:rsidR="00071583" w:rsidRPr="00CE0BE9" w:rsidRDefault="00071583" w:rsidP="00144BF5">
            <w:pPr>
              <w:adjustRightInd w:val="0"/>
              <w:snapToGrid w:val="0"/>
              <w:jc w:val="left"/>
              <w:rPr>
                <w:rFonts w:ascii="Arial Narrow" w:eastAsia="SimSun" w:hAnsi="Arial Narrow"/>
                <w:sz w:val="20"/>
                <w:szCs w:val="20"/>
                <w:lang w:eastAsia="en-AU"/>
              </w:rPr>
            </w:pPr>
            <w:r w:rsidRPr="00CE0BE9">
              <w:rPr>
                <w:rFonts w:ascii="Arial Narrow" w:eastAsia="SimSun" w:hAnsi="Arial Narrow"/>
                <w:sz w:val="20"/>
                <w:szCs w:val="20"/>
                <w:lang w:eastAsia="en-AU"/>
              </w:rPr>
              <w:t>Non-invasive</w:t>
            </w:r>
          </w:p>
        </w:tc>
        <w:tc>
          <w:tcPr>
            <w:tcW w:w="554"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12 (5.4%)</w:t>
            </w:r>
          </w:p>
        </w:tc>
        <w:tc>
          <w:tcPr>
            <w:tcW w:w="1110" w:type="pct"/>
            <w:gridSpan w:val="2"/>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9 (4.1%)</w:t>
            </w:r>
          </w:p>
        </w:tc>
        <w:tc>
          <w:tcPr>
            <w:tcW w:w="794" w:type="pct"/>
            <w:tcBorders>
              <w:top w:val="single" w:sz="4" w:space="0" w:color="auto"/>
              <w:left w:val="single" w:sz="4" w:space="0" w:color="auto"/>
              <w:bottom w:val="single" w:sz="4" w:space="0" w:color="auto"/>
              <w:right w:val="single" w:sz="4" w:space="0" w:color="auto"/>
            </w:tcBorders>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1.32 (0.57, 3.06)</w:t>
            </w:r>
          </w:p>
        </w:tc>
        <w:tc>
          <w:tcPr>
            <w:tcW w:w="558"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 xml:space="preserve">10 (3.3%) </w:t>
            </w:r>
          </w:p>
        </w:tc>
        <w:tc>
          <w:tcPr>
            <w:tcW w:w="555"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7 (2.3%)</w:t>
            </w:r>
          </w:p>
        </w:tc>
        <w:tc>
          <w:tcPr>
            <w:tcW w:w="712" w:type="pct"/>
            <w:tcBorders>
              <w:top w:val="single" w:sz="4" w:space="0" w:color="auto"/>
              <w:left w:val="single" w:sz="4" w:space="0" w:color="auto"/>
              <w:bottom w:val="single" w:sz="4" w:space="0" w:color="auto"/>
              <w:right w:val="single" w:sz="4" w:space="0" w:color="auto"/>
            </w:tcBorders>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1.41, 0.54, 3.66)</w:t>
            </w:r>
          </w:p>
        </w:tc>
      </w:tr>
      <w:tr w:rsidR="00071583" w:rsidRPr="00CE0BE9" w:rsidTr="00144BF5">
        <w:trPr>
          <w:cantSplit/>
          <w:trHeight w:val="20"/>
        </w:trPr>
        <w:tc>
          <w:tcPr>
            <w:tcW w:w="717" w:type="pct"/>
            <w:tcBorders>
              <w:top w:val="nil"/>
              <w:left w:val="single" w:sz="4" w:space="0" w:color="auto"/>
              <w:bottom w:val="single" w:sz="4" w:space="0" w:color="auto"/>
              <w:right w:val="single" w:sz="4" w:space="0" w:color="auto"/>
            </w:tcBorders>
          </w:tcPr>
          <w:p w:rsidR="00071583" w:rsidRPr="00CE0BE9" w:rsidRDefault="00071583" w:rsidP="00144BF5">
            <w:pPr>
              <w:jc w:val="left"/>
              <w:rPr>
                <w:rFonts w:ascii="Arial Narrow" w:hAnsi="Arial Narrow"/>
                <w:sz w:val="20"/>
                <w:szCs w:val="20"/>
              </w:rPr>
            </w:pPr>
            <w:r w:rsidRPr="00CE0BE9">
              <w:rPr>
                <w:rFonts w:ascii="Arial Narrow" w:hAnsi="Arial Narrow"/>
                <w:b/>
                <w:sz w:val="20"/>
                <w:szCs w:val="20"/>
              </w:rPr>
              <w:t>Oct 2016</w:t>
            </w:r>
          </w:p>
        </w:tc>
        <w:tc>
          <w:tcPr>
            <w:tcW w:w="554"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b/>
                <w:sz w:val="20"/>
                <w:szCs w:val="20"/>
              </w:rPr>
            </w:pPr>
            <w:r w:rsidRPr="00CE0BE9">
              <w:rPr>
                <w:rFonts w:ascii="Arial Narrow" w:hAnsi="Arial Narrow"/>
                <w:b/>
                <w:sz w:val="20"/>
                <w:szCs w:val="20"/>
              </w:rPr>
              <w:t>LEN N=224</w:t>
            </w:r>
          </w:p>
        </w:tc>
        <w:tc>
          <w:tcPr>
            <w:tcW w:w="555" w:type="pct"/>
            <w:tcBorders>
              <w:top w:val="single" w:sz="4" w:space="0" w:color="auto"/>
              <w:left w:val="single" w:sz="4" w:space="0" w:color="auto"/>
              <w:bottom w:val="single" w:sz="4" w:space="0" w:color="auto"/>
              <w:right w:val="single" w:sz="4" w:space="0" w:color="auto"/>
            </w:tcBorders>
            <w:vAlign w:val="center"/>
          </w:tcPr>
          <w:p w:rsidR="00071583" w:rsidRPr="00CE0BE9" w:rsidRDefault="00210E3F" w:rsidP="00144BF5">
            <w:pPr>
              <w:jc w:val="left"/>
              <w:rPr>
                <w:rFonts w:ascii="Arial Narrow" w:hAnsi="Arial Narrow"/>
                <w:b/>
                <w:sz w:val="20"/>
                <w:szCs w:val="20"/>
              </w:rPr>
            </w:pPr>
            <w:r w:rsidRPr="00CE0BE9">
              <w:rPr>
                <w:rFonts w:ascii="Arial Narrow" w:hAnsi="Arial Narrow"/>
                <w:b/>
                <w:sz w:val="20"/>
                <w:szCs w:val="20"/>
              </w:rPr>
              <w:t xml:space="preserve">BSC </w:t>
            </w:r>
            <w:r w:rsidR="00071583" w:rsidRPr="00CE0BE9">
              <w:rPr>
                <w:rFonts w:ascii="Arial Narrow" w:hAnsi="Arial Narrow"/>
                <w:b/>
                <w:sz w:val="20"/>
                <w:szCs w:val="20"/>
              </w:rPr>
              <w:t>(to XO) N=143</w:t>
            </w:r>
          </w:p>
        </w:tc>
        <w:tc>
          <w:tcPr>
            <w:tcW w:w="555" w:type="pct"/>
            <w:tcBorders>
              <w:top w:val="single" w:sz="4" w:space="0" w:color="auto"/>
              <w:left w:val="single" w:sz="4" w:space="0" w:color="auto"/>
              <w:bottom w:val="single" w:sz="4" w:space="0" w:color="auto"/>
              <w:right w:val="single" w:sz="4" w:space="0" w:color="auto"/>
            </w:tcBorders>
            <w:vAlign w:val="center"/>
          </w:tcPr>
          <w:p w:rsidR="00071583" w:rsidRPr="00CE0BE9" w:rsidRDefault="00210E3F" w:rsidP="00144BF5">
            <w:pPr>
              <w:jc w:val="left"/>
              <w:rPr>
                <w:rFonts w:ascii="Arial Narrow" w:hAnsi="Arial Narrow"/>
                <w:b/>
                <w:sz w:val="20"/>
                <w:szCs w:val="20"/>
              </w:rPr>
            </w:pPr>
            <w:r w:rsidRPr="00CE0BE9">
              <w:rPr>
                <w:rFonts w:ascii="Arial Narrow" w:hAnsi="Arial Narrow"/>
                <w:b/>
                <w:sz w:val="20"/>
                <w:szCs w:val="20"/>
              </w:rPr>
              <w:t xml:space="preserve">BSC </w:t>
            </w:r>
            <w:r w:rsidR="00071583" w:rsidRPr="00CE0BE9">
              <w:rPr>
                <w:rFonts w:ascii="Arial Narrow" w:hAnsi="Arial Narrow"/>
                <w:b/>
                <w:sz w:val="20"/>
                <w:szCs w:val="20"/>
              </w:rPr>
              <w:t>(after XO) N=86</w:t>
            </w:r>
          </w:p>
        </w:tc>
        <w:tc>
          <w:tcPr>
            <w:tcW w:w="794" w:type="pct"/>
            <w:tcBorders>
              <w:top w:val="single" w:sz="4" w:space="0" w:color="auto"/>
              <w:left w:val="single" w:sz="4" w:space="0" w:color="auto"/>
              <w:bottom w:val="single" w:sz="4" w:space="0" w:color="auto"/>
              <w:right w:val="single" w:sz="4" w:space="0" w:color="auto"/>
            </w:tcBorders>
          </w:tcPr>
          <w:p w:rsidR="00071583" w:rsidRPr="00CE0BE9" w:rsidRDefault="00071583" w:rsidP="00144BF5">
            <w:pPr>
              <w:jc w:val="left"/>
              <w:rPr>
                <w:rFonts w:ascii="Arial Narrow" w:hAnsi="Arial Narrow"/>
                <w:b/>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b/>
                <w:sz w:val="20"/>
                <w:szCs w:val="20"/>
              </w:rPr>
            </w:pPr>
            <w:r w:rsidRPr="00CE0BE9">
              <w:rPr>
                <w:rFonts w:ascii="Arial Narrow" w:hAnsi="Arial Narrow"/>
                <w:b/>
                <w:sz w:val="20"/>
                <w:szCs w:val="20"/>
              </w:rPr>
              <w:t>LEN N=306</w:t>
            </w:r>
          </w:p>
        </w:tc>
        <w:tc>
          <w:tcPr>
            <w:tcW w:w="555" w:type="pct"/>
            <w:tcBorders>
              <w:top w:val="single" w:sz="4" w:space="0" w:color="auto"/>
              <w:left w:val="single" w:sz="4" w:space="0" w:color="auto"/>
              <w:bottom w:val="single" w:sz="4" w:space="0" w:color="auto"/>
              <w:right w:val="single" w:sz="4" w:space="0" w:color="auto"/>
            </w:tcBorders>
            <w:vAlign w:val="center"/>
          </w:tcPr>
          <w:p w:rsidR="00071583" w:rsidRPr="00CE0BE9" w:rsidRDefault="00210E3F" w:rsidP="00144BF5">
            <w:pPr>
              <w:jc w:val="left"/>
              <w:rPr>
                <w:rFonts w:ascii="Arial Narrow" w:hAnsi="Arial Narrow"/>
                <w:b/>
                <w:sz w:val="20"/>
                <w:szCs w:val="20"/>
              </w:rPr>
            </w:pPr>
            <w:r w:rsidRPr="00CE0BE9">
              <w:rPr>
                <w:rFonts w:ascii="Arial Narrow" w:hAnsi="Arial Narrow"/>
                <w:b/>
                <w:sz w:val="20"/>
                <w:szCs w:val="20"/>
              </w:rPr>
              <w:t xml:space="preserve">BSC </w:t>
            </w:r>
            <w:r w:rsidR="00071583" w:rsidRPr="00CE0BE9">
              <w:rPr>
                <w:rFonts w:ascii="Arial Narrow" w:hAnsi="Arial Narrow"/>
                <w:b/>
                <w:sz w:val="20"/>
                <w:szCs w:val="20"/>
              </w:rPr>
              <w:t>N=302</w:t>
            </w:r>
          </w:p>
        </w:tc>
        <w:tc>
          <w:tcPr>
            <w:tcW w:w="712" w:type="pct"/>
            <w:tcBorders>
              <w:top w:val="single" w:sz="4" w:space="0" w:color="auto"/>
              <w:left w:val="single" w:sz="4" w:space="0" w:color="auto"/>
              <w:bottom w:val="single" w:sz="4" w:space="0" w:color="auto"/>
              <w:right w:val="single" w:sz="4" w:space="0" w:color="auto"/>
            </w:tcBorders>
          </w:tcPr>
          <w:p w:rsidR="00071583" w:rsidRPr="00CE0BE9" w:rsidRDefault="00071583" w:rsidP="00144BF5">
            <w:pPr>
              <w:jc w:val="left"/>
              <w:rPr>
                <w:rFonts w:ascii="Arial Narrow" w:hAnsi="Arial Narrow"/>
                <w:b/>
                <w:sz w:val="20"/>
                <w:szCs w:val="20"/>
              </w:rPr>
            </w:pPr>
          </w:p>
        </w:tc>
      </w:tr>
      <w:tr w:rsidR="00071583" w:rsidRPr="00CE0BE9" w:rsidTr="00144BF5">
        <w:trPr>
          <w:cantSplit/>
          <w:trHeight w:val="20"/>
        </w:trPr>
        <w:tc>
          <w:tcPr>
            <w:tcW w:w="717" w:type="pct"/>
            <w:tcBorders>
              <w:top w:val="nil"/>
              <w:left w:val="single" w:sz="4" w:space="0" w:color="auto"/>
              <w:bottom w:val="single" w:sz="4" w:space="0" w:color="auto"/>
              <w:right w:val="single" w:sz="4" w:space="0" w:color="auto"/>
            </w:tcBorders>
            <w:vAlign w:val="center"/>
          </w:tcPr>
          <w:p w:rsidR="00071583" w:rsidRPr="00CE0BE9" w:rsidRDefault="00071583" w:rsidP="00144BF5">
            <w:pPr>
              <w:adjustRightInd w:val="0"/>
              <w:snapToGrid w:val="0"/>
              <w:jc w:val="left"/>
              <w:rPr>
                <w:rFonts w:ascii="Arial Narrow" w:eastAsia="SimSun" w:hAnsi="Arial Narrow"/>
                <w:sz w:val="20"/>
                <w:szCs w:val="20"/>
                <w:lang w:eastAsia="en-AU"/>
              </w:rPr>
            </w:pPr>
            <w:r w:rsidRPr="00CE0BE9">
              <w:rPr>
                <w:rFonts w:ascii="Arial Narrow" w:eastAsia="SimSun" w:hAnsi="Arial Narrow"/>
                <w:sz w:val="20"/>
                <w:szCs w:val="20"/>
                <w:lang w:eastAsia="en-AU"/>
              </w:rPr>
              <w:t>SPM</w:t>
            </w:r>
          </w:p>
        </w:tc>
        <w:tc>
          <w:tcPr>
            <w:tcW w:w="554"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NR</w:t>
            </w:r>
          </w:p>
        </w:tc>
        <w:tc>
          <w:tcPr>
            <w:tcW w:w="555"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NR</w:t>
            </w:r>
          </w:p>
        </w:tc>
        <w:tc>
          <w:tcPr>
            <w:tcW w:w="555"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adjustRightInd w:val="0"/>
              <w:snapToGrid w:val="0"/>
              <w:jc w:val="left"/>
              <w:rPr>
                <w:rFonts w:ascii="Arial Narrow" w:eastAsia="SimSun" w:hAnsi="Arial Narrow"/>
                <w:sz w:val="20"/>
                <w:szCs w:val="20"/>
                <w:lang w:eastAsia="en-AU"/>
              </w:rPr>
            </w:pPr>
            <w:r w:rsidRPr="00CE0BE9">
              <w:rPr>
                <w:rFonts w:ascii="Arial Narrow" w:eastAsia="SimSun" w:hAnsi="Arial Narrow"/>
                <w:sz w:val="20"/>
                <w:szCs w:val="20"/>
                <w:lang w:eastAsia="en-AU"/>
              </w:rPr>
              <w:t>NR</w:t>
            </w:r>
          </w:p>
        </w:tc>
        <w:tc>
          <w:tcPr>
            <w:tcW w:w="794" w:type="pct"/>
            <w:tcBorders>
              <w:top w:val="single" w:sz="4" w:space="0" w:color="auto"/>
              <w:left w:val="single" w:sz="4" w:space="0" w:color="auto"/>
              <w:bottom w:val="single" w:sz="4" w:space="0" w:color="auto"/>
              <w:right w:val="single" w:sz="4" w:space="0" w:color="auto"/>
            </w:tcBorders>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w:t>
            </w:r>
          </w:p>
        </w:tc>
        <w:tc>
          <w:tcPr>
            <w:tcW w:w="558"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51</w:t>
            </w:r>
            <w:r w:rsidRPr="00CE0BE9">
              <w:rPr>
                <w:rFonts w:ascii="Arial Narrow" w:hAnsi="Arial Narrow"/>
                <w:sz w:val="20"/>
                <w:szCs w:val="20"/>
                <w:vertAlign w:val="superscript"/>
              </w:rPr>
              <w:t>b</w:t>
            </w:r>
            <w:r w:rsidRPr="00CE0BE9">
              <w:rPr>
                <w:rFonts w:ascii="Arial Narrow" w:hAnsi="Arial Narrow"/>
                <w:sz w:val="20"/>
                <w:szCs w:val="20"/>
              </w:rPr>
              <w:t xml:space="preserve"> (16.7%)</w:t>
            </w:r>
          </w:p>
        </w:tc>
        <w:tc>
          <w:tcPr>
            <w:tcW w:w="555"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33</w:t>
            </w:r>
            <w:r w:rsidRPr="00CE0BE9">
              <w:rPr>
                <w:rFonts w:ascii="Arial Narrow" w:hAnsi="Arial Narrow"/>
                <w:sz w:val="20"/>
                <w:szCs w:val="20"/>
                <w:vertAlign w:val="superscript"/>
              </w:rPr>
              <w:t>b</w:t>
            </w:r>
            <w:r w:rsidRPr="00CE0BE9">
              <w:rPr>
                <w:rFonts w:ascii="Arial Narrow" w:hAnsi="Arial Narrow"/>
                <w:sz w:val="20"/>
                <w:szCs w:val="20"/>
              </w:rPr>
              <w:t xml:space="preserve"> (10.9%)</w:t>
            </w:r>
          </w:p>
        </w:tc>
        <w:tc>
          <w:tcPr>
            <w:tcW w:w="712" w:type="pct"/>
            <w:tcBorders>
              <w:top w:val="single" w:sz="4" w:space="0" w:color="auto"/>
              <w:left w:val="single" w:sz="4" w:space="0" w:color="auto"/>
              <w:bottom w:val="single" w:sz="4" w:space="0" w:color="auto"/>
              <w:right w:val="single" w:sz="4" w:space="0" w:color="auto"/>
            </w:tcBorders>
          </w:tcPr>
          <w:p w:rsidR="00071583" w:rsidRPr="00CE0BE9" w:rsidRDefault="00071583" w:rsidP="00144BF5">
            <w:pPr>
              <w:jc w:val="left"/>
              <w:rPr>
                <w:rFonts w:ascii="Arial Narrow" w:hAnsi="Arial Narrow"/>
                <w:b/>
                <w:sz w:val="20"/>
                <w:szCs w:val="20"/>
              </w:rPr>
            </w:pPr>
            <w:r w:rsidRPr="00CE0BE9">
              <w:rPr>
                <w:rFonts w:ascii="Arial Narrow" w:hAnsi="Arial Narrow"/>
                <w:b/>
                <w:sz w:val="20"/>
                <w:szCs w:val="20"/>
              </w:rPr>
              <w:t>1.53 (1.01, 2.29)</w:t>
            </w:r>
          </w:p>
        </w:tc>
      </w:tr>
      <w:tr w:rsidR="00071583" w:rsidRPr="00CE0BE9" w:rsidTr="00144BF5">
        <w:trPr>
          <w:cantSplit/>
          <w:trHeight w:val="20"/>
        </w:trPr>
        <w:tc>
          <w:tcPr>
            <w:tcW w:w="717" w:type="pct"/>
            <w:tcBorders>
              <w:top w:val="nil"/>
              <w:left w:val="single" w:sz="4" w:space="0" w:color="auto"/>
              <w:bottom w:val="single" w:sz="4" w:space="0" w:color="auto"/>
              <w:right w:val="single" w:sz="4" w:space="0" w:color="auto"/>
            </w:tcBorders>
            <w:vAlign w:val="center"/>
          </w:tcPr>
          <w:p w:rsidR="00071583" w:rsidRPr="00CE0BE9" w:rsidRDefault="00071583" w:rsidP="00144BF5">
            <w:pPr>
              <w:adjustRightInd w:val="0"/>
              <w:snapToGrid w:val="0"/>
              <w:jc w:val="left"/>
              <w:rPr>
                <w:rFonts w:ascii="Arial Narrow" w:eastAsia="SimSun" w:hAnsi="Arial Narrow"/>
                <w:sz w:val="20"/>
                <w:szCs w:val="20"/>
                <w:lang w:eastAsia="en-AU"/>
              </w:rPr>
            </w:pPr>
            <w:r w:rsidRPr="00CE0BE9">
              <w:rPr>
                <w:rFonts w:ascii="Arial Narrow" w:eastAsia="SimSun" w:hAnsi="Arial Narrow"/>
                <w:sz w:val="20"/>
                <w:szCs w:val="20"/>
                <w:lang w:eastAsia="en-AU"/>
              </w:rPr>
              <w:t>Haematological</w:t>
            </w:r>
          </w:p>
        </w:tc>
        <w:tc>
          <w:tcPr>
            <w:tcW w:w="554"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18 (7.8%)</w:t>
            </w:r>
          </w:p>
        </w:tc>
        <w:tc>
          <w:tcPr>
            <w:tcW w:w="555"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3 (2.1%)</w:t>
            </w:r>
          </w:p>
        </w:tc>
        <w:tc>
          <w:tcPr>
            <w:tcW w:w="555"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adjustRightInd w:val="0"/>
              <w:snapToGrid w:val="0"/>
              <w:jc w:val="left"/>
              <w:rPr>
                <w:rFonts w:ascii="Arial Narrow" w:eastAsia="SimSun" w:hAnsi="Arial Narrow"/>
                <w:sz w:val="20"/>
                <w:szCs w:val="20"/>
                <w:lang w:eastAsia="en-AU"/>
              </w:rPr>
            </w:pPr>
            <w:r w:rsidRPr="00CE0BE9">
              <w:rPr>
                <w:rFonts w:ascii="Arial Narrow" w:eastAsia="SimSun" w:hAnsi="Arial Narrow"/>
                <w:sz w:val="20"/>
                <w:szCs w:val="20"/>
                <w:lang w:eastAsia="en-AU"/>
              </w:rPr>
              <w:t>0</w:t>
            </w:r>
          </w:p>
        </w:tc>
        <w:tc>
          <w:tcPr>
            <w:tcW w:w="794" w:type="pct"/>
            <w:tcBorders>
              <w:top w:val="single" w:sz="4" w:space="0" w:color="auto"/>
              <w:left w:val="single" w:sz="4" w:space="0" w:color="auto"/>
              <w:bottom w:val="single" w:sz="4" w:space="0" w:color="auto"/>
              <w:right w:val="single" w:sz="4" w:space="0" w:color="auto"/>
            </w:tcBorders>
          </w:tcPr>
          <w:p w:rsidR="00071583" w:rsidRPr="00CE0BE9" w:rsidRDefault="00071583" w:rsidP="00144BF5">
            <w:pPr>
              <w:jc w:val="left"/>
              <w:rPr>
                <w:rFonts w:ascii="Arial Narrow" w:hAnsi="Arial Narrow"/>
                <w:sz w:val="20"/>
                <w:szCs w:val="20"/>
              </w:rPr>
            </w:pPr>
            <w:r w:rsidRPr="00CE0BE9">
              <w:rPr>
                <w:rFonts w:ascii="Arial Narrow" w:hAnsi="Arial Narrow"/>
                <w:b/>
                <w:sz w:val="20"/>
                <w:szCs w:val="20"/>
              </w:rPr>
              <w:t>3.83 (1.15, 12.77</w:t>
            </w:r>
            <w:r w:rsidRPr="00CE0BE9">
              <w:rPr>
                <w:rFonts w:ascii="Arial Narrow" w:hAnsi="Arial Narrow"/>
                <w:sz w:val="20"/>
                <w:szCs w:val="20"/>
              </w:rPr>
              <w:t>)</w:t>
            </w:r>
          </w:p>
        </w:tc>
        <w:tc>
          <w:tcPr>
            <w:tcW w:w="558"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21</w:t>
            </w:r>
            <w:r w:rsidRPr="00CE0BE9">
              <w:rPr>
                <w:rFonts w:ascii="Arial Narrow" w:hAnsi="Arial Narrow"/>
                <w:sz w:val="20"/>
                <w:szCs w:val="20"/>
                <w:vertAlign w:val="superscript"/>
              </w:rPr>
              <w:t>c</w:t>
            </w:r>
            <w:r w:rsidRPr="00CE0BE9">
              <w:rPr>
                <w:rFonts w:ascii="Arial Narrow" w:hAnsi="Arial Narrow"/>
                <w:sz w:val="20"/>
                <w:szCs w:val="20"/>
              </w:rPr>
              <w:t xml:space="preserve"> (6.9%)</w:t>
            </w:r>
          </w:p>
        </w:tc>
        <w:tc>
          <w:tcPr>
            <w:tcW w:w="555"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9 (3%)</w:t>
            </w:r>
          </w:p>
        </w:tc>
        <w:tc>
          <w:tcPr>
            <w:tcW w:w="712" w:type="pct"/>
            <w:tcBorders>
              <w:top w:val="single" w:sz="4" w:space="0" w:color="auto"/>
              <w:left w:val="single" w:sz="4" w:space="0" w:color="auto"/>
              <w:bottom w:val="single" w:sz="4" w:space="0" w:color="auto"/>
              <w:right w:val="single" w:sz="4" w:space="0" w:color="auto"/>
            </w:tcBorders>
          </w:tcPr>
          <w:p w:rsidR="00071583" w:rsidRPr="00CE0BE9" w:rsidRDefault="00071583" w:rsidP="00144BF5">
            <w:pPr>
              <w:jc w:val="left"/>
              <w:rPr>
                <w:rFonts w:ascii="Arial Narrow" w:hAnsi="Arial Narrow"/>
                <w:b/>
                <w:sz w:val="20"/>
                <w:szCs w:val="20"/>
              </w:rPr>
            </w:pPr>
            <w:r w:rsidRPr="00CE0BE9">
              <w:rPr>
                <w:rFonts w:ascii="Arial Narrow" w:hAnsi="Arial Narrow"/>
                <w:b/>
                <w:sz w:val="20"/>
                <w:szCs w:val="20"/>
              </w:rPr>
              <w:t>2.30 (1.07, 4.95)</w:t>
            </w:r>
          </w:p>
        </w:tc>
      </w:tr>
      <w:tr w:rsidR="00071583" w:rsidRPr="00CE0BE9" w:rsidTr="00144BF5">
        <w:trPr>
          <w:cantSplit/>
          <w:trHeight w:val="20"/>
        </w:trPr>
        <w:tc>
          <w:tcPr>
            <w:tcW w:w="717" w:type="pct"/>
            <w:tcBorders>
              <w:top w:val="nil"/>
              <w:left w:val="single" w:sz="4" w:space="0" w:color="auto"/>
              <w:bottom w:val="single" w:sz="4" w:space="0" w:color="auto"/>
              <w:right w:val="single" w:sz="4" w:space="0" w:color="auto"/>
            </w:tcBorders>
            <w:vAlign w:val="center"/>
          </w:tcPr>
          <w:p w:rsidR="00071583" w:rsidRPr="00CE0BE9" w:rsidRDefault="00071583" w:rsidP="00144BF5">
            <w:pPr>
              <w:adjustRightInd w:val="0"/>
              <w:snapToGrid w:val="0"/>
              <w:jc w:val="left"/>
              <w:rPr>
                <w:rFonts w:ascii="Arial Narrow" w:eastAsia="SimSun" w:hAnsi="Arial Narrow"/>
                <w:sz w:val="20"/>
                <w:szCs w:val="20"/>
                <w:lang w:eastAsia="en-AU"/>
              </w:rPr>
            </w:pPr>
            <w:r w:rsidRPr="00CE0BE9">
              <w:rPr>
                <w:rFonts w:ascii="Arial Narrow" w:eastAsia="SimSun" w:hAnsi="Arial Narrow"/>
                <w:sz w:val="20"/>
                <w:szCs w:val="20"/>
                <w:lang w:eastAsia="en-AU"/>
              </w:rPr>
              <w:t>Solid tumour</w:t>
            </w:r>
          </w:p>
        </w:tc>
        <w:tc>
          <w:tcPr>
            <w:tcW w:w="554"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14 (6.1%)</w:t>
            </w:r>
          </w:p>
        </w:tc>
        <w:tc>
          <w:tcPr>
            <w:tcW w:w="555"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5 (3.5%)</w:t>
            </w:r>
          </w:p>
        </w:tc>
        <w:tc>
          <w:tcPr>
            <w:tcW w:w="555"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adjustRightInd w:val="0"/>
              <w:snapToGrid w:val="0"/>
              <w:jc w:val="left"/>
              <w:rPr>
                <w:rFonts w:ascii="Arial Narrow" w:eastAsia="SimSun" w:hAnsi="Arial Narrow"/>
                <w:sz w:val="20"/>
                <w:szCs w:val="20"/>
                <w:lang w:eastAsia="en-AU"/>
              </w:rPr>
            </w:pPr>
            <w:r w:rsidRPr="00CE0BE9">
              <w:rPr>
                <w:rFonts w:ascii="Arial Narrow" w:eastAsia="SimSun" w:hAnsi="Arial Narrow"/>
                <w:sz w:val="20"/>
                <w:szCs w:val="20"/>
                <w:lang w:eastAsia="en-AU"/>
              </w:rPr>
              <w:t>4 (4.7%)</w:t>
            </w:r>
          </w:p>
        </w:tc>
        <w:tc>
          <w:tcPr>
            <w:tcW w:w="794" w:type="pct"/>
            <w:tcBorders>
              <w:top w:val="single" w:sz="4" w:space="0" w:color="auto"/>
              <w:left w:val="single" w:sz="4" w:space="0" w:color="auto"/>
              <w:bottom w:val="single" w:sz="4" w:space="0" w:color="auto"/>
              <w:right w:val="single" w:sz="4" w:space="0" w:color="auto"/>
            </w:tcBorders>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1.79 (0.66, 4.86)</w:t>
            </w:r>
          </w:p>
        </w:tc>
        <w:tc>
          <w:tcPr>
            <w:tcW w:w="558"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23 (7.5%)</w:t>
            </w:r>
          </w:p>
        </w:tc>
        <w:tc>
          <w:tcPr>
            <w:tcW w:w="555"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19 (6.3%)</w:t>
            </w:r>
          </w:p>
        </w:tc>
        <w:tc>
          <w:tcPr>
            <w:tcW w:w="712" w:type="pct"/>
            <w:tcBorders>
              <w:top w:val="single" w:sz="4" w:space="0" w:color="auto"/>
              <w:left w:val="single" w:sz="4" w:space="0" w:color="auto"/>
              <w:bottom w:val="single" w:sz="4" w:space="0" w:color="auto"/>
              <w:right w:val="single" w:sz="4" w:space="0" w:color="auto"/>
            </w:tcBorders>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1.19 (0.66, 2.15)</w:t>
            </w:r>
          </w:p>
        </w:tc>
      </w:tr>
      <w:tr w:rsidR="00071583" w:rsidRPr="00CE0BE9" w:rsidTr="00144BF5">
        <w:trPr>
          <w:cantSplit/>
          <w:trHeight w:val="20"/>
        </w:trPr>
        <w:tc>
          <w:tcPr>
            <w:tcW w:w="717" w:type="pct"/>
            <w:tcBorders>
              <w:top w:val="nil"/>
              <w:left w:val="single" w:sz="4" w:space="0" w:color="auto"/>
              <w:bottom w:val="single" w:sz="4" w:space="0" w:color="auto"/>
              <w:right w:val="single" w:sz="4" w:space="0" w:color="auto"/>
            </w:tcBorders>
            <w:vAlign w:val="center"/>
          </w:tcPr>
          <w:p w:rsidR="00071583" w:rsidRPr="00CE0BE9" w:rsidRDefault="00071583" w:rsidP="00144BF5">
            <w:pPr>
              <w:adjustRightInd w:val="0"/>
              <w:snapToGrid w:val="0"/>
              <w:jc w:val="left"/>
              <w:rPr>
                <w:rFonts w:ascii="Arial Narrow" w:eastAsia="SimSun" w:hAnsi="Arial Narrow"/>
                <w:sz w:val="20"/>
                <w:szCs w:val="20"/>
                <w:lang w:eastAsia="en-AU"/>
              </w:rPr>
            </w:pPr>
            <w:r w:rsidRPr="00CE0BE9">
              <w:rPr>
                <w:rFonts w:ascii="Arial Narrow" w:eastAsia="SimSun" w:hAnsi="Arial Narrow"/>
                <w:sz w:val="20"/>
                <w:szCs w:val="20"/>
                <w:lang w:eastAsia="en-AU"/>
              </w:rPr>
              <w:t>Non-invasive</w:t>
            </w:r>
          </w:p>
        </w:tc>
        <w:tc>
          <w:tcPr>
            <w:tcW w:w="554"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11 (4.8%)</w:t>
            </w:r>
          </w:p>
        </w:tc>
        <w:tc>
          <w:tcPr>
            <w:tcW w:w="555"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5 (3.5%)</w:t>
            </w:r>
          </w:p>
        </w:tc>
        <w:tc>
          <w:tcPr>
            <w:tcW w:w="555"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adjustRightInd w:val="0"/>
              <w:snapToGrid w:val="0"/>
              <w:jc w:val="left"/>
              <w:rPr>
                <w:rFonts w:ascii="Arial Narrow" w:eastAsia="SimSun" w:hAnsi="Arial Narrow"/>
                <w:sz w:val="20"/>
                <w:szCs w:val="20"/>
                <w:lang w:eastAsia="en-AU"/>
              </w:rPr>
            </w:pPr>
            <w:r w:rsidRPr="00CE0BE9">
              <w:rPr>
                <w:rFonts w:ascii="Arial Narrow" w:eastAsia="SimSun" w:hAnsi="Arial Narrow"/>
                <w:sz w:val="20"/>
                <w:szCs w:val="20"/>
                <w:lang w:eastAsia="en-AU"/>
              </w:rPr>
              <w:t>1 (1.2%)</w:t>
            </w:r>
          </w:p>
        </w:tc>
        <w:tc>
          <w:tcPr>
            <w:tcW w:w="794" w:type="pct"/>
            <w:tcBorders>
              <w:top w:val="single" w:sz="4" w:space="0" w:color="auto"/>
              <w:left w:val="single" w:sz="4" w:space="0" w:color="auto"/>
              <w:bottom w:val="single" w:sz="4" w:space="0" w:color="auto"/>
              <w:right w:val="single" w:sz="4" w:space="0" w:color="auto"/>
            </w:tcBorders>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1.40 (0.50, 3.96)</w:t>
            </w:r>
          </w:p>
        </w:tc>
        <w:tc>
          <w:tcPr>
            <w:tcW w:w="558"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10 (3.3%)</w:t>
            </w:r>
          </w:p>
        </w:tc>
        <w:tc>
          <w:tcPr>
            <w:tcW w:w="555" w:type="pct"/>
            <w:tcBorders>
              <w:top w:val="single" w:sz="4" w:space="0" w:color="auto"/>
              <w:left w:val="single" w:sz="4" w:space="0" w:color="auto"/>
              <w:bottom w:val="single" w:sz="4" w:space="0" w:color="auto"/>
              <w:right w:val="single" w:sz="4" w:space="0" w:color="auto"/>
            </w:tcBorders>
            <w:vAlign w:val="center"/>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7 (2.3%)</w:t>
            </w:r>
          </w:p>
        </w:tc>
        <w:tc>
          <w:tcPr>
            <w:tcW w:w="712" w:type="pct"/>
            <w:tcBorders>
              <w:top w:val="single" w:sz="4" w:space="0" w:color="auto"/>
              <w:left w:val="single" w:sz="4" w:space="0" w:color="auto"/>
              <w:bottom w:val="single" w:sz="4" w:space="0" w:color="auto"/>
              <w:right w:val="single" w:sz="4" w:space="0" w:color="auto"/>
            </w:tcBorders>
          </w:tcPr>
          <w:p w:rsidR="00071583" w:rsidRPr="00CE0BE9" w:rsidRDefault="00071583" w:rsidP="00144BF5">
            <w:pPr>
              <w:jc w:val="left"/>
              <w:rPr>
                <w:rFonts w:ascii="Arial Narrow" w:hAnsi="Arial Narrow"/>
                <w:sz w:val="20"/>
                <w:szCs w:val="20"/>
              </w:rPr>
            </w:pPr>
            <w:r w:rsidRPr="00CE0BE9">
              <w:rPr>
                <w:rFonts w:ascii="Arial Narrow" w:hAnsi="Arial Narrow"/>
                <w:sz w:val="20"/>
                <w:szCs w:val="20"/>
              </w:rPr>
              <w:t>1.41 (0.54, 3.66)</w:t>
            </w:r>
          </w:p>
        </w:tc>
      </w:tr>
    </w:tbl>
    <w:p w:rsidR="00071583" w:rsidRPr="00CE0BE9" w:rsidRDefault="00071583" w:rsidP="00071583">
      <w:pPr>
        <w:rPr>
          <w:rFonts w:ascii="Arial Narrow" w:hAnsi="Arial Narrow"/>
          <w:sz w:val="18"/>
          <w:szCs w:val="18"/>
        </w:rPr>
      </w:pPr>
      <w:r w:rsidRPr="00CE0BE9">
        <w:rPr>
          <w:rFonts w:ascii="Arial Narrow" w:hAnsi="Arial Narrow"/>
          <w:sz w:val="18"/>
          <w:szCs w:val="18"/>
        </w:rPr>
        <w:t>Abbreviations: ASCT</w:t>
      </w:r>
      <w:r w:rsidR="00B71116" w:rsidRPr="00CE0BE9">
        <w:rPr>
          <w:rFonts w:ascii="Arial Narrow" w:hAnsi="Arial Narrow"/>
          <w:sz w:val="18"/>
          <w:szCs w:val="18"/>
        </w:rPr>
        <w:t>=</w:t>
      </w:r>
      <w:r w:rsidRPr="00CE0BE9">
        <w:rPr>
          <w:rFonts w:ascii="Arial Narrow" w:hAnsi="Arial Narrow"/>
          <w:sz w:val="18"/>
          <w:szCs w:val="18"/>
        </w:rPr>
        <w:t xml:space="preserve">autologous stem cell transplant; </w:t>
      </w:r>
      <w:r w:rsidR="00210E3F" w:rsidRPr="00CE0BE9">
        <w:rPr>
          <w:rFonts w:ascii="Arial Narrow" w:hAnsi="Arial Narrow"/>
          <w:sz w:val="18"/>
          <w:szCs w:val="18"/>
        </w:rPr>
        <w:t xml:space="preserve">BSC=best supportive care; </w:t>
      </w:r>
      <w:r w:rsidRPr="00CE0BE9">
        <w:rPr>
          <w:rFonts w:ascii="Arial Narrow" w:hAnsi="Arial Narrow"/>
          <w:sz w:val="18"/>
          <w:szCs w:val="18"/>
        </w:rPr>
        <w:t>LEN</w:t>
      </w:r>
      <w:r w:rsidR="00B71116" w:rsidRPr="00CE0BE9">
        <w:rPr>
          <w:rFonts w:ascii="Arial Narrow" w:hAnsi="Arial Narrow"/>
          <w:sz w:val="18"/>
          <w:szCs w:val="18"/>
        </w:rPr>
        <w:t>=</w:t>
      </w:r>
      <w:proofErr w:type="spellStart"/>
      <w:r w:rsidRPr="00CE0BE9">
        <w:rPr>
          <w:rFonts w:ascii="Arial Narrow" w:hAnsi="Arial Narrow"/>
          <w:sz w:val="18"/>
          <w:szCs w:val="18"/>
        </w:rPr>
        <w:t>lenalidomide</w:t>
      </w:r>
      <w:proofErr w:type="spellEnd"/>
      <w:r w:rsidRPr="00CE0BE9">
        <w:rPr>
          <w:rFonts w:ascii="Arial Narrow" w:hAnsi="Arial Narrow"/>
          <w:sz w:val="18"/>
          <w:szCs w:val="18"/>
        </w:rPr>
        <w:t>; NR</w:t>
      </w:r>
      <w:r w:rsidR="00B71116" w:rsidRPr="00CE0BE9">
        <w:rPr>
          <w:rFonts w:ascii="Arial Narrow" w:hAnsi="Arial Narrow"/>
          <w:sz w:val="18"/>
          <w:szCs w:val="18"/>
        </w:rPr>
        <w:t>=</w:t>
      </w:r>
      <w:r w:rsidRPr="00CE0BE9">
        <w:rPr>
          <w:rFonts w:ascii="Arial Narrow" w:hAnsi="Arial Narrow"/>
          <w:sz w:val="18"/>
          <w:szCs w:val="18"/>
        </w:rPr>
        <w:t>not reported; SPM</w:t>
      </w:r>
      <w:r w:rsidR="00B71116" w:rsidRPr="00CE0BE9">
        <w:rPr>
          <w:rFonts w:ascii="Arial Narrow" w:hAnsi="Arial Narrow"/>
          <w:sz w:val="18"/>
          <w:szCs w:val="18"/>
        </w:rPr>
        <w:t>=</w:t>
      </w:r>
      <w:r w:rsidRPr="00CE0BE9">
        <w:rPr>
          <w:rFonts w:ascii="Arial Narrow" w:hAnsi="Arial Narrow"/>
          <w:sz w:val="18"/>
          <w:szCs w:val="18"/>
        </w:rPr>
        <w:t>second primary malignancy; THAL</w:t>
      </w:r>
      <w:r w:rsidR="00B71116" w:rsidRPr="00CE0BE9">
        <w:rPr>
          <w:rFonts w:ascii="Arial Narrow" w:hAnsi="Arial Narrow"/>
          <w:sz w:val="18"/>
          <w:szCs w:val="18"/>
        </w:rPr>
        <w:t>=</w:t>
      </w:r>
      <w:r w:rsidRPr="00CE0BE9">
        <w:rPr>
          <w:rFonts w:ascii="Arial Narrow" w:hAnsi="Arial Narrow"/>
          <w:sz w:val="18"/>
          <w:szCs w:val="18"/>
        </w:rPr>
        <w:t>thalidomide; XO</w:t>
      </w:r>
      <w:r w:rsidR="00B71116" w:rsidRPr="00CE0BE9">
        <w:rPr>
          <w:rFonts w:ascii="Arial Narrow" w:hAnsi="Arial Narrow"/>
          <w:sz w:val="18"/>
          <w:szCs w:val="18"/>
        </w:rPr>
        <w:t>=</w:t>
      </w:r>
      <w:r w:rsidRPr="00CE0BE9">
        <w:rPr>
          <w:rFonts w:ascii="Arial Narrow" w:hAnsi="Arial Narrow"/>
          <w:sz w:val="18"/>
          <w:szCs w:val="18"/>
        </w:rPr>
        <w:t>crossover.</w:t>
      </w:r>
    </w:p>
    <w:p w:rsidR="00071583" w:rsidRPr="00CE0BE9" w:rsidRDefault="00071583" w:rsidP="00071583">
      <w:pPr>
        <w:rPr>
          <w:rFonts w:ascii="Arial Narrow" w:hAnsi="Arial Narrow"/>
          <w:sz w:val="18"/>
          <w:szCs w:val="18"/>
        </w:rPr>
      </w:pPr>
      <w:r w:rsidRPr="00CE0BE9">
        <w:rPr>
          <w:rFonts w:ascii="Arial Narrow" w:hAnsi="Arial Narrow"/>
          <w:sz w:val="18"/>
          <w:szCs w:val="18"/>
        </w:rPr>
        <w:t>Note:</w:t>
      </w:r>
      <w:r w:rsidR="005A7DD2" w:rsidRPr="00CE0BE9">
        <w:rPr>
          <w:rFonts w:ascii="Arial Narrow" w:hAnsi="Arial Narrow"/>
          <w:sz w:val="18"/>
          <w:szCs w:val="18"/>
        </w:rPr>
        <w:t xml:space="preserve"> </w:t>
      </w:r>
      <w:r w:rsidRPr="00CE0BE9">
        <w:rPr>
          <w:rFonts w:ascii="Arial Narrow" w:hAnsi="Arial Narrow"/>
          <w:sz w:val="18"/>
          <w:szCs w:val="18"/>
        </w:rPr>
        <w:t>a. RR calculated during the evaluation for events in the PBO group up to the point of cross-over to PBO.</w:t>
      </w:r>
      <w:r w:rsidR="005A7DD2" w:rsidRPr="00CE0BE9">
        <w:rPr>
          <w:rFonts w:ascii="Arial Narrow" w:hAnsi="Arial Narrow"/>
          <w:sz w:val="18"/>
          <w:szCs w:val="18"/>
        </w:rPr>
        <w:t xml:space="preserve"> </w:t>
      </w:r>
      <w:proofErr w:type="gramStart"/>
      <w:r w:rsidRPr="00CE0BE9">
        <w:rPr>
          <w:rFonts w:ascii="Arial Narrow" w:hAnsi="Arial Narrow"/>
          <w:sz w:val="18"/>
          <w:szCs w:val="18"/>
        </w:rPr>
        <w:t>b</w:t>
      </w:r>
      <w:proofErr w:type="gramEnd"/>
      <w:r w:rsidRPr="00CE0BE9">
        <w:rPr>
          <w:rFonts w:ascii="Arial Narrow" w:hAnsi="Arial Narrow"/>
          <w:sz w:val="18"/>
          <w:szCs w:val="18"/>
        </w:rPr>
        <w:t xml:space="preserve"> Subjects with more than one type of SPM are counted once in the total.</w:t>
      </w:r>
      <w:r w:rsidR="005A7DD2" w:rsidRPr="00CE0BE9">
        <w:rPr>
          <w:rFonts w:ascii="Arial Narrow" w:hAnsi="Arial Narrow"/>
          <w:sz w:val="18"/>
          <w:szCs w:val="18"/>
        </w:rPr>
        <w:t xml:space="preserve"> </w:t>
      </w:r>
      <w:proofErr w:type="gramStart"/>
      <w:r w:rsidRPr="00CE0BE9">
        <w:rPr>
          <w:rFonts w:ascii="Arial Narrow" w:hAnsi="Arial Narrow"/>
          <w:sz w:val="18"/>
          <w:szCs w:val="18"/>
        </w:rPr>
        <w:t>c</w:t>
      </w:r>
      <w:proofErr w:type="gramEnd"/>
      <w:r w:rsidRPr="00CE0BE9">
        <w:rPr>
          <w:rFonts w:ascii="Arial Narrow" w:hAnsi="Arial Narrow"/>
          <w:sz w:val="18"/>
          <w:szCs w:val="18"/>
        </w:rPr>
        <w:t xml:space="preserve"> One subject had two solid tumours and is counted once in the table.</w:t>
      </w:r>
      <w:r w:rsidR="005A7DD2" w:rsidRPr="00CE0BE9">
        <w:rPr>
          <w:rFonts w:ascii="Arial Narrow" w:hAnsi="Arial Narrow"/>
          <w:sz w:val="18"/>
          <w:szCs w:val="18"/>
        </w:rPr>
        <w:t xml:space="preserve"> </w:t>
      </w:r>
      <w:proofErr w:type="gramStart"/>
      <w:r w:rsidRPr="00CE0BE9">
        <w:rPr>
          <w:rFonts w:ascii="Arial Narrow" w:hAnsi="Arial Narrow"/>
          <w:sz w:val="18"/>
          <w:szCs w:val="18"/>
        </w:rPr>
        <w:t>d</w:t>
      </w:r>
      <w:proofErr w:type="gramEnd"/>
      <w:r w:rsidRPr="00CE0BE9">
        <w:rPr>
          <w:rFonts w:ascii="Arial Narrow" w:hAnsi="Arial Narrow"/>
          <w:sz w:val="18"/>
          <w:szCs w:val="18"/>
        </w:rPr>
        <w:t xml:space="preserve"> 49 subjects randomised to </w:t>
      </w:r>
      <w:proofErr w:type="spellStart"/>
      <w:r w:rsidRPr="00CE0BE9">
        <w:rPr>
          <w:rFonts w:ascii="Arial Narrow" w:hAnsi="Arial Narrow"/>
          <w:sz w:val="18"/>
          <w:szCs w:val="18"/>
        </w:rPr>
        <w:t>lenalidomide</w:t>
      </w:r>
      <w:proofErr w:type="spellEnd"/>
      <w:r w:rsidRPr="00CE0BE9">
        <w:rPr>
          <w:rFonts w:ascii="Arial Narrow" w:hAnsi="Arial Narrow"/>
          <w:sz w:val="18"/>
          <w:szCs w:val="18"/>
        </w:rPr>
        <w:t xml:space="preserve"> experienced 68 SPMs and 27 subjects randomised to placebo experienced 37 SPMs.</w:t>
      </w:r>
      <w:r w:rsidR="00AC4C12" w:rsidRPr="00CE0BE9">
        <w:t xml:space="preserve"> </w:t>
      </w:r>
      <w:r w:rsidR="00AC4C12" w:rsidRPr="00CE0BE9">
        <w:rPr>
          <w:rFonts w:ascii="Arial Narrow" w:hAnsi="Arial Narrow"/>
          <w:sz w:val="18"/>
          <w:szCs w:val="18"/>
        </w:rPr>
        <w:t xml:space="preserve">Statistically significant </w:t>
      </w:r>
      <w:r w:rsidR="002A04BD" w:rsidRPr="00CE0BE9">
        <w:rPr>
          <w:rFonts w:ascii="Arial Narrow" w:hAnsi="Arial Narrow"/>
          <w:sz w:val="18"/>
          <w:szCs w:val="18"/>
        </w:rPr>
        <w:t xml:space="preserve">differences </w:t>
      </w:r>
      <w:r w:rsidR="00AC4C12" w:rsidRPr="00CE0BE9">
        <w:rPr>
          <w:rFonts w:ascii="Arial Narrow" w:hAnsi="Arial Narrow"/>
          <w:sz w:val="18"/>
          <w:szCs w:val="18"/>
        </w:rPr>
        <w:t>bolded.</w:t>
      </w:r>
    </w:p>
    <w:p w:rsidR="00071583" w:rsidRPr="00CE0BE9" w:rsidRDefault="00071583" w:rsidP="00071583">
      <w:pPr>
        <w:rPr>
          <w:rFonts w:ascii="Arial Narrow" w:hAnsi="Arial Narrow"/>
          <w:sz w:val="18"/>
          <w:szCs w:val="18"/>
        </w:rPr>
      </w:pPr>
      <w:r w:rsidRPr="00CE0BE9">
        <w:rPr>
          <w:rFonts w:ascii="Arial Narrow" w:hAnsi="Arial Narrow"/>
          <w:sz w:val="18"/>
          <w:szCs w:val="18"/>
        </w:rPr>
        <w:t>Source: Table 2.5.15, p.106 of the submission.</w:t>
      </w:r>
    </w:p>
    <w:p w:rsidR="00A51754" w:rsidRPr="00CE0BE9" w:rsidRDefault="00A51754" w:rsidP="00A51754">
      <w:pPr>
        <w:pStyle w:val="ListParagraph"/>
        <w:spacing w:after="0"/>
        <w:ind w:left="0"/>
      </w:pPr>
    </w:p>
    <w:p w:rsidR="00046136" w:rsidRPr="00FF62B8" w:rsidRDefault="00A4276B" w:rsidP="00FF62B8">
      <w:pPr>
        <w:pStyle w:val="ListParagraph"/>
        <w:widowControl/>
        <w:numPr>
          <w:ilvl w:val="1"/>
          <w:numId w:val="2"/>
        </w:numPr>
        <w:rPr>
          <w:rFonts w:cs="Calibri"/>
          <w:snapToGrid/>
          <w:szCs w:val="24"/>
          <w:lang w:val="en-US" w:eastAsia="en-AU"/>
        </w:rPr>
      </w:pPr>
      <w:r w:rsidRPr="00D17A82">
        <w:t xml:space="preserve">Relative to BSC, the relevant safety outcomes for patients taking </w:t>
      </w:r>
      <w:proofErr w:type="spellStart"/>
      <w:r w:rsidRPr="00D17A82">
        <w:t>lenalidomide</w:t>
      </w:r>
      <w:proofErr w:type="spellEnd"/>
      <w:r w:rsidRPr="00D17A82">
        <w:t xml:space="preserve"> were SPMs and haematological AEs (neutropenia and leukopenia). In comparison, relative to BSC, the relevant safety outcome for patients taking thalidomide was peripheral neuropathy (nervous system disorders). </w:t>
      </w:r>
      <w:r w:rsidR="00046136" w:rsidRPr="00D17A82">
        <w:rPr>
          <w:rFonts w:cs="Calibri"/>
          <w:snapToGrid/>
          <w:szCs w:val="24"/>
          <w:lang w:val="en-US" w:eastAsia="en-AU"/>
        </w:rPr>
        <w:t>Th</w:t>
      </w:r>
      <w:r w:rsidRPr="00D17A82">
        <w:rPr>
          <w:rFonts w:cs="Calibri"/>
          <w:snapToGrid/>
          <w:szCs w:val="24"/>
          <w:lang w:val="en-US" w:eastAsia="en-AU"/>
        </w:rPr>
        <w:t xml:space="preserve">is resulted in the </w:t>
      </w:r>
      <w:r w:rsidR="00046136" w:rsidRPr="00D17A82">
        <w:rPr>
          <w:rFonts w:cs="Calibri"/>
          <w:snapToGrid/>
          <w:szCs w:val="24"/>
          <w:lang w:val="en-US" w:eastAsia="en-AU"/>
        </w:rPr>
        <w:t>submission conclud</w:t>
      </w:r>
      <w:r w:rsidRPr="00D17A82">
        <w:rPr>
          <w:rFonts w:cs="Calibri"/>
          <w:snapToGrid/>
          <w:szCs w:val="24"/>
          <w:lang w:val="en-US" w:eastAsia="en-AU"/>
        </w:rPr>
        <w:t xml:space="preserve">ing </w:t>
      </w:r>
      <w:r w:rsidR="00046136" w:rsidRPr="00D17A82">
        <w:rPr>
          <w:rFonts w:cs="Calibri"/>
          <w:snapToGrid/>
          <w:szCs w:val="24"/>
          <w:lang w:val="en-US" w:eastAsia="en-AU"/>
        </w:rPr>
        <w:t xml:space="preserve">that </w:t>
      </w:r>
      <w:proofErr w:type="spellStart"/>
      <w:r w:rsidR="00C82C11" w:rsidRPr="00D17A82">
        <w:rPr>
          <w:rFonts w:cs="Calibri"/>
          <w:snapToGrid/>
          <w:szCs w:val="24"/>
          <w:lang w:val="en-US" w:eastAsia="en-AU"/>
        </w:rPr>
        <w:t>lenalidomide</w:t>
      </w:r>
      <w:proofErr w:type="spellEnd"/>
      <w:r w:rsidR="00C82C11" w:rsidRPr="00D17A82">
        <w:rPr>
          <w:rFonts w:cs="Calibri"/>
          <w:snapToGrid/>
          <w:szCs w:val="24"/>
          <w:lang w:val="en-US" w:eastAsia="en-AU"/>
        </w:rPr>
        <w:t xml:space="preserve"> and thalidomide </w:t>
      </w:r>
      <w:r w:rsidR="00046136" w:rsidRPr="00D17A82">
        <w:rPr>
          <w:rFonts w:cs="Calibri"/>
          <w:snapToGrid/>
          <w:szCs w:val="24"/>
          <w:lang w:val="en-US" w:eastAsia="en-AU"/>
        </w:rPr>
        <w:t>ha</w:t>
      </w:r>
      <w:r w:rsidRPr="00D17A82">
        <w:rPr>
          <w:rFonts w:cs="Calibri"/>
          <w:snapToGrid/>
          <w:szCs w:val="24"/>
          <w:lang w:val="en-US" w:eastAsia="en-AU"/>
        </w:rPr>
        <w:t xml:space="preserve">ve </w:t>
      </w:r>
      <w:r w:rsidR="00046136" w:rsidRPr="00D17A82">
        <w:rPr>
          <w:rFonts w:cs="Calibri"/>
          <w:snapToGrid/>
          <w:szCs w:val="24"/>
          <w:lang w:val="en-US" w:eastAsia="en-AU"/>
        </w:rPr>
        <w:t>different sa</w:t>
      </w:r>
      <w:r w:rsidR="00C82C11" w:rsidRPr="00D17A82">
        <w:rPr>
          <w:rFonts w:cs="Calibri"/>
          <w:snapToGrid/>
          <w:szCs w:val="24"/>
          <w:lang w:val="en-US" w:eastAsia="en-AU"/>
        </w:rPr>
        <w:t>fety profiles</w:t>
      </w:r>
      <w:r w:rsidRPr="00D17A82">
        <w:rPr>
          <w:rFonts w:cs="Calibri"/>
          <w:snapToGrid/>
          <w:szCs w:val="24"/>
          <w:lang w:val="en-US" w:eastAsia="en-AU"/>
        </w:rPr>
        <w:t xml:space="preserve">, albeit </w:t>
      </w:r>
      <w:r w:rsidR="00C82C11" w:rsidRPr="00D17A82">
        <w:rPr>
          <w:rFonts w:cs="Calibri"/>
          <w:snapToGrid/>
          <w:szCs w:val="24"/>
          <w:lang w:val="en-US" w:eastAsia="en-AU"/>
        </w:rPr>
        <w:t xml:space="preserve">complicated by the </w:t>
      </w:r>
      <w:r w:rsidR="00046136" w:rsidRPr="00D17A82">
        <w:rPr>
          <w:rFonts w:cs="Calibri"/>
          <w:snapToGrid/>
          <w:szCs w:val="24"/>
          <w:lang w:val="en-US" w:eastAsia="en-AU"/>
        </w:rPr>
        <w:t xml:space="preserve">indirect </w:t>
      </w:r>
      <w:r w:rsidR="00C82C11" w:rsidRPr="00D17A82">
        <w:rPr>
          <w:rFonts w:cs="Calibri"/>
          <w:snapToGrid/>
          <w:szCs w:val="24"/>
          <w:lang w:val="en-US" w:eastAsia="en-AU"/>
        </w:rPr>
        <w:t xml:space="preserve">nature of the </w:t>
      </w:r>
      <w:r w:rsidR="00046136" w:rsidRPr="00D17A82">
        <w:rPr>
          <w:rFonts w:cs="Calibri"/>
          <w:snapToGrid/>
          <w:szCs w:val="24"/>
          <w:lang w:val="en-US" w:eastAsia="en-AU"/>
        </w:rPr>
        <w:t>comparison</w:t>
      </w:r>
      <w:r w:rsidR="00C82C11" w:rsidRPr="00D17A82">
        <w:rPr>
          <w:rFonts w:cs="Calibri"/>
          <w:snapToGrid/>
          <w:szCs w:val="24"/>
          <w:lang w:val="en-US" w:eastAsia="en-AU"/>
        </w:rPr>
        <w:t xml:space="preserve">. </w:t>
      </w:r>
    </w:p>
    <w:p w:rsidR="00046136" w:rsidRPr="00CE0BE9" w:rsidRDefault="00046136" w:rsidP="00A51754">
      <w:pPr>
        <w:pStyle w:val="ListParagraph"/>
        <w:spacing w:after="0"/>
        <w:ind w:left="0"/>
      </w:pPr>
    </w:p>
    <w:p w:rsidR="004151CF" w:rsidRPr="00CE0BE9" w:rsidRDefault="007F1017" w:rsidP="005A7DD2">
      <w:pPr>
        <w:pStyle w:val="Heading2"/>
        <w:rPr>
          <w:i w:val="0"/>
        </w:rPr>
      </w:pPr>
      <w:bookmarkStart w:id="14" w:name="_Toc503271379"/>
      <w:r w:rsidRPr="00CE0BE9">
        <w:rPr>
          <w:i w:val="0"/>
        </w:rPr>
        <w:t>Benefits/harms</w:t>
      </w:r>
      <w:bookmarkEnd w:id="14"/>
    </w:p>
    <w:p w:rsidR="0023209F" w:rsidRPr="00CE0BE9" w:rsidRDefault="007112F2" w:rsidP="006F0DFD">
      <w:pPr>
        <w:pStyle w:val="ListParagraph"/>
        <w:widowControl/>
        <w:numPr>
          <w:ilvl w:val="1"/>
          <w:numId w:val="2"/>
        </w:numPr>
        <w:rPr>
          <w:rStyle w:val="CommentReference"/>
        </w:rPr>
      </w:pPr>
      <w:r w:rsidRPr="00CE0BE9">
        <w:rPr>
          <w:rFonts w:cs="Calibri"/>
          <w:snapToGrid/>
          <w:szCs w:val="24"/>
          <w:lang w:val="en-US" w:eastAsia="en-AU"/>
        </w:rPr>
        <w:t xml:space="preserve">A summary of the comparative benefits and harms for </w:t>
      </w:r>
      <w:proofErr w:type="spellStart"/>
      <w:r w:rsidRPr="00CE0BE9">
        <w:rPr>
          <w:rFonts w:cs="Calibri"/>
          <w:snapToGrid/>
          <w:szCs w:val="24"/>
          <w:lang w:val="en-US" w:eastAsia="en-AU"/>
        </w:rPr>
        <w:t>lenalidomide</w:t>
      </w:r>
      <w:proofErr w:type="spellEnd"/>
      <w:r w:rsidRPr="00CE0BE9">
        <w:rPr>
          <w:rFonts w:cs="Calibri"/>
          <w:snapToGrid/>
          <w:szCs w:val="24"/>
          <w:lang w:val="en-US" w:eastAsia="en-AU"/>
        </w:rPr>
        <w:t xml:space="preserve"> compared </w:t>
      </w:r>
      <w:r w:rsidR="004D1150" w:rsidRPr="00CE0BE9">
        <w:rPr>
          <w:rFonts w:cs="Calibri"/>
          <w:snapToGrid/>
          <w:szCs w:val="24"/>
          <w:lang w:val="en-US" w:eastAsia="en-AU"/>
        </w:rPr>
        <w:t>to BSC</w:t>
      </w:r>
      <w:r w:rsidR="005A7DD2" w:rsidRPr="00CE0BE9">
        <w:rPr>
          <w:rFonts w:cs="Calibri"/>
          <w:snapToGrid/>
          <w:szCs w:val="24"/>
          <w:lang w:val="en-US" w:eastAsia="en-AU"/>
        </w:rPr>
        <w:t xml:space="preserve"> </w:t>
      </w:r>
      <w:r w:rsidRPr="00CE0BE9">
        <w:rPr>
          <w:rFonts w:cs="Calibri"/>
          <w:snapToGrid/>
          <w:szCs w:val="24"/>
          <w:lang w:val="en-US" w:eastAsia="en-AU"/>
        </w:rPr>
        <w:t>is presented in the table below.</w:t>
      </w:r>
      <w:r w:rsidR="00E926A5" w:rsidRPr="00CE0BE9">
        <w:rPr>
          <w:rFonts w:cs="Calibri"/>
          <w:snapToGrid/>
          <w:szCs w:val="24"/>
          <w:lang w:val="en-US" w:eastAsia="en-AU"/>
        </w:rPr>
        <w:t xml:space="preserve"> </w:t>
      </w:r>
    </w:p>
    <w:p w:rsidR="00D073C9" w:rsidRDefault="00D073C9">
      <w:pPr>
        <w:widowControl/>
        <w:jc w:val="left"/>
        <w:rPr>
          <w:rStyle w:val="CommentReference"/>
        </w:rPr>
      </w:pPr>
      <w:r>
        <w:rPr>
          <w:rStyle w:val="CommentReference"/>
        </w:rPr>
        <w:br w:type="page"/>
      </w:r>
    </w:p>
    <w:p w:rsidR="00B62715" w:rsidRPr="00CE0BE9" w:rsidRDefault="00B62715" w:rsidP="003D4A30">
      <w:pPr>
        <w:rPr>
          <w:rStyle w:val="CommentReference"/>
        </w:rPr>
      </w:pPr>
      <w:r w:rsidRPr="00CE0BE9">
        <w:rPr>
          <w:rStyle w:val="CommentReference"/>
        </w:rPr>
        <w:lastRenderedPageBreak/>
        <w:t>Table</w:t>
      </w:r>
      <w:r w:rsidR="00057E72" w:rsidRPr="00CE0BE9">
        <w:rPr>
          <w:rStyle w:val="CommentReference"/>
        </w:rPr>
        <w:t xml:space="preserve"> 1</w:t>
      </w:r>
      <w:r w:rsidR="007D6AA8">
        <w:rPr>
          <w:rStyle w:val="CommentReference"/>
        </w:rPr>
        <w:t>8</w:t>
      </w:r>
      <w:r w:rsidRPr="00CE0BE9">
        <w:rPr>
          <w:rStyle w:val="CommentReference"/>
        </w:rPr>
        <w:t xml:space="preserve">: Summary of comparative benefits and harms for </w:t>
      </w:r>
      <w:proofErr w:type="spellStart"/>
      <w:r w:rsidR="00057E72" w:rsidRPr="00CE0BE9">
        <w:rPr>
          <w:rStyle w:val="CommentReference"/>
        </w:rPr>
        <w:t>lenalidomide</w:t>
      </w:r>
      <w:proofErr w:type="spellEnd"/>
      <w:r w:rsidRPr="00CE0BE9">
        <w:rPr>
          <w:rStyle w:val="CommentReference"/>
        </w:rPr>
        <w:t xml:space="preserve"> and </w:t>
      </w:r>
      <w:r w:rsidR="005A7DD2" w:rsidRPr="00CE0BE9">
        <w:rPr>
          <w:rStyle w:val="CommentReference"/>
        </w:rPr>
        <w:t>BSC</w:t>
      </w:r>
    </w:p>
    <w:tbl>
      <w:tblPr>
        <w:tblW w:w="5000" w:type="pct"/>
        <w:tblCellMar>
          <w:left w:w="28" w:type="dxa"/>
          <w:right w:w="28" w:type="dxa"/>
        </w:tblCellMar>
        <w:tblLook w:val="04A0" w:firstRow="1" w:lastRow="0" w:firstColumn="1" w:lastColumn="0" w:noHBand="0" w:noVBand="1"/>
      </w:tblPr>
      <w:tblGrid>
        <w:gridCol w:w="1159"/>
        <w:gridCol w:w="847"/>
        <w:gridCol w:w="1430"/>
        <w:gridCol w:w="1435"/>
        <w:gridCol w:w="423"/>
        <w:gridCol w:w="1003"/>
        <w:gridCol w:w="883"/>
        <w:gridCol w:w="550"/>
        <w:gridCol w:w="1353"/>
      </w:tblGrid>
      <w:tr w:rsidR="005D044D" w:rsidRPr="00CE0BE9" w:rsidTr="00454F3B">
        <w:tc>
          <w:tcPr>
            <w:tcW w:w="5000" w:type="pct"/>
            <w:gridSpan w:val="9"/>
            <w:tcBorders>
              <w:top w:val="single" w:sz="4" w:space="0" w:color="auto"/>
              <w:left w:val="single" w:sz="4" w:space="0" w:color="auto"/>
              <w:bottom w:val="double" w:sz="4" w:space="0" w:color="auto"/>
              <w:right w:val="single" w:sz="4" w:space="0" w:color="auto"/>
            </w:tcBorders>
            <w:shd w:val="clear" w:color="auto" w:fill="auto"/>
            <w:vAlign w:val="center"/>
          </w:tcPr>
          <w:p w:rsidR="00B62715" w:rsidRPr="00CE0BE9" w:rsidRDefault="00B62715" w:rsidP="00EC00C9">
            <w:pPr>
              <w:rPr>
                <w:rFonts w:ascii="Arial Narrow" w:hAnsi="Arial Narrow"/>
                <w:b/>
                <w:color w:val="000000"/>
                <w:sz w:val="20"/>
                <w:szCs w:val="18"/>
              </w:rPr>
            </w:pPr>
            <w:r w:rsidRPr="00CE0BE9">
              <w:rPr>
                <w:rFonts w:ascii="Arial Narrow" w:hAnsi="Arial Narrow"/>
                <w:b/>
                <w:color w:val="000000"/>
                <w:sz w:val="20"/>
                <w:szCs w:val="18"/>
              </w:rPr>
              <w:t>Benefits</w:t>
            </w:r>
          </w:p>
        </w:tc>
      </w:tr>
      <w:tr w:rsidR="003D4A30" w:rsidRPr="00CE0BE9" w:rsidTr="00454F3B">
        <w:tc>
          <w:tcPr>
            <w:tcW w:w="11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62715" w:rsidRPr="00CE0BE9" w:rsidRDefault="00B62715" w:rsidP="00EC00C9">
            <w:pPr>
              <w:jc w:val="center"/>
              <w:rPr>
                <w:rFonts w:ascii="Arial Narrow" w:hAnsi="Arial Narrow"/>
                <w:color w:val="000000"/>
                <w:sz w:val="20"/>
                <w:szCs w:val="18"/>
              </w:rPr>
            </w:pPr>
          </w:p>
        </w:tc>
        <w:tc>
          <w:tcPr>
            <w:tcW w:w="787" w:type="pct"/>
            <w:tcBorders>
              <w:top w:val="single" w:sz="4" w:space="0" w:color="auto"/>
              <w:left w:val="single" w:sz="4" w:space="0" w:color="auto"/>
              <w:bottom w:val="single" w:sz="4" w:space="0" w:color="auto"/>
              <w:right w:val="single" w:sz="4" w:space="0" w:color="auto"/>
            </w:tcBorders>
            <w:vAlign w:val="center"/>
          </w:tcPr>
          <w:p w:rsidR="00B62715" w:rsidRPr="00CE0BE9" w:rsidRDefault="00754EAF" w:rsidP="00EC00C9">
            <w:pPr>
              <w:jc w:val="center"/>
              <w:rPr>
                <w:rFonts w:ascii="Arial Narrow" w:hAnsi="Arial Narrow"/>
                <w:b/>
                <w:color w:val="000000"/>
                <w:sz w:val="20"/>
                <w:szCs w:val="18"/>
              </w:rPr>
            </w:pPr>
            <w:proofErr w:type="spellStart"/>
            <w:r w:rsidRPr="00CE0BE9">
              <w:rPr>
                <w:rFonts w:ascii="Arial Narrow" w:hAnsi="Arial Narrow"/>
                <w:b/>
                <w:color w:val="000000"/>
                <w:sz w:val="20"/>
                <w:szCs w:val="18"/>
              </w:rPr>
              <w:t>Lenalidomide</w:t>
            </w:r>
            <w:proofErr w:type="spellEnd"/>
          </w:p>
        </w:tc>
        <w:tc>
          <w:tcPr>
            <w:tcW w:w="1023" w:type="pct"/>
            <w:gridSpan w:val="2"/>
            <w:tcBorders>
              <w:top w:val="single" w:sz="4" w:space="0" w:color="auto"/>
              <w:left w:val="single" w:sz="4" w:space="0" w:color="auto"/>
              <w:bottom w:val="single" w:sz="4" w:space="0" w:color="auto"/>
              <w:right w:val="single" w:sz="4" w:space="0" w:color="auto"/>
            </w:tcBorders>
            <w:vAlign w:val="center"/>
          </w:tcPr>
          <w:p w:rsidR="00B62715" w:rsidRPr="00CE0BE9" w:rsidRDefault="005A7DD2" w:rsidP="00EC00C9">
            <w:pPr>
              <w:jc w:val="center"/>
              <w:rPr>
                <w:rFonts w:ascii="Arial Narrow" w:hAnsi="Arial Narrow"/>
                <w:b/>
                <w:color w:val="000000"/>
                <w:sz w:val="20"/>
                <w:szCs w:val="18"/>
              </w:rPr>
            </w:pPr>
            <w:r w:rsidRPr="00CE0BE9">
              <w:rPr>
                <w:rFonts w:ascii="Arial Narrow" w:hAnsi="Arial Narrow"/>
                <w:b/>
                <w:color w:val="000000"/>
                <w:sz w:val="20"/>
                <w:szCs w:val="18"/>
              </w:rPr>
              <w:t>BSC</w:t>
            </w:r>
          </w:p>
        </w:tc>
        <w:tc>
          <w:tcPr>
            <w:tcW w:w="1038" w:type="pct"/>
            <w:gridSpan w:val="2"/>
            <w:tcBorders>
              <w:top w:val="single" w:sz="4" w:space="0" w:color="auto"/>
              <w:left w:val="single" w:sz="4" w:space="0" w:color="auto"/>
              <w:bottom w:val="single" w:sz="4" w:space="0" w:color="auto"/>
              <w:right w:val="single" w:sz="4" w:space="0" w:color="auto"/>
            </w:tcBorders>
            <w:vAlign w:val="center"/>
          </w:tcPr>
          <w:p w:rsidR="00B62715" w:rsidRPr="00CE0BE9" w:rsidRDefault="00B62715" w:rsidP="00EC00C9">
            <w:pPr>
              <w:jc w:val="center"/>
              <w:rPr>
                <w:rFonts w:ascii="Arial Narrow" w:hAnsi="Arial Narrow"/>
                <w:b/>
                <w:color w:val="000000"/>
                <w:sz w:val="20"/>
                <w:szCs w:val="18"/>
              </w:rPr>
            </w:pPr>
            <w:r w:rsidRPr="00CE0BE9">
              <w:rPr>
                <w:rFonts w:ascii="Arial Narrow" w:hAnsi="Arial Narrow"/>
                <w:b/>
                <w:color w:val="000000"/>
                <w:sz w:val="20"/>
                <w:szCs w:val="18"/>
              </w:rPr>
              <w:t>Absolute Difference</w:t>
            </w:r>
          </w:p>
        </w:tc>
        <w:tc>
          <w:tcPr>
            <w:tcW w:w="1049" w:type="pct"/>
            <w:gridSpan w:val="2"/>
            <w:tcBorders>
              <w:top w:val="single" w:sz="4" w:space="0" w:color="auto"/>
              <w:left w:val="single" w:sz="4" w:space="0" w:color="auto"/>
              <w:bottom w:val="single" w:sz="4" w:space="0" w:color="auto"/>
              <w:right w:val="single" w:sz="4" w:space="0" w:color="auto"/>
            </w:tcBorders>
            <w:vAlign w:val="center"/>
          </w:tcPr>
          <w:p w:rsidR="00B62715" w:rsidRPr="00CE0BE9" w:rsidRDefault="00B62715" w:rsidP="00EC00C9">
            <w:pPr>
              <w:jc w:val="center"/>
              <w:rPr>
                <w:rFonts w:ascii="Arial Narrow" w:hAnsi="Arial Narrow"/>
                <w:b/>
                <w:color w:val="000000"/>
                <w:sz w:val="20"/>
                <w:szCs w:val="18"/>
              </w:rPr>
            </w:pPr>
            <w:r w:rsidRPr="00CE0BE9">
              <w:rPr>
                <w:rFonts w:ascii="Arial Narrow" w:hAnsi="Arial Narrow"/>
                <w:b/>
                <w:color w:val="000000"/>
                <w:sz w:val="20"/>
                <w:szCs w:val="18"/>
              </w:rPr>
              <w:t>HR (95% CI)</w:t>
            </w:r>
          </w:p>
        </w:tc>
      </w:tr>
      <w:tr w:rsidR="00754EAF" w:rsidRPr="00CE0BE9" w:rsidTr="00454F3B">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754EAF" w:rsidRPr="00CE0BE9" w:rsidRDefault="00754EAF" w:rsidP="00754EAF">
            <w:pPr>
              <w:jc w:val="left"/>
              <w:rPr>
                <w:rFonts w:ascii="Arial Narrow" w:hAnsi="Arial Narrow"/>
                <w:b/>
                <w:color w:val="000000"/>
                <w:sz w:val="20"/>
                <w:szCs w:val="18"/>
              </w:rPr>
            </w:pPr>
            <w:r w:rsidRPr="00CE0BE9">
              <w:rPr>
                <w:rFonts w:ascii="Arial Narrow" w:hAnsi="Arial Narrow"/>
                <w:b/>
                <w:color w:val="000000"/>
                <w:sz w:val="20"/>
                <w:szCs w:val="18"/>
              </w:rPr>
              <w:t>PFS: CALGB</w:t>
            </w:r>
          </w:p>
        </w:tc>
      </w:tr>
      <w:tr w:rsidR="003D4A30" w:rsidRPr="00CE0BE9" w:rsidTr="00454F3B">
        <w:tc>
          <w:tcPr>
            <w:tcW w:w="11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2260" w:rsidRPr="00CE0BE9" w:rsidRDefault="00B62715" w:rsidP="00EC00C9">
            <w:pPr>
              <w:rPr>
                <w:rFonts w:ascii="Arial Narrow" w:hAnsi="Arial Narrow"/>
                <w:color w:val="000000"/>
                <w:sz w:val="20"/>
                <w:szCs w:val="18"/>
              </w:rPr>
            </w:pPr>
            <w:proofErr w:type="spellStart"/>
            <w:r w:rsidRPr="00CE0BE9">
              <w:rPr>
                <w:rFonts w:ascii="Arial Narrow" w:hAnsi="Arial Narrow"/>
                <w:color w:val="000000"/>
                <w:sz w:val="20"/>
                <w:szCs w:val="18"/>
              </w:rPr>
              <w:t>Progressed</w:t>
            </w:r>
            <w:r w:rsidR="006F00BA" w:rsidRPr="00CE0BE9">
              <w:rPr>
                <w:rFonts w:ascii="Arial Narrow" w:hAnsi="Arial Narrow"/>
                <w:color w:val="000000"/>
                <w:sz w:val="20"/>
                <w:szCs w:val="18"/>
                <w:vertAlign w:val="superscript"/>
              </w:rPr>
              <w:t>a</w:t>
            </w:r>
            <w:proofErr w:type="spellEnd"/>
            <w:r w:rsidR="006F00BA" w:rsidRPr="00CE0BE9">
              <w:rPr>
                <w:rFonts w:ascii="Arial Narrow" w:hAnsi="Arial Narrow"/>
                <w:color w:val="000000"/>
                <w:sz w:val="20"/>
                <w:szCs w:val="18"/>
              </w:rPr>
              <w:t xml:space="preserve"> </w:t>
            </w:r>
            <w:r w:rsidR="00422260" w:rsidRPr="00CE0BE9">
              <w:rPr>
                <w:rFonts w:ascii="Arial Narrow" w:hAnsi="Arial Narrow"/>
                <w:color w:val="000000"/>
                <w:sz w:val="20"/>
                <w:szCs w:val="18"/>
              </w:rPr>
              <w:t>n/N (%)</w:t>
            </w:r>
          </w:p>
        </w:tc>
        <w:tc>
          <w:tcPr>
            <w:tcW w:w="787" w:type="pct"/>
            <w:tcBorders>
              <w:top w:val="single" w:sz="4" w:space="0" w:color="auto"/>
              <w:left w:val="single" w:sz="4" w:space="0" w:color="auto"/>
              <w:bottom w:val="single" w:sz="4" w:space="0" w:color="auto"/>
              <w:right w:val="single" w:sz="4" w:space="0" w:color="auto"/>
            </w:tcBorders>
            <w:vAlign w:val="center"/>
          </w:tcPr>
          <w:p w:rsidR="00B62715" w:rsidRPr="00CE0BE9" w:rsidRDefault="00754EAF" w:rsidP="00EC00C9">
            <w:pPr>
              <w:jc w:val="center"/>
              <w:rPr>
                <w:rFonts w:ascii="Arial Narrow" w:hAnsi="Arial Narrow"/>
                <w:sz w:val="20"/>
              </w:rPr>
            </w:pPr>
            <w:r w:rsidRPr="00CE0BE9">
              <w:rPr>
                <w:rFonts w:ascii="Arial Narrow" w:hAnsi="Arial Narrow"/>
                <w:sz w:val="20"/>
              </w:rPr>
              <w:t>146/231 (63</w:t>
            </w:r>
            <w:r w:rsidR="007559B2" w:rsidRPr="00CE0BE9">
              <w:rPr>
                <w:rFonts w:ascii="Arial Narrow" w:hAnsi="Arial Narrow"/>
                <w:sz w:val="20"/>
              </w:rPr>
              <w:t>.2</w:t>
            </w:r>
            <w:r w:rsidRPr="00CE0BE9">
              <w:rPr>
                <w:rFonts w:ascii="Arial Narrow" w:hAnsi="Arial Narrow"/>
                <w:sz w:val="20"/>
              </w:rPr>
              <w:t>)</w:t>
            </w:r>
          </w:p>
        </w:tc>
        <w:tc>
          <w:tcPr>
            <w:tcW w:w="1023" w:type="pct"/>
            <w:gridSpan w:val="2"/>
            <w:tcBorders>
              <w:top w:val="single" w:sz="4" w:space="0" w:color="auto"/>
              <w:left w:val="single" w:sz="4" w:space="0" w:color="auto"/>
              <w:bottom w:val="single" w:sz="4" w:space="0" w:color="auto"/>
              <w:right w:val="single" w:sz="4" w:space="0" w:color="auto"/>
            </w:tcBorders>
            <w:vAlign w:val="center"/>
          </w:tcPr>
          <w:p w:rsidR="00B62715" w:rsidRPr="00CE0BE9" w:rsidRDefault="00754EAF" w:rsidP="00EC00C9">
            <w:pPr>
              <w:jc w:val="center"/>
              <w:rPr>
                <w:rFonts w:ascii="Arial Narrow" w:hAnsi="Arial Narrow"/>
                <w:sz w:val="20"/>
              </w:rPr>
            </w:pPr>
            <w:r w:rsidRPr="00CE0BE9">
              <w:rPr>
                <w:rFonts w:ascii="Arial Narrow" w:hAnsi="Arial Narrow"/>
                <w:sz w:val="20"/>
              </w:rPr>
              <w:t>176/229 (7</w:t>
            </w:r>
            <w:r w:rsidR="007559B2" w:rsidRPr="00CE0BE9">
              <w:rPr>
                <w:rFonts w:ascii="Arial Narrow" w:hAnsi="Arial Narrow"/>
                <w:sz w:val="20"/>
              </w:rPr>
              <w:t>6.9</w:t>
            </w:r>
            <w:r w:rsidRPr="00CE0BE9">
              <w:rPr>
                <w:rFonts w:ascii="Arial Narrow" w:hAnsi="Arial Narrow"/>
                <w:sz w:val="20"/>
              </w:rPr>
              <w:t>)</w:t>
            </w:r>
          </w:p>
        </w:tc>
        <w:tc>
          <w:tcPr>
            <w:tcW w:w="1038" w:type="pct"/>
            <w:gridSpan w:val="2"/>
            <w:tcBorders>
              <w:top w:val="single" w:sz="4" w:space="0" w:color="auto"/>
              <w:left w:val="single" w:sz="4" w:space="0" w:color="auto"/>
              <w:bottom w:val="single" w:sz="4" w:space="0" w:color="auto"/>
              <w:right w:val="single" w:sz="4" w:space="0" w:color="auto"/>
            </w:tcBorders>
            <w:vAlign w:val="center"/>
          </w:tcPr>
          <w:p w:rsidR="00B62715" w:rsidRPr="00CE0BE9" w:rsidRDefault="00754EAF" w:rsidP="00EC00C9">
            <w:pPr>
              <w:jc w:val="center"/>
              <w:rPr>
                <w:rFonts w:ascii="Arial Narrow" w:hAnsi="Arial Narrow"/>
                <w:color w:val="000000"/>
                <w:sz w:val="20"/>
                <w:szCs w:val="18"/>
              </w:rPr>
            </w:pPr>
            <w:r w:rsidRPr="00CE0BE9">
              <w:rPr>
                <w:rFonts w:ascii="Arial Narrow" w:hAnsi="Arial Narrow"/>
                <w:color w:val="000000"/>
                <w:sz w:val="20"/>
                <w:szCs w:val="18"/>
              </w:rPr>
              <w:t>14</w:t>
            </w:r>
          </w:p>
        </w:tc>
        <w:tc>
          <w:tcPr>
            <w:tcW w:w="1049" w:type="pct"/>
            <w:gridSpan w:val="2"/>
            <w:tcBorders>
              <w:top w:val="single" w:sz="4" w:space="0" w:color="auto"/>
              <w:left w:val="single" w:sz="4" w:space="0" w:color="auto"/>
              <w:bottom w:val="single" w:sz="4" w:space="0" w:color="auto"/>
              <w:right w:val="single" w:sz="4" w:space="0" w:color="auto"/>
            </w:tcBorders>
            <w:vAlign w:val="center"/>
          </w:tcPr>
          <w:p w:rsidR="00B62715" w:rsidRPr="00CE0BE9" w:rsidRDefault="00754EAF" w:rsidP="00EC00C9">
            <w:pPr>
              <w:jc w:val="center"/>
              <w:rPr>
                <w:rFonts w:ascii="Arial Narrow" w:hAnsi="Arial Narrow"/>
                <w:b/>
                <w:color w:val="000000"/>
                <w:sz w:val="20"/>
                <w:szCs w:val="18"/>
              </w:rPr>
            </w:pPr>
            <w:r w:rsidRPr="00CE0BE9">
              <w:rPr>
                <w:rFonts w:ascii="Arial Narrow" w:hAnsi="Arial Narrow"/>
                <w:b/>
                <w:sz w:val="20"/>
              </w:rPr>
              <w:t>0.57 (0.46, 0.71)</w:t>
            </w:r>
          </w:p>
        </w:tc>
      </w:tr>
      <w:tr w:rsidR="003D4A30" w:rsidRPr="00CE0BE9" w:rsidTr="00454F3B">
        <w:tc>
          <w:tcPr>
            <w:tcW w:w="11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62715" w:rsidRPr="00CE0BE9" w:rsidRDefault="00B62715" w:rsidP="00EC00C9">
            <w:pPr>
              <w:rPr>
                <w:rFonts w:ascii="Arial Narrow" w:hAnsi="Arial Narrow"/>
                <w:color w:val="000000"/>
                <w:sz w:val="20"/>
                <w:szCs w:val="18"/>
              </w:rPr>
            </w:pPr>
            <w:r w:rsidRPr="00CE0BE9">
              <w:rPr>
                <w:rFonts w:ascii="Arial Narrow" w:hAnsi="Arial Narrow"/>
                <w:color w:val="000000"/>
                <w:sz w:val="20"/>
                <w:szCs w:val="18"/>
              </w:rPr>
              <w:t>Median (</w:t>
            </w:r>
            <w:proofErr w:type="spellStart"/>
            <w:r w:rsidRPr="00CE0BE9">
              <w:rPr>
                <w:rFonts w:ascii="Arial Narrow" w:hAnsi="Arial Narrow"/>
                <w:color w:val="000000"/>
                <w:sz w:val="20"/>
                <w:szCs w:val="18"/>
              </w:rPr>
              <w:t>mths</w:t>
            </w:r>
            <w:proofErr w:type="spellEnd"/>
            <w:r w:rsidRPr="00CE0BE9">
              <w:rPr>
                <w:rFonts w:ascii="Arial Narrow" w:hAnsi="Arial Narrow"/>
                <w:color w:val="000000"/>
                <w:sz w:val="20"/>
                <w:szCs w:val="18"/>
              </w:rPr>
              <w:t>)</w:t>
            </w:r>
          </w:p>
        </w:tc>
        <w:tc>
          <w:tcPr>
            <w:tcW w:w="787" w:type="pct"/>
            <w:tcBorders>
              <w:top w:val="single" w:sz="4" w:space="0" w:color="auto"/>
              <w:left w:val="single" w:sz="4" w:space="0" w:color="auto"/>
              <w:bottom w:val="single" w:sz="4" w:space="0" w:color="auto"/>
              <w:right w:val="single" w:sz="4" w:space="0" w:color="auto"/>
            </w:tcBorders>
            <w:vAlign w:val="center"/>
          </w:tcPr>
          <w:p w:rsidR="00B62715" w:rsidRPr="00CE0BE9" w:rsidRDefault="00754EAF" w:rsidP="00EC00C9">
            <w:pPr>
              <w:jc w:val="center"/>
              <w:rPr>
                <w:rFonts w:ascii="Arial Narrow" w:hAnsi="Arial Narrow"/>
                <w:sz w:val="20"/>
              </w:rPr>
            </w:pPr>
            <w:r w:rsidRPr="00CE0BE9">
              <w:rPr>
                <w:rFonts w:ascii="Arial Narrow" w:hAnsi="Arial Narrow"/>
                <w:sz w:val="20"/>
              </w:rPr>
              <w:t>57.3 (44.2, 73.3)</w:t>
            </w:r>
          </w:p>
        </w:tc>
        <w:tc>
          <w:tcPr>
            <w:tcW w:w="1023" w:type="pct"/>
            <w:gridSpan w:val="2"/>
            <w:tcBorders>
              <w:top w:val="single" w:sz="4" w:space="0" w:color="auto"/>
              <w:left w:val="single" w:sz="4" w:space="0" w:color="auto"/>
              <w:bottom w:val="single" w:sz="4" w:space="0" w:color="auto"/>
              <w:right w:val="single" w:sz="4" w:space="0" w:color="auto"/>
            </w:tcBorders>
            <w:vAlign w:val="center"/>
          </w:tcPr>
          <w:p w:rsidR="00B62715" w:rsidRPr="00CE0BE9" w:rsidRDefault="00754EAF" w:rsidP="00EC00C9">
            <w:pPr>
              <w:jc w:val="center"/>
              <w:rPr>
                <w:rFonts w:ascii="Arial Narrow" w:hAnsi="Arial Narrow"/>
                <w:sz w:val="20"/>
              </w:rPr>
            </w:pPr>
            <w:r w:rsidRPr="00CE0BE9">
              <w:rPr>
                <w:rFonts w:ascii="Arial Narrow" w:hAnsi="Arial Narrow"/>
                <w:sz w:val="20"/>
              </w:rPr>
              <w:t>28.9 (23.0, 36.3)</w:t>
            </w:r>
          </w:p>
        </w:tc>
        <w:tc>
          <w:tcPr>
            <w:tcW w:w="1038" w:type="pct"/>
            <w:gridSpan w:val="2"/>
            <w:tcBorders>
              <w:top w:val="single" w:sz="4" w:space="0" w:color="auto"/>
              <w:left w:val="single" w:sz="4" w:space="0" w:color="auto"/>
              <w:bottom w:val="single" w:sz="4" w:space="0" w:color="auto"/>
              <w:right w:val="single" w:sz="4" w:space="0" w:color="auto"/>
            </w:tcBorders>
            <w:vAlign w:val="center"/>
          </w:tcPr>
          <w:p w:rsidR="00B62715" w:rsidRPr="00CE0BE9" w:rsidRDefault="00754EAF" w:rsidP="00EC00C9">
            <w:pPr>
              <w:jc w:val="center"/>
              <w:rPr>
                <w:rFonts w:ascii="Arial Narrow" w:hAnsi="Arial Narrow"/>
                <w:color w:val="000000"/>
                <w:sz w:val="20"/>
                <w:szCs w:val="18"/>
              </w:rPr>
            </w:pPr>
            <w:r w:rsidRPr="00CE0BE9">
              <w:rPr>
                <w:rFonts w:ascii="Arial Narrow" w:hAnsi="Arial Narrow"/>
                <w:color w:val="000000"/>
                <w:sz w:val="20"/>
                <w:szCs w:val="18"/>
              </w:rPr>
              <w:t>28.4</w:t>
            </w:r>
          </w:p>
        </w:tc>
        <w:tc>
          <w:tcPr>
            <w:tcW w:w="1049" w:type="pct"/>
            <w:gridSpan w:val="2"/>
            <w:tcBorders>
              <w:top w:val="single" w:sz="4" w:space="0" w:color="auto"/>
              <w:left w:val="single" w:sz="4" w:space="0" w:color="auto"/>
              <w:bottom w:val="single" w:sz="4" w:space="0" w:color="auto"/>
              <w:right w:val="single" w:sz="4" w:space="0" w:color="auto"/>
            </w:tcBorders>
            <w:vAlign w:val="center"/>
          </w:tcPr>
          <w:p w:rsidR="00B62715" w:rsidRPr="00CE0BE9" w:rsidRDefault="00B62715" w:rsidP="00EC00C9">
            <w:pPr>
              <w:jc w:val="center"/>
              <w:rPr>
                <w:rFonts w:ascii="Arial Narrow" w:hAnsi="Arial Narrow"/>
                <w:color w:val="000000"/>
                <w:sz w:val="20"/>
                <w:szCs w:val="18"/>
              </w:rPr>
            </w:pPr>
            <w:r w:rsidRPr="00CE0BE9">
              <w:rPr>
                <w:rFonts w:ascii="Arial Narrow" w:hAnsi="Arial Narrow"/>
                <w:color w:val="000000"/>
                <w:sz w:val="20"/>
                <w:szCs w:val="18"/>
              </w:rPr>
              <w:t>-</w:t>
            </w:r>
          </w:p>
        </w:tc>
      </w:tr>
      <w:tr w:rsidR="00642EC5" w:rsidRPr="00CE0BE9" w:rsidTr="00454F3B">
        <w:tc>
          <w:tcPr>
            <w:tcW w:w="11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42EC5" w:rsidRPr="00CE0BE9" w:rsidRDefault="00642EC5" w:rsidP="00642EC5">
            <w:pPr>
              <w:rPr>
                <w:rFonts w:ascii="Arial Narrow" w:hAnsi="Arial Narrow"/>
                <w:color w:val="000000"/>
                <w:sz w:val="20"/>
                <w:szCs w:val="18"/>
              </w:rPr>
            </w:pPr>
            <w:proofErr w:type="spellStart"/>
            <w:r w:rsidRPr="00CE0BE9">
              <w:rPr>
                <w:rFonts w:ascii="Arial Narrow" w:hAnsi="Arial Narrow"/>
                <w:color w:val="000000"/>
                <w:sz w:val="20"/>
                <w:szCs w:val="18"/>
              </w:rPr>
              <w:t>Progressed</w:t>
            </w:r>
            <w:r w:rsidR="006F00BA" w:rsidRPr="00CE0BE9">
              <w:rPr>
                <w:rFonts w:ascii="Arial Narrow" w:hAnsi="Arial Narrow"/>
                <w:color w:val="000000"/>
                <w:sz w:val="20"/>
                <w:szCs w:val="18"/>
                <w:vertAlign w:val="superscript"/>
              </w:rPr>
              <w:t>b</w:t>
            </w:r>
            <w:proofErr w:type="spellEnd"/>
            <w:r w:rsidR="006F00BA" w:rsidRPr="00CE0BE9">
              <w:rPr>
                <w:rFonts w:ascii="Arial Narrow" w:hAnsi="Arial Narrow"/>
                <w:color w:val="000000"/>
                <w:sz w:val="20"/>
                <w:szCs w:val="18"/>
              </w:rPr>
              <w:t xml:space="preserve"> </w:t>
            </w:r>
            <w:r w:rsidRPr="00CE0BE9">
              <w:rPr>
                <w:rFonts w:ascii="Arial Narrow" w:hAnsi="Arial Narrow"/>
                <w:color w:val="000000"/>
                <w:sz w:val="20"/>
                <w:szCs w:val="18"/>
              </w:rPr>
              <w:t>n/N (%)</w:t>
            </w:r>
          </w:p>
        </w:tc>
        <w:tc>
          <w:tcPr>
            <w:tcW w:w="787" w:type="pct"/>
            <w:tcBorders>
              <w:top w:val="single" w:sz="4" w:space="0" w:color="auto"/>
              <w:left w:val="single" w:sz="4" w:space="0" w:color="auto"/>
              <w:bottom w:val="single" w:sz="4" w:space="0" w:color="auto"/>
              <w:right w:val="single" w:sz="4" w:space="0" w:color="auto"/>
            </w:tcBorders>
            <w:vAlign w:val="center"/>
          </w:tcPr>
          <w:p w:rsidR="00642EC5" w:rsidRPr="00CE0BE9" w:rsidRDefault="00642EC5" w:rsidP="00642EC5">
            <w:pPr>
              <w:jc w:val="center"/>
              <w:rPr>
                <w:rFonts w:ascii="Arial Narrow" w:hAnsi="Arial Narrow"/>
                <w:sz w:val="20"/>
              </w:rPr>
            </w:pPr>
            <w:r w:rsidRPr="00CE0BE9">
              <w:rPr>
                <w:rFonts w:ascii="Arial Narrow" w:hAnsi="Arial Narrow"/>
                <w:sz w:val="20"/>
              </w:rPr>
              <w:t>126/231 (54.5)</w:t>
            </w:r>
          </w:p>
        </w:tc>
        <w:tc>
          <w:tcPr>
            <w:tcW w:w="1023" w:type="pct"/>
            <w:gridSpan w:val="2"/>
            <w:tcBorders>
              <w:top w:val="single" w:sz="4" w:space="0" w:color="auto"/>
              <w:left w:val="single" w:sz="4" w:space="0" w:color="auto"/>
              <w:bottom w:val="single" w:sz="4" w:space="0" w:color="auto"/>
              <w:right w:val="single" w:sz="4" w:space="0" w:color="auto"/>
            </w:tcBorders>
            <w:vAlign w:val="center"/>
          </w:tcPr>
          <w:p w:rsidR="00642EC5" w:rsidRPr="00CE0BE9" w:rsidRDefault="00642EC5" w:rsidP="00642EC5">
            <w:pPr>
              <w:jc w:val="center"/>
              <w:rPr>
                <w:rFonts w:ascii="Arial Narrow" w:hAnsi="Arial Narrow"/>
                <w:sz w:val="20"/>
              </w:rPr>
            </w:pPr>
            <w:r w:rsidRPr="00CE0BE9">
              <w:rPr>
                <w:rFonts w:ascii="Arial Narrow" w:hAnsi="Arial Narrow"/>
                <w:sz w:val="20"/>
              </w:rPr>
              <w:t>162/229 (70.7)</w:t>
            </w:r>
          </w:p>
        </w:tc>
        <w:tc>
          <w:tcPr>
            <w:tcW w:w="1038" w:type="pct"/>
            <w:gridSpan w:val="2"/>
            <w:tcBorders>
              <w:top w:val="single" w:sz="4" w:space="0" w:color="auto"/>
              <w:left w:val="single" w:sz="4" w:space="0" w:color="auto"/>
              <w:bottom w:val="single" w:sz="4" w:space="0" w:color="auto"/>
              <w:right w:val="single" w:sz="4" w:space="0" w:color="auto"/>
            </w:tcBorders>
            <w:vAlign w:val="center"/>
          </w:tcPr>
          <w:p w:rsidR="00642EC5" w:rsidRPr="00CE0BE9" w:rsidRDefault="00D01A92" w:rsidP="00642EC5">
            <w:pPr>
              <w:jc w:val="center"/>
              <w:rPr>
                <w:rFonts w:ascii="Arial Narrow" w:hAnsi="Arial Narrow"/>
                <w:color w:val="000000"/>
                <w:sz w:val="20"/>
                <w:szCs w:val="18"/>
              </w:rPr>
            </w:pPr>
            <w:r w:rsidRPr="00CE0BE9">
              <w:rPr>
                <w:rFonts w:ascii="Arial Narrow" w:hAnsi="Arial Narrow"/>
                <w:color w:val="000000"/>
                <w:sz w:val="20"/>
                <w:szCs w:val="18"/>
              </w:rPr>
              <w:t>16</w:t>
            </w:r>
          </w:p>
        </w:tc>
        <w:tc>
          <w:tcPr>
            <w:tcW w:w="1049" w:type="pct"/>
            <w:gridSpan w:val="2"/>
            <w:tcBorders>
              <w:top w:val="single" w:sz="4" w:space="0" w:color="auto"/>
              <w:left w:val="single" w:sz="4" w:space="0" w:color="auto"/>
              <w:bottom w:val="single" w:sz="4" w:space="0" w:color="auto"/>
              <w:right w:val="single" w:sz="4" w:space="0" w:color="auto"/>
            </w:tcBorders>
            <w:vAlign w:val="center"/>
          </w:tcPr>
          <w:p w:rsidR="00642EC5" w:rsidRPr="00CE0BE9" w:rsidRDefault="00642EC5" w:rsidP="00642EC5">
            <w:pPr>
              <w:jc w:val="center"/>
              <w:rPr>
                <w:rFonts w:ascii="Arial Narrow" w:hAnsi="Arial Narrow"/>
                <w:b/>
                <w:color w:val="000000"/>
                <w:sz w:val="20"/>
                <w:szCs w:val="18"/>
              </w:rPr>
            </w:pPr>
            <w:r w:rsidRPr="00CE0BE9">
              <w:rPr>
                <w:rFonts w:ascii="Arial Narrow" w:hAnsi="Arial Narrow"/>
                <w:b/>
                <w:color w:val="000000"/>
                <w:sz w:val="20"/>
                <w:szCs w:val="18"/>
              </w:rPr>
              <w:t>0.58 (0.46, 0.73)</w:t>
            </w:r>
          </w:p>
        </w:tc>
      </w:tr>
      <w:tr w:rsidR="00642EC5" w:rsidRPr="00CE0BE9" w:rsidTr="00454F3B">
        <w:tc>
          <w:tcPr>
            <w:tcW w:w="1104" w:type="pct"/>
            <w:gridSpan w:val="2"/>
            <w:tcBorders>
              <w:top w:val="single" w:sz="4" w:space="0" w:color="auto"/>
              <w:left w:val="single" w:sz="4" w:space="0" w:color="auto"/>
              <w:bottom w:val="double" w:sz="4" w:space="0" w:color="auto"/>
              <w:right w:val="single" w:sz="4" w:space="0" w:color="auto"/>
            </w:tcBorders>
            <w:shd w:val="clear" w:color="auto" w:fill="auto"/>
            <w:vAlign w:val="center"/>
          </w:tcPr>
          <w:p w:rsidR="00642EC5" w:rsidRPr="00CE0BE9" w:rsidRDefault="00642EC5" w:rsidP="00642EC5">
            <w:pPr>
              <w:rPr>
                <w:rFonts w:ascii="Arial Narrow" w:hAnsi="Arial Narrow"/>
                <w:color w:val="000000"/>
                <w:sz w:val="20"/>
                <w:szCs w:val="18"/>
              </w:rPr>
            </w:pPr>
            <w:r w:rsidRPr="00CE0BE9">
              <w:rPr>
                <w:rFonts w:ascii="Arial Narrow" w:hAnsi="Arial Narrow"/>
                <w:color w:val="000000"/>
                <w:sz w:val="20"/>
                <w:szCs w:val="18"/>
              </w:rPr>
              <w:t>Median (</w:t>
            </w:r>
            <w:proofErr w:type="spellStart"/>
            <w:r w:rsidRPr="00CE0BE9">
              <w:rPr>
                <w:rFonts w:ascii="Arial Narrow" w:hAnsi="Arial Narrow"/>
                <w:color w:val="000000"/>
                <w:sz w:val="20"/>
                <w:szCs w:val="18"/>
              </w:rPr>
              <w:t>mths</w:t>
            </w:r>
            <w:proofErr w:type="spellEnd"/>
            <w:r w:rsidRPr="00CE0BE9">
              <w:rPr>
                <w:rFonts w:ascii="Arial Narrow" w:hAnsi="Arial Narrow"/>
                <w:color w:val="000000"/>
                <w:sz w:val="20"/>
                <w:szCs w:val="18"/>
              </w:rPr>
              <w:t>)</w:t>
            </w:r>
          </w:p>
        </w:tc>
        <w:tc>
          <w:tcPr>
            <w:tcW w:w="787" w:type="pct"/>
            <w:tcBorders>
              <w:top w:val="single" w:sz="4" w:space="0" w:color="auto"/>
              <w:left w:val="single" w:sz="4" w:space="0" w:color="auto"/>
              <w:bottom w:val="double" w:sz="4" w:space="0" w:color="auto"/>
              <w:right w:val="single" w:sz="4" w:space="0" w:color="auto"/>
            </w:tcBorders>
            <w:vAlign w:val="center"/>
          </w:tcPr>
          <w:p w:rsidR="00642EC5" w:rsidRPr="00CE0BE9" w:rsidRDefault="00642EC5" w:rsidP="00642EC5">
            <w:pPr>
              <w:jc w:val="center"/>
              <w:rPr>
                <w:rFonts w:ascii="Arial Narrow" w:hAnsi="Arial Narrow"/>
                <w:sz w:val="20"/>
              </w:rPr>
            </w:pPr>
            <w:r w:rsidRPr="00CE0BE9">
              <w:rPr>
                <w:rFonts w:ascii="Arial Narrow" w:hAnsi="Arial Narrow"/>
                <w:sz w:val="20"/>
              </w:rPr>
              <w:t>58.4 (42.7, 82.0)</w:t>
            </w:r>
          </w:p>
        </w:tc>
        <w:tc>
          <w:tcPr>
            <w:tcW w:w="1023" w:type="pct"/>
            <w:gridSpan w:val="2"/>
            <w:tcBorders>
              <w:top w:val="single" w:sz="4" w:space="0" w:color="auto"/>
              <w:left w:val="single" w:sz="4" w:space="0" w:color="auto"/>
              <w:bottom w:val="double" w:sz="4" w:space="0" w:color="auto"/>
              <w:right w:val="single" w:sz="4" w:space="0" w:color="auto"/>
            </w:tcBorders>
            <w:vAlign w:val="center"/>
          </w:tcPr>
          <w:p w:rsidR="00642EC5" w:rsidRPr="00CE0BE9" w:rsidRDefault="00642EC5" w:rsidP="00642EC5">
            <w:pPr>
              <w:jc w:val="center"/>
              <w:rPr>
                <w:rFonts w:ascii="Arial Narrow" w:hAnsi="Arial Narrow"/>
                <w:sz w:val="20"/>
              </w:rPr>
            </w:pPr>
            <w:r w:rsidRPr="00CE0BE9">
              <w:rPr>
                <w:rFonts w:ascii="Arial Narrow" w:hAnsi="Arial Narrow"/>
                <w:sz w:val="20"/>
              </w:rPr>
              <w:t>28.9 (21.0, 35.4)</w:t>
            </w:r>
          </w:p>
        </w:tc>
        <w:tc>
          <w:tcPr>
            <w:tcW w:w="1038" w:type="pct"/>
            <w:gridSpan w:val="2"/>
            <w:tcBorders>
              <w:top w:val="single" w:sz="4" w:space="0" w:color="auto"/>
              <w:left w:val="single" w:sz="4" w:space="0" w:color="auto"/>
              <w:bottom w:val="double" w:sz="4" w:space="0" w:color="auto"/>
              <w:right w:val="single" w:sz="4" w:space="0" w:color="auto"/>
            </w:tcBorders>
            <w:vAlign w:val="center"/>
          </w:tcPr>
          <w:p w:rsidR="00642EC5" w:rsidRPr="00CE0BE9" w:rsidRDefault="00642EC5" w:rsidP="00642EC5">
            <w:pPr>
              <w:jc w:val="center"/>
              <w:rPr>
                <w:rFonts w:ascii="Arial Narrow" w:hAnsi="Arial Narrow"/>
                <w:color w:val="000000"/>
                <w:sz w:val="20"/>
                <w:szCs w:val="18"/>
              </w:rPr>
            </w:pPr>
            <w:r w:rsidRPr="00CE0BE9">
              <w:rPr>
                <w:rFonts w:ascii="Arial Narrow" w:hAnsi="Arial Narrow"/>
                <w:color w:val="000000"/>
                <w:sz w:val="20"/>
                <w:szCs w:val="18"/>
              </w:rPr>
              <w:t>29.5</w:t>
            </w:r>
          </w:p>
        </w:tc>
        <w:tc>
          <w:tcPr>
            <w:tcW w:w="1049" w:type="pct"/>
            <w:gridSpan w:val="2"/>
            <w:tcBorders>
              <w:top w:val="single" w:sz="4" w:space="0" w:color="auto"/>
              <w:left w:val="single" w:sz="4" w:space="0" w:color="auto"/>
              <w:bottom w:val="double" w:sz="4" w:space="0" w:color="auto"/>
              <w:right w:val="single" w:sz="4" w:space="0" w:color="auto"/>
            </w:tcBorders>
            <w:vAlign w:val="center"/>
          </w:tcPr>
          <w:p w:rsidR="00642EC5" w:rsidRPr="00CE0BE9" w:rsidRDefault="00642EC5" w:rsidP="00642EC5">
            <w:pPr>
              <w:jc w:val="center"/>
              <w:rPr>
                <w:rFonts w:ascii="Arial Narrow" w:hAnsi="Arial Narrow"/>
                <w:color w:val="000000"/>
                <w:sz w:val="20"/>
                <w:szCs w:val="18"/>
              </w:rPr>
            </w:pPr>
            <w:r w:rsidRPr="00CE0BE9">
              <w:rPr>
                <w:rFonts w:ascii="Arial Narrow" w:hAnsi="Arial Narrow"/>
                <w:color w:val="000000"/>
                <w:sz w:val="20"/>
                <w:szCs w:val="18"/>
              </w:rPr>
              <w:t>-</w:t>
            </w:r>
          </w:p>
        </w:tc>
      </w:tr>
      <w:tr w:rsidR="00754EAF" w:rsidRPr="00CE0BE9" w:rsidTr="00454F3B">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754EAF" w:rsidRPr="00CE0BE9" w:rsidRDefault="00754EAF" w:rsidP="00754EAF">
            <w:pPr>
              <w:jc w:val="left"/>
              <w:rPr>
                <w:rFonts w:ascii="Arial Narrow" w:hAnsi="Arial Narrow"/>
                <w:b/>
                <w:color w:val="000000"/>
                <w:sz w:val="20"/>
                <w:szCs w:val="18"/>
              </w:rPr>
            </w:pPr>
            <w:r w:rsidRPr="00CE0BE9">
              <w:rPr>
                <w:rFonts w:ascii="Arial Narrow" w:hAnsi="Arial Narrow"/>
                <w:b/>
                <w:sz w:val="20"/>
                <w:szCs w:val="18"/>
              </w:rPr>
              <w:t>OS: CALGB</w:t>
            </w:r>
          </w:p>
        </w:tc>
      </w:tr>
      <w:tr w:rsidR="00754EAF" w:rsidRPr="00CE0BE9" w:rsidTr="00454F3B">
        <w:tc>
          <w:tcPr>
            <w:tcW w:w="11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54EAF" w:rsidRPr="00CE0BE9" w:rsidRDefault="00754EAF" w:rsidP="00754EAF">
            <w:pPr>
              <w:rPr>
                <w:rFonts w:ascii="Arial Narrow" w:hAnsi="Arial Narrow"/>
                <w:color w:val="000000"/>
                <w:sz w:val="20"/>
                <w:szCs w:val="18"/>
              </w:rPr>
            </w:pPr>
            <w:proofErr w:type="spellStart"/>
            <w:r w:rsidRPr="00CE0BE9">
              <w:rPr>
                <w:rFonts w:ascii="Arial Narrow" w:hAnsi="Arial Narrow"/>
                <w:color w:val="000000"/>
                <w:sz w:val="20"/>
                <w:szCs w:val="18"/>
              </w:rPr>
              <w:t>Dead</w:t>
            </w:r>
            <w:r w:rsidR="006F00BA" w:rsidRPr="00CE0BE9">
              <w:rPr>
                <w:rFonts w:ascii="Arial Narrow" w:hAnsi="Arial Narrow"/>
                <w:color w:val="000000"/>
                <w:sz w:val="20"/>
                <w:szCs w:val="18"/>
                <w:vertAlign w:val="superscript"/>
              </w:rPr>
              <w:t>a</w:t>
            </w:r>
            <w:proofErr w:type="spellEnd"/>
            <w:r w:rsidR="006F00BA" w:rsidRPr="00CE0BE9">
              <w:rPr>
                <w:rFonts w:ascii="Arial Narrow" w:hAnsi="Arial Narrow"/>
                <w:color w:val="000000"/>
                <w:sz w:val="20"/>
                <w:szCs w:val="18"/>
              </w:rPr>
              <w:t xml:space="preserve"> </w:t>
            </w:r>
            <w:r w:rsidRPr="00CE0BE9">
              <w:rPr>
                <w:rFonts w:ascii="Arial Narrow" w:hAnsi="Arial Narrow"/>
                <w:color w:val="000000"/>
                <w:sz w:val="20"/>
                <w:szCs w:val="18"/>
              </w:rPr>
              <w:t>n/N (%)</w:t>
            </w:r>
          </w:p>
        </w:tc>
        <w:tc>
          <w:tcPr>
            <w:tcW w:w="787" w:type="pct"/>
            <w:tcBorders>
              <w:top w:val="single" w:sz="4" w:space="0" w:color="auto"/>
              <w:bottom w:val="single" w:sz="4" w:space="0" w:color="auto"/>
              <w:right w:val="single" w:sz="4" w:space="0" w:color="auto"/>
            </w:tcBorders>
            <w:vAlign w:val="center"/>
          </w:tcPr>
          <w:p w:rsidR="00754EAF" w:rsidRPr="00CE0BE9" w:rsidRDefault="00754EAF" w:rsidP="00754EAF">
            <w:pPr>
              <w:jc w:val="center"/>
              <w:rPr>
                <w:rFonts w:ascii="Arial Narrow" w:hAnsi="Arial Narrow"/>
                <w:sz w:val="20"/>
              </w:rPr>
            </w:pPr>
            <w:r w:rsidRPr="00CE0BE9">
              <w:rPr>
                <w:rFonts w:ascii="Arial Narrow" w:hAnsi="Arial Narrow"/>
                <w:sz w:val="20"/>
              </w:rPr>
              <w:t>88/231 (38.1)</w:t>
            </w:r>
          </w:p>
        </w:tc>
        <w:tc>
          <w:tcPr>
            <w:tcW w:w="1023" w:type="pct"/>
            <w:gridSpan w:val="2"/>
            <w:tcBorders>
              <w:top w:val="single" w:sz="4" w:space="0" w:color="auto"/>
              <w:left w:val="single" w:sz="4" w:space="0" w:color="auto"/>
              <w:bottom w:val="single" w:sz="4" w:space="0" w:color="auto"/>
            </w:tcBorders>
            <w:vAlign w:val="center"/>
          </w:tcPr>
          <w:p w:rsidR="00754EAF" w:rsidRPr="00CE0BE9" w:rsidRDefault="00754EAF" w:rsidP="00754EAF">
            <w:pPr>
              <w:jc w:val="center"/>
              <w:rPr>
                <w:rFonts w:ascii="Arial Narrow" w:hAnsi="Arial Narrow"/>
                <w:sz w:val="20"/>
              </w:rPr>
            </w:pPr>
            <w:r w:rsidRPr="00CE0BE9">
              <w:rPr>
                <w:rFonts w:ascii="Arial Narrow" w:hAnsi="Arial Narrow"/>
                <w:sz w:val="20"/>
              </w:rPr>
              <w:t>120/229 (52.4)</w:t>
            </w:r>
          </w:p>
        </w:tc>
        <w:tc>
          <w:tcPr>
            <w:tcW w:w="1038" w:type="pct"/>
            <w:gridSpan w:val="2"/>
            <w:tcBorders>
              <w:top w:val="single" w:sz="4" w:space="0" w:color="auto"/>
              <w:left w:val="single" w:sz="4" w:space="0" w:color="auto"/>
              <w:bottom w:val="single" w:sz="4" w:space="0" w:color="auto"/>
              <w:right w:val="single" w:sz="4" w:space="0" w:color="auto"/>
            </w:tcBorders>
            <w:vAlign w:val="center"/>
          </w:tcPr>
          <w:p w:rsidR="00754EAF" w:rsidRPr="00CE0BE9" w:rsidRDefault="00754EAF" w:rsidP="00754EAF">
            <w:pPr>
              <w:jc w:val="center"/>
              <w:rPr>
                <w:rFonts w:ascii="Arial Narrow" w:hAnsi="Arial Narrow"/>
                <w:color w:val="000000"/>
                <w:sz w:val="20"/>
                <w:szCs w:val="18"/>
              </w:rPr>
            </w:pPr>
            <w:r w:rsidRPr="00CE0BE9">
              <w:rPr>
                <w:rFonts w:ascii="Arial Narrow" w:hAnsi="Arial Narrow"/>
                <w:color w:val="000000"/>
                <w:sz w:val="20"/>
                <w:szCs w:val="18"/>
              </w:rPr>
              <w:t>14</w:t>
            </w:r>
          </w:p>
        </w:tc>
        <w:tc>
          <w:tcPr>
            <w:tcW w:w="1049" w:type="pct"/>
            <w:gridSpan w:val="2"/>
            <w:tcBorders>
              <w:top w:val="single" w:sz="4" w:space="0" w:color="auto"/>
              <w:left w:val="single" w:sz="4" w:space="0" w:color="auto"/>
              <w:bottom w:val="single" w:sz="4" w:space="0" w:color="auto"/>
              <w:right w:val="single" w:sz="4" w:space="0" w:color="auto"/>
            </w:tcBorders>
            <w:vAlign w:val="center"/>
          </w:tcPr>
          <w:p w:rsidR="00754EAF" w:rsidRPr="00CE0BE9" w:rsidRDefault="00754EAF" w:rsidP="00754EAF">
            <w:pPr>
              <w:jc w:val="center"/>
              <w:rPr>
                <w:rFonts w:ascii="Arial Narrow" w:hAnsi="Arial Narrow"/>
                <w:b/>
                <w:color w:val="000000"/>
                <w:sz w:val="20"/>
                <w:szCs w:val="18"/>
              </w:rPr>
            </w:pPr>
            <w:r w:rsidRPr="00CE0BE9">
              <w:rPr>
                <w:rFonts w:ascii="Arial Narrow" w:hAnsi="Arial Narrow"/>
                <w:b/>
                <w:color w:val="000000"/>
                <w:sz w:val="20"/>
                <w:szCs w:val="18"/>
              </w:rPr>
              <w:t>0.61 (0.46, 0.80)</w:t>
            </w:r>
          </w:p>
        </w:tc>
      </w:tr>
      <w:tr w:rsidR="00754EAF" w:rsidRPr="00CE0BE9" w:rsidTr="00454F3B">
        <w:tc>
          <w:tcPr>
            <w:tcW w:w="11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54EAF" w:rsidRPr="00CE0BE9" w:rsidRDefault="00754EAF" w:rsidP="00754EAF">
            <w:pPr>
              <w:rPr>
                <w:rFonts w:ascii="Arial Narrow" w:hAnsi="Arial Narrow"/>
                <w:color w:val="000000"/>
                <w:sz w:val="20"/>
                <w:szCs w:val="18"/>
              </w:rPr>
            </w:pPr>
            <w:r w:rsidRPr="00CE0BE9">
              <w:rPr>
                <w:rFonts w:ascii="Arial Narrow" w:hAnsi="Arial Narrow"/>
                <w:color w:val="000000"/>
                <w:sz w:val="20"/>
                <w:szCs w:val="18"/>
              </w:rPr>
              <w:t>Median (</w:t>
            </w:r>
            <w:proofErr w:type="spellStart"/>
            <w:r w:rsidRPr="00CE0BE9">
              <w:rPr>
                <w:rFonts w:ascii="Arial Narrow" w:hAnsi="Arial Narrow"/>
                <w:color w:val="000000"/>
                <w:sz w:val="20"/>
                <w:szCs w:val="18"/>
              </w:rPr>
              <w:t>mths</w:t>
            </w:r>
            <w:proofErr w:type="spellEnd"/>
            <w:r w:rsidRPr="00CE0BE9">
              <w:rPr>
                <w:rFonts w:ascii="Arial Narrow" w:hAnsi="Arial Narrow"/>
                <w:color w:val="000000"/>
                <w:sz w:val="20"/>
                <w:szCs w:val="18"/>
              </w:rPr>
              <w:t>)</w:t>
            </w:r>
          </w:p>
        </w:tc>
        <w:tc>
          <w:tcPr>
            <w:tcW w:w="787" w:type="pct"/>
            <w:tcBorders>
              <w:top w:val="single" w:sz="4" w:space="0" w:color="auto"/>
              <w:bottom w:val="single" w:sz="4" w:space="0" w:color="auto"/>
              <w:right w:val="single" w:sz="4" w:space="0" w:color="auto"/>
            </w:tcBorders>
            <w:vAlign w:val="center"/>
          </w:tcPr>
          <w:p w:rsidR="00754EAF" w:rsidRPr="00CE0BE9" w:rsidRDefault="00754EAF" w:rsidP="00754EAF">
            <w:pPr>
              <w:jc w:val="center"/>
              <w:rPr>
                <w:rFonts w:ascii="Arial Narrow" w:hAnsi="Arial Narrow"/>
                <w:sz w:val="20"/>
              </w:rPr>
            </w:pPr>
            <w:r w:rsidRPr="00CE0BE9">
              <w:rPr>
                <w:rFonts w:ascii="Arial Narrow" w:hAnsi="Arial Narrow"/>
                <w:sz w:val="20"/>
              </w:rPr>
              <w:t>113.8 (100.4, NE)</w:t>
            </w:r>
          </w:p>
        </w:tc>
        <w:tc>
          <w:tcPr>
            <w:tcW w:w="1023" w:type="pct"/>
            <w:gridSpan w:val="2"/>
            <w:tcBorders>
              <w:top w:val="single" w:sz="4" w:space="0" w:color="auto"/>
              <w:left w:val="single" w:sz="4" w:space="0" w:color="auto"/>
              <w:bottom w:val="single" w:sz="4" w:space="0" w:color="auto"/>
            </w:tcBorders>
            <w:vAlign w:val="center"/>
          </w:tcPr>
          <w:p w:rsidR="00754EAF" w:rsidRPr="00CE0BE9" w:rsidRDefault="00754EAF" w:rsidP="00754EAF">
            <w:pPr>
              <w:jc w:val="center"/>
              <w:rPr>
                <w:rFonts w:ascii="Arial Narrow" w:hAnsi="Arial Narrow"/>
                <w:sz w:val="20"/>
              </w:rPr>
            </w:pPr>
            <w:r w:rsidRPr="00CE0BE9">
              <w:rPr>
                <w:rFonts w:ascii="Arial Narrow" w:hAnsi="Arial Narrow"/>
                <w:sz w:val="20"/>
              </w:rPr>
              <w:t>84.1 (73.8, 106.0)</w:t>
            </w:r>
          </w:p>
        </w:tc>
        <w:tc>
          <w:tcPr>
            <w:tcW w:w="1038" w:type="pct"/>
            <w:gridSpan w:val="2"/>
            <w:tcBorders>
              <w:top w:val="single" w:sz="4" w:space="0" w:color="auto"/>
              <w:left w:val="single" w:sz="4" w:space="0" w:color="auto"/>
              <w:bottom w:val="single" w:sz="4" w:space="0" w:color="auto"/>
              <w:right w:val="single" w:sz="4" w:space="0" w:color="auto"/>
            </w:tcBorders>
            <w:vAlign w:val="center"/>
          </w:tcPr>
          <w:p w:rsidR="00754EAF" w:rsidRPr="00CE0BE9" w:rsidRDefault="00754EAF" w:rsidP="00754EAF">
            <w:pPr>
              <w:jc w:val="center"/>
              <w:rPr>
                <w:rFonts w:ascii="Arial Narrow" w:hAnsi="Arial Narrow"/>
                <w:color w:val="000000"/>
                <w:sz w:val="20"/>
                <w:szCs w:val="18"/>
              </w:rPr>
            </w:pPr>
            <w:r w:rsidRPr="00CE0BE9">
              <w:rPr>
                <w:rFonts w:ascii="Arial Narrow" w:hAnsi="Arial Narrow"/>
                <w:color w:val="000000"/>
                <w:sz w:val="20"/>
                <w:szCs w:val="18"/>
              </w:rPr>
              <w:t>29.7</w:t>
            </w:r>
          </w:p>
        </w:tc>
        <w:tc>
          <w:tcPr>
            <w:tcW w:w="1049" w:type="pct"/>
            <w:gridSpan w:val="2"/>
            <w:tcBorders>
              <w:top w:val="single" w:sz="4" w:space="0" w:color="auto"/>
              <w:left w:val="single" w:sz="4" w:space="0" w:color="auto"/>
              <w:bottom w:val="single" w:sz="4" w:space="0" w:color="auto"/>
              <w:right w:val="single" w:sz="4" w:space="0" w:color="auto"/>
            </w:tcBorders>
            <w:vAlign w:val="center"/>
          </w:tcPr>
          <w:p w:rsidR="00754EAF" w:rsidRPr="00CE0BE9" w:rsidRDefault="00754EAF" w:rsidP="00754EAF">
            <w:pPr>
              <w:jc w:val="center"/>
              <w:rPr>
                <w:rFonts w:ascii="Arial Narrow" w:hAnsi="Arial Narrow"/>
                <w:color w:val="000000"/>
                <w:sz w:val="20"/>
                <w:szCs w:val="18"/>
              </w:rPr>
            </w:pPr>
            <w:r w:rsidRPr="00CE0BE9">
              <w:rPr>
                <w:rFonts w:ascii="Arial Narrow" w:hAnsi="Arial Narrow"/>
                <w:color w:val="000000"/>
                <w:sz w:val="20"/>
                <w:szCs w:val="18"/>
              </w:rPr>
              <w:t>-</w:t>
            </w:r>
          </w:p>
        </w:tc>
      </w:tr>
      <w:tr w:rsidR="00642EC5" w:rsidRPr="00CE0BE9" w:rsidTr="00454F3B">
        <w:tc>
          <w:tcPr>
            <w:tcW w:w="11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42EC5" w:rsidRPr="00CE0BE9" w:rsidRDefault="00642EC5" w:rsidP="00642EC5">
            <w:pPr>
              <w:rPr>
                <w:rFonts w:ascii="Arial Narrow" w:hAnsi="Arial Narrow"/>
                <w:color w:val="000000"/>
                <w:sz w:val="20"/>
                <w:szCs w:val="18"/>
              </w:rPr>
            </w:pPr>
            <w:proofErr w:type="spellStart"/>
            <w:r w:rsidRPr="00CE0BE9">
              <w:rPr>
                <w:rFonts w:ascii="Arial Narrow" w:hAnsi="Arial Narrow"/>
                <w:color w:val="000000"/>
                <w:sz w:val="20"/>
                <w:szCs w:val="18"/>
              </w:rPr>
              <w:t>Dead</w:t>
            </w:r>
            <w:r w:rsidR="006F00BA" w:rsidRPr="00CE0BE9">
              <w:rPr>
                <w:rFonts w:ascii="Arial Narrow" w:hAnsi="Arial Narrow"/>
                <w:color w:val="000000"/>
                <w:sz w:val="20"/>
                <w:szCs w:val="18"/>
                <w:vertAlign w:val="superscript"/>
              </w:rPr>
              <w:t>b</w:t>
            </w:r>
            <w:proofErr w:type="spellEnd"/>
            <w:r w:rsidR="006F00BA" w:rsidRPr="00CE0BE9">
              <w:rPr>
                <w:rFonts w:ascii="Arial Narrow" w:hAnsi="Arial Narrow"/>
                <w:color w:val="000000"/>
                <w:sz w:val="20"/>
                <w:szCs w:val="18"/>
              </w:rPr>
              <w:t xml:space="preserve"> </w:t>
            </w:r>
            <w:r w:rsidRPr="00CE0BE9">
              <w:rPr>
                <w:rFonts w:ascii="Arial Narrow" w:hAnsi="Arial Narrow"/>
                <w:color w:val="000000"/>
                <w:sz w:val="20"/>
                <w:szCs w:val="18"/>
              </w:rPr>
              <w:t>n/N (%)</w:t>
            </w:r>
          </w:p>
        </w:tc>
        <w:tc>
          <w:tcPr>
            <w:tcW w:w="787" w:type="pct"/>
            <w:tcBorders>
              <w:top w:val="single" w:sz="4" w:space="0" w:color="auto"/>
              <w:bottom w:val="single" w:sz="4" w:space="0" w:color="auto"/>
              <w:right w:val="single" w:sz="4" w:space="0" w:color="auto"/>
            </w:tcBorders>
            <w:vAlign w:val="center"/>
          </w:tcPr>
          <w:p w:rsidR="00642EC5" w:rsidRPr="00CE0BE9" w:rsidRDefault="00642EC5" w:rsidP="00642EC5">
            <w:pPr>
              <w:jc w:val="center"/>
              <w:rPr>
                <w:rFonts w:ascii="Arial Narrow" w:hAnsi="Arial Narrow"/>
                <w:sz w:val="20"/>
              </w:rPr>
            </w:pPr>
            <w:r w:rsidRPr="00CE0BE9">
              <w:rPr>
                <w:rFonts w:ascii="Arial Narrow" w:hAnsi="Arial Narrow"/>
                <w:sz w:val="20"/>
              </w:rPr>
              <w:t>72/231 (31.2)</w:t>
            </w:r>
          </w:p>
        </w:tc>
        <w:tc>
          <w:tcPr>
            <w:tcW w:w="1023" w:type="pct"/>
            <w:gridSpan w:val="2"/>
            <w:tcBorders>
              <w:top w:val="single" w:sz="4" w:space="0" w:color="auto"/>
              <w:left w:val="single" w:sz="4" w:space="0" w:color="auto"/>
              <w:bottom w:val="single" w:sz="4" w:space="0" w:color="auto"/>
            </w:tcBorders>
            <w:vAlign w:val="center"/>
          </w:tcPr>
          <w:p w:rsidR="00642EC5" w:rsidRPr="00CE0BE9" w:rsidRDefault="00642EC5" w:rsidP="00642EC5">
            <w:pPr>
              <w:jc w:val="center"/>
              <w:rPr>
                <w:rFonts w:ascii="Arial Narrow" w:hAnsi="Arial Narrow"/>
                <w:sz w:val="20"/>
              </w:rPr>
            </w:pPr>
            <w:r w:rsidRPr="00CE0BE9">
              <w:rPr>
                <w:rFonts w:ascii="Arial Narrow" w:hAnsi="Arial Narrow"/>
                <w:sz w:val="20"/>
              </w:rPr>
              <w:t>109/229 (47.6)</w:t>
            </w:r>
          </w:p>
        </w:tc>
        <w:tc>
          <w:tcPr>
            <w:tcW w:w="1038" w:type="pct"/>
            <w:gridSpan w:val="2"/>
            <w:tcBorders>
              <w:top w:val="single" w:sz="4" w:space="0" w:color="auto"/>
              <w:left w:val="single" w:sz="4" w:space="0" w:color="auto"/>
              <w:bottom w:val="single" w:sz="4" w:space="0" w:color="auto"/>
              <w:right w:val="single" w:sz="4" w:space="0" w:color="auto"/>
            </w:tcBorders>
            <w:vAlign w:val="center"/>
          </w:tcPr>
          <w:p w:rsidR="00642EC5" w:rsidRPr="00CE0BE9" w:rsidRDefault="004E460F" w:rsidP="00642EC5">
            <w:pPr>
              <w:jc w:val="center"/>
              <w:rPr>
                <w:rFonts w:ascii="Arial Narrow" w:hAnsi="Arial Narrow"/>
                <w:color w:val="000000"/>
                <w:sz w:val="20"/>
                <w:szCs w:val="18"/>
              </w:rPr>
            </w:pPr>
            <w:r w:rsidRPr="00CE0BE9">
              <w:rPr>
                <w:rFonts w:ascii="Arial Narrow" w:hAnsi="Arial Narrow"/>
                <w:color w:val="000000"/>
                <w:sz w:val="20"/>
                <w:szCs w:val="18"/>
              </w:rPr>
              <w:t>16</w:t>
            </w:r>
          </w:p>
        </w:tc>
        <w:tc>
          <w:tcPr>
            <w:tcW w:w="1049" w:type="pct"/>
            <w:gridSpan w:val="2"/>
            <w:tcBorders>
              <w:top w:val="single" w:sz="4" w:space="0" w:color="auto"/>
              <w:left w:val="single" w:sz="4" w:space="0" w:color="auto"/>
              <w:bottom w:val="single" w:sz="4" w:space="0" w:color="auto"/>
              <w:right w:val="single" w:sz="4" w:space="0" w:color="auto"/>
            </w:tcBorders>
            <w:vAlign w:val="center"/>
          </w:tcPr>
          <w:p w:rsidR="00642EC5" w:rsidRPr="00CE0BE9" w:rsidRDefault="00642EC5" w:rsidP="00642EC5">
            <w:pPr>
              <w:jc w:val="center"/>
              <w:rPr>
                <w:rFonts w:ascii="Arial Narrow" w:hAnsi="Arial Narrow"/>
                <w:b/>
                <w:color w:val="000000"/>
                <w:sz w:val="20"/>
                <w:szCs w:val="18"/>
              </w:rPr>
            </w:pPr>
            <w:r w:rsidRPr="00CE0BE9">
              <w:rPr>
                <w:rFonts w:ascii="Arial Narrow" w:hAnsi="Arial Narrow"/>
                <w:b/>
                <w:color w:val="000000"/>
                <w:sz w:val="20"/>
                <w:szCs w:val="18"/>
              </w:rPr>
              <w:t>0.57 (0.42, 0.76)</w:t>
            </w:r>
          </w:p>
        </w:tc>
      </w:tr>
      <w:tr w:rsidR="00642EC5" w:rsidRPr="00CE0BE9" w:rsidTr="00454F3B">
        <w:tc>
          <w:tcPr>
            <w:tcW w:w="1104" w:type="pct"/>
            <w:gridSpan w:val="2"/>
            <w:tcBorders>
              <w:top w:val="single" w:sz="4" w:space="0" w:color="auto"/>
              <w:left w:val="single" w:sz="4" w:space="0" w:color="auto"/>
              <w:bottom w:val="double" w:sz="4" w:space="0" w:color="auto"/>
              <w:right w:val="single" w:sz="4" w:space="0" w:color="auto"/>
            </w:tcBorders>
            <w:shd w:val="clear" w:color="auto" w:fill="auto"/>
            <w:vAlign w:val="center"/>
          </w:tcPr>
          <w:p w:rsidR="00642EC5" w:rsidRPr="00CE0BE9" w:rsidRDefault="00642EC5" w:rsidP="00642EC5">
            <w:pPr>
              <w:rPr>
                <w:rFonts w:ascii="Arial Narrow" w:hAnsi="Arial Narrow"/>
                <w:color w:val="000000"/>
                <w:sz w:val="20"/>
                <w:szCs w:val="18"/>
              </w:rPr>
            </w:pPr>
            <w:r w:rsidRPr="00CE0BE9">
              <w:rPr>
                <w:rFonts w:ascii="Arial Narrow" w:hAnsi="Arial Narrow"/>
                <w:color w:val="000000"/>
                <w:sz w:val="20"/>
                <w:szCs w:val="18"/>
              </w:rPr>
              <w:t>Median (</w:t>
            </w:r>
            <w:proofErr w:type="spellStart"/>
            <w:r w:rsidRPr="00CE0BE9">
              <w:rPr>
                <w:rFonts w:ascii="Arial Narrow" w:hAnsi="Arial Narrow"/>
                <w:color w:val="000000"/>
                <w:sz w:val="20"/>
                <w:szCs w:val="18"/>
              </w:rPr>
              <w:t>mths</w:t>
            </w:r>
            <w:proofErr w:type="spellEnd"/>
            <w:r w:rsidRPr="00CE0BE9">
              <w:rPr>
                <w:rFonts w:ascii="Arial Narrow" w:hAnsi="Arial Narrow"/>
                <w:color w:val="000000"/>
                <w:sz w:val="20"/>
                <w:szCs w:val="18"/>
              </w:rPr>
              <w:t>)</w:t>
            </w:r>
          </w:p>
        </w:tc>
        <w:tc>
          <w:tcPr>
            <w:tcW w:w="787" w:type="pct"/>
            <w:tcBorders>
              <w:top w:val="single" w:sz="4" w:space="0" w:color="auto"/>
              <w:bottom w:val="single" w:sz="4" w:space="0" w:color="auto"/>
              <w:right w:val="single" w:sz="4" w:space="0" w:color="auto"/>
            </w:tcBorders>
            <w:vAlign w:val="center"/>
          </w:tcPr>
          <w:p w:rsidR="00642EC5" w:rsidRPr="00CE0BE9" w:rsidRDefault="00642EC5" w:rsidP="00642EC5">
            <w:pPr>
              <w:jc w:val="center"/>
              <w:rPr>
                <w:rFonts w:ascii="Arial Narrow" w:hAnsi="Arial Narrow"/>
                <w:sz w:val="20"/>
              </w:rPr>
            </w:pPr>
            <w:r w:rsidRPr="00CE0BE9">
              <w:rPr>
                <w:rFonts w:ascii="Arial Narrow" w:hAnsi="Arial Narrow"/>
                <w:sz w:val="20"/>
              </w:rPr>
              <w:t>NR (NE, NE)</w:t>
            </w:r>
          </w:p>
        </w:tc>
        <w:tc>
          <w:tcPr>
            <w:tcW w:w="1023" w:type="pct"/>
            <w:gridSpan w:val="2"/>
            <w:tcBorders>
              <w:top w:val="single" w:sz="4" w:space="0" w:color="auto"/>
              <w:left w:val="single" w:sz="4" w:space="0" w:color="auto"/>
              <w:bottom w:val="single" w:sz="4" w:space="0" w:color="auto"/>
            </w:tcBorders>
            <w:vAlign w:val="center"/>
          </w:tcPr>
          <w:p w:rsidR="00642EC5" w:rsidRPr="00CE0BE9" w:rsidRDefault="00642EC5" w:rsidP="00642EC5">
            <w:pPr>
              <w:jc w:val="center"/>
              <w:rPr>
                <w:rFonts w:ascii="Arial Narrow" w:hAnsi="Arial Narrow"/>
                <w:sz w:val="20"/>
              </w:rPr>
            </w:pPr>
            <w:r w:rsidRPr="00CE0BE9">
              <w:rPr>
                <w:rFonts w:ascii="Arial Narrow" w:hAnsi="Arial Narrow"/>
                <w:sz w:val="20"/>
              </w:rPr>
              <w:t>79.0 (70.2, 88.4)</w:t>
            </w:r>
          </w:p>
        </w:tc>
        <w:tc>
          <w:tcPr>
            <w:tcW w:w="1038" w:type="pct"/>
            <w:gridSpan w:val="2"/>
            <w:tcBorders>
              <w:top w:val="single" w:sz="4" w:space="0" w:color="auto"/>
              <w:left w:val="single" w:sz="4" w:space="0" w:color="auto"/>
              <w:bottom w:val="double" w:sz="4" w:space="0" w:color="auto"/>
              <w:right w:val="single" w:sz="4" w:space="0" w:color="auto"/>
            </w:tcBorders>
            <w:vAlign w:val="center"/>
          </w:tcPr>
          <w:p w:rsidR="00642EC5" w:rsidRPr="00CE0BE9" w:rsidRDefault="00642EC5" w:rsidP="00642EC5">
            <w:pPr>
              <w:jc w:val="center"/>
              <w:rPr>
                <w:rFonts w:ascii="Arial Narrow" w:hAnsi="Arial Narrow"/>
                <w:color w:val="000000"/>
                <w:sz w:val="20"/>
                <w:szCs w:val="18"/>
              </w:rPr>
            </w:pPr>
            <w:r w:rsidRPr="00CE0BE9">
              <w:rPr>
                <w:rFonts w:ascii="Arial Narrow" w:hAnsi="Arial Narrow"/>
                <w:color w:val="000000"/>
                <w:sz w:val="20"/>
                <w:szCs w:val="18"/>
              </w:rPr>
              <w:t>NE</w:t>
            </w:r>
          </w:p>
        </w:tc>
        <w:tc>
          <w:tcPr>
            <w:tcW w:w="1049" w:type="pct"/>
            <w:gridSpan w:val="2"/>
            <w:tcBorders>
              <w:top w:val="single" w:sz="4" w:space="0" w:color="auto"/>
              <w:left w:val="single" w:sz="4" w:space="0" w:color="auto"/>
              <w:bottom w:val="double" w:sz="4" w:space="0" w:color="auto"/>
              <w:right w:val="single" w:sz="4" w:space="0" w:color="auto"/>
            </w:tcBorders>
            <w:vAlign w:val="center"/>
          </w:tcPr>
          <w:p w:rsidR="00642EC5" w:rsidRPr="00CE0BE9" w:rsidRDefault="00642EC5" w:rsidP="00642EC5">
            <w:pPr>
              <w:jc w:val="center"/>
              <w:rPr>
                <w:rFonts w:ascii="Arial Narrow" w:hAnsi="Arial Narrow"/>
                <w:color w:val="000000"/>
                <w:sz w:val="20"/>
                <w:szCs w:val="18"/>
              </w:rPr>
            </w:pPr>
            <w:r w:rsidRPr="00CE0BE9">
              <w:rPr>
                <w:rFonts w:ascii="Arial Narrow" w:hAnsi="Arial Narrow"/>
                <w:color w:val="000000"/>
                <w:sz w:val="20"/>
                <w:szCs w:val="18"/>
              </w:rPr>
              <w:t>-</w:t>
            </w:r>
          </w:p>
        </w:tc>
      </w:tr>
      <w:tr w:rsidR="005D044D" w:rsidRPr="00CE0BE9" w:rsidTr="00454F3B">
        <w:tc>
          <w:tcPr>
            <w:tcW w:w="5000" w:type="pct"/>
            <w:gridSpan w:val="9"/>
            <w:tcBorders>
              <w:top w:val="double" w:sz="4" w:space="0" w:color="auto"/>
              <w:left w:val="single" w:sz="4" w:space="0" w:color="auto"/>
              <w:bottom w:val="single" w:sz="4" w:space="0" w:color="auto"/>
              <w:right w:val="single" w:sz="4" w:space="0" w:color="auto"/>
            </w:tcBorders>
            <w:shd w:val="clear" w:color="auto" w:fill="auto"/>
            <w:vAlign w:val="center"/>
          </w:tcPr>
          <w:p w:rsidR="00B62715" w:rsidRPr="00CE0BE9" w:rsidRDefault="00B62715" w:rsidP="00EC00C9">
            <w:pPr>
              <w:rPr>
                <w:rFonts w:ascii="Arial Narrow" w:hAnsi="Arial Narrow"/>
                <w:b/>
                <w:color w:val="000000"/>
                <w:sz w:val="20"/>
                <w:szCs w:val="18"/>
              </w:rPr>
            </w:pPr>
            <w:r w:rsidRPr="00CE0BE9">
              <w:rPr>
                <w:rFonts w:ascii="Arial Narrow" w:hAnsi="Arial Narrow"/>
                <w:b/>
                <w:color w:val="000000"/>
                <w:sz w:val="20"/>
                <w:szCs w:val="18"/>
              </w:rPr>
              <w:t xml:space="preserve">Harms </w:t>
            </w:r>
          </w:p>
        </w:tc>
      </w:tr>
      <w:tr w:rsidR="003D4A30" w:rsidRPr="00CE0BE9" w:rsidTr="00454F3B">
        <w:trPr>
          <w:trHeight w:val="70"/>
        </w:trPr>
        <w:tc>
          <w:tcPr>
            <w:tcW w:w="63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2715" w:rsidRPr="00CE0BE9" w:rsidRDefault="00B62715" w:rsidP="00EC00C9">
            <w:pPr>
              <w:rPr>
                <w:rFonts w:ascii="Arial Narrow" w:hAnsi="Arial Narrow"/>
                <w:b/>
                <w:color w:val="000000"/>
                <w:sz w:val="20"/>
                <w:szCs w:val="18"/>
              </w:rPr>
            </w:pPr>
          </w:p>
        </w:tc>
        <w:tc>
          <w:tcPr>
            <w:tcW w:w="466" w:type="pct"/>
            <w:vMerge w:val="restart"/>
            <w:tcBorders>
              <w:top w:val="single" w:sz="4" w:space="0" w:color="auto"/>
              <w:left w:val="single" w:sz="4" w:space="0" w:color="auto"/>
              <w:bottom w:val="single" w:sz="4" w:space="0" w:color="auto"/>
              <w:right w:val="single" w:sz="4" w:space="0" w:color="auto"/>
            </w:tcBorders>
            <w:vAlign w:val="center"/>
          </w:tcPr>
          <w:p w:rsidR="00B62715" w:rsidRPr="00CE0BE9" w:rsidRDefault="00EB6224" w:rsidP="00EB6224">
            <w:pPr>
              <w:jc w:val="center"/>
              <w:rPr>
                <w:rFonts w:ascii="Arial Narrow" w:hAnsi="Arial Narrow"/>
                <w:b/>
                <w:color w:val="000000"/>
                <w:sz w:val="20"/>
                <w:szCs w:val="18"/>
              </w:rPr>
            </w:pPr>
            <w:r w:rsidRPr="00CE0BE9">
              <w:rPr>
                <w:rFonts w:ascii="Arial Narrow" w:hAnsi="Arial Narrow"/>
                <w:b/>
                <w:color w:val="000000"/>
                <w:sz w:val="20"/>
                <w:szCs w:val="18"/>
              </w:rPr>
              <w:t>LEN</w:t>
            </w:r>
          </w:p>
        </w:tc>
        <w:tc>
          <w:tcPr>
            <w:tcW w:w="787" w:type="pct"/>
            <w:vMerge w:val="restart"/>
            <w:tcBorders>
              <w:top w:val="single" w:sz="4" w:space="0" w:color="auto"/>
              <w:left w:val="single" w:sz="4" w:space="0" w:color="auto"/>
              <w:bottom w:val="single" w:sz="4" w:space="0" w:color="auto"/>
              <w:right w:val="single" w:sz="4" w:space="0" w:color="auto"/>
            </w:tcBorders>
            <w:vAlign w:val="center"/>
          </w:tcPr>
          <w:p w:rsidR="00B62715" w:rsidRPr="00CE0BE9" w:rsidRDefault="005A7DD2" w:rsidP="00EC00C9">
            <w:pPr>
              <w:jc w:val="center"/>
              <w:rPr>
                <w:rFonts w:ascii="Arial Narrow" w:hAnsi="Arial Narrow"/>
                <w:b/>
                <w:color w:val="000000"/>
                <w:sz w:val="20"/>
                <w:szCs w:val="18"/>
              </w:rPr>
            </w:pPr>
            <w:r w:rsidRPr="00CE0BE9">
              <w:rPr>
                <w:rFonts w:ascii="Arial Narrow" w:hAnsi="Arial Narrow"/>
                <w:b/>
                <w:color w:val="000000"/>
                <w:sz w:val="20"/>
                <w:szCs w:val="18"/>
              </w:rPr>
              <w:t>BSC</w:t>
            </w:r>
          </w:p>
        </w:tc>
        <w:tc>
          <w:tcPr>
            <w:tcW w:w="790" w:type="pct"/>
            <w:vMerge w:val="restart"/>
            <w:tcBorders>
              <w:top w:val="single" w:sz="4" w:space="0" w:color="auto"/>
              <w:left w:val="single" w:sz="4" w:space="0" w:color="auto"/>
              <w:bottom w:val="single" w:sz="4" w:space="0" w:color="auto"/>
              <w:right w:val="single" w:sz="4" w:space="0" w:color="auto"/>
            </w:tcBorders>
            <w:vAlign w:val="center"/>
          </w:tcPr>
          <w:p w:rsidR="00B62715" w:rsidRPr="00CE0BE9" w:rsidRDefault="00B62715" w:rsidP="00070046">
            <w:pPr>
              <w:jc w:val="center"/>
              <w:rPr>
                <w:rFonts w:ascii="Arial Narrow" w:hAnsi="Arial Narrow"/>
                <w:b/>
                <w:color w:val="000000"/>
                <w:sz w:val="20"/>
                <w:szCs w:val="18"/>
              </w:rPr>
            </w:pPr>
            <w:r w:rsidRPr="00CE0BE9">
              <w:rPr>
                <w:rFonts w:ascii="Arial Narrow" w:hAnsi="Arial Narrow"/>
                <w:b/>
                <w:color w:val="000000"/>
                <w:sz w:val="20"/>
                <w:szCs w:val="18"/>
              </w:rPr>
              <w:t>RR</w:t>
            </w:r>
            <w:r w:rsidR="00070046" w:rsidRPr="00CE0BE9">
              <w:rPr>
                <w:rFonts w:ascii="Arial Narrow" w:hAnsi="Arial Narrow"/>
                <w:b/>
                <w:color w:val="000000"/>
                <w:sz w:val="20"/>
                <w:szCs w:val="18"/>
              </w:rPr>
              <w:t xml:space="preserve"> </w:t>
            </w:r>
            <w:r w:rsidRPr="00CE0BE9">
              <w:rPr>
                <w:rFonts w:ascii="Arial Narrow" w:hAnsi="Arial Narrow"/>
                <w:b/>
                <w:color w:val="000000"/>
                <w:sz w:val="20"/>
                <w:szCs w:val="18"/>
              </w:rPr>
              <w:t>(95% CI)</w:t>
            </w:r>
          </w:p>
        </w:tc>
        <w:tc>
          <w:tcPr>
            <w:tcW w:w="1574" w:type="pct"/>
            <w:gridSpan w:val="4"/>
            <w:tcBorders>
              <w:top w:val="single" w:sz="4" w:space="0" w:color="auto"/>
              <w:left w:val="single" w:sz="4" w:space="0" w:color="auto"/>
              <w:bottom w:val="single" w:sz="4" w:space="0" w:color="auto"/>
              <w:right w:val="single" w:sz="4" w:space="0" w:color="auto"/>
            </w:tcBorders>
            <w:vAlign w:val="center"/>
          </w:tcPr>
          <w:p w:rsidR="00B62715" w:rsidRPr="00CE0BE9" w:rsidRDefault="00B62715" w:rsidP="00EC00C9">
            <w:pPr>
              <w:jc w:val="center"/>
              <w:rPr>
                <w:rFonts w:ascii="Arial Narrow" w:hAnsi="Arial Narrow"/>
                <w:b/>
                <w:color w:val="000000"/>
                <w:sz w:val="20"/>
                <w:szCs w:val="18"/>
              </w:rPr>
            </w:pPr>
            <w:r w:rsidRPr="00CE0BE9">
              <w:rPr>
                <w:rFonts w:ascii="Arial Narrow" w:hAnsi="Arial Narrow"/>
                <w:b/>
                <w:color w:val="000000"/>
                <w:sz w:val="20"/>
                <w:szCs w:val="18"/>
              </w:rPr>
              <w:t xml:space="preserve">Event rate/100 patients* </w:t>
            </w:r>
          </w:p>
        </w:tc>
        <w:tc>
          <w:tcPr>
            <w:tcW w:w="746" w:type="pct"/>
            <w:vMerge w:val="restart"/>
            <w:tcBorders>
              <w:top w:val="single" w:sz="4" w:space="0" w:color="auto"/>
              <w:left w:val="single" w:sz="4" w:space="0" w:color="auto"/>
              <w:bottom w:val="single" w:sz="4" w:space="0" w:color="auto"/>
              <w:right w:val="single" w:sz="4" w:space="0" w:color="auto"/>
            </w:tcBorders>
            <w:vAlign w:val="center"/>
          </w:tcPr>
          <w:p w:rsidR="00B62715" w:rsidRPr="00CE0BE9" w:rsidRDefault="00B62715" w:rsidP="00070046">
            <w:pPr>
              <w:jc w:val="center"/>
              <w:rPr>
                <w:rFonts w:ascii="Arial Narrow" w:hAnsi="Arial Narrow"/>
                <w:b/>
                <w:color w:val="000000"/>
                <w:sz w:val="20"/>
                <w:szCs w:val="18"/>
              </w:rPr>
            </w:pPr>
            <w:r w:rsidRPr="00CE0BE9">
              <w:rPr>
                <w:rFonts w:ascii="Arial Narrow" w:hAnsi="Arial Narrow"/>
                <w:b/>
                <w:color w:val="000000"/>
                <w:sz w:val="20"/>
                <w:szCs w:val="18"/>
              </w:rPr>
              <w:t>RD</w:t>
            </w:r>
            <w:r w:rsidR="00070046" w:rsidRPr="00CE0BE9">
              <w:rPr>
                <w:rFonts w:ascii="Arial Narrow" w:hAnsi="Arial Narrow"/>
                <w:b/>
                <w:color w:val="000000"/>
                <w:sz w:val="20"/>
                <w:szCs w:val="18"/>
              </w:rPr>
              <w:t xml:space="preserve"> </w:t>
            </w:r>
            <w:r w:rsidRPr="00CE0BE9">
              <w:rPr>
                <w:rFonts w:ascii="Arial Narrow" w:hAnsi="Arial Narrow"/>
                <w:b/>
                <w:color w:val="000000"/>
                <w:sz w:val="20"/>
                <w:szCs w:val="18"/>
              </w:rPr>
              <w:t>(95% CI)</w:t>
            </w:r>
          </w:p>
        </w:tc>
      </w:tr>
      <w:tr w:rsidR="003D4A30" w:rsidRPr="00CE0BE9" w:rsidTr="00454F3B">
        <w:trPr>
          <w:trHeight w:val="243"/>
        </w:trPr>
        <w:tc>
          <w:tcPr>
            <w:tcW w:w="638"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2715" w:rsidRPr="00CE0BE9" w:rsidRDefault="00B62715" w:rsidP="00EC00C9">
            <w:pPr>
              <w:rPr>
                <w:rFonts w:ascii="Arial Narrow" w:hAnsi="Arial Narrow"/>
                <w:b/>
                <w:color w:val="000000"/>
                <w:sz w:val="20"/>
                <w:szCs w:val="18"/>
              </w:rPr>
            </w:pPr>
          </w:p>
        </w:tc>
        <w:tc>
          <w:tcPr>
            <w:tcW w:w="466" w:type="pct"/>
            <w:vMerge/>
            <w:tcBorders>
              <w:top w:val="single" w:sz="4" w:space="0" w:color="auto"/>
              <w:left w:val="single" w:sz="4" w:space="0" w:color="auto"/>
              <w:bottom w:val="single" w:sz="4" w:space="0" w:color="auto"/>
              <w:right w:val="single" w:sz="4" w:space="0" w:color="auto"/>
            </w:tcBorders>
            <w:vAlign w:val="center"/>
          </w:tcPr>
          <w:p w:rsidR="00B62715" w:rsidRPr="00CE0BE9" w:rsidRDefault="00B62715" w:rsidP="00EC00C9">
            <w:pPr>
              <w:jc w:val="center"/>
              <w:rPr>
                <w:rFonts w:ascii="Arial Narrow" w:hAnsi="Arial Narrow"/>
                <w:b/>
                <w:color w:val="000000"/>
                <w:sz w:val="20"/>
                <w:szCs w:val="18"/>
              </w:rPr>
            </w:pPr>
          </w:p>
        </w:tc>
        <w:tc>
          <w:tcPr>
            <w:tcW w:w="787" w:type="pct"/>
            <w:vMerge/>
            <w:tcBorders>
              <w:top w:val="single" w:sz="4" w:space="0" w:color="auto"/>
              <w:left w:val="single" w:sz="4" w:space="0" w:color="auto"/>
              <w:bottom w:val="single" w:sz="4" w:space="0" w:color="auto"/>
              <w:right w:val="single" w:sz="4" w:space="0" w:color="auto"/>
            </w:tcBorders>
            <w:vAlign w:val="center"/>
          </w:tcPr>
          <w:p w:rsidR="00B62715" w:rsidRPr="00CE0BE9" w:rsidRDefault="00B62715" w:rsidP="00EC00C9">
            <w:pPr>
              <w:jc w:val="center"/>
              <w:rPr>
                <w:rFonts w:ascii="Arial Narrow" w:hAnsi="Arial Narrow"/>
                <w:b/>
                <w:color w:val="000000"/>
                <w:sz w:val="20"/>
                <w:szCs w:val="18"/>
              </w:rPr>
            </w:pPr>
          </w:p>
        </w:tc>
        <w:tc>
          <w:tcPr>
            <w:tcW w:w="790" w:type="pct"/>
            <w:vMerge/>
            <w:tcBorders>
              <w:top w:val="single" w:sz="4" w:space="0" w:color="auto"/>
              <w:left w:val="single" w:sz="4" w:space="0" w:color="auto"/>
              <w:bottom w:val="single" w:sz="4" w:space="0" w:color="auto"/>
              <w:right w:val="single" w:sz="4" w:space="0" w:color="auto"/>
            </w:tcBorders>
            <w:vAlign w:val="center"/>
          </w:tcPr>
          <w:p w:rsidR="00B62715" w:rsidRPr="00CE0BE9" w:rsidRDefault="00B62715" w:rsidP="00EC00C9">
            <w:pPr>
              <w:jc w:val="center"/>
              <w:rPr>
                <w:rFonts w:ascii="Arial Narrow" w:hAnsi="Arial Narrow"/>
                <w:b/>
                <w:color w:val="000000"/>
                <w:sz w:val="20"/>
                <w:szCs w:val="18"/>
              </w:rPr>
            </w:pPr>
          </w:p>
        </w:tc>
        <w:tc>
          <w:tcPr>
            <w:tcW w:w="785" w:type="pct"/>
            <w:gridSpan w:val="2"/>
            <w:tcBorders>
              <w:top w:val="single" w:sz="4" w:space="0" w:color="auto"/>
              <w:left w:val="single" w:sz="4" w:space="0" w:color="auto"/>
              <w:bottom w:val="single" w:sz="4" w:space="0" w:color="auto"/>
              <w:right w:val="single" w:sz="4" w:space="0" w:color="auto"/>
            </w:tcBorders>
            <w:vAlign w:val="center"/>
          </w:tcPr>
          <w:p w:rsidR="00B62715" w:rsidRPr="00CE0BE9" w:rsidRDefault="0021620E" w:rsidP="00EC00C9">
            <w:pPr>
              <w:jc w:val="center"/>
              <w:rPr>
                <w:rFonts w:ascii="Arial Narrow" w:hAnsi="Arial Narrow"/>
                <w:b/>
                <w:color w:val="000000"/>
                <w:sz w:val="20"/>
                <w:szCs w:val="18"/>
              </w:rPr>
            </w:pPr>
            <w:r w:rsidRPr="00CE0BE9">
              <w:rPr>
                <w:rFonts w:ascii="Arial Narrow" w:hAnsi="Arial Narrow"/>
                <w:b/>
                <w:color w:val="000000"/>
                <w:sz w:val="20"/>
                <w:szCs w:val="18"/>
              </w:rPr>
              <w:t>LEN</w:t>
            </w:r>
          </w:p>
        </w:tc>
        <w:tc>
          <w:tcPr>
            <w:tcW w:w="789" w:type="pct"/>
            <w:gridSpan w:val="2"/>
            <w:tcBorders>
              <w:top w:val="single" w:sz="4" w:space="0" w:color="auto"/>
              <w:left w:val="single" w:sz="4" w:space="0" w:color="auto"/>
              <w:bottom w:val="single" w:sz="4" w:space="0" w:color="auto"/>
              <w:right w:val="single" w:sz="4" w:space="0" w:color="auto"/>
            </w:tcBorders>
            <w:vAlign w:val="center"/>
          </w:tcPr>
          <w:p w:rsidR="00B62715" w:rsidRPr="00CE0BE9" w:rsidRDefault="005A7DD2" w:rsidP="00EC00C9">
            <w:pPr>
              <w:jc w:val="center"/>
              <w:rPr>
                <w:rFonts w:ascii="Arial Narrow" w:hAnsi="Arial Narrow"/>
                <w:b/>
                <w:color w:val="000000"/>
                <w:sz w:val="20"/>
                <w:szCs w:val="18"/>
              </w:rPr>
            </w:pPr>
            <w:r w:rsidRPr="00CE0BE9">
              <w:rPr>
                <w:rFonts w:ascii="Arial Narrow" w:hAnsi="Arial Narrow"/>
                <w:b/>
                <w:color w:val="000000"/>
                <w:sz w:val="20"/>
                <w:szCs w:val="18"/>
              </w:rPr>
              <w:t>BSC</w:t>
            </w:r>
          </w:p>
        </w:tc>
        <w:tc>
          <w:tcPr>
            <w:tcW w:w="746" w:type="pct"/>
            <w:vMerge/>
            <w:tcBorders>
              <w:top w:val="single" w:sz="4" w:space="0" w:color="auto"/>
              <w:left w:val="single" w:sz="4" w:space="0" w:color="auto"/>
              <w:bottom w:val="single" w:sz="4" w:space="0" w:color="auto"/>
              <w:right w:val="single" w:sz="4" w:space="0" w:color="auto"/>
            </w:tcBorders>
            <w:vAlign w:val="center"/>
          </w:tcPr>
          <w:p w:rsidR="00B62715" w:rsidRPr="00CE0BE9" w:rsidRDefault="00B62715" w:rsidP="00EC00C9">
            <w:pPr>
              <w:jc w:val="center"/>
              <w:rPr>
                <w:rFonts w:ascii="Arial Narrow" w:hAnsi="Arial Narrow"/>
                <w:b/>
                <w:color w:val="000000"/>
                <w:sz w:val="20"/>
                <w:szCs w:val="18"/>
              </w:rPr>
            </w:pPr>
          </w:p>
        </w:tc>
      </w:tr>
      <w:tr w:rsidR="00B62715" w:rsidRPr="00CE0BE9" w:rsidTr="00454F3B">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B62715" w:rsidRPr="00CE0BE9" w:rsidRDefault="00EB6224" w:rsidP="00EC00C9">
            <w:pPr>
              <w:rPr>
                <w:rFonts w:ascii="Arial Narrow" w:hAnsi="Arial Narrow"/>
                <w:color w:val="000000"/>
                <w:sz w:val="20"/>
                <w:szCs w:val="18"/>
              </w:rPr>
            </w:pPr>
            <w:r w:rsidRPr="00CE0BE9">
              <w:rPr>
                <w:rFonts w:ascii="Arial Narrow" w:hAnsi="Arial Narrow"/>
                <w:b/>
                <w:color w:val="000000"/>
                <w:sz w:val="20"/>
                <w:szCs w:val="18"/>
              </w:rPr>
              <w:t>Neutropenia</w:t>
            </w:r>
            <w:r w:rsidR="007112F2" w:rsidRPr="00CE0BE9">
              <w:rPr>
                <w:rFonts w:ascii="Arial Narrow" w:hAnsi="Arial Narrow"/>
                <w:b/>
                <w:color w:val="000000"/>
                <w:sz w:val="20"/>
                <w:szCs w:val="18"/>
              </w:rPr>
              <w:t xml:space="preserve"> (Grade 3 or 4)</w:t>
            </w:r>
          </w:p>
        </w:tc>
      </w:tr>
      <w:tr w:rsidR="003D4A30" w:rsidRPr="00CE0BE9" w:rsidTr="00454F3B">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EB6224" w:rsidRPr="00CE0BE9" w:rsidRDefault="00EB6224" w:rsidP="00EC00C9">
            <w:pPr>
              <w:rPr>
                <w:rFonts w:ascii="Arial Narrow" w:hAnsi="Arial Narrow"/>
                <w:color w:val="000000"/>
                <w:sz w:val="20"/>
                <w:szCs w:val="18"/>
              </w:rPr>
            </w:pPr>
            <w:r w:rsidRPr="00CE0BE9">
              <w:rPr>
                <w:rFonts w:ascii="Arial Narrow" w:hAnsi="Arial Narrow"/>
                <w:color w:val="000000"/>
                <w:sz w:val="20"/>
                <w:szCs w:val="18"/>
              </w:rPr>
              <w:t>CALGB</w:t>
            </w:r>
          </w:p>
        </w:tc>
        <w:tc>
          <w:tcPr>
            <w:tcW w:w="466" w:type="pct"/>
            <w:tcBorders>
              <w:top w:val="single" w:sz="4" w:space="0" w:color="auto"/>
              <w:left w:val="single" w:sz="4" w:space="0" w:color="auto"/>
              <w:bottom w:val="single" w:sz="4" w:space="0" w:color="auto"/>
              <w:right w:val="single" w:sz="4" w:space="0" w:color="auto"/>
            </w:tcBorders>
            <w:vAlign w:val="center"/>
          </w:tcPr>
          <w:p w:rsidR="00B62715" w:rsidRPr="00CE0BE9" w:rsidRDefault="00E00DE9" w:rsidP="00EC00C9">
            <w:pPr>
              <w:jc w:val="center"/>
              <w:rPr>
                <w:rFonts w:ascii="Arial Narrow" w:hAnsi="Arial Narrow"/>
                <w:color w:val="000000"/>
                <w:sz w:val="20"/>
                <w:szCs w:val="18"/>
              </w:rPr>
            </w:pPr>
            <w:r w:rsidRPr="00CE0BE9">
              <w:rPr>
                <w:rFonts w:ascii="Arial Narrow" w:hAnsi="Arial Narrow"/>
                <w:color w:val="000000"/>
                <w:sz w:val="20"/>
                <w:szCs w:val="18"/>
              </w:rPr>
              <w:t>133/224</w:t>
            </w:r>
          </w:p>
        </w:tc>
        <w:tc>
          <w:tcPr>
            <w:tcW w:w="787" w:type="pct"/>
            <w:tcBorders>
              <w:top w:val="single" w:sz="4" w:space="0" w:color="auto"/>
              <w:left w:val="single" w:sz="4" w:space="0" w:color="auto"/>
              <w:bottom w:val="single" w:sz="4" w:space="0" w:color="auto"/>
              <w:right w:val="single" w:sz="4" w:space="0" w:color="auto"/>
            </w:tcBorders>
            <w:vAlign w:val="center"/>
          </w:tcPr>
          <w:p w:rsidR="00B62715" w:rsidRPr="00CE0BE9" w:rsidRDefault="0084669E" w:rsidP="00EC00C9">
            <w:pPr>
              <w:jc w:val="center"/>
              <w:rPr>
                <w:rFonts w:ascii="Arial Narrow" w:hAnsi="Arial Narrow"/>
                <w:color w:val="000000"/>
                <w:sz w:val="20"/>
                <w:szCs w:val="18"/>
              </w:rPr>
            </w:pPr>
            <w:r w:rsidRPr="00CE0BE9">
              <w:rPr>
                <w:rFonts w:ascii="Arial Narrow" w:hAnsi="Arial Narrow"/>
                <w:color w:val="000000"/>
                <w:sz w:val="20"/>
                <w:szCs w:val="18"/>
              </w:rPr>
              <w:t>73/221</w:t>
            </w:r>
          </w:p>
        </w:tc>
        <w:tc>
          <w:tcPr>
            <w:tcW w:w="790" w:type="pct"/>
            <w:tcBorders>
              <w:top w:val="single" w:sz="4" w:space="0" w:color="auto"/>
              <w:left w:val="single" w:sz="4" w:space="0" w:color="auto"/>
              <w:bottom w:val="single" w:sz="4" w:space="0" w:color="auto"/>
              <w:right w:val="single" w:sz="4" w:space="0" w:color="auto"/>
            </w:tcBorders>
            <w:vAlign w:val="center"/>
          </w:tcPr>
          <w:p w:rsidR="00B62715" w:rsidRPr="00CE0BE9" w:rsidRDefault="0084669E" w:rsidP="00EC00C9">
            <w:pPr>
              <w:jc w:val="center"/>
              <w:rPr>
                <w:rFonts w:ascii="Arial Narrow" w:hAnsi="Arial Narrow"/>
                <w:color w:val="000000"/>
                <w:sz w:val="20"/>
                <w:szCs w:val="18"/>
              </w:rPr>
            </w:pPr>
            <w:r w:rsidRPr="00CE0BE9">
              <w:rPr>
                <w:rFonts w:ascii="Arial Narrow" w:hAnsi="Arial Narrow"/>
                <w:color w:val="000000"/>
                <w:sz w:val="20"/>
                <w:szCs w:val="18"/>
              </w:rPr>
              <w:t>1.80 (1.45, 2.23)</w:t>
            </w:r>
          </w:p>
        </w:tc>
        <w:tc>
          <w:tcPr>
            <w:tcW w:w="785" w:type="pct"/>
            <w:gridSpan w:val="2"/>
            <w:tcBorders>
              <w:top w:val="single" w:sz="4" w:space="0" w:color="auto"/>
              <w:left w:val="single" w:sz="4" w:space="0" w:color="auto"/>
              <w:bottom w:val="single" w:sz="4" w:space="0" w:color="auto"/>
              <w:right w:val="single" w:sz="4" w:space="0" w:color="auto"/>
            </w:tcBorders>
            <w:vAlign w:val="center"/>
          </w:tcPr>
          <w:p w:rsidR="00B62715" w:rsidRPr="00CE0BE9" w:rsidRDefault="0084669E" w:rsidP="00EC00C9">
            <w:pPr>
              <w:jc w:val="center"/>
              <w:rPr>
                <w:rFonts w:ascii="Arial Narrow" w:hAnsi="Arial Narrow"/>
                <w:color w:val="000000"/>
                <w:sz w:val="20"/>
                <w:szCs w:val="18"/>
              </w:rPr>
            </w:pPr>
            <w:r w:rsidRPr="00CE0BE9">
              <w:rPr>
                <w:rFonts w:ascii="Arial Narrow" w:hAnsi="Arial Narrow"/>
                <w:color w:val="000000"/>
                <w:sz w:val="20"/>
                <w:szCs w:val="18"/>
              </w:rPr>
              <w:t>59.4</w:t>
            </w:r>
          </w:p>
        </w:tc>
        <w:tc>
          <w:tcPr>
            <w:tcW w:w="789" w:type="pct"/>
            <w:gridSpan w:val="2"/>
            <w:tcBorders>
              <w:top w:val="single" w:sz="4" w:space="0" w:color="auto"/>
              <w:left w:val="single" w:sz="4" w:space="0" w:color="auto"/>
              <w:bottom w:val="single" w:sz="4" w:space="0" w:color="auto"/>
              <w:right w:val="single" w:sz="4" w:space="0" w:color="auto"/>
            </w:tcBorders>
            <w:vAlign w:val="center"/>
          </w:tcPr>
          <w:p w:rsidR="00B62715" w:rsidRPr="00CE0BE9" w:rsidRDefault="0084669E" w:rsidP="00EC00C9">
            <w:pPr>
              <w:jc w:val="center"/>
              <w:rPr>
                <w:rFonts w:ascii="Arial Narrow" w:hAnsi="Arial Narrow"/>
                <w:color w:val="000000"/>
                <w:sz w:val="20"/>
                <w:szCs w:val="18"/>
              </w:rPr>
            </w:pPr>
            <w:r w:rsidRPr="00CE0BE9">
              <w:rPr>
                <w:rFonts w:ascii="Arial Narrow" w:hAnsi="Arial Narrow"/>
                <w:color w:val="000000"/>
                <w:sz w:val="20"/>
                <w:szCs w:val="18"/>
              </w:rPr>
              <w:t>33.0</w:t>
            </w:r>
          </w:p>
        </w:tc>
        <w:tc>
          <w:tcPr>
            <w:tcW w:w="746" w:type="pct"/>
            <w:tcBorders>
              <w:top w:val="single" w:sz="4" w:space="0" w:color="auto"/>
              <w:left w:val="single" w:sz="4" w:space="0" w:color="auto"/>
              <w:bottom w:val="single" w:sz="4" w:space="0" w:color="auto"/>
              <w:right w:val="single" w:sz="4" w:space="0" w:color="auto"/>
            </w:tcBorders>
            <w:vAlign w:val="center"/>
          </w:tcPr>
          <w:p w:rsidR="00B62715" w:rsidRPr="00CE0BE9" w:rsidRDefault="00B62715" w:rsidP="0084669E">
            <w:pPr>
              <w:jc w:val="center"/>
              <w:rPr>
                <w:rFonts w:ascii="Arial Narrow" w:hAnsi="Arial Narrow"/>
                <w:b/>
                <w:color w:val="000000"/>
                <w:sz w:val="20"/>
                <w:szCs w:val="18"/>
              </w:rPr>
            </w:pPr>
            <w:r w:rsidRPr="00CE0BE9">
              <w:rPr>
                <w:rFonts w:ascii="Arial Narrow" w:hAnsi="Arial Narrow"/>
                <w:b/>
                <w:color w:val="000000"/>
                <w:sz w:val="20"/>
                <w:szCs w:val="18"/>
              </w:rPr>
              <w:t>0.</w:t>
            </w:r>
            <w:r w:rsidR="0084669E" w:rsidRPr="00CE0BE9">
              <w:rPr>
                <w:rFonts w:ascii="Arial Narrow" w:hAnsi="Arial Narrow"/>
                <w:b/>
                <w:color w:val="000000"/>
                <w:sz w:val="20"/>
                <w:szCs w:val="18"/>
              </w:rPr>
              <w:t xml:space="preserve">26 </w:t>
            </w:r>
            <w:r w:rsidRPr="00CE0BE9">
              <w:rPr>
                <w:rFonts w:ascii="Arial Narrow" w:hAnsi="Arial Narrow"/>
                <w:b/>
                <w:color w:val="000000"/>
                <w:sz w:val="20"/>
                <w:szCs w:val="18"/>
              </w:rPr>
              <w:t>(0.</w:t>
            </w:r>
            <w:r w:rsidR="0084669E" w:rsidRPr="00CE0BE9">
              <w:rPr>
                <w:rFonts w:ascii="Arial Narrow" w:hAnsi="Arial Narrow"/>
                <w:b/>
                <w:color w:val="000000"/>
                <w:sz w:val="20"/>
                <w:szCs w:val="18"/>
              </w:rPr>
              <w:t>17</w:t>
            </w:r>
            <w:r w:rsidRPr="00CE0BE9">
              <w:rPr>
                <w:rFonts w:ascii="Arial Narrow" w:hAnsi="Arial Narrow"/>
                <w:b/>
                <w:color w:val="000000"/>
                <w:sz w:val="20"/>
                <w:szCs w:val="18"/>
              </w:rPr>
              <w:t>, 0.</w:t>
            </w:r>
            <w:r w:rsidR="0084669E" w:rsidRPr="00CE0BE9">
              <w:rPr>
                <w:rFonts w:ascii="Arial Narrow" w:hAnsi="Arial Narrow"/>
                <w:b/>
                <w:color w:val="000000"/>
                <w:sz w:val="20"/>
                <w:szCs w:val="18"/>
              </w:rPr>
              <w:t>35</w:t>
            </w:r>
            <w:r w:rsidRPr="00CE0BE9">
              <w:rPr>
                <w:rFonts w:ascii="Arial Narrow" w:hAnsi="Arial Narrow"/>
                <w:b/>
                <w:color w:val="000000"/>
                <w:sz w:val="20"/>
                <w:szCs w:val="18"/>
              </w:rPr>
              <w:t>)</w:t>
            </w:r>
          </w:p>
        </w:tc>
      </w:tr>
      <w:tr w:rsidR="00E00DE9" w:rsidRPr="00CE0BE9" w:rsidTr="00454F3B">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E00DE9" w:rsidRPr="00CE0BE9" w:rsidRDefault="00E00DE9" w:rsidP="00E00DE9">
            <w:pPr>
              <w:jc w:val="left"/>
              <w:rPr>
                <w:rFonts w:ascii="Arial Narrow" w:hAnsi="Arial Narrow"/>
                <w:b/>
                <w:color w:val="000000"/>
                <w:sz w:val="20"/>
                <w:szCs w:val="18"/>
              </w:rPr>
            </w:pPr>
            <w:r w:rsidRPr="00CE0BE9">
              <w:rPr>
                <w:rFonts w:ascii="Arial Narrow" w:hAnsi="Arial Narrow"/>
                <w:b/>
                <w:color w:val="000000"/>
                <w:sz w:val="20"/>
                <w:szCs w:val="18"/>
              </w:rPr>
              <w:t>Leukopenia</w:t>
            </w:r>
            <w:r w:rsidR="007112F2" w:rsidRPr="00CE0BE9">
              <w:rPr>
                <w:rFonts w:ascii="Arial Narrow" w:hAnsi="Arial Narrow"/>
                <w:b/>
                <w:color w:val="000000"/>
                <w:sz w:val="20"/>
                <w:szCs w:val="18"/>
              </w:rPr>
              <w:t xml:space="preserve"> (Grade 3 or 4)</w:t>
            </w:r>
          </w:p>
        </w:tc>
      </w:tr>
      <w:tr w:rsidR="00E00DE9" w:rsidRPr="00CE0BE9" w:rsidTr="00454F3B">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E00DE9" w:rsidRPr="00CE0BE9" w:rsidRDefault="00E00DE9" w:rsidP="00E00DE9">
            <w:pPr>
              <w:rPr>
                <w:rFonts w:ascii="Arial Narrow" w:hAnsi="Arial Narrow"/>
                <w:color w:val="000000"/>
                <w:sz w:val="20"/>
                <w:szCs w:val="18"/>
              </w:rPr>
            </w:pPr>
            <w:r w:rsidRPr="00CE0BE9">
              <w:rPr>
                <w:rFonts w:ascii="Arial Narrow" w:hAnsi="Arial Narrow"/>
                <w:color w:val="000000"/>
                <w:sz w:val="20"/>
                <w:szCs w:val="18"/>
              </w:rPr>
              <w:t>CALGB</w:t>
            </w:r>
          </w:p>
        </w:tc>
        <w:tc>
          <w:tcPr>
            <w:tcW w:w="466" w:type="pct"/>
            <w:tcBorders>
              <w:top w:val="single" w:sz="4" w:space="0" w:color="auto"/>
              <w:left w:val="single" w:sz="4" w:space="0" w:color="auto"/>
              <w:bottom w:val="single" w:sz="4" w:space="0" w:color="auto"/>
              <w:right w:val="single" w:sz="4" w:space="0" w:color="auto"/>
            </w:tcBorders>
            <w:vAlign w:val="center"/>
          </w:tcPr>
          <w:p w:rsidR="00E00DE9" w:rsidRPr="00CE0BE9" w:rsidRDefault="0084669E" w:rsidP="00E00DE9">
            <w:pPr>
              <w:jc w:val="center"/>
              <w:rPr>
                <w:rFonts w:ascii="Arial Narrow" w:hAnsi="Arial Narrow"/>
                <w:color w:val="000000"/>
                <w:sz w:val="20"/>
                <w:szCs w:val="18"/>
              </w:rPr>
            </w:pPr>
            <w:r w:rsidRPr="00CE0BE9">
              <w:rPr>
                <w:rFonts w:ascii="Arial Narrow" w:hAnsi="Arial Narrow"/>
                <w:color w:val="000000"/>
                <w:sz w:val="20"/>
                <w:szCs w:val="18"/>
              </w:rPr>
              <w:t>45/224</w:t>
            </w:r>
          </w:p>
        </w:tc>
        <w:tc>
          <w:tcPr>
            <w:tcW w:w="787" w:type="pct"/>
            <w:tcBorders>
              <w:top w:val="single" w:sz="4" w:space="0" w:color="auto"/>
              <w:left w:val="single" w:sz="4" w:space="0" w:color="auto"/>
              <w:bottom w:val="single" w:sz="4" w:space="0" w:color="auto"/>
              <w:right w:val="single" w:sz="4" w:space="0" w:color="auto"/>
            </w:tcBorders>
            <w:vAlign w:val="center"/>
          </w:tcPr>
          <w:p w:rsidR="00E00DE9" w:rsidRPr="00CE0BE9" w:rsidRDefault="0084669E" w:rsidP="00E00DE9">
            <w:pPr>
              <w:jc w:val="center"/>
              <w:rPr>
                <w:rFonts w:ascii="Arial Narrow" w:hAnsi="Arial Narrow"/>
                <w:color w:val="000000"/>
                <w:sz w:val="20"/>
                <w:szCs w:val="18"/>
              </w:rPr>
            </w:pPr>
            <w:r w:rsidRPr="00CE0BE9">
              <w:rPr>
                <w:rFonts w:ascii="Arial Narrow" w:hAnsi="Arial Narrow"/>
                <w:color w:val="000000"/>
                <w:sz w:val="20"/>
                <w:szCs w:val="18"/>
              </w:rPr>
              <w:t>22/221</w:t>
            </w:r>
          </w:p>
        </w:tc>
        <w:tc>
          <w:tcPr>
            <w:tcW w:w="790" w:type="pct"/>
            <w:tcBorders>
              <w:top w:val="single" w:sz="4" w:space="0" w:color="auto"/>
              <w:left w:val="single" w:sz="4" w:space="0" w:color="auto"/>
              <w:bottom w:val="single" w:sz="4" w:space="0" w:color="auto"/>
              <w:right w:val="single" w:sz="4" w:space="0" w:color="auto"/>
            </w:tcBorders>
            <w:vAlign w:val="center"/>
          </w:tcPr>
          <w:p w:rsidR="00E00DE9" w:rsidRPr="00CE0BE9" w:rsidRDefault="0084669E" w:rsidP="00E00DE9">
            <w:pPr>
              <w:jc w:val="center"/>
              <w:rPr>
                <w:rFonts w:ascii="Arial Narrow" w:hAnsi="Arial Narrow"/>
                <w:color w:val="000000"/>
                <w:sz w:val="20"/>
                <w:szCs w:val="18"/>
              </w:rPr>
            </w:pPr>
            <w:r w:rsidRPr="00CE0BE9">
              <w:rPr>
                <w:rFonts w:ascii="Arial Narrow" w:hAnsi="Arial Narrow"/>
                <w:color w:val="000000"/>
                <w:sz w:val="20"/>
                <w:szCs w:val="18"/>
              </w:rPr>
              <w:t>2.02 (1.26, 3.24)</w:t>
            </w:r>
          </w:p>
        </w:tc>
        <w:tc>
          <w:tcPr>
            <w:tcW w:w="785" w:type="pct"/>
            <w:gridSpan w:val="2"/>
            <w:tcBorders>
              <w:top w:val="single" w:sz="4" w:space="0" w:color="auto"/>
              <w:left w:val="single" w:sz="4" w:space="0" w:color="auto"/>
              <w:bottom w:val="single" w:sz="4" w:space="0" w:color="auto"/>
              <w:right w:val="single" w:sz="4" w:space="0" w:color="auto"/>
            </w:tcBorders>
            <w:vAlign w:val="center"/>
          </w:tcPr>
          <w:p w:rsidR="00E00DE9" w:rsidRPr="00CE0BE9" w:rsidRDefault="0084669E" w:rsidP="00E00DE9">
            <w:pPr>
              <w:jc w:val="center"/>
              <w:rPr>
                <w:rFonts w:ascii="Arial Narrow" w:hAnsi="Arial Narrow"/>
                <w:color w:val="000000"/>
                <w:sz w:val="20"/>
                <w:szCs w:val="18"/>
              </w:rPr>
            </w:pPr>
            <w:r w:rsidRPr="00CE0BE9">
              <w:rPr>
                <w:rFonts w:ascii="Arial Narrow" w:hAnsi="Arial Narrow"/>
                <w:color w:val="000000"/>
                <w:sz w:val="20"/>
                <w:szCs w:val="18"/>
              </w:rPr>
              <w:t>20.1</w:t>
            </w:r>
          </w:p>
        </w:tc>
        <w:tc>
          <w:tcPr>
            <w:tcW w:w="789" w:type="pct"/>
            <w:gridSpan w:val="2"/>
            <w:tcBorders>
              <w:top w:val="single" w:sz="4" w:space="0" w:color="auto"/>
              <w:left w:val="single" w:sz="4" w:space="0" w:color="auto"/>
              <w:bottom w:val="single" w:sz="4" w:space="0" w:color="auto"/>
              <w:right w:val="single" w:sz="4" w:space="0" w:color="auto"/>
            </w:tcBorders>
            <w:vAlign w:val="center"/>
          </w:tcPr>
          <w:p w:rsidR="00E00DE9" w:rsidRPr="00CE0BE9" w:rsidRDefault="0084669E" w:rsidP="00E00DE9">
            <w:pPr>
              <w:jc w:val="center"/>
              <w:rPr>
                <w:rFonts w:ascii="Arial Narrow" w:hAnsi="Arial Narrow"/>
                <w:color w:val="000000"/>
                <w:sz w:val="20"/>
                <w:szCs w:val="18"/>
              </w:rPr>
            </w:pPr>
            <w:r w:rsidRPr="00CE0BE9">
              <w:rPr>
                <w:rFonts w:ascii="Arial Narrow" w:hAnsi="Arial Narrow"/>
                <w:color w:val="000000"/>
                <w:sz w:val="20"/>
                <w:szCs w:val="18"/>
              </w:rPr>
              <w:t>10.0</w:t>
            </w:r>
          </w:p>
        </w:tc>
        <w:tc>
          <w:tcPr>
            <w:tcW w:w="746" w:type="pct"/>
            <w:tcBorders>
              <w:top w:val="single" w:sz="4" w:space="0" w:color="auto"/>
              <w:left w:val="single" w:sz="4" w:space="0" w:color="auto"/>
              <w:bottom w:val="single" w:sz="4" w:space="0" w:color="auto"/>
              <w:right w:val="single" w:sz="4" w:space="0" w:color="auto"/>
            </w:tcBorders>
            <w:vAlign w:val="center"/>
          </w:tcPr>
          <w:p w:rsidR="00E00DE9" w:rsidRPr="00CE0BE9" w:rsidRDefault="0084669E" w:rsidP="00E00DE9">
            <w:pPr>
              <w:jc w:val="center"/>
              <w:rPr>
                <w:rFonts w:ascii="Arial Narrow" w:hAnsi="Arial Narrow"/>
                <w:b/>
                <w:color w:val="000000"/>
                <w:sz w:val="20"/>
                <w:szCs w:val="18"/>
              </w:rPr>
            </w:pPr>
            <w:r w:rsidRPr="00CE0BE9">
              <w:rPr>
                <w:rFonts w:ascii="Arial Narrow" w:hAnsi="Arial Narrow"/>
                <w:b/>
                <w:color w:val="000000"/>
                <w:sz w:val="20"/>
                <w:szCs w:val="18"/>
              </w:rPr>
              <w:t>0.10 (0.04, 0.17)</w:t>
            </w:r>
          </w:p>
        </w:tc>
      </w:tr>
      <w:tr w:rsidR="00B62715" w:rsidRPr="00CE0BE9" w:rsidTr="00454F3B">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B62715" w:rsidRPr="00CE0BE9" w:rsidRDefault="00070046" w:rsidP="00EC00C9">
            <w:pPr>
              <w:rPr>
                <w:rFonts w:ascii="Arial Narrow" w:hAnsi="Arial Narrow"/>
                <w:b/>
                <w:color w:val="000000"/>
                <w:sz w:val="20"/>
                <w:szCs w:val="18"/>
              </w:rPr>
            </w:pPr>
            <w:r w:rsidRPr="00CE0BE9">
              <w:rPr>
                <w:rFonts w:ascii="Arial Narrow" w:hAnsi="Arial Narrow"/>
                <w:b/>
                <w:color w:val="000000"/>
                <w:sz w:val="20"/>
                <w:szCs w:val="18"/>
              </w:rPr>
              <w:t xml:space="preserve">Secondary primary malignancy </w:t>
            </w:r>
          </w:p>
        </w:tc>
      </w:tr>
      <w:tr w:rsidR="00E00DE9" w:rsidRPr="00CE0BE9" w:rsidTr="00454F3B">
        <w:tc>
          <w:tcPr>
            <w:tcW w:w="638" w:type="pct"/>
            <w:tcBorders>
              <w:top w:val="single" w:sz="4" w:space="0" w:color="auto"/>
              <w:left w:val="single" w:sz="4" w:space="0" w:color="auto"/>
              <w:bottom w:val="single" w:sz="4" w:space="0" w:color="auto"/>
              <w:right w:val="single" w:sz="4" w:space="0" w:color="auto"/>
            </w:tcBorders>
            <w:shd w:val="clear" w:color="auto" w:fill="auto"/>
          </w:tcPr>
          <w:p w:rsidR="00E00DE9" w:rsidRPr="00CE0BE9" w:rsidRDefault="00E00DE9" w:rsidP="00E00DE9">
            <w:pPr>
              <w:rPr>
                <w:rFonts w:ascii="Arial Narrow" w:hAnsi="Arial Narrow"/>
                <w:color w:val="000000"/>
                <w:sz w:val="20"/>
                <w:szCs w:val="18"/>
              </w:rPr>
            </w:pPr>
            <w:r w:rsidRPr="00CE0BE9">
              <w:rPr>
                <w:rFonts w:ascii="Arial Narrow" w:hAnsi="Arial Narrow"/>
                <w:color w:val="000000"/>
                <w:sz w:val="20"/>
                <w:szCs w:val="18"/>
              </w:rPr>
              <w:t>CALGB</w:t>
            </w:r>
          </w:p>
        </w:tc>
        <w:tc>
          <w:tcPr>
            <w:tcW w:w="466" w:type="pct"/>
            <w:tcBorders>
              <w:top w:val="single" w:sz="4" w:space="0" w:color="auto"/>
              <w:left w:val="single" w:sz="4" w:space="0" w:color="auto"/>
              <w:bottom w:val="single" w:sz="4" w:space="0" w:color="auto"/>
              <w:right w:val="single" w:sz="4" w:space="0" w:color="auto"/>
            </w:tcBorders>
            <w:vAlign w:val="center"/>
          </w:tcPr>
          <w:p w:rsidR="00E00DE9" w:rsidRPr="00CE0BE9" w:rsidRDefault="00EA6B60" w:rsidP="00E00DE9">
            <w:pPr>
              <w:jc w:val="center"/>
              <w:rPr>
                <w:rFonts w:ascii="Arial Narrow" w:hAnsi="Arial Narrow"/>
                <w:color w:val="000000"/>
                <w:sz w:val="20"/>
                <w:szCs w:val="18"/>
              </w:rPr>
            </w:pPr>
            <w:r w:rsidRPr="00CE0BE9">
              <w:rPr>
                <w:rFonts w:ascii="Arial Narrow" w:hAnsi="Arial Narrow"/>
                <w:color w:val="000000"/>
                <w:sz w:val="20"/>
                <w:szCs w:val="18"/>
              </w:rPr>
              <w:t>42</w:t>
            </w:r>
            <w:r w:rsidR="00E00DE9" w:rsidRPr="00CE0BE9">
              <w:rPr>
                <w:rFonts w:ascii="Arial Narrow" w:hAnsi="Arial Narrow"/>
                <w:color w:val="000000"/>
                <w:sz w:val="20"/>
                <w:szCs w:val="18"/>
              </w:rPr>
              <w:t>/</w:t>
            </w:r>
            <w:r w:rsidRPr="00CE0BE9">
              <w:rPr>
                <w:rFonts w:ascii="Arial Narrow" w:hAnsi="Arial Narrow"/>
                <w:color w:val="000000"/>
                <w:sz w:val="20"/>
                <w:szCs w:val="18"/>
              </w:rPr>
              <w:t>224</w:t>
            </w:r>
          </w:p>
        </w:tc>
        <w:tc>
          <w:tcPr>
            <w:tcW w:w="787" w:type="pct"/>
            <w:tcBorders>
              <w:top w:val="single" w:sz="4" w:space="0" w:color="auto"/>
              <w:left w:val="single" w:sz="4" w:space="0" w:color="auto"/>
              <w:bottom w:val="single" w:sz="4" w:space="0" w:color="auto"/>
              <w:right w:val="single" w:sz="4" w:space="0" w:color="auto"/>
            </w:tcBorders>
            <w:vAlign w:val="center"/>
          </w:tcPr>
          <w:p w:rsidR="00E00DE9" w:rsidRPr="00CE0BE9" w:rsidRDefault="00EA6B60" w:rsidP="00E00DE9">
            <w:pPr>
              <w:jc w:val="center"/>
              <w:rPr>
                <w:rFonts w:ascii="Arial Narrow" w:hAnsi="Arial Narrow"/>
                <w:color w:val="000000"/>
                <w:sz w:val="20"/>
                <w:szCs w:val="18"/>
              </w:rPr>
            </w:pPr>
            <w:r w:rsidRPr="00CE0BE9">
              <w:rPr>
                <w:rFonts w:ascii="Arial Narrow" w:hAnsi="Arial Narrow"/>
                <w:color w:val="000000"/>
                <w:sz w:val="20"/>
                <w:szCs w:val="18"/>
              </w:rPr>
              <w:t>24/221</w:t>
            </w:r>
          </w:p>
        </w:tc>
        <w:tc>
          <w:tcPr>
            <w:tcW w:w="790" w:type="pct"/>
            <w:tcBorders>
              <w:top w:val="single" w:sz="4" w:space="0" w:color="auto"/>
              <w:left w:val="single" w:sz="4" w:space="0" w:color="auto"/>
              <w:bottom w:val="single" w:sz="4" w:space="0" w:color="auto"/>
              <w:right w:val="single" w:sz="4" w:space="0" w:color="auto"/>
            </w:tcBorders>
            <w:vAlign w:val="center"/>
          </w:tcPr>
          <w:p w:rsidR="00E00DE9" w:rsidRPr="00CE0BE9" w:rsidRDefault="00EA6B60" w:rsidP="0084669E">
            <w:pPr>
              <w:jc w:val="center"/>
              <w:rPr>
                <w:rFonts w:ascii="Arial Narrow" w:hAnsi="Arial Narrow"/>
                <w:color w:val="000000"/>
                <w:sz w:val="20"/>
                <w:szCs w:val="18"/>
              </w:rPr>
            </w:pPr>
            <w:r w:rsidRPr="00CE0BE9">
              <w:rPr>
                <w:rFonts w:ascii="Arial Narrow" w:hAnsi="Arial Narrow"/>
                <w:color w:val="000000"/>
                <w:sz w:val="20"/>
                <w:szCs w:val="18"/>
              </w:rPr>
              <w:t>1.73 (1.08, 2.75)</w:t>
            </w:r>
          </w:p>
        </w:tc>
        <w:tc>
          <w:tcPr>
            <w:tcW w:w="785" w:type="pct"/>
            <w:gridSpan w:val="2"/>
            <w:tcBorders>
              <w:top w:val="single" w:sz="4" w:space="0" w:color="auto"/>
              <w:left w:val="single" w:sz="4" w:space="0" w:color="auto"/>
              <w:bottom w:val="single" w:sz="4" w:space="0" w:color="auto"/>
              <w:right w:val="single" w:sz="4" w:space="0" w:color="auto"/>
            </w:tcBorders>
            <w:vAlign w:val="center"/>
          </w:tcPr>
          <w:p w:rsidR="00E00DE9" w:rsidRPr="00CE0BE9" w:rsidRDefault="00EA6B60" w:rsidP="00E00DE9">
            <w:pPr>
              <w:jc w:val="center"/>
              <w:rPr>
                <w:rFonts w:ascii="Arial Narrow" w:hAnsi="Arial Narrow"/>
                <w:color w:val="000000"/>
                <w:sz w:val="20"/>
                <w:szCs w:val="18"/>
              </w:rPr>
            </w:pPr>
            <w:r w:rsidRPr="00CE0BE9">
              <w:rPr>
                <w:rFonts w:ascii="Arial Narrow" w:hAnsi="Arial Narrow"/>
                <w:color w:val="000000"/>
                <w:sz w:val="20"/>
                <w:szCs w:val="18"/>
              </w:rPr>
              <w:t>18.8</w:t>
            </w:r>
          </w:p>
        </w:tc>
        <w:tc>
          <w:tcPr>
            <w:tcW w:w="789" w:type="pct"/>
            <w:gridSpan w:val="2"/>
            <w:tcBorders>
              <w:top w:val="single" w:sz="4" w:space="0" w:color="auto"/>
              <w:left w:val="single" w:sz="4" w:space="0" w:color="auto"/>
              <w:bottom w:val="single" w:sz="4" w:space="0" w:color="auto"/>
              <w:right w:val="single" w:sz="4" w:space="0" w:color="auto"/>
            </w:tcBorders>
            <w:vAlign w:val="center"/>
          </w:tcPr>
          <w:p w:rsidR="00E00DE9" w:rsidRPr="00CE0BE9" w:rsidRDefault="00EA6B60" w:rsidP="00E00DE9">
            <w:pPr>
              <w:jc w:val="center"/>
              <w:rPr>
                <w:rFonts w:ascii="Arial Narrow" w:hAnsi="Arial Narrow"/>
                <w:color w:val="000000"/>
                <w:sz w:val="20"/>
                <w:szCs w:val="18"/>
              </w:rPr>
            </w:pPr>
            <w:r w:rsidRPr="00CE0BE9">
              <w:rPr>
                <w:rFonts w:ascii="Arial Narrow" w:hAnsi="Arial Narrow"/>
                <w:color w:val="000000"/>
                <w:sz w:val="20"/>
                <w:szCs w:val="18"/>
              </w:rPr>
              <w:t>10.9</w:t>
            </w:r>
          </w:p>
        </w:tc>
        <w:tc>
          <w:tcPr>
            <w:tcW w:w="746" w:type="pct"/>
            <w:tcBorders>
              <w:top w:val="single" w:sz="4" w:space="0" w:color="auto"/>
              <w:left w:val="single" w:sz="4" w:space="0" w:color="auto"/>
              <w:bottom w:val="single" w:sz="4" w:space="0" w:color="auto"/>
              <w:right w:val="single" w:sz="4" w:space="0" w:color="auto"/>
            </w:tcBorders>
            <w:vAlign w:val="center"/>
          </w:tcPr>
          <w:p w:rsidR="00E00DE9" w:rsidRPr="00CE0BE9" w:rsidRDefault="00EA6B60" w:rsidP="0084669E">
            <w:pPr>
              <w:jc w:val="center"/>
              <w:rPr>
                <w:rFonts w:ascii="Arial Narrow" w:hAnsi="Arial Narrow"/>
                <w:b/>
                <w:color w:val="000000"/>
                <w:sz w:val="20"/>
                <w:szCs w:val="18"/>
              </w:rPr>
            </w:pPr>
            <w:r w:rsidRPr="00CE0BE9">
              <w:rPr>
                <w:rFonts w:ascii="Arial Narrow" w:hAnsi="Arial Narrow"/>
                <w:b/>
                <w:color w:val="000000"/>
                <w:sz w:val="20"/>
                <w:szCs w:val="18"/>
              </w:rPr>
              <w:t>0.08 (0.01, 0.14)</w:t>
            </w:r>
          </w:p>
        </w:tc>
      </w:tr>
    </w:tbl>
    <w:p w:rsidR="00B62715" w:rsidRPr="00CE0BE9" w:rsidRDefault="006F00BA" w:rsidP="003D4A30">
      <w:pPr>
        <w:pStyle w:val="TableFooter"/>
      </w:pPr>
      <w:r w:rsidRPr="00CE0BE9">
        <w:t xml:space="preserve">Note: a </w:t>
      </w:r>
      <w:r w:rsidR="00B62715" w:rsidRPr="00CE0BE9">
        <w:t>Media</w:t>
      </w:r>
      <w:r w:rsidR="00F91219" w:rsidRPr="00CE0BE9">
        <w:t>n duration of follow-up</w:t>
      </w:r>
      <w:r w:rsidR="00B62715" w:rsidRPr="00CE0BE9">
        <w:t xml:space="preserve">: </w:t>
      </w:r>
      <w:r w:rsidR="00754EAF" w:rsidRPr="00CE0BE9">
        <w:t>CALGB</w:t>
      </w:r>
      <w:r w:rsidR="00B62715" w:rsidRPr="00CE0BE9">
        <w:t xml:space="preserve">= </w:t>
      </w:r>
      <w:r w:rsidR="00754EAF" w:rsidRPr="00CE0BE9">
        <w:t>October 2016 data</w:t>
      </w:r>
      <w:r w:rsidR="00754EAF" w:rsidRPr="00CE0BE9">
        <w:noBreakHyphen/>
        <w:t>cut</w:t>
      </w:r>
      <w:r w:rsidR="00E00DE9" w:rsidRPr="00CE0BE9">
        <w:t xml:space="preserve"> is 91 months</w:t>
      </w:r>
      <w:r w:rsidR="00B62715" w:rsidRPr="00CE0BE9">
        <w:t xml:space="preserve">; </w:t>
      </w:r>
      <w:r w:rsidRPr="00CE0BE9">
        <w:t xml:space="preserve">b </w:t>
      </w:r>
      <w:r w:rsidR="00642EC5" w:rsidRPr="00CE0BE9">
        <w:t>Median duration of follow</w:t>
      </w:r>
      <w:r w:rsidR="00642EC5" w:rsidRPr="00CE0BE9">
        <w:noBreakHyphen/>
        <w:t xml:space="preserve">up: CALGB = </w:t>
      </w:r>
      <w:r w:rsidR="0084669E" w:rsidRPr="00CE0BE9">
        <w:t xml:space="preserve">March 2015 data cut is </w:t>
      </w:r>
      <w:r w:rsidR="00EA6B60" w:rsidRPr="00CE0BE9">
        <w:t>72.4 months.</w:t>
      </w:r>
    </w:p>
    <w:p w:rsidR="00B62715" w:rsidRPr="00CE0BE9" w:rsidRDefault="00204D87" w:rsidP="003D4A30">
      <w:pPr>
        <w:pStyle w:val="TableFooter"/>
      </w:pPr>
      <w:r w:rsidRPr="00CE0BE9">
        <w:t>Abbreviations:</w:t>
      </w:r>
      <w:r w:rsidR="005A7DD2" w:rsidRPr="00CE0BE9">
        <w:t xml:space="preserve"> BSC, best supportive care;</w:t>
      </w:r>
      <w:r w:rsidRPr="00CE0BE9">
        <w:t xml:space="preserve"> </w:t>
      </w:r>
      <w:r w:rsidR="00F91219" w:rsidRPr="00CE0BE9">
        <w:t>HR = hazard ratio;</w:t>
      </w:r>
      <w:r w:rsidR="0021620E" w:rsidRPr="00CE0BE9">
        <w:t xml:space="preserve"> LEN=</w:t>
      </w:r>
      <w:proofErr w:type="spellStart"/>
      <w:r w:rsidR="0021620E" w:rsidRPr="00CE0BE9">
        <w:t>lenalidomide</w:t>
      </w:r>
      <w:proofErr w:type="spellEnd"/>
      <w:r w:rsidR="0021620E" w:rsidRPr="00CE0BE9">
        <w:t>;</w:t>
      </w:r>
      <w:r w:rsidR="00F91219" w:rsidRPr="00CE0BE9">
        <w:t xml:space="preserve"> </w:t>
      </w:r>
      <w:r w:rsidR="00070EEB" w:rsidRPr="00CE0BE9">
        <w:t xml:space="preserve">NE=not evaluable; </w:t>
      </w:r>
      <w:r w:rsidR="006F00BA" w:rsidRPr="00CE0BE9">
        <w:rPr>
          <w:rFonts w:eastAsia="Calibri"/>
        </w:rPr>
        <w:t>N</w:t>
      </w:r>
      <w:r w:rsidR="00070EEB" w:rsidRPr="00CE0BE9">
        <w:rPr>
          <w:rFonts w:eastAsia="Calibri"/>
        </w:rPr>
        <w:t>R</w:t>
      </w:r>
      <w:r w:rsidR="006F00BA" w:rsidRPr="00CE0BE9">
        <w:rPr>
          <w:rFonts w:eastAsia="Calibri"/>
        </w:rPr>
        <w:t xml:space="preserve">= not reported; </w:t>
      </w:r>
      <w:r w:rsidR="00B62715" w:rsidRPr="00CE0BE9">
        <w:t>RD = risk difference; RR = risk ratio</w:t>
      </w:r>
    </w:p>
    <w:p w:rsidR="00B60939" w:rsidRPr="00CE0BE9" w:rsidRDefault="009177A7" w:rsidP="007559B2">
      <w:pPr>
        <w:pStyle w:val="TableFooter"/>
        <w:rPr>
          <w:sz w:val="20"/>
        </w:rPr>
      </w:pPr>
      <w:r w:rsidRPr="00CE0BE9">
        <w:t>Source: Table 2.5.1, p.80 and Table 2.5.3, p.85-86 of the submission.</w:t>
      </w:r>
      <w:r w:rsidR="007559B2" w:rsidRPr="00CE0BE9">
        <w:t xml:space="preserve"> Absolute difference in % with events calculated during the evaluation.</w:t>
      </w:r>
    </w:p>
    <w:p w:rsidR="00C01F26" w:rsidRPr="00CE0BE9" w:rsidRDefault="00C01F26" w:rsidP="004B1CB4"/>
    <w:p w:rsidR="00FC1884" w:rsidRPr="00D17A82" w:rsidRDefault="00EC00C9" w:rsidP="006F0DFD">
      <w:pPr>
        <w:pStyle w:val="ListParagraph"/>
        <w:widowControl/>
        <w:numPr>
          <w:ilvl w:val="1"/>
          <w:numId w:val="2"/>
        </w:numPr>
        <w:spacing w:after="0"/>
      </w:pPr>
      <w:r w:rsidRPr="00D17A82">
        <w:t xml:space="preserve">On the basis of direct evidence presented </w:t>
      </w:r>
      <w:r w:rsidR="007112F2" w:rsidRPr="00D17A82">
        <w:t>in the pivotal CALGB trial</w:t>
      </w:r>
      <w:r w:rsidRPr="00D17A82">
        <w:t xml:space="preserve">, for every 100 patients treated with </w:t>
      </w:r>
      <w:proofErr w:type="spellStart"/>
      <w:r w:rsidR="007112F2" w:rsidRPr="00D17A82">
        <w:t>lenalidomide</w:t>
      </w:r>
      <w:proofErr w:type="spellEnd"/>
      <w:r w:rsidR="007112F2" w:rsidRPr="00D17A82">
        <w:t xml:space="preserve"> </w:t>
      </w:r>
      <w:r w:rsidRPr="00D17A82">
        <w:t>in comparison to</w:t>
      </w:r>
      <w:r w:rsidR="007112F2" w:rsidRPr="00D17A82">
        <w:t xml:space="preserve"> </w:t>
      </w:r>
      <w:r w:rsidR="00583838" w:rsidRPr="00D17A82">
        <w:t xml:space="preserve">BSC </w:t>
      </w:r>
      <w:r w:rsidR="00422260" w:rsidRPr="00D17A82">
        <w:t xml:space="preserve">and over a median duration of </w:t>
      </w:r>
      <w:r w:rsidR="001C2A9B" w:rsidRPr="00D17A82">
        <w:t xml:space="preserve">follow-up </w:t>
      </w:r>
      <w:r w:rsidR="00EF04D4" w:rsidRPr="00D17A82">
        <w:t>72.4</w:t>
      </w:r>
      <w:r w:rsidR="007112F2" w:rsidRPr="00D17A82">
        <w:t xml:space="preserve"> </w:t>
      </w:r>
      <w:r w:rsidR="001C2A9B" w:rsidRPr="00D17A82">
        <w:t>months:</w:t>
      </w:r>
    </w:p>
    <w:p w:rsidR="007112F2" w:rsidRPr="00D17A82" w:rsidRDefault="003270E4" w:rsidP="006F0DFD">
      <w:pPr>
        <w:pStyle w:val="ListParagraph"/>
        <w:numPr>
          <w:ilvl w:val="0"/>
          <w:numId w:val="1"/>
        </w:numPr>
        <w:spacing w:after="0"/>
        <w:ind w:left="992" w:hanging="357"/>
      </w:pPr>
      <w:r w:rsidRPr="00D17A82">
        <w:rPr>
          <w:rFonts w:cs="Calibri"/>
          <w:snapToGrid/>
          <w:szCs w:val="24"/>
          <w:lang w:val="en-US" w:eastAsia="en-AU"/>
        </w:rPr>
        <w:t xml:space="preserve">Approximately </w:t>
      </w:r>
      <w:r w:rsidR="00EF04D4" w:rsidRPr="00D17A82">
        <w:rPr>
          <w:rFonts w:cs="Calibri"/>
          <w:snapToGrid/>
          <w:szCs w:val="24"/>
          <w:lang w:val="en-US" w:eastAsia="en-AU"/>
        </w:rPr>
        <w:t>16</w:t>
      </w:r>
      <w:r w:rsidRPr="00D17A82">
        <w:rPr>
          <w:rFonts w:cs="Calibri"/>
          <w:snapToGrid/>
          <w:szCs w:val="24"/>
          <w:lang w:val="en-US" w:eastAsia="en-AU"/>
        </w:rPr>
        <w:t xml:space="preserve"> more patients remained progression-free</w:t>
      </w:r>
      <w:r w:rsidR="007112F2" w:rsidRPr="00D17A82">
        <w:rPr>
          <w:rFonts w:cs="Calibri"/>
          <w:snapToGrid/>
          <w:szCs w:val="24"/>
          <w:lang w:val="en-US" w:eastAsia="en-AU"/>
        </w:rPr>
        <w:t>.</w:t>
      </w:r>
    </w:p>
    <w:p w:rsidR="007112F2" w:rsidRPr="00D17A82" w:rsidRDefault="007112F2" w:rsidP="006F0DFD">
      <w:pPr>
        <w:pStyle w:val="ListParagraph"/>
        <w:numPr>
          <w:ilvl w:val="0"/>
          <w:numId w:val="1"/>
        </w:numPr>
        <w:spacing w:after="0"/>
        <w:ind w:left="992" w:hanging="357"/>
      </w:pPr>
      <w:r w:rsidRPr="00D17A82">
        <w:rPr>
          <w:rFonts w:cs="Calibri"/>
          <w:snapToGrid/>
          <w:szCs w:val="24"/>
          <w:lang w:val="en-US" w:eastAsia="en-AU"/>
        </w:rPr>
        <w:t xml:space="preserve">Approximately </w:t>
      </w:r>
      <w:r w:rsidR="00EF04D4" w:rsidRPr="00D17A82">
        <w:rPr>
          <w:rFonts w:cs="Calibri"/>
          <w:snapToGrid/>
          <w:szCs w:val="24"/>
          <w:lang w:val="en-US" w:eastAsia="en-AU"/>
        </w:rPr>
        <w:t>16</w:t>
      </w:r>
      <w:r w:rsidRPr="00D17A82">
        <w:rPr>
          <w:rFonts w:cs="Calibri"/>
          <w:snapToGrid/>
          <w:szCs w:val="24"/>
          <w:lang w:val="en-US" w:eastAsia="en-AU"/>
        </w:rPr>
        <w:t xml:space="preserve"> more patients remained alive.</w:t>
      </w:r>
    </w:p>
    <w:p w:rsidR="007112F2" w:rsidRPr="00D17A82" w:rsidRDefault="007112F2" w:rsidP="006F0DFD">
      <w:pPr>
        <w:pStyle w:val="ListParagraph"/>
        <w:numPr>
          <w:ilvl w:val="0"/>
          <w:numId w:val="1"/>
        </w:numPr>
        <w:spacing w:after="0"/>
        <w:ind w:left="992" w:hanging="357"/>
      </w:pPr>
      <w:r w:rsidRPr="00D17A82">
        <w:t>Approximately 26 more patients would have a Grade 3 or 4 neutropeni</w:t>
      </w:r>
      <w:r w:rsidR="003B2682" w:rsidRPr="00D17A82">
        <w:t>c event</w:t>
      </w:r>
      <w:r w:rsidR="00070046" w:rsidRPr="00D17A82">
        <w:t>.</w:t>
      </w:r>
    </w:p>
    <w:p w:rsidR="0021620E" w:rsidRPr="00D17A82" w:rsidRDefault="0021620E" w:rsidP="006F0DFD">
      <w:pPr>
        <w:pStyle w:val="ListParagraph"/>
        <w:numPr>
          <w:ilvl w:val="0"/>
          <w:numId w:val="1"/>
        </w:numPr>
        <w:spacing w:after="0"/>
        <w:ind w:left="992" w:hanging="357"/>
      </w:pPr>
      <w:r w:rsidRPr="00D17A82">
        <w:t xml:space="preserve">Approximately 10 more patients would have a Grade 3 or 4 </w:t>
      </w:r>
      <w:proofErr w:type="spellStart"/>
      <w:r w:rsidRPr="00D17A82">
        <w:t>leukopeni</w:t>
      </w:r>
      <w:r w:rsidR="003B2682" w:rsidRPr="00D17A82">
        <w:t>c</w:t>
      </w:r>
      <w:proofErr w:type="spellEnd"/>
      <w:r w:rsidR="003B2682" w:rsidRPr="00D17A82">
        <w:t xml:space="preserve"> </w:t>
      </w:r>
      <w:proofErr w:type="gramStart"/>
      <w:r w:rsidR="003B2682" w:rsidRPr="00D17A82">
        <w:t>event</w:t>
      </w:r>
      <w:proofErr w:type="gramEnd"/>
      <w:r w:rsidR="00070046" w:rsidRPr="00D17A82">
        <w:t>.</w:t>
      </w:r>
    </w:p>
    <w:p w:rsidR="0021620E" w:rsidRPr="00D17A82" w:rsidRDefault="0021620E" w:rsidP="006F0DFD">
      <w:pPr>
        <w:pStyle w:val="ListParagraph"/>
        <w:numPr>
          <w:ilvl w:val="0"/>
          <w:numId w:val="1"/>
        </w:numPr>
        <w:spacing w:after="0"/>
        <w:ind w:left="992" w:hanging="357"/>
      </w:pPr>
      <w:r w:rsidRPr="00D17A82">
        <w:t xml:space="preserve">Approximately </w:t>
      </w:r>
      <w:r w:rsidR="00B870B6" w:rsidRPr="00D17A82">
        <w:t xml:space="preserve">8 </w:t>
      </w:r>
      <w:r w:rsidRPr="00D17A82">
        <w:t xml:space="preserve">more patients would have a </w:t>
      </w:r>
      <w:r w:rsidR="00070046" w:rsidRPr="00D17A82">
        <w:t>secondary primary malignancy</w:t>
      </w:r>
      <w:r w:rsidRPr="00D17A82">
        <w:t>.</w:t>
      </w:r>
    </w:p>
    <w:p w:rsidR="00C82C11" w:rsidRPr="00D17A82" w:rsidRDefault="00C82C11" w:rsidP="00C82C11">
      <w:pPr>
        <w:widowControl/>
        <w:rPr>
          <w:rFonts w:cs="Calibri"/>
          <w:snapToGrid/>
          <w:szCs w:val="24"/>
          <w:lang w:val="en-US" w:eastAsia="en-AU"/>
        </w:rPr>
      </w:pPr>
    </w:p>
    <w:p w:rsidR="000703D1" w:rsidRDefault="000703D1" w:rsidP="006F0DFD">
      <w:pPr>
        <w:pStyle w:val="ListParagraph"/>
        <w:widowControl/>
        <w:numPr>
          <w:ilvl w:val="1"/>
          <w:numId w:val="2"/>
        </w:numPr>
        <w:spacing w:after="0"/>
      </w:pPr>
      <w:r>
        <w:t xml:space="preserve">The PBAC noted the benefits summarised above were based on only one of the </w:t>
      </w:r>
      <w:proofErr w:type="spellStart"/>
      <w:r>
        <w:t>lenalidomide</w:t>
      </w:r>
      <w:proofErr w:type="spellEnd"/>
      <w:r>
        <w:t xml:space="preserve"> trials and</w:t>
      </w:r>
      <w:r w:rsidR="00AE25AA">
        <w:t xml:space="preserve"> the pooled efficacy results for the four </w:t>
      </w:r>
      <w:proofErr w:type="spellStart"/>
      <w:r w:rsidR="00AE25AA">
        <w:t>lenalidomide</w:t>
      </w:r>
      <w:proofErr w:type="spellEnd"/>
      <w:r w:rsidR="00AE25AA">
        <w:t xml:space="preserve"> versus BSC trials were less favourable</w:t>
      </w:r>
      <w:r>
        <w:t xml:space="preserve">. </w:t>
      </w:r>
    </w:p>
    <w:p w:rsidR="00994C55" w:rsidRPr="00D073C9" w:rsidRDefault="00902ED9" w:rsidP="00D073C9">
      <w:pPr>
        <w:pStyle w:val="ListParagraph"/>
        <w:widowControl/>
        <w:numPr>
          <w:ilvl w:val="1"/>
          <w:numId w:val="2"/>
        </w:numPr>
        <w:spacing w:after="0"/>
        <w:jc w:val="left"/>
        <w:rPr>
          <w:rFonts w:ascii="Arial Narrow" w:hAnsi="Arial Narrow"/>
          <w:b/>
          <w:sz w:val="20"/>
          <w:szCs w:val="16"/>
        </w:rPr>
      </w:pPr>
      <w:r w:rsidRPr="00D17A82">
        <w:t xml:space="preserve">A summary of the comparative benefits and harms for </w:t>
      </w:r>
      <w:proofErr w:type="spellStart"/>
      <w:r w:rsidRPr="00D17A82">
        <w:t>lenalidomide</w:t>
      </w:r>
      <w:proofErr w:type="spellEnd"/>
      <w:r w:rsidRPr="00D17A82">
        <w:t xml:space="preserve"> compared to thalidomide is presented in Table </w:t>
      </w:r>
      <w:r w:rsidR="007D6AA8" w:rsidRPr="00D17A82">
        <w:t>19.</w:t>
      </w:r>
      <w:r w:rsidRPr="00D17A82">
        <w:t xml:space="preserve"> The submission</w:t>
      </w:r>
      <w:r w:rsidR="005B1190">
        <w:t>’s</w:t>
      </w:r>
      <w:r w:rsidRPr="00D17A82">
        <w:t xml:space="preserve"> comparison between </w:t>
      </w:r>
      <w:proofErr w:type="spellStart"/>
      <w:r w:rsidRPr="00D17A82">
        <w:t>lenalidomide</w:t>
      </w:r>
      <w:proofErr w:type="spellEnd"/>
      <w:r w:rsidRPr="00D17A82">
        <w:t xml:space="preserve"> and thalidomide was based on an indirect comparison of PFS and OS using CALBG </w:t>
      </w:r>
      <w:r w:rsidR="005B1190">
        <w:t xml:space="preserve">results </w:t>
      </w:r>
      <w:r w:rsidRPr="00D17A82">
        <w:t>adjusted for cross</w:t>
      </w:r>
      <w:r w:rsidRPr="00D17A82">
        <w:noBreakHyphen/>
        <w:t xml:space="preserve">over compared to Myeloma IX. The indirect comparison between </w:t>
      </w:r>
      <w:proofErr w:type="spellStart"/>
      <w:r w:rsidRPr="00D17A82">
        <w:t>lenalidomide</w:t>
      </w:r>
      <w:proofErr w:type="spellEnd"/>
      <w:r w:rsidRPr="00D17A82">
        <w:t xml:space="preserve"> and thalidomide incorporating MM6 was conducted during the evaluation. The submission did not report an indirect comparison of safety outcomes. Within trial event rates were reported for nervous system disorders/peripheral neuropathy and secondary primary malignancy. </w:t>
      </w:r>
      <w:r w:rsidRPr="00D17A82">
        <w:lastRenderedPageBreak/>
        <w:t xml:space="preserve">Neutropenia rates were not reported in either of the thalidomide trials, Myeloma IX or MM6. </w:t>
      </w:r>
    </w:p>
    <w:p w:rsidR="00902ED9" w:rsidRPr="000D3F64" w:rsidRDefault="00902ED9" w:rsidP="00902ED9">
      <w:pPr>
        <w:snapToGrid w:val="0"/>
        <w:rPr>
          <w:rFonts w:ascii="Arial Narrow" w:hAnsi="Arial Narrow"/>
          <w:b/>
          <w:sz w:val="20"/>
          <w:szCs w:val="16"/>
        </w:rPr>
      </w:pPr>
      <w:r w:rsidRPr="000D3F64">
        <w:rPr>
          <w:rFonts w:ascii="Arial Narrow" w:hAnsi="Arial Narrow"/>
          <w:b/>
          <w:sz w:val="20"/>
          <w:szCs w:val="16"/>
        </w:rPr>
        <w:t xml:space="preserve">Table </w:t>
      </w:r>
      <w:r w:rsidR="007D6AA8">
        <w:rPr>
          <w:rFonts w:ascii="Arial Narrow" w:hAnsi="Arial Narrow"/>
          <w:b/>
          <w:sz w:val="20"/>
          <w:szCs w:val="16"/>
        </w:rPr>
        <w:t>19</w:t>
      </w:r>
      <w:r w:rsidRPr="000D3F64">
        <w:rPr>
          <w:rFonts w:ascii="Arial Narrow" w:hAnsi="Arial Narrow"/>
          <w:b/>
          <w:sz w:val="20"/>
          <w:szCs w:val="16"/>
        </w:rPr>
        <w:t xml:space="preserve"> Indirect comparison summary of comparative benefits and harms for </w:t>
      </w:r>
      <w:proofErr w:type="spellStart"/>
      <w:r w:rsidRPr="000D3F64">
        <w:rPr>
          <w:rFonts w:ascii="Arial Narrow" w:hAnsi="Arial Narrow"/>
          <w:b/>
          <w:sz w:val="20"/>
          <w:szCs w:val="16"/>
        </w:rPr>
        <w:t>lenalidomide</w:t>
      </w:r>
      <w:proofErr w:type="spellEnd"/>
      <w:r w:rsidRPr="000D3F64">
        <w:rPr>
          <w:rFonts w:ascii="Arial Narrow" w:hAnsi="Arial Narrow"/>
          <w:b/>
          <w:sz w:val="20"/>
          <w:szCs w:val="16"/>
        </w:rPr>
        <w:t xml:space="preserve"> and thalidomide</w:t>
      </w:r>
    </w:p>
    <w:tbl>
      <w:tblPr>
        <w:tblW w:w="4950" w:type="pct"/>
        <w:tblCellMar>
          <w:left w:w="28" w:type="dxa"/>
          <w:right w:w="28" w:type="dxa"/>
        </w:tblCellMar>
        <w:tblLook w:val="04A0" w:firstRow="1" w:lastRow="0" w:firstColumn="1" w:lastColumn="0" w:noHBand="0" w:noVBand="1"/>
      </w:tblPr>
      <w:tblGrid>
        <w:gridCol w:w="1592"/>
        <w:gridCol w:w="993"/>
        <w:gridCol w:w="1273"/>
        <w:gridCol w:w="281"/>
        <w:gridCol w:w="996"/>
        <w:gridCol w:w="570"/>
        <w:gridCol w:w="656"/>
        <w:gridCol w:w="1048"/>
        <w:gridCol w:w="1583"/>
      </w:tblGrid>
      <w:tr w:rsidR="00902ED9" w:rsidRPr="000D3F64" w:rsidTr="00902ED9">
        <w:tc>
          <w:tcPr>
            <w:tcW w:w="5000" w:type="pct"/>
            <w:gridSpan w:val="9"/>
            <w:tcBorders>
              <w:top w:val="single" w:sz="4" w:space="0" w:color="auto"/>
              <w:left w:val="single" w:sz="4" w:space="0" w:color="auto"/>
              <w:bottom w:val="double" w:sz="4" w:space="0" w:color="auto"/>
              <w:right w:val="single" w:sz="4" w:space="0" w:color="auto"/>
            </w:tcBorders>
            <w:vAlign w:val="center"/>
            <w:hideMark/>
          </w:tcPr>
          <w:p w:rsidR="00902ED9" w:rsidRPr="000D3F64" w:rsidRDefault="00902ED9" w:rsidP="00902ED9">
            <w:pPr>
              <w:snapToGrid w:val="0"/>
              <w:rPr>
                <w:rFonts w:ascii="Arial Narrow" w:hAnsi="Arial Narrow"/>
                <w:b/>
                <w:color w:val="000000"/>
                <w:sz w:val="20"/>
                <w:szCs w:val="18"/>
              </w:rPr>
            </w:pPr>
            <w:r w:rsidRPr="000D3F64">
              <w:rPr>
                <w:rFonts w:ascii="Arial Narrow" w:hAnsi="Arial Narrow"/>
                <w:b/>
                <w:color w:val="000000"/>
                <w:sz w:val="20"/>
                <w:szCs w:val="18"/>
              </w:rPr>
              <w:t>Benefits</w:t>
            </w:r>
          </w:p>
        </w:tc>
      </w:tr>
      <w:tr w:rsidR="00902ED9" w:rsidRPr="000D3F64" w:rsidTr="005A19E5">
        <w:tc>
          <w:tcPr>
            <w:tcW w:w="1437"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p>
        </w:tc>
        <w:tc>
          <w:tcPr>
            <w:tcW w:w="864" w:type="pct"/>
            <w:gridSpan w:val="2"/>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jc w:val="center"/>
              <w:rPr>
                <w:rFonts w:ascii="Arial Narrow" w:hAnsi="Arial Narrow"/>
                <w:b/>
                <w:color w:val="000000"/>
                <w:sz w:val="20"/>
                <w:szCs w:val="18"/>
              </w:rPr>
            </w:pPr>
            <w:proofErr w:type="spellStart"/>
            <w:r w:rsidRPr="000D3F64">
              <w:rPr>
                <w:rFonts w:ascii="Arial Narrow" w:hAnsi="Arial Narrow"/>
                <w:b/>
                <w:color w:val="000000"/>
                <w:sz w:val="20"/>
                <w:szCs w:val="18"/>
              </w:rPr>
              <w:t>Lenalidomide</w:t>
            </w:r>
            <w:proofErr w:type="spellEnd"/>
            <w:r w:rsidRPr="000D3F64">
              <w:rPr>
                <w:rFonts w:ascii="Arial Narrow" w:hAnsi="Arial Narrow"/>
                <w:b/>
                <w:color w:val="000000"/>
                <w:sz w:val="20"/>
                <w:szCs w:val="18"/>
              </w:rPr>
              <w:t xml:space="preserve"> </w:t>
            </w:r>
          </w:p>
        </w:tc>
        <w:tc>
          <w:tcPr>
            <w:tcW w:w="871" w:type="pct"/>
            <w:gridSpan w:val="2"/>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jc w:val="center"/>
              <w:rPr>
                <w:rFonts w:ascii="Arial Narrow" w:hAnsi="Arial Narrow"/>
                <w:b/>
                <w:color w:val="000000"/>
                <w:sz w:val="20"/>
                <w:szCs w:val="18"/>
              </w:rPr>
            </w:pPr>
            <w:r w:rsidRPr="000D3F64">
              <w:rPr>
                <w:rFonts w:ascii="Arial Narrow" w:hAnsi="Arial Narrow"/>
                <w:b/>
                <w:color w:val="000000"/>
                <w:sz w:val="20"/>
                <w:szCs w:val="18"/>
              </w:rPr>
              <w:t>BSC</w:t>
            </w:r>
          </w:p>
        </w:tc>
        <w:tc>
          <w:tcPr>
            <w:tcW w:w="948" w:type="pct"/>
            <w:gridSpan w:val="2"/>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jc w:val="center"/>
              <w:rPr>
                <w:rFonts w:ascii="Arial Narrow" w:hAnsi="Arial Narrow"/>
                <w:b/>
                <w:color w:val="000000"/>
                <w:sz w:val="20"/>
                <w:szCs w:val="18"/>
              </w:rPr>
            </w:pPr>
            <w:r w:rsidRPr="000D3F64">
              <w:rPr>
                <w:rFonts w:ascii="Arial Narrow" w:hAnsi="Arial Narrow"/>
                <w:b/>
                <w:color w:val="000000"/>
                <w:sz w:val="20"/>
                <w:szCs w:val="18"/>
              </w:rPr>
              <w:t>Absolute Difference</w:t>
            </w:r>
          </w:p>
        </w:tc>
        <w:tc>
          <w:tcPr>
            <w:tcW w:w="880" w:type="pct"/>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jc w:val="center"/>
              <w:rPr>
                <w:rFonts w:ascii="Arial Narrow" w:hAnsi="Arial Narrow"/>
                <w:b/>
                <w:color w:val="000000"/>
                <w:sz w:val="20"/>
                <w:szCs w:val="18"/>
              </w:rPr>
            </w:pPr>
            <w:r w:rsidRPr="000D3F64">
              <w:rPr>
                <w:rFonts w:ascii="Arial Narrow" w:hAnsi="Arial Narrow"/>
                <w:b/>
                <w:color w:val="000000"/>
                <w:sz w:val="20"/>
                <w:szCs w:val="18"/>
              </w:rPr>
              <w:t>HR (95% CI)</w:t>
            </w:r>
          </w:p>
        </w:tc>
      </w:tr>
      <w:tr w:rsidR="00902ED9" w:rsidRPr="000D3F64" w:rsidTr="005A19E5">
        <w:tc>
          <w:tcPr>
            <w:tcW w:w="1437" w:type="pct"/>
            <w:gridSpan w:val="2"/>
            <w:tcBorders>
              <w:top w:val="single" w:sz="4" w:space="0" w:color="auto"/>
              <w:left w:val="single" w:sz="4" w:space="0" w:color="auto"/>
              <w:bottom w:val="single" w:sz="4" w:space="0" w:color="auto"/>
            </w:tcBorders>
            <w:vAlign w:val="center"/>
          </w:tcPr>
          <w:p w:rsidR="00902ED9" w:rsidRPr="000D3F64" w:rsidRDefault="00902ED9" w:rsidP="00902ED9">
            <w:pPr>
              <w:snapToGrid w:val="0"/>
              <w:rPr>
                <w:rFonts w:ascii="Arial Narrow" w:hAnsi="Arial Narrow"/>
                <w:color w:val="000000"/>
                <w:sz w:val="20"/>
                <w:szCs w:val="18"/>
              </w:rPr>
            </w:pPr>
            <w:r w:rsidRPr="000D3F64">
              <w:rPr>
                <w:rFonts w:ascii="Arial Narrow" w:hAnsi="Arial Narrow"/>
                <w:b/>
                <w:color w:val="000000"/>
                <w:sz w:val="20"/>
                <w:szCs w:val="18"/>
              </w:rPr>
              <w:t>PFS: CALGB (</w:t>
            </w:r>
            <w:proofErr w:type="spellStart"/>
            <w:r w:rsidRPr="000D3F64">
              <w:rPr>
                <w:rFonts w:ascii="Arial Narrow" w:hAnsi="Arial Narrow"/>
                <w:b/>
                <w:color w:val="000000"/>
                <w:sz w:val="20"/>
                <w:szCs w:val="18"/>
              </w:rPr>
              <w:t>adj</w:t>
            </w:r>
            <w:proofErr w:type="spellEnd"/>
            <w:r w:rsidRPr="000D3F64">
              <w:rPr>
                <w:rFonts w:ascii="Arial Narrow" w:hAnsi="Arial Narrow"/>
                <w:b/>
                <w:color w:val="000000"/>
                <w:sz w:val="20"/>
                <w:szCs w:val="18"/>
              </w:rPr>
              <w:t>)</w:t>
            </w:r>
          </w:p>
        </w:tc>
        <w:tc>
          <w:tcPr>
            <w:tcW w:w="864" w:type="pct"/>
            <w:gridSpan w:val="2"/>
            <w:tcBorders>
              <w:top w:val="single" w:sz="4" w:space="0" w:color="auto"/>
              <w:bottom w:val="single" w:sz="4" w:space="0" w:color="auto"/>
            </w:tcBorders>
            <w:vAlign w:val="center"/>
          </w:tcPr>
          <w:p w:rsidR="00902ED9" w:rsidRPr="000D3F64" w:rsidRDefault="00902ED9" w:rsidP="00902ED9">
            <w:pPr>
              <w:snapToGrid w:val="0"/>
              <w:jc w:val="center"/>
              <w:rPr>
                <w:rFonts w:ascii="Arial Narrow" w:hAnsi="Arial Narrow"/>
                <w:b/>
                <w:color w:val="000000"/>
                <w:sz w:val="20"/>
                <w:szCs w:val="18"/>
              </w:rPr>
            </w:pPr>
          </w:p>
        </w:tc>
        <w:tc>
          <w:tcPr>
            <w:tcW w:w="871" w:type="pct"/>
            <w:gridSpan w:val="2"/>
            <w:tcBorders>
              <w:top w:val="single" w:sz="4" w:space="0" w:color="auto"/>
              <w:bottom w:val="single" w:sz="4" w:space="0" w:color="auto"/>
            </w:tcBorders>
            <w:vAlign w:val="center"/>
          </w:tcPr>
          <w:p w:rsidR="00902ED9" w:rsidRPr="000D3F64" w:rsidRDefault="00902ED9" w:rsidP="00902ED9">
            <w:pPr>
              <w:snapToGrid w:val="0"/>
              <w:jc w:val="center"/>
              <w:rPr>
                <w:rFonts w:ascii="Arial Narrow" w:hAnsi="Arial Narrow"/>
                <w:b/>
                <w:color w:val="000000"/>
                <w:sz w:val="20"/>
                <w:szCs w:val="18"/>
              </w:rPr>
            </w:pPr>
          </w:p>
        </w:tc>
        <w:tc>
          <w:tcPr>
            <w:tcW w:w="948" w:type="pct"/>
            <w:gridSpan w:val="2"/>
            <w:tcBorders>
              <w:top w:val="single" w:sz="4" w:space="0" w:color="auto"/>
              <w:bottom w:val="single" w:sz="4" w:space="0" w:color="auto"/>
            </w:tcBorders>
            <w:vAlign w:val="center"/>
          </w:tcPr>
          <w:p w:rsidR="00902ED9" w:rsidRPr="000D3F64" w:rsidRDefault="00902ED9" w:rsidP="00902ED9">
            <w:pPr>
              <w:snapToGrid w:val="0"/>
              <w:jc w:val="center"/>
              <w:rPr>
                <w:rFonts w:ascii="Arial Narrow" w:hAnsi="Arial Narrow"/>
                <w:b/>
                <w:color w:val="000000"/>
                <w:sz w:val="20"/>
                <w:szCs w:val="18"/>
              </w:rPr>
            </w:pPr>
          </w:p>
        </w:tc>
        <w:tc>
          <w:tcPr>
            <w:tcW w:w="880" w:type="pct"/>
            <w:tcBorders>
              <w:top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b/>
                <w:color w:val="000000"/>
                <w:sz w:val="20"/>
                <w:szCs w:val="18"/>
              </w:rPr>
            </w:pPr>
          </w:p>
        </w:tc>
      </w:tr>
      <w:tr w:rsidR="00902ED9" w:rsidRPr="000D3F64" w:rsidTr="005A19E5">
        <w:tc>
          <w:tcPr>
            <w:tcW w:w="1437" w:type="pct"/>
            <w:gridSpan w:val="2"/>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rPr>
                <w:rFonts w:ascii="Arial Narrow" w:hAnsi="Arial Narrow"/>
                <w:color w:val="000000"/>
                <w:sz w:val="20"/>
                <w:szCs w:val="18"/>
              </w:rPr>
            </w:pPr>
            <w:r w:rsidRPr="000D3F64">
              <w:rPr>
                <w:rFonts w:ascii="Arial Narrow" w:hAnsi="Arial Narrow"/>
                <w:color w:val="000000"/>
                <w:sz w:val="20"/>
                <w:szCs w:val="18"/>
              </w:rPr>
              <w:t>Progressed* n/N (%)</w:t>
            </w:r>
          </w:p>
        </w:tc>
        <w:tc>
          <w:tcPr>
            <w:tcW w:w="864" w:type="pct"/>
            <w:gridSpan w:val="2"/>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jc w:val="center"/>
              <w:rPr>
                <w:rFonts w:ascii="Arial Narrow" w:hAnsi="Arial Narrow"/>
                <w:sz w:val="20"/>
              </w:rPr>
            </w:pPr>
            <w:r w:rsidRPr="000D3F64">
              <w:rPr>
                <w:rFonts w:ascii="Arial Narrow" w:hAnsi="Arial Narrow"/>
                <w:sz w:val="20"/>
              </w:rPr>
              <w:t>NR</w:t>
            </w:r>
          </w:p>
        </w:tc>
        <w:tc>
          <w:tcPr>
            <w:tcW w:w="871" w:type="pct"/>
            <w:gridSpan w:val="2"/>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jc w:val="center"/>
              <w:rPr>
                <w:rFonts w:ascii="Arial Narrow" w:hAnsi="Arial Narrow"/>
                <w:sz w:val="20"/>
              </w:rPr>
            </w:pPr>
            <w:r w:rsidRPr="000D3F64">
              <w:rPr>
                <w:rFonts w:ascii="Arial Narrow" w:hAnsi="Arial Narrow"/>
                <w:sz w:val="20"/>
              </w:rPr>
              <w:t>NR</w:t>
            </w:r>
          </w:p>
        </w:tc>
        <w:tc>
          <w:tcPr>
            <w:tcW w:w="948" w:type="pct"/>
            <w:gridSpan w:val="2"/>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jc w:val="center"/>
              <w:rPr>
                <w:rFonts w:ascii="Arial Narrow" w:hAnsi="Arial Narrow"/>
                <w:i/>
                <w:color w:val="000000"/>
                <w:sz w:val="20"/>
                <w:szCs w:val="18"/>
              </w:rPr>
            </w:pPr>
            <w:r w:rsidRPr="000D3F64">
              <w:rPr>
                <w:rFonts w:ascii="Arial Narrow" w:hAnsi="Arial Narrow"/>
                <w:i/>
                <w:color w:val="000000"/>
                <w:sz w:val="20"/>
                <w:szCs w:val="18"/>
              </w:rPr>
              <w:t>NE</w:t>
            </w:r>
            <w:r w:rsidRPr="00052BFE">
              <w:rPr>
                <w:rFonts w:ascii="Times New Roman" w:hAnsi="Times New Roman" w:cs="Times New Roman"/>
                <w:i/>
                <w:color w:val="000000"/>
                <w:sz w:val="20"/>
                <w:szCs w:val="18"/>
                <w:vertAlign w:val="superscript"/>
              </w:rPr>
              <w:t>§</w:t>
            </w:r>
          </w:p>
        </w:tc>
        <w:tc>
          <w:tcPr>
            <w:tcW w:w="880" w:type="pct"/>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jc w:val="center"/>
              <w:rPr>
                <w:rFonts w:ascii="Arial Narrow" w:hAnsi="Arial Narrow"/>
                <w:b/>
                <w:color w:val="000000"/>
                <w:sz w:val="20"/>
                <w:szCs w:val="18"/>
              </w:rPr>
            </w:pPr>
            <w:r w:rsidRPr="000D3F64">
              <w:rPr>
                <w:rFonts w:ascii="Arial Narrow" w:hAnsi="Arial Narrow"/>
                <w:b/>
                <w:color w:val="000000"/>
                <w:sz w:val="20"/>
                <w:szCs w:val="18"/>
              </w:rPr>
              <w:t>0.52 (0.39,0.69)</w:t>
            </w:r>
          </w:p>
        </w:tc>
      </w:tr>
      <w:tr w:rsidR="00902ED9" w:rsidRPr="000D3F64" w:rsidTr="005A19E5">
        <w:tc>
          <w:tcPr>
            <w:tcW w:w="1437" w:type="pct"/>
            <w:gridSpan w:val="2"/>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rPr>
                <w:rFonts w:ascii="Arial Narrow" w:hAnsi="Arial Narrow"/>
                <w:color w:val="000000"/>
                <w:sz w:val="20"/>
                <w:szCs w:val="18"/>
              </w:rPr>
            </w:pPr>
            <w:r w:rsidRPr="000D3F64">
              <w:rPr>
                <w:rFonts w:ascii="Arial Narrow" w:hAnsi="Arial Narrow"/>
                <w:color w:val="000000"/>
                <w:sz w:val="20"/>
                <w:szCs w:val="18"/>
              </w:rPr>
              <w:t>Median (</w:t>
            </w:r>
            <w:proofErr w:type="spellStart"/>
            <w:r w:rsidRPr="000D3F64">
              <w:rPr>
                <w:rFonts w:ascii="Arial Narrow" w:hAnsi="Arial Narrow"/>
                <w:color w:val="000000"/>
                <w:sz w:val="20"/>
                <w:szCs w:val="18"/>
              </w:rPr>
              <w:t>mths</w:t>
            </w:r>
            <w:proofErr w:type="spellEnd"/>
            <w:r w:rsidRPr="000D3F64">
              <w:rPr>
                <w:rFonts w:ascii="Arial Narrow" w:hAnsi="Arial Narrow"/>
                <w:color w:val="000000"/>
                <w:sz w:val="20"/>
                <w:szCs w:val="18"/>
              </w:rPr>
              <w:t>)</w:t>
            </w:r>
          </w:p>
        </w:tc>
        <w:tc>
          <w:tcPr>
            <w:tcW w:w="864" w:type="pct"/>
            <w:gridSpan w:val="2"/>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jc w:val="center"/>
              <w:rPr>
                <w:rFonts w:ascii="Arial Narrow" w:hAnsi="Arial Narrow"/>
                <w:sz w:val="20"/>
              </w:rPr>
            </w:pPr>
            <w:r w:rsidRPr="000D3F64">
              <w:rPr>
                <w:rFonts w:ascii="Arial Narrow" w:hAnsi="Arial Narrow"/>
                <w:sz w:val="20"/>
              </w:rPr>
              <w:t>56.9 (22.1, NE)</w:t>
            </w:r>
          </w:p>
        </w:tc>
        <w:tc>
          <w:tcPr>
            <w:tcW w:w="871" w:type="pct"/>
            <w:gridSpan w:val="2"/>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jc w:val="center"/>
              <w:rPr>
                <w:rFonts w:ascii="Arial Narrow" w:hAnsi="Arial Narrow"/>
                <w:sz w:val="20"/>
              </w:rPr>
            </w:pPr>
            <w:r w:rsidRPr="000D3F64">
              <w:rPr>
                <w:rFonts w:ascii="Arial Narrow" w:hAnsi="Arial Narrow"/>
                <w:sz w:val="20"/>
              </w:rPr>
              <w:t>25.8 (10.9, 66.1)</w:t>
            </w:r>
          </w:p>
        </w:tc>
        <w:tc>
          <w:tcPr>
            <w:tcW w:w="948" w:type="pct"/>
            <w:gridSpan w:val="2"/>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jc w:val="center"/>
              <w:rPr>
                <w:rFonts w:ascii="Arial Narrow" w:hAnsi="Arial Narrow"/>
                <w:i/>
                <w:color w:val="000000"/>
                <w:sz w:val="20"/>
                <w:szCs w:val="18"/>
              </w:rPr>
            </w:pPr>
            <w:r w:rsidRPr="000D3F64">
              <w:rPr>
                <w:rFonts w:ascii="Arial Narrow" w:hAnsi="Arial Narrow"/>
                <w:i/>
                <w:color w:val="000000"/>
                <w:sz w:val="20"/>
                <w:szCs w:val="18"/>
              </w:rPr>
              <w:t>31.1</w:t>
            </w:r>
            <w:r w:rsidRPr="00052BFE">
              <w:rPr>
                <w:rFonts w:ascii="Times New Roman" w:hAnsi="Times New Roman" w:cs="Times New Roman"/>
                <w:i/>
                <w:color w:val="000000"/>
                <w:sz w:val="20"/>
                <w:szCs w:val="18"/>
                <w:vertAlign w:val="superscript"/>
              </w:rPr>
              <w:t>§</w:t>
            </w:r>
          </w:p>
        </w:tc>
        <w:tc>
          <w:tcPr>
            <w:tcW w:w="880" w:type="pct"/>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w:t>
            </w:r>
          </w:p>
        </w:tc>
      </w:tr>
      <w:tr w:rsidR="00902ED9" w:rsidRPr="000D3F64" w:rsidTr="005A19E5">
        <w:tc>
          <w:tcPr>
            <w:tcW w:w="1437"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rPr>
                <w:rFonts w:ascii="Arial Narrow" w:hAnsi="Arial Narrow"/>
                <w:color w:val="000000"/>
                <w:sz w:val="20"/>
                <w:szCs w:val="18"/>
              </w:rPr>
            </w:pPr>
          </w:p>
        </w:tc>
        <w:tc>
          <w:tcPr>
            <w:tcW w:w="864"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b/>
                <w:sz w:val="20"/>
              </w:rPr>
            </w:pPr>
            <w:r w:rsidRPr="000D3F64">
              <w:rPr>
                <w:rFonts w:ascii="Arial Narrow" w:hAnsi="Arial Narrow"/>
                <w:b/>
                <w:sz w:val="20"/>
              </w:rPr>
              <w:t xml:space="preserve">Thalidomide </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b/>
                <w:sz w:val="20"/>
              </w:rPr>
            </w:pPr>
            <w:r w:rsidRPr="000D3F64">
              <w:rPr>
                <w:rFonts w:ascii="Arial Narrow" w:hAnsi="Arial Narrow"/>
                <w:b/>
                <w:sz w:val="20"/>
              </w:rPr>
              <w:t>BSC</w:t>
            </w:r>
          </w:p>
        </w:tc>
        <w:tc>
          <w:tcPr>
            <w:tcW w:w="948"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b/>
                <w:color w:val="000000"/>
                <w:sz w:val="20"/>
                <w:szCs w:val="18"/>
              </w:rPr>
            </w:pPr>
            <w:r w:rsidRPr="000D3F64">
              <w:rPr>
                <w:rFonts w:ascii="Arial Narrow" w:hAnsi="Arial Narrow"/>
                <w:b/>
                <w:color w:val="000000"/>
                <w:sz w:val="20"/>
                <w:szCs w:val="18"/>
              </w:rPr>
              <w:t>Absolute Difference</w:t>
            </w:r>
          </w:p>
        </w:tc>
        <w:tc>
          <w:tcPr>
            <w:tcW w:w="880"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b/>
                <w:color w:val="000000"/>
                <w:sz w:val="20"/>
                <w:szCs w:val="18"/>
              </w:rPr>
            </w:pPr>
            <w:r w:rsidRPr="000D3F64">
              <w:rPr>
                <w:rFonts w:ascii="Arial Narrow" w:hAnsi="Arial Narrow"/>
                <w:b/>
                <w:color w:val="000000"/>
                <w:sz w:val="20"/>
                <w:szCs w:val="18"/>
              </w:rPr>
              <w:t>HR (95% CI)</w:t>
            </w:r>
          </w:p>
        </w:tc>
      </w:tr>
      <w:tr w:rsidR="00902ED9" w:rsidRPr="000D3F64" w:rsidTr="005A19E5">
        <w:tc>
          <w:tcPr>
            <w:tcW w:w="1437" w:type="pct"/>
            <w:gridSpan w:val="2"/>
            <w:tcBorders>
              <w:top w:val="single" w:sz="4" w:space="0" w:color="auto"/>
              <w:left w:val="single" w:sz="4" w:space="0" w:color="auto"/>
              <w:bottom w:val="single" w:sz="4" w:space="0" w:color="auto"/>
            </w:tcBorders>
            <w:vAlign w:val="center"/>
          </w:tcPr>
          <w:p w:rsidR="00902ED9" w:rsidRPr="000D3F64" w:rsidRDefault="00902ED9" w:rsidP="00902ED9">
            <w:pPr>
              <w:snapToGrid w:val="0"/>
              <w:rPr>
                <w:rFonts w:ascii="Arial Narrow" w:hAnsi="Arial Narrow"/>
                <w:color w:val="000000"/>
                <w:sz w:val="20"/>
                <w:szCs w:val="18"/>
              </w:rPr>
            </w:pPr>
            <w:r w:rsidRPr="000D3F64">
              <w:rPr>
                <w:rFonts w:ascii="Arial Narrow" w:hAnsi="Arial Narrow"/>
                <w:b/>
                <w:color w:val="000000"/>
                <w:sz w:val="20"/>
                <w:szCs w:val="18"/>
              </w:rPr>
              <w:t>PFS: Myeloma IX</w:t>
            </w:r>
          </w:p>
        </w:tc>
        <w:tc>
          <w:tcPr>
            <w:tcW w:w="864" w:type="pct"/>
            <w:gridSpan w:val="2"/>
            <w:tcBorders>
              <w:top w:val="single" w:sz="4" w:space="0" w:color="auto"/>
              <w:bottom w:val="single" w:sz="4" w:space="0" w:color="auto"/>
            </w:tcBorders>
            <w:vAlign w:val="center"/>
          </w:tcPr>
          <w:p w:rsidR="00902ED9" w:rsidRPr="000D3F64" w:rsidRDefault="00902ED9" w:rsidP="00902ED9">
            <w:pPr>
              <w:snapToGrid w:val="0"/>
              <w:jc w:val="center"/>
              <w:rPr>
                <w:rFonts w:ascii="Arial Narrow" w:hAnsi="Arial Narrow"/>
                <w:sz w:val="20"/>
              </w:rPr>
            </w:pPr>
          </w:p>
        </w:tc>
        <w:tc>
          <w:tcPr>
            <w:tcW w:w="871" w:type="pct"/>
            <w:gridSpan w:val="2"/>
            <w:tcBorders>
              <w:top w:val="single" w:sz="4" w:space="0" w:color="auto"/>
              <w:bottom w:val="single" w:sz="4" w:space="0" w:color="auto"/>
            </w:tcBorders>
            <w:vAlign w:val="center"/>
          </w:tcPr>
          <w:p w:rsidR="00902ED9" w:rsidRPr="000D3F64" w:rsidRDefault="00902ED9" w:rsidP="00902ED9">
            <w:pPr>
              <w:snapToGrid w:val="0"/>
              <w:jc w:val="center"/>
              <w:rPr>
                <w:rFonts w:ascii="Arial Narrow" w:hAnsi="Arial Narrow"/>
                <w:sz w:val="20"/>
              </w:rPr>
            </w:pPr>
          </w:p>
        </w:tc>
        <w:tc>
          <w:tcPr>
            <w:tcW w:w="948" w:type="pct"/>
            <w:gridSpan w:val="2"/>
            <w:tcBorders>
              <w:top w:val="single" w:sz="4" w:space="0" w:color="auto"/>
              <w:bottom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p>
        </w:tc>
        <w:tc>
          <w:tcPr>
            <w:tcW w:w="880" w:type="pct"/>
            <w:tcBorders>
              <w:top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p>
        </w:tc>
      </w:tr>
      <w:tr w:rsidR="00902ED9" w:rsidRPr="000D3F64" w:rsidTr="005A19E5">
        <w:tc>
          <w:tcPr>
            <w:tcW w:w="1437" w:type="pct"/>
            <w:gridSpan w:val="2"/>
            <w:tcBorders>
              <w:left w:val="single" w:sz="4" w:space="0" w:color="auto"/>
              <w:bottom w:val="single" w:sz="4" w:space="0" w:color="auto"/>
              <w:right w:val="single" w:sz="4" w:space="0" w:color="auto"/>
            </w:tcBorders>
          </w:tcPr>
          <w:p w:rsidR="00902ED9" w:rsidRPr="000D3F64" w:rsidRDefault="00902ED9" w:rsidP="00902ED9">
            <w:pPr>
              <w:snapToGrid w:val="0"/>
              <w:rPr>
                <w:rFonts w:ascii="Arial Narrow" w:hAnsi="Arial Narrow"/>
                <w:color w:val="000000"/>
                <w:sz w:val="20"/>
                <w:szCs w:val="18"/>
              </w:rPr>
            </w:pPr>
            <w:r w:rsidRPr="000D3F64">
              <w:rPr>
                <w:rFonts w:ascii="Arial Narrow" w:hAnsi="Arial Narrow"/>
                <w:color w:val="000000"/>
                <w:sz w:val="20"/>
                <w:szCs w:val="18"/>
              </w:rPr>
              <w:t>Progressed* n/N (%)</w:t>
            </w:r>
          </w:p>
        </w:tc>
        <w:tc>
          <w:tcPr>
            <w:tcW w:w="864"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sz w:val="20"/>
              </w:rPr>
            </w:pPr>
            <w:r w:rsidRPr="000D3F64">
              <w:rPr>
                <w:rFonts w:ascii="Arial Narrow" w:hAnsi="Arial Narrow"/>
                <w:sz w:val="20"/>
              </w:rPr>
              <w:t>NR</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sz w:val="20"/>
              </w:rPr>
            </w:pPr>
            <w:r w:rsidRPr="000D3F64">
              <w:rPr>
                <w:rFonts w:ascii="Arial Narrow" w:hAnsi="Arial Narrow"/>
                <w:sz w:val="20"/>
              </w:rPr>
              <w:t>NR</w:t>
            </w:r>
          </w:p>
        </w:tc>
        <w:tc>
          <w:tcPr>
            <w:tcW w:w="948"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i/>
                <w:color w:val="000000"/>
                <w:sz w:val="20"/>
                <w:szCs w:val="18"/>
              </w:rPr>
            </w:pPr>
            <w:r w:rsidRPr="000D3F64">
              <w:rPr>
                <w:rFonts w:ascii="Arial Narrow" w:hAnsi="Arial Narrow"/>
                <w:i/>
                <w:color w:val="000000"/>
                <w:sz w:val="20"/>
                <w:szCs w:val="18"/>
              </w:rPr>
              <w:t>NE</w:t>
            </w:r>
            <w:r w:rsidRPr="00052BFE">
              <w:rPr>
                <w:rFonts w:ascii="Times New Roman" w:hAnsi="Times New Roman" w:cs="Times New Roman"/>
                <w:i/>
                <w:color w:val="000000"/>
                <w:sz w:val="20"/>
                <w:szCs w:val="18"/>
                <w:vertAlign w:val="superscript"/>
              </w:rPr>
              <w:t>§</w:t>
            </w:r>
          </w:p>
        </w:tc>
        <w:tc>
          <w:tcPr>
            <w:tcW w:w="880"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b/>
                <w:color w:val="000000"/>
                <w:sz w:val="20"/>
                <w:szCs w:val="18"/>
              </w:rPr>
            </w:pPr>
            <w:r w:rsidRPr="000D3F64">
              <w:rPr>
                <w:rFonts w:ascii="Arial Narrow" w:hAnsi="Arial Narrow"/>
                <w:b/>
                <w:color w:val="000000"/>
                <w:sz w:val="20"/>
                <w:szCs w:val="18"/>
              </w:rPr>
              <w:t>0.70 (0.56, 0.88)</w:t>
            </w:r>
          </w:p>
        </w:tc>
      </w:tr>
      <w:tr w:rsidR="00902ED9" w:rsidRPr="000D3F64" w:rsidTr="005A19E5">
        <w:tc>
          <w:tcPr>
            <w:tcW w:w="1437" w:type="pct"/>
            <w:gridSpan w:val="2"/>
            <w:tcBorders>
              <w:top w:val="single" w:sz="4" w:space="0" w:color="auto"/>
              <w:left w:val="single" w:sz="4" w:space="0" w:color="auto"/>
              <w:bottom w:val="single" w:sz="4" w:space="0" w:color="auto"/>
              <w:right w:val="single" w:sz="4" w:space="0" w:color="auto"/>
            </w:tcBorders>
          </w:tcPr>
          <w:p w:rsidR="00902ED9" w:rsidRPr="000D3F64" w:rsidRDefault="00902ED9" w:rsidP="00902ED9">
            <w:pPr>
              <w:snapToGrid w:val="0"/>
              <w:rPr>
                <w:rFonts w:ascii="Arial Narrow" w:hAnsi="Arial Narrow"/>
                <w:color w:val="000000"/>
                <w:sz w:val="20"/>
                <w:szCs w:val="18"/>
              </w:rPr>
            </w:pPr>
            <w:r w:rsidRPr="000D3F64">
              <w:rPr>
                <w:rFonts w:ascii="Arial Narrow" w:hAnsi="Arial Narrow"/>
                <w:color w:val="000000"/>
                <w:sz w:val="20"/>
                <w:szCs w:val="18"/>
              </w:rPr>
              <w:t>Median (</w:t>
            </w:r>
            <w:proofErr w:type="spellStart"/>
            <w:r w:rsidRPr="000D3F64">
              <w:rPr>
                <w:rFonts w:ascii="Arial Narrow" w:hAnsi="Arial Narrow"/>
                <w:color w:val="000000"/>
                <w:sz w:val="20"/>
                <w:szCs w:val="18"/>
              </w:rPr>
              <w:t>mths</w:t>
            </w:r>
            <w:proofErr w:type="spellEnd"/>
            <w:r w:rsidRPr="000D3F64">
              <w:rPr>
                <w:rFonts w:ascii="Arial Narrow" w:hAnsi="Arial Narrow"/>
                <w:color w:val="000000"/>
                <w:sz w:val="20"/>
                <w:szCs w:val="18"/>
              </w:rPr>
              <w:t>)</w:t>
            </w:r>
          </w:p>
        </w:tc>
        <w:tc>
          <w:tcPr>
            <w:tcW w:w="864"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sz w:val="20"/>
              </w:rPr>
            </w:pPr>
            <w:r w:rsidRPr="000D3F64">
              <w:rPr>
                <w:rFonts w:ascii="Arial Narrow" w:hAnsi="Arial Narrow"/>
                <w:sz w:val="20"/>
              </w:rPr>
              <w:t>30 (NR)</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sz w:val="20"/>
              </w:rPr>
            </w:pPr>
            <w:r w:rsidRPr="000D3F64">
              <w:rPr>
                <w:rFonts w:ascii="Arial Narrow" w:hAnsi="Arial Narrow"/>
                <w:sz w:val="20"/>
              </w:rPr>
              <w:t>23 (NR)</w:t>
            </w:r>
          </w:p>
        </w:tc>
        <w:tc>
          <w:tcPr>
            <w:tcW w:w="948"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i/>
                <w:color w:val="000000"/>
                <w:sz w:val="20"/>
                <w:szCs w:val="18"/>
              </w:rPr>
            </w:pPr>
            <w:r w:rsidRPr="000D3F64">
              <w:rPr>
                <w:rFonts w:ascii="Arial Narrow" w:hAnsi="Arial Narrow"/>
                <w:i/>
                <w:color w:val="000000"/>
                <w:sz w:val="20"/>
                <w:szCs w:val="18"/>
              </w:rPr>
              <w:t>7</w:t>
            </w:r>
            <w:r w:rsidRPr="00052BFE">
              <w:rPr>
                <w:rFonts w:ascii="Times New Roman" w:hAnsi="Times New Roman" w:cs="Times New Roman"/>
                <w:i/>
                <w:color w:val="000000"/>
                <w:sz w:val="20"/>
                <w:szCs w:val="18"/>
                <w:vertAlign w:val="superscript"/>
              </w:rPr>
              <w:t>§</w:t>
            </w:r>
          </w:p>
        </w:tc>
        <w:tc>
          <w:tcPr>
            <w:tcW w:w="880"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w:t>
            </w:r>
          </w:p>
        </w:tc>
      </w:tr>
      <w:tr w:rsidR="00902ED9" w:rsidRPr="000D3F64" w:rsidTr="005A19E5">
        <w:tc>
          <w:tcPr>
            <w:tcW w:w="1437" w:type="pct"/>
            <w:gridSpan w:val="2"/>
            <w:tcBorders>
              <w:top w:val="single" w:sz="4" w:space="0" w:color="auto"/>
              <w:left w:val="single" w:sz="4" w:space="0" w:color="auto"/>
              <w:bottom w:val="single" w:sz="4" w:space="0" w:color="auto"/>
            </w:tcBorders>
          </w:tcPr>
          <w:p w:rsidR="00902ED9" w:rsidRPr="000D3F64" w:rsidRDefault="00902ED9" w:rsidP="00902ED9">
            <w:pPr>
              <w:snapToGrid w:val="0"/>
              <w:rPr>
                <w:rFonts w:ascii="Arial Narrow" w:hAnsi="Arial Narrow"/>
                <w:b/>
                <w:i/>
                <w:color w:val="000000"/>
                <w:sz w:val="20"/>
                <w:szCs w:val="18"/>
              </w:rPr>
            </w:pPr>
            <w:r w:rsidRPr="000D3F64">
              <w:rPr>
                <w:rFonts w:ascii="Arial Narrow" w:hAnsi="Arial Narrow"/>
                <w:b/>
                <w:i/>
                <w:color w:val="000000"/>
                <w:sz w:val="20"/>
                <w:szCs w:val="18"/>
              </w:rPr>
              <w:t>PFS: MM6</w:t>
            </w:r>
          </w:p>
        </w:tc>
        <w:tc>
          <w:tcPr>
            <w:tcW w:w="864" w:type="pct"/>
            <w:gridSpan w:val="2"/>
            <w:tcBorders>
              <w:top w:val="single" w:sz="4" w:space="0" w:color="auto"/>
              <w:bottom w:val="single" w:sz="4" w:space="0" w:color="auto"/>
            </w:tcBorders>
            <w:vAlign w:val="center"/>
          </w:tcPr>
          <w:p w:rsidR="00902ED9" w:rsidRPr="000D3F64" w:rsidRDefault="00902ED9" w:rsidP="00902ED9">
            <w:pPr>
              <w:snapToGrid w:val="0"/>
              <w:jc w:val="center"/>
              <w:rPr>
                <w:rFonts w:ascii="Arial Narrow" w:hAnsi="Arial Narrow"/>
                <w:i/>
                <w:sz w:val="20"/>
              </w:rPr>
            </w:pPr>
          </w:p>
        </w:tc>
        <w:tc>
          <w:tcPr>
            <w:tcW w:w="871" w:type="pct"/>
            <w:gridSpan w:val="2"/>
            <w:tcBorders>
              <w:top w:val="single" w:sz="4" w:space="0" w:color="auto"/>
              <w:bottom w:val="single" w:sz="4" w:space="0" w:color="auto"/>
            </w:tcBorders>
            <w:vAlign w:val="center"/>
          </w:tcPr>
          <w:p w:rsidR="00902ED9" w:rsidRPr="000D3F64" w:rsidRDefault="00902ED9" w:rsidP="00902ED9">
            <w:pPr>
              <w:snapToGrid w:val="0"/>
              <w:jc w:val="center"/>
              <w:rPr>
                <w:rFonts w:ascii="Arial Narrow" w:hAnsi="Arial Narrow"/>
                <w:i/>
                <w:sz w:val="20"/>
              </w:rPr>
            </w:pPr>
          </w:p>
        </w:tc>
        <w:tc>
          <w:tcPr>
            <w:tcW w:w="948" w:type="pct"/>
            <w:gridSpan w:val="2"/>
            <w:tcBorders>
              <w:top w:val="single" w:sz="4" w:space="0" w:color="auto"/>
              <w:bottom w:val="single" w:sz="4" w:space="0" w:color="auto"/>
            </w:tcBorders>
            <w:vAlign w:val="center"/>
          </w:tcPr>
          <w:p w:rsidR="00902ED9" w:rsidRPr="000D3F64" w:rsidRDefault="00902ED9" w:rsidP="00902ED9">
            <w:pPr>
              <w:snapToGrid w:val="0"/>
              <w:jc w:val="center"/>
              <w:rPr>
                <w:rFonts w:ascii="Arial Narrow" w:hAnsi="Arial Narrow"/>
                <w:i/>
                <w:color w:val="000000"/>
                <w:sz w:val="20"/>
                <w:szCs w:val="18"/>
              </w:rPr>
            </w:pPr>
          </w:p>
        </w:tc>
        <w:tc>
          <w:tcPr>
            <w:tcW w:w="880" w:type="pct"/>
            <w:tcBorders>
              <w:top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i/>
                <w:color w:val="000000"/>
                <w:sz w:val="20"/>
                <w:szCs w:val="18"/>
              </w:rPr>
            </w:pPr>
          </w:p>
        </w:tc>
      </w:tr>
      <w:tr w:rsidR="00902ED9" w:rsidRPr="000D3F64" w:rsidTr="005A19E5">
        <w:tc>
          <w:tcPr>
            <w:tcW w:w="1437" w:type="pct"/>
            <w:gridSpan w:val="2"/>
            <w:tcBorders>
              <w:left w:val="single" w:sz="4" w:space="0" w:color="auto"/>
              <w:bottom w:val="single" w:sz="4" w:space="0" w:color="auto"/>
              <w:right w:val="single" w:sz="4" w:space="0" w:color="auto"/>
            </w:tcBorders>
          </w:tcPr>
          <w:p w:rsidR="00902ED9" w:rsidRPr="000D3F64" w:rsidRDefault="00902ED9" w:rsidP="00902ED9">
            <w:pPr>
              <w:snapToGrid w:val="0"/>
              <w:rPr>
                <w:rFonts w:ascii="Arial Narrow" w:hAnsi="Arial Narrow"/>
                <w:i/>
                <w:color w:val="000000"/>
                <w:sz w:val="20"/>
                <w:szCs w:val="18"/>
              </w:rPr>
            </w:pPr>
            <w:r w:rsidRPr="000D3F64">
              <w:rPr>
                <w:rFonts w:ascii="Arial Narrow" w:hAnsi="Arial Narrow"/>
                <w:i/>
                <w:color w:val="000000"/>
                <w:sz w:val="20"/>
                <w:szCs w:val="18"/>
              </w:rPr>
              <w:t>Progressed* n/N (%)</w:t>
            </w:r>
          </w:p>
        </w:tc>
        <w:tc>
          <w:tcPr>
            <w:tcW w:w="864"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i/>
                <w:sz w:val="20"/>
              </w:rPr>
            </w:pPr>
            <w:r w:rsidRPr="000D3F64">
              <w:rPr>
                <w:rFonts w:ascii="Arial Narrow" w:hAnsi="Arial Narrow"/>
                <w:i/>
                <w:sz w:val="20"/>
              </w:rPr>
              <w:t>NR</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i/>
                <w:sz w:val="20"/>
              </w:rPr>
            </w:pPr>
            <w:r w:rsidRPr="000D3F64">
              <w:rPr>
                <w:rFonts w:ascii="Arial Narrow" w:hAnsi="Arial Narrow"/>
                <w:i/>
                <w:sz w:val="20"/>
              </w:rPr>
              <w:t>NR</w:t>
            </w:r>
          </w:p>
        </w:tc>
        <w:tc>
          <w:tcPr>
            <w:tcW w:w="948"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i/>
                <w:color w:val="000000"/>
                <w:sz w:val="20"/>
                <w:szCs w:val="18"/>
              </w:rPr>
            </w:pPr>
            <w:r w:rsidRPr="000D3F64">
              <w:rPr>
                <w:rFonts w:ascii="Arial Narrow" w:hAnsi="Arial Narrow"/>
                <w:i/>
                <w:color w:val="000000"/>
                <w:sz w:val="20"/>
                <w:szCs w:val="18"/>
              </w:rPr>
              <w:t>NE</w:t>
            </w:r>
          </w:p>
        </w:tc>
        <w:tc>
          <w:tcPr>
            <w:tcW w:w="880"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i/>
                <w:color w:val="000000"/>
                <w:sz w:val="20"/>
                <w:szCs w:val="18"/>
              </w:rPr>
            </w:pPr>
            <w:r w:rsidRPr="000D3F64">
              <w:rPr>
                <w:rFonts w:ascii="Arial Narrow" w:hAnsi="Arial Narrow"/>
                <w:i/>
                <w:color w:val="000000"/>
                <w:sz w:val="20"/>
                <w:szCs w:val="18"/>
              </w:rPr>
              <w:t>NR</w:t>
            </w:r>
          </w:p>
        </w:tc>
      </w:tr>
      <w:tr w:rsidR="00902ED9" w:rsidRPr="000D3F64" w:rsidTr="005A19E5">
        <w:tc>
          <w:tcPr>
            <w:tcW w:w="1437" w:type="pct"/>
            <w:gridSpan w:val="2"/>
            <w:tcBorders>
              <w:top w:val="single" w:sz="4" w:space="0" w:color="auto"/>
              <w:left w:val="single" w:sz="4" w:space="0" w:color="auto"/>
              <w:bottom w:val="single" w:sz="4" w:space="0" w:color="auto"/>
              <w:right w:val="single" w:sz="4" w:space="0" w:color="auto"/>
            </w:tcBorders>
          </w:tcPr>
          <w:p w:rsidR="00902ED9" w:rsidRPr="000D3F64" w:rsidRDefault="00902ED9" w:rsidP="00902ED9">
            <w:pPr>
              <w:snapToGrid w:val="0"/>
              <w:rPr>
                <w:rFonts w:ascii="Arial Narrow" w:hAnsi="Arial Narrow"/>
                <w:i/>
                <w:color w:val="000000"/>
                <w:sz w:val="20"/>
                <w:szCs w:val="18"/>
              </w:rPr>
            </w:pPr>
            <w:r w:rsidRPr="000D3F64">
              <w:rPr>
                <w:rFonts w:ascii="Arial Narrow" w:hAnsi="Arial Narrow"/>
                <w:i/>
                <w:color w:val="000000"/>
                <w:sz w:val="20"/>
                <w:szCs w:val="18"/>
              </w:rPr>
              <w:t>Median (</w:t>
            </w:r>
            <w:proofErr w:type="spellStart"/>
            <w:r w:rsidRPr="000D3F64">
              <w:rPr>
                <w:rFonts w:ascii="Arial Narrow" w:hAnsi="Arial Narrow"/>
                <w:i/>
                <w:color w:val="000000"/>
                <w:sz w:val="20"/>
                <w:szCs w:val="18"/>
              </w:rPr>
              <w:t>mths</w:t>
            </w:r>
            <w:proofErr w:type="spellEnd"/>
            <w:r w:rsidRPr="000D3F64">
              <w:rPr>
                <w:rFonts w:ascii="Arial Narrow" w:hAnsi="Arial Narrow"/>
                <w:i/>
                <w:color w:val="000000"/>
                <w:sz w:val="20"/>
                <w:szCs w:val="18"/>
              </w:rPr>
              <w:t>)</w:t>
            </w:r>
          </w:p>
        </w:tc>
        <w:tc>
          <w:tcPr>
            <w:tcW w:w="864"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i/>
                <w:sz w:val="20"/>
              </w:rPr>
            </w:pPr>
            <w:r w:rsidRPr="000D3F64">
              <w:rPr>
                <w:rFonts w:ascii="Arial Narrow" w:hAnsi="Arial Narrow"/>
                <w:i/>
                <w:sz w:val="20"/>
              </w:rPr>
              <w:t>32.4 (25.2, 38.4)</w:t>
            </w:r>
            <w:r w:rsidRPr="00052BFE">
              <w:rPr>
                <w:rFonts w:ascii="Times New Roman" w:hAnsi="Times New Roman" w:cs="Times New Roman"/>
                <w:i/>
                <w:color w:val="000000"/>
                <w:sz w:val="20"/>
                <w:szCs w:val="18"/>
                <w:vertAlign w:val="superscript"/>
              </w:rPr>
              <w:t xml:space="preserve"> §</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i/>
                <w:sz w:val="20"/>
              </w:rPr>
            </w:pPr>
            <w:r w:rsidRPr="000D3F64">
              <w:rPr>
                <w:rFonts w:ascii="Arial Narrow" w:hAnsi="Arial Narrow"/>
                <w:i/>
                <w:sz w:val="20"/>
              </w:rPr>
              <w:t>18.0 (13.2, 21.6)</w:t>
            </w:r>
            <w:r w:rsidRPr="00052BFE">
              <w:rPr>
                <w:rFonts w:ascii="Times New Roman" w:hAnsi="Times New Roman" w:cs="Times New Roman"/>
                <w:i/>
                <w:color w:val="000000"/>
                <w:sz w:val="20"/>
                <w:szCs w:val="18"/>
                <w:vertAlign w:val="superscript"/>
              </w:rPr>
              <w:t xml:space="preserve"> §</w:t>
            </w:r>
          </w:p>
        </w:tc>
        <w:tc>
          <w:tcPr>
            <w:tcW w:w="948"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i/>
                <w:color w:val="000000"/>
                <w:sz w:val="20"/>
                <w:szCs w:val="18"/>
              </w:rPr>
            </w:pPr>
            <w:r w:rsidRPr="000D3F64">
              <w:rPr>
                <w:rFonts w:ascii="Arial Narrow" w:hAnsi="Arial Narrow"/>
                <w:i/>
                <w:color w:val="000000"/>
                <w:sz w:val="20"/>
                <w:szCs w:val="18"/>
              </w:rPr>
              <w:t>14.4</w:t>
            </w:r>
            <w:r w:rsidRPr="00052BFE">
              <w:rPr>
                <w:rFonts w:ascii="Times New Roman" w:hAnsi="Times New Roman" w:cs="Times New Roman"/>
                <w:i/>
                <w:color w:val="000000"/>
                <w:sz w:val="20"/>
                <w:szCs w:val="18"/>
                <w:vertAlign w:val="superscript"/>
              </w:rPr>
              <w:t>§</w:t>
            </w:r>
          </w:p>
        </w:tc>
        <w:tc>
          <w:tcPr>
            <w:tcW w:w="880"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b/>
                <w:i/>
                <w:color w:val="000000"/>
                <w:sz w:val="20"/>
                <w:szCs w:val="18"/>
              </w:rPr>
            </w:pPr>
            <w:r w:rsidRPr="000D3F64">
              <w:rPr>
                <w:rFonts w:ascii="Arial Narrow" w:hAnsi="Arial Narrow"/>
                <w:b/>
                <w:i/>
                <w:color w:val="000000"/>
                <w:sz w:val="20"/>
                <w:szCs w:val="18"/>
              </w:rPr>
              <w:t>0.16 (0.04, 0.58)</w:t>
            </w:r>
            <w:r w:rsidRPr="00052BFE">
              <w:rPr>
                <w:rFonts w:ascii="Times New Roman" w:hAnsi="Times New Roman" w:cs="Times New Roman"/>
                <w:i/>
                <w:color w:val="000000"/>
                <w:sz w:val="20"/>
                <w:szCs w:val="18"/>
                <w:vertAlign w:val="superscript"/>
              </w:rPr>
              <w:t xml:space="preserve"> §</w:t>
            </w:r>
          </w:p>
        </w:tc>
      </w:tr>
      <w:tr w:rsidR="00902ED9" w:rsidRPr="000D3F64" w:rsidTr="005A19E5">
        <w:tc>
          <w:tcPr>
            <w:tcW w:w="1437"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rPr>
                <w:rFonts w:ascii="Arial Narrow" w:hAnsi="Arial Narrow"/>
                <w:b/>
                <w:color w:val="000000"/>
                <w:sz w:val="20"/>
                <w:szCs w:val="18"/>
              </w:rPr>
            </w:pPr>
          </w:p>
        </w:tc>
        <w:tc>
          <w:tcPr>
            <w:tcW w:w="864"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proofErr w:type="spellStart"/>
            <w:r w:rsidRPr="000D3F64">
              <w:rPr>
                <w:rFonts w:ascii="Arial Narrow" w:hAnsi="Arial Narrow"/>
                <w:b/>
                <w:color w:val="000000"/>
                <w:sz w:val="20"/>
                <w:szCs w:val="18"/>
              </w:rPr>
              <w:t>Lenalidomide</w:t>
            </w:r>
            <w:proofErr w:type="spellEnd"/>
          </w:p>
        </w:tc>
        <w:tc>
          <w:tcPr>
            <w:tcW w:w="871"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sz w:val="20"/>
              </w:rPr>
            </w:pPr>
            <w:r w:rsidRPr="000D3F64">
              <w:rPr>
                <w:rFonts w:ascii="Arial Narrow" w:hAnsi="Arial Narrow"/>
                <w:b/>
                <w:color w:val="000000"/>
                <w:sz w:val="20"/>
                <w:szCs w:val="18"/>
              </w:rPr>
              <w:t>BSC</w:t>
            </w:r>
          </w:p>
        </w:tc>
        <w:tc>
          <w:tcPr>
            <w:tcW w:w="948"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b/>
                <w:color w:val="000000"/>
                <w:sz w:val="20"/>
                <w:szCs w:val="18"/>
              </w:rPr>
              <w:t>Absolute Difference</w:t>
            </w:r>
          </w:p>
        </w:tc>
        <w:tc>
          <w:tcPr>
            <w:tcW w:w="880"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b/>
                <w:color w:val="000000"/>
                <w:sz w:val="20"/>
                <w:szCs w:val="18"/>
              </w:rPr>
              <w:t>HR (95% CI)</w:t>
            </w:r>
          </w:p>
        </w:tc>
      </w:tr>
      <w:tr w:rsidR="00902ED9" w:rsidRPr="000D3F64" w:rsidTr="005A19E5">
        <w:tc>
          <w:tcPr>
            <w:tcW w:w="1437" w:type="pct"/>
            <w:gridSpan w:val="2"/>
            <w:tcBorders>
              <w:top w:val="single" w:sz="4" w:space="0" w:color="auto"/>
              <w:left w:val="single" w:sz="4" w:space="0" w:color="auto"/>
              <w:bottom w:val="single" w:sz="4" w:space="0" w:color="auto"/>
            </w:tcBorders>
            <w:vAlign w:val="center"/>
          </w:tcPr>
          <w:p w:rsidR="00902ED9" w:rsidRPr="000D3F64" w:rsidRDefault="00902ED9" w:rsidP="00902ED9">
            <w:pPr>
              <w:snapToGrid w:val="0"/>
              <w:rPr>
                <w:rFonts w:ascii="Arial Narrow" w:hAnsi="Arial Narrow"/>
                <w:b/>
                <w:color w:val="000000"/>
                <w:sz w:val="20"/>
                <w:szCs w:val="18"/>
              </w:rPr>
            </w:pPr>
            <w:r w:rsidRPr="000D3F64">
              <w:rPr>
                <w:rFonts w:ascii="Arial Narrow" w:hAnsi="Arial Narrow"/>
                <w:b/>
                <w:color w:val="000000"/>
                <w:sz w:val="20"/>
                <w:szCs w:val="18"/>
              </w:rPr>
              <w:t>OS: CALGB (</w:t>
            </w:r>
            <w:proofErr w:type="spellStart"/>
            <w:r w:rsidRPr="000D3F64">
              <w:rPr>
                <w:rFonts w:ascii="Arial Narrow" w:hAnsi="Arial Narrow"/>
                <w:b/>
                <w:color w:val="000000"/>
                <w:sz w:val="20"/>
                <w:szCs w:val="18"/>
              </w:rPr>
              <w:t>adj</w:t>
            </w:r>
            <w:proofErr w:type="spellEnd"/>
            <w:r w:rsidRPr="000D3F64">
              <w:rPr>
                <w:rFonts w:ascii="Arial Narrow" w:hAnsi="Arial Narrow"/>
                <w:b/>
                <w:color w:val="000000"/>
                <w:sz w:val="20"/>
                <w:szCs w:val="18"/>
              </w:rPr>
              <w:t>)</w:t>
            </w:r>
          </w:p>
        </w:tc>
        <w:tc>
          <w:tcPr>
            <w:tcW w:w="864" w:type="pct"/>
            <w:gridSpan w:val="2"/>
            <w:tcBorders>
              <w:top w:val="single" w:sz="4" w:space="0" w:color="auto"/>
              <w:bottom w:val="single" w:sz="4" w:space="0" w:color="auto"/>
            </w:tcBorders>
            <w:vAlign w:val="center"/>
          </w:tcPr>
          <w:p w:rsidR="00902ED9" w:rsidRPr="000D3F64" w:rsidRDefault="00902ED9" w:rsidP="00902ED9">
            <w:pPr>
              <w:snapToGrid w:val="0"/>
              <w:jc w:val="center"/>
              <w:rPr>
                <w:rFonts w:ascii="Arial Narrow" w:hAnsi="Arial Narrow"/>
                <w:b/>
                <w:color w:val="000000"/>
                <w:sz w:val="20"/>
                <w:szCs w:val="18"/>
              </w:rPr>
            </w:pPr>
          </w:p>
        </w:tc>
        <w:tc>
          <w:tcPr>
            <w:tcW w:w="871" w:type="pct"/>
            <w:gridSpan w:val="2"/>
            <w:tcBorders>
              <w:top w:val="single" w:sz="4" w:space="0" w:color="auto"/>
              <w:bottom w:val="single" w:sz="4" w:space="0" w:color="auto"/>
            </w:tcBorders>
            <w:vAlign w:val="center"/>
          </w:tcPr>
          <w:p w:rsidR="00902ED9" w:rsidRPr="000D3F64" w:rsidRDefault="00902ED9" w:rsidP="00902ED9">
            <w:pPr>
              <w:snapToGrid w:val="0"/>
              <w:jc w:val="center"/>
              <w:rPr>
                <w:rFonts w:ascii="Arial Narrow" w:hAnsi="Arial Narrow"/>
                <w:b/>
                <w:color w:val="000000"/>
                <w:sz w:val="20"/>
                <w:szCs w:val="18"/>
              </w:rPr>
            </w:pPr>
          </w:p>
        </w:tc>
        <w:tc>
          <w:tcPr>
            <w:tcW w:w="948" w:type="pct"/>
            <w:gridSpan w:val="2"/>
            <w:tcBorders>
              <w:top w:val="single" w:sz="4" w:space="0" w:color="auto"/>
              <w:bottom w:val="single" w:sz="4" w:space="0" w:color="auto"/>
            </w:tcBorders>
            <w:vAlign w:val="center"/>
          </w:tcPr>
          <w:p w:rsidR="00902ED9" w:rsidRPr="000D3F64" w:rsidRDefault="00902ED9" w:rsidP="00902ED9">
            <w:pPr>
              <w:snapToGrid w:val="0"/>
              <w:jc w:val="center"/>
              <w:rPr>
                <w:rFonts w:ascii="Arial Narrow" w:hAnsi="Arial Narrow"/>
                <w:b/>
                <w:color w:val="000000"/>
                <w:sz w:val="20"/>
                <w:szCs w:val="18"/>
              </w:rPr>
            </w:pPr>
          </w:p>
        </w:tc>
        <w:tc>
          <w:tcPr>
            <w:tcW w:w="880" w:type="pct"/>
            <w:tcBorders>
              <w:top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b/>
                <w:color w:val="000000"/>
                <w:sz w:val="20"/>
                <w:szCs w:val="18"/>
              </w:rPr>
            </w:pPr>
          </w:p>
        </w:tc>
      </w:tr>
      <w:tr w:rsidR="00902ED9" w:rsidRPr="000D3F64" w:rsidTr="005A19E5">
        <w:tc>
          <w:tcPr>
            <w:tcW w:w="1437"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rPr>
                <w:rFonts w:ascii="Arial Narrow" w:hAnsi="Arial Narrow"/>
                <w:color w:val="000000"/>
                <w:sz w:val="20"/>
                <w:szCs w:val="18"/>
              </w:rPr>
            </w:pPr>
            <w:r w:rsidRPr="000D3F64">
              <w:rPr>
                <w:rFonts w:ascii="Arial Narrow" w:hAnsi="Arial Narrow"/>
                <w:color w:val="000000"/>
                <w:sz w:val="20"/>
                <w:szCs w:val="18"/>
              </w:rPr>
              <w:t>Dead* n/N (%)</w:t>
            </w:r>
          </w:p>
        </w:tc>
        <w:tc>
          <w:tcPr>
            <w:tcW w:w="864"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NR</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sz w:val="20"/>
              </w:rPr>
            </w:pPr>
            <w:r w:rsidRPr="000D3F64">
              <w:rPr>
                <w:rFonts w:ascii="Arial Narrow" w:hAnsi="Arial Narrow"/>
                <w:sz w:val="20"/>
              </w:rPr>
              <w:t>NR</w:t>
            </w:r>
          </w:p>
        </w:tc>
        <w:tc>
          <w:tcPr>
            <w:tcW w:w="948"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w:t>
            </w:r>
          </w:p>
        </w:tc>
        <w:tc>
          <w:tcPr>
            <w:tcW w:w="880"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w:t>
            </w:r>
          </w:p>
        </w:tc>
      </w:tr>
      <w:tr w:rsidR="00902ED9" w:rsidRPr="000D3F64" w:rsidTr="005A19E5">
        <w:tc>
          <w:tcPr>
            <w:tcW w:w="1437"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rPr>
                <w:rFonts w:ascii="Arial Narrow" w:hAnsi="Arial Narrow"/>
                <w:color w:val="000000"/>
                <w:sz w:val="20"/>
                <w:szCs w:val="18"/>
              </w:rPr>
            </w:pPr>
            <w:r w:rsidRPr="000D3F64">
              <w:rPr>
                <w:rFonts w:ascii="Arial Narrow" w:hAnsi="Arial Narrow"/>
                <w:color w:val="000000"/>
                <w:sz w:val="20"/>
                <w:szCs w:val="18"/>
              </w:rPr>
              <w:t>Median (</w:t>
            </w:r>
            <w:proofErr w:type="spellStart"/>
            <w:r w:rsidRPr="000D3F64">
              <w:rPr>
                <w:rFonts w:ascii="Arial Narrow" w:hAnsi="Arial Narrow"/>
                <w:color w:val="000000"/>
                <w:sz w:val="20"/>
                <w:szCs w:val="18"/>
              </w:rPr>
              <w:t>mths</w:t>
            </w:r>
            <w:proofErr w:type="spellEnd"/>
            <w:r w:rsidRPr="000D3F64">
              <w:rPr>
                <w:rFonts w:ascii="Arial Narrow" w:hAnsi="Arial Narrow"/>
                <w:color w:val="000000"/>
                <w:sz w:val="20"/>
                <w:szCs w:val="18"/>
              </w:rPr>
              <w:t>)</w:t>
            </w:r>
          </w:p>
        </w:tc>
        <w:tc>
          <w:tcPr>
            <w:tcW w:w="864"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111.0 (59.4, NE)</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sz w:val="20"/>
              </w:rPr>
            </w:pPr>
            <w:r w:rsidRPr="000D3F64">
              <w:rPr>
                <w:rFonts w:ascii="Arial Narrow" w:hAnsi="Arial Narrow"/>
                <w:sz w:val="20"/>
              </w:rPr>
              <w:t>72.2 (34.6, 110.7)</w:t>
            </w:r>
          </w:p>
        </w:tc>
        <w:tc>
          <w:tcPr>
            <w:tcW w:w="948"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i/>
                <w:color w:val="000000"/>
                <w:sz w:val="20"/>
                <w:szCs w:val="18"/>
              </w:rPr>
            </w:pPr>
            <w:r w:rsidRPr="000D3F64">
              <w:rPr>
                <w:rFonts w:ascii="Arial Narrow" w:hAnsi="Arial Narrow"/>
                <w:i/>
                <w:color w:val="000000"/>
                <w:sz w:val="20"/>
                <w:szCs w:val="18"/>
              </w:rPr>
              <w:t>38.8</w:t>
            </w:r>
          </w:p>
        </w:tc>
        <w:tc>
          <w:tcPr>
            <w:tcW w:w="880"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b/>
                <w:color w:val="000000"/>
                <w:sz w:val="20"/>
                <w:szCs w:val="18"/>
              </w:rPr>
            </w:pPr>
            <w:r w:rsidRPr="000D3F64">
              <w:rPr>
                <w:rFonts w:ascii="Arial Narrow" w:hAnsi="Arial Narrow"/>
                <w:b/>
                <w:color w:val="000000"/>
                <w:sz w:val="20"/>
                <w:szCs w:val="18"/>
              </w:rPr>
              <w:t>0.51 (0.37, 0.74)</w:t>
            </w:r>
          </w:p>
        </w:tc>
      </w:tr>
      <w:tr w:rsidR="00902ED9" w:rsidRPr="000D3F64" w:rsidTr="005A19E5">
        <w:tc>
          <w:tcPr>
            <w:tcW w:w="1437"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rPr>
                <w:rFonts w:ascii="Arial Narrow" w:hAnsi="Arial Narrow"/>
                <w:color w:val="000000"/>
                <w:sz w:val="20"/>
                <w:szCs w:val="18"/>
              </w:rPr>
            </w:pPr>
          </w:p>
        </w:tc>
        <w:tc>
          <w:tcPr>
            <w:tcW w:w="864"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b/>
                <w:sz w:val="20"/>
              </w:rPr>
              <w:t>Thalidomide</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sz w:val="20"/>
              </w:rPr>
            </w:pPr>
            <w:r w:rsidRPr="000D3F64">
              <w:rPr>
                <w:rFonts w:ascii="Arial Narrow" w:hAnsi="Arial Narrow"/>
                <w:b/>
                <w:sz w:val="20"/>
              </w:rPr>
              <w:t>BSC</w:t>
            </w:r>
          </w:p>
        </w:tc>
        <w:tc>
          <w:tcPr>
            <w:tcW w:w="948"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b/>
                <w:color w:val="000000"/>
                <w:sz w:val="20"/>
                <w:szCs w:val="18"/>
              </w:rPr>
              <w:t>Absolute Difference</w:t>
            </w:r>
          </w:p>
        </w:tc>
        <w:tc>
          <w:tcPr>
            <w:tcW w:w="880"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b/>
                <w:color w:val="000000"/>
                <w:sz w:val="20"/>
                <w:szCs w:val="18"/>
              </w:rPr>
              <w:t>HR (95% CI)</w:t>
            </w:r>
          </w:p>
        </w:tc>
      </w:tr>
      <w:tr w:rsidR="00902ED9" w:rsidRPr="000D3F64" w:rsidTr="005A19E5">
        <w:tc>
          <w:tcPr>
            <w:tcW w:w="1437" w:type="pct"/>
            <w:gridSpan w:val="2"/>
            <w:tcBorders>
              <w:top w:val="single" w:sz="4" w:space="0" w:color="auto"/>
              <w:left w:val="single" w:sz="4" w:space="0" w:color="auto"/>
              <w:bottom w:val="single" w:sz="4" w:space="0" w:color="auto"/>
            </w:tcBorders>
            <w:vAlign w:val="center"/>
          </w:tcPr>
          <w:p w:rsidR="00902ED9" w:rsidRPr="000D3F64" w:rsidRDefault="00902ED9" w:rsidP="00902ED9">
            <w:pPr>
              <w:snapToGrid w:val="0"/>
              <w:rPr>
                <w:rFonts w:ascii="Arial Narrow" w:hAnsi="Arial Narrow"/>
                <w:color w:val="000000"/>
                <w:sz w:val="20"/>
                <w:szCs w:val="18"/>
              </w:rPr>
            </w:pPr>
            <w:r w:rsidRPr="000D3F64">
              <w:rPr>
                <w:rFonts w:ascii="Arial Narrow" w:hAnsi="Arial Narrow"/>
                <w:b/>
                <w:color w:val="000000"/>
                <w:sz w:val="20"/>
                <w:szCs w:val="18"/>
              </w:rPr>
              <w:t>OS: Myeloma IX</w:t>
            </w:r>
          </w:p>
        </w:tc>
        <w:tc>
          <w:tcPr>
            <w:tcW w:w="864" w:type="pct"/>
            <w:gridSpan w:val="2"/>
            <w:tcBorders>
              <w:top w:val="single" w:sz="4" w:space="0" w:color="auto"/>
              <w:bottom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p>
        </w:tc>
        <w:tc>
          <w:tcPr>
            <w:tcW w:w="871" w:type="pct"/>
            <w:gridSpan w:val="2"/>
            <w:tcBorders>
              <w:top w:val="single" w:sz="4" w:space="0" w:color="auto"/>
              <w:bottom w:val="single" w:sz="4" w:space="0" w:color="auto"/>
            </w:tcBorders>
            <w:vAlign w:val="center"/>
          </w:tcPr>
          <w:p w:rsidR="00902ED9" w:rsidRPr="000D3F64" w:rsidRDefault="00902ED9" w:rsidP="00902ED9">
            <w:pPr>
              <w:snapToGrid w:val="0"/>
              <w:jc w:val="center"/>
              <w:rPr>
                <w:rFonts w:ascii="Arial Narrow" w:hAnsi="Arial Narrow"/>
                <w:sz w:val="20"/>
              </w:rPr>
            </w:pPr>
          </w:p>
        </w:tc>
        <w:tc>
          <w:tcPr>
            <w:tcW w:w="948" w:type="pct"/>
            <w:gridSpan w:val="2"/>
            <w:tcBorders>
              <w:top w:val="single" w:sz="4" w:space="0" w:color="auto"/>
              <w:bottom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p>
        </w:tc>
        <w:tc>
          <w:tcPr>
            <w:tcW w:w="880" w:type="pct"/>
            <w:tcBorders>
              <w:top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p>
        </w:tc>
      </w:tr>
      <w:tr w:rsidR="00902ED9" w:rsidRPr="000D3F64" w:rsidTr="005A19E5">
        <w:tc>
          <w:tcPr>
            <w:tcW w:w="1437" w:type="pct"/>
            <w:gridSpan w:val="2"/>
            <w:tcBorders>
              <w:left w:val="single" w:sz="4" w:space="0" w:color="auto"/>
              <w:bottom w:val="single" w:sz="4" w:space="0" w:color="auto"/>
              <w:right w:val="single" w:sz="4" w:space="0" w:color="auto"/>
            </w:tcBorders>
          </w:tcPr>
          <w:p w:rsidR="00902ED9" w:rsidRPr="000D3F64" w:rsidRDefault="00902ED9" w:rsidP="00902ED9">
            <w:pPr>
              <w:snapToGrid w:val="0"/>
              <w:rPr>
                <w:rFonts w:ascii="Arial Narrow" w:hAnsi="Arial Narrow"/>
                <w:color w:val="000000"/>
                <w:sz w:val="20"/>
                <w:szCs w:val="18"/>
              </w:rPr>
            </w:pPr>
            <w:r w:rsidRPr="000D3F64">
              <w:rPr>
                <w:rFonts w:ascii="Arial Narrow" w:hAnsi="Arial Narrow"/>
                <w:color w:val="000000"/>
                <w:sz w:val="20"/>
                <w:szCs w:val="18"/>
              </w:rPr>
              <w:t>Dead* n/N (%)</w:t>
            </w:r>
          </w:p>
        </w:tc>
        <w:tc>
          <w:tcPr>
            <w:tcW w:w="864"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NR</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sz w:val="20"/>
              </w:rPr>
            </w:pPr>
            <w:r w:rsidRPr="000D3F64">
              <w:rPr>
                <w:rFonts w:ascii="Arial Narrow" w:hAnsi="Arial Narrow"/>
                <w:sz w:val="20"/>
              </w:rPr>
              <w:t>NR</w:t>
            </w:r>
          </w:p>
        </w:tc>
        <w:tc>
          <w:tcPr>
            <w:tcW w:w="948"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w:t>
            </w:r>
          </w:p>
        </w:tc>
        <w:tc>
          <w:tcPr>
            <w:tcW w:w="880"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w:t>
            </w:r>
          </w:p>
        </w:tc>
      </w:tr>
      <w:tr w:rsidR="00902ED9" w:rsidRPr="000D3F64" w:rsidTr="005A19E5">
        <w:tc>
          <w:tcPr>
            <w:tcW w:w="1437" w:type="pct"/>
            <w:gridSpan w:val="2"/>
            <w:tcBorders>
              <w:top w:val="single" w:sz="4" w:space="0" w:color="auto"/>
              <w:left w:val="single" w:sz="4" w:space="0" w:color="auto"/>
              <w:bottom w:val="single" w:sz="4" w:space="0" w:color="auto"/>
              <w:right w:val="single" w:sz="4" w:space="0" w:color="auto"/>
            </w:tcBorders>
          </w:tcPr>
          <w:p w:rsidR="00902ED9" w:rsidRPr="000D3F64" w:rsidRDefault="00902ED9" w:rsidP="00902ED9">
            <w:pPr>
              <w:snapToGrid w:val="0"/>
              <w:rPr>
                <w:rFonts w:ascii="Arial Narrow" w:hAnsi="Arial Narrow"/>
                <w:color w:val="000000"/>
                <w:sz w:val="20"/>
                <w:szCs w:val="18"/>
              </w:rPr>
            </w:pPr>
            <w:r w:rsidRPr="000D3F64">
              <w:rPr>
                <w:rFonts w:ascii="Arial Narrow" w:hAnsi="Arial Narrow"/>
                <w:color w:val="000000"/>
                <w:sz w:val="20"/>
                <w:szCs w:val="18"/>
              </w:rPr>
              <w:t>Median (</w:t>
            </w:r>
            <w:proofErr w:type="spellStart"/>
            <w:r w:rsidRPr="000D3F64">
              <w:rPr>
                <w:rFonts w:ascii="Arial Narrow" w:hAnsi="Arial Narrow"/>
                <w:color w:val="000000"/>
                <w:sz w:val="20"/>
                <w:szCs w:val="18"/>
              </w:rPr>
              <w:t>mths</w:t>
            </w:r>
            <w:proofErr w:type="spellEnd"/>
            <w:r w:rsidRPr="000D3F64">
              <w:rPr>
                <w:rFonts w:ascii="Arial Narrow" w:hAnsi="Arial Narrow"/>
                <w:color w:val="000000"/>
                <w:sz w:val="20"/>
                <w:szCs w:val="18"/>
              </w:rPr>
              <w:t>)</w:t>
            </w:r>
          </w:p>
        </w:tc>
        <w:tc>
          <w:tcPr>
            <w:tcW w:w="864"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NR</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sz w:val="20"/>
              </w:rPr>
            </w:pPr>
            <w:r w:rsidRPr="000D3F64">
              <w:rPr>
                <w:rFonts w:ascii="Arial Narrow" w:hAnsi="Arial Narrow"/>
                <w:sz w:val="20"/>
              </w:rPr>
              <w:t>NR</w:t>
            </w:r>
          </w:p>
        </w:tc>
        <w:tc>
          <w:tcPr>
            <w:tcW w:w="948"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NR</w:t>
            </w:r>
          </w:p>
        </w:tc>
        <w:tc>
          <w:tcPr>
            <w:tcW w:w="880"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1.29</w:t>
            </w:r>
            <w:r w:rsidRPr="000D3F64">
              <w:rPr>
                <w:rFonts w:ascii="Arial Narrow" w:hAnsi="Arial Narrow"/>
                <w:color w:val="000000"/>
                <w:sz w:val="20"/>
                <w:szCs w:val="18"/>
                <w:vertAlign w:val="superscript"/>
              </w:rPr>
              <w:t>a</w:t>
            </w:r>
          </w:p>
        </w:tc>
      </w:tr>
      <w:tr w:rsidR="00902ED9" w:rsidRPr="000D3F64" w:rsidTr="005A19E5">
        <w:tc>
          <w:tcPr>
            <w:tcW w:w="1437" w:type="pct"/>
            <w:gridSpan w:val="2"/>
            <w:tcBorders>
              <w:top w:val="single" w:sz="4" w:space="0" w:color="auto"/>
              <w:left w:val="single" w:sz="4" w:space="0" w:color="auto"/>
              <w:bottom w:val="single" w:sz="4" w:space="0" w:color="auto"/>
            </w:tcBorders>
          </w:tcPr>
          <w:p w:rsidR="00902ED9" w:rsidRPr="000D3F64" w:rsidRDefault="00902ED9" w:rsidP="00902ED9">
            <w:pPr>
              <w:snapToGrid w:val="0"/>
              <w:rPr>
                <w:rFonts w:ascii="Arial Narrow" w:hAnsi="Arial Narrow"/>
                <w:i/>
                <w:color w:val="000000"/>
                <w:sz w:val="20"/>
                <w:szCs w:val="18"/>
              </w:rPr>
            </w:pPr>
            <w:r w:rsidRPr="000D3F64">
              <w:rPr>
                <w:rFonts w:ascii="Arial Narrow" w:hAnsi="Arial Narrow"/>
                <w:b/>
                <w:i/>
                <w:color w:val="000000"/>
                <w:sz w:val="20"/>
                <w:szCs w:val="18"/>
              </w:rPr>
              <w:t>OS: MM6</w:t>
            </w:r>
          </w:p>
        </w:tc>
        <w:tc>
          <w:tcPr>
            <w:tcW w:w="864" w:type="pct"/>
            <w:gridSpan w:val="2"/>
            <w:tcBorders>
              <w:top w:val="single" w:sz="4" w:space="0" w:color="auto"/>
              <w:bottom w:val="single" w:sz="4" w:space="0" w:color="auto"/>
            </w:tcBorders>
            <w:vAlign w:val="center"/>
          </w:tcPr>
          <w:p w:rsidR="00902ED9" w:rsidRPr="000D3F64" w:rsidRDefault="00902ED9" w:rsidP="00902ED9">
            <w:pPr>
              <w:snapToGrid w:val="0"/>
              <w:jc w:val="center"/>
              <w:rPr>
                <w:rFonts w:ascii="Arial Narrow" w:hAnsi="Arial Narrow"/>
                <w:i/>
                <w:color w:val="000000"/>
                <w:sz w:val="20"/>
                <w:szCs w:val="18"/>
              </w:rPr>
            </w:pPr>
          </w:p>
        </w:tc>
        <w:tc>
          <w:tcPr>
            <w:tcW w:w="871" w:type="pct"/>
            <w:gridSpan w:val="2"/>
            <w:tcBorders>
              <w:top w:val="single" w:sz="4" w:space="0" w:color="auto"/>
              <w:bottom w:val="single" w:sz="4" w:space="0" w:color="auto"/>
            </w:tcBorders>
            <w:vAlign w:val="center"/>
          </w:tcPr>
          <w:p w:rsidR="00902ED9" w:rsidRPr="000D3F64" w:rsidRDefault="00902ED9" w:rsidP="00902ED9">
            <w:pPr>
              <w:snapToGrid w:val="0"/>
              <w:jc w:val="center"/>
              <w:rPr>
                <w:rFonts w:ascii="Arial Narrow" w:hAnsi="Arial Narrow"/>
                <w:i/>
                <w:sz w:val="20"/>
              </w:rPr>
            </w:pPr>
          </w:p>
        </w:tc>
        <w:tc>
          <w:tcPr>
            <w:tcW w:w="948" w:type="pct"/>
            <w:gridSpan w:val="2"/>
            <w:tcBorders>
              <w:top w:val="single" w:sz="4" w:space="0" w:color="auto"/>
              <w:bottom w:val="single" w:sz="4" w:space="0" w:color="auto"/>
            </w:tcBorders>
            <w:vAlign w:val="center"/>
          </w:tcPr>
          <w:p w:rsidR="00902ED9" w:rsidRPr="000D3F64" w:rsidRDefault="00902ED9" w:rsidP="00902ED9">
            <w:pPr>
              <w:snapToGrid w:val="0"/>
              <w:jc w:val="center"/>
              <w:rPr>
                <w:rFonts w:ascii="Arial Narrow" w:hAnsi="Arial Narrow"/>
                <w:i/>
                <w:color w:val="000000"/>
                <w:sz w:val="20"/>
                <w:szCs w:val="18"/>
              </w:rPr>
            </w:pPr>
          </w:p>
        </w:tc>
        <w:tc>
          <w:tcPr>
            <w:tcW w:w="880" w:type="pct"/>
            <w:tcBorders>
              <w:top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i/>
                <w:color w:val="000000"/>
                <w:sz w:val="20"/>
                <w:szCs w:val="18"/>
              </w:rPr>
            </w:pPr>
          </w:p>
        </w:tc>
      </w:tr>
      <w:tr w:rsidR="00902ED9" w:rsidRPr="000D3F64" w:rsidTr="005A19E5">
        <w:tc>
          <w:tcPr>
            <w:tcW w:w="1437" w:type="pct"/>
            <w:gridSpan w:val="2"/>
            <w:tcBorders>
              <w:left w:val="single" w:sz="4" w:space="0" w:color="auto"/>
              <w:bottom w:val="single" w:sz="4" w:space="0" w:color="auto"/>
              <w:right w:val="single" w:sz="4" w:space="0" w:color="auto"/>
            </w:tcBorders>
          </w:tcPr>
          <w:p w:rsidR="00902ED9" w:rsidRPr="000D3F64" w:rsidRDefault="00902ED9" w:rsidP="00902ED9">
            <w:pPr>
              <w:snapToGrid w:val="0"/>
              <w:rPr>
                <w:rFonts w:ascii="Arial Narrow" w:hAnsi="Arial Narrow"/>
                <w:i/>
                <w:color w:val="000000"/>
                <w:sz w:val="20"/>
                <w:szCs w:val="18"/>
              </w:rPr>
            </w:pPr>
            <w:r w:rsidRPr="000D3F64">
              <w:rPr>
                <w:rFonts w:ascii="Arial Narrow" w:hAnsi="Arial Narrow"/>
                <w:i/>
                <w:color w:val="000000"/>
                <w:sz w:val="20"/>
                <w:szCs w:val="18"/>
              </w:rPr>
              <w:t>Dead* n/N (%)</w:t>
            </w:r>
          </w:p>
        </w:tc>
        <w:tc>
          <w:tcPr>
            <w:tcW w:w="864"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i/>
                <w:color w:val="000000"/>
                <w:sz w:val="20"/>
                <w:szCs w:val="18"/>
              </w:rPr>
            </w:pPr>
            <w:r w:rsidRPr="000D3F64">
              <w:rPr>
                <w:rFonts w:ascii="Arial Narrow" w:hAnsi="Arial Narrow"/>
                <w:i/>
                <w:color w:val="000000"/>
                <w:sz w:val="20"/>
                <w:szCs w:val="18"/>
              </w:rPr>
              <w:t>NR</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i/>
                <w:sz w:val="20"/>
              </w:rPr>
            </w:pPr>
            <w:r w:rsidRPr="000D3F64">
              <w:rPr>
                <w:rFonts w:ascii="Arial Narrow" w:hAnsi="Arial Narrow"/>
                <w:i/>
                <w:sz w:val="20"/>
              </w:rPr>
              <w:t>NR</w:t>
            </w:r>
          </w:p>
        </w:tc>
        <w:tc>
          <w:tcPr>
            <w:tcW w:w="948"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i/>
                <w:color w:val="000000"/>
                <w:sz w:val="20"/>
                <w:szCs w:val="18"/>
              </w:rPr>
            </w:pPr>
            <w:r w:rsidRPr="000D3F64">
              <w:rPr>
                <w:rFonts w:ascii="Arial Narrow" w:hAnsi="Arial Narrow"/>
                <w:i/>
                <w:color w:val="000000"/>
                <w:sz w:val="20"/>
                <w:szCs w:val="18"/>
              </w:rPr>
              <w:t>NE</w:t>
            </w:r>
          </w:p>
        </w:tc>
        <w:tc>
          <w:tcPr>
            <w:tcW w:w="880"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i/>
                <w:color w:val="000000"/>
                <w:sz w:val="20"/>
                <w:szCs w:val="18"/>
              </w:rPr>
            </w:pPr>
            <w:r w:rsidRPr="000D3F64">
              <w:rPr>
                <w:rFonts w:ascii="Arial Narrow" w:hAnsi="Arial Narrow"/>
                <w:i/>
                <w:color w:val="000000"/>
                <w:sz w:val="20"/>
                <w:szCs w:val="18"/>
              </w:rPr>
              <w:t>NR</w:t>
            </w:r>
          </w:p>
        </w:tc>
      </w:tr>
      <w:tr w:rsidR="00902ED9" w:rsidRPr="000D3F64" w:rsidTr="005A19E5">
        <w:tc>
          <w:tcPr>
            <w:tcW w:w="1437" w:type="pct"/>
            <w:gridSpan w:val="2"/>
            <w:tcBorders>
              <w:top w:val="single" w:sz="4" w:space="0" w:color="auto"/>
              <w:left w:val="single" w:sz="4" w:space="0" w:color="auto"/>
              <w:bottom w:val="single" w:sz="4" w:space="0" w:color="auto"/>
              <w:right w:val="single" w:sz="4" w:space="0" w:color="auto"/>
            </w:tcBorders>
          </w:tcPr>
          <w:p w:rsidR="00902ED9" w:rsidRPr="000D3F64" w:rsidRDefault="00902ED9" w:rsidP="00902ED9">
            <w:pPr>
              <w:snapToGrid w:val="0"/>
              <w:rPr>
                <w:rFonts w:ascii="Arial Narrow" w:hAnsi="Arial Narrow"/>
                <w:i/>
                <w:color w:val="000000"/>
                <w:sz w:val="20"/>
                <w:szCs w:val="18"/>
              </w:rPr>
            </w:pPr>
            <w:r w:rsidRPr="000D3F64">
              <w:rPr>
                <w:rFonts w:ascii="Arial Narrow" w:hAnsi="Arial Narrow"/>
                <w:i/>
                <w:color w:val="000000"/>
                <w:sz w:val="20"/>
                <w:szCs w:val="18"/>
              </w:rPr>
              <w:t>Median (</w:t>
            </w:r>
            <w:proofErr w:type="spellStart"/>
            <w:r w:rsidRPr="000D3F64">
              <w:rPr>
                <w:rFonts w:ascii="Arial Narrow" w:hAnsi="Arial Narrow"/>
                <w:i/>
                <w:color w:val="000000"/>
                <w:sz w:val="20"/>
                <w:szCs w:val="18"/>
              </w:rPr>
              <w:t>mths</w:t>
            </w:r>
            <w:proofErr w:type="spellEnd"/>
            <w:r w:rsidRPr="000D3F64">
              <w:rPr>
                <w:rFonts w:ascii="Arial Narrow" w:hAnsi="Arial Narrow"/>
                <w:i/>
                <w:color w:val="000000"/>
                <w:sz w:val="20"/>
                <w:szCs w:val="18"/>
              </w:rPr>
              <w:t>)</w:t>
            </w:r>
          </w:p>
        </w:tc>
        <w:tc>
          <w:tcPr>
            <w:tcW w:w="864"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i/>
                <w:color w:val="000000"/>
                <w:sz w:val="20"/>
                <w:szCs w:val="18"/>
              </w:rPr>
            </w:pPr>
            <w:r w:rsidRPr="000D3F64">
              <w:rPr>
                <w:rFonts w:ascii="Arial Narrow" w:hAnsi="Arial Narrow"/>
                <w:i/>
                <w:color w:val="000000"/>
                <w:sz w:val="20"/>
                <w:szCs w:val="18"/>
              </w:rPr>
              <w:t>102.0 (88.8, 116.4)</w:t>
            </w:r>
            <w:r w:rsidRPr="00052BFE">
              <w:rPr>
                <w:rFonts w:ascii="Times New Roman" w:hAnsi="Times New Roman" w:cs="Times New Roman"/>
                <w:i/>
                <w:color w:val="000000"/>
                <w:sz w:val="20"/>
                <w:szCs w:val="18"/>
                <w:vertAlign w:val="superscript"/>
              </w:rPr>
              <w:t xml:space="preserve"> §</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i/>
                <w:sz w:val="20"/>
              </w:rPr>
            </w:pPr>
            <w:r w:rsidRPr="000D3F64">
              <w:rPr>
                <w:rFonts w:ascii="Arial Narrow" w:hAnsi="Arial Narrow"/>
                <w:i/>
                <w:sz w:val="20"/>
              </w:rPr>
              <w:t>54.0 (46.8, 61.2)</w:t>
            </w:r>
            <w:r w:rsidRPr="00052BFE">
              <w:rPr>
                <w:rFonts w:ascii="Times New Roman" w:hAnsi="Times New Roman" w:cs="Times New Roman"/>
                <w:i/>
                <w:color w:val="000000"/>
                <w:sz w:val="20"/>
                <w:szCs w:val="18"/>
                <w:vertAlign w:val="superscript"/>
              </w:rPr>
              <w:t xml:space="preserve"> §</w:t>
            </w:r>
          </w:p>
        </w:tc>
        <w:tc>
          <w:tcPr>
            <w:tcW w:w="948"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i/>
                <w:color w:val="000000"/>
                <w:sz w:val="20"/>
                <w:szCs w:val="18"/>
              </w:rPr>
            </w:pPr>
            <w:r w:rsidRPr="000D3F64">
              <w:rPr>
                <w:rFonts w:ascii="Arial Narrow" w:hAnsi="Arial Narrow"/>
                <w:i/>
                <w:color w:val="000000"/>
                <w:sz w:val="20"/>
                <w:szCs w:val="18"/>
              </w:rPr>
              <w:t>48.0</w:t>
            </w:r>
            <w:r w:rsidRPr="00052BFE">
              <w:rPr>
                <w:rFonts w:ascii="Times New Roman" w:hAnsi="Times New Roman" w:cs="Times New Roman"/>
                <w:i/>
                <w:color w:val="000000"/>
                <w:sz w:val="20"/>
                <w:szCs w:val="18"/>
                <w:vertAlign w:val="superscript"/>
              </w:rPr>
              <w:t>§</w:t>
            </w:r>
          </w:p>
        </w:tc>
        <w:tc>
          <w:tcPr>
            <w:tcW w:w="880" w:type="pct"/>
            <w:tcBorders>
              <w:top w:val="single" w:sz="4" w:space="0" w:color="auto"/>
              <w:left w:val="single" w:sz="4" w:space="0" w:color="auto"/>
              <w:bottom w:val="single" w:sz="4" w:space="0" w:color="auto"/>
              <w:right w:val="single" w:sz="4" w:space="0" w:color="auto"/>
            </w:tcBorders>
            <w:vAlign w:val="center"/>
          </w:tcPr>
          <w:p w:rsidR="00902ED9" w:rsidRPr="00052BFE" w:rsidRDefault="00902ED9" w:rsidP="00902ED9">
            <w:pPr>
              <w:snapToGrid w:val="0"/>
              <w:jc w:val="center"/>
              <w:rPr>
                <w:rFonts w:ascii="Arial Narrow" w:hAnsi="Arial Narrow"/>
                <w:b/>
                <w:i/>
                <w:color w:val="000000"/>
                <w:sz w:val="20"/>
                <w:szCs w:val="18"/>
              </w:rPr>
            </w:pPr>
            <w:r w:rsidRPr="00052BFE">
              <w:rPr>
                <w:rFonts w:ascii="Arial Narrow" w:hAnsi="Arial Narrow"/>
                <w:b/>
                <w:i/>
                <w:color w:val="000000"/>
                <w:sz w:val="20"/>
                <w:szCs w:val="18"/>
              </w:rPr>
              <w:t>0.12 (0.028, 0.56)</w:t>
            </w:r>
            <w:r w:rsidRPr="00052BFE">
              <w:rPr>
                <w:rFonts w:ascii="Times New Roman" w:hAnsi="Times New Roman" w:cs="Times New Roman"/>
                <w:i/>
                <w:color w:val="000000"/>
                <w:sz w:val="20"/>
                <w:szCs w:val="18"/>
                <w:vertAlign w:val="superscript"/>
              </w:rPr>
              <w:t xml:space="preserve"> §</w:t>
            </w:r>
          </w:p>
        </w:tc>
      </w:tr>
      <w:tr w:rsidR="00902ED9" w:rsidRPr="000D3F64" w:rsidTr="00902ED9">
        <w:tc>
          <w:tcPr>
            <w:tcW w:w="5000" w:type="pct"/>
            <w:gridSpan w:val="9"/>
            <w:tcBorders>
              <w:top w:val="doub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rPr>
                <w:rFonts w:ascii="Arial Narrow" w:hAnsi="Arial Narrow"/>
                <w:b/>
                <w:color w:val="000000"/>
                <w:sz w:val="20"/>
                <w:szCs w:val="18"/>
              </w:rPr>
            </w:pPr>
            <w:r w:rsidRPr="000D3F64">
              <w:rPr>
                <w:rFonts w:ascii="Arial Narrow" w:hAnsi="Arial Narrow"/>
                <w:b/>
                <w:color w:val="000000"/>
                <w:sz w:val="20"/>
                <w:szCs w:val="18"/>
              </w:rPr>
              <w:t xml:space="preserve">Harms </w:t>
            </w:r>
          </w:p>
        </w:tc>
      </w:tr>
      <w:tr w:rsidR="00902ED9" w:rsidRPr="000D3F64" w:rsidTr="005A19E5">
        <w:trPr>
          <w:trHeight w:val="70"/>
        </w:trPr>
        <w:tc>
          <w:tcPr>
            <w:tcW w:w="885"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rPr>
                <w:rFonts w:ascii="Arial Narrow" w:hAnsi="Arial Narrow"/>
                <w:b/>
                <w:color w:val="000000"/>
                <w:sz w:val="20"/>
                <w:szCs w:val="18"/>
              </w:rPr>
            </w:pPr>
          </w:p>
        </w:tc>
        <w:tc>
          <w:tcPr>
            <w:tcW w:w="552" w:type="pct"/>
            <w:vMerge w:val="restart"/>
            <w:tcBorders>
              <w:top w:val="single" w:sz="4" w:space="0" w:color="auto"/>
              <w:left w:val="single" w:sz="4" w:space="0" w:color="auto"/>
              <w:right w:val="single" w:sz="4" w:space="0" w:color="auto"/>
            </w:tcBorders>
            <w:vAlign w:val="center"/>
          </w:tcPr>
          <w:p w:rsidR="00902ED9" w:rsidRPr="000D3F64" w:rsidRDefault="00902ED9" w:rsidP="00902ED9">
            <w:pPr>
              <w:snapToGrid w:val="0"/>
              <w:jc w:val="center"/>
              <w:rPr>
                <w:rFonts w:ascii="Arial Narrow" w:hAnsi="Arial Narrow"/>
                <w:b/>
                <w:color w:val="000000"/>
                <w:sz w:val="20"/>
                <w:szCs w:val="18"/>
              </w:rPr>
            </w:pPr>
            <w:r w:rsidRPr="000D3F64">
              <w:rPr>
                <w:rFonts w:ascii="Arial Narrow" w:hAnsi="Arial Narrow"/>
                <w:b/>
                <w:color w:val="000000"/>
                <w:sz w:val="20"/>
                <w:szCs w:val="18"/>
              </w:rPr>
              <w:t>LEN</w:t>
            </w:r>
          </w:p>
        </w:tc>
        <w:tc>
          <w:tcPr>
            <w:tcW w:w="708" w:type="pct"/>
            <w:vMerge w:val="restart"/>
            <w:tcBorders>
              <w:top w:val="single" w:sz="4" w:space="0" w:color="auto"/>
              <w:left w:val="single" w:sz="4" w:space="0" w:color="auto"/>
              <w:right w:val="single" w:sz="4" w:space="0" w:color="auto"/>
            </w:tcBorders>
            <w:vAlign w:val="center"/>
          </w:tcPr>
          <w:p w:rsidR="00902ED9" w:rsidRPr="000D3F64" w:rsidRDefault="00902ED9" w:rsidP="00902ED9">
            <w:pPr>
              <w:snapToGrid w:val="0"/>
              <w:jc w:val="center"/>
              <w:rPr>
                <w:rFonts w:ascii="Arial Narrow" w:hAnsi="Arial Narrow"/>
                <w:b/>
                <w:color w:val="000000"/>
                <w:sz w:val="20"/>
                <w:szCs w:val="18"/>
              </w:rPr>
            </w:pPr>
            <w:r w:rsidRPr="000D3F64">
              <w:rPr>
                <w:rFonts w:ascii="Arial Narrow" w:hAnsi="Arial Narrow"/>
                <w:b/>
                <w:color w:val="000000"/>
                <w:sz w:val="20"/>
                <w:szCs w:val="18"/>
              </w:rPr>
              <w:t>BSC</w:t>
            </w:r>
          </w:p>
        </w:tc>
        <w:tc>
          <w:tcPr>
            <w:tcW w:w="710" w:type="pct"/>
            <w:gridSpan w:val="2"/>
            <w:vMerge w:val="restart"/>
            <w:tcBorders>
              <w:top w:val="single" w:sz="4" w:space="0" w:color="auto"/>
              <w:left w:val="single" w:sz="4" w:space="0" w:color="auto"/>
              <w:right w:val="single" w:sz="4" w:space="0" w:color="auto"/>
            </w:tcBorders>
            <w:vAlign w:val="center"/>
          </w:tcPr>
          <w:p w:rsidR="00902ED9" w:rsidRPr="000D3F64" w:rsidRDefault="00902ED9" w:rsidP="00902ED9">
            <w:pPr>
              <w:snapToGrid w:val="0"/>
              <w:jc w:val="center"/>
              <w:rPr>
                <w:rFonts w:ascii="Arial Narrow" w:hAnsi="Arial Narrow"/>
                <w:b/>
                <w:color w:val="000000"/>
                <w:sz w:val="20"/>
                <w:szCs w:val="18"/>
              </w:rPr>
            </w:pPr>
            <w:r w:rsidRPr="000D3F64">
              <w:rPr>
                <w:rFonts w:ascii="Arial Narrow" w:hAnsi="Arial Narrow"/>
                <w:b/>
                <w:color w:val="000000"/>
                <w:sz w:val="20"/>
                <w:szCs w:val="18"/>
              </w:rPr>
              <w:t>RR (95% CI)</w:t>
            </w:r>
          </w:p>
        </w:tc>
        <w:tc>
          <w:tcPr>
            <w:tcW w:w="1264" w:type="pct"/>
            <w:gridSpan w:val="3"/>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b/>
                <w:color w:val="000000"/>
                <w:sz w:val="20"/>
                <w:szCs w:val="18"/>
              </w:rPr>
            </w:pPr>
            <w:r w:rsidRPr="000D3F64">
              <w:rPr>
                <w:rFonts w:ascii="Arial Narrow" w:hAnsi="Arial Narrow"/>
                <w:b/>
                <w:color w:val="000000"/>
                <w:sz w:val="20"/>
                <w:szCs w:val="18"/>
              </w:rPr>
              <w:t>Event rate/100 patients*</w:t>
            </w:r>
          </w:p>
        </w:tc>
        <w:tc>
          <w:tcPr>
            <w:tcW w:w="880" w:type="pct"/>
            <w:vMerge w:val="restart"/>
            <w:tcBorders>
              <w:top w:val="single" w:sz="4" w:space="0" w:color="auto"/>
              <w:left w:val="single" w:sz="4" w:space="0" w:color="auto"/>
              <w:right w:val="single" w:sz="4" w:space="0" w:color="auto"/>
            </w:tcBorders>
            <w:vAlign w:val="center"/>
          </w:tcPr>
          <w:p w:rsidR="00902ED9" w:rsidRPr="000D3F64" w:rsidRDefault="00902ED9" w:rsidP="00902ED9">
            <w:pPr>
              <w:snapToGrid w:val="0"/>
              <w:jc w:val="center"/>
              <w:rPr>
                <w:rFonts w:ascii="Arial Narrow" w:hAnsi="Arial Narrow"/>
                <w:b/>
                <w:color w:val="000000"/>
                <w:sz w:val="20"/>
                <w:szCs w:val="18"/>
              </w:rPr>
            </w:pPr>
            <w:r w:rsidRPr="000D3F64">
              <w:rPr>
                <w:rFonts w:ascii="Arial Narrow" w:hAnsi="Arial Narrow"/>
                <w:b/>
                <w:color w:val="000000"/>
                <w:sz w:val="20"/>
                <w:szCs w:val="18"/>
              </w:rPr>
              <w:t>RD (95% CI)</w:t>
            </w:r>
          </w:p>
        </w:tc>
      </w:tr>
      <w:tr w:rsidR="00902ED9" w:rsidRPr="000D3F64" w:rsidTr="005A19E5">
        <w:trPr>
          <w:trHeight w:val="70"/>
        </w:trPr>
        <w:tc>
          <w:tcPr>
            <w:tcW w:w="885"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rPr>
                <w:rFonts w:ascii="Arial Narrow" w:hAnsi="Arial Narrow"/>
                <w:b/>
                <w:color w:val="000000"/>
                <w:sz w:val="20"/>
                <w:szCs w:val="18"/>
              </w:rPr>
            </w:pPr>
          </w:p>
        </w:tc>
        <w:tc>
          <w:tcPr>
            <w:tcW w:w="552" w:type="pct"/>
            <w:vMerge/>
            <w:tcBorders>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b/>
                <w:color w:val="000000"/>
                <w:sz w:val="20"/>
                <w:szCs w:val="18"/>
              </w:rPr>
            </w:pPr>
          </w:p>
        </w:tc>
        <w:tc>
          <w:tcPr>
            <w:tcW w:w="708" w:type="pct"/>
            <w:vMerge/>
            <w:tcBorders>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b/>
                <w:color w:val="000000"/>
                <w:sz w:val="20"/>
                <w:szCs w:val="18"/>
              </w:rPr>
            </w:pPr>
          </w:p>
        </w:tc>
        <w:tc>
          <w:tcPr>
            <w:tcW w:w="710" w:type="pct"/>
            <w:gridSpan w:val="2"/>
            <w:vMerge/>
            <w:tcBorders>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b/>
                <w:color w:val="000000"/>
                <w:sz w:val="20"/>
                <w:szCs w:val="18"/>
              </w:rPr>
            </w:pPr>
          </w:p>
        </w:tc>
        <w:tc>
          <w:tcPr>
            <w:tcW w:w="682"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b/>
                <w:color w:val="000000"/>
                <w:sz w:val="20"/>
                <w:szCs w:val="18"/>
              </w:rPr>
            </w:pPr>
            <w:r w:rsidRPr="000D3F64">
              <w:rPr>
                <w:rFonts w:ascii="Arial Narrow" w:hAnsi="Arial Narrow"/>
                <w:b/>
                <w:color w:val="000000"/>
                <w:sz w:val="20"/>
                <w:szCs w:val="18"/>
              </w:rPr>
              <w:t>LEN</w:t>
            </w:r>
          </w:p>
        </w:tc>
        <w:tc>
          <w:tcPr>
            <w:tcW w:w="583"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b/>
                <w:color w:val="000000"/>
                <w:sz w:val="20"/>
                <w:szCs w:val="18"/>
              </w:rPr>
            </w:pPr>
            <w:r w:rsidRPr="000D3F64">
              <w:rPr>
                <w:rFonts w:ascii="Arial Narrow" w:hAnsi="Arial Narrow"/>
                <w:b/>
                <w:color w:val="000000"/>
                <w:sz w:val="20"/>
                <w:szCs w:val="18"/>
              </w:rPr>
              <w:t>BSC</w:t>
            </w:r>
          </w:p>
        </w:tc>
        <w:tc>
          <w:tcPr>
            <w:tcW w:w="880" w:type="pct"/>
            <w:vMerge/>
            <w:tcBorders>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b/>
                <w:color w:val="000000"/>
                <w:sz w:val="20"/>
                <w:szCs w:val="18"/>
              </w:rPr>
            </w:pPr>
          </w:p>
        </w:tc>
      </w:tr>
      <w:tr w:rsidR="00902ED9" w:rsidRPr="000D3F64" w:rsidTr="00902ED9">
        <w:trPr>
          <w:trHeight w:val="70"/>
        </w:trPr>
        <w:tc>
          <w:tcPr>
            <w:tcW w:w="5000" w:type="pct"/>
            <w:gridSpan w:val="9"/>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rPr>
                <w:rFonts w:ascii="Arial Narrow" w:hAnsi="Arial Narrow"/>
                <w:b/>
                <w:color w:val="000000"/>
                <w:sz w:val="20"/>
                <w:szCs w:val="18"/>
              </w:rPr>
            </w:pPr>
            <w:r w:rsidRPr="000D3F64">
              <w:rPr>
                <w:rFonts w:ascii="Arial Narrow" w:hAnsi="Arial Narrow"/>
                <w:b/>
                <w:color w:val="000000"/>
                <w:sz w:val="20"/>
                <w:szCs w:val="18"/>
              </w:rPr>
              <w:t>Nervous system disorder</w:t>
            </w:r>
          </w:p>
        </w:tc>
      </w:tr>
      <w:tr w:rsidR="00902ED9" w:rsidRPr="000D3F64" w:rsidTr="005A19E5">
        <w:trPr>
          <w:trHeight w:val="70"/>
        </w:trPr>
        <w:tc>
          <w:tcPr>
            <w:tcW w:w="885"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rPr>
                <w:rFonts w:ascii="Arial Narrow" w:hAnsi="Arial Narrow"/>
                <w:color w:val="000000"/>
                <w:sz w:val="20"/>
                <w:szCs w:val="18"/>
              </w:rPr>
            </w:pPr>
            <w:r w:rsidRPr="000D3F64">
              <w:rPr>
                <w:rFonts w:ascii="Arial Narrow" w:hAnsi="Arial Narrow"/>
                <w:color w:val="000000"/>
                <w:sz w:val="20"/>
                <w:szCs w:val="18"/>
              </w:rPr>
              <w:t xml:space="preserve">CALGB </w:t>
            </w:r>
          </w:p>
        </w:tc>
        <w:tc>
          <w:tcPr>
            <w:tcW w:w="552"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7/224</w:t>
            </w:r>
          </w:p>
        </w:tc>
        <w:tc>
          <w:tcPr>
            <w:tcW w:w="708"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4/221</w:t>
            </w:r>
          </w:p>
        </w:tc>
        <w:tc>
          <w:tcPr>
            <w:tcW w:w="710"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1.73 (0.51, 5.82)</w:t>
            </w:r>
          </w:p>
        </w:tc>
        <w:tc>
          <w:tcPr>
            <w:tcW w:w="682"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3.1</w:t>
            </w:r>
          </w:p>
        </w:tc>
        <w:tc>
          <w:tcPr>
            <w:tcW w:w="583"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1.8</w:t>
            </w:r>
          </w:p>
        </w:tc>
        <w:tc>
          <w:tcPr>
            <w:tcW w:w="880"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0.01 (-0.02, 0.04)</w:t>
            </w:r>
          </w:p>
        </w:tc>
      </w:tr>
      <w:tr w:rsidR="00902ED9" w:rsidRPr="000D3F64" w:rsidTr="00902ED9">
        <w:trPr>
          <w:trHeight w:val="70"/>
        </w:trPr>
        <w:tc>
          <w:tcPr>
            <w:tcW w:w="5000" w:type="pct"/>
            <w:gridSpan w:val="9"/>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rPr>
                <w:rFonts w:ascii="Arial Narrow" w:hAnsi="Arial Narrow"/>
                <w:b/>
                <w:color w:val="000000"/>
                <w:sz w:val="20"/>
                <w:szCs w:val="18"/>
              </w:rPr>
            </w:pPr>
            <w:r w:rsidRPr="000D3F64">
              <w:rPr>
                <w:rFonts w:ascii="Arial Narrow" w:hAnsi="Arial Narrow"/>
                <w:b/>
                <w:color w:val="000000"/>
                <w:sz w:val="20"/>
                <w:szCs w:val="18"/>
              </w:rPr>
              <w:t>Secondary primary malignancy</w:t>
            </w:r>
          </w:p>
        </w:tc>
      </w:tr>
      <w:tr w:rsidR="00902ED9" w:rsidRPr="000D3F64" w:rsidTr="005A19E5">
        <w:trPr>
          <w:trHeight w:val="70"/>
        </w:trPr>
        <w:tc>
          <w:tcPr>
            <w:tcW w:w="885" w:type="pct"/>
            <w:tcBorders>
              <w:top w:val="single" w:sz="4" w:space="0" w:color="auto"/>
              <w:left w:val="single" w:sz="4" w:space="0" w:color="auto"/>
              <w:bottom w:val="double" w:sz="4" w:space="0" w:color="auto"/>
              <w:right w:val="single" w:sz="4" w:space="0" w:color="auto"/>
            </w:tcBorders>
            <w:vAlign w:val="center"/>
          </w:tcPr>
          <w:p w:rsidR="00902ED9" w:rsidRPr="000D3F64" w:rsidRDefault="00902ED9" w:rsidP="00902ED9">
            <w:pPr>
              <w:snapToGrid w:val="0"/>
              <w:rPr>
                <w:rFonts w:ascii="Arial Narrow" w:hAnsi="Arial Narrow"/>
                <w:color w:val="000000"/>
                <w:sz w:val="20"/>
                <w:szCs w:val="18"/>
              </w:rPr>
            </w:pPr>
            <w:r w:rsidRPr="000D3F64">
              <w:rPr>
                <w:rFonts w:ascii="Arial Narrow" w:hAnsi="Arial Narrow"/>
                <w:color w:val="000000"/>
                <w:sz w:val="20"/>
                <w:szCs w:val="18"/>
              </w:rPr>
              <w:t>CALGB</w:t>
            </w:r>
          </w:p>
        </w:tc>
        <w:tc>
          <w:tcPr>
            <w:tcW w:w="552"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42/224</w:t>
            </w:r>
          </w:p>
        </w:tc>
        <w:tc>
          <w:tcPr>
            <w:tcW w:w="708"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24/221</w:t>
            </w:r>
          </w:p>
        </w:tc>
        <w:tc>
          <w:tcPr>
            <w:tcW w:w="710"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i/>
                <w:color w:val="000000"/>
                <w:sz w:val="20"/>
                <w:szCs w:val="18"/>
              </w:rPr>
              <w:t>1.73 (1.08, 2.75)</w:t>
            </w:r>
            <w:r w:rsidRPr="00052BFE">
              <w:rPr>
                <w:rFonts w:ascii="Times New Roman" w:hAnsi="Times New Roman" w:cs="Times New Roman"/>
                <w:i/>
                <w:color w:val="000000"/>
                <w:sz w:val="20"/>
                <w:szCs w:val="18"/>
                <w:vertAlign w:val="superscript"/>
              </w:rPr>
              <w:t xml:space="preserve"> §</w:t>
            </w:r>
          </w:p>
        </w:tc>
        <w:tc>
          <w:tcPr>
            <w:tcW w:w="682"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18.8</w:t>
            </w:r>
          </w:p>
        </w:tc>
        <w:tc>
          <w:tcPr>
            <w:tcW w:w="583"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10.9</w:t>
            </w:r>
          </w:p>
        </w:tc>
        <w:tc>
          <w:tcPr>
            <w:tcW w:w="880"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b/>
                <w:color w:val="000000"/>
                <w:sz w:val="20"/>
                <w:szCs w:val="18"/>
              </w:rPr>
              <w:t>0.08 (0.01, 0.14)</w:t>
            </w:r>
          </w:p>
        </w:tc>
      </w:tr>
      <w:tr w:rsidR="00902ED9" w:rsidRPr="000D3F64" w:rsidTr="005A19E5">
        <w:trPr>
          <w:trHeight w:val="70"/>
        </w:trPr>
        <w:tc>
          <w:tcPr>
            <w:tcW w:w="885" w:type="pct"/>
            <w:vMerge w:val="restart"/>
            <w:tcBorders>
              <w:top w:val="doub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rPr>
                <w:rFonts w:ascii="Arial Narrow" w:hAnsi="Arial Narrow"/>
                <w:b/>
                <w:color w:val="000000"/>
                <w:sz w:val="20"/>
                <w:szCs w:val="18"/>
              </w:rPr>
            </w:pPr>
          </w:p>
        </w:tc>
        <w:tc>
          <w:tcPr>
            <w:tcW w:w="552" w:type="pct"/>
            <w:vMerge w:val="restart"/>
            <w:tcBorders>
              <w:top w:val="doub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jc w:val="center"/>
              <w:rPr>
                <w:rFonts w:ascii="Arial Narrow" w:hAnsi="Arial Narrow"/>
                <w:b/>
                <w:color w:val="000000"/>
                <w:sz w:val="20"/>
                <w:szCs w:val="18"/>
              </w:rPr>
            </w:pPr>
            <w:r w:rsidRPr="000D3F64">
              <w:rPr>
                <w:rFonts w:ascii="Arial Narrow" w:hAnsi="Arial Narrow"/>
                <w:b/>
                <w:color w:val="000000"/>
                <w:sz w:val="20"/>
                <w:szCs w:val="18"/>
              </w:rPr>
              <w:t>THAL</w:t>
            </w:r>
          </w:p>
        </w:tc>
        <w:tc>
          <w:tcPr>
            <w:tcW w:w="708" w:type="pct"/>
            <w:vMerge w:val="restart"/>
            <w:tcBorders>
              <w:top w:val="doub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jc w:val="center"/>
              <w:rPr>
                <w:rFonts w:ascii="Arial Narrow" w:hAnsi="Arial Narrow"/>
                <w:b/>
                <w:color w:val="000000"/>
                <w:sz w:val="20"/>
                <w:szCs w:val="18"/>
              </w:rPr>
            </w:pPr>
            <w:r w:rsidRPr="000D3F64">
              <w:rPr>
                <w:rFonts w:ascii="Arial Narrow" w:hAnsi="Arial Narrow"/>
                <w:b/>
                <w:color w:val="000000"/>
                <w:sz w:val="20"/>
                <w:szCs w:val="18"/>
              </w:rPr>
              <w:t>BSC</w:t>
            </w:r>
          </w:p>
        </w:tc>
        <w:tc>
          <w:tcPr>
            <w:tcW w:w="710" w:type="pct"/>
            <w:gridSpan w:val="2"/>
            <w:vMerge w:val="restart"/>
            <w:tcBorders>
              <w:top w:val="doub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jc w:val="center"/>
              <w:rPr>
                <w:rFonts w:ascii="Arial Narrow" w:hAnsi="Arial Narrow"/>
                <w:b/>
                <w:color w:val="000000"/>
                <w:sz w:val="20"/>
                <w:szCs w:val="18"/>
              </w:rPr>
            </w:pPr>
            <w:r w:rsidRPr="000D3F64">
              <w:rPr>
                <w:rFonts w:ascii="Arial Narrow" w:hAnsi="Arial Narrow"/>
                <w:b/>
                <w:color w:val="000000"/>
                <w:sz w:val="20"/>
                <w:szCs w:val="18"/>
              </w:rPr>
              <w:t>RR (95% CI)</w:t>
            </w:r>
          </w:p>
        </w:tc>
        <w:tc>
          <w:tcPr>
            <w:tcW w:w="1264" w:type="pct"/>
            <w:gridSpan w:val="3"/>
            <w:tcBorders>
              <w:top w:val="doub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jc w:val="center"/>
              <w:rPr>
                <w:rFonts w:ascii="Arial Narrow" w:hAnsi="Arial Narrow"/>
                <w:b/>
                <w:color w:val="000000"/>
                <w:sz w:val="20"/>
                <w:szCs w:val="18"/>
              </w:rPr>
            </w:pPr>
            <w:r w:rsidRPr="000D3F64">
              <w:rPr>
                <w:rFonts w:ascii="Arial Narrow" w:hAnsi="Arial Narrow"/>
                <w:b/>
                <w:color w:val="000000"/>
                <w:sz w:val="20"/>
                <w:szCs w:val="18"/>
              </w:rPr>
              <w:t xml:space="preserve">Event rate/100 patients* </w:t>
            </w:r>
          </w:p>
        </w:tc>
        <w:tc>
          <w:tcPr>
            <w:tcW w:w="880" w:type="pct"/>
            <w:vMerge w:val="restart"/>
            <w:tcBorders>
              <w:top w:val="doub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jc w:val="center"/>
              <w:rPr>
                <w:rFonts w:ascii="Arial Narrow" w:hAnsi="Arial Narrow"/>
                <w:b/>
                <w:color w:val="000000"/>
                <w:sz w:val="20"/>
                <w:szCs w:val="18"/>
              </w:rPr>
            </w:pPr>
            <w:r w:rsidRPr="000D3F64">
              <w:rPr>
                <w:rFonts w:ascii="Arial Narrow" w:hAnsi="Arial Narrow"/>
                <w:b/>
                <w:color w:val="000000"/>
                <w:sz w:val="20"/>
                <w:szCs w:val="18"/>
              </w:rPr>
              <w:t>RD (95% CI)</w:t>
            </w:r>
          </w:p>
        </w:tc>
      </w:tr>
      <w:tr w:rsidR="00902ED9" w:rsidRPr="000D3F64" w:rsidTr="005A19E5">
        <w:trPr>
          <w:trHeight w:val="390"/>
        </w:trPr>
        <w:tc>
          <w:tcPr>
            <w:tcW w:w="885" w:type="pct"/>
            <w:vMerge/>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rPr>
                <w:rFonts w:ascii="Arial Narrow" w:hAnsi="Arial Narrow"/>
                <w:b/>
                <w:color w:val="000000"/>
                <w:sz w:val="20"/>
                <w:szCs w:val="18"/>
              </w:rPr>
            </w:pPr>
          </w:p>
        </w:tc>
        <w:tc>
          <w:tcPr>
            <w:tcW w:w="552" w:type="pct"/>
            <w:vMerge/>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rPr>
                <w:rFonts w:ascii="Arial Narrow" w:hAnsi="Arial Narrow"/>
                <w:b/>
                <w:color w:val="000000"/>
                <w:sz w:val="20"/>
                <w:szCs w:val="18"/>
              </w:rPr>
            </w:pPr>
          </w:p>
        </w:tc>
        <w:tc>
          <w:tcPr>
            <w:tcW w:w="708" w:type="pct"/>
            <w:vMerge/>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rPr>
                <w:rFonts w:ascii="Arial Narrow" w:hAnsi="Arial Narrow"/>
                <w:b/>
                <w:color w:val="000000"/>
                <w:sz w:val="20"/>
                <w:szCs w:val="18"/>
              </w:rPr>
            </w:pPr>
          </w:p>
        </w:tc>
        <w:tc>
          <w:tcPr>
            <w:tcW w:w="710" w:type="pct"/>
            <w:gridSpan w:val="2"/>
            <w:vMerge/>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rPr>
                <w:rFonts w:ascii="Arial Narrow" w:hAnsi="Arial Narrow"/>
                <w:b/>
                <w:color w:val="000000"/>
                <w:sz w:val="20"/>
                <w:szCs w:val="18"/>
              </w:rPr>
            </w:pPr>
          </w:p>
        </w:tc>
        <w:tc>
          <w:tcPr>
            <w:tcW w:w="682" w:type="pct"/>
            <w:gridSpan w:val="2"/>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jc w:val="center"/>
              <w:rPr>
                <w:rFonts w:ascii="Arial Narrow" w:hAnsi="Arial Narrow"/>
                <w:b/>
                <w:color w:val="000000"/>
                <w:sz w:val="20"/>
                <w:szCs w:val="18"/>
              </w:rPr>
            </w:pPr>
            <w:r w:rsidRPr="000D3F64">
              <w:rPr>
                <w:rFonts w:ascii="Arial Narrow" w:hAnsi="Arial Narrow"/>
                <w:b/>
                <w:color w:val="000000"/>
                <w:sz w:val="20"/>
                <w:szCs w:val="18"/>
              </w:rPr>
              <w:t>THAL</w:t>
            </w:r>
          </w:p>
        </w:tc>
        <w:tc>
          <w:tcPr>
            <w:tcW w:w="583" w:type="pct"/>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jc w:val="center"/>
              <w:rPr>
                <w:rFonts w:ascii="Arial Narrow" w:hAnsi="Arial Narrow"/>
                <w:b/>
                <w:color w:val="000000"/>
                <w:sz w:val="20"/>
                <w:szCs w:val="18"/>
              </w:rPr>
            </w:pPr>
            <w:r w:rsidRPr="000D3F64">
              <w:rPr>
                <w:rFonts w:ascii="Arial Narrow" w:hAnsi="Arial Narrow"/>
                <w:b/>
                <w:color w:val="000000"/>
                <w:sz w:val="20"/>
                <w:szCs w:val="18"/>
              </w:rPr>
              <w:t>BSC</w:t>
            </w:r>
          </w:p>
        </w:tc>
        <w:tc>
          <w:tcPr>
            <w:tcW w:w="880" w:type="pct"/>
            <w:vMerge/>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rPr>
                <w:rFonts w:ascii="Arial Narrow" w:hAnsi="Arial Narrow"/>
                <w:b/>
                <w:color w:val="000000"/>
                <w:sz w:val="20"/>
                <w:szCs w:val="18"/>
              </w:rPr>
            </w:pPr>
          </w:p>
        </w:tc>
      </w:tr>
      <w:tr w:rsidR="00902ED9" w:rsidRPr="000D3F64" w:rsidTr="00902ED9">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rPr>
                <w:rFonts w:ascii="Arial Narrow" w:hAnsi="Arial Narrow"/>
                <w:b/>
                <w:color w:val="000000"/>
                <w:sz w:val="20"/>
                <w:szCs w:val="18"/>
              </w:rPr>
            </w:pPr>
            <w:r w:rsidRPr="000D3F64">
              <w:rPr>
                <w:rFonts w:ascii="Arial Narrow" w:hAnsi="Arial Narrow"/>
                <w:b/>
                <w:color w:val="000000"/>
                <w:sz w:val="20"/>
                <w:szCs w:val="18"/>
              </w:rPr>
              <w:t>Nervous system disorder (Myeloma IX) or Grade 3 or 4 Peripheral neuropathy (MM6)</w:t>
            </w:r>
          </w:p>
        </w:tc>
      </w:tr>
      <w:tr w:rsidR="00902ED9" w:rsidRPr="000D3F64" w:rsidTr="005A19E5">
        <w:tc>
          <w:tcPr>
            <w:tcW w:w="885"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rPr>
                <w:rFonts w:ascii="Arial Narrow" w:hAnsi="Arial Narrow"/>
                <w:color w:val="000000"/>
                <w:sz w:val="20"/>
                <w:szCs w:val="18"/>
              </w:rPr>
            </w:pPr>
            <w:r w:rsidRPr="000D3F64">
              <w:rPr>
                <w:rFonts w:ascii="Arial Narrow" w:hAnsi="Arial Narrow"/>
                <w:color w:val="000000"/>
                <w:sz w:val="20"/>
                <w:szCs w:val="18"/>
              </w:rPr>
              <w:t>Myeloma IX (ASCT)</w:t>
            </w:r>
          </w:p>
        </w:tc>
        <w:tc>
          <w:tcPr>
            <w:tcW w:w="552"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6/246</w:t>
            </w:r>
          </w:p>
        </w:tc>
        <w:tc>
          <w:tcPr>
            <w:tcW w:w="708"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1/247</w:t>
            </w:r>
          </w:p>
        </w:tc>
        <w:tc>
          <w:tcPr>
            <w:tcW w:w="710"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6.02 (0.73, 49.67)</w:t>
            </w:r>
          </w:p>
        </w:tc>
        <w:tc>
          <w:tcPr>
            <w:tcW w:w="682"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2.4</w:t>
            </w:r>
          </w:p>
        </w:tc>
        <w:tc>
          <w:tcPr>
            <w:tcW w:w="583"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0.4</w:t>
            </w:r>
          </w:p>
        </w:tc>
        <w:tc>
          <w:tcPr>
            <w:tcW w:w="880"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0.02 (0.00, 0.04)</w:t>
            </w:r>
          </w:p>
        </w:tc>
      </w:tr>
      <w:tr w:rsidR="00902ED9" w:rsidRPr="000D3F64" w:rsidTr="005A19E5">
        <w:tc>
          <w:tcPr>
            <w:tcW w:w="885" w:type="pct"/>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rPr>
                <w:rFonts w:ascii="Arial Narrow" w:hAnsi="Arial Narrow"/>
                <w:color w:val="000000"/>
                <w:sz w:val="20"/>
                <w:szCs w:val="18"/>
              </w:rPr>
            </w:pPr>
            <w:r w:rsidRPr="000D3F64">
              <w:rPr>
                <w:rFonts w:ascii="Arial Narrow" w:hAnsi="Arial Narrow"/>
                <w:color w:val="000000"/>
                <w:sz w:val="20"/>
                <w:szCs w:val="18"/>
              </w:rPr>
              <w:t xml:space="preserve">MM6 </w:t>
            </w:r>
          </w:p>
        </w:tc>
        <w:tc>
          <w:tcPr>
            <w:tcW w:w="552" w:type="pct"/>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10/114</w:t>
            </w:r>
          </w:p>
        </w:tc>
        <w:tc>
          <w:tcPr>
            <w:tcW w:w="708" w:type="pct"/>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0/129</w:t>
            </w:r>
          </w:p>
        </w:tc>
        <w:tc>
          <w:tcPr>
            <w:tcW w:w="710" w:type="pct"/>
            <w:gridSpan w:val="2"/>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jc w:val="center"/>
              <w:rPr>
                <w:rFonts w:ascii="Arial Narrow" w:hAnsi="Arial Narrow"/>
                <w:i/>
                <w:color w:val="000000"/>
                <w:sz w:val="20"/>
                <w:szCs w:val="18"/>
              </w:rPr>
            </w:pPr>
            <w:r w:rsidRPr="000D3F64">
              <w:rPr>
                <w:rFonts w:ascii="Arial Narrow" w:hAnsi="Arial Narrow"/>
                <w:i/>
                <w:color w:val="000000"/>
                <w:sz w:val="20"/>
                <w:szCs w:val="18"/>
              </w:rPr>
              <w:t>NE</w:t>
            </w:r>
          </w:p>
        </w:tc>
        <w:tc>
          <w:tcPr>
            <w:tcW w:w="682" w:type="pct"/>
            <w:gridSpan w:val="2"/>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1.0</w:t>
            </w:r>
          </w:p>
        </w:tc>
        <w:tc>
          <w:tcPr>
            <w:tcW w:w="583" w:type="pct"/>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0.0</w:t>
            </w:r>
          </w:p>
        </w:tc>
        <w:tc>
          <w:tcPr>
            <w:tcW w:w="880" w:type="pct"/>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jc w:val="center"/>
              <w:rPr>
                <w:rFonts w:ascii="Arial Narrow" w:hAnsi="Arial Narrow"/>
                <w:b/>
                <w:i/>
                <w:color w:val="000000"/>
                <w:sz w:val="20"/>
                <w:szCs w:val="18"/>
              </w:rPr>
            </w:pPr>
            <w:r w:rsidRPr="000D3F64">
              <w:rPr>
                <w:rFonts w:ascii="Arial Narrow" w:hAnsi="Arial Narrow"/>
                <w:b/>
                <w:i/>
                <w:color w:val="000000"/>
                <w:sz w:val="20"/>
                <w:szCs w:val="18"/>
              </w:rPr>
              <w:t>0.09 (0.04, 0.14)</w:t>
            </w:r>
          </w:p>
        </w:tc>
      </w:tr>
      <w:tr w:rsidR="00902ED9" w:rsidRPr="000D3F64" w:rsidTr="00902ED9">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rPr>
                <w:rFonts w:ascii="Arial Narrow" w:hAnsi="Arial Narrow"/>
                <w:color w:val="000000"/>
                <w:sz w:val="20"/>
                <w:szCs w:val="18"/>
              </w:rPr>
            </w:pPr>
            <w:r w:rsidRPr="000D3F64">
              <w:rPr>
                <w:rFonts w:ascii="Arial Narrow" w:hAnsi="Arial Narrow"/>
                <w:b/>
                <w:color w:val="000000"/>
                <w:sz w:val="20"/>
                <w:szCs w:val="18"/>
              </w:rPr>
              <w:t>Secondary primary malignancy</w:t>
            </w:r>
          </w:p>
        </w:tc>
      </w:tr>
      <w:tr w:rsidR="00902ED9" w:rsidRPr="000D3F64" w:rsidTr="005A19E5">
        <w:tc>
          <w:tcPr>
            <w:tcW w:w="885" w:type="pct"/>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rPr>
                <w:rFonts w:ascii="Arial Narrow" w:hAnsi="Arial Narrow"/>
                <w:color w:val="000000"/>
                <w:sz w:val="20"/>
                <w:szCs w:val="18"/>
              </w:rPr>
            </w:pPr>
            <w:r w:rsidRPr="000D3F64">
              <w:rPr>
                <w:rFonts w:ascii="Arial Narrow" w:hAnsi="Arial Narrow"/>
                <w:color w:val="000000"/>
                <w:sz w:val="20"/>
                <w:szCs w:val="18"/>
              </w:rPr>
              <w:t>Myeloma IX (ASCT + no ASCT)</w:t>
            </w:r>
          </w:p>
        </w:tc>
        <w:tc>
          <w:tcPr>
            <w:tcW w:w="552" w:type="pct"/>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12/410</w:t>
            </w:r>
          </w:p>
        </w:tc>
        <w:tc>
          <w:tcPr>
            <w:tcW w:w="708" w:type="pct"/>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12/410</w:t>
            </w:r>
          </w:p>
        </w:tc>
        <w:tc>
          <w:tcPr>
            <w:tcW w:w="710" w:type="pct"/>
            <w:gridSpan w:val="2"/>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jc w:val="center"/>
              <w:rPr>
                <w:rFonts w:ascii="Arial Narrow" w:hAnsi="Arial Narrow"/>
                <w:i/>
                <w:color w:val="000000"/>
                <w:sz w:val="20"/>
                <w:szCs w:val="18"/>
              </w:rPr>
            </w:pPr>
            <w:r w:rsidRPr="000D3F64">
              <w:rPr>
                <w:rFonts w:ascii="Arial Narrow" w:hAnsi="Arial Narrow"/>
                <w:i/>
                <w:color w:val="000000"/>
                <w:sz w:val="20"/>
                <w:szCs w:val="18"/>
              </w:rPr>
              <w:t>1.00 (0.45, 2.20)</w:t>
            </w:r>
            <w:r w:rsidRPr="00052BFE">
              <w:rPr>
                <w:rFonts w:ascii="Times New Roman" w:hAnsi="Times New Roman" w:cs="Times New Roman"/>
                <w:i/>
                <w:color w:val="000000"/>
                <w:sz w:val="20"/>
                <w:szCs w:val="18"/>
                <w:vertAlign w:val="superscript"/>
              </w:rPr>
              <w:t xml:space="preserve"> §</w:t>
            </w:r>
          </w:p>
        </w:tc>
        <w:tc>
          <w:tcPr>
            <w:tcW w:w="682" w:type="pct"/>
            <w:gridSpan w:val="2"/>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2.9</w:t>
            </w:r>
          </w:p>
        </w:tc>
        <w:tc>
          <w:tcPr>
            <w:tcW w:w="583" w:type="pct"/>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jc w:val="center"/>
              <w:rPr>
                <w:rFonts w:ascii="Arial Narrow" w:hAnsi="Arial Narrow"/>
                <w:color w:val="000000"/>
                <w:sz w:val="20"/>
                <w:szCs w:val="18"/>
              </w:rPr>
            </w:pPr>
            <w:r w:rsidRPr="000D3F64">
              <w:rPr>
                <w:rFonts w:ascii="Arial Narrow" w:hAnsi="Arial Narrow"/>
                <w:color w:val="000000"/>
                <w:sz w:val="20"/>
                <w:szCs w:val="18"/>
              </w:rPr>
              <w:t>2.9</w:t>
            </w:r>
          </w:p>
        </w:tc>
        <w:tc>
          <w:tcPr>
            <w:tcW w:w="880" w:type="pct"/>
            <w:tcBorders>
              <w:top w:val="single" w:sz="4" w:space="0" w:color="auto"/>
              <w:left w:val="single" w:sz="4" w:space="0" w:color="auto"/>
              <w:bottom w:val="single" w:sz="4" w:space="0" w:color="auto"/>
              <w:right w:val="single" w:sz="4" w:space="0" w:color="auto"/>
            </w:tcBorders>
            <w:vAlign w:val="center"/>
            <w:hideMark/>
          </w:tcPr>
          <w:p w:rsidR="00902ED9" w:rsidRPr="000D3F64" w:rsidRDefault="00902ED9" w:rsidP="00902ED9">
            <w:pPr>
              <w:snapToGrid w:val="0"/>
              <w:jc w:val="center"/>
              <w:rPr>
                <w:rFonts w:ascii="Arial Narrow" w:hAnsi="Arial Narrow"/>
                <w:i/>
                <w:color w:val="000000"/>
                <w:sz w:val="20"/>
                <w:szCs w:val="18"/>
              </w:rPr>
            </w:pPr>
            <w:r w:rsidRPr="000D3F64">
              <w:rPr>
                <w:rFonts w:ascii="Arial Narrow" w:hAnsi="Arial Narrow"/>
                <w:i/>
                <w:color w:val="000000"/>
                <w:sz w:val="20"/>
                <w:szCs w:val="18"/>
              </w:rPr>
              <w:t>0.00 (-0.02, 0.02)</w:t>
            </w:r>
            <w:r w:rsidRPr="00052BFE">
              <w:rPr>
                <w:rFonts w:ascii="Times New Roman" w:hAnsi="Times New Roman" w:cs="Times New Roman"/>
                <w:i/>
                <w:color w:val="000000"/>
                <w:sz w:val="20"/>
                <w:szCs w:val="18"/>
                <w:vertAlign w:val="superscript"/>
              </w:rPr>
              <w:t xml:space="preserve"> §</w:t>
            </w:r>
          </w:p>
        </w:tc>
      </w:tr>
      <w:tr w:rsidR="00902ED9" w:rsidRPr="000D3F64" w:rsidTr="005A19E5">
        <w:tc>
          <w:tcPr>
            <w:tcW w:w="885"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rPr>
                <w:rFonts w:ascii="Arial Narrow" w:hAnsi="Arial Narrow"/>
                <w:i/>
                <w:color w:val="000000"/>
                <w:sz w:val="20"/>
                <w:szCs w:val="18"/>
              </w:rPr>
            </w:pPr>
            <w:r w:rsidRPr="000D3F64">
              <w:rPr>
                <w:rFonts w:ascii="Arial Narrow" w:hAnsi="Arial Narrow"/>
                <w:i/>
                <w:color w:val="000000"/>
                <w:sz w:val="20"/>
                <w:szCs w:val="18"/>
              </w:rPr>
              <w:t xml:space="preserve">MM6 </w:t>
            </w:r>
          </w:p>
        </w:tc>
        <w:tc>
          <w:tcPr>
            <w:tcW w:w="552"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i/>
                <w:color w:val="000000"/>
                <w:sz w:val="20"/>
                <w:szCs w:val="18"/>
              </w:rPr>
            </w:pPr>
            <w:r w:rsidRPr="000D3F64">
              <w:rPr>
                <w:rFonts w:ascii="Arial Narrow" w:hAnsi="Arial Narrow"/>
                <w:i/>
                <w:color w:val="000000"/>
                <w:sz w:val="20"/>
                <w:szCs w:val="18"/>
              </w:rPr>
              <w:t>10/104</w:t>
            </w:r>
          </w:p>
        </w:tc>
        <w:tc>
          <w:tcPr>
            <w:tcW w:w="708"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i/>
                <w:color w:val="000000"/>
                <w:sz w:val="20"/>
                <w:szCs w:val="18"/>
              </w:rPr>
            </w:pPr>
            <w:r w:rsidRPr="000D3F64">
              <w:rPr>
                <w:rFonts w:ascii="Arial Narrow" w:hAnsi="Arial Narrow"/>
                <w:i/>
                <w:color w:val="000000"/>
                <w:sz w:val="20"/>
                <w:szCs w:val="18"/>
              </w:rPr>
              <w:t>9/103</w:t>
            </w:r>
          </w:p>
        </w:tc>
        <w:tc>
          <w:tcPr>
            <w:tcW w:w="710"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i/>
                <w:color w:val="000000"/>
                <w:sz w:val="20"/>
              </w:rPr>
            </w:pPr>
            <w:r w:rsidRPr="000D3F64">
              <w:rPr>
                <w:rFonts w:ascii="Arial Narrow" w:hAnsi="Arial Narrow"/>
                <w:i/>
                <w:color w:val="000000"/>
                <w:sz w:val="20"/>
              </w:rPr>
              <w:t>1.10 (0.47, 2.60)</w:t>
            </w:r>
            <w:r w:rsidRPr="00052BFE">
              <w:rPr>
                <w:rFonts w:ascii="Times New Roman" w:hAnsi="Times New Roman" w:cs="Times New Roman"/>
                <w:i/>
                <w:color w:val="000000"/>
                <w:sz w:val="20"/>
                <w:szCs w:val="18"/>
                <w:vertAlign w:val="superscript"/>
              </w:rPr>
              <w:t xml:space="preserve"> §</w:t>
            </w:r>
          </w:p>
        </w:tc>
        <w:tc>
          <w:tcPr>
            <w:tcW w:w="682" w:type="pct"/>
            <w:gridSpan w:val="2"/>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i/>
                <w:color w:val="000000"/>
                <w:sz w:val="20"/>
              </w:rPr>
            </w:pPr>
            <w:r w:rsidRPr="000D3F64">
              <w:rPr>
                <w:rFonts w:ascii="Arial Narrow" w:hAnsi="Arial Narrow"/>
                <w:i/>
                <w:color w:val="000000"/>
                <w:sz w:val="20"/>
              </w:rPr>
              <w:t>9.6</w:t>
            </w:r>
          </w:p>
        </w:tc>
        <w:tc>
          <w:tcPr>
            <w:tcW w:w="583"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i/>
                <w:color w:val="000000"/>
                <w:sz w:val="20"/>
              </w:rPr>
            </w:pPr>
            <w:r w:rsidRPr="000D3F64">
              <w:rPr>
                <w:rFonts w:ascii="Arial Narrow" w:hAnsi="Arial Narrow"/>
                <w:i/>
                <w:color w:val="000000"/>
                <w:sz w:val="20"/>
              </w:rPr>
              <w:t>8.7</w:t>
            </w:r>
          </w:p>
        </w:tc>
        <w:tc>
          <w:tcPr>
            <w:tcW w:w="880" w:type="pct"/>
            <w:tcBorders>
              <w:top w:val="single" w:sz="4" w:space="0" w:color="auto"/>
              <w:left w:val="single" w:sz="4" w:space="0" w:color="auto"/>
              <w:bottom w:val="single" w:sz="4" w:space="0" w:color="auto"/>
              <w:right w:val="single" w:sz="4" w:space="0" w:color="auto"/>
            </w:tcBorders>
            <w:vAlign w:val="center"/>
          </w:tcPr>
          <w:p w:rsidR="00902ED9" w:rsidRPr="000D3F64" w:rsidRDefault="00902ED9" w:rsidP="00902ED9">
            <w:pPr>
              <w:snapToGrid w:val="0"/>
              <w:jc w:val="center"/>
              <w:rPr>
                <w:rFonts w:ascii="Arial Narrow" w:hAnsi="Arial Narrow"/>
                <w:i/>
                <w:color w:val="000000"/>
                <w:sz w:val="20"/>
              </w:rPr>
            </w:pPr>
            <w:r w:rsidRPr="000D3F64">
              <w:rPr>
                <w:rFonts w:ascii="Arial Narrow" w:hAnsi="Arial Narrow"/>
                <w:i/>
                <w:color w:val="000000"/>
                <w:sz w:val="20"/>
              </w:rPr>
              <w:t>0.01 (-0.07, 0.09)</w:t>
            </w:r>
            <w:r w:rsidRPr="00052BFE">
              <w:rPr>
                <w:rFonts w:ascii="Times New Roman" w:hAnsi="Times New Roman" w:cs="Times New Roman"/>
                <w:i/>
                <w:color w:val="000000"/>
                <w:sz w:val="20"/>
                <w:szCs w:val="18"/>
                <w:vertAlign w:val="superscript"/>
              </w:rPr>
              <w:t xml:space="preserve"> §</w:t>
            </w:r>
          </w:p>
        </w:tc>
      </w:tr>
    </w:tbl>
    <w:p w:rsidR="00902ED9" w:rsidRPr="000D3F64" w:rsidRDefault="00902ED9" w:rsidP="00902ED9">
      <w:pPr>
        <w:snapToGrid w:val="0"/>
        <w:rPr>
          <w:rFonts w:ascii="Arial Narrow" w:hAnsi="Arial Narrow"/>
          <w:i/>
          <w:sz w:val="18"/>
        </w:rPr>
      </w:pPr>
      <w:r w:rsidRPr="000D3F64">
        <w:rPr>
          <w:rFonts w:ascii="Arial Narrow" w:hAnsi="Arial Narrow"/>
          <w:sz w:val="18"/>
        </w:rPr>
        <w:t xml:space="preserve">* Median duration of follow-up: CALGB adjustment using the RPSFT method at the February 2016 data cut-off date using time from randomisation with median follow-up not reported. </w:t>
      </w:r>
      <w:proofErr w:type="gramStart"/>
      <w:r w:rsidRPr="000D3F64">
        <w:rPr>
          <w:rFonts w:ascii="Arial Narrow" w:hAnsi="Arial Narrow"/>
          <w:sz w:val="18"/>
        </w:rPr>
        <w:t>CALGB ITT using October 2016 data cut-off date with median follow-up 91 months from time of ASCT.</w:t>
      </w:r>
      <w:proofErr w:type="gramEnd"/>
      <w:r w:rsidRPr="000D3F64">
        <w:rPr>
          <w:rFonts w:ascii="Arial Narrow" w:hAnsi="Arial Narrow"/>
          <w:sz w:val="18"/>
        </w:rPr>
        <w:t xml:space="preserve"> </w:t>
      </w:r>
      <w:proofErr w:type="gramStart"/>
      <w:r w:rsidRPr="000D3F64">
        <w:rPr>
          <w:rFonts w:ascii="Arial Narrow" w:hAnsi="Arial Narrow"/>
          <w:sz w:val="18"/>
        </w:rPr>
        <w:t>CALGB safety from March 2015 data cut-off date of 72.4 months median follow-up.</w:t>
      </w:r>
      <w:proofErr w:type="gramEnd"/>
      <w:r w:rsidRPr="000D3F64">
        <w:rPr>
          <w:rFonts w:ascii="Arial Narrow" w:hAnsi="Arial Narrow"/>
          <w:sz w:val="18"/>
        </w:rPr>
        <w:t xml:space="preserve"> Myeloma IX = October 2009 data cut-off with 38 months median follow-up. </w:t>
      </w:r>
      <w:r w:rsidRPr="000D3F64">
        <w:rPr>
          <w:rFonts w:ascii="Arial Narrow" w:hAnsi="Arial Narrow"/>
          <w:i/>
          <w:sz w:val="18"/>
        </w:rPr>
        <w:t xml:space="preserve">MM6 = Spencer reported 2006 cut-off of 3 years median follow-up and </w:t>
      </w:r>
      <w:proofErr w:type="spellStart"/>
      <w:r w:rsidRPr="000D3F64">
        <w:rPr>
          <w:rFonts w:ascii="Arial Narrow" w:hAnsi="Arial Narrow"/>
          <w:i/>
          <w:sz w:val="18"/>
        </w:rPr>
        <w:t>Kalff</w:t>
      </w:r>
      <w:proofErr w:type="spellEnd"/>
      <w:r w:rsidRPr="000D3F64">
        <w:rPr>
          <w:rFonts w:ascii="Arial Narrow" w:hAnsi="Arial Narrow"/>
          <w:i/>
          <w:sz w:val="18"/>
        </w:rPr>
        <w:t xml:space="preserve"> reported December 2012 cut-off of 5.4 years median follow-up.</w:t>
      </w:r>
    </w:p>
    <w:p w:rsidR="00902ED9" w:rsidRPr="000D3F64" w:rsidRDefault="00902ED9" w:rsidP="00902ED9">
      <w:pPr>
        <w:snapToGrid w:val="0"/>
        <w:rPr>
          <w:rFonts w:ascii="Arial Narrow" w:hAnsi="Arial Narrow"/>
          <w:sz w:val="18"/>
        </w:rPr>
      </w:pPr>
      <w:r w:rsidRPr="000D3F64">
        <w:rPr>
          <w:rFonts w:ascii="Arial Narrow" w:hAnsi="Arial Narrow"/>
          <w:sz w:val="18"/>
        </w:rPr>
        <w:t>Abbreviations: HR = hazard ratio; NE, not evaluable; NR= not reported; PBO = placebo; RD = risk difference; RR = risk ratio</w:t>
      </w:r>
    </w:p>
    <w:p w:rsidR="00902ED9" w:rsidRPr="000D3F64" w:rsidRDefault="00902ED9" w:rsidP="00902ED9">
      <w:pPr>
        <w:snapToGrid w:val="0"/>
        <w:rPr>
          <w:rFonts w:ascii="Arial Narrow" w:hAnsi="Arial Narrow"/>
          <w:sz w:val="18"/>
        </w:rPr>
      </w:pPr>
      <w:r w:rsidRPr="000D3F64">
        <w:rPr>
          <w:rFonts w:ascii="Arial Narrow" w:hAnsi="Arial Narrow"/>
          <w:sz w:val="18"/>
        </w:rPr>
        <w:t>Note: a. Myeloma IX OS was estimated based on the proportion alive at 3 –years from the October 2009 data cut-off (thalidomide 75% vs observation 80%, p=0.26) assuming exponential distribution.</w:t>
      </w:r>
    </w:p>
    <w:p w:rsidR="00902ED9" w:rsidRPr="000D3F64" w:rsidRDefault="00902ED9" w:rsidP="00902ED9">
      <w:pPr>
        <w:snapToGrid w:val="0"/>
        <w:rPr>
          <w:rFonts w:ascii="Arial Narrow" w:hAnsi="Arial Narrow"/>
          <w:sz w:val="18"/>
        </w:rPr>
      </w:pPr>
      <w:proofErr w:type="gramStart"/>
      <w:r w:rsidRPr="000D3F64">
        <w:rPr>
          <w:rFonts w:ascii="Arial Narrow" w:hAnsi="Arial Narrow"/>
          <w:i/>
          <w:sz w:val="18"/>
        </w:rPr>
        <w:lastRenderedPageBreak/>
        <w:t>Figures in bold statistically significant</w:t>
      </w:r>
      <w:r w:rsidRPr="000D3F64">
        <w:rPr>
          <w:rFonts w:ascii="Arial Narrow" w:hAnsi="Arial Narrow"/>
          <w:sz w:val="18"/>
        </w:rPr>
        <w:t>.</w:t>
      </w:r>
      <w:proofErr w:type="gramEnd"/>
      <w:r w:rsidRPr="000D3F64">
        <w:rPr>
          <w:rFonts w:ascii="Arial Narrow" w:hAnsi="Arial Narrow"/>
          <w:sz w:val="18"/>
        </w:rPr>
        <w:t xml:space="preserve"> </w:t>
      </w:r>
      <w:r w:rsidRPr="00052BFE">
        <w:rPr>
          <w:rFonts w:ascii="Times New Roman" w:hAnsi="Times New Roman" w:cs="Times New Roman"/>
          <w:i/>
          <w:color w:val="000000"/>
          <w:sz w:val="20"/>
          <w:szCs w:val="18"/>
          <w:vertAlign w:val="superscript"/>
        </w:rPr>
        <w:t>§</w:t>
      </w:r>
      <w:r w:rsidRPr="000D3F64">
        <w:rPr>
          <w:rFonts w:ascii="Arial Narrow" w:hAnsi="Arial Narrow"/>
          <w:i/>
          <w:sz w:val="18"/>
        </w:rPr>
        <w:t>Relative risk and risk difference not reported in submission were c</w:t>
      </w:r>
      <w:r>
        <w:rPr>
          <w:rFonts w:ascii="Arial Narrow" w:hAnsi="Arial Narrow"/>
          <w:i/>
          <w:sz w:val="18"/>
        </w:rPr>
        <w:t>alculated during the evaluation</w:t>
      </w:r>
      <w:r w:rsidRPr="000D3F64">
        <w:rPr>
          <w:rFonts w:ascii="Arial Narrow" w:hAnsi="Arial Narrow"/>
          <w:i/>
          <w:sz w:val="18"/>
        </w:rPr>
        <w:t xml:space="preserve">. </w:t>
      </w:r>
      <w:proofErr w:type="spellStart"/>
      <w:r w:rsidRPr="000D3F64">
        <w:rPr>
          <w:rFonts w:ascii="Arial Narrow" w:hAnsi="Arial Narrow"/>
          <w:i/>
          <w:sz w:val="18"/>
        </w:rPr>
        <w:t>Kalff</w:t>
      </w:r>
      <w:proofErr w:type="spellEnd"/>
      <w:r w:rsidRPr="000D3F64">
        <w:rPr>
          <w:rFonts w:ascii="Arial Narrow" w:hAnsi="Arial Narrow"/>
          <w:i/>
          <w:sz w:val="18"/>
        </w:rPr>
        <w:t xml:space="preserve"> 2014 reported MM6 median PFS and OS in years, this was converted into months.</w:t>
      </w:r>
    </w:p>
    <w:p w:rsidR="00902ED9" w:rsidRPr="000D3F64" w:rsidRDefault="00902ED9" w:rsidP="00902ED9">
      <w:pPr>
        <w:snapToGrid w:val="0"/>
        <w:rPr>
          <w:rFonts w:ascii="Arial Narrow" w:hAnsi="Arial Narrow"/>
          <w:i/>
          <w:sz w:val="18"/>
        </w:rPr>
      </w:pPr>
      <w:r w:rsidRPr="000D3F64">
        <w:rPr>
          <w:rFonts w:ascii="Arial Narrow" w:hAnsi="Arial Narrow"/>
          <w:sz w:val="18"/>
        </w:rPr>
        <w:t xml:space="preserve">Source: Table 2.6.5-6, p.120-121, Table 2.5.12, p.99-100 and Table 2.5.15, p.106 of the submission. </w:t>
      </w:r>
      <w:proofErr w:type="gramStart"/>
      <w:r w:rsidRPr="000D3F64">
        <w:rPr>
          <w:rFonts w:ascii="Arial Narrow" w:hAnsi="Arial Narrow"/>
          <w:i/>
          <w:sz w:val="18"/>
        </w:rPr>
        <w:t xml:space="preserve">MM6 from Spencer et al. (2009) and </w:t>
      </w:r>
      <w:proofErr w:type="spellStart"/>
      <w:r w:rsidRPr="000D3F64">
        <w:rPr>
          <w:rFonts w:ascii="Arial Narrow" w:hAnsi="Arial Narrow"/>
          <w:i/>
          <w:sz w:val="18"/>
        </w:rPr>
        <w:t>Kalff</w:t>
      </w:r>
      <w:proofErr w:type="spellEnd"/>
      <w:r w:rsidRPr="000D3F64">
        <w:rPr>
          <w:rFonts w:ascii="Arial Narrow" w:hAnsi="Arial Narrow"/>
          <w:i/>
          <w:sz w:val="18"/>
        </w:rPr>
        <w:t xml:space="preserve"> et al. (2014).</w:t>
      </w:r>
      <w:proofErr w:type="gramEnd"/>
    </w:p>
    <w:p w:rsidR="00902ED9" w:rsidRPr="00CE0BE9" w:rsidRDefault="00902ED9" w:rsidP="00902ED9">
      <w:pPr>
        <w:pStyle w:val="PBACHeading1"/>
        <w:ind w:left="720"/>
      </w:pPr>
    </w:p>
    <w:p w:rsidR="0021620E" w:rsidRDefault="00FF62B8" w:rsidP="00FF62B8">
      <w:pPr>
        <w:widowControl/>
        <w:numPr>
          <w:ilvl w:val="1"/>
          <w:numId w:val="2"/>
        </w:numPr>
        <w:spacing w:after="160"/>
      </w:pPr>
      <w:r w:rsidRPr="00D17A82">
        <w:rPr>
          <w:rFonts w:cs="Calibri"/>
          <w:snapToGrid/>
          <w:szCs w:val="24"/>
          <w:lang w:val="en-US" w:eastAsia="en-AU"/>
        </w:rPr>
        <w:t xml:space="preserve">The ESC considered that in the context of potentially reversible peripheral neuropathy experienced with thalidomide, compared to the considerable number of SPMs, which are irreversible and likely fatal, that </w:t>
      </w:r>
      <w:proofErr w:type="spellStart"/>
      <w:r w:rsidRPr="00D17A82">
        <w:rPr>
          <w:rFonts w:cs="Calibri"/>
          <w:snapToGrid/>
          <w:szCs w:val="24"/>
          <w:lang w:val="en-US" w:eastAsia="en-AU"/>
        </w:rPr>
        <w:t>lenalidomide</w:t>
      </w:r>
      <w:proofErr w:type="spellEnd"/>
      <w:r w:rsidRPr="00D17A82">
        <w:rPr>
          <w:rFonts w:cs="Calibri"/>
          <w:snapToGrid/>
          <w:szCs w:val="24"/>
          <w:lang w:val="en-US" w:eastAsia="en-AU"/>
        </w:rPr>
        <w:t xml:space="preserve"> may have inferior safety to thalidomide</w:t>
      </w:r>
      <w:r>
        <w:rPr>
          <w:rFonts w:cs="Calibri"/>
          <w:snapToGrid/>
          <w:szCs w:val="24"/>
          <w:lang w:val="en-US" w:eastAsia="en-AU"/>
        </w:rPr>
        <w:t xml:space="preserve"> The PBAC noted that a number of the consumer comments indicated a patient preference for </w:t>
      </w:r>
      <w:proofErr w:type="spellStart"/>
      <w:r>
        <w:rPr>
          <w:rFonts w:cs="Calibri"/>
          <w:snapToGrid/>
          <w:szCs w:val="24"/>
          <w:lang w:val="en-US" w:eastAsia="en-AU"/>
        </w:rPr>
        <w:t>lenalidomide</w:t>
      </w:r>
      <w:proofErr w:type="spellEnd"/>
      <w:r>
        <w:rPr>
          <w:rFonts w:cs="Calibri"/>
          <w:snapToGrid/>
          <w:szCs w:val="24"/>
          <w:lang w:val="en-US" w:eastAsia="en-AU"/>
        </w:rPr>
        <w:t xml:space="preserve"> due to the toxicities experienced with thalidomide. The PBAC also reflected that the longer duration of treatment with </w:t>
      </w:r>
      <w:proofErr w:type="spellStart"/>
      <w:r>
        <w:rPr>
          <w:rFonts w:cs="Calibri"/>
          <w:snapToGrid/>
          <w:szCs w:val="24"/>
          <w:lang w:val="en-US" w:eastAsia="en-AU"/>
        </w:rPr>
        <w:t>lenalidomide</w:t>
      </w:r>
      <w:proofErr w:type="spellEnd"/>
      <w:r>
        <w:rPr>
          <w:rFonts w:cs="Calibri"/>
          <w:snapToGrid/>
          <w:szCs w:val="24"/>
          <w:lang w:val="en-US" w:eastAsia="en-AU"/>
        </w:rPr>
        <w:t xml:space="preserve"> compared to thalidomide </w:t>
      </w:r>
      <w:r w:rsidRPr="00FF62B8">
        <w:rPr>
          <w:rFonts w:cs="Calibri"/>
          <w:snapToGrid/>
          <w:szCs w:val="24"/>
          <w:lang w:val="en-US" w:eastAsia="en-AU"/>
        </w:rPr>
        <w:t>would likely contribute a greater number of AEs</w:t>
      </w:r>
      <w:r w:rsidR="00EF6F03">
        <w:rPr>
          <w:rFonts w:cs="Calibri"/>
          <w:snapToGrid/>
          <w:szCs w:val="24"/>
          <w:lang w:val="en-US" w:eastAsia="en-AU"/>
        </w:rPr>
        <w:t xml:space="preserve"> and therefore a claim of a different safety profile in the maintenance setting post-autologous transplant may be reasonable</w:t>
      </w:r>
      <w:r w:rsidRPr="00FF62B8">
        <w:rPr>
          <w:rFonts w:cs="Calibri"/>
          <w:snapToGrid/>
          <w:szCs w:val="24"/>
          <w:lang w:val="en-US" w:eastAsia="en-AU"/>
        </w:rPr>
        <w:t>.</w:t>
      </w:r>
    </w:p>
    <w:p w:rsidR="00AC647E" w:rsidRPr="00CE0BE9" w:rsidRDefault="00AC647E" w:rsidP="0021620E">
      <w:pPr>
        <w:pStyle w:val="ListParagraph"/>
        <w:spacing w:after="0"/>
        <w:ind w:left="992"/>
      </w:pPr>
    </w:p>
    <w:p w:rsidR="00A51754" w:rsidRPr="00D17A82" w:rsidRDefault="00A51754" w:rsidP="00A51754">
      <w:pPr>
        <w:pStyle w:val="Heading2"/>
        <w:rPr>
          <w:i w:val="0"/>
        </w:rPr>
      </w:pPr>
      <w:bookmarkStart w:id="15" w:name="_Toc503271380"/>
      <w:r w:rsidRPr="00D17A82">
        <w:rPr>
          <w:i w:val="0"/>
        </w:rPr>
        <w:t>Clinical claim</w:t>
      </w:r>
      <w:bookmarkEnd w:id="15"/>
    </w:p>
    <w:p w:rsidR="005A7DD2" w:rsidRPr="00D17A82" w:rsidRDefault="005A7DD2" w:rsidP="006F0DFD">
      <w:pPr>
        <w:widowControl/>
        <w:numPr>
          <w:ilvl w:val="1"/>
          <w:numId w:val="2"/>
        </w:numPr>
        <w:spacing w:after="160"/>
      </w:pPr>
      <w:r w:rsidRPr="00D17A82">
        <w:t xml:space="preserve">The submission described </w:t>
      </w:r>
      <w:proofErr w:type="spellStart"/>
      <w:r w:rsidRPr="00D17A82">
        <w:t>lenalidomide</w:t>
      </w:r>
      <w:proofErr w:type="spellEnd"/>
      <w:r w:rsidRPr="00D17A82">
        <w:t xml:space="preserve"> as superior in terms of effectiveness but inferior in terms of safety compared to BSC. The </w:t>
      </w:r>
      <w:r w:rsidR="00680354">
        <w:t xml:space="preserve">PBAC </w:t>
      </w:r>
      <w:r w:rsidR="00763956" w:rsidRPr="00D17A82">
        <w:t>considered that the eviden</w:t>
      </w:r>
      <w:r w:rsidR="003E49F0" w:rsidRPr="00D17A82">
        <w:t>c</w:t>
      </w:r>
      <w:r w:rsidR="00763956" w:rsidRPr="00D17A82">
        <w:t xml:space="preserve">e presented in the submission supported this claim. </w:t>
      </w:r>
    </w:p>
    <w:p w:rsidR="005A7DD2" w:rsidRDefault="005A7DD2" w:rsidP="006F0DFD">
      <w:pPr>
        <w:widowControl/>
        <w:numPr>
          <w:ilvl w:val="1"/>
          <w:numId w:val="2"/>
        </w:numPr>
        <w:spacing w:after="160"/>
      </w:pPr>
      <w:r w:rsidRPr="00D17A82">
        <w:t xml:space="preserve">The submission described </w:t>
      </w:r>
      <w:proofErr w:type="spellStart"/>
      <w:r w:rsidRPr="00D17A82">
        <w:t>lenalidomide</w:t>
      </w:r>
      <w:proofErr w:type="spellEnd"/>
      <w:r w:rsidRPr="00D17A82">
        <w:t xml:space="preserve"> as superior in terms of effectiveness (specifically OS) and non-inferior in terms of safety compared to thalidomide. Th</w:t>
      </w:r>
      <w:r w:rsidR="00763956" w:rsidRPr="00D17A82">
        <w:t>e ESC considered that this</w:t>
      </w:r>
      <w:r w:rsidRPr="00D17A82">
        <w:t xml:space="preserve"> claim was not supported by the evidence presented</w:t>
      </w:r>
      <w:r w:rsidR="004968BB" w:rsidRPr="00D17A82">
        <w:t>, and the claim of superior OS did not appear clinically plausible given a difference in PFS was not demonstrated</w:t>
      </w:r>
      <w:r w:rsidRPr="00D17A82">
        <w:t>.</w:t>
      </w:r>
      <w:r w:rsidR="00763956" w:rsidRPr="00D17A82">
        <w:t xml:space="preserve"> The ESC also considered that </w:t>
      </w:r>
      <w:r w:rsidR="00583838" w:rsidRPr="00D17A82">
        <w:t>it may be informative to include the</w:t>
      </w:r>
      <w:r w:rsidR="00763956" w:rsidRPr="00D17A82">
        <w:t xml:space="preserve"> MM6 trial in such a comparison, and that </w:t>
      </w:r>
      <w:r w:rsidR="00583838" w:rsidRPr="00D17A82">
        <w:t xml:space="preserve">in this case </w:t>
      </w:r>
      <w:r w:rsidR="00763956" w:rsidRPr="00D17A82">
        <w:t>a claim of non-inferior efficacy may be more appropriate.</w:t>
      </w:r>
    </w:p>
    <w:p w:rsidR="003A238A" w:rsidRPr="00D8553E" w:rsidRDefault="003A238A" w:rsidP="005A19E5">
      <w:pPr>
        <w:widowControl/>
        <w:numPr>
          <w:ilvl w:val="1"/>
          <w:numId w:val="2"/>
        </w:numPr>
        <w:spacing w:after="160"/>
        <w:rPr>
          <w:rFonts w:asciiTheme="minorHAnsi" w:hAnsiTheme="minorHAnsi"/>
          <w:szCs w:val="20"/>
        </w:rPr>
      </w:pPr>
      <w:r w:rsidRPr="00D8553E">
        <w:rPr>
          <w:rFonts w:asciiTheme="minorHAnsi" w:hAnsiTheme="minorHAnsi"/>
          <w:szCs w:val="20"/>
        </w:rPr>
        <w:t xml:space="preserve">The PBAC considered that the claim of superior comparative </w:t>
      </w:r>
      <w:r w:rsidR="00680354">
        <w:rPr>
          <w:rFonts w:asciiTheme="minorHAnsi" w:hAnsiTheme="minorHAnsi"/>
          <w:szCs w:val="20"/>
        </w:rPr>
        <w:t xml:space="preserve">efficacy compared to thalidomide </w:t>
      </w:r>
      <w:r w:rsidRPr="00D8553E">
        <w:rPr>
          <w:rFonts w:asciiTheme="minorHAnsi" w:hAnsiTheme="minorHAnsi"/>
          <w:szCs w:val="20"/>
        </w:rPr>
        <w:t>was not adequately supported by the data.</w:t>
      </w:r>
      <w:r w:rsidR="00495AC7">
        <w:rPr>
          <w:rFonts w:asciiTheme="minorHAnsi" w:hAnsiTheme="minorHAnsi"/>
          <w:szCs w:val="20"/>
        </w:rPr>
        <w:t xml:space="preserve"> The PBAC considered that a claim o</w:t>
      </w:r>
      <w:r w:rsidR="000703D1">
        <w:rPr>
          <w:rFonts w:asciiTheme="minorHAnsi" w:hAnsiTheme="minorHAnsi"/>
          <w:szCs w:val="20"/>
        </w:rPr>
        <w:t>f</w:t>
      </w:r>
      <w:r w:rsidR="00495AC7">
        <w:rPr>
          <w:rFonts w:asciiTheme="minorHAnsi" w:hAnsiTheme="minorHAnsi"/>
          <w:szCs w:val="20"/>
        </w:rPr>
        <w:t xml:space="preserve"> non-inferior efficacy compared to thalidomide may be more appropriate. The PBAC</w:t>
      </w:r>
      <w:r w:rsidR="00680354">
        <w:rPr>
          <w:rFonts w:asciiTheme="minorHAnsi" w:hAnsiTheme="minorHAnsi"/>
          <w:szCs w:val="20"/>
        </w:rPr>
        <w:t xml:space="preserve"> considered that the </w:t>
      </w:r>
      <w:r w:rsidR="00495AC7">
        <w:rPr>
          <w:rFonts w:asciiTheme="minorHAnsi" w:hAnsiTheme="minorHAnsi"/>
          <w:szCs w:val="20"/>
        </w:rPr>
        <w:t>claim of different safety may be reasonable.</w:t>
      </w:r>
    </w:p>
    <w:p w:rsidR="00A51754" w:rsidRPr="00D17A82" w:rsidRDefault="00A51754" w:rsidP="00A51754">
      <w:pPr>
        <w:widowControl/>
      </w:pPr>
    </w:p>
    <w:p w:rsidR="00A51754" w:rsidRPr="00D17A82" w:rsidRDefault="00A51754" w:rsidP="00A51754">
      <w:pPr>
        <w:pStyle w:val="Heading2"/>
        <w:rPr>
          <w:i w:val="0"/>
        </w:rPr>
      </w:pPr>
      <w:bookmarkStart w:id="16" w:name="_Toc503271381"/>
      <w:r w:rsidRPr="00D17A82">
        <w:rPr>
          <w:i w:val="0"/>
        </w:rPr>
        <w:t>Economic analysis</w:t>
      </w:r>
      <w:bookmarkEnd w:id="16"/>
      <w:r w:rsidRPr="00D17A82">
        <w:rPr>
          <w:i w:val="0"/>
        </w:rPr>
        <w:t xml:space="preserve"> </w:t>
      </w:r>
    </w:p>
    <w:p w:rsidR="008468EF" w:rsidRPr="008468EF" w:rsidRDefault="00A51754" w:rsidP="000703D1">
      <w:pPr>
        <w:pStyle w:val="ListParagraph"/>
        <w:widowControl/>
        <w:numPr>
          <w:ilvl w:val="1"/>
          <w:numId w:val="2"/>
        </w:numPr>
        <w:rPr>
          <w:rFonts w:ascii="Arial Narrow" w:hAnsi="Arial Narrow"/>
          <w:b/>
          <w:sz w:val="20"/>
          <w:szCs w:val="16"/>
        </w:rPr>
      </w:pPr>
      <w:r w:rsidRPr="00D17A82">
        <w:rPr>
          <w:rFonts w:cs="Calibri"/>
          <w:snapToGrid/>
          <w:szCs w:val="24"/>
          <w:lang w:val="en-US" w:eastAsia="en-AU"/>
        </w:rPr>
        <w:t xml:space="preserve">The submission presented a stepped economic evaluation based on evidence from the RCTs and implemented a modelled cost-utility analysis for </w:t>
      </w:r>
      <w:proofErr w:type="spellStart"/>
      <w:r w:rsidRPr="00D17A82">
        <w:rPr>
          <w:rFonts w:cs="Calibri"/>
          <w:snapToGrid/>
          <w:szCs w:val="24"/>
          <w:lang w:val="en-US" w:eastAsia="en-AU"/>
        </w:rPr>
        <w:t>lenalidomide</w:t>
      </w:r>
      <w:proofErr w:type="spellEnd"/>
      <w:r w:rsidRPr="00D17A82">
        <w:rPr>
          <w:rFonts w:cs="Calibri"/>
          <w:snapToGrid/>
          <w:szCs w:val="24"/>
          <w:lang w:val="en-US" w:eastAsia="en-AU"/>
        </w:rPr>
        <w:t xml:space="preserve"> vs. BSC. The submission also presented a modelled cost</w:t>
      </w:r>
      <w:r w:rsidR="00E5777F" w:rsidRPr="00D17A82">
        <w:rPr>
          <w:rFonts w:cs="Calibri"/>
          <w:snapToGrid/>
          <w:szCs w:val="24"/>
          <w:lang w:val="en-US" w:eastAsia="en-AU"/>
        </w:rPr>
        <w:t>-</w:t>
      </w:r>
      <w:r w:rsidRPr="00D17A82">
        <w:rPr>
          <w:rFonts w:cs="Calibri"/>
          <w:snapToGrid/>
          <w:szCs w:val="24"/>
          <w:lang w:val="en-US" w:eastAsia="en-AU"/>
        </w:rPr>
        <w:t xml:space="preserve">utility analysis based on the indirect comparison of </w:t>
      </w:r>
      <w:proofErr w:type="spellStart"/>
      <w:r w:rsidRPr="00D17A82">
        <w:rPr>
          <w:rFonts w:cs="Calibri"/>
          <w:snapToGrid/>
          <w:szCs w:val="24"/>
          <w:lang w:val="en-US" w:eastAsia="en-AU"/>
        </w:rPr>
        <w:t>lenalidomide</w:t>
      </w:r>
      <w:proofErr w:type="spellEnd"/>
      <w:r w:rsidRPr="00D17A82">
        <w:rPr>
          <w:rFonts w:cs="Calibri"/>
          <w:snapToGrid/>
          <w:szCs w:val="24"/>
          <w:lang w:val="en-US" w:eastAsia="en-AU"/>
        </w:rPr>
        <w:t xml:space="preserve"> and thalidomide. </w:t>
      </w:r>
    </w:p>
    <w:p w:rsidR="009A7140" w:rsidRPr="00D073C9" w:rsidRDefault="008468EF" w:rsidP="000703D1">
      <w:pPr>
        <w:pStyle w:val="ListParagraph"/>
        <w:widowControl/>
        <w:numPr>
          <w:ilvl w:val="1"/>
          <w:numId w:val="2"/>
        </w:numPr>
        <w:rPr>
          <w:rFonts w:ascii="Arial Narrow" w:hAnsi="Arial Narrow"/>
          <w:b/>
          <w:sz w:val="20"/>
          <w:szCs w:val="16"/>
        </w:rPr>
      </w:pPr>
      <w:r>
        <w:rPr>
          <w:rFonts w:cs="Calibri"/>
          <w:snapToGrid/>
          <w:szCs w:val="24"/>
          <w:lang w:val="en-US" w:eastAsia="en-AU"/>
        </w:rPr>
        <w:t>The PBAC considered that g</w:t>
      </w:r>
      <w:r w:rsidR="008D2FDF" w:rsidRPr="00D17A82">
        <w:rPr>
          <w:rFonts w:cs="Calibri"/>
          <w:snapToGrid/>
          <w:szCs w:val="24"/>
          <w:lang w:val="en-US" w:eastAsia="en-AU"/>
        </w:rPr>
        <w:t xml:space="preserve">iven </w:t>
      </w:r>
      <w:r w:rsidR="00E5777F" w:rsidRPr="00D17A82">
        <w:rPr>
          <w:rFonts w:cs="Calibri"/>
          <w:snapToGrid/>
          <w:szCs w:val="24"/>
          <w:lang w:val="en-US" w:eastAsia="en-AU"/>
        </w:rPr>
        <w:t xml:space="preserve">the </w:t>
      </w:r>
      <w:r w:rsidR="008D2FDF" w:rsidRPr="00D17A82">
        <w:rPr>
          <w:rFonts w:cs="Calibri"/>
          <w:snapToGrid/>
          <w:szCs w:val="24"/>
          <w:lang w:val="en-US" w:eastAsia="en-AU"/>
        </w:rPr>
        <w:t xml:space="preserve">claim of </w:t>
      </w:r>
      <w:r>
        <w:rPr>
          <w:rFonts w:cs="Calibri"/>
          <w:snapToGrid/>
          <w:szCs w:val="24"/>
          <w:lang w:val="en-US" w:eastAsia="en-AU"/>
        </w:rPr>
        <w:t>superior efficacy</w:t>
      </w:r>
      <w:r w:rsidR="008D2FDF" w:rsidRPr="00D17A82">
        <w:rPr>
          <w:rFonts w:cs="Calibri"/>
          <w:snapToGrid/>
          <w:szCs w:val="24"/>
          <w:lang w:val="en-US" w:eastAsia="en-AU"/>
        </w:rPr>
        <w:t xml:space="preserve"> for </w:t>
      </w:r>
      <w:proofErr w:type="spellStart"/>
      <w:r w:rsidR="008D2FDF" w:rsidRPr="00D17A82">
        <w:rPr>
          <w:rFonts w:cs="Calibri"/>
          <w:snapToGrid/>
          <w:szCs w:val="24"/>
          <w:lang w:val="en-US" w:eastAsia="en-AU"/>
        </w:rPr>
        <w:t>lenalidomide</w:t>
      </w:r>
      <w:proofErr w:type="spellEnd"/>
      <w:r w:rsidR="008D2FDF" w:rsidRPr="00D17A82">
        <w:rPr>
          <w:rFonts w:cs="Calibri"/>
          <w:snapToGrid/>
          <w:szCs w:val="24"/>
          <w:lang w:val="en-US" w:eastAsia="en-AU"/>
        </w:rPr>
        <w:t xml:space="preserve"> compared to thalidomide</w:t>
      </w:r>
      <w:r>
        <w:rPr>
          <w:rFonts w:cs="Calibri"/>
          <w:snapToGrid/>
          <w:szCs w:val="24"/>
          <w:lang w:val="en-US" w:eastAsia="en-AU"/>
        </w:rPr>
        <w:t xml:space="preserve"> was not accepted,</w:t>
      </w:r>
      <w:r w:rsidR="00954110" w:rsidRPr="00D17A82">
        <w:rPr>
          <w:rFonts w:cs="Calibri"/>
          <w:snapToGrid/>
          <w:szCs w:val="24"/>
          <w:lang w:val="en-US" w:eastAsia="en-AU"/>
        </w:rPr>
        <w:t xml:space="preserve"> </w:t>
      </w:r>
      <w:r w:rsidR="00A51754" w:rsidRPr="00D17A82">
        <w:rPr>
          <w:rFonts w:cs="Calibri"/>
          <w:snapToGrid/>
          <w:szCs w:val="24"/>
          <w:lang w:val="en-US" w:eastAsia="en-AU"/>
        </w:rPr>
        <w:t>a cost</w:t>
      </w:r>
      <w:r w:rsidR="00E5777F" w:rsidRPr="00D17A82">
        <w:rPr>
          <w:rFonts w:cs="Calibri"/>
          <w:snapToGrid/>
          <w:szCs w:val="24"/>
          <w:lang w:val="en-US" w:eastAsia="en-AU"/>
        </w:rPr>
        <w:t>-</w:t>
      </w:r>
      <w:proofErr w:type="spellStart"/>
      <w:r w:rsidR="00A51754" w:rsidRPr="00D17A82">
        <w:rPr>
          <w:rFonts w:cs="Calibri"/>
          <w:snapToGrid/>
          <w:szCs w:val="24"/>
          <w:lang w:val="en-US" w:eastAsia="en-AU"/>
        </w:rPr>
        <w:t>minimisation</w:t>
      </w:r>
      <w:proofErr w:type="spellEnd"/>
      <w:r w:rsidR="00A51754" w:rsidRPr="00D17A82">
        <w:rPr>
          <w:rFonts w:cs="Calibri"/>
          <w:snapToGrid/>
          <w:szCs w:val="24"/>
          <w:lang w:val="en-US" w:eastAsia="en-AU"/>
        </w:rPr>
        <w:t xml:space="preserve"> analysis </w:t>
      </w:r>
      <w:r w:rsidR="00E5777F" w:rsidRPr="00D17A82">
        <w:rPr>
          <w:rFonts w:cs="Calibri"/>
          <w:snapToGrid/>
          <w:szCs w:val="24"/>
          <w:lang w:val="en-US" w:eastAsia="en-AU"/>
        </w:rPr>
        <w:t xml:space="preserve">may </w:t>
      </w:r>
      <w:r w:rsidR="00A51754" w:rsidRPr="00D17A82">
        <w:rPr>
          <w:rFonts w:cs="Calibri"/>
          <w:snapToGrid/>
          <w:szCs w:val="24"/>
          <w:lang w:val="en-US" w:eastAsia="en-AU"/>
        </w:rPr>
        <w:t xml:space="preserve">be a more appropriate form of economic analysis by which to compare </w:t>
      </w:r>
      <w:proofErr w:type="spellStart"/>
      <w:r w:rsidR="00A51754" w:rsidRPr="00D17A82">
        <w:rPr>
          <w:rFonts w:cs="Calibri"/>
          <w:snapToGrid/>
          <w:szCs w:val="24"/>
          <w:lang w:val="en-US" w:eastAsia="en-AU"/>
        </w:rPr>
        <w:t>lenalidomide</w:t>
      </w:r>
      <w:proofErr w:type="spellEnd"/>
      <w:r w:rsidR="00A51754" w:rsidRPr="00D17A82">
        <w:rPr>
          <w:rFonts w:cs="Calibri"/>
          <w:snapToGrid/>
          <w:szCs w:val="24"/>
          <w:lang w:val="en-US" w:eastAsia="en-AU"/>
        </w:rPr>
        <w:t xml:space="preserve"> and thalidomide.  </w:t>
      </w:r>
    </w:p>
    <w:p w:rsidR="00D073C9" w:rsidRPr="00D17A82" w:rsidRDefault="00D073C9" w:rsidP="00D073C9">
      <w:pPr>
        <w:pStyle w:val="ListParagraph"/>
        <w:widowControl/>
        <w:rPr>
          <w:rStyle w:val="CommentReference"/>
        </w:rPr>
      </w:pPr>
    </w:p>
    <w:p w:rsidR="00A51754" w:rsidRPr="00CE0BE9" w:rsidRDefault="00A51754" w:rsidP="00A51754">
      <w:pPr>
        <w:rPr>
          <w:rStyle w:val="CommentReference"/>
        </w:rPr>
      </w:pPr>
      <w:r w:rsidRPr="00CE0BE9">
        <w:rPr>
          <w:rStyle w:val="CommentReference"/>
        </w:rPr>
        <w:lastRenderedPageBreak/>
        <w:t xml:space="preserve">Table </w:t>
      </w:r>
      <w:r w:rsidR="007D6AA8">
        <w:rPr>
          <w:rStyle w:val="CommentReference"/>
        </w:rPr>
        <w:t>20</w:t>
      </w:r>
      <w:r w:rsidRPr="00CE0BE9">
        <w:rPr>
          <w:rStyle w:val="CommentReference"/>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36"/>
        <w:gridCol w:w="6547"/>
      </w:tblGrid>
      <w:tr w:rsidR="00A51754" w:rsidRPr="00CE0BE9" w:rsidTr="00454F3B">
        <w:trPr>
          <w:tblHeader/>
        </w:trPr>
        <w:tc>
          <w:tcPr>
            <w:tcW w:w="1396" w:type="pct"/>
            <w:shd w:val="clear" w:color="auto" w:fill="auto"/>
            <w:vAlign w:val="center"/>
          </w:tcPr>
          <w:p w:rsidR="00A51754" w:rsidRPr="00CE0BE9" w:rsidRDefault="00A51754" w:rsidP="00E9333E">
            <w:pPr>
              <w:pStyle w:val="Tabletext"/>
              <w:rPr>
                <w:b/>
              </w:rPr>
            </w:pPr>
            <w:r w:rsidRPr="00CE0BE9">
              <w:rPr>
                <w:b/>
              </w:rPr>
              <w:t>Component</w:t>
            </w:r>
          </w:p>
        </w:tc>
        <w:tc>
          <w:tcPr>
            <w:tcW w:w="3604" w:type="pct"/>
            <w:shd w:val="clear" w:color="auto" w:fill="auto"/>
            <w:vAlign w:val="center"/>
          </w:tcPr>
          <w:p w:rsidR="00A51754" w:rsidRPr="00CE0BE9" w:rsidRDefault="00A51754" w:rsidP="00E9333E">
            <w:pPr>
              <w:pStyle w:val="Tabletext"/>
              <w:jc w:val="center"/>
              <w:rPr>
                <w:b/>
              </w:rPr>
            </w:pPr>
            <w:r w:rsidRPr="00CE0BE9">
              <w:rPr>
                <w:b/>
              </w:rPr>
              <w:t>Summary</w:t>
            </w:r>
          </w:p>
        </w:tc>
      </w:tr>
      <w:tr w:rsidR="00A51754" w:rsidRPr="00CE0BE9" w:rsidTr="00454F3B">
        <w:tc>
          <w:tcPr>
            <w:tcW w:w="1396" w:type="pct"/>
            <w:shd w:val="clear" w:color="auto" w:fill="auto"/>
            <w:vAlign w:val="center"/>
          </w:tcPr>
          <w:p w:rsidR="00A51754" w:rsidRPr="00CE0BE9" w:rsidRDefault="00A51754" w:rsidP="00E9333E">
            <w:pPr>
              <w:pStyle w:val="Tabletext"/>
            </w:pPr>
            <w:r w:rsidRPr="00CE0BE9">
              <w:t>Time horizon</w:t>
            </w:r>
          </w:p>
        </w:tc>
        <w:tc>
          <w:tcPr>
            <w:tcW w:w="3604" w:type="pct"/>
            <w:shd w:val="clear" w:color="auto" w:fill="auto"/>
            <w:vAlign w:val="center"/>
          </w:tcPr>
          <w:p w:rsidR="00A51754" w:rsidRPr="00CE0BE9" w:rsidRDefault="00A51754" w:rsidP="00E9333E">
            <w:pPr>
              <w:pStyle w:val="Tabletext"/>
            </w:pPr>
            <w:r w:rsidRPr="00CE0BE9">
              <w:t>25 years in the model base case versus 6 years in CALG</w:t>
            </w:r>
            <w:r w:rsidR="004944A6" w:rsidRPr="00CE0BE9">
              <w:t>B</w:t>
            </w:r>
            <w:r w:rsidRPr="00CE0BE9">
              <w:t>.</w:t>
            </w:r>
          </w:p>
        </w:tc>
      </w:tr>
      <w:tr w:rsidR="00A51754" w:rsidRPr="00CE0BE9" w:rsidTr="00454F3B">
        <w:tc>
          <w:tcPr>
            <w:tcW w:w="1396" w:type="pct"/>
            <w:shd w:val="clear" w:color="auto" w:fill="auto"/>
            <w:vAlign w:val="center"/>
          </w:tcPr>
          <w:p w:rsidR="00A51754" w:rsidRPr="00CE0BE9" w:rsidRDefault="00A51754" w:rsidP="00E9333E">
            <w:pPr>
              <w:pStyle w:val="Tabletext"/>
            </w:pPr>
            <w:r w:rsidRPr="00CE0BE9">
              <w:t>Outcomes</w:t>
            </w:r>
          </w:p>
        </w:tc>
        <w:tc>
          <w:tcPr>
            <w:tcW w:w="3604" w:type="pct"/>
            <w:shd w:val="clear" w:color="auto" w:fill="auto"/>
            <w:vAlign w:val="center"/>
          </w:tcPr>
          <w:p w:rsidR="00A51754" w:rsidRPr="00CE0BE9" w:rsidRDefault="00A51754" w:rsidP="00E9333E">
            <w:pPr>
              <w:pStyle w:val="Tabletext"/>
            </w:pPr>
            <w:r w:rsidRPr="00CE0BE9">
              <w:t>LYG and QALYs.</w:t>
            </w:r>
          </w:p>
        </w:tc>
      </w:tr>
      <w:tr w:rsidR="00A51754" w:rsidRPr="00CE0BE9" w:rsidTr="00454F3B">
        <w:tc>
          <w:tcPr>
            <w:tcW w:w="1396" w:type="pct"/>
            <w:shd w:val="clear" w:color="auto" w:fill="auto"/>
            <w:vAlign w:val="center"/>
          </w:tcPr>
          <w:p w:rsidR="00A51754" w:rsidRPr="00CE0BE9" w:rsidRDefault="00A51754" w:rsidP="00E9333E">
            <w:pPr>
              <w:pStyle w:val="Tabletext"/>
            </w:pPr>
            <w:r w:rsidRPr="00CE0BE9">
              <w:t>Methods used to generate results</w:t>
            </w:r>
          </w:p>
        </w:tc>
        <w:tc>
          <w:tcPr>
            <w:tcW w:w="3604" w:type="pct"/>
            <w:shd w:val="clear" w:color="auto" w:fill="auto"/>
            <w:vAlign w:val="center"/>
          </w:tcPr>
          <w:p w:rsidR="00A51754" w:rsidRPr="00CE0BE9" w:rsidRDefault="00A51754" w:rsidP="00E9333E">
            <w:pPr>
              <w:pStyle w:val="Tabletext"/>
            </w:pPr>
            <w:r w:rsidRPr="00CE0BE9">
              <w:t>Cohort expected value, partitioned survival model.</w:t>
            </w:r>
          </w:p>
        </w:tc>
      </w:tr>
      <w:tr w:rsidR="00A51754" w:rsidRPr="00CE0BE9" w:rsidTr="00454F3B">
        <w:tc>
          <w:tcPr>
            <w:tcW w:w="1396" w:type="pct"/>
            <w:shd w:val="clear" w:color="auto" w:fill="auto"/>
            <w:vAlign w:val="center"/>
          </w:tcPr>
          <w:p w:rsidR="00A51754" w:rsidRPr="00CE0BE9" w:rsidRDefault="00A51754" w:rsidP="00E9333E">
            <w:pPr>
              <w:pStyle w:val="Tabletext"/>
            </w:pPr>
            <w:r w:rsidRPr="00CE0BE9">
              <w:t>Health states</w:t>
            </w:r>
          </w:p>
        </w:tc>
        <w:tc>
          <w:tcPr>
            <w:tcW w:w="3604" w:type="pct"/>
            <w:shd w:val="clear" w:color="auto" w:fill="auto"/>
            <w:vAlign w:val="center"/>
          </w:tcPr>
          <w:p w:rsidR="00A51754" w:rsidRPr="00CE0BE9" w:rsidRDefault="00A51754" w:rsidP="00E9333E">
            <w:pPr>
              <w:pStyle w:val="Tabletext"/>
            </w:pPr>
            <w:r w:rsidRPr="00CE0BE9">
              <w:t>Six model health states, comprising: pre-progression (split into ‘on treatment’ and ‘off treatment’); post-progression (split into ‘pre-second-line treatment’, ‘second-line treatment’ and ‘post second-line treatment’); death.</w:t>
            </w:r>
          </w:p>
        </w:tc>
      </w:tr>
      <w:tr w:rsidR="00A51754" w:rsidRPr="00CE0BE9" w:rsidTr="00454F3B">
        <w:tc>
          <w:tcPr>
            <w:tcW w:w="1396" w:type="pct"/>
            <w:shd w:val="clear" w:color="auto" w:fill="auto"/>
            <w:vAlign w:val="center"/>
          </w:tcPr>
          <w:p w:rsidR="00A51754" w:rsidRPr="00CE0BE9" w:rsidRDefault="00A51754" w:rsidP="00E9333E">
            <w:pPr>
              <w:pStyle w:val="Tabletext"/>
            </w:pPr>
            <w:r w:rsidRPr="00CE0BE9">
              <w:t>Cycle length</w:t>
            </w:r>
          </w:p>
        </w:tc>
        <w:tc>
          <w:tcPr>
            <w:tcW w:w="3604" w:type="pct"/>
            <w:shd w:val="clear" w:color="auto" w:fill="auto"/>
            <w:vAlign w:val="center"/>
          </w:tcPr>
          <w:p w:rsidR="00A51754" w:rsidRPr="00CE0BE9" w:rsidRDefault="00A51754" w:rsidP="00E9333E">
            <w:pPr>
              <w:pStyle w:val="Tabletext"/>
            </w:pPr>
            <w:r w:rsidRPr="00CE0BE9">
              <w:t>28 days.</w:t>
            </w:r>
          </w:p>
        </w:tc>
      </w:tr>
      <w:tr w:rsidR="00A51754" w:rsidRPr="00CE0BE9" w:rsidTr="00454F3B">
        <w:tc>
          <w:tcPr>
            <w:tcW w:w="1396" w:type="pct"/>
            <w:shd w:val="clear" w:color="auto" w:fill="auto"/>
            <w:vAlign w:val="center"/>
          </w:tcPr>
          <w:p w:rsidR="00A51754" w:rsidRPr="00CE0BE9" w:rsidRDefault="00A51754" w:rsidP="00E9333E">
            <w:pPr>
              <w:pStyle w:val="Tabletext"/>
            </w:pPr>
            <w:r w:rsidRPr="00CE0BE9">
              <w:t>Transition probabilities</w:t>
            </w:r>
          </w:p>
        </w:tc>
        <w:tc>
          <w:tcPr>
            <w:tcW w:w="3604" w:type="pct"/>
            <w:shd w:val="clear" w:color="auto" w:fill="auto"/>
            <w:vAlign w:val="center"/>
          </w:tcPr>
          <w:p w:rsidR="00A51754" w:rsidRPr="00CE0BE9" w:rsidRDefault="00A51754" w:rsidP="00E9333E">
            <w:pPr>
              <w:pStyle w:val="Tabletext"/>
            </w:pPr>
            <w:proofErr w:type="spellStart"/>
            <w:r w:rsidRPr="00CE0BE9">
              <w:t>Lenalidomide</w:t>
            </w:r>
            <w:proofErr w:type="spellEnd"/>
            <w:r w:rsidRPr="00CE0BE9">
              <w:t xml:space="preserve"> vs. BSC:</w:t>
            </w:r>
          </w:p>
          <w:p w:rsidR="00A51754" w:rsidRPr="00CE0BE9" w:rsidRDefault="00A51754" w:rsidP="00E9333E">
            <w:pPr>
              <w:pStyle w:val="Tabletext"/>
            </w:pPr>
            <w:r w:rsidRPr="00CE0BE9">
              <w:t xml:space="preserve">Area under the curve analysis from the CALGB trial using cross-over adjusted OS and PFS. </w:t>
            </w:r>
          </w:p>
          <w:p w:rsidR="00A51754" w:rsidRPr="00CE0BE9" w:rsidRDefault="00A51754" w:rsidP="00E9333E">
            <w:pPr>
              <w:pStyle w:val="Tabletext"/>
            </w:pPr>
            <w:proofErr w:type="spellStart"/>
            <w:r w:rsidRPr="00CE0BE9">
              <w:t>Lenalidomide</w:t>
            </w:r>
            <w:proofErr w:type="spellEnd"/>
            <w:r w:rsidRPr="00CE0BE9">
              <w:t xml:space="preserve"> vs. thalidomide:</w:t>
            </w:r>
          </w:p>
          <w:p w:rsidR="00A51754" w:rsidRPr="00CE0BE9" w:rsidRDefault="001E0605" w:rsidP="00583838">
            <w:pPr>
              <w:pStyle w:val="Tabletext"/>
            </w:pPr>
            <w:r w:rsidRPr="00CE0BE9">
              <w:t>HR of</w:t>
            </w:r>
            <w:r w:rsidR="00A51754" w:rsidRPr="00CE0BE9">
              <w:t xml:space="preserve"> </w:t>
            </w:r>
            <w:proofErr w:type="spellStart"/>
            <w:r w:rsidR="00A51754" w:rsidRPr="00CE0BE9">
              <w:t>lenalidomide</w:t>
            </w:r>
            <w:proofErr w:type="spellEnd"/>
            <w:r w:rsidR="00A51754" w:rsidRPr="00CE0BE9">
              <w:t xml:space="preserve"> vs. thalidomide from indirect comparison between cross</w:t>
            </w:r>
            <w:r w:rsidR="00A51754" w:rsidRPr="00CE0BE9">
              <w:noBreakHyphen/>
              <w:t>over adjusted CALGB and Myeloma IX</w:t>
            </w:r>
            <w:r w:rsidR="00072B38" w:rsidRPr="00CE0BE9">
              <w:t>.</w:t>
            </w:r>
            <w:r w:rsidR="00A51754" w:rsidRPr="00CE0BE9">
              <w:t xml:space="preserve"> OS </w:t>
            </w:r>
            <w:r w:rsidR="00072B38" w:rsidRPr="00CE0BE9">
              <w:t xml:space="preserve">HR </w:t>
            </w:r>
            <w:r w:rsidR="00A51754" w:rsidRPr="00CE0BE9">
              <w:t>estimated</w:t>
            </w:r>
            <w:r w:rsidR="00583838">
              <w:t xml:space="preserve"> as 0.40</w:t>
            </w:r>
            <w:r w:rsidR="00072B38" w:rsidRPr="00CE0BE9">
              <w:t xml:space="preserve"> and PFS indirect comparison was not statistically different</w:t>
            </w:r>
            <w:r w:rsidR="00121563" w:rsidRPr="00CE0BE9">
              <w:t>,</w:t>
            </w:r>
            <w:r w:rsidR="00072B38" w:rsidRPr="00CE0BE9">
              <w:t xml:space="preserve"> so </w:t>
            </w:r>
            <w:r w:rsidR="00121563" w:rsidRPr="00CE0BE9">
              <w:t>a</w:t>
            </w:r>
            <w:r w:rsidR="00072B38" w:rsidRPr="00CE0BE9">
              <w:t xml:space="preserve"> HR=1 </w:t>
            </w:r>
            <w:r w:rsidR="00121563" w:rsidRPr="00CE0BE9">
              <w:t xml:space="preserve">was applied </w:t>
            </w:r>
            <w:r w:rsidR="00072B38" w:rsidRPr="00CE0BE9">
              <w:t>in the model</w:t>
            </w:r>
            <w:r w:rsidR="00A51754" w:rsidRPr="00CE0BE9">
              <w:t>.</w:t>
            </w:r>
          </w:p>
        </w:tc>
      </w:tr>
    </w:tbl>
    <w:p w:rsidR="00A51754" w:rsidRPr="00CE0BE9" w:rsidRDefault="00A51754" w:rsidP="00A51754">
      <w:pPr>
        <w:pStyle w:val="TableFooter"/>
      </w:pPr>
      <w:r w:rsidRPr="00CE0BE9">
        <w:t>Abbreviations: BSC</w:t>
      </w:r>
      <w:r w:rsidR="00C40F69" w:rsidRPr="00CE0BE9">
        <w:t>=</w:t>
      </w:r>
      <w:r w:rsidRPr="00CE0BE9">
        <w:t>best supportive care; HR</w:t>
      </w:r>
      <w:r w:rsidR="00C40F69" w:rsidRPr="00CE0BE9">
        <w:t>=</w:t>
      </w:r>
      <w:r w:rsidRPr="00CE0BE9">
        <w:t>hazard ratio;</w:t>
      </w:r>
      <w:r w:rsidR="00B870B6" w:rsidRPr="00CE0BE9">
        <w:t xml:space="preserve"> LY=life-year;</w:t>
      </w:r>
      <w:r w:rsidRPr="00CE0BE9">
        <w:t xml:space="preserve"> PFS</w:t>
      </w:r>
      <w:r w:rsidR="00C40F69" w:rsidRPr="00CE0BE9">
        <w:t>=</w:t>
      </w:r>
      <w:r w:rsidRPr="00CE0BE9">
        <w:t xml:space="preserve">progression-free survival; </w:t>
      </w:r>
      <w:r w:rsidR="00B870B6" w:rsidRPr="00CE0BE9">
        <w:t xml:space="preserve">QALY, quality adjusted life year; </w:t>
      </w:r>
      <w:r w:rsidRPr="00CE0BE9">
        <w:t>OS</w:t>
      </w:r>
      <w:r w:rsidR="00C40F69" w:rsidRPr="00CE0BE9">
        <w:t>=</w:t>
      </w:r>
      <w:r w:rsidRPr="00CE0BE9">
        <w:t>overall survival.</w:t>
      </w:r>
    </w:p>
    <w:p w:rsidR="00A51754" w:rsidRPr="00CE0BE9" w:rsidRDefault="00A51754" w:rsidP="00A51754">
      <w:pPr>
        <w:pStyle w:val="TableFooter"/>
      </w:pPr>
      <w:r w:rsidRPr="00CE0BE9">
        <w:t>Source: Table 3.1.1, p.144 of the submission.</w:t>
      </w:r>
    </w:p>
    <w:p w:rsidR="00A51754" w:rsidRPr="00CE0BE9" w:rsidRDefault="00A51754" w:rsidP="00A51754"/>
    <w:p w:rsidR="00A51754" w:rsidRPr="00D17A82" w:rsidRDefault="00A51754" w:rsidP="006F0DFD">
      <w:pPr>
        <w:pStyle w:val="ListParagraph"/>
        <w:numPr>
          <w:ilvl w:val="1"/>
          <w:numId w:val="2"/>
        </w:numPr>
      </w:pPr>
      <w:r w:rsidRPr="00D17A82">
        <w:t xml:space="preserve">Both models applied </w:t>
      </w:r>
      <w:r w:rsidR="005124D6" w:rsidRPr="00D17A82">
        <w:t>fitted survival</w:t>
      </w:r>
      <w:r w:rsidR="002B3D65" w:rsidRPr="00D17A82">
        <w:t xml:space="preserve"> </w:t>
      </w:r>
      <w:r w:rsidR="005124D6" w:rsidRPr="00D17A82">
        <w:t xml:space="preserve">curves </w:t>
      </w:r>
      <w:r w:rsidRPr="00D17A82">
        <w:t>for the entire time horizon. Th</w:t>
      </w:r>
      <w:r w:rsidR="00E42493" w:rsidRPr="00D17A82">
        <w:t>e</w:t>
      </w:r>
      <w:r w:rsidRPr="00D17A82">
        <w:t xml:space="preserve"> </w:t>
      </w:r>
      <w:r w:rsidR="00763956" w:rsidRPr="00D17A82">
        <w:t>ESC considered that this wa</w:t>
      </w:r>
      <w:r w:rsidRPr="00D17A82">
        <w:t xml:space="preserve">s inappropriate as Kaplan-Meier data should have been applied for the period for which </w:t>
      </w:r>
      <w:r w:rsidR="00C5006C" w:rsidRPr="00D17A82">
        <w:t>they were</w:t>
      </w:r>
      <w:r w:rsidRPr="00D17A82">
        <w:t xml:space="preserve"> available</w:t>
      </w:r>
      <w:r w:rsidR="000703D1">
        <w:t xml:space="preserve"> and reliable</w:t>
      </w:r>
      <w:r w:rsidRPr="00D17A82">
        <w:t xml:space="preserve">, at least up to the median duration of follow-up, with extrapolations applied thereafter. </w:t>
      </w:r>
      <w:r w:rsidR="00780161" w:rsidRPr="00D17A82">
        <w:t>T</w:t>
      </w:r>
      <w:r w:rsidR="002B3D65" w:rsidRPr="00D17A82">
        <w:t xml:space="preserve">he </w:t>
      </w:r>
      <w:r w:rsidR="00763956" w:rsidRPr="00D17A82">
        <w:t xml:space="preserve">ESC noted that the </w:t>
      </w:r>
      <w:r w:rsidR="002B3D65" w:rsidRPr="00D17A82">
        <w:t xml:space="preserve">fitted curves appeared to overestimate the Kaplan-Meier data for </w:t>
      </w:r>
      <w:proofErr w:type="spellStart"/>
      <w:r w:rsidR="002B3D65" w:rsidRPr="00D17A82">
        <w:t>lenalidomide</w:t>
      </w:r>
      <w:proofErr w:type="spellEnd"/>
      <w:r w:rsidR="002B3D65" w:rsidRPr="00D17A82">
        <w:t xml:space="preserve">, and provide a reasonable fit to those for the relevant comparator. The use of these fitted functions to inform the model over the entire time horizon thus biased the analyses in favour of </w:t>
      </w:r>
      <w:proofErr w:type="spellStart"/>
      <w:r w:rsidR="002B3D65" w:rsidRPr="00D17A82">
        <w:t>lenalidomide</w:t>
      </w:r>
      <w:proofErr w:type="spellEnd"/>
      <w:r w:rsidRPr="00D17A82">
        <w:t>.</w:t>
      </w:r>
      <w:r w:rsidR="008468EF">
        <w:t xml:space="preserve"> The PBAC considered that the approach taken by the submission was inappropriate and advised that any future submission should use the Kaplan-Meier data at least to the median duration of follow-up.</w:t>
      </w:r>
    </w:p>
    <w:p w:rsidR="00A51754" w:rsidRPr="00D17A82" w:rsidRDefault="00A51754" w:rsidP="006F0DFD">
      <w:pPr>
        <w:pStyle w:val="ListParagraph"/>
        <w:numPr>
          <w:ilvl w:val="1"/>
          <w:numId w:val="2"/>
        </w:numPr>
      </w:pPr>
      <w:r w:rsidRPr="00D17A82">
        <w:t>The submission applied a time horizon of 25 years with extrapolation based on the CALGB trial. This may be inappropriate given the natural history of NDMM and only 6</w:t>
      </w:r>
      <w:r w:rsidR="008D2FDF" w:rsidRPr="00D17A82">
        <w:t> </w:t>
      </w:r>
      <w:r w:rsidRPr="00D17A82">
        <w:t>years median follow up in CALGB at the 1</w:t>
      </w:r>
      <w:r w:rsidRPr="00D17A82">
        <w:rPr>
          <w:vertAlign w:val="superscript"/>
        </w:rPr>
        <w:t>st</w:t>
      </w:r>
      <w:r w:rsidRPr="00D17A82">
        <w:t xml:space="preserve"> March 2015 cut-off for surviving subjects after maintenance randomisation. The July 2015 </w:t>
      </w:r>
      <w:proofErr w:type="spellStart"/>
      <w:r w:rsidRPr="00D17A82">
        <w:t>lenalidomide</w:t>
      </w:r>
      <w:proofErr w:type="spellEnd"/>
      <w:r w:rsidR="008D2FDF" w:rsidRPr="00D17A82">
        <w:t xml:space="preserve"> submission</w:t>
      </w:r>
      <w:r w:rsidRPr="00D17A82">
        <w:t xml:space="preserve"> for NDMM patients who are ineligible for ASCT used a time horizon for </w:t>
      </w:r>
      <w:proofErr w:type="spellStart"/>
      <w:r w:rsidRPr="00D17A82">
        <w:t>lenalidomide</w:t>
      </w:r>
      <w:proofErr w:type="spellEnd"/>
      <w:r w:rsidRPr="00D17A82">
        <w:t xml:space="preserve"> vs. thalidomide of 15 years (p.16 </w:t>
      </w:r>
      <w:proofErr w:type="spellStart"/>
      <w:r w:rsidRPr="00D17A82">
        <w:t>lenalidomide</w:t>
      </w:r>
      <w:proofErr w:type="spellEnd"/>
      <w:r w:rsidRPr="00D17A82">
        <w:t xml:space="preserve"> PSD November 2015).</w:t>
      </w:r>
      <w:r w:rsidR="00B502FA" w:rsidRPr="00D17A82">
        <w:t xml:space="preserve"> </w:t>
      </w:r>
      <w:bookmarkStart w:id="17" w:name="_Hlk503268938"/>
      <w:r w:rsidR="00780161" w:rsidRPr="00D17A82">
        <w:t>While</w:t>
      </w:r>
      <w:r w:rsidR="00B502FA" w:rsidRPr="00D17A82">
        <w:t xml:space="preserve"> it is possible that a longer time horizon than 15 years is appropriate for patients eligible for ASCT given they are generally healthier than those ineligible for ASCT</w:t>
      </w:r>
      <w:r w:rsidR="00780161" w:rsidRPr="00D17A82">
        <w:t>, an additional 10 years may not be justified</w:t>
      </w:r>
      <w:r w:rsidR="00B502FA" w:rsidRPr="00D17A82">
        <w:t xml:space="preserve">. </w:t>
      </w:r>
      <w:bookmarkEnd w:id="17"/>
      <w:r w:rsidR="00763956" w:rsidRPr="00D17A82">
        <w:t>The ESC noted recent</w:t>
      </w:r>
      <w:r w:rsidR="00644252">
        <w:t>ly</w:t>
      </w:r>
      <w:r w:rsidR="00763956" w:rsidRPr="00D17A82">
        <w:t xml:space="preserve"> published data estimate median survival of 6-7 years</w:t>
      </w:r>
      <w:r w:rsidR="00763956" w:rsidRPr="00D17A82">
        <w:rPr>
          <w:rStyle w:val="FootnoteReference"/>
        </w:rPr>
        <w:footnoteReference w:id="5"/>
      </w:r>
      <w:r w:rsidR="00763956" w:rsidRPr="00D17A82">
        <w:t>, and while this may be because the full benefits of the novel therapies have not yet been observed, this indicates that there is limited justification for increasing the time horizon</w:t>
      </w:r>
      <w:r w:rsidR="00A33792" w:rsidRPr="00D17A82">
        <w:t xml:space="preserve"> substantially</w:t>
      </w:r>
      <w:r w:rsidR="00FF62B8">
        <w:t xml:space="preserve"> beyond the </w:t>
      </w:r>
      <w:r w:rsidR="00FF62B8">
        <w:lastRenderedPageBreak/>
        <w:t>15 </w:t>
      </w:r>
      <w:r w:rsidR="00763956" w:rsidRPr="00D17A82">
        <w:t>years previously accepted in a similar situation.</w:t>
      </w:r>
      <w:r w:rsidR="008468EF">
        <w:t xml:space="preserve"> The PBAC agreed with the ESC and noted that sensitivity analyses presented in the pre-PBAC response included a 15 year time-horizon. The PBAC advised that any future submission should apply a 15 year time horizon.</w:t>
      </w:r>
    </w:p>
    <w:p w:rsidR="00AE50EE" w:rsidRPr="00D17A82" w:rsidRDefault="00AE50EE" w:rsidP="006F0DFD">
      <w:pPr>
        <w:pStyle w:val="ListParagraph"/>
        <w:numPr>
          <w:ilvl w:val="1"/>
          <w:numId w:val="2"/>
        </w:numPr>
      </w:pPr>
      <w:r w:rsidRPr="00D17A82">
        <w:t xml:space="preserve">The submission used CALGB as the basis of the efficacy estimates for </w:t>
      </w:r>
      <w:proofErr w:type="spellStart"/>
      <w:r w:rsidRPr="00D17A82">
        <w:t>lenalidomide</w:t>
      </w:r>
      <w:proofErr w:type="spellEnd"/>
      <w:r w:rsidRPr="00D17A82">
        <w:t xml:space="preserve"> and BSC, </w:t>
      </w:r>
      <w:r w:rsidR="005D57B4" w:rsidRPr="00D17A82">
        <w:t>and time on treatment (</w:t>
      </w:r>
      <w:proofErr w:type="spellStart"/>
      <w:r w:rsidR="005D57B4" w:rsidRPr="00D17A82">
        <w:t>ToT</w:t>
      </w:r>
      <w:proofErr w:type="spellEnd"/>
      <w:r w:rsidR="005D57B4" w:rsidRPr="00D17A82">
        <w:t xml:space="preserve">) for </w:t>
      </w:r>
      <w:proofErr w:type="spellStart"/>
      <w:r w:rsidR="005D57B4" w:rsidRPr="00D17A82">
        <w:t>lenalidomide</w:t>
      </w:r>
      <w:proofErr w:type="spellEnd"/>
      <w:r w:rsidR="005D57B4" w:rsidRPr="00D17A82">
        <w:t xml:space="preserve">, </w:t>
      </w:r>
      <w:r w:rsidRPr="00D17A82">
        <w:t xml:space="preserve">but IFM 2005-02 to estimate </w:t>
      </w:r>
      <w:r w:rsidR="005D57B4" w:rsidRPr="00D17A82">
        <w:t xml:space="preserve">the </w:t>
      </w:r>
      <w:proofErr w:type="spellStart"/>
      <w:r w:rsidRPr="00D17A82">
        <w:t>lenalidomide</w:t>
      </w:r>
      <w:proofErr w:type="spellEnd"/>
      <w:r w:rsidR="005D57B4" w:rsidRPr="00D17A82">
        <w:t xml:space="preserve"> dose per cycle</w:t>
      </w:r>
      <w:r w:rsidRPr="00D17A82">
        <w:t xml:space="preserve">. </w:t>
      </w:r>
      <w:r w:rsidR="002B3D65" w:rsidRPr="00D17A82">
        <w:t xml:space="preserve">The dose per cycle was not available </w:t>
      </w:r>
      <w:r w:rsidR="00ED5FE8" w:rsidRPr="00D17A82">
        <w:t>for</w:t>
      </w:r>
      <w:r w:rsidR="002B3D65" w:rsidRPr="00D17A82">
        <w:t xml:space="preserve"> CALGB. </w:t>
      </w:r>
      <w:r w:rsidRPr="00D17A82">
        <w:t xml:space="preserve">There is thus a mismatch between the assumed efficacy and </w:t>
      </w:r>
      <w:r w:rsidR="005D57B4" w:rsidRPr="00D17A82">
        <w:t xml:space="preserve">the drug dose </w:t>
      </w:r>
      <w:r w:rsidRPr="00D17A82">
        <w:t>required to achieve it used within the economic evaluation.</w:t>
      </w:r>
    </w:p>
    <w:p w:rsidR="00A51754" w:rsidRPr="00D17A82" w:rsidRDefault="00A51754" w:rsidP="006F0DFD">
      <w:pPr>
        <w:pStyle w:val="ListParagraph"/>
        <w:widowControl/>
        <w:numPr>
          <w:ilvl w:val="1"/>
          <w:numId w:val="2"/>
        </w:numPr>
      </w:pPr>
      <w:r w:rsidRPr="00D17A82">
        <w:t xml:space="preserve">The key drivers of the </w:t>
      </w:r>
      <w:proofErr w:type="spellStart"/>
      <w:r w:rsidRPr="00D17A82">
        <w:t>lenalidomide</w:t>
      </w:r>
      <w:proofErr w:type="spellEnd"/>
      <w:r w:rsidRPr="00D17A82">
        <w:t xml:space="preserve"> vs. BSC model are presented in Table </w:t>
      </w:r>
      <w:r w:rsidR="00247AF0" w:rsidRPr="00D17A82">
        <w:t>21</w:t>
      </w:r>
      <w:r w:rsidRPr="00D17A82">
        <w:t xml:space="preserve">. </w:t>
      </w:r>
    </w:p>
    <w:p w:rsidR="00A51754" w:rsidRPr="00CE0BE9" w:rsidRDefault="00A51754" w:rsidP="00583838">
      <w:pPr>
        <w:widowControl/>
        <w:jc w:val="left"/>
        <w:rPr>
          <w:rStyle w:val="CommentReference"/>
        </w:rPr>
      </w:pPr>
      <w:bookmarkStart w:id="18" w:name="_Hlk500948820"/>
      <w:r w:rsidRPr="00CE0BE9">
        <w:rPr>
          <w:rStyle w:val="CommentReference"/>
        </w:rPr>
        <w:t xml:space="preserve">Table </w:t>
      </w:r>
      <w:r w:rsidR="00247AF0">
        <w:rPr>
          <w:rStyle w:val="CommentReference"/>
        </w:rPr>
        <w:t>21</w:t>
      </w:r>
      <w:r w:rsidRPr="00CE0BE9">
        <w:rPr>
          <w:rStyle w:val="CommentReference"/>
        </w:rPr>
        <w:t xml:space="preserve">: Key drivers of the model – </w:t>
      </w:r>
      <w:proofErr w:type="spellStart"/>
      <w:r w:rsidRPr="00CE0BE9">
        <w:rPr>
          <w:rStyle w:val="CommentReference"/>
        </w:rPr>
        <w:t>lenalidomide</w:t>
      </w:r>
      <w:proofErr w:type="spellEnd"/>
      <w:r w:rsidRPr="00CE0BE9">
        <w:rPr>
          <w:rStyle w:val="CommentReference"/>
        </w:rPr>
        <w:t xml:space="preserve"> vs. BSC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26"/>
        <w:gridCol w:w="5266"/>
        <w:gridCol w:w="2091"/>
      </w:tblGrid>
      <w:tr w:rsidR="00A51754" w:rsidRPr="00CE0BE9" w:rsidTr="00454F3B">
        <w:trPr>
          <w:tblHeader/>
        </w:trPr>
        <w:tc>
          <w:tcPr>
            <w:tcW w:w="950" w:type="pct"/>
            <w:shd w:val="clear" w:color="auto" w:fill="auto"/>
            <w:vAlign w:val="center"/>
          </w:tcPr>
          <w:p w:rsidR="00A51754" w:rsidRPr="00CE0BE9" w:rsidRDefault="00A51754" w:rsidP="00E9333E">
            <w:pPr>
              <w:pStyle w:val="Tabletext"/>
              <w:rPr>
                <w:b/>
                <w:lang w:val="en-US"/>
              </w:rPr>
            </w:pPr>
            <w:r w:rsidRPr="00CE0BE9">
              <w:rPr>
                <w:b/>
                <w:lang w:val="en-US"/>
              </w:rPr>
              <w:t>Description</w:t>
            </w:r>
          </w:p>
        </w:tc>
        <w:tc>
          <w:tcPr>
            <w:tcW w:w="2899" w:type="pct"/>
            <w:shd w:val="clear" w:color="auto" w:fill="auto"/>
            <w:vAlign w:val="center"/>
          </w:tcPr>
          <w:p w:rsidR="00A51754" w:rsidRPr="00CE0BE9" w:rsidRDefault="00A51754" w:rsidP="00E9333E">
            <w:pPr>
              <w:pStyle w:val="Tabletext"/>
              <w:jc w:val="center"/>
              <w:rPr>
                <w:b/>
                <w:lang w:val="en-US"/>
              </w:rPr>
            </w:pPr>
            <w:r w:rsidRPr="00CE0BE9">
              <w:rPr>
                <w:b/>
                <w:lang w:val="en-US"/>
              </w:rPr>
              <w:t>Method/Value</w:t>
            </w:r>
          </w:p>
        </w:tc>
        <w:tc>
          <w:tcPr>
            <w:tcW w:w="1151" w:type="pct"/>
            <w:shd w:val="clear" w:color="auto" w:fill="auto"/>
            <w:vAlign w:val="center"/>
          </w:tcPr>
          <w:p w:rsidR="00A51754" w:rsidRPr="00CE0BE9" w:rsidRDefault="00A51754" w:rsidP="00E9333E">
            <w:pPr>
              <w:pStyle w:val="Tabletext"/>
              <w:jc w:val="center"/>
              <w:rPr>
                <w:b/>
                <w:lang w:val="en-US"/>
              </w:rPr>
            </w:pPr>
            <w:r w:rsidRPr="00CE0BE9">
              <w:rPr>
                <w:b/>
                <w:lang w:val="en-US"/>
              </w:rPr>
              <w:t>Impact</w:t>
            </w:r>
          </w:p>
        </w:tc>
      </w:tr>
      <w:tr w:rsidR="00A51754" w:rsidRPr="00CE0BE9" w:rsidTr="00454F3B">
        <w:tc>
          <w:tcPr>
            <w:tcW w:w="950" w:type="pct"/>
            <w:shd w:val="clear" w:color="auto" w:fill="auto"/>
            <w:vAlign w:val="center"/>
          </w:tcPr>
          <w:p w:rsidR="00A51754" w:rsidRPr="00CE0BE9" w:rsidRDefault="00A51754" w:rsidP="00E9333E">
            <w:pPr>
              <w:pStyle w:val="Tabletext"/>
              <w:rPr>
                <w:lang w:val="en-US"/>
              </w:rPr>
            </w:pPr>
            <w:r w:rsidRPr="00CE0BE9">
              <w:rPr>
                <w:lang w:val="en-US"/>
              </w:rPr>
              <w:t xml:space="preserve">Extrapolation </w:t>
            </w:r>
          </w:p>
        </w:tc>
        <w:tc>
          <w:tcPr>
            <w:tcW w:w="2899" w:type="pct"/>
            <w:shd w:val="clear" w:color="auto" w:fill="auto"/>
            <w:vAlign w:val="center"/>
          </w:tcPr>
          <w:p w:rsidR="00A51754" w:rsidRPr="00CE0BE9" w:rsidRDefault="00A51754" w:rsidP="00E9333E">
            <w:pPr>
              <w:pStyle w:val="Tabletext"/>
              <w:rPr>
                <w:lang w:val="en-US"/>
              </w:rPr>
            </w:pPr>
            <w:r w:rsidRPr="00CE0BE9">
              <w:rPr>
                <w:lang w:val="en-US"/>
              </w:rPr>
              <w:t>Treatment effect continued beyond 6-year period for up to 25 years</w:t>
            </w:r>
          </w:p>
        </w:tc>
        <w:tc>
          <w:tcPr>
            <w:tcW w:w="1151" w:type="pct"/>
            <w:shd w:val="clear" w:color="auto" w:fill="auto"/>
            <w:vAlign w:val="center"/>
          </w:tcPr>
          <w:p w:rsidR="00A51754" w:rsidRPr="00CE0BE9" w:rsidRDefault="00A51754" w:rsidP="00E9333E">
            <w:pPr>
              <w:pStyle w:val="Tabletext"/>
              <w:rPr>
                <w:lang w:val="en-US"/>
              </w:rPr>
            </w:pPr>
            <w:r w:rsidRPr="00CE0BE9">
              <w:rPr>
                <w:lang w:val="en-US"/>
              </w:rPr>
              <w:t xml:space="preserve">High, </w:t>
            </w:r>
            <w:proofErr w:type="spellStart"/>
            <w:r w:rsidRPr="00CE0BE9">
              <w:rPr>
                <w:lang w:val="en-US"/>
              </w:rPr>
              <w:t>favoured</w:t>
            </w:r>
            <w:proofErr w:type="spellEnd"/>
            <w:r w:rsidRPr="00CE0BE9">
              <w:rPr>
                <w:lang w:val="en-US"/>
              </w:rPr>
              <w:t xml:space="preserve"> </w:t>
            </w:r>
            <w:proofErr w:type="spellStart"/>
            <w:r w:rsidRPr="00CE0BE9">
              <w:rPr>
                <w:lang w:val="en-US"/>
              </w:rPr>
              <w:t>lenalidomide</w:t>
            </w:r>
            <w:proofErr w:type="spellEnd"/>
          </w:p>
        </w:tc>
      </w:tr>
      <w:tr w:rsidR="00A51754" w:rsidRPr="00CE0BE9" w:rsidTr="00454F3B">
        <w:tc>
          <w:tcPr>
            <w:tcW w:w="950" w:type="pct"/>
            <w:shd w:val="clear" w:color="auto" w:fill="auto"/>
            <w:vAlign w:val="center"/>
          </w:tcPr>
          <w:p w:rsidR="00A51754" w:rsidRPr="00CE0BE9" w:rsidRDefault="00A51754" w:rsidP="00E9333E">
            <w:pPr>
              <w:pStyle w:val="Tabletext"/>
              <w:rPr>
                <w:lang w:val="en-US"/>
              </w:rPr>
            </w:pPr>
            <w:r w:rsidRPr="00CE0BE9">
              <w:rPr>
                <w:lang w:val="en-US"/>
              </w:rPr>
              <w:t>Extrapolation data source</w:t>
            </w:r>
          </w:p>
        </w:tc>
        <w:tc>
          <w:tcPr>
            <w:tcW w:w="2899" w:type="pct"/>
            <w:shd w:val="clear" w:color="auto" w:fill="auto"/>
            <w:vAlign w:val="center"/>
          </w:tcPr>
          <w:p w:rsidR="00A51754" w:rsidRPr="00CE0BE9" w:rsidRDefault="00A51754" w:rsidP="00E9333E">
            <w:pPr>
              <w:pStyle w:val="Tabletext"/>
              <w:rPr>
                <w:lang w:val="en-US"/>
              </w:rPr>
            </w:pPr>
            <w:r w:rsidRPr="00CE0BE9">
              <w:rPr>
                <w:lang w:val="en-US"/>
              </w:rPr>
              <w:t xml:space="preserve">Data for OS, PFS and </w:t>
            </w:r>
            <w:proofErr w:type="spellStart"/>
            <w:r w:rsidRPr="00CE0BE9">
              <w:rPr>
                <w:lang w:val="en-US"/>
              </w:rPr>
              <w:t>ToT</w:t>
            </w:r>
            <w:proofErr w:type="spellEnd"/>
            <w:r w:rsidRPr="00CE0BE9">
              <w:rPr>
                <w:lang w:val="en-US"/>
              </w:rPr>
              <w:t xml:space="preserve"> from CALGB rather than pooled from trial dataset </w:t>
            </w:r>
            <w:r w:rsidRPr="00CE0BE9">
              <w:t>(CALGB, IFM 2005</w:t>
            </w:r>
            <w:r w:rsidRPr="00CE0BE9">
              <w:noBreakHyphen/>
              <w:t>02, GIMEMA)</w:t>
            </w:r>
          </w:p>
        </w:tc>
        <w:tc>
          <w:tcPr>
            <w:tcW w:w="1151" w:type="pct"/>
            <w:shd w:val="clear" w:color="auto" w:fill="auto"/>
            <w:vAlign w:val="center"/>
          </w:tcPr>
          <w:p w:rsidR="00A51754" w:rsidRPr="00CE0BE9" w:rsidRDefault="00A51754" w:rsidP="00E9333E">
            <w:pPr>
              <w:pStyle w:val="Tabletext"/>
              <w:rPr>
                <w:lang w:val="en-US"/>
              </w:rPr>
            </w:pPr>
            <w:r w:rsidRPr="00CE0BE9">
              <w:rPr>
                <w:lang w:val="en-US"/>
              </w:rPr>
              <w:t xml:space="preserve">High, </w:t>
            </w:r>
            <w:proofErr w:type="spellStart"/>
            <w:r w:rsidRPr="00CE0BE9">
              <w:rPr>
                <w:lang w:val="en-US"/>
              </w:rPr>
              <w:t>favoured</w:t>
            </w:r>
            <w:proofErr w:type="spellEnd"/>
            <w:r w:rsidRPr="00CE0BE9">
              <w:rPr>
                <w:lang w:val="en-US"/>
              </w:rPr>
              <w:t xml:space="preserve"> </w:t>
            </w:r>
            <w:proofErr w:type="spellStart"/>
            <w:r w:rsidRPr="00CE0BE9">
              <w:rPr>
                <w:lang w:val="en-US"/>
              </w:rPr>
              <w:t>lenalidomide</w:t>
            </w:r>
            <w:proofErr w:type="spellEnd"/>
          </w:p>
        </w:tc>
      </w:tr>
      <w:tr w:rsidR="00A51754" w:rsidRPr="00CE0BE9" w:rsidTr="00454F3B">
        <w:tc>
          <w:tcPr>
            <w:tcW w:w="950" w:type="pct"/>
            <w:shd w:val="clear" w:color="auto" w:fill="auto"/>
            <w:vAlign w:val="center"/>
          </w:tcPr>
          <w:p w:rsidR="00A51754" w:rsidRPr="00CE0BE9" w:rsidRDefault="00A51754" w:rsidP="00E9333E">
            <w:pPr>
              <w:pStyle w:val="Tabletext"/>
              <w:rPr>
                <w:lang w:val="en-US"/>
              </w:rPr>
            </w:pPr>
            <w:r w:rsidRPr="00CE0BE9">
              <w:rPr>
                <w:lang w:val="en-US"/>
              </w:rPr>
              <w:t>Time on subsequent therapy</w:t>
            </w:r>
          </w:p>
        </w:tc>
        <w:tc>
          <w:tcPr>
            <w:tcW w:w="2899" w:type="pct"/>
            <w:shd w:val="clear" w:color="auto" w:fill="auto"/>
            <w:vAlign w:val="center"/>
          </w:tcPr>
          <w:p w:rsidR="00A51754" w:rsidRPr="00CE0BE9" w:rsidRDefault="00A51754" w:rsidP="00E9333E">
            <w:pPr>
              <w:pStyle w:val="Tabletext"/>
              <w:rPr>
                <w:lang w:val="en-US"/>
              </w:rPr>
            </w:pPr>
            <w:r w:rsidRPr="00CE0BE9">
              <w:rPr>
                <w:lang w:val="en-US"/>
              </w:rPr>
              <w:t>Time (cycles) on post</w:t>
            </w:r>
            <w:r w:rsidRPr="00CE0BE9">
              <w:rPr>
                <w:lang w:val="en-US"/>
              </w:rPr>
              <w:noBreakHyphen/>
              <w:t xml:space="preserve">progression treatment based on expert opinion rather than pooled across lines of therapy and group in GIMEMA </w:t>
            </w:r>
          </w:p>
        </w:tc>
        <w:tc>
          <w:tcPr>
            <w:tcW w:w="1151" w:type="pct"/>
            <w:shd w:val="clear" w:color="auto" w:fill="auto"/>
            <w:vAlign w:val="center"/>
          </w:tcPr>
          <w:p w:rsidR="00A51754" w:rsidRPr="00CE0BE9" w:rsidRDefault="00A51754" w:rsidP="00E9333E">
            <w:pPr>
              <w:pStyle w:val="Tabletext"/>
              <w:rPr>
                <w:lang w:val="en-US"/>
              </w:rPr>
            </w:pPr>
            <w:r w:rsidRPr="00CE0BE9">
              <w:rPr>
                <w:lang w:val="en-US"/>
              </w:rPr>
              <w:t xml:space="preserve">High, </w:t>
            </w:r>
            <w:proofErr w:type="spellStart"/>
            <w:r w:rsidRPr="00CE0BE9">
              <w:rPr>
                <w:lang w:val="en-US"/>
              </w:rPr>
              <w:t>favoured</w:t>
            </w:r>
            <w:proofErr w:type="spellEnd"/>
            <w:r w:rsidRPr="00CE0BE9">
              <w:rPr>
                <w:lang w:val="en-US"/>
              </w:rPr>
              <w:t xml:space="preserve"> </w:t>
            </w:r>
            <w:proofErr w:type="spellStart"/>
            <w:r w:rsidRPr="00CE0BE9">
              <w:rPr>
                <w:lang w:val="en-US"/>
              </w:rPr>
              <w:t>lenalidomide</w:t>
            </w:r>
            <w:proofErr w:type="spellEnd"/>
          </w:p>
        </w:tc>
      </w:tr>
    </w:tbl>
    <w:p w:rsidR="00A51754" w:rsidRPr="00CE0BE9" w:rsidRDefault="00A51754" w:rsidP="00A51754">
      <w:pPr>
        <w:pStyle w:val="TableFooter"/>
      </w:pPr>
      <w:r w:rsidRPr="00CE0BE9">
        <w:t>Abbreviations:</w:t>
      </w:r>
      <w:r w:rsidR="00585C36" w:rsidRPr="00CE0BE9">
        <w:t xml:space="preserve"> PFS</w:t>
      </w:r>
      <w:r w:rsidR="00C40F69" w:rsidRPr="00CE0BE9">
        <w:t>=</w:t>
      </w:r>
      <w:r w:rsidR="00585C36" w:rsidRPr="00CE0BE9">
        <w:t>progression</w:t>
      </w:r>
      <w:r w:rsidR="00585C36" w:rsidRPr="00CE0BE9">
        <w:noBreakHyphen/>
        <w:t>free survival;</w:t>
      </w:r>
      <w:r w:rsidRPr="00CE0BE9">
        <w:t xml:space="preserve"> </w:t>
      </w:r>
      <w:r w:rsidR="00585C36" w:rsidRPr="00CE0BE9">
        <w:t xml:space="preserve">OS=overall survival; </w:t>
      </w:r>
      <w:proofErr w:type="spellStart"/>
      <w:r w:rsidR="00585C36" w:rsidRPr="00CE0BE9">
        <w:t>ToT</w:t>
      </w:r>
      <w:proofErr w:type="spellEnd"/>
      <w:r w:rsidR="00C40F69" w:rsidRPr="00CE0BE9">
        <w:t>=</w:t>
      </w:r>
      <w:r w:rsidR="00585C36" w:rsidRPr="00CE0BE9">
        <w:t xml:space="preserve">time on treatment. </w:t>
      </w:r>
    </w:p>
    <w:p w:rsidR="00A51754" w:rsidRPr="00CE0BE9" w:rsidRDefault="00A51754" w:rsidP="00A51754">
      <w:pPr>
        <w:pStyle w:val="TableFooter"/>
      </w:pPr>
      <w:r w:rsidRPr="00CE0BE9">
        <w:t>Source: Table 3.9.1, p. 190 of the submission.</w:t>
      </w:r>
    </w:p>
    <w:p w:rsidR="00A51754" w:rsidRPr="00CE0BE9" w:rsidRDefault="00A51754" w:rsidP="00A51754">
      <w:pPr>
        <w:pStyle w:val="TableFooter"/>
      </w:pPr>
    </w:p>
    <w:bookmarkEnd w:id="18"/>
    <w:p w:rsidR="00A51754" w:rsidRPr="00CE0BE9" w:rsidRDefault="00A51754" w:rsidP="006F0DFD">
      <w:pPr>
        <w:pStyle w:val="ListParagraph"/>
        <w:widowControl/>
        <w:numPr>
          <w:ilvl w:val="1"/>
          <w:numId w:val="2"/>
        </w:numPr>
      </w:pPr>
      <w:r w:rsidRPr="00CE0BE9">
        <w:t xml:space="preserve">The key drivers of the </w:t>
      </w:r>
      <w:proofErr w:type="spellStart"/>
      <w:r w:rsidRPr="00CE0BE9">
        <w:t>lenalidomide</w:t>
      </w:r>
      <w:proofErr w:type="spellEnd"/>
      <w:r w:rsidRPr="00CE0BE9">
        <w:t xml:space="preserve"> vs. thalidomide model are presented in Table </w:t>
      </w:r>
      <w:r w:rsidR="00247AF0">
        <w:t>22</w:t>
      </w:r>
      <w:r w:rsidRPr="00CE0BE9">
        <w:t>.</w:t>
      </w:r>
    </w:p>
    <w:p w:rsidR="00A51754" w:rsidRPr="00CE0BE9" w:rsidRDefault="00A51754" w:rsidP="00A51754">
      <w:pPr>
        <w:rPr>
          <w:rFonts w:ascii="Arial Narrow" w:hAnsi="Arial Narrow"/>
          <w:b/>
          <w:sz w:val="20"/>
          <w:szCs w:val="16"/>
        </w:rPr>
      </w:pPr>
      <w:r w:rsidRPr="00CE0BE9">
        <w:rPr>
          <w:rFonts w:ascii="Arial Narrow" w:hAnsi="Arial Narrow"/>
          <w:b/>
          <w:sz w:val="20"/>
          <w:szCs w:val="16"/>
        </w:rPr>
        <w:t xml:space="preserve">Table </w:t>
      </w:r>
      <w:r w:rsidR="00247AF0">
        <w:rPr>
          <w:rFonts w:ascii="Arial Narrow" w:hAnsi="Arial Narrow"/>
          <w:b/>
          <w:sz w:val="20"/>
          <w:szCs w:val="16"/>
        </w:rPr>
        <w:t>22</w:t>
      </w:r>
      <w:r w:rsidRPr="00CE0BE9">
        <w:rPr>
          <w:rFonts w:ascii="Arial Narrow" w:hAnsi="Arial Narrow"/>
          <w:b/>
          <w:sz w:val="20"/>
          <w:szCs w:val="16"/>
        </w:rPr>
        <w:t xml:space="preserve">: Key drivers of the model – </w:t>
      </w:r>
      <w:proofErr w:type="spellStart"/>
      <w:r w:rsidRPr="00CE0BE9">
        <w:rPr>
          <w:rFonts w:ascii="Arial Narrow" w:hAnsi="Arial Narrow"/>
          <w:b/>
          <w:sz w:val="20"/>
          <w:szCs w:val="16"/>
        </w:rPr>
        <w:t>lenalidomide</w:t>
      </w:r>
      <w:proofErr w:type="spellEnd"/>
      <w:r w:rsidRPr="00CE0BE9">
        <w:rPr>
          <w:rFonts w:ascii="Arial Narrow" w:hAnsi="Arial Narrow"/>
          <w:b/>
          <w:sz w:val="20"/>
          <w:szCs w:val="16"/>
        </w:rPr>
        <w:t xml:space="preserve"> vs. thalidomide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26"/>
        <w:gridCol w:w="5266"/>
        <w:gridCol w:w="2091"/>
      </w:tblGrid>
      <w:tr w:rsidR="00A51754" w:rsidRPr="00CE0BE9" w:rsidTr="00454F3B">
        <w:trPr>
          <w:tblHeader/>
        </w:trPr>
        <w:tc>
          <w:tcPr>
            <w:tcW w:w="950" w:type="pct"/>
            <w:shd w:val="clear" w:color="auto" w:fill="auto"/>
            <w:vAlign w:val="center"/>
          </w:tcPr>
          <w:p w:rsidR="00A51754" w:rsidRPr="00CE0BE9" w:rsidRDefault="00A51754" w:rsidP="00E9333E">
            <w:pPr>
              <w:widowControl/>
              <w:jc w:val="left"/>
              <w:rPr>
                <w:rFonts w:ascii="Arial Narrow" w:hAnsi="Arial Narrow" w:cs="Times New Roman"/>
                <w:b/>
                <w:snapToGrid/>
                <w:sz w:val="20"/>
                <w:lang w:val="en-US"/>
              </w:rPr>
            </w:pPr>
            <w:r w:rsidRPr="00CE0BE9">
              <w:rPr>
                <w:rFonts w:ascii="Arial Narrow" w:hAnsi="Arial Narrow" w:cs="Times New Roman"/>
                <w:b/>
                <w:snapToGrid/>
                <w:sz w:val="20"/>
                <w:lang w:val="en-US"/>
              </w:rPr>
              <w:t>Description</w:t>
            </w:r>
          </w:p>
        </w:tc>
        <w:tc>
          <w:tcPr>
            <w:tcW w:w="2899" w:type="pct"/>
            <w:shd w:val="clear" w:color="auto" w:fill="auto"/>
            <w:vAlign w:val="center"/>
          </w:tcPr>
          <w:p w:rsidR="00A51754" w:rsidRPr="00CE0BE9" w:rsidRDefault="00A51754" w:rsidP="00E9333E">
            <w:pPr>
              <w:widowControl/>
              <w:jc w:val="center"/>
              <w:rPr>
                <w:rFonts w:ascii="Arial Narrow" w:hAnsi="Arial Narrow" w:cs="Times New Roman"/>
                <w:b/>
                <w:snapToGrid/>
                <w:sz w:val="20"/>
                <w:lang w:val="en-US"/>
              </w:rPr>
            </w:pPr>
            <w:r w:rsidRPr="00CE0BE9">
              <w:rPr>
                <w:rFonts w:ascii="Arial Narrow" w:hAnsi="Arial Narrow" w:cs="Times New Roman"/>
                <w:b/>
                <w:snapToGrid/>
                <w:sz w:val="20"/>
                <w:lang w:val="en-US"/>
              </w:rPr>
              <w:t>Method/Value</w:t>
            </w:r>
          </w:p>
        </w:tc>
        <w:tc>
          <w:tcPr>
            <w:tcW w:w="1151" w:type="pct"/>
            <w:shd w:val="clear" w:color="auto" w:fill="auto"/>
            <w:vAlign w:val="center"/>
          </w:tcPr>
          <w:p w:rsidR="00A51754" w:rsidRPr="00CE0BE9" w:rsidRDefault="00A51754" w:rsidP="00E9333E">
            <w:pPr>
              <w:widowControl/>
              <w:jc w:val="center"/>
              <w:rPr>
                <w:rFonts w:ascii="Arial Narrow" w:hAnsi="Arial Narrow" w:cs="Times New Roman"/>
                <w:b/>
                <w:snapToGrid/>
                <w:sz w:val="20"/>
                <w:lang w:val="en-US"/>
              </w:rPr>
            </w:pPr>
            <w:r w:rsidRPr="00CE0BE9">
              <w:rPr>
                <w:rFonts w:ascii="Arial Narrow" w:hAnsi="Arial Narrow" w:cs="Times New Roman"/>
                <w:b/>
                <w:snapToGrid/>
                <w:sz w:val="20"/>
                <w:lang w:val="en-US"/>
              </w:rPr>
              <w:t>Impact</w:t>
            </w:r>
          </w:p>
        </w:tc>
      </w:tr>
      <w:tr w:rsidR="00A51754" w:rsidRPr="00CE0BE9" w:rsidTr="00454F3B">
        <w:tc>
          <w:tcPr>
            <w:tcW w:w="950" w:type="pct"/>
            <w:shd w:val="clear" w:color="auto" w:fill="auto"/>
            <w:vAlign w:val="center"/>
          </w:tcPr>
          <w:p w:rsidR="00A51754" w:rsidRPr="00CE0BE9" w:rsidRDefault="00A51754" w:rsidP="00E9333E">
            <w:pPr>
              <w:widowControl/>
              <w:jc w:val="left"/>
              <w:rPr>
                <w:rFonts w:ascii="Arial Narrow" w:hAnsi="Arial Narrow" w:cs="Times New Roman"/>
                <w:snapToGrid/>
                <w:sz w:val="20"/>
                <w:lang w:val="en-US"/>
              </w:rPr>
            </w:pPr>
            <w:r w:rsidRPr="00CE0BE9">
              <w:rPr>
                <w:rFonts w:ascii="Arial Narrow" w:hAnsi="Arial Narrow" w:cs="Times New Roman"/>
                <w:snapToGrid/>
                <w:sz w:val="20"/>
                <w:lang w:val="en-US"/>
              </w:rPr>
              <w:t>Extrapolation</w:t>
            </w:r>
          </w:p>
        </w:tc>
        <w:tc>
          <w:tcPr>
            <w:tcW w:w="2899" w:type="pct"/>
            <w:shd w:val="clear" w:color="auto" w:fill="auto"/>
            <w:vAlign w:val="center"/>
          </w:tcPr>
          <w:p w:rsidR="00A51754" w:rsidRPr="00CE0BE9" w:rsidRDefault="00A51754" w:rsidP="00E9333E">
            <w:pPr>
              <w:widowControl/>
              <w:jc w:val="left"/>
              <w:rPr>
                <w:rFonts w:ascii="Arial Narrow" w:hAnsi="Arial Narrow" w:cs="Times New Roman"/>
                <w:snapToGrid/>
                <w:sz w:val="20"/>
                <w:lang w:val="en-US"/>
              </w:rPr>
            </w:pPr>
            <w:r w:rsidRPr="00CE0BE9">
              <w:rPr>
                <w:rFonts w:ascii="Arial Narrow" w:hAnsi="Arial Narrow" w:cs="Times New Roman"/>
                <w:snapToGrid/>
                <w:sz w:val="20"/>
                <w:lang w:val="en-US"/>
              </w:rPr>
              <w:t>Treatment effect continued beyond 6-year period for up to 25 years</w:t>
            </w:r>
          </w:p>
        </w:tc>
        <w:tc>
          <w:tcPr>
            <w:tcW w:w="1151" w:type="pct"/>
            <w:shd w:val="clear" w:color="auto" w:fill="auto"/>
            <w:vAlign w:val="center"/>
          </w:tcPr>
          <w:p w:rsidR="00A51754" w:rsidRPr="00CE0BE9" w:rsidRDefault="00A51754" w:rsidP="00E9333E">
            <w:pPr>
              <w:widowControl/>
              <w:jc w:val="left"/>
              <w:rPr>
                <w:rFonts w:ascii="Arial Narrow" w:hAnsi="Arial Narrow" w:cs="Times New Roman"/>
                <w:snapToGrid/>
                <w:sz w:val="20"/>
                <w:lang w:val="en-US"/>
              </w:rPr>
            </w:pPr>
            <w:r w:rsidRPr="00CE0BE9">
              <w:rPr>
                <w:rFonts w:ascii="Arial Narrow" w:hAnsi="Arial Narrow" w:cs="Times New Roman"/>
                <w:snapToGrid/>
                <w:sz w:val="20"/>
                <w:lang w:val="en-US"/>
              </w:rPr>
              <w:t xml:space="preserve">High, </w:t>
            </w:r>
            <w:proofErr w:type="spellStart"/>
            <w:r w:rsidRPr="00CE0BE9">
              <w:rPr>
                <w:rFonts w:ascii="Arial Narrow" w:hAnsi="Arial Narrow" w:cs="Times New Roman"/>
                <w:snapToGrid/>
                <w:sz w:val="20"/>
                <w:lang w:val="en-US"/>
              </w:rPr>
              <w:t>favoured</w:t>
            </w:r>
            <w:proofErr w:type="spellEnd"/>
            <w:r w:rsidRPr="00CE0BE9">
              <w:rPr>
                <w:rFonts w:ascii="Arial Narrow" w:hAnsi="Arial Narrow" w:cs="Times New Roman"/>
                <w:snapToGrid/>
                <w:sz w:val="20"/>
                <w:lang w:val="en-US"/>
              </w:rPr>
              <w:t xml:space="preserve"> </w:t>
            </w:r>
            <w:proofErr w:type="spellStart"/>
            <w:r w:rsidRPr="00CE0BE9">
              <w:rPr>
                <w:rFonts w:ascii="Arial Narrow" w:hAnsi="Arial Narrow" w:cs="Times New Roman"/>
                <w:snapToGrid/>
                <w:sz w:val="20"/>
                <w:lang w:val="en-US"/>
              </w:rPr>
              <w:t>lenalidomide</w:t>
            </w:r>
            <w:proofErr w:type="spellEnd"/>
          </w:p>
        </w:tc>
      </w:tr>
      <w:tr w:rsidR="00A51754" w:rsidRPr="00CE0BE9" w:rsidTr="00454F3B">
        <w:tc>
          <w:tcPr>
            <w:tcW w:w="950" w:type="pct"/>
            <w:shd w:val="clear" w:color="auto" w:fill="auto"/>
            <w:vAlign w:val="center"/>
          </w:tcPr>
          <w:p w:rsidR="00A51754" w:rsidRPr="00CE0BE9" w:rsidRDefault="00A51754" w:rsidP="00E9333E">
            <w:pPr>
              <w:widowControl/>
              <w:jc w:val="left"/>
              <w:rPr>
                <w:rFonts w:ascii="Arial Narrow" w:hAnsi="Arial Narrow" w:cs="Times New Roman"/>
                <w:snapToGrid/>
                <w:sz w:val="20"/>
                <w:lang w:val="en-US"/>
              </w:rPr>
            </w:pPr>
            <w:r w:rsidRPr="00CE0BE9">
              <w:rPr>
                <w:rFonts w:ascii="Arial Narrow" w:hAnsi="Arial Narrow" w:cs="Times New Roman"/>
                <w:snapToGrid/>
                <w:sz w:val="20"/>
                <w:lang w:val="en-US"/>
              </w:rPr>
              <w:t>Extrapolation data source</w:t>
            </w:r>
          </w:p>
        </w:tc>
        <w:tc>
          <w:tcPr>
            <w:tcW w:w="2899" w:type="pct"/>
            <w:shd w:val="clear" w:color="auto" w:fill="auto"/>
            <w:vAlign w:val="center"/>
          </w:tcPr>
          <w:p w:rsidR="00A51754" w:rsidRPr="00CE0BE9" w:rsidRDefault="00A51754" w:rsidP="00E9333E">
            <w:pPr>
              <w:widowControl/>
              <w:jc w:val="left"/>
              <w:rPr>
                <w:rFonts w:ascii="Arial Narrow" w:hAnsi="Arial Narrow" w:cs="Times New Roman"/>
                <w:snapToGrid/>
                <w:sz w:val="20"/>
                <w:lang w:val="en-US"/>
              </w:rPr>
            </w:pPr>
            <w:r w:rsidRPr="00CE0BE9">
              <w:rPr>
                <w:rFonts w:ascii="Arial Narrow" w:hAnsi="Arial Narrow" w:cs="Times New Roman"/>
                <w:snapToGrid/>
                <w:sz w:val="20"/>
                <w:lang w:val="en-US"/>
              </w:rPr>
              <w:t xml:space="preserve">Data for OS, PFS and </w:t>
            </w:r>
            <w:proofErr w:type="spellStart"/>
            <w:r w:rsidRPr="00CE0BE9">
              <w:rPr>
                <w:rFonts w:ascii="Arial Narrow" w:hAnsi="Arial Narrow" w:cs="Times New Roman"/>
                <w:snapToGrid/>
                <w:sz w:val="20"/>
                <w:lang w:val="en-US"/>
              </w:rPr>
              <w:t>ToT</w:t>
            </w:r>
            <w:proofErr w:type="spellEnd"/>
            <w:r w:rsidRPr="00CE0BE9">
              <w:rPr>
                <w:rFonts w:ascii="Arial Narrow" w:hAnsi="Arial Narrow" w:cs="Times New Roman"/>
                <w:snapToGrid/>
                <w:sz w:val="20"/>
                <w:lang w:val="en-US"/>
              </w:rPr>
              <w:t xml:space="preserve"> from CALGB rather than pooled from trial dataset </w:t>
            </w:r>
            <w:r w:rsidRPr="00CE0BE9">
              <w:rPr>
                <w:rFonts w:ascii="Arial Narrow" w:hAnsi="Arial Narrow" w:cs="Times New Roman"/>
                <w:snapToGrid/>
                <w:sz w:val="20"/>
              </w:rPr>
              <w:t>(CALGB, IFM 2005</w:t>
            </w:r>
            <w:r w:rsidRPr="00CE0BE9">
              <w:rPr>
                <w:rFonts w:ascii="Arial Narrow" w:hAnsi="Arial Narrow" w:cs="Times New Roman"/>
                <w:snapToGrid/>
                <w:sz w:val="20"/>
              </w:rPr>
              <w:noBreakHyphen/>
              <w:t>02, GIMEMA)</w:t>
            </w:r>
          </w:p>
        </w:tc>
        <w:tc>
          <w:tcPr>
            <w:tcW w:w="1151" w:type="pct"/>
            <w:shd w:val="clear" w:color="auto" w:fill="auto"/>
            <w:vAlign w:val="center"/>
          </w:tcPr>
          <w:p w:rsidR="00A51754" w:rsidRPr="00CE0BE9" w:rsidRDefault="00A51754" w:rsidP="00E9333E">
            <w:pPr>
              <w:widowControl/>
              <w:jc w:val="left"/>
              <w:rPr>
                <w:rFonts w:ascii="Arial Narrow" w:hAnsi="Arial Narrow" w:cs="Times New Roman"/>
                <w:snapToGrid/>
                <w:sz w:val="20"/>
                <w:lang w:val="en-US"/>
              </w:rPr>
            </w:pPr>
            <w:r w:rsidRPr="00CE0BE9">
              <w:rPr>
                <w:rFonts w:ascii="Arial Narrow" w:hAnsi="Arial Narrow" w:cs="Times New Roman"/>
                <w:snapToGrid/>
                <w:sz w:val="20"/>
                <w:lang w:val="en-US"/>
              </w:rPr>
              <w:t xml:space="preserve">High, </w:t>
            </w:r>
            <w:proofErr w:type="spellStart"/>
            <w:r w:rsidRPr="00CE0BE9">
              <w:rPr>
                <w:rFonts w:ascii="Arial Narrow" w:hAnsi="Arial Narrow" w:cs="Times New Roman"/>
                <w:snapToGrid/>
                <w:sz w:val="20"/>
                <w:lang w:val="en-US"/>
              </w:rPr>
              <w:t>favoured</w:t>
            </w:r>
            <w:proofErr w:type="spellEnd"/>
            <w:r w:rsidRPr="00CE0BE9">
              <w:rPr>
                <w:rFonts w:ascii="Arial Narrow" w:hAnsi="Arial Narrow" w:cs="Times New Roman"/>
                <w:snapToGrid/>
                <w:sz w:val="20"/>
                <w:lang w:val="en-US"/>
              </w:rPr>
              <w:t xml:space="preserve"> </w:t>
            </w:r>
            <w:proofErr w:type="spellStart"/>
            <w:r w:rsidRPr="00CE0BE9">
              <w:rPr>
                <w:rFonts w:ascii="Arial Narrow" w:hAnsi="Arial Narrow" w:cs="Times New Roman"/>
                <w:snapToGrid/>
                <w:sz w:val="20"/>
                <w:lang w:val="en-US"/>
              </w:rPr>
              <w:t>lenalidomide</w:t>
            </w:r>
            <w:proofErr w:type="spellEnd"/>
          </w:p>
        </w:tc>
      </w:tr>
      <w:tr w:rsidR="00A51754" w:rsidRPr="00CE0BE9" w:rsidTr="00454F3B">
        <w:tc>
          <w:tcPr>
            <w:tcW w:w="950" w:type="pct"/>
            <w:shd w:val="clear" w:color="auto" w:fill="auto"/>
            <w:vAlign w:val="center"/>
          </w:tcPr>
          <w:p w:rsidR="00A51754" w:rsidRPr="00CE0BE9" w:rsidRDefault="00A51754" w:rsidP="00E9333E">
            <w:pPr>
              <w:widowControl/>
              <w:jc w:val="left"/>
              <w:rPr>
                <w:rFonts w:ascii="Arial Narrow" w:hAnsi="Arial Narrow" w:cs="Times New Roman"/>
                <w:snapToGrid/>
                <w:sz w:val="20"/>
                <w:lang w:val="en-US"/>
              </w:rPr>
            </w:pPr>
            <w:r w:rsidRPr="00CE0BE9">
              <w:rPr>
                <w:rFonts w:ascii="Arial Narrow" w:hAnsi="Arial Narrow" w:cs="Times New Roman"/>
                <w:snapToGrid/>
                <w:sz w:val="20"/>
                <w:lang w:val="en-US"/>
              </w:rPr>
              <w:t>Extrapolation PFS</w:t>
            </w:r>
          </w:p>
        </w:tc>
        <w:tc>
          <w:tcPr>
            <w:tcW w:w="2899" w:type="pct"/>
            <w:shd w:val="clear" w:color="auto" w:fill="auto"/>
            <w:vAlign w:val="center"/>
          </w:tcPr>
          <w:p w:rsidR="00A51754" w:rsidRPr="00CE0BE9" w:rsidRDefault="00A51754" w:rsidP="00E9333E">
            <w:pPr>
              <w:widowControl/>
              <w:jc w:val="left"/>
              <w:rPr>
                <w:rFonts w:ascii="Arial Narrow" w:hAnsi="Arial Narrow" w:cs="Times New Roman"/>
                <w:snapToGrid/>
                <w:sz w:val="20"/>
                <w:lang w:val="en-US"/>
              </w:rPr>
            </w:pPr>
            <w:r w:rsidRPr="00CE0BE9">
              <w:rPr>
                <w:rFonts w:ascii="Arial Narrow" w:hAnsi="Arial Narrow" w:cs="Times New Roman"/>
                <w:snapToGrid/>
                <w:sz w:val="20"/>
                <w:lang w:val="en-US"/>
              </w:rPr>
              <w:t xml:space="preserve">Functional form for PFS in base case was </w:t>
            </w:r>
            <w:proofErr w:type="spellStart"/>
            <w:r w:rsidRPr="00CE0BE9">
              <w:rPr>
                <w:rFonts w:ascii="Arial Narrow" w:hAnsi="Arial Narrow" w:cs="Times New Roman"/>
                <w:snapToGrid/>
                <w:sz w:val="20"/>
                <w:lang w:val="en-US"/>
              </w:rPr>
              <w:t>generalised</w:t>
            </w:r>
            <w:proofErr w:type="spellEnd"/>
            <w:r w:rsidRPr="00CE0BE9">
              <w:rPr>
                <w:rFonts w:ascii="Arial Narrow" w:hAnsi="Arial Narrow" w:cs="Times New Roman"/>
                <w:snapToGrid/>
                <w:sz w:val="20"/>
                <w:lang w:val="en-US"/>
              </w:rPr>
              <w:t xml:space="preserve"> gamma.</w:t>
            </w:r>
          </w:p>
        </w:tc>
        <w:tc>
          <w:tcPr>
            <w:tcW w:w="1151" w:type="pct"/>
            <w:shd w:val="clear" w:color="auto" w:fill="auto"/>
            <w:vAlign w:val="center"/>
          </w:tcPr>
          <w:p w:rsidR="00A51754" w:rsidRPr="00CE0BE9" w:rsidRDefault="00A51754" w:rsidP="00E9333E">
            <w:pPr>
              <w:widowControl/>
              <w:jc w:val="left"/>
              <w:rPr>
                <w:rFonts w:ascii="Arial Narrow" w:hAnsi="Arial Narrow" w:cs="Times New Roman"/>
                <w:snapToGrid/>
                <w:sz w:val="20"/>
                <w:lang w:val="en-US"/>
              </w:rPr>
            </w:pPr>
            <w:r w:rsidRPr="00CE0BE9">
              <w:rPr>
                <w:rFonts w:ascii="Arial Narrow" w:hAnsi="Arial Narrow" w:cs="Times New Roman"/>
                <w:snapToGrid/>
                <w:sz w:val="20"/>
                <w:lang w:val="en-US"/>
              </w:rPr>
              <w:t xml:space="preserve">Moderate, </w:t>
            </w:r>
            <w:proofErr w:type="spellStart"/>
            <w:r w:rsidRPr="00CE0BE9">
              <w:rPr>
                <w:rFonts w:ascii="Arial Narrow" w:hAnsi="Arial Narrow" w:cs="Times New Roman"/>
                <w:snapToGrid/>
                <w:sz w:val="20"/>
                <w:lang w:val="en-US"/>
              </w:rPr>
              <w:t>favoured</w:t>
            </w:r>
            <w:proofErr w:type="spellEnd"/>
            <w:r w:rsidRPr="00CE0BE9">
              <w:rPr>
                <w:rFonts w:ascii="Arial Narrow" w:hAnsi="Arial Narrow" w:cs="Times New Roman"/>
                <w:snapToGrid/>
                <w:sz w:val="20"/>
                <w:lang w:val="en-US"/>
              </w:rPr>
              <w:t xml:space="preserve"> </w:t>
            </w:r>
            <w:proofErr w:type="spellStart"/>
            <w:r w:rsidRPr="00CE0BE9">
              <w:rPr>
                <w:rFonts w:ascii="Arial Narrow" w:hAnsi="Arial Narrow" w:cs="Times New Roman"/>
                <w:snapToGrid/>
                <w:sz w:val="20"/>
                <w:lang w:val="en-US"/>
              </w:rPr>
              <w:t>lenalidomide</w:t>
            </w:r>
            <w:proofErr w:type="spellEnd"/>
          </w:p>
        </w:tc>
      </w:tr>
      <w:tr w:rsidR="00A51754" w:rsidRPr="00CE0BE9" w:rsidTr="00454F3B">
        <w:tc>
          <w:tcPr>
            <w:tcW w:w="950" w:type="pct"/>
            <w:shd w:val="clear" w:color="auto" w:fill="auto"/>
            <w:vAlign w:val="center"/>
          </w:tcPr>
          <w:p w:rsidR="00A51754" w:rsidRPr="00CE0BE9" w:rsidRDefault="00A51754" w:rsidP="00E9333E">
            <w:pPr>
              <w:widowControl/>
              <w:jc w:val="left"/>
              <w:rPr>
                <w:rFonts w:ascii="Arial Narrow" w:hAnsi="Arial Narrow" w:cs="Times New Roman"/>
                <w:snapToGrid/>
                <w:sz w:val="20"/>
                <w:lang w:val="en-US"/>
              </w:rPr>
            </w:pPr>
            <w:r w:rsidRPr="00CE0BE9">
              <w:rPr>
                <w:rFonts w:ascii="Arial Narrow" w:hAnsi="Arial Narrow" w:cs="Times New Roman"/>
                <w:snapToGrid/>
                <w:sz w:val="20"/>
                <w:lang w:val="en-US"/>
              </w:rPr>
              <w:t>Extrapolation HR for OS for THAL vs. LEN</w:t>
            </w:r>
          </w:p>
        </w:tc>
        <w:tc>
          <w:tcPr>
            <w:tcW w:w="2899" w:type="pct"/>
            <w:shd w:val="clear" w:color="auto" w:fill="auto"/>
            <w:vAlign w:val="center"/>
          </w:tcPr>
          <w:p w:rsidR="00A51754" w:rsidRPr="00132D58" w:rsidRDefault="00A51754" w:rsidP="00583838">
            <w:pPr>
              <w:widowControl/>
              <w:jc w:val="left"/>
              <w:rPr>
                <w:rFonts w:ascii="Arial Narrow" w:hAnsi="Arial Narrow" w:cs="Times New Roman"/>
                <w:snapToGrid/>
                <w:sz w:val="20"/>
                <w:lang w:val="en-US"/>
              </w:rPr>
            </w:pPr>
            <w:r w:rsidRPr="00132D58">
              <w:rPr>
                <w:rFonts w:ascii="Arial Narrow" w:hAnsi="Arial Narrow" w:cs="Times New Roman"/>
                <w:snapToGrid/>
                <w:sz w:val="20"/>
                <w:lang w:val="en-US"/>
              </w:rPr>
              <w:t xml:space="preserve">HR </w:t>
            </w:r>
            <w:r w:rsidR="00A33792" w:rsidRPr="00132D58">
              <w:rPr>
                <w:rFonts w:ascii="Arial Narrow" w:hAnsi="Arial Narrow" w:cs="Times New Roman"/>
                <w:snapToGrid/>
                <w:sz w:val="20"/>
                <w:lang w:val="en-US"/>
              </w:rPr>
              <w:t xml:space="preserve">for thalidomide vs BSC </w:t>
            </w:r>
            <w:r w:rsidRPr="00132D58">
              <w:rPr>
                <w:rFonts w:ascii="Arial Narrow" w:hAnsi="Arial Narrow" w:cs="Times New Roman"/>
                <w:snapToGrid/>
                <w:sz w:val="20"/>
                <w:lang w:val="en-US"/>
              </w:rPr>
              <w:t>was estimated from Myeloma IX based on 3</w:t>
            </w:r>
            <w:r w:rsidRPr="00132D58">
              <w:rPr>
                <w:rFonts w:ascii="Arial Narrow" w:hAnsi="Arial Narrow" w:cs="Times New Roman"/>
                <w:snapToGrid/>
                <w:sz w:val="20"/>
                <w:lang w:val="en-US"/>
              </w:rPr>
              <w:noBreakHyphen/>
              <w:t xml:space="preserve">year OS rate in </w:t>
            </w:r>
            <w:r w:rsidR="002B3D65" w:rsidRPr="00132D58">
              <w:rPr>
                <w:rFonts w:ascii="Arial Narrow" w:hAnsi="Arial Narrow" w:cs="Times New Roman"/>
                <w:snapToGrid/>
                <w:sz w:val="20"/>
                <w:lang w:val="en-US"/>
              </w:rPr>
              <w:t xml:space="preserve">each </w:t>
            </w:r>
            <w:r w:rsidRPr="00132D58">
              <w:rPr>
                <w:rFonts w:ascii="Arial Narrow" w:hAnsi="Arial Narrow" w:cs="Times New Roman"/>
                <w:snapToGrid/>
                <w:sz w:val="20"/>
                <w:lang w:val="en-US"/>
              </w:rPr>
              <w:t>arm. The resulting HR</w:t>
            </w:r>
            <w:r w:rsidR="002B3D65" w:rsidRPr="00132D58">
              <w:rPr>
                <w:rFonts w:ascii="Arial Narrow" w:hAnsi="Arial Narrow" w:cs="Times New Roman"/>
                <w:snapToGrid/>
                <w:sz w:val="20"/>
                <w:lang w:val="en-US"/>
              </w:rPr>
              <w:t xml:space="preserve"> of </w:t>
            </w:r>
            <w:r w:rsidR="00583838" w:rsidRPr="00132D58">
              <w:rPr>
                <w:rFonts w:ascii="Arial Narrow" w:hAnsi="Arial Narrow" w:cs="Times New Roman"/>
                <w:snapToGrid/>
                <w:sz w:val="20"/>
                <w:lang w:val="en-US"/>
              </w:rPr>
              <w:t>0.4</w:t>
            </w:r>
            <w:r w:rsidR="002B3D65" w:rsidRPr="00132D58">
              <w:rPr>
                <w:rFonts w:ascii="Arial Narrow" w:hAnsi="Arial Narrow" w:cs="Times New Roman"/>
                <w:snapToGrid/>
                <w:sz w:val="20"/>
                <w:lang w:val="en-US"/>
              </w:rPr>
              <w:t xml:space="preserve"> (inverse 2.52 applied in model)</w:t>
            </w:r>
            <w:r w:rsidRPr="00132D58">
              <w:rPr>
                <w:rFonts w:ascii="Arial Narrow" w:hAnsi="Arial Narrow" w:cs="Times New Roman"/>
                <w:snapToGrid/>
                <w:sz w:val="20"/>
                <w:lang w:val="en-US"/>
              </w:rPr>
              <w:t xml:space="preserve"> from the indirect comparison was applied to the </w:t>
            </w:r>
            <w:r w:rsidR="00ED5FE8" w:rsidRPr="00132D58">
              <w:rPr>
                <w:rFonts w:ascii="Arial Narrow" w:hAnsi="Arial Narrow" w:cs="Times New Roman"/>
                <w:snapToGrid/>
                <w:sz w:val="20"/>
                <w:lang w:val="en-US"/>
              </w:rPr>
              <w:t xml:space="preserve">fitted </w:t>
            </w:r>
            <w:r w:rsidRPr="00132D58">
              <w:rPr>
                <w:rFonts w:ascii="Arial Narrow" w:hAnsi="Arial Narrow" w:cs="Times New Roman"/>
                <w:snapToGrid/>
                <w:sz w:val="20"/>
                <w:lang w:val="en-US"/>
              </w:rPr>
              <w:t xml:space="preserve">LEN curves for OS. </w:t>
            </w:r>
            <w:r w:rsidR="00954110" w:rsidRPr="00132D58">
              <w:rPr>
                <w:rFonts w:ascii="Arial Narrow" w:hAnsi="Arial Narrow" w:cs="Times New Roman"/>
                <w:snapToGrid/>
                <w:sz w:val="20"/>
                <w:lang w:val="en-US"/>
              </w:rPr>
              <w:t>The ESC considered that applying a constant hazard ratio to determine the thalidomide OS was not justified an</w:t>
            </w:r>
            <w:r w:rsidR="00C23947" w:rsidRPr="00132D58">
              <w:rPr>
                <w:rFonts w:ascii="Arial Narrow" w:hAnsi="Arial Narrow" w:cs="Times New Roman"/>
                <w:snapToGrid/>
                <w:sz w:val="20"/>
                <w:lang w:val="en-US"/>
              </w:rPr>
              <w:t>d</w:t>
            </w:r>
            <w:r w:rsidR="00954110" w:rsidRPr="00132D58">
              <w:rPr>
                <w:rFonts w:ascii="Arial Narrow" w:hAnsi="Arial Narrow" w:cs="Times New Roman"/>
                <w:snapToGrid/>
                <w:sz w:val="20"/>
                <w:lang w:val="en-US"/>
              </w:rPr>
              <w:t xml:space="preserve"> inappropriate.</w:t>
            </w:r>
          </w:p>
        </w:tc>
        <w:tc>
          <w:tcPr>
            <w:tcW w:w="1151" w:type="pct"/>
            <w:shd w:val="clear" w:color="auto" w:fill="auto"/>
            <w:vAlign w:val="center"/>
          </w:tcPr>
          <w:p w:rsidR="00A51754" w:rsidRPr="00CE0BE9" w:rsidRDefault="00A51754" w:rsidP="00E9333E">
            <w:pPr>
              <w:widowControl/>
              <w:jc w:val="left"/>
              <w:rPr>
                <w:rFonts w:ascii="Arial Narrow" w:hAnsi="Arial Narrow" w:cs="Times New Roman"/>
                <w:snapToGrid/>
                <w:sz w:val="20"/>
                <w:lang w:val="en-US"/>
              </w:rPr>
            </w:pPr>
            <w:r w:rsidRPr="00CE0BE9">
              <w:rPr>
                <w:rFonts w:ascii="Arial Narrow" w:hAnsi="Arial Narrow" w:cs="Times New Roman"/>
                <w:snapToGrid/>
                <w:sz w:val="20"/>
                <w:lang w:val="en-US"/>
              </w:rPr>
              <w:t>High,</w:t>
            </w:r>
            <w:r w:rsidR="00ED5FE8" w:rsidRPr="00CE0BE9">
              <w:rPr>
                <w:rFonts w:ascii="Arial Narrow" w:hAnsi="Arial Narrow" w:cs="Times New Roman"/>
                <w:snapToGrid/>
                <w:sz w:val="20"/>
                <w:lang w:val="en-US"/>
              </w:rPr>
              <w:t xml:space="preserve"> likely</w:t>
            </w:r>
            <w:r w:rsidRPr="00CE0BE9">
              <w:rPr>
                <w:rFonts w:ascii="Arial Narrow" w:hAnsi="Arial Narrow" w:cs="Times New Roman"/>
                <w:snapToGrid/>
                <w:sz w:val="20"/>
                <w:lang w:val="en-US"/>
              </w:rPr>
              <w:t xml:space="preserve"> </w:t>
            </w:r>
            <w:proofErr w:type="spellStart"/>
            <w:r w:rsidRPr="00CE0BE9">
              <w:rPr>
                <w:rFonts w:ascii="Arial Narrow" w:hAnsi="Arial Narrow" w:cs="Times New Roman"/>
                <w:snapToGrid/>
                <w:sz w:val="20"/>
                <w:lang w:val="en-US"/>
              </w:rPr>
              <w:t>favoured</w:t>
            </w:r>
            <w:proofErr w:type="spellEnd"/>
            <w:r w:rsidRPr="00CE0BE9">
              <w:rPr>
                <w:rFonts w:ascii="Arial Narrow" w:hAnsi="Arial Narrow" w:cs="Times New Roman"/>
                <w:snapToGrid/>
                <w:sz w:val="20"/>
                <w:lang w:val="en-US"/>
              </w:rPr>
              <w:t xml:space="preserve"> </w:t>
            </w:r>
            <w:proofErr w:type="spellStart"/>
            <w:r w:rsidRPr="00CE0BE9">
              <w:rPr>
                <w:rFonts w:ascii="Arial Narrow" w:hAnsi="Arial Narrow" w:cs="Times New Roman"/>
                <w:snapToGrid/>
                <w:sz w:val="20"/>
                <w:lang w:val="en-US"/>
              </w:rPr>
              <w:t>lenalidomide</w:t>
            </w:r>
            <w:proofErr w:type="spellEnd"/>
          </w:p>
        </w:tc>
      </w:tr>
      <w:tr w:rsidR="00A51754" w:rsidRPr="00CE0BE9" w:rsidTr="00454F3B">
        <w:tc>
          <w:tcPr>
            <w:tcW w:w="950" w:type="pct"/>
            <w:shd w:val="clear" w:color="auto" w:fill="auto"/>
            <w:vAlign w:val="center"/>
          </w:tcPr>
          <w:p w:rsidR="00A51754" w:rsidRPr="00CE0BE9" w:rsidRDefault="00A51754" w:rsidP="00E9333E">
            <w:pPr>
              <w:widowControl/>
              <w:jc w:val="left"/>
              <w:rPr>
                <w:rFonts w:ascii="Arial Narrow" w:hAnsi="Arial Narrow" w:cs="Times New Roman"/>
                <w:snapToGrid/>
                <w:sz w:val="20"/>
                <w:lang w:val="en-US"/>
              </w:rPr>
            </w:pPr>
            <w:r w:rsidRPr="00CE0BE9">
              <w:rPr>
                <w:rFonts w:ascii="Arial Narrow" w:hAnsi="Arial Narrow" w:cs="Times New Roman"/>
                <w:snapToGrid/>
                <w:sz w:val="20"/>
                <w:lang w:val="en-US"/>
              </w:rPr>
              <w:t>Time on subsequent therapy</w:t>
            </w:r>
          </w:p>
        </w:tc>
        <w:tc>
          <w:tcPr>
            <w:tcW w:w="2899" w:type="pct"/>
            <w:shd w:val="clear" w:color="auto" w:fill="auto"/>
            <w:vAlign w:val="center"/>
          </w:tcPr>
          <w:p w:rsidR="00A51754" w:rsidRPr="00CE0BE9" w:rsidRDefault="00A51754" w:rsidP="00E9333E">
            <w:pPr>
              <w:widowControl/>
              <w:jc w:val="left"/>
              <w:rPr>
                <w:rFonts w:ascii="Arial Narrow" w:hAnsi="Arial Narrow" w:cs="Times New Roman"/>
                <w:snapToGrid/>
                <w:sz w:val="20"/>
                <w:lang w:val="en-US"/>
              </w:rPr>
            </w:pPr>
            <w:r w:rsidRPr="00CE0BE9">
              <w:rPr>
                <w:rFonts w:ascii="Arial Narrow" w:hAnsi="Arial Narrow" w:cs="Times New Roman"/>
                <w:snapToGrid/>
                <w:sz w:val="20"/>
                <w:lang w:val="en-US"/>
              </w:rPr>
              <w:t>Time (cycles) on post</w:t>
            </w:r>
            <w:r w:rsidRPr="00CE0BE9">
              <w:rPr>
                <w:rFonts w:ascii="Arial Narrow" w:hAnsi="Arial Narrow" w:cs="Times New Roman"/>
                <w:snapToGrid/>
                <w:sz w:val="20"/>
                <w:lang w:val="en-US"/>
              </w:rPr>
              <w:noBreakHyphen/>
              <w:t xml:space="preserve">progression treatment based on expert opinion rather than pooled across lines of therapy and group in GIMEMA </w:t>
            </w:r>
          </w:p>
        </w:tc>
        <w:tc>
          <w:tcPr>
            <w:tcW w:w="1151" w:type="pct"/>
            <w:shd w:val="clear" w:color="auto" w:fill="auto"/>
            <w:vAlign w:val="center"/>
          </w:tcPr>
          <w:p w:rsidR="00A51754" w:rsidRPr="00CE0BE9" w:rsidRDefault="00A51754" w:rsidP="00E9333E">
            <w:pPr>
              <w:widowControl/>
              <w:jc w:val="left"/>
              <w:rPr>
                <w:rFonts w:ascii="Arial Narrow" w:hAnsi="Arial Narrow" w:cs="Times New Roman"/>
                <w:snapToGrid/>
                <w:sz w:val="20"/>
                <w:lang w:val="en-US"/>
              </w:rPr>
            </w:pPr>
            <w:r w:rsidRPr="00CE0BE9">
              <w:rPr>
                <w:rFonts w:ascii="Arial Narrow" w:hAnsi="Arial Narrow" w:cs="Times New Roman"/>
                <w:snapToGrid/>
                <w:sz w:val="20"/>
                <w:lang w:val="en-US"/>
              </w:rPr>
              <w:t xml:space="preserve">High, </w:t>
            </w:r>
            <w:proofErr w:type="spellStart"/>
            <w:r w:rsidRPr="00CE0BE9">
              <w:rPr>
                <w:rFonts w:ascii="Arial Narrow" w:hAnsi="Arial Narrow" w:cs="Times New Roman"/>
                <w:snapToGrid/>
                <w:sz w:val="20"/>
                <w:lang w:val="en-US"/>
              </w:rPr>
              <w:t>favoured</w:t>
            </w:r>
            <w:proofErr w:type="spellEnd"/>
            <w:r w:rsidRPr="00CE0BE9">
              <w:rPr>
                <w:rFonts w:ascii="Arial Narrow" w:hAnsi="Arial Narrow" w:cs="Times New Roman"/>
                <w:snapToGrid/>
                <w:sz w:val="20"/>
                <w:lang w:val="en-US"/>
              </w:rPr>
              <w:t xml:space="preserve"> </w:t>
            </w:r>
            <w:proofErr w:type="spellStart"/>
            <w:r w:rsidRPr="00CE0BE9">
              <w:rPr>
                <w:rFonts w:ascii="Arial Narrow" w:hAnsi="Arial Narrow" w:cs="Times New Roman"/>
                <w:snapToGrid/>
                <w:sz w:val="20"/>
                <w:lang w:val="en-US"/>
              </w:rPr>
              <w:t>lenalidomide</w:t>
            </w:r>
            <w:proofErr w:type="spellEnd"/>
          </w:p>
        </w:tc>
      </w:tr>
    </w:tbl>
    <w:p w:rsidR="00585C36" w:rsidRPr="00CE0BE9" w:rsidRDefault="00585C36" w:rsidP="00A51754">
      <w:pPr>
        <w:rPr>
          <w:rFonts w:ascii="Arial Narrow" w:hAnsi="Arial Narrow"/>
          <w:sz w:val="18"/>
        </w:rPr>
      </w:pPr>
      <w:r w:rsidRPr="00CE0BE9">
        <w:rPr>
          <w:rFonts w:ascii="Arial Narrow" w:hAnsi="Arial Narrow"/>
          <w:sz w:val="18"/>
        </w:rPr>
        <w:t>Abbreviations: PFS</w:t>
      </w:r>
      <w:r w:rsidR="00C40F69" w:rsidRPr="00CE0BE9">
        <w:rPr>
          <w:rFonts w:ascii="Arial Narrow" w:hAnsi="Arial Narrow"/>
          <w:sz w:val="18"/>
        </w:rPr>
        <w:t>=</w:t>
      </w:r>
      <w:r w:rsidRPr="00CE0BE9">
        <w:rPr>
          <w:rFonts w:ascii="Arial Narrow" w:hAnsi="Arial Narrow"/>
          <w:sz w:val="18"/>
        </w:rPr>
        <w:t>progression free survival; OS</w:t>
      </w:r>
      <w:r w:rsidR="00C40F69" w:rsidRPr="00CE0BE9">
        <w:rPr>
          <w:rFonts w:ascii="Arial Narrow" w:hAnsi="Arial Narrow"/>
          <w:sz w:val="18"/>
        </w:rPr>
        <w:t>=</w:t>
      </w:r>
      <w:r w:rsidRPr="00CE0BE9">
        <w:rPr>
          <w:rFonts w:ascii="Arial Narrow" w:hAnsi="Arial Narrow"/>
          <w:sz w:val="18"/>
        </w:rPr>
        <w:t xml:space="preserve">overall survival; </w:t>
      </w:r>
      <w:proofErr w:type="spellStart"/>
      <w:r w:rsidRPr="00CE0BE9">
        <w:rPr>
          <w:rFonts w:ascii="Arial Narrow" w:hAnsi="Arial Narrow"/>
          <w:sz w:val="18"/>
        </w:rPr>
        <w:t>ToT</w:t>
      </w:r>
      <w:proofErr w:type="spellEnd"/>
      <w:r w:rsidR="00C40F69" w:rsidRPr="00CE0BE9">
        <w:rPr>
          <w:rFonts w:ascii="Arial Narrow" w:hAnsi="Arial Narrow"/>
          <w:sz w:val="18"/>
        </w:rPr>
        <w:t>=</w:t>
      </w:r>
      <w:r w:rsidRPr="00CE0BE9">
        <w:rPr>
          <w:rFonts w:ascii="Arial Narrow" w:hAnsi="Arial Narrow"/>
          <w:sz w:val="18"/>
        </w:rPr>
        <w:t xml:space="preserve"> time on treatment. </w:t>
      </w:r>
    </w:p>
    <w:p w:rsidR="00A51754" w:rsidRPr="00CE0BE9" w:rsidRDefault="00A51754" w:rsidP="00A51754">
      <w:pPr>
        <w:rPr>
          <w:rFonts w:ascii="Arial Narrow" w:hAnsi="Arial Narrow"/>
          <w:sz w:val="18"/>
        </w:rPr>
      </w:pPr>
      <w:r w:rsidRPr="00CE0BE9">
        <w:rPr>
          <w:rFonts w:ascii="Arial Narrow" w:hAnsi="Arial Narrow"/>
          <w:sz w:val="18"/>
        </w:rPr>
        <w:t>Source: Table 3.9.2, p. 191 of the submission.</w:t>
      </w:r>
    </w:p>
    <w:p w:rsidR="00A51754" w:rsidRPr="00CE0BE9" w:rsidRDefault="00A51754" w:rsidP="00A51754">
      <w:pPr>
        <w:widowControl/>
      </w:pPr>
    </w:p>
    <w:p w:rsidR="009A7140" w:rsidRPr="00CC39ED" w:rsidRDefault="00A51754" w:rsidP="00132D58">
      <w:pPr>
        <w:pStyle w:val="ListParagraph"/>
        <w:widowControl/>
        <w:numPr>
          <w:ilvl w:val="1"/>
          <w:numId w:val="2"/>
        </w:numPr>
        <w:rPr>
          <w:rFonts w:ascii="Arial Narrow" w:hAnsi="Arial Narrow"/>
          <w:b/>
          <w:sz w:val="20"/>
          <w:szCs w:val="16"/>
        </w:rPr>
      </w:pPr>
      <w:r w:rsidRPr="00CE0BE9">
        <w:t xml:space="preserve">The results of the stepped economic evaluation for </w:t>
      </w:r>
      <w:proofErr w:type="spellStart"/>
      <w:r w:rsidRPr="00CE0BE9">
        <w:t>lenalidomide</w:t>
      </w:r>
      <w:proofErr w:type="spellEnd"/>
      <w:r w:rsidRPr="00CE0BE9">
        <w:t xml:space="preserve"> vs. BSC are presented in Table </w:t>
      </w:r>
      <w:r w:rsidR="00252B63" w:rsidRPr="00CE0BE9">
        <w:t>2</w:t>
      </w:r>
      <w:r w:rsidR="00247AF0">
        <w:t>3</w:t>
      </w:r>
      <w:r w:rsidRPr="00CE0BE9">
        <w:t>. The extension of the time horizon to 25 years (Step 2) from 6</w:t>
      </w:r>
      <w:r w:rsidR="008539A6">
        <w:t> </w:t>
      </w:r>
      <w:r w:rsidRPr="00CE0BE9">
        <w:t>years (Step 1) has a significant impact on the ICER by increasing the incremental LY gained from 0.58 to 3.11. Extension of the time horizon therefore accounts for 81</w:t>
      </w:r>
      <w:r w:rsidR="001E0605" w:rsidRPr="00CE0BE9">
        <w:t>% of</w:t>
      </w:r>
      <w:r w:rsidRPr="00CE0BE9">
        <w:t xml:space="preserve"> the estimated incremental LY. Including all costs in Step 3 (post</w:t>
      </w:r>
      <w:r w:rsidR="000B1065" w:rsidRPr="00CE0BE9">
        <w:noBreakHyphen/>
      </w:r>
      <w:r w:rsidRPr="00CE0BE9">
        <w:t xml:space="preserve">progression drug, </w:t>
      </w:r>
      <w:r w:rsidR="00386A4F" w:rsidRPr="00CE0BE9">
        <w:t>health care resource utilisation (</w:t>
      </w:r>
      <w:r w:rsidRPr="00CE0BE9">
        <w:t>HCRU</w:t>
      </w:r>
      <w:r w:rsidR="00386A4F" w:rsidRPr="00CE0BE9">
        <w:t>)</w:t>
      </w:r>
      <w:r w:rsidRPr="00CE0BE9">
        <w:t xml:space="preserve"> and AEs in 1st, 2nd line and post-2nd line), and not just first line drug costs, increased the cost of BSC from $</w:t>
      </w:r>
      <w:r w:rsidR="003F06F0">
        <w:rPr>
          <w:noProof/>
          <w:color w:val="000000"/>
          <w:highlight w:val="black"/>
        </w:rPr>
        <w:t xml:space="preserve">''' </w:t>
      </w:r>
      <w:r w:rsidRPr="00CE0BE9">
        <w:t>to $</w:t>
      </w:r>
      <w:r w:rsidR="003F06F0">
        <w:rPr>
          <w:noProof/>
          <w:color w:val="000000"/>
          <w:highlight w:val="black"/>
        </w:rPr>
        <w:t>'''''''''''''</w:t>
      </w:r>
      <w:r w:rsidR="00386A4F" w:rsidRPr="00CE0BE9">
        <w:t xml:space="preserve">. The inclusion of all costs in Step 3 also increased the costs in </w:t>
      </w:r>
      <w:proofErr w:type="spellStart"/>
      <w:r w:rsidR="00386A4F" w:rsidRPr="00CE0BE9">
        <w:t>lenalidomide</w:t>
      </w:r>
      <w:proofErr w:type="spellEnd"/>
      <w:r w:rsidR="00386A4F" w:rsidRPr="00CE0BE9">
        <w:t xml:space="preserve"> but as more </w:t>
      </w:r>
      <w:r w:rsidR="00386A4F" w:rsidRPr="00CE0BE9">
        <w:lastRenderedPageBreak/>
        <w:t>patients progress on BSC,</w:t>
      </w:r>
      <w:r w:rsidRPr="00CE0BE9">
        <w:t xml:space="preserve"> the incremental cost reduced. Applying </w:t>
      </w:r>
      <w:proofErr w:type="spellStart"/>
      <w:r w:rsidRPr="00CE0BE9">
        <w:t>QoL</w:t>
      </w:r>
      <w:proofErr w:type="spellEnd"/>
      <w:r w:rsidRPr="00CE0BE9">
        <w:t xml:space="preserve"> transformations in Step 4 increased the ICER to </w:t>
      </w:r>
      <w:r w:rsidR="00887E33">
        <w:t xml:space="preserve">$15,000 - $45,000 </w:t>
      </w:r>
      <w:r w:rsidRPr="00CE0BE9">
        <w:t>per QALY gained.</w:t>
      </w:r>
    </w:p>
    <w:p w:rsidR="00A51754" w:rsidRPr="00CE0BE9" w:rsidRDefault="00A51754" w:rsidP="00A51754">
      <w:pPr>
        <w:keepNext/>
        <w:rPr>
          <w:rFonts w:ascii="Arial Narrow" w:hAnsi="Arial Narrow"/>
          <w:b/>
          <w:sz w:val="20"/>
          <w:szCs w:val="16"/>
        </w:rPr>
      </w:pPr>
      <w:r w:rsidRPr="00CE0BE9">
        <w:rPr>
          <w:rFonts w:ascii="Arial Narrow" w:hAnsi="Arial Narrow"/>
          <w:b/>
          <w:sz w:val="20"/>
          <w:szCs w:val="16"/>
        </w:rPr>
        <w:t xml:space="preserve">Table </w:t>
      </w:r>
      <w:r w:rsidR="00252B63" w:rsidRPr="00CE0BE9">
        <w:rPr>
          <w:rFonts w:ascii="Arial Narrow" w:hAnsi="Arial Narrow"/>
          <w:b/>
          <w:sz w:val="20"/>
          <w:szCs w:val="16"/>
        </w:rPr>
        <w:t>2</w:t>
      </w:r>
      <w:r w:rsidR="00247AF0">
        <w:rPr>
          <w:rFonts w:ascii="Arial Narrow" w:hAnsi="Arial Narrow"/>
          <w:b/>
          <w:sz w:val="20"/>
          <w:szCs w:val="16"/>
        </w:rPr>
        <w:t>3</w:t>
      </w:r>
      <w:r w:rsidRPr="00CE0BE9">
        <w:rPr>
          <w:rFonts w:ascii="Arial Narrow" w:hAnsi="Arial Narrow"/>
          <w:b/>
          <w:sz w:val="20"/>
          <w:szCs w:val="16"/>
        </w:rPr>
        <w:t xml:space="preserve">: Results of the stepped economic evaluation – </w:t>
      </w:r>
      <w:proofErr w:type="spellStart"/>
      <w:r w:rsidRPr="00CE0BE9">
        <w:rPr>
          <w:rFonts w:ascii="Arial Narrow" w:hAnsi="Arial Narrow"/>
          <w:b/>
          <w:sz w:val="20"/>
          <w:szCs w:val="16"/>
        </w:rPr>
        <w:t>Lenalidomide</w:t>
      </w:r>
      <w:proofErr w:type="spellEnd"/>
      <w:r w:rsidRPr="00CE0BE9">
        <w:rPr>
          <w:rFonts w:ascii="Arial Narrow" w:hAnsi="Arial Narrow"/>
          <w:b/>
          <w:sz w:val="20"/>
          <w:szCs w:val="16"/>
        </w:rPr>
        <w:t xml:space="preserve"> vs. BSC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78"/>
        <w:gridCol w:w="2469"/>
        <w:gridCol w:w="2314"/>
        <w:gridCol w:w="1522"/>
      </w:tblGrid>
      <w:tr w:rsidR="00A51754" w:rsidRPr="00CE0BE9" w:rsidTr="00454F3B">
        <w:trPr>
          <w:tblHeader/>
        </w:trPr>
        <w:tc>
          <w:tcPr>
            <w:tcW w:w="1529" w:type="pct"/>
            <w:vAlign w:val="center"/>
          </w:tcPr>
          <w:p w:rsidR="00A51754" w:rsidRPr="00CE0BE9" w:rsidRDefault="00A51754" w:rsidP="00E9333E">
            <w:pPr>
              <w:keepNext/>
              <w:widowControl/>
              <w:jc w:val="left"/>
              <w:rPr>
                <w:rFonts w:ascii="Arial Narrow" w:hAnsi="Arial Narrow" w:cs="Times New Roman"/>
                <w:b/>
                <w:snapToGrid/>
                <w:sz w:val="20"/>
              </w:rPr>
            </w:pPr>
            <w:r w:rsidRPr="00CE0BE9">
              <w:rPr>
                <w:rFonts w:ascii="Arial Narrow" w:hAnsi="Arial Narrow" w:cs="Times New Roman"/>
                <w:b/>
                <w:snapToGrid/>
                <w:sz w:val="20"/>
              </w:rPr>
              <w:t>Step and component</w:t>
            </w:r>
          </w:p>
        </w:tc>
        <w:tc>
          <w:tcPr>
            <w:tcW w:w="1359" w:type="pct"/>
            <w:vAlign w:val="center"/>
          </w:tcPr>
          <w:p w:rsidR="00A51754" w:rsidRPr="00CE0BE9" w:rsidRDefault="00A51754" w:rsidP="00E9333E">
            <w:pPr>
              <w:keepNext/>
              <w:widowControl/>
              <w:jc w:val="center"/>
              <w:rPr>
                <w:rFonts w:ascii="Arial Narrow" w:hAnsi="Arial Narrow" w:cs="Times New Roman"/>
                <w:b/>
                <w:snapToGrid/>
                <w:sz w:val="20"/>
              </w:rPr>
            </w:pPr>
            <w:proofErr w:type="spellStart"/>
            <w:r w:rsidRPr="00CE0BE9">
              <w:rPr>
                <w:rFonts w:ascii="Arial Narrow" w:hAnsi="Arial Narrow" w:cs="Times New Roman"/>
                <w:b/>
                <w:snapToGrid/>
                <w:sz w:val="20"/>
              </w:rPr>
              <w:t>Lenalidomide</w:t>
            </w:r>
            <w:proofErr w:type="spellEnd"/>
          </w:p>
        </w:tc>
        <w:tc>
          <w:tcPr>
            <w:tcW w:w="1274" w:type="pct"/>
            <w:vAlign w:val="center"/>
          </w:tcPr>
          <w:p w:rsidR="00A51754" w:rsidRPr="00CE0BE9" w:rsidRDefault="00A51754" w:rsidP="00E9333E">
            <w:pPr>
              <w:keepNext/>
              <w:widowControl/>
              <w:jc w:val="center"/>
              <w:rPr>
                <w:rFonts w:ascii="Arial Narrow" w:hAnsi="Arial Narrow" w:cs="Times New Roman"/>
                <w:b/>
                <w:snapToGrid/>
                <w:sz w:val="20"/>
              </w:rPr>
            </w:pPr>
            <w:r w:rsidRPr="00CE0BE9">
              <w:rPr>
                <w:rFonts w:ascii="Arial Narrow" w:hAnsi="Arial Narrow" w:cs="Times New Roman"/>
                <w:b/>
                <w:snapToGrid/>
                <w:sz w:val="20"/>
              </w:rPr>
              <w:t>BSC</w:t>
            </w:r>
          </w:p>
        </w:tc>
        <w:tc>
          <w:tcPr>
            <w:tcW w:w="838" w:type="pct"/>
            <w:vAlign w:val="center"/>
          </w:tcPr>
          <w:p w:rsidR="00A51754" w:rsidRPr="00CE0BE9" w:rsidRDefault="00A51754" w:rsidP="00E9333E">
            <w:pPr>
              <w:keepNext/>
              <w:widowControl/>
              <w:jc w:val="center"/>
              <w:rPr>
                <w:rFonts w:ascii="Arial Narrow" w:hAnsi="Arial Narrow" w:cs="Times New Roman"/>
                <w:b/>
                <w:snapToGrid/>
                <w:sz w:val="20"/>
              </w:rPr>
            </w:pPr>
            <w:r w:rsidRPr="00CE0BE9">
              <w:rPr>
                <w:rFonts w:ascii="Arial Narrow" w:hAnsi="Arial Narrow" w:cs="Times New Roman"/>
                <w:b/>
                <w:snapToGrid/>
                <w:sz w:val="20"/>
              </w:rPr>
              <w:t>Increment</w:t>
            </w:r>
          </w:p>
        </w:tc>
      </w:tr>
      <w:tr w:rsidR="00A51754" w:rsidRPr="00CE0BE9" w:rsidTr="00454F3B">
        <w:tc>
          <w:tcPr>
            <w:tcW w:w="5000" w:type="pct"/>
            <w:gridSpan w:val="4"/>
            <w:vAlign w:val="center"/>
          </w:tcPr>
          <w:p w:rsidR="00A51754" w:rsidRPr="00CE0BE9" w:rsidRDefault="00A51754" w:rsidP="00E9333E">
            <w:pPr>
              <w:widowControl/>
              <w:jc w:val="left"/>
              <w:rPr>
                <w:rFonts w:ascii="Arial Narrow" w:hAnsi="Arial Narrow" w:cs="Times New Roman"/>
                <w:b/>
                <w:sz w:val="20"/>
              </w:rPr>
            </w:pPr>
            <w:r w:rsidRPr="00CE0BE9">
              <w:rPr>
                <w:rFonts w:ascii="Arial Narrow" w:hAnsi="Arial Narrow" w:cs="Times New Roman"/>
                <w:b/>
                <w:sz w:val="20"/>
              </w:rPr>
              <w:t>Step 1: CALGB extrapolation (cross-over adjusted, median follow-up 6 years) – 1</w:t>
            </w:r>
            <w:r w:rsidRPr="00CE0BE9">
              <w:rPr>
                <w:rFonts w:ascii="Arial Narrow" w:hAnsi="Arial Narrow" w:cs="Times New Roman"/>
                <w:b/>
                <w:sz w:val="20"/>
                <w:vertAlign w:val="superscript"/>
              </w:rPr>
              <w:t>st</w:t>
            </w:r>
            <w:r w:rsidRPr="00CE0BE9">
              <w:rPr>
                <w:rFonts w:ascii="Arial Narrow" w:hAnsi="Arial Narrow" w:cs="Times New Roman"/>
                <w:b/>
                <w:sz w:val="20"/>
              </w:rPr>
              <w:t xml:space="preserve"> line drug costs and outcomes</w:t>
            </w:r>
          </w:p>
        </w:tc>
      </w:tr>
      <w:tr w:rsidR="00A51754" w:rsidRPr="00CE0BE9" w:rsidTr="00454F3B">
        <w:tc>
          <w:tcPr>
            <w:tcW w:w="1529" w:type="pct"/>
            <w:vAlign w:val="center"/>
          </w:tcPr>
          <w:p w:rsidR="00A51754" w:rsidRPr="00CE0BE9" w:rsidRDefault="00A51754" w:rsidP="00E9333E">
            <w:pPr>
              <w:widowControl/>
              <w:jc w:val="left"/>
              <w:rPr>
                <w:rFonts w:ascii="Times" w:hAnsi="Times" w:cs="Times New Roman"/>
                <w:snapToGrid/>
                <w:sz w:val="20"/>
              </w:rPr>
            </w:pPr>
            <w:r w:rsidRPr="00CE0BE9">
              <w:rPr>
                <w:rFonts w:ascii="Arial Narrow" w:hAnsi="Arial Narrow" w:cs="Times New Roman"/>
                <w:snapToGrid/>
                <w:sz w:val="20"/>
              </w:rPr>
              <w:t>Costs</w:t>
            </w:r>
          </w:p>
        </w:tc>
        <w:tc>
          <w:tcPr>
            <w:tcW w:w="1359" w:type="pct"/>
            <w:vAlign w:val="center"/>
          </w:tcPr>
          <w:p w:rsidR="00A51754" w:rsidRPr="00CE0BE9" w:rsidRDefault="00A51754" w:rsidP="00E9333E">
            <w:pPr>
              <w:widowControl/>
              <w:jc w:val="center"/>
              <w:rPr>
                <w:rFonts w:ascii="Times" w:hAnsi="Times" w:cs="Times New Roman"/>
                <w:snapToGrid/>
                <w:sz w:val="20"/>
              </w:rPr>
            </w:pPr>
            <w:r w:rsidRPr="00CE0BE9">
              <w:rPr>
                <w:rFonts w:ascii="Arial Narrow" w:hAnsi="Arial Narrow" w:cs="Times New Roman"/>
                <w:snapToGrid/>
                <w:sz w:val="20"/>
              </w:rPr>
              <w:t>$</w:t>
            </w:r>
            <w:r w:rsidR="003F06F0">
              <w:rPr>
                <w:rFonts w:ascii="Arial Narrow" w:hAnsi="Arial Narrow" w:cs="Times New Roman"/>
                <w:noProof/>
                <w:snapToGrid/>
                <w:color w:val="000000"/>
                <w:sz w:val="20"/>
                <w:highlight w:val="black"/>
              </w:rPr>
              <w:t>''''''''''''''''''</w:t>
            </w:r>
          </w:p>
        </w:tc>
        <w:tc>
          <w:tcPr>
            <w:tcW w:w="1274" w:type="pct"/>
            <w:vAlign w:val="center"/>
          </w:tcPr>
          <w:p w:rsidR="00A51754" w:rsidRPr="00CE0BE9" w:rsidRDefault="00A51754" w:rsidP="00E9333E">
            <w:pPr>
              <w:widowControl/>
              <w:jc w:val="center"/>
              <w:rPr>
                <w:rFonts w:ascii="Times" w:hAnsi="Times" w:cs="Times New Roman"/>
                <w:snapToGrid/>
                <w:sz w:val="20"/>
              </w:rPr>
            </w:pPr>
            <w:r w:rsidRPr="00CE0BE9">
              <w:rPr>
                <w:rFonts w:ascii="Arial Narrow" w:hAnsi="Arial Narrow" w:cs="Times New Roman"/>
                <w:snapToGrid/>
                <w:sz w:val="20"/>
              </w:rPr>
              <w:t>$</w:t>
            </w:r>
            <w:r w:rsidR="003F06F0">
              <w:rPr>
                <w:rFonts w:ascii="Arial Narrow" w:hAnsi="Arial Narrow" w:cs="Times New Roman"/>
                <w:noProof/>
                <w:snapToGrid/>
                <w:color w:val="000000"/>
                <w:sz w:val="20"/>
                <w:highlight w:val="black"/>
              </w:rPr>
              <w:t>'''</w:t>
            </w:r>
          </w:p>
        </w:tc>
        <w:tc>
          <w:tcPr>
            <w:tcW w:w="838" w:type="pct"/>
            <w:vAlign w:val="center"/>
          </w:tcPr>
          <w:p w:rsidR="00A51754" w:rsidRPr="00CE0BE9" w:rsidRDefault="00A51754" w:rsidP="00E9333E">
            <w:pPr>
              <w:widowControl/>
              <w:jc w:val="center"/>
              <w:rPr>
                <w:rFonts w:ascii="Times" w:hAnsi="Times" w:cs="Times New Roman"/>
                <w:snapToGrid/>
                <w:sz w:val="20"/>
              </w:rPr>
            </w:pPr>
            <w:r w:rsidRPr="00CE0BE9">
              <w:rPr>
                <w:rFonts w:ascii="Arial Narrow" w:hAnsi="Arial Narrow" w:cs="Times New Roman"/>
                <w:snapToGrid/>
                <w:sz w:val="20"/>
              </w:rPr>
              <w:t>$</w:t>
            </w:r>
            <w:r w:rsidR="003F06F0">
              <w:rPr>
                <w:rFonts w:ascii="Arial Narrow" w:hAnsi="Arial Narrow" w:cs="Times New Roman"/>
                <w:noProof/>
                <w:snapToGrid/>
                <w:color w:val="000000"/>
                <w:sz w:val="20"/>
                <w:highlight w:val="black"/>
              </w:rPr>
              <w:t>''''''''''''''''''</w:t>
            </w:r>
          </w:p>
        </w:tc>
      </w:tr>
      <w:tr w:rsidR="00A51754" w:rsidRPr="00CE0BE9" w:rsidTr="00454F3B">
        <w:tc>
          <w:tcPr>
            <w:tcW w:w="1529" w:type="pct"/>
            <w:vAlign w:val="center"/>
          </w:tcPr>
          <w:p w:rsidR="00A51754" w:rsidRPr="00CE0BE9" w:rsidRDefault="00A51754" w:rsidP="00E9333E">
            <w:pPr>
              <w:widowControl/>
              <w:jc w:val="left"/>
              <w:rPr>
                <w:rFonts w:ascii="Times" w:hAnsi="Times" w:cs="Times New Roman"/>
                <w:snapToGrid/>
                <w:sz w:val="20"/>
              </w:rPr>
            </w:pPr>
            <w:r w:rsidRPr="00CE0BE9">
              <w:rPr>
                <w:rFonts w:ascii="Arial Narrow" w:hAnsi="Arial Narrow" w:cs="Times New Roman"/>
                <w:snapToGrid/>
                <w:sz w:val="20"/>
              </w:rPr>
              <w:t>LYG</w:t>
            </w:r>
          </w:p>
        </w:tc>
        <w:tc>
          <w:tcPr>
            <w:tcW w:w="1359" w:type="pct"/>
            <w:vAlign w:val="center"/>
          </w:tcPr>
          <w:p w:rsidR="00A51754" w:rsidRPr="00CE0BE9" w:rsidRDefault="00A51754" w:rsidP="00E9333E">
            <w:pPr>
              <w:widowControl/>
              <w:jc w:val="center"/>
              <w:rPr>
                <w:rFonts w:ascii="Times" w:hAnsi="Times" w:cs="Times New Roman"/>
                <w:snapToGrid/>
                <w:sz w:val="20"/>
              </w:rPr>
            </w:pPr>
            <w:r w:rsidRPr="00CE0BE9">
              <w:rPr>
                <w:rFonts w:ascii="Arial Narrow" w:hAnsi="Arial Narrow" w:cs="Times New Roman"/>
                <w:snapToGrid/>
                <w:sz w:val="20"/>
              </w:rPr>
              <w:t>4.71</w:t>
            </w:r>
          </w:p>
        </w:tc>
        <w:tc>
          <w:tcPr>
            <w:tcW w:w="1274" w:type="pct"/>
            <w:vAlign w:val="center"/>
          </w:tcPr>
          <w:p w:rsidR="00A51754" w:rsidRPr="00CE0BE9" w:rsidRDefault="00A51754" w:rsidP="00E9333E">
            <w:pPr>
              <w:widowControl/>
              <w:jc w:val="center"/>
              <w:rPr>
                <w:rFonts w:ascii="Times" w:hAnsi="Times" w:cs="Times New Roman"/>
                <w:snapToGrid/>
                <w:sz w:val="20"/>
              </w:rPr>
            </w:pPr>
            <w:r w:rsidRPr="00CE0BE9">
              <w:rPr>
                <w:rFonts w:ascii="Arial Narrow" w:hAnsi="Arial Narrow" w:cs="Times New Roman"/>
                <w:snapToGrid/>
                <w:sz w:val="20"/>
              </w:rPr>
              <w:t>4.13</w:t>
            </w:r>
          </w:p>
        </w:tc>
        <w:tc>
          <w:tcPr>
            <w:tcW w:w="838" w:type="pct"/>
            <w:vAlign w:val="center"/>
          </w:tcPr>
          <w:p w:rsidR="00A51754" w:rsidRPr="00CE0BE9" w:rsidRDefault="00A51754" w:rsidP="00E9333E">
            <w:pPr>
              <w:widowControl/>
              <w:jc w:val="center"/>
              <w:rPr>
                <w:rFonts w:ascii="Arial Narrow" w:hAnsi="Arial Narrow" w:cs="Times New Roman"/>
                <w:snapToGrid/>
                <w:sz w:val="20"/>
              </w:rPr>
            </w:pPr>
            <w:r w:rsidRPr="00CE0BE9">
              <w:rPr>
                <w:rFonts w:ascii="Arial Narrow" w:hAnsi="Arial Narrow" w:cs="Times New Roman"/>
                <w:snapToGrid/>
                <w:sz w:val="20"/>
              </w:rPr>
              <w:t>0.58</w:t>
            </w:r>
          </w:p>
        </w:tc>
      </w:tr>
      <w:tr w:rsidR="00A51754" w:rsidRPr="00CE0BE9" w:rsidTr="00454F3B">
        <w:tc>
          <w:tcPr>
            <w:tcW w:w="4162" w:type="pct"/>
            <w:gridSpan w:val="3"/>
            <w:vAlign w:val="center"/>
          </w:tcPr>
          <w:p w:rsidR="00A51754" w:rsidRPr="00CE0BE9" w:rsidRDefault="00A51754" w:rsidP="00E9333E">
            <w:pPr>
              <w:widowControl/>
              <w:jc w:val="left"/>
              <w:rPr>
                <w:rFonts w:ascii="Times" w:hAnsi="Times" w:cs="Times New Roman"/>
                <w:sz w:val="20"/>
              </w:rPr>
            </w:pPr>
            <w:r w:rsidRPr="00CE0BE9">
              <w:rPr>
                <w:rFonts w:ascii="Arial Narrow" w:hAnsi="Arial Narrow" w:cs="Times New Roman"/>
                <w:snapToGrid/>
                <w:sz w:val="20"/>
              </w:rPr>
              <w:t>Incremental cost per LYG gained</w:t>
            </w:r>
          </w:p>
        </w:tc>
        <w:tc>
          <w:tcPr>
            <w:tcW w:w="838" w:type="pct"/>
            <w:vAlign w:val="center"/>
          </w:tcPr>
          <w:p w:rsidR="00A51754" w:rsidRPr="00CE0BE9" w:rsidRDefault="00A51754" w:rsidP="00E9333E">
            <w:pPr>
              <w:widowControl/>
              <w:jc w:val="center"/>
              <w:rPr>
                <w:rFonts w:ascii="Times" w:hAnsi="Times" w:cs="Times New Roman"/>
                <w:snapToGrid/>
                <w:sz w:val="20"/>
              </w:rPr>
            </w:pPr>
            <w:r w:rsidRPr="00CE0BE9">
              <w:rPr>
                <w:rFonts w:ascii="Arial Narrow" w:hAnsi="Arial Narrow" w:cs="Times New Roman"/>
                <w:snapToGrid/>
                <w:sz w:val="20"/>
              </w:rPr>
              <w:t>$</w:t>
            </w:r>
            <w:r w:rsidR="003F06F0">
              <w:rPr>
                <w:rFonts w:ascii="Arial Narrow" w:hAnsi="Arial Narrow" w:cs="Times New Roman"/>
                <w:noProof/>
                <w:snapToGrid/>
                <w:color w:val="000000"/>
                <w:sz w:val="20"/>
                <w:highlight w:val="black"/>
              </w:rPr>
              <w:t>''''''''''''''''''</w:t>
            </w:r>
          </w:p>
        </w:tc>
      </w:tr>
      <w:tr w:rsidR="00A51754" w:rsidRPr="00CE0BE9" w:rsidTr="00454F3B">
        <w:tc>
          <w:tcPr>
            <w:tcW w:w="5000" w:type="pct"/>
            <w:gridSpan w:val="4"/>
            <w:vAlign w:val="center"/>
          </w:tcPr>
          <w:p w:rsidR="00A51754" w:rsidRPr="00CE0BE9" w:rsidRDefault="00A51754" w:rsidP="00E9333E">
            <w:pPr>
              <w:widowControl/>
              <w:jc w:val="left"/>
              <w:rPr>
                <w:rFonts w:ascii="Arial Narrow" w:hAnsi="Arial Narrow" w:cs="Times New Roman"/>
                <w:b/>
                <w:sz w:val="20"/>
              </w:rPr>
            </w:pPr>
            <w:r w:rsidRPr="00CE0BE9">
              <w:rPr>
                <w:rFonts w:ascii="Arial Narrow" w:hAnsi="Arial Narrow" w:cs="Times New Roman"/>
                <w:b/>
                <w:sz w:val="20"/>
              </w:rPr>
              <w:t xml:space="preserve">Step 2: </w:t>
            </w:r>
            <w:r w:rsidRPr="00CE0BE9">
              <w:rPr>
                <w:rFonts w:ascii="Arial Narrow" w:hAnsi="Arial Narrow" w:cs="Times New Roman"/>
                <w:b/>
                <w:snapToGrid/>
                <w:sz w:val="20"/>
              </w:rPr>
              <w:t>time horizon extended to 25 years</w:t>
            </w:r>
          </w:p>
        </w:tc>
      </w:tr>
      <w:tr w:rsidR="00A51754" w:rsidRPr="00CE0BE9" w:rsidTr="00454F3B">
        <w:tc>
          <w:tcPr>
            <w:tcW w:w="1529" w:type="pct"/>
            <w:vAlign w:val="center"/>
          </w:tcPr>
          <w:p w:rsidR="00A51754" w:rsidRPr="00CE0BE9" w:rsidRDefault="00A51754" w:rsidP="00E9333E">
            <w:pPr>
              <w:widowControl/>
              <w:jc w:val="left"/>
              <w:rPr>
                <w:rFonts w:ascii="Times" w:hAnsi="Times" w:cs="Times New Roman"/>
                <w:snapToGrid/>
                <w:sz w:val="20"/>
              </w:rPr>
            </w:pPr>
            <w:r w:rsidRPr="00CE0BE9">
              <w:rPr>
                <w:rFonts w:ascii="Arial Narrow" w:hAnsi="Arial Narrow" w:cs="Times New Roman"/>
                <w:snapToGrid/>
                <w:sz w:val="20"/>
              </w:rPr>
              <w:t>Costs</w:t>
            </w:r>
          </w:p>
        </w:tc>
        <w:tc>
          <w:tcPr>
            <w:tcW w:w="1359" w:type="pct"/>
            <w:vAlign w:val="center"/>
          </w:tcPr>
          <w:p w:rsidR="00A51754" w:rsidRPr="00CE0BE9" w:rsidRDefault="00A51754" w:rsidP="00E9333E">
            <w:pPr>
              <w:widowControl/>
              <w:jc w:val="center"/>
              <w:rPr>
                <w:rFonts w:ascii="Times" w:hAnsi="Times" w:cs="Times New Roman"/>
                <w:snapToGrid/>
                <w:sz w:val="20"/>
              </w:rPr>
            </w:pPr>
            <w:r w:rsidRPr="00CE0BE9">
              <w:rPr>
                <w:rFonts w:ascii="Arial Narrow" w:hAnsi="Arial Narrow" w:cs="Times New Roman"/>
                <w:snapToGrid/>
                <w:sz w:val="20"/>
              </w:rPr>
              <w:t>$</w:t>
            </w:r>
            <w:r w:rsidR="003F06F0">
              <w:rPr>
                <w:rFonts w:ascii="Arial Narrow" w:hAnsi="Arial Narrow" w:cs="Times New Roman"/>
                <w:noProof/>
                <w:snapToGrid/>
                <w:color w:val="000000"/>
                <w:sz w:val="20"/>
                <w:highlight w:val="black"/>
              </w:rPr>
              <w:t>''''''''''''''''</w:t>
            </w:r>
          </w:p>
        </w:tc>
        <w:tc>
          <w:tcPr>
            <w:tcW w:w="1274" w:type="pct"/>
            <w:vAlign w:val="center"/>
          </w:tcPr>
          <w:p w:rsidR="00A51754" w:rsidRPr="00CE0BE9" w:rsidRDefault="00A51754" w:rsidP="00E9333E">
            <w:pPr>
              <w:widowControl/>
              <w:jc w:val="center"/>
              <w:rPr>
                <w:rFonts w:ascii="Times" w:hAnsi="Times" w:cs="Times New Roman"/>
                <w:snapToGrid/>
                <w:sz w:val="20"/>
              </w:rPr>
            </w:pPr>
            <w:r w:rsidRPr="00CE0BE9">
              <w:rPr>
                <w:rFonts w:ascii="Arial Narrow" w:hAnsi="Arial Narrow" w:cs="Times New Roman"/>
                <w:snapToGrid/>
                <w:sz w:val="20"/>
              </w:rPr>
              <w:t>$</w:t>
            </w:r>
            <w:r w:rsidR="003F06F0">
              <w:rPr>
                <w:rFonts w:ascii="Arial Narrow" w:hAnsi="Arial Narrow" w:cs="Times New Roman"/>
                <w:noProof/>
                <w:snapToGrid/>
                <w:color w:val="000000"/>
                <w:sz w:val="20"/>
                <w:highlight w:val="black"/>
              </w:rPr>
              <w:t>'''</w:t>
            </w:r>
          </w:p>
        </w:tc>
        <w:tc>
          <w:tcPr>
            <w:tcW w:w="838" w:type="pct"/>
            <w:vAlign w:val="center"/>
          </w:tcPr>
          <w:p w:rsidR="00A51754" w:rsidRPr="00CE0BE9" w:rsidRDefault="00A51754" w:rsidP="00E9333E">
            <w:pPr>
              <w:widowControl/>
              <w:jc w:val="center"/>
              <w:rPr>
                <w:rFonts w:ascii="Times" w:hAnsi="Times" w:cs="Times New Roman"/>
                <w:snapToGrid/>
                <w:sz w:val="20"/>
              </w:rPr>
            </w:pPr>
            <w:r w:rsidRPr="00CE0BE9">
              <w:rPr>
                <w:rFonts w:ascii="Arial Narrow" w:hAnsi="Arial Narrow" w:cs="Times New Roman"/>
                <w:snapToGrid/>
                <w:sz w:val="20"/>
              </w:rPr>
              <w:t>$</w:t>
            </w:r>
            <w:r w:rsidR="003F06F0">
              <w:rPr>
                <w:rFonts w:ascii="Arial Narrow" w:hAnsi="Arial Narrow" w:cs="Times New Roman"/>
                <w:noProof/>
                <w:snapToGrid/>
                <w:color w:val="000000"/>
                <w:sz w:val="20"/>
                <w:highlight w:val="black"/>
              </w:rPr>
              <w:t>'''''''''''''''''</w:t>
            </w:r>
          </w:p>
        </w:tc>
      </w:tr>
      <w:tr w:rsidR="00A51754" w:rsidRPr="00CE0BE9" w:rsidTr="00454F3B">
        <w:tc>
          <w:tcPr>
            <w:tcW w:w="1529" w:type="pct"/>
            <w:vAlign w:val="center"/>
          </w:tcPr>
          <w:p w:rsidR="00A51754" w:rsidRPr="00CE0BE9" w:rsidRDefault="00A51754" w:rsidP="00E9333E">
            <w:pPr>
              <w:widowControl/>
              <w:jc w:val="left"/>
              <w:rPr>
                <w:rFonts w:ascii="Times" w:hAnsi="Times" w:cs="Times New Roman"/>
                <w:snapToGrid/>
                <w:sz w:val="20"/>
              </w:rPr>
            </w:pPr>
            <w:r w:rsidRPr="00CE0BE9">
              <w:rPr>
                <w:rFonts w:ascii="Arial Narrow" w:hAnsi="Arial Narrow" w:cs="Times New Roman"/>
                <w:snapToGrid/>
                <w:sz w:val="20"/>
              </w:rPr>
              <w:t>LYG</w:t>
            </w:r>
          </w:p>
        </w:tc>
        <w:tc>
          <w:tcPr>
            <w:tcW w:w="1359" w:type="pct"/>
            <w:vAlign w:val="center"/>
          </w:tcPr>
          <w:p w:rsidR="00A51754" w:rsidRPr="00CE0BE9" w:rsidRDefault="00A51754" w:rsidP="00E9333E">
            <w:pPr>
              <w:widowControl/>
              <w:jc w:val="center"/>
              <w:rPr>
                <w:rFonts w:ascii="Times" w:hAnsi="Times" w:cs="Times New Roman"/>
                <w:snapToGrid/>
                <w:sz w:val="20"/>
              </w:rPr>
            </w:pPr>
            <w:r w:rsidRPr="00CE0BE9">
              <w:rPr>
                <w:rFonts w:ascii="Arial Narrow" w:hAnsi="Arial Narrow" w:cs="Times New Roman"/>
                <w:snapToGrid/>
                <w:sz w:val="20"/>
              </w:rPr>
              <w:t>8.50</w:t>
            </w:r>
          </w:p>
        </w:tc>
        <w:tc>
          <w:tcPr>
            <w:tcW w:w="1274" w:type="pct"/>
            <w:vAlign w:val="center"/>
          </w:tcPr>
          <w:p w:rsidR="00A51754" w:rsidRPr="00CE0BE9" w:rsidRDefault="00A51754" w:rsidP="00E9333E">
            <w:pPr>
              <w:widowControl/>
              <w:jc w:val="center"/>
              <w:rPr>
                <w:rFonts w:ascii="Times" w:hAnsi="Times" w:cs="Times New Roman"/>
                <w:snapToGrid/>
                <w:sz w:val="20"/>
              </w:rPr>
            </w:pPr>
            <w:r w:rsidRPr="00CE0BE9">
              <w:rPr>
                <w:rFonts w:ascii="Arial Narrow" w:hAnsi="Arial Narrow" w:cs="Times New Roman"/>
                <w:snapToGrid/>
                <w:sz w:val="20"/>
              </w:rPr>
              <w:t>5.39</w:t>
            </w:r>
          </w:p>
        </w:tc>
        <w:tc>
          <w:tcPr>
            <w:tcW w:w="838" w:type="pct"/>
            <w:vAlign w:val="center"/>
          </w:tcPr>
          <w:p w:rsidR="00A51754" w:rsidRPr="00CE0BE9" w:rsidRDefault="00A51754" w:rsidP="00E9333E">
            <w:pPr>
              <w:widowControl/>
              <w:jc w:val="center"/>
              <w:rPr>
                <w:rFonts w:ascii="Arial Narrow" w:hAnsi="Arial Narrow" w:cs="Times New Roman"/>
                <w:snapToGrid/>
                <w:sz w:val="20"/>
              </w:rPr>
            </w:pPr>
            <w:r w:rsidRPr="00CE0BE9">
              <w:rPr>
                <w:rFonts w:ascii="Arial Narrow" w:hAnsi="Arial Narrow" w:cs="Times New Roman"/>
                <w:snapToGrid/>
                <w:sz w:val="20"/>
              </w:rPr>
              <w:t>3.11</w:t>
            </w:r>
          </w:p>
        </w:tc>
      </w:tr>
      <w:tr w:rsidR="00A51754" w:rsidRPr="00CE0BE9" w:rsidTr="00454F3B">
        <w:tc>
          <w:tcPr>
            <w:tcW w:w="4162" w:type="pct"/>
            <w:gridSpan w:val="3"/>
            <w:vAlign w:val="center"/>
          </w:tcPr>
          <w:p w:rsidR="00A51754" w:rsidRPr="00CE0BE9" w:rsidRDefault="00A51754" w:rsidP="00E9333E">
            <w:pPr>
              <w:widowControl/>
              <w:jc w:val="left"/>
              <w:rPr>
                <w:rFonts w:ascii="Times" w:hAnsi="Times" w:cs="Times New Roman"/>
                <w:sz w:val="20"/>
              </w:rPr>
            </w:pPr>
            <w:r w:rsidRPr="00CE0BE9">
              <w:rPr>
                <w:rFonts w:ascii="Arial Narrow" w:hAnsi="Arial Narrow" w:cs="Times New Roman"/>
                <w:snapToGrid/>
                <w:sz w:val="20"/>
              </w:rPr>
              <w:t>Incremental cost per LYG gained</w:t>
            </w:r>
          </w:p>
        </w:tc>
        <w:tc>
          <w:tcPr>
            <w:tcW w:w="838" w:type="pct"/>
            <w:vAlign w:val="center"/>
          </w:tcPr>
          <w:p w:rsidR="00A51754" w:rsidRPr="00CE0BE9" w:rsidRDefault="00A51754" w:rsidP="00E9333E">
            <w:pPr>
              <w:widowControl/>
              <w:jc w:val="center"/>
              <w:rPr>
                <w:rFonts w:ascii="Times" w:hAnsi="Times" w:cs="Times New Roman"/>
                <w:snapToGrid/>
                <w:sz w:val="20"/>
              </w:rPr>
            </w:pPr>
            <w:r w:rsidRPr="00CE0BE9">
              <w:rPr>
                <w:rFonts w:ascii="Arial Narrow" w:hAnsi="Arial Narrow" w:cs="Times New Roman"/>
                <w:snapToGrid/>
                <w:sz w:val="20"/>
              </w:rPr>
              <w:t>$</w:t>
            </w:r>
            <w:r w:rsidR="003F06F0">
              <w:rPr>
                <w:rFonts w:ascii="Arial Narrow" w:hAnsi="Arial Narrow" w:cs="Times New Roman"/>
                <w:noProof/>
                <w:snapToGrid/>
                <w:color w:val="000000"/>
                <w:sz w:val="20"/>
                <w:highlight w:val="black"/>
              </w:rPr>
              <w:t>''''''''''''''''</w:t>
            </w:r>
          </w:p>
        </w:tc>
      </w:tr>
      <w:tr w:rsidR="00A51754" w:rsidRPr="00CE0BE9" w:rsidTr="00454F3B">
        <w:tc>
          <w:tcPr>
            <w:tcW w:w="5000" w:type="pct"/>
            <w:gridSpan w:val="4"/>
            <w:vAlign w:val="center"/>
          </w:tcPr>
          <w:p w:rsidR="00A51754" w:rsidRPr="00CE0BE9" w:rsidRDefault="00A51754" w:rsidP="00E9333E">
            <w:pPr>
              <w:widowControl/>
              <w:jc w:val="left"/>
              <w:rPr>
                <w:rFonts w:ascii="Arial Narrow" w:hAnsi="Arial Narrow" w:cs="Times New Roman"/>
                <w:b/>
                <w:sz w:val="20"/>
              </w:rPr>
            </w:pPr>
            <w:r w:rsidRPr="00CE0BE9">
              <w:rPr>
                <w:rFonts w:ascii="Arial Narrow" w:hAnsi="Arial Narrow" w:cs="Times New Roman"/>
                <w:b/>
                <w:sz w:val="20"/>
              </w:rPr>
              <w:t>Step 3: incorporation of all costs (subsequent therapy</w:t>
            </w:r>
            <w:r w:rsidR="00386A4F" w:rsidRPr="00CE0BE9">
              <w:rPr>
                <w:rFonts w:ascii="Arial Narrow" w:hAnsi="Arial Narrow" w:cs="Times New Roman"/>
                <w:b/>
                <w:sz w:val="20"/>
              </w:rPr>
              <w:t>, AEs</w:t>
            </w:r>
            <w:r w:rsidRPr="00CE0BE9">
              <w:rPr>
                <w:rFonts w:ascii="Arial Narrow" w:hAnsi="Arial Narrow" w:cs="Times New Roman"/>
                <w:b/>
                <w:sz w:val="20"/>
              </w:rPr>
              <w:t>)</w:t>
            </w:r>
          </w:p>
        </w:tc>
      </w:tr>
      <w:tr w:rsidR="00A51754" w:rsidRPr="00CE0BE9" w:rsidTr="00454F3B">
        <w:tc>
          <w:tcPr>
            <w:tcW w:w="1529" w:type="pct"/>
            <w:vAlign w:val="center"/>
          </w:tcPr>
          <w:p w:rsidR="00A51754" w:rsidRPr="00CE0BE9" w:rsidRDefault="00A51754" w:rsidP="00E9333E">
            <w:pPr>
              <w:widowControl/>
              <w:jc w:val="left"/>
              <w:rPr>
                <w:rFonts w:ascii="Times" w:hAnsi="Times" w:cs="Times New Roman"/>
                <w:snapToGrid/>
                <w:sz w:val="20"/>
              </w:rPr>
            </w:pPr>
            <w:r w:rsidRPr="00CE0BE9">
              <w:rPr>
                <w:rFonts w:ascii="Arial Narrow" w:hAnsi="Arial Narrow" w:cs="Times New Roman"/>
                <w:snapToGrid/>
                <w:sz w:val="20"/>
              </w:rPr>
              <w:t>Costs</w:t>
            </w:r>
          </w:p>
        </w:tc>
        <w:tc>
          <w:tcPr>
            <w:tcW w:w="1359" w:type="pct"/>
            <w:vAlign w:val="center"/>
          </w:tcPr>
          <w:p w:rsidR="00A51754" w:rsidRPr="00CE0BE9" w:rsidRDefault="00A51754" w:rsidP="00E9333E">
            <w:pPr>
              <w:widowControl/>
              <w:jc w:val="center"/>
              <w:rPr>
                <w:rFonts w:ascii="Times" w:hAnsi="Times" w:cs="Times New Roman"/>
                <w:snapToGrid/>
                <w:sz w:val="20"/>
              </w:rPr>
            </w:pPr>
            <w:r w:rsidRPr="00CE0BE9">
              <w:rPr>
                <w:rFonts w:ascii="Arial Narrow" w:hAnsi="Arial Narrow" w:cs="Times New Roman"/>
                <w:snapToGrid/>
                <w:sz w:val="20"/>
              </w:rPr>
              <w:t>$</w:t>
            </w:r>
            <w:r w:rsidR="003F06F0">
              <w:rPr>
                <w:rFonts w:ascii="Arial Narrow" w:hAnsi="Arial Narrow" w:cs="Times New Roman"/>
                <w:noProof/>
                <w:snapToGrid/>
                <w:color w:val="000000"/>
                <w:sz w:val="20"/>
                <w:highlight w:val="black"/>
              </w:rPr>
              <w:t>''''''''''''''''''</w:t>
            </w:r>
          </w:p>
        </w:tc>
        <w:tc>
          <w:tcPr>
            <w:tcW w:w="1274" w:type="pct"/>
            <w:vAlign w:val="center"/>
          </w:tcPr>
          <w:p w:rsidR="00A51754" w:rsidRPr="00CE0BE9" w:rsidRDefault="00A51754" w:rsidP="00E9333E">
            <w:pPr>
              <w:widowControl/>
              <w:jc w:val="center"/>
              <w:rPr>
                <w:rFonts w:ascii="Times" w:hAnsi="Times" w:cs="Times New Roman"/>
                <w:snapToGrid/>
                <w:sz w:val="20"/>
              </w:rPr>
            </w:pPr>
            <w:r w:rsidRPr="00CE0BE9">
              <w:rPr>
                <w:rFonts w:ascii="Arial Narrow" w:hAnsi="Arial Narrow" w:cs="Times New Roman"/>
                <w:snapToGrid/>
                <w:sz w:val="20"/>
              </w:rPr>
              <w:t>$</w:t>
            </w:r>
            <w:r w:rsidR="003F06F0">
              <w:rPr>
                <w:rFonts w:ascii="Arial Narrow" w:hAnsi="Arial Narrow" w:cs="Times New Roman"/>
                <w:noProof/>
                <w:snapToGrid/>
                <w:color w:val="000000"/>
                <w:sz w:val="20"/>
                <w:highlight w:val="black"/>
              </w:rPr>
              <w:t>'''''''''''''''</w:t>
            </w:r>
          </w:p>
        </w:tc>
        <w:tc>
          <w:tcPr>
            <w:tcW w:w="838" w:type="pct"/>
            <w:vAlign w:val="center"/>
          </w:tcPr>
          <w:p w:rsidR="00A51754" w:rsidRPr="00CE0BE9" w:rsidRDefault="00A51754" w:rsidP="00E9333E">
            <w:pPr>
              <w:widowControl/>
              <w:jc w:val="center"/>
              <w:rPr>
                <w:rFonts w:ascii="Times" w:hAnsi="Times" w:cs="Times New Roman"/>
                <w:snapToGrid/>
                <w:sz w:val="20"/>
              </w:rPr>
            </w:pPr>
            <w:r w:rsidRPr="00CE0BE9">
              <w:rPr>
                <w:rFonts w:ascii="Arial Narrow" w:hAnsi="Arial Narrow" w:cs="Times New Roman"/>
                <w:snapToGrid/>
                <w:sz w:val="20"/>
              </w:rPr>
              <w:t>$</w:t>
            </w:r>
            <w:r w:rsidR="003F06F0">
              <w:rPr>
                <w:rFonts w:ascii="Arial Narrow" w:hAnsi="Arial Narrow" w:cs="Times New Roman"/>
                <w:noProof/>
                <w:snapToGrid/>
                <w:color w:val="000000"/>
                <w:sz w:val="20"/>
                <w:highlight w:val="black"/>
              </w:rPr>
              <w:t>'''''''''''''''''</w:t>
            </w:r>
          </w:p>
        </w:tc>
      </w:tr>
      <w:tr w:rsidR="00A51754" w:rsidRPr="00CE0BE9" w:rsidTr="00454F3B">
        <w:tc>
          <w:tcPr>
            <w:tcW w:w="1529" w:type="pct"/>
            <w:vAlign w:val="center"/>
          </w:tcPr>
          <w:p w:rsidR="00A51754" w:rsidRPr="00CE0BE9" w:rsidRDefault="00A51754" w:rsidP="00E9333E">
            <w:pPr>
              <w:widowControl/>
              <w:jc w:val="left"/>
              <w:rPr>
                <w:rFonts w:ascii="Times" w:hAnsi="Times" w:cs="Times New Roman"/>
                <w:snapToGrid/>
                <w:sz w:val="20"/>
              </w:rPr>
            </w:pPr>
            <w:r w:rsidRPr="00CE0BE9">
              <w:rPr>
                <w:rFonts w:ascii="Arial Narrow" w:hAnsi="Arial Narrow" w:cs="Times New Roman"/>
                <w:snapToGrid/>
                <w:sz w:val="20"/>
              </w:rPr>
              <w:t>LYG</w:t>
            </w:r>
          </w:p>
        </w:tc>
        <w:tc>
          <w:tcPr>
            <w:tcW w:w="1359" w:type="pct"/>
            <w:vAlign w:val="center"/>
          </w:tcPr>
          <w:p w:rsidR="00A51754" w:rsidRPr="00CE0BE9" w:rsidRDefault="00A51754" w:rsidP="00E9333E">
            <w:pPr>
              <w:widowControl/>
              <w:jc w:val="center"/>
              <w:rPr>
                <w:rFonts w:ascii="Times" w:hAnsi="Times" w:cs="Times New Roman"/>
                <w:snapToGrid/>
                <w:sz w:val="20"/>
              </w:rPr>
            </w:pPr>
            <w:r w:rsidRPr="00CE0BE9">
              <w:rPr>
                <w:rFonts w:ascii="Arial Narrow" w:hAnsi="Arial Narrow" w:cs="Times New Roman"/>
                <w:snapToGrid/>
                <w:sz w:val="20"/>
              </w:rPr>
              <w:t>8.50</w:t>
            </w:r>
          </w:p>
        </w:tc>
        <w:tc>
          <w:tcPr>
            <w:tcW w:w="1274" w:type="pct"/>
            <w:vAlign w:val="center"/>
          </w:tcPr>
          <w:p w:rsidR="00A51754" w:rsidRPr="00CE0BE9" w:rsidRDefault="00A51754" w:rsidP="00E9333E">
            <w:pPr>
              <w:widowControl/>
              <w:jc w:val="center"/>
              <w:rPr>
                <w:rFonts w:ascii="Times" w:hAnsi="Times" w:cs="Times New Roman"/>
                <w:snapToGrid/>
                <w:sz w:val="20"/>
              </w:rPr>
            </w:pPr>
            <w:r w:rsidRPr="00CE0BE9">
              <w:rPr>
                <w:rFonts w:ascii="Arial Narrow" w:hAnsi="Arial Narrow" w:cs="Times New Roman"/>
                <w:snapToGrid/>
                <w:sz w:val="20"/>
              </w:rPr>
              <w:t>5.39</w:t>
            </w:r>
          </w:p>
        </w:tc>
        <w:tc>
          <w:tcPr>
            <w:tcW w:w="838" w:type="pct"/>
            <w:vAlign w:val="center"/>
          </w:tcPr>
          <w:p w:rsidR="00A51754" w:rsidRPr="00CE0BE9" w:rsidRDefault="00A51754" w:rsidP="00E9333E">
            <w:pPr>
              <w:widowControl/>
              <w:jc w:val="center"/>
              <w:rPr>
                <w:rFonts w:ascii="Arial Narrow" w:hAnsi="Arial Narrow" w:cs="Times New Roman"/>
                <w:snapToGrid/>
                <w:sz w:val="20"/>
              </w:rPr>
            </w:pPr>
            <w:r w:rsidRPr="00CE0BE9">
              <w:rPr>
                <w:rFonts w:ascii="Arial Narrow" w:hAnsi="Arial Narrow" w:cs="Times New Roman"/>
                <w:snapToGrid/>
                <w:sz w:val="20"/>
              </w:rPr>
              <w:t>3.11</w:t>
            </w:r>
          </w:p>
        </w:tc>
      </w:tr>
      <w:tr w:rsidR="00A51754" w:rsidRPr="00CE0BE9" w:rsidTr="00454F3B">
        <w:tc>
          <w:tcPr>
            <w:tcW w:w="4162" w:type="pct"/>
            <w:gridSpan w:val="3"/>
            <w:vAlign w:val="center"/>
          </w:tcPr>
          <w:p w:rsidR="00A51754" w:rsidRPr="00CE0BE9" w:rsidRDefault="00A51754" w:rsidP="00E9333E">
            <w:pPr>
              <w:widowControl/>
              <w:jc w:val="left"/>
              <w:rPr>
                <w:rFonts w:ascii="Times" w:hAnsi="Times" w:cs="Times New Roman"/>
                <w:snapToGrid/>
                <w:sz w:val="20"/>
              </w:rPr>
            </w:pPr>
            <w:r w:rsidRPr="00CE0BE9">
              <w:rPr>
                <w:rFonts w:ascii="Arial Narrow" w:hAnsi="Arial Narrow" w:cs="Times New Roman"/>
                <w:snapToGrid/>
                <w:sz w:val="20"/>
              </w:rPr>
              <w:t>Incremental cost per LYG gained</w:t>
            </w:r>
          </w:p>
        </w:tc>
        <w:tc>
          <w:tcPr>
            <w:tcW w:w="838" w:type="pct"/>
            <w:vAlign w:val="center"/>
          </w:tcPr>
          <w:p w:rsidR="00A51754" w:rsidRPr="00CE0BE9" w:rsidRDefault="00A51754" w:rsidP="00E9333E">
            <w:pPr>
              <w:widowControl/>
              <w:jc w:val="center"/>
              <w:rPr>
                <w:rFonts w:ascii="Times" w:hAnsi="Times" w:cs="Times New Roman"/>
                <w:snapToGrid/>
                <w:sz w:val="20"/>
              </w:rPr>
            </w:pPr>
            <w:r w:rsidRPr="00CE0BE9">
              <w:rPr>
                <w:rFonts w:ascii="Arial Narrow" w:hAnsi="Arial Narrow" w:cs="Times New Roman"/>
                <w:snapToGrid/>
                <w:sz w:val="20"/>
              </w:rPr>
              <w:t>$</w:t>
            </w:r>
            <w:r w:rsidR="003F06F0">
              <w:rPr>
                <w:rFonts w:ascii="Arial Narrow" w:hAnsi="Arial Narrow" w:cs="Times New Roman"/>
                <w:noProof/>
                <w:snapToGrid/>
                <w:color w:val="000000"/>
                <w:sz w:val="20"/>
                <w:highlight w:val="black"/>
              </w:rPr>
              <w:t>''''''''''''''''</w:t>
            </w:r>
          </w:p>
        </w:tc>
      </w:tr>
      <w:tr w:rsidR="00A51754" w:rsidRPr="00CE0BE9" w:rsidTr="00454F3B">
        <w:tc>
          <w:tcPr>
            <w:tcW w:w="5000" w:type="pct"/>
            <w:gridSpan w:val="4"/>
            <w:vAlign w:val="center"/>
          </w:tcPr>
          <w:p w:rsidR="00A51754" w:rsidRPr="00CE0BE9" w:rsidRDefault="00A51754" w:rsidP="00E9333E">
            <w:pPr>
              <w:widowControl/>
              <w:jc w:val="left"/>
              <w:rPr>
                <w:rFonts w:ascii="Arial Narrow" w:hAnsi="Arial Narrow" w:cs="Times New Roman"/>
                <w:b/>
                <w:sz w:val="20"/>
              </w:rPr>
            </w:pPr>
            <w:r w:rsidRPr="00CE0BE9">
              <w:rPr>
                <w:rFonts w:ascii="Arial Narrow" w:hAnsi="Arial Narrow" w:cs="Times New Roman"/>
                <w:b/>
                <w:sz w:val="20"/>
              </w:rPr>
              <w:t>Step 4: utility weights applied</w:t>
            </w:r>
          </w:p>
        </w:tc>
      </w:tr>
      <w:tr w:rsidR="00A51754" w:rsidRPr="00CE0BE9" w:rsidTr="00454F3B">
        <w:tc>
          <w:tcPr>
            <w:tcW w:w="1529" w:type="pct"/>
            <w:vAlign w:val="center"/>
          </w:tcPr>
          <w:p w:rsidR="00A51754" w:rsidRPr="00CE0BE9" w:rsidRDefault="00A51754" w:rsidP="00E9333E">
            <w:pPr>
              <w:widowControl/>
              <w:jc w:val="left"/>
              <w:rPr>
                <w:rFonts w:ascii="Times" w:hAnsi="Times" w:cs="Times New Roman"/>
                <w:snapToGrid/>
                <w:sz w:val="20"/>
              </w:rPr>
            </w:pPr>
            <w:r w:rsidRPr="00CE0BE9">
              <w:rPr>
                <w:rFonts w:ascii="Arial Narrow" w:hAnsi="Arial Narrow" w:cs="Times New Roman"/>
                <w:snapToGrid/>
                <w:sz w:val="20"/>
              </w:rPr>
              <w:t>Costs</w:t>
            </w:r>
          </w:p>
        </w:tc>
        <w:tc>
          <w:tcPr>
            <w:tcW w:w="1359" w:type="pct"/>
            <w:vAlign w:val="center"/>
          </w:tcPr>
          <w:p w:rsidR="00A51754" w:rsidRPr="00CE0BE9" w:rsidRDefault="00A51754" w:rsidP="00E9333E">
            <w:pPr>
              <w:widowControl/>
              <w:jc w:val="center"/>
              <w:rPr>
                <w:rFonts w:ascii="Times" w:hAnsi="Times" w:cs="Times New Roman"/>
                <w:snapToGrid/>
                <w:sz w:val="20"/>
              </w:rPr>
            </w:pPr>
            <w:r w:rsidRPr="00CE0BE9">
              <w:rPr>
                <w:rFonts w:ascii="Arial Narrow" w:hAnsi="Arial Narrow" w:cs="Times New Roman"/>
                <w:snapToGrid/>
                <w:sz w:val="20"/>
              </w:rPr>
              <w:t>$</w:t>
            </w:r>
            <w:r w:rsidR="003F06F0">
              <w:rPr>
                <w:rFonts w:ascii="Arial Narrow" w:hAnsi="Arial Narrow" w:cs="Times New Roman"/>
                <w:noProof/>
                <w:snapToGrid/>
                <w:color w:val="000000"/>
                <w:sz w:val="20"/>
                <w:highlight w:val="black"/>
              </w:rPr>
              <w:t>''''''''''''''''''''</w:t>
            </w:r>
          </w:p>
        </w:tc>
        <w:tc>
          <w:tcPr>
            <w:tcW w:w="1274" w:type="pct"/>
            <w:vAlign w:val="center"/>
          </w:tcPr>
          <w:p w:rsidR="00A51754" w:rsidRPr="00CE0BE9" w:rsidRDefault="00A51754" w:rsidP="00E9333E">
            <w:pPr>
              <w:widowControl/>
              <w:jc w:val="center"/>
              <w:rPr>
                <w:rFonts w:ascii="Times" w:hAnsi="Times" w:cs="Times New Roman"/>
                <w:snapToGrid/>
                <w:sz w:val="20"/>
              </w:rPr>
            </w:pPr>
            <w:r w:rsidRPr="00CE0BE9">
              <w:rPr>
                <w:rFonts w:ascii="Arial Narrow" w:hAnsi="Arial Narrow" w:cs="Times New Roman"/>
                <w:snapToGrid/>
                <w:sz w:val="20"/>
              </w:rPr>
              <w:t>$</w:t>
            </w:r>
            <w:r w:rsidR="003F06F0">
              <w:rPr>
                <w:rFonts w:ascii="Arial Narrow" w:hAnsi="Arial Narrow" w:cs="Times New Roman"/>
                <w:noProof/>
                <w:snapToGrid/>
                <w:color w:val="000000"/>
                <w:sz w:val="20"/>
                <w:highlight w:val="black"/>
              </w:rPr>
              <w:t>''''''''''''''''''</w:t>
            </w:r>
          </w:p>
        </w:tc>
        <w:tc>
          <w:tcPr>
            <w:tcW w:w="838" w:type="pct"/>
            <w:vAlign w:val="center"/>
          </w:tcPr>
          <w:p w:rsidR="00A51754" w:rsidRPr="00CE0BE9" w:rsidRDefault="00A51754" w:rsidP="00E9333E">
            <w:pPr>
              <w:widowControl/>
              <w:jc w:val="center"/>
              <w:rPr>
                <w:rFonts w:ascii="Times" w:hAnsi="Times" w:cs="Times New Roman"/>
                <w:snapToGrid/>
                <w:sz w:val="20"/>
              </w:rPr>
            </w:pPr>
            <w:r w:rsidRPr="00CE0BE9">
              <w:rPr>
                <w:rFonts w:ascii="Arial Narrow" w:hAnsi="Arial Narrow" w:cs="Times New Roman"/>
                <w:snapToGrid/>
                <w:sz w:val="20"/>
              </w:rPr>
              <w:t>$</w:t>
            </w:r>
            <w:r w:rsidR="003F06F0">
              <w:rPr>
                <w:rFonts w:ascii="Arial Narrow" w:hAnsi="Arial Narrow" w:cs="Times New Roman"/>
                <w:noProof/>
                <w:snapToGrid/>
                <w:color w:val="000000"/>
                <w:sz w:val="20"/>
                <w:highlight w:val="black"/>
              </w:rPr>
              <w:t>'''''''''''''''</w:t>
            </w:r>
          </w:p>
        </w:tc>
      </w:tr>
      <w:tr w:rsidR="00A51754" w:rsidRPr="00CE0BE9" w:rsidTr="00454F3B">
        <w:tc>
          <w:tcPr>
            <w:tcW w:w="1529" w:type="pct"/>
            <w:vAlign w:val="center"/>
          </w:tcPr>
          <w:p w:rsidR="00A51754" w:rsidRPr="00CE0BE9" w:rsidRDefault="00A51754" w:rsidP="00E9333E">
            <w:pPr>
              <w:widowControl/>
              <w:jc w:val="left"/>
              <w:rPr>
                <w:rFonts w:ascii="Times" w:hAnsi="Times" w:cs="Times New Roman"/>
                <w:snapToGrid/>
                <w:sz w:val="20"/>
              </w:rPr>
            </w:pPr>
            <w:r w:rsidRPr="00CE0BE9">
              <w:rPr>
                <w:rFonts w:ascii="Arial Narrow" w:hAnsi="Arial Narrow" w:cs="Times New Roman"/>
                <w:snapToGrid/>
                <w:sz w:val="20"/>
              </w:rPr>
              <w:t>QALYs</w:t>
            </w:r>
          </w:p>
        </w:tc>
        <w:tc>
          <w:tcPr>
            <w:tcW w:w="1359" w:type="pct"/>
            <w:vAlign w:val="center"/>
          </w:tcPr>
          <w:p w:rsidR="00A51754" w:rsidRPr="00CE0BE9" w:rsidRDefault="00A51754" w:rsidP="00E9333E">
            <w:pPr>
              <w:widowControl/>
              <w:jc w:val="center"/>
              <w:rPr>
                <w:rFonts w:ascii="Arial Narrow" w:hAnsi="Arial Narrow" w:cs="Times New Roman"/>
                <w:snapToGrid/>
                <w:sz w:val="20"/>
              </w:rPr>
            </w:pPr>
            <w:r w:rsidRPr="00CE0BE9">
              <w:rPr>
                <w:rFonts w:ascii="Arial Narrow" w:hAnsi="Arial Narrow" w:cs="Times New Roman"/>
                <w:snapToGrid/>
                <w:sz w:val="20"/>
              </w:rPr>
              <w:t>6.52</w:t>
            </w:r>
          </w:p>
        </w:tc>
        <w:tc>
          <w:tcPr>
            <w:tcW w:w="1274" w:type="pct"/>
            <w:vAlign w:val="center"/>
          </w:tcPr>
          <w:p w:rsidR="00A51754" w:rsidRPr="00CE0BE9" w:rsidRDefault="00A51754" w:rsidP="00E9333E">
            <w:pPr>
              <w:widowControl/>
              <w:jc w:val="center"/>
              <w:rPr>
                <w:rFonts w:ascii="Times" w:hAnsi="Times" w:cs="Times New Roman"/>
                <w:snapToGrid/>
                <w:sz w:val="20"/>
              </w:rPr>
            </w:pPr>
            <w:r w:rsidRPr="00CE0BE9">
              <w:rPr>
                <w:rFonts w:ascii="Arial Narrow" w:hAnsi="Arial Narrow" w:cs="Times New Roman"/>
                <w:snapToGrid/>
                <w:sz w:val="20"/>
              </w:rPr>
              <w:t>4.08</w:t>
            </w:r>
          </w:p>
        </w:tc>
        <w:tc>
          <w:tcPr>
            <w:tcW w:w="838" w:type="pct"/>
            <w:vAlign w:val="center"/>
          </w:tcPr>
          <w:p w:rsidR="00A51754" w:rsidRPr="00CE0BE9" w:rsidRDefault="00A51754" w:rsidP="00E9333E">
            <w:pPr>
              <w:widowControl/>
              <w:jc w:val="center"/>
              <w:rPr>
                <w:rFonts w:ascii="Arial Narrow" w:hAnsi="Arial Narrow" w:cs="Times New Roman"/>
                <w:snapToGrid/>
                <w:sz w:val="20"/>
              </w:rPr>
            </w:pPr>
            <w:r w:rsidRPr="00CE0BE9">
              <w:rPr>
                <w:rFonts w:ascii="Arial Narrow" w:hAnsi="Arial Narrow" w:cs="Times New Roman"/>
                <w:snapToGrid/>
                <w:sz w:val="20"/>
              </w:rPr>
              <w:t>2.44</w:t>
            </w:r>
          </w:p>
        </w:tc>
      </w:tr>
      <w:tr w:rsidR="00A51754" w:rsidRPr="00CE0BE9" w:rsidTr="00454F3B">
        <w:tc>
          <w:tcPr>
            <w:tcW w:w="4162" w:type="pct"/>
            <w:gridSpan w:val="3"/>
            <w:vAlign w:val="center"/>
          </w:tcPr>
          <w:p w:rsidR="00A51754" w:rsidRPr="00CE0BE9" w:rsidRDefault="00A51754" w:rsidP="00E9333E">
            <w:pPr>
              <w:widowControl/>
              <w:jc w:val="left"/>
              <w:rPr>
                <w:rFonts w:ascii="Times" w:hAnsi="Times" w:cs="Times New Roman"/>
                <w:b/>
                <w:snapToGrid/>
                <w:sz w:val="20"/>
              </w:rPr>
            </w:pPr>
            <w:r w:rsidRPr="00CE0BE9">
              <w:rPr>
                <w:rFonts w:ascii="Arial Narrow" w:hAnsi="Arial Narrow" w:cs="Times New Roman"/>
                <w:b/>
                <w:snapToGrid/>
                <w:sz w:val="20"/>
              </w:rPr>
              <w:t>Incremental cost per QALY gained (base case)</w:t>
            </w:r>
          </w:p>
        </w:tc>
        <w:tc>
          <w:tcPr>
            <w:tcW w:w="838" w:type="pct"/>
            <w:vAlign w:val="center"/>
          </w:tcPr>
          <w:p w:rsidR="00A51754" w:rsidRPr="00CE0BE9" w:rsidRDefault="00A51754" w:rsidP="00E9333E">
            <w:pPr>
              <w:widowControl/>
              <w:jc w:val="center"/>
              <w:rPr>
                <w:rFonts w:ascii="Times" w:hAnsi="Times" w:cs="Times New Roman"/>
                <w:b/>
                <w:snapToGrid/>
                <w:sz w:val="20"/>
              </w:rPr>
            </w:pPr>
            <w:r w:rsidRPr="00CE0BE9">
              <w:rPr>
                <w:rFonts w:ascii="Arial Narrow" w:hAnsi="Arial Narrow" w:cs="Times New Roman"/>
                <w:b/>
                <w:snapToGrid/>
                <w:sz w:val="20"/>
              </w:rPr>
              <w:t>$</w:t>
            </w:r>
            <w:r w:rsidR="003F06F0">
              <w:rPr>
                <w:rFonts w:ascii="Arial Narrow" w:hAnsi="Arial Narrow" w:cs="Times New Roman"/>
                <w:b/>
                <w:noProof/>
                <w:snapToGrid/>
                <w:color w:val="000000"/>
                <w:sz w:val="20"/>
                <w:highlight w:val="black"/>
              </w:rPr>
              <w:t>''''''''''''''</w:t>
            </w:r>
          </w:p>
        </w:tc>
      </w:tr>
    </w:tbl>
    <w:p w:rsidR="00386A4F" w:rsidRPr="00CE0BE9" w:rsidRDefault="00386A4F" w:rsidP="00A51754">
      <w:pPr>
        <w:rPr>
          <w:rFonts w:ascii="Arial Narrow" w:hAnsi="Arial Narrow"/>
          <w:sz w:val="18"/>
        </w:rPr>
      </w:pPr>
      <w:r w:rsidRPr="00CE0BE9">
        <w:rPr>
          <w:rFonts w:ascii="Arial Narrow" w:hAnsi="Arial Narrow"/>
          <w:sz w:val="18"/>
        </w:rPr>
        <w:t xml:space="preserve">Abbreviations: AE = adverse events. </w:t>
      </w:r>
    </w:p>
    <w:p w:rsidR="00A51754" w:rsidRPr="00CE0BE9" w:rsidRDefault="00A51754" w:rsidP="00A51754">
      <w:pPr>
        <w:rPr>
          <w:rFonts w:ascii="Arial Narrow" w:hAnsi="Arial Narrow"/>
          <w:sz w:val="18"/>
        </w:rPr>
      </w:pPr>
      <w:r w:rsidRPr="00CE0BE9">
        <w:rPr>
          <w:rFonts w:ascii="Arial Narrow" w:hAnsi="Arial Narrow"/>
          <w:sz w:val="18"/>
        </w:rPr>
        <w:t>Source: Table 3.8.1, p.184 of the submission. Excel spreadsheet ‘</w:t>
      </w:r>
      <w:proofErr w:type="spellStart"/>
      <w:r w:rsidRPr="00CE0BE9">
        <w:rPr>
          <w:rFonts w:ascii="Arial Narrow" w:hAnsi="Arial Narrow"/>
          <w:sz w:val="18"/>
        </w:rPr>
        <w:t>Att</w:t>
      </w:r>
      <w:proofErr w:type="spellEnd"/>
      <w:r w:rsidRPr="00CE0BE9">
        <w:rPr>
          <w:rFonts w:ascii="Arial Narrow" w:hAnsi="Arial Narrow"/>
          <w:sz w:val="18"/>
        </w:rPr>
        <w:t xml:space="preserve"> 12_Section 3 cost effectiveness model v2’_ sheet “Results” so that LYG and QALYs are reported to 2 decimal places. </w:t>
      </w:r>
    </w:p>
    <w:p w:rsidR="00A51754" w:rsidRPr="00CE0BE9" w:rsidRDefault="00A51754" w:rsidP="00A51754">
      <w:pPr>
        <w:rPr>
          <w:rFonts w:ascii="Arial Narrow" w:hAnsi="Arial Narrow"/>
          <w:sz w:val="20"/>
        </w:rPr>
      </w:pPr>
    </w:p>
    <w:p w:rsidR="00A51754" w:rsidRPr="00CE0BE9" w:rsidRDefault="00A51754" w:rsidP="00887E33">
      <w:pPr>
        <w:pStyle w:val="ListParagraph"/>
        <w:widowControl/>
        <w:numPr>
          <w:ilvl w:val="1"/>
          <w:numId w:val="2"/>
        </w:numPr>
      </w:pPr>
      <w:r w:rsidRPr="00CE0BE9">
        <w:t xml:space="preserve">The results of the stepped economic evaluation for </w:t>
      </w:r>
      <w:proofErr w:type="spellStart"/>
      <w:r w:rsidRPr="00CE0BE9">
        <w:t>lenalidomide</w:t>
      </w:r>
      <w:proofErr w:type="spellEnd"/>
      <w:r w:rsidRPr="00CE0BE9">
        <w:t xml:space="preserve"> vs. thalidomide are presented in Table </w:t>
      </w:r>
      <w:r w:rsidR="00252B63" w:rsidRPr="00CE0BE9">
        <w:t>2</w:t>
      </w:r>
      <w:r w:rsidR="00247AF0">
        <w:t>4</w:t>
      </w:r>
      <w:r w:rsidRPr="00CE0BE9">
        <w:t xml:space="preserve">. </w:t>
      </w:r>
      <w:r w:rsidR="001E0605" w:rsidRPr="00CE0BE9">
        <w:t xml:space="preserve">The extension of the time horizon accounts for 77% of the estimated incremental LY. </w:t>
      </w:r>
      <w:r w:rsidRPr="00CE0BE9">
        <w:t xml:space="preserve">The remaining impacts of the additional steps are as described for the comparison of </w:t>
      </w:r>
      <w:proofErr w:type="spellStart"/>
      <w:r w:rsidRPr="00CE0BE9">
        <w:t>lenalidomide</w:t>
      </w:r>
      <w:proofErr w:type="spellEnd"/>
      <w:r w:rsidRPr="00CE0BE9">
        <w:t xml:space="preserve"> with BSC, with Step 4 culminating in a cost per QALY gained of </w:t>
      </w:r>
      <w:r w:rsidR="00887E33">
        <w:t>$45,000 - $75</w:t>
      </w:r>
      <w:r w:rsidR="00887E33" w:rsidRPr="00887E33">
        <w:t>,000</w:t>
      </w:r>
      <w:r w:rsidRPr="00CE0BE9">
        <w:t>.</w:t>
      </w:r>
    </w:p>
    <w:p w:rsidR="00A51754" w:rsidRPr="00CE0BE9" w:rsidRDefault="00A51754" w:rsidP="00A51754">
      <w:pPr>
        <w:keepNext/>
        <w:rPr>
          <w:rStyle w:val="CommentReference"/>
        </w:rPr>
      </w:pPr>
      <w:r w:rsidRPr="00CE0BE9">
        <w:rPr>
          <w:rStyle w:val="CommentReference"/>
        </w:rPr>
        <w:t xml:space="preserve">Table </w:t>
      </w:r>
      <w:r w:rsidR="00252B63" w:rsidRPr="00CE0BE9">
        <w:rPr>
          <w:rStyle w:val="CommentReference"/>
        </w:rPr>
        <w:t>2</w:t>
      </w:r>
      <w:r w:rsidR="00247AF0">
        <w:rPr>
          <w:rStyle w:val="CommentReference"/>
        </w:rPr>
        <w:t>4</w:t>
      </w:r>
      <w:r w:rsidRPr="00CE0BE9">
        <w:rPr>
          <w:rStyle w:val="CommentReference"/>
        </w:rPr>
        <w:t xml:space="preserve">: Results of the stepped economic evaluation – </w:t>
      </w:r>
      <w:proofErr w:type="spellStart"/>
      <w:r w:rsidRPr="00CE0BE9">
        <w:rPr>
          <w:rStyle w:val="CommentReference"/>
        </w:rPr>
        <w:t>lenalidomide</w:t>
      </w:r>
      <w:proofErr w:type="spellEnd"/>
      <w:r w:rsidRPr="00CE0BE9">
        <w:rPr>
          <w:rStyle w:val="CommentReference"/>
        </w:rPr>
        <w:t xml:space="preserve"> vs. thalidomide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78"/>
        <w:gridCol w:w="2469"/>
        <w:gridCol w:w="2314"/>
        <w:gridCol w:w="1522"/>
      </w:tblGrid>
      <w:tr w:rsidR="00A51754" w:rsidRPr="00CE0BE9" w:rsidTr="00E9333E">
        <w:trPr>
          <w:tblHeader/>
        </w:trPr>
        <w:tc>
          <w:tcPr>
            <w:tcW w:w="1529" w:type="pct"/>
            <w:vAlign w:val="center"/>
          </w:tcPr>
          <w:p w:rsidR="00A51754" w:rsidRPr="00CE0BE9" w:rsidRDefault="00A51754" w:rsidP="00E9333E">
            <w:pPr>
              <w:pStyle w:val="Tabletext"/>
              <w:keepNext/>
              <w:rPr>
                <w:b/>
              </w:rPr>
            </w:pPr>
            <w:r w:rsidRPr="00CE0BE9">
              <w:rPr>
                <w:b/>
              </w:rPr>
              <w:t>Step and component</w:t>
            </w:r>
          </w:p>
        </w:tc>
        <w:tc>
          <w:tcPr>
            <w:tcW w:w="1359" w:type="pct"/>
            <w:vAlign w:val="center"/>
          </w:tcPr>
          <w:p w:rsidR="00A51754" w:rsidRPr="00CE0BE9" w:rsidRDefault="00A51754" w:rsidP="00E9333E">
            <w:pPr>
              <w:pStyle w:val="Tabletext"/>
              <w:keepNext/>
              <w:jc w:val="center"/>
              <w:rPr>
                <w:b/>
              </w:rPr>
            </w:pPr>
            <w:proofErr w:type="spellStart"/>
            <w:r w:rsidRPr="00CE0BE9">
              <w:rPr>
                <w:b/>
              </w:rPr>
              <w:t>Lenalidomide</w:t>
            </w:r>
            <w:proofErr w:type="spellEnd"/>
          </w:p>
        </w:tc>
        <w:tc>
          <w:tcPr>
            <w:tcW w:w="1274" w:type="pct"/>
            <w:vAlign w:val="center"/>
          </w:tcPr>
          <w:p w:rsidR="00A51754" w:rsidRPr="00CE0BE9" w:rsidRDefault="00A51754" w:rsidP="00E9333E">
            <w:pPr>
              <w:pStyle w:val="Tabletext"/>
              <w:keepNext/>
              <w:jc w:val="center"/>
              <w:rPr>
                <w:b/>
              </w:rPr>
            </w:pPr>
            <w:r w:rsidRPr="00CE0BE9">
              <w:rPr>
                <w:b/>
              </w:rPr>
              <w:t>Thalidomide</w:t>
            </w:r>
          </w:p>
        </w:tc>
        <w:tc>
          <w:tcPr>
            <w:tcW w:w="838" w:type="pct"/>
            <w:vAlign w:val="center"/>
          </w:tcPr>
          <w:p w:rsidR="00A51754" w:rsidRPr="00CE0BE9" w:rsidRDefault="00A51754" w:rsidP="00E9333E">
            <w:pPr>
              <w:pStyle w:val="Tabletext"/>
              <w:keepNext/>
              <w:jc w:val="center"/>
              <w:rPr>
                <w:b/>
              </w:rPr>
            </w:pPr>
            <w:r w:rsidRPr="00CE0BE9">
              <w:rPr>
                <w:b/>
              </w:rPr>
              <w:t>Increment</w:t>
            </w:r>
          </w:p>
        </w:tc>
      </w:tr>
      <w:tr w:rsidR="00A51754" w:rsidRPr="00CE0BE9" w:rsidTr="00E9333E">
        <w:tc>
          <w:tcPr>
            <w:tcW w:w="5000" w:type="pct"/>
            <w:gridSpan w:val="4"/>
            <w:vAlign w:val="center"/>
          </w:tcPr>
          <w:p w:rsidR="00A51754" w:rsidRPr="00CE0BE9" w:rsidRDefault="00A51754" w:rsidP="00E9333E">
            <w:pPr>
              <w:pStyle w:val="Tabletext"/>
              <w:rPr>
                <w:b/>
                <w:snapToGrid w:val="0"/>
              </w:rPr>
            </w:pPr>
            <w:r w:rsidRPr="00CE0BE9">
              <w:rPr>
                <w:b/>
                <w:snapToGrid w:val="0"/>
              </w:rPr>
              <w:t>Step 1: CALGB extrapolation (cross-over adjusted) -based costs and outcomes</w:t>
            </w:r>
          </w:p>
        </w:tc>
      </w:tr>
      <w:tr w:rsidR="00A51754" w:rsidRPr="00CE0BE9" w:rsidTr="00E9333E">
        <w:tc>
          <w:tcPr>
            <w:tcW w:w="1529" w:type="pct"/>
            <w:vAlign w:val="center"/>
          </w:tcPr>
          <w:p w:rsidR="00A51754" w:rsidRPr="00CE0BE9" w:rsidRDefault="00A51754" w:rsidP="00E9333E">
            <w:pPr>
              <w:pStyle w:val="Tabletext"/>
              <w:rPr>
                <w:rFonts w:ascii="Times" w:hAnsi="Times"/>
              </w:rPr>
            </w:pPr>
            <w:r w:rsidRPr="00CE0BE9">
              <w:t>Costs</w:t>
            </w:r>
          </w:p>
        </w:tc>
        <w:tc>
          <w:tcPr>
            <w:tcW w:w="1359" w:type="pct"/>
            <w:vAlign w:val="center"/>
          </w:tcPr>
          <w:p w:rsidR="00A51754" w:rsidRPr="00CE0BE9" w:rsidRDefault="00A51754" w:rsidP="00E9333E">
            <w:pPr>
              <w:pStyle w:val="Tabletext"/>
              <w:jc w:val="center"/>
              <w:rPr>
                <w:rFonts w:ascii="Times" w:hAnsi="Times"/>
              </w:rPr>
            </w:pPr>
            <w:r w:rsidRPr="00CE0BE9">
              <w:t>$</w:t>
            </w:r>
            <w:r w:rsidR="003F06F0">
              <w:rPr>
                <w:noProof/>
                <w:color w:val="000000"/>
                <w:highlight w:val="black"/>
              </w:rPr>
              <w:t>'''''''''''''''</w:t>
            </w:r>
          </w:p>
        </w:tc>
        <w:tc>
          <w:tcPr>
            <w:tcW w:w="1274" w:type="pct"/>
            <w:vAlign w:val="center"/>
          </w:tcPr>
          <w:p w:rsidR="00A51754" w:rsidRPr="00CE0BE9" w:rsidRDefault="00A51754" w:rsidP="00E9333E">
            <w:pPr>
              <w:pStyle w:val="Tabletext"/>
              <w:jc w:val="center"/>
              <w:rPr>
                <w:rFonts w:ascii="Times" w:hAnsi="Times"/>
              </w:rPr>
            </w:pPr>
            <w:r w:rsidRPr="00CE0BE9">
              <w:t>$</w:t>
            </w:r>
            <w:r w:rsidR="003F06F0">
              <w:rPr>
                <w:noProof/>
                <w:color w:val="000000"/>
                <w:highlight w:val="black"/>
              </w:rPr>
              <w:t>''''''''''''''''</w:t>
            </w:r>
          </w:p>
        </w:tc>
        <w:tc>
          <w:tcPr>
            <w:tcW w:w="838" w:type="pct"/>
            <w:vAlign w:val="center"/>
          </w:tcPr>
          <w:p w:rsidR="00A51754" w:rsidRPr="00CE0BE9" w:rsidRDefault="00A51754" w:rsidP="00E9333E">
            <w:pPr>
              <w:pStyle w:val="Tabletext"/>
              <w:jc w:val="center"/>
              <w:rPr>
                <w:rFonts w:ascii="Times" w:hAnsi="Times"/>
              </w:rPr>
            </w:pPr>
            <w:r w:rsidRPr="00CE0BE9">
              <w:t>$</w:t>
            </w:r>
            <w:r w:rsidR="003F06F0">
              <w:rPr>
                <w:noProof/>
                <w:color w:val="000000"/>
                <w:highlight w:val="black"/>
              </w:rPr>
              <w:t>'''''''''''''''</w:t>
            </w:r>
          </w:p>
        </w:tc>
      </w:tr>
      <w:tr w:rsidR="00A51754" w:rsidRPr="00CE0BE9" w:rsidTr="00E9333E">
        <w:tc>
          <w:tcPr>
            <w:tcW w:w="1529" w:type="pct"/>
            <w:vAlign w:val="center"/>
          </w:tcPr>
          <w:p w:rsidR="00A51754" w:rsidRPr="00CE0BE9" w:rsidRDefault="00A51754" w:rsidP="00E9333E">
            <w:pPr>
              <w:pStyle w:val="Tabletext"/>
              <w:rPr>
                <w:rFonts w:ascii="Times" w:hAnsi="Times"/>
              </w:rPr>
            </w:pPr>
            <w:r w:rsidRPr="00CE0BE9">
              <w:t>LYG</w:t>
            </w:r>
          </w:p>
        </w:tc>
        <w:tc>
          <w:tcPr>
            <w:tcW w:w="1359" w:type="pct"/>
            <w:vAlign w:val="center"/>
          </w:tcPr>
          <w:p w:rsidR="00A51754" w:rsidRPr="00CE0BE9" w:rsidRDefault="00A51754" w:rsidP="00E9333E">
            <w:pPr>
              <w:pStyle w:val="Tabletext"/>
              <w:jc w:val="center"/>
              <w:rPr>
                <w:rFonts w:ascii="Times" w:hAnsi="Times"/>
              </w:rPr>
            </w:pPr>
            <w:r w:rsidRPr="00CE0BE9">
              <w:t>4.71</w:t>
            </w:r>
          </w:p>
        </w:tc>
        <w:tc>
          <w:tcPr>
            <w:tcW w:w="1274" w:type="pct"/>
            <w:vAlign w:val="center"/>
          </w:tcPr>
          <w:p w:rsidR="00A51754" w:rsidRPr="00CE0BE9" w:rsidRDefault="00A51754" w:rsidP="00E9333E">
            <w:pPr>
              <w:pStyle w:val="Tabletext"/>
              <w:jc w:val="center"/>
              <w:rPr>
                <w:rFonts w:ascii="Times" w:hAnsi="Times"/>
              </w:rPr>
            </w:pPr>
            <w:r w:rsidRPr="00CE0BE9">
              <w:t>3.99</w:t>
            </w:r>
          </w:p>
        </w:tc>
        <w:tc>
          <w:tcPr>
            <w:tcW w:w="838" w:type="pct"/>
            <w:vAlign w:val="center"/>
          </w:tcPr>
          <w:p w:rsidR="00A51754" w:rsidRPr="00CE0BE9" w:rsidRDefault="00A51754" w:rsidP="00E9333E">
            <w:pPr>
              <w:pStyle w:val="Tabletext"/>
              <w:jc w:val="center"/>
            </w:pPr>
            <w:r w:rsidRPr="00CE0BE9">
              <w:t>0.72</w:t>
            </w:r>
          </w:p>
        </w:tc>
      </w:tr>
      <w:tr w:rsidR="00A51754" w:rsidRPr="00CE0BE9" w:rsidTr="00E9333E">
        <w:tc>
          <w:tcPr>
            <w:tcW w:w="4162" w:type="pct"/>
            <w:gridSpan w:val="3"/>
            <w:vAlign w:val="center"/>
          </w:tcPr>
          <w:p w:rsidR="00A51754" w:rsidRPr="00CE0BE9" w:rsidRDefault="00A51754" w:rsidP="00E9333E">
            <w:pPr>
              <w:pStyle w:val="Tabletext"/>
              <w:rPr>
                <w:rFonts w:ascii="Times" w:hAnsi="Times"/>
                <w:snapToGrid w:val="0"/>
              </w:rPr>
            </w:pPr>
            <w:r w:rsidRPr="00CE0BE9">
              <w:t>Incremental cost per LYG gained</w:t>
            </w:r>
          </w:p>
        </w:tc>
        <w:tc>
          <w:tcPr>
            <w:tcW w:w="838" w:type="pct"/>
            <w:vAlign w:val="center"/>
          </w:tcPr>
          <w:p w:rsidR="00A51754" w:rsidRPr="00CE0BE9" w:rsidRDefault="00A51754" w:rsidP="00E9333E">
            <w:pPr>
              <w:pStyle w:val="Tabletext"/>
              <w:jc w:val="center"/>
              <w:rPr>
                <w:rFonts w:ascii="Times" w:hAnsi="Times"/>
              </w:rPr>
            </w:pPr>
            <w:r w:rsidRPr="00CE0BE9">
              <w:t>$</w:t>
            </w:r>
            <w:r w:rsidR="003F06F0">
              <w:rPr>
                <w:noProof/>
                <w:color w:val="000000"/>
                <w:highlight w:val="black"/>
              </w:rPr>
              <w:t>'''''''''''''''''''''</w:t>
            </w:r>
          </w:p>
        </w:tc>
      </w:tr>
      <w:tr w:rsidR="00A51754" w:rsidRPr="00CE0BE9" w:rsidTr="00E9333E">
        <w:tc>
          <w:tcPr>
            <w:tcW w:w="5000" w:type="pct"/>
            <w:gridSpan w:val="4"/>
            <w:vAlign w:val="center"/>
          </w:tcPr>
          <w:p w:rsidR="00A51754" w:rsidRPr="00CE0BE9" w:rsidRDefault="00A51754" w:rsidP="00E9333E">
            <w:pPr>
              <w:pStyle w:val="Tabletext"/>
              <w:rPr>
                <w:b/>
                <w:snapToGrid w:val="0"/>
              </w:rPr>
            </w:pPr>
            <w:r w:rsidRPr="00CE0BE9">
              <w:rPr>
                <w:b/>
                <w:snapToGrid w:val="0"/>
              </w:rPr>
              <w:t xml:space="preserve">Step 2: </w:t>
            </w:r>
            <w:r w:rsidRPr="00CE0BE9">
              <w:rPr>
                <w:b/>
              </w:rPr>
              <w:t>time horizon extended to 25 years</w:t>
            </w:r>
          </w:p>
        </w:tc>
      </w:tr>
      <w:tr w:rsidR="00A51754" w:rsidRPr="00CE0BE9" w:rsidTr="00E9333E">
        <w:tc>
          <w:tcPr>
            <w:tcW w:w="1529" w:type="pct"/>
            <w:vAlign w:val="center"/>
          </w:tcPr>
          <w:p w:rsidR="00A51754" w:rsidRPr="00CE0BE9" w:rsidRDefault="00A51754" w:rsidP="00E9333E">
            <w:pPr>
              <w:pStyle w:val="Tabletext"/>
              <w:rPr>
                <w:rFonts w:ascii="Times" w:hAnsi="Times"/>
              </w:rPr>
            </w:pPr>
            <w:r w:rsidRPr="00CE0BE9">
              <w:t>Costs</w:t>
            </w:r>
          </w:p>
        </w:tc>
        <w:tc>
          <w:tcPr>
            <w:tcW w:w="1359" w:type="pct"/>
            <w:vAlign w:val="center"/>
          </w:tcPr>
          <w:p w:rsidR="00A51754" w:rsidRPr="00CE0BE9" w:rsidRDefault="00A51754" w:rsidP="00E9333E">
            <w:pPr>
              <w:pStyle w:val="Tabletext"/>
              <w:jc w:val="center"/>
              <w:rPr>
                <w:rFonts w:ascii="Times" w:hAnsi="Times"/>
              </w:rPr>
            </w:pPr>
            <w:r w:rsidRPr="00CE0BE9">
              <w:t>$</w:t>
            </w:r>
            <w:r w:rsidR="003F06F0">
              <w:rPr>
                <w:noProof/>
                <w:color w:val="000000"/>
                <w:highlight w:val="black"/>
              </w:rPr>
              <w:t>'''''''''''''''''</w:t>
            </w:r>
          </w:p>
        </w:tc>
        <w:tc>
          <w:tcPr>
            <w:tcW w:w="1274" w:type="pct"/>
            <w:vAlign w:val="center"/>
          </w:tcPr>
          <w:p w:rsidR="00A51754" w:rsidRPr="00CE0BE9" w:rsidRDefault="00A51754" w:rsidP="00E9333E">
            <w:pPr>
              <w:pStyle w:val="Tabletext"/>
              <w:jc w:val="center"/>
              <w:rPr>
                <w:rFonts w:ascii="Times" w:hAnsi="Times"/>
              </w:rPr>
            </w:pPr>
            <w:r w:rsidRPr="00CE0BE9">
              <w:t>$</w:t>
            </w:r>
            <w:r w:rsidR="003F06F0">
              <w:rPr>
                <w:noProof/>
                <w:color w:val="000000"/>
                <w:highlight w:val="black"/>
              </w:rPr>
              <w:t>''''''''''''''''</w:t>
            </w:r>
          </w:p>
        </w:tc>
        <w:tc>
          <w:tcPr>
            <w:tcW w:w="838" w:type="pct"/>
            <w:vAlign w:val="center"/>
          </w:tcPr>
          <w:p w:rsidR="00A51754" w:rsidRPr="00CE0BE9" w:rsidRDefault="00A51754" w:rsidP="00E9333E">
            <w:pPr>
              <w:pStyle w:val="Tabletext"/>
              <w:jc w:val="center"/>
              <w:rPr>
                <w:rFonts w:ascii="Times" w:hAnsi="Times"/>
              </w:rPr>
            </w:pPr>
            <w:r w:rsidRPr="00CE0BE9">
              <w:t>$</w:t>
            </w:r>
            <w:r w:rsidR="003F06F0">
              <w:rPr>
                <w:noProof/>
                <w:color w:val="000000"/>
                <w:highlight w:val="black"/>
              </w:rPr>
              <w:t>'''''''''''''''</w:t>
            </w:r>
          </w:p>
        </w:tc>
      </w:tr>
      <w:tr w:rsidR="00A51754" w:rsidRPr="00CE0BE9" w:rsidTr="00E9333E">
        <w:tc>
          <w:tcPr>
            <w:tcW w:w="1529" w:type="pct"/>
            <w:vAlign w:val="center"/>
          </w:tcPr>
          <w:p w:rsidR="00A51754" w:rsidRPr="00CE0BE9" w:rsidRDefault="00A51754" w:rsidP="00E9333E">
            <w:pPr>
              <w:pStyle w:val="Tabletext"/>
              <w:rPr>
                <w:rFonts w:ascii="Times" w:hAnsi="Times"/>
              </w:rPr>
            </w:pPr>
            <w:r w:rsidRPr="00CE0BE9">
              <w:t>LYG</w:t>
            </w:r>
          </w:p>
        </w:tc>
        <w:tc>
          <w:tcPr>
            <w:tcW w:w="1359" w:type="pct"/>
            <w:vAlign w:val="center"/>
          </w:tcPr>
          <w:p w:rsidR="00A51754" w:rsidRPr="00CE0BE9" w:rsidRDefault="00A51754" w:rsidP="00E9333E">
            <w:pPr>
              <w:pStyle w:val="Tabletext"/>
              <w:jc w:val="center"/>
              <w:rPr>
                <w:rFonts w:ascii="Times" w:hAnsi="Times"/>
              </w:rPr>
            </w:pPr>
            <w:r w:rsidRPr="00CE0BE9">
              <w:t>8.50</w:t>
            </w:r>
          </w:p>
        </w:tc>
        <w:tc>
          <w:tcPr>
            <w:tcW w:w="1274" w:type="pct"/>
            <w:vAlign w:val="center"/>
          </w:tcPr>
          <w:p w:rsidR="00A51754" w:rsidRPr="00CE0BE9" w:rsidRDefault="00A51754" w:rsidP="00E9333E">
            <w:pPr>
              <w:pStyle w:val="Tabletext"/>
              <w:jc w:val="center"/>
              <w:rPr>
                <w:rFonts w:ascii="Times" w:hAnsi="Times"/>
              </w:rPr>
            </w:pPr>
            <w:r w:rsidRPr="00CE0BE9">
              <w:t>5.32</w:t>
            </w:r>
          </w:p>
        </w:tc>
        <w:tc>
          <w:tcPr>
            <w:tcW w:w="838" w:type="pct"/>
            <w:vAlign w:val="center"/>
          </w:tcPr>
          <w:p w:rsidR="00A51754" w:rsidRPr="00CE0BE9" w:rsidRDefault="00A51754" w:rsidP="00E9333E">
            <w:pPr>
              <w:pStyle w:val="Tabletext"/>
              <w:jc w:val="center"/>
            </w:pPr>
            <w:r w:rsidRPr="00CE0BE9">
              <w:t>3.18</w:t>
            </w:r>
          </w:p>
        </w:tc>
      </w:tr>
      <w:tr w:rsidR="00A51754" w:rsidRPr="00CE0BE9" w:rsidTr="00E9333E">
        <w:tc>
          <w:tcPr>
            <w:tcW w:w="4162" w:type="pct"/>
            <w:gridSpan w:val="3"/>
            <w:vAlign w:val="center"/>
          </w:tcPr>
          <w:p w:rsidR="00A51754" w:rsidRPr="00CE0BE9" w:rsidRDefault="00A51754" w:rsidP="00E9333E">
            <w:pPr>
              <w:pStyle w:val="Tabletext"/>
              <w:rPr>
                <w:rFonts w:ascii="Times" w:hAnsi="Times"/>
                <w:snapToGrid w:val="0"/>
              </w:rPr>
            </w:pPr>
            <w:r w:rsidRPr="00CE0BE9">
              <w:t>Incremental cost per LYG gained</w:t>
            </w:r>
          </w:p>
        </w:tc>
        <w:tc>
          <w:tcPr>
            <w:tcW w:w="838" w:type="pct"/>
            <w:vAlign w:val="center"/>
          </w:tcPr>
          <w:p w:rsidR="00A51754" w:rsidRPr="00CE0BE9" w:rsidRDefault="00A51754" w:rsidP="00E9333E">
            <w:pPr>
              <w:pStyle w:val="Tabletext"/>
              <w:jc w:val="center"/>
              <w:rPr>
                <w:rFonts w:ascii="Times" w:hAnsi="Times"/>
              </w:rPr>
            </w:pPr>
            <w:r w:rsidRPr="00CE0BE9">
              <w:t>$</w:t>
            </w:r>
            <w:r w:rsidR="003F06F0">
              <w:rPr>
                <w:noProof/>
                <w:color w:val="000000"/>
                <w:highlight w:val="black"/>
              </w:rPr>
              <w:t>''''''''''''''''''</w:t>
            </w:r>
          </w:p>
        </w:tc>
      </w:tr>
      <w:tr w:rsidR="00A51754" w:rsidRPr="00CE0BE9" w:rsidTr="00E9333E">
        <w:tc>
          <w:tcPr>
            <w:tcW w:w="5000" w:type="pct"/>
            <w:gridSpan w:val="4"/>
            <w:vAlign w:val="center"/>
          </w:tcPr>
          <w:p w:rsidR="00A51754" w:rsidRPr="00CE0BE9" w:rsidRDefault="00A51754" w:rsidP="00E9333E">
            <w:pPr>
              <w:pStyle w:val="Tabletext"/>
              <w:rPr>
                <w:b/>
                <w:snapToGrid w:val="0"/>
              </w:rPr>
            </w:pPr>
            <w:r w:rsidRPr="00CE0BE9">
              <w:rPr>
                <w:b/>
                <w:snapToGrid w:val="0"/>
              </w:rPr>
              <w:t>Step 3: incorporation of all costs (subsequent therapy</w:t>
            </w:r>
            <w:r w:rsidR="00386A4F" w:rsidRPr="00CE0BE9">
              <w:rPr>
                <w:b/>
                <w:snapToGrid w:val="0"/>
              </w:rPr>
              <w:t>, AEs.</w:t>
            </w:r>
            <w:r w:rsidRPr="00CE0BE9">
              <w:rPr>
                <w:b/>
                <w:snapToGrid w:val="0"/>
              </w:rPr>
              <w:t>)</w:t>
            </w:r>
          </w:p>
        </w:tc>
      </w:tr>
      <w:tr w:rsidR="00A51754" w:rsidRPr="00CE0BE9" w:rsidTr="00E9333E">
        <w:tc>
          <w:tcPr>
            <w:tcW w:w="1529" w:type="pct"/>
            <w:vAlign w:val="center"/>
          </w:tcPr>
          <w:p w:rsidR="00A51754" w:rsidRPr="00CE0BE9" w:rsidRDefault="00A51754" w:rsidP="00E9333E">
            <w:pPr>
              <w:pStyle w:val="Tabletext"/>
              <w:rPr>
                <w:rFonts w:ascii="Times" w:hAnsi="Times"/>
              </w:rPr>
            </w:pPr>
            <w:r w:rsidRPr="00CE0BE9">
              <w:t>Costs</w:t>
            </w:r>
          </w:p>
        </w:tc>
        <w:tc>
          <w:tcPr>
            <w:tcW w:w="1359" w:type="pct"/>
            <w:vAlign w:val="center"/>
          </w:tcPr>
          <w:p w:rsidR="00A51754" w:rsidRPr="00CE0BE9" w:rsidRDefault="00A51754" w:rsidP="00E9333E">
            <w:pPr>
              <w:pStyle w:val="Tabletext"/>
              <w:jc w:val="center"/>
              <w:rPr>
                <w:rFonts w:ascii="Times" w:hAnsi="Times"/>
              </w:rPr>
            </w:pPr>
            <w:r w:rsidRPr="00CE0BE9">
              <w:t>$</w:t>
            </w:r>
            <w:r w:rsidR="003F06F0">
              <w:rPr>
                <w:noProof/>
                <w:color w:val="000000"/>
                <w:highlight w:val="black"/>
              </w:rPr>
              <w:t>'''''''''''''''''''</w:t>
            </w:r>
          </w:p>
        </w:tc>
        <w:tc>
          <w:tcPr>
            <w:tcW w:w="1274" w:type="pct"/>
            <w:vAlign w:val="center"/>
          </w:tcPr>
          <w:p w:rsidR="00A51754" w:rsidRPr="00CE0BE9" w:rsidRDefault="00A51754" w:rsidP="00E9333E">
            <w:pPr>
              <w:pStyle w:val="Tabletext"/>
              <w:jc w:val="center"/>
              <w:rPr>
                <w:rFonts w:ascii="Times" w:hAnsi="Times"/>
              </w:rPr>
            </w:pPr>
            <w:r w:rsidRPr="00CE0BE9">
              <w:t>$</w:t>
            </w:r>
            <w:r w:rsidR="003F06F0">
              <w:rPr>
                <w:noProof/>
                <w:color w:val="000000"/>
                <w:highlight w:val="black"/>
              </w:rPr>
              <w:t>''''''''''''''''</w:t>
            </w:r>
          </w:p>
        </w:tc>
        <w:tc>
          <w:tcPr>
            <w:tcW w:w="838" w:type="pct"/>
            <w:vAlign w:val="center"/>
          </w:tcPr>
          <w:p w:rsidR="00A51754" w:rsidRPr="00CE0BE9" w:rsidRDefault="00A51754" w:rsidP="00E9333E">
            <w:pPr>
              <w:pStyle w:val="Tabletext"/>
              <w:jc w:val="center"/>
              <w:rPr>
                <w:rFonts w:ascii="Times" w:hAnsi="Times"/>
              </w:rPr>
            </w:pPr>
            <w:r w:rsidRPr="00CE0BE9">
              <w:t>$</w:t>
            </w:r>
            <w:r w:rsidR="003F06F0">
              <w:rPr>
                <w:noProof/>
                <w:color w:val="000000"/>
                <w:highlight w:val="black"/>
              </w:rPr>
              <w:t>'''''''''''''''''''''</w:t>
            </w:r>
          </w:p>
        </w:tc>
      </w:tr>
      <w:tr w:rsidR="00A51754" w:rsidRPr="00CE0BE9" w:rsidTr="00E9333E">
        <w:tc>
          <w:tcPr>
            <w:tcW w:w="1529" w:type="pct"/>
            <w:vAlign w:val="center"/>
          </w:tcPr>
          <w:p w:rsidR="00A51754" w:rsidRPr="00CE0BE9" w:rsidRDefault="00A51754" w:rsidP="00E9333E">
            <w:pPr>
              <w:pStyle w:val="Tabletext"/>
              <w:rPr>
                <w:rFonts w:ascii="Times" w:hAnsi="Times"/>
              </w:rPr>
            </w:pPr>
            <w:r w:rsidRPr="00CE0BE9">
              <w:t>LYG</w:t>
            </w:r>
          </w:p>
        </w:tc>
        <w:tc>
          <w:tcPr>
            <w:tcW w:w="1359" w:type="pct"/>
            <w:vAlign w:val="center"/>
          </w:tcPr>
          <w:p w:rsidR="00A51754" w:rsidRPr="00CE0BE9" w:rsidRDefault="00A51754" w:rsidP="00E9333E">
            <w:pPr>
              <w:pStyle w:val="Tabletext"/>
              <w:jc w:val="center"/>
              <w:rPr>
                <w:rFonts w:ascii="Times" w:hAnsi="Times"/>
              </w:rPr>
            </w:pPr>
            <w:r w:rsidRPr="00CE0BE9">
              <w:t>8.50</w:t>
            </w:r>
          </w:p>
        </w:tc>
        <w:tc>
          <w:tcPr>
            <w:tcW w:w="1274" w:type="pct"/>
            <w:vAlign w:val="center"/>
          </w:tcPr>
          <w:p w:rsidR="00A51754" w:rsidRPr="00CE0BE9" w:rsidRDefault="00A51754" w:rsidP="00E9333E">
            <w:pPr>
              <w:pStyle w:val="Tabletext"/>
              <w:jc w:val="center"/>
              <w:rPr>
                <w:rFonts w:ascii="Times" w:hAnsi="Times"/>
              </w:rPr>
            </w:pPr>
            <w:r w:rsidRPr="00CE0BE9">
              <w:t>5.32</w:t>
            </w:r>
          </w:p>
        </w:tc>
        <w:tc>
          <w:tcPr>
            <w:tcW w:w="838" w:type="pct"/>
            <w:vAlign w:val="center"/>
          </w:tcPr>
          <w:p w:rsidR="00A51754" w:rsidRPr="00CE0BE9" w:rsidRDefault="00A51754" w:rsidP="00E9333E">
            <w:pPr>
              <w:pStyle w:val="Tabletext"/>
              <w:jc w:val="center"/>
            </w:pPr>
            <w:r w:rsidRPr="00CE0BE9">
              <w:t>3.18</w:t>
            </w:r>
          </w:p>
        </w:tc>
      </w:tr>
      <w:tr w:rsidR="00A51754" w:rsidRPr="00CE0BE9" w:rsidTr="00E9333E">
        <w:tc>
          <w:tcPr>
            <w:tcW w:w="4162" w:type="pct"/>
            <w:gridSpan w:val="3"/>
            <w:vAlign w:val="center"/>
          </w:tcPr>
          <w:p w:rsidR="00A51754" w:rsidRPr="00CE0BE9" w:rsidRDefault="00A51754" w:rsidP="00E9333E">
            <w:pPr>
              <w:pStyle w:val="Tabletext"/>
              <w:rPr>
                <w:rFonts w:ascii="Times" w:hAnsi="Times"/>
              </w:rPr>
            </w:pPr>
            <w:r w:rsidRPr="00CE0BE9">
              <w:t>Incremental cost per LYG gained</w:t>
            </w:r>
          </w:p>
        </w:tc>
        <w:tc>
          <w:tcPr>
            <w:tcW w:w="838" w:type="pct"/>
            <w:vAlign w:val="center"/>
          </w:tcPr>
          <w:p w:rsidR="00A51754" w:rsidRPr="00CE0BE9" w:rsidRDefault="00A51754" w:rsidP="00E9333E">
            <w:pPr>
              <w:pStyle w:val="Tabletext"/>
              <w:jc w:val="center"/>
              <w:rPr>
                <w:rFonts w:ascii="Times" w:hAnsi="Times"/>
              </w:rPr>
            </w:pPr>
            <w:r w:rsidRPr="00CE0BE9">
              <w:t>$</w:t>
            </w:r>
            <w:r w:rsidR="003F06F0">
              <w:rPr>
                <w:noProof/>
                <w:color w:val="000000"/>
                <w:highlight w:val="black"/>
              </w:rPr>
              <w:t>'''''''''''''''''</w:t>
            </w:r>
          </w:p>
        </w:tc>
      </w:tr>
      <w:tr w:rsidR="00A51754" w:rsidRPr="00CE0BE9" w:rsidTr="00E9333E">
        <w:tc>
          <w:tcPr>
            <w:tcW w:w="5000" w:type="pct"/>
            <w:gridSpan w:val="4"/>
            <w:vAlign w:val="center"/>
          </w:tcPr>
          <w:p w:rsidR="00A51754" w:rsidRPr="00CE0BE9" w:rsidRDefault="00A51754" w:rsidP="00E9333E">
            <w:pPr>
              <w:pStyle w:val="Tabletext"/>
              <w:rPr>
                <w:b/>
                <w:snapToGrid w:val="0"/>
              </w:rPr>
            </w:pPr>
            <w:r w:rsidRPr="00CE0BE9">
              <w:rPr>
                <w:b/>
                <w:snapToGrid w:val="0"/>
              </w:rPr>
              <w:t>Step 4: utility weights applied</w:t>
            </w:r>
          </w:p>
        </w:tc>
      </w:tr>
      <w:tr w:rsidR="00A51754" w:rsidRPr="00CE0BE9" w:rsidTr="00E9333E">
        <w:tc>
          <w:tcPr>
            <w:tcW w:w="1529" w:type="pct"/>
            <w:vAlign w:val="center"/>
          </w:tcPr>
          <w:p w:rsidR="00A51754" w:rsidRPr="00CE0BE9" w:rsidRDefault="00A51754" w:rsidP="00E9333E">
            <w:pPr>
              <w:pStyle w:val="Tabletext"/>
              <w:rPr>
                <w:rFonts w:ascii="Times" w:hAnsi="Times"/>
              </w:rPr>
            </w:pPr>
            <w:r w:rsidRPr="00CE0BE9">
              <w:t>Costs</w:t>
            </w:r>
          </w:p>
        </w:tc>
        <w:tc>
          <w:tcPr>
            <w:tcW w:w="1359" w:type="pct"/>
            <w:vAlign w:val="center"/>
          </w:tcPr>
          <w:p w:rsidR="00A51754" w:rsidRPr="00CE0BE9" w:rsidRDefault="00A51754" w:rsidP="00E9333E">
            <w:pPr>
              <w:pStyle w:val="Tabletext"/>
              <w:jc w:val="center"/>
              <w:rPr>
                <w:rFonts w:ascii="Times" w:hAnsi="Times"/>
              </w:rPr>
            </w:pPr>
            <w:r w:rsidRPr="00CE0BE9">
              <w:t>$</w:t>
            </w:r>
            <w:r w:rsidR="003F06F0">
              <w:rPr>
                <w:noProof/>
                <w:color w:val="000000"/>
                <w:highlight w:val="black"/>
              </w:rPr>
              <w:t>''''''''''''''''''''</w:t>
            </w:r>
          </w:p>
        </w:tc>
        <w:tc>
          <w:tcPr>
            <w:tcW w:w="1274" w:type="pct"/>
            <w:vAlign w:val="center"/>
          </w:tcPr>
          <w:p w:rsidR="00A51754" w:rsidRPr="00CE0BE9" w:rsidRDefault="00A51754" w:rsidP="00E9333E">
            <w:pPr>
              <w:pStyle w:val="Tabletext"/>
              <w:jc w:val="center"/>
              <w:rPr>
                <w:rFonts w:ascii="Times" w:hAnsi="Times"/>
              </w:rPr>
            </w:pPr>
            <w:r w:rsidRPr="00CE0BE9">
              <w:t>$</w:t>
            </w:r>
            <w:r w:rsidR="003F06F0">
              <w:rPr>
                <w:noProof/>
                <w:color w:val="000000"/>
                <w:highlight w:val="black"/>
              </w:rPr>
              <w:t>'''''''''''''''</w:t>
            </w:r>
          </w:p>
        </w:tc>
        <w:tc>
          <w:tcPr>
            <w:tcW w:w="838" w:type="pct"/>
            <w:vAlign w:val="center"/>
          </w:tcPr>
          <w:p w:rsidR="00A51754" w:rsidRPr="00CE0BE9" w:rsidRDefault="00A51754" w:rsidP="00E9333E">
            <w:pPr>
              <w:pStyle w:val="Tabletext"/>
              <w:jc w:val="center"/>
              <w:rPr>
                <w:rFonts w:ascii="Times" w:hAnsi="Times"/>
              </w:rPr>
            </w:pPr>
            <w:r w:rsidRPr="00CE0BE9">
              <w:t>$</w:t>
            </w:r>
            <w:r w:rsidR="003F06F0">
              <w:rPr>
                <w:noProof/>
                <w:color w:val="000000"/>
                <w:highlight w:val="black"/>
              </w:rPr>
              <w:t>'''''''''''''''''''</w:t>
            </w:r>
          </w:p>
        </w:tc>
      </w:tr>
      <w:tr w:rsidR="00A51754" w:rsidRPr="00CE0BE9" w:rsidTr="00E9333E">
        <w:tc>
          <w:tcPr>
            <w:tcW w:w="1529" w:type="pct"/>
            <w:vAlign w:val="center"/>
          </w:tcPr>
          <w:p w:rsidR="00A51754" w:rsidRPr="00CE0BE9" w:rsidRDefault="00A51754" w:rsidP="00E9333E">
            <w:pPr>
              <w:pStyle w:val="Tabletext"/>
              <w:rPr>
                <w:rFonts w:ascii="Times" w:hAnsi="Times"/>
              </w:rPr>
            </w:pPr>
            <w:r w:rsidRPr="00CE0BE9">
              <w:t>QALYs</w:t>
            </w:r>
          </w:p>
        </w:tc>
        <w:tc>
          <w:tcPr>
            <w:tcW w:w="1359" w:type="pct"/>
            <w:vAlign w:val="center"/>
          </w:tcPr>
          <w:p w:rsidR="00A51754" w:rsidRPr="00CE0BE9" w:rsidRDefault="00A51754" w:rsidP="00E9333E">
            <w:pPr>
              <w:pStyle w:val="Tabletext"/>
              <w:jc w:val="center"/>
            </w:pPr>
            <w:r w:rsidRPr="00CE0BE9">
              <w:t>6.52</w:t>
            </w:r>
          </w:p>
        </w:tc>
        <w:tc>
          <w:tcPr>
            <w:tcW w:w="1274" w:type="pct"/>
            <w:vAlign w:val="center"/>
          </w:tcPr>
          <w:p w:rsidR="00A51754" w:rsidRPr="00CE0BE9" w:rsidRDefault="00A51754" w:rsidP="00E9333E">
            <w:pPr>
              <w:pStyle w:val="Tabletext"/>
              <w:jc w:val="center"/>
              <w:rPr>
                <w:rFonts w:ascii="Times" w:hAnsi="Times"/>
              </w:rPr>
            </w:pPr>
            <w:r w:rsidRPr="00CE0BE9">
              <w:t>4.13</w:t>
            </w:r>
          </w:p>
        </w:tc>
        <w:tc>
          <w:tcPr>
            <w:tcW w:w="838" w:type="pct"/>
            <w:vAlign w:val="center"/>
          </w:tcPr>
          <w:p w:rsidR="00A51754" w:rsidRPr="00CE0BE9" w:rsidRDefault="00A51754" w:rsidP="00E9333E">
            <w:pPr>
              <w:pStyle w:val="Tabletext"/>
              <w:jc w:val="center"/>
            </w:pPr>
            <w:r w:rsidRPr="00CE0BE9">
              <w:t>2.39</w:t>
            </w:r>
          </w:p>
        </w:tc>
      </w:tr>
      <w:tr w:rsidR="00A51754" w:rsidRPr="00CE0BE9" w:rsidTr="00E9333E">
        <w:tc>
          <w:tcPr>
            <w:tcW w:w="4162" w:type="pct"/>
            <w:gridSpan w:val="3"/>
            <w:vAlign w:val="center"/>
          </w:tcPr>
          <w:p w:rsidR="00A51754" w:rsidRPr="00CE0BE9" w:rsidRDefault="00A51754" w:rsidP="00E9333E">
            <w:pPr>
              <w:pStyle w:val="Tabletext"/>
              <w:rPr>
                <w:rFonts w:ascii="Times" w:hAnsi="Times"/>
                <w:b/>
              </w:rPr>
            </w:pPr>
            <w:r w:rsidRPr="00CE0BE9">
              <w:rPr>
                <w:b/>
              </w:rPr>
              <w:t>Incremental cost per QALY gained (base case)</w:t>
            </w:r>
          </w:p>
        </w:tc>
        <w:tc>
          <w:tcPr>
            <w:tcW w:w="838" w:type="pct"/>
            <w:vAlign w:val="center"/>
          </w:tcPr>
          <w:p w:rsidR="00A51754" w:rsidRPr="00CE0BE9" w:rsidRDefault="00A51754" w:rsidP="00E9333E">
            <w:pPr>
              <w:pStyle w:val="Tabletext"/>
              <w:jc w:val="center"/>
              <w:rPr>
                <w:rFonts w:ascii="Times" w:hAnsi="Times"/>
                <w:b/>
              </w:rPr>
            </w:pPr>
            <w:r w:rsidRPr="00CE0BE9">
              <w:rPr>
                <w:b/>
              </w:rPr>
              <w:t>$</w:t>
            </w:r>
            <w:r w:rsidR="003F06F0">
              <w:rPr>
                <w:b/>
                <w:noProof/>
                <w:color w:val="000000"/>
                <w:highlight w:val="black"/>
              </w:rPr>
              <w:t>''''''''''''</w:t>
            </w:r>
          </w:p>
        </w:tc>
      </w:tr>
    </w:tbl>
    <w:p w:rsidR="00386A4F" w:rsidRPr="00CE0BE9" w:rsidRDefault="00386A4F" w:rsidP="00386A4F">
      <w:pPr>
        <w:pStyle w:val="TableFooter"/>
      </w:pPr>
      <w:r w:rsidRPr="00CE0BE9">
        <w:t>Abbreviations: AE = adverse events</w:t>
      </w:r>
    </w:p>
    <w:p w:rsidR="00386A4F" w:rsidRPr="00CE0BE9" w:rsidRDefault="00386A4F" w:rsidP="00A51754">
      <w:pPr>
        <w:pStyle w:val="TableFooter"/>
      </w:pPr>
    </w:p>
    <w:p w:rsidR="00A51754" w:rsidRPr="00CE0BE9" w:rsidRDefault="00A51754" w:rsidP="00A51754">
      <w:pPr>
        <w:pStyle w:val="TableFooter"/>
        <w:rPr>
          <w:sz w:val="20"/>
        </w:rPr>
      </w:pPr>
      <w:r w:rsidRPr="00CE0BE9">
        <w:t>Source: Table 3.8.1, p.184 of the submission. Excel spreadsheet ‘</w:t>
      </w:r>
      <w:proofErr w:type="spellStart"/>
      <w:r w:rsidRPr="00CE0BE9">
        <w:t>Att</w:t>
      </w:r>
      <w:proofErr w:type="spellEnd"/>
      <w:r w:rsidRPr="00CE0BE9">
        <w:t xml:space="preserve"> 12_Section 3 cost effectiveness model v2’_ sheet “Results” so that LYG and QALYs are reported to 2 decimal places. </w:t>
      </w:r>
    </w:p>
    <w:p w:rsidR="00A51754" w:rsidRPr="00CE0BE9" w:rsidRDefault="00A51754" w:rsidP="00A51754"/>
    <w:p w:rsidR="00954110" w:rsidRPr="00D17A82" w:rsidRDefault="00954110" w:rsidP="006F0DFD">
      <w:pPr>
        <w:pStyle w:val="ListParagraph"/>
        <w:widowControl/>
        <w:numPr>
          <w:ilvl w:val="1"/>
          <w:numId w:val="2"/>
        </w:numPr>
      </w:pPr>
      <w:r w:rsidRPr="00D17A82">
        <w:t xml:space="preserve">The ESC noted that the inverse HR for OS from the indirect comparison was applied to the </w:t>
      </w:r>
      <w:proofErr w:type="spellStart"/>
      <w:r w:rsidRPr="00D17A82">
        <w:t>lenalidomide</w:t>
      </w:r>
      <w:proofErr w:type="spellEnd"/>
      <w:r w:rsidRPr="00D17A82">
        <w:t xml:space="preserve"> fitted survival curve to estimate the OS for thalidomide. The ESC </w:t>
      </w:r>
      <w:r w:rsidR="00F55D5C" w:rsidRPr="00D17A82">
        <w:t xml:space="preserve">noted that </w:t>
      </w:r>
      <w:r w:rsidR="00132D58">
        <w:t>the</w:t>
      </w:r>
      <w:r w:rsidR="00132D58" w:rsidRPr="00D17A82">
        <w:t xml:space="preserve"> </w:t>
      </w:r>
      <w:r w:rsidR="00F55D5C" w:rsidRPr="00D17A82">
        <w:t xml:space="preserve">HR had been estimated based on data at a single point in time (OS at 3 years). The ESC </w:t>
      </w:r>
      <w:r w:rsidRPr="00D17A82">
        <w:t>considered that th</w:t>
      </w:r>
      <w:r w:rsidR="00F55D5C" w:rsidRPr="00D17A82">
        <w:t>e</w:t>
      </w:r>
      <w:r w:rsidRPr="00D17A82">
        <w:t xml:space="preserve"> </w:t>
      </w:r>
      <w:r w:rsidR="00F55D5C" w:rsidRPr="00D17A82">
        <w:t>resulting HR was unreliable</w:t>
      </w:r>
      <w:r w:rsidR="00E935D8" w:rsidRPr="00D17A82">
        <w:t>,</w:t>
      </w:r>
      <w:r w:rsidR="00F55D5C" w:rsidRPr="00D17A82">
        <w:t xml:space="preserve"> and further applying a constant HR for the model duration </w:t>
      </w:r>
      <w:r w:rsidRPr="00D17A82">
        <w:t>was unjustified</w:t>
      </w:r>
      <w:r w:rsidR="00F55D5C" w:rsidRPr="00D17A82">
        <w:t>.</w:t>
      </w:r>
      <w:r w:rsidRPr="00D17A82">
        <w:t xml:space="preserve"> </w:t>
      </w:r>
      <w:r w:rsidR="00F55D5C" w:rsidRPr="00D17A82">
        <w:t>A</w:t>
      </w:r>
      <w:r w:rsidRPr="00D17A82">
        <w:t xml:space="preserve"> comparison </w:t>
      </w:r>
      <w:r w:rsidR="00F55D5C" w:rsidRPr="00D17A82">
        <w:t>of the results for</w:t>
      </w:r>
      <w:r w:rsidRPr="00D17A82">
        <w:t xml:space="preserve"> the </w:t>
      </w:r>
      <w:proofErr w:type="spellStart"/>
      <w:r w:rsidR="00626DD5" w:rsidRPr="00D17A82">
        <w:t>lenalidomide</w:t>
      </w:r>
      <w:proofErr w:type="spellEnd"/>
      <w:r w:rsidR="00626DD5" w:rsidRPr="00D17A82">
        <w:t xml:space="preserve"> vs BSC and </w:t>
      </w:r>
      <w:proofErr w:type="spellStart"/>
      <w:r w:rsidR="00626DD5" w:rsidRPr="00D17A82">
        <w:t>lenalidomide</w:t>
      </w:r>
      <w:proofErr w:type="spellEnd"/>
      <w:r w:rsidR="00626DD5" w:rsidRPr="00D17A82">
        <w:t xml:space="preserve"> vs thalidomide </w:t>
      </w:r>
      <w:r w:rsidRPr="00D17A82">
        <w:t xml:space="preserve">models </w:t>
      </w:r>
      <w:r w:rsidR="00626DD5" w:rsidRPr="00D17A82">
        <w:t xml:space="preserve">further </w:t>
      </w:r>
      <w:r w:rsidR="00F53557" w:rsidRPr="00D17A82">
        <w:t>indicated</w:t>
      </w:r>
      <w:r w:rsidR="00626DD5" w:rsidRPr="00D17A82">
        <w:t xml:space="preserve"> </w:t>
      </w:r>
      <w:r w:rsidR="00F53557" w:rsidRPr="00D17A82">
        <w:t xml:space="preserve">that </w:t>
      </w:r>
      <w:r w:rsidR="00626DD5" w:rsidRPr="00D17A82">
        <w:t>the approach may not be valid</w:t>
      </w:r>
      <w:r w:rsidR="00F53557" w:rsidRPr="00D17A82">
        <w:t>,</w:t>
      </w:r>
      <w:r w:rsidR="00626DD5" w:rsidRPr="00D17A82">
        <w:t xml:space="preserve"> </w:t>
      </w:r>
      <w:r w:rsidR="00E00A0F" w:rsidRPr="00D17A82">
        <w:t xml:space="preserve">and that results were implausible, </w:t>
      </w:r>
      <w:r w:rsidR="00626DD5" w:rsidRPr="00D17A82">
        <w:t xml:space="preserve">with </w:t>
      </w:r>
      <w:r w:rsidRPr="00D17A82">
        <w:t>patients in the thalidomide arm ha</w:t>
      </w:r>
      <w:r w:rsidR="00626DD5" w:rsidRPr="00D17A82">
        <w:t>ving</w:t>
      </w:r>
      <w:r w:rsidRPr="00D17A82">
        <w:t xml:space="preserve"> worse overall survival than the BSC arm (thalidomide LYG 5.32; BSC LYG 5.39</w:t>
      </w:r>
      <w:r w:rsidR="00E935D8" w:rsidRPr="00D17A82">
        <w:t>)</w:t>
      </w:r>
      <w:r w:rsidR="00BF468F" w:rsidRPr="00D17A82">
        <w:t xml:space="preserve">. </w:t>
      </w:r>
      <w:r w:rsidR="0093663E">
        <w:t>The PBAC considered</w:t>
      </w:r>
      <w:r w:rsidR="007D5D3F">
        <w:t>,</w:t>
      </w:r>
      <w:r w:rsidR="0093663E">
        <w:t xml:space="preserve"> </w:t>
      </w:r>
      <w:r w:rsidR="00BF468F" w:rsidRPr="00D17A82">
        <w:t xml:space="preserve">notwithstanding that superior OS had not been established for </w:t>
      </w:r>
      <w:proofErr w:type="spellStart"/>
      <w:r w:rsidR="00BF468F" w:rsidRPr="00D17A82">
        <w:t>lenalidomide</w:t>
      </w:r>
      <w:proofErr w:type="spellEnd"/>
      <w:r w:rsidR="00BF468F" w:rsidRPr="00D17A82">
        <w:t xml:space="preserve"> compared to thalidomide, </w:t>
      </w:r>
      <w:r w:rsidR="007D5D3F">
        <w:t xml:space="preserve">that </w:t>
      </w:r>
      <w:r w:rsidR="0093663E">
        <w:t xml:space="preserve">the </w:t>
      </w:r>
      <w:r w:rsidR="007D5D3F">
        <w:t xml:space="preserve">economic model </w:t>
      </w:r>
      <w:r w:rsidR="0093663E">
        <w:t>was</w:t>
      </w:r>
      <w:r w:rsidR="007D5D3F">
        <w:t xml:space="preserve"> unreliable and </w:t>
      </w:r>
      <w:r w:rsidR="0093663E">
        <w:t>insufficiently justified</w:t>
      </w:r>
      <w:r w:rsidR="006E28AC">
        <w:t>,</w:t>
      </w:r>
      <w:r w:rsidR="0093663E">
        <w:t xml:space="preserve"> and based on </w:t>
      </w:r>
      <w:r w:rsidR="006E28AC">
        <w:t xml:space="preserve">thalidomide </w:t>
      </w:r>
      <w:r w:rsidR="0093663E">
        <w:t>data</w:t>
      </w:r>
      <w:r w:rsidR="006E28AC">
        <w:t xml:space="preserve"> from the Myeloma IX trial which were </w:t>
      </w:r>
      <w:r w:rsidR="0093663E">
        <w:t xml:space="preserve">less favourable than </w:t>
      </w:r>
      <w:r w:rsidR="006E28AC">
        <w:t xml:space="preserve">for the </w:t>
      </w:r>
      <w:r w:rsidR="0093663E">
        <w:t>other thalidomide maintenance trials</w:t>
      </w:r>
      <w:r w:rsidR="00BF468F" w:rsidRPr="00D17A82">
        <w:t>.</w:t>
      </w:r>
    </w:p>
    <w:p w:rsidR="00B42F54" w:rsidRPr="00D17A82" w:rsidRDefault="00B42F54" w:rsidP="006F0DFD">
      <w:pPr>
        <w:pStyle w:val="ListParagraph"/>
        <w:widowControl/>
        <w:numPr>
          <w:ilvl w:val="1"/>
          <w:numId w:val="2"/>
        </w:numPr>
      </w:pPr>
      <w:r w:rsidRPr="00D17A82">
        <w:t xml:space="preserve">The submission noted that there was no crossing of OS, PFS and </w:t>
      </w:r>
      <w:proofErr w:type="spellStart"/>
      <w:r w:rsidRPr="00D17A82">
        <w:t>ToT</w:t>
      </w:r>
      <w:proofErr w:type="spellEnd"/>
      <w:r w:rsidRPr="00D17A82">
        <w:t xml:space="preserve"> curves for most of the projections (Figure 5</w:t>
      </w:r>
      <w:r w:rsidR="00133FBC" w:rsidRPr="00D17A82">
        <w:t>)</w:t>
      </w:r>
      <w:r w:rsidR="007C2981" w:rsidRPr="00D17A82">
        <w:t>.</w:t>
      </w:r>
      <w:r w:rsidR="00133FBC" w:rsidRPr="00D17A82">
        <w:t xml:space="preserve"> </w:t>
      </w:r>
      <w:r w:rsidRPr="00D17A82">
        <w:t xml:space="preserve">However, in the model </w:t>
      </w:r>
      <w:r w:rsidR="005124D6" w:rsidRPr="00D17A82">
        <w:t xml:space="preserve">the fitted </w:t>
      </w:r>
      <w:r w:rsidRPr="00D17A82">
        <w:t xml:space="preserve">PFS </w:t>
      </w:r>
      <w:r w:rsidR="005124D6" w:rsidRPr="00D17A82">
        <w:t xml:space="preserve">curves </w:t>
      </w:r>
      <w:r w:rsidRPr="00D17A82">
        <w:t xml:space="preserve">exceeded OS after 30 years for </w:t>
      </w:r>
      <w:proofErr w:type="spellStart"/>
      <w:r w:rsidRPr="00D17A82">
        <w:t>lenalidomide</w:t>
      </w:r>
      <w:proofErr w:type="spellEnd"/>
      <w:r w:rsidRPr="00D17A82">
        <w:t xml:space="preserve"> and after 12 years for BSC. </w:t>
      </w:r>
      <w:r w:rsidR="00DE2883" w:rsidRPr="00D17A82">
        <w:t xml:space="preserve">Moreover, there was convergence (post year-35) of PFS for BSC and OS for </w:t>
      </w:r>
      <w:proofErr w:type="spellStart"/>
      <w:r w:rsidR="00DE2883" w:rsidRPr="00D17A82">
        <w:t>lenalidomide</w:t>
      </w:r>
      <w:proofErr w:type="spellEnd"/>
      <w:r w:rsidR="00DE2883" w:rsidRPr="00D17A82">
        <w:t xml:space="preserve">. </w:t>
      </w:r>
      <w:bookmarkStart w:id="19" w:name="_Hlk503269184"/>
      <w:r w:rsidR="007C2981" w:rsidRPr="00D17A82">
        <w:t>The</w:t>
      </w:r>
      <w:r w:rsidR="008539A6" w:rsidRPr="00D17A82">
        <w:t xml:space="preserve"> </w:t>
      </w:r>
      <w:r w:rsidR="0030031D">
        <w:t>pre-PBAC response (p2) stated that</w:t>
      </w:r>
      <w:r w:rsidR="00E34C86">
        <w:t xml:space="preserve"> a</w:t>
      </w:r>
      <w:r w:rsidR="0030031D">
        <w:t xml:space="preserve"> correction was applied </w:t>
      </w:r>
      <w:r w:rsidR="00E34C86">
        <w:t xml:space="preserve">in the model </w:t>
      </w:r>
      <w:r w:rsidR="0030031D">
        <w:t xml:space="preserve">by </w:t>
      </w:r>
      <w:r w:rsidR="001736C7">
        <w:t xml:space="preserve">calculating the transition probability for progression as the inverse of </w:t>
      </w:r>
      <w:r w:rsidR="001736C7" w:rsidRPr="001736C7">
        <w:t>the ratio of the proportions of patients who are progression-free in the current vs previous cycle (from the fitted PFS curve), less the transition probability for death</w:t>
      </w:r>
      <w:r w:rsidR="001736C7">
        <w:t>, and set to zero w</w:t>
      </w:r>
      <w:r w:rsidR="001736C7" w:rsidRPr="001736C7">
        <w:t>hen this is negative</w:t>
      </w:r>
      <w:r w:rsidR="000F5F5A" w:rsidRPr="00D17A82">
        <w:t xml:space="preserve">. </w:t>
      </w:r>
      <w:bookmarkEnd w:id="19"/>
      <w:r w:rsidR="0079683A">
        <w:t>However, the PBAC considered that this may not have sufficiently address</w:t>
      </w:r>
      <w:r w:rsidR="00CC2B1E">
        <w:t>ed</w:t>
      </w:r>
      <w:r w:rsidR="0079683A">
        <w:t xml:space="preserve"> the issue that the chosen curves generated an implausible profile of disease progression, and that the impact of selecting curves such that PFS and OS did not cross, rather than applying an adjustment</w:t>
      </w:r>
      <w:r w:rsidR="00CC2B1E">
        <w:t>,</w:t>
      </w:r>
      <w:r w:rsidR="0079683A">
        <w:t xml:space="preserve"> was unknown and therefore this introduced uncertainty into the model.</w:t>
      </w:r>
    </w:p>
    <w:p w:rsidR="00A51754" w:rsidRPr="00CE0BE9" w:rsidRDefault="00A51754" w:rsidP="00A51754">
      <w:pPr>
        <w:keepNext/>
        <w:rPr>
          <w:rFonts w:ascii="Arial Narrow" w:hAnsi="Arial Narrow"/>
          <w:b/>
          <w:snapToGrid/>
          <w:sz w:val="20"/>
          <w:szCs w:val="20"/>
          <w:lang w:val="en-US" w:eastAsia="en-AU"/>
        </w:rPr>
      </w:pPr>
      <w:r w:rsidRPr="00CE0BE9">
        <w:rPr>
          <w:rFonts w:ascii="Arial Narrow" w:hAnsi="Arial Narrow"/>
          <w:b/>
          <w:snapToGrid/>
          <w:sz w:val="20"/>
          <w:szCs w:val="20"/>
          <w:lang w:val="en-US" w:eastAsia="en-AU"/>
        </w:rPr>
        <w:lastRenderedPageBreak/>
        <w:t xml:space="preserve">Figure 5: Comparison of long-term survival projections, </w:t>
      </w:r>
      <w:proofErr w:type="spellStart"/>
      <w:r w:rsidRPr="00CE0BE9">
        <w:rPr>
          <w:rFonts w:ascii="Arial Narrow" w:hAnsi="Arial Narrow"/>
          <w:b/>
          <w:snapToGrid/>
          <w:sz w:val="20"/>
          <w:szCs w:val="20"/>
          <w:lang w:val="en-US" w:eastAsia="en-AU"/>
        </w:rPr>
        <w:t>lenalidomide</w:t>
      </w:r>
      <w:proofErr w:type="spellEnd"/>
      <w:r w:rsidR="0005713E" w:rsidRPr="00CE0BE9">
        <w:rPr>
          <w:rFonts w:ascii="Arial Narrow" w:hAnsi="Arial Narrow"/>
          <w:b/>
          <w:snapToGrid/>
          <w:sz w:val="20"/>
          <w:szCs w:val="20"/>
          <w:lang w:val="en-US" w:eastAsia="en-AU"/>
        </w:rPr>
        <w:t xml:space="preserve"> and best supportive care </w:t>
      </w:r>
    </w:p>
    <w:p w:rsidR="00A51754" w:rsidRPr="00CE0BE9" w:rsidRDefault="000362E8" w:rsidP="00A51754">
      <w:pPr>
        <w:keepNext/>
        <w:rPr>
          <w:snapToGrid/>
          <w:lang w:val="en-US" w:eastAsia="en-AU"/>
        </w:rPr>
      </w:pPr>
      <w:r w:rsidRPr="00CE0BE9">
        <w:rPr>
          <w:rFonts w:ascii="Arial Narrow" w:hAnsi="Arial Narrow"/>
          <w:b/>
          <w:noProof/>
          <w:snapToGrid/>
          <w:sz w:val="20"/>
          <w:szCs w:val="20"/>
          <w:lang w:eastAsia="en-AU"/>
        </w:rPr>
        <w:drawing>
          <wp:inline distT="0" distB="0" distL="0" distR="0" wp14:anchorId="529C649B" wp14:editId="64D6F733">
            <wp:extent cx="5602605" cy="3828415"/>
            <wp:effectExtent l="0" t="0" r="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2605" cy="3828415"/>
                    </a:xfrm>
                    <a:prstGeom prst="rect">
                      <a:avLst/>
                    </a:prstGeom>
                    <a:noFill/>
                  </pic:spPr>
                </pic:pic>
              </a:graphicData>
            </a:graphic>
          </wp:inline>
        </w:drawing>
      </w:r>
    </w:p>
    <w:p w:rsidR="00A51754" w:rsidRPr="00CE0BE9" w:rsidRDefault="00A51754" w:rsidP="00A51754">
      <w:pPr>
        <w:keepNext/>
        <w:rPr>
          <w:snapToGrid/>
          <w:lang w:val="en-US" w:eastAsia="en-AU"/>
        </w:rPr>
      </w:pPr>
      <w:r w:rsidRPr="00CE0BE9">
        <w:rPr>
          <w:rFonts w:ascii="Arial Narrow" w:hAnsi="Arial Narrow"/>
          <w:snapToGrid/>
          <w:sz w:val="18"/>
          <w:szCs w:val="18"/>
          <w:lang w:val="en-US" w:eastAsia="en-AU"/>
        </w:rPr>
        <w:t>Source: Figure 3.7.1, p.182 of the submission.</w:t>
      </w:r>
      <w:r w:rsidR="0005713E" w:rsidRPr="00CE0BE9">
        <w:rPr>
          <w:rFonts w:ascii="Arial Narrow" w:hAnsi="Arial Narrow"/>
          <w:snapToGrid/>
          <w:sz w:val="18"/>
          <w:szCs w:val="18"/>
          <w:lang w:val="en-US" w:eastAsia="en-AU"/>
        </w:rPr>
        <w:t xml:space="preserve"> Source: Figure 3.7.2, p.183 of the submission. </w:t>
      </w:r>
      <w:proofErr w:type="gramStart"/>
      <w:r w:rsidR="00133FBC" w:rsidRPr="00CE0BE9">
        <w:rPr>
          <w:rFonts w:ascii="Arial Narrow" w:hAnsi="Arial Narrow"/>
          <w:snapToGrid/>
          <w:sz w:val="18"/>
          <w:szCs w:val="18"/>
          <w:lang w:val="en-US" w:eastAsia="en-AU"/>
        </w:rPr>
        <w:t xml:space="preserve">Plotted on the same chart </w:t>
      </w:r>
      <w:r w:rsidR="00B46D29" w:rsidRPr="00CE0BE9">
        <w:rPr>
          <w:rFonts w:ascii="Arial Narrow" w:hAnsi="Arial Narrow"/>
          <w:snapToGrid/>
          <w:sz w:val="18"/>
          <w:szCs w:val="18"/>
          <w:lang w:val="en-US" w:eastAsia="en-AU"/>
        </w:rPr>
        <w:t xml:space="preserve">during the evaluation </w:t>
      </w:r>
      <w:r w:rsidR="00133FBC" w:rsidRPr="00CE0BE9">
        <w:rPr>
          <w:rFonts w:ascii="Arial Narrow" w:hAnsi="Arial Narrow"/>
          <w:snapToGrid/>
          <w:sz w:val="18"/>
          <w:szCs w:val="18"/>
          <w:lang w:val="en-US" w:eastAsia="en-AU"/>
        </w:rPr>
        <w:t>using ‘</w:t>
      </w:r>
      <w:proofErr w:type="spellStart"/>
      <w:r w:rsidR="00133FBC" w:rsidRPr="00CE0BE9">
        <w:rPr>
          <w:rFonts w:ascii="Arial Narrow" w:hAnsi="Arial Narrow"/>
          <w:snapToGrid/>
          <w:sz w:val="18"/>
          <w:szCs w:val="18"/>
          <w:lang w:val="en-US" w:eastAsia="en-AU"/>
        </w:rPr>
        <w:t>Att</w:t>
      </w:r>
      <w:proofErr w:type="spellEnd"/>
      <w:r w:rsidR="00133FBC" w:rsidRPr="00CE0BE9">
        <w:rPr>
          <w:rFonts w:ascii="Arial Narrow" w:hAnsi="Arial Narrow"/>
          <w:snapToGrid/>
          <w:sz w:val="18"/>
          <w:szCs w:val="18"/>
          <w:lang w:val="en-US" w:eastAsia="en-AU"/>
        </w:rPr>
        <w:t xml:space="preserve"> 12_Section 3 cost effectiveness model v2’.</w:t>
      </w:r>
      <w:proofErr w:type="gramEnd"/>
    </w:p>
    <w:p w:rsidR="00A51754" w:rsidRPr="00CE0BE9" w:rsidRDefault="00A51754" w:rsidP="00A51754">
      <w:pPr>
        <w:widowControl/>
      </w:pPr>
    </w:p>
    <w:p w:rsidR="00624F2D" w:rsidRPr="00CE0BE9" w:rsidRDefault="00624F2D" w:rsidP="00E34C86">
      <w:pPr>
        <w:pStyle w:val="ListParagraph"/>
        <w:widowControl/>
        <w:numPr>
          <w:ilvl w:val="1"/>
          <w:numId w:val="2"/>
        </w:numPr>
        <w:rPr>
          <w:rStyle w:val="CommentReference"/>
        </w:rPr>
      </w:pPr>
      <w:r w:rsidRPr="00CE0BE9">
        <w:t xml:space="preserve">The univariate sensitivity analyses resulting in variations of more than 5% for the model comparing </w:t>
      </w:r>
      <w:proofErr w:type="spellStart"/>
      <w:r w:rsidRPr="00CE0BE9">
        <w:t>lenalidomide</w:t>
      </w:r>
      <w:proofErr w:type="spellEnd"/>
      <w:r w:rsidRPr="00CE0BE9">
        <w:t xml:space="preserve"> with BSC are presented in Table 2</w:t>
      </w:r>
      <w:r w:rsidR="00247AF0">
        <w:t>5</w:t>
      </w:r>
      <w:r w:rsidRPr="00CE0BE9">
        <w:t>. These results show that the model was most sensitive to variations in the time horizon, the source of efficacy data and the time patients spend on subsequent treatment post</w:t>
      </w:r>
      <w:r w:rsidRPr="00CE0BE9">
        <w:noBreakHyphen/>
        <w:t xml:space="preserve">progression. </w:t>
      </w:r>
    </w:p>
    <w:p w:rsidR="00994C55" w:rsidRDefault="00994C55">
      <w:pPr>
        <w:widowControl/>
        <w:jc w:val="left"/>
        <w:rPr>
          <w:rStyle w:val="CommentReference"/>
        </w:rPr>
      </w:pPr>
      <w:r>
        <w:rPr>
          <w:rStyle w:val="CommentReference"/>
        </w:rPr>
        <w:br w:type="page"/>
      </w:r>
    </w:p>
    <w:p w:rsidR="00624F2D" w:rsidRPr="00CE0BE9" w:rsidRDefault="00624F2D" w:rsidP="00624F2D">
      <w:pPr>
        <w:keepNext/>
        <w:rPr>
          <w:rStyle w:val="CommentReference"/>
        </w:rPr>
      </w:pPr>
      <w:r w:rsidRPr="00CE0BE9">
        <w:rPr>
          <w:rStyle w:val="CommentReference"/>
        </w:rPr>
        <w:lastRenderedPageBreak/>
        <w:t>Table 2</w:t>
      </w:r>
      <w:r w:rsidR="00247AF0">
        <w:rPr>
          <w:rStyle w:val="CommentReference"/>
        </w:rPr>
        <w:t>5</w:t>
      </w:r>
      <w:r w:rsidRPr="00CE0BE9">
        <w:rPr>
          <w:rStyle w:val="CommentReference"/>
        </w:rPr>
        <w:t xml:space="preserve">:  Results of sensitivity analyses – </w:t>
      </w:r>
      <w:proofErr w:type="spellStart"/>
      <w:r w:rsidRPr="00CE0BE9">
        <w:rPr>
          <w:rStyle w:val="CommentReference"/>
        </w:rPr>
        <w:t>lenalidomide</w:t>
      </w:r>
      <w:proofErr w:type="spellEnd"/>
      <w:r w:rsidRPr="00CE0BE9">
        <w:rPr>
          <w:rStyle w:val="CommentReference"/>
        </w:rPr>
        <w:t xml:space="preserve"> vs. BSC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7"/>
        <w:gridCol w:w="1549"/>
        <w:gridCol w:w="1690"/>
        <w:gridCol w:w="1107"/>
      </w:tblGrid>
      <w:tr w:rsidR="00624F2D" w:rsidRPr="00CE0BE9" w:rsidTr="008539A6">
        <w:trPr>
          <w:tblHeader/>
        </w:trPr>
        <w:tc>
          <w:tcPr>
            <w:tcW w:w="2649" w:type="pct"/>
          </w:tcPr>
          <w:p w:rsidR="00624F2D" w:rsidRPr="00CE0BE9" w:rsidRDefault="00624F2D" w:rsidP="008539A6">
            <w:pPr>
              <w:pStyle w:val="Tabletext"/>
              <w:keepNext/>
              <w:tabs>
                <w:tab w:val="left" w:pos="142"/>
              </w:tabs>
              <w:rPr>
                <w:b/>
              </w:rPr>
            </w:pPr>
            <w:r w:rsidRPr="00CE0BE9">
              <w:rPr>
                <w:b/>
              </w:rPr>
              <w:t>Analyses</w:t>
            </w:r>
          </w:p>
        </w:tc>
        <w:tc>
          <w:tcPr>
            <w:tcW w:w="838" w:type="pct"/>
          </w:tcPr>
          <w:p w:rsidR="00624F2D" w:rsidRPr="00CE0BE9" w:rsidRDefault="00624F2D" w:rsidP="008539A6">
            <w:pPr>
              <w:pStyle w:val="Tabletext"/>
              <w:keepNext/>
              <w:jc w:val="center"/>
              <w:rPr>
                <w:b/>
              </w:rPr>
            </w:pPr>
            <w:r w:rsidRPr="00CE0BE9">
              <w:rPr>
                <w:b/>
              </w:rPr>
              <w:t>Incremental cost</w:t>
            </w:r>
          </w:p>
        </w:tc>
        <w:tc>
          <w:tcPr>
            <w:tcW w:w="914" w:type="pct"/>
          </w:tcPr>
          <w:p w:rsidR="00624F2D" w:rsidRPr="00CE0BE9" w:rsidRDefault="00624F2D" w:rsidP="008539A6">
            <w:pPr>
              <w:pStyle w:val="Tabletext"/>
              <w:keepNext/>
              <w:jc w:val="center"/>
              <w:rPr>
                <w:b/>
              </w:rPr>
            </w:pPr>
            <w:r w:rsidRPr="00CE0BE9">
              <w:rPr>
                <w:b/>
              </w:rPr>
              <w:t>Incremental QALY</w:t>
            </w:r>
          </w:p>
        </w:tc>
        <w:tc>
          <w:tcPr>
            <w:tcW w:w="599" w:type="pct"/>
          </w:tcPr>
          <w:p w:rsidR="00624F2D" w:rsidRPr="00CE0BE9" w:rsidRDefault="00624F2D" w:rsidP="008539A6">
            <w:pPr>
              <w:pStyle w:val="Tabletext"/>
              <w:keepNext/>
              <w:jc w:val="center"/>
              <w:rPr>
                <w:b/>
              </w:rPr>
            </w:pPr>
            <w:r w:rsidRPr="00CE0BE9">
              <w:rPr>
                <w:b/>
              </w:rPr>
              <w:t>ICER</w:t>
            </w:r>
          </w:p>
        </w:tc>
      </w:tr>
      <w:tr w:rsidR="00624F2D" w:rsidRPr="00CE0BE9" w:rsidTr="008539A6">
        <w:tc>
          <w:tcPr>
            <w:tcW w:w="2649" w:type="pct"/>
          </w:tcPr>
          <w:p w:rsidR="00624F2D" w:rsidRPr="00CE0BE9" w:rsidRDefault="00624F2D" w:rsidP="008539A6">
            <w:pPr>
              <w:pStyle w:val="Tabletext"/>
              <w:tabs>
                <w:tab w:val="left" w:pos="142"/>
              </w:tabs>
              <w:rPr>
                <w:b/>
              </w:rPr>
            </w:pPr>
            <w:r w:rsidRPr="00CE0BE9">
              <w:rPr>
                <w:b/>
              </w:rPr>
              <w:t>Base case</w:t>
            </w:r>
          </w:p>
        </w:tc>
        <w:tc>
          <w:tcPr>
            <w:tcW w:w="838" w:type="pct"/>
          </w:tcPr>
          <w:p w:rsidR="00624F2D" w:rsidRPr="00CE0BE9" w:rsidRDefault="00624F2D" w:rsidP="008539A6">
            <w:pPr>
              <w:pStyle w:val="Tabletext"/>
              <w:jc w:val="center"/>
              <w:rPr>
                <w:b/>
              </w:rPr>
            </w:pPr>
            <w:r w:rsidRPr="00CE0BE9">
              <w:rPr>
                <w:b/>
              </w:rPr>
              <w:t>$</w:t>
            </w:r>
            <w:r w:rsidR="003F06F0">
              <w:rPr>
                <w:b/>
                <w:noProof/>
                <w:color w:val="000000"/>
                <w:highlight w:val="black"/>
              </w:rPr>
              <w:t>'''''''''''''</w:t>
            </w:r>
          </w:p>
        </w:tc>
        <w:tc>
          <w:tcPr>
            <w:tcW w:w="914" w:type="pct"/>
          </w:tcPr>
          <w:p w:rsidR="00624F2D" w:rsidRPr="00CE0BE9" w:rsidRDefault="00624F2D" w:rsidP="008539A6">
            <w:pPr>
              <w:pStyle w:val="Tabletext"/>
              <w:jc w:val="center"/>
              <w:rPr>
                <w:b/>
              </w:rPr>
            </w:pPr>
            <w:r w:rsidRPr="00CE0BE9">
              <w:rPr>
                <w:b/>
              </w:rPr>
              <w:t>2.44</w:t>
            </w:r>
          </w:p>
        </w:tc>
        <w:tc>
          <w:tcPr>
            <w:tcW w:w="599" w:type="pct"/>
          </w:tcPr>
          <w:p w:rsidR="00624F2D" w:rsidRPr="00CE0BE9" w:rsidRDefault="00624F2D" w:rsidP="008539A6">
            <w:pPr>
              <w:pStyle w:val="Tabletext"/>
              <w:jc w:val="center"/>
              <w:rPr>
                <w:b/>
              </w:rPr>
            </w:pPr>
            <w:r w:rsidRPr="00CE0BE9">
              <w:rPr>
                <w:b/>
              </w:rPr>
              <w:t>$</w:t>
            </w:r>
            <w:r w:rsidR="003F06F0">
              <w:rPr>
                <w:b/>
                <w:noProof/>
                <w:color w:val="000000"/>
                <w:highlight w:val="black"/>
              </w:rPr>
              <w:t>'''''''''''''</w:t>
            </w:r>
          </w:p>
        </w:tc>
      </w:tr>
      <w:tr w:rsidR="00624F2D" w:rsidRPr="00CE0BE9" w:rsidTr="008539A6">
        <w:tc>
          <w:tcPr>
            <w:tcW w:w="2649" w:type="pct"/>
          </w:tcPr>
          <w:p w:rsidR="00624F2D" w:rsidRPr="00CE0BE9" w:rsidRDefault="00624F2D" w:rsidP="008539A6">
            <w:pPr>
              <w:pStyle w:val="Tabletext"/>
              <w:tabs>
                <w:tab w:val="left" w:pos="142"/>
              </w:tabs>
            </w:pPr>
            <w:r w:rsidRPr="00CE0BE9">
              <w:t>Discount rate (base case 5% costs and outcomes)</w:t>
            </w:r>
          </w:p>
          <w:p w:rsidR="00624F2D" w:rsidRPr="00CE0BE9" w:rsidRDefault="00624F2D" w:rsidP="008539A6">
            <w:pPr>
              <w:pStyle w:val="Tabletext"/>
              <w:tabs>
                <w:tab w:val="left" w:pos="142"/>
              </w:tabs>
            </w:pPr>
            <w:r w:rsidRPr="00CE0BE9">
              <w:tab/>
              <w:t>0% costs and outcomes</w:t>
            </w:r>
          </w:p>
          <w:p w:rsidR="00624F2D" w:rsidRPr="00CE0BE9" w:rsidRDefault="00624F2D" w:rsidP="008539A6">
            <w:pPr>
              <w:pStyle w:val="Tabletext"/>
              <w:tabs>
                <w:tab w:val="left" w:pos="142"/>
              </w:tabs>
            </w:pPr>
            <w:r w:rsidRPr="00CE0BE9">
              <w:tab/>
              <w:t>3.5% costs and outcomes</w:t>
            </w:r>
          </w:p>
        </w:tc>
        <w:tc>
          <w:tcPr>
            <w:tcW w:w="838" w:type="pct"/>
          </w:tcPr>
          <w:p w:rsidR="00624F2D" w:rsidRPr="00CE0BE9" w:rsidRDefault="00624F2D" w:rsidP="008539A6">
            <w:pPr>
              <w:pStyle w:val="Tabletext"/>
              <w:jc w:val="center"/>
            </w:pPr>
          </w:p>
          <w:p w:rsidR="00624F2D" w:rsidRPr="00CE0BE9" w:rsidRDefault="00624F2D" w:rsidP="008539A6">
            <w:pPr>
              <w:pStyle w:val="Tabletext"/>
              <w:jc w:val="center"/>
            </w:pPr>
            <w:r w:rsidRPr="00CE0BE9">
              <w:t>$</w:t>
            </w:r>
            <w:r w:rsidR="003F06F0">
              <w:rPr>
                <w:noProof/>
                <w:color w:val="000000"/>
                <w:highlight w:val="black"/>
              </w:rPr>
              <w:t>''''''''''''''''</w:t>
            </w:r>
          </w:p>
          <w:p w:rsidR="00624F2D" w:rsidRPr="00CE0BE9" w:rsidRDefault="00624F2D" w:rsidP="008539A6">
            <w:pPr>
              <w:pStyle w:val="Tabletext"/>
              <w:jc w:val="center"/>
            </w:pPr>
            <w:r w:rsidRPr="00CE0BE9">
              <w:t>$</w:t>
            </w:r>
            <w:r w:rsidR="003F06F0">
              <w:rPr>
                <w:noProof/>
                <w:color w:val="000000"/>
                <w:highlight w:val="black"/>
              </w:rPr>
              <w:t>'''''''''''''''</w:t>
            </w:r>
          </w:p>
        </w:tc>
        <w:tc>
          <w:tcPr>
            <w:tcW w:w="914" w:type="pct"/>
          </w:tcPr>
          <w:p w:rsidR="00624F2D" w:rsidRPr="00CE0BE9" w:rsidRDefault="00624F2D" w:rsidP="008539A6">
            <w:pPr>
              <w:pStyle w:val="Tabletext"/>
              <w:jc w:val="center"/>
            </w:pPr>
          </w:p>
          <w:p w:rsidR="00624F2D" w:rsidRPr="00CE0BE9" w:rsidRDefault="00624F2D" w:rsidP="008539A6">
            <w:pPr>
              <w:pStyle w:val="Tabletext"/>
              <w:jc w:val="center"/>
            </w:pPr>
            <w:r w:rsidRPr="00CE0BE9">
              <w:t>4.22</w:t>
            </w:r>
          </w:p>
          <w:p w:rsidR="00624F2D" w:rsidRPr="00CE0BE9" w:rsidRDefault="00624F2D" w:rsidP="008539A6">
            <w:pPr>
              <w:pStyle w:val="Tabletext"/>
              <w:jc w:val="center"/>
            </w:pPr>
            <w:r w:rsidRPr="00CE0BE9">
              <w:t>2.85</w:t>
            </w:r>
          </w:p>
        </w:tc>
        <w:tc>
          <w:tcPr>
            <w:tcW w:w="599" w:type="pct"/>
          </w:tcPr>
          <w:p w:rsidR="00624F2D" w:rsidRPr="00CE0BE9" w:rsidRDefault="00624F2D" w:rsidP="008539A6">
            <w:pPr>
              <w:pStyle w:val="Tabletext"/>
              <w:jc w:val="center"/>
            </w:pPr>
          </w:p>
          <w:p w:rsidR="00624F2D" w:rsidRPr="00CE0BE9" w:rsidRDefault="00624F2D" w:rsidP="008539A6">
            <w:pPr>
              <w:pStyle w:val="Tabletext"/>
              <w:jc w:val="center"/>
            </w:pPr>
            <w:r w:rsidRPr="00CE0BE9">
              <w:t>$</w:t>
            </w:r>
            <w:r w:rsidR="003F06F0">
              <w:rPr>
                <w:noProof/>
                <w:color w:val="000000"/>
                <w:highlight w:val="black"/>
              </w:rPr>
              <w:t>'''''''''''''''''</w:t>
            </w:r>
          </w:p>
          <w:p w:rsidR="00624F2D" w:rsidRPr="00CE0BE9" w:rsidRDefault="00624F2D" w:rsidP="008539A6">
            <w:pPr>
              <w:pStyle w:val="Tabletext"/>
              <w:jc w:val="center"/>
            </w:pPr>
            <w:r w:rsidRPr="00CE0BE9">
              <w:t>$</w:t>
            </w:r>
            <w:r w:rsidR="003F06F0">
              <w:rPr>
                <w:noProof/>
                <w:color w:val="000000"/>
                <w:highlight w:val="black"/>
              </w:rPr>
              <w:t>''''''''''''''''''</w:t>
            </w:r>
          </w:p>
        </w:tc>
      </w:tr>
      <w:tr w:rsidR="00624F2D" w:rsidRPr="00CE0BE9" w:rsidTr="008539A6">
        <w:tc>
          <w:tcPr>
            <w:tcW w:w="2649" w:type="pct"/>
          </w:tcPr>
          <w:p w:rsidR="00624F2D" w:rsidRPr="00CE0BE9" w:rsidRDefault="00624F2D" w:rsidP="008539A6">
            <w:pPr>
              <w:pStyle w:val="Tabletext"/>
              <w:tabs>
                <w:tab w:val="left" w:pos="142"/>
              </w:tabs>
            </w:pPr>
            <w:r w:rsidRPr="00CE0BE9">
              <w:t>Time horizon (base case 25 years)</w:t>
            </w:r>
          </w:p>
          <w:p w:rsidR="00624F2D" w:rsidRPr="00CE0BE9" w:rsidRDefault="00624F2D" w:rsidP="008539A6">
            <w:pPr>
              <w:pStyle w:val="Tabletext"/>
              <w:tabs>
                <w:tab w:val="left" w:pos="142"/>
              </w:tabs>
            </w:pPr>
            <w:r w:rsidRPr="00CE0BE9">
              <w:tab/>
              <w:t>6 years</w:t>
            </w:r>
          </w:p>
          <w:p w:rsidR="00624F2D" w:rsidRPr="00CE0BE9" w:rsidRDefault="00624F2D" w:rsidP="008539A6">
            <w:pPr>
              <w:pStyle w:val="Tabletext"/>
              <w:tabs>
                <w:tab w:val="left" w:pos="142"/>
              </w:tabs>
            </w:pPr>
            <w:r w:rsidRPr="00CE0BE9">
              <w:tab/>
              <w:t>10 years</w:t>
            </w:r>
          </w:p>
          <w:p w:rsidR="00624F2D" w:rsidRPr="00CE0BE9" w:rsidRDefault="00624F2D" w:rsidP="008539A6">
            <w:pPr>
              <w:pStyle w:val="Tabletext"/>
              <w:tabs>
                <w:tab w:val="left" w:pos="142"/>
              </w:tabs>
            </w:pPr>
            <w:r w:rsidRPr="00CE0BE9">
              <w:tab/>
              <w:t>15 years</w:t>
            </w:r>
          </w:p>
          <w:p w:rsidR="00624F2D" w:rsidRPr="00CE0BE9" w:rsidRDefault="00624F2D" w:rsidP="008539A6">
            <w:pPr>
              <w:pStyle w:val="Tabletext"/>
              <w:tabs>
                <w:tab w:val="left" w:pos="142"/>
              </w:tabs>
            </w:pPr>
            <w:r w:rsidRPr="00CE0BE9">
              <w:tab/>
              <w:t>20 years</w:t>
            </w:r>
          </w:p>
        </w:tc>
        <w:tc>
          <w:tcPr>
            <w:tcW w:w="838" w:type="pct"/>
          </w:tcPr>
          <w:p w:rsidR="00624F2D" w:rsidRPr="00CE0BE9" w:rsidRDefault="00624F2D" w:rsidP="008539A6">
            <w:pPr>
              <w:pStyle w:val="Tabletext"/>
              <w:jc w:val="center"/>
            </w:pPr>
          </w:p>
          <w:p w:rsidR="00624F2D" w:rsidRPr="003F06F0" w:rsidRDefault="00624F2D" w:rsidP="008539A6">
            <w:pPr>
              <w:pStyle w:val="Tabletext"/>
              <w:jc w:val="center"/>
            </w:pPr>
            <w:r w:rsidRPr="00CE0BE9">
              <w:t>$</w:t>
            </w:r>
            <w:r w:rsidR="003F06F0">
              <w:rPr>
                <w:noProof/>
                <w:color w:val="000000"/>
                <w:highlight w:val="black"/>
              </w:rPr>
              <w:t>'''''''''''''''''</w:t>
            </w:r>
          </w:p>
          <w:p w:rsidR="00624F2D" w:rsidRPr="00CE0BE9" w:rsidRDefault="00624F2D" w:rsidP="008539A6">
            <w:pPr>
              <w:pStyle w:val="Tabletext"/>
              <w:jc w:val="center"/>
            </w:pPr>
            <w:r w:rsidRPr="00CE0BE9">
              <w:t>$</w:t>
            </w:r>
            <w:r w:rsidR="003F06F0">
              <w:rPr>
                <w:noProof/>
                <w:color w:val="000000"/>
                <w:highlight w:val="black"/>
              </w:rPr>
              <w:t>''''''''''''''''</w:t>
            </w:r>
          </w:p>
          <w:p w:rsidR="00624F2D" w:rsidRPr="00CE0BE9" w:rsidRDefault="00624F2D" w:rsidP="008539A6">
            <w:pPr>
              <w:pStyle w:val="Tabletext"/>
              <w:jc w:val="center"/>
            </w:pPr>
            <w:r w:rsidRPr="00CE0BE9">
              <w:t>$</w:t>
            </w:r>
            <w:r w:rsidR="003F06F0">
              <w:rPr>
                <w:noProof/>
                <w:color w:val="000000"/>
                <w:highlight w:val="black"/>
              </w:rPr>
              <w:t>''''''''''''''''''</w:t>
            </w:r>
          </w:p>
          <w:p w:rsidR="00624F2D" w:rsidRPr="00CE0BE9" w:rsidRDefault="00624F2D" w:rsidP="008539A6">
            <w:pPr>
              <w:pStyle w:val="Tabletext"/>
              <w:jc w:val="center"/>
            </w:pPr>
            <w:r w:rsidRPr="00CE0BE9">
              <w:t>$</w:t>
            </w:r>
            <w:r w:rsidR="003F06F0">
              <w:rPr>
                <w:noProof/>
                <w:color w:val="000000"/>
                <w:highlight w:val="black"/>
              </w:rPr>
              <w:t>'''''''''''''''</w:t>
            </w:r>
          </w:p>
        </w:tc>
        <w:tc>
          <w:tcPr>
            <w:tcW w:w="914" w:type="pct"/>
          </w:tcPr>
          <w:p w:rsidR="00624F2D" w:rsidRPr="00CE0BE9" w:rsidRDefault="00624F2D" w:rsidP="008539A6">
            <w:pPr>
              <w:pStyle w:val="Tabletext"/>
              <w:jc w:val="center"/>
            </w:pPr>
          </w:p>
          <w:p w:rsidR="00624F2D" w:rsidRPr="00CE0BE9" w:rsidRDefault="00624F2D" w:rsidP="008539A6">
            <w:pPr>
              <w:pStyle w:val="Tabletext"/>
              <w:jc w:val="center"/>
            </w:pPr>
            <w:r w:rsidRPr="00CE0BE9">
              <w:t>0.51</w:t>
            </w:r>
          </w:p>
          <w:p w:rsidR="00624F2D" w:rsidRPr="00CE0BE9" w:rsidRDefault="00624F2D" w:rsidP="008539A6">
            <w:pPr>
              <w:pStyle w:val="Tabletext"/>
              <w:jc w:val="center"/>
            </w:pPr>
            <w:r w:rsidRPr="00CE0BE9">
              <w:t>1.17</w:t>
            </w:r>
          </w:p>
          <w:p w:rsidR="00624F2D" w:rsidRPr="00CE0BE9" w:rsidRDefault="00624F2D" w:rsidP="008539A6">
            <w:pPr>
              <w:pStyle w:val="Tabletext"/>
              <w:jc w:val="center"/>
            </w:pPr>
            <w:r w:rsidRPr="00CE0BE9">
              <w:t>1.85</w:t>
            </w:r>
          </w:p>
          <w:p w:rsidR="00624F2D" w:rsidRPr="00CE0BE9" w:rsidRDefault="00624F2D" w:rsidP="008539A6">
            <w:pPr>
              <w:pStyle w:val="Tabletext"/>
              <w:jc w:val="center"/>
            </w:pPr>
            <w:r w:rsidRPr="00CE0BE9">
              <w:t>2.25</w:t>
            </w:r>
          </w:p>
        </w:tc>
        <w:tc>
          <w:tcPr>
            <w:tcW w:w="599" w:type="pct"/>
          </w:tcPr>
          <w:p w:rsidR="00624F2D" w:rsidRPr="00CE0BE9" w:rsidRDefault="00624F2D" w:rsidP="008539A6">
            <w:pPr>
              <w:pStyle w:val="Tabletext"/>
              <w:jc w:val="center"/>
            </w:pPr>
          </w:p>
          <w:p w:rsidR="00624F2D" w:rsidRPr="00CE0BE9" w:rsidRDefault="00624F2D" w:rsidP="008539A6">
            <w:pPr>
              <w:pStyle w:val="Tabletext"/>
              <w:jc w:val="center"/>
            </w:pPr>
            <w:r w:rsidRPr="00CE0BE9">
              <w:t>$</w:t>
            </w:r>
            <w:r w:rsidR="003F06F0">
              <w:rPr>
                <w:noProof/>
                <w:color w:val="000000"/>
                <w:highlight w:val="black"/>
              </w:rPr>
              <w:t>''''''''''''''''''''</w:t>
            </w:r>
          </w:p>
          <w:p w:rsidR="00624F2D" w:rsidRPr="00CE0BE9" w:rsidRDefault="00624F2D" w:rsidP="008539A6">
            <w:pPr>
              <w:pStyle w:val="Tabletext"/>
              <w:jc w:val="center"/>
            </w:pPr>
            <w:r w:rsidRPr="00CE0BE9">
              <w:t>$</w:t>
            </w:r>
            <w:r w:rsidR="003F06F0">
              <w:rPr>
                <w:noProof/>
                <w:color w:val="000000"/>
                <w:highlight w:val="black"/>
              </w:rPr>
              <w:t>''''''''''''''''''</w:t>
            </w:r>
          </w:p>
          <w:p w:rsidR="00624F2D" w:rsidRPr="00CE0BE9" w:rsidRDefault="00624F2D" w:rsidP="008539A6">
            <w:pPr>
              <w:pStyle w:val="Tabletext"/>
              <w:jc w:val="center"/>
            </w:pPr>
            <w:r w:rsidRPr="00CE0BE9">
              <w:t>$</w:t>
            </w:r>
            <w:r w:rsidR="003F06F0">
              <w:rPr>
                <w:noProof/>
                <w:color w:val="000000"/>
                <w:highlight w:val="black"/>
              </w:rPr>
              <w:t>'''''''''''''''</w:t>
            </w:r>
          </w:p>
          <w:p w:rsidR="00624F2D" w:rsidRPr="00CE0BE9" w:rsidRDefault="00624F2D" w:rsidP="008539A6">
            <w:pPr>
              <w:pStyle w:val="Tabletext"/>
              <w:jc w:val="center"/>
            </w:pPr>
            <w:r w:rsidRPr="00CE0BE9">
              <w:t>$</w:t>
            </w:r>
            <w:r w:rsidR="003F06F0">
              <w:rPr>
                <w:noProof/>
                <w:color w:val="000000"/>
                <w:highlight w:val="black"/>
              </w:rPr>
              <w:t>''''''''''''''''</w:t>
            </w:r>
          </w:p>
        </w:tc>
      </w:tr>
      <w:tr w:rsidR="00624F2D" w:rsidRPr="00CE0BE9" w:rsidTr="008539A6">
        <w:tc>
          <w:tcPr>
            <w:tcW w:w="2649" w:type="pct"/>
          </w:tcPr>
          <w:p w:rsidR="00624F2D" w:rsidRPr="00CE0BE9" w:rsidRDefault="00624F2D" w:rsidP="008539A6">
            <w:pPr>
              <w:pStyle w:val="Tabletext"/>
              <w:tabs>
                <w:tab w:val="left" w:pos="142"/>
              </w:tabs>
            </w:pPr>
            <w:r w:rsidRPr="00CE0BE9">
              <w:t>PFS extrapolation (base case Generalised Gamma extrapolation)</w:t>
            </w:r>
          </w:p>
          <w:p w:rsidR="00624F2D" w:rsidRPr="00CE0BE9" w:rsidRDefault="00624F2D" w:rsidP="008539A6">
            <w:pPr>
              <w:pStyle w:val="Tabletext"/>
              <w:tabs>
                <w:tab w:val="left" w:pos="142"/>
              </w:tabs>
            </w:pPr>
            <w:r w:rsidRPr="00CE0BE9">
              <w:tab/>
              <w:t>Log-Logistic extrapolation</w:t>
            </w:r>
          </w:p>
          <w:p w:rsidR="00624F2D" w:rsidRPr="00CE0BE9" w:rsidRDefault="00624F2D" w:rsidP="008539A6">
            <w:pPr>
              <w:pStyle w:val="Tabletext"/>
              <w:tabs>
                <w:tab w:val="left" w:pos="142"/>
              </w:tabs>
            </w:pPr>
            <w:r w:rsidRPr="00CE0BE9">
              <w:tab/>
              <w:t>Weibull extrapolation</w:t>
            </w:r>
          </w:p>
        </w:tc>
        <w:tc>
          <w:tcPr>
            <w:tcW w:w="838" w:type="pct"/>
          </w:tcPr>
          <w:p w:rsidR="00624F2D" w:rsidRPr="00CE0BE9" w:rsidRDefault="00624F2D" w:rsidP="008539A6">
            <w:pPr>
              <w:pStyle w:val="Tabletext"/>
              <w:jc w:val="center"/>
            </w:pPr>
          </w:p>
          <w:p w:rsidR="00624F2D" w:rsidRPr="00CE0BE9" w:rsidRDefault="00624F2D" w:rsidP="008539A6">
            <w:pPr>
              <w:pStyle w:val="Tabletext"/>
              <w:jc w:val="center"/>
            </w:pPr>
          </w:p>
          <w:p w:rsidR="00624F2D" w:rsidRPr="00CE0BE9" w:rsidRDefault="00624F2D" w:rsidP="008539A6">
            <w:pPr>
              <w:pStyle w:val="Tabletext"/>
              <w:jc w:val="center"/>
            </w:pPr>
            <w:r w:rsidRPr="00CE0BE9">
              <w:t>$</w:t>
            </w:r>
            <w:r w:rsidR="003F06F0">
              <w:rPr>
                <w:noProof/>
                <w:color w:val="000000"/>
                <w:highlight w:val="black"/>
              </w:rPr>
              <w:t>'''''''''''''''</w:t>
            </w:r>
          </w:p>
          <w:p w:rsidR="00624F2D" w:rsidRPr="00CE0BE9" w:rsidRDefault="00624F2D" w:rsidP="008539A6">
            <w:pPr>
              <w:pStyle w:val="Tabletext"/>
              <w:jc w:val="center"/>
            </w:pPr>
            <w:r w:rsidRPr="00CE0BE9">
              <w:t>$</w:t>
            </w:r>
            <w:r w:rsidR="003F06F0">
              <w:rPr>
                <w:noProof/>
                <w:color w:val="000000"/>
                <w:highlight w:val="black"/>
              </w:rPr>
              <w:t>'''''''''''''''</w:t>
            </w:r>
          </w:p>
        </w:tc>
        <w:tc>
          <w:tcPr>
            <w:tcW w:w="914" w:type="pct"/>
          </w:tcPr>
          <w:p w:rsidR="00624F2D" w:rsidRPr="00CE0BE9" w:rsidRDefault="00624F2D" w:rsidP="008539A6">
            <w:pPr>
              <w:pStyle w:val="Tabletext"/>
              <w:jc w:val="center"/>
            </w:pPr>
          </w:p>
          <w:p w:rsidR="00624F2D" w:rsidRPr="00CE0BE9" w:rsidRDefault="00624F2D" w:rsidP="008539A6">
            <w:pPr>
              <w:pStyle w:val="Tabletext"/>
              <w:jc w:val="center"/>
            </w:pPr>
          </w:p>
          <w:p w:rsidR="00624F2D" w:rsidRPr="00CE0BE9" w:rsidRDefault="00624F2D" w:rsidP="008539A6">
            <w:pPr>
              <w:pStyle w:val="Tabletext"/>
              <w:jc w:val="center"/>
            </w:pPr>
            <w:r w:rsidRPr="00CE0BE9">
              <w:t>2.44</w:t>
            </w:r>
          </w:p>
          <w:p w:rsidR="00624F2D" w:rsidRPr="00CE0BE9" w:rsidRDefault="00624F2D" w:rsidP="008539A6">
            <w:pPr>
              <w:pStyle w:val="Tabletext"/>
              <w:jc w:val="center"/>
            </w:pPr>
            <w:r w:rsidRPr="00CE0BE9">
              <w:t>2.43</w:t>
            </w:r>
          </w:p>
        </w:tc>
        <w:tc>
          <w:tcPr>
            <w:tcW w:w="599" w:type="pct"/>
          </w:tcPr>
          <w:p w:rsidR="00624F2D" w:rsidRPr="00CE0BE9" w:rsidRDefault="00624F2D" w:rsidP="008539A6">
            <w:pPr>
              <w:pStyle w:val="Tabletext"/>
              <w:jc w:val="center"/>
            </w:pPr>
          </w:p>
          <w:p w:rsidR="00624F2D" w:rsidRPr="00CE0BE9" w:rsidRDefault="00624F2D" w:rsidP="008539A6">
            <w:pPr>
              <w:pStyle w:val="Tabletext"/>
              <w:jc w:val="center"/>
            </w:pPr>
          </w:p>
          <w:p w:rsidR="00624F2D" w:rsidRPr="00CE0BE9" w:rsidRDefault="00624F2D" w:rsidP="008539A6">
            <w:pPr>
              <w:pStyle w:val="Tabletext"/>
              <w:jc w:val="center"/>
            </w:pPr>
            <w:r w:rsidRPr="00CE0BE9">
              <w:t>$</w:t>
            </w:r>
            <w:r w:rsidR="003F06F0">
              <w:rPr>
                <w:noProof/>
                <w:color w:val="000000"/>
                <w:highlight w:val="black"/>
              </w:rPr>
              <w:t>'''''''''''''''''</w:t>
            </w:r>
          </w:p>
          <w:p w:rsidR="00624F2D" w:rsidRPr="00CE0BE9" w:rsidRDefault="00624F2D" w:rsidP="008539A6">
            <w:pPr>
              <w:pStyle w:val="Tabletext"/>
              <w:jc w:val="center"/>
            </w:pPr>
            <w:r w:rsidRPr="00CE0BE9">
              <w:t>$</w:t>
            </w:r>
            <w:r w:rsidR="003F06F0">
              <w:rPr>
                <w:noProof/>
                <w:color w:val="000000"/>
                <w:highlight w:val="black"/>
              </w:rPr>
              <w:t>''''''''''''''''</w:t>
            </w:r>
          </w:p>
        </w:tc>
      </w:tr>
      <w:tr w:rsidR="00624F2D" w:rsidRPr="00CE0BE9" w:rsidTr="008539A6">
        <w:tc>
          <w:tcPr>
            <w:tcW w:w="2649" w:type="pct"/>
          </w:tcPr>
          <w:p w:rsidR="00624F2D" w:rsidRPr="00CE0BE9" w:rsidRDefault="00624F2D" w:rsidP="008539A6">
            <w:pPr>
              <w:pStyle w:val="Tabletext"/>
              <w:tabs>
                <w:tab w:val="left" w:pos="142"/>
              </w:tabs>
            </w:pPr>
            <w:r w:rsidRPr="00CE0BE9">
              <w:t xml:space="preserve">OS, PFS and </w:t>
            </w:r>
            <w:proofErr w:type="spellStart"/>
            <w:r w:rsidRPr="00CE0BE9">
              <w:t>ToT</w:t>
            </w:r>
            <w:proofErr w:type="spellEnd"/>
            <w:r w:rsidRPr="00CE0BE9">
              <w:t xml:space="preserve"> extrapolation  source (base case CALGB source)</w:t>
            </w:r>
          </w:p>
          <w:p w:rsidR="00624F2D" w:rsidRPr="00CE0BE9" w:rsidRDefault="00624F2D" w:rsidP="008539A6">
            <w:pPr>
              <w:pStyle w:val="Tabletext"/>
              <w:tabs>
                <w:tab w:val="left" w:pos="142"/>
              </w:tabs>
            </w:pPr>
            <w:r w:rsidRPr="00CE0BE9">
              <w:tab/>
              <w:t>Pooled trial dataset (CALGB, IFM 2005</w:t>
            </w:r>
            <w:r w:rsidRPr="00CE0BE9">
              <w:noBreakHyphen/>
              <w:t>02 and GIMEMA)</w:t>
            </w:r>
          </w:p>
        </w:tc>
        <w:tc>
          <w:tcPr>
            <w:tcW w:w="838" w:type="pct"/>
          </w:tcPr>
          <w:p w:rsidR="00624F2D" w:rsidRPr="00CE0BE9" w:rsidRDefault="00624F2D" w:rsidP="008539A6">
            <w:pPr>
              <w:pStyle w:val="Tabletext"/>
              <w:jc w:val="center"/>
            </w:pPr>
          </w:p>
          <w:p w:rsidR="00624F2D" w:rsidRPr="00CE0BE9" w:rsidRDefault="00624F2D" w:rsidP="008539A6">
            <w:pPr>
              <w:pStyle w:val="Tabletext"/>
              <w:jc w:val="center"/>
            </w:pPr>
            <w:r w:rsidRPr="00CE0BE9">
              <w:t>$</w:t>
            </w:r>
            <w:r w:rsidR="003F06F0">
              <w:rPr>
                <w:noProof/>
                <w:color w:val="000000"/>
                <w:highlight w:val="black"/>
              </w:rPr>
              <w:t>'''''''''''''''</w:t>
            </w:r>
          </w:p>
        </w:tc>
        <w:tc>
          <w:tcPr>
            <w:tcW w:w="914" w:type="pct"/>
          </w:tcPr>
          <w:p w:rsidR="00624F2D" w:rsidRPr="00CE0BE9" w:rsidRDefault="00624F2D" w:rsidP="008539A6">
            <w:pPr>
              <w:pStyle w:val="Tabletext"/>
              <w:jc w:val="center"/>
            </w:pPr>
          </w:p>
          <w:p w:rsidR="00624F2D" w:rsidRPr="00CE0BE9" w:rsidRDefault="00624F2D" w:rsidP="008539A6">
            <w:pPr>
              <w:pStyle w:val="Tabletext"/>
              <w:jc w:val="center"/>
            </w:pPr>
            <w:r w:rsidRPr="00CE0BE9">
              <w:t>1.03</w:t>
            </w:r>
          </w:p>
        </w:tc>
        <w:tc>
          <w:tcPr>
            <w:tcW w:w="599" w:type="pct"/>
          </w:tcPr>
          <w:p w:rsidR="00624F2D" w:rsidRPr="00CE0BE9" w:rsidRDefault="00624F2D" w:rsidP="008539A6">
            <w:pPr>
              <w:pStyle w:val="Tabletext"/>
              <w:jc w:val="center"/>
            </w:pPr>
          </w:p>
          <w:p w:rsidR="00624F2D" w:rsidRPr="00CE0BE9" w:rsidRDefault="00624F2D" w:rsidP="008539A6">
            <w:pPr>
              <w:pStyle w:val="Tabletext"/>
              <w:jc w:val="center"/>
            </w:pPr>
            <w:r w:rsidRPr="00CE0BE9">
              <w:t>$</w:t>
            </w:r>
            <w:r w:rsidR="003F06F0">
              <w:rPr>
                <w:noProof/>
                <w:color w:val="000000"/>
                <w:highlight w:val="black"/>
              </w:rPr>
              <w:t>''''''''''''''''</w:t>
            </w:r>
          </w:p>
        </w:tc>
      </w:tr>
      <w:tr w:rsidR="00624F2D" w:rsidRPr="00CE0BE9" w:rsidTr="008539A6">
        <w:tc>
          <w:tcPr>
            <w:tcW w:w="2649" w:type="pct"/>
          </w:tcPr>
          <w:p w:rsidR="00624F2D" w:rsidRPr="00CE0BE9" w:rsidRDefault="00624F2D" w:rsidP="008539A6">
            <w:pPr>
              <w:pStyle w:val="Tabletext"/>
              <w:tabs>
                <w:tab w:val="left" w:pos="142"/>
              </w:tabs>
            </w:pPr>
            <w:r w:rsidRPr="00CE0BE9">
              <w:t xml:space="preserve">Utility with progressed disease 3rd line treatment (base case 0.725 – </w:t>
            </w:r>
            <w:proofErr w:type="spellStart"/>
            <w:r w:rsidRPr="00CE0BE9">
              <w:t>panobinostat</w:t>
            </w:r>
            <w:proofErr w:type="spellEnd"/>
            <w:r w:rsidRPr="00CE0BE9">
              <w:t xml:space="preserve"> NICE Appraisal)</w:t>
            </w:r>
          </w:p>
          <w:p w:rsidR="00624F2D" w:rsidRPr="00CE0BE9" w:rsidRDefault="00624F2D" w:rsidP="008539A6">
            <w:pPr>
              <w:pStyle w:val="Tabletext"/>
              <w:tabs>
                <w:tab w:val="left" w:pos="142"/>
              </w:tabs>
            </w:pPr>
            <w:r w:rsidRPr="00CE0BE9">
              <w:tab/>
              <w:t>0.738 (progressed disease 2nd line treatment - CONNECT)</w:t>
            </w:r>
          </w:p>
        </w:tc>
        <w:tc>
          <w:tcPr>
            <w:tcW w:w="838" w:type="pct"/>
          </w:tcPr>
          <w:p w:rsidR="00624F2D" w:rsidRPr="00CE0BE9" w:rsidRDefault="00624F2D" w:rsidP="008539A6">
            <w:pPr>
              <w:pStyle w:val="Tabletext"/>
              <w:jc w:val="center"/>
            </w:pPr>
          </w:p>
          <w:p w:rsidR="00624F2D" w:rsidRPr="00CE0BE9" w:rsidRDefault="00624F2D" w:rsidP="008539A6">
            <w:pPr>
              <w:pStyle w:val="Tabletext"/>
              <w:jc w:val="center"/>
            </w:pPr>
            <w:r w:rsidRPr="00CE0BE9">
              <w:t>$</w:t>
            </w:r>
            <w:r w:rsidR="003F06F0">
              <w:rPr>
                <w:noProof/>
                <w:color w:val="000000"/>
                <w:highlight w:val="black"/>
              </w:rPr>
              <w:t>'''''''''''''''</w:t>
            </w:r>
          </w:p>
        </w:tc>
        <w:tc>
          <w:tcPr>
            <w:tcW w:w="914" w:type="pct"/>
          </w:tcPr>
          <w:p w:rsidR="00624F2D" w:rsidRPr="00CE0BE9" w:rsidRDefault="00624F2D" w:rsidP="008539A6">
            <w:pPr>
              <w:pStyle w:val="Tabletext"/>
              <w:jc w:val="center"/>
            </w:pPr>
          </w:p>
          <w:p w:rsidR="00624F2D" w:rsidRPr="00CE0BE9" w:rsidRDefault="00624F2D" w:rsidP="008539A6">
            <w:pPr>
              <w:pStyle w:val="Tabletext"/>
              <w:jc w:val="center"/>
            </w:pPr>
            <w:r w:rsidRPr="00CE0BE9">
              <w:t>2.85</w:t>
            </w:r>
          </w:p>
        </w:tc>
        <w:tc>
          <w:tcPr>
            <w:tcW w:w="599" w:type="pct"/>
          </w:tcPr>
          <w:p w:rsidR="00624F2D" w:rsidRPr="00CE0BE9" w:rsidRDefault="00624F2D" w:rsidP="008539A6">
            <w:pPr>
              <w:pStyle w:val="Tabletext"/>
              <w:jc w:val="center"/>
            </w:pPr>
          </w:p>
          <w:p w:rsidR="00624F2D" w:rsidRPr="00CE0BE9" w:rsidRDefault="00624F2D" w:rsidP="008539A6">
            <w:pPr>
              <w:pStyle w:val="Tabletext"/>
              <w:jc w:val="center"/>
            </w:pPr>
            <w:r w:rsidRPr="00CE0BE9">
              <w:t>$</w:t>
            </w:r>
            <w:r w:rsidR="003F06F0">
              <w:rPr>
                <w:noProof/>
                <w:color w:val="000000"/>
                <w:highlight w:val="black"/>
              </w:rPr>
              <w:t>'''''''''''''''''</w:t>
            </w:r>
          </w:p>
        </w:tc>
      </w:tr>
      <w:tr w:rsidR="00624F2D" w:rsidRPr="00CE0BE9" w:rsidTr="008539A6">
        <w:tc>
          <w:tcPr>
            <w:tcW w:w="2649" w:type="pct"/>
          </w:tcPr>
          <w:p w:rsidR="00624F2D" w:rsidRPr="00CE0BE9" w:rsidRDefault="00624F2D" w:rsidP="008539A6">
            <w:pPr>
              <w:pStyle w:val="Tabletext"/>
              <w:tabs>
                <w:tab w:val="left" w:pos="142"/>
              </w:tabs>
            </w:pPr>
            <w:r w:rsidRPr="00CE0BE9">
              <w:t>Time on subsequent treatment (expert opinion, GIMEMA)</w:t>
            </w:r>
          </w:p>
          <w:p w:rsidR="00624F2D" w:rsidRPr="00CE0BE9" w:rsidRDefault="00624F2D" w:rsidP="008539A6">
            <w:pPr>
              <w:pStyle w:val="Tabletext"/>
              <w:tabs>
                <w:tab w:val="left" w:pos="142"/>
              </w:tabs>
            </w:pPr>
            <w:r w:rsidRPr="00CE0BE9">
              <w:tab/>
              <w:t>Pooled data (lines/groups) GIMEMA</w:t>
            </w:r>
          </w:p>
        </w:tc>
        <w:tc>
          <w:tcPr>
            <w:tcW w:w="838" w:type="pct"/>
          </w:tcPr>
          <w:p w:rsidR="00624F2D" w:rsidRPr="00CE0BE9" w:rsidRDefault="00624F2D" w:rsidP="008539A6">
            <w:pPr>
              <w:pStyle w:val="Tabletext"/>
              <w:jc w:val="center"/>
            </w:pPr>
          </w:p>
          <w:p w:rsidR="00624F2D" w:rsidRPr="00CE0BE9" w:rsidRDefault="00624F2D" w:rsidP="008539A6">
            <w:pPr>
              <w:pStyle w:val="Tabletext"/>
              <w:jc w:val="center"/>
            </w:pPr>
            <w:r w:rsidRPr="00CE0BE9">
              <w:t>$</w:t>
            </w:r>
            <w:r w:rsidR="003F06F0">
              <w:rPr>
                <w:noProof/>
                <w:color w:val="000000"/>
                <w:highlight w:val="black"/>
              </w:rPr>
              <w:t>''''''''''''''''</w:t>
            </w:r>
          </w:p>
        </w:tc>
        <w:tc>
          <w:tcPr>
            <w:tcW w:w="914" w:type="pct"/>
          </w:tcPr>
          <w:p w:rsidR="00624F2D" w:rsidRPr="00CE0BE9" w:rsidRDefault="00624F2D" w:rsidP="008539A6">
            <w:pPr>
              <w:pStyle w:val="Tabletext"/>
              <w:jc w:val="center"/>
            </w:pPr>
          </w:p>
          <w:p w:rsidR="00624F2D" w:rsidRPr="00CE0BE9" w:rsidRDefault="00624F2D" w:rsidP="008539A6">
            <w:pPr>
              <w:pStyle w:val="Tabletext"/>
              <w:jc w:val="center"/>
            </w:pPr>
            <w:r w:rsidRPr="00CE0BE9">
              <w:t>2.44</w:t>
            </w:r>
          </w:p>
        </w:tc>
        <w:tc>
          <w:tcPr>
            <w:tcW w:w="599" w:type="pct"/>
          </w:tcPr>
          <w:p w:rsidR="00624F2D" w:rsidRPr="00CE0BE9" w:rsidRDefault="00624F2D" w:rsidP="008539A6">
            <w:pPr>
              <w:pStyle w:val="Tabletext"/>
              <w:jc w:val="center"/>
            </w:pPr>
          </w:p>
          <w:p w:rsidR="00624F2D" w:rsidRPr="00CE0BE9" w:rsidRDefault="00624F2D" w:rsidP="008539A6">
            <w:pPr>
              <w:pStyle w:val="Tabletext"/>
              <w:jc w:val="center"/>
            </w:pPr>
            <w:r w:rsidRPr="00CE0BE9">
              <w:t>$</w:t>
            </w:r>
            <w:r w:rsidR="003F06F0">
              <w:rPr>
                <w:noProof/>
                <w:color w:val="000000"/>
                <w:highlight w:val="black"/>
              </w:rPr>
              <w:t>'''''''''''''''''</w:t>
            </w:r>
          </w:p>
        </w:tc>
      </w:tr>
    </w:tbl>
    <w:p w:rsidR="00624F2D" w:rsidRPr="00CE0BE9" w:rsidRDefault="00624F2D" w:rsidP="00624F2D">
      <w:pPr>
        <w:rPr>
          <w:rFonts w:ascii="Arial Narrow" w:hAnsi="Arial Narrow"/>
          <w:sz w:val="18"/>
          <w:szCs w:val="18"/>
        </w:rPr>
      </w:pPr>
      <w:r w:rsidRPr="00CE0BE9">
        <w:rPr>
          <w:rFonts w:ascii="Arial Narrow" w:hAnsi="Arial Narrow"/>
          <w:sz w:val="18"/>
          <w:szCs w:val="18"/>
        </w:rPr>
        <w:t>Source: Table 3.9.1, p. 190 of the submission. Excel spreadsheet ‘</w:t>
      </w:r>
      <w:proofErr w:type="spellStart"/>
      <w:r w:rsidRPr="00CE0BE9">
        <w:rPr>
          <w:rFonts w:ascii="Arial Narrow" w:hAnsi="Arial Narrow"/>
          <w:sz w:val="18"/>
          <w:szCs w:val="18"/>
        </w:rPr>
        <w:t>Att</w:t>
      </w:r>
      <w:proofErr w:type="spellEnd"/>
      <w:r w:rsidRPr="00CE0BE9">
        <w:rPr>
          <w:rFonts w:ascii="Arial Narrow" w:hAnsi="Arial Narrow"/>
          <w:sz w:val="18"/>
          <w:szCs w:val="18"/>
        </w:rPr>
        <w:t xml:space="preserve"> 12_Section 3 cost effectiveness model v2’_ sheet ‘Results’.</w:t>
      </w:r>
    </w:p>
    <w:p w:rsidR="00624F2D" w:rsidRPr="00624F2D" w:rsidRDefault="00624F2D" w:rsidP="00624F2D">
      <w:pPr>
        <w:pStyle w:val="ListParagraph"/>
        <w:widowControl/>
      </w:pPr>
    </w:p>
    <w:p w:rsidR="00072B38" w:rsidRPr="00D17A82" w:rsidRDefault="00324819" w:rsidP="006F0DFD">
      <w:pPr>
        <w:pStyle w:val="ListParagraph"/>
        <w:widowControl/>
        <w:numPr>
          <w:ilvl w:val="1"/>
          <w:numId w:val="2"/>
        </w:numPr>
      </w:pPr>
      <w:r w:rsidRPr="00D17A82">
        <w:rPr>
          <w:lang w:val="en-GB"/>
        </w:rPr>
        <w:t xml:space="preserve">The </w:t>
      </w:r>
      <w:r w:rsidR="00ED5FE8" w:rsidRPr="00D17A82">
        <w:rPr>
          <w:lang w:val="en-GB"/>
        </w:rPr>
        <w:t>fitted</w:t>
      </w:r>
      <w:r w:rsidRPr="00D17A82">
        <w:rPr>
          <w:lang w:val="en-GB"/>
        </w:rPr>
        <w:t xml:space="preserve"> PFS and OS curves for </w:t>
      </w:r>
      <w:proofErr w:type="spellStart"/>
      <w:r w:rsidRPr="00D17A82">
        <w:rPr>
          <w:lang w:val="en-GB"/>
        </w:rPr>
        <w:t>lenalidomide</w:t>
      </w:r>
      <w:proofErr w:type="spellEnd"/>
      <w:r w:rsidRPr="00D17A82">
        <w:rPr>
          <w:lang w:val="en-GB"/>
        </w:rPr>
        <w:t xml:space="preserve"> are presented in Figure 6. </w:t>
      </w:r>
      <w:r w:rsidR="00765BEA">
        <w:t>The PBAC noted that this</w:t>
      </w:r>
      <w:r w:rsidRPr="00D17A82">
        <w:t xml:space="preserve"> show</w:t>
      </w:r>
      <w:r w:rsidR="00765BEA">
        <w:t>ed</w:t>
      </w:r>
      <w:r w:rsidRPr="00D17A82">
        <w:t xml:space="preserve"> that none of the extrapolated curves appear to fit the Kaplan</w:t>
      </w:r>
      <w:r w:rsidRPr="00D17A82">
        <w:noBreakHyphen/>
        <w:t xml:space="preserve">Meier </w:t>
      </w:r>
      <w:r w:rsidR="00612C90" w:rsidRPr="00D17A82">
        <w:t>data</w:t>
      </w:r>
      <w:r w:rsidRPr="00D17A82">
        <w:t xml:space="preserve"> well for the </w:t>
      </w:r>
      <w:proofErr w:type="spellStart"/>
      <w:r w:rsidRPr="00D17A82">
        <w:t>lenalidomide</w:t>
      </w:r>
      <w:proofErr w:type="spellEnd"/>
      <w:r w:rsidRPr="00D17A82">
        <w:t xml:space="preserve"> arm, overestimating PFS and OS</w:t>
      </w:r>
      <w:r w:rsidR="00612C90" w:rsidRPr="00D17A82">
        <w:t>. Th</w:t>
      </w:r>
      <w:r w:rsidR="009C7633" w:rsidRPr="00D17A82">
        <w:t>e corresponding figures for BSC</w:t>
      </w:r>
      <w:r w:rsidR="00612C90" w:rsidRPr="00D17A82">
        <w:t xml:space="preserve"> suggest that the fitted curves were a reasonable approximation for the Kaplan-Meier data for BSC</w:t>
      </w:r>
      <w:r w:rsidRPr="00D17A82">
        <w:t xml:space="preserve"> (both PFS and OS). The result is that the </w:t>
      </w:r>
      <w:r w:rsidR="0007409F" w:rsidRPr="00D17A82">
        <w:t>fitted</w:t>
      </w:r>
      <w:r w:rsidRPr="00D17A82">
        <w:t xml:space="preserve"> curves appear to overestimate the gain for </w:t>
      </w:r>
      <w:proofErr w:type="spellStart"/>
      <w:r w:rsidRPr="00D17A82">
        <w:t>lenalidomide</w:t>
      </w:r>
      <w:proofErr w:type="spellEnd"/>
      <w:r w:rsidRPr="00D17A82">
        <w:t xml:space="preserve"> over BSC for the Kaplan-Meier period.</w:t>
      </w:r>
      <w:r w:rsidR="004B0C8E" w:rsidRPr="00D17A82">
        <w:t xml:space="preserve"> </w:t>
      </w:r>
    </w:p>
    <w:p w:rsidR="00072B38" w:rsidRPr="00CE0BE9" w:rsidRDefault="00072B38" w:rsidP="00072B38">
      <w:pPr>
        <w:keepNext/>
        <w:rPr>
          <w:rFonts w:ascii="Arial Narrow" w:hAnsi="Arial Narrow"/>
          <w:b/>
          <w:sz w:val="20"/>
          <w:szCs w:val="20"/>
        </w:rPr>
      </w:pPr>
      <w:r w:rsidRPr="00CE0BE9">
        <w:rPr>
          <w:rFonts w:ascii="Arial Narrow" w:hAnsi="Arial Narrow"/>
          <w:b/>
          <w:sz w:val="20"/>
          <w:szCs w:val="20"/>
        </w:rPr>
        <w:lastRenderedPageBreak/>
        <w:t xml:space="preserve">Figure </w:t>
      </w:r>
      <w:r w:rsidR="0005713E" w:rsidRPr="00CE0BE9">
        <w:rPr>
          <w:rFonts w:ascii="Arial Narrow" w:hAnsi="Arial Narrow"/>
          <w:b/>
          <w:sz w:val="20"/>
          <w:szCs w:val="20"/>
        </w:rPr>
        <w:t>6</w:t>
      </w:r>
      <w:r w:rsidRPr="00CE0BE9">
        <w:rPr>
          <w:rFonts w:ascii="Arial Narrow" w:hAnsi="Arial Narrow"/>
          <w:b/>
          <w:sz w:val="20"/>
          <w:szCs w:val="20"/>
        </w:rPr>
        <w:t xml:space="preserve">: Fit of the extrapolated survival curves to the KM data for PFS </w:t>
      </w:r>
      <w:r w:rsidR="0005713E" w:rsidRPr="00CE0BE9">
        <w:rPr>
          <w:rFonts w:ascii="Arial Narrow" w:hAnsi="Arial Narrow"/>
          <w:b/>
          <w:sz w:val="20"/>
          <w:szCs w:val="20"/>
        </w:rPr>
        <w:t>(</w:t>
      </w:r>
      <w:r w:rsidR="00BD246B" w:rsidRPr="00CE0BE9">
        <w:rPr>
          <w:rFonts w:ascii="Arial Narrow" w:hAnsi="Arial Narrow"/>
          <w:b/>
          <w:sz w:val="20"/>
          <w:szCs w:val="20"/>
        </w:rPr>
        <w:t>top</w:t>
      </w:r>
      <w:r w:rsidR="0005713E" w:rsidRPr="00CE0BE9">
        <w:rPr>
          <w:rFonts w:ascii="Arial Narrow" w:hAnsi="Arial Narrow"/>
          <w:b/>
          <w:sz w:val="20"/>
          <w:szCs w:val="20"/>
        </w:rPr>
        <w:t>) and OS (</w:t>
      </w:r>
      <w:r w:rsidR="00BD246B" w:rsidRPr="00CE0BE9">
        <w:rPr>
          <w:rFonts w:ascii="Arial Narrow" w:hAnsi="Arial Narrow"/>
          <w:b/>
          <w:sz w:val="20"/>
          <w:szCs w:val="20"/>
        </w:rPr>
        <w:t>bottom</w:t>
      </w:r>
      <w:r w:rsidR="0005713E" w:rsidRPr="00CE0BE9">
        <w:rPr>
          <w:rFonts w:ascii="Arial Narrow" w:hAnsi="Arial Narrow"/>
          <w:b/>
          <w:sz w:val="20"/>
          <w:szCs w:val="20"/>
        </w:rPr>
        <w:t xml:space="preserve">) </w:t>
      </w:r>
      <w:r w:rsidRPr="00CE0BE9">
        <w:rPr>
          <w:rFonts w:ascii="Arial Narrow" w:hAnsi="Arial Narrow"/>
          <w:b/>
          <w:sz w:val="20"/>
          <w:szCs w:val="20"/>
        </w:rPr>
        <w:t>with adjustment for cross-over using RPSFT with adjustment for 4 covariates for CALGB dataset (LEN, stratified)</w:t>
      </w:r>
    </w:p>
    <w:p w:rsidR="00072B38" w:rsidRPr="00CE0BE9" w:rsidRDefault="00072B38" w:rsidP="00072B38">
      <w:pPr>
        <w:keepNext/>
        <w:rPr>
          <w:rFonts w:ascii="Arial Narrow" w:hAnsi="Arial Narrow"/>
          <w:b/>
          <w:sz w:val="20"/>
          <w:szCs w:val="20"/>
        </w:rPr>
      </w:pPr>
      <w:r w:rsidRPr="00CE0BE9">
        <w:rPr>
          <w:rFonts w:ascii="Arial Narrow" w:hAnsi="Arial Narrow"/>
          <w:b/>
          <w:noProof/>
          <w:sz w:val="20"/>
          <w:szCs w:val="20"/>
          <w:lang w:eastAsia="en-AU"/>
        </w:rPr>
        <w:drawing>
          <wp:inline distT="0" distB="0" distL="0" distR="0" wp14:anchorId="3EB4FBFB" wp14:editId="0D0A0A4F">
            <wp:extent cx="5080883" cy="3346352"/>
            <wp:effectExtent l="0" t="0" r="5715" b="698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04352" cy="3361809"/>
                    </a:xfrm>
                    <a:prstGeom prst="rect">
                      <a:avLst/>
                    </a:prstGeom>
                    <a:noFill/>
                  </pic:spPr>
                </pic:pic>
              </a:graphicData>
            </a:graphic>
          </wp:inline>
        </w:drawing>
      </w:r>
      <w:r w:rsidR="0005713E" w:rsidRPr="00CE0BE9">
        <w:rPr>
          <w:rFonts w:ascii="Arial Narrow" w:hAnsi="Arial Narrow"/>
          <w:b/>
          <w:noProof/>
          <w:sz w:val="20"/>
          <w:szCs w:val="20"/>
          <w:lang w:eastAsia="en-AU"/>
        </w:rPr>
        <w:drawing>
          <wp:inline distT="0" distB="0" distL="0" distR="0" wp14:anchorId="54FB2925" wp14:editId="715A553B">
            <wp:extent cx="5080883" cy="3346641"/>
            <wp:effectExtent l="0" t="0" r="5715"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91667" cy="3353744"/>
                    </a:xfrm>
                    <a:prstGeom prst="rect">
                      <a:avLst/>
                    </a:prstGeom>
                    <a:noFill/>
                  </pic:spPr>
                </pic:pic>
              </a:graphicData>
            </a:graphic>
          </wp:inline>
        </w:drawing>
      </w:r>
    </w:p>
    <w:p w:rsidR="00072B38" w:rsidRPr="00CE0BE9" w:rsidRDefault="00072B38" w:rsidP="00072B38">
      <w:pPr>
        <w:keepNext/>
        <w:rPr>
          <w:rFonts w:ascii="Arial Narrow" w:hAnsi="Arial Narrow"/>
          <w:b/>
          <w:sz w:val="20"/>
          <w:szCs w:val="20"/>
        </w:rPr>
      </w:pPr>
      <w:r w:rsidRPr="00CE0BE9">
        <w:rPr>
          <w:rFonts w:ascii="Arial Narrow" w:hAnsi="Arial Narrow"/>
          <w:sz w:val="18"/>
          <w:szCs w:val="18"/>
        </w:rPr>
        <w:t xml:space="preserve">Source: Figure </w:t>
      </w:r>
      <w:r w:rsidR="0005713E" w:rsidRPr="00CE0BE9">
        <w:rPr>
          <w:rFonts w:ascii="Arial Narrow" w:hAnsi="Arial Narrow"/>
          <w:sz w:val="18"/>
          <w:szCs w:val="18"/>
        </w:rPr>
        <w:t xml:space="preserve">3.4.2 and </w:t>
      </w:r>
      <w:r w:rsidRPr="00CE0BE9">
        <w:rPr>
          <w:rFonts w:ascii="Arial Narrow" w:hAnsi="Arial Narrow"/>
          <w:sz w:val="18"/>
          <w:szCs w:val="18"/>
        </w:rPr>
        <w:t>3.4.3, p.</w:t>
      </w:r>
      <w:r w:rsidR="0005713E" w:rsidRPr="00CE0BE9">
        <w:rPr>
          <w:rFonts w:ascii="Arial Narrow" w:hAnsi="Arial Narrow"/>
          <w:sz w:val="18"/>
          <w:szCs w:val="18"/>
        </w:rPr>
        <w:t>162-</w:t>
      </w:r>
      <w:r w:rsidRPr="00CE0BE9">
        <w:rPr>
          <w:rFonts w:ascii="Arial Narrow" w:hAnsi="Arial Narrow"/>
          <w:sz w:val="18"/>
          <w:szCs w:val="18"/>
        </w:rPr>
        <w:t>163 of the submission.</w:t>
      </w:r>
    </w:p>
    <w:p w:rsidR="00A51754" w:rsidRPr="00CE0BE9" w:rsidRDefault="00A51754" w:rsidP="00A51754">
      <w:pPr>
        <w:widowControl/>
      </w:pPr>
    </w:p>
    <w:p w:rsidR="00A51754" w:rsidRPr="00CE0BE9" w:rsidRDefault="00A51754" w:rsidP="00A51754">
      <w:pPr>
        <w:widowControl/>
      </w:pPr>
    </w:p>
    <w:p w:rsidR="00624F2D" w:rsidRPr="00D17A82" w:rsidRDefault="00624F2D" w:rsidP="006F0DFD">
      <w:pPr>
        <w:pStyle w:val="ListParagraph"/>
        <w:widowControl/>
        <w:numPr>
          <w:ilvl w:val="1"/>
          <w:numId w:val="2"/>
        </w:numPr>
      </w:pPr>
      <w:bookmarkStart w:id="20" w:name="_Hlk500952281"/>
      <w:r w:rsidRPr="00D17A82">
        <w:t xml:space="preserve">The ESC noted that when extrapolating to 25 years, 81% of the LY gain was from the </w:t>
      </w:r>
      <w:r w:rsidR="00F53557" w:rsidRPr="00D17A82">
        <w:t>extrapolation</w:t>
      </w:r>
      <w:r w:rsidRPr="00D17A82">
        <w:t xml:space="preserve"> period, and therefore that the incremental benefit of </w:t>
      </w:r>
      <w:proofErr w:type="spellStart"/>
      <w:r w:rsidRPr="00D17A82">
        <w:t>lenalidomide</w:t>
      </w:r>
      <w:proofErr w:type="spellEnd"/>
      <w:r w:rsidRPr="00D17A82">
        <w:t xml:space="preserve"> was dependent on both the time horizon and extrapolation method.</w:t>
      </w:r>
      <w:r w:rsidR="004B0C8E" w:rsidRPr="00D17A82">
        <w:t xml:space="preserve"> The submission </w:t>
      </w:r>
      <w:r w:rsidR="004B0C8E" w:rsidRPr="00D17A82">
        <w:lastRenderedPageBreak/>
        <w:t xml:space="preserve">argued that the “best statistical fit to the RPSFT crossover adjusted dataset (4 covariate analysis) are Weibull or log-logistic” and that Weibull was chosen on the basis of “better statistical fit, better visual fit” and “the only curve to give clinically plausible results”. The </w:t>
      </w:r>
      <w:r w:rsidR="00765BEA">
        <w:t xml:space="preserve">PBAC agreed with the </w:t>
      </w:r>
      <w:r w:rsidR="004B0C8E" w:rsidRPr="00D17A82">
        <w:t>ESC</w:t>
      </w:r>
      <w:r w:rsidR="00765BEA">
        <w:t>’s</w:t>
      </w:r>
      <w:r w:rsidR="004B0C8E" w:rsidRPr="00D17A82">
        <w:t xml:space="preserve"> question</w:t>
      </w:r>
      <w:r w:rsidR="00765BEA">
        <w:t>ing of</w:t>
      </w:r>
      <w:r w:rsidR="004B0C8E" w:rsidRPr="00D17A82">
        <w:t xml:space="preserve"> whether the Weibull could reasonably be considered clinically plausible given that the OS and PFS curves cross</w:t>
      </w:r>
      <w:r w:rsidR="00765BEA">
        <w:t>,</w:t>
      </w:r>
      <w:r w:rsidR="004B0C8E" w:rsidRPr="00D17A82">
        <w:t xml:space="preserve"> and noted that an additional multivariate sensitivity analysis showed that applying the log-logistic extrapolation function to OS with a 15 year time horizon increased the ICER/QALY to </w:t>
      </w:r>
      <w:r w:rsidR="00AB24B3">
        <w:t>$45,000 - $75,000</w:t>
      </w:r>
      <w:r w:rsidR="00F53557" w:rsidRPr="00D17A82">
        <w:t xml:space="preserve">, compared to </w:t>
      </w:r>
      <w:r w:rsidR="00AB24B3">
        <w:t>$15,000/QALY - $45,000/QALY</w:t>
      </w:r>
      <w:r w:rsidR="00F53557" w:rsidRPr="00D17A82">
        <w:t xml:space="preserve"> when applying the Weibull curve as used in the submission with a 15 year time horizon</w:t>
      </w:r>
      <w:r w:rsidR="004B0C8E" w:rsidRPr="00D17A82">
        <w:t>.</w:t>
      </w:r>
      <w:r w:rsidR="003B08DE">
        <w:t xml:space="preserve"> </w:t>
      </w:r>
    </w:p>
    <w:p w:rsidR="004B0C8E" w:rsidRPr="00247AF0" w:rsidRDefault="004B0C8E" w:rsidP="004B0C8E">
      <w:pPr>
        <w:keepNext/>
        <w:rPr>
          <w:rStyle w:val="CommentReference"/>
        </w:rPr>
      </w:pPr>
      <w:proofErr w:type="gramStart"/>
      <w:r w:rsidRPr="00247AF0">
        <w:rPr>
          <w:rStyle w:val="CommentReference"/>
        </w:rPr>
        <w:t xml:space="preserve">Table </w:t>
      </w:r>
      <w:r w:rsidR="00247AF0" w:rsidRPr="00247AF0">
        <w:rPr>
          <w:rStyle w:val="CommentReference"/>
        </w:rPr>
        <w:t>26.</w:t>
      </w:r>
      <w:proofErr w:type="gramEnd"/>
      <w:r w:rsidRPr="00247AF0">
        <w:rPr>
          <w:rStyle w:val="CommentReference"/>
        </w:rPr>
        <w:t xml:space="preserve"> Sensitivity analysis of extrapolation functions applied to OS for 15 year time horizon</w:t>
      </w:r>
    </w:p>
    <w:tbl>
      <w:tblPr>
        <w:tblW w:w="0" w:type="auto"/>
        <w:tblCellMar>
          <w:left w:w="0" w:type="dxa"/>
          <w:right w:w="0" w:type="dxa"/>
        </w:tblCellMar>
        <w:tblLook w:val="04A0" w:firstRow="1" w:lastRow="0" w:firstColumn="1" w:lastColumn="0" w:noHBand="0" w:noVBand="1"/>
      </w:tblPr>
      <w:tblGrid>
        <w:gridCol w:w="3510"/>
        <w:gridCol w:w="1560"/>
        <w:gridCol w:w="1701"/>
        <w:gridCol w:w="1134"/>
      </w:tblGrid>
      <w:tr w:rsidR="004B0C8E" w:rsidTr="004B0C8E">
        <w:trPr>
          <w:trHeight w:val="300"/>
        </w:trPr>
        <w:tc>
          <w:tcPr>
            <w:tcW w:w="35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4B0C8E" w:rsidRPr="004B0C8E" w:rsidRDefault="004B0C8E" w:rsidP="004B0C8E">
            <w:pPr>
              <w:pStyle w:val="Tabletext"/>
              <w:tabs>
                <w:tab w:val="left" w:pos="142"/>
              </w:tabs>
            </w:pPr>
            <w:proofErr w:type="spellStart"/>
            <w:r>
              <w:t>Lenalidomide</w:t>
            </w:r>
            <w:proofErr w:type="spellEnd"/>
            <w:r>
              <w:t xml:space="preserve"> vs. BSC (15 year time horizon)</w:t>
            </w:r>
          </w:p>
        </w:tc>
        <w:tc>
          <w:tcPr>
            <w:tcW w:w="15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B0C8E" w:rsidRPr="004B0C8E" w:rsidRDefault="004B0C8E" w:rsidP="004B0C8E">
            <w:pPr>
              <w:pStyle w:val="Tabletext"/>
              <w:tabs>
                <w:tab w:val="left" w:pos="142"/>
              </w:tabs>
            </w:pPr>
            <w:r w:rsidRPr="004B0C8E">
              <w:t>Incremental cost</w:t>
            </w:r>
          </w:p>
        </w:tc>
        <w:tc>
          <w:tcPr>
            <w:tcW w:w="170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B0C8E" w:rsidRPr="004B0C8E" w:rsidRDefault="004B0C8E" w:rsidP="004B0C8E">
            <w:pPr>
              <w:pStyle w:val="Tabletext"/>
              <w:tabs>
                <w:tab w:val="left" w:pos="142"/>
              </w:tabs>
            </w:pPr>
            <w:r w:rsidRPr="004B0C8E">
              <w:t>Incremental QALY</w:t>
            </w:r>
          </w:p>
        </w:tc>
        <w:tc>
          <w:tcPr>
            <w:tcW w:w="11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B0C8E" w:rsidRPr="004B0C8E" w:rsidRDefault="004B0C8E" w:rsidP="004B0C8E">
            <w:pPr>
              <w:pStyle w:val="Tabletext"/>
              <w:tabs>
                <w:tab w:val="left" w:pos="142"/>
              </w:tabs>
            </w:pPr>
            <w:r w:rsidRPr="004B0C8E">
              <w:t>ICER</w:t>
            </w:r>
          </w:p>
        </w:tc>
      </w:tr>
      <w:tr w:rsidR="004B0C8E" w:rsidTr="004B0C8E">
        <w:trPr>
          <w:trHeight w:val="300"/>
        </w:trPr>
        <w:tc>
          <w:tcPr>
            <w:tcW w:w="351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B0C8E" w:rsidRPr="004B0C8E" w:rsidRDefault="004B0C8E" w:rsidP="004B0C8E">
            <w:pPr>
              <w:pStyle w:val="Tabletext"/>
              <w:tabs>
                <w:tab w:val="left" w:pos="142"/>
              </w:tabs>
            </w:pPr>
            <w:r>
              <w:t>One-way sensitivity analysis</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tcPr>
          <w:p w:rsidR="004B0C8E" w:rsidRPr="004B0C8E" w:rsidRDefault="004B0C8E" w:rsidP="004B0C8E">
            <w:pPr>
              <w:pStyle w:val="Tabletext"/>
              <w:tabs>
                <w:tab w:val="left" w:pos="142"/>
              </w:tabs>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rsidR="004B0C8E" w:rsidRPr="004B0C8E" w:rsidRDefault="004B0C8E" w:rsidP="004B0C8E">
            <w:pPr>
              <w:pStyle w:val="Tabletext"/>
              <w:tabs>
                <w:tab w:val="left" w:pos="142"/>
              </w:tabs>
            </w:pPr>
          </w:p>
        </w:tc>
        <w:tc>
          <w:tcPr>
            <w:tcW w:w="1134" w:type="dxa"/>
            <w:tcBorders>
              <w:top w:val="nil"/>
              <w:left w:val="nil"/>
              <w:bottom w:val="single" w:sz="8" w:space="0" w:color="auto"/>
              <w:right w:val="single" w:sz="8" w:space="0" w:color="auto"/>
            </w:tcBorders>
            <w:noWrap/>
            <w:tcMar>
              <w:top w:w="0" w:type="dxa"/>
              <w:left w:w="108" w:type="dxa"/>
              <w:bottom w:w="0" w:type="dxa"/>
              <w:right w:w="108" w:type="dxa"/>
            </w:tcMar>
          </w:tcPr>
          <w:p w:rsidR="004B0C8E" w:rsidRPr="004B0C8E" w:rsidRDefault="004B0C8E" w:rsidP="004B0C8E">
            <w:pPr>
              <w:pStyle w:val="Tabletext"/>
              <w:tabs>
                <w:tab w:val="left" w:pos="142"/>
              </w:tabs>
            </w:pPr>
          </w:p>
        </w:tc>
      </w:tr>
      <w:tr w:rsidR="004B0C8E" w:rsidTr="004B0C8E">
        <w:trPr>
          <w:trHeight w:val="300"/>
        </w:trPr>
        <w:tc>
          <w:tcPr>
            <w:tcW w:w="351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B0C8E" w:rsidRPr="004B0C8E" w:rsidRDefault="004B0C8E" w:rsidP="004B0C8E">
            <w:pPr>
              <w:pStyle w:val="Tabletext"/>
              <w:tabs>
                <w:tab w:val="left" w:pos="142"/>
              </w:tabs>
            </w:pPr>
            <w:r>
              <w:t>OS – Weibull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rsidR="004B0C8E" w:rsidRPr="004B0C8E" w:rsidRDefault="004B0C8E" w:rsidP="004B0C8E">
            <w:pPr>
              <w:pStyle w:val="Tabletext"/>
              <w:tabs>
                <w:tab w:val="left" w:pos="142"/>
              </w:tabs>
            </w:pPr>
            <w:r>
              <w:t>$</w:t>
            </w:r>
            <w:r w:rsidR="003F06F0">
              <w:rPr>
                <w:noProof/>
                <w:color w:val="000000"/>
                <w:highlight w:val="black"/>
              </w:rPr>
              <w:t>''''''''''''''''''</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4B0C8E" w:rsidRPr="004B0C8E" w:rsidRDefault="004B0C8E" w:rsidP="004B0C8E">
            <w:pPr>
              <w:pStyle w:val="Tabletext"/>
              <w:tabs>
                <w:tab w:val="left" w:pos="142"/>
              </w:tabs>
            </w:pPr>
            <w:r>
              <w:t>1.85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4B0C8E" w:rsidRPr="004B0C8E" w:rsidRDefault="004B0C8E" w:rsidP="004B0C8E">
            <w:pPr>
              <w:pStyle w:val="Tabletext"/>
              <w:tabs>
                <w:tab w:val="left" w:pos="142"/>
              </w:tabs>
            </w:pPr>
            <w:r>
              <w:t>$</w:t>
            </w:r>
            <w:r w:rsidR="003F06F0">
              <w:rPr>
                <w:noProof/>
                <w:color w:val="000000"/>
                <w:highlight w:val="black"/>
              </w:rPr>
              <w:t>'''''''''''''''</w:t>
            </w:r>
          </w:p>
        </w:tc>
      </w:tr>
      <w:tr w:rsidR="004B0C8E" w:rsidTr="004B0C8E">
        <w:trPr>
          <w:trHeight w:val="300"/>
        </w:trPr>
        <w:tc>
          <w:tcPr>
            <w:tcW w:w="351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B0C8E" w:rsidRPr="004B0C8E" w:rsidRDefault="004B0C8E" w:rsidP="004B0C8E">
            <w:pPr>
              <w:pStyle w:val="Tabletext"/>
              <w:tabs>
                <w:tab w:val="left" w:pos="142"/>
              </w:tabs>
            </w:pPr>
            <w:r>
              <w:t>Multivariate sensitivity analysis</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tcPr>
          <w:p w:rsidR="004B0C8E" w:rsidRPr="004B0C8E" w:rsidRDefault="004B0C8E" w:rsidP="004B0C8E">
            <w:pPr>
              <w:pStyle w:val="Tabletext"/>
              <w:tabs>
                <w:tab w:val="left" w:pos="142"/>
              </w:tabs>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rsidR="004B0C8E" w:rsidRPr="004B0C8E" w:rsidRDefault="004B0C8E" w:rsidP="004B0C8E">
            <w:pPr>
              <w:pStyle w:val="Tabletext"/>
              <w:tabs>
                <w:tab w:val="left" w:pos="142"/>
              </w:tabs>
            </w:pPr>
          </w:p>
        </w:tc>
        <w:tc>
          <w:tcPr>
            <w:tcW w:w="1134" w:type="dxa"/>
            <w:tcBorders>
              <w:top w:val="nil"/>
              <w:left w:val="nil"/>
              <w:bottom w:val="single" w:sz="8" w:space="0" w:color="auto"/>
              <w:right w:val="single" w:sz="8" w:space="0" w:color="auto"/>
            </w:tcBorders>
            <w:noWrap/>
            <w:tcMar>
              <w:top w:w="0" w:type="dxa"/>
              <w:left w:w="108" w:type="dxa"/>
              <w:bottom w:w="0" w:type="dxa"/>
              <w:right w:w="108" w:type="dxa"/>
            </w:tcMar>
          </w:tcPr>
          <w:p w:rsidR="004B0C8E" w:rsidRPr="004B0C8E" w:rsidRDefault="004B0C8E" w:rsidP="004B0C8E">
            <w:pPr>
              <w:pStyle w:val="Tabletext"/>
              <w:tabs>
                <w:tab w:val="left" w:pos="142"/>
              </w:tabs>
            </w:pPr>
          </w:p>
        </w:tc>
      </w:tr>
      <w:tr w:rsidR="004B0C8E" w:rsidTr="004B0C8E">
        <w:trPr>
          <w:trHeight w:val="300"/>
        </w:trPr>
        <w:tc>
          <w:tcPr>
            <w:tcW w:w="351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B0C8E" w:rsidRPr="004B0C8E" w:rsidRDefault="004B0C8E" w:rsidP="004B0C8E">
            <w:pPr>
              <w:pStyle w:val="Tabletext"/>
              <w:tabs>
                <w:tab w:val="left" w:pos="142"/>
              </w:tabs>
            </w:pPr>
            <w:r>
              <w:t>OS - exponential</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rsidR="004B0C8E" w:rsidRPr="004B0C8E" w:rsidRDefault="004B0C8E" w:rsidP="004B0C8E">
            <w:pPr>
              <w:pStyle w:val="Tabletext"/>
              <w:tabs>
                <w:tab w:val="left" w:pos="142"/>
              </w:tabs>
            </w:pPr>
            <w:r>
              <w:t>$</w:t>
            </w:r>
            <w:r w:rsidR="003F06F0">
              <w:rPr>
                <w:noProof/>
                <w:color w:val="000000"/>
                <w:highlight w:val="black"/>
              </w:rPr>
              <w:t>'''''''''''''''''</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4B0C8E" w:rsidRPr="004B0C8E" w:rsidRDefault="004B0C8E" w:rsidP="004B0C8E">
            <w:pPr>
              <w:pStyle w:val="Tabletext"/>
              <w:tabs>
                <w:tab w:val="left" w:pos="142"/>
              </w:tabs>
            </w:pPr>
            <w:r>
              <w:t>1.70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4B0C8E" w:rsidRPr="004B0C8E" w:rsidRDefault="004B0C8E" w:rsidP="004B0C8E">
            <w:pPr>
              <w:pStyle w:val="Tabletext"/>
              <w:tabs>
                <w:tab w:val="left" w:pos="142"/>
              </w:tabs>
            </w:pPr>
            <w:r>
              <w:t>$</w:t>
            </w:r>
            <w:r w:rsidR="003F06F0">
              <w:rPr>
                <w:noProof/>
                <w:color w:val="000000"/>
                <w:highlight w:val="black"/>
              </w:rPr>
              <w:t>''''''''''''''''''</w:t>
            </w:r>
          </w:p>
        </w:tc>
      </w:tr>
      <w:tr w:rsidR="004B0C8E" w:rsidTr="004B0C8E">
        <w:trPr>
          <w:trHeight w:val="300"/>
        </w:trPr>
        <w:tc>
          <w:tcPr>
            <w:tcW w:w="351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B0C8E" w:rsidRPr="004B0C8E" w:rsidRDefault="004B0C8E" w:rsidP="004B0C8E">
            <w:pPr>
              <w:pStyle w:val="Tabletext"/>
              <w:tabs>
                <w:tab w:val="left" w:pos="142"/>
              </w:tabs>
            </w:pPr>
            <w:r>
              <w:t xml:space="preserve">OS - </w:t>
            </w:r>
            <w:proofErr w:type="spellStart"/>
            <w:r>
              <w:t>Gompertz</w:t>
            </w:r>
            <w:proofErr w:type="spellEnd"/>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rsidR="004B0C8E" w:rsidRPr="004B0C8E" w:rsidRDefault="004B0C8E" w:rsidP="004B0C8E">
            <w:pPr>
              <w:pStyle w:val="Tabletext"/>
              <w:tabs>
                <w:tab w:val="left" w:pos="142"/>
              </w:tabs>
            </w:pPr>
            <w:r>
              <w:t>$</w:t>
            </w:r>
            <w:r w:rsidR="003F06F0">
              <w:rPr>
                <w:noProof/>
                <w:color w:val="000000"/>
                <w:highlight w:val="black"/>
              </w:rPr>
              <w:t>'''''''''''''''</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4B0C8E" w:rsidRPr="004B0C8E" w:rsidRDefault="004B0C8E" w:rsidP="004B0C8E">
            <w:pPr>
              <w:pStyle w:val="Tabletext"/>
              <w:tabs>
                <w:tab w:val="left" w:pos="142"/>
              </w:tabs>
            </w:pPr>
            <w:r>
              <w:t>1.95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4B0C8E" w:rsidRPr="004B0C8E" w:rsidRDefault="004B0C8E" w:rsidP="004B0C8E">
            <w:pPr>
              <w:pStyle w:val="Tabletext"/>
              <w:tabs>
                <w:tab w:val="left" w:pos="142"/>
              </w:tabs>
            </w:pPr>
            <w:r>
              <w:t>$</w:t>
            </w:r>
            <w:r w:rsidR="003F06F0">
              <w:rPr>
                <w:noProof/>
                <w:color w:val="000000"/>
                <w:highlight w:val="black"/>
              </w:rPr>
              <w:t>''''''''''''''''</w:t>
            </w:r>
          </w:p>
        </w:tc>
      </w:tr>
      <w:tr w:rsidR="004B0C8E" w:rsidTr="004B0C8E">
        <w:trPr>
          <w:trHeight w:val="300"/>
        </w:trPr>
        <w:tc>
          <w:tcPr>
            <w:tcW w:w="351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B0C8E" w:rsidRPr="004B0C8E" w:rsidRDefault="004B0C8E" w:rsidP="004B0C8E">
            <w:pPr>
              <w:pStyle w:val="Tabletext"/>
              <w:tabs>
                <w:tab w:val="left" w:pos="142"/>
              </w:tabs>
            </w:pPr>
            <w:r>
              <w:t>OS - log normal</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rsidR="004B0C8E" w:rsidRPr="004B0C8E" w:rsidRDefault="004B0C8E" w:rsidP="004B0C8E">
            <w:pPr>
              <w:pStyle w:val="Tabletext"/>
              <w:tabs>
                <w:tab w:val="left" w:pos="142"/>
              </w:tabs>
            </w:pPr>
            <w:r>
              <w:t>$</w:t>
            </w:r>
            <w:r w:rsidR="003F06F0">
              <w:rPr>
                <w:noProof/>
                <w:color w:val="000000"/>
                <w:highlight w:val="black"/>
              </w:rPr>
              <w:t>'''''''''''''''</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4B0C8E" w:rsidRPr="004B0C8E" w:rsidRDefault="004B0C8E" w:rsidP="004B0C8E">
            <w:pPr>
              <w:pStyle w:val="Tabletext"/>
              <w:tabs>
                <w:tab w:val="left" w:pos="142"/>
              </w:tabs>
            </w:pPr>
            <w:r>
              <w:t>1.70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4B0C8E" w:rsidRPr="004B0C8E" w:rsidRDefault="004B0C8E" w:rsidP="004B0C8E">
            <w:pPr>
              <w:pStyle w:val="Tabletext"/>
              <w:tabs>
                <w:tab w:val="left" w:pos="142"/>
              </w:tabs>
            </w:pPr>
            <w:r>
              <w:t>$</w:t>
            </w:r>
            <w:r w:rsidR="003F06F0">
              <w:rPr>
                <w:noProof/>
                <w:color w:val="000000"/>
                <w:highlight w:val="black"/>
              </w:rPr>
              <w:t>'''''''''''''''</w:t>
            </w:r>
          </w:p>
        </w:tc>
      </w:tr>
      <w:tr w:rsidR="004B0C8E" w:rsidTr="004B0C8E">
        <w:trPr>
          <w:trHeight w:val="300"/>
        </w:trPr>
        <w:tc>
          <w:tcPr>
            <w:tcW w:w="351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B0C8E" w:rsidRPr="004B0C8E" w:rsidRDefault="004B0C8E" w:rsidP="004B0C8E">
            <w:pPr>
              <w:pStyle w:val="Tabletext"/>
              <w:tabs>
                <w:tab w:val="left" w:pos="142"/>
              </w:tabs>
            </w:pPr>
            <w:r>
              <w:t>OS - generalised gamma</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rsidR="004B0C8E" w:rsidRPr="004B0C8E" w:rsidRDefault="004B0C8E" w:rsidP="004B0C8E">
            <w:pPr>
              <w:pStyle w:val="Tabletext"/>
              <w:tabs>
                <w:tab w:val="left" w:pos="142"/>
              </w:tabs>
            </w:pPr>
            <w:r>
              <w:t>$</w:t>
            </w:r>
            <w:r w:rsidR="003F06F0">
              <w:rPr>
                <w:noProof/>
                <w:color w:val="000000"/>
                <w:highlight w:val="black"/>
              </w:rPr>
              <w:t>''''''''''''''''</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4B0C8E" w:rsidRPr="004B0C8E" w:rsidRDefault="004B0C8E" w:rsidP="004B0C8E">
            <w:pPr>
              <w:pStyle w:val="Tabletext"/>
              <w:tabs>
                <w:tab w:val="left" w:pos="142"/>
              </w:tabs>
            </w:pPr>
            <w:r>
              <w:t>1.93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4B0C8E" w:rsidRPr="004B0C8E" w:rsidRDefault="004B0C8E" w:rsidP="004B0C8E">
            <w:pPr>
              <w:pStyle w:val="Tabletext"/>
              <w:tabs>
                <w:tab w:val="left" w:pos="142"/>
              </w:tabs>
            </w:pPr>
            <w:r>
              <w:t>$</w:t>
            </w:r>
            <w:r w:rsidR="003F06F0">
              <w:rPr>
                <w:noProof/>
                <w:color w:val="000000"/>
                <w:highlight w:val="black"/>
              </w:rPr>
              <w:t>'''''''''''''''''</w:t>
            </w:r>
          </w:p>
        </w:tc>
      </w:tr>
      <w:tr w:rsidR="004B0C8E" w:rsidTr="004B0C8E">
        <w:trPr>
          <w:trHeight w:val="300"/>
        </w:trPr>
        <w:tc>
          <w:tcPr>
            <w:tcW w:w="351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B0C8E" w:rsidRPr="004B0C8E" w:rsidRDefault="004B0C8E" w:rsidP="004B0C8E">
            <w:pPr>
              <w:pStyle w:val="Tabletext"/>
              <w:tabs>
                <w:tab w:val="left" w:pos="142"/>
              </w:tabs>
            </w:pPr>
            <w:r>
              <w:t>OS - log logistic</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rsidR="004B0C8E" w:rsidRPr="004B0C8E" w:rsidRDefault="004B0C8E" w:rsidP="004B0C8E">
            <w:pPr>
              <w:pStyle w:val="Tabletext"/>
              <w:tabs>
                <w:tab w:val="left" w:pos="142"/>
              </w:tabs>
            </w:pPr>
            <w:r>
              <w:t>$</w:t>
            </w:r>
            <w:r w:rsidR="003F06F0">
              <w:rPr>
                <w:noProof/>
                <w:color w:val="000000"/>
                <w:highlight w:val="black"/>
              </w:rPr>
              <w:t>'''''''''''''''</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4B0C8E" w:rsidRPr="004B0C8E" w:rsidRDefault="004B0C8E" w:rsidP="004B0C8E">
            <w:pPr>
              <w:pStyle w:val="Tabletext"/>
              <w:tabs>
                <w:tab w:val="left" w:pos="142"/>
              </w:tabs>
            </w:pPr>
            <w:r>
              <w:t>1.66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4B0C8E" w:rsidRPr="004B0C8E" w:rsidRDefault="004B0C8E" w:rsidP="004B0C8E">
            <w:pPr>
              <w:pStyle w:val="Tabletext"/>
              <w:tabs>
                <w:tab w:val="left" w:pos="142"/>
              </w:tabs>
            </w:pPr>
            <w:r>
              <w:t>$</w:t>
            </w:r>
            <w:r w:rsidR="003F06F0">
              <w:rPr>
                <w:noProof/>
                <w:color w:val="000000"/>
                <w:highlight w:val="black"/>
              </w:rPr>
              <w:t>''''''''''''''''</w:t>
            </w:r>
          </w:p>
        </w:tc>
      </w:tr>
    </w:tbl>
    <w:p w:rsidR="004B0C8E" w:rsidRPr="00624F2D" w:rsidRDefault="004B0C8E" w:rsidP="004B0C8E">
      <w:pPr>
        <w:pStyle w:val="ListParagraph"/>
        <w:widowControl/>
        <w:rPr>
          <w:i/>
        </w:rPr>
      </w:pPr>
    </w:p>
    <w:p w:rsidR="00A51754" w:rsidRPr="00D17A82" w:rsidRDefault="00A51754" w:rsidP="006F0DFD">
      <w:pPr>
        <w:pStyle w:val="ListParagraph"/>
        <w:widowControl/>
        <w:numPr>
          <w:ilvl w:val="1"/>
          <w:numId w:val="2"/>
        </w:numPr>
      </w:pPr>
      <w:r w:rsidRPr="00D17A82">
        <w:t xml:space="preserve">The </w:t>
      </w:r>
      <w:r w:rsidR="00AC6192" w:rsidRPr="00D17A82">
        <w:t xml:space="preserve">ESC noted that </w:t>
      </w:r>
      <w:r w:rsidRPr="00D17A82">
        <w:t xml:space="preserve">the economic analysis comparing </w:t>
      </w:r>
      <w:proofErr w:type="spellStart"/>
      <w:r w:rsidRPr="00D17A82">
        <w:t>lenalidomide</w:t>
      </w:r>
      <w:proofErr w:type="spellEnd"/>
      <w:r w:rsidRPr="00D17A82">
        <w:t xml:space="preserve"> with thalidomide </w:t>
      </w:r>
      <w:r w:rsidR="00AC6192" w:rsidRPr="00D17A82">
        <w:t>indicated</w:t>
      </w:r>
      <w:r w:rsidRPr="00D17A82">
        <w:t xml:space="preserve"> that the model was most sensitive to variations in </w:t>
      </w:r>
      <w:r w:rsidR="005C518C" w:rsidRPr="00D17A82">
        <w:t xml:space="preserve">the HR for OS and PFS for </w:t>
      </w:r>
      <w:proofErr w:type="spellStart"/>
      <w:r w:rsidR="005C518C" w:rsidRPr="00D17A82">
        <w:t>lenalidomide</w:t>
      </w:r>
      <w:proofErr w:type="spellEnd"/>
      <w:r w:rsidR="005C518C" w:rsidRPr="00D17A82">
        <w:t xml:space="preserve"> compared to thalidomide</w:t>
      </w:r>
      <w:r w:rsidR="00AC6192" w:rsidRPr="00D17A82">
        <w:t xml:space="preserve"> and</w:t>
      </w:r>
      <w:r w:rsidR="005C518C" w:rsidRPr="00D17A82">
        <w:t xml:space="preserve"> </w:t>
      </w:r>
      <w:r w:rsidR="00C5006C" w:rsidRPr="00D17A82">
        <w:t xml:space="preserve">the </w:t>
      </w:r>
      <w:r w:rsidR="005C518C" w:rsidRPr="00D17A82">
        <w:t>time horizon</w:t>
      </w:r>
      <w:r w:rsidR="00AC6192" w:rsidRPr="00D17A82">
        <w:t xml:space="preserve"> (ICER/QALY </w:t>
      </w:r>
      <w:r w:rsidR="00AB24B3">
        <w:t>$45,000/QALY - $75,000/QALY</w:t>
      </w:r>
      <w:r w:rsidR="00AC6192" w:rsidRPr="00D17A82">
        <w:t xml:space="preserve"> for 15 year time horizon)</w:t>
      </w:r>
      <w:r w:rsidR="005C518C" w:rsidRPr="00D17A82">
        <w:t xml:space="preserve">, </w:t>
      </w:r>
      <w:r w:rsidR="00AC6192" w:rsidRPr="00D17A82">
        <w:t xml:space="preserve">and </w:t>
      </w:r>
      <w:r w:rsidR="00497E87" w:rsidRPr="00D17A82">
        <w:t>noted</w:t>
      </w:r>
      <w:r w:rsidR="00AC6192" w:rsidRPr="00D17A82">
        <w:t xml:space="preserve"> the issues raised with both of these factors.</w:t>
      </w:r>
      <w:r w:rsidR="003B08DE">
        <w:t xml:space="preserve"> </w:t>
      </w:r>
    </w:p>
    <w:p w:rsidR="00AC6192" w:rsidRPr="00D17A82" w:rsidRDefault="00497E87" w:rsidP="006F0DFD">
      <w:pPr>
        <w:pStyle w:val="ListParagraph"/>
        <w:widowControl/>
        <w:numPr>
          <w:ilvl w:val="1"/>
          <w:numId w:val="2"/>
        </w:numPr>
      </w:pPr>
      <w:r w:rsidRPr="00D17A82">
        <w:t xml:space="preserve">The ESC noted the cost-effectiveness ratios presented in the PSCR based on a modelled time horizon of 15 years and weighted based on the expected replacement of BSC and thalidomide. The ESC did not consider these results informative given the issues noted with the thalidomide model and derivation of the weights. </w:t>
      </w:r>
    </w:p>
    <w:p w:rsidR="009A7140" w:rsidRPr="00CE0BE9" w:rsidRDefault="009A7140">
      <w:pPr>
        <w:widowControl/>
        <w:jc w:val="left"/>
        <w:rPr>
          <w:rStyle w:val="CommentReference"/>
        </w:rPr>
      </w:pPr>
    </w:p>
    <w:p w:rsidR="00994C55" w:rsidRDefault="00994C55">
      <w:pPr>
        <w:widowControl/>
        <w:jc w:val="left"/>
        <w:rPr>
          <w:rStyle w:val="CommentReference"/>
        </w:rPr>
      </w:pPr>
      <w:r>
        <w:rPr>
          <w:rStyle w:val="CommentReference"/>
        </w:rPr>
        <w:br w:type="page"/>
      </w:r>
    </w:p>
    <w:p w:rsidR="00A51754" w:rsidRPr="00CE0BE9" w:rsidRDefault="00A51754" w:rsidP="00A51754">
      <w:pPr>
        <w:keepNext/>
        <w:rPr>
          <w:rStyle w:val="CommentReference"/>
        </w:rPr>
      </w:pPr>
      <w:r w:rsidRPr="00CE0BE9">
        <w:rPr>
          <w:rStyle w:val="CommentReference"/>
        </w:rPr>
        <w:lastRenderedPageBreak/>
        <w:t>Table 2</w:t>
      </w:r>
      <w:r w:rsidR="00247AF0">
        <w:rPr>
          <w:rStyle w:val="CommentReference"/>
        </w:rPr>
        <w:t>7</w:t>
      </w:r>
      <w:r w:rsidRPr="00CE0BE9">
        <w:rPr>
          <w:rStyle w:val="CommentReference"/>
        </w:rPr>
        <w:t xml:space="preserve">:  Results of sensitivity analyses – </w:t>
      </w:r>
      <w:proofErr w:type="spellStart"/>
      <w:r w:rsidRPr="00CE0BE9">
        <w:rPr>
          <w:rStyle w:val="CommentReference"/>
        </w:rPr>
        <w:t>lenalidomide</w:t>
      </w:r>
      <w:proofErr w:type="spellEnd"/>
      <w:r w:rsidRPr="00CE0BE9">
        <w:rPr>
          <w:rStyle w:val="CommentReference"/>
        </w:rPr>
        <w:t xml:space="preserve"> vs. thalidomide</w:t>
      </w: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559"/>
        <w:gridCol w:w="1701"/>
        <w:gridCol w:w="1115"/>
      </w:tblGrid>
      <w:tr w:rsidR="00A51754" w:rsidRPr="00CE0BE9" w:rsidTr="00E9333E">
        <w:trPr>
          <w:tblHeader/>
        </w:trPr>
        <w:tc>
          <w:tcPr>
            <w:tcW w:w="4928" w:type="dxa"/>
          </w:tcPr>
          <w:p w:rsidR="00A51754" w:rsidRPr="00CE0BE9" w:rsidRDefault="00A51754" w:rsidP="00E9333E">
            <w:pPr>
              <w:pStyle w:val="Tabletext"/>
              <w:keepNext/>
              <w:tabs>
                <w:tab w:val="left" w:pos="142"/>
              </w:tabs>
              <w:rPr>
                <w:b/>
              </w:rPr>
            </w:pPr>
            <w:r w:rsidRPr="00CE0BE9">
              <w:rPr>
                <w:b/>
              </w:rPr>
              <w:t>Analyses</w:t>
            </w:r>
          </w:p>
        </w:tc>
        <w:tc>
          <w:tcPr>
            <w:tcW w:w="1559" w:type="dxa"/>
          </w:tcPr>
          <w:p w:rsidR="00A51754" w:rsidRPr="00CE0BE9" w:rsidRDefault="00A51754" w:rsidP="00E9333E">
            <w:pPr>
              <w:pStyle w:val="Tabletext"/>
              <w:keepNext/>
              <w:jc w:val="center"/>
              <w:rPr>
                <w:b/>
              </w:rPr>
            </w:pPr>
            <w:r w:rsidRPr="00CE0BE9">
              <w:rPr>
                <w:b/>
              </w:rPr>
              <w:t>Incremental cost</w:t>
            </w:r>
          </w:p>
        </w:tc>
        <w:tc>
          <w:tcPr>
            <w:tcW w:w="1701" w:type="dxa"/>
          </w:tcPr>
          <w:p w:rsidR="00A51754" w:rsidRPr="00CE0BE9" w:rsidRDefault="00A51754" w:rsidP="00E9333E">
            <w:pPr>
              <w:pStyle w:val="Tabletext"/>
              <w:keepNext/>
              <w:jc w:val="center"/>
              <w:rPr>
                <w:b/>
              </w:rPr>
            </w:pPr>
            <w:r w:rsidRPr="00CE0BE9">
              <w:rPr>
                <w:b/>
              </w:rPr>
              <w:t>Incremental QALY</w:t>
            </w:r>
          </w:p>
        </w:tc>
        <w:tc>
          <w:tcPr>
            <w:tcW w:w="1115" w:type="dxa"/>
          </w:tcPr>
          <w:p w:rsidR="00A51754" w:rsidRPr="00CE0BE9" w:rsidRDefault="00A51754" w:rsidP="00E9333E">
            <w:pPr>
              <w:pStyle w:val="Tabletext"/>
              <w:keepNext/>
              <w:jc w:val="center"/>
              <w:rPr>
                <w:b/>
              </w:rPr>
            </w:pPr>
            <w:r w:rsidRPr="00CE0BE9">
              <w:rPr>
                <w:b/>
              </w:rPr>
              <w:t>ICER</w:t>
            </w:r>
          </w:p>
        </w:tc>
      </w:tr>
      <w:tr w:rsidR="00A51754" w:rsidRPr="00CE0BE9" w:rsidTr="00E9333E">
        <w:tc>
          <w:tcPr>
            <w:tcW w:w="4928" w:type="dxa"/>
          </w:tcPr>
          <w:p w:rsidR="00A51754" w:rsidRPr="00CE0BE9" w:rsidRDefault="00A51754" w:rsidP="00E9333E">
            <w:pPr>
              <w:pStyle w:val="Tabletext"/>
              <w:tabs>
                <w:tab w:val="left" w:pos="142"/>
              </w:tabs>
              <w:rPr>
                <w:b/>
              </w:rPr>
            </w:pPr>
            <w:r w:rsidRPr="00CE0BE9">
              <w:rPr>
                <w:b/>
              </w:rPr>
              <w:t>Base case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A51754" w:rsidRPr="00CE0BE9" w:rsidRDefault="00A51754" w:rsidP="00E9333E">
            <w:pPr>
              <w:pStyle w:val="Tabletext"/>
              <w:jc w:val="center"/>
            </w:pPr>
            <w:r w:rsidRPr="00CE0BE9">
              <w:t>$</w:t>
            </w:r>
            <w:r w:rsidR="003F06F0">
              <w:rPr>
                <w:noProof/>
                <w:color w:val="000000"/>
                <w:highlight w:val="black"/>
              </w:rPr>
              <w:t>''''''''''''''''''''</w:t>
            </w:r>
          </w:p>
        </w:tc>
        <w:tc>
          <w:tcPr>
            <w:tcW w:w="1701" w:type="dxa"/>
            <w:tcBorders>
              <w:top w:val="single" w:sz="4" w:space="0" w:color="auto"/>
              <w:left w:val="nil"/>
              <w:bottom w:val="single" w:sz="4" w:space="0" w:color="auto"/>
              <w:right w:val="single" w:sz="4" w:space="0" w:color="auto"/>
            </w:tcBorders>
            <w:shd w:val="clear" w:color="auto" w:fill="auto"/>
            <w:vAlign w:val="bottom"/>
          </w:tcPr>
          <w:p w:rsidR="00A51754" w:rsidRPr="00CE0BE9" w:rsidRDefault="00A51754" w:rsidP="00E9333E">
            <w:pPr>
              <w:pStyle w:val="Tabletext"/>
              <w:jc w:val="center"/>
            </w:pPr>
            <w:r w:rsidRPr="00CE0BE9">
              <w:t>2.39</w:t>
            </w:r>
          </w:p>
        </w:tc>
        <w:tc>
          <w:tcPr>
            <w:tcW w:w="1115" w:type="dxa"/>
            <w:tcBorders>
              <w:top w:val="single" w:sz="4" w:space="0" w:color="auto"/>
              <w:left w:val="nil"/>
              <w:bottom w:val="single" w:sz="4" w:space="0" w:color="auto"/>
              <w:right w:val="single" w:sz="4" w:space="0" w:color="auto"/>
            </w:tcBorders>
            <w:shd w:val="clear" w:color="auto" w:fill="auto"/>
            <w:vAlign w:val="bottom"/>
          </w:tcPr>
          <w:p w:rsidR="00A51754" w:rsidRPr="00CE0BE9" w:rsidRDefault="00A51754" w:rsidP="00E9333E">
            <w:pPr>
              <w:pStyle w:val="Tabletext"/>
              <w:jc w:val="center"/>
            </w:pPr>
            <w:r w:rsidRPr="00CE0BE9">
              <w:t>$</w:t>
            </w:r>
            <w:r w:rsidR="003F06F0">
              <w:rPr>
                <w:noProof/>
                <w:color w:val="000000"/>
                <w:highlight w:val="black"/>
              </w:rPr>
              <w:t>''''''''''''''''</w:t>
            </w:r>
          </w:p>
        </w:tc>
      </w:tr>
      <w:tr w:rsidR="00A51754" w:rsidRPr="00CE0BE9" w:rsidTr="00E9333E">
        <w:tc>
          <w:tcPr>
            <w:tcW w:w="4928" w:type="dxa"/>
          </w:tcPr>
          <w:p w:rsidR="00A51754" w:rsidRPr="00CE0BE9" w:rsidRDefault="00A51754" w:rsidP="00E9333E">
            <w:pPr>
              <w:pStyle w:val="Tabletext"/>
              <w:tabs>
                <w:tab w:val="left" w:pos="142"/>
              </w:tabs>
            </w:pPr>
            <w:r w:rsidRPr="00CE0BE9">
              <w:t>Discount rate (base case 5% costs and outcomes)</w:t>
            </w:r>
          </w:p>
          <w:p w:rsidR="00A51754" w:rsidRPr="00CE0BE9" w:rsidRDefault="00A51754" w:rsidP="00E9333E">
            <w:pPr>
              <w:pStyle w:val="Tabletext"/>
              <w:tabs>
                <w:tab w:val="left" w:pos="142"/>
              </w:tabs>
            </w:pPr>
            <w:r w:rsidRPr="00CE0BE9">
              <w:tab/>
              <w:t>0% costs and outcomes</w:t>
            </w:r>
          </w:p>
          <w:p w:rsidR="00A51754" w:rsidRPr="00CE0BE9" w:rsidRDefault="00A51754" w:rsidP="00E9333E">
            <w:pPr>
              <w:pStyle w:val="Tabletext"/>
              <w:tabs>
                <w:tab w:val="left" w:pos="142"/>
              </w:tabs>
            </w:pPr>
            <w:r w:rsidRPr="00CE0BE9">
              <w:tab/>
              <w:t>3.5% costs and outcomes</w:t>
            </w:r>
          </w:p>
        </w:tc>
        <w:tc>
          <w:tcPr>
            <w:tcW w:w="1559" w:type="dxa"/>
          </w:tcPr>
          <w:p w:rsidR="00A51754" w:rsidRPr="00CE0BE9" w:rsidRDefault="00A51754" w:rsidP="00E9333E">
            <w:pPr>
              <w:pStyle w:val="Tabletext"/>
              <w:jc w:val="center"/>
            </w:pPr>
          </w:p>
          <w:p w:rsidR="00A51754" w:rsidRPr="00CE0BE9" w:rsidRDefault="00A51754" w:rsidP="00E9333E">
            <w:pPr>
              <w:pStyle w:val="Tabletext"/>
              <w:jc w:val="center"/>
            </w:pPr>
            <w:r w:rsidRPr="00CE0BE9">
              <w:t>$</w:t>
            </w:r>
            <w:r w:rsidR="003F06F0">
              <w:rPr>
                <w:noProof/>
                <w:color w:val="000000"/>
                <w:highlight w:val="black"/>
              </w:rPr>
              <w:t>''''''''''''''''''''</w:t>
            </w:r>
          </w:p>
          <w:p w:rsidR="00A51754" w:rsidRPr="00CE0BE9" w:rsidRDefault="00A51754" w:rsidP="00E9333E">
            <w:pPr>
              <w:pStyle w:val="Tabletext"/>
              <w:jc w:val="center"/>
            </w:pPr>
            <w:r w:rsidRPr="00CE0BE9">
              <w:t>$</w:t>
            </w:r>
            <w:r w:rsidR="003F06F0">
              <w:rPr>
                <w:noProof/>
                <w:color w:val="000000"/>
                <w:highlight w:val="black"/>
              </w:rPr>
              <w:t>''''''''''''''''''</w:t>
            </w:r>
          </w:p>
        </w:tc>
        <w:tc>
          <w:tcPr>
            <w:tcW w:w="1701" w:type="dxa"/>
          </w:tcPr>
          <w:p w:rsidR="00A51754" w:rsidRPr="00CE0BE9" w:rsidRDefault="00A51754" w:rsidP="00E9333E">
            <w:pPr>
              <w:pStyle w:val="Tabletext"/>
              <w:jc w:val="center"/>
            </w:pPr>
          </w:p>
          <w:p w:rsidR="00A51754" w:rsidRPr="00CE0BE9" w:rsidRDefault="00A51754" w:rsidP="00E9333E">
            <w:pPr>
              <w:pStyle w:val="Tabletext"/>
              <w:jc w:val="center"/>
            </w:pPr>
            <w:r w:rsidRPr="00CE0BE9">
              <w:t>4.10</w:t>
            </w:r>
          </w:p>
          <w:p w:rsidR="00A51754" w:rsidRPr="00CE0BE9" w:rsidRDefault="00A51754" w:rsidP="00E9333E">
            <w:pPr>
              <w:pStyle w:val="Tabletext"/>
              <w:jc w:val="center"/>
            </w:pPr>
            <w:r w:rsidRPr="00CE0BE9">
              <w:t>2.78</w:t>
            </w:r>
          </w:p>
        </w:tc>
        <w:tc>
          <w:tcPr>
            <w:tcW w:w="1115" w:type="dxa"/>
          </w:tcPr>
          <w:p w:rsidR="00A51754" w:rsidRPr="00CE0BE9" w:rsidRDefault="00A51754" w:rsidP="00E9333E">
            <w:pPr>
              <w:pStyle w:val="Tabletext"/>
              <w:jc w:val="center"/>
            </w:pPr>
          </w:p>
          <w:p w:rsidR="00A51754" w:rsidRPr="00CE0BE9" w:rsidRDefault="00A51754" w:rsidP="00E9333E">
            <w:pPr>
              <w:pStyle w:val="Tabletext"/>
              <w:jc w:val="center"/>
            </w:pPr>
            <w:r w:rsidRPr="00CE0BE9">
              <w:t>$</w:t>
            </w:r>
            <w:r w:rsidR="003F06F0">
              <w:rPr>
                <w:noProof/>
                <w:color w:val="000000"/>
                <w:highlight w:val="black"/>
              </w:rPr>
              <w:t>''''''''''''''''''</w:t>
            </w:r>
          </w:p>
          <w:p w:rsidR="00A51754" w:rsidRPr="00CE0BE9" w:rsidRDefault="00A51754" w:rsidP="00E9333E">
            <w:pPr>
              <w:pStyle w:val="Tabletext"/>
              <w:jc w:val="center"/>
            </w:pPr>
            <w:r w:rsidRPr="00CE0BE9">
              <w:t>$</w:t>
            </w:r>
            <w:r w:rsidR="003F06F0">
              <w:rPr>
                <w:noProof/>
                <w:color w:val="000000"/>
                <w:highlight w:val="black"/>
              </w:rPr>
              <w:t>'''''''''''''''''</w:t>
            </w:r>
          </w:p>
        </w:tc>
      </w:tr>
      <w:tr w:rsidR="00A51754" w:rsidRPr="00CE0BE9" w:rsidTr="00E9333E">
        <w:tc>
          <w:tcPr>
            <w:tcW w:w="4928" w:type="dxa"/>
          </w:tcPr>
          <w:p w:rsidR="00A51754" w:rsidRPr="00CE0BE9" w:rsidRDefault="00A51754" w:rsidP="00E9333E">
            <w:pPr>
              <w:pStyle w:val="Tabletext"/>
              <w:tabs>
                <w:tab w:val="left" w:pos="142"/>
              </w:tabs>
            </w:pPr>
            <w:r w:rsidRPr="00CE0BE9">
              <w:t>Time horizon (base case 25 years)</w:t>
            </w:r>
          </w:p>
          <w:p w:rsidR="00A51754" w:rsidRPr="00CE0BE9" w:rsidRDefault="00A51754" w:rsidP="00E9333E">
            <w:pPr>
              <w:pStyle w:val="Tabletext"/>
              <w:tabs>
                <w:tab w:val="left" w:pos="142"/>
              </w:tabs>
            </w:pPr>
            <w:r w:rsidRPr="00CE0BE9">
              <w:tab/>
              <w:t>6 years</w:t>
            </w:r>
          </w:p>
          <w:p w:rsidR="00A51754" w:rsidRPr="00CE0BE9" w:rsidRDefault="00A51754" w:rsidP="00E9333E">
            <w:pPr>
              <w:pStyle w:val="Tabletext"/>
              <w:tabs>
                <w:tab w:val="left" w:pos="142"/>
              </w:tabs>
            </w:pPr>
            <w:r w:rsidRPr="00CE0BE9">
              <w:tab/>
              <w:t>10 years</w:t>
            </w:r>
          </w:p>
          <w:p w:rsidR="00A51754" w:rsidRPr="00CE0BE9" w:rsidRDefault="00A51754" w:rsidP="00E9333E">
            <w:pPr>
              <w:pStyle w:val="Tabletext"/>
              <w:tabs>
                <w:tab w:val="left" w:pos="142"/>
              </w:tabs>
            </w:pPr>
            <w:r w:rsidRPr="00CE0BE9">
              <w:tab/>
              <w:t>15 years</w:t>
            </w:r>
          </w:p>
          <w:p w:rsidR="00A51754" w:rsidRPr="00CE0BE9" w:rsidRDefault="00A51754" w:rsidP="00E9333E">
            <w:pPr>
              <w:pStyle w:val="Tabletext"/>
              <w:tabs>
                <w:tab w:val="left" w:pos="142"/>
              </w:tabs>
            </w:pPr>
            <w:r w:rsidRPr="00CE0BE9">
              <w:tab/>
              <w:t>20 year</w:t>
            </w:r>
            <w:r w:rsidR="00DE2883" w:rsidRPr="00CE0BE9">
              <w:t>s</w:t>
            </w:r>
          </w:p>
        </w:tc>
        <w:tc>
          <w:tcPr>
            <w:tcW w:w="1559" w:type="dxa"/>
          </w:tcPr>
          <w:p w:rsidR="00A51754" w:rsidRPr="00CE0BE9" w:rsidRDefault="00A51754" w:rsidP="00E9333E">
            <w:pPr>
              <w:pStyle w:val="Tabletext"/>
              <w:jc w:val="center"/>
            </w:pPr>
          </w:p>
          <w:p w:rsidR="00A51754" w:rsidRPr="00CE0BE9" w:rsidRDefault="00A51754" w:rsidP="00E9333E">
            <w:pPr>
              <w:pStyle w:val="Tabletext"/>
              <w:jc w:val="center"/>
            </w:pPr>
            <w:r w:rsidRPr="00CE0BE9">
              <w:t>$</w:t>
            </w:r>
            <w:r w:rsidR="003F06F0">
              <w:rPr>
                <w:noProof/>
                <w:color w:val="000000"/>
                <w:highlight w:val="black"/>
              </w:rPr>
              <w:t>'''''''''''''''''''''</w:t>
            </w:r>
          </w:p>
          <w:p w:rsidR="00A51754" w:rsidRPr="00CE0BE9" w:rsidRDefault="00A51754" w:rsidP="00E9333E">
            <w:pPr>
              <w:pStyle w:val="Tabletext"/>
              <w:jc w:val="center"/>
            </w:pPr>
            <w:r w:rsidRPr="00CE0BE9">
              <w:t>$</w:t>
            </w:r>
            <w:r w:rsidR="003F06F0">
              <w:rPr>
                <w:noProof/>
                <w:color w:val="000000"/>
                <w:highlight w:val="black"/>
              </w:rPr>
              <w:t>''''''''''''''''''''</w:t>
            </w:r>
          </w:p>
          <w:p w:rsidR="00A51754" w:rsidRPr="00CE0BE9" w:rsidRDefault="00A51754" w:rsidP="00E9333E">
            <w:pPr>
              <w:pStyle w:val="Tabletext"/>
              <w:jc w:val="center"/>
            </w:pPr>
            <w:r w:rsidRPr="00CE0BE9">
              <w:t>$</w:t>
            </w:r>
            <w:r w:rsidR="003F06F0">
              <w:rPr>
                <w:noProof/>
                <w:color w:val="000000"/>
                <w:highlight w:val="black"/>
              </w:rPr>
              <w:t>''''''''''''''''''</w:t>
            </w:r>
          </w:p>
          <w:p w:rsidR="00A51754" w:rsidRPr="00CE0BE9" w:rsidRDefault="00A51754" w:rsidP="00DE2883">
            <w:pPr>
              <w:pStyle w:val="Tabletext"/>
              <w:jc w:val="center"/>
            </w:pPr>
            <w:r w:rsidRPr="00CE0BE9">
              <w:t>$</w:t>
            </w:r>
            <w:r w:rsidR="003F06F0">
              <w:rPr>
                <w:noProof/>
                <w:color w:val="000000"/>
                <w:highlight w:val="black"/>
              </w:rPr>
              <w:t>'''''''''''''''''</w:t>
            </w:r>
          </w:p>
        </w:tc>
        <w:tc>
          <w:tcPr>
            <w:tcW w:w="1701" w:type="dxa"/>
          </w:tcPr>
          <w:p w:rsidR="00A51754" w:rsidRPr="00CE0BE9" w:rsidRDefault="00A51754" w:rsidP="00E9333E">
            <w:pPr>
              <w:pStyle w:val="Tabletext"/>
              <w:jc w:val="center"/>
            </w:pPr>
          </w:p>
          <w:p w:rsidR="00A51754" w:rsidRPr="00CE0BE9" w:rsidRDefault="00A51754" w:rsidP="00E9333E">
            <w:pPr>
              <w:pStyle w:val="Tabletext"/>
              <w:jc w:val="center"/>
            </w:pPr>
            <w:r w:rsidRPr="00CE0BE9">
              <w:t>0.56</w:t>
            </w:r>
          </w:p>
          <w:p w:rsidR="00A51754" w:rsidRPr="00CE0BE9" w:rsidRDefault="00A51754" w:rsidP="00E9333E">
            <w:pPr>
              <w:pStyle w:val="Tabletext"/>
              <w:jc w:val="center"/>
            </w:pPr>
            <w:r w:rsidRPr="00CE0BE9">
              <w:t>1.20</w:t>
            </w:r>
          </w:p>
          <w:p w:rsidR="00A51754" w:rsidRPr="00CE0BE9" w:rsidRDefault="00A51754" w:rsidP="00E9333E">
            <w:pPr>
              <w:pStyle w:val="Tabletext"/>
              <w:jc w:val="center"/>
            </w:pPr>
            <w:r w:rsidRPr="00CE0BE9">
              <w:t>1.84</w:t>
            </w:r>
          </w:p>
          <w:p w:rsidR="00A51754" w:rsidRPr="00CE0BE9" w:rsidRDefault="00A51754" w:rsidP="00DE2883">
            <w:pPr>
              <w:pStyle w:val="Tabletext"/>
              <w:jc w:val="center"/>
            </w:pPr>
            <w:r w:rsidRPr="00CE0BE9">
              <w:t>2.21</w:t>
            </w:r>
          </w:p>
        </w:tc>
        <w:tc>
          <w:tcPr>
            <w:tcW w:w="1115" w:type="dxa"/>
          </w:tcPr>
          <w:p w:rsidR="00A51754" w:rsidRPr="00CE0BE9" w:rsidRDefault="00A51754" w:rsidP="00E9333E">
            <w:pPr>
              <w:pStyle w:val="Tabletext"/>
              <w:jc w:val="center"/>
            </w:pPr>
          </w:p>
          <w:p w:rsidR="00A51754" w:rsidRPr="00CE0BE9" w:rsidRDefault="00A51754" w:rsidP="00E9333E">
            <w:pPr>
              <w:pStyle w:val="Tabletext"/>
              <w:jc w:val="center"/>
            </w:pPr>
            <w:r w:rsidRPr="00CE0BE9">
              <w:t>$</w:t>
            </w:r>
            <w:r w:rsidR="003F06F0">
              <w:rPr>
                <w:noProof/>
                <w:color w:val="000000"/>
                <w:highlight w:val="black"/>
              </w:rPr>
              <w:t>''''''''''''''''''</w:t>
            </w:r>
          </w:p>
          <w:p w:rsidR="00A51754" w:rsidRPr="00CE0BE9" w:rsidRDefault="00A51754" w:rsidP="00E9333E">
            <w:pPr>
              <w:pStyle w:val="Tabletext"/>
              <w:jc w:val="center"/>
            </w:pPr>
            <w:r w:rsidRPr="00CE0BE9">
              <w:t>$</w:t>
            </w:r>
            <w:r w:rsidR="003F06F0">
              <w:rPr>
                <w:noProof/>
                <w:color w:val="000000"/>
                <w:highlight w:val="black"/>
              </w:rPr>
              <w:t>'''''''''''''''''</w:t>
            </w:r>
          </w:p>
          <w:p w:rsidR="00A51754" w:rsidRPr="00CE0BE9" w:rsidRDefault="00A51754" w:rsidP="00E9333E">
            <w:pPr>
              <w:pStyle w:val="Tabletext"/>
              <w:jc w:val="center"/>
            </w:pPr>
            <w:r w:rsidRPr="00CE0BE9">
              <w:t>$</w:t>
            </w:r>
            <w:r w:rsidR="003F06F0">
              <w:rPr>
                <w:noProof/>
                <w:color w:val="000000"/>
                <w:highlight w:val="black"/>
              </w:rPr>
              <w:t>''''''''''''''''</w:t>
            </w:r>
          </w:p>
          <w:p w:rsidR="00A51754" w:rsidRPr="00CE0BE9" w:rsidRDefault="00A51754" w:rsidP="00DE2883">
            <w:pPr>
              <w:pStyle w:val="Tabletext"/>
              <w:jc w:val="center"/>
            </w:pPr>
            <w:r w:rsidRPr="00CE0BE9">
              <w:t>$</w:t>
            </w:r>
            <w:r w:rsidR="003F06F0">
              <w:rPr>
                <w:noProof/>
                <w:color w:val="000000"/>
                <w:highlight w:val="black"/>
              </w:rPr>
              <w:t>'''''''''''''''</w:t>
            </w:r>
          </w:p>
        </w:tc>
      </w:tr>
      <w:tr w:rsidR="00A51754" w:rsidRPr="00CE0BE9" w:rsidTr="00E9333E">
        <w:tc>
          <w:tcPr>
            <w:tcW w:w="4928" w:type="dxa"/>
          </w:tcPr>
          <w:p w:rsidR="00A51754" w:rsidRPr="00CE0BE9" w:rsidRDefault="00A51754" w:rsidP="00E9333E">
            <w:pPr>
              <w:pStyle w:val="Tabletext"/>
              <w:tabs>
                <w:tab w:val="left" w:pos="142"/>
              </w:tabs>
            </w:pPr>
            <w:r w:rsidRPr="00CE0BE9">
              <w:t>PFS extrapolation (base case Generalised Gamma)</w:t>
            </w:r>
          </w:p>
          <w:p w:rsidR="00A51754" w:rsidRPr="00CE0BE9" w:rsidRDefault="00A51754" w:rsidP="00E9333E">
            <w:pPr>
              <w:pStyle w:val="Tabletext"/>
              <w:tabs>
                <w:tab w:val="left" w:pos="142"/>
              </w:tabs>
            </w:pPr>
            <w:r w:rsidRPr="00CE0BE9">
              <w:tab/>
              <w:t>Log-Logistic extrapolation</w:t>
            </w:r>
          </w:p>
          <w:p w:rsidR="00A51754" w:rsidRPr="00CE0BE9" w:rsidRDefault="00A51754" w:rsidP="00E9333E">
            <w:pPr>
              <w:pStyle w:val="Tabletext"/>
              <w:tabs>
                <w:tab w:val="left" w:pos="142"/>
              </w:tabs>
            </w:pPr>
            <w:r w:rsidRPr="00CE0BE9">
              <w:tab/>
              <w:t>Weibull extrapolation</w:t>
            </w:r>
          </w:p>
        </w:tc>
        <w:tc>
          <w:tcPr>
            <w:tcW w:w="1559" w:type="dxa"/>
          </w:tcPr>
          <w:p w:rsidR="00A51754" w:rsidRPr="00CE0BE9" w:rsidRDefault="00A51754" w:rsidP="00E9333E">
            <w:pPr>
              <w:pStyle w:val="Tabletext"/>
            </w:pPr>
          </w:p>
          <w:p w:rsidR="00A51754" w:rsidRPr="00CE0BE9" w:rsidRDefault="00A51754" w:rsidP="00E9333E">
            <w:pPr>
              <w:pStyle w:val="Tabletext"/>
              <w:jc w:val="center"/>
            </w:pPr>
            <w:r w:rsidRPr="00CE0BE9">
              <w:t>$</w:t>
            </w:r>
            <w:r w:rsidR="003F06F0">
              <w:rPr>
                <w:noProof/>
                <w:color w:val="000000"/>
                <w:highlight w:val="black"/>
              </w:rPr>
              <w:t>'''''''''''''''''''</w:t>
            </w:r>
          </w:p>
          <w:p w:rsidR="00A51754" w:rsidRPr="00CE0BE9" w:rsidRDefault="00A51754" w:rsidP="00DE2883">
            <w:pPr>
              <w:pStyle w:val="Tabletext"/>
              <w:jc w:val="center"/>
            </w:pPr>
            <w:r w:rsidRPr="00CE0BE9">
              <w:t>$</w:t>
            </w:r>
            <w:r w:rsidR="003F06F0">
              <w:rPr>
                <w:noProof/>
                <w:color w:val="000000"/>
                <w:highlight w:val="black"/>
              </w:rPr>
              <w:t>'''''''''''''''''</w:t>
            </w:r>
          </w:p>
        </w:tc>
        <w:tc>
          <w:tcPr>
            <w:tcW w:w="1701" w:type="dxa"/>
          </w:tcPr>
          <w:p w:rsidR="00A51754" w:rsidRPr="00CE0BE9" w:rsidRDefault="00A51754" w:rsidP="00E9333E">
            <w:pPr>
              <w:pStyle w:val="Tabletext"/>
            </w:pPr>
          </w:p>
          <w:p w:rsidR="00A51754" w:rsidRPr="00CE0BE9" w:rsidRDefault="00A51754" w:rsidP="00E9333E">
            <w:pPr>
              <w:pStyle w:val="Tabletext"/>
              <w:jc w:val="center"/>
            </w:pPr>
            <w:r w:rsidRPr="00CE0BE9">
              <w:t>2.39</w:t>
            </w:r>
          </w:p>
          <w:p w:rsidR="00A51754" w:rsidRPr="00CE0BE9" w:rsidRDefault="00A51754" w:rsidP="00E9333E">
            <w:pPr>
              <w:pStyle w:val="Tabletext"/>
              <w:jc w:val="center"/>
            </w:pPr>
            <w:r w:rsidRPr="00CE0BE9">
              <w:t>2.37</w:t>
            </w:r>
          </w:p>
        </w:tc>
        <w:tc>
          <w:tcPr>
            <w:tcW w:w="1115" w:type="dxa"/>
          </w:tcPr>
          <w:p w:rsidR="00A51754" w:rsidRPr="00CE0BE9" w:rsidRDefault="00A51754" w:rsidP="00E9333E">
            <w:pPr>
              <w:pStyle w:val="Tabletext"/>
            </w:pPr>
          </w:p>
          <w:p w:rsidR="00A51754" w:rsidRPr="00CE0BE9" w:rsidRDefault="00A51754" w:rsidP="00E9333E">
            <w:pPr>
              <w:pStyle w:val="Tabletext"/>
              <w:jc w:val="center"/>
            </w:pPr>
            <w:r w:rsidRPr="00CE0BE9">
              <w:t>$</w:t>
            </w:r>
            <w:r w:rsidR="003F06F0">
              <w:rPr>
                <w:noProof/>
                <w:color w:val="000000"/>
                <w:highlight w:val="black"/>
              </w:rPr>
              <w:t>''''''''''''''''''</w:t>
            </w:r>
          </w:p>
          <w:p w:rsidR="00A51754" w:rsidRPr="00CE0BE9" w:rsidRDefault="00A51754" w:rsidP="00E9333E">
            <w:pPr>
              <w:pStyle w:val="Tabletext"/>
              <w:jc w:val="center"/>
            </w:pPr>
            <w:r w:rsidRPr="00CE0BE9">
              <w:t>$</w:t>
            </w:r>
            <w:r w:rsidR="003F06F0">
              <w:rPr>
                <w:noProof/>
                <w:color w:val="000000"/>
                <w:highlight w:val="black"/>
              </w:rPr>
              <w:t>''''''''''''''''</w:t>
            </w:r>
          </w:p>
        </w:tc>
      </w:tr>
      <w:tr w:rsidR="00A51754" w:rsidRPr="00CE0BE9" w:rsidTr="00E9333E">
        <w:tc>
          <w:tcPr>
            <w:tcW w:w="4928" w:type="dxa"/>
          </w:tcPr>
          <w:p w:rsidR="00A51754" w:rsidRPr="00CE0BE9" w:rsidRDefault="00A51754" w:rsidP="00E9333E">
            <w:pPr>
              <w:pStyle w:val="Tabletext"/>
              <w:tabs>
                <w:tab w:val="left" w:pos="142"/>
              </w:tabs>
            </w:pPr>
            <w:r w:rsidRPr="00CE0BE9">
              <w:t xml:space="preserve">OS, PFS and </w:t>
            </w:r>
            <w:proofErr w:type="spellStart"/>
            <w:r w:rsidRPr="00CE0BE9">
              <w:t>ToT</w:t>
            </w:r>
            <w:proofErr w:type="spellEnd"/>
            <w:r w:rsidRPr="00CE0BE9">
              <w:t xml:space="preserve"> extrapolation </w:t>
            </w:r>
            <w:r w:rsidR="00C12FB7" w:rsidRPr="00CE0BE9">
              <w:t xml:space="preserve">source </w:t>
            </w:r>
            <w:r w:rsidRPr="00CE0BE9">
              <w:t>(base case CALGB)</w:t>
            </w:r>
          </w:p>
          <w:p w:rsidR="00A51754" w:rsidRPr="00CE0BE9" w:rsidRDefault="00A51754" w:rsidP="00E9333E">
            <w:pPr>
              <w:pStyle w:val="Tabletext"/>
              <w:tabs>
                <w:tab w:val="left" w:pos="142"/>
              </w:tabs>
            </w:pPr>
            <w:r w:rsidRPr="00CE0BE9">
              <w:tab/>
              <w:t>Pooled trial dataset (CALGB, IFM 2005</w:t>
            </w:r>
            <w:r w:rsidRPr="00CE0BE9">
              <w:noBreakHyphen/>
              <w:t>02</w:t>
            </w:r>
            <w:r w:rsidR="00C12FB7" w:rsidRPr="00CE0BE9">
              <w:t xml:space="preserve"> and</w:t>
            </w:r>
            <w:r w:rsidRPr="00CE0BE9">
              <w:t xml:space="preserve"> GIMEMA)</w:t>
            </w:r>
          </w:p>
        </w:tc>
        <w:tc>
          <w:tcPr>
            <w:tcW w:w="1559" w:type="dxa"/>
          </w:tcPr>
          <w:p w:rsidR="00A51754" w:rsidRPr="00CE0BE9" w:rsidRDefault="00A51754" w:rsidP="00E9333E">
            <w:pPr>
              <w:pStyle w:val="Tabletext"/>
              <w:jc w:val="center"/>
            </w:pPr>
          </w:p>
          <w:p w:rsidR="00A51754" w:rsidRPr="00CE0BE9" w:rsidRDefault="00A51754" w:rsidP="00E9333E">
            <w:pPr>
              <w:pStyle w:val="Tabletext"/>
              <w:jc w:val="center"/>
            </w:pPr>
            <w:r w:rsidRPr="00CE0BE9">
              <w:t>$</w:t>
            </w:r>
            <w:r w:rsidR="003F06F0">
              <w:rPr>
                <w:noProof/>
                <w:color w:val="000000"/>
                <w:highlight w:val="black"/>
              </w:rPr>
              <w:t>''''''''''''''''''''</w:t>
            </w:r>
          </w:p>
        </w:tc>
        <w:tc>
          <w:tcPr>
            <w:tcW w:w="1701" w:type="dxa"/>
          </w:tcPr>
          <w:p w:rsidR="00A51754" w:rsidRPr="00CE0BE9" w:rsidRDefault="00A51754" w:rsidP="00E9333E">
            <w:pPr>
              <w:pStyle w:val="Tabletext"/>
              <w:jc w:val="center"/>
            </w:pPr>
          </w:p>
          <w:p w:rsidR="00A51754" w:rsidRPr="00CE0BE9" w:rsidRDefault="00A51754" w:rsidP="00E9333E">
            <w:pPr>
              <w:pStyle w:val="Tabletext"/>
              <w:jc w:val="center"/>
            </w:pPr>
            <w:r w:rsidRPr="00CE0BE9">
              <w:t>2.15</w:t>
            </w:r>
          </w:p>
        </w:tc>
        <w:tc>
          <w:tcPr>
            <w:tcW w:w="1115" w:type="dxa"/>
          </w:tcPr>
          <w:p w:rsidR="00A51754" w:rsidRPr="00CE0BE9" w:rsidRDefault="00A51754" w:rsidP="00E9333E">
            <w:pPr>
              <w:pStyle w:val="Tabletext"/>
              <w:jc w:val="center"/>
            </w:pPr>
          </w:p>
          <w:p w:rsidR="00A51754" w:rsidRPr="00CE0BE9" w:rsidRDefault="00A51754" w:rsidP="00E9333E">
            <w:pPr>
              <w:pStyle w:val="Tabletext"/>
              <w:jc w:val="center"/>
            </w:pPr>
            <w:r w:rsidRPr="00CE0BE9">
              <w:t>$</w:t>
            </w:r>
            <w:r w:rsidR="003F06F0">
              <w:rPr>
                <w:noProof/>
                <w:color w:val="000000"/>
                <w:highlight w:val="black"/>
              </w:rPr>
              <w:t>''''''''''''''''''</w:t>
            </w:r>
          </w:p>
        </w:tc>
      </w:tr>
      <w:tr w:rsidR="00A51754" w:rsidRPr="00CE0BE9" w:rsidTr="00E9333E">
        <w:tc>
          <w:tcPr>
            <w:tcW w:w="4928" w:type="dxa"/>
          </w:tcPr>
          <w:p w:rsidR="00A51754" w:rsidRPr="00CE0BE9" w:rsidRDefault="00A51754" w:rsidP="00E9333E">
            <w:pPr>
              <w:pStyle w:val="Tabletext"/>
              <w:tabs>
                <w:tab w:val="left" w:pos="142"/>
              </w:tabs>
            </w:pPr>
            <w:r w:rsidRPr="00CE0BE9">
              <w:t>Adverse event source (base case CALGB)</w:t>
            </w:r>
          </w:p>
          <w:p w:rsidR="00A51754" w:rsidRPr="00CE0BE9" w:rsidRDefault="00A51754" w:rsidP="00E9333E">
            <w:pPr>
              <w:pStyle w:val="Tabletext"/>
              <w:tabs>
                <w:tab w:val="left" w:pos="142"/>
              </w:tabs>
            </w:pPr>
            <w:r w:rsidRPr="00CE0BE9">
              <w:tab/>
              <w:t>Pooled trial dataset</w:t>
            </w:r>
          </w:p>
        </w:tc>
        <w:tc>
          <w:tcPr>
            <w:tcW w:w="1559" w:type="dxa"/>
          </w:tcPr>
          <w:p w:rsidR="00A51754" w:rsidRPr="00CE0BE9" w:rsidRDefault="00A51754" w:rsidP="00E9333E">
            <w:pPr>
              <w:pStyle w:val="Tabletext"/>
              <w:jc w:val="center"/>
            </w:pPr>
          </w:p>
          <w:p w:rsidR="00A51754" w:rsidRPr="00CE0BE9" w:rsidRDefault="00A51754" w:rsidP="00E9333E">
            <w:pPr>
              <w:pStyle w:val="Tabletext"/>
              <w:jc w:val="center"/>
            </w:pPr>
            <w:r w:rsidRPr="00CE0BE9">
              <w:t>$</w:t>
            </w:r>
            <w:r w:rsidR="003F06F0">
              <w:rPr>
                <w:noProof/>
                <w:color w:val="000000"/>
                <w:highlight w:val="black"/>
              </w:rPr>
              <w:t>''''''''''''''''''</w:t>
            </w:r>
          </w:p>
        </w:tc>
        <w:tc>
          <w:tcPr>
            <w:tcW w:w="1701" w:type="dxa"/>
          </w:tcPr>
          <w:p w:rsidR="00A51754" w:rsidRPr="00CE0BE9" w:rsidRDefault="00A51754" w:rsidP="00E9333E">
            <w:pPr>
              <w:pStyle w:val="Tabletext"/>
              <w:jc w:val="center"/>
            </w:pPr>
          </w:p>
          <w:p w:rsidR="00A51754" w:rsidRPr="00CE0BE9" w:rsidRDefault="00A51754" w:rsidP="00E9333E">
            <w:pPr>
              <w:pStyle w:val="Tabletext"/>
              <w:jc w:val="center"/>
            </w:pPr>
            <w:r w:rsidRPr="00CE0BE9">
              <w:t>2.39</w:t>
            </w:r>
          </w:p>
        </w:tc>
        <w:tc>
          <w:tcPr>
            <w:tcW w:w="1115" w:type="dxa"/>
          </w:tcPr>
          <w:p w:rsidR="00A51754" w:rsidRPr="00CE0BE9" w:rsidRDefault="00A51754" w:rsidP="00E9333E">
            <w:pPr>
              <w:pStyle w:val="Tabletext"/>
              <w:jc w:val="center"/>
            </w:pPr>
          </w:p>
          <w:p w:rsidR="00A51754" w:rsidRPr="00CE0BE9" w:rsidRDefault="00A51754" w:rsidP="00E9333E">
            <w:pPr>
              <w:pStyle w:val="Tabletext"/>
              <w:jc w:val="center"/>
            </w:pPr>
            <w:r w:rsidRPr="00CE0BE9">
              <w:t>$</w:t>
            </w:r>
            <w:r w:rsidR="003F06F0">
              <w:rPr>
                <w:noProof/>
                <w:color w:val="000000"/>
                <w:highlight w:val="black"/>
              </w:rPr>
              <w:t>'''''''''''''''''</w:t>
            </w:r>
          </w:p>
        </w:tc>
      </w:tr>
      <w:tr w:rsidR="00A51754" w:rsidRPr="00CE0BE9" w:rsidTr="00E9333E">
        <w:tc>
          <w:tcPr>
            <w:tcW w:w="4928" w:type="dxa"/>
          </w:tcPr>
          <w:p w:rsidR="00A51754" w:rsidRPr="00CE0BE9" w:rsidRDefault="00A51754" w:rsidP="00E9333E">
            <w:pPr>
              <w:pStyle w:val="Tabletext"/>
              <w:tabs>
                <w:tab w:val="left" w:pos="142"/>
              </w:tabs>
            </w:pPr>
            <w:r w:rsidRPr="00CE0BE9">
              <w:t xml:space="preserve">Utility with progressed disease 3rd line treatment (base case 0.725 – </w:t>
            </w:r>
            <w:proofErr w:type="spellStart"/>
            <w:r w:rsidRPr="00CE0BE9">
              <w:t>panobinostat</w:t>
            </w:r>
            <w:proofErr w:type="spellEnd"/>
            <w:r w:rsidRPr="00CE0BE9">
              <w:t xml:space="preserve"> NICE Appraisal)</w:t>
            </w:r>
          </w:p>
          <w:p w:rsidR="00A51754" w:rsidRPr="00CE0BE9" w:rsidRDefault="00A51754" w:rsidP="00E9333E">
            <w:pPr>
              <w:pStyle w:val="Tabletext"/>
              <w:tabs>
                <w:tab w:val="left" w:pos="142"/>
              </w:tabs>
            </w:pPr>
            <w:r w:rsidRPr="00CE0BE9">
              <w:tab/>
              <w:t>0.738 (progressed disease 2nd line treatment - CONNECT)</w:t>
            </w:r>
          </w:p>
        </w:tc>
        <w:tc>
          <w:tcPr>
            <w:tcW w:w="1559" w:type="dxa"/>
          </w:tcPr>
          <w:p w:rsidR="00A51754" w:rsidRPr="00CE0BE9" w:rsidRDefault="00A51754" w:rsidP="00E9333E">
            <w:pPr>
              <w:pStyle w:val="Tabletext"/>
              <w:jc w:val="center"/>
            </w:pPr>
          </w:p>
          <w:p w:rsidR="00A51754" w:rsidRPr="00CE0BE9" w:rsidRDefault="00A51754" w:rsidP="00E9333E">
            <w:pPr>
              <w:pStyle w:val="Tabletext"/>
              <w:jc w:val="center"/>
            </w:pPr>
            <w:r w:rsidRPr="00CE0BE9">
              <w:t>$</w:t>
            </w:r>
            <w:r w:rsidR="003F06F0">
              <w:rPr>
                <w:noProof/>
                <w:color w:val="000000"/>
                <w:highlight w:val="black"/>
              </w:rPr>
              <w:t>''''''''''''''''''''</w:t>
            </w:r>
          </w:p>
        </w:tc>
        <w:tc>
          <w:tcPr>
            <w:tcW w:w="1701" w:type="dxa"/>
          </w:tcPr>
          <w:p w:rsidR="00A51754" w:rsidRPr="00CE0BE9" w:rsidRDefault="00A51754" w:rsidP="00E9333E">
            <w:pPr>
              <w:pStyle w:val="Tabletext"/>
              <w:jc w:val="center"/>
            </w:pPr>
          </w:p>
          <w:p w:rsidR="00A51754" w:rsidRPr="00CE0BE9" w:rsidRDefault="00A51754" w:rsidP="00E9333E">
            <w:pPr>
              <w:pStyle w:val="Tabletext"/>
              <w:jc w:val="center"/>
            </w:pPr>
            <w:r w:rsidRPr="00CE0BE9">
              <w:t>2.42</w:t>
            </w:r>
          </w:p>
        </w:tc>
        <w:tc>
          <w:tcPr>
            <w:tcW w:w="1115" w:type="dxa"/>
          </w:tcPr>
          <w:p w:rsidR="00A51754" w:rsidRPr="00CE0BE9" w:rsidRDefault="00A51754" w:rsidP="00E9333E">
            <w:pPr>
              <w:pStyle w:val="Tabletext"/>
              <w:jc w:val="center"/>
            </w:pPr>
          </w:p>
          <w:p w:rsidR="00A51754" w:rsidRPr="00CE0BE9" w:rsidRDefault="00A51754" w:rsidP="00E9333E">
            <w:pPr>
              <w:pStyle w:val="Tabletext"/>
              <w:jc w:val="center"/>
            </w:pPr>
            <w:r w:rsidRPr="00CE0BE9">
              <w:t>$</w:t>
            </w:r>
            <w:r w:rsidR="003F06F0">
              <w:rPr>
                <w:noProof/>
                <w:color w:val="000000"/>
                <w:highlight w:val="black"/>
              </w:rPr>
              <w:t>'''''''''''''''</w:t>
            </w:r>
          </w:p>
        </w:tc>
      </w:tr>
      <w:tr w:rsidR="00A51754" w:rsidRPr="00CE0BE9" w:rsidTr="00E9333E">
        <w:tc>
          <w:tcPr>
            <w:tcW w:w="4928" w:type="dxa"/>
          </w:tcPr>
          <w:p w:rsidR="00A51754" w:rsidRPr="00CE0BE9" w:rsidRDefault="00096850" w:rsidP="00E9333E">
            <w:pPr>
              <w:pStyle w:val="Tabletext"/>
              <w:tabs>
                <w:tab w:val="left" w:pos="142"/>
              </w:tabs>
            </w:pPr>
            <w:r>
              <w:t xml:space="preserve">Inverse </w:t>
            </w:r>
            <w:r w:rsidR="00A51754" w:rsidRPr="00CE0BE9">
              <w:t>HR for OS for THAL vs. LEN (base case 2.52)</w:t>
            </w:r>
          </w:p>
          <w:p w:rsidR="00A51754" w:rsidRPr="00CE0BE9" w:rsidRDefault="00A51754" w:rsidP="00E9333E">
            <w:pPr>
              <w:pStyle w:val="Tabletext"/>
              <w:tabs>
                <w:tab w:val="left" w:pos="142"/>
              </w:tabs>
            </w:pPr>
            <w:r w:rsidRPr="00CE0BE9">
              <w:tab/>
              <w:t>1.52 (lower 95% CI limit)</w:t>
            </w:r>
          </w:p>
          <w:p w:rsidR="00A51754" w:rsidRPr="00CE0BE9" w:rsidRDefault="00A51754" w:rsidP="00E9333E">
            <w:pPr>
              <w:pStyle w:val="Tabletext"/>
              <w:tabs>
                <w:tab w:val="left" w:pos="142"/>
              </w:tabs>
            </w:pPr>
            <w:r w:rsidRPr="00CE0BE9">
              <w:tab/>
              <w:t>4.21 (lower 95% CI limit)</w:t>
            </w:r>
          </w:p>
        </w:tc>
        <w:tc>
          <w:tcPr>
            <w:tcW w:w="1559" w:type="dxa"/>
          </w:tcPr>
          <w:p w:rsidR="00A51754" w:rsidRPr="00CE0BE9" w:rsidRDefault="00A51754" w:rsidP="00E9333E">
            <w:pPr>
              <w:pStyle w:val="Tabletext"/>
              <w:jc w:val="center"/>
            </w:pPr>
          </w:p>
          <w:p w:rsidR="00A51754" w:rsidRPr="00CE0BE9" w:rsidRDefault="00A51754" w:rsidP="00E9333E">
            <w:pPr>
              <w:pStyle w:val="Tabletext"/>
              <w:jc w:val="center"/>
            </w:pPr>
            <w:r w:rsidRPr="00CE0BE9">
              <w:t>$</w:t>
            </w:r>
            <w:r w:rsidR="003F06F0">
              <w:rPr>
                <w:noProof/>
                <w:color w:val="000000"/>
                <w:highlight w:val="black"/>
              </w:rPr>
              <w:t>'''''''''''''''</w:t>
            </w:r>
          </w:p>
          <w:p w:rsidR="00A51754" w:rsidRPr="00CE0BE9" w:rsidRDefault="00A51754" w:rsidP="00E9333E">
            <w:pPr>
              <w:pStyle w:val="Tabletext"/>
              <w:jc w:val="center"/>
            </w:pPr>
            <w:r w:rsidRPr="00CE0BE9">
              <w:t>$</w:t>
            </w:r>
            <w:r w:rsidR="003F06F0">
              <w:rPr>
                <w:noProof/>
                <w:color w:val="000000"/>
                <w:highlight w:val="black"/>
              </w:rPr>
              <w:t>''''''''''''''''''</w:t>
            </w:r>
          </w:p>
        </w:tc>
        <w:tc>
          <w:tcPr>
            <w:tcW w:w="1701" w:type="dxa"/>
          </w:tcPr>
          <w:p w:rsidR="00A51754" w:rsidRPr="00CE0BE9" w:rsidRDefault="00A51754" w:rsidP="00E9333E">
            <w:pPr>
              <w:pStyle w:val="Tabletext"/>
              <w:jc w:val="center"/>
            </w:pPr>
          </w:p>
          <w:p w:rsidR="00A51754" w:rsidRPr="00CE0BE9" w:rsidRDefault="00A51754" w:rsidP="00E9333E">
            <w:pPr>
              <w:pStyle w:val="Tabletext"/>
              <w:jc w:val="center"/>
            </w:pPr>
            <w:r w:rsidRPr="00CE0BE9">
              <w:t>1.14</w:t>
            </w:r>
          </w:p>
          <w:p w:rsidR="00A51754" w:rsidRPr="00CE0BE9" w:rsidRDefault="00A51754" w:rsidP="00E9333E">
            <w:pPr>
              <w:pStyle w:val="Tabletext"/>
              <w:jc w:val="center"/>
            </w:pPr>
            <w:r w:rsidRPr="00CE0BE9">
              <w:t>3.47</w:t>
            </w:r>
          </w:p>
        </w:tc>
        <w:tc>
          <w:tcPr>
            <w:tcW w:w="1115" w:type="dxa"/>
          </w:tcPr>
          <w:p w:rsidR="00A51754" w:rsidRPr="00CE0BE9" w:rsidRDefault="00A51754" w:rsidP="00E9333E">
            <w:pPr>
              <w:pStyle w:val="Tabletext"/>
              <w:jc w:val="center"/>
            </w:pPr>
          </w:p>
          <w:p w:rsidR="00A51754" w:rsidRPr="00CE0BE9" w:rsidRDefault="00A51754" w:rsidP="00E9333E">
            <w:pPr>
              <w:pStyle w:val="Tabletext"/>
              <w:jc w:val="center"/>
            </w:pPr>
            <w:r w:rsidRPr="00CE0BE9">
              <w:t>$</w:t>
            </w:r>
            <w:r w:rsidR="003F06F0">
              <w:rPr>
                <w:noProof/>
                <w:color w:val="000000"/>
                <w:highlight w:val="black"/>
              </w:rPr>
              <w:t>'''''''''''''''''</w:t>
            </w:r>
          </w:p>
          <w:p w:rsidR="00A51754" w:rsidRPr="00CE0BE9" w:rsidRDefault="00A51754" w:rsidP="00E9333E">
            <w:pPr>
              <w:pStyle w:val="Tabletext"/>
              <w:jc w:val="center"/>
            </w:pPr>
            <w:r w:rsidRPr="00CE0BE9">
              <w:t>$</w:t>
            </w:r>
            <w:r w:rsidR="003F06F0">
              <w:rPr>
                <w:noProof/>
                <w:color w:val="000000"/>
                <w:highlight w:val="black"/>
              </w:rPr>
              <w:t>''''''''''''''''</w:t>
            </w:r>
          </w:p>
        </w:tc>
      </w:tr>
      <w:tr w:rsidR="00A51754" w:rsidRPr="00CE0BE9" w:rsidTr="00E9333E">
        <w:tc>
          <w:tcPr>
            <w:tcW w:w="4928" w:type="dxa"/>
          </w:tcPr>
          <w:p w:rsidR="00A51754" w:rsidRPr="00CE0BE9" w:rsidRDefault="00A51754" w:rsidP="00E9333E">
            <w:pPr>
              <w:pStyle w:val="Tabletext"/>
              <w:tabs>
                <w:tab w:val="left" w:pos="142"/>
              </w:tabs>
            </w:pPr>
            <w:r w:rsidRPr="00CE0BE9">
              <w:t>HR for PFS for THAL vs. LEN (base case 1.00)</w:t>
            </w:r>
          </w:p>
          <w:p w:rsidR="00A51754" w:rsidRPr="00CE0BE9" w:rsidRDefault="00A51754" w:rsidP="00E9333E">
            <w:pPr>
              <w:pStyle w:val="Tabletext"/>
              <w:tabs>
                <w:tab w:val="left" w:pos="142"/>
              </w:tabs>
            </w:pPr>
            <w:r w:rsidRPr="00CE0BE9">
              <w:tab/>
              <w:t>1.34 (point estimate)</w:t>
            </w:r>
          </w:p>
        </w:tc>
        <w:tc>
          <w:tcPr>
            <w:tcW w:w="1559" w:type="dxa"/>
          </w:tcPr>
          <w:p w:rsidR="00A51754" w:rsidRPr="00CE0BE9" w:rsidRDefault="00A51754" w:rsidP="00E9333E">
            <w:pPr>
              <w:pStyle w:val="Tabletext"/>
              <w:jc w:val="center"/>
            </w:pPr>
          </w:p>
          <w:p w:rsidR="00A51754" w:rsidRPr="00CE0BE9" w:rsidRDefault="00A51754" w:rsidP="00E9333E">
            <w:pPr>
              <w:pStyle w:val="Tabletext"/>
              <w:jc w:val="center"/>
            </w:pPr>
            <w:r w:rsidRPr="00CE0BE9">
              <w:t>$</w:t>
            </w:r>
            <w:r w:rsidR="003F06F0">
              <w:rPr>
                <w:noProof/>
                <w:color w:val="000000"/>
                <w:highlight w:val="black"/>
              </w:rPr>
              <w:t>''''''''''''''''''</w:t>
            </w:r>
          </w:p>
        </w:tc>
        <w:tc>
          <w:tcPr>
            <w:tcW w:w="1701" w:type="dxa"/>
          </w:tcPr>
          <w:p w:rsidR="00A51754" w:rsidRPr="00CE0BE9" w:rsidRDefault="00A51754" w:rsidP="00E9333E">
            <w:pPr>
              <w:pStyle w:val="Tabletext"/>
              <w:jc w:val="center"/>
            </w:pPr>
          </w:p>
          <w:p w:rsidR="00A51754" w:rsidRPr="00CE0BE9" w:rsidRDefault="00A51754" w:rsidP="00E9333E">
            <w:pPr>
              <w:pStyle w:val="Tabletext"/>
              <w:jc w:val="center"/>
            </w:pPr>
            <w:r w:rsidRPr="00CE0BE9">
              <w:t>2.42</w:t>
            </w:r>
          </w:p>
        </w:tc>
        <w:tc>
          <w:tcPr>
            <w:tcW w:w="1115" w:type="dxa"/>
          </w:tcPr>
          <w:p w:rsidR="00A51754" w:rsidRPr="00CE0BE9" w:rsidRDefault="00A51754" w:rsidP="00E9333E">
            <w:pPr>
              <w:pStyle w:val="Tabletext"/>
              <w:jc w:val="center"/>
            </w:pPr>
          </w:p>
          <w:p w:rsidR="00A51754" w:rsidRPr="00CE0BE9" w:rsidRDefault="00A51754" w:rsidP="00E9333E">
            <w:pPr>
              <w:pStyle w:val="Tabletext"/>
              <w:jc w:val="center"/>
            </w:pPr>
            <w:r w:rsidRPr="00CE0BE9">
              <w:t>$</w:t>
            </w:r>
            <w:r w:rsidR="003F06F0">
              <w:rPr>
                <w:noProof/>
                <w:color w:val="000000"/>
                <w:highlight w:val="black"/>
              </w:rPr>
              <w:t>''''''''''''''''</w:t>
            </w:r>
          </w:p>
        </w:tc>
      </w:tr>
    </w:tbl>
    <w:p w:rsidR="00A51754" w:rsidRPr="00CE0BE9" w:rsidRDefault="00A51754" w:rsidP="00A51754">
      <w:pPr>
        <w:pStyle w:val="TableFooter"/>
        <w:rPr>
          <w:sz w:val="20"/>
        </w:rPr>
      </w:pPr>
      <w:r w:rsidRPr="00CE0BE9">
        <w:t xml:space="preserve">Source: Table 3.9.2, p. 191 of the submission. </w:t>
      </w:r>
      <w:proofErr w:type="gramStart"/>
      <w:r w:rsidRPr="00CE0BE9">
        <w:t xml:space="preserve">Compiled during the evaluation using </w:t>
      </w:r>
      <w:r w:rsidRPr="00CE0BE9">
        <w:rPr>
          <w:szCs w:val="18"/>
        </w:rPr>
        <w:t>Excel spreadsheet ‘</w:t>
      </w:r>
      <w:proofErr w:type="spellStart"/>
      <w:r w:rsidRPr="00CE0BE9">
        <w:rPr>
          <w:szCs w:val="18"/>
        </w:rPr>
        <w:t>Att</w:t>
      </w:r>
      <w:proofErr w:type="spellEnd"/>
      <w:r w:rsidRPr="00CE0BE9">
        <w:rPr>
          <w:szCs w:val="18"/>
        </w:rPr>
        <w:t xml:space="preserve"> 12_Section 3 cost effectiveness model v2’_ sheet ‘Results’.</w:t>
      </w:r>
      <w:proofErr w:type="gramEnd"/>
    </w:p>
    <w:p w:rsidR="00AC647E" w:rsidRDefault="00AC647E" w:rsidP="00CB123B">
      <w:pPr>
        <w:pStyle w:val="ListParagraph"/>
        <w:widowControl/>
        <w:rPr>
          <w:b/>
          <w:i/>
        </w:rPr>
      </w:pPr>
      <w:bookmarkStart w:id="21" w:name="_Toc503271382"/>
      <w:bookmarkEnd w:id="20"/>
    </w:p>
    <w:p w:rsidR="00765BEA" w:rsidRDefault="00765BEA" w:rsidP="00765BEA">
      <w:pPr>
        <w:pStyle w:val="ListParagraph"/>
        <w:keepNext/>
        <w:widowControl/>
        <w:numPr>
          <w:ilvl w:val="1"/>
          <w:numId w:val="2"/>
        </w:numPr>
        <w:rPr>
          <w:rFonts w:cs="Calibri"/>
          <w:snapToGrid/>
          <w:szCs w:val="24"/>
          <w:lang w:val="en-US" w:eastAsia="en-AU"/>
        </w:rPr>
      </w:pPr>
      <w:r w:rsidRPr="00765BEA">
        <w:rPr>
          <w:rFonts w:cs="Calibri"/>
          <w:snapToGrid/>
          <w:szCs w:val="24"/>
          <w:lang w:val="en-US" w:eastAsia="en-AU"/>
        </w:rPr>
        <w:lastRenderedPageBreak/>
        <w:t>In addition to the issues identified above, the PBAC also noted the following</w:t>
      </w:r>
      <w:r w:rsidR="0030031D">
        <w:rPr>
          <w:rFonts w:cs="Calibri"/>
          <w:snapToGrid/>
          <w:szCs w:val="24"/>
          <w:lang w:val="en-US" w:eastAsia="en-AU"/>
        </w:rPr>
        <w:t xml:space="preserve"> issues that should be addressed in any future submission</w:t>
      </w:r>
      <w:r w:rsidRPr="00765BEA">
        <w:rPr>
          <w:rFonts w:cs="Calibri"/>
          <w:snapToGrid/>
          <w:szCs w:val="24"/>
          <w:lang w:val="en-US" w:eastAsia="en-AU"/>
        </w:rPr>
        <w:t>:</w:t>
      </w:r>
    </w:p>
    <w:p w:rsidR="0093663E" w:rsidRPr="0030031D" w:rsidRDefault="00A431B3" w:rsidP="0030031D">
      <w:pPr>
        <w:pStyle w:val="ListParagraph"/>
        <w:keepNext/>
        <w:widowControl/>
        <w:numPr>
          <w:ilvl w:val="1"/>
          <w:numId w:val="11"/>
        </w:numPr>
        <w:ind w:left="993" w:hanging="284"/>
        <w:rPr>
          <w:rFonts w:cs="Calibri"/>
          <w:snapToGrid/>
          <w:szCs w:val="24"/>
          <w:lang w:val="en-US" w:eastAsia="en-AU"/>
        </w:rPr>
      </w:pPr>
      <w:r w:rsidRPr="0030031D">
        <w:rPr>
          <w:rFonts w:cs="Calibri"/>
          <w:snapToGrid/>
          <w:szCs w:val="24"/>
          <w:lang w:val="en-US" w:eastAsia="en-AU"/>
        </w:rPr>
        <w:t>Different</w:t>
      </w:r>
      <w:r w:rsidR="0093663E" w:rsidRPr="0030031D">
        <w:rPr>
          <w:rFonts w:cs="Calibri"/>
          <w:snapToGrid/>
          <w:szCs w:val="24"/>
          <w:lang w:val="en-US" w:eastAsia="en-AU"/>
        </w:rPr>
        <w:t xml:space="preserve"> sources </w:t>
      </w:r>
      <w:r w:rsidRPr="0030031D">
        <w:rPr>
          <w:rFonts w:cs="Calibri"/>
          <w:snapToGrid/>
          <w:szCs w:val="24"/>
          <w:lang w:val="en-US" w:eastAsia="en-AU"/>
        </w:rPr>
        <w:t xml:space="preserve">were </w:t>
      </w:r>
      <w:r w:rsidR="0093663E" w:rsidRPr="0030031D">
        <w:rPr>
          <w:rFonts w:cs="Calibri"/>
          <w:snapToGrid/>
          <w:szCs w:val="24"/>
          <w:lang w:val="en-US" w:eastAsia="en-AU"/>
        </w:rPr>
        <w:t xml:space="preserve">used for deriving the time on treatment, dosing, and effectiveness of </w:t>
      </w:r>
      <w:proofErr w:type="spellStart"/>
      <w:r w:rsidR="0093663E" w:rsidRPr="0030031D">
        <w:rPr>
          <w:rFonts w:cs="Calibri"/>
          <w:snapToGrid/>
          <w:szCs w:val="24"/>
          <w:lang w:val="en-US" w:eastAsia="en-AU"/>
        </w:rPr>
        <w:t>lenalidomide</w:t>
      </w:r>
      <w:proofErr w:type="spellEnd"/>
      <w:r w:rsidRPr="0030031D">
        <w:rPr>
          <w:rFonts w:cs="Calibri"/>
          <w:snapToGrid/>
          <w:szCs w:val="24"/>
          <w:lang w:val="en-US" w:eastAsia="en-AU"/>
        </w:rPr>
        <w:t xml:space="preserve"> which </w:t>
      </w:r>
      <w:r w:rsidR="00F810C6" w:rsidRPr="0030031D">
        <w:rPr>
          <w:rFonts w:cs="Calibri"/>
          <w:snapToGrid/>
          <w:szCs w:val="24"/>
          <w:lang w:val="en-US" w:eastAsia="en-AU"/>
        </w:rPr>
        <w:t>w</w:t>
      </w:r>
      <w:r w:rsidR="00F810C6">
        <w:rPr>
          <w:rFonts w:cs="Calibri"/>
          <w:snapToGrid/>
          <w:szCs w:val="24"/>
          <w:lang w:val="en-US" w:eastAsia="en-AU"/>
        </w:rPr>
        <w:t>ere not</w:t>
      </w:r>
      <w:r w:rsidR="00F810C6" w:rsidRPr="0030031D">
        <w:rPr>
          <w:rFonts w:cs="Calibri"/>
          <w:snapToGrid/>
          <w:szCs w:val="24"/>
          <w:lang w:val="en-US" w:eastAsia="en-AU"/>
        </w:rPr>
        <w:t xml:space="preserve"> </w:t>
      </w:r>
      <w:r w:rsidRPr="0030031D">
        <w:rPr>
          <w:rFonts w:cs="Calibri"/>
          <w:snapToGrid/>
          <w:szCs w:val="24"/>
          <w:lang w:val="en-US" w:eastAsia="en-AU"/>
        </w:rPr>
        <w:t>sufficiently justified</w:t>
      </w:r>
      <w:r w:rsidR="0079683A">
        <w:rPr>
          <w:rFonts w:cs="Calibri"/>
          <w:snapToGrid/>
          <w:szCs w:val="24"/>
          <w:lang w:val="en-US" w:eastAsia="en-AU"/>
        </w:rPr>
        <w:t xml:space="preserve"> or adjusted for</w:t>
      </w:r>
      <w:r w:rsidR="0093663E" w:rsidRPr="0030031D">
        <w:rPr>
          <w:rFonts w:cs="Calibri"/>
          <w:snapToGrid/>
          <w:szCs w:val="24"/>
          <w:lang w:val="en-US" w:eastAsia="en-AU"/>
        </w:rPr>
        <w:t>.</w:t>
      </w:r>
    </w:p>
    <w:p w:rsidR="00765BEA" w:rsidRPr="0030031D" w:rsidRDefault="0093663E" w:rsidP="0030031D">
      <w:pPr>
        <w:pStyle w:val="ListParagraph"/>
        <w:keepNext/>
        <w:widowControl/>
        <w:numPr>
          <w:ilvl w:val="1"/>
          <w:numId w:val="11"/>
        </w:numPr>
        <w:ind w:left="993" w:hanging="284"/>
        <w:rPr>
          <w:rFonts w:cs="Calibri"/>
          <w:snapToGrid/>
          <w:szCs w:val="24"/>
          <w:lang w:val="en-US" w:eastAsia="en-AU"/>
        </w:rPr>
      </w:pPr>
      <w:r w:rsidRPr="0030031D">
        <w:rPr>
          <w:rFonts w:cs="Calibri"/>
          <w:snapToGrid/>
          <w:szCs w:val="24"/>
          <w:lang w:val="en-US" w:eastAsia="en-AU"/>
        </w:rPr>
        <w:t xml:space="preserve">The time on treatment in the </w:t>
      </w:r>
      <w:proofErr w:type="spellStart"/>
      <w:r w:rsidRPr="0030031D">
        <w:rPr>
          <w:rFonts w:cs="Calibri"/>
          <w:snapToGrid/>
          <w:szCs w:val="24"/>
          <w:lang w:val="en-US" w:eastAsia="en-AU"/>
        </w:rPr>
        <w:t>lenalidomide</w:t>
      </w:r>
      <w:proofErr w:type="spellEnd"/>
      <w:r w:rsidRPr="0030031D">
        <w:rPr>
          <w:rFonts w:cs="Calibri"/>
          <w:snapToGrid/>
          <w:szCs w:val="24"/>
          <w:lang w:val="en-US" w:eastAsia="en-AU"/>
        </w:rPr>
        <w:t xml:space="preserve"> vs thalidomide model was assumed to be the same between the two arms, which resulted in patients being assumed to remain on thalidomide treatment (and thus incurring costs) for longer than </w:t>
      </w:r>
      <w:r w:rsidR="00A431B3" w:rsidRPr="0030031D">
        <w:rPr>
          <w:rFonts w:cs="Calibri"/>
          <w:snapToGrid/>
          <w:szCs w:val="24"/>
          <w:lang w:val="en-US" w:eastAsia="en-AU"/>
        </w:rPr>
        <w:t xml:space="preserve">in </w:t>
      </w:r>
      <w:r w:rsidRPr="0030031D">
        <w:rPr>
          <w:rFonts w:cs="Calibri"/>
          <w:snapToGrid/>
          <w:szCs w:val="24"/>
          <w:lang w:val="en-US" w:eastAsia="en-AU"/>
        </w:rPr>
        <w:t xml:space="preserve">the trials, without any </w:t>
      </w:r>
      <w:r w:rsidR="00864DC2" w:rsidRPr="0030031D">
        <w:rPr>
          <w:rFonts w:cs="Calibri"/>
          <w:snapToGrid/>
          <w:szCs w:val="24"/>
          <w:lang w:val="en-US" w:eastAsia="en-AU"/>
        </w:rPr>
        <w:t>additional efficacy. T</w:t>
      </w:r>
      <w:r w:rsidR="00765BEA" w:rsidRPr="0030031D">
        <w:rPr>
          <w:rFonts w:cs="Calibri"/>
          <w:snapToGrid/>
          <w:szCs w:val="24"/>
          <w:lang w:val="en-US" w:eastAsia="en-AU"/>
        </w:rPr>
        <w:t xml:space="preserve">his is unreasonable and biases the analysis of cost-effectiveness </w:t>
      </w:r>
      <w:r w:rsidR="00864DC2" w:rsidRPr="0030031D">
        <w:rPr>
          <w:rFonts w:cs="Calibri"/>
          <w:snapToGrid/>
          <w:szCs w:val="24"/>
          <w:lang w:val="en-US" w:eastAsia="en-AU"/>
        </w:rPr>
        <w:t xml:space="preserve">in </w:t>
      </w:r>
      <w:proofErr w:type="spellStart"/>
      <w:r w:rsidR="00864DC2" w:rsidRPr="0030031D">
        <w:rPr>
          <w:rFonts w:cs="Calibri"/>
          <w:snapToGrid/>
          <w:szCs w:val="24"/>
          <w:lang w:val="en-US" w:eastAsia="en-AU"/>
        </w:rPr>
        <w:t>favour</w:t>
      </w:r>
      <w:proofErr w:type="spellEnd"/>
      <w:r w:rsidR="00864DC2" w:rsidRPr="0030031D">
        <w:rPr>
          <w:rFonts w:cs="Calibri"/>
          <w:snapToGrid/>
          <w:szCs w:val="24"/>
          <w:lang w:val="en-US" w:eastAsia="en-AU"/>
        </w:rPr>
        <w:t xml:space="preserve"> of </w:t>
      </w:r>
      <w:proofErr w:type="spellStart"/>
      <w:r w:rsidR="00864DC2" w:rsidRPr="0030031D">
        <w:rPr>
          <w:rFonts w:cs="Calibri"/>
          <w:snapToGrid/>
          <w:szCs w:val="24"/>
          <w:lang w:val="en-US" w:eastAsia="en-AU"/>
        </w:rPr>
        <w:t>lena</w:t>
      </w:r>
      <w:r w:rsidR="00765BEA" w:rsidRPr="0030031D">
        <w:rPr>
          <w:rFonts w:cs="Calibri"/>
          <w:snapToGrid/>
          <w:szCs w:val="24"/>
          <w:lang w:val="en-US" w:eastAsia="en-AU"/>
        </w:rPr>
        <w:t>lidomide</w:t>
      </w:r>
      <w:proofErr w:type="spellEnd"/>
      <w:r w:rsidR="00864DC2" w:rsidRPr="0030031D">
        <w:rPr>
          <w:rFonts w:cs="Calibri"/>
          <w:snapToGrid/>
          <w:szCs w:val="24"/>
          <w:lang w:val="en-US" w:eastAsia="en-AU"/>
        </w:rPr>
        <w:t>.</w:t>
      </w:r>
    </w:p>
    <w:p w:rsidR="00765BEA" w:rsidRPr="0030031D" w:rsidRDefault="00864DC2" w:rsidP="0030031D">
      <w:pPr>
        <w:pStyle w:val="ListParagraph"/>
        <w:keepNext/>
        <w:widowControl/>
        <w:numPr>
          <w:ilvl w:val="1"/>
          <w:numId w:val="11"/>
        </w:numPr>
        <w:ind w:left="993" w:hanging="284"/>
        <w:rPr>
          <w:rFonts w:cs="Calibri"/>
          <w:snapToGrid/>
          <w:szCs w:val="24"/>
          <w:lang w:val="en-US" w:eastAsia="en-AU"/>
        </w:rPr>
      </w:pPr>
      <w:r w:rsidRPr="0030031D">
        <w:rPr>
          <w:rFonts w:cs="Calibri"/>
          <w:snapToGrid/>
          <w:szCs w:val="24"/>
          <w:lang w:val="en-US" w:eastAsia="en-AU"/>
        </w:rPr>
        <w:t>The u</w:t>
      </w:r>
      <w:r w:rsidR="00765BEA" w:rsidRPr="0030031D">
        <w:rPr>
          <w:rFonts w:cs="Calibri"/>
          <w:snapToGrid/>
          <w:szCs w:val="24"/>
          <w:lang w:val="en-US" w:eastAsia="en-AU"/>
        </w:rPr>
        <w:t xml:space="preserve">tility values </w:t>
      </w:r>
      <w:r w:rsidRPr="0030031D">
        <w:rPr>
          <w:rFonts w:cs="Calibri"/>
          <w:snapToGrid/>
          <w:szCs w:val="24"/>
          <w:lang w:val="en-US" w:eastAsia="en-AU"/>
        </w:rPr>
        <w:t xml:space="preserve">in the pre-progression state </w:t>
      </w:r>
      <w:r w:rsidR="00781D42" w:rsidRPr="0030031D">
        <w:rPr>
          <w:rFonts w:cs="Calibri"/>
          <w:snapToGrid/>
          <w:szCs w:val="24"/>
          <w:lang w:val="en-US" w:eastAsia="en-AU"/>
        </w:rPr>
        <w:t xml:space="preserve">in the </w:t>
      </w:r>
      <w:proofErr w:type="spellStart"/>
      <w:r w:rsidR="00781D42" w:rsidRPr="0030031D">
        <w:rPr>
          <w:rFonts w:cs="Calibri"/>
          <w:snapToGrid/>
          <w:szCs w:val="24"/>
          <w:lang w:val="en-US" w:eastAsia="en-AU"/>
        </w:rPr>
        <w:t>lenalidomide</w:t>
      </w:r>
      <w:proofErr w:type="spellEnd"/>
      <w:r w:rsidR="00781D42" w:rsidRPr="0030031D">
        <w:rPr>
          <w:rFonts w:cs="Calibri"/>
          <w:snapToGrid/>
          <w:szCs w:val="24"/>
          <w:lang w:val="en-US" w:eastAsia="en-AU"/>
        </w:rPr>
        <w:t xml:space="preserve"> vs BSC model </w:t>
      </w:r>
      <w:r w:rsidRPr="0030031D">
        <w:rPr>
          <w:rFonts w:cs="Calibri"/>
          <w:snapToGrid/>
          <w:szCs w:val="24"/>
          <w:lang w:val="en-US" w:eastAsia="en-AU"/>
        </w:rPr>
        <w:t xml:space="preserve">were higher for patients on </w:t>
      </w:r>
      <w:proofErr w:type="spellStart"/>
      <w:r w:rsidRPr="0030031D">
        <w:rPr>
          <w:rFonts w:cs="Calibri"/>
          <w:snapToGrid/>
          <w:szCs w:val="24"/>
          <w:lang w:val="en-US" w:eastAsia="en-AU"/>
        </w:rPr>
        <w:t>lenalidomide</w:t>
      </w:r>
      <w:proofErr w:type="spellEnd"/>
      <w:r w:rsidRPr="0030031D">
        <w:rPr>
          <w:rFonts w:cs="Calibri"/>
          <w:snapToGrid/>
          <w:szCs w:val="24"/>
          <w:lang w:val="en-US" w:eastAsia="en-AU"/>
        </w:rPr>
        <w:t xml:space="preserve"> treatment compared to </w:t>
      </w:r>
      <w:r w:rsidR="00A431B3" w:rsidRPr="0030031D">
        <w:rPr>
          <w:rFonts w:cs="Calibri"/>
          <w:snapToGrid/>
          <w:szCs w:val="24"/>
          <w:lang w:val="en-US" w:eastAsia="en-AU"/>
        </w:rPr>
        <w:t xml:space="preserve">those on </w:t>
      </w:r>
      <w:r w:rsidRPr="0030031D">
        <w:rPr>
          <w:rFonts w:cs="Calibri"/>
          <w:snapToGrid/>
          <w:szCs w:val="24"/>
          <w:lang w:val="en-US" w:eastAsia="en-AU"/>
        </w:rPr>
        <w:t>BSC. This is inconsistent with the data presented</w:t>
      </w:r>
      <w:r w:rsidR="00A431B3" w:rsidRPr="0030031D">
        <w:rPr>
          <w:rFonts w:cs="Calibri"/>
          <w:snapToGrid/>
          <w:szCs w:val="24"/>
          <w:lang w:val="en-US" w:eastAsia="en-AU"/>
        </w:rPr>
        <w:t>,</w:t>
      </w:r>
      <w:r w:rsidRPr="0030031D">
        <w:rPr>
          <w:rFonts w:cs="Calibri"/>
          <w:snapToGrid/>
          <w:szCs w:val="24"/>
          <w:lang w:val="en-US" w:eastAsia="en-AU"/>
        </w:rPr>
        <w:t xml:space="preserve"> and the </w:t>
      </w:r>
      <w:proofErr w:type="gramStart"/>
      <w:r w:rsidRPr="0030031D">
        <w:rPr>
          <w:rFonts w:cs="Calibri"/>
          <w:snapToGrid/>
          <w:szCs w:val="24"/>
          <w:lang w:val="en-US" w:eastAsia="en-AU"/>
        </w:rPr>
        <w:t>submission’s</w:t>
      </w:r>
      <w:proofErr w:type="gramEnd"/>
      <w:r w:rsidRPr="0030031D">
        <w:rPr>
          <w:rFonts w:cs="Calibri"/>
          <w:snapToGrid/>
          <w:szCs w:val="24"/>
          <w:lang w:val="en-US" w:eastAsia="en-AU"/>
        </w:rPr>
        <w:t xml:space="preserve"> clinical claim that </w:t>
      </w:r>
      <w:proofErr w:type="spellStart"/>
      <w:r w:rsidRPr="0030031D">
        <w:rPr>
          <w:rFonts w:cs="Calibri"/>
          <w:snapToGrid/>
          <w:szCs w:val="24"/>
          <w:lang w:val="en-US" w:eastAsia="en-AU"/>
        </w:rPr>
        <w:t>lenalidomide</w:t>
      </w:r>
      <w:proofErr w:type="spellEnd"/>
      <w:r w:rsidRPr="0030031D">
        <w:rPr>
          <w:rFonts w:cs="Calibri"/>
          <w:snapToGrid/>
          <w:szCs w:val="24"/>
          <w:lang w:val="en-US" w:eastAsia="en-AU"/>
        </w:rPr>
        <w:t xml:space="preserve"> has inferior safety compared to BSC. </w:t>
      </w:r>
    </w:p>
    <w:p w:rsidR="00765BEA" w:rsidRPr="0030031D" w:rsidRDefault="00A431B3" w:rsidP="0030031D">
      <w:pPr>
        <w:pStyle w:val="ListParagraph"/>
        <w:keepNext/>
        <w:widowControl/>
        <w:numPr>
          <w:ilvl w:val="1"/>
          <w:numId w:val="11"/>
        </w:numPr>
        <w:ind w:left="993" w:hanging="284"/>
        <w:rPr>
          <w:rFonts w:cs="Calibri"/>
          <w:snapToGrid/>
          <w:szCs w:val="24"/>
          <w:lang w:val="en-US" w:eastAsia="en-AU"/>
        </w:rPr>
      </w:pPr>
      <w:r w:rsidRPr="0030031D">
        <w:rPr>
          <w:rFonts w:cs="Calibri"/>
          <w:snapToGrid/>
          <w:szCs w:val="24"/>
          <w:lang w:val="en-US" w:eastAsia="en-AU"/>
        </w:rPr>
        <w:t>The diagnostic and investigational costs applied were not well justified.</w:t>
      </w:r>
    </w:p>
    <w:p w:rsidR="00A431B3" w:rsidRPr="0030031D" w:rsidRDefault="00A431B3" w:rsidP="0030031D">
      <w:pPr>
        <w:pStyle w:val="ListParagraph"/>
        <w:keepNext/>
        <w:widowControl/>
        <w:numPr>
          <w:ilvl w:val="1"/>
          <w:numId w:val="11"/>
        </w:numPr>
        <w:ind w:left="993" w:hanging="284"/>
        <w:rPr>
          <w:rFonts w:cs="Calibri"/>
          <w:snapToGrid/>
          <w:szCs w:val="24"/>
          <w:lang w:val="en-US" w:eastAsia="en-AU"/>
        </w:rPr>
      </w:pPr>
      <w:r w:rsidRPr="0030031D">
        <w:rPr>
          <w:rFonts w:cs="Calibri"/>
          <w:snapToGrid/>
          <w:szCs w:val="24"/>
          <w:lang w:val="en-US" w:eastAsia="en-AU"/>
        </w:rPr>
        <w:t xml:space="preserve">Thalidomide was excluded as a potential post-progression treatment in the </w:t>
      </w:r>
      <w:proofErr w:type="spellStart"/>
      <w:r w:rsidRPr="0030031D">
        <w:rPr>
          <w:rFonts w:cs="Calibri"/>
          <w:snapToGrid/>
          <w:szCs w:val="24"/>
          <w:lang w:val="en-US" w:eastAsia="en-AU"/>
        </w:rPr>
        <w:t>lenalidomide</w:t>
      </w:r>
      <w:proofErr w:type="spellEnd"/>
      <w:r w:rsidRPr="0030031D">
        <w:rPr>
          <w:rFonts w:cs="Calibri"/>
          <w:snapToGrid/>
          <w:szCs w:val="24"/>
          <w:lang w:val="en-US" w:eastAsia="en-AU"/>
        </w:rPr>
        <w:t xml:space="preserve"> vs BSC model.</w:t>
      </w:r>
    </w:p>
    <w:p w:rsidR="00765BEA" w:rsidRPr="0030031D" w:rsidRDefault="00C97A77" w:rsidP="0030031D">
      <w:pPr>
        <w:pStyle w:val="ListParagraph"/>
        <w:keepNext/>
        <w:widowControl/>
        <w:numPr>
          <w:ilvl w:val="1"/>
          <w:numId w:val="11"/>
        </w:numPr>
        <w:ind w:left="993" w:hanging="284"/>
        <w:rPr>
          <w:rFonts w:cs="Calibri"/>
          <w:snapToGrid/>
          <w:szCs w:val="24"/>
          <w:lang w:val="en-US" w:eastAsia="en-AU"/>
        </w:rPr>
      </w:pPr>
      <w:r w:rsidRPr="0030031D">
        <w:rPr>
          <w:rFonts w:cs="Calibri"/>
          <w:snapToGrid/>
          <w:szCs w:val="24"/>
          <w:lang w:val="en-US" w:eastAsia="en-AU"/>
        </w:rPr>
        <w:t xml:space="preserve">There were separate states for pre-progression on treatment and pre-progression off treatment. A large proportion of the QALY gain in the pre-progression state came from the ‘pre-progression, off-treatment’ phase, approximately 2/3 for the </w:t>
      </w:r>
      <w:proofErr w:type="spellStart"/>
      <w:r w:rsidRPr="0030031D">
        <w:rPr>
          <w:rFonts w:cs="Calibri"/>
          <w:snapToGrid/>
          <w:szCs w:val="24"/>
          <w:lang w:val="en-US" w:eastAsia="en-AU"/>
        </w:rPr>
        <w:t>lenalidomide</w:t>
      </w:r>
      <w:proofErr w:type="spellEnd"/>
      <w:r w:rsidRPr="0030031D">
        <w:rPr>
          <w:rFonts w:cs="Calibri"/>
          <w:snapToGrid/>
          <w:szCs w:val="24"/>
          <w:lang w:val="en-US" w:eastAsia="en-AU"/>
        </w:rPr>
        <w:t xml:space="preserve"> vs BS</w:t>
      </w:r>
      <w:r w:rsidR="00781D42">
        <w:rPr>
          <w:rFonts w:cs="Calibri"/>
          <w:snapToGrid/>
          <w:szCs w:val="24"/>
          <w:lang w:val="en-US" w:eastAsia="en-AU"/>
        </w:rPr>
        <w:t>C</w:t>
      </w:r>
      <w:r w:rsidRPr="0030031D">
        <w:rPr>
          <w:rFonts w:cs="Calibri"/>
          <w:snapToGrid/>
          <w:szCs w:val="24"/>
          <w:lang w:val="en-US" w:eastAsia="en-AU"/>
        </w:rPr>
        <w:t xml:space="preserve"> model. Further, the duration of </w:t>
      </w:r>
      <w:proofErr w:type="spellStart"/>
      <w:r w:rsidRPr="0030031D">
        <w:rPr>
          <w:rFonts w:cs="Calibri"/>
          <w:snapToGrid/>
          <w:szCs w:val="24"/>
          <w:lang w:val="en-US" w:eastAsia="en-AU"/>
        </w:rPr>
        <w:t>lenalidomide</w:t>
      </w:r>
      <w:proofErr w:type="spellEnd"/>
      <w:r w:rsidRPr="0030031D">
        <w:rPr>
          <w:rFonts w:cs="Calibri"/>
          <w:snapToGrid/>
          <w:szCs w:val="24"/>
          <w:lang w:val="en-US" w:eastAsia="en-AU"/>
        </w:rPr>
        <w:t xml:space="preserve"> treatment is estimated as 2.5 years,</w:t>
      </w:r>
      <w:r w:rsidR="00DC0BB5">
        <w:rPr>
          <w:rFonts w:cs="Calibri"/>
          <w:snapToGrid/>
          <w:szCs w:val="24"/>
          <w:lang w:val="en-US" w:eastAsia="en-AU"/>
        </w:rPr>
        <w:t xml:space="preserve"> which is substantially less than the </w:t>
      </w:r>
      <w:r w:rsidR="00994C55">
        <w:rPr>
          <w:rFonts w:cs="Calibri"/>
          <w:snapToGrid/>
          <w:szCs w:val="24"/>
          <w:lang w:val="en-US" w:eastAsia="en-AU"/>
        </w:rPr>
        <w:t>4.579 QALYs in the pre</w:t>
      </w:r>
      <w:r w:rsidR="00994C55">
        <w:rPr>
          <w:rFonts w:cs="Calibri"/>
          <w:snapToGrid/>
          <w:szCs w:val="24"/>
          <w:lang w:val="en-US" w:eastAsia="en-AU"/>
        </w:rPr>
        <w:noBreakHyphen/>
      </w:r>
      <w:r w:rsidRPr="0030031D">
        <w:rPr>
          <w:rFonts w:cs="Calibri"/>
          <w:snapToGrid/>
          <w:szCs w:val="24"/>
          <w:lang w:val="en-US" w:eastAsia="en-AU"/>
        </w:rPr>
        <w:t>progression state</w:t>
      </w:r>
      <w:r w:rsidR="00DC0BB5">
        <w:rPr>
          <w:rFonts w:cs="Calibri"/>
          <w:snapToGrid/>
          <w:szCs w:val="24"/>
          <w:lang w:val="en-US" w:eastAsia="en-AU"/>
        </w:rPr>
        <w:t xml:space="preserve"> for the </w:t>
      </w:r>
      <w:proofErr w:type="spellStart"/>
      <w:r w:rsidR="00DC0BB5">
        <w:rPr>
          <w:rFonts w:cs="Calibri"/>
          <w:snapToGrid/>
          <w:szCs w:val="24"/>
          <w:lang w:val="en-US" w:eastAsia="en-AU"/>
        </w:rPr>
        <w:t>lenalidomide</w:t>
      </w:r>
      <w:proofErr w:type="spellEnd"/>
      <w:r w:rsidR="00DC0BB5">
        <w:rPr>
          <w:rFonts w:cs="Calibri"/>
          <w:snapToGrid/>
          <w:szCs w:val="24"/>
          <w:lang w:val="en-US" w:eastAsia="en-AU"/>
        </w:rPr>
        <w:t xml:space="preserve"> arm</w:t>
      </w:r>
      <w:r w:rsidRPr="0030031D">
        <w:rPr>
          <w:rFonts w:cs="Calibri"/>
          <w:snapToGrid/>
          <w:szCs w:val="24"/>
          <w:lang w:val="en-US" w:eastAsia="en-AU"/>
        </w:rPr>
        <w:t xml:space="preserve">. This is inconsistent with the submission’s proposal that </w:t>
      </w:r>
      <w:proofErr w:type="spellStart"/>
      <w:r w:rsidRPr="0030031D">
        <w:rPr>
          <w:rFonts w:cs="Calibri"/>
          <w:snapToGrid/>
          <w:szCs w:val="24"/>
          <w:lang w:val="en-US" w:eastAsia="en-AU"/>
        </w:rPr>
        <w:t>lenalidomide</w:t>
      </w:r>
      <w:proofErr w:type="spellEnd"/>
      <w:r w:rsidRPr="0030031D">
        <w:rPr>
          <w:rFonts w:cs="Calibri"/>
          <w:snapToGrid/>
          <w:szCs w:val="24"/>
          <w:lang w:val="en-US" w:eastAsia="en-AU"/>
        </w:rPr>
        <w:t xml:space="preserve"> treatment should continue until disease progression, and attributes a greater survival benefit without incurring additional costs.  </w:t>
      </w:r>
    </w:p>
    <w:p w:rsidR="00A51754" w:rsidRPr="00CE0BE9" w:rsidRDefault="00A51754" w:rsidP="00A51754">
      <w:pPr>
        <w:pStyle w:val="Heading2"/>
        <w:rPr>
          <w:i w:val="0"/>
        </w:rPr>
      </w:pPr>
      <w:r w:rsidRPr="00CE0BE9">
        <w:rPr>
          <w:i w:val="0"/>
        </w:rPr>
        <w:t>Drug cost/patient/year</w:t>
      </w:r>
      <w:bookmarkEnd w:id="21"/>
    </w:p>
    <w:p w:rsidR="00A51754" w:rsidRPr="00D17A82" w:rsidRDefault="00A51754" w:rsidP="006F0DFD">
      <w:pPr>
        <w:pStyle w:val="ListParagraph"/>
        <w:keepNext/>
        <w:widowControl/>
        <w:numPr>
          <w:ilvl w:val="1"/>
          <w:numId w:val="2"/>
        </w:numPr>
        <w:rPr>
          <w:rFonts w:cs="Calibri"/>
          <w:snapToGrid/>
          <w:szCs w:val="24"/>
          <w:lang w:val="en-US" w:eastAsia="en-AU"/>
        </w:rPr>
      </w:pPr>
      <w:r w:rsidRPr="00D17A82">
        <w:rPr>
          <w:rFonts w:cs="Calibri"/>
          <w:snapToGrid/>
          <w:szCs w:val="24"/>
          <w:lang w:val="en-US" w:eastAsia="en-AU"/>
        </w:rPr>
        <w:t xml:space="preserve">The average cost of </w:t>
      </w:r>
      <w:proofErr w:type="spellStart"/>
      <w:r w:rsidRPr="00D17A82">
        <w:rPr>
          <w:rFonts w:cs="Calibri"/>
          <w:snapToGrid/>
          <w:szCs w:val="24"/>
          <w:lang w:val="en-US" w:eastAsia="en-AU"/>
        </w:rPr>
        <w:t>lenalidomide</w:t>
      </w:r>
      <w:proofErr w:type="spellEnd"/>
      <w:r w:rsidRPr="00D17A82">
        <w:rPr>
          <w:rFonts w:cs="Calibri"/>
          <w:snapToGrid/>
          <w:szCs w:val="24"/>
          <w:lang w:val="en-US" w:eastAsia="en-AU"/>
        </w:rPr>
        <w:t xml:space="preserve"> per patient per 28-day cycle was estimated to be $</w:t>
      </w:r>
      <w:r w:rsidR="003F06F0">
        <w:rPr>
          <w:rFonts w:cs="Calibri"/>
          <w:noProof/>
          <w:snapToGrid/>
          <w:color w:val="000000"/>
          <w:szCs w:val="24"/>
          <w:highlight w:val="black"/>
          <w:lang w:val="en-US" w:eastAsia="en-AU"/>
        </w:rPr>
        <w:t>'''''''''''</w:t>
      </w:r>
      <w:r w:rsidRPr="00D17A82">
        <w:rPr>
          <w:rFonts w:cs="Calibri"/>
          <w:snapToGrid/>
          <w:szCs w:val="24"/>
          <w:lang w:val="en-US" w:eastAsia="en-AU"/>
        </w:rPr>
        <w:t xml:space="preserve"> based on the proposed </w:t>
      </w:r>
      <w:r w:rsidR="00C12FB7" w:rsidRPr="00D17A82">
        <w:rPr>
          <w:rFonts w:cs="Calibri"/>
          <w:snapToGrid/>
          <w:szCs w:val="24"/>
          <w:lang w:val="en-US" w:eastAsia="en-AU"/>
        </w:rPr>
        <w:t xml:space="preserve">effective </w:t>
      </w:r>
      <w:r w:rsidRPr="00D17A82">
        <w:rPr>
          <w:rFonts w:cs="Calibri"/>
          <w:snapToGrid/>
          <w:szCs w:val="24"/>
          <w:lang w:val="en-US" w:eastAsia="en-AU"/>
        </w:rPr>
        <w:t xml:space="preserve">pack prices and the dose distribution in the IFM 2005-02 trials. The resulting average dispensed cost of </w:t>
      </w:r>
      <w:proofErr w:type="spellStart"/>
      <w:r w:rsidRPr="00D17A82">
        <w:rPr>
          <w:rFonts w:cs="Calibri"/>
          <w:snapToGrid/>
          <w:szCs w:val="24"/>
          <w:lang w:val="en-US" w:eastAsia="en-AU"/>
        </w:rPr>
        <w:t>lenalidomide</w:t>
      </w:r>
      <w:proofErr w:type="spellEnd"/>
      <w:r w:rsidRPr="00D17A82">
        <w:rPr>
          <w:rFonts w:cs="Calibri"/>
          <w:snapToGrid/>
          <w:szCs w:val="24"/>
          <w:lang w:val="en-US" w:eastAsia="en-AU"/>
        </w:rPr>
        <w:t xml:space="preserve"> per patient per year was $</w:t>
      </w:r>
      <w:r w:rsidR="003F06F0">
        <w:rPr>
          <w:rFonts w:cs="Calibri"/>
          <w:noProof/>
          <w:snapToGrid/>
          <w:color w:val="000000"/>
          <w:szCs w:val="24"/>
          <w:highlight w:val="black"/>
          <w:lang w:val="en-US" w:eastAsia="en-AU"/>
        </w:rPr>
        <w:t>'''''''''''''</w:t>
      </w:r>
      <w:r w:rsidRPr="00D17A82">
        <w:rPr>
          <w:rFonts w:cs="Calibri"/>
          <w:snapToGrid/>
          <w:szCs w:val="24"/>
          <w:lang w:val="en-US" w:eastAsia="en-AU"/>
        </w:rPr>
        <w:t xml:space="preserve"> ($</w:t>
      </w:r>
      <w:r w:rsidR="003F06F0">
        <w:rPr>
          <w:rFonts w:cs="Calibri"/>
          <w:noProof/>
          <w:snapToGrid/>
          <w:color w:val="000000"/>
          <w:szCs w:val="24"/>
          <w:highlight w:val="black"/>
          <w:lang w:val="en-US" w:eastAsia="en-AU"/>
        </w:rPr>
        <w:t>'''''''''''</w:t>
      </w:r>
      <w:r w:rsidRPr="00D17A82">
        <w:rPr>
          <w:rFonts w:cs="Calibri"/>
          <w:snapToGrid/>
          <w:szCs w:val="24"/>
          <w:lang w:val="en-US" w:eastAsia="en-AU"/>
        </w:rPr>
        <w:t xml:space="preserve"> x 365.25/28). </w:t>
      </w:r>
    </w:p>
    <w:p w:rsidR="00A51754" w:rsidRPr="00D17A82" w:rsidRDefault="00A51754" w:rsidP="006F0DFD">
      <w:pPr>
        <w:pStyle w:val="ListParagraph"/>
        <w:keepNext/>
        <w:widowControl/>
        <w:numPr>
          <w:ilvl w:val="1"/>
          <w:numId w:val="2"/>
        </w:numPr>
        <w:rPr>
          <w:rFonts w:cs="Calibri"/>
          <w:snapToGrid/>
          <w:szCs w:val="24"/>
          <w:lang w:val="en-US" w:eastAsia="en-AU"/>
        </w:rPr>
      </w:pPr>
      <w:r w:rsidRPr="00D17A82">
        <w:rPr>
          <w:rFonts w:cs="Calibri"/>
          <w:snapToGrid/>
          <w:szCs w:val="24"/>
          <w:lang w:val="en-US" w:eastAsia="en-AU"/>
        </w:rPr>
        <w:t xml:space="preserve">The </w:t>
      </w:r>
      <w:r w:rsidR="007B6206" w:rsidRPr="00D17A82">
        <w:rPr>
          <w:rFonts w:cs="Calibri"/>
          <w:snapToGrid/>
          <w:szCs w:val="24"/>
          <w:lang w:val="en-US" w:eastAsia="en-AU"/>
        </w:rPr>
        <w:t xml:space="preserve">dispensed price </w:t>
      </w:r>
      <w:r w:rsidRPr="00D17A82">
        <w:rPr>
          <w:rFonts w:cs="Calibri"/>
          <w:snapToGrid/>
          <w:szCs w:val="24"/>
          <w:lang w:val="en-US" w:eastAsia="en-AU"/>
        </w:rPr>
        <w:t xml:space="preserve">of thalidomide </w:t>
      </w:r>
      <w:r w:rsidR="007B6206" w:rsidRPr="00D17A82">
        <w:rPr>
          <w:rFonts w:cs="Calibri"/>
          <w:snapToGrid/>
          <w:szCs w:val="24"/>
          <w:lang w:val="en-US" w:eastAsia="en-AU"/>
        </w:rPr>
        <w:t xml:space="preserve">is </w:t>
      </w:r>
      <w:r w:rsidRPr="00D17A82">
        <w:rPr>
          <w:rFonts w:cs="Calibri"/>
          <w:snapToGrid/>
          <w:szCs w:val="24"/>
          <w:lang w:val="en-US" w:eastAsia="en-AU"/>
        </w:rPr>
        <w:t>$</w:t>
      </w:r>
      <w:r w:rsidR="003F06F0">
        <w:rPr>
          <w:rFonts w:cs="Calibri"/>
          <w:noProof/>
          <w:snapToGrid/>
          <w:color w:val="000000"/>
          <w:szCs w:val="24"/>
          <w:highlight w:val="black"/>
          <w:lang w:val="en-US" w:eastAsia="en-AU"/>
        </w:rPr>
        <w:t>''''''''''</w:t>
      </w:r>
      <w:r w:rsidRPr="00D17A82">
        <w:rPr>
          <w:rFonts w:cs="Calibri"/>
          <w:snapToGrid/>
          <w:szCs w:val="24"/>
          <w:lang w:val="en-US" w:eastAsia="en-AU"/>
        </w:rPr>
        <w:t xml:space="preserve"> per </w:t>
      </w:r>
      <w:r w:rsidR="007B6206" w:rsidRPr="00D17A82">
        <w:rPr>
          <w:rFonts w:cs="Calibri"/>
          <w:snapToGrid/>
          <w:szCs w:val="24"/>
          <w:lang w:val="en-US" w:eastAsia="en-AU"/>
        </w:rPr>
        <w:t xml:space="preserve">100 mg </w:t>
      </w:r>
      <w:r w:rsidRPr="00D17A82">
        <w:rPr>
          <w:rFonts w:cs="Calibri"/>
          <w:snapToGrid/>
          <w:szCs w:val="24"/>
          <w:lang w:val="en-US" w:eastAsia="en-AU"/>
        </w:rPr>
        <w:t>capsule</w:t>
      </w:r>
      <w:r w:rsidR="007B6206" w:rsidRPr="00D17A82">
        <w:rPr>
          <w:rFonts w:cs="Calibri"/>
          <w:snapToGrid/>
          <w:szCs w:val="24"/>
          <w:lang w:val="en-US" w:eastAsia="en-AU"/>
        </w:rPr>
        <w:t xml:space="preserve"> (DPMQ of $</w:t>
      </w:r>
      <w:r w:rsidR="003F06F0">
        <w:rPr>
          <w:rFonts w:cs="Calibri"/>
          <w:noProof/>
          <w:snapToGrid/>
          <w:color w:val="000000"/>
          <w:szCs w:val="24"/>
          <w:highlight w:val="black"/>
          <w:lang w:val="en-US" w:eastAsia="en-AU"/>
        </w:rPr>
        <w:t>''''''''''''</w:t>
      </w:r>
      <w:r w:rsidR="007B6206" w:rsidRPr="00D17A82">
        <w:rPr>
          <w:rFonts w:cs="Calibri"/>
          <w:snapToGrid/>
          <w:szCs w:val="24"/>
          <w:lang w:val="en-US" w:eastAsia="en-AU"/>
        </w:rPr>
        <w:t xml:space="preserve"> divided by maximum quantity of 112)</w:t>
      </w:r>
      <w:r w:rsidRPr="00D17A82">
        <w:rPr>
          <w:rFonts w:cs="Calibri"/>
          <w:snapToGrid/>
          <w:szCs w:val="24"/>
          <w:lang w:val="en-US" w:eastAsia="en-AU"/>
        </w:rPr>
        <w:t>. The average cost of thalidomide per patient per 28-day cycle is $</w:t>
      </w:r>
      <w:r w:rsidR="003F06F0">
        <w:rPr>
          <w:rFonts w:cs="Calibri"/>
          <w:noProof/>
          <w:snapToGrid/>
          <w:color w:val="000000"/>
          <w:szCs w:val="24"/>
          <w:highlight w:val="black"/>
          <w:lang w:val="en-US" w:eastAsia="en-AU"/>
        </w:rPr>
        <w:t>'''''''</w:t>
      </w:r>
      <w:r w:rsidRPr="00D17A82">
        <w:rPr>
          <w:rFonts w:cs="Calibri"/>
          <w:snapToGrid/>
          <w:szCs w:val="24"/>
          <w:lang w:val="en-US" w:eastAsia="en-AU"/>
        </w:rPr>
        <w:t xml:space="preserve"> ($</w:t>
      </w:r>
      <w:r w:rsidR="003F06F0">
        <w:rPr>
          <w:rFonts w:cs="Calibri"/>
          <w:noProof/>
          <w:snapToGrid/>
          <w:color w:val="000000"/>
          <w:szCs w:val="24"/>
          <w:highlight w:val="black"/>
          <w:lang w:val="en-US" w:eastAsia="en-AU"/>
        </w:rPr>
        <w:t>'''''''''''</w:t>
      </w:r>
      <w:r w:rsidRPr="00D17A82">
        <w:rPr>
          <w:rFonts w:cs="Calibri"/>
          <w:snapToGrid/>
          <w:szCs w:val="24"/>
          <w:lang w:val="en-US" w:eastAsia="en-AU"/>
        </w:rPr>
        <w:t xml:space="preserve"> per capsule for 28 capsules) and the total cost per year is $</w:t>
      </w:r>
      <w:r w:rsidR="003F06F0">
        <w:rPr>
          <w:rFonts w:cs="Calibri"/>
          <w:noProof/>
          <w:snapToGrid/>
          <w:color w:val="000000"/>
          <w:szCs w:val="24"/>
          <w:highlight w:val="black"/>
          <w:lang w:val="en-US" w:eastAsia="en-AU"/>
        </w:rPr>
        <w:t>''''''''''''</w:t>
      </w:r>
      <w:r w:rsidRPr="00D17A82">
        <w:rPr>
          <w:rFonts w:cs="Calibri"/>
          <w:snapToGrid/>
          <w:szCs w:val="24"/>
          <w:lang w:val="en-US" w:eastAsia="en-AU"/>
        </w:rPr>
        <w:t xml:space="preserve"> ($</w:t>
      </w:r>
      <w:r w:rsidR="003F06F0">
        <w:rPr>
          <w:rFonts w:cs="Calibri"/>
          <w:noProof/>
          <w:snapToGrid/>
          <w:color w:val="000000"/>
          <w:szCs w:val="24"/>
          <w:highlight w:val="black"/>
          <w:lang w:val="en-US" w:eastAsia="en-AU"/>
        </w:rPr>
        <w:t>'''''''</w:t>
      </w:r>
      <w:r w:rsidRPr="00D17A82">
        <w:rPr>
          <w:rFonts w:cs="Calibri"/>
          <w:snapToGrid/>
          <w:szCs w:val="24"/>
          <w:lang w:val="en-US" w:eastAsia="en-AU"/>
        </w:rPr>
        <w:t>*365.25/28).</w:t>
      </w:r>
    </w:p>
    <w:p w:rsidR="00902ED9" w:rsidRPr="00D17A82" w:rsidRDefault="00902ED9" w:rsidP="006F0DFD">
      <w:pPr>
        <w:pStyle w:val="ListParagraph"/>
        <w:keepNext/>
        <w:widowControl/>
        <w:numPr>
          <w:ilvl w:val="1"/>
          <w:numId w:val="2"/>
        </w:numPr>
        <w:rPr>
          <w:rFonts w:cs="Calibri"/>
          <w:snapToGrid/>
          <w:szCs w:val="24"/>
          <w:lang w:val="en-US" w:eastAsia="en-AU"/>
        </w:rPr>
      </w:pPr>
      <w:r w:rsidRPr="00D17A82">
        <w:rPr>
          <w:rFonts w:cs="Calibri"/>
          <w:snapToGrid/>
          <w:szCs w:val="24"/>
          <w:lang w:val="en-US" w:eastAsia="en-AU"/>
        </w:rPr>
        <w:t xml:space="preserve">The duration of treatment for </w:t>
      </w:r>
      <w:proofErr w:type="spellStart"/>
      <w:r w:rsidRPr="00D17A82">
        <w:rPr>
          <w:rFonts w:cs="Calibri"/>
          <w:snapToGrid/>
          <w:szCs w:val="24"/>
          <w:lang w:val="en-US" w:eastAsia="en-AU"/>
        </w:rPr>
        <w:t>lenalidomide</w:t>
      </w:r>
      <w:proofErr w:type="spellEnd"/>
      <w:r w:rsidRPr="00D17A82">
        <w:rPr>
          <w:rFonts w:cs="Calibri"/>
          <w:snapToGrid/>
          <w:szCs w:val="24"/>
          <w:lang w:val="en-US" w:eastAsia="en-AU"/>
        </w:rPr>
        <w:t xml:space="preserve"> and thalidomide in the maintenance setting is different. In the financial estimates, the submission applied the treatment duration (average years) as observed in the clinical studies to estimate drug costs. The treatment duration applied in the financial estimates for </w:t>
      </w:r>
      <w:proofErr w:type="spellStart"/>
      <w:r w:rsidRPr="00D17A82">
        <w:rPr>
          <w:rFonts w:cs="Calibri"/>
          <w:snapToGrid/>
          <w:szCs w:val="24"/>
          <w:lang w:val="en-US" w:eastAsia="en-AU"/>
        </w:rPr>
        <w:t>lenalidomide</w:t>
      </w:r>
      <w:proofErr w:type="spellEnd"/>
      <w:r w:rsidRPr="00D17A82">
        <w:rPr>
          <w:rFonts w:cs="Calibri"/>
          <w:snapToGrid/>
          <w:szCs w:val="24"/>
          <w:lang w:val="en-US" w:eastAsia="en-AU"/>
        </w:rPr>
        <w:t xml:space="preserve"> and thalidomide was 2.5 years and 0.6 years (7/12 months), respectively. The difference for treatment duration for thalidomide of 2.5 years applied in the economic evaluation compared with 7 months applied in the financial estimates resulted in a substantial difference in the average drug cost per treated patient in those two analyses.</w:t>
      </w:r>
    </w:p>
    <w:p w:rsidR="00902ED9" w:rsidRPr="003B3432" w:rsidRDefault="00902ED9" w:rsidP="00CC39ED">
      <w:pPr>
        <w:keepNext/>
        <w:rPr>
          <w:rFonts w:ascii="Arial Narrow" w:hAnsi="Arial Narrow"/>
          <w:b/>
          <w:sz w:val="20"/>
          <w:szCs w:val="20"/>
        </w:rPr>
      </w:pPr>
      <w:r>
        <w:rPr>
          <w:rFonts w:ascii="Arial Narrow" w:hAnsi="Arial Narrow"/>
          <w:b/>
          <w:sz w:val="20"/>
          <w:szCs w:val="20"/>
        </w:rPr>
        <w:t xml:space="preserve">Table </w:t>
      </w:r>
      <w:r w:rsidR="00247AF0">
        <w:rPr>
          <w:rFonts w:ascii="Arial Narrow" w:hAnsi="Arial Narrow"/>
          <w:b/>
          <w:sz w:val="20"/>
          <w:szCs w:val="20"/>
        </w:rPr>
        <w:t>28</w:t>
      </w:r>
      <w:r w:rsidRPr="003B3432">
        <w:rPr>
          <w:rFonts w:ascii="Arial Narrow" w:hAnsi="Arial Narrow"/>
          <w:b/>
          <w:sz w:val="20"/>
          <w:szCs w:val="20"/>
        </w:rPr>
        <w:t>: Cost of drug treatment</w:t>
      </w:r>
      <w:r>
        <w:rPr>
          <w:rFonts w:ascii="Arial Narrow" w:hAnsi="Arial Narrow"/>
          <w:b/>
          <w:sz w:val="20"/>
          <w:szCs w:val="20"/>
        </w:rPr>
        <w:t xml:space="preserve"> in the economic model and financial estimates</w:t>
      </w:r>
    </w:p>
    <w:tbl>
      <w:tblPr>
        <w:tblStyle w:val="TableGrid"/>
        <w:tblW w:w="0" w:type="auto"/>
        <w:tblLook w:val="04A0" w:firstRow="1" w:lastRow="0" w:firstColumn="1" w:lastColumn="0" w:noHBand="0" w:noVBand="1"/>
      </w:tblPr>
      <w:tblGrid>
        <w:gridCol w:w="1384"/>
        <w:gridCol w:w="1843"/>
        <w:gridCol w:w="2126"/>
        <w:gridCol w:w="1985"/>
        <w:gridCol w:w="1904"/>
      </w:tblGrid>
      <w:tr w:rsidR="00902ED9" w:rsidRPr="00101EB5" w:rsidTr="00902ED9">
        <w:trPr>
          <w:trHeight w:val="300"/>
        </w:trPr>
        <w:tc>
          <w:tcPr>
            <w:tcW w:w="1384" w:type="dxa"/>
            <w:noWrap/>
            <w:hideMark/>
          </w:tcPr>
          <w:p w:rsidR="00902ED9" w:rsidRPr="00101EB5" w:rsidRDefault="00902ED9" w:rsidP="00902ED9">
            <w:pPr>
              <w:rPr>
                <w:rFonts w:ascii="Arial Narrow" w:hAnsi="Arial Narrow"/>
                <w:sz w:val="20"/>
                <w:szCs w:val="20"/>
              </w:rPr>
            </w:pPr>
            <w:r w:rsidRPr="00101EB5">
              <w:rPr>
                <w:rFonts w:ascii="Arial Narrow" w:hAnsi="Arial Narrow"/>
                <w:sz w:val="20"/>
                <w:szCs w:val="20"/>
              </w:rPr>
              <w:t> </w:t>
            </w:r>
          </w:p>
        </w:tc>
        <w:tc>
          <w:tcPr>
            <w:tcW w:w="1843" w:type="dxa"/>
            <w:noWrap/>
            <w:hideMark/>
          </w:tcPr>
          <w:p w:rsidR="00902ED9" w:rsidRPr="00101EB5" w:rsidRDefault="00902ED9" w:rsidP="00902ED9">
            <w:pPr>
              <w:rPr>
                <w:rFonts w:ascii="Arial Narrow" w:hAnsi="Arial Narrow"/>
                <w:b/>
                <w:bCs/>
                <w:sz w:val="20"/>
                <w:szCs w:val="20"/>
              </w:rPr>
            </w:pPr>
            <w:r>
              <w:rPr>
                <w:rFonts w:ascii="Arial Narrow" w:hAnsi="Arial Narrow"/>
                <w:b/>
                <w:bCs/>
                <w:sz w:val="20"/>
                <w:szCs w:val="20"/>
              </w:rPr>
              <w:t>Average cost per patient per y</w:t>
            </w:r>
            <w:r w:rsidRPr="00101EB5">
              <w:rPr>
                <w:rFonts w:ascii="Arial Narrow" w:hAnsi="Arial Narrow"/>
                <w:b/>
                <w:bCs/>
                <w:sz w:val="20"/>
                <w:szCs w:val="20"/>
              </w:rPr>
              <w:t>ear</w:t>
            </w:r>
          </w:p>
        </w:tc>
        <w:tc>
          <w:tcPr>
            <w:tcW w:w="2126" w:type="dxa"/>
            <w:noWrap/>
            <w:hideMark/>
          </w:tcPr>
          <w:p w:rsidR="00902ED9" w:rsidRPr="00101EB5" w:rsidRDefault="00902ED9" w:rsidP="00902ED9">
            <w:pPr>
              <w:rPr>
                <w:rFonts w:ascii="Arial Narrow" w:hAnsi="Arial Narrow"/>
                <w:b/>
                <w:bCs/>
                <w:sz w:val="20"/>
                <w:szCs w:val="20"/>
              </w:rPr>
            </w:pPr>
            <w:r w:rsidRPr="00101EB5">
              <w:rPr>
                <w:rFonts w:ascii="Arial Narrow" w:hAnsi="Arial Narrow"/>
                <w:b/>
                <w:bCs/>
                <w:sz w:val="20"/>
                <w:szCs w:val="20"/>
              </w:rPr>
              <w:t>Average</w:t>
            </w:r>
            <w:r>
              <w:rPr>
                <w:rFonts w:ascii="Arial Narrow" w:hAnsi="Arial Narrow"/>
                <w:b/>
                <w:bCs/>
                <w:sz w:val="20"/>
                <w:szCs w:val="20"/>
              </w:rPr>
              <w:t xml:space="preserve"> drug cost</w:t>
            </w:r>
            <w:r w:rsidRPr="00101EB5">
              <w:rPr>
                <w:rFonts w:ascii="Arial Narrow" w:hAnsi="Arial Narrow"/>
                <w:b/>
                <w:bCs/>
                <w:sz w:val="20"/>
                <w:szCs w:val="20"/>
              </w:rPr>
              <w:t xml:space="preserve"> in </w:t>
            </w:r>
            <w:r>
              <w:rPr>
                <w:rFonts w:ascii="Arial Narrow" w:hAnsi="Arial Narrow"/>
                <w:b/>
                <w:bCs/>
                <w:sz w:val="20"/>
                <w:szCs w:val="20"/>
              </w:rPr>
              <w:t xml:space="preserve">economic </w:t>
            </w:r>
            <w:r w:rsidRPr="00101EB5">
              <w:rPr>
                <w:rFonts w:ascii="Arial Narrow" w:hAnsi="Arial Narrow"/>
                <w:b/>
                <w:bCs/>
                <w:sz w:val="20"/>
                <w:szCs w:val="20"/>
              </w:rPr>
              <w:t>model (Undiscounted)</w:t>
            </w:r>
          </w:p>
        </w:tc>
        <w:tc>
          <w:tcPr>
            <w:tcW w:w="1985" w:type="dxa"/>
            <w:noWrap/>
            <w:hideMark/>
          </w:tcPr>
          <w:p w:rsidR="00902ED9" w:rsidRPr="00101EB5" w:rsidRDefault="00902ED9" w:rsidP="00902ED9">
            <w:pPr>
              <w:rPr>
                <w:rFonts w:ascii="Arial Narrow" w:hAnsi="Arial Narrow"/>
                <w:b/>
                <w:bCs/>
                <w:sz w:val="20"/>
                <w:szCs w:val="20"/>
              </w:rPr>
            </w:pPr>
            <w:r w:rsidRPr="00101EB5">
              <w:rPr>
                <w:rFonts w:ascii="Arial Narrow" w:hAnsi="Arial Narrow"/>
                <w:b/>
                <w:bCs/>
                <w:sz w:val="20"/>
                <w:szCs w:val="20"/>
              </w:rPr>
              <w:t xml:space="preserve">Average </w:t>
            </w:r>
            <w:r>
              <w:rPr>
                <w:rFonts w:ascii="Arial Narrow" w:hAnsi="Arial Narrow"/>
                <w:b/>
                <w:bCs/>
                <w:sz w:val="20"/>
                <w:szCs w:val="20"/>
              </w:rPr>
              <w:t xml:space="preserve">drug cost </w:t>
            </w:r>
            <w:r w:rsidRPr="00101EB5">
              <w:rPr>
                <w:rFonts w:ascii="Arial Narrow" w:hAnsi="Arial Narrow"/>
                <w:b/>
                <w:bCs/>
                <w:sz w:val="20"/>
                <w:szCs w:val="20"/>
              </w:rPr>
              <w:t xml:space="preserve">in </w:t>
            </w:r>
            <w:r>
              <w:rPr>
                <w:rFonts w:ascii="Arial Narrow" w:hAnsi="Arial Narrow"/>
                <w:b/>
                <w:bCs/>
                <w:sz w:val="20"/>
                <w:szCs w:val="20"/>
              </w:rPr>
              <w:t xml:space="preserve">economic </w:t>
            </w:r>
            <w:r w:rsidRPr="00101EB5">
              <w:rPr>
                <w:rFonts w:ascii="Arial Narrow" w:hAnsi="Arial Narrow"/>
                <w:b/>
                <w:bCs/>
                <w:sz w:val="20"/>
                <w:szCs w:val="20"/>
              </w:rPr>
              <w:t>model</w:t>
            </w:r>
            <w:r>
              <w:rPr>
                <w:rFonts w:ascii="Arial Narrow" w:hAnsi="Arial Narrow"/>
                <w:b/>
                <w:bCs/>
                <w:sz w:val="20"/>
                <w:szCs w:val="20"/>
              </w:rPr>
              <w:t xml:space="preserve"> </w:t>
            </w:r>
            <w:r w:rsidRPr="00101EB5">
              <w:rPr>
                <w:rFonts w:ascii="Arial Narrow" w:hAnsi="Arial Narrow"/>
                <w:b/>
                <w:bCs/>
                <w:sz w:val="20"/>
                <w:szCs w:val="20"/>
              </w:rPr>
              <w:t>(Discounted)</w:t>
            </w:r>
          </w:p>
        </w:tc>
        <w:tc>
          <w:tcPr>
            <w:tcW w:w="1904" w:type="dxa"/>
          </w:tcPr>
          <w:p w:rsidR="00902ED9" w:rsidRPr="00FD3F0E" w:rsidRDefault="00902ED9" w:rsidP="00902ED9">
            <w:pPr>
              <w:rPr>
                <w:rFonts w:ascii="Arial Narrow" w:hAnsi="Arial Narrow"/>
                <w:b/>
                <w:bCs/>
                <w:i/>
                <w:sz w:val="20"/>
                <w:szCs w:val="20"/>
              </w:rPr>
            </w:pPr>
            <w:r w:rsidRPr="00FD3F0E">
              <w:rPr>
                <w:rFonts w:ascii="Arial Narrow" w:hAnsi="Arial Narrow"/>
                <w:b/>
                <w:bCs/>
                <w:i/>
                <w:sz w:val="20"/>
                <w:szCs w:val="20"/>
              </w:rPr>
              <w:t>Average drug cost in financial estimates per treatment course</w:t>
            </w:r>
          </w:p>
        </w:tc>
      </w:tr>
      <w:tr w:rsidR="00902ED9" w:rsidRPr="00101EB5" w:rsidTr="00902ED9">
        <w:trPr>
          <w:trHeight w:val="300"/>
        </w:trPr>
        <w:tc>
          <w:tcPr>
            <w:tcW w:w="1384" w:type="dxa"/>
            <w:noWrap/>
            <w:hideMark/>
          </w:tcPr>
          <w:p w:rsidR="00902ED9" w:rsidRPr="00101EB5" w:rsidRDefault="00902ED9" w:rsidP="00902ED9">
            <w:pPr>
              <w:rPr>
                <w:rFonts w:ascii="Arial Narrow" w:hAnsi="Arial Narrow"/>
                <w:sz w:val="20"/>
                <w:szCs w:val="20"/>
              </w:rPr>
            </w:pPr>
            <w:proofErr w:type="spellStart"/>
            <w:r w:rsidRPr="00101EB5">
              <w:rPr>
                <w:rFonts w:ascii="Arial Narrow" w:hAnsi="Arial Narrow"/>
                <w:sz w:val="20"/>
                <w:szCs w:val="20"/>
              </w:rPr>
              <w:t>Lenalidomide</w:t>
            </w:r>
            <w:proofErr w:type="spellEnd"/>
          </w:p>
        </w:tc>
        <w:tc>
          <w:tcPr>
            <w:tcW w:w="1843" w:type="dxa"/>
            <w:noWrap/>
            <w:hideMark/>
          </w:tcPr>
          <w:p w:rsidR="00902ED9" w:rsidRPr="00101EB5" w:rsidRDefault="00902ED9" w:rsidP="00902ED9">
            <w:pPr>
              <w:rPr>
                <w:rFonts w:ascii="Arial Narrow" w:hAnsi="Arial Narrow"/>
                <w:sz w:val="20"/>
                <w:szCs w:val="20"/>
              </w:rPr>
            </w:pPr>
            <w:r w:rsidRPr="00101EB5">
              <w:rPr>
                <w:rFonts w:ascii="Arial Narrow" w:hAnsi="Arial Narrow"/>
                <w:sz w:val="20"/>
                <w:szCs w:val="20"/>
              </w:rPr>
              <w:t>$</w:t>
            </w:r>
            <w:r w:rsidR="003F06F0">
              <w:rPr>
                <w:rFonts w:ascii="Arial Narrow" w:hAnsi="Arial Narrow"/>
                <w:noProof/>
                <w:color w:val="000000"/>
                <w:sz w:val="20"/>
                <w:szCs w:val="20"/>
                <w:highlight w:val="black"/>
              </w:rPr>
              <w:t>'''''''''''''''''''</w:t>
            </w:r>
            <w:r>
              <w:rPr>
                <w:rFonts w:ascii="Arial Narrow" w:hAnsi="Arial Narrow"/>
                <w:sz w:val="20"/>
                <w:szCs w:val="20"/>
              </w:rPr>
              <w:t xml:space="preserve"> </w:t>
            </w:r>
          </w:p>
        </w:tc>
        <w:tc>
          <w:tcPr>
            <w:tcW w:w="2126" w:type="dxa"/>
            <w:noWrap/>
            <w:hideMark/>
          </w:tcPr>
          <w:p w:rsidR="00902ED9" w:rsidRPr="00101EB5" w:rsidRDefault="00902ED9" w:rsidP="00902ED9">
            <w:pPr>
              <w:rPr>
                <w:rFonts w:ascii="Arial Narrow" w:hAnsi="Arial Narrow"/>
                <w:sz w:val="20"/>
                <w:szCs w:val="20"/>
              </w:rPr>
            </w:pPr>
            <w:r w:rsidRPr="00101EB5">
              <w:rPr>
                <w:rFonts w:ascii="Arial Narrow" w:hAnsi="Arial Narrow"/>
                <w:sz w:val="20"/>
                <w:szCs w:val="20"/>
              </w:rPr>
              <w:t>$</w:t>
            </w:r>
            <w:r w:rsidR="003F06F0">
              <w:rPr>
                <w:rFonts w:ascii="Arial Narrow" w:hAnsi="Arial Narrow"/>
                <w:noProof/>
                <w:color w:val="000000"/>
                <w:sz w:val="20"/>
                <w:szCs w:val="20"/>
                <w:highlight w:val="black"/>
              </w:rPr>
              <w:t>'''''''''''''''''</w:t>
            </w:r>
          </w:p>
        </w:tc>
        <w:tc>
          <w:tcPr>
            <w:tcW w:w="1985" w:type="dxa"/>
            <w:noWrap/>
            <w:hideMark/>
          </w:tcPr>
          <w:p w:rsidR="00902ED9" w:rsidRPr="00101EB5" w:rsidRDefault="00902ED9" w:rsidP="00902ED9">
            <w:pPr>
              <w:rPr>
                <w:rFonts w:ascii="Arial Narrow" w:hAnsi="Arial Narrow"/>
                <w:sz w:val="20"/>
                <w:szCs w:val="20"/>
              </w:rPr>
            </w:pPr>
            <w:r w:rsidRPr="00101EB5">
              <w:rPr>
                <w:rFonts w:ascii="Arial Narrow" w:hAnsi="Arial Narrow"/>
                <w:sz w:val="20"/>
                <w:szCs w:val="20"/>
              </w:rPr>
              <w:t>$</w:t>
            </w:r>
            <w:r w:rsidR="003F06F0">
              <w:rPr>
                <w:rFonts w:ascii="Arial Narrow" w:hAnsi="Arial Narrow"/>
                <w:noProof/>
                <w:color w:val="000000"/>
                <w:sz w:val="20"/>
                <w:szCs w:val="20"/>
                <w:highlight w:val="black"/>
              </w:rPr>
              <w:t>'''''''''''''''</w:t>
            </w:r>
          </w:p>
        </w:tc>
        <w:tc>
          <w:tcPr>
            <w:tcW w:w="1904" w:type="dxa"/>
          </w:tcPr>
          <w:p w:rsidR="00902ED9" w:rsidRPr="003E4948" w:rsidRDefault="00902ED9" w:rsidP="00902ED9">
            <w:pPr>
              <w:rPr>
                <w:rFonts w:ascii="Arial Narrow" w:hAnsi="Arial Narrow"/>
                <w:i/>
                <w:sz w:val="20"/>
                <w:szCs w:val="20"/>
              </w:rPr>
            </w:pPr>
            <w:r>
              <w:rPr>
                <w:rFonts w:ascii="Arial Narrow" w:hAnsi="Arial Narrow"/>
                <w:i/>
                <w:sz w:val="20"/>
                <w:szCs w:val="20"/>
              </w:rPr>
              <w:t>$</w:t>
            </w:r>
            <w:r w:rsidR="003F06F0">
              <w:rPr>
                <w:rFonts w:ascii="Arial Narrow" w:hAnsi="Arial Narrow"/>
                <w:i/>
                <w:noProof/>
                <w:color w:val="000000"/>
                <w:sz w:val="20"/>
                <w:szCs w:val="20"/>
                <w:highlight w:val="black"/>
              </w:rPr>
              <w:t>'''''''''''''''''''''''''''''''</w:t>
            </w:r>
          </w:p>
        </w:tc>
      </w:tr>
      <w:tr w:rsidR="00902ED9" w:rsidRPr="00101EB5" w:rsidTr="00902ED9">
        <w:trPr>
          <w:trHeight w:val="300"/>
        </w:trPr>
        <w:tc>
          <w:tcPr>
            <w:tcW w:w="1384" w:type="dxa"/>
            <w:noWrap/>
            <w:hideMark/>
          </w:tcPr>
          <w:p w:rsidR="00902ED9" w:rsidRPr="00101EB5" w:rsidRDefault="00902ED9" w:rsidP="00902ED9">
            <w:pPr>
              <w:rPr>
                <w:rFonts w:ascii="Arial Narrow" w:hAnsi="Arial Narrow"/>
                <w:sz w:val="20"/>
                <w:szCs w:val="20"/>
              </w:rPr>
            </w:pPr>
            <w:r w:rsidRPr="00101EB5">
              <w:rPr>
                <w:rFonts w:ascii="Arial Narrow" w:hAnsi="Arial Narrow"/>
                <w:sz w:val="20"/>
                <w:szCs w:val="20"/>
              </w:rPr>
              <w:t xml:space="preserve">Thalidomide </w:t>
            </w:r>
          </w:p>
        </w:tc>
        <w:tc>
          <w:tcPr>
            <w:tcW w:w="1843" w:type="dxa"/>
            <w:noWrap/>
            <w:hideMark/>
          </w:tcPr>
          <w:p w:rsidR="00902ED9" w:rsidRPr="00101EB5" w:rsidRDefault="00902ED9" w:rsidP="00902ED9">
            <w:pPr>
              <w:rPr>
                <w:rFonts w:ascii="Arial Narrow" w:hAnsi="Arial Narrow"/>
                <w:sz w:val="20"/>
                <w:szCs w:val="20"/>
              </w:rPr>
            </w:pPr>
            <w:r w:rsidRPr="00101EB5">
              <w:rPr>
                <w:rFonts w:ascii="Arial Narrow" w:hAnsi="Arial Narrow"/>
                <w:sz w:val="20"/>
                <w:szCs w:val="20"/>
              </w:rPr>
              <w:t>$</w:t>
            </w:r>
            <w:r w:rsidR="003F06F0">
              <w:rPr>
                <w:rFonts w:ascii="Arial Narrow" w:hAnsi="Arial Narrow"/>
                <w:noProof/>
                <w:color w:val="000000"/>
                <w:sz w:val="20"/>
                <w:szCs w:val="20"/>
                <w:highlight w:val="black"/>
              </w:rPr>
              <w:t>'''''''''''''''''</w:t>
            </w:r>
            <w:r w:rsidRPr="00C50280">
              <w:rPr>
                <w:rFonts w:ascii="Arial Narrow" w:hAnsi="Arial Narrow"/>
                <w:sz w:val="20"/>
                <w:szCs w:val="20"/>
                <w:vertAlign w:val="superscript"/>
              </w:rPr>
              <w:t xml:space="preserve"> </w:t>
            </w:r>
          </w:p>
        </w:tc>
        <w:tc>
          <w:tcPr>
            <w:tcW w:w="2126" w:type="dxa"/>
            <w:noWrap/>
            <w:hideMark/>
          </w:tcPr>
          <w:p w:rsidR="00902ED9" w:rsidRPr="00101EB5" w:rsidRDefault="00902ED9" w:rsidP="00902ED9">
            <w:pPr>
              <w:rPr>
                <w:rFonts w:ascii="Arial Narrow" w:hAnsi="Arial Narrow"/>
                <w:sz w:val="20"/>
                <w:szCs w:val="20"/>
              </w:rPr>
            </w:pPr>
            <w:r w:rsidRPr="00101EB5">
              <w:rPr>
                <w:rFonts w:ascii="Arial Narrow" w:hAnsi="Arial Narrow"/>
                <w:sz w:val="20"/>
                <w:szCs w:val="20"/>
              </w:rPr>
              <w:t>$</w:t>
            </w:r>
            <w:r w:rsidR="003F06F0">
              <w:rPr>
                <w:rFonts w:ascii="Arial Narrow" w:hAnsi="Arial Narrow"/>
                <w:noProof/>
                <w:color w:val="000000"/>
                <w:sz w:val="20"/>
                <w:szCs w:val="20"/>
                <w:highlight w:val="black"/>
              </w:rPr>
              <w:t>'''''''''''''''</w:t>
            </w:r>
          </w:p>
        </w:tc>
        <w:tc>
          <w:tcPr>
            <w:tcW w:w="1985" w:type="dxa"/>
            <w:noWrap/>
            <w:hideMark/>
          </w:tcPr>
          <w:p w:rsidR="00902ED9" w:rsidRPr="00101EB5" w:rsidRDefault="00902ED9" w:rsidP="00902ED9">
            <w:pPr>
              <w:rPr>
                <w:rFonts w:ascii="Arial Narrow" w:hAnsi="Arial Narrow"/>
                <w:sz w:val="20"/>
                <w:szCs w:val="20"/>
              </w:rPr>
            </w:pPr>
            <w:r w:rsidRPr="00101EB5">
              <w:rPr>
                <w:rFonts w:ascii="Arial Narrow" w:hAnsi="Arial Narrow"/>
                <w:sz w:val="20"/>
                <w:szCs w:val="20"/>
              </w:rPr>
              <w:t>$</w:t>
            </w:r>
            <w:r w:rsidR="003F06F0">
              <w:rPr>
                <w:rFonts w:ascii="Arial Narrow" w:hAnsi="Arial Narrow"/>
                <w:noProof/>
                <w:color w:val="000000"/>
                <w:sz w:val="20"/>
                <w:szCs w:val="20"/>
                <w:highlight w:val="black"/>
              </w:rPr>
              <w:t>''''''''''''''''</w:t>
            </w:r>
          </w:p>
        </w:tc>
        <w:tc>
          <w:tcPr>
            <w:tcW w:w="1904" w:type="dxa"/>
          </w:tcPr>
          <w:p w:rsidR="00902ED9" w:rsidRPr="00101EB5" w:rsidRDefault="00902ED9" w:rsidP="00902ED9">
            <w:pPr>
              <w:rPr>
                <w:rFonts w:ascii="Arial Narrow" w:hAnsi="Arial Narrow"/>
                <w:sz w:val="20"/>
                <w:szCs w:val="20"/>
              </w:rPr>
            </w:pPr>
            <w:r>
              <w:rPr>
                <w:rFonts w:ascii="Arial Narrow" w:hAnsi="Arial Narrow"/>
                <w:sz w:val="20"/>
                <w:szCs w:val="20"/>
              </w:rPr>
              <w:t>$</w:t>
            </w:r>
            <w:r w:rsidR="003F06F0">
              <w:rPr>
                <w:rFonts w:ascii="Arial Narrow" w:hAnsi="Arial Narrow"/>
                <w:i/>
                <w:noProof/>
                <w:color w:val="000000"/>
                <w:sz w:val="20"/>
                <w:szCs w:val="20"/>
                <w:highlight w:val="black"/>
              </w:rPr>
              <w:t>'''''''''''''''''''''''''</w:t>
            </w:r>
            <w:r w:rsidRPr="007E245D">
              <w:rPr>
                <w:rFonts w:ascii="Arial Narrow" w:hAnsi="Arial Narrow"/>
                <w:i/>
                <w:sz w:val="20"/>
                <w:szCs w:val="20"/>
                <w:vertAlign w:val="superscript"/>
              </w:rPr>
              <w:t xml:space="preserve"> </w:t>
            </w:r>
          </w:p>
        </w:tc>
      </w:tr>
    </w:tbl>
    <w:p w:rsidR="00902ED9" w:rsidRPr="007E245D" w:rsidRDefault="00902ED9" w:rsidP="00902ED9">
      <w:pPr>
        <w:rPr>
          <w:rFonts w:ascii="Arial Narrow" w:hAnsi="Arial Narrow"/>
          <w:i/>
          <w:sz w:val="18"/>
          <w:szCs w:val="18"/>
        </w:rPr>
      </w:pPr>
      <w:r w:rsidRPr="007E245D">
        <w:rPr>
          <w:rFonts w:ascii="Arial Narrow" w:hAnsi="Arial Narrow"/>
          <w:i/>
          <w:sz w:val="18"/>
          <w:szCs w:val="18"/>
        </w:rPr>
        <w:t xml:space="preserve">Note: a. </w:t>
      </w:r>
      <w:proofErr w:type="spellStart"/>
      <w:r w:rsidRPr="007E245D">
        <w:rPr>
          <w:rFonts w:ascii="Arial Narrow" w:hAnsi="Arial Narrow"/>
          <w:i/>
          <w:sz w:val="18"/>
          <w:szCs w:val="18"/>
        </w:rPr>
        <w:t>Lenalidomide</w:t>
      </w:r>
      <w:proofErr w:type="spellEnd"/>
      <w:r w:rsidRPr="007E245D">
        <w:rPr>
          <w:rFonts w:ascii="Arial Narrow" w:hAnsi="Arial Narrow"/>
          <w:i/>
          <w:sz w:val="18"/>
          <w:szCs w:val="18"/>
        </w:rPr>
        <w:t xml:space="preserve"> = $</w:t>
      </w:r>
      <w:r w:rsidR="003F06F0">
        <w:rPr>
          <w:rFonts w:ascii="Arial Narrow" w:hAnsi="Arial Narrow"/>
          <w:i/>
          <w:noProof/>
          <w:color w:val="000000"/>
          <w:sz w:val="18"/>
          <w:szCs w:val="18"/>
          <w:highlight w:val="black"/>
        </w:rPr>
        <w:t>''''' ''''''''''</w:t>
      </w:r>
      <w:r w:rsidRPr="007E245D">
        <w:rPr>
          <w:rFonts w:ascii="Arial Narrow" w:hAnsi="Arial Narrow"/>
          <w:i/>
          <w:sz w:val="18"/>
          <w:szCs w:val="18"/>
        </w:rPr>
        <w:t xml:space="preserve"> * (365.25/28). b. Thalidomide = $</w:t>
      </w:r>
      <w:r w:rsidR="003F06F0">
        <w:rPr>
          <w:rFonts w:ascii="Arial Narrow" w:hAnsi="Arial Narrow"/>
          <w:i/>
          <w:noProof/>
          <w:color w:val="000000"/>
          <w:sz w:val="18"/>
          <w:szCs w:val="18"/>
          <w:highlight w:val="black"/>
        </w:rPr>
        <w:t>'''''''''</w:t>
      </w:r>
      <w:r w:rsidRPr="007E245D">
        <w:rPr>
          <w:rFonts w:ascii="Arial Narrow" w:hAnsi="Arial Narrow"/>
          <w:i/>
          <w:sz w:val="18"/>
          <w:szCs w:val="18"/>
        </w:rPr>
        <w:t>* (365.25/28)</w:t>
      </w:r>
      <w:r>
        <w:rPr>
          <w:rFonts w:ascii="Arial Narrow" w:hAnsi="Arial Narrow"/>
          <w:i/>
          <w:sz w:val="18"/>
          <w:szCs w:val="18"/>
        </w:rPr>
        <w:t xml:space="preserve">. </w:t>
      </w:r>
      <w:proofErr w:type="gramStart"/>
      <w:r w:rsidRPr="007E245D">
        <w:rPr>
          <w:rFonts w:ascii="Arial Narrow" w:hAnsi="Arial Narrow"/>
          <w:i/>
          <w:sz w:val="18"/>
          <w:szCs w:val="18"/>
        </w:rPr>
        <w:t>c. Total</w:t>
      </w:r>
      <w:proofErr w:type="gramEnd"/>
      <w:r w:rsidRPr="007E245D">
        <w:rPr>
          <w:rFonts w:ascii="Arial Narrow" w:hAnsi="Arial Narrow"/>
          <w:i/>
          <w:sz w:val="18"/>
          <w:szCs w:val="18"/>
        </w:rPr>
        <w:t xml:space="preserve"> PBS/RPBS cost divided total patients: $</w:t>
      </w:r>
      <w:r w:rsidR="003F06F0">
        <w:rPr>
          <w:rFonts w:ascii="Arial Narrow" w:hAnsi="Arial Narrow"/>
          <w:i/>
          <w:noProof/>
          <w:color w:val="000000"/>
          <w:sz w:val="18"/>
          <w:szCs w:val="18"/>
          <w:highlight w:val="black"/>
        </w:rPr>
        <w:t>'''''''''''''''''''''''''' ''' ''''''''''''''''''</w:t>
      </w:r>
      <w:r w:rsidRPr="007E245D">
        <w:rPr>
          <w:rFonts w:ascii="Arial Narrow" w:hAnsi="Arial Narrow"/>
          <w:i/>
          <w:sz w:val="18"/>
          <w:szCs w:val="18"/>
        </w:rPr>
        <w:t xml:space="preserve"> per patient per year * 2.5 years median duration of treatment. </w:t>
      </w:r>
      <w:proofErr w:type="gramStart"/>
      <w:r>
        <w:rPr>
          <w:rFonts w:ascii="Arial Narrow" w:hAnsi="Arial Narrow"/>
          <w:i/>
          <w:sz w:val="18"/>
          <w:szCs w:val="18"/>
        </w:rPr>
        <w:t>d. Total</w:t>
      </w:r>
      <w:proofErr w:type="gramEnd"/>
      <w:r>
        <w:rPr>
          <w:rFonts w:ascii="Arial Narrow" w:hAnsi="Arial Narrow"/>
          <w:i/>
          <w:sz w:val="18"/>
          <w:szCs w:val="18"/>
        </w:rPr>
        <w:t xml:space="preserve"> PBS/RPBS cost divided by total patients = $</w:t>
      </w:r>
      <w:r w:rsidR="003F06F0">
        <w:rPr>
          <w:rFonts w:ascii="Arial Narrow" w:hAnsi="Arial Narrow"/>
          <w:i/>
          <w:noProof/>
          <w:color w:val="000000"/>
          <w:sz w:val="18"/>
          <w:szCs w:val="18"/>
          <w:highlight w:val="black"/>
        </w:rPr>
        <w:t>'''''''''''''''''''''''</w:t>
      </w:r>
      <w:r>
        <w:rPr>
          <w:rFonts w:ascii="Arial Narrow" w:hAnsi="Arial Narrow"/>
          <w:i/>
          <w:sz w:val="18"/>
          <w:szCs w:val="18"/>
        </w:rPr>
        <w:t xml:space="preserve"> per patient per year * 0.7 years median duration of treatment. </w:t>
      </w:r>
    </w:p>
    <w:p w:rsidR="00902ED9" w:rsidRPr="007E245D" w:rsidRDefault="00902ED9" w:rsidP="00902ED9">
      <w:pPr>
        <w:rPr>
          <w:rFonts w:ascii="Arial Narrow" w:hAnsi="Arial Narrow"/>
          <w:i/>
          <w:sz w:val="18"/>
          <w:szCs w:val="18"/>
        </w:rPr>
      </w:pPr>
      <w:r w:rsidRPr="007E245D">
        <w:rPr>
          <w:rFonts w:ascii="Arial Narrow" w:hAnsi="Arial Narrow"/>
          <w:i/>
          <w:sz w:val="18"/>
          <w:szCs w:val="18"/>
        </w:rPr>
        <w:t xml:space="preserve">Thalidomide = total PBS/RPBS cost divided total patients for 0.6 years median duration of treatment. </w:t>
      </w:r>
    </w:p>
    <w:p w:rsidR="00902ED9" w:rsidRPr="007E245D" w:rsidRDefault="00902ED9" w:rsidP="00902ED9">
      <w:pPr>
        <w:rPr>
          <w:rFonts w:ascii="Arial Narrow" w:hAnsi="Arial Narrow"/>
          <w:i/>
          <w:sz w:val="18"/>
          <w:szCs w:val="18"/>
        </w:rPr>
      </w:pPr>
      <w:r w:rsidRPr="007E245D">
        <w:rPr>
          <w:rFonts w:ascii="Arial Narrow" w:hAnsi="Arial Narrow"/>
          <w:i/>
          <w:sz w:val="18"/>
          <w:szCs w:val="18"/>
        </w:rPr>
        <w:t>Source: Excel spreadsheet “</w:t>
      </w:r>
      <w:proofErr w:type="spellStart"/>
      <w:r w:rsidRPr="007E245D">
        <w:rPr>
          <w:rFonts w:ascii="Arial Narrow" w:hAnsi="Arial Narrow"/>
          <w:i/>
          <w:sz w:val="18"/>
          <w:szCs w:val="18"/>
        </w:rPr>
        <w:t>Att</w:t>
      </w:r>
      <w:proofErr w:type="spellEnd"/>
      <w:r w:rsidRPr="007E245D">
        <w:rPr>
          <w:rFonts w:ascii="Arial Narrow" w:hAnsi="Arial Narrow"/>
          <w:i/>
          <w:sz w:val="18"/>
          <w:szCs w:val="18"/>
        </w:rPr>
        <w:t xml:space="preserve"> 12_Section 3 cost effectiveness model v2”, sheet ‘</w:t>
      </w:r>
      <w:proofErr w:type="spellStart"/>
      <w:r w:rsidRPr="007E245D">
        <w:rPr>
          <w:rFonts w:ascii="Arial Narrow" w:hAnsi="Arial Narrow"/>
          <w:i/>
          <w:sz w:val="18"/>
          <w:szCs w:val="18"/>
        </w:rPr>
        <w:t>Calc</w:t>
      </w:r>
      <w:proofErr w:type="spellEnd"/>
      <w:r w:rsidRPr="007E245D">
        <w:rPr>
          <w:rFonts w:ascii="Arial Narrow" w:hAnsi="Arial Narrow"/>
          <w:i/>
          <w:sz w:val="18"/>
          <w:szCs w:val="18"/>
        </w:rPr>
        <w:t xml:space="preserve"> Tx1’ and ‘</w:t>
      </w:r>
      <w:proofErr w:type="spellStart"/>
      <w:r w:rsidRPr="007E245D">
        <w:rPr>
          <w:rFonts w:ascii="Arial Narrow" w:hAnsi="Arial Narrow"/>
          <w:i/>
          <w:sz w:val="18"/>
          <w:szCs w:val="18"/>
        </w:rPr>
        <w:t>Calc</w:t>
      </w:r>
      <w:proofErr w:type="spellEnd"/>
      <w:r w:rsidRPr="007E245D">
        <w:rPr>
          <w:rFonts w:ascii="Arial Narrow" w:hAnsi="Arial Narrow"/>
          <w:i/>
          <w:sz w:val="18"/>
          <w:szCs w:val="18"/>
        </w:rPr>
        <w:t xml:space="preserve"> Tx2’. </w:t>
      </w:r>
    </w:p>
    <w:p w:rsidR="00902ED9" w:rsidRPr="007E245D" w:rsidRDefault="00902ED9" w:rsidP="00902ED9">
      <w:pPr>
        <w:rPr>
          <w:rFonts w:ascii="Arial Narrow" w:hAnsi="Arial Narrow"/>
          <w:i/>
          <w:sz w:val="18"/>
          <w:szCs w:val="18"/>
        </w:rPr>
      </w:pPr>
      <w:r w:rsidRPr="007E245D">
        <w:rPr>
          <w:rFonts w:ascii="Arial Narrow" w:hAnsi="Arial Narrow"/>
          <w:i/>
          <w:sz w:val="18"/>
          <w:szCs w:val="18"/>
        </w:rPr>
        <w:t>Excel spreadsheet “</w:t>
      </w:r>
      <w:proofErr w:type="spellStart"/>
      <w:r w:rsidRPr="007E245D">
        <w:rPr>
          <w:rFonts w:ascii="Arial Narrow" w:hAnsi="Arial Narrow"/>
          <w:i/>
          <w:sz w:val="18"/>
          <w:szCs w:val="18"/>
        </w:rPr>
        <w:t>Att</w:t>
      </w:r>
      <w:proofErr w:type="spellEnd"/>
      <w:r w:rsidRPr="007E245D">
        <w:rPr>
          <w:rFonts w:ascii="Arial Narrow" w:hAnsi="Arial Narrow"/>
          <w:i/>
          <w:sz w:val="18"/>
          <w:szCs w:val="18"/>
        </w:rPr>
        <w:t xml:space="preserve"> 14_Section 4 financial impact model v2”</w:t>
      </w:r>
      <w:proofErr w:type="gramStart"/>
      <w:r w:rsidRPr="007E245D">
        <w:rPr>
          <w:rFonts w:ascii="Arial Narrow" w:hAnsi="Arial Narrow"/>
          <w:i/>
          <w:sz w:val="18"/>
          <w:szCs w:val="18"/>
        </w:rPr>
        <w:t>,</w:t>
      </w:r>
      <w:proofErr w:type="gramEnd"/>
      <w:r w:rsidRPr="007E245D">
        <w:rPr>
          <w:rFonts w:ascii="Arial Narrow" w:hAnsi="Arial Narrow"/>
          <w:i/>
          <w:sz w:val="18"/>
          <w:szCs w:val="18"/>
        </w:rPr>
        <w:t xml:space="preserve"> sheet ‘4.2 Proposed medicine’ and ‘4.3 Other medicines’. </w:t>
      </w:r>
    </w:p>
    <w:p w:rsidR="00902ED9" w:rsidRPr="00D63813" w:rsidRDefault="00902ED9" w:rsidP="00D63813">
      <w:pPr>
        <w:keepNext/>
        <w:widowControl/>
        <w:rPr>
          <w:rFonts w:cs="Calibri"/>
          <w:snapToGrid/>
          <w:szCs w:val="24"/>
          <w:lang w:val="en-US" w:eastAsia="en-AU"/>
        </w:rPr>
      </w:pPr>
    </w:p>
    <w:p w:rsidR="00A51754" w:rsidRPr="00CE0BE9" w:rsidRDefault="00A51754" w:rsidP="00A51754">
      <w:pPr>
        <w:pStyle w:val="Heading2"/>
        <w:rPr>
          <w:i w:val="0"/>
        </w:rPr>
      </w:pPr>
      <w:bookmarkStart w:id="22" w:name="_Toc503271383"/>
      <w:r w:rsidRPr="00CE0BE9">
        <w:rPr>
          <w:i w:val="0"/>
        </w:rPr>
        <w:t>Estimated PBS usage &amp; financial implications</w:t>
      </w:r>
      <w:bookmarkEnd w:id="22"/>
    </w:p>
    <w:p w:rsidR="0097207C" w:rsidRPr="0030031D" w:rsidRDefault="00290BD0" w:rsidP="00B261C4">
      <w:pPr>
        <w:pStyle w:val="ListParagraph"/>
        <w:widowControl/>
        <w:numPr>
          <w:ilvl w:val="1"/>
          <w:numId w:val="2"/>
        </w:numPr>
      </w:pPr>
      <w:bookmarkStart w:id="23" w:name="_Toc503271384"/>
      <w:r>
        <w:t>T</w:t>
      </w:r>
      <w:r w:rsidRPr="0030031D">
        <w:t>his submission w</w:t>
      </w:r>
      <w:r w:rsidR="0097207C" w:rsidRPr="0030031D">
        <w:t xml:space="preserve">as </w:t>
      </w:r>
      <w:r w:rsidRPr="0030031D">
        <w:t>considered by DUSC</w:t>
      </w:r>
      <w:r w:rsidRPr="0030031D">
        <w:rPr>
          <w:color w:val="0070C0"/>
        </w:rPr>
        <w:t xml:space="preserve">. </w:t>
      </w:r>
      <w:r w:rsidRPr="0030031D">
        <w:t xml:space="preserve">The submission presented an epidemiological approach which assumed that </w:t>
      </w:r>
      <w:proofErr w:type="spellStart"/>
      <w:r w:rsidRPr="0030031D">
        <w:t>lenalidomide</w:t>
      </w:r>
      <w:proofErr w:type="spellEnd"/>
      <w:r w:rsidRPr="0030031D">
        <w:t xml:space="preserve"> uptake would be for all patients who have received an ASCT. The submission based the number of patients receiving an ASCT on published estimates of patients undergoing an ASCT for NDM</w:t>
      </w:r>
      <w:r w:rsidRPr="0079683A">
        <w:t>M. These estimates were based on the number of ASCT patient reported in the Australasian Bone Marrow Transplant Recipient Registry Annual Data Summary in 2013 (</w:t>
      </w:r>
      <w:r w:rsidR="003F06F0">
        <w:rPr>
          <w:noProof/>
          <w:color w:val="000000"/>
          <w:highlight w:val="black"/>
        </w:rPr>
        <w:t>'''''''</w:t>
      </w:r>
      <w:r w:rsidRPr="0079683A">
        <w:t>) and 2015 (</w:t>
      </w:r>
      <w:r w:rsidR="003F06F0">
        <w:rPr>
          <w:noProof/>
          <w:color w:val="000000"/>
          <w:highlight w:val="black"/>
        </w:rPr>
        <w:t>''''''''</w:t>
      </w:r>
      <w:r w:rsidRPr="0079683A">
        <w:t xml:space="preserve">), to which a </w:t>
      </w:r>
      <w:r w:rsidR="003F06F0">
        <w:rPr>
          <w:noProof/>
          <w:color w:val="000000"/>
          <w:highlight w:val="black"/>
        </w:rPr>
        <w:t>'''''''</w:t>
      </w:r>
      <w:r w:rsidRPr="0079683A">
        <w:t xml:space="preserve">% annual growth rate was applied to estimate </w:t>
      </w:r>
      <w:r w:rsidR="003F06F0">
        <w:rPr>
          <w:noProof/>
          <w:color w:val="000000"/>
          <w:highlight w:val="black"/>
        </w:rPr>
        <w:t>'''''''</w:t>
      </w:r>
      <w:r w:rsidRPr="0079683A">
        <w:t xml:space="preserve"> patients in Year 1 (2018).  </w:t>
      </w:r>
      <w:r w:rsidR="0097207C" w:rsidRPr="0079683A">
        <w:rPr>
          <w:rFonts w:asciiTheme="minorHAnsi" w:hAnsiTheme="minorHAnsi"/>
          <w:color w:val="000000" w:themeColor="text1"/>
          <w:szCs w:val="24"/>
        </w:rPr>
        <w:t xml:space="preserve">DUSC noted that limited demographic and transplant data is captured in the registry on patients who choose not to give consent to transfer their information to the registry. DUSC considered that while this suggests that the ABMTRR is population-based as it collects some limited information for </w:t>
      </w:r>
      <w:r w:rsidR="0030031D" w:rsidRPr="0079683A">
        <w:rPr>
          <w:rFonts w:asciiTheme="minorHAnsi" w:hAnsiTheme="minorHAnsi"/>
          <w:color w:val="000000" w:themeColor="text1"/>
          <w:szCs w:val="24"/>
        </w:rPr>
        <w:t>non</w:t>
      </w:r>
      <w:r w:rsidR="0030031D" w:rsidRPr="0079683A">
        <w:rPr>
          <w:rFonts w:asciiTheme="minorHAnsi" w:hAnsiTheme="minorHAnsi"/>
          <w:color w:val="000000" w:themeColor="text1"/>
          <w:szCs w:val="24"/>
        </w:rPr>
        <w:noBreakHyphen/>
      </w:r>
      <w:r w:rsidR="0097207C" w:rsidRPr="0079683A">
        <w:rPr>
          <w:rFonts w:asciiTheme="minorHAnsi" w:hAnsiTheme="minorHAnsi"/>
          <w:color w:val="000000" w:themeColor="text1"/>
          <w:szCs w:val="24"/>
        </w:rPr>
        <w:t xml:space="preserve">consenting patients, it is unknown what proportion of the overall multiple myeloma population were represented in the ABMTRR. </w:t>
      </w:r>
      <w:r w:rsidR="0030031D" w:rsidRPr="0079683A">
        <w:rPr>
          <w:rFonts w:asciiTheme="minorHAnsi" w:hAnsiTheme="minorHAnsi"/>
          <w:color w:val="000000" w:themeColor="text1"/>
          <w:szCs w:val="24"/>
        </w:rPr>
        <w:t>DUSC agreed with the Commentary</w:t>
      </w:r>
      <w:r w:rsidR="0097207C" w:rsidRPr="0079683A">
        <w:rPr>
          <w:rFonts w:asciiTheme="minorHAnsi" w:hAnsiTheme="minorHAnsi"/>
          <w:color w:val="000000" w:themeColor="text1"/>
          <w:szCs w:val="24"/>
        </w:rPr>
        <w:t xml:space="preserve"> that it was also unclear what proportion of patients receiving an ASCT was newly diagnosed.</w:t>
      </w:r>
    </w:p>
    <w:p w:rsidR="00AC647E" w:rsidRPr="00032036" w:rsidRDefault="00290BD0" w:rsidP="0030031D">
      <w:pPr>
        <w:pStyle w:val="ListParagraph"/>
        <w:widowControl/>
        <w:numPr>
          <w:ilvl w:val="1"/>
          <w:numId w:val="2"/>
        </w:numPr>
      </w:pPr>
      <w:r w:rsidRPr="0097207C">
        <w:t xml:space="preserve">The estimated use and financial implications of </w:t>
      </w:r>
      <w:proofErr w:type="spellStart"/>
      <w:r w:rsidRPr="0097207C">
        <w:t>lenalidomide</w:t>
      </w:r>
      <w:proofErr w:type="spellEnd"/>
      <w:r w:rsidRPr="0097207C">
        <w:t xml:space="preserve"> are presented in Table 24.</w:t>
      </w:r>
    </w:p>
    <w:p w:rsidR="00D63813" w:rsidRDefault="00D63813" w:rsidP="00290BD0">
      <w:pPr>
        <w:rPr>
          <w:rStyle w:val="CommentReference"/>
        </w:rPr>
      </w:pPr>
    </w:p>
    <w:p w:rsidR="00994C55" w:rsidRDefault="00994C55">
      <w:pPr>
        <w:widowControl/>
        <w:jc w:val="left"/>
        <w:rPr>
          <w:rStyle w:val="CommentReference"/>
        </w:rPr>
      </w:pPr>
      <w:r>
        <w:rPr>
          <w:rStyle w:val="CommentReference"/>
        </w:rPr>
        <w:br w:type="page"/>
      </w:r>
    </w:p>
    <w:p w:rsidR="00290BD0" w:rsidRPr="00C25D9C" w:rsidRDefault="00290BD0" w:rsidP="00290BD0">
      <w:r w:rsidRPr="001222FC">
        <w:rPr>
          <w:rStyle w:val="CommentReference"/>
        </w:rPr>
        <w:t xml:space="preserve">Table </w:t>
      </w:r>
      <w:r>
        <w:rPr>
          <w:rStyle w:val="CommentReference"/>
        </w:rPr>
        <w:t>24</w:t>
      </w:r>
      <w:r w:rsidRPr="001222FC">
        <w:rPr>
          <w:rStyle w:val="CommentReference"/>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78"/>
        <w:gridCol w:w="1360"/>
        <w:gridCol w:w="1133"/>
        <w:gridCol w:w="1133"/>
        <w:gridCol w:w="1133"/>
        <w:gridCol w:w="1133"/>
        <w:gridCol w:w="1135"/>
      </w:tblGrid>
      <w:tr w:rsidR="00290BD0" w:rsidRPr="00D1078F" w:rsidTr="003A238A">
        <w:trPr>
          <w:tblHeader/>
        </w:trPr>
        <w:tc>
          <w:tcPr>
            <w:tcW w:w="1099" w:type="pct"/>
            <w:shd w:val="clear" w:color="auto" w:fill="auto"/>
            <w:vAlign w:val="center"/>
          </w:tcPr>
          <w:p w:rsidR="00290BD0" w:rsidRPr="003639A6" w:rsidRDefault="00290BD0" w:rsidP="003A238A">
            <w:pPr>
              <w:pStyle w:val="Tabletext"/>
            </w:pPr>
          </w:p>
        </w:tc>
        <w:tc>
          <w:tcPr>
            <w:tcW w:w="755" w:type="pct"/>
            <w:shd w:val="clear" w:color="auto" w:fill="auto"/>
            <w:vAlign w:val="center"/>
          </w:tcPr>
          <w:p w:rsidR="00290BD0" w:rsidRPr="00D1078F" w:rsidRDefault="00290BD0" w:rsidP="003A238A">
            <w:pPr>
              <w:pStyle w:val="Tabletext"/>
              <w:jc w:val="center"/>
              <w:rPr>
                <w:b/>
              </w:rPr>
            </w:pPr>
            <w:r w:rsidRPr="00D1078F">
              <w:rPr>
                <w:b/>
              </w:rPr>
              <w:t>Year 1</w:t>
            </w:r>
          </w:p>
        </w:tc>
        <w:tc>
          <w:tcPr>
            <w:tcW w:w="629" w:type="pct"/>
            <w:shd w:val="clear" w:color="auto" w:fill="auto"/>
            <w:vAlign w:val="center"/>
          </w:tcPr>
          <w:p w:rsidR="00290BD0" w:rsidRPr="00D1078F" w:rsidRDefault="00290BD0" w:rsidP="003A238A">
            <w:pPr>
              <w:pStyle w:val="Tabletext"/>
              <w:jc w:val="center"/>
              <w:rPr>
                <w:b/>
              </w:rPr>
            </w:pPr>
            <w:r w:rsidRPr="00D1078F">
              <w:rPr>
                <w:b/>
              </w:rPr>
              <w:t>Year 2</w:t>
            </w:r>
          </w:p>
        </w:tc>
        <w:tc>
          <w:tcPr>
            <w:tcW w:w="629" w:type="pct"/>
            <w:shd w:val="clear" w:color="auto" w:fill="auto"/>
            <w:vAlign w:val="center"/>
          </w:tcPr>
          <w:p w:rsidR="00290BD0" w:rsidRPr="00D1078F" w:rsidRDefault="00290BD0" w:rsidP="003A238A">
            <w:pPr>
              <w:pStyle w:val="Tabletext"/>
              <w:jc w:val="center"/>
              <w:rPr>
                <w:b/>
              </w:rPr>
            </w:pPr>
            <w:r w:rsidRPr="00D1078F">
              <w:rPr>
                <w:b/>
              </w:rPr>
              <w:t>Year 3</w:t>
            </w:r>
          </w:p>
        </w:tc>
        <w:tc>
          <w:tcPr>
            <w:tcW w:w="629" w:type="pct"/>
            <w:shd w:val="clear" w:color="auto" w:fill="auto"/>
            <w:vAlign w:val="center"/>
          </w:tcPr>
          <w:p w:rsidR="00290BD0" w:rsidRPr="00D1078F" w:rsidRDefault="00290BD0" w:rsidP="003A238A">
            <w:pPr>
              <w:pStyle w:val="Tabletext"/>
              <w:jc w:val="center"/>
              <w:rPr>
                <w:b/>
              </w:rPr>
            </w:pPr>
            <w:r w:rsidRPr="00D1078F">
              <w:rPr>
                <w:b/>
              </w:rPr>
              <w:t>Year 4</w:t>
            </w:r>
          </w:p>
        </w:tc>
        <w:tc>
          <w:tcPr>
            <w:tcW w:w="629" w:type="pct"/>
            <w:shd w:val="clear" w:color="auto" w:fill="auto"/>
            <w:vAlign w:val="center"/>
          </w:tcPr>
          <w:p w:rsidR="00290BD0" w:rsidRPr="00D1078F" w:rsidRDefault="00290BD0" w:rsidP="003A238A">
            <w:pPr>
              <w:pStyle w:val="Tabletext"/>
              <w:jc w:val="center"/>
              <w:rPr>
                <w:b/>
              </w:rPr>
            </w:pPr>
            <w:r w:rsidRPr="00D1078F">
              <w:rPr>
                <w:b/>
              </w:rPr>
              <w:t>Year 5</w:t>
            </w:r>
          </w:p>
        </w:tc>
        <w:tc>
          <w:tcPr>
            <w:tcW w:w="629" w:type="pct"/>
          </w:tcPr>
          <w:p w:rsidR="00290BD0" w:rsidRPr="00D1078F" w:rsidRDefault="00290BD0" w:rsidP="003A238A">
            <w:pPr>
              <w:pStyle w:val="Tabletext"/>
              <w:jc w:val="center"/>
              <w:rPr>
                <w:b/>
              </w:rPr>
            </w:pPr>
            <w:r w:rsidRPr="00D1078F">
              <w:rPr>
                <w:b/>
              </w:rPr>
              <w:t>Year 6</w:t>
            </w:r>
          </w:p>
        </w:tc>
      </w:tr>
      <w:tr w:rsidR="00290BD0" w:rsidRPr="00D1078F" w:rsidTr="003A238A">
        <w:tc>
          <w:tcPr>
            <w:tcW w:w="5000" w:type="pct"/>
            <w:gridSpan w:val="7"/>
            <w:shd w:val="clear" w:color="auto" w:fill="auto"/>
            <w:vAlign w:val="center"/>
          </w:tcPr>
          <w:p w:rsidR="00290BD0" w:rsidRPr="00D1078F" w:rsidRDefault="00290BD0" w:rsidP="003A238A">
            <w:pPr>
              <w:pStyle w:val="Tabletext"/>
              <w:rPr>
                <w:b/>
                <w:bCs/>
                <w:color w:val="000000"/>
              </w:rPr>
            </w:pPr>
            <w:r w:rsidRPr="00D1078F">
              <w:rPr>
                <w:b/>
                <w:bCs/>
                <w:color w:val="000000"/>
              </w:rPr>
              <w:t>Estimated extent of use</w:t>
            </w:r>
          </w:p>
        </w:tc>
      </w:tr>
      <w:tr w:rsidR="00290BD0" w:rsidRPr="003639A6" w:rsidTr="003A238A">
        <w:tc>
          <w:tcPr>
            <w:tcW w:w="1099" w:type="pct"/>
            <w:shd w:val="clear" w:color="auto" w:fill="auto"/>
            <w:vAlign w:val="center"/>
          </w:tcPr>
          <w:p w:rsidR="00290BD0" w:rsidRPr="003639A6" w:rsidRDefault="00290BD0" w:rsidP="003A238A">
            <w:pPr>
              <w:pStyle w:val="Tabletext"/>
            </w:pPr>
            <w:r>
              <w:t>Number of ASCT</w:t>
            </w:r>
          </w:p>
        </w:tc>
        <w:tc>
          <w:tcPr>
            <w:tcW w:w="755" w:type="pct"/>
            <w:tcBorders>
              <w:top w:val="single" w:sz="4" w:space="0" w:color="auto"/>
              <w:left w:val="nil"/>
              <w:bottom w:val="single" w:sz="4" w:space="0" w:color="auto"/>
              <w:right w:val="single" w:sz="4" w:space="0" w:color="auto"/>
            </w:tcBorders>
            <w:shd w:val="clear" w:color="auto" w:fill="auto"/>
            <w:vAlign w:val="bottom"/>
          </w:tcPr>
          <w:p w:rsidR="00290BD0" w:rsidRPr="003F06F0" w:rsidRDefault="003F06F0" w:rsidP="003A238A">
            <w:pPr>
              <w:pStyle w:val="Tabletext"/>
              <w:jc w:val="center"/>
              <w:rPr>
                <w:highlight w:val="black"/>
              </w:rPr>
            </w:pPr>
            <w:r>
              <w:rPr>
                <w:noProof/>
                <w:color w:val="000000"/>
                <w:szCs w:val="2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bottom"/>
          </w:tcPr>
          <w:p w:rsidR="00290BD0" w:rsidRPr="003F06F0" w:rsidRDefault="003F06F0" w:rsidP="003A238A">
            <w:pPr>
              <w:pStyle w:val="Tabletext"/>
              <w:jc w:val="center"/>
              <w:rPr>
                <w:highlight w:val="black"/>
              </w:rPr>
            </w:pPr>
            <w:r>
              <w:rPr>
                <w:noProof/>
                <w:color w:val="000000"/>
                <w:szCs w:val="2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bottom"/>
          </w:tcPr>
          <w:p w:rsidR="00290BD0" w:rsidRPr="003F06F0" w:rsidRDefault="003F06F0" w:rsidP="003A238A">
            <w:pPr>
              <w:pStyle w:val="Tabletext"/>
              <w:jc w:val="center"/>
              <w:rPr>
                <w:highlight w:val="black"/>
              </w:rPr>
            </w:pPr>
            <w:r>
              <w:rPr>
                <w:noProof/>
                <w:color w:val="000000"/>
                <w:szCs w:val="2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bottom"/>
          </w:tcPr>
          <w:p w:rsidR="00290BD0" w:rsidRPr="003F06F0" w:rsidRDefault="003F06F0" w:rsidP="003A238A">
            <w:pPr>
              <w:pStyle w:val="Tabletext"/>
              <w:jc w:val="center"/>
              <w:rPr>
                <w:highlight w:val="black"/>
              </w:rPr>
            </w:pPr>
            <w:r>
              <w:rPr>
                <w:noProof/>
                <w:color w:val="000000"/>
                <w:szCs w:val="2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bottom"/>
          </w:tcPr>
          <w:p w:rsidR="00290BD0" w:rsidRPr="003F06F0" w:rsidRDefault="003F06F0" w:rsidP="003A238A">
            <w:pPr>
              <w:pStyle w:val="Tabletext"/>
              <w:jc w:val="center"/>
              <w:rPr>
                <w:highlight w:val="black"/>
              </w:rPr>
            </w:pPr>
            <w:r>
              <w:rPr>
                <w:noProof/>
                <w:color w:val="000000"/>
                <w:szCs w:val="2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bottom"/>
          </w:tcPr>
          <w:p w:rsidR="00290BD0" w:rsidRPr="003F06F0" w:rsidRDefault="003F06F0" w:rsidP="003A238A">
            <w:pPr>
              <w:pStyle w:val="Tabletext"/>
              <w:jc w:val="center"/>
              <w:rPr>
                <w:highlight w:val="black"/>
              </w:rPr>
            </w:pPr>
            <w:r>
              <w:rPr>
                <w:noProof/>
                <w:color w:val="000000"/>
                <w:szCs w:val="20"/>
                <w:highlight w:val="black"/>
              </w:rPr>
              <w:t>''''''''</w:t>
            </w:r>
          </w:p>
        </w:tc>
      </w:tr>
      <w:tr w:rsidR="00290BD0" w:rsidRPr="003639A6" w:rsidTr="003A238A">
        <w:tc>
          <w:tcPr>
            <w:tcW w:w="1099" w:type="pct"/>
            <w:shd w:val="clear" w:color="auto" w:fill="auto"/>
          </w:tcPr>
          <w:p w:rsidR="00290BD0" w:rsidRPr="003639A6" w:rsidRDefault="00290BD0" w:rsidP="003A238A">
            <w:pPr>
              <w:pStyle w:val="Tabletext"/>
            </w:pPr>
            <w:r w:rsidRPr="00752EE4">
              <w:rPr>
                <w:rFonts w:eastAsia="SimSun"/>
                <w:szCs w:val="20"/>
              </w:rPr>
              <w:t xml:space="preserve">Patients starting LEN in </w:t>
            </w:r>
            <w:proofErr w:type="spellStart"/>
            <w:r w:rsidRPr="00752EE4">
              <w:rPr>
                <w:rFonts w:eastAsia="SimSun"/>
                <w:szCs w:val="20"/>
              </w:rPr>
              <w:t>year</w:t>
            </w:r>
            <w:r>
              <w:rPr>
                <w:rFonts w:eastAsia="SimSun"/>
                <w:szCs w:val="20"/>
                <w:vertAlign w:val="superscript"/>
              </w:rPr>
              <w:t>a</w:t>
            </w:r>
            <w:proofErr w:type="spellEnd"/>
          </w:p>
        </w:tc>
        <w:tc>
          <w:tcPr>
            <w:tcW w:w="755" w:type="pct"/>
            <w:tcBorders>
              <w:top w:val="single" w:sz="4" w:space="0" w:color="auto"/>
              <w:left w:val="nil"/>
              <w:bottom w:val="single" w:sz="4" w:space="0" w:color="auto"/>
              <w:right w:val="single" w:sz="4" w:space="0" w:color="auto"/>
            </w:tcBorders>
            <w:shd w:val="clear" w:color="auto" w:fill="auto"/>
            <w:vAlign w:val="bottom"/>
          </w:tcPr>
          <w:p w:rsidR="00290BD0" w:rsidRPr="003F06F0" w:rsidRDefault="003F06F0" w:rsidP="003A238A">
            <w:pPr>
              <w:pStyle w:val="Tabletext"/>
              <w:jc w:val="center"/>
              <w:rPr>
                <w:highlight w:val="black"/>
              </w:rPr>
            </w:pPr>
            <w:r>
              <w:rPr>
                <w:noProof/>
                <w:color w:val="000000"/>
                <w:szCs w:val="2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bottom"/>
          </w:tcPr>
          <w:p w:rsidR="00290BD0" w:rsidRPr="003F06F0" w:rsidRDefault="003F06F0" w:rsidP="003A238A">
            <w:pPr>
              <w:pStyle w:val="Tabletext"/>
              <w:jc w:val="center"/>
              <w:rPr>
                <w:highlight w:val="black"/>
              </w:rPr>
            </w:pPr>
            <w:r>
              <w:rPr>
                <w:noProof/>
                <w:color w:val="000000"/>
                <w:szCs w:val="2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bottom"/>
          </w:tcPr>
          <w:p w:rsidR="00290BD0" w:rsidRPr="003F06F0" w:rsidRDefault="003F06F0" w:rsidP="003A238A">
            <w:pPr>
              <w:pStyle w:val="Tabletext"/>
              <w:jc w:val="center"/>
              <w:rPr>
                <w:highlight w:val="black"/>
              </w:rPr>
            </w:pPr>
            <w:r>
              <w:rPr>
                <w:noProof/>
                <w:color w:val="000000"/>
                <w:szCs w:val="2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bottom"/>
          </w:tcPr>
          <w:p w:rsidR="00290BD0" w:rsidRPr="003F06F0" w:rsidRDefault="003F06F0" w:rsidP="003A238A">
            <w:pPr>
              <w:pStyle w:val="Tabletext"/>
              <w:jc w:val="center"/>
              <w:rPr>
                <w:highlight w:val="black"/>
              </w:rPr>
            </w:pPr>
            <w:r>
              <w:rPr>
                <w:noProof/>
                <w:color w:val="000000"/>
                <w:szCs w:val="2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bottom"/>
          </w:tcPr>
          <w:p w:rsidR="00290BD0" w:rsidRPr="003F06F0" w:rsidRDefault="003F06F0" w:rsidP="003A238A">
            <w:pPr>
              <w:pStyle w:val="Tabletext"/>
              <w:jc w:val="center"/>
              <w:rPr>
                <w:highlight w:val="black"/>
              </w:rPr>
            </w:pPr>
            <w:r>
              <w:rPr>
                <w:noProof/>
                <w:color w:val="000000"/>
                <w:szCs w:val="2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bottom"/>
          </w:tcPr>
          <w:p w:rsidR="00290BD0" w:rsidRPr="003F06F0" w:rsidRDefault="003F06F0" w:rsidP="003A238A">
            <w:pPr>
              <w:pStyle w:val="Tabletext"/>
              <w:jc w:val="center"/>
              <w:rPr>
                <w:highlight w:val="black"/>
              </w:rPr>
            </w:pPr>
            <w:r>
              <w:rPr>
                <w:noProof/>
                <w:color w:val="000000"/>
                <w:szCs w:val="20"/>
                <w:highlight w:val="black"/>
              </w:rPr>
              <w:t>''''''''''</w:t>
            </w:r>
          </w:p>
        </w:tc>
      </w:tr>
      <w:tr w:rsidR="00290BD0" w:rsidRPr="003639A6" w:rsidTr="003A238A">
        <w:tc>
          <w:tcPr>
            <w:tcW w:w="1099" w:type="pct"/>
            <w:shd w:val="clear" w:color="auto" w:fill="auto"/>
          </w:tcPr>
          <w:p w:rsidR="00290BD0" w:rsidRPr="003639A6" w:rsidRDefault="00290BD0" w:rsidP="003A238A">
            <w:pPr>
              <w:pStyle w:val="Tabletext"/>
            </w:pPr>
            <w:r w:rsidRPr="00752EE4">
              <w:rPr>
                <w:rFonts w:eastAsia="SimSun"/>
                <w:szCs w:val="20"/>
              </w:rPr>
              <w:t xml:space="preserve">Patients continuing LEN from previous </w:t>
            </w:r>
            <w:proofErr w:type="spellStart"/>
            <w:r w:rsidRPr="00752EE4">
              <w:rPr>
                <w:rFonts w:eastAsia="SimSun"/>
                <w:szCs w:val="20"/>
              </w:rPr>
              <w:t>year</w:t>
            </w:r>
            <w:r w:rsidRPr="00B8015C">
              <w:rPr>
                <w:rFonts w:eastAsia="SimSun"/>
                <w:szCs w:val="20"/>
                <w:vertAlign w:val="superscript"/>
              </w:rPr>
              <w:t>b</w:t>
            </w:r>
            <w:proofErr w:type="spellEnd"/>
          </w:p>
        </w:tc>
        <w:tc>
          <w:tcPr>
            <w:tcW w:w="755" w:type="pct"/>
            <w:tcBorders>
              <w:top w:val="single" w:sz="4" w:space="0" w:color="auto"/>
              <w:left w:val="nil"/>
              <w:bottom w:val="single" w:sz="4" w:space="0" w:color="auto"/>
              <w:right w:val="single" w:sz="4" w:space="0" w:color="auto"/>
            </w:tcBorders>
            <w:shd w:val="clear" w:color="auto" w:fill="auto"/>
            <w:vAlign w:val="bottom"/>
          </w:tcPr>
          <w:p w:rsidR="00290BD0" w:rsidRPr="003F06F0" w:rsidRDefault="00290BD0" w:rsidP="003A238A">
            <w:pPr>
              <w:pStyle w:val="Tabletext"/>
              <w:jc w:val="center"/>
            </w:pPr>
          </w:p>
        </w:tc>
        <w:tc>
          <w:tcPr>
            <w:tcW w:w="629" w:type="pct"/>
            <w:tcBorders>
              <w:top w:val="single" w:sz="4" w:space="0" w:color="auto"/>
              <w:left w:val="single" w:sz="4" w:space="0" w:color="auto"/>
              <w:bottom w:val="single" w:sz="4" w:space="0" w:color="auto"/>
              <w:right w:val="single" w:sz="4" w:space="0" w:color="auto"/>
            </w:tcBorders>
            <w:shd w:val="clear" w:color="auto" w:fill="auto"/>
            <w:vAlign w:val="bottom"/>
          </w:tcPr>
          <w:p w:rsidR="00290BD0" w:rsidRPr="003F06F0" w:rsidRDefault="003F06F0" w:rsidP="003A238A">
            <w:pPr>
              <w:pStyle w:val="Tabletext"/>
              <w:jc w:val="center"/>
              <w:rPr>
                <w:highlight w:val="black"/>
              </w:rPr>
            </w:pPr>
            <w:r>
              <w:rPr>
                <w:noProof/>
                <w:color w:val="000000"/>
                <w:szCs w:val="2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bottom"/>
          </w:tcPr>
          <w:p w:rsidR="00290BD0" w:rsidRPr="003F06F0" w:rsidRDefault="003F06F0" w:rsidP="003A238A">
            <w:pPr>
              <w:pStyle w:val="Tabletext"/>
              <w:jc w:val="center"/>
              <w:rPr>
                <w:highlight w:val="black"/>
              </w:rPr>
            </w:pPr>
            <w:r>
              <w:rPr>
                <w:noProof/>
                <w:color w:val="000000"/>
                <w:szCs w:val="2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bottom"/>
          </w:tcPr>
          <w:p w:rsidR="00290BD0" w:rsidRPr="003F06F0" w:rsidRDefault="003F06F0" w:rsidP="003A238A">
            <w:pPr>
              <w:pStyle w:val="Tabletext"/>
              <w:jc w:val="center"/>
              <w:rPr>
                <w:highlight w:val="black"/>
              </w:rPr>
            </w:pPr>
            <w:r>
              <w:rPr>
                <w:noProof/>
                <w:color w:val="000000"/>
                <w:szCs w:val="2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bottom"/>
          </w:tcPr>
          <w:p w:rsidR="00290BD0" w:rsidRPr="003F06F0" w:rsidRDefault="003F06F0" w:rsidP="003A238A">
            <w:pPr>
              <w:pStyle w:val="Tabletext"/>
              <w:jc w:val="center"/>
              <w:rPr>
                <w:highlight w:val="black"/>
              </w:rPr>
            </w:pPr>
            <w:r>
              <w:rPr>
                <w:noProof/>
                <w:color w:val="000000"/>
                <w:szCs w:val="2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bottom"/>
          </w:tcPr>
          <w:p w:rsidR="00290BD0" w:rsidRPr="003F06F0" w:rsidRDefault="003F06F0" w:rsidP="003A238A">
            <w:pPr>
              <w:pStyle w:val="Tabletext"/>
              <w:jc w:val="center"/>
              <w:rPr>
                <w:highlight w:val="black"/>
              </w:rPr>
            </w:pPr>
            <w:r>
              <w:rPr>
                <w:noProof/>
                <w:color w:val="000000"/>
                <w:szCs w:val="20"/>
                <w:highlight w:val="black"/>
              </w:rPr>
              <w:t>'''''''''''''</w:t>
            </w:r>
          </w:p>
        </w:tc>
      </w:tr>
      <w:tr w:rsidR="00290BD0" w:rsidRPr="003639A6" w:rsidTr="003A238A">
        <w:tc>
          <w:tcPr>
            <w:tcW w:w="1099" w:type="pct"/>
            <w:shd w:val="clear" w:color="auto" w:fill="auto"/>
            <w:vAlign w:val="center"/>
          </w:tcPr>
          <w:p w:rsidR="00290BD0" w:rsidRPr="003639A6" w:rsidRDefault="00290BD0" w:rsidP="003A238A">
            <w:pPr>
              <w:pStyle w:val="Tabletext"/>
              <w:rPr>
                <w:rFonts w:ascii="Times" w:hAnsi="Times"/>
              </w:rPr>
            </w:pPr>
            <w:r w:rsidRPr="003639A6">
              <w:t>Number of patients treated</w:t>
            </w:r>
          </w:p>
        </w:tc>
        <w:tc>
          <w:tcPr>
            <w:tcW w:w="755" w:type="pct"/>
            <w:shd w:val="clear" w:color="auto" w:fill="auto"/>
          </w:tcPr>
          <w:p w:rsidR="00290BD0" w:rsidRPr="003F06F0" w:rsidRDefault="003F06F0" w:rsidP="003A238A">
            <w:pPr>
              <w:pStyle w:val="Tabletext"/>
              <w:jc w:val="center"/>
              <w:rPr>
                <w:bCs/>
                <w:color w:val="000000"/>
                <w:highlight w:val="black"/>
              </w:rPr>
            </w:pPr>
            <w:r>
              <w:rPr>
                <w:noProof/>
                <w:color w:val="000000"/>
                <w:highlight w:val="black"/>
              </w:rPr>
              <w:t>''''''''</w:t>
            </w:r>
          </w:p>
        </w:tc>
        <w:tc>
          <w:tcPr>
            <w:tcW w:w="629" w:type="pct"/>
            <w:shd w:val="clear" w:color="auto" w:fill="auto"/>
          </w:tcPr>
          <w:p w:rsidR="00290BD0" w:rsidRPr="003F06F0" w:rsidRDefault="003F06F0" w:rsidP="003A238A">
            <w:pPr>
              <w:pStyle w:val="Tabletext"/>
              <w:jc w:val="center"/>
              <w:rPr>
                <w:bCs/>
                <w:color w:val="000000"/>
                <w:highlight w:val="black"/>
              </w:rPr>
            </w:pPr>
            <w:r>
              <w:rPr>
                <w:noProof/>
                <w:color w:val="000000"/>
                <w:highlight w:val="black"/>
              </w:rPr>
              <w:t>''''''''''</w:t>
            </w:r>
          </w:p>
        </w:tc>
        <w:tc>
          <w:tcPr>
            <w:tcW w:w="629" w:type="pct"/>
            <w:shd w:val="clear" w:color="auto" w:fill="auto"/>
          </w:tcPr>
          <w:p w:rsidR="00290BD0" w:rsidRPr="003F06F0" w:rsidRDefault="003F06F0" w:rsidP="003A238A">
            <w:pPr>
              <w:pStyle w:val="Tabletext"/>
              <w:jc w:val="center"/>
              <w:rPr>
                <w:bCs/>
                <w:color w:val="000000"/>
                <w:highlight w:val="black"/>
              </w:rPr>
            </w:pPr>
            <w:r>
              <w:rPr>
                <w:noProof/>
                <w:color w:val="000000"/>
                <w:highlight w:val="black"/>
              </w:rPr>
              <w:t>''''''''''''''</w:t>
            </w:r>
          </w:p>
        </w:tc>
        <w:tc>
          <w:tcPr>
            <w:tcW w:w="629" w:type="pct"/>
            <w:shd w:val="clear" w:color="auto" w:fill="auto"/>
          </w:tcPr>
          <w:p w:rsidR="00290BD0" w:rsidRPr="003F06F0" w:rsidRDefault="003F06F0" w:rsidP="003A238A">
            <w:pPr>
              <w:pStyle w:val="Tabletext"/>
              <w:jc w:val="center"/>
              <w:rPr>
                <w:bCs/>
                <w:color w:val="000000"/>
                <w:highlight w:val="black"/>
              </w:rPr>
            </w:pPr>
            <w:r>
              <w:rPr>
                <w:noProof/>
                <w:color w:val="000000"/>
                <w:highlight w:val="black"/>
              </w:rPr>
              <w:t>''''''''''''''</w:t>
            </w:r>
          </w:p>
        </w:tc>
        <w:tc>
          <w:tcPr>
            <w:tcW w:w="629" w:type="pct"/>
            <w:shd w:val="clear" w:color="auto" w:fill="auto"/>
          </w:tcPr>
          <w:p w:rsidR="00290BD0" w:rsidRPr="003F06F0" w:rsidRDefault="003F06F0" w:rsidP="003A238A">
            <w:pPr>
              <w:pStyle w:val="Tabletext"/>
              <w:jc w:val="center"/>
              <w:rPr>
                <w:bCs/>
                <w:color w:val="000000"/>
                <w:highlight w:val="black"/>
              </w:rPr>
            </w:pPr>
            <w:r>
              <w:rPr>
                <w:noProof/>
                <w:color w:val="000000"/>
                <w:highlight w:val="black"/>
              </w:rPr>
              <w:t>'''''''''''''''</w:t>
            </w:r>
          </w:p>
        </w:tc>
        <w:tc>
          <w:tcPr>
            <w:tcW w:w="629" w:type="pct"/>
          </w:tcPr>
          <w:p w:rsidR="00290BD0" w:rsidRPr="003F06F0" w:rsidRDefault="003F06F0" w:rsidP="003A238A">
            <w:pPr>
              <w:pStyle w:val="Tabletext"/>
              <w:jc w:val="center"/>
              <w:rPr>
                <w:bCs/>
                <w:color w:val="000000"/>
                <w:highlight w:val="black"/>
              </w:rPr>
            </w:pPr>
            <w:r>
              <w:rPr>
                <w:noProof/>
                <w:color w:val="000000"/>
                <w:highlight w:val="black"/>
              </w:rPr>
              <w:t>'''''''''''''</w:t>
            </w:r>
          </w:p>
        </w:tc>
      </w:tr>
      <w:tr w:rsidR="00290BD0" w:rsidRPr="003639A6" w:rsidTr="003A238A">
        <w:tc>
          <w:tcPr>
            <w:tcW w:w="1099" w:type="pct"/>
            <w:shd w:val="clear" w:color="auto" w:fill="auto"/>
            <w:vAlign w:val="center"/>
          </w:tcPr>
          <w:p w:rsidR="00290BD0" w:rsidRPr="003639A6" w:rsidRDefault="00290BD0" w:rsidP="003A238A">
            <w:pPr>
              <w:pStyle w:val="Tabletext"/>
              <w:rPr>
                <w:rFonts w:ascii="Times" w:hAnsi="Times"/>
              </w:rPr>
            </w:pPr>
            <w:r w:rsidRPr="003639A6">
              <w:t xml:space="preserve">Number of </w:t>
            </w:r>
            <w:r>
              <w:t xml:space="preserve">packs </w:t>
            </w:r>
            <w:proofErr w:type="spellStart"/>
            <w:r w:rsidRPr="003639A6">
              <w:t>dispensed</w:t>
            </w:r>
            <w:r>
              <w:rPr>
                <w:vertAlign w:val="superscript"/>
              </w:rPr>
              <w:t>c</w:t>
            </w:r>
            <w:proofErr w:type="spellEnd"/>
          </w:p>
        </w:tc>
        <w:tc>
          <w:tcPr>
            <w:tcW w:w="755" w:type="pct"/>
            <w:shd w:val="clear" w:color="auto" w:fill="auto"/>
          </w:tcPr>
          <w:p w:rsidR="00290BD0" w:rsidRPr="003F06F0" w:rsidRDefault="003F06F0" w:rsidP="003A238A">
            <w:pPr>
              <w:pStyle w:val="Tabletext"/>
              <w:jc w:val="center"/>
              <w:rPr>
                <w:bCs/>
                <w:color w:val="000000"/>
                <w:highlight w:val="black"/>
              </w:rPr>
            </w:pPr>
            <w:r>
              <w:rPr>
                <w:noProof/>
                <w:color w:val="000000"/>
                <w:highlight w:val="black"/>
              </w:rPr>
              <w:t>'''''''''''''''</w:t>
            </w:r>
          </w:p>
        </w:tc>
        <w:tc>
          <w:tcPr>
            <w:tcW w:w="629" w:type="pct"/>
            <w:shd w:val="clear" w:color="auto" w:fill="auto"/>
          </w:tcPr>
          <w:p w:rsidR="00290BD0" w:rsidRPr="003F06F0" w:rsidRDefault="003F06F0" w:rsidP="003A238A">
            <w:pPr>
              <w:pStyle w:val="Tabletext"/>
              <w:jc w:val="center"/>
              <w:rPr>
                <w:bCs/>
                <w:color w:val="000000"/>
                <w:highlight w:val="black"/>
              </w:rPr>
            </w:pPr>
            <w:r>
              <w:rPr>
                <w:noProof/>
                <w:color w:val="000000"/>
                <w:highlight w:val="black"/>
              </w:rPr>
              <w:t>'''''''''''''</w:t>
            </w:r>
          </w:p>
        </w:tc>
        <w:tc>
          <w:tcPr>
            <w:tcW w:w="629" w:type="pct"/>
            <w:shd w:val="clear" w:color="auto" w:fill="auto"/>
          </w:tcPr>
          <w:p w:rsidR="00290BD0" w:rsidRPr="003F06F0" w:rsidRDefault="003F06F0" w:rsidP="003A238A">
            <w:pPr>
              <w:pStyle w:val="Tabletext"/>
              <w:jc w:val="center"/>
              <w:rPr>
                <w:bCs/>
                <w:color w:val="000000"/>
                <w:highlight w:val="black"/>
              </w:rPr>
            </w:pPr>
            <w:r>
              <w:rPr>
                <w:noProof/>
                <w:color w:val="000000"/>
                <w:highlight w:val="black"/>
              </w:rPr>
              <w:t>''''''''''''''''</w:t>
            </w:r>
          </w:p>
        </w:tc>
        <w:tc>
          <w:tcPr>
            <w:tcW w:w="629" w:type="pct"/>
            <w:shd w:val="clear" w:color="auto" w:fill="auto"/>
          </w:tcPr>
          <w:p w:rsidR="00290BD0" w:rsidRPr="003F06F0" w:rsidRDefault="003F06F0" w:rsidP="003A238A">
            <w:pPr>
              <w:pStyle w:val="Tabletext"/>
              <w:jc w:val="center"/>
              <w:rPr>
                <w:bCs/>
                <w:color w:val="000000"/>
                <w:highlight w:val="black"/>
              </w:rPr>
            </w:pPr>
            <w:r>
              <w:rPr>
                <w:noProof/>
                <w:color w:val="000000"/>
                <w:highlight w:val="black"/>
              </w:rPr>
              <w:t>'''''''''''''''</w:t>
            </w:r>
          </w:p>
        </w:tc>
        <w:tc>
          <w:tcPr>
            <w:tcW w:w="629" w:type="pct"/>
            <w:shd w:val="clear" w:color="auto" w:fill="auto"/>
          </w:tcPr>
          <w:p w:rsidR="00290BD0" w:rsidRPr="003F06F0" w:rsidRDefault="003F06F0" w:rsidP="003A238A">
            <w:pPr>
              <w:pStyle w:val="Tabletext"/>
              <w:jc w:val="center"/>
              <w:rPr>
                <w:bCs/>
                <w:color w:val="000000"/>
                <w:highlight w:val="black"/>
              </w:rPr>
            </w:pPr>
            <w:r>
              <w:rPr>
                <w:noProof/>
                <w:color w:val="000000"/>
                <w:highlight w:val="black"/>
              </w:rPr>
              <w:t>''''''''''''''''''</w:t>
            </w:r>
          </w:p>
        </w:tc>
        <w:tc>
          <w:tcPr>
            <w:tcW w:w="629" w:type="pct"/>
          </w:tcPr>
          <w:p w:rsidR="00290BD0" w:rsidRPr="003F06F0" w:rsidRDefault="003F06F0" w:rsidP="003A238A">
            <w:pPr>
              <w:pStyle w:val="Tabletext"/>
              <w:jc w:val="center"/>
              <w:rPr>
                <w:bCs/>
                <w:color w:val="000000"/>
                <w:highlight w:val="black"/>
              </w:rPr>
            </w:pPr>
            <w:r>
              <w:rPr>
                <w:noProof/>
                <w:color w:val="000000"/>
                <w:highlight w:val="black"/>
              </w:rPr>
              <w:t>'''''''''''''''''</w:t>
            </w:r>
          </w:p>
        </w:tc>
      </w:tr>
      <w:tr w:rsidR="00290BD0" w:rsidRPr="00D1078F" w:rsidTr="003A238A">
        <w:tc>
          <w:tcPr>
            <w:tcW w:w="5000" w:type="pct"/>
            <w:gridSpan w:val="7"/>
            <w:shd w:val="clear" w:color="auto" w:fill="auto"/>
            <w:vAlign w:val="center"/>
          </w:tcPr>
          <w:p w:rsidR="00290BD0" w:rsidRPr="00183E18" w:rsidRDefault="00290BD0" w:rsidP="003A238A">
            <w:pPr>
              <w:pStyle w:val="Tabletext"/>
              <w:rPr>
                <w:b/>
                <w:bCs/>
                <w:color w:val="000000"/>
              </w:rPr>
            </w:pPr>
            <w:r w:rsidRPr="00183E18">
              <w:rPr>
                <w:b/>
                <w:bCs/>
                <w:color w:val="000000"/>
              </w:rPr>
              <w:t xml:space="preserve">Estimated financial implications of </w:t>
            </w:r>
            <w:proofErr w:type="spellStart"/>
            <w:r w:rsidRPr="00183E18">
              <w:rPr>
                <w:b/>
                <w:bCs/>
                <w:color w:val="000000"/>
              </w:rPr>
              <w:t>lenalidomide</w:t>
            </w:r>
            <w:proofErr w:type="spellEnd"/>
          </w:p>
        </w:tc>
      </w:tr>
      <w:tr w:rsidR="00290BD0" w:rsidRPr="003639A6" w:rsidTr="003A238A">
        <w:tc>
          <w:tcPr>
            <w:tcW w:w="1099" w:type="pct"/>
            <w:shd w:val="clear" w:color="auto" w:fill="auto"/>
            <w:vAlign w:val="center"/>
          </w:tcPr>
          <w:p w:rsidR="00290BD0" w:rsidRPr="003639A6" w:rsidRDefault="00290BD0" w:rsidP="003A238A">
            <w:pPr>
              <w:pStyle w:val="Tabletext"/>
              <w:rPr>
                <w:rFonts w:ascii="Times" w:hAnsi="Times"/>
              </w:rPr>
            </w:pPr>
            <w:r>
              <w:rPr>
                <w:sz w:val="19"/>
                <w:szCs w:val="19"/>
              </w:rPr>
              <w:t>C</w:t>
            </w:r>
            <w:r w:rsidRPr="003639A6">
              <w:rPr>
                <w:sz w:val="19"/>
                <w:szCs w:val="19"/>
              </w:rPr>
              <w:t>ost to PBS/RPBS</w:t>
            </w:r>
          </w:p>
        </w:tc>
        <w:tc>
          <w:tcPr>
            <w:tcW w:w="755" w:type="pct"/>
            <w:shd w:val="clear" w:color="auto" w:fill="auto"/>
          </w:tcPr>
          <w:p w:rsidR="00290BD0" w:rsidRPr="00183E18" w:rsidRDefault="00290BD0" w:rsidP="003A238A">
            <w:pPr>
              <w:pStyle w:val="Tabletext"/>
              <w:jc w:val="center"/>
              <w:rPr>
                <w:bCs/>
                <w:color w:val="000000"/>
              </w:rPr>
            </w:pPr>
            <w:r w:rsidRPr="00183E18">
              <w:t>$</w:t>
            </w:r>
            <w:r w:rsidR="003F06F0">
              <w:rPr>
                <w:noProof/>
                <w:color w:val="000000"/>
                <w:highlight w:val="black"/>
              </w:rPr>
              <w:t>'''''''''''''''''''''''''''</w:t>
            </w:r>
          </w:p>
        </w:tc>
        <w:tc>
          <w:tcPr>
            <w:tcW w:w="629" w:type="pct"/>
            <w:shd w:val="clear" w:color="auto" w:fill="auto"/>
          </w:tcPr>
          <w:p w:rsidR="00290BD0" w:rsidRPr="00183E18" w:rsidRDefault="00290BD0" w:rsidP="003A238A">
            <w:pPr>
              <w:pStyle w:val="Tabletext"/>
              <w:jc w:val="center"/>
              <w:rPr>
                <w:bCs/>
                <w:color w:val="000000"/>
              </w:rPr>
            </w:pPr>
            <w:r w:rsidRPr="00183E18">
              <w:t>$</w:t>
            </w:r>
            <w:r w:rsidR="003F06F0">
              <w:rPr>
                <w:noProof/>
                <w:color w:val="000000"/>
                <w:highlight w:val="black"/>
              </w:rPr>
              <w:t>''''''''''''''''''''''''</w:t>
            </w:r>
          </w:p>
        </w:tc>
        <w:tc>
          <w:tcPr>
            <w:tcW w:w="629" w:type="pct"/>
            <w:shd w:val="clear" w:color="auto" w:fill="auto"/>
          </w:tcPr>
          <w:p w:rsidR="00290BD0" w:rsidRPr="00183E18" w:rsidRDefault="00290BD0" w:rsidP="003A238A">
            <w:pPr>
              <w:pStyle w:val="Tabletext"/>
              <w:jc w:val="center"/>
              <w:rPr>
                <w:bCs/>
                <w:color w:val="000000"/>
              </w:rPr>
            </w:pPr>
            <w:r w:rsidRPr="00183E18">
              <w:t>$</w:t>
            </w:r>
            <w:r w:rsidR="003F06F0">
              <w:rPr>
                <w:noProof/>
                <w:color w:val="000000"/>
                <w:highlight w:val="black"/>
              </w:rPr>
              <w:t>'''''''''''''''''''''''''''''</w:t>
            </w:r>
          </w:p>
        </w:tc>
        <w:tc>
          <w:tcPr>
            <w:tcW w:w="629" w:type="pct"/>
            <w:shd w:val="clear" w:color="auto" w:fill="auto"/>
          </w:tcPr>
          <w:p w:rsidR="00290BD0" w:rsidRPr="00183E18" w:rsidRDefault="00290BD0" w:rsidP="003A238A">
            <w:pPr>
              <w:pStyle w:val="Tabletext"/>
              <w:jc w:val="center"/>
              <w:rPr>
                <w:bCs/>
                <w:color w:val="000000"/>
              </w:rPr>
            </w:pPr>
            <w:r w:rsidRPr="00183E18">
              <w:t>$</w:t>
            </w:r>
            <w:r w:rsidR="003F06F0">
              <w:rPr>
                <w:noProof/>
                <w:color w:val="000000"/>
                <w:highlight w:val="black"/>
              </w:rPr>
              <w:t>'''''''''''''''''''''''''''</w:t>
            </w:r>
          </w:p>
        </w:tc>
        <w:tc>
          <w:tcPr>
            <w:tcW w:w="629" w:type="pct"/>
            <w:shd w:val="clear" w:color="auto" w:fill="auto"/>
          </w:tcPr>
          <w:p w:rsidR="00290BD0" w:rsidRPr="00183E18" w:rsidRDefault="00290BD0" w:rsidP="003A238A">
            <w:pPr>
              <w:pStyle w:val="Tabletext"/>
              <w:jc w:val="center"/>
              <w:rPr>
                <w:bCs/>
                <w:color w:val="000000"/>
              </w:rPr>
            </w:pPr>
            <w:r w:rsidRPr="00183E18">
              <w:t>$</w:t>
            </w:r>
            <w:r w:rsidR="003F06F0">
              <w:rPr>
                <w:noProof/>
                <w:color w:val="000000"/>
                <w:highlight w:val="black"/>
              </w:rPr>
              <w:t>''''''''''''''''''''''''''''</w:t>
            </w:r>
          </w:p>
        </w:tc>
        <w:tc>
          <w:tcPr>
            <w:tcW w:w="629" w:type="pct"/>
            <w:shd w:val="clear" w:color="auto" w:fill="auto"/>
          </w:tcPr>
          <w:p w:rsidR="00290BD0" w:rsidRPr="00183E18" w:rsidRDefault="00290BD0" w:rsidP="003A238A">
            <w:pPr>
              <w:pStyle w:val="Tabletext"/>
              <w:jc w:val="center"/>
              <w:rPr>
                <w:bCs/>
                <w:color w:val="000000"/>
              </w:rPr>
            </w:pPr>
            <w:r w:rsidRPr="00183E18">
              <w:t>$</w:t>
            </w:r>
            <w:r w:rsidR="003F06F0">
              <w:rPr>
                <w:noProof/>
                <w:color w:val="000000"/>
                <w:highlight w:val="black"/>
              </w:rPr>
              <w:t>''''''''''''''''''''''''</w:t>
            </w:r>
          </w:p>
        </w:tc>
      </w:tr>
      <w:tr w:rsidR="00290BD0" w:rsidRPr="003639A6" w:rsidTr="003A238A">
        <w:tc>
          <w:tcPr>
            <w:tcW w:w="1099" w:type="pct"/>
            <w:shd w:val="clear" w:color="auto" w:fill="auto"/>
            <w:vAlign w:val="center"/>
          </w:tcPr>
          <w:p w:rsidR="00290BD0" w:rsidRDefault="00290BD0" w:rsidP="003A238A">
            <w:pPr>
              <w:pStyle w:val="Tabletext"/>
              <w:rPr>
                <w:sz w:val="19"/>
                <w:szCs w:val="19"/>
              </w:rPr>
            </w:pPr>
            <w:proofErr w:type="spellStart"/>
            <w:r>
              <w:rPr>
                <w:sz w:val="19"/>
                <w:szCs w:val="19"/>
              </w:rPr>
              <w:t>Copayments</w:t>
            </w:r>
            <w:proofErr w:type="spellEnd"/>
          </w:p>
        </w:tc>
        <w:tc>
          <w:tcPr>
            <w:tcW w:w="755" w:type="pct"/>
            <w:shd w:val="clear" w:color="auto" w:fill="auto"/>
          </w:tcPr>
          <w:p w:rsidR="00290BD0" w:rsidRPr="00183E18" w:rsidRDefault="00290BD0" w:rsidP="003A238A">
            <w:pPr>
              <w:pStyle w:val="Tabletext"/>
              <w:jc w:val="center"/>
              <w:rPr>
                <w:bCs/>
                <w:color w:val="000000"/>
              </w:rPr>
            </w:pPr>
            <w:r w:rsidRPr="00183E18">
              <w:t>$</w:t>
            </w:r>
            <w:r w:rsidR="003F06F0">
              <w:rPr>
                <w:noProof/>
                <w:color w:val="000000"/>
                <w:highlight w:val="black"/>
              </w:rPr>
              <w:t>'''''''''''''''''</w:t>
            </w:r>
          </w:p>
        </w:tc>
        <w:tc>
          <w:tcPr>
            <w:tcW w:w="629" w:type="pct"/>
            <w:shd w:val="clear" w:color="auto" w:fill="auto"/>
          </w:tcPr>
          <w:p w:rsidR="00290BD0" w:rsidRPr="00183E18" w:rsidRDefault="00290BD0" w:rsidP="003A238A">
            <w:pPr>
              <w:pStyle w:val="Tabletext"/>
              <w:jc w:val="center"/>
              <w:rPr>
                <w:bCs/>
                <w:color w:val="000000"/>
              </w:rPr>
            </w:pPr>
            <w:r w:rsidRPr="00183E18">
              <w:t>$</w:t>
            </w:r>
            <w:r w:rsidR="003F06F0">
              <w:rPr>
                <w:noProof/>
                <w:color w:val="000000"/>
                <w:highlight w:val="black"/>
              </w:rPr>
              <w:t>''''''''''''''''''</w:t>
            </w:r>
          </w:p>
        </w:tc>
        <w:tc>
          <w:tcPr>
            <w:tcW w:w="629" w:type="pct"/>
            <w:shd w:val="clear" w:color="auto" w:fill="auto"/>
          </w:tcPr>
          <w:p w:rsidR="00290BD0" w:rsidRPr="00183E18" w:rsidRDefault="00290BD0" w:rsidP="003A238A">
            <w:pPr>
              <w:pStyle w:val="Tabletext"/>
              <w:jc w:val="center"/>
              <w:rPr>
                <w:bCs/>
                <w:color w:val="000000"/>
              </w:rPr>
            </w:pPr>
            <w:r w:rsidRPr="00183E18">
              <w:t>$</w:t>
            </w:r>
            <w:r w:rsidR="003F06F0">
              <w:rPr>
                <w:noProof/>
                <w:color w:val="000000"/>
                <w:highlight w:val="black"/>
              </w:rPr>
              <w:t>'''''''''''''''</w:t>
            </w:r>
          </w:p>
        </w:tc>
        <w:tc>
          <w:tcPr>
            <w:tcW w:w="629" w:type="pct"/>
            <w:shd w:val="clear" w:color="auto" w:fill="auto"/>
          </w:tcPr>
          <w:p w:rsidR="00290BD0" w:rsidRPr="00183E18" w:rsidRDefault="00290BD0" w:rsidP="003A238A">
            <w:pPr>
              <w:pStyle w:val="Tabletext"/>
              <w:jc w:val="center"/>
              <w:rPr>
                <w:bCs/>
                <w:color w:val="000000"/>
              </w:rPr>
            </w:pPr>
            <w:r w:rsidRPr="00183E18">
              <w:t>$</w:t>
            </w:r>
            <w:r w:rsidR="003F06F0">
              <w:rPr>
                <w:noProof/>
                <w:color w:val="000000"/>
                <w:highlight w:val="black"/>
              </w:rPr>
              <w:t>''''''''''''''''</w:t>
            </w:r>
          </w:p>
        </w:tc>
        <w:tc>
          <w:tcPr>
            <w:tcW w:w="629" w:type="pct"/>
            <w:shd w:val="clear" w:color="auto" w:fill="auto"/>
          </w:tcPr>
          <w:p w:rsidR="00290BD0" w:rsidRPr="00183E18" w:rsidRDefault="00290BD0" w:rsidP="003A238A">
            <w:pPr>
              <w:pStyle w:val="Tabletext"/>
              <w:jc w:val="center"/>
              <w:rPr>
                <w:bCs/>
                <w:color w:val="000000"/>
              </w:rPr>
            </w:pPr>
            <w:r w:rsidRPr="00183E18">
              <w:t>$</w:t>
            </w:r>
            <w:r w:rsidR="003F06F0">
              <w:rPr>
                <w:noProof/>
                <w:color w:val="000000"/>
                <w:highlight w:val="black"/>
              </w:rPr>
              <w:t>'''''''''''''''</w:t>
            </w:r>
          </w:p>
        </w:tc>
        <w:tc>
          <w:tcPr>
            <w:tcW w:w="629" w:type="pct"/>
            <w:shd w:val="clear" w:color="auto" w:fill="auto"/>
          </w:tcPr>
          <w:p w:rsidR="00290BD0" w:rsidRPr="00183E18" w:rsidRDefault="00290BD0" w:rsidP="003A238A">
            <w:pPr>
              <w:pStyle w:val="Tabletext"/>
              <w:jc w:val="center"/>
              <w:rPr>
                <w:bCs/>
                <w:color w:val="000000"/>
              </w:rPr>
            </w:pPr>
            <w:r w:rsidRPr="00183E18">
              <w:t>$</w:t>
            </w:r>
            <w:r w:rsidR="003F06F0">
              <w:rPr>
                <w:noProof/>
                <w:color w:val="000000"/>
                <w:highlight w:val="black"/>
              </w:rPr>
              <w:t>''''''''''''''''''</w:t>
            </w:r>
          </w:p>
        </w:tc>
      </w:tr>
      <w:tr w:rsidR="00290BD0" w:rsidRPr="003639A6" w:rsidTr="003A238A">
        <w:tc>
          <w:tcPr>
            <w:tcW w:w="1099" w:type="pct"/>
            <w:shd w:val="clear" w:color="auto" w:fill="auto"/>
            <w:vAlign w:val="center"/>
          </w:tcPr>
          <w:p w:rsidR="00290BD0" w:rsidRDefault="00290BD0" w:rsidP="003A238A">
            <w:pPr>
              <w:pStyle w:val="Tabletext"/>
              <w:rPr>
                <w:sz w:val="19"/>
                <w:szCs w:val="19"/>
              </w:rPr>
            </w:pPr>
            <w:r>
              <w:rPr>
                <w:sz w:val="19"/>
                <w:szCs w:val="19"/>
              </w:rPr>
              <w:t xml:space="preserve">Cost to PBS/RPBS less </w:t>
            </w:r>
            <w:proofErr w:type="spellStart"/>
            <w:r>
              <w:rPr>
                <w:sz w:val="19"/>
                <w:szCs w:val="19"/>
              </w:rPr>
              <w:t>copayments</w:t>
            </w:r>
            <w:proofErr w:type="spellEnd"/>
          </w:p>
        </w:tc>
        <w:tc>
          <w:tcPr>
            <w:tcW w:w="755" w:type="pct"/>
            <w:shd w:val="clear" w:color="auto" w:fill="auto"/>
          </w:tcPr>
          <w:p w:rsidR="00290BD0" w:rsidRPr="00183E18" w:rsidRDefault="00290BD0" w:rsidP="003A238A">
            <w:pPr>
              <w:pStyle w:val="Tabletext"/>
              <w:jc w:val="center"/>
              <w:rPr>
                <w:bCs/>
                <w:color w:val="000000"/>
              </w:rPr>
            </w:pPr>
            <w:r w:rsidRPr="00183E18">
              <w:t>$</w:t>
            </w:r>
            <w:r w:rsidR="003F06F0">
              <w:rPr>
                <w:noProof/>
                <w:color w:val="000000"/>
                <w:highlight w:val="black"/>
              </w:rPr>
              <w:t>'''''''''''''''''''''''''''</w:t>
            </w:r>
          </w:p>
        </w:tc>
        <w:tc>
          <w:tcPr>
            <w:tcW w:w="629" w:type="pct"/>
            <w:shd w:val="clear" w:color="auto" w:fill="auto"/>
          </w:tcPr>
          <w:p w:rsidR="00290BD0" w:rsidRPr="00183E18" w:rsidRDefault="00290BD0" w:rsidP="003A238A">
            <w:pPr>
              <w:pStyle w:val="Tabletext"/>
              <w:jc w:val="center"/>
              <w:rPr>
                <w:bCs/>
                <w:color w:val="000000"/>
              </w:rPr>
            </w:pPr>
            <w:r w:rsidRPr="00183E18">
              <w:t>$</w:t>
            </w:r>
            <w:r w:rsidR="003F06F0">
              <w:rPr>
                <w:noProof/>
                <w:color w:val="000000"/>
                <w:highlight w:val="black"/>
              </w:rPr>
              <w:t>''''''''''''''''''''''''''''</w:t>
            </w:r>
          </w:p>
        </w:tc>
        <w:tc>
          <w:tcPr>
            <w:tcW w:w="629" w:type="pct"/>
            <w:shd w:val="clear" w:color="auto" w:fill="auto"/>
          </w:tcPr>
          <w:p w:rsidR="00290BD0" w:rsidRPr="00183E18" w:rsidRDefault="00290BD0" w:rsidP="003A238A">
            <w:pPr>
              <w:pStyle w:val="Tabletext"/>
              <w:jc w:val="center"/>
              <w:rPr>
                <w:bCs/>
                <w:color w:val="000000"/>
              </w:rPr>
            </w:pPr>
            <w:r w:rsidRPr="00183E18">
              <w:t>$</w:t>
            </w:r>
            <w:r w:rsidR="003F06F0">
              <w:rPr>
                <w:noProof/>
                <w:color w:val="000000"/>
                <w:highlight w:val="black"/>
              </w:rPr>
              <w:t>'''''''''''''''''''''''''</w:t>
            </w:r>
          </w:p>
        </w:tc>
        <w:tc>
          <w:tcPr>
            <w:tcW w:w="629" w:type="pct"/>
            <w:shd w:val="clear" w:color="auto" w:fill="auto"/>
          </w:tcPr>
          <w:p w:rsidR="00290BD0" w:rsidRPr="00183E18" w:rsidRDefault="00290BD0" w:rsidP="003A238A">
            <w:pPr>
              <w:pStyle w:val="Tabletext"/>
              <w:jc w:val="center"/>
              <w:rPr>
                <w:bCs/>
                <w:color w:val="000000"/>
              </w:rPr>
            </w:pPr>
            <w:r w:rsidRPr="00183E18">
              <w:t>$</w:t>
            </w:r>
            <w:r w:rsidR="003F06F0">
              <w:rPr>
                <w:noProof/>
                <w:color w:val="000000"/>
                <w:highlight w:val="black"/>
              </w:rPr>
              <w:t>'''''''''''''''''''''''''''</w:t>
            </w:r>
          </w:p>
        </w:tc>
        <w:tc>
          <w:tcPr>
            <w:tcW w:w="629" w:type="pct"/>
            <w:shd w:val="clear" w:color="auto" w:fill="auto"/>
          </w:tcPr>
          <w:p w:rsidR="00290BD0" w:rsidRPr="00183E18" w:rsidRDefault="00290BD0" w:rsidP="003A238A">
            <w:pPr>
              <w:pStyle w:val="Tabletext"/>
              <w:jc w:val="center"/>
              <w:rPr>
                <w:bCs/>
                <w:color w:val="000000"/>
              </w:rPr>
            </w:pPr>
            <w:r w:rsidRPr="00183E18">
              <w:t>$</w:t>
            </w:r>
            <w:r w:rsidR="003F06F0">
              <w:rPr>
                <w:noProof/>
                <w:color w:val="000000"/>
                <w:highlight w:val="black"/>
              </w:rPr>
              <w:t>''''''''''''''''''''''''''''</w:t>
            </w:r>
          </w:p>
        </w:tc>
        <w:tc>
          <w:tcPr>
            <w:tcW w:w="629" w:type="pct"/>
            <w:shd w:val="clear" w:color="auto" w:fill="auto"/>
          </w:tcPr>
          <w:p w:rsidR="00290BD0" w:rsidRPr="00183E18" w:rsidRDefault="00290BD0" w:rsidP="003A238A">
            <w:pPr>
              <w:pStyle w:val="Tabletext"/>
              <w:jc w:val="center"/>
              <w:rPr>
                <w:bCs/>
                <w:color w:val="000000"/>
              </w:rPr>
            </w:pPr>
            <w:r w:rsidRPr="00183E18">
              <w:t>$</w:t>
            </w:r>
            <w:r w:rsidR="003F06F0">
              <w:rPr>
                <w:noProof/>
                <w:color w:val="000000"/>
                <w:highlight w:val="black"/>
              </w:rPr>
              <w:t>'''''''''''''''''''''''''''</w:t>
            </w:r>
          </w:p>
        </w:tc>
      </w:tr>
      <w:tr w:rsidR="00290BD0" w:rsidRPr="003639A6" w:rsidTr="003A238A">
        <w:tc>
          <w:tcPr>
            <w:tcW w:w="5000" w:type="pct"/>
            <w:gridSpan w:val="7"/>
            <w:shd w:val="clear" w:color="auto" w:fill="auto"/>
            <w:vAlign w:val="center"/>
          </w:tcPr>
          <w:p w:rsidR="00290BD0" w:rsidRPr="003639A6" w:rsidRDefault="00290BD0" w:rsidP="003A238A">
            <w:pPr>
              <w:pStyle w:val="Tabletext"/>
              <w:rPr>
                <w:bCs/>
                <w:color w:val="000000"/>
              </w:rPr>
            </w:pPr>
            <w:r w:rsidRPr="00D1078F">
              <w:rPr>
                <w:b/>
                <w:bCs/>
                <w:color w:val="000000"/>
              </w:rPr>
              <w:t xml:space="preserve">Estimated </w:t>
            </w:r>
            <w:r>
              <w:rPr>
                <w:b/>
                <w:bCs/>
                <w:color w:val="000000"/>
              </w:rPr>
              <w:t>financial implications for thalidomide (cost savings from substituted thalidomide)</w:t>
            </w:r>
          </w:p>
        </w:tc>
      </w:tr>
      <w:tr w:rsidR="00290BD0" w:rsidRPr="003639A6" w:rsidTr="003A238A">
        <w:tc>
          <w:tcPr>
            <w:tcW w:w="1099" w:type="pct"/>
            <w:shd w:val="clear" w:color="auto" w:fill="auto"/>
            <w:vAlign w:val="center"/>
          </w:tcPr>
          <w:p w:rsidR="00290BD0" w:rsidRDefault="00290BD0" w:rsidP="003A238A">
            <w:pPr>
              <w:pStyle w:val="Tabletext"/>
              <w:rPr>
                <w:sz w:val="19"/>
                <w:szCs w:val="19"/>
              </w:rPr>
            </w:pPr>
            <w:r>
              <w:rPr>
                <w:sz w:val="19"/>
                <w:szCs w:val="19"/>
              </w:rPr>
              <w:t>C</w:t>
            </w:r>
            <w:r w:rsidRPr="003639A6">
              <w:rPr>
                <w:sz w:val="19"/>
                <w:szCs w:val="19"/>
              </w:rPr>
              <w:t>ost to PBS/RPBS</w:t>
            </w:r>
          </w:p>
        </w:tc>
        <w:tc>
          <w:tcPr>
            <w:tcW w:w="755" w:type="pct"/>
            <w:shd w:val="clear" w:color="auto" w:fill="auto"/>
          </w:tcPr>
          <w:p w:rsidR="00290BD0" w:rsidRPr="003639A6" w:rsidRDefault="00290BD0" w:rsidP="003A238A">
            <w:pPr>
              <w:pStyle w:val="Tabletext"/>
              <w:jc w:val="center"/>
              <w:rPr>
                <w:bCs/>
                <w:color w:val="000000"/>
              </w:rPr>
            </w:pPr>
            <w:r w:rsidRPr="00C2292D">
              <w:t>-$</w:t>
            </w:r>
            <w:r w:rsidR="003F06F0">
              <w:rPr>
                <w:noProof/>
                <w:color w:val="000000"/>
                <w:highlight w:val="black"/>
              </w:rPr>
              <w:t>'''''''''''''''''''''''''</w:t>
            </w:r>
          </w:p>
        </w:tc>
        <w:tc>
          <w:tcPr>
            <w:tcW w:w="629" w:type="pct"/>
            <w:shd w:val="clear" w:color="auto" w:fill="auto"/>
          </w:tcPr>
          <w:p w:rsidR="00290BD0" w:rsidRPr="003639A6" w:rsidRDefault="00290BD0" w:rsidP="003A238A">
            <w:pPr>
              <w:pStyle w:val="Tabletext"/>
              <w:jc w:val="center"/>
              <w:rPr>
                <w:bCs/>
                <w:color w:val="000000"/>
              </w:rPr>
            </w:pPr>
            <w:r w:rsidRPr="00C2292D">
              <w:t>-$</w:t>
            </w:r>
            <w:r w:rsidR="003F06F0">
              <w:rPr>
                <w:noProof/>
                <w:color w:val="000000"/>
                <w:highlight w:val="black"/>
              </w:rPr>
              <w:t>'''''''''''''''''''''</w:t>
            </w:r>
          </w:p>
        </w:tc>
        <w:tc>
          <w:tcPr>
            <w:tcW w:w="629" w:type="pct"/>
            <w:shd w:val="clear" w:color="auto" w:fill="auto"/>
          </w:tcPr>
          <w:p w:rsidR="00290BD0" w:rsidRPr="003639A6" w:rsidRDefault="00290BD0" w:rsidP="003A238A">
            <w:pPr>
              <w:pStyle w:val="Tabletext"/>
              <w:jc w:val="center"/>
              <w:rPr>
                <w:bCs/>
                <w:color w:val="000000"/>
              </w:rPr>
            </w:pPr>
            <w:r w:rsidRPr="00C2292D">
              <w:t>-$</w:t>
            </w:r>
            <w:r w:rsidR="003F06F0">
              <w:rPr>
                <w:noProof/>
                <w:color w:val="000000"/>
                <w:highlight w:val="black"/>
              </w:rPr>
              <w:t>''''''''''''''''''''''</w:t>
            </w:r>
          </w:p>
        </w:tc>
        <w:tc>
          <w:tcPr>
            <w:tcW w:w="629" w:type="pct"/>
            <w:shd w:val="clear" w:color="auto" w:fill="auto"/>
          </w:tcPr>
          <w:p w:rsidR="00290BD0" w:rsidRPr="003639A6" w:rsidRDefault="00290BD0" w:rsidP="003A238A">
            <w:pPr>
              <w:pStyle w:val="Tabletext"/>
              <w:jc w:val="center"/>
              <w:rPr>
                <w:bCs/>
                <w:color w:val="000000"/>
              </w:rPr>
            </w:pPr>
            <w:r w:rsidRPr="00C2292D">
              <w:t>-$</w:t>
            </w:r>
            <w:r w:rsidR="003F06F0">
              <w:rPr>
                <w:noProof/>
                <w:color w:val="000000"/>
                <w:highlight w:val="black"/>
              </w:rPr>
              <w:t>''''''''''''''''''''''''''</w:t>
            </w:r>
          </w:p>
        </w:tc>
        <w:tc>
          <w:tcPr>
            <w:tcW w:w="629" w:type="pct"/>
            <w:shd w:val="clear" w:color="auto" w:fill="auto"/>
          </w:tcPr>
          <w:p w:rsidR="00290BD0" w:rsidRPr="003639A6" w:rsidRDefault="00290BD0" w:rsidP="003A238A">
            <w:pPr>
              <w:pStyle w:val="Tabletext"/>
              <w:jc w:val="center"/>
              <w:rPr>
                <w:bCs/>
                <w:color w:val="000000"/>
              </w:rPr>
            </w:pPr>
            <w:r w:rsidRPr="00C2292D">
              <w:t>-$</w:t>
            </w:r>
            <w:r w:rsidR="003F06F0">
              <w:rPr>
                <w:noProof/>
                <w:color w:val="000000"/>
                <w:highlight w:val="black"/>
              </w:rPr>
              <w:t>''''''''''''''''''''''''</w:t>
            </w:r>
          </w:p>
        </w:tc>
        <w:tc>
          <w:tcPr>
            <w:tcW w:w="629" w:type="pct"/>
          </w:tcPr>
          <w:p w:rsidR="00290BD0" w:rsidRPr="003639A6" w:rsidRDefault="00290BD0" w:rsidP="003A238A">
            <w:pPr>
              <w:pStyle w:val="Tabletext"/>
              <w:jc w:val="center"/>
              <w:rPr>
                <w:bCs/>
                <w:color w:val="000000"/>
              </w:rPr>
            </w:pPr>
            <w:r w:rsidRPr="00C2292D">
              <w:t>-$</w:t>
            </w:r>
            <w:r w:rsidR="003F06F0">
              <w:rPr>
                <w:noProof/>
                <w:color w:val="000000"/>
                <w:highlight w:val="black"/>
              </w:rPr>
              <w:t>'''''''''''''''''''''''</w:t>
            </w:r>
          </w:p>
        </w:tc>
      </w:tr>
      <w:tr w:rsidR="00290BD0" w:rsidRPr="003639A6" w:rsidTr="003A238A">
        <w:tc>
          <w:tcPr>
            <w:tcW w:w="1099" w:type="pct"/>
            <w:shd w:val="clear" w:color="auto" w:fill="auto"/>
            <w:vAlign w:val="center"/>
          </w:tcPr>
          <w:p w:rsidR="00290BD0" w:rsidRDefault="00290BD0" w:rsidP="003A238A">
            <w:pPr>
              <w:pStyle w:val="Tabletext"/>
              <w:rPr>
                <w:sz w:val="19"/>
                <w:szCs w:val="19"/>
              </w:rPr>
            </w:pPr>
            <w:proofErr w:type="spellStart"/>
            <w:r>
              <w:rPr>
                <w:sz w:val="19"/>
                <w:szCs w:val="19"/>
              </w:rPr>
              <w:t>Copayments</w:t>
            </w:r>
            <w:proofErr w:type="spellEnd"/>
          </w:p>
        </w:tc>
        <w:tc>
          <w:tcPr>
            <w:tcW w:w="755" w:type="pct"/>
            <w:shd w:val="clear" w:color="auto" w:fill="auto"/>
          </w:tcPr>
          <w:p w:rsidR="00290BD0" w:rsidRPr="003639A6" w:rsidRDefault="00290BD0" w:rsidP="003A238A">
            <w:pPr>
              <w:pStyle w:val="Tabletext"/>
              <w:jc w:val="center"/>
              <w:rPr>
                <w:bCs/>
                <w:color w:val="000000"/>
              </w:rPr>
            </w:pPr>
            <w:r w:rsidRPr="00C2292D">
              <w:t>-$</w:t>
            </w:r>
            <w:r w:rsidR="003F06F0">
              <w:rPr>
                <w:noProof/>
                <w:color w:val="000000"/>
                <w:highlight w:val="black"/>
              </w:rPr>
              <w:t>'''''''''''''</w:t>
            </w:r>
          </w:p>
        </w:tc>
        <w:tc>
          <w:tcPr>
            <w:tcW w:w="629" w:type="pct"/>
            <w:shd w:val="clear" w:color="auto" w:fill="auto"/>
          </w:tcPr>
          <w:p w:rsidR="00290BD0" w:rsidRPr="003639A6" w:rsidRDefault="00290BD0" w:rsidP="003A238A">
            <w:pPr>
              <w:pStyle w:val="Tabletext"/>
              <w:jc w:val="center"/>
              <w:rPr>
                <w:bCs/>
                <w:color w:val="000000"/>
              </w:rPr>
            </w:pPr>
            <w:r w:rsidRPr="00C2292D">
              <w:t>-$</w:t>
            </w:r>
            <w:r w:rsidR="003F06F0">
              <w:rPr>
                <w:noProof/>
                <w:color w:val="000000"/>
                <w:highlight w:val="black"/>
              </w:rPr>
              <w:t>'''''''''''''</w:t>
            </w:r>
          </w:p>
        </w:tc>
        <w:tc>
          <w:tcPr>
            <w:tcW w:w="629" w:type="pct"/>
            <w:shd w:val="clear" w:color="auto" w:fill="auto"/>
          </w:tcPr>
          <w:p w:rsidR="00290BD0" w:rsidRPr="003639A6" w:rsidRDefault="00290BD0" w:rsidP="003A238A">
            <w:pPr>
              <w:pStyle w:val="Tabletext"/>
              <w:jc w:val="center"/>
              <w:rPr>
                <w:bCs/>
                <w:color w:val="000000"/>
              </w:rPr>
            </w:pPr>
            <w:r w:rsidRPr="00C2292D">
              <w:t>-$</w:t>
            </w:r>
            <w:r w:rsidR="003F06F0">
              <w:rPr>
                <w:noProof/>
                <w:color w:val="000000"/>
                <w:highlight w:val="black"/>
              </w:rPr>
              <w:t>''''''''''''''</w:t>
            </w:r>
          </w:p>
        </w:tc>
        <w:tc>
          <w:tcPr>
            <w:tcW w:w="629" w:type="pct"/>
            <w:shd w:val="clear" w:color="auto" w:fill="auto"/>
          </w:tcPr>
          <w:p w:rsidR="00290BD0" w:rsidRPr="003639A6" w:rsidRDefault="00290BD0" w:rsidP="003A238A">
            <w:pPr>
              <w:pStyle w:val="Tabletext"/>
              <w:jc w:val="center"/>
              <w:rPr>
                <w:bCs/>
                <w:color w:val="000000"/>
              </w:rPr>
            </w:pPr>
            <w:r w:rsidRPr="00C2292D">
              <w:t>-$</w:t>
            </w:r>
            <w:r w:rsidR="003F06F0">
              <w:rPr>
                <w:noProof/>
                <w:color w:val="000000"/>
                <w:highlight w:val="black"/>
              </w:rPr>
              <w:t>'''''''''''''</w:t>
            </w:r>
          </w:p>
        </w:tc>
        <w:tc>
          <w:tcPr>
            <w:tcW w:w="629" w:type="pct"/>
            <w:shd w:val="clear" w:color="auto" w:fill="auto"/>
          </w:tcPr>
          <w:p w:rsidR="00290BD0" w:rsidRPr="003639A6" w:rsidRDefault="00290BD0" w:rsidP="003A238A">
            <w:pPr>
              <w:pStyle w:val="Tabletext"/>
              <w:jc w:val="center"/>
              <w:rPr>
                <w:bCs/>
                <w:color w:val="000000"/>
              </w:rPr>
            </w:pPr>
            <w:r w:rsidRPr="00C2292D">
              <w:t>-$</w:t>
            </w:r>
            <w:r w:rsidR="003F06F0">
              <w:rPr>
                <w:noProof/>
                <w:color w:val="000000"/>
                <w:highlight w:val="black"/>
              </w:rPr>
              <w:t>''''''''''''</w:t>
            </w:r>
          </w:p>
        </w:tc>
        <w:tc>
          <w:tcPr>
            <w:tcW w:w="629" w:type="pct"/>
          </w:tcPr>
          <w:p w:rsidR="00290BD0" w:rsidRPr="003639A6" w:rsidRDefault="00290BD0" w:rsidP="003A238A">
            <w:pPr>
              <w:pStyle w:val="Tabletext"/>
              <w:jc w:val="center"/>
              <w:rPr>
                <w:bCs/>
                <w:color w:val="000000"/>
              </w:rPr>
            </w:pPr>
            <w:r w:rsidRPr="00C2292D">
              <w:t>-$</w:t>
            </w:r>
            <w:r w:rsidR="003F06F0">
              <w:rPr>
                <w:noProof/>
                <w:color w:val="000000"/>
                <w:highlight w:val="black"/>
              </w:rPr>
              <w:t>''''''''''''''''''</w:t>
            </w:r>
          </w:p>
        </w:tc>
      </w:tr>
      <w:tr w:rsidR="00290BD0" w:rsidRPr="003639A6" w:rsidTr="003A238A">
        <w:tc>
          <w:tcPr>
            <w:tcW w:w="1099" w:type="pct"/>
            <w:shd w:val="clear" w:color="auto" w:fill="auto"/>
            <w:vAlign w:val="center"/>
          </w:tcPr>
          <w:p w:rsidR="00290BD0" w:rsidRDefault="00290BD0" w:rsidP="003A238A">
            <w:pPr>
              <w:pStyle w:val="Tabletext"/>
              <w:rPr>
                <w:sz w:val="19"/>
                <w:szCs w:val="19"/>
              </w:rPr>
            </w:pPr>
            <w:r>
              <w:rPr>
                <w:sz w:val="19"/>
                <w:szCs w:val="19"/>
              </w:rPr>
              <w:t xml:space="preserve">Cost to PBS/RPBS less </w:t>
            </w:r>
            <w:proofErr w:type="spellStart"/>
            <w:r>
              <w:rPr>
                <w:sz w:val="19"/>
                <w:szCs w:val="19"/>
              </w:rPr>
              <w:t>copayments</w:t>
            </w:r>
            <w:proofErr w:type="spellEnd"/>
          </w:p>
        </w:tc>
        <w:tc>
          <w:tcPr>
            <w:tcW w:w="755" w:type="pct"/>
            <w:shd w:val="clear" w:color="auto" w:fill="auto"/>
          </w:tcPr>
          <w:p w:rsidR="00290BD0" w:rsidRPr="003639A6" w:rsidRDefault="00290BD0" w:rsidP="003A238A">
            <w:pPr>
              <w:pStyle w:val="Tabletext"/>
              <w:jc w:val="center"/>
              <w:rPr>
                <w:bCs/>
                <w:color w:val="000000"/>
              </w:rPr>
            </w:pPr>
            <w:r w:rsidRPr="00C2292D">
              <w:t>-$</w:t>
            </w:r>
            <w:r w:rsidR="003F06F0">
              <w:rPr>
                <w:noProof/>
                <w:color w:val="000000"/>
                <w:highlight w:val="black"/>
              </w:rPr>
              <w:t>'''''''''''''''''''''''''</w:t>
            </w:r>
          </w:p>
        </w:tc>
        <w:tc>
          <w:tcPr>
            <w:tcW w:w="629" w:type="pct"/>
            <w:shd w:val="clear" w:color="auto" w:fill="auto"/>
          </w:tcPr>
          <w:p w:rsidR="00290BD0" w:rsidRPr="003639A6" w:rsidRDefault="00290BD0" w:rsidP="003A238A">
            <w:pPr>
              <w:pStyle w:val="Tabletext"/>
              <w:jc w:val="center"/>
              <w:rPr>
                <w:bCs/>
                <w:color w:val="000000"/>
              </w:rPr>
            </w:pPr>
            <w:r w:rsidRPr="00C2292D">
              <w:t>-$</w:t>
            </w:r>
            <w:r w:rsidR="003F06F0">
              <w:rPr>
                <w:noProof/>
                <w:color w:val="000000"/>
                <w:highlight w:val="black"/>
              </w:rPr>
              <w:t>'''''''''''''''''''''</w:t>
            </w:r>
          </w:p>
        </w:tc>
        <w:tc>
          <w:tcPr>
            <w:tcW w:w="629" w:type="pct"/>
            <w:shd w:val="clear" w:color="auto" w:fill="auto"/>
          </w:tcPr>
          <w:p w:rsidR="00290BD0" w:rsidRPr="003639A6" w:rsidRDefault="00290BD0" w:rsidP="003A238A">
            <w:pPr>
              <w:pStyle w:val="Tabletext"/>
              <w:jc w:val="center"/>
              <w:rPr>
                <w:bCs/>
                <w:color w:val="000000"/>
              </w:rPr>
            </w:pPr>
            <w:r w:rsidRPr="00C2292D">
              <w:t>-$</w:t>
            </w:r>
            <w:r w:rsidR="003F06F0">
              <w:rPr>
                <w:noProof/>
                <w:color w:val="000000"/>
                <w:highlight w:val="black"/>
              </w:rPr>
              <w:t>''''''''''''''''''''''</w:t>
            </w:r>
          </w:p>
        </w:tc>
        <w:tc>
          <w:tcPr>
            <w:tcW w:w="629" w:type="pct"/>
            <w:shd w:val="clear" w:color="auto" w:fill="auto"/>
          </w:tcPr>
          <w:p w:rsidR="00290BD0" w:rsidRPr="003639A6" w:rsidRDefault="00290BD0" w:rsidP="003A238A">
            <w:pPr>
              <w:pStyle w:val="Tabletext"/>
              <w:jc w:val="center"/>
              <w:rPr>
                <w:bCs/>
                <w:color w:val="000000"/>
              </w:rPr>
            </w:pPr>
            <w:r w:rsidRPr="00C2292D">
              <w:t>-$</w:t>
            </w:r>
            <w:r w:rsidR="003F06F0">
              <w:rPr>
                <w:noProof/>
                <w:color w:val="000000"/>
                <w:highlight w:val="black"/>
              </w:rPr>
              <w:t>''''''''''''''''''''''''''</w:t>
            </w:r>
          </w:p>
        </w:tc>
        <w:tc>
          <w:tcPr>
            <w:tcW w:w="629" w:type="pct"/>
            <w:shd w:val="clear" w:color="auto" w:fill="auto"/>
          </w:tcPr>
          <w:p w:rsidR="00290BD0" w:rsidRPr="003639A6" w:rsidRDefault="00290BD0" w:rsidP="003A238A">
            <w:pPr>
              <w:pStyle w:val="Tabletext"/>
              <w:jc w:val="center"/>
              <w:rPr>
                <w:bCs/>
                <w:color w:val="000000"/>
              </w:rPr>
            </w:pPr>
            <w:r w:rsidRPr="00C2292D">
              <w:t>-$</w:t>
            </w:r>
            <w:r w:rsidR="003F06F0">
              <w:rPr>
                <w:noProof/>
                <w:color w:val="000000"/>
                <w:highlight w:val="black"/>
              </w:rPr>
              <w:t>'''''''''''''''''''''''</w:t>
            </w:r>
          </w:p>
        </w:tc>
        <w:tc>
          <w:tcPr>
            <w:tcW w:w="629" w:type="pct"/>
          </w:tcPr>
          <w:p w:rsidR="00290BD0" w:rsidRPr="003639A6" w:rsidRDefault="00290BD0" w:rsidP="003A238A">
            <w:pPr>
              <w:pStyle w:val="Tabletext"/>
              <w:jc w:val="center"/>
              <w:rPr>
                <w:bCs/>
                <w:color w:val="000000"/>
              </w:rPr>
            </w:pPr>
            <w:r w:rsidRPr="00C2292D">
              <w:t>-$</w:t>
            </w:r>
            <w:r w:rsidR="003F06F0">
              <w:rPr>
                <w:noProof/>
                <w:color w:val="000000"/>
                <w:highlight w:val="black"/>
              </w:rPr>
              <w:t>'''''''''''''''''''''</w:t>
            </w:r>
          </w:p>
        </w:tc>
      </w:tr>
      <w:tr w:rsidR="00290BD0" w:rsidRPr="00FC22AB" w:rsidTr="003A238A">
        <w:tc>
          <w:tcPr>
            <w:tcW w:w="5000" w:type="pct"/>
            <w:gridSpan w:val="7"/>
            <w:shd w:val="clear" w:color="auto" w:fill="auto"/>
            <w:vAlign w:val="center"/>
          </w:tcPr>
          <w:p w:rsidR="00290BD0" w:rsidRPr="00FC22AB" w:rsidRDefault="00290BD0" w:rsidP="003A238A">
            <w:pPr>
              <w:pStyle w:val="Tabletext"/>
              <w:rPr>
                <w:b/>
                <w:bCs/>
                <w:color w:val="000000"/>
              </w:rPr>
            </w:pPr>
            <w:r w:rsidRPr="00FC22AB">
              <w:rPr>
                <w:b/>
                <w:bCs/>
                <w:color w:val="000000"/>
              </w:rPr>
              <w:t>Net financial implications</w:t>
            </w:r>
          </w:p>
        </w:tc>
      </w:tr>
      <w:tr w:rsidR="00290BD0" w:rsidRPr="003639A6" w:rsidTr="003A238A">
        <w:tc>
          <w:tcPr>
            <w:tcW w:w="1099" w:type="pct"/>
            <w:shd w:val="clear" w:color="auto" w:fill="auto"/>
            <w:vAlign w:val="center"/>
          </w:tcPr>
          <w:p w:rsidR="00290BD0" w:rsidRDefault="00290BD0" w:rsidP="003A238A">
            <w:pPr>
              <w:pStyle w:val="Tabletext"/>
              <w:rPr>
                <w:sz w:val="19"/>
                <w:szCs w:val="19"/>
              </w:rPr>
            </w:pPr>
            <w:r>
              <w:rPr>
                <w:sz w:val="19"/>
                <w:szCs w:val="19"/>
              </w:rPr>
              <w:t>Net cost to PBS/RPBS</w:t>
            </w:r>
          </w:p>
        </w:tc>
        <w:tc>
          <w:tcPr>
            <w:tcW w:w="755" w:type="pct"/>
            <w:shd w:val="clear" w:color="auto" w:fill="auto"/>
          </w:tcPr>
          <w:p w:rsidR="00290BD0" w:rsidRPr="003639A6" w:rsidRDefault="00290BD0" w:rsidP="003A238A">
            <w:pPr>
              <w:pStyle w:val="Tabletext"/>
              <w:jc w:val="center"/>
              <w:rPr>
                <w:bCs/>
                <w:color w:val="000000"/>
              </w:rPr>
            </w:pPr>
            <w:r w:rsidRPr="0055383E">
              <w:t>$</w:t>
            </w:r>
            <w:r w:rsidR="003F06F0">
              <w:rPr>
                <w:noProof/>
                <w:color w:val="000000"/>
                <w:highlight w:val="black"/>
              </w:rPr>
              <w:t>'''''''''''''''''''''''''''''</w:t>
            </w:r>
          </w:p>
        </w:tc>
        <w:tc>
          <w:tcPr>
            <w:tcW w:w="629" w:type="pct"/>
            <w:shd w:val="clear" w:color="auto" w:fill="auto"/>
          </w:tcPr>
          <w:p w:rsidR="00290BD0" w:rsidRPr="003639A6" w:rsidRDefault="00290BD0" w:rsidP="003A238A">
            <w:pPr>
              <w:pStyle w:val="Tabletext"/>
              <w:jc w:val="center"/>
              <w:rPr>
                <w:bCs/>
                <w:color w:val="000000"/>
              </w:rPr>
            </w:pPr>
            <w:r w:rsidRPr="0055383E">
              <w:t>$</w:t>
            </w:r>
            <w:r w:rsidR="003F06F0">
              <w:rPr>
                <w:noProof/>
                <w:color w:val="000000"/>
                <w:highlight w:val="black"/>
              </w:rPr>
              <w:t>''''''''''''''''''''''''''''</w:t>
            </w:r>
          </w:p>
        </w:tc>
        <w:tc>
          <w:tcPr>
            <w:tcW w:w="629" w:type="pct"/>
            <w:shd w:val="clear" w:color="auto" w:fill="auto"/>
          </w:tcPr>
          <w:p w:rsidR="00290BD0" w:rsidRPr="003639A6" w:rsidRDefault="00290BD0" w:rsidP="003A238A">
            <w:pPr>
              <w:pStyle w:val="Tabletext"/>
              <w:jc w:val="center"/>
              <w:rPr>
                <w:bCs/>
                <w:color w:val="000000"/>
              </w:rPr>
            </w:pPr>
            <w:r w:rsidRPr="0055383E">
              <w:t>$</w:t>
            </w:r>
            <w:r w:rsidR="003F06F0">
              <w:rPr>
                <w:noProof/>
                <w:color w:val="000000"/>
                <w:highlight w:val="black"/>
              </w:rPr>
              <w:t>'''''''''''''''''''''''''''</w:t>
            </w:r>
          </w:p>
        </w:tc>
        <w:tc>
          <w:tcPr>
            <w:tcW w:w="629" w:type="pct"/>
            <w:shd w:val="clear" w:color="auto" w:fill="auto"/>
          </w:tcPr>
          <w:p w:rsidR="00290BD0" w:rsidRPr="003639A6" w:rsidRDefault="00290BD0" w:rsidP="003A238A">
            <w:pPr>
              <w:pStyle w:val="Tabletext"/>
              <w:jc w:val="center"/>
              <w:rPr>
                <w:bCs/>
                <w:color w:val="000000"/>
              </w:rPr>
            </w:pPr>
            <w:r w:rsidRPr="0055383E">
              <w:t>$</w:t>
            </w:r>
            <w:r w:rsidR="003F06F0">
              <w:rPr>
                <w:noProof/>
                <w:color w:val="000000"/>
                <w:highlight w:val="black"/>
              </w:rPr>
              <w:t>''''''''''''''''''''''''''''</w:t>
            </w:r>
          </w:p>
        </w:tc>
        <w:tc>
          <w:tcPr>
            <w:tcW w:w="629" w:type="pct"/>
            <w:shd w:val="clear" w:color="auto" w:fill="auto"/>
          </w:tcPr>
          <w:p w:rsidR="00290BD0" w:rsidRPr="003639A6" w:rsidRDefault="00290BD0" w:rsidP="003A238A">
            <w:pPr>
              <w:pStyle w:val="Tabletext"/>
              <w:jc w:val="center"/>
              <w:rPr>
                <w:bCs/>
                <w:color w:val="000000"/>
              </w:rPr>
            </w:pPr>
            <w:r w:rsidRPr="0055383E">
              <w:t>$</w:t>
            </w:r>
            <w:r w:rsidR="003F06F0">
              <w:rPr>
                <w:noProof/>
                <w:color w:val="000000"/>
                <w:highlight w:val="black"/>
              </w:rPr>
              <w:t>'''''''''''''''''''''''''''</w:t>
            </w:r>
          </w:p>
        </w:tc>
        <w:tc>
          <w:tcPr>
            <w:tcW w:w="629" w:type="pct"/>
          </w:tcPr>
          <w:p w:rsidR="00290BD0" w:rsidRPr="003639A6" w:rsidRDefault="00290BD0" w:rsidP="003A238A">
            <w:pPr>
              <w:pStyle w:val="Tabletext"/>
              <w:jc w:val="center"/>
              <w:rPr>
                <w:bCs/>
                <w:color w:val="000000"/>
              </w:rPr>
            </w:pPr>
            <w:r w:rsidRPr="0055383E">
              <w:t>$</w:t>
            </w:r>
            <w:r w:rsidR="003F06F0">
              <w:rPr>
                <w:noProof/>
                <w:color w:val="000000"/>
                <w:highlight w:val="black"/>
              </w:rPr>
              <w:t>''''''''''''''''''''''''''</w:t>
            </w:r>
          </w:p>
        </w:tc>
      </w:tr>
    </w:tbl>
    <w:p w:rsidR="00290BD0" w:rsidRDefault="00290BD0" w:rsidP="00290BD0">
      <w:pPr>
        <w:rPr>
          <w:rFonts w:ascii="Arial Narrow" w:hAnsi="Arial Narrow"/>
          <w:i/>
          <w:sz w:val="18"/>
          <w:szCs w:val="18"/>
        </w:rPr>
      </w:pPr>
      <w:r w:rsidRPr="00FA050F">
        <w:rPr>
          <w:rFonts w:ascii="Arial Narrow" w:hAnsi="Arial Narrow"/>
          <w:sz w:val="18"/>
          <w:szCs w:val="18"/>
        </w:rPr>
        <w:t>Note:</w:t>
      </w:r>
      <w:r w:rsidRPr="00FA050F">
        <w:rPr>
          <w:sz w:val="18"/>
          <w:szCs w:val="18"/>
        </w:rPr>
        <w:t xml:space="preserve"> </w:t>
      </w:r>
      <w:r w:rsidRPr="00FA050F">
        <w:rPr>
          <w:rFonts w:ascii="Arial Narrow" w:hAnsi="Arial Narrow"/>
          <w:i/>
          <w:sz w:val="18"/>
          <w:szCs w:val="18"/>
        </w:rPr>
        <w:t>a</w:t>
      </w:r>
      <w:r>
        <w:rPr>
          <w:rFonts w:ascii="Arial Narrow" w:hAnsi="Arial Narrow"/>
          <w:i/>
          <w:sz w:val="18"/>
          <w:szCs w:val="18"/>
        </w:rPr>
        <w:t xml:space="preserve"> Based on the sponsor’s assumptions for </w:t>
      </w:r>
      <w:proofErr w:type="spellStart"/>
      <w:r>
        <w:rPr>
          <w:rFonts w:ascii="Arial Narrow" w:hAnsi="Arial Narrow"/>
          <w:i/>
          <w:sz w:val="18"/>
          <w:szCs w:val="18"/>
        </w:rPr>
        <w:t>lenalidomide</w:t>
      </w:r>
      <w:proofErr w:type="spellEnd"/>
      <w:r>
        <w:rPr>
          <w:rFonts w:ascii="Arial Narrow" w:hAnsi="Arial Narrow"/>
          <w:i/>
          <w:sz w:val="18"/>
          <w:szCs w:val="18"/>
        </w:rPr>
        <w:t xml:space="preserve"> uptake of </w:t>
      </w:r>
      <w:r w:rsidR="003F06F0">
        <w:rPr>
          <w:rFonts w:ascii="Arial Narrow" w:hAnsi="Arial Narrow"/>
          <w:i/>
          <w:noProof/>
          <w:color w:val="000000"/>
          <w:sz w:val="18"/>
          <w:szCs w:val="18"/>
          <w:highlight w:val="black"/>
        </w:rPr>
        <w:t>''''''</w:t>
      </w:r>
      <w:r>
        <w:rPr>
          <w:rFonts w:ascii="Arial Narrow" w:hAnsi="Arial Narrow"/>
          <w:i/>
          <w:sz w:val="18"/>
          <w:szCs w:val="18"/>
        </w:rPr>
        <w:t xml:space="preserve">% in Year 1 increasing to </w:t>
      </w:r>
      <w:r w:rsidR="003F06F0">
        <w:rPr>
          <w:rFonts w:ascii="Arial Narrow" w:hAnsi="Arial Narrow"/>
          <w:i/>
          <w:noProof/>
          <w:color w:val="000000"/>
          <w:sz w:val="18"/>
          <w:szCs w:val="18"/>
          <w:highlight w:val="black"/>
        </w:rPr>
        <w:t>'''''''</w:t>
      </w:r>
      <w:r>
        <w:rPr>
          <w:rFonts w:ascii="Arial Narrow" w:hAnsi="Arial Narrow"/>
          <w:i/>
          <w:sz w:val="18"/>
          <w:szCs w:val="18"/>
        </w:rPr>
        <w:t>% in Year 6.</w:t>
      </w:r>
    </w:p>
    <w:p w:rsidR="00290BD0" w:rsidRPr="00FA050F" w:rsidRDefault="00290BD0" w:rsidP="00290BD0">
      <w:pPr>
        <w:rPr>
          <w:rFonts w:ascii="Arial Narrow" w:hAnsi="Arial Narrow"/>
          <w:i/>
          <w:sz w:val="18"/>
          <w:szCs w:val="18"/>
        </w:rPr>
      </w:pPr>
      <w:r w:rsidRPr="00FA050F">
        <w:rPr>
          <w:rFonts w:ascii="Arial Narrow" w:hAnsi="Arial Narrow"/>
          <w:i/>
          <w:sz w:val="18"/>
          <w:szCs w:val="18"/>
        </w:rPr>
        <w:t>b</w:t>
      </w:r>
      <w:r>
        <w:rPr>
          <w:rFonts w:ascii="Arial Narrow" w:hAnsi="Arial Narrow"/>
          <w:i/>
          <w:sz w:val="18"/>
          <w:szCs w:val="18"/>
        </w:rPr>
        <w:t xml:space="preserve">. Continuing patients in a given year are calculated as the sum of initiators over the previous two years. e.g. </w:t>
      </w:r>
      <w:r w:rsidR="003F06F0">
        <w:rPr>
          <w:rFonts w:ascii="Arial Narrow" w:hAnsi="Arial Narrow"/>
          <w:i/>
          <w:noProof/>
          <w:color w:val="000000"/>
          <w:sz w:val="18"/>
          <w:szCs w:val="18"/>
          <w:highlight w:val="black"/>
        </w:rPr>
        <w:t>'''''''''</w:t>
      </w:r>
      <w:r>
        <w:rPr>
          <w:rFonts w:ascii="Arial Narrow" w:hAnsi="Arial Narrow"/>
          <w:i/>
          <w:sz w:val="18"/>
          <w:szCs w:val="18"/>
        </w:rPr>
        <w:t xml:space="preserve"> in Year 4 = </w:t>
      </w:r>
      <w:r w:rsidR="003F06F0">
        <w:rPr>
          <w:rFonts w:ascii="Arial Narrow" w:hAnsi="Arial Narrow"/>
          <w:i/>
          <w:noProof/>
          <w:color w:val="000000"/>
          <w:sz w:val="18"/>
          <w:szCs w:val="18"/>
          <w:highlight w:val="black"/>
        </w:rPr>
        <w:t>''''''''</w:t>
      </w:r>
      <w:r>
        <w:rPr>
          <w:rFonts w:ascii="Arial Narrow" w:hAnsi="Arial Narrow"/>
          <w:i/>
          <w:sz w:val="18"/>
          <w:szCs w:val="18"/>
        </w:rPr>
        <w:t xml:space="preserve"> in Year 2 + </w:t>
      </w:r>
      <w:r w:rsidR="003F06F0">
        <w:rPr>
          <w:rFonts w:ascii="Arial Narrow" w:hAnsi="Arial Narrow"/>
          <w:i/>
          <w:noProof/>
          <w:color w:val="000000"/>
          <w:sz w:val="18"/>
          <w:szCs w:val="18"/>
          <w:highlight w:val="black"/>
        </w:rPr>
        <w:t>''''''''''</w:t>
      </w:r>
      <w:r>
        <w:rPr>
          <w:rFonts w:ascii="Arial Narrow" w:hAnsi="Arial Narrow"/>
          <w:i/>
          <w:sz w:val="18"/>
          <w:szCs w:val="18"/>
        </w:rPr>
        <w:t xml:space="preserve"> in Year 3.</w:t>
      </w:r>
    </w:p>
    <w:p w:rsidR="00290BD0" w:rsidRPr="00FA050F" w:rsidRDefault="00290BD0" w:rsidP="00290BD0">
      <w:pPr>
        <w:pStyle w:val="TableFooter"/>
        <w:tabs>
          <w:tab w:val="left" w:pos="142"/>
        </w:tabs>
        <w:rPr>
          <w:vertAlign w:val="superscript"/>
        </w:rPr>
      </w:pPr>
      <w:proofErr w:type="gramStart"/>
      <w:r w:rsidRPr="00FA050F">
        <w:t>c</w:t>
      </w:r>
      <w:proofErr w:type="gramEnd"/>
      <w:r>
        <w:t xml:space="preserve">. </w:t>
      </w:r>
      <w:r w:rsidRPr="003639A6">
        <w:t xml:space="preserve">Assuming </w:t>
      </w:r>
      <w:r>
        <w:t xml:space="preserve">13.04 (365.25/28) </w:t>
      </w:r>
      <w:r w:rsidRPr="003639A6">
        <w:t>per year as estimated by the submission.</w:t>
      </w:r>
    </w:p>
    <w:p w:rsidR="00290BD0" w:rsidRPr="00183E18" w:rsidRDefault="00290BD0" w:rsidP="00290BD0">
      <w:pPr>
        <w:rPr>
          <w:rFonts w:ascii="Arial Narrow" w:hAnsi="Arial Narrow"/>
          <w:i/>
          <w:sz w:val="18"/>
          <w:szCs w:val="18"/>
        </w:rPr>
      </w:pPr>
      <w:r w:rsidRPr="00BA4022">
        <w:rPr>
          <w:rFonts w:ascii="Arial Narrow" w:hAnsi="Arial Narrow"/>
          <w:i/>
          <w:sz w:val="18"/>
          <w:szCs w:val="18"/>
        </w:rPr>
        <w:t xml:space="preserve">There was a </w:t>
      </w:r>
      <w:r>
        <w:rPr>
          <w:rFonts w:ascii="Arial Narrow" w:hAnsi="Arial Narrow"/>
          <w:i/>
          <w:sz w:val="18"/>
          <w:szCs w:val="18"/>
        </w:rPr>
        <w:t xml:space="preserve">minor </w:t>
      </w:r>
      <w:r w:rsidRPr="00BA4022">
        <w:rPr>
          <w:rFonts w:ascii="Arial Narrow" w:hAnsi="Arial Narrow"/>
          <w:i/>
          <w:sz w:val="18"/>
          <w:szCs w:val="18"/>
        </w:rPr>
        <w:t>discrepancy between the patient numbers reported in the submission and the attached Excel spreadsheet</w:t>
      </w:r>
      <w:r>
        <w:rPr>
          <w:rFonts w:ascii="Arial Narrow" w:hAnsi="Arial Narrow"/>
          <w:i/>
          <w:sz w:val="18"/>
          <w:szCs w:val="18"/>
        </w:rPr>
        <w:t>. Numbers shown are from the spreadsheet (as per Source).</w:t>
      </w:r>
    </w:p>
    <w:p w:rsidR="00290BD0" w:rsidRDefault="00290BD0" w:rsidP="00290BD0">
      <w:pPr>
        <w:pStyle w:val="TableFooter"/>
        <w:rPr>
          <w:rStyle w:val="CommentReference"/>
        </w:rPr>
      </w:pPr>
      <w:r>
        <w:t xml:space="preserve">Source: </w:t>
      </w:r>
      <w:r w:rsidRPr="004642C2">
        <w:t>Table 4.9, p.200 of the submission</w:t>
      </w:r>
      <w:r>
        <w:t xml:space="preserve">. </w:t>
      </w:r>
      <w:r w:rsidRPr="004642C2">
        <w:rPr>
          <w:i/>
        </w:rPr>
        <w:t xml:space="preserve">Excel spreadsheet ‘Att14_Section 4 financial impact model v2’, sheet “4.2 </w:t>
      </w:r>
      <w:proofErr w:type="gramStart"/>
      <w:r w:rsidRPr="004642C2">
        <w:rPr>
          <w:i/>
        </w:rPr>
        <w:t>Proposed</w:t>
      </w:r>
      <w:proofErr w:type="gramEnd"/>
      <w:r w:rsidRPr="004642C2">
        <w:rPr>
          <w:i/>
        </w:rPr>
        <w:t xml:space="preserve"> medicine”</w:t>
      </w:r>
      <w:r>
        <w:rPr>
          <w:i/>
        </w:rPr>
        <w:t xml:space="preserve">, </w:t>
      </w:r>
      <w:r w:rsidRPr="004642C2">
        <w:rPr>
          <w:i/>
        </w:rPr>
        <w:t>sheet “4.3 Other medicines”</w:t>
      </w:r>
      <w:r>
        <w:rPr>
          <w:i/>
        </w:rPr>
        <w:t>.</w:t>
      </w:r>
    </w:p>
    <w:p w:rsidR="00290BD0" w:rsidRPr="0097207C" w:rsidRDefault="00290BD0" w:rsidP="00290BD0">
      <w:pPr>
        <w:widowControl/>
      </w:pPr>
    </w:p>
    <w:p w:rsidR="0097207C" w:rsidRPr="004278EF" w:rsidRDefault="001736C7" w:rsidP="004278EF">
      <w:pPr>
        <w:pStyle w:val="ListParagraph"/>
        <w:widowControl/>
        <w:numPr>
          <w:ilvl w:val="1"/>
          <w:numId w:val="2"/>
        </w:numPr>
      </w:pPr>
      <w:r w:rsidRPr="004278EF">
        <w:t>The PBAC noted that the DUSC considered that</w:t>
      </w:r>
      <w:r w:rsidR="0097207C" w:rsidRPr="004278EF">
        <w:t xml:space="preserve"> the financial estimates presented in the submission are uncertain</w:t>
      </w:r>
      <w:r w:rsidRPr="004278EF">
        <w:t xml:space="preserve"> with the</w:t>
      </w:r>
      <w:r w:rsidR="0097207C" w:rsidRPr="004278EF">
        <w:t xml:space="preserve"> main issues </w:t>
      </w:r>
      <w:r w:rsidRPr="004278EF">
        <w:t>b</w:t>
      </w:r>
      <w:r w:rsidR="0097207C" w:rsidRPr="004278EF">
        <w:t>e</w:t>
      </w:r>
      <w:r w:rsidRPr="004278EF">
        <w:t>ing</w:t>
      </w:r>
      <w:r w:rsidR="0097207C" w:rsidRPr="004278EF">
        <w:t>:</w:t>
      </w:r>
    </w:p>
    <w:p w:rsidR="0097207C" w:rsidRPr="001736C7" w:rsidRDefault="0097207C" w:rsidP="004278EF">
      <w:pPr>
        <w:pStyle w:val="ListParagraph"/>
        <w:widowControl/>
        <w:numPr>
          <w:ilvl w:val="0"/>
          <w:numId w:val="5"/>
        </w:numPr>
        <w:spacing w:after="0"/>
        <w:ind w:left="1134"/>
        <w:contextualSpacing/>
        <w:rPr>
          <w:rFonts w:asciiTheme="minorHAnsi" w:hAnsiTheme="minorHAnsi"/>
          <w:szCs w:val="24"/>
        </w:rPr>
      </w:pPr>
      <w:r w:rsidRPr="001736C7">
        <w:rPr>
          <w:rFonts w:asciiTheme="minorHAnsi" w:hAnsiTheme="minorHAnsi"/>
          <w:szCs w:val="24"/>
        </w:rPr>
        <w:t xml:space="preserve">The existing </w:t>
      </w:r>
      <w:proofErr w:type="gramStart"/>
      <w:r w:rsidRPr="001736C7">
        <w:rPr>
          <w:rFonts w:asciiTheme="minorHAnsi" w:hAnsiTheme="minorHAnsi"/>
          <w:szCs w:val="24"/>
        </w:rPr>
        <w:t>pool</w:t>
      </w:r>
      <w:proofErr w:type="gramEnd"/>
      <w:r w:rsidRPr="001736C7">
        <w:rPr>
          <w:rFonts w:asciiTheme="minorHAnsi" w:hAnsiTheme="minorHAnsi"/>
          <w:szCs w:val="24"/>
        </w:rPr>
        <w:t xml:space="preserve"> of patients that may receive maintenance therapy with </w:t>
      </w:r>
      <w:proofErr w:type="spellStart"/>
      <w:r w:rsidRPr="001736C7">
        <w:rPr>
          <w:rFonts w:asciiTheme="minorHAnsi" w:hAnsiTheme="minorHAnsi"/>
          <w:szCs w:val="24"/>
        </w:rPr>
        <w:t>lenalidomide</w:t>
      </w:r>
      <w:proofErr w:type="spellEnd"/>
      <w:r w:rsidRPr="001736C7">
        <w:rPr>
          <w:rFonts w:asciiTheme="minorHAnsi" w:hAnsiTheme="minorHAnsi"/>
          <w:szCs w:val="24"/>
        </w:rPr>
        <w:t xml:space="preserve"> in the first year of listing have not been factored into the estimates. This would include patients currently on thalidomide who may switch to </w:t>
      </w:r>
      <w:proofErr w:type="spellStart"/>
      <w:r w:rsidRPr="001736C7">
        <w:rPr>
          <w:rFonts w:asciiTheme="minorHAnsi" w:hAnsiTheme="minorHAnsi"/>
          <w:szCs w:val="24"/>
        </w:rPr>
        <w:t>lenalidomide</w:t>
      </w:r>
      <w:proofErr w:type="spellEnd"/>
      <w:r w:rsidRPr="001736C7">
        <w:rPr>
          <w:rFonts w:asciiTheme="minorHAnsi" w:hAnsiTheme="minorHAnsi"/>
          <w:szCs w:val="24"/>
        </w:rPr>
        <w:t xml:space="preserve"> and patients who have discontinued maintenance thalidomide due to toxicity but have not yet experienced their first post-ASCT disease progression.  </w:t>
      </w:r>
    </w:p>
    <w:p w:rsidR="0097207C" w:rsidRPr="001736C7" w:rsidRDefault="0097207C" w:rsidP="004278EF">
      <w:pPr>
        <w:pStyle w:val="ListParagraph"/>
        <w:widowControl/>
        <w:numPr>
          <w:ilvl w:val="0"/>
          <w:numId w:val="5"/>
        </w:numPr>
        <w:spacing w:after="0"/>
        <w:ind w:left="1134"/>
        <w:contextualSpacing/>
        <w:rPr>
          <w:rFonts w:asciiTheme="minorHAnsi" w:hAnsiTheme="minorHAnsi"/>
          <w:szCs w:val="24"/>
        </w:rPr>
      </w:pPr>
      <w:r w:rsidRPr="001736C7">
        <w:rPr>
          <w:rFonts w:asciiTheme="minorHAnsi" w:hAnsiTheme="minorHAnsi"/>
          <w:szCs w:val="24"/>
        </w:rPr>
        <w:t>However, the treated population and number of prescriptions are likely to have been overestimated as:</w:t>
      </w:r>
    </w:p>
    <w:p w:rsidR="0097207C" w:rsidRPr="001736C7" w:rsidRDefault="0097207C" w:rsidP="004278EF">
      <w:pPr>
        <w:pStyle w:val="ListParagraph"/>
        <w:widowControl/>
        <w:numPr>
          <w:ilvl w:val="0"/>
          <w:numId w:val="6"/>
        </w:numPr>
        <w:spacing w:after="0"/>
        <w:ind w:left="1560"/>
        <w:contextualSpacing/>
        <w:rPr>
          <w:rFonts w:asciiTheme="minorHAnsi" w:hAnsiTheme="minorHAnsi"/>
          <w:szCs w:val="24"/>
        </w:rPr>
      </w:pPr>
      <w:r w:rsidRPr="001736C7">
        <w:rPr>
          <w:rFonts w:asciiTheme="minorHAnsi" w:hAnsiTheme="minorHAnsi"/>
          <w:szCs w:val="24"/>
        </w:rPr>
        <w:t xml:space="preserve">The number of patients is based on the number of transplants from the </w:t>
      </w:r>
      <w:r w:rsidRPr="001736C7">
        <w:rPr>
          <w:rFonts w:asciiTheme="minorHAnsi" w:hAnsiTheme="minorHAnsi"/>
          <w:color w:val="000000" w:themeColor="text1"/>
          <w:szCs w:val="24"/>
        </w:rPr>
        <w:t>Australasian Bone Marrow Transplant Recipient Registry (ABMTRR)</w:t>
      </w:r>
      <w:r w:rsidRPr="001736C7">
        <w:rPr>
          <w:rFonts w:asciiTheme="minorHAnsi" w:hAnsiTheme="minorHAnsi"/>
          <w:szCs w:val="24"/>
        </w:rPr>
        <w:t xml:space="preserve">. It is unknown what proportion of the overall multiple myeloma population were represented in the ABMTRR. Further, the number, and definition, of newly diagnosed multiple myeloma patients represented in this registry is unknown. </w:t>
      </w:r>
    </w:p>
    <w:p w:rsidR="0097207C" w:rsidRPr="001736C7" w:rsidRDefault="0097207C" w:rsidP="004278EF">
      <w:pPr>
        <w:pStyle w:val="ListParagraph"/>
        <w:widowControl/>
        <w:numPr>
          <w:ilvl w:val="0"/>
          <w:numId w:val="6"/>
        </w:numPr>
        <w:spacing w:after="0"/>
        <w:ind w:left="1560"/>
        <w:contextualSpacing/>
        <w:rPr>
          <w:rFonts w:asciiTheme="minorHAnsi" w:hAnsiTheme="minorHAnsi"/>
          <w:szCs w:val="24"/>
        </w:rPr>
      </w:pPr>
      <w:r w:rsidRPr="001736C7">
        <w:rPr>
          <w:rFonts w:asciiTheme="minorHAnsi" w:hAnsiTheme="minorHAnsi"/>
          <w:szCs w:val="24"/>
        </w:rPr>
        <w:t>It is expected that some patients will have transplant failures and not proceed to maintenance therapy.</w:t>
      </w:r>
    </w:p>
    <w:p w:rsidR="0097207C" w:rsidRPr="001736C7" w:rsidRDefault="0097207C" w:rsidP="004278EF">
      <w:pPr>
        <w:pStyle w:val="ListParagraph"/>
        <w:numPr>
          <w:ilvl w:val="0"/>
          <w:numId w:val="6"/>
        </w:numPr>
        <w:spacing w:after="0"/>
        <w:ind w:left="1560"/>
        <w:contextualSpacing/>
        <w:rPr>
          <w:rFonts w:asciiTheme="minorHAnsi" w:hAnsiTheme="minorHAnsi"/>
          <w:szCs w:val="24"/>
        </w:rPr>
      </w:pPr>
      <w:r w:rsidRPr="001736C7">
        <w:rPr>
          <w:rFonts w:asciiTheme="minorHAnsi" w:hAnsiTheme="minorHAnsi"/>
          <w:szCs w:val="24"/>
        </w:rPr>
        <w:t>The estimated number of patients receiving ASCT in Year 1 (</w:t>
      </w:r>
      <w:r w:rsidR="003F06F0">
        <w:rPr>
          <w:rFonts w:asciiTheme="minorHAnsi" w:hAnsiTheme="minorHAnsi"/>
          <w:noProof/>
          <w:color w:val="000000"/>
          <w:szCs w:val="24"/>
          <w:highlight w:val="black"/>
        </w:rPr>
        <w:t>'''''''</w:t>
      </w:r>
      <w:r w:rsidRPr="001736C7">
        <w:rPr>
          <w:rFonts w:asciiTheme="minorHAnsi" w:hAnsiTheme="minorHAnsi"/>
          <w:szCs w:val="24"/>
        </w:rPr>
        <w:t xml:space="preserve">) is uncertain and likely overestimated. </w:t>
      </w:r>
    </w:p>
    <w:p w:rsidR="0097207C" w:rsidRPr="001736C7" w:rsidRDefault="0097207C" w:rsidP="004278EF">
      <w:pPr>
        <w:pStyle w:val="ListParagraph"/>
        <w:numPr>
          <w:ilvl w:val="1"/>
          <w:numId w:val="6"/>
        </w:numPr>
        <w:spacing w:after="0"/>
        <w:ind w:left="1985" w:hanging="425"/>
        <w:contextualSpacing/>
        <w:rPr>
          <w:rFonts w:asciiTheme="minorHAnsi" w:hAnsiTheme="minorHAnsi"/>
          <w:szCs w:val="24"/>
        </w:rPr>
      </w:pPr>
      <w:r w:rsidRPr="001736C7">
        <w:rPr>
          <w:rFonts w:asciiTheme="minorHAnsi" w:hAnsiTheme="minorHAnsi"/>
          <w:szCs w:val="24"/>
        </w:rPr>
        <w:t>The predicted number of ASCTs was extrapolated from the number of ASCTs in the ABMTRR in 2013 (</w:t>
      </w:r>
      <w:r w:rsidR="003F06F0">
        <w:rPr>
          <w:rFonts w:asciiTheme="minorHAnsi" w:hAnsiTheme="minorHAnsi"/>
          <w:noProof/>
          <w:color w:val="000000"/>
          <w:szCs w:val="24"/>
          <w:highlight w:val="black"/>
        </w:rPr>
        <w:t>''''''''</w:t>
      </w:r>
      <w:r w:rsidRPr="001736C7">
        <w:rPr>
          <w:rFonts w:asciiTheme="minorHAnsi" w:hAnsiTheme="minorHAnsi"/>
          <w:szCs w:val="24"/>
        </w:rPr>
        <w:t>) and 2015 (</w:t>
      </w:r>
      <w:r w:rsidR="003F06F0">
        <w:rPr>
          <w:rFonts w:asciiTheme="minorHAnsi" w:hAnsiTheme="minorHAnsi"/>
          <w:noProof/>
          <w:color w:val="000000"/>
          <w:szCs w:val="24"/>
          <w:highlight w:val="black"/>
        </w:rPr>
        <w:t>'''''''</w:t>
      </w:r>
      <w:r w:rsidRPr="001736C7">
        <w:rPr>
          <w:rFonts w:asciiTheme="minorHAnsi" w:hAnsiTheme="minorHAnsi"/>
          <w:szCs w:val="24"/>
        </w:rPr>
        <w:t>) and annual growth in this period (</w:t>
      </w:r>
      <w:r w:rsidR="003F06F0">
        <w:rPr>
          <w:rFonts w:asciiTheme="minorHAnsi" w:hAnsiTheme="minorHAnsi"/>
          <w:noProof/>
          <w:color w:val="000000"/>
          <w:szCs w:val="24"/>
          <w:highlight w:val="black"/>
        </w:rPr>
        <w:t>'''''''</w:t>
      </w:r>
      <w:r w:rsidRPr="001736C7">
        <w:rPr>
          <w:rFonts w:asciiTheme="minorHAnsi" w:hAnsiTheme="minorHAnsi"/>
          <w:szCs w:val="24"/>
        </w:rPr>
        <w:t xml:space="preserve">%). DUSC considered the rate of increase to be unreliable as it is based on only two estimates, and is </w:t>
      </w:r>
      <w:r w:rsidRPr="001736C7">
        <w:rPr>
          <w:rFonts w:asciiTheme="minorHAnsi" w:hAnsiTheme="minorHAnsi"/>
          <w:color w:val="000000" w:themeColor="text1"/>
          <w:szCs w:val="24"/>
        </w:rPr>
        <w:t>high relative to the growth in the general population.</w:t>
      </w:r>
      <w:r w:rsidRPr="001736C7">
        <w:rPr>
          <w:rFonts w:asciiTheme="minorHAnsi" w:hAnsiTheme="minorHAnsi"/>
          <w:szCs w:val="24"/>
        </w:rPr>
        <w:t xml:space="preserve">  </w:t>
      </w:r>
    </w:p>
    <w:p w:rsidR="0097207C" w:rsidRPr="001736C7" w:rsidRDefault="0097207C" w:rsidP="004278EF">
      <w:pPr>
        <w:pStyle w:val="ListParagraph"/>
        <w:numPr>
          <w:ilvl w:val="1"/>
          <w:numId w:val="6"/>
        </w:numPr>
        <w:spacing w:after="0"/>
        <w:ind w:left="1985" w:hanging="425"/>
        <w:contextualSpacing/>
        <w:rPr>
          <w:rFonts w:asciiTheme="minorHAnsi" w:hAnsiTheme="minorHAnsi"/>
          <w:szCs w:val="24"/>
        </w:rPr>
      </w:pPr>
      <w:r w:rsidRPr="001736C7">
        <w:rPr>
          <w:rFonts w:asciiTheme="minorHAnsi" w:hAnsiTheme="minorHAnsi"/>
          <w:szCs w:val="24"/>
        </w:rPr>
        <w:t xml:space="preserve">DUSC noted that triangulation of the predicted number of ASCTs with PBS data for the number of patients receiving PBS subsidised </w:t>
      </w:r>
      <w:proofErr w:type="spellStart"/>
      <w:r w:rsidRPr="001736C7">
        <w:rPr>
          <w:rFonts w:asciiTheme="minorHAnsi" w:hAnsiTheme="minorHAnsi"/>
          <w:szCs w:val="24"/>
        </w:rPr>
        <w:t>bortezomib</w:t>
      </w:r>
      <w:proofErr w:type="spellEnd"/>
      <w:r w:rsidRPr="001736C7">
        <w:rPr>
          <w:rFonts w:asciiTheme="minorHAnsi" w:hAnsiTheme="minorHAnsi"/>
          <w:szCs w:val="24"/>
        </w:rPr>
        <w:t xml:space="preserve"> for induction therapy (n=459 in 2017) indicates a potential overestimate in the submission estimates. The clinician survey provided by the sponsor with the pre-subcommittee response (n=30 haematologists) suggests 97% of induction regimens include </w:t>
      </w:r>
      <w:proofErr w:type="spellStart"/>
      <w:r w:rsidRPr="001736C7">
        <w:rPr>
          <w:rFonts w:asciiTheme="minorHAnsi" w:hAnsiTheme="minorHAnsi"/>
          <w:szCs w:val="24"/>
        </w:rPr>
        <w:t>bortezomib</w:t>
      </w:r>
      <w:proofErr w:type="spellEnd"/>
      <w:r w:rsidRPr="001736C7">
        <w:rPr>
          <w:rFonts w:asciiTheme="minorHAnsi" w:hAnsiTheme="minorHAnsi"/>
          <w:szCs w:val="24"/>
        </w:rPr>
        <w:t>. DUSC did however note that the clinician survey may not be a reliable source as the level of experience of the respondents in treating NDMM is unknown and potential sources of reporting bias were not addressed.</w:t>
      </w:r>
    </w:p>
    <w:p w:rsidR="0097207C" w:rsidRPr="001736C7" w:rsidRDefault="0097207C" w:rsidP="004278EF">
      <w:pPr>
        <w:pStyle w:val="ListParagraph"/>
        <w:numPr>
          <w:ilvl w:val="0"/>
          <w:numId w:val="6"/>
        </w:numPr>
        <w:spacing w:after="0"/>
        <w:ind w:left="1560"/>
        <w:contextualSpacing/>
        <w:rPr>
          <w:rFonts w:asciiTheme="minorHAnsi" w:hAnsiTheme="minorHAnsi"/>
          <w:szCs w:val="24"/>
        </w:rPr>
      </w:pPr>
      <w:r w:rsidRPr="001736C7">
        <w:rPr>
          <w:rFonts w:asciiTheme="minorHAnsi" w:hAnsiTheme="minorHAnsi"/>
          <w:szCs w:val="24"/>
        </w:rPr>
        <w:t xml:space="preserve">Some patients will not receive </w:t>
      </w:r>
      <w:proofErr w:type="spellStart"/>
      <w:r w:rsidRPr="001736C7">
        <w:rPr>
          <w:rFonts w:asciiTheme="minorHAnsi" w:hAnsiTheme="minorHAnsi"/>
          <w:szCs w:val="24"/>
        </w:rPr>
        <w:t>lenalidomide</w:t>
      </w:r>
      <w:proofErr w:type="spellEnd"/>
      <w:r w:rsidRPr="001736C7">
        <w:rPr>
          <w:rFonts w:asciiTheme="minorHAnsi" w:hAnsiTheme="minorHAnsi"/>
          <w:szCs w:val="24"/>
        </w:rPr>
        <w:t xml:space="preserve"> due to the risk of Second Primary Malignancy.</w:t>
      </w:r>
      <w:r w:rsidR="00EF6F03">
        <w:rPr>
          <w:rFonts w:asciiTheme="minorHAnsi" w:hAnsiTheme="minorHAnsi"/>
          <w:szCs w:val="24"/>
        </w:rPr>
        <w:t xml:space="preserve"> The PBAC considered that this would be rare.</w:t>
      </w:r>
    </w:p>
    <w:p w:rsidR="0097207C" w:rsidRDefault="0097207C" w:rsidP="004278EF">
      <w:pPr>
        <w:pStyle w:val="ListParagraph"/>
        <w:numPr>
          <w:ilvl w:val="0"/>
          <w:numId w:val="6"/>
        </w:numPr>
        <w:spacing w:after="0"/>
        <w:ind w:left="1560"/>
        <w:contextualSpacing/>
        <w:rPr>
          <w:rFonts w:asciiTheme="minorHAnsi" w:hAnsiTheme="minorHAnsi"/>
          <w:szCs w:val="24"/>
        </w:rPr>
      </w:pPr>
      <w:r w:rsidRPr="001736C7">
        <w:rPr>
          <w:rFonts w:asciiTheme="minorHAnsi" w:hAnsiTheme="minorHAnsi"/>
          <w:szCs w:val="24"/>
        </w:rPr>
        <w:t>There is no adjustment to the number of prescriptions in the first year of listing to account for incident maintenance therapy patients commencing treatment throughout the year.</w:t>
      </w:r>
    </w:p>
    <w:p w:rsidR="001736C7" w:rsidRDefault="001736C7" w:rsidP="001736C7">
      <w:pPr>
        <w:pStyle w:val="ListParagraph"/>
        <w:widowControl/>
        <w:spacing w:after="0"/>
        <w:ind w:left="360"/>
        <w:contextualSpacing/>
        <w:rPr>
          <w:rFonts w:asciiTheme="minorHAnsi" w:hAnsiTheme="minorHAnsi"/>
          <w:szCs w:val="24"/>
        </w:rPr>
      </w:pPr>
    </w:p>
    <w:p w:rsidR="001736C7" w:rsidRDefault="001736C7" w:rsidP="004278EF">
      <w:pPr>
        <w:pStyle w:val="ListParagraph"/>
        <w:widowControl/>
        <w:numPr>
          <w:ilvl w:val="1"/>
          <w:numId w:val="2"/>
        </w:numPr>
        <w:rPr>
          <w:rFonts w:asciiTheme="minorHAnsi" w:hAnsiTheme="minorHAnsi"/>
          <w:szCs w:val="24"/>
        </w:rPr>
      </w:pPr>
      <w:r>
        <w:rPr>
          <w:rFonts w:asciiTheme="minorHAnsi" w:hAnsiTheme="minorHAnsi"/>
          <w:szCs w:val="24"/>
        </w:rPr>
        <w:t>The PBAC also noted that the pre-PBAC response (p3) acknowledged the DUSC</w:t>
      </w:r>
      <w:r w:rsidR="004278EF">
        <w:rPr>
          <w:rFonts w:asciiTheme="minorHAnsi" w:hAnsiTheme="minorHAnsi"/>
          <w:szCs w:val="24"/>
        </w:rPr>
        <w:t>’</w:t>
      </w:r>
      <w:r>
        <w:rPr>
          <w:rFonts w:asciiTheme="minorHAnsi" w:hAnsiTheme="minorHAnsi"/>
          <w:szCs w:val="24"/>
        </w:rPr>
        <w:t>s concerns and provided updated financial estimates based on the concerns raised, specifically:</w:t>
      </w:r>
    </w:p>
    <w:p w:rsidR="001736C7" w:rsidRPr="004278EF" w:rsidRDefault="001736C7" w:rsidP="004278EF">
      <w:pPr>
        <w:pStyle w:val="ListParagraph"/>
        <w:widowControl/>
        <w:numPr>
          <w:ilvl w:val="0"/>
          <w:numId w:val="5"/>
        </w:numPr>
        <w:spacing w:after="0"/>
        <w:ind w:left="1134"/>
        <w:contextualSpacing/>
        <w:rPr>
          <w:rFonts w:asciiTheme="minorHAnsi" w:hAnsiTheme="minorHAnsi"/>
          <w:szCs w:val="24"/>
        </w:rPr>
      </w:pPr>
      <w:r w:rsidRPr="004278EF">
        <w:rPr>
          <w:rFonts w:asciiTheme="minorHAnsi" w:hAnsiTheme="minorHAnsi"/>
          <w:szCs w:val="24"/>
        </w:rPr>
        <w:t xml:space="preserve">The numbers of patients undergoing ASCT for NDMM are estimated from DUSC’s re-analysis of </w:t>
      </w:r>
      <w:proofErr w:type="spellStart"/>
      <w:r w:rsidRPr="004278EF">
        <w:rPr>
          <w:rFonts w:asciiTheme="minorHAnsi" w:hAnsiTheme="minorHAnsi"/>
          <w:szCs w:val="24"/>
        </w:rPr>
        <w:t>bortezomib</w:t>
      </w:r>
      <w:proofErr w:type="spellEnd"/>
      <w:r w:rsidRPr="004278EF">
        <w:rPr>
          <w:rFonts w:asciiTheme="minorHAnsi" w:hAnsiTheme="minorHAnsi"/>
          <w:szCs w:val="24"/>
        </w:rPr>
        <w:t xml:space="preserve"> induction therapy (459 initiators in 2017) and clinical survey data reporting 97% of induction regiments include </w:t>
      </w:r>
      <w:proofErr w:type="spellStart"/>
      <w:r w:rsidRPr="004278EF">
        <w:rPr>
          <w:rFonts w:asciiTheme="minorHAnsi" w:hAnsiTheme="minorHAnsi"/>
          <w:szCs w:val="24"/>
        </w:rPr>
        <w:t>bortezomib</w:t>
      </w:r>
      <w:proofErr w:type="spellEnd"/>
      <w:r w:rsidRPr="004278EF">
        <w:rPr>
          <w:rFonts w:asciiTheme="minorHAnsi" w:hAnsiTheme="minorHAnsi"/>
          <w:szCs w:val="24"/>
        </w:rPr>
        <w:t>, which suggest there were 473 (459/0.97) ASCTs performed in NDMM patients in 2017.</w:t>
      </w:r>
    </w:p>
    <w:p w:rsidR="001736C7" w:rsidRPr="004278EF" w:rsidRDefault="001736C7" w:rsidP="004278EF">
      <w:pPr>
        <w:pStyle w:val="ListParagraph"/>
        <w:widowControl/>
        <w:numPr>
          <w:ilvl w:val="0"/>
          <w:numId w:val="5"/>
        </w:numPr>
        <w:spacing w:after="0"/>
        <w:ind w:left="1134"/>
        <w:contextualSpacing/>
        <w:rPr>
          <w:rFonts w:asciiTheme="minorHAnsi" w:hAnsiTheme="minorHAnsi"/>
          <w:szCs w:val="24"/>
        </w:rPr>
      </w:pPr>
      <w:r w:rsidRPr="004278EF">
        <w:rPr>
          <w:rFonts w:asciiTheme="minorHAnsi" w:hAnsiTheme="minorHAnsi"/>
          <w:szCs w:val="24"/>
        </w:rPr>
        <w:t xml:space="preserve">The growth in ASCTs is assumed to be in line with general population growth.  </w:t>
      </w:r>
    </w:p>
    <w:p w:rsidR="001736C7" w:rsidRPr="004278EF" w:rsidRDefault="001736C7" w:rsidP="004278EF">
      <w:pPr>
        <w:pStyle w:val="ListParagraph"/>
        <w:widowControl/>
        <w:numPr>
          <w:ilvl w:val="0"/>
          <w:numId w:val="5"/>
        </w:numPr>
        <w:spacing w:after="0"/>
        <w:ind w:left="1134"/>
        <w:contextualSpacing/>
        <w:rPr>
          <w:rFonts w:asciiTheme="minorHAnsi" w:hAnsiTheme="minorHAnsi"/>
          <w:szCs w:val="24"/>
        </w:rPr>
      </w:pPr>
      <w:r w:rsidRPr="004278EF">
        <w:rPr>
          <w:rFonts w:asciiTheme="minorHAnsi" w:hAnsiTheme="minorHAnsi"/>
          <w:szCs w:val="24"/>
        </w:rPr>
        <w:t xml:space="preserve">The proportions of patients receiving </w:t>
      </w:r>
      <w:r w:rsidR="004278EF" w:rsidRPr="004278EF">
        <w:rPr>
          <w:rFonts w:asciiTheme="minorHAnsi" w:hAnsiTheme="minorHAnsi"/>
          <w:szCs w:val="24"/>
        </w:rPr>
        <w:t>thalidomide</w:t>
      </w:r>
      <w:r w:rsidRPr="004278EF">
        <w:rPr>
          <w:rFonts w:asciiTheme="minorHAnsi" w:hAnsiTheme="minorHAnsi"/>
          <w:szCs w:val="24"/>
        </w:rPr>
        <w:t xml:space="preserve"> or BSC in current practice </w:t>
      </w:r>
      <w:r w:rsidR="004278EF" w:rsidRPr="004278EF">
        <w:rPr>
          <w:rFonts w:asciiTheme="minorHAnsi" w:hAnsiTheme="minorHAnsi"/>
          <w:szCs w:val="24"/>
        </w:rPr>
        <w:t>of</w:t>
      </w:r>
      <w:r w:rsidRPr="004278EF">
        <w:rPr>
          <w:rFonts w:asciiTheme="minorHAnsi" w:hAnsiTheme="minorHAnsi"/>
          <w:szCs w:val="24"/>
        </w:rPr>
        <w:t xml:space="preserve"> 47.0% and 53.0% as per the MRDR analysis (Bergin et al 2017). </w:t>
      </w:r>
    </w:p>
    <w:p w:rsidR="001736C7" w:rsidRPr="004278EF" w:rsidRDefault="001736C7" w:rsidP="004278EF">
      <w:pPr>
        <w:pStyle w:val="ListParagraph"/>
        <w:widowControl/>
        <w:numPr>
          <w:ilvl w:val="0"/>
          <w:numId w:val="5"/>
        </w:numPr>
        <w:spacing w:after="0"/>
        <w:ind w:left="1134"/>
        <w:contextualSpacing/>
        <w:rPr>
          <w:rFonts w:asciiTheme="minorHAnsi" w:hAnsiTheme="minorHAnsi"/>
          <w:szCs w:val="24"/>
        </w:rPr>
      </w:pPr>
      <w:r w:rsidRPr="004278EF">
        <w:rPr>
          <w:rFonts w:asciiTheme="minorHAnsi" w:hAnsiTheme="minorHAnsi"/>
          <w:szCs w:val="24"/>
        </w:rPr>
        <w:t xml:space="preserve">The proportion of patients taking up </w:t>
      </w:r>
      <w:proofErr w:type="spellStart"/>
      <w:r w:rsidR="004278EF" w:rsidRPr="004278EF">
        <w:rPr>
          <w:rFonts w:asciiTheme="minorHAnsi" w:hAnsiTheme="minorHAnsi"/>
          <w:szCs w:val="24"/>
        </w:rPr>
        <w:t>lenalidomide</w:t>
      </w:r>
      <w:proofErr w:type="spellEnd"/>
      <w:r w:rsidRPr="004278EF">
        <w:rPr>
          <w:rFonts w:asciiTheme="minorHAnsi" w:hAnsiTheme="minorHAnsi"/>
          <w:szCs w:val="24"/>
        </w:rPr>
        <w:t xml:space="preserve"> is </w:t>
      </w:r>
      <w:r w:rsidR="003F06F0">
        <w:rPr>
          <w:rFonts w:asciiTheme="minorHAnsi" w:hAnsiTheme="minorHAnsi"/>
          <w:noProof/>
          <w:color w:val="000000"/>
          <w:szCs w:val="24"/>
          <w:highlight w:val="black"/>
        </w:rPr>
        <w:t>'''''</w:t>
      </w:r>
      <w:r w:rsidRPr="004278EF">
        <w:rPr>
          <w:rFonts w:asciiTheme="minorHAnsi" w:hAnsiTheme="minorHAnsi"/>
          <w:szCs w:val="24"/>
        </w:rPr>
        <w:t>% in each year</w:t>
      </w:r>
      <w:r w:rsidR="004278EF" w:rsidRPr="004278EF">
        <w:rPr>
          <w:rFonts w:asciiTheme="minorHAnsi" w:hAnsiTheme="minorHAnsi"/>
          <w:szCs w:val="24"/>
        </w:rPr>
        <w:t>,</w:t>
      </w:r>
      <w:r w:rsidRPr="004278EF">
        <w:rPr>
          <w:rFonts w:asciiTheme="minorHAnsi" w:hAnsiTheme="minorHAnsi"/>
          <w:szCs w:val="24"/>
        </w:rPr>
        <w:t xml:space="preserve"> consistent </w:t>
      </w:r>
      <w:r w:rsidR="004278EF" w:rsidRPr="004278EF">
        <w:rPr>
          <w:rFonts w:asciiTheme="minorHAnsi" w:hAnsiTheme="minorHAnsi"/>
          <w:szCs w:val="24"/>
        </w:rPr>
        <w:t xml:space="preserve">with some patients not using </w:t>
      </w:r>
      <w:proofErr w:type="spellStart"/>
      <w:r w:rsidR="004278EF" w:rsidRPr="004278EF">
        <w:rPr>
          <w:rFonts w:asciiTheme="minorHAnsi" w:hAnsiTheme="minorHAnsi"/>
          <w:szCs w:val="24"/>
        </w:rPr>
        <w:t>lenalidomide</w:t>
      </w:r>
      <w:proofErr w:type="spellEnd"/>
      <w:r w:rsidRPr="004278EF">
        <w:rPr>
          <w:rFonts w:asciiTheme="minorHAnsi" w:hAnsiTheme="minorHAnsi"/>
          <w:szCs w:val="24"/>
        </w:rPr>
        <w:t xml:space="preserve"> due to the risk of S</w:t>
      </w:r>
      <w:r w:rsidR="004278EF" w:rsidRPr="004278EF">
        <w:rPr>
          <w:rFonts w:asciiTheme="minorHAnsi" w:hAnsiTheme="minorHAnsi"/>
          <w:szCs w:val="24"/>
        </w:rPr>
        <w:t>PM</w:t>
      </w:r>
      <w:r w:rsidRPr="004278EF">
        <w:rPr>
          <w:rFonts w:asciiTheme="minorHAnsi" w:hAnsiTheme="minorHAnsi"/>
          <w:szCs w:val="24"/>
        </w:rPr>
        <w:t xml:space="preserve"> or other reasons.</w:t>
      </w:r>
    </w:p>
    <w:p w:rsidR="004278EF" w:rsidRDefault="004278EF" w:rsidP="004278EF">
      <w:pPr>
        <w:pStyle w:val="ListParagraph"/>
        <w:widowControl/>
        <w:spacing w:after="200" w:line="276" w:lineRule="auto"/>
        <w:contextualSpacing/>
        <w:jc w:val="left"/>
      </w:pPr>
    </w:p>
    <w:p w:rsidR="001736C7" w:rsidRPr="004278EF" w:rsidRDefault="004278EF" w:rsidP="004278EF">
      <w:pPr>
        <w:pStyle w:val="ListParagraph"/>
        <w:widowControl/>
        <w:numPr>
          <w:ilvl w:val="1"/>
          <w:numId w:val="2"/>
        </w:numPr>
      </w:pPr>
      <w:r w:rsidRPr="004278EF">
        <w:t xml:space="preserve">The pre-PBAC response also acknowledged that some patients who have already had an ASCT and have not yet progressed may take up </w:t>
      </w:r>
      <w:proofErr w:type="spellStart"/>
      <w:r w:rsidRPr="004278EF">
        <w:t>lenalidomide</w:t>
      </w:r>
      <w:proofErr w:type="spellEnd"/>
      <w:r w:rsidRPr="004278EF">
        <w:t xml:space="preserve"> if it is listed on the PBS, but did not include these patients in the revised estimates. The updated estimates resulted in a financial impact of $</w:t>
      </w:r>
      <w:r w:rsidR="00E417C3">
        <w:t>10 - $20</w:t>
      </w:r>
      <w:r w:rsidR="00E417C3" w:rsidRPr="004278EF">
        <w:t xml:space="preserve"> </w:t>
      </w:r>
      <w:r w:rsidRPr="004278EF">
        <w:t>million in the first year of listing, increasing to $</w:t>
      </w:r>
      <w:r w:rsidR="00E417C3">
        <w:t>30 - $60</w:t>
      </w:r>
      <w:r w:rsidR="00E417C3" w:rsidRPr="004278EF">
        <w:t xml:space="preserve"> </w:t>
      </w:r>
      <w:r w:rsidRPr="004278EF">
        <w:t xml:space="preserve">million in year 5 of listing, with a total of </w:t>
      </w:r>
      <w:r w:rsidR="00E417C3">
        <w:t xml:space="preserve">more than </w:t>
      </w:r>
      <w:r w:rsidRPr="004278EF">
        <w:t>$</w:t>
      </w:r>
      <w:r w:rsidR="00E417C3" w:rsidRPr="004278EF">
        <w:t>1</w:t>
      </w:r>
      <w:r w:rsidR="00E417C3">
        <w:t>00</w:t>
      </w:r>
      <w:r w:rsidR="00E417C3" w:rsidRPr="004278EF">
        <w:t xml:space="preserve"> </w:t>
      </w:r>
      <w:r w:rsidRPr="004278EF">
        <w:t xml:space="preserve">million over the first 5 years of listing. </w:t>
      </w:r>
    </w:p>
    <w:p w:rsidR="0097207C" w:rsidRPr="0097207C" w:rsidRDefault="0097207C" w:rsidP="0097207C"/>
    <w:p w:rsidR="00A51754" w:rsidRPr="00CE0BE9" w:rsidRDefault="00A51754" w:rsidP="00A51754">
      <w:pPr>
        <w:pStyle w:val="Heading2"/>
        <w:rPr>
          <w:i w:val="0"/>
        </w:rPr>
      </w:pPr>
      <w:r w:rsidRPr="00CE0BE9">
        <w:rPr>
          <w:i w:val="0"/>
        </w:rPr>
        <w:t>Quality Use of Medicines</w:t>
      </w:r>
      <w:bookmarkEnd w:id="23"/>
    </w:p>
    <w:p w:rsidR="0097207C" w:rsidRPr="004278EF" w:rsidRDefault="00A51754" w:rsidP="0097207C">
      <w:pPr>
        <w:pStyle w:val="ListParagraph"/>
        <w:widowControl/>
        <w:numPr>
          <w:ilvl w:val="1"/>
          <w:numId w:val="2"/>
        </w:numPr>
      </w:pPr>
      <w:r w:rsidRPr="00CE0BE9">
        <w:t xml:space="preserve">The submission did not </w:t>
      </w:r>
      <w:r w:rsidR="007B6206">
        <w:t>raise any</w:t>
      </w:r>
      <w:r w:rsidRPr="00CE0BE9">
        <w:t xml:space="preserve"> quality use of medicines </w:t>
      </w:r>
      <w:r w:rsidR="007B6206">
        <w:t xml:space="preserve">issues </w:t>
      </w:r>
      <w:r w:rsidRPr="00CE0BE9">
        <w:t xml:space="preserve">associated with the listing of </w:t>
      </w:r>
      <w:proofErr w:type="spellStart"/>
      <w:r w:rsidRPr="00CE0BE9">
        <w:t>lenalidomide</w:t>
      </w:r>
      <w:proofErr w:type="spellEnd"/>
      <w:r w:rsidRPr="00CE0BE9">
        <w:t xml:space="preserve"> in this setting. A post</w:t>
      </w:r>
      <w:r w:rsidR="00F53557">
        <w:noBreakHyphen/>
      </w:r>
      <w:r w:rsidRPr="00CE0BE9">
        <w:t xml:space="preserve">marketing surveillance study was not </w:t>
      </w:r>
      <w:r w:rsidRPr="004278EF">
        <w:t>proposed.</w:t>
      </w:r>
    </w:p>
    <w:p w:rsidR="0097207C" w:rsidRPr="00CE0BE9" w:rsidRDefault="0097207C" w:rsidP="004278EF">
      <w:pPr>
        <w:pStyle w:val="ListParagraph"/>
        <w:widowControl/>
        <w:numPr>
          <w:ilvl w:val="1"/>
          <w:numId w:val="2"/>
        </w:numPr>
      </w:pPr>
      <w:r w:rsidRPr="004278EF">
        <w:rPr>
          <w:rFonts w:asciiTheme="minorHAnsi" w:hAnsiTheme="minorHAnsi"/>
          <w:color w:val="000000" w:themeColor="text1"/>
          <w:szCs w:val="24"/>
        </w:rPr>
        <w:t xml:space="preserve">The DUSC considered that the risk of SPM should be considered before initiating on </w:t>
      </w:r>
      <w:proofErr w:type="spellStart"/>
      <w:r w:rsidRPr="004278EF">
        <w:rPr>
          <w:rFonts w:asciiTheme="minorHAnsi" w:hAnsiTheme="minorHAnsi"/>
          <w:color w:val="000000" w:themeColor="text1"/>
          <w:szCs w:val="24"/>
        </w:rPr>
        <w:t>lenalidomide</w:t>
      </w:r>
      <w:proofErr w:type="spellEnd"/>
      <w:r w:rsidRPr="004278EF">
        <w:rPr>
          <w:rFonts w:asciiTheme="minorHAnsi" w:hAnsiTheme="minorHAnsi"/>
          <w:color w:val="000000" w:themeColor="text1"/>
          <w:szCs w:val="24"/>
        </w:rPr>
        <w:t xml:space="preserve">; the use of standard cancer screening for the occurrence of SPMs before and during treatment with </w:t>
      </w:r>
      <w:proofErr w:type="spellStart"/>
      <w:r w:rsidRPr="004278EF">
        <w:rPr>
          <w:rFonts w:asciiTheme="minorHAnsi" w:hAnsiTheme="minorHAnsi"/>
          <w:color w:val="000000" w:themeColor="text1"/>
          <w:szCs w:val="24"/>
        </w:rPr>
        <w:t>lenalidomide</w:t>
      </w:r>
      <w:proofErr w:type="spellEnd"/>
      <w:r w:rsidRPr="004278EF">
        <w:rPr>
          <w:rFonts w:asciiTheme="minorHAnsi" w:hAnsiTheme="minorHAnsi"/>
          <w:color w:val="000000" w:themeColor="text1"/>
          <w:szCs w:val="24"/>
        </w:rPr>
        <w:t xml:space="preserve"> is recommended in the draft Product Information.</w:t>
      </w:r>
    </w:p>
    <w:p w:rsidR="00A51754" w:rsidRPr="00CE0BE9" w:rsidRDefault="00A51754" w:rsidP="00A51754">
      <w:pPr>
        <w:pStyle w:val="Heading2"/>
        <w:rPr>
          <w:i w:val="0"/>
        </w:rPr>
      </w:pPr>
      <w:bookmarkStart w:id="24" w:name="_Toc503271385"/>
      <w:r w:rsidRPr="00CE0BE9">
        <w:rPr>
          <w:i w:val="0"/>
        </w:rPr>
        <w:t>Financial Management – Risk Sharing Arrangements</w:t>
      </w:r>
      <w:bookmarkEnd w:id="24"/>
    </w:p>
    <w:p w:rsidR="00A51754" w:rsidRPr="00364492" w:rsidRDefault="00A51754" w:rsidP="006F0DFD">
      <w:pPr>
        <w:pStyle w:val="ListParagraph"/>
        <w:widowControl/>
        <w:numPr>
          <w:ilvl w:val="1"/>
          <w:numId w:val="2"/>
        </w:numPr>
      </w:pPr>
      <w:r w:rsidRPr="00CE0BE9">
        <w:t xml:space="preserve">The submission did not propose a risk-share arrangement. </w:t>
      </w:r>
      <w:r w:rsidR="004278EF">
        <w:t>The PBAC considered that due to the very high potential financial impact of this listing,</w:t>
      </w:r>
      <w:r w:rsidR="00CE26F0">
        <w:t xml:space="preserve"> and risk of longer than expected duration of use,</w:t>
      </w:r>
      <w:r w:rsidR="004278EF">
        <w:t xml:space="preserve"> a risk-sharing </w:t>
      </w:r>
      <w:r w:rsidR="004278EF" w:rsidRPr="00364492">
        <w:t>arrangement would be appropriate.</w:t>
      </w:r>
    </w:p>
    <w:p w:rsidR="006B59E7" w:rsidRDefault="006B59E7" w:rsidP="006B59E7">
      <w:pPr>
        <w:pStyle w:val="PBACHeading1"/>
        <w:ind w:left="720"/>
        <w:rPr>
          <w:b w:val="0"/>
          <w:i/>
          <w:sz w:val="24"/>
          <w:szCs w:val="24"/>
        </w:rPr>
      </w:pPr>
      <w:r w:rsidRPr="00364492">
        <w:rPr>
          <w:b w:val="0"/>
          <w:i/>
          <w:sz w:val="24"/>
          <w:szCs w:val="24"/>
        </w:rPr>
        <w:t>For more detail on PBAC’s view, see section 7 PBAC outcome.</w:t>
      </w:r>
    </w:p>
    <w:p w:rsidR="006F0DFD" w:rsidRDefault="006F0DFD" w:rsidP="006B59E7">
      <w:pPr>
        <w:pStyle w:val="PBACHeading1"/>
        <w:ind w:left="720"/>
        <w:rPr>
          <w:b w:val="0"/>
          <w:i/>
          <w:sz w:val="24"/>
          <w:szCs w:val="24"/>
        </w:rPr>
      </w:pPr>
    </w:p>
    <w:p w:rsidR="006F0DFD" w:rsidRPr="00CB123B" w:rsidRDefault="006F0DFD" w:rsidP="00CB123B">
      <w:pPr>
        <w:pStyle w:val="PBACHeading1"/>
        <w:numPr>
          <w:ilvl w:val="0"/>
          <w:numId w:val="2"/>
        </w:numPr>
        <w:outlineLvl w:val="0"/>
        <w:rPr>
          <w:lang w:val="en-GB"/>
        </w:rPr>
      </w:pPr>
      <w:r w:rsidRPr="00CB123B">
        <w:rPr>
          <w:lang w:val="en-GB"/>
        </w:rPr>
        <w:t>PBAC Outcome</w:t>
      </w:r>
    </w:p>
    <w:p w:rsidR="006F0DFD" w:rsidRPr="00CB123B" w:rsidRDefault="006F0DFD" w:rsidP="00CB123B">
      <w:pPr>
        <w:pStyle w:val="PBACHeading1"/>
        <w:ind w:left="720"/>
        <w:rPr>
          <w:b w:val="0"/>
          <w:i/>
          <w:sz w:val="24"/>
          <w:szCs w:val="24"/>
        </w:rPr>
      </w:pPr>
      <w:bookmarkStart w:id="25" w:name="_GoBack"/>
      <w:bookmarkEnd w:id="25"/>
    </w:p>
    <w:p w:rsidR="003B08DE" w:rsidRDefault="003B08DE" w:rsidP="006F0DFD">
      <w:pPr>
        <w:numPr>
          <w:ilvl w:val="1"/>
          <w:numId w:val="2"/>
        </w:numPr>
        <w:spacing w:after="120"/>
        <w:rPr>
          <w:rFonts w:asciiTheme="minorHAnsi" w:hAnsiTheme="minorHAnsi"/>
          <w:bCs/>
          <w:lang w:val="en-GB"/>
        </w:rPr>
      </w:pPr>
      <w:r>
        <w:rPr>
          <w:rFonts w:asciiTheme="minorHAnsi" w:hAnsiTheme="minorHAnsi"/>
          <w:bCs/>
          <w:lang w:val="en-GB"/>
        </w:rPr>
        <w:t xml:space="preserve">The PBAC decided not to recommend the listing of </w:t>
      </w:r>
      <w:proofErr w:type="spellStart"/>
      <w:r>
        <w:rPr>
          <w:rFonts w:asciiTheme="minorHAnsi" w:hAnsiTheme="minorHAnsi"/>
          <w:bCs/>
          <w:lang w:val="en-GB"/>
        </w:rPr>
        <w:t>lenalidomide</w:t>
      </w:r>
      <w:proofErr w:type="spellEnd"/>
      <w:r>
        <w:rPr>
          <w:rFonts w:asciiTheme="minorHAnsi" w:hAnsiTheme="minorHAnsi"/>
          <w:bCs/>
          <w:lang w:val="en-GB"/>
        </w:rPr>
        <w:t xml:space="preserve"> for the maintenance treatment of patients with multiple myeloma following an Autologous Stem Cell Transplant (ASCT) on the basis that acceptable cost-effectiveness over other available therapies had not been demonstrated.</w:t>
      </w:r>
    </w:p>
    <w:p w:rsidR="003B08DE" w:rsidRDefault="00DA146E" w:rsidP="006F0DFD">
      <w:pPr>
        <w:numPr>
          <w:ilvl w:val="1"/>
          <w:numId w:val="2"/>
        </w:numPr>
        <w:spacing w:after="120"/>
        <w:rPr>
          <w:rFonts w:asciiTheme="minorHAnsi" w:hAnsiTheme="minorHAnsi"/>
          <w:bCs/>
          <w:lang w:val="en-GB"/>
        </w:rPr>
      </w:pPr>
      <w:r>
        <w:rPr>
          <w:rFonts w:asciiTheme="minorHAnsi" w:hAnsiTheme="minorHAnsi"/>
          <w:bCs/>
          <w:lang w:val="en-GB"/>
        </w:rPr>
        <w:t xml:space="preserve">The PBAC acknowledged the consumer comments received indicated a preference for </w:t>
      </w:r>
      <w:proofErr w:type="spellStart"/>
      <w:r>
        <w:rPr>
          <w:rFonts w:asciiTheme="minorHAnsi" w:hAnsiTheme="minorHAnsi"/>
          <w:bCs/>
          <w:lang w:val="en-GB"/>
        </w:rPr>
        <w:t>lenalidomide</w:t>
      </w:r>
      <w:proofErr w:type="spellEnd"/>
      <w:r>
        <w:rPr>
          <w:rFonts w:asciiTheme="minorHAnsi" w:hAnsiTheme="minorHAnsi"/>
          <w:bCs/>
          <w:lang w:val="en-GB"/>
        </w:rPr>
        <w:t xml:space="preserve"> </w:t>
      </w:r>
      <w:r w:rsidR="00576CC5">
        <w:rPr>
          <w:rFonts w:asciiTheme="minorHAnsi" w:hAnsiTheme="minorHAnsi"/>
          <w:bCs/>
          <w:lang w:val="en-GB"/>
        </w:rPr>
        <w:t>over thalidomide</w:t>
      </w:r>
      <w:r>
        <w:rPr>
          <w:rFonts w:asciiTheme="minorHAnsi" w:hAnsiTheme="minorHAnsi"/>
          <w:bCs/>
          <w:lang w:val="en-GB"/>
        </w:rPr>
        <w:t xml:space="preserve"> in the maintenance setting</w:t>
      </w:r>
      <w:r w:rsidR="00344A7D">
        <w:rPr>
          <w:rFonts w:asciiTheme="minorHAnsi" w:hAnsiTheme="minorHAnsi"/>
          <w:bCs/>
          <w:lang w:val="en-GB"/>
        </w:rPr>
        <w:t>, particularly</w:t>
      </w:r>
      <w:r>
        <w:rPr>
          <w:rFonts w:asciiTheme="minorHAnsi" w:hAnsiTheme="minorHAnsi"/>
          <w:bCs/>
          <w:lang w:val="en-GB"/>
        </w:rPr>
        <w:t xml:space="preserve"> because of its lower rates of peripheral neuropathy, which consumer</w:t>
      </w:r>
      <w:r w:rsidR="00343BBA">
        <w:rPr>
          <w:rFonts w:asciiTheme="minorHAnsi" w:hAnsiTheme="minorHAnsi"/>
          <w:bCs/>
          <w:lang w:val="en-GB"/>
        </w:rPr>
        <w:t>s</w:t>
      </w:r>
      <w:r>
        <w:rPr>
          <w:rFonts w:asciiTheme="minorHAnsi" w:hAnsiTheme="minorHAnsi"/>
          <w:bCs/>
          <w:lang w:val="en-GB"/>
        </w:rPr>
        <w:t xml:space="preserve"> indicated had a considerable impact on quality of life.</w:t>
      </w:r>
    </w:p>
    <w:p w:rsidR="00E93FD2" w:rsidRDefault="00D43D70" w:rsidP="006F0DFD">
      <w:pPr>
        <w:pStyle w:val="ListParagraph"/>
        <w:widowControl/>
        <w:numPr>
          <w:ilvl w:val="1"/>
          <w:numId w:val="2"/>
        </w:numPr>
        <w:spacing w:after="120"/>
        <w:rPr>
          <w:rFonts w:asciiTheme="minorHAnsi" w:hAnsiTheme="minorHAnsi"/>
          <w:bCs/>
          <w:lang w:val="en-GB"/>
        </w:rPr>
      </w:pPr>
      <w:r w:rsidRPr="008A21D4">
        <w:t xml:space="preserve">The PBAC noted that thalidomide was </w:t>
      </w:r>
      <w:r>
        <w:t>recommended and used as</w:t>
      </w:r>
      <w:r w:rsidRPr="008A21D4">
        <w:t xml:space="preserve"> maintenance treatment </w:t>
      </w:r>
      <w:r>
        <w:t>post-ASCT</w:t>
      </w:r>
      <w:r w:rsidRPr="008A21D4">
        <w:t xml:space="preserve"> in current Australian clinical practice</w:t>
      </w:r>
      <w:r>
        <w:t xml:space="preserve"> and considered it to be a relevant comparator</w:t>
      </w:r>
      <w:r w:rsidRPr="008A21D4">
        <w:t xml:space="preserve">. The PBAC also noted </w:t>
      </w:r>
      <w:r>
        <w:t>the</w:t>
      </w:r>
      <w:r w:rsidRPr="008A21D4">
        <w:t xml:space="preserve"> data presented by the submission </w:t>
      </w:r>
      <w:r>
        <w:t xml:space="preserve">that </w:t>
      </w:r>
      <w:r w:rsidRPr="008A21D4">
        <w:t xml:space="preserve">indicated </w:t>
      </w:r>
      <w:r>
        <w:t>that not all patients receiv</w:t>
      </w:r>
      <w:r w:rsidRPr="00D871F5">
        <w:t xml:space="preserve">e thalidomide with a proportion receiving BSC (no active maintenance treatment). The PBAC considered the majority of patients who do not receive thalidomide post-ASCT are those patients unable to tolerate thalidomide due to adverse events such as neuropathy, somnolence and constipation. The PBAC considered, if listed, these patients would be treated with </w:t>
      </w:r>
      <w:proofErr w:type="spellStart"/>
      <w:r w:rsidRPr="00D871F5">
        <w:t>lenalidomide</w:t>
      </w:r>
      <w:proofErr w:type="spellEnd"/>
      <w:r w:rsidRPr="00D871F5">
        <w:t>. Thus, the PBAC considered</w:t>
      </w:r>
      <w:r>
        <w:t xml:space="preserve"> </w:t>
      </w:r>
      <w:r w:rsidRPr="008A21D4">
        <w:t>a mixed comparator</w:t>
      </w:r>
      <w:r>
        <w:t xml:space="preserve"> of thalidomide and BSC</w:t>
      </w:r>
      <w:r w:rsidRPr="008A21D4">
        <w:t xml:space="preserve"> </w:t>
      </w:r>
      <w:r>
        <w:t>to</w:t>
      </w:r>
      <w:r w:rsidRPr="008A21D4">
        <w:t xml:space="preserve"> be </w:t>
      </w:r>
      <w:r>
        <w:t xml:space="preserve">reasonable, however noted the weightings that should be applied to each treatment </w:t>
      </w:r>
      <w:r w:rsidR="004A6C77">
        <w:t>were</w:t>
      </w:r>
      <w:r>
        <w:t xml:space="preserve"> unclear and inadequately justified in the submission</w:t>
      </w:r>
      <w:r w:rsidRPr="008A21D4">
        <w:t>.</w:t>
      </w:r>
      <w:r w:rsidR="004A6C77">
        <w:t xml:space="preserve"> </w:t>
      </w:r>
      <w:r w:rsidRPr="00D43D70">
        <w:rPr>
          <w:rFonts w:asciiTheme="minorHAnsi" w:hAnsiTheme="minorHAnsi"/>
          <w:bCs/>
          <w:lang w:val="en-GB"/>
        </w:rPr>
        <w:t>Regarding the weightings, t</w:t>
      </w:r>
      <w:r w:rsidR="0024553F" w:rsidRPr="00D43D70">
        <w:rPr>
          <w:rFonts w:asciiTheme="minorHAnsi" w:hAnsiTheme="minorHAnsi"/>
          <w:bCs/>
          <w:lang w:val="en-GB"/>
        </w:rPr>
        <w:t xml:space="preserve">he PBAC noted </w:t>
      </w:r>
      <w:r w:rsidR="007B716F" w:rsidRPr="00D43D70">
        <w:rPr>
          <w:rFonts w:asciiTheme="minorHAnsi" w:hAnsiTheme="minorHAnsi"/>
          <w:bCs/>
          <w:lang w:val="en-GB"/>
        </w:rPr>
        <w:t xml:space="preserve">clinician advice indicated that the proportion of patients using thalidomide for post-ASCT maintenance </w:t>
      </w:r>
      <w:r w:rsidR="0024553F" w:rsidRPr="00D43D70">
        <w:rPr>
          <w:rFonts w:asciiTheme="minorHAnsi" w:hAnsiTheme="minorHAnsi"/>
          <w:bCs/>
          <w:lang w:val="en-GB"/>
        </w:rPr>
        <w:t>may be</w:t>
      </w:r>
      <w:r w:rsidR="007B716F" w:rsidRPr="00D43D70">
        <w:rPr>
          <w:rFonts w:asciiTheme="minorHAnsi" w:hAnsiTheme="minorHAnsi"/>
          <w:bCs/>
          <w:lang w:val="en-GB"/>
        </w:rPr>
        <w:t xml:space="preserve"> higher than the proportion estimated by the </w:t>
      </w:r>
      <w:r w:rsidR="0024553F" w:rsidRPr="00D43D70">
        <w:rPr>
          <w:rFonts w:asciiTheme="minorHAnsi" w:hAnsiTheme="minorHAnsi"/>
          <w:bCs/>
          <w:lang w:val="en-GB"/>
        </w:rPr>
        <w:t>Myeloma and Related Diseases Registry (</w:t>
      </w:r>
      <w:r w:rsidR="007B716F" w:rsidRPr="00D43D70">
        <w:rPr>
          <w:rFonts w:asciiTheme="minorHAnsi" w:hAnsiTheme="minorHAnsi"/>
          <w:bCs/>
          <w:lang w:val="en-GB"/>
        </w:rPr>
        <w:t>MRDR</w:t>
      </w:r>
      <w:r w:rsidR="0024553F" w:rsidRPr="00D43D70">
        <w:rPr>
          <w:rFonts w:asciiTheme="minorHAnsi" w:hAnsiTheme="minorHAnsi"/>
          <w:bCs/>
          <w:lang w:val="en-GB"/>
        </w:rPr>
        <w:t>)</w:t>
      </w:r>
      <w:r w:rsidR="007B716F" w:rsidRPr="00D43D70">
        <w:rPr>
          <w:rFonts w:asciiTheme="minorHAnsi" w:hAnsiTheme="minorHAnsi"/>
          <w:bCs/>
          <w:lang w:val="en-GB"/>
        </w:rPr>
        <w:t>.</w:t>
      </w:r>
      <w:r w:rsidR="0024553F" w:rsidRPr="00D43D70">
        <w:rPr>
          <w:rFonts w:asciiTheme="minorHAnsi" w:hAnsiTheme="minorHAnsi"/>
          <w:bCs/>
          <w:lang w:val="en-GB"/>
        </w:rPr>
        <w:t xml:space="preserve"> </w:t>
      </w:r>
    </w:p>
    <w:p w:rsidR="003B08DE" w:rsidRPr="00E93FD2" w:rsidRDefault="00E93FD2" w:rsidP="00E93FD2">
      <w:pPr>
        <w:widowControl/>
        <w:spacing w:after="120"/>
        <w:rPr>
          <w:rFonts w:asciiTheme="minorHAnsi" w:hAnsiTheme="minorHAnsi"/>
          <w:b/>
          <w:bCs/>
          <w:lang w:val="en-GB"/>
        </w:rPr>
      </w:pPr>
      <w:proofErr w:type="spellStart"/>
      <w:r w:rsidRPr="00E93FD2">
        <w:rPr>
          <w:rFonts w:asciiTheme="minorHAnsi" w:hAnsiTheme="minorHAnsi"/>
          <w:b/>
          <w:bCs/>
          <w:lang w:val="en-GB"/>
        </w:rPr>
        <w:t>Lenalidomide</w:t>
      </w:r>
      <w:proofErr w:type="spellEnd"/>
      <w:r w:rsidRPr="00E93FD2">
        <w:rPr>
          <w:rFonts w:asciiTheme="minorHAnsi" w:hAnsiTheme="minorHAnsi"/>
          <w:b/>
          <w:bCs/>
          <w:lang w:val="en-GB"/>
        </w:rPr>
        <w:t xml:space="preserve"> versus BSC</w:t>
      </w:r>
    </w:p>
    <w:p w:rsidR="006D10F3" w:rsidRPr="00D17A82" w:rsidRDefault="006D10F3" w:rsidP="006D10F3">
      <w:pPr>
        <w:pStyle w:val="ListParagraph"/>
        <w:widowControl/>
        <w:numPr>
          <w:ilvl w:val="1"/>
          <w:numId w:val="2"/>
        </w:numPr>
      </w:pPr>
      <w:r w:rsidRPr="00D17A82">
        <w:t xml:space="preserve">The </w:t>
      </w:r>
      <w:r>
        <w:t xml:space="preserve">PBAC noted that the </w:t>
      </w:r>
      <w:r w:rsidRPr="00D17A82">
        <w:t>submission</w:t>
      </w:r>
      <w:r>
        <w:t xml:space="preserve"> identified </w:t>
      </w:r>
      <w:r w:rsidRPr="00D17A82">
        <w:t>four randomised trials</w:t>
      </w:r>
      <w:r>
        <w:t xml:space="preserve"> comparing </w:t>
      </w:r>
      <w:proofErr w:type="spellStart"/>
      <w:r w:rsidRPr="00D17A82">
        <w:t>lenalidomide</w:t>
      </w:r>
      <w:proofErr w:type="spellEnd"/>
      <w:r w:rsidRPr="00D17A82">
        <w:t xml:space="preserve"> to placebo </w:t>
      </w:r>
      <w:r>
        <w:t xml:space="preserve">as maintenance treatment </w:t>
      </w:r>
      <w:r w:rsidRPr="00D17A82">
        <w:t>following ASCT (CALGB</w:t>
      </w:r>
      <w:r>
        <w:t>,</w:t>
      </w:r>
      <w:r w:rsidRPr="00D17A82">
        <w:t xml:space="preserve"> IFM</w:t>
      </w:r>
      <w:r w:rsidR="004D1C65">
        <w:t xml:space="preserve"> </w:t>
      </w:r>
      <w:r w:rsidR="004D1C65">
        <w:rPr>
          <w:rFonts w:asciiTheme="minorHAnsi" w:hAnsiTheme="minorHAnsi"/>
          <w:bCs/>
          <w:lang w:val="en-GB"/>
        </w:rPr>
        <w:t>2005-002</w:t>
      </w:r>
      <w:r w:rsidR="00AF502C">
        <w:rPr>
          <w:rFonts w:asciiTheme="minorHAnsi" w:hAnsiTheme="minorHAnsi"/>
          <w:bCs/>
          <w:lang w:val="en-GB"/>
        </w:rPr>
        <w:t>,</w:t>
      </w:r>
      <w:r w:rsidR="004D1C65">
        <w:rPr>
          <w:rFonts w:asciiTheme="minorHAnsi" w:hAnsiTheme="minorHAnsi"/>
          <w:bCs/>
          <w:lang w:val="en-GB"/>
        </w:rPr>
        <w:t xml:space="preserve"> </w:t>
      </w:r>
      <w:r w:rsidRPr="00D17A82">
        <w:t>GIMEMA</w:t>
      </w:r>
      <w:r>
        <w:t xml:space="preserve"> and</w:t>
      </w:r>
      <w:r w:rsidRPr="00D17A82">
        <w:t xml:space="preserve"> Myeloma XI)</w:t>
      </w:r>
      <w:r w:rsidR="00883497">
        <w:t>, although in two of these trials (GIMEMA and Myeloma X</w:t>
      </w:r>
      <w:r w:rsidR="004A6C77">
        <w:t>I) not all patients had undergone an</w:t>
      </w:r>
      <w:r w:rsidR="00883497">
        <w:t xml:space="preserve"> ASCT</w:t>
      </w:r>
      <w:r w:rsidRPr="00D17A82">
        <w:t>.</w:t>
      </w:r>
      <w:r w:rsidR="00883497">
        <w:t xml:space="preserve"> </w:t>
      </w:r>
      <w:r w:rsidR="00AF502C">
        <w:rPr>
          <w:rFonts w:asciiTheme="minorHAnsi" w:hAnsiTheme="minorHAnsi"/>
          <w:bCs/>
          <w:lang w:val="en-GB"/>
        </w:rPr>
        <w:t xml:space="preserve">The PBAC considered the evidence from </w:t>
      </w:r>
      <w:r w:rsidR="004A6C77">
        <w:rPr>
          <w:rFonts w:asciiTheme="minorHAnsi" w:hAnsiTheme="minorHAnsi"/>
          <w:bCs/>
          <w:lang w:val="en-GB"/>
        </w:rPr>
        <w:t>all</w:t>
      </w:r>
      <w:r w:rsidR="00AF502C">
        <w:rPr>
          <w:rFonts w:asciiTheme="minorHAnsi" w:hAnsiTheme="minorHAnsi"/>
          <w:bCs/>
          <w:lang w:val="en-GB"/>
        </w:rPr>
        <w:t xml:space="preserve"> four trials to be relevant, and that it may be appropriate to utilise the ITT results from the </w:t>
      </w:r>
      <w:r w:rsidR="00AF502C" w:rsidRPr="00D17A82">
        <w:t>GIMEMA</w:t>
      </w:r>
      <w:r w:rsidR="00AF502C">
        <w:t xml:space="preserve"> and</w:t>
      </w:r>
      <w:r w:rsidR="00AF502C" w:rsidRPr="00D17A82">
        <w:t xml:space="preserve"> Myeloma XI</w:t>
      </w:r>
      <w:r w:rsidR="00AF502C">
        <w:t xml:space="preserve"> trials given that prior ASCT </w:t>
      </w:r>
      <w:r w:rsidR="008E4AB3">
        <w:t>did</w:t>
      </w:r>
      <w:r w:rsidR="00AF502C">
        <w:t xml:space="preserve"> not</w:t>
      </w:r>
      <w:r w:rsidR="008E4AB3">
        <w:t xml:space="preserve"> appear to be</w:t>
      </w:r>
      <w:r w:rsidR="00AF502C">
        <w:t xml:space="preserve"> a treatment effect modifier</w:t>
      </w:r>
      <w:r w:rsidR="008E4AB3">
        <w:t xml:space="preserve"> with similar PFS and OS results for the subgroups with and without prior ASCT</w:t>
      </w:r>
      <w:r w:rsidR="00AF502C">
        <w:t>.</w:t>
      </w:r>
      <w:r w:rsidR="00FC1C78">
        <w:t xml:space="preserve"> </w:t>
      </w:r>
      <w:r w:rsidR="00FC1C78">
        <w:rPr>
          <w:rFonts w:asciiTheme="minorHAnsi" w:hAnsiTheme="minorHAnsi"/>
          <w:bCs/>
          <w:lang w:val="en-GB"/>
        </w:rPr>
        <w:t>The PBAC noted that updated data for the Myeloma XI study were presented in December 2017 and should be published in full in the near future, and considered that these data would be informative.</w:t>
      </w:r>
    </w:p>
    <w:p w:rsidR="005F35FE" w:rsidRDefault="007B716F" w:rsidP="009A0B10">
      <w:pPr>
        <w:numPr>
          <w:ilvl w:val="1"/>
          <w:numId w:val="2"/>
        </w:numPr>
        <w:spacing w:after="120"/>
        <w:rPr>
          <w:rFonts w:asciiTheme="minorHAnsi" w:hAnsiTheme="minorHAnsi"/>
          <w:bCs/>
          <w:lang w:val="en-GB"/>
        </w:rPr>
      </w:pPr>
      <w:r>
        <w:rPr>
          <w:rFonts w:asciiTheme="minorHAnsi" w:hAnsiTheme="minorHAnsi"/>
          <w:bCs/>
          <w:lang w:val="en-GB"/>
        </w:rPr>
        <w:t xml:space="preserve">The PBAC noted that </w:t>
      </w:r>
      <w:r w:rsidR="004D1C65">
        <w:rPr>
          <w:rFonts w:asciiTheme="minorHAnsi" w:hAnsiTheme="minorHAnsi"/>
          <w:bCs/>
          <w:lang w:val="en-GB"/>
        </w:rPr>
        <w:t>treatment with</w:t>
      </w:r>
      <w:r w:rsidR="00114D0E">
        <w:rPr>
          <w:rFonts w:asciiTheme="minorHAnsi" w:hAnsiTheme="minorHAnsi"/>
          <w:bCs/>
          <w:lang w:val="en-GB"/>
        </w:rPr>
        <w:t xml:space="preserve"> </w:t>
      </w:r>
      <w:proofErr w:type="spellStart"/>
      <w:r>
        <w:rPr>
          <w:rFonts w:asciiTheme="minorHAnsi" w:hAnsiTheme="minorHAnsi"/>
          <w:bCs/>
          <w:lang w:val="en-GB"/>
        </w:rPr>
        <w:t>lenalidomide</w:t>
      </w:r>
      <w:proofErr w:type="spellEnd"/>
      <w:r>
        <w:rPr>
          <w:rFonts w:asciiTheme="minorHAnsi" w:hAnsiTheme="minorHAnsi"/>
          <w:bCs/>
          <w:lang w:val="en-GB"/>
        </w:rPr>
        <w:t xml:space="preserve"> </w:t>
      </w:r>
      <w:r w:rsidR="004D1C65">
        <w:rPr>
          <w:rFonts w:asciiTheme="minorHAnsi" w:hAnsiTheme="minorHAnsi"/>
          <w:bCs/>
          <w:lang w:val="en-GB"/>
        </w:rPr>
        <w:t xml:space="preserve">compared </w:t>
      </w:r>
      <w:r>
        <w:rPr>
          <w:rFonts w:asciiTheme="minorHAnsi" w:hAnsiTheme="minorHAnsi"/>
          <w:bCs/>
          <w:lang w:val="en-GB"/>
        </w:rPr>
        <w:t>to BSC</w:t>
      </w:r>
      <w:r w:rsidR="004D1C65">
        <w:rPr>
          <w:rFonts w:asciiTheme="minorHAnsi" w:hAnsiTheme="minorHAnsi"/>
          <w:bCs/>
          <w:lang w:val="en-GB"/>
        </w:rPr>
        <w:t xml:space="preserve"> resulted in </w:t>
      </w:r>
      <w:r w:rsidR="00114D0E">
        <w:rPr>
          <w:rFonts w:asciiTheme="minorHAnsi" w:hAnsiTheme="minorHAnsi"/>
          <w:bCs/>
          <w:lang w:val="en-GB"/>
        </w:rPr>
        <w:t xml:space="preserve">a statistically significant improvement in progression-free survival (PFS) </w:t>
      </w:r>
      <w:r w:rsidR="004D1C65">
        <w:rPr>
          <w:rFonts w:asciiTheme="minorHAnsi" w:hAnsiTheme="minorHAnsi"/>
          <w:bCs/>
          <w:lang w:val="en-GB"/>
        </w:rPr>
        <w:t>in</w:t>
      </w:r>
      <w:r w:rsidR="00FC1C78">
        <w:rPr>
          <w:rFonts w:asciiTheme="minorHAnsi" w:hAnsiTheme="minorHAnsi"/>
          <w:bCs/>
          <w:lang w:val="en-GB"/>
        </w:rPr>
        <w:t xml:space="preserve"> each of</w:t>
      </w:r>
      <w:r w:rsidR="004D1C65">
        <w:rPr>
          <w:rFonts w:asciiTheme="minorHAnsi" w:hAnsiTheme="minorHAnsi"/>
          <w:bCs/>
          <w:lang w:val="en-GB"/>
        </w:rPr>
        <w:t xml:space="preserve"> the four trials</w:t>
      </w:r>
      <w:r w:rsidR="005F35FE">
        <w:rPr>
          <w:rFonts w:asciiTheme="minorHAnsi" w:hAnsiTheme="minorHAnsi"/>
          <w:bCs/>
          <w:lang w:val="en-GB"/>
        </w:rPr>
        <w:t xml:space="preserve">. </w:t>
      </w:r>
      <w:r w:rsidR="004D1C65">
        <w:rPr>
          <w:rFonts w:asciiTheme="minorHAnsi" w:hAnsiTheme="minorHAnsi"/>
          <w:bCs/>
          <w:lang w:val="en-GB"/>
        </w:rPr>
        <w:t xml:space="preserve">However, a </w:t>
      </w:r>
      <w:r w:rsidR="005F35FE">
        <w:rPr>
          <w:rFonts w:asciiTheme="minorHAnsi" w:hAnsiTheme="minorHAnsi"/>
          <w:bCs/>
          <w:lang w:val="en-GB"/>
        </w:rPr>
        <w:t xml:space="preserve">statistically significant improvement in </w:t>
      </w:r>
      <w:r w:rsidR="00CE26F0">
        <w:rPr>
          <w:rFonts w:asciiTheme="minorHAnsi" w:hAnsiTheme="minorHAnsi"/>
          <w:bCs/>
          <w:lang w:val="en-GB"/>
        </w:rPr>
        <w:t>overall survival (</w:t>
      </w:r>
      <w:r w:rsidR="005F35FE">
        <w:rPr>
          <w:rFonts w:asciiTheme="minorHAnsi" w:hAnsiTheme="minorHAnsi"/>
          <w:bCs/>
          <w:lang w:val="en-GB"/>
        </w:rPr>
        <w:t>OS</w:t>
      </w:r>
      <w:r w:rsidR="00CE26F0">
        <w:rPr>
          <w:rFonts w:asciiTheme="minorHAnsi" w:hAnsiTheme="minorHAnsi"/>
          <w:bCs/>
          <w:lang w:val="en-GB"/>
        </w:rPr>
        <w:t>)</w:t>
      </w:r>
      <w:r w:rsidR="005F35FE">
        <w:rPr>
          <w:rFonts w:asciiTheme="minorHAnsi" w:hAnsiTheme="minorHAnsi"/>
          <w:bCs/>
          <w:lang w:val="en-GB"/>
        </w:rPr>
        <w:t xml:space="preserve"> was only observed in the CALGB trial.</w:t>
      </w:r>
      <w:r w:rsidR="009E20FE">
        <w:rPr>
          <w:rFonts w:asciiTheme="minorHAnsi" w:hAnsiTheme="minorHAnsi"/>
          <w:bCs/>
          <w:lang w:val="en-GB"/>
        </w:rPr>
        <w:t xml:space="preserve"> </w:t>
      </w:r>
      <w:r w:rsidR="004D1C65">
        <w:rPr>
          <w:rFonts w:asciiTheme="minorHAnsi" w:hAnsiTheme="minorHAnsi"/>
          <w:bCs/>
          <w:lang w:val="en-GB"/>
        </w:rPr>
        <w:t xml:space="preserve">The PBAC acknowledged that crossover in CALGB, and </w:t>
      </w:r>
      <w:proofErr w:type="spellStart"/>
      <w:r w:rsidR="004D1C65">
        <w:rPr>
          <w:rFonts w:asciiTheme="minorHAnsi" w:hAnsiTheme="minorHAnsi"/>
          <w:bCs/>
          <w:lang w:val="en-GB"/>
        </w:rPr>
        <w:t>unblinding</w:t>
      </w:r>
      <w:proofErr w:type="spellEnd"/>
      <w:r w:rsidR="004D1C65">
        <w:rPr>
          <w:rFonts w:asciiTheme="minorHAnsi" w:hAnsiTheme="minorHAnsi"/>
          <w:bCs/>
          <w:lang w:val="en-GB"/>
        </w:rPr>
        <w:t xml:space="preserve"> in IFM 2005-002 may have diluted the treatment effect of </w:t>
      </w:r>
      <w:proofErr w:type="spellStart"/>
      <w:r w:rsidR="004D1C65">
        <w:rPr>
          <w:rFonts w:asciiTheme="minorHAnsi" w:hAnsiTheme="minorHAnsi"/>
          <w:bCs/>
          <w:lang w:val="en-GB"/>
        </w:rPr>
        <w:t>lenalidomide</w:t>
      </w:r>
      <w:proofErr w:type="spellEnd"/>
      <w:r w:rsidR="004D1C65">
        <w:rPr>
          <w:rFonts w:asciiTheme="minorHAnsi" w:hAnsiTheme="minorHAnsi"/>
          <w:bCs/>
          <w:lang w:val="en-GB"/>
        </w:rPr>
        <w:t>, and that GIMEMA and Myeloma XI relied on</w:t>
      </w:r>
      <w:r w:rsidR="00AF502C">
        <w:rPr>
          <w:rFonts w:asciiTheme="minorHAnsi" w:hAnsiTheme="minorHAnsi"/>
          <w:bCs/>
          <w:lang w:val="en-GB"/>
        </w:rPr>
        <w:t xml:space="preserve"> </w:t>
      </w:r>
      <w:r w:rsidR="005F35FE">
        <w:rPr>
          <w:rFonts w:asciiTheme="minorHAnsi" w:hAnsiTheme="minorHAnsi"/>
          <w:bCs/>
          <w:lang w:val="en-GB"/>
        </w:rPr>
        <w:t>the post-ASCT subgroups.</w:t>
      </w:r>
      <w:r w:rsidR="00FC1C78">
        <w:rPr>
          <w:rFonts w:asciiTheme="minorHAnsi" w:hAnsiTheme="minorHAnsi"/>
          <w:bCs/>
          <w:lang w:val="en-GB"/>
        </w:rPr>
        <w:t xml:space="preserve"> However, when the results of the 4 trials were pooled in a meta-analysis the difference in overall survival was not statistically significant when the most appropriate approach was applied (random effects, crossover adjusted). </w:t>
      </w:r>
      <w:r w:rsidR="00AF502C">
        <w:rPr>
          <w:rFonts w:asciiTheme="minorHAnsi" w:hAnsiTheme="minorHAnsi"/>
          <w:bCs/>
          <w:lang w:val="en-GB"/>
        </w:rPr>
        <w:t>T</w:t>
      </w:r>
      <w:r w:rsidR="0058167E">
        <w:rPr>
          <w:rFonts w:asciiTheme="minorHAnsi" w:hAnsiTheme="minorHAnsi"/>
          <w:bCs/>
          <w:lang w:val="en-GB"/>
        </w:rPr>
        <w:t>he PBAC n</w:t>
      </w:r>
      <w:r w:rsidR="0024553F">
        <w:rPr>
          <w:rFonts w:asciiTheme="minorHAnsi" w:hAnsiTheme="minorHAnsi"/>
          <w:bCs/>
          <w:lang w:val="en-GB"/>
        </w:rPr>
        <w:t>oted that updated data for the M</w:t>
      </w:r>
      <w:r w:rsidR="0058167E">
        <w:rPr>
          <w:rFonts w:asciiTheme="minorHAnsi" w:hAnsiTheme="minorHAnsi"/>
          <w:bCs/>
          <w:lang w:val="en-GB"/>
        </w:rPr>
        <w:t>yeloma XI study indicates a significant improvement in OS</w:t>
      </w:r>
      <w:r w:rsidR="00AF502C">
        <w:rPr>
          <w:rFonts w:asciiTheme="minorHAnsi" w:hAnsiTheme="minorHAnsi"/>
          <w:bCs/>
          <w:lang w:val="en-GB"/>
        </w:rPr>
        <w:t xml:space="preserve"> for the ITT population</w:t>
      </w:r>
      <w:r w:rsidR="0058167E">
        <w:rPr>
          <w:rFonts w:asciiTheme="minorHAnsi" w:hAnsiTheme="minorHAnsi"/>
          <w:bCs/>
          <w:lang w:val="en-GB"/>
        </w:rPr>
        <w:t>.</w:t>
      </w:r>
    </w:p>
    <w:p w:rsidR="0058167E" w:rsidRDefault="00FC1C78" w:rsidP="009A0B10">
      <w:pPr>
        <w:numPr>
          <w:ilvl w:val="1"/>
          <w:numId w:val="2"/>
        </w:numPr>
        <w:spacing w:after="120"/>
        <w:rPr>
          <w:rFonts w:asciiTheme="minorHAnsi" w:hAnsiTheme="minorHAnsi"/>
          <w:bCs/>
          <w:lang w:val="en-GB"/>
        </w:rPr>
      </w:pPr>
      <w:r>
        <w:rPr>
          <w:rFonts w:asciiTheme="minorHAnsi" w:hAnsiTheme="minorHAnsi"/>
          <w:bCs/>
          <w:lang w:val="en-GB"/>
        </w:rPr>
        <w:t>T</w:t>
      </w:r>
      <w:r w:rsidR="005F35FE">
        <w:rPr>
          <w:rFonts w:asciiTheme="minorHAnsi" w:hAnsiTheme="minorHAnsi"/>
          <w:bCs/>
          <w:lang w:val="en-GB"/>
        </w:rPr>
        <w:t xml:space="preserve">he PBAC noted that there were some key differences </w:t>
      </w:r>
      <w:r w:rsidR="009E20FE">
        <w:rPr>
          <w:rFonts w:asciiTheme="minorHAnsi" w:hAnsiTheme="minorHAnsi"/>
          <w:bCs/>
          <w:lang w:val="en-GB"/>
        </w:rPr>
        <w:t xml:space="preserve">across </w:t>
      </w:r>
      <w:r w:rsidR="005F35FE">
        <w:rPr>
          <w:rFonts w:asciiTheme="minorHAnsi" w:hAnsiTheme="minorHAnsi"/>
          <w:bCs/>
          <w:lang w:val="en-GB"/>
        </w:rPr>
        <w:t>the populations</w:t>
      </w:r>
      <w:r>
        <w:rPr>
          <w:rFonts w:asciiTheme="minorHAnsi" w:hAnsiTheme="minorHAnsi"/>
          <w:bCs/>
          <w:lang w:val="en-GB"/>
        </w:rPr>
        <w:t xml:space="preserve"> for the </w:t>
      </w:r>
      <w:proofErr w:type="spellStart"/>
      <w:r>
        <w:rPr>
          <w:rFonts w:asciiTheme="minorHAnsi" w:hAnsiTheme="minorHAnsi"/>
          <w:bCs/>
          <w:lang w:val="en-GB"/>
        </w:rPr>
        <w:t>lenalidomide</w:t>
      </w:r>
      <w:proofErr w:type="spellEnd"/>
      <w:r>
        <w:rPr>
          <w:rFonts w:asciiTheme="minorHAnsi" w:hAnsiTheme="minorHAnsi"/>
          <w:bCs/>
          <w:lang w:val="en-GB"/>
        </w:rPr>
        <w:t xml:space="preserve"> versus BSC trials</w:t>
      </w:r>
      <w:r w:rsidR="005F35FE">
        <w:rPr>
          <w:rFonts w:asciiTheme="minorHAnsi" w:hAnsiTheme="minorHAnsi"/>
          <w:bCs/>
          <w:lang w:val="en-GB"/>
        </w:rPr>
        <w:t xml:space="preserve">, and </w:t>
      </w:r>
      <w:r w:rsidR="009E20FE">
        <w:rPr>
          <w:rFonts w:asciiTheme="minorHAnsi" w:hAnsiTheme="minorHAnsi"/>
          <w:bCs/>
          <w:lang w:val="en-GB"/>
        </w:rPr>
        <w:t xml:space="preserve">compared </w:t>
      </w:r>
      <w:r w:rsidR="005F35FE">
        <w:rPr>
          <w:rFonts w:asciiTheme="minorHAnsi" w:hAnsiTheme="minorHAnsi"/>
          <w:bCs/>
          <w:lang w:val="en-GB"/>
        </w:rPr>
        <w:t xml:space="preserve">with the potential PBS population. A range of different induction therapies were used, including </w:t>
      </w:r>
      <w:proofErr w:type="spellStart"/>
      <w:r w:rsidR="005F35FE">
        <w:rPr>
          <w:rFonts w:asciiTheme="minorHAnsi" w:hAnsiTheme="minorHAnsi"/>
          <w:bCs/>
          <w:lang w:val="en-GB"/>
        </w:rPr>
        <w:t>lenalidomide</w:t>
      </w:r>
      <w:proofErr w:type="spellEnd"/>
      <w:r w:rsidR="005F35FE">
        <w:rPr>
          <w:rFonts w:asciiTheme="minorHAnsi" w:hAnsiTheme="minorHAnsi"/>
          <w:bCs/>
          <w:lang w:val="en-GB"/>
        </w:rPr>
        <w:t xml:space="preserve">, which is not currently available for induction treatment in Australia. The PBAC considered that while a benefit for </w:t>
      </w:r>
      <w:proofErr w:type="spellStart"/>
      <w:r w:rsidR="005F35FE">
        <w:rPr>
          <w:rFonts w:asciiTheme="minorHAnsi" w:hAnsiTheme="minorHAnsi"/>
          <w:bCs/>
          <w:lang w:val="en-GB"/>
        </w:rPr>
        <w:t>lenalidomide</w:t>
      </w:r>
      <w:proofErr w:type="spellEnd"/>
      <w:r w:rsidR="005F35FE">
        <w:rPr>
          <w:rFonts w:asciiTheme="minorHAnsi" w:hAnsiTheme="minorHAnsi"/>
          <w:bCs/>
          <w:lang w:val="en-GB"/>
        </w:rPr>
        <w:t xml:space="preserve"> maintenance treatment was observed for patients both with and without </w:t>
      </w:r>
      <w:r w:rsidR="0024553F">
        <w:rPr>
          <w:rFonts w:asciiTheme="minorHAnsi" w:hAnsiTheme="minorHAnsi"/>
          <w:bCs/>
          <w:lang w:val="en-GB"/>
        </w:rPr>
        <w:t xml:space="preserve">prior </w:t>
      </w:r>
      <w:proofErr w:type="spellStart"/>
      <w:r w:rsidR="005F35FE">
        <w:rPr>
          <w:rFonts w:asciiTheme="minorHAnsi" w:hAnsiTheme="minorHAnsi"/>
          <w:bCs/>
          <w:lang w:val="en-GB"/>
        </w:rPr>
        <w:t>lenalid</w:t>
      </w:r>
      <w:r w:rsidR="0024553F">
        <w:rPr>
          <w:rFonts w:asciiTheme="minorHAnsi" w:hAnsiTheme="minorHAnsi"/>
          <w:bCs/>
          <w:lang w:val="en-GB"/>
        </w:rPr>
        <w:t>o</w:t>
      </w:r>
      <w:r w:rsidR="005F35FE">
        <w:rPr>
          <w:rFonts w:asciiTheme="minorHAnsi" w:hAnsiTheme="minorHAnsi"/>
          <w:bCs/>
          <w:lang w:val="en-GB"/>
        </w:rPr>
        <w:t>mide</w:t>
      </w:r>
      <w:proofErr w:type="spellEnd"/>
      <w:r w:rsidR="005F35FE">
        <w:rPr>
          <w:rFonts w:asciiTheme="minorHAnsi" w:hAnsiTheme="minorHAnsi"/>
          <w:bCs/>
          <w:lang w:val="en-GB"/>
        </w:rPr>
        <w:t xml:space="preserve"> induction, t</w:t>
      </w:r>
      <w:r w:rsidR="0058167E">
        <w:rPr>
          <w:rFonts w:asciiTheme="minorHAnsi" w:hAnsiTheme="minorHAnsi"/>
          <w:bCs/>
          <w:lang w:val="en-GB"/>
        </w:rPr>
        <w:t xml:space="preserve">here was some evidence to suggest better OS in patients who received </w:t>
      </w:r>
      <w:proofErr w:type="spellStart"/>
      <w:r w:rsidR="0058167E">
        <w:rPr>
          <w:rFonts w:asciiTheme="minorHAnsi" w:hAnsiTheme="minorHAnsi"/>
          <w:bCs/>
          <w:lang w:val="en-GB"/>
        </w:rPr>
        <w:t>lenalidomide</w:t>
      </w:r>
      <w:proofErr w:type="spellEnd"/>
      <w:r w:rsidR="0058167E">
        <w:rPr>
          <w:rFonts w:asciiTheme="minorHAnsi" w:hAnsiTheme="minorHAnsi"/>
          <w:bCs/>
          <w:lang w:val="en-GB"/>
        </w:rPr>
        <w:t xml:space="preserve"> induction</w:t>
      </w:r>
      <w:r w:rsidR="009E20FE">
        <w:rPr>
          <w:rFonts w:asciiTheme="minorHAnsi" w:hAnsiTheme="minorHAnsi"/>
          <w:bCs/>
          <w:lang w:val="en-GB"/>
        </w:rPr>
        <w:t>.</w:t>
      </w:r>
      <w:r w:rsidR="0058167E">
        <w:rPr>
          <w:rFonts w:asciiTheme="minorHAnsi" w:hAnsiTheme="minorHAnsi"/>
          <w:bCs/>
          <w:lang w:val="en-GB"/>
        </w:rPr>
        <w:t xml:space="preserve"> </w:t>
      </w:r>
      <w:r w:rsidR="009E20FE">
        <w:rPr>
          <w:rFonts w:asciiTheme="minorHAnsi" w:hAnsiTheme="minorHAnsi"/>
          <w:bCs/>
          <w:lang w:val="en-GB"/>
        </w:rPr>
        <w:t>T</w:t>
      </w:r>
      <w:r w:rsidR="0058167E">
        <w:rPr>
          <w:rFonts w:asciiTheme="minorHAnsi" w:hAnsiTheme="minorHAnsi"/>
          <w:bCs/>
          <w:lang w:val="en-GB"/>
        </w:rPr>
        <w:t xml:space="preserve">herefore the magnitude of benefit </w:t>
      </w:r>
      <w:r w:rsidR="009E20FE">
        <w:rPr>
          <w:rFonts w:asciiTheme="minorHAnsi" w:hAnsiTheme="minorHAnsi"/>
          <w:bCs/>
          <w:lang w:val="en-GB"/>
        </w:rPr>
        <w:t xml:space="preserve">observed in the trials may be greater than what </w:t>
      </w:r>
      <w:r w:rsidR="0058167E">
        <w:rPr>
          <w:rFonts w:asciiTheme="minorHAnsi" w:hAnsiTheme="minorHAnsi"/>
          <w:bCs/>
          <w:lang w:val="en-GB"/>
        </w:rPr>
        <w:t xml:space="preserve">would be realised in the Australian population. </w:t>
      </w:r>
    </w:p>
    <w:p w:rsidR="009A0B10" w:rsidRDefault="0058167E" w:rsidP="009A0B10">
      <w:pPr>
        <w:numPr>
          <w:ilvl w:val="1"/>
          <w:numId w:val="2"/>
        </w:numPr>
        <w:spacing w:after="120"/>
        <w:rPr>
          <w:rFonts w:asciiTheme="minorHAnsi" w:hAnsiTheme="minorHAnsi"/>
          <w:bCs/>
          <w:lang w:val="en-GB"/>
        </w:rPr>
      </w:pPr>
      <w:r>
        <w:rPr>
          <w:rFonts w:asciiTheme="minorHAnsi" w:hAnsiTheme="minorHAnsi"/>
          <w:bCs/>
          <w:lang w:val="en-GB"/>
        </w:rPr>
        <w:t xml:space="preserve">The PBAC also noted that there were differences in the </w:t>
      </w:r>
      <w:proofErr w:type="spellStart"/>
      <w:r w:rsidR="009E20FE">
        <w:rPr>
          <w:rFonts w:asciiTheme="minorHAnsi" w:hAnsiTheme="minorHAnsi"/>
          <w:bCs/>
          <w:lang w:val="en-GB"/>
        </w:rPr>
        <w:t>lenalidomide</w:t>
      </w:r>
      <w:proofErr w:type="spellEnd"/>
      <w:r w:rsidR="009E20FE">
        <w:rPr>
          <w:rFonts w:asciiTheme="minorHAnsi" w:hAnsiTheme="minorHAnsi"/>
          <w:bCs/>
          <w:lang w:val="en-GB"/>
        </w:rPr>
        <w:t xml:space="preserve"> </w:t>
      </w:r>
      <w:r>
        <w:rPr>
          <w:rFonts w:asciiTheme="minorHAnsi" w:hAnsiTheme="minorHAnsi"/>
          <w:bCs/>
          <w:lang w:val="en-GB"/>
        </w:rPr>
        <w:t xml:space="preserve">dosing regimens used </w:t>
      </w:r>
      <w:r w:rsidR="009E20FE">
        <w:rPr>
          <w:rFonts w:asciiTheme="minorHAnsi" w:hAnsiTheme="minorHAnsi"/>
          <w:bCs/>
          <w:lang w:val="en-GB"/>
        </w:rPr>
        <w:t xml:space="preserve">across </w:t>
      </w:r>
      <w:r>
        <w:rPr>
          <w:rFonts w:asciiTheme="minorHAnsi" w:hAnsiTheme="minorHAnsi"/>
          <w:bCs/>
          <w:lang w:val="en-GB"/>
        </w:rPr>
        <w:t xml:space="preserve">the four </w:t>
      </w:r>
      <w:proofErr w:type="spellStart"/>
      <w:r>
        <w:rPr>
          <w:rFonts w:asciiTheme="minorHAnsi" w:hAnsiTheme="minorHAnsi"/>
          <w:bCs/>
          <w:lang w:val="en-GB"/>
        </w:rPr>
        <w:t>lenalidomide</w:t>
      </w:r>
      <w:proofErr w:type="spellEnd"/>
      <w:r>
        <w:rPr>
          <w:rFonts w:asciiTheme="minorHAnsi" w:hAnsiTheme="minorHAnsi"/>
          <w:bCs/>
          <w:lang w:val="en-GB"/>
        </w:rPr>
        <w:t xml:space="preserve"> v</w:t>
      </w:r>
      <w:r w:rsidR="00E93FD2">
        <w:rPr>
          <w:rFonts w:asciiTheme="minorHAnsi" w:hAnsiTheme="minorHAnsi"/>
          <w:bCs/>
          <w:lang w:val="en-GB"/>
        </w:rPr>
        <w:t>er</w:t>
      </w:r>
      <w:r>
        <w:rPr>
          <w:rFonts w:asciiTheme="minorHAnsi" w:hAnsiTheme="minorHAnsi"/>
          <w:bCs/>
          <w:lang w:val="en-GB"/>
        </w:rPr>
        <w:t>s</w:t>
      </w:r>
      <w:r w:rsidR="00E93FD2">
        <w:rPr>
          <w:rFonts w:asciiTheme="minorHAnsi" w:hAnsiTheme="minorHAnsi"/>
          <w:bCs/>
          <w:lang w:val="en-GB"/>
        </w:rPr>
        <w:t>u</w:t>
      </w:r>
      <w:r w:rsidR="008A5D68">
        <w:rPr>
          <w:rFonts w:asciiTheme="minorHAnsi" w:hAnsiTheme="minorHAnsi"/>
          <w:bCs/>
          <w:lang w:val="en-GB"/>
        </w:rPr>
        <w:t>s</w:t>
      </w:r>
      <w:r>
        <w:rPr>
          <w:rFonts w:asciiTheme="minorHAnsi" w:hAnsiTheme="minorHAnsi"/>
          <w:bCs/>
          <w:lang w:val="en-GB"/>
        </w:rPr>
        <w:t xml:space="preserve"> BSC trials.</w:t>
      </w:r>
      <w:r w:rsidR="00114D0E">
        <w:rPr>
          <w:rFonts w:asciiTheme="minorHAnsi" w:hAnsiTheme="minorHAnsi"/>
          <w:bCs/>
          <w:lang w:val="en-GB"/>
        </w:rPr>
        <w:t xml:space="preserve"> </w:t>
      </w:r>
      <w:r w:rsidR="00AD1D92">
        <w:rPr>
          <w:rFonts w:asciiTheme="minorHAnsi" w:hAnsiTheme="minorHAnsi"/>
          <w:bCs/>
          <w:lang w:val="en-GB"/>
        </w:rPr>
        <w:t xml:space="preserve">Only the </w:t>
      </w:r>
      <w:r w:rsidR="00AD1D92">
        <w:t>CALGB trial used the dosage regimen recommended in the PI (starting dose of 10 mg/day increasing after 3 months to 15 mg/day if tolerated)</w:t>
      </w:r>
      <w:r w:rsidR="00AD1D92" w:rsidRPr="00CE0BE9">
        <w:t xml:space="preserve">. </w:t>
      </w:r>
      <w:r w:rsidR="00735C54">
        <w:t xml:space="preserve">Patients </w:t>
      </w:r>
      <w:r w:rsidR="00AD1D92" w:rsidRPr="00CE0BE9">
        <w:t>in IFM 2005</w:t>
      </w:r>
      <w:r w:rsidR="00AD1D92" w:rsidRPr="00CE0BE9">
        <w:noBreakHyphen/>
        <w:t xml:space="preserve">02 received 2 cycles of 25 mg/day </w:t>
      </w:r>
      <w:proofErr w:type="spellStart"/>
      <w:r w:rsidR="00AD1D92" w:rsidRPr="00CE0BE9">
        <w:t>lenalidomide</w:t>
      </w:r>
      <w:proofErr w:type="spellEnd"/>
      <w:r w:rsidR="00AD1D92" w:rsidRPr="00CE0BE9">
        <w:t xml:space="preserve"> post</w:t>
      </w:r>
      <w:r w:rsidR="00AD1D92" w:rsidRPr="00CE0BE9">
        <w:noBreakHyphen/>
        <w:t xml:space="preserve">ASCT, followed by 10 mg/day. GIMEMA and Myeloma XI </w:t>
      </w:r>
      <w:r w:rsidR="00E93FD2">
        <w:t xml:space="preserve">both </w:t>
      </w:r>
      <w:r w:rsidR="00AD1D92" w:rsidRPr="00CE0BE9">
        <w:t xml:space="preserve">used </w:t>
      </w:r>
      <w:r w:rsidR="00735C54">
        <w:t xml:space="preserve">a dose of 10 mg/day for 21 days of a </w:t>
      </w:r>
      <w:r w:rsidR="00AD1D92" w:rsidRPr="00CE0BE9">
        <w:t>28 day cycle.</w:t>
      </w:r>
      <w:r w:rsidR="00735C54">
        <w:t xml:space="preserve"> Given the available clinical evidence, and that the FDA recommended dose is 10 mg/day, </w:t>
      </w:r>
      <w:r w:rsidR="00E93FD2">
        <w:t xml:space="preserve">in Australian clinical practice </w:t>
      </w:r>
      <w:r w:rsidR="00735C54">
        <w:t xml:space="preserve">the dose of </w:t>
      </w:r>
      <w:proofErr w:type="spellStart"/>
      <w:r w:rsidR="00735C54">
        <w:t>lenalidomide</w:t>
      </w:r>
      <w:proofErr w:type="spellEnd"/>
      <w:r w:rsidR="00735C54">
        <w:t xml:space="preserve"> may be increased to 15 mg/day in relatively few patients</w:t>
      </w:r>
      <w:r w:rsidR="00957F68">
        <w:rPr>
          <w:rFonts w:asciiTheme="minorHAnsi" w:hAnsiTheme="minorHAnsi"/>
          <w:bCs/>
          <w:lang w:val="en-GB"/>
        </w:rPr>
        <w:t xml:space="preserve">, particularly given that greater exposure to the drug may increase </w:t>
      </w:r>
      <w:r w:rsidR="00EF6F03">
        <w:rPr>
          <w:rFonts w:asciiTheme="minorHAnsi" w:hAnsiTheme="minorHAnsi"/>
          <w:bCs/>
          <w:lang w:val="en-GB"/>
        </w:rPr>
        <w:t xml:space="preserve">toxicities and </w:t>
      </w:r>
      <w:r w:rsidR="00957F68">
        <w:rPr>
          <w:rFonts w:asciiTheme="minorHAnsi" w:hAnsiTheme="minorHAnsi"/>
          <w:bCs/>
          <w:lang w:val="en-GB"/>
        </w:rPr>
        <w:t>the risk of secondary primary malignancy</w:t>
      </w:r>
      <w:r w:rsidR="00735C54">
        <w:rPr>
          <w:rFonts w:asciiTheme="minorHAnsi" w:hAnsiTheme="minorHAnsi"/>
          <w:bCs/>
          <w:lang w:val="en-GB"/>
        </w:rPr>
        <w:t>.</w:t>
      </w:r>
    </w:p>
    <w:p w:rsidR="0021580A" w:rsidRDefault="00E93FD2" w:rsidP="00E93FD2">
      <w:pPr>
        <w:numPr>
          <w:ilvl w:val="1"/>
          <w:numId w:val="2"/>
        </w:numPr>
        <w:spacing w:after="120"/>
        <w:rPr>
          <w:rFonts w:asciiTheme="minorHAnsi" w:hAnsiTheme="minorHAnsi"/>
          <w:bCs/>
          <w:lang w:val="en-GB"/>
        </w:rPr>
      </w:pPr>
      <w:r>
        <w:rPr>
          <w:rFonts w:asciiTheme="minorHAnsi" w:hAnsiTheme="minorHAnsi"/>
          <w:bCs/>
          <w:lang w:val="en-GB"/>
        </w:rPr>
        <w:t xml:space="preserve">The PBAC considered that the claim of superior efficacy and inferior safety for </w:t>
      </w:r>
      <w:proofErr w:type="spellStart"/>
      <w:r>
        <w:rPr>
          <w:rFonts w:asciiTheme="minorHAnsi" w:hAnsiTheme="minorHAnsi"/>
          <w:bCs/>
          <w:lang w:val="en-GB"/>
        </w:rPr>
        <w:t>lenalidomide</w:t>
      </w:r>
      <w:proofErr w:type="spellEnd"/>
      <w:r>
        <w:rPr>
          <w:rFonts w:asciiTheme="minorHAnsi" w:hAnsiTheme="minorHAnsi"/>
          <w:bCs/>
          <w:lang w:val="en-GB"/>
        </w:rPr>
        <w:t xml:space="preserve"> compared to BSC was adequately supported by the evidence presented in the submission. </w:t>
      </w:r>
    </w:p>
    <w:p w:rsidR="0021580A" w:rsidRDefault="0021580A" w:rsidP="0021580A">
      <w:pPr>
        <w:numPr>
          <w:ilvl w:val="1"/>
          <w:numId w:val="2"/>
        </w:numPr>
        <w:spacing w:after="120"/>
        <w:rPr>
          <w:rFonts w:asciiTheme="minorHAnsi" w:hAnsiTheme="minorHAnsi"/>
          <w:bCs/>
          <w:lang w:val="en-GB"/>
        </w:rPr>
      </w:pPr>
      <w:r>
        <w:rPr>
          <w:rFonts w:asciiTheme="minorHAnsi" w:hAnsiTheme="minorHAnsi"/>
          <w:bCs/>
          <w:lang w:val="en-GB"/>
        </w:rPr>
        <w:t xml:space="preserve">The PBAC considered that the </w:t>
      </w:r>
      <w:proofErr w:type="spellStart"/>
      <w:r>
        <w:rPr>
          <w:rFonts w:asciiTheme="minorHAnsi" w:hAnsiTheme="minorHAnsi"/>
          <w:bCs/>
          <w:lang w:val="en-GB"/>
        </w:rPr>
        <w:t>lenalidomide</w:t>
      </w:r>
      <w:proofErr w:type="spellEnd"/>
      <w:r>
        <w:rPr>
          <w:rFonts w:asciiTheme="minorHAnsi" w:hAnsiTheme="minorHAnsi"/>
          <w:bCs/>
          <w:lang w:val="en-GB"/>
        </w:rPr>
        <w:t xml:space="preserve"> v</w:t>
      </w:r>
      <w:r w:rsidR="0066473B">
        <w:rPr>
          <w:rFonts w:asciiTheme="minorHAnsi" w:hAnsiTheme="minorHAnsi"/>
          <w:bCs/>
          <w:lang w:val="en-GB"/>
        </w:rPr>
        <w:t>er</w:t>
      </w:r>
      <w:r>
        <w:rPr>
          <w:rFonts w:asciiTheme="minorHAnsi" w:hAnsiTheme="minorHAnsi"/>
          <w:bCs/>
          <w:lang w:val="en-GB"/>
        </w:rPr>
        <w:t>s</w:t>
      </w:r>
      <w:r w:rsidR="0066473B">
        <w:rPr>
          <w:rFonts w:asciiTheme="minorHAnsi" w:hAnsiTheme="minorHAnsi"/>
          <w:bCs/>
          <w:lang w:val="en-GB"/>
        </w:rPr>
        <w:t>us</w:t>
      </w:r>
      <w:r>
        <w:rPr>
          <w:rFonts w:asciiTheme="minorHAnsi" w:hAnsiTheme="minorHAnsi"/>
          <w:bCs/>
          <w:lang w:val="en-GB"/>
        </w:rPr>
        <w:t xml:space="preserve"> BSC model presented in the submission would require some adjustments for any future resubmission. Specifically:</w:t>
      </w:r>
    </w:p>
    <w:p w:rsidR="0021580A" w:rsidRDefault="0021580A" w:rsidP="0021580A">
      <w:pPr>
        <w:pStyle w:val="ListParagraph"/>
        <w:numPr>
          <w:ilvl w:val="0"/>
          <w:numId w:val="14"/>
        </w:numPr>
        <w:spacing w:after="120"/>
        <w:ind w:left="1134" w:hanging="425"/>
        <w:rPr>
          <w:rFonts w:asciiTheme="minorHAnsi" w:hAnsiTheme="minorHAnsi"/>
          <w:bCs/>
          <w:lang w:val="en-GB"/>
        </w:rPr>
      </w:pPr>
      <w:r>
        <w:rPr>
          <w:rFonts w:asciiTheme="minorHAnsi" w:hAnsiTheme="minorHAnsi"/>
          <w:bCs/>
          <w:lang w:val="en-GB"/>
        </w:rPr>
        <w:t>T</w:t>
      </w:r>
      <w:r w:rsidRPr="00E80689">
        <w:rPr>
          <w:rFonts w:asciiTheme="minorHAnsi" w:hAnsiTheme="minorHAnsi"/>
          <w:bCs/>
          <w:lang w:val="en-GB"/>
        </w:rPr>
        <w:t>he modelled time horizon of 25 years</w:t>
      </w:r>
      <w:r>
        <w:rPr>
          <w:rFonts w:asciiTheme="minorHAnsi" w:hAnsiTheme="minorHAnsi"/>
          <w:bCs/>
          <w:lang w:val="en-GB"/>
        </w:rPr>
        <w:t xml:space="preserve"> was too long</w:t>
      </w:r>
      <w:r w:rsidRPr="00E80689">
        <w:rPr>
          <w:rFonts w:asciiTheme="minorHAnsi" w:hAnsiTheme="minorHAnsi"/>
          <w:bCs/>
          <w:lang w:val="en-GB"/>
        </w:rPr>
        <w:t>, and</w:t>
      </w:r>
      <w:r>
        <w:rPr>
          <w:rFonts w:asciiTheme="minorHAnsi" w:hAnsiTheme="minorHAnsi"/>
          <w:bCs/>
          <w:lang w:val="en-GB"/>
        </w:rPr>
        <w:t xml:space="preserve"> the PBAC</w:t>
      </w:r>
      <w:r w:rsidRPr="00E80689">
        <w:rPr>
          <w:rFonts w:asciiTheme="minorHAnsi" w:hAnsiTheme="minorHAnsi"/>
          <w:bCs/>
          <w:lang w:val="en-GB"/>
        </w:rPr>
        <w:t xml:space="preserve"> considered that a 15 year time horizon was more appropriate</w:t>
      </w:r>
      <w:r>
        <w:rPr>
          <w:rFonts w:asciiTheme="minorHAnsi" w:hAnsiTheme="minorHAnsi"/>
          <w:bCs/>
          <w:lang w:val="en-GB"/>
        </w:rPr>
        <w:t>.</w:t>
      </w:r>
    </w:p>
    <w:p w:rsidR="0021580A" w:rsidRDefault="0021580A" w:rsidP="0021580A">
      <w:pPr>
        <w:pStyle w:val="ListParagraph"/>
        <w:numPr>
          <w:ilvl w:val="0"/>
          <w:numId w:val="14"/>
        </w:numPr>
        <w:spacing w:after="120"/>
        <w:ind w:left="1134" w:hanging="425"/>
        <w:rPr>
          <w:rFonts w:asciiTheme="minorHAnsi" w:hAnsiTheme="minorHAnsi"/>
          <w:bCs/>
          <w:lang w:val="en-GB"/>
        </w:rPr>
      </w:pPr>
      <w:r w:rsidRPr="00E80689">
        <w:rPr>
          <w:rFonts w:asciiTheme="minorHAnsi" w:hAnsiTheme="minorHAnsi"/>
          <w:bCs/>
          <w:lang w:val="en-GB"/>
        </w:rPr>
        <w:t xml:space="preserve">The </w:t>
      </w:r>
      <w:r>
        <w:rPr>
          <w:rFonts w:asciiTheme="minorHAnsi" w:hAnsiTheme="minorHAnsi"/>
          <w:bCs/>
          <w:lang w:val="en-GB"/>
        </w:rPr>
        <w:t>use of</w:t>
      </w:r>
      <w:r w:rsidRPr="00E80689">
        <w:rPr>
          <w:rFonts w:asciiTheme="minorHAnsi" w:hAnsiTheme="minorHAnsi"/>
          <w:bCs/>
          <w:lang w:val="en-GB"/>
        </w:rPr>
        <w:t xml:space="preserve"> fitted survival curves for the duration of the model was inappropriate, particularly given that the fitted survival curves were a poor fit for the </w:t>
      </w:r>
      <w:proofErr w:type="spellStart"/>
      <w:r w:rsidRPr="00E80689">
        <w:rPr>
          <w:rFonts w:asciiTheme="minorHAnsi" w:hAnsiTheme="minorHAnsi"/>
          <w:bCs/>
          <w:lang w:val="en-GB"/>
        </w:rPr>
        <w:t>lenalidomide</w:t>
      </w:r>
      <w:proofErr w:type="spellEnd"/>
      <w:r w:rsidRPr="00E80689">
        <w:rPr>
          <w:rFonts w:asciiTheme="minorHAnsi" w:hAnsiTheme="minorHAnsi"/>
          <w:bCs/>
          <w:lang w:val="en-GB"/>
        </w:rPr>
        <w:t xml:space="preserve"> Kaplan-Meier data, and </w:t>
      </w:r>
      <w:r>
        <w:rPr>
          <w:rFonts w:asciiTheme="minorHAnsi" w:hAnsiTheme="minorHAnsi"/>
          <w:bCs/>
          <w:lang w:val="en-GB"/>
        </w:rPr>
        <w:t xml:space="preserve">this </w:t>
      </w:r>
      <w:r w:rsidRPr="00E80689">
        <w:rPr>
          <w:rFonts w:asciiTheme="minorHAnsi" w:hAnsiTheme="minorHAnsi"/>
          <w:bCs/>
          <w:lang w:val="en-GB"/>
        </w:rPr>
        <w:t xml:space="preserve">resulted in an overestimate of the incremental benefit in this period. </w:t>
      </w:r>
    </w:p>
    <w:p w:rsidR="0021580A" w:rsidRDefault="0021580A" w:rsidP="0021580A">
      <w:pPr>
        <w:pStyle w:val="ListParagraph"/>
        <w:numPr>
          <w:ilvl w:val="0"/>
          <w:numId w:val="14"/>
        </w:numPr>
        <w:spacing w:after="120"/>
        <w:ind w:left="1134" w:hanging="425"/>
        <w:rPr>
          <w:rFonts w:asciiTheme="minorHAnsi" w:hAnsiTheme="minorHAnsi"/>
          <w:bCs/>
          <w:lang w:val="en-GB"/>
        </w:rPr>
      </w:pPr>
      <w:r>
        <w:rPr>
          <w:rFonts w:asciiTheme="minorHAnsi" w:hAnsiTheme="minorHAnsi"/>
          <w:bCs/>
          <w:lang w:val="en-GB"/>
        </w:rPr>
        <w:t>The</w:t>
      </w:r>
      <w:r w:rsidRPr="00E80689">
        <w:rPr>
          <w:rFonts w:asciiTheme="minorHAnsi" w:hAnsiTheme="minorHAnsi"/>
          <w:bCs/>
          <w:lang w:val="en-GB"/>
        </w:rPr>
        <w:t xml:space="preserve"> </w:t>
      </w:r>
      <w:proofErr w:type="spellStart"/>
      <w:r w:rsidRPr="00E80689">
        <w:rPr>
          <w:rFonts w:asciiTheme="minorHAnsi" w:hAnsiTheme="minorHAnsi"/>
          <w:bCs/>
          <w:lang w:val="en-GB"/>
        </w:rPr>
        <w:t>lenalidomide</w:t>
      </w:r>
      <w:proofErr w:type="spellEnd"/>
      <w:r w:rsidRPr="00E80689">
        <w:rPr>
          <w:rFonts w:asciiTheme="minorHAnsi" w:hAnsiTheme="minorHAnsi"/>
          <w:bCs/>
          <w:lang w:val="en-GB"/>
        </w:rPr>
        <w:t xml:space="preserve"> dose, time on treatment and efficacy</w:t>
      </w:r>
      <w:r>
        <w:rPr>
          <w:rFonts w:asciiTheme="minorHAnsi" w:hAnsiTheme="minorHAnsi"/>
          <w:bCs/>
          <w:lang w:val="en-GB"/>
        </w:rPr>
        <w:t xml:space="preserve"> were sourced from different trials</w:t>
      </w:r>
      <w:r w:rsidRPr="00E80689">
        <w:rPr>
          <w:rFonts w:asciiTheme="minorHAnsi" w:hAnsiTheme="minorHAnsi"/>
          <w:bCs/>
          <w:lang w:val="en-GB"/>
        </w:rPr>
        <w:t xml:space="preserve"> without </w:t>
      </w:r>
      <w:r>
        <w:rPr>
          <w:rFonts w:asciiTheme="minorHAnsi" w:hAnsiTheme="minorHAnsi"/>
          <w:bCs/>
          <w:lang w:val="en-GB"/>
        </w:rPr>
        <w:t>consideration of the associated impact</w:t>
      </w:r>
      <w:r w:rsidRPr="00E80689">
        <w:rPr>
          <w:rFonts w:asciiTheme="minorHAnsi" w:hAnsiTheme="minorHAnsi"/>
          <w:bCs/>
          <w:lang w:val="en-GB"/>
        </w:rPr>
        <w:t xml:space="preserve">. </w:t>
      </w:r>
    </w:p>
    <w:p w:rsidR="0021580A" w:rsidRPr="00416E47" w:rsidRDefault="0021580A" w:rsidP="0021580A">
      <w:pPr>
        <w:pStyle w:val="ListParagraph"/>
        <w:numPr>
          <w:ilvl w:val="0"/>
          <w:numId w:val="14"/>
        </w:numPr>
        <w:spacing w:after="120"/>
        <w:ind w:left="1134" w:hanging="425"/>
        <w:rPr>
          <w:rFonts w:asciiTheme="minorHAnsi" w:hAnsiTheme="minorHAnsi"/>
          <w:bCs/>
          <w:lang w:val="en-GB"/>
        </w:rPr>
      </w:pPr>
      <w:r w:rsidRPr="00416E47">
        <w:rPr>
          <w:rFonts w:asciiTheme="minorHAnsi" w:hAnsiTheme="minorHAnsi"/>
          <w:bCs/>
          <w:lang w:val="en-GB"/>
        </w:rPr>
        <w:t xml:space="preserve">The utility values in the pre-progression state were higher for patients on </w:t>
      </w:r>
      <w:proofErr w:type="spellStart"/>
      <w:r w:rsidRPr="00416E47">
        <w:rPr>
          <w:rFonts w:asciiTheme="minorHAnsi" w:hAnsiTheme="minorHAnsi"/>
          <w:bCs/>
          <w:lang w:val="en-GB"/>
        </w:rPr>
        <w:t>lenalidomide</w:t>
      </w:r>
      <w:proofErr w:type="spellEnd"/>
      <w:r w:rsidRPr="00416E47">
        <w:rPr>
          <w:rFonts w:asciiTheme="minorHAnsi" w:hAnsiTheme="minorHAnsi"/>
          <w:bCs/>
          <w:lang w:val="en-GB"/>
        </w:rPr>
        <w:t xml:space="preserve"> treatment compared to those on BSC. This is inconsistent with the data presented, and the </w:t>
      </w:r>
      <w:proofErr w:type="gramStart"/>
      <w:r w:rsidRPr="00416E47">
        <w:rPr>
          <w:rFonts w:asciiTheme="minorHAnsi" w:hAnsiTheme="minorHAnsi"/>
          <w:bCs/>
          <w:lang w:val="en-GB"/>
        </w:rPr>
        <w:t>submission's</w:t>
      </w:r>
      <w:proofErr w:type="gramEnd"/>
      <w:r w:rsidRPr="00416E47">
        <w:rPr>
          <w:rFonts w:asciiTheme="minorHAnsi" w:hAnsiTheme="minorHAnsi"/>
          <w:bCs/>
          <w:lang w:val="en-GB"/>
        </w:rPr>
        <w:t xml:space="preserve"> clinical claim that </w:t>
      </w:r>
      <w:proofErr w:type="spellStart"/>
      <w:r w:rsidRPr="00416E47">
        <w:rPr>
          <w:rFonts w:asciiTheme="minorHAnsi" w:hAnsiTheme="minorHAnsi"/>
          <w:bCs/>
          <w:lang w:val="en-GB"/>
        </w:rPr>
        <w:t>lenalidomide</w:t>
      </w:r>
      <w:proofErr w:type="spellEnd"/>
      <w:r w:rsidRPr="00416E47">
        <w:rPr>
          <w:rFonts w:asciiTheme="minorHAnsi" w:hAnsiTheme="minorHAnsi"/>
          <w:bCs/>
          <w:lang w:val="en-GB"/>
        </w:rPr>
        <w:t xml:space="preserve"> has inferior safety compared to BSC. </w:t>
      </w:r>
    </w:p>
    <w:p w:rsidR="0021580A" w:rsidRDefault="00C1356F" w:rsidP="0021580A">
      <w:pPr>
        <w:pStyle w:val="ListParagraph"/>
        <w:numPr>
          <w:ilvl w:val="0"/>
          <w:numId w:val="14"/>
        </w:numPr>
        <w:spacing w:after="120"/>
        <w:ind w:left="1134" w:hanging="425"/>
        <w:rPr>
          <w:rFonts w:asciiTheme="minorHAnsi" w:hAnsiTheme="minorHAnsi"/>
          <w:bCs/>
          <w:lang w:val="en-GB"/>
        </w:rPr>
      </w:pPr>
      <w:r>
        <w:rPr>
          <w:rFonts w:asciiTheme="minorHAnsi" w:hAnsiTheme="minorHAnsi"/>
          <w:bCs/>
          <w:lang w:val="en-GB"/>
        </w:rPr>
        <w:t xml:space="preserve">For the </w:t>
      </w:r>
      <w:proofErr w:type="spellStart"/>
      <w:r>
        <w:rPr>
          <w:rFonts w:asciiTheme="minorHAnsi" w:hAnsiTheme="minorHAnsi"/>
          <w:bCs/>
          <w:lang w:val="en-GB"/>
        </w:rPr>
        <w:t>lenalidomide</w:t>
      </w:r>
      <w:proofErr w:type="spellEnd"/>
      <w:r>
        <w:rPr>
          <w:rFonts w:asciiTheme="minorHAnsi" w:hAnsiTheme="minorHAnsi"/>
          <w:bCs/>
          <w:lang w:val="en-GB"/>
        </w:rPr>
        <w:t xml:space="preserve"> treatment arm, a</w:t>
      </w:r>
      <w:r w:rsidR="0021580A" w:rsidRPr="00E80689">
        <w:rPr>
          <w:rFonts w:asciiTheme="minorHAnsi" w:hAnsiTheme="minorHAnsi"/>
          <w:bCs/>
          <w:lang w:val="en-GB"/>
        </w:rPr>
        <w:t xml:space="preserve"> considerable proportion of the quality</w:t>
      </w:r>
      <w:r w:rsidR="00D871F5">
        <w:rPr>
          <w:rFonts w:asciiTheme="minorHAnsi" w:hAnsiTheme="minorHAnsi"/>
          <w:bCs/>
          <w:lang w:val="en-GB"/>
        </w:rPr>
        <w:noBreakHyphen/>
      </w:r>
      <w:r w:rsidR="0021580A" w:rsidRPr="00E80689">
        <w:rPr>
          <w:rFonts w:asciiTheme="minorHAnsi" w:hAnsiTheme="minorHAnsi"/>
          <w:bCs/>
          <w:lang w:val="en-GB"/>
        </w:rPr>
        <w:t xml:space="preserve">adjusted life-years (QALYs) </w:t>
      </w:r>
      <w:r w:rsidR="0021580A">
        <w:rPr>
          <w:rFonts w:asciiTheme="minorHAnsi" w:hAnsiTheme="minorHAnsi"/>
          <w:bCs/>
          <w:lang w:val="en-GB"/>
        </w:rPr>
        <w:t>accrued</w:t>
      </w:r>
      <w:r w:rsidR="0021580A" w:rsidRPr="00E80689">
        <w:rPr>
          <w:rFonts w:asciiTheme="minorHAnsi" w:hAnsiTheme="minorHAnsi"/>
          <w:bCs/>
          <w:lang w:val="en-GB"/>
        </w:rPr>
        <w:t xml:space="preserve"> </w:t>
      </w:r>
      <w:r>
        <w:rPr>
          <w:rFonts w:asciiTheme="minorHAnsi" w:hAnsiTheme="minorHAnsi"/>
          <w:bCs/>
          <w:lang w:val="en-GB"/>
        </w:rPr>
        <w:t xml:space="preserve">prior to </w:t>
      </w:r>
      <w:r w:rsidR="0021580A" w:rsidRPr="00E80689">
        <w:rPr>
          <w:rFonts w:asciiTheme="minorHAnsi" w:hAnsiTheme="minorHAnsi"/>
          <w:bCs/>
          <w:lang w:val="en-GB"/>
        </w:rPr>
        <w:t xml:space="preserve">progression </w:t>
      </w:r>
      <w:r>
        <w:rPr>
          <w:rFonts w:asciiTheme="minorHAnsi" w:hAnsiTheme="minorHAnsi"/>
          <w:bCs/>
          <w:lang w:val="en-GB"/>
        </w:rPr>
        <w:t>were from</w:t>
      </w:r>
      <w:r w:rsidR="0021580A" w:rsidRPr="00E80689">
        <w:rPr>
          <w:rFonts w:asciiTheme="minorHAnsi" w:hAnsiTheme="minorHAnsi"/>
          <w:bCs/>
          <w:lang w:val="en-GB"/>
        </w:rPr>
        <w:t xml:space="preserve"> the ‘pre</w:t>
      </w:r>
      <w:r w:rsidR="0021580A" w:rsidRPr="00E80689">
        <w:rPr>
          <w:rFonts w:asciiTheme="minorHAnsi" w:hAnsiTheme="minorHAnsi"/>
          <w:bCs/>
          <w:lang w:val="en-GB"/>
        </w:rPr>
        <w:noBreakHyphen/>
        <w:t xml:space="preserve">progression, off-treatment’ state, which is inconsistent with </w:t>
      </w:r>
      <w:proofErr w:type="spellStart"/>
      <w:r w:rsidR="0021580A" w:rsidRPr="00E80689">
        <w:rPr>
          <w:rFonts w:asciiTheme="minorHAnsi" w:hAnsiTheme="minorHAnsi"/>
          <w:bCs/>
          <w:lang w:val="en-GB"/>
        </w:rPr>
        <w:t>lenalidomide</w:t>
      </w:r>
      <w:proofErr w:type="spellEnd"/>
      <w:r w:rsidR="0021580A" w:rsidRPr="00E80689">
        <w:rPr>
          <w:rFonts w:asciiTheme="minorHAnsi" w:hAnsiTheme="minorHAnsi"/>
          <w:bCs/>
          <w:lang w:val="en-GB"/>
        </w:rPr>
        <w:t xml:space="preserve"> be</w:t>
      </w:r>
      <w:r>
        <w:rPr>
          <w:rFonts w:asciiTheme="minorHAnsi" w:hAnsiTheme="minorHAnsi"/>
          <w:bCs/>
          <w:lang w:val="en-GB"/>
        </w:rPr>
        <w:t>ing</w:t>
      </w:r>
      <w:r w:rsidR="0021580A" w:rsidRPr="00E80689">
        <w:rPr>
          <w:rFonts w:asciiTheme="minorHAnsi" w:hAnsiTheme="minorHAnsi"/>
          <w:bCs/>
          <w:lang w:val="en-GB"/>
        </w:rPr>
        <w:t xml:space="preserve"> used until disease progression. </w:t>
      </w:r>
    </w:p>
    <w:p w:rsidR="00E93FD2" w:rsidRPr="00E93FD2" w:rsidRDefault="00E93FD2" w:rsidP="00E93FD2">
      <w:pPr>
        <w:spacing w:after="120"/>
        <w:rPr>
          <w:rFonts w:asciiTheme="minorHAnsi" w:hAnsiTheme="minorHAnsi"/>
          <w:b/>
          <w:bCs/>
          <w:lang w:val="en-GB"/>
        </w:rPr>
      </w:pPr>
      <w:proofErr w:type="spellStart"/>
      <w:r>
        <w:rPr>
          <w:rFonts w:asciiTheme="minorHAnsi" w:hAnsiTheme="minorHAnsi"/>
          <w:b/>
          <w:bCs/>
          <w:lang w:val="en-GB"/>
        </w:rPr>
        <w:t>Lenalidomide</w:t>
      </w:r>
      <w:proofErr w:type="spellEnd"/>
      <w:r>
        <w:rPr>
          <w:rFonts w:asciiTheme="minorHAnsi" w:hAnsiTheme="minorHAnsi"/>
          <w:b/>
          <w:bCs/>
          <w:lang w:val="en-GB"/>
        </w:rPr>
        <w:t xml:space="preserve"> versus thalidomide</w:t>
      </w:r>
    </w:p>
    <w:p w:rsidR="003A779C" w:rsidRDefault="003A779C" w:rsidP="009A0B10">
      <w:pPr>
        <w:numPr>
          <w:ilvl w:val="1"/>
          <w:numId w:val="2"/>
        </w:numPr>
        <w:spacing w:after="120"/>
        <w:rPr>
          <w:rFonts w:asciiTheme="minorHAnsi" w:hAnsiTheme="minorHAnsi"/>
          <w:bCs/>
          <w:lang w:val="en-GB"/>
        </w:rPr>
      </w:pPr>
      <w:r>
        <w:rPr>
          <w:rFonts w:asciiTheme="minorHAnsi" w:hAnsiTheme="minorHAnsi"/>
          <w:bCs/>
          <w:lang w:val="en-GB"/>
        </w:rPr>
        <w:t xml:space="preserve">The PBAC noted that the indirect comparison of </w:t>
      </w:r>
      <w:proofErr w:type="spellStart"/>
      <w:r>
        <w:rPr>
          <w:rFonts w:asciiTheme="minorHAnsi" w:hAnsiTheme="minorHAnsi"/>
          <w:bCs/>
          <w:lang w:val="en-GB"/>
        </w:rPr>
        <w:t>lenalidomide</w:t>
      </w:r>
      <w:proofErr w:type="spellEnd"/>
      <w:r>
        <w:rPr>
          <w:rFonts w:asciiTheme="minorHAnsi" w:hAnsiTheme="minorHAnsi"/>
          <w:bCs/>
          <w:lang w:val="en-GB"/>
        </w:rPr>
        <w:t xml:space="preserve"> to thalidomide </w:t>
      </w:r>
      <w:r w:rsidR="00A73F6A">
        <w:rPr>
          <w:rFonts w:asciiTheme="minorHAnsi" w:hAnsiTheme="minorHAnsi"/>
          <w:bCs/>
          <w:lang w:val="en-GB"/>
        </w:rPr>
        <w:t>presented in the submission was based on the CALGB and Myeloma IX trials.</w:t>
      </w:r>
      <w:r w:rsidR="008C71EC">
        <w:rPr>
          <w:rFonts w:asciiTheme="minorHAnsi" w:hAnsiTheme="minorHAnsi"/>
          <w:bCs/>
          <w:lang w:val="en-GB"/>
        </w:rPr>
        <w:t xml:space="preserve"> For PFS, </w:t>
      </w:r>
      <w:r w:rsidR="00383888">
        <w:rPr>
          <w:rFonts w:asciiTheme="minorHAnsi" w:hAnsiTheme="minorHAnsi"/>
          <w:bCs/>
          <w:lang w:val="en-GB"/>
        </w:rPr>
        <w:t xml:space="preserve">there was no </w:t>
      </w:r>
      <w:r w:rsidR="008C71EC">
        <w:rPr>
          <w:rFonts w:asciiTheme="minorHAnsi" w:hAnsiTheme="minorHAnsi"/>
          <w:bCs/>
          <w:lang w:val="en-GB"/>
        </w:rPr>
        <w:t>statistically significant</w:t>
      </w:r>
      <w:r w:rsidR="00383888">
        <w:rPr>
          <w:rFonts w:asciiTheme="minorHAnsi" w:hAnsiTheme="minorHAnsi"/>
          <w:bCs/>
          <w:lang w:val="en-GB"/>
        </w:rPr>
        <w:t xml:space="preserve"> difference for the two treatments even when the CALG</w:t>
      </w:r>
      <w:r w:rsidR="008C71EC">
        <w:rPr>
          <w:rFonts w:asciiTheme="minorHAnsi" w:hAnsiTheme="minorHAnsi"/>
          <w:bCs/>
          <w:lang w:val="en-GB"/>
        </w:rPr>
        <w:t>B results were adjusted for cross-over.</w:t>
      </w:r>
      <w:r w:rsidR="00A73F6A">
        <w:rPr>
          <w:rFonts w:asciiTheme="minorHAnsi" w:hAnsiTheme="minorHAnsi"/>
          <w:bCs/>
          <w:lang w:val="en-GB"/>
        </w:rPr>
        <w:t xml:space="preserve"> The impact of thalidomide on OS (i</w:t>
      </w:r>
      <w:r w:rsidR="00D871F5">
        <w:rPr>
          <w:rFonts w:asciiTheme="minorHAnsi" w:hAnsiTheme="minorHAnsi"/>
          <w:bCs/>
          <w:lang w:val="en-GB"/>
        </w:rPr>
        <w:t>.</w:t>
      </w:r>
      <w:r w:rsidR="00A73F6A">
        <w:rPr>
          <w:rFonts w:asciiTheme="minorHAnsi" w:hAnsiTheme="minorHAnsi"/>
          <w:bCs/>
          <w:lang w:val="en-GB"/>
        </w:rPr>
        <w:t>e</w:t>
      </w:r>
      <w:r w:rsidR="00D871F5">
        <w:rPr>
          <w:rFonts w:asciiTheme="minorHAnsi" w:hAnsiTheme="minorHAnsi"/>
          <w:bCs/>
          <w:lang w:val="en-GB"/>
        </w:rPr>
        <w:t>.</w:t>
      </w:r>
      <w:r w:rsidR="00A73F6A">
        <w:rPr>
          <w:rFonts w:asciiTheme="minorHAnsi" w:hAnsiTheme="minorHAnsi"/>
          <w:bCs/>
          <w:lang w:val="en-GB"/>
        </w:rPr>
        <w:t xml:space="preserve"> the OS HR) was</w:t>
      </w:r>
      <w:r>
        <w:rPr>
          <w:rFonts w:asciiTheme="minorHAnsi" w:hAnsiTheme="minorHAnsi"/>
          <w:bCs/>
          <w:lang w:val="en-GB"/>
        </w:rPr>
        <w:t xml:space="preserve"> derived </w:t>
      </w:r>
      <w:r w:rsidR="00383888">
        <w:rPr>
          <w:rFonts w:asciiTheme="minorHAnsi" w:hAnsiTheme="minorHAnsi"/>
          <w:bCs/>
          <w:lang w:val="en-GB"/>
        </w:rPr>
        <w:t xml:space="preserve">from </w:t>
      </w:r>
      <w:r>
        <w:rPr>
          <w:rFonts w:asciiTheme="minorHAnsi" w:hAnsiTheme="minorHAnsi"/>
          <w:bCs/>
          <w:lang w:val="en-GB"/>
        </w:rPr>
        <w:t xml:space="preserve">the </w:t>
      </w:r>
      <w:r w:rsidR="002C77AA">
        <w:rPr>
          <w:rFonts w:asciiTheme="minorHAnsi" w:hAnsiTheme="minorHAnsi"/>
          <w:bCs/>
          <w:lang w:val="en-GB"/>
        </w:rPr>
        <w:t>proportion alive at 3 years and assuming exponential distribution</w:t>
      </w:r>
      <w:r w:rsidR="008C71EC">
        <w:rPr>
          <w:rFonts w:asciiTheme="minorHAnsi" w:hAnsiTheme="minorHAnsi"/>
          <w:bCs/>
          <w:lang w:val="en-GB"/>
        </w:rPr>
        <w:t>. The PBAC considered this approach to be unreliable</w:t>
      </w:r>
      <w:r>
        <w:rPr>
          <w:rFonts w:asciiTheme="minorHAnsi" w:hAnsiTheme="minorHAnsi"/>
          <w:bCs/>
          <w:lang w:val="en-GB"/>
        </w:rPr>
        <w:t xml:space="preserve"> and inadequately justified</w:t>
      </w:r>
      <w:r w:rsidR="008C71EC">
        <w:rPr>
          <w:rFonts w:asciiTheme="minorHAnsi" w:hAnsiTheme="minorHAnsi"/>
          <w:bCs/>
          <w:lang w:val="en-GB"/>
        </w:rPr>
        <w:t xml:space="preserve"> given the availability of alternative data sources</w:t>
      </w:r>
      <w:r>
        <w:rPr>
          <w:rFonts w:asciiTheme="minorHAnsi" w:hAnsiTheme="minorHAnsi"/>
          <w:bCs/>
          <w:lang w:val="en-GB"/>
        </w:rPr>
        <w:t>.</w:t>
      </w:r>
      <w:r w:rsidR="008C71EC">
        <w:rPr>
          <w:rFonts w:asciiTheme="minorHAnsi" w:hAnsiTheme="minorHAnsi"/>
          <w:bCs/>
          <w:lang w:val="en-GB"/>
        </w:rPr>
        <w:t xml:space="preserve"> On the basis of the analysis presented</w:t>
      </w:r>
      <w:r w:rsidR="00383888">
        <w:rPr>
          <w:rFonts w:asciiTheme="minorHAnsi" w:hAnsiTheme="minorHAnsi"/>
          <w:bCs/>
          <w:lang w:val="en-GB"/>
        </w:rPr>
        <w:t>,</w:t>
      </w:r>
      <w:r w:rsidR="008C71EC">
        <w:rPr>
          <w:rFonts w:asciiTheme="minorHAnsi" w:hAnsiTheme="minorHAnsi"/>
          <w:bCs/>
          <w:lang w:val="en-GB"/>
        </w:rPr>
        <w:t xml:space="preserve"> the submission </w:t>
      </w:r>
      <w:r w:rsidR="00383888">
        <w:rPr>
          <w:rFonts w:asciiTheme="minorHAnsi" w:hAnsiTheme="minorHAnsi"/>
          <w:bCs/>
          <w:lang w:val="en-GB"/>
        </w:rPr>
        <w:t>claimed</w:t>
      </w:r>
      <w:r w:rsidR="008C71EC">
        <w:rPr>
          <w:rFonts w:asciiTheme="minorHAnsi" w:hAnsiTheme="minorHAnsi"/>
          <w:bCs/>
          <w:lang w:val="en-GB"/>
        </w:rPr>
        <w:t xml:space="preserve"> a statistically significant improvement in OS with </w:t>
      </w:r>
      <w:proofErr w:type="spellStart"/>
      <w:r w:rsidR="008C71EC">
        <w:rPr>
          <w:rFonts w:asciiTheme="minorHAnsi" w:hAnsiTheme="minorHAnsi"/>
          <w:bCs/>
          <w:lang w:val="en-GB"/>
        </w:rPr>
        <w:t>lenalidomide</w:t>
      </w:r>
      <w:proofErr w:type="spellEnd"/>
      <w:r w:rsidR="008C71EC">
        <w:rPr>
          <w:rFonts w:asciiTheme="minorHAnsi" w:hAnsiTheme="minorHAnsi"/>
          <w:bCs/>
          <w:lang w:val="en-GB"/>
        </w:rPr>
        <w:t xml:space="preserve"> compared with thalidomide maintenance. T</w:t>
      </w:r>
      <w:r>
        <w:rPr>
          <w:rFonts w:asciiTheme="minorHAnsi" w:hAnsiTheme="minorHAnsi"/>
          <w:bCs/>
          <w:lang w:val="en-GB"/>
        </w:rPr>
        <w:t xml:space="preserve">he PBAC considered that it was </w:t>
      </w:r>
      <w:r w:rsidR="005A19E5">
        <w:rPr>
          <w:rFonts w:asciiTheme="minorHAnsi" w:hAnsiTheme="minorHAnsi"/>
          <w:bCs/>
          <w:lang w:val="en-GB"/>
        </w:rPr>
        <w:t xml:space="preserve">implausible that </w:t>
      </w:r>
      <w:proofErr w:type="spellStart"/>
      <w:r w:rsidR="005A19E5">
        <w:rPr>
          <w:rFonts w:asciiTheme="minorHAnsi" w:hAnsiTheme="minorHAnsi"/>
          <w:bCs/>
          <w:lang w:val="en-GB"/>
        </w:rPr>
        <w:t>len</w:t>
      </w:r>
      <w:r>
        <w:rPr>
          <w:rFonts w:asciiTheme="minorHAnsi" w:hAnsiTheme="minorHAnsi"/>
          <w:bCs/>
          <w:lang w:val="en-GB"/>
        </w:rPr>
        <w:t>alidomide</w:t>
      </w:r>
      <w:proofErr w:type="spellEnd"/>
      <w:r w:rsidR="005A19E5">
        <w:rPr>
          <w:rFonts w:asciiTheme="minorHAnsi" w:hAnsiTheme="minorHAnsi"/>
          <w:bCs/>
          <w:lang w:val="en-GB"/>
        </w:rPr>
        <w:t xml:space="preserve"> would </w:t>
      </w:r>
      <w:r w:rsidR="008C71EC">
        <w:rPr>
          <w:rFonts w:asciiTheme="minorHAnsi" w:hAnsiTheme="minorHAnsi"/>
          <w:bCs/>
          <w:lang w:val="en-GB"/>
        </w:rPr>
        <w:t xml:space="preserve">increase </w:t>
      </w:r>
      <w:r w:rsidR="005A19E5">
        <w:rPr>
          <w:rFonts w:asciiTheme="minorHAnsi" w:hAnsiTheme="minorHAnsi"/>
          <w:bCs/>
          <w:lang w:val="en-GB"/>
        </w:rPr>
        <w:t>OS</w:t>
      </w:r>
      <w:r w:rsidR="00383888">
        <w:rPr>
          <w:rFonts w:asciiTheme="minorHAnsi" w:hAnsiTheme="minorHAnsi"/>
          <w:bCs/>
          <w:lang w:val="en-GB"/>
        </w:rPr>
        <w:t xml:space="preserve"> compared with thalidomide,</w:t>
      </w:r>
      <w:r w:rsidR="005A19E5">
        <w:rPr>
          <w:rFonts w:asciiTheme="minorHAnsi" w:hAnsiTheme="minorHAnsi"/>
          <w:bCs/>
          <w:lang w:val="en-GB"/>
        </w:rPr>
        <w:t xml:space="preserve"> but </w:t>
      </w:r>
      <w:r w:rsidR="008C71EC">
        <w:rPr>
          <w:rFonts w:asciiTheme="minorHAnsi" w:hAnsiTheme="minorHAnsi"/>
          <w:bCs/>
          <w:lang w:val="en-GB"/>
        </w:rPr>
        <w:t xml:space="preserve">have </w:t>
      </w:r>
      <w:r w:rsidR="005A19E5">
        <w:rPr>
          <w:rFonts w:asciiTheme="minorHAnsi" w:hAnsiTheme="minorHAnsi"/>
          <w:bCs/>
          <w:lang w:val="en-GB"/>
        </w:rPr>
        <w:t xml:space="preserve">no </w:t>
      </w:r>
      <w:r w:rsidR="00E80689">
        <w:rPr>
          <w:rFonts w:asciiTheme="minorHAnsi" w:hAnsiTheme="minorHAnsi"/>
          <w:bCs/>
          <w:lang w:val="en-GB"/>
        </w:rPr>
        <w:t xml:space="preserve">impact on </w:t>
      </w:r>
      <w:r w:rsidR="005A19E5">
        <w:rPr>
          <w:rFonts w:asciiTheme="minorHAnsi" w:hAnsiTheme="minorHAnsi"/>
          <w:bCs/>
          <w:lang w:val="en-GB"/>
        </w:rPr>
        <w:t>PFS, esp</w:t>
      </w:r>
      <w:r>
        <w:rPr>
          <w:rFonts w:asciiTheme="minorHAnsi" w:hAnsiTheme="minorHAnsi"/>
          <w:bCs/>
          <w:lang w:val="en-GB"/>
        </w:rPr>
        <w:t>ecially</w:t>
      </w:r>
      <w:r w:rsidR="005A19E5">
        <w:rPr>
          <w:rFonts w:asciiTheme="minorHAnsi" w:hAnsiTheme="minorHAnsi"/>
          <w:bCs/>
          <w:lang w:val="en-GB"/>
        </w:rPr>
        <w:t xml:space="preserve"> in the context of maintenance therapy where the aim of treatment is to extend </w:t>
      </w:r>
      <w:r>
        <w:rPr>
          <w:rFonts w:asciiTheme="minorHAnsi" w:hAnsiTheme="minorHAnsi"/>
          <w:bCs/>
          <w:lang w:val="en-GB"/>
        </w:rPr>
        <w:t>the</w:t>
      </w:r>
      <w:r w:rsidR="005A19E5">
        <w:rPr>
          <w:rFonts w:asciiTheme="minorHAnsi" w:hAnsiTheme="minorHAnsi"/>
          <w:bCs/>
          <w:lang w:val="en-GB"/>
        </w:rPr>
        <w:t xml:space="preserve"> period</w:t>
      </w:r>
      <w:r>
        <w:rPr>
          <w:rFonts w:asciiTheme="minorHAnsi" w:hAnsiTheme="minorHAnsi"/>
          <w:bCs/>
          <w:lang w:val="en-GB"/>
        </w:rPr>
        <w:t xml:space="preserve"> of time in the progression-free state</w:t>
      </w:r>
      <w:r w:rsidR="005A19E5">
        <w:rPr>
          <w:rFonts w:asciiTheme="minorHAnsi" w:hAnsiTheme="minorHAnsi"/>
          <w:bCs/>
          <w:lang w:val="en-GB"/>
        </w:rPr>
        <w:t xml:space="preserve">. </w:t>
      </w:r>
    </w:p>
    <w:p w:rsidR="00671376" w:rsidRPr="00D17A82" w:rsidRDefault="0021580A" w:rsidP="00671376">
      <w:pPr>
        <w:pStyle w:val="ListParagraph"/>
        <w:numPr>
          <w:ilvl w:val="1"/>
          <w:numId w:val="2"/>
        </w:numPr>
      </w:pPr>
      <w:r>
        <w:rPr>
          <w:rFonts w:asciiTheme="minorHAnsi" w:hAnsiTheme="minorHAnsi"/>
          <w:bCs/>
          <w:lang w:val="en-GB"/>
        </w:rPr>
        <w:t>The PBAC noted two other potentially relevant trials</w:t>
      </w:r>
      <w:r w:rsidR="00AE25AA">
        <w:rPr>
          <w:rFonts w:asciiTheme="minorHAnsi" w:hAnsiTheme="minorHAnsi"/>
          <w:bCs/>
          <w:lang w:val="en-GB"/>
        </w:rPr>
        <w:t xml:space="preserve"> identified during the evaluation</w:t>
      </w:r>
      <w:r>
        <w:rPr>
          <w:rFonts w:asciiTheme="minorHAnsi" w:hAnsiTheme="minorHAnsi"/>
          <w:bCs/>
          <w:lang w:val="en-GB"/>
        </w:rPr>
        <w:t xml:space="preserve"> (MM6 and Myeloma X)</w:t>
      </w:r>
      <w:r w:rsidR="00383888">
        <w:rPr>
          <w:rFonts w:asciiTheme="minorHAnsi" w:hAnsiTheme="minorHAnsi"/>
          <w:bCs/>
          <w:lang w:val="en-GB"/>
        </w:rPr>
        <w:t>,</w:t>
      </w:r>
      <w:r>
        <w:rPr>
          <w:rFonts w:asciiTheme="minorHAnsi" w:hAnsiTheme="minorHAnsi"/>
          <w:bCs/>
          <w:lang w:val="en-GB"/>
        </w:rPr>
        <w:t xml:space="preserve"> which were excluded by the submission</w:t>
      </w:r>
      <w:r w:rsidR="00383888">
        <w:rPr>
          <w:rFonts w:asciiTheme="minorHAnsi" w:hAnsiTheme="minorHAnsi"/>
          <w:bCs/>
          <w:lang w:val="en-GB"/>
        </w:rPr>
        <w:t>,</w:t>
      </w:r>
      <w:r>
        <w:rPr>
          <w:rFonts w:asciiTheme="minorHAnsi" w:hAnsiTheme="minorHAnsi"/>
          <w:bCs/>
          <w:lang w:val="en-GB"/>
        </w:rPr>
        <w:t xml:space="preserve"> demonstrated a statistically significant benefit for thalidomide over BSC in PFS and</w:t>
      </w:r>
      <w:r w:rsidR="00671376">
        <w:rPr>
          <w:rFonts w:asciiTheme="minorHAnsi" w:hAnsiTheme="minorHAnsi"/>
          <w:bCs/>
          <w:lang w:val="en-GB"/>
        </w:rPr>
        <w:t xml:space="preserve"> for MM6 in</w:t>
      </w:r>
      <w:r>
        <w:rPr>
          <w:rFonts w:asciiTheme="minorHAnsi" w:hAnsiTheme="minorHAnsi"/>
          <w:bCs/>
          <w:lang w:val="en-GB"/>
        </w:rPr>
        <w:t xml:space="preserve"> OS. </w:t>
      </w:r>
      <w:r w:rsidR="00671376">
        <w:rPr>
          <w:rFonts w:asciiTheme="minorHAnsi" w:hAnsiTheme="minorHAnsi"/>
          <w:bCs/>
          <w:lang w:val="en-GB"/>
        </w:rPr>
        <w:t xml:space="preserve">The PBAC further noted </w:t>
      </w:r>
      <w:r w:rsidR="00671376">
        <w:t>the 2012 IMWG consensus paper for maintenance therapy in MM included 7 thalidomide trials.</w:t>
      </w:r>
    </w:p>
    <w:p w:rsidR="0021580A" w:rsidRDefault="0021580A" w:rsidP="007F51BC">
      <w:pPr>
        <w:pStyle w:val="ListParagraph"/>
        <w:widowControl/>
        <w:numPr>
          <w:ilvl w:val="1"/>
          <w:numId w:val="2"/>
        </w:numPr>
        <w:spacing w:after="120"/>
        <w:rPr>
          <w:rFonts w:asciiTheme="minorHAnsi" w:hAnsiTheme="minorHAnsi"/>
          <w:bCs/>
          <w:lang w:val="en-GB"/>
        </w:rPr>
      </w:pPr>
      <w:r w:rsidRPr="00383888">
        <w:rPr>
          <w:rFonts w:cs="Calibri"/>
          <w:snapToGrid/>
          <w:szCs w:val="24"/>
          <w:lang w:val="en-US" w:eastAsia="en-AU"/>
        </w:rPr>
        <w:t xml:space="preserve">The PBAC considered that MM6 was a relevant trial, although noted it was conducted during an earlier time period compared with the </w:t>
      </w:r>
      <w:proofErr w:type="spellStart"/>
      <w:r w:rsidRPr="00383888">
        <w:rPr>
          <w:rFonts w:cs="Calibri"/>
          <w:snapToGrid/>
          <w:szCs w:val="24"/>
          <w:lang w:val="en-US" w:eastAsia="en-AU"/>
        </w:rPr>
        <w:t>lenalidomide</w:t>
      </w:r>
      <w:proofErr w:type="spellEnd"/>
      <w:r w:rsidRPr="00383888">
        <w:rPr>
          <w:rFonts w:cs="Calibri"/>
          <w:snapToGrid/>
          <w:szCs w:val="24"/>
          <w:lang w:val="en-US" w:eastAsia="en-AU"/>
        </w:rPr>
        <w:t xml:space="preserve"> maintenance trials</w:t>
      </w:r>
      <w:r w:rsidR="00383888" w:rsidRPr="00383888">
        <w:rPr>
          <w:rFonts w:cs="Calibri"/>
          <w:snapToGrid/>
          <w:szCs w:val="24"/>
          <w:lang w:val="en-US" w:eastAsia="en-AU"/>
        </w:rPr>
        <w:t>.</w:t>
      </w:r>
      <w:r w:rsidRPr="00383888">
        <w:rPr>
          <w:rFonts w:cs="Calibri"/>
          <w:snapToGrid/>
          <w:szCs w:val="24"/>
          <w:lang w:val="en-US" w:eastAsia="en-AU"/>
        </w:rPr>
        <w:t xml:space="preserve"> </w:t>
      </w:r>
      <w:r w:rsidR="00383888" w:rsidRPr="00383888">
        <w:rPr>
          <w:rFonts w:cs="Calibri"/>
          <w:snapToGrid/>
          <w:szCs w:val="24"/>
          <w:lang w:val="en-US" w:eastAsia="en-AU"/>
        </w:rPr>
        <w:t>The PBAC further</w:t>
      </w:r>
      <w:r w:rsidRPr="00383888">
        <w:rPr>
          <w:rFonts w:cs="Calibri"/>
          <w:snapToGrid/>
          <w:szCs w:val="24"/>
          <w:lang w:val="en-US" w:eastAsia="en-AU"/>
        </w:rPr>
        <w:t xml:space="preserve"> considered that substantial changes in patient care over this time, including </w:t>
      </w:r>
      <w:r w:rsidR="00383888" w:rsidRPr="00383888">
        <w:rPr>
          <w:rFonts w:cs="Calibri"/>
          <w:snapToGrid/>
          <w:szCs w:val="24"/>
          <w:lang w:val="en-US" w:eastAsia="en-AU"/>
        </w:rPr>
        <w:t xml:space="preserve">differences in </w:t>
      </w:r>
      <w:r w:rsidRPr="00383888">
        <w:rPr>
          <w:rFonts w:cs="Calibri"/>
          <w:snapToGrid/>
          <w:szCs w:val="24"/>
          <w:lang w:val="en-US" w:eastAsia="en-AU"/>
        </w:rPr>
        <w:t xml:space="preserve">the induction regimens used, complicate the interpretation of the comparison with the </w:t>
      </w:r>
      <w:proofErr w:type="spellStart"/>
      <w:r w:rsidRPr="00383888">
        <w:rPr>
          <w:rFonts w:cs="Calibri"/>
          <w:snapToGrid/>
          <w:szCs w:val="24"/>
          <w:lang w:val="en-US" w:eastAsia="en-AU"/>
        </w:rPr>
        <w:t>lenalidomide</w:t>
      </w:r>
      <w:proofErr w:type="spellEnd"/>
      <w:r w:rsidRPr="00383888">
        <w:rPr>
          <w:rFonts w:cs="Calibri"/>
          <w:snapToGrid/>
          <w:szCs w:val="24"/>
          <w:lang w:val="en-US" w:eastAsia="en-AU"/>
        </w:rPr>
        <w:t xml:space="preserve"> results. However, the PBAC noted that the relative improvements in PFS and OS with thalidomide in MM6 were similar to those observed with </w:t>
      </w:r>
      <w:proofErr w:type="spellStart"/>
      <w:r w:rsidRPr="00383888">
        <w:rPr>
          <w:rFonts w:cs="Calibri"/>
          <w:snapToGrid/>
          <w:szCs w:val="24"/>
          <w:lang w:val="en-US" w:eastAsia="en-AU"/>
        </w:rPr>
        <w:t>lenalidomide</w:t>
      </w:r>
      <w:proofErr w:type="spellEnd"/>
      <w:r w:rsidRPr="00383888">
        <w:rPr>
          <w:rFonts w:cs="Calibri"/>
          <w:snapToGrid/>
          <w:szCs w:val="24"/>
          <w:lang w:val="en-US" w:eastAsia="en-AU"/>
        </w:rPr>
        <w:t xml:space="preserve"> with CALBG. </w:t>
      </w:r>
    </w:p>
    <w:p w:rsidR="00383888" w:rsidRDefault="005A19E5" w:rsidP="009A0B10">
      <w:pPr>
        <w:numPr>
          <w:ilvl w:val="1"/>
          <w:numId w:val="2"/>
        </w:numPr>
        <w:spacing w:after="120"/>
        <w:rPr>
          <w:rFonts w:asciiTheme="minorHAnsi" w:hAnsiTheme="minorHAnsi"/>
          <w:bCs/>
          <w:lang w:val="en-GB"/>
        </w:rPr>
      </w:pPr>
      <w:r>
        <w:rPr>
          <w:rFonts w:asciiTheme="minorHAnsi" w:hAnsiTheme="minorHAnsi"/>
          <w:bCs/>
          <w:lang w:val="en-GB"/>
        </w:rPr>
        <w:t>On balance</w:t>
      </w:r>
      <w:r w:rsidR="003A779C">
        <w:rPr>
          <w:rFonts w:asciiTheme="minorHAnsi" w:hAnsiTheme="minorHAnsi"/>
          <w:bCs/>
          <w:lang w:val="en-GB"/>
        </w:rPr>
        <w:t>, the PBAC considered that the</w:t>
      </w:r>
      <w:r>
        <w:rPr>
          <w:rFonts w:asciiTheme="minorHAnsi" w:hAnsiTheme="minorHAnsi"/>
          <w:bCs/>
          <w:lang w:val="en-GB"/>
        </w:rPr>
        <w:t xml:space="preserve"> evidence was insufficient to </w:t>
      </w:r>
      <w:r w:rsidR="00383888">
        <w:rPr>
          <w:rFonts w:asciiTheme="minorHAnsi" w:hAnsiTheme="minorHAnsi"/>
          <w:bCs/>
          <w:lang w:val="en-GB"/>
        </w:rPr>
        <w:t xml:space="preserve">support </w:t>
      </w:r>
      <w:r>
        <w:rPr>
          <w:rFonts w:asciiTheme="minorHAnsi" w:hAnsiTheme="minorHAnsi"/>
          <w:bCs/>
          <w:lang w:val="en-GB"/>
        </w:rPr>
        <w:t>a claim of superior efficacy</w:t>
      </w:r>
      <w:r w:rsidR="003A779C">
        <w:rPr>
          <w:rFonts w:asciiTheme="minorHAnsi" w:hAnsiTheme="minorHAnsi"/>
          <w:bCs/>
          <w:lang w:val="en-GB"/>
        </w:rPr>
        <w:t xml:space="preserve"> for </w:t>
      </w:r>
      <w:proofErr w:type="spellStart"/>
      <w:r w:rsidR="003A779C">
        <w:rPr>
          <w:rFonts w:asciiTheme="minorHAnsi" w:hAnsiTheme="minorHAnsi"/>
          <w:bCs/>
          <w:lang w:val="en-GB"/>
        </w:rPr>
        <w:t>lenalidomide</w:t>
      </w:r>
      <w:proofErr w:type="spellEnd"/>
      <w:r w:rsidR="003A779C">
        <w:rPr>
          <w:rFonts w:asciiTheme="minorHAnsi" w:hAnsiTheme="minorHAnsi"/>
          <w:bCs/>
          <w:lang w:val="en-GB"/>
        </w:rPr>
        <w:t xml:space="preserve"> compared to thalidomide, and that a claim on non-inferiority may be more appropriate</w:t>
      </w:r>
      <w:r>
        <w:rPr>
          <w:rFonts w:asciiTheme="minorHAnsi" w:hAnsiTheme="minorHAnsi"/>
          <w:bCs/>
          <w:lang w:val="en-GB"/>
        </w:rPr>
        <w:t xml:space="preserve">. </w:t>
      </w:r>
    </w:p>
    <w:p w:rsidR="009A0B10" w:rsidRDefault="003A779C" w:rsidP="009A0B10">
      <w:pPr>
        <w:numPr>
          <w:ilvl w:val="1"/>
          <w:numId w:val="2"/>
        </w:numPr>
        <w:spacing w:after="120"/>
        <w:rPr>
          <w:rFonts w:asciiTheme="minorHAnsi" w:hAnsiTheme="minorHAnsi"/>
          <w:bCs/>
          <w:lang w:val="en-GB"/>
        </w:rPr>
      </w:pPr>
      <w:r>
        <w:rPr>
          <w:rFonts w:asciiTheme="minorHAnsi" w:hAnsiTheme="minorHAnsi"/>
          <w:bCs/>
          <w:lang w:val="en-GB"/>
        </w:rPr>
        <w:t>The PBAC considered that the c</w:t>
      </w:r>
      <w:r w:rsidR="005A19E5">
        <w:rPr>
          <w:rFonts w:asciiTheme="minorHAnsi" w:hAnsiTheme="minorHAnsi"/>
          <w:bCs/>
          <w:lang w:val="en-GB"/>
        </w:rPr>
        <w:t xml:space="preserve">laim of different safety may be reasonable, noting that while there is a strong patient preference for the </w:t>
      </w:r>
      <w:r w:rsidR="008A7F91">
        <w:rPr>
          <w:rFonts w:asciiTheme="minorHAnsi" w:hAnsiTheme="minorHAnsi"/>
          <w:bCs/>
          <w:lang w:val="en-GB"/>
        </w:rPr>
        <w:t>lower</w:t>
      </w:r>
      <w:r w:rsidR="00CE26F0">
        <w:rPr>
          <w:rFonts w:asciiTheme="minorHAnsi" w:hAnsiTheme="minorHAnsi"/>
          <w:bCs/>
          <w:lang w:val="en-GB"/>
        </w:rPr>
        <w:t xml:space="preserve"> rates of</w:t>
      </w:r>
      <w:r w:rsidR="005A19E5">
        <w:rPr>
          <w:rFonts w:asciiTheme="minorHAnsi" w:hAnsiTheme="minorHAnsi"/>
          <w:bCs/>
          <w:lang w:val="en-GB"/>
        </w:rPr>
        <w:t xml:space="preserve"> peripheral neuropathy </w:t>
      </w:r>
      <w:r w:rsidR="008A7F91">
        <w:rPr>
          <w:rFonts w:asciiTheme="minorHAnsi" w:hAnsiTheme="minorHAnsi"/>
          <w:bCs/>
          <w:lang w:val="en-GB"/>
        </w:rPr>
        <w:t xml:space="preserve">experienced </w:t>
      </w:r>
      <w:r w:rsidR="005A19E5">
        <w:rPr>
          <w:rFonts w:asciiTheme="minorHAnsi" w:hAnsiTheme="minorHAnsi"/>
          <w:bCs/>
          <w:lang w:val="en-GB"/>
        </w:rPr>
        <w:t xml:space="preserve">with </w:t>
      </w:r>
      <w:proofErr w:type="spellStart"/>
      <w:r w:rsidR="005A19E5">
        <w:rPr>
          <w:rFonts w:asciiTheme="minorHAnsi" w:hAnsiTheme="minorHAnsi"/>
          <w:bCs/>
          <w:lang w:val="en-GB"/>
        </w:rPr>
        <w:t>len</w:t>
      </w:r>
      <w:r w:rsidR="008A7F91">
        <w:rPr>
          <w:rFonts w:asciiTheme="minorHAnsi" w:hAnsiTheme="minorHAnsi"/>
          <w:bCs/>
          <w:lang w:val="en-GB"/>
        </w:rPr>
        <w:t>alidomide</w:t>
      </w:r>
      <w:proofErr w:type="spellEnd"/>
      <w:r w:rsidR="008A7F91">
        <w:rPr>
          <w:rFonts w:asciiTheme="minorHAnsi" w:hAnsiTheme="minorHAnsi"/>
          <w:bCs/>
          <w:lang w:val="en-GB"/>
        </w:rPr>
        <w:t xml:space="preserve"> when compared to thalidomide, </w:t>
      </w:r>
      <w:proofErr w:type="spellStart"/>
      <w:r w:rsidR="008A7F91">
        <w:rPr>
          <w:rFonts w:asciiTheme="minorHAnsi" w:hAnsiTheme="minorHAnsi"/>
          <w:bCs/>
          <w:lang w:val="en-GB"/>
        </w:rPr>
        <w:t>lenalidomide</w:t>
      </w:r>
      <w:proofErr w:type="spellEnd"/>
      <w:r w:rsidR="008A7F91">
        <w:rPr>
          <w:rFonts w:asciiTheme="minorHAnsi" w:hAnsiTheme="minorHAnsi"/>
          <w:bCs/>
          <w:lang w:val="en-GB"/>
        </w:rPr>
        <w:t xml:space="preserve"> is associated with </w:t>
      </w:r>
      <w:r w:rsidR="008E79D9">
        <w:rPr>
          <w:rFonts w:asciiTheme="minorHAnsi" w:hAnsiTheme="minorHAnsi"/>
          <w:bCs/>
          <w:lang w:val="en-GB"/>
        </w:rPr>
        <w:t xml:space="preserve">other toxicities such as neutropenia and </w:t>
      </w:r>
      <w:r w:rsidR="008A7F91">
        <w:rPr>
          <w:rFonts w:asciiTheme="minorHAnsi" w:hAnsiTheme="minorHAnsi"/>
          <w:bCs/>
          <w:lang w:val="en-GB"/>
        </w:rPr>
        <w:t>a</w:t>
      </w:r>
      <w:r w:rsidR="005A19E5">
        <w:rPr>
          <w:rFonts w:asciiTheme="minorHAnsi" w:hAnsiTheme="minorHAnsi"/>
          <w:bCs/>
          <w:lang w:val="en-GB"/>
        </w:rPr>
        <w:t xml:space="preserve"> higher risk of irreversible and potentially fatal </w:t>
      </w:r>
      <w:r w:rsidR="008A7F91">
        <w:rPr>
          <w:rFonts w:asciiTheme="minorHAnsi" w:hAnsiTheme="minorHAnsi"/>
          <w:bCs/>
          <w:lang w:val="en-GB"/>
        </w:rPr>
        <w:t>secondary primary malignancy</w:t>
      </w:r>
      <w:r w:rsidR="005A19E5">
        <w:rPr>
          <w:rFonts w:asciiTheme="minorHAnsi" w:hAnsiTheme="minorHAnsi"/>
          <w:bCs/>
          <w:lang w:val="en-GB"/>
        </w:rPr>
        <w:t>.</w:t>
      </w:r>
    </w:p>
    <w:p w:rsidR="005A19E5" w:rsidRDefault="008A7F91" w:rsidP="009A0B10">
      <w:pPr>
        <w:numPr>
          <w:ilvl w:val="1"/>
          <w:numId w:val="2"/>
        </w:numPr>
        <w:spacing w:after="120"/>
        <w:rPr>
          <w:rFonts w:asciiTheme="minorHAnsi" w:hAnsiTheme="minorHAnsi"/>
          <w:bCs/>
          <w:lang w:val="en-GB"/>
        </w:rPr>
      </w:pPr>
      <w:r>
        <w:rPr>
          <w:rFonts w:asciiTheme="minorHAnsi" w:hAnsiTheme="minorHAnsi"/>
          <w:bCs/>
          <w:lang w:val="en-GB"/>
        </w:rPr>
        <w:t>The PBAC considered</w:t>
      </w:r>
      <w:r w:rsidR="006F7DEA">
        <w:rPr>
          <w:rFonts w:asciiTheme="minorHAnsi" w:hAnsiTheme="minorHAnsi"/>
          <w:bCs/>
          <w:lang w:val="en-GB"/>
        </w:rPr>
        <w:t>,</w:t>
      </w:r>
      <w:r>
        <w:rPr>
          <w:rFonts w:asciiTheme="minorHAnsi" w:hAnsiTheme="minorHAnsi"/>
          <w:bCs/>
          <w:lang w:val="en-GB"/>
        </w:rPr>
        <w:t xml:space="preserve"> </w:t>
      </w:r>
      <w:r w:rsidR="00CE26F0">
        <w:rPr>
          <w:rFonts w:asciiTheme="minorHAnsi" w:hAnsiTheme="minorHAnsi"/>
          <w:bCs/>
          <w:lang w:val="en-GB"/>
        </w:rPr>
        <w:t>given</w:t>
      </w:r>
      <w:r>
        <w:rPr>
          <w:rFonts w:asciiTheme="minorHAnsi" w:hAnsiTheme="minorHAnsi"/>
          <w:bCs/>
          <w:lang w:val="en-GB"/>
        </w:rPr>
        <w:t xml:space="preserve"> the claim of </w:t>
      </w:r>
      <w:r w:rsidR="005A19E5">
        <w:rPr>
          <w:rFonts w:asciiTheme="minorHAnsi" w:hAnsiTheme="minorHAnsi"/>
          <w:bCs/>
          <w:lang w:val="en-GB"/>
        </w:rPr>
        <w:t xml:space="preserve">superior efficacy </w:t>
      </w:r>
      <w:r>
        <w:rPr>
          <w:rFonts w:asciiTheme="minorHAnsi" w:hAnsiTheme="minorHAnsi"/>
          <w:bCs/>
          <w:lang w:val="en-GB"/>
        </w:rPr>
        <w:t xml:space="preserve">for </w:t>
      </w:r>
      <w:proofErr w:type="spellStart"/>
      <w:r>
        <w:rPr>
          <w:rFonts w:asciiTheme="minorHAnsi" w:hAnsiTheme="minorHAnsi"/>
          <w:bCs/>
          <w:lang w:val="en-GB"/>
        </w:rPr>
        <w:t>lenalidomide</w:t>
      </w:r>
      <w:proofErr w:type="spellEnd"/>
      <w:r>
        <w:rPr>
          <w:rFonts w:asciiTheme="minorHAnsi" w:hAnsiTheme="minorHAnsi"/>
          <w:bCs/>
          <w:lang w:val="en-GB"/>
        </w:rPr>
        <w:t xml:space="preserve"> compared to thalidomide </w:t>
      </w:r>
      <w:r w:rsidR="00CE26F0">
        <w:rPr>
          <w:rFonts w:asciiTheme="minorHAnsi" w:hAnsiTheme="minorHAnsi"/>
          <w:bCs/>
          <w:lang w:val="en-GB"/>
        </w:rPr>
        <w:t>was</w:t>
      </w:r>
      <w:r>
        <w:rPr>
          <w:rFonts w:asciiTheme="minorHAnsi" w:hAnsiTheme="minorHAnsi"/>
          <w:bCs/>
          <w:lang w:val="en-GB"/>
        </w:rPr>
        <w:t xml:space="preserve"> </w:t>
      </w:r>
      <w:r w:rsidR="00416E47">
        <w:rPr>
          <w:rFonts w:asciiTheme="minorHAnsi" w:hAnsiTheme="minorHAnsi"/>
          <w:bCs/>
          <w:lang w:val="en-GB"/>
        </w:rPr>
        <w:t xml:space="preserve">inadequately </w:t>
      </w:r>
      <w:r>
        <w:rPr>
          <w:rFonts w:asciiTheme="minorHAnsi" w:hAnsiTheme="minorHAnsi"/>
          <w:bCs/>
          <w:lang w:val="en-GB"/>
        </w:rPr>
        <w:t>supported</w:t>
      </w:r>
      <w:r w:rsidR="00CE26F0">
        <w:rPr>
          <w:rFonts w:asciiTheme="minorHAnsi" w:hAnsiTheme="minorHAnsi"/>
          <w:bCs/>
          <w:lang w:val="en-GB"/>
        </w:rPr>
        <w:t xml:space="preserve"> by the evidence presented</w:t>
      </w:r>
      <w:r>
        <w:rPr>
          <w:rFonts w:asciiTheme="minorHAnsi" w:hAnsiTheme="minorHAnsi"/>
          <w:bCs/>
          <w:lang w:val="en-GB"/>
        </w:rPr>
        <w:t xml:space="preserve">, </w:t>
      </w:r>
      <w:r w:rsidR="006F7DEA">
        <w:rPr>
          <w:rFonts w:asciiTheme="minorHAnsi" w:hAnsiTheme="minorHAnsi"/>
          <w:bCs/>
          <w:lang w:val="en-GB"/>
        </w:rPr>
        <w:t>that</w:t>
      </w:r>
      <w:r w:rsidR="00416E47">
        <w:rPr>
          <w:rFonts w:asciiTheme="minorHAnsi" w:hAnsiTheme="minorHAnsi"/>
          <w:bCs/>
          <w:lang w:val="en-GB"/>
        </w:rPr>
        <w:t xml:space="preserve"> </w:t>
      </w:r>
      <w:r>
        <w:rPr>
          <w:rFonts w:asciiTheme="minorHAnsi" w:hAnsiTheme="minorHAnsi"/>
          <w:bCs/>
          <w:lang w:val="en-GB"/>
        </w:rPr>
        <w:t>a cost</w:t>
      </w:r>
      <w:r>
        <w:rPr>
          <w:rFonts w:asciiTheme="minorHAnsi" w:hAnsiTheme="minorHAnsi"/>
          <w:bCs/>
          <w:lang w:val="en-GB"/>
        </w:rPr>
        <w:noBreakHyphen/>
        <w:t xml:space="preserve">minimisation approach would be more </w:t>
      </w:r>
      <w:r w:rsidR="006F7DEA">
        <w:rPr>
          <w:rFonts w:asciiTheme="minorHAnsi" w:hAnsiTheme="minorHAnsi"/>
          <w:bCs/>
          <w:lang w:val="en-GB"/>
        </w:rPr>
        <w:t>appropriate than the cost</w:t>
      </w:r>
      <w:r w:rsidR="006F7DEA">
        <w:rPr>
          <w:rFonts w:asciiTheme="minorHAnsi" w:hAnsiTheme="minorHAnsi"/>
          <w:bCs/>
          <w:lang w:val="en-GB"/>
        </w:rPr>
        <w:noBreakHyphen/>
        <w:t>effectiveness model presented in the submission</w:t>
      </w:r>
      <w:r w:rsidR="005A19E5">
        <w:rPr>
          <w:rFonts w:asciiTheme="minorHAnsi" w:hAnsiTheme="minorHAnsi"/>
          <w:bCs/>
          <w:lang w:val="en-GB"/>
        </w:rPr>
        <w:t xml:space="preserve">. Notwithstanding this issue, </w:t>
      </w:r>
      <w:r>
        <w:rPr>
          <w:rFonts w:asciiTheme="minorHAnsi" w:hAnsiTheme="minorHAnsi"/>
          <w:bCs/>
          <w:lang w:val="en-GB"/>
        </w:rPr>
        <w:t xml:space="preserve">the </w:t>
      </w:r>
      <w:r w:rsidR="005A19E5">
        <w:rPr>
          <w:rFonts w:asciiTheme="minorHAnsi" w:hAnsiTheme="minorHAnsi"/>
          <w:bCs/>
          <w:lang w:val="en-GB"/>
        </w:rPr>
        <w:t xml:space="preserve">PBAC </w:t>
      </w:r>
      <w:r>
        <w:rPr>
          <w:rFonts w:asciiTheme="minorHAnsi" w:hAnsiTheme="minorHAnsi"/>
          <w:bCs/>
          <w:lang w:val="en-GB"/>
        </w:rPr>
        <w:t xml:space="preserve">agreed with the concerns raised </w:t>
      </w:r>
      <w:r w:rsidR="00416E47">
        <w:rPr>
          <w:rFonts w:asciiTheme="minorHAnsi" w:hAnsiTheme="minorHAnsi"/>
          <w:bCs/>
          <w:lang w:val="en-GB"/>
        </w:rPr>
        <w:t xml:space="preserve">during the evaluation and </w:t>
      </w:r>
      <w:r>
        <w:rPr>
          <w:rFonts w:asciiTheme="minorHAnsi" w:hAnsiTheme="minorHAnsi"/>
          <w:bCs/>
          <w:lang w:val="en-GB"/>
        </w:rPr>
        <w:t xml:space="preserve">by the ESC with respect to the </w:t>
      </w:r>
      <w:proofErr w:type="spellStart"/>
      <w:r>
        <w:rPr>
          <w:rFonts w:asciiTheme="minorHAnsi" w:hAnsiTheme="minorHAnsi"/>
          <w:bCs/>
          <w:lang w:val="en-GB"/>
        </w:rPr>
        <w:t>lenalidomide</w:t>
      </w:r>
      <w:proofErr w:type="spellEnd"/>
      <w:r>
        <w:rPr>
          <w:rFonts w:asciiTheme="minorHAnsi" w:hAnsiTheme="minorHAnsi"/>
          <w:bCs/>
          <w:lang w:val="en-GB"/>
        </w:rPr>
        <w:t xml:space="preserve"> vs thalidomide model, as outlined in section 6.</w:t>
      </w:r>
    </w:p>
    <w:p w:rsidR="0066473B" w:rsidRPr="0066473B" w:rsidRDefault="0066473B" w:rsidP="0066473B">
      <w:pPr>
        <w:spacing w:after="120"/>
        <w:rPr>
          <w:rFonts w:asciiTheme="minorHAnsi" w:hAnsiTheme="minorHAnsi"/>
          <w:b/>
          <w:bCs/>
          <w:lang w:val="en-GB"/>
        </w:rPr>
      </w:pPr>
      <w:r>
        <w:rPr>
          <w:rFonts w:asciiTheme="minorHAnsi" w:hAnsiTheme="minorHAnsi"/>
          <w:b/>
          <w:bCs/>
          <w:lang w:val="en-GB"/>
        </w:rPr>
        <w:t>Financial estimates</w:t>
      </w:r>
    </w:p>
    <w:p w:rsidR="00BE1284" w:rsidRDefault="00344A7D" w:rsidP="009A0B10">
      <w:pPr>
        <w:numPr>
          <w:ilvl w:val="1"/>
          <w:numId w:val="2"/>
        </w:numPr>
        <w:spacing w:after="120"/>
        <w:rPr>
          <w:rFonts w:asciiTheme="minorHAnsi" w:hAnsiTheme="minorHAnsi"/>
          <w:bCs/>
          <w:lang w:val="en-GB"/>
        </w:rPr>
      </w:pPr>
      <w:r>
        <w:rPr>
          <w:rFonts w:asciiTheme="minorHAnsi" w:hAnsiTheme="minorHAnsi"/>
          <w:bCs/>
          <w:lang w:val="en-GB"/>
        </w:rPr>
        <w:t>The PBAC n</w:t>
      </w:r>
      <w:r w:rsidR="00BE1284">
        <w:rPr>
          <w:rFonts w:asciiTheme="minorHAnsi" w:hAnsiTheme="minorHAnsi"/>
          <w:bCs/>
          <w:lang w:val="en-GB"/>
        </w:rPr>
        <w:t>ote</w:t>
      </w:r>
      <w:r>
        <w:rPr>
          <w:rFonts w:asciiTheme="minorHAnsi" w:hAnsiTheme="minorHAnsi"/>
          <w:bCs/>
          <w:lang w:val="en-GB"/>
        </w:rPr>
        <w:t>d</w:t>
      </w:r>
      <w:r w:rsidR="00BE1284">
        <w:rPr>
          <w:rFonts w:asciiTheme="minorHAnsi" w:hAnsiTheme="minorHAnsi"/>
          <w:bCs/>
          <w:lang w:val="en-GB"/>
        </w:rPr>
        <w:t xml:space="preserve"> that most of issues raised by </w:t>
      </w:r>
      <w:r>
        <w:rPr>
          <w:rFonts w:asciiTheme="minorHAnsi" w:hAnsiTheme="minorHAnsi"/>
          <w:bCs/>
          <w:lang w:val="en-GB"/>
        </w:rPr>
        <w:t xml:space="preserve">the </w:t>
      </w:r>
      <w:r w:rsidR="00BE1284">
        <w:rPr>
          <w:rFonts w:asciiTheme="minorHAnsi" w:hAnsiTheme="minorHAnsi"/>
          <w:bCs/>
          <w:lang w:val="en-GB"/>
        </w:rPr>
        <w:t>DUSC</w:t>
      </w:r>
      <w:r>
        <w:rPr>
          <w:rFonts w:asciiTheme="minorHAnsi" w:hAnsiTheme="minorHAnsi"/>
          <w:bCs/>
          <w:lang w:val="en-GB"/>
        </w:rPr>
        <w:t xml:space="preserve"> with respect to the utilisation estimates</w:t>
      </w:r>
      <w:r w:rsidR="00BE1284">
        <w:rPr>
          <w:rFonts w:asciiTheme="minorHAnsi" w:hAnsiTheme="minorHAnsi"/>
          <w:bCs/>
          <w:lang w:val="en-GB"/>
        </w:rPr>
        <w:t xml:space="preserve"> had been addressed in the pre-PBAC response</w:t>
      </w:r>
      <w:r>
        <w:rPr>
          <w:rFonts w:asciiTheme="minorHAnsi" w:hAnsiTheme="minorHAnsi"/>
          <w:bCs/>
          <w:lang w:val="en-GB"/>
        </w:rPr>
        <w:t xml:space="preserve">. However, the PBAC also noted </w:t>
      </w:r>
      <w:r w:rsidR="00BE1284">
        <w:rPr>
          <w:rFonts w:asciiTheme="minorHAnsi" w:hAnsiTheme="minorHAnsi"/>
          <w:bCs/>
          <w:lang w:val="en-GB"/>
        </w:rPr>
        <w:t xml:space="preserve">that </w:t>
      </w:r>
      <w:r>
        <w:rPr>
          <w:rFonts w:asciiTheme="minorHAnsi" w:hAnsiTheme="minorHAnsi"/>
          <w:bCs/>
          <w:lang w:val="en-GB"/>
        </w:rPr>
        <w:t xml:space="preserve">further </w:t>
      </w:r>
      <w:r w:rsidR="00BE1284">
        <w:rPr>
          <w:rFonts w:asciiTheme="minorHAnsi" w:hAnsiTheme="minorHAnsi"/>
          <w:bCs/>
          <w:lang w:val="en-GB"/>
        </w:rPr>
        <w:t xml:space="preserve">adjustment to account for </w:t>
      </w:r>
      <w:r>
        <w:rPr>
          <w:rFonts w:asciiTheme="minorHAnsi" w:hAnsiTheme="minorHAnsi"/>
          <w:bCs/>
          <w:lang w:val="en-GB"/>
        </w:rPr>
        <w:t xml:space="preserve">prevalent </w:t>
      </w:r>
      <w:r w:rsidR="00BE1284">
        <w:rPr>
          <w:rFonts w:asciiTheme="minorHAnsi" w:hAnsiTheme="minorHAnsi"/>
          <w:bCs/>
          <w:lang w:val="en-GB"/>
        </w:rPr>
        <w:t xml:space="preserve">post-ASCT </w:t>
      </w:r>
      <w:r>
        <w:rPr>
          <w:rFonts w:asciiTheme="minorHAnsi" w:hAnsiTheme="minorHAnsi"/>
          <w:bCs/>
          <w:lang w:val="en-GB"/>
        </w:rPr>
        <w:t xml:space="preserve">patients </w:t>
      </w:r>
      <w:r w:rsidR="00BE1284">
        <w:rPr>
          <w:rFonts w:asciiTheme="minorHAnsi" w:hAnsiTheme="minorHAnsi"/>
          <w:bCs/>
          <w:lang w:val="en-GB"/>
        </w:rPr>
        <w:t xml:space="preserve">who haven’t yet progressed </w:t>
      </w:r>
      <w:r>
        <w:rPr>
          <w:rFonts w:asciiTheme="minorHAnsi" w:hAnsiTheme="minorHAnsi"/>
          <w:bCs/>
          <w:lang w:val="en-GB"/>
        </w:rPr>
        <w:t>that may switch</w:t>
      </w:r>
      <w:r w:rsidR="00BE1284">
        <w:rPr>
          <w:rFonts w:asciiTheme="minorHAnsi" w:hAnsiTheme="minorHAnsi"/>
          <w:bCs/>
          <w:lang w:val="en-GB"/>
        </w:rPr>
        <w:t xml:space="preserve"> to </w:t>
      </w:r>
      <w:proofErr w:type="spellStart"/>
      <w:r w:rsidR="00BE1284">
        <w:rPr>
          <w:rFonts w:asciiTheme="minorHAnsi" w:hAnsiTheme="minorHAnsi"/>
          <w:bCs/>
          <w:lang w:val="en-GB"/>
        </w:rPr>
        <w:t>len</w:t>
      </w:r>
      <w:r>
        <w:rPr>
          <w:rFonts w:asciiTheme="minorHAnsi" w:hAnsiTheme="minorHAnsi"/>
          <w:bCs/>
          <w:lang w:val="en-GB"/>
        </w:rPr>
        <w:t>alidomide</w:t>
      </w:r>
      <w:proofErr w:type="spellEnd"/>
      <w:r>
        <w:rPr>
          <w:rFonts w:asciiTheme="minorHAnsi" w:hAnsiTheme="minorHAnsi"/>
          <w:bCs/>
          <w:lang w:val="en-GB"/>
        </w:rPr>
        <w:t xml:space="preserve"> if it is PBS listed</w:t>
      </w:r>
      <w:r w:rsidR="00BE1284">
        <w:rPr>
          <w:rFonts w:asciiTheme="minorHAnsi" w:hAnsiTheme="minorHAnsi"/>
          <w:bCs/>
          <w:lang w:val="en-GB"/>
        </w:rPr>
        <w:t xml:space="preserve"> should be made</w:t>
      </w:r>
      <w:r>
        <w:rPr>
          <w:rFonts w:asciiTheme="minorHAnsi" w:hAnsiTheme="minorHAnsi"/>
          <w:bCs/>
          <w:lang w:val="en-GB"/>
        </w:rPr>
        <w:t xml:space="preserve"> in any future resubmission</w:t>
      </w:r>
      <w:r w:rsidR="00BE1284">
        <w:rPr>
          <w:rFonts w:asciiTheme="minorHAnsi" w:hAnsiTheme="minorHAnsi"/>
          <w:bCs/>
          <w:lang w:val="en-GB"/>
        </w:rPr>
        <w:t xml:space="preserve">. </w:t>
      </w:r>
      <w:r>
        <w:rPr>
          <w:rFonts w:asciiTheme="minorHAnsi" w:hAnsiTheme="minorHAnsi"/>
          <w:bCs/>
          <w:lang w:val="en-GB"/>
        </w:rPr>
        <w:t>The PBAC also c</w:t>
      </w:r>
      <w:r w:rsidR="00BE1284">
        <w:rPr>
          <w:rFonts w:asciiTheme="minorHAnsi" w:hAnsiTheme="minorHAnsi"/>
          <w:bCs/>
          <w:lang w:val="en-GB"/>
        </w:rPr>
        <w:t>onsider</w:t>
      </w:r>
      <w:r>
        <w:rPr>
          <w:rFonts w:asciiTheme="minorHAnsi" w:hAnsiTheme="minorHAnsi"/>
          <w:bCs/>
          <w:lang w:val="en-GB"/>
        </w:rPr>
        <w:t>ed</w:t>
      </w:r>
      <w:r w:rsidR="00BE1284">
        <w:rPr>
          <w:rFonts w:asciiTheme="minorHAnsi" w:hAnsiTheme="minorHAnsi"/>
          <w:bCs/>
          <w:lang w:val="en-GB"/>
        </w:rPr>
        <w:t xml:space="preserve"> that in </w:t>
      </w:r>
      <w:r>
        <w:rPr>
          <w:rFonts w:asciiTheme="minorHAnsi" w:hAnsiTheme="minorHAnsi"/>
          <w:bCs/>
          <w:lang w:val="en-GB"/>
        </w:rPr>
        <w:t xml:space="preserve">the </w:t>
      </w:r>
      <w:r w:rsidR="00BE1284">
        <w:rPr>
          <w:rFonts w:asciiTheme="minorHAnsi" w:hAnsiTheme="minorHAnsi"/>
          <w:bCs/>
          <w:lang w:val="en-GB"/>
        </w:rPr>
        <w:t xml:space="preserve">context of </w:t>
      </w:r>
      <w:r>
        <w:rPr>
          <w:rFonts w:asciiTheme="minorHAnsi" w:hAnsiTheme="minorHAnsi"/>
          <w:bCs/>
          <w:lang w:val="en-GB"/>
        </w:rPr>
        <w:t xml:space="preserve">the </w:t>
      </w:r>
      <w:r w:rsidR="00BE1284">
        <w:rPr>
          <w:rFonts w:asciiTheme="minorHAnsi" w:hAnsiTheme="minorHAnsi"/>
          <w:bCs/>
          <w:lang w:val="en-GB"/>
        </w:rPr>
        <w:t>high potential cost</w:t>
      </w:r>
      <w:r>
        <w:rPr>
          <w:rFonts w:asciiTheme="minorHAnsi" w:hAnsiTheme="minorHAnsi"/>
          <w:bCs/>
          <w:lang w:val="en-GB"/>
        </w:rPr>
        <w:t>, a</w:t>
      </w:r>
      <w:r w:rsidR="00BE1284">
        <w:rPr>
          <w:rFonts w:asciiTheme="minorHAnsi" w:hAnsiTheme="minorHAnsi"/>
          <w:bCs/>
          <w:lang w:val="en-GB"/>
        </w:rPr>
        <w:t xml:space="preserve"> R</w:t>
      </w:r>
      <w:r>
        <w:rPr>
          <w:rFonts w:asciiTheme="minorHAnsi" w:hAnsiTheme="minorHAnsi"/>
          <w:bCs/>
          <w:lang w:val="en-GB"/>
        </w:rPr>
        <w:t xml:space="preserve">isk Sharing Arrangement </w:t>
      </w:r>
      <w:r w:rsidR="00416E47">
        <w:rPr>
          <w:rFonts w:asciiTheme="minorHAnsi" w:hAnsiTheme="minorHAnsi"/>
          <w:bCs/>
          <w:lang w:val="en-GB"/>
        </w:rPr>
        <w:t xml:space="preserve">would </w:t>
      </w:r>
      <w:r>
        <w:rPr>
          <w:rFonts w:asciiTheme="minorHAnsi" w:hAnsiTheme="minorHAnsi"/>
          <w:bCs/>
          <w:lang w:val="en-GB"/>
        </w:rPr>
        <w:t>be</w:t>
      </w:r>
      <w:r w:rsidR="00BE1284">
        <w:rPr>
          <w:rFonts w:asciiTheme="minorHAnsi" w:hAnsiTheme="minorHAnsi"/>
          <w:bCs/>
          <w:lang w:val="en-GB"/>
        </w:rPr>
        <w:t xml:space="preserve"> appropriate.</w:t>
      </w:r>
    </w:p>
    <w:p w:rsidR="0067276E" w:rsidRDefault="0067276E" w:rsidP="009A0B10">
      <w:pPr>
        <w:numPr>
          <w:ilvl w:val="1"/>
          <w:numId w:val="2"/>
        </w:numPr>
        <w:spacing w:after="120"/>
        <w:rPr>
          <w:rFonts w:asciiTheme="minorHAnsi" w:hAnsiTheme="minorHAnsi"/>
          <w:bCs/>
          <w:lang w:val="en-GB"/>
        </w:rPr>
      </w:pPr>
      <w:r>
        <w:rPr>
          <w:rFonts w:asciiTheme="minorHAnsi" w:hAnsiTheme="minorHAnsi"/>
          <w:bCs/>
          <w:lang w:val="en-GB"/>
        </w:rPr>
        <w:t>The PBAC</w:t>
      </w:r>
      <w:r w:rsidR="00124E6A">
        <w:rPr>
          <w:rFonts w:asciiTheme="minorHAnsi" w:hAnsiTheme="minorHAnsi"/>
          <w:bCs/>
          <w:lang w:val="en-GB"/>
        </w:rPr>
        <w:t xml:space="preserve"> would</w:t>
      </w:r>
      <w:r>
        <w:rPr>
          <w:rFonts w:asciiTheme="minorHAnsi" w:hAnsiTheme="minorHAnsi"/>
          <w:bCs/>
          <w:lang w:val="en-GB"/>
        </w:rPr>
        <w:t xml:space="preserve"> welcome a resubmission, and advised that any future submission should</w:t>
      </w:r>
      <w:r w:rsidRPr="0067276E">
        <w:rPr>
          <w:rFonts w:asciiTheme="minorHAnsi" w:hAnsiTheme="minorHAnsi"/>
          <w:bCs/>
          <w:lang w:val="en-GB"/>
        </w:rPr>
        <w:t xml:space="preserve"> </w:t>
      </w:r>
      <w:r>
        <w:rPr>
          <w:rFonts w:asciiTheme="minorHAnsi" w:hAnsiTheme="minorHAnsi"/>
          <w:bCs/>
          <w:lang w:val="en-GB"/>
        </w:rPr>
        <w:t xml:space="preserve">include: </w:t>
      </w:r>
    </w:p>
    <w:p w:rsidR="009C7AF2" w:rsidRDefault="00E91B1B" w:rsidP="009C7AF2">
      <w:pPr>
        <w:numPr>
          <w:ilvl w:val="1"/>
          <w:numId w:val="13"/>
        </w:numPr>
        <w:spacing w:after="120"/>
        <w:ind w:left="993" w:hanging="284"/>
        <w:rPr>
          <w:rFonts w:asciiTheme="minorHAnsi" w:hAnsiTheme="minorHAnsi"/>
          <w:bCs/>
          <w:lang w:val="en-GB"/>
        </w:rPr>
      </w:pPr>
      <w:r>
        <w:rPr>
          <w:rFonts w:asciiTheme="minorHAnsi" w:hAnsiTheme="minorHAnsi"/>
          <w:bCs/>
          <w:lang w:val="en-GB"/>
        </w:rPr>
        <w:t>A</w:t>
      </w:r>
      <w:r w:rsidR="009C7AF2">
        <w:rPr>
          <w:rFonts w:asciiTheme="minorHAnsi" w:hAnsiTheme="minorHAnsi"/>
          <w:bCs/>
          <w:lang w:val="en-GB"/>
        </w:rPr>
        <w:t xml:space="preserve"> cost-effectiveness analysis versus BSC and a cost-minimisation versus thalidomide, and a revised estimate for the proportion of </w:t>
      </w:r>
      <w:r w:rsidR="00416E47">
        <w:rPr>
          <w:rFonts w:asciiTheme="minorHAnsi" w:hAnsiTheme="minorHAnsi"/>
          <w:bCs/>
          <w:lang w:val="en-GB"/>
        </w:rPr>
        <w:t>expected replacement</w:t>
      </w:r>
      <w:r w:rsidR="009C7AF2">
        <w:rPr>
          <w:rFonts w:asciiTheme="minorHAnsi" w:hAnsiTheme="minorHAnsi"/>
          <w:bCs/>
          <w:lang w:val="en-GB"/>
        </w:rPr>
        <w:t xml:space="preserve"> of these two therapies in th</w:t>
      </w:r>
      <w:r w:rsidR="00416E47">
        <w:rPr>
          <w:rFonts w:asciiTheme="minorHAnsi" w:hAnsiTheme="minorHAnsi"/>
          <w:bCs/>
          <w:lang w:val="en-GB"/>
        </w:rPr>
        <w:t>e proposed</w:t>
      </w:r>
      <w:r w:rsidR="009C7AF2">
        <w:rPr>
          <w:rFonts w:asciiTheme="minorHAnsi" w:hAnsiTheme="minorHAnsi"/>
          <w:bCs/>
          <w:lang w:val="en-GB"/>
        </w:rPr>
        <w:t xml:space="preserve"> treatment setting</w:t>
      </w:r>
      <w:r>
        <w:rPr>
          <w:rFonts w:asciiTheme="minorHAnsi" w:hAnsiTheme="minorHAnsi"/>
          <w:bCs/>
          <w:lang w:val="en-GB"/>
        </w:rPr>
        <w:t>.</w:t>
      </w:r>
    </w:p>
    <w:p w:rsidR="0067276E" w:rsidRDefault="0074762B" w:rsidP="00343BBA">
      <w:pPr>
        <w:numPr>
          <w:ilvl w:val="1"/>
          <w:numId w:val="13"/>
        </w:numPr>
        <w:spacing w:after="120"/>
        <w:ind w:left="993" w:hanging="284"/>
        <w:rPr>
          <w:rFonts w:asciiTheme="minorHAnsi" w:hAnsiTheme="minorHAnsi"/>
          <w:bCs/>
          <w:lang w:val="en-GB"/>
        </w:rPr>
      </w:pPr>
      <w:r>
        <w:rPr>
          <w:rFonts w:asciiTheme="minorHAnsi" w:hAnsiTheme="minorHAnsi"/>
          <w:bCs/>
          <w:lang w:val="en-GB"/>
        </w:rPr>
        <w:t xml:space="preserve">All relevant </w:t>
      </w:r>
      <w:proofErr w:type="spellStart"/>
      <w:r>
        <w:rPr>
          <w:rFonts w:asciiTheme="minorHAnsi" w:hAnsiTheme="minorHAnsi"/>
          <w:bCs/>
          <w:lang w:val="en-GB"/>
        </w:rPr>
        <w:t>lenalidomide</w:t>
      </w:r>
      <w:proofErr w:type="spellEnd"/>
      <w:r>
        <w:rPr>
          <w:rFonts w:asciiTheme="minorHAnsi" w:hAnsiTheme="minorHAnsi"/>
          <w:bCs/>
          <w:lang w:val="en-GB"/>
        </w:rPr>
        <w:t xml:space="preserve"> versus BSC randomised trials, including </w:t>
      </w:r>
      <w:r w:rsidR="0067276E">
        <w:rPr>
          <w:rFonts w:asciiTheme="minorHAnsi" w:hAnsiTheme="minorHAnsi"/>
          <w:bCs/>
          <w:lang w:val="en-GB"/>
        </w:rPr>
        <w:t>the updated Myeloma XI data</w:t>
      </w:r>
      <w:r w:rsidR="00E91B1B">
        <w:rPr>
          <w:rFonts w:asciiTheme="minorHAnsi" w:hAnsiTheme="minorHAnsi"/>
          <w:bCs/>
          <w:lang w:val="en-GB"/>
        </w:rPr>
        <w:t>.</w:t>
      </w:r>
      <w:r w:rsidR="0067276E">
        <w:rPr>
          <w:rFonts w:asciiTheme="minorHAnsi" w:hAnsiTheme="minorHAnsi"/>
          <w:bCs/>
          <w:lang w:val="en-GB"/>
        </w:rPr>
        <w:t xml:space="preserve"> </w:t>
      </w:r>
    </w:p>
    <w:p w:rsidR="0067276E" w:rsidRDefault="0074762B" w:rsidP="00E91B1B">
      <w:pPr>
        <w:numPr>
          <w:ilvl w:val="1"/>
          <w:numId w:val="13"/>
        </w:numPr>
        <w:spacing w:after="120"/>
        <w:ind w:left="993" w:hanging="284"/>
        <w:rPr>
          <w:rFonts w:asciiTheme="minorHAnsi" w:hAnsiTheme="minorHAnsi"/>
          <w:bCs/>
          <w:lang w:val="en-GB"/>
        </w:rPr>
      </w:pPr>
      <w:r>
        <w:rPr>
          <w:rFonts w:asciiTheme="minorHAnsi" w:hAnsiTheme="minorHAnsi"/>
          <w:bCs/>
          <w:lang w:val="en-GB"/>
        </w:rPr>
        <w:t xml:space="preserve">All relevant thalidomide versus BSC randomised trials, </w:t>
      </w:r>
      <w:r w:rsidR="009C7AF2">
        <w:rPr>
          <w:rFonts w:asciiTheme="minorHAnsi" w:hAnsiTheme="minorHAnsi"/>
          <w:bCs/>
          <w:lang w:val="en-GB"/>
        </w:rPr>
        <w:t>and a justification for any RCTs excluded</w:t>
      </w:r>
      <w:r w:rsidR="00E91B1B">
        <w:rPr>
          <w:rFonts w:asciiTheme="minorHAnsi" w:hAnsiTheme="minorHAnsi"/>
          <w:bCs/>
          <w:lang w:val="en-GB"/>
        </w:rPr>
        <w:t>.</w:t>
      </w:r>
    </w:p>
    <w:p w:rsidR="00343BBA" w:rsidRDefault="00E91B1B" w:rsidP="00343BBA">
      <w:pPr>
        <w:numPr>
          <w:ilvl w:val="1"/>
          <w:numId w:val="13"/>
        </w:numPr>
        <w:spacing w:after="120"/>
        <w:ind w:left="993" w:hanging="284"/>
        <w:rPr>
          <w:rFonts w:asciiTheme="minorHAnsi" w:hAnsiTheme="minorHAnsi"/>
          <w:bCs/>
          <w:lang w:val="en-GB"/>
        </w:rPr>
      </w:pPr>
      <w:r>
        <w:rPr>
          <w:rFonts w:asciiTheme="minorHAnsi" w:hAnsiTheme="minorHAnsi"/>
          <w:bCs/>
          <w:lang w:val="en-GB"/>
        </w:rPr>
        <w:t>A</w:t>
      </w:r>
      <w:r w:rsidR="00343BBA">
        <w:rPr>
          <w:rFonts w:asciiTheme="minorHAnsi" w:hAnsiTheme="minorHAnsi"/>
          <w:bCs/>
          <w:lang w:val="en-GB"/>
        </w:rPr>
        <w:t xml:space="preserve">djustments to the model for </w:t>
      </w:r>
      <w:proofErr w:type="spellStart"/>
      <w:r w:rsidR="00343BBA">
        <w:rPr>
          <w:rFonts w:asciiTheme="minorHAnsi" w:hAnsiTheme="minorHAnsi"/>
          <w:bCs/>
          <w:lang w:val="en-GB"/>
        </w:rPr>
        <w:t>lenalidomide</w:t>
      </w:r>
      <w:proofErr w:type="spellEnd"/>
      <w:r w:rsidR="00343BBA">
        <w:rPr>
          <w:rFonts w:asciiTheme="minorHAnsi" w:hAnsiTheme="minorHAnsi"/>
          <w:bCs/>
          <w:lang w:val="en-GB"/>
        </w:rPr>
        <w:t xml:space="preserve"> vs. BSC as outlined in paragraph</w:t>
      </w:r>
      <w:r w:rsidR="00343BBA" w:rsidRPr="000B3C9C">
        <w:rPr>
          <w:rFonts w:asciiTheme="minorHAnsi" w:hAnsiTheme="minorHAnsi"/>
          <w:bCs/>
          <w:lang w:val="en-GB"/>
        </w:rPr>
        <w:t xml:space="preserve">s </w:t>
      </w:r>
      <w:r w:rsidR="00671376" w:rsidRPr="000B3C9C">
        <w:rPr>
          <w:rFonts w:asciiTheme="minorHAnsi" w:hAnsiTheme="minorHAnsi"/>
          <w:bCs/>
          <w:lang w:val="en-GB"/>
        </w:rPr>
        <w:t>7.9</w:t>
      </w:r>
      <w:r w:rsidR="00343BBA" w:rsidRPr="000B3C9C">
        <w:rPr>
          <w:rFonts w:asciiTheme="minorHAnsi" w:hAnsiTheme="minorHAnsi"/>
          <w:bCs/>
          <w:lang w:val="en-GB"/>
        </w:rPr>
        <w:t xml:space="preserve"> </w:t>
      </w:r>
      <w:r w:rsidR="00343BBA">
        <w:rPr>
          <w:rFonts w:asciiTheme="minorHAnsi" w:hAnsiTheme="minorHAnsi"/>
          <w:bCs/>
          <w:lang w:val="en-GB"/>
        </w:rPr>
        <w:t>and section 6</w:t>
      </w:r>
      <w:r>
        <w:rPr>
          <w:rFonts w:asciiTheme="minorHAnsi" w:hAnsiTheme="minorHAnsi"/>
          <w:bCs/>
          <w:lang w:val="en-GB"/>
        </w:rPr>
        <w:t>.</w:t>
      </w:r>
    </w:p>
    <w:p w:rsidR="00343BBA" w:rsidRDefault="00E91B1B" w:rsidP="00343BBA">
      <w:pPr>
        <w:numPr>
          <w:ilvl w:val="1"/>
          <w:numId w:val="13"/>
        </w:numPr>
        <w:spacing w:after="120"/>
        <w:ind w:left="993" w:hanging="284"/>
        <w:rPr>
          <w:rFonts w:asciiTheme="minorHAnsi" w:hAnsiTheme="minorHAnsi"/>
          <w:bCs/>
          <w:lang w:val="en-GB"/>
        </w:rPr>
      </w:pPr>
      <w:r>
        <w:rPr>
          <w:rFonts w:asciiTheme="minorHAnsi" w:hAnsiTheme="minorHAnsi"/>
          <w:bCs/>
          <w:lang w:val="en-GB"/>
        </w:rPr>
        <w:t>A</w:t>
      </w:r>
      <w:r w:rsidR="00343BBA">
        <w:rPr>
          <w:rFonts w:asciiTheme="minorHAnsi" w:hAnsiTheme="minorHAnsi"/>
          <w:bCs/>
          <w:lang w:val="en-GB"/>
        </w:rPr>
        <w:t xml:space="preserve">djustment to the financial estimates to account for patients who are post-ASCT but </w:t>
      </w:r>
      <w:proofErr w:type="spellStart"/>
      <w:r w:rsidR="00343BBA">
        <w:rPr>
          <w:rFonts w:asciiTheme="minorHAnsi" w:hAnsiTheme="minorHAnsi"/>
          <w:bCs/>
          <w:lang w:val="en-GB"/>
        </w:rPr>
        <w:t>unprogressed</w:t>
      </w:r>
      <w:proofErr w:type="spellEnd"/>
      <w:r w:rsidR="00343BBA">
        <w:rPr>
          <w:rFonts w:asciiTheme="minorHAnsi" w:hAnsiTheme="minorHAnsi"/>
          <w:bCs/>
          <w:lang w:val="en-GB"/>
        </w:rPr>
        <w:t xml:space="preserve"> at the time of PBS listing who may switch to </w:t>
      </w:r>
      <w:proofErr w:type="spellStart"/>
      <w:r w:rsidR="00343BBA">
        <w:rPr>
          <w:rFonts w:asciiTheme="minorHAnsi" w:hAnsiTheme="minorHAnsi"/>
          <w:bCs/>
          <w:lang w:val="en-GB"/>
        </w:rPr>
        <w:t>lenalidomide</w:t>
      </w:r>
      <w:proofErr w:type="spellEnd"/>
      <w:r w:rsidR="00343BBA">
        <w:rPr>
          <w:rFonts w:asciiTheme="minorHAnsi" w:hAnsiTheme="minorHAnsi"/>
          <w:bCs/>
          <w:lang w:val="en-GB"/>
        </w:rPr>
        <w:t xml:space="preserve"> from either thalidomide or BSC</w:t>
      </w:r>
      <w:r>
        <w:rPr>
          <w:rFonts w:asciiTheme="minorHAnsi" w:hAnsiTheme="minorHAnsi"/>
          <w:bCs/>
          <w:lang w:val="en-GB"/>
        </w:rPr>
        <w:t>.</w:t>
      </w:r>
    </w:p>
    <w:p w:rsidR="00343BBA" w:rsidRPr="009A0B10" w:rsidRDefault="00E91B1B" w:rsidP="00343BBA">
      <w:pPr>
        <w:numPr>
          <w:ilvl w:val="1"/>
          <w:numId w:val="13"/>
        </w:numPr>
        <w:spacing w:after="120"/>
        <w:ind w:left="993" w:hanging="284"/>
        <w:rPr>
          <w:rFonts w:asciiTheme="minorHAnsi" w:hAnsiTheme="minorHAnsi"/>
          <w:bCs/>
          <w:lang w:val="en-GB"/>
        </w:rPr>
      </w:pPr>
      <w:r>
        <w:rPr>
          <w:rFonts w:asciiTheme="minorHAnsi" w:hAnsiTheme="minorHAnsi"/>
          <w:bCs/>
          <w:lang w:val="en-GB"/>
        </w:rPr>
        <w:t>A</w:t>
      </w:r>
      <w:r w:rsidR="002035EE">
        <w:rPr>
          <w:rFonts w:asciiTheme="minorHAnsi" w:hAnsiTheme="minorHAnsi"/>
          <w:bCs/>
          <w:lang w:val="en-GB"/>
        </w:rPr>
        <w:t xml:space="preserve"> </w:t>
      </w:r>
      <w:r w:rsidR="00343BBA">
        <w:rPr>
          <w:rFonts w:asciiTheme="minorHAnsi" w:hAnsiTheme="minorHAnsi"/>
          <w:bCs/>
          <w:lang w:val="en-GB"/>
        </w:rPr>
        <w:t>risk sharing arrangement.</w:t>
      </w:r>
    </w:p>
    <w:p w:rsidR="00364492" w:rsidRPr="00364492" w:rsidRDefault="006F0DFD" w:rsidP="006F0DFD">
      <w:pPr>
        <w:numPr>
          <w:ilvl w:val="1"/>
          <w:numId w:val="2"/>
        </w:numPr>
        <w:spacing w:before="240" w:after="120"/>
        <w:rPr>
          <w:rFonts w:asciiTheme="minorHAnsi" w:hAnsiTheme="minorHAnsi"/>
          <w:b/>
          <w:bCs/>
          <w:lang w:val="en-GB"/>
        </w:rPr>
      </w:pPr>
      <w:r w:rsidRPr="00364492">
        <w:rPr>
          <w:rFonts w:asciiTheme="minorHAnsi" w:hAnsiTheme="minorHAnsi"/>
          <w:bCs/>
          <w:lang w:val="en-GB"/>
        </w:rPr>
        <w:t xml:space="preserve">The PBAC noted that this submission is eligible for an Independent Review. </w:t>
      </w:r>
    </w:p>
    <w:p w:rsidR="006F0DFD" w:rsidRPr="00364492" w:rsidRDefault="006F0DFD" w:rsidP="00364492">
      <w:pPr>
        <w:spacing w:before="240" w:after="120"/>
        <w:rPr>
          <w:rFonts w:asciiTheme="minorHAnsi" w:hAnsiTheme="minorHAnsi"/>
          <w:b/>
          <w:bCs/>
          <w:lang w:val="en-GB"/>
        </w:rPr>
      </w:pPr>
      <w:r w:rsidRPr="00364492">
        <w:rPr>
          <w:rFonts w:asciiTheme="minorHAnsi" w:hAnsiTheme="minorHAnsi"/>
          <w:b/>
          <w:bCs/>
          <w:lang w:val="en-GB"/>
        </w:rPr>
        <w:t>Outcome:</w:t>
      </w:r>
    </w:p>
    <w:p w:rsidR="006F0DFD" w:rsidRPr="00364492" w:rsidRDefault="006F0DFD" w:rsidP="006F0DFD">
      <w:pPr>
        <w:rPr>
          <w:rFonts w:asciiTheme="minorHAnsi" w:hAnsiTheme="minorHAnsi"/>
          <w:bCs/>
          <w:lang w:val="en-GB"/>
        </w:rPr>
      </w:pPr>
      <w:r w:rsidRPr="00364492">
        <w:rPr>
          <w:rFonts w:asciiTheme="minorHAnsi" w:hAnsiTheme="minorHAnsi"/>
          <w:bCs/>
          <w:lang w:val="en-GB"/>
        </w:rPr>
        <w:t>Rejected</w:t>
      </w:r>
    </w:p>
    <w:p w:rsidR="006F0DFD" w:rsidRPr="006F0DFD" w:rsidRDefault="006F0DFD" w:rsidP="006F0DFD">
      <w:pPr>
        <w:rPr>
          <w:rFonts w:asciiTheme="minorHAnsi" w:hAnsiTheme="minorHAnsi"/>
          <w:b/>
          <w:bCs/>
          <w:highlight w:val="yellow"/>
        </w:rPr>
      </w:pPr>
    </w:p>
    <w:p w:rsidR="00B012EF" w:rsidRPr="00CB123B" w:rsidRDefault="00B012EF" w:rsidP="00CB123B">
      <w:pPr>
        <w:pStyle w:val="PBACHeading1"/>
        <w:numPr>
          <w:ilvl w:val="0"/>
          <w:numId w:val="2"/>
        </w:numPr>
        <w:outlineLvl w:val="0"/>
        <w:rPr>
          <w:lang w:val="en-GB"/>
        </w:rPr>
      </w:pPr>
      <w:r w:rsidRPr="00CB123B">
        <w:rPr>
          <w:lang w:val="en-GB"/>
        </w:rPr>
        <w:t>Context for Decision</w:t>
      </w:r>
    </w:p>
    <w:p w:rsidR="00B012EF" w:rsidRPr="00B012EF" w:rsidRDefault="00B012EF" w:rsidP="00B012EF">
      <w:pPr>
        <w:widowControl/>
        <w:spacing w:line="276" w:lineRule="auto"/>
        <w:ind w:left="426"/>
        <w:rPr>
          <w:rFonts w:asciiTheme="minorHAnsi" w:eastAsiaTheme="minorHAnsi" w:hAnsiTheme="minorHAnsi"/>
          <w:snapToGrid/>
        </w:rPr>
      </w:pPr>
      <w:r w:rsidRPr="00B012EF">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012EF" w:rsidRPr="00B012EF" w:rsidRDefault="00B012EF" w:rsidP="00914AC6">
      <w:pPr>
        <w:widowControl/>
        <w:ind w:left="425"/>
        <w:rPr>
          <w:rFonts w:ascii="Arial" w:eastAsiaTheme="minorHAnsi" w:hAnsi="Arial"/>
          <w:snapToGrid/>
          <w:sz w:val="22"/>
        </w:rPr>
      </w:pPr>
    </w:p>
    <w:p w:rsidR="00B012EF" w:rsidRPr="00B012EF" w:rsidRDefault="00B012EF" w:rsidP="00CB123B">
      <w:pPr>
        <w:pStyle w:val="PBACHeading1"/>
        <w:numPr>
          <w:ilvl w:val="0"/>
          <w:numId w:val="2"/>
        </w:numPr>
        <w:outlineLvl w:val="0"/>
        <w:rPr>
          <w:rFonts w:asciiTheme="minorHAnsi" w:eastAsiaTheme="minorHAnsi" w:hAnsiTheme="minorHAnsi" w:cstheme="minorBidi"/>
          <w:snapToGrid/>
        </w:rPr>
      </w:pPr>
      <w:r w:rsidRPr="00B012EF">
        <w:rPr>
          <w:rFonts w:asciiTheme="minorHAnsi" w:eastAsiaTheme="minorHAnsi" w:hAnsiTheme="minorHAnsi" w:cstheme="minorBidi"/>
          <w:snapToGrid/>
        </w:rPr>
        <w:t xml:space="preserve"> </w:t>
      </w:r>
      <w:r w:rsidRPr="00CB123B">
        <w:rPr>
          <w:lang w:val="en-GB"/>
        </w:rPr>
        <w:t>Sponsor’s Comment</w:t>
      </w:r>
    </w:p>
    <w:p w:rsidR="00B012EF" w:rsidRPr="00B012EF" w:rsidRDefault="00003E68" w:rsidP="00B012EF">
      <w:pPr>
        <w:widowControl/>
        <w:spacing w:after="120" w:line="276" w:lineRule="auto"/>
        <w:ind w:left="426"/>
        <w:rPr>
          <w:rFonts w:asciiTheme="minorHAnsi" w:eastAsiaTheme="minorHAnsi" w:hAnsiTheme="minorHAnsi"/>
          <w:bCs/>
          <w:snapToGrid/>
        </w:rPr>
      </w:pPr>
      <w:proofErr w:type="spellStart"/>
      <w:r w:rsidRPr="00003E68">
        <w:rPr>
          <w:rFonts w:asciiTheme="minorHAnsi" w:eastAsiaTheme="minorHAnsi" w:hAnsiTheme="minorHAnsi"/>
          <w:bCs/>
          <w:snapToGrid/>
          <w:lang w:val="en-GB"/>
        </w:rPr>
        <w:t>Lenalidomide</w:t>
      </w:r>
      <w:proofErr w:type="spellEnd"/>
      <w:r w:rsidRPr="00003E68">
        <w:rPr>
          <w:rFonts w:asciiTheme="minorHAnsi" w:eastAsiaTheme="minorHAnsi" w:hAnsiTheme="minorHAnsi"/>
          <w:bCs/>
          <w:snapToGrid/>
          <w:lang w:val="en-GB"/>
        </w:rPr>
        <w:t xml:space="preserve"> is the only TGA registered therapy for maintenance in Australia. Celgene is committed to working with the PBAC and Department to make </w:t>
      </w:r>
      <w:proofErr w:type="spellStart"/>
      <w:r w:rsidRPr="00003E68">
        <w:rPr>
          <w:rFonts w:asciiTheme="minorHAnsi" w:eastAsiaTheme="minorHAnsi" w:hAnsiTheme="minorHAnsi"/>
          <w:bCs/>
          <w:snapToGrid/>
          <w:lang w:val="en-GB"/>
        </w:rPr>
        <w:t>Lenalidomide</w:t>
      </w:r>
      <w:proofErr w:type="spellEnd"/>
      <w:r w:rsidRPr="00003E68">
        <w:rPr>
          <w:rFonts w:asciiTheme="minorHAnsi" w:eastAsiaTheme="minorHAnsi" w:hAnsiTheme="minorHAnsi"/>
          <w:bCs/>
          <w:snapToGrid/>
          <w:lang w:val="en-GB"/>
        </w:rPr>
        <w:t xml:space="preserve"> available to Australian patients post autologous stem cell transplant.</w:t>
      </w:r>
    </w:p>
    <w:p w:rsidR="006F0DFD" w:rsidRPr="00CE0BE9" w:rsidRDefault="006F0DFD" w:rsidP="006F0DFD">
      <w:pPr>
        <w:widowControl/>
        <w:jc w:val="left"/>
        <w:rPr>
          <w:b/>
        </w:rPr>
      </w:pPr>
    </w:p>
    <w:sectPr w:rsidR="006F0DFD" w:rsidRPr="00CE0BE9" w:rsidSect="00B827FF">
      <w:headerReference w:type="even" r:id="rId18"/>
      <w:headerReference w:type="default" r:id="rId19"/>
      <w:footerReference w:type="even" r:id="rId20"/>
      <w:footerReference w:type="default" r:id="rId21"/>
      <w:headerReference w:type="first" r:id="rId22"/>
      <w:footerReference w:type="first" r:id="rId23"/>
      <w:pgSz w:w="11907" w:h="16839"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53E84D" w15:done="0"/>
  <w15:commentEx w15:paraId="77F215E9" w15:done="0"/>
  <w15:commentEx w15:paraId="1714ED6F" w15:done="0"/>
  <w15:commentEx w15:paraId="27FCB8EE" w15:done="0"/>
  <w15:commentEx w15:paraId="3DA17111" w15:done="0"/>
  <w15:commentEx w15:paraId="396F036E" w15:done="0"/>
  <w15:commentEx w15:paraId="3F26E419" w15:done="0"/>
  <w15:commentEx w15:paraId="7E6D4B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53E84D" w16cid:durableId="1E7B22FC"/>
  <w16cid:commentId w16cid:paraId="77F215E9" w16cid:durableId="1E7B2404"/>
  <w16cid:commentId w16cid:paraId="1714ED6F" w16cid:durableId="1E7B22FD"/>
  <w16cid:commentId w16cid:paraId="396F036E" w16cid:durableId="1E7B22FE"/>
  <w16cid:commentId w16cid:paraId="3F26E419" w16cid:durableId="1E7B22FF"/>
  <w16cid:commentId w16cid:paraId="7E6D4B1D" w16cid:durableId="1E7B23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6F0" w:rsidRDefault="003F06F0" w:rsidP="00124A51">
      <w:r>
        <w:separator/>
      </w:r>
    </w:p>
    <w:p w:rsidR="003F06F0" w:rsidRDefault="003F06F0"/>
  </w:endnote>
  <w:endnote w:type="continuationSeparator" w:id="0">
    <w:p w:rsidR="003F06F0" w:rsidRDefault="003F06F0" w:rsidP="00124A51">
      <w:r>
        <w:continuationSeparator/>
      </w:r>
    </w:p>
    <w:p w:rsidR="003F06F0" w:rsidRDefault="003F0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F0" w:rsidRDefault="003F06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vanish/>
        <w:highlight w:val="yellow"/>
      </w:rPr>
      <w:id w:val="-1344941452"/>
      <w:docPartObj>
        <w:docPartGallery w:val="Page Numbers (Bottom of Page)"/>
        <w:docPartUnique/>
      </w:docPartObj>
    </w:sdtPr>
    <w:sdtEndPr>
      <w:rPr>
        <w:b w:val="0"/>
        <w:noProof/>
      </w:rPr>
    </w:sdtEndPr>
    <w:sdtContent>
      <w:p w:rsidR="00AA39D2" w:rsidRPr="003A238A" w:rsidRDefault="00AA39D2">
        <w:pPr>
          <w:pStyle w:val="Footer"/>
          <w:jc w:val="center"/>
        </w:pPr>
        <w:r w:rsidRPr="003A238A">
          <w:fldChar w:fldCharType="begin"/>
        </w:r>
        <w:r w:rsidRPr="003A238A">
          <w:instrText xml:space="preserve"> PAGE   \* MERGEFORMAT </w:instrText>
        </w:r>
        <w:r w:rsidRPr="003A238A">
          <w:fldChar w:fldCharType="separate"/>
        </w:r>
        <w:r w:rsidR="00914AC6">
          <w:rPr>
            <w:noProof/>
          </w:rPr>
          <w:t>45</w:t>
        </w:r>
        <w:r w:rsidRPr="003A238A">
          <w:rPr>
            <w:noProof/>
          </w:rPr>
          <w:fldChar w:fldCharType="end"/>
        </w:r>
      </w:p>
    </w:sdtContent>
  </w:sdt>
  <w:p w:rsidR="00AA39D2" w:rsidRPr="007C1CD9" w:rsidRDefault="00AA39D2" w:rsidP="00015886">
    <w:pPr>
      <w:ind w:right="360"/>
      <w:jc w:val="center"/>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F0" w:rsidRDefault="003F0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6F0" w:rsidRDefault="003F06F0" w:rsidP="00124A51">
      <w:r>
        <w:separator/>
      </w:r>
    </w:p>
    <w:p w:rsidR="003F06F0" w:rsidRDefault="003F06F0"/>
  </w:footnote>
  <w:footnote w:type="continuationSeparator" w:id="0">
    <w:p w:rsidR="003F06F0" w:rsidRDefault="003F06F0" w:rsidP="00124A51">
      <w:r>
        <w:continuationSeparator/>
      </w:r>
    </w:p>
    <w:p w:rsidR="003F06F0" w:rsidRDefault="003F06F0"/>
  </w:footnote>
  <w:footnote w:id="1">
    <w:p w:rsidR="00AA39D2" w:rsidRPr="00782208" w:rsidRDefault="00AA39D2" w:rsidP="00782208">
      <w:pPr>
        <w:pStyle w:val="FootnoteText"/>
        <w:rPr>
          <w:lang w:val="en-AU"/>
        </w:rPr>
      </w:pPr>
      <w:r w:rsidRPr="00782208">
        <w:rPr>
          <w:rStyle w:val="FootnoteReference"/>
          <w:sz w:val="16"/>
        </w:rPr>
        <w:footnoteRef/>
      </w:r>
      <w:r w:rsidRPr="00782208">
        <w:rPr>
          <w:sz w:val="16"/>
        </w:rPr>
        <w:t xml:space="preserve"> </w:t>
      </w:r>
      <w:r w:rsidRPr="00782208">
        <w:rPr>
          <w:sz w:val="16"/>
          <w:lang w:val="en-AU"/>
        </w:rPr>
        <w:t xml:space="preserve">Bergin K, </w:t>
      </w:r>
      <w:r w:rsidRPr="00782208">
        <w:rPr>
          <w:i/>
          <w:sz w:val="16"/>
          <w:lang w:val="en-AU"/>
        </w:rPr>
        <w:t>et al</w:t>
      </w:r>
      <w:r w:rsidRPr="00782208">
        <w:rPr>
          <w:sz w:val="16"/>
          <w:lang w:val="en-AU"/>
        </w:rPr>
        <w:t xml:space="preserve"> 2017. Rates of Upfront Autologous Stem Cell Transplantation in Newly Diagnosed Multiple Myeloma: A report from the MRDR. </w:t>
      </w:r>
      <w:r w:rsidRPr="00782208">
        <w:rPr>
          <w:i/>
          <w:sz w:val="16"/>
          <w:lang w:val="en-AU"/>
        </w:rPr>
        <w:t>16</w:t>
      </w:r>
      <w:r w:rsidRPr="00782208">
        <w:rPr>
          <w:i/>
          <w:sz w:val="16"/>
          <w:vertAlign w:val="superscript"/>
          <w:lang w:val="en-AU"/>
        </w:rPr>
        <w:t>th</w:t>
      </w:r>
      <w:r w:rsidRPr="00782208">
        <w:rPr>
          <w:i/>
          <w:sz w:val="16"/>
          <w:lang w:val="en-AU"/>
        </w:rPr>
        <w:t xml:space="preserve"> International Myeloma Workshop: </w:t>
      </w:r>
      <w:r w:rsidRPr="00782208">
        <w:rPr>
          <w:sz w:val="16"/>
          <w:lang w:val="en-AU"/>
        </w:rPr>
        <w:t>e30</w:t>
      </w:r>
    </w:p>
  </w:footnote>
  <w:footnote w:id="2">
    <w:p w:rsidR="00AA39D2" w:rsidRPr="007F51BC" w:rsidRDefault="00AA39D2">
      <w:pPr>
        <w:pStyle w:val="FootnoteText"/>
        <w:rPr>
          <w:lang w:val="en-AU"/>
        </w:rPr>
      </w:pPr>
      <w:r>
        <w:rPr>
          <w:rStyle w:val="FootnoteReference"/>
        </w:rPr>
        <w:footnoteRef/>
      </w:r>
      <w:r>
        <w:t xml:space="preserve"> </w:t>
      </w:r>
      <w:proofErr w:type="gramStart"/>
      <w:r w:rsidRPr="007F51BC">
        <w:rPr>
          <w:sz w:val="18"/>
          <w:szCs w:val="18"/>
        </w:rPr>
        <w:t>Blood.</w:t>
      </w:r>
      <w:proofErr w:type="gramEnd"/>
      <w:r w:rsidRPr="007F51BC">
        <w:rPr>
          <w:sz w:val="18"/>
          <w:szCs w:val="18"/>
        </w:rPr>
        <w:t xml:space="preserve"> 2012;119(13):3003-3015</w:t>
      </w:r>
    </w:p>
  </w:footnote>
  <w:footnote w:id="3">
    <w:p w:rsidR="00AA39D2" w:rsidRPr="0042012E" w:rsidRDefault="00AA39D2" w:rsidP="0042012E">
      <w:pPr>
        <w:rPr>
          <w:sz w:val="16"/>
        </w:rPr>
      </w:pPr>
      <w:r w:rsidRPr="0042012E">
        <w:rPr>
          <w:rStyle w:val="FootnoteReference"/>
          <w:sz w:val="16"/>
        </w:rPr>
        <w:footnoteRef/>
      </w:r>
      <w:r w:rsidRPr="0042012E">
        <w:rPr>
          <w:sz w:val="16"/>
        </w:rPr>
        <w:t xml:space="preserve"> </w:t>
      </w:r>
      <w:proofErr w:type="gramStart"/>
      <w:r w:rsidRPr="0042012E">
        <w:rPr>
          <w:sz w:val="16"/>
        </w:rPr>
        <w:t xml:space="preserve">Holstein, SA, Jung, SH, Richardson, PG, </w:t>
      </w:r>
      <w:proofErr w:type="spellStart"/>
      <w:r w:rsidRPr="0042012E">
        <w:rPr>
          <w:sz w:val="16"/>
        </w:rPr>
        <w:t>Hofmeister</w:t>
      </w:r>
      <w:proofErr w:type="spellEnd"/>
      <w:r w:rsidRPr="0042012E">
        <w:rPr>
          <w:sz w:val="16"/>
        </w:rPr>
        <w:t>, CC, Hurd, DD, Hassoun, H, et al. (2017).</w:t>
      </w:r>
      <w:proofErr w:type="gramEnd"/>
      <w:r w:rsidRPr="0042012E">
        <w:rPr>
          <w:sz w:val="16"/>
        </w:rPr>
        <w:t xml:space="preserve"> "Updated analysis of CALGB (Alliance) 100104 assessing </w:t>
      </w:r>
      <w:proofErr w:type="spellStart"/>
      <w:r w:rsidRPr="0042012E">
        <w:rPr>
          <w:sz w:val="16"/>
        </w:rPr>
        <w:t>lenalidomide</w:t>
      </w:r>
      <w:proofErr w:type="spellEnd"/>
      <w:r w:rsidRPr="0042012E">
        <w:rPr>
          <w:sz w:val="16"/>
        </w:rPr>
        <w:t xml:space="preserve"> versus placebo maintenance after single autologous stem-cell transplantation for multiple myeloma: a randomised, double-blind, phase 3 trial." </w:t>
      </w:r>
      <w:r w:rsidRPr="0042012E">
        <w:rPr>
          <w:i/>
          <w:sz w:val="16"/>
        </w:rPr>
        <w:t xml:space="preserve">Lancet </w:t>
      </w:r>
      <w:proofErr w:type="spellStart"/>
      <w:r w:rsidRPr="0042012E">
        <w:rPr>
          <w:i/>
          <w:sz w:val="16"/>
        </w:rPr>
        <w:t>Haematol</w:t>
      </w:r>
      <w:proofErr w:type="spellEnd"/>
      <w:r w:rsidRPr="0042012E">
        <w:rPr>
          <w:sz w:val="16"/>
        </w:rPr>
        <w:t xml:space="preserve"> </w:t>
      </w:r>
      <w:r w:rsidRPr="0042012E">
        <w:rPr>
          <w:b/>
          <w:bCs/>
          <w:sz w:val="16"/>
        </w:rPr>
        <w:t>4</w:t>
      </w:r>
      <w:r w:rsidRPr="0042012E">
        <w:rPr>
          <w:sz w:val="16"/>
        </w:rPr>
        <w:t>(9): e431-e442.</w:t>
      </w:r>
    </w:p>
    <w:p w:rsidR="00AA39D2" w:rsidRPr="0042012E" w:rsidRDefault="00AA39D2">
      <w:pPr>
        <w:pStyle w:val="FootnoteText"/>
        <w:rPr>
          <w:lang w:val="en-AU"/>
        </w:rPr>
      </w:pPr>
    </w:p>
  </w:footnote>
  <w:footnote w:id="4">
    <w:p w:rsidR="00AA39D2" w:rsidRPr="00C97907" w:rsidRDefault="00AA39D2" w:rsidP="002C645E">
      <w:pPr>
        <w:pStyle w:val="FootnoteText"/>
        <w:spacing w:line="240" w:lineRule="auto"/>
        <w:rPr>
          <w:lang w:val="en-AU"/>
        </w:rPr>
      </w:pPr>
      <w:r>
        <w:rPr>
          <w:rStyle w:val="FootnoteReference"/>
        </w:rPr>
        <w:footnoteRef/>
      </w:r>
      <w:r>
        <w:t xml:space="preserve"> </w:t>
      </w:r>
      <w:proofErr w:type="spellStart"/>
      <w:r w:rsidRPr="00C97907">
        <w:rPr>
          <w:sz w:val="16"/>
        </w:rPr>
        <w:t>Lenalidomide</w:t>
      </w:r>
      <w:proofErr w:type="spellEnd"/>
      <w:r w:rsidRPr="00C97907">
        <w:rPr>
          <w:sz w:val="16"/>
        </w:rPr>
        <w:t xml:space="preserve"> Maintenance Significantly Improves Outcomes Compared to Observation Irrespective of Cytogenetic Risk: Results of the Myeloma XI Trial </w:t>
      </w:r>
      <w:hyperlink r:id="rId1" w:history="1">
        <w:r w:rsidRPr="00C97907">
          <w:rPr>
            <w:rStyle w:val="Hyperlink"/>
            <w:sz w:val="16"/>
          </w:rPr>
          <w:t>https://ash.confex.com/ash/2017/webprogram/Paper102882.html</w:t>
        </w:r>
      </w:hyperlink>
      <w:r w:rsidRPr="00C97907">
        <w:rPr>
          <w:sz w:val="16"/>
        </w:rPr>
        <w:t xml:space="preserve"> </w:t>
      </w:r>
    </w:p>
  </w:footnote>
  <w:footnote w:id="5">
    <w:p w:rsidR="00AA39D2" w:rsidRPr="00954110" w:rsidRDefault="00AA39D2" w:rsidP="00954110">
      <w:pPr>
        <w:pStyle w:val="FootnoteText"/>
        <w:spacing w:before="0" w:line="240" w:lineRule="auto"/>
        <w:rPr>
          <w:i/>
          <w:lang w:val="en-AU"/>
        </w:rPr>
      </w:pPr>
      <w:r w:rsidRPr="00954110">
        <w:rPr>
          <w:rStyle w:val="FootnoteReference"/>
          <w:sz w:val="16"/>
        </w:rPr>
        <w:footnoteRef/>
      </w:r>
      <w:r w:rsidRPr="00954110">
        <w:rPr>
          <w:sz w:val="16"/>
        </w:rPr>
        <w:t xml:space="preserve"> </w:t>
      </w:r>
      <w:proofErr w:type="spellStart"/>
      <w:proofErr w:type="gramStart"/>
      <w:r w:rsidRPr="00954110">
        <w:rPr>
          <w:sz w:val="16"/>
          <w:lang w:val="en-AU"/>
        </w:rPr>
        <w:t>Rajkumar</w:t>
      </w:r>
      <w:proofErr w:type="spellEnd"/>
      <w:r w:rsidRPr="00954110">
        <w:rPr>
          <w:sz w:val="16"/>
          <w:lang w:val="en-AU"/>
        </w:rPr>
        <w:t xml:space="preserve"> V 2016.</w:t>
      </w:r>
      <w:proofErr w:type="gramEnd"/>
      <w:r w:rsidRPr="00954110">
        <w:rPr>
          <w:sz w:val="16"/>
          <w:lang w:val="en-AU"/>
        </w:rPr>
        <w:t xml:space="preserve"> Multiple myeloma: 2016 update on diagnosis, risk-stratification, and management. </w:t>
      </w:r>
      <w:proofErr w:type="gramStart"/>
      <w:r w:rsidRPr="00954110">
        <w:rPr>
          <w:i/>
          <w:sz w:val="16"/>
          <w:lang w:val="en-AU"/>
        </w:rPr>
        <w:t>American Journal of Haematology.</w:t>
      </w:r>
      <w:proofErr w:type="gramEnd"/>
      <w:r w:rsidRPr="00954110">
        <w:rPr>
          <w:i/>
          <w:sz w:val="16"/>
          <w:lang w:val="en-AU"/>
        </w:rPr>
        <w:t xml:space="preserve"> 7:719-34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F0" w:rsidRDefault="003F06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9D2" w:rsidRPr="00F90A91" w:rsidRDefault="00AA39D2" w:rsidP="00C02FEA">
    <w:pPr>
      <w:pStyle w:val="Header"/>
      <w:ind w:left="360"/>
      <w:jc w:val="center"/>
      <w:rPr>
        <w:rFonts w:asciiTheme="minorHAnsi" w:hAnsiTheme="minorHAnsi"/>
        <w:i/>
        <w:color w:val="808080"/>
        <w:sz w:val="22"/>
      </w:rPr>
    </w:pPr>
    <w:r>
      <w:rPr>
        <w:rFonts w:asciiTheme="minorHAnsi" w:hAnsiTheme="minorHAnsi"/>
        <w:i/>
        <w:color w:val="808080"/>
        <w:sz w:val="22"/>
      </w:rPr>
      <w:t xml:space="preserve">Public Summary Document </w:t>
    </w:r>
    <w:r w:rsidRPr="00F90A91">
      <w:rPr>
        <w:rFonts w:asciiTheme="minorHAnsi" w:hAnsiTheme="minorHAnsi"/>
        <w:i/>
        <w:color w:val="808080"/>
        <w:sz w:val="22"/>
      </w:rPr>
      <w:t xml:space="preserve">– </w:t>
    </w:r>
    <w:r>
      <w:rPr>
        <w:rFonts w:asciiTheme="minorHAnsi" w:hAnsiTheme="minorHAnsi"/>
        <w:i/>
        <w:color w:val="808080"/>
        <w:sz w:val="22"/>
      </w:rPr>
      <w:t>March 2018</w:t>
    </w:r>
    <w:r w:rsidRPr="00F90A91">
      <w:rPr>
        <w:rFonts w:asciiTheme="minorHAnsi" w:hAnsiTheme="minorHAnsi"/>
        <w:i/>
        <w:color w:val="808080"/>
        <w:sz w:val="22"/>
      </w:rPr>
      <w:t xml:space="preserve"> PBAC Meeting</w:t>
    </w:r>
  </w:p>
  <w:p w:rsidR="00AA39D2" w:rsidRPr="00C02FEA" w:rsidRDefault="00AA39D2" w:rsidP="00C02F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F0" w:rsidRDefault="003F06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3C3C2152"/>
    <w:lvl w:ilvl="0" w:tplc="04090001">
      <w:start w:val="1"/>
      <w:numFmt w:val="bullet"/>
      <w:lvlText w:val=""/>
      <w:lvlJc w:val="left"/>
      <w:pPr>
        <w:ind w:left="720" w:hanging="360"/>
      </w:pPr>
      <w:rPr>
        <w:rFonts w:ascii="Symbol" w:hAnsi="Symbol" w:hint="default"/>
      </w:rPr>
    </w:lvl>
    <w:lvl w:ilvl="1" w:tplc="0692700A">
      <w:numFmt w:val="bullet"/>
      <w:lvlText w:val="•"/>
      <w:lvlJc w:val="left"/>
      <w:pPr>
        <w:ind w:left="1800" w:hanging="720"/>
      </w:pPr>
      <w:rPr>
        <w:rFonts w:ascii="Arial Narrow" w:eastAsia="Times New Roman" w:hAnsi="Arial Narrow"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8A87286"/>
    <w:multiLevelType w:val="hybridMultilevel"/>
    <w:tmpl w:val="5A74AB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3988657F"/>
    <w:multiLevelType w:val="hybridMultilevel"/>
    <w:tmpl w:val="07DE1A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419F3AE2"/>
    <w:multiLevelType w:val="multilevel"/>
    <w:tmpl w:val="6334290C"/>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4442297"/>
    <w:multiLevelType w:val="hybridMultilevel"/>
    <w:tmpl w:val="E6FE4E00"/>
    <w:lvl w:ilvl="0" w:tplc="C324F4FC">
      <w:start w:val="1"/>
      <w:numFmt w:val="bullet"/>
      <w:pStyle w:val="Bulletpoin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B07540F"/>
    <w:multiLevelType w:val="multilevel"/>
    <w:tmpl w:val="6334290C"/>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E7B66FE"/>
    <w:multiLevelType w:val="hybridMultilevel"/>
    <w:tmpl w:val="4CD05012"/>
    <w:lvl w:ilvl="0" w:tplc="601EB62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2945D47"/>
    <w:multiLevelType w:val="hybridMultilevel"/>
    <w:tmpl w:val="666247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784D033C"/>
    <w:multiLevelType w:val="multilevel"/>
    <w:tmpl w:val="15BC3422"/>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asciiTheme="minorHAnsi" w:hAnsi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F564E2F"/>
    <w:multiLevelType w:val="hybridMultilevel"/>
    <w:tmpl w:val="3404D0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7"/>
  </w:num>
  <w:num w:numId="4">
    <w:abstractNumId w:val="5"/>
  </w:num>
  <w:num w:numId="5">
    <w:abstractNumId w:val="11"/>
  </w:num>
  <w:num w:numId="6">
    <w:abstractNumId w:val="10"/>
  </w:num>
  <w:num w:numId="7">
    <w:abstractNumId w:val="8"/>
  </w:num>
  <w:num w:numId="8">
    <w:abstractNumId w:val="2"/>
  </w:num>
  <w:num w:numId="9">
    <w:abstractNumId w:val="0"/>
  </w:num>
  <w:num w:numId="10">
    <w:abstractNumId w:val="3"/>
  </w:num>
  <w:num w:numId="11">
    <w:abstractNumId w:val="6"/>
  </w:num>
  <w:num w:numId="12">
    <w:abstractNumId w:val="4"/>
  </w:num>
  <w:num w:numId="13">
    <w:abstractNumId w:val="9"/>
  </w:num>
  <w:num w:numId="14">
    <w:abstractNumId w:val="13"/>
  </w:num>
  <w:num w:numId="15">
    <w:abstractNumId w:val="12"/>
  </w:num>
  <w:num w:numId="16">
    <w:abstractNumId w:val="12"/>
  </w:num>
  <w:num w:numId="17">
    <w:abstractNumId w:val="12"/>
  </w:num>
  <w:num w:numId="18">
    <w:abstractNumId w:val="12"/>
  </w:num>
  <w:num w:numId="19">
    <w:abstractNumId w:val="1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w Roberts">
    <w15:presenceInfo w15:providerId="None" w15:userId="Andrew Rober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2F4"/>
    <w:rsid w:val="00000790"/>
    <w:rsid w:val="00000B91"/>
    <w:rsid w:val="00000D92"/>
    <w:rsid w:val="0000110B"/>
    <w:rsid w:val="0000149E"/>
    <w:rsid w:val="00001620"/>
    <w:rsid w:val="00002740"/>
    <w:rsid w:val="00003499"/>
    <w:rsid w:val="000039B7"/>
    <w:rsid w:val="00003E68"/>
    <w:rsid w:val="000047FB"/>
    <w:rsid w:val="0000624B"/>
    <w:rsid w:val="000070FD"/>
    <w:rsid w:val="000105B5"/>
    <w:rsid w:val="00011002"/>
    <w:rsid w:val="0001208E"/>
    <w:rsid w:val="00013247"/>
    <w:rsid w:val="00013315"/>
    <w:rsid w:val="00015886"/>
    <w:rsid w:val="000162EF"/>
    <w:rsid w:val="00016356"/>
    <w:rsid w:val="00020264"/>
    <w:rsid w:val="000214A2"/>
    <w:rsid w:val="000219FC"/>
    <w:rsid w:val="00021B98"/>
    <w:rsid w:val="0002225F"/>
    <w:rsid w:val="00023763"/>
    <w:rsid w:val="00023B1E"/>
    <w:rsid w:val="00024532"/>
    <w:rsid w:val="000247CC"/>
    <w:rsid w:val="000253BB"/>
    <w:rsid w:val="000253CD"/>
    <w:rsid w:val="00025AB1"/>
    <w:rsid w:val="00025BC8"/>
    <w:rsid w:val="0002605F"/>
    <w:rsid w:val="00027FA5"/>
    <w:rsid w:val="00031251"/>
    <w:rsid w:val="00032036"/>
    <w:rsid w:val="0003272D"/>
    <w:rsid w:val="00032F58"/>
    <w:rsid w:val="00033863"/>
    <w:rsid w:val="00033EA1"/>
    <w:rsid w:val="00035DC0"/>
    <w:rsid w:val="00035E24"/>
    <w:rsid w:val="000362E8"/>
    <w:rsid w:val="000367E5"/>
    <w:rsid w:val="00036829"/>
    <w:rsid w:val="00037B1D"/>
    <w:rsid w:val="00037D8F"/>
    <w:rsid w:val="00040895"/>
    <w:rsid w:val="00040E0A"/>
    <w:rsid w:val="00040E19"/>
    <w:rsid w:val="0004182B"/>
    <w:rsid w:val="00041C51"/>
    <w:rsid w:val="00042890"/>
    <w:rsid w:val="00042D77"/>
    <w:rsid w:val="00043C37"/>
    <w:rsid w:val="00044CE9"/>
    <w:rsid w:val="00045017"/>
    <w:rsid w:val="00045A2B"/>
    <w:rsid w:val="00045E51"/>
    <w:rsid w:val="00046136"/>
    <w:rsid w:val="000467CC"/>
    <w:rsid w:val="0004698F"/>
    <w:rsid w:val="00050AA3"/>
    <w:rsid w:val="00050CD7"/>
    <w:rsid w:val="00050E4A"/>
    <w:rsid w:val="00051D2B"/>
    <w:rsid w:val="00052BF7"/>
    <w:rsid w:val="0005326D"/>
    <w:rsid w:val="00053479"/>
    <w:rsid w:val="000539D0"/>
    <w:rsid w:val="000545AC"/>
    <w:rsid w:val="00054621"/>
    <w:rsid w:val="000546D7"/>
    <w:rsid w:val="0005711F"/>
    <w:rsid w:val="0005713E"/>
    <w:rsid w:val="00057E72"/>
    <w:rsid w:val="0006015B"/>
    <w:rsid w:val="00061022"/>
    <w:rsid w:val="0006183E"/>
    <w:rsid w:val="0006323D"/>
    <w:rsid w:val="00064BA8"/>
    <w:rsid w:val="00064C6D"/>
    <w:rsid w:val="00065AB4"/>
    <w:rsid w:val="00066360"/>
    <w:rsid w:val="0006678F"/>
    <w:rsid w:val="00066A92"/>
    <w:rsid w:val="000672F5"/>
    <w:rsid w:val="00070046"/>
    <w:rsid w:val="000703D1"/>
    <w:rsid w:val="00070EEB"/>
    <w:rsid w:val="00071248"/>
    <w:rsid w:val="00071474"/>
    <w:rsid w:val="00071583"/>
    <w:rsid w:val="000720B9"/>
    <w:rsid w:val="00072B38"/>
    <w:rsid w:val="000737F7"/>
    <w:rsid w:val="00073D16"/>
    <w:rsid w:val="0007409F"/>
    <w:rsid w:val="0007470A"/>
    <w:rsid w:val="00075BB2"/>
    <w:rsid w:val="00075F1D"/>
    <w:rsid w:val="0007672F"/>
    <w:rsid w:val="0007704A"/>
    <w:rsid w:val="000774F0"/>
    <w:rsid w:val="00080894"/>
    <w:rsid w:val="000808C9"/>
    <w:rsid w:val="00080909"/>
    <w:rsid w:val="000812CA"/>
    <w:rsid w:val="00081386"/>
    <w:rsid w:val="00081FA9"/>
    <w:rsid w:val="0008258D"/>
    <w:rsid w:val="0008279A"/>
    <w:rsid w:val="00082811"/>
    <w:rsid w:val="00083E99"/>
    <w:rsid w:val="00085467"/>
    <w:rsid w:val="000856C5"/>
    <w:rsid w:val="00085C44"/>
    <w:rsid w:val="0008619A"/>
    <w:rsid w:val="000878A1"/>
    <w:rsid w:val="000878BB"/>
    <w:rsid w:val="00090C7E"/>
    <w:rsid w:val="00090CA3"/>
    <w:rsid w:val="00090EB1"/>
    <w:rsid w:val="00091CBA"/>
    <w:rsid w:val="0009230A"/>
    <w:rsid w:val="00092600"/>
    <w:rsid w:val="0009262B"/>
    <w:rsid w:val="00093310"/>
    <w:rsid w:val="00093CCB"/>
    <w:rsid w:val="0009445C"/>
    <w:rsid w:val="0009456A"/>
    <w:rsid w:val="000947F5"/>
    <w:rsid w:val="000955CC"/>
    <w:rsid w:val="00095FE5"/>
    <w:rsid w:val="00096284"/>
    <w:rsid w:val="00096850"/>
    <w:rsid w:val="00096DEC"/>
    <w:rsid w:val="00097254"/>
    <w:rsid w:val="000972D6"/>
    <w:rsid w:val="000A0E3D"/>
    <w:rsid w:val="000A11EA"/>
    <w:rsid w:val="000A5D99"/>
    <w:rsid w:val="000A616C"/>
    <w:rsid w:val="000A72A6"/>
    <w:rsid w:val="000A7374"/>
    <w:rsid w:val="000A7C7D"/>
    <w:rsid w:val="000A7D08"/>
    <w:rsid w:val="000B0670"/>
    <w:rsid w:val="000B0A46"/>
    <w:rsid w:val="000B0E75"/>
    <w:rsid w:val="000B1065"/>
    <w:rsid w:val="000B1D25"/>
    <w:rsid w:val="000B1FA8"/>
    <w:rsid w:val="000B2426"/>
    <w:rsid w:val="000B3519"/>
    <w:rsid w:val="000B37C1"/>
    <w:rsid w:val="000B38B3"/>
    <w:rsid w:val="000B3C9C"/>
    <w:rsid w:val="000B4767"/>
    <w:rsid w:val="000B55A2"/>
    <w:rsid w:val="000B5940"/>
    <w:rsid w:val="000B5C11"/>
    <w:rsid w:val="000B631B"/>
    <w:rsid w:val="000B6CAC"/>
    <w:rsid w:val="000B725F"/>
    <w:rsid w:val="000B7612"/>
    <w:rsid w:val="000C01BB"/>
    <w:rsid w:val="000C0848"/>
    <w:rsid w:val="000C15DA"/>
    <w:rsid w:val="000C2651"/>
    <w:rsid w:val="000C2C28"/>
    <w:rsid w:val="000C2D0F"/>
    <w:rsid w:val="000C2DAA"/>
    <w:rsid w:val="000C31D5"/>
    <w:rsid w:val="000C346F"/>
    <w:rsid w:val="000C3DF9"/>
    <w:rsid w:val="000C4F6C"/>
    <w:rsid w:val="000C5AB5"/>
    <w:rsid w:val="000C5F2F"/>
    <w:rsid w:val="000C6713"/>
    <w:rsid w:val="000C6946"/>
    <w:rsid w:val="000C7872"/>
    <w:rsid w:val="000D1BFC"/>
    <w:rsid w:val="000D2525"/>
    <w:rsid w:val="000D281A"/>
    <w:rsid w:val="000D2ACC"/>
    <w:rsid w:val="000D2F63"/>
    <w:rsid w:val="000D3186"/>
    <w:rsid w:val="000D326A"/>
    <w:rsid w:val="000D3447"/>
    <w:rsid w:val="000D411D"/>
    <w:rsid w:val="000D51FB"/>
    <w:rsid w:val="000D5AAA"/>
    <w:rsid w:val="000E0779"/>
    <w:rsid w:val="000E135D"/>
    <w:rsid w:val="000E20B4"/>
    <w:rsid w:val="000E29E7"/>
    <w:rsid w:val="000E2E68"/>
    <w:rsid w:val="000E3FA0"/>
    <w:rsid w:val="000E4E4B"/>
    <w:rsid w:val="000F00BA"/>
    <w:rsid w:val="000F0488"/>
    <w:rsid w:val="000F223B"/>
    <w:rsid w:val="000F2E4D"/>
    <w:rsid w:val="000F316A"/>
    <w:rsid w:val="000F3C74"/>
    <w:rsid w:val="000F4BB8"/>
    <w:rsid w:val="000F5D96"/>
    <w:rsid w:val="000F5F5A"/>
    <w:rsid w:val="000F6320"/>
    <w:rsid w:val="000F7127"/>
    <w:rsid w:val="000F7866"/>
    <w:rsid w:val="000F7A0F"/>
    <w:rsid w:val="000F7D64"/>
    <w:rsid w:val="001002C1"/>
    <w:rsid w:val="00100955"/>
    <w:rsid w:val="00100F8A"/>
    <w:rsid w:val="00100FEC"/>
    <w:rsid w:val="00101DA0"/>
    <w:rsid w:val="001034E6"/>
    <w:rsid w:val="00105772"/>
    <w:rsid w:val="00105AE2"/>
    <w:rsid w:val="00106208"/>
    <w:rsid w:val="00106B80"/>
    <w:rsid w:val="0011032E"/>
    <w:rsid w:val="0011095F"/>
    <w:rsid w:val="00110FB6"/>
    <w:rsid w:val="001133CE"/>
    <w:rsid w:val="0011348B"/>
    <w:rsid w:val="00113706"/>
    <w:rsid w:val="00113883"/>
    <w:rsid w:val="00113E31"/>
    <w:rsid w:val="001144B3"/>
    <w:rsid w:val="00114D0E"/>
    <w:rsid w:val="00115982"/>
    <w:rsid w:val="00116B97"/>
    <w:rsid w:val="00116C53"/>
    <w:rsid w:val="00120BB2"/>
    <w:rsid w:val="00121563"/>
    <w:rsid w:val="00121799"/>
    <w:rsid w:val="00121A3C"/>
    <w:rsid w:val="001222FC"/>
    <w:rsid w:val="001231E2"/>
    <w:rsid w:val="00123AF4"/>
    <w:rsid w:val="00124031"/>
    <w:rsid w:val="00124A41"/>
    <w:rsid w:val="00124A51"/>
    <w:rsid w:val="00124B1E"/>
    <w:rsid w:val="00124E6A"/>
    <w:rsid w:val="00126463"/>
    <w:rsid w:val="001264AE"/>
    <w:rsid w:val="00126621"/>
    <w:rsid w:val="00127563"/>
    <w:rsid w:val="001301E9"/>
    <w:rsid w:val="00130749"/>
    <w:rsid w:val="00130E55"/>
    <w:rsid w:val="0013189C"/>
    <w:rsid w:val="00131D82"/>
    <w:rsid w:val="00132D58"/>
    <w:rsid w:val="00133496"/>
    <w:rsid w:val="00133D36"/>
    <w:rsid w:val="00133FBC"/>
    <w:rsid w:val="0013648E"/>
    <w:rsid w:val="00136D47"/>
    <w:rsid w:val="00137645"/>
    <w:rsid w:val="0014015A"/>
    <w:rsid w:val="00140E92"/>
    <w:rsid w:val="00140E99"/>
    <w:rsid w:val="00142E0D"/>
    <w:rsid w:val="00143B26"/>
    <w:rsid w:val="00143B84"/>
    <w:rsid w:val="00144BF5"/>
    <w:rsid w:val="00145540"/>
    <w:rsid w:val="001456B0"/>
    <w:rsid w:val="0014583B"/>
    <w:rsid w:val="00146786"/>
    <w:rsid w:val="00147940"/>
    <w:rsid w:val="001510EB"/>
    <w:rsid w:val="001530AE"/>
    <w:rsid w:val="00153539"/>
    <w:rsid w:val="00153AEB"/>
    <w:rsid w:val="0015450A"/>
    <w:rsid w:val="00154704"/>
    <w:rsid w:val="0015638C"/>
    <w:rsid w:val="001568BA"/>
    <w:rsid w:val="00157130"/>
    <w:rsid w:val="001576B1"/>
    <w:rsid w:val="00157885"/>
    <w:rsid w:val="0016071D"/>
    <w:rsid w:val="00160A4C"/>
    <w:rsid w:val="00161376"/>
    <w:rsid w:val="001619F2"/>
    <w:rsid w:val="0016275B"/>
    <w:rsid w:val="00162913"/>
    <w:rsid w:val="00162C99"/>
    <w:rsid w:val="00163EFF"/>
    <w:rsid w:val="00164EE5"/>
    <w:rsid w:val="00165004"/>
    <w:rsid w:val="0016501D"/>
    <w:rsid w:val="001650A0"/>
    <w:rsid w:val="0016535C"/>
    <w:rsid w:val="001654B7"/>
    <w:rsid w:val="00165AB5"/>
    <w:rsid w:val="001661FB"/>
    <w:rsid w:val="00166B28"/>
    <w:rsid w:val="00167B72"/>
    <w:rsid w:val="0017190A"/>
    <w:rsid w:val="00173565"/>
    <w:rsid w:val="001736C7"/>
    <w:rsid w:val="00173B07"/>
    <w:rsid w:val="001741A2"/>
    <w:rsid w:val="0017765F"/>
    <w:rsid w:val="00180B8F"/>
    <w:rsid w:val="00181D9C"/>
    <w:rsid w:val="0018220C"/>
    <w:rsid w:val="0018259B"/>
    <w:rsid w:val="00182B2D"/>
    <w:rsid w:val="00183343"/>
    <w:rsid w:val="001838EA"/>
    <w:rsid w:val="00183E18"/>
    <w:rsid w:val="001856F7"/>
    <w:rsid w:val="0018752F"/>
    <w:rsid w:val="001903D8"/>
    <w:rsid w:val="00190ECB"/>
    <w:rsid w:val="0019176C"/>
    <w:rsid w:val="001948DC"/>
    <w:rsid w:val="00194D33"/>
    <w:rsid w:val="00195222"/>
    <w:rsid w:val="001956F9"/>
    <w:rsid w:val="00196998"/>
    <w:rsid w:val="00196FEB"/>
    <w:rsid w:val="00197256"/>
    <w:rsid w:val="001975D8"/>
    <w:rsid w:val="001A211B"/>
    <w:rsid w:val="001A3A83"/>
    <w:rsid w:val="001A43FA"/>
    <w:rsid w:val="001A45FD"/>
    <w:rsid w:val="001A59FB"/>
    <w:rsid w:val="001A5C44"/>
    <w:rsid w:val="001A6354"/>
    <w:rsid w:val="001A7AE8"/>
    <w:rsid w:val="001B204E"/>
    <w:rsid w:val="001B25A9"/>
    <w:rsid w:val="001B30CE"/>
    <w:rsid w:val="001B3443"/>
    <w:rsid w:val="001B4491"/>
    <w:rsid w:val="001B4D20"/>
    <w:rsid w:val="001B7985"/>
    <w:rsid w:val="001B7E90"/>
    <w:rsid w:val="001C1E3E"/>
    <w:rsid w:val="001C20B8"/>
    <w:rsid w:val="001C2368"/>
    <w:rsid w:val="001C2A9B"/>
    <w:rsid w:val="001C4299"/>
    <w:rsid w:val="001C49AB"/>
    <w:rsid w:val="001C55A7"/>
    <w:rsid w:val="001C5F94"/>
    <w:rsid w:val="001C63F1"/>
    <w:rsid w:val="001C6E66"/>
    <w:rsid w:val="001D17CA"/>
    <w:rsid w:val="001D29F6"/>
    <w:rsid w:val="001D2F15"/>
    <w:rsid w:val="001D4DA3"/>
    <w:rsid w:val="001D51C9"/>
    <w:rsid w:val="001D52B9"/>
    <w:rsid w:val="001D5582"/>
    <w:rsid w:val="001D61F5"/>
    <w:rsid w:val="001D62CC"/>
    <w:rsid w:val="001D64DB"/>
    <w:rsid w:val="001D6FD6"/>
    <w:rsid w:val="001D75C0"/>
    <w:rsid w:val="001D75EA"/>
    <w:rsid w:val="001D777E"/>
    <w:rsid w:val="001E0605"/>
    <w:rsid w:val="001E116D"/>
    <w:rsid w:val="001E15BF"/>
    <w:rsid w:val="001E238E"/>
    <w:rsid w:val="001E2483"/>
    <w:rsid w:val="001E2B1E"/>
    <w:rsid w:val="001E2B91"/>
    <w:rsid w:val="001E30D4"/>
    <w:rsid w:val="001E40CB"/>
    <w:rsid w:val="001E51D0"/>
    <w:rsid w:val="001E52EB"/>
    <w:rsid w:val="001E57A0"/>
    <w:rsid w:val="001E61D2"/>
    <w:rsid w:val="001E6310"/>
    <w:rsid w:val="001E6D42"/>
    <w:rsid w:val="001E717E"/>
    <w:rsid w:val="001E71E0"/>
    <w:rsid w:val="001E740C"/>
    <w:rsid w:val="001E7D90"/>
    <w:rsid w:val="001F1235"/>
    <w:rsid w:val="001F1CB3"/>
    <w:rsid w:val="001F20C8"/>
    <w:rsid w:val="001F2A07"/>
    <w:rsid w:val="001F2B08"/>
    <w:rsid w:val="001F38B5"/>
    <w:rsid w:val="001F3C71"/>
    <w:rsid w:val="001F5F6B"/>
    <w:rsid w:val="001F7361"/>
    <w:rsid w:val="001F7AD4"/>
    <w:rsid w:val="00200262"/>
    <w:rsid w:val="002011B0"/>
    <w:rsid w:val="0020159A"/>
    <w:rsid w:val="00202BD7"/>
    <w:rsid w:val="00203181"/>
    <w:rsid w:val="002035EE"/>
    <w:rsid w:val="00203783"/>
    <w:rsid w:val="0020385F"/>
    <w:rsid w:val="00204D87"/>
    <w:rsid w:val="002054A9"/>
    <w:rsid w:val="002066F0"/>
    <w:rsid w:val="00207021"/>
    <w:rsid w:val="0020732F"/>
    <w:rsid w:val="00207D00"/>
    <w:rsid w:val="002105C1"/>
    <w:rsid w:val="00210698"/>
    <w:rsid w:val="00210841"/>
    <w:rsid w:val="00210E3F"/>
    <w:rsid w:val="00211AF7"/>
    <w:rsid w:val="002121E5"/>
    <w:rsid w:val="00212BD0"/>
    <w:rsid w:val="00213D76"/>
    <w:rsid w:val="00214562"/>
    <w:rsid w:val="0021580A"/>
    <w:rsid w:val="00215CE0"/>
    <w:rsid w:val="0021611C"/>
    <w:rsid w:val="0021620E"/>
    <w:rsid w:val="002204EF"/>
    <w:rsid w:val="0022280D"/>
    <w:rsid w:val="00223B49"/>
    <w:rsid w:val="0022438B"/>
    <w:rsid w:val="00224DD4"/>
    <w:rsid w:val="0022504B"/>
    <w:rsid w:val="002256D5"/>
    <w:rsid w:val="00227E77"/>
    <w:rsid w:val="00227FFE"/>
    <w:rsid w:val="0023045C"/>
    <w:rsid w:val="002309CC"/>
    <w:rsid w:val="00230C8E"/>
    <w:rsid w:val="00230CD5"/>
    <w:rsid w:val="0023142C"/>
    <w:rsid w:val="00231559"/>
    <w:rsid w:val="002315C9"/>
    <w:rsid w:val="002318C7"/>
    <w:rsid w:val="0023209F"/>
    <w:rsid w:val="00232A77"/>
    <w:rsid w:val="00232D6A"/>
    <w:rsid w:val="002333CE"/>
    <w:rsid w:val="0023399F"/>
    <w:rsid w:val="00234895"/>
    <w:rsid w:val="0023629D"/>
    <w:rsid w:val="00237255"/>
    <w:rsid w:val="00237B6D"/>
    <w:rsid w:val="002407AF"/>
    <w:rsid w:val="00240A03"/>
    <w:rsid w:val="0024110B"/>
    <w:rsid w:val="00241911"/>
    <w:rsid w:val="00241FF5"/>
    <w:rsid w:val="00242447"/>
    <w:rsid w:val="002424AF"/>
    <w:rsid w:val="00242DA1"/>
    <w:rsid w:val="002439DC"/>
    <w:rsid w:val="002445B6"/>
    <w:rsid w:val="0024486F"/>
    <w:rsid w:val="00244DC8"/>
    <w:rsid w:val="0024553F"/>
    <w:rsid w:val="002458BA"/>
    <w:rsid w:val="0024636C"/>
    <w:rsid w:val="002473DB"/>
    <w:rsid w:val="00247925"/>
    <w:rsid w:val="00247AF0"/>
    <w:rsid w:val="00250931"/>
    <w:rsid w:val="00250ED7"/>
    <w:rsid w:val="0025196E"/>
    <w:rsid w:val="00252B63"/>
    <w:rsid w:val="00253543"/>
    <w:rsid w:val="0025420C"/>
    <w:rsid w:val="00254DCF"/>
    <w:rsid w:val="00255045"/>
    <w:rsid w:val="0025534B"/>
    <w:rsid w:val="00255BB7"/>
    <w:rsid w:val="00256C07"/>
    <w:rsid w:val="00257489"/>
    <w:rsid w:val="00257541"/>
    <w:rsid w:val="00257E2A"/>
    <w:rsid w:val="00257F2C"/>
    <w:rsid w:val="002603B1"/>
    <w:rsid w:val="002603D4"/>
    <w:rsid w:val="00260ACD"/>
    <w:rsid w:val="002612DE"/>
    <w:rsid w:val="00262A1A"/>
    <w:rsid w:val="00262A87"/>
    <w:rsid w:val="00263251"/>
    <w:rsid w:val="00263AA3"/>
    <w:rsid w:val="00263B9F"/>
    <w:rsid w:val="00264095"/>
    <w:rsid w:val="00264458"/>
    <w:rsid w:val="00264559"/>
    <w:rsid w:val="00264D26"/>
    <w:rsid w:val="00265C8D"/>
    <w:rsid w:val="00265D9C"/>
    <w:rsid w:val="00266426"/>
    <w:rsid w:val="00266804"/>
    <w:rsid w:val="00266DDE"/>
    <w:rsid w:val="00266F30"/>
    <w:rsid w:val="00267642"/>
    <w:rsid w:val="00267AEA"/>
    <w:rsid w:val="002700E6"/>
    <w:rsid w:val="002708E3"/>
    <w:rsid w:val="00271507"/>
    <w:rsid w:val="0027294B"/>
    <w:rsid w:val="00272E69"/>
    <w:rsid w:val="00273D6C"/>
    <w:rsid w:val="002741BF"/>
    <w:rsid w:val="002742A3"/>
    <w:rsid w:val="00275C5A"/>
    <w:rsid w:val="00276139"/>
    <w:rsid w:val="0027663B"/>
    <w:rsid w:val="00277B8B"/>
    <w:rsid w:val="00277B96"/>
    <w:rsid w:val="00277C59"/>
    <w:rsid w:val="002801B8"/>
    <w:rsid w:val="00281014"/>
    <w:rsid w:val="00283407"/>
    <w:rsid w:val="00283988"/>
    <w:rsid w:val="00284870"/>
    <w:rsid w:val="00287AEF"/>
    <w:rsid w:val="00290305"/>
    <w:rsid w:val="00290BD0"/>
    <w:rsid w:val="00290EFE"/>
    <w:rsid w:val="00291503"/>
    <w:rsid w:val="00295198"/>
    <w:rsid w:val="0029581F"/>
    <w:rsid w:val="00295D95"/>
    <w:rsid w:val="00297A58"/>
    <w:rsid w:val="00297E09"/>
    <w:rsid w:val="002A04BD"/>
    <w:rsid w:val="002A0879"/>
    <w:rsid w:val="002A14AB"/>
    <w:rsid w:val="002A1AFE"/>
    <w:rsid w:val="002A2F50"/>
    <w:rsid w:val="002A3801"/>
    <w:rsid w:val="002A3B75"/>
    <w:rsid w:val="002A45F6"/>
    <w:rsid w:val="002A4B7C"/>
    <w:rsid w:val="002A5654"/>
    <w:rsid w:val="002A7264"/>
    <w:rsid w:val="002A7F46"/>
    <w:rsid w:val="002B09A4"/>
    <w:rsid w:val="002B1885"/>
    <w:rsid w:val="002B1C1F"/>
    <w:rsid w:val="002B243A"/>
    <w:rsid w:val="002B2931"/>
    <w:rsid w:val="002B2A3F"/>
    <w:rsid w:val="002B36A0"/>
    <w:rsid w:val="002B3D65"/>
    <w:rsid w:val="002B432F"/>
    <w:rsid w:val="002B5DE9"/>
    <w:rsid w:val="002B62B3"/>
    <w:rsid w:val="002B62EB"/>
    <w:rsid w:val="002B6754"/>
    <w:rsid w:val="002B6CCE"/>
    <w:rsid w:val="002B7B93"/>
    <w:rsid w:val="002C0033"/>
    <w:rsid w:val="002C03EE"/>
    <w:rsid w:val="002C0445"/>
    <w:rsid w:val="002C0B4A"/>
    <w:rsid w:val="002C2510"/>
    <w:rsid w:val="002C2775"/>
    <w:rsid w:val="002C27C1"/>
    <w:rsid w:val="002C2A8C"/>
    <w:rsid w:val="002C354B"/>
    <w:rsid w:val="002C3EA6"/>
    <w:rsid w:val="002C4618"/>
    <w:rsid w:val="002C5099"/>
    <w:rsid w:val="002C5889"/>
    <w:rsid w:val="002C645E"/>
    <w:rsid w:val="002C71CE"/>
    <w:rsid w:val="002C7203"/>
    <w:rsid w:val="002C749D"/>
    <w:rsid w:val="002C77AA"/>
    <w:rsid w:val="002D01B7"/>
    <w:rsid w:val="002D1086"/>
    <w:rsid w:val="002D165F"/>
    <w:rsid w:val="002D1671"/>
    <w:rsid w:val="002D1776"/>
    <w:rsid w:val="002D2F06"/>
    <w:rsid w:val="002D3800"/>
    <w:rsid w:val="002D4310"/>
    <w:rsid w:val="002D577C"/>
    <w:rsid w:val="002D5AD6"/>
    <w:rsid w:val="002D66ED"/>
    <w:rsid w:val="002D6855"/>
    <w:rsid w:val="002D6964"/>
    <w:rsid w:val="002D7675"/>
    <w:rsid w:val="002E0348"/>
    <w:rsid w:val="002E15B9"/>
    <w:rsid w:val="002E15E0"/>
    <w:rsid w:val="002E2158"/>
    <w:rsid w:val="002E2EA5"/>
    <w:rsid w:val="002E6625"/>
    <w:rsid w:val="002E679F"/>
    <w:rsid w:val="002E70B5"/>
    <w:rsid w:val="002E7722"/>
    <w:rsid w:val="002E7CA7"/>
    <w:rsid w:val="002F07BA"/>
    <w:rsid w:val="002F0DA9"/>
    <w:rsid w:val="002F2140"/>
    <w:rsid w:val="002F44DA"/>
    <w:rsid w:val="002F478C"/>
    <w:rsid w:val="002F4F60"/>
    <w:rsid w:val="002F5848"/>
    <w:rsid w:val="002F643C"/>
    <w:rsid w:val="002F6900"/>
    <w:rsid w:val="002F71C0"/>
    <w:rsid w:val="002F77A5"/>
    <w:rsid w:val="002F7C4C"/>
    <w:rsid w:val="0030031D"/>
    <w:rsid w:val="00300E2A"/>
    <w:rsid w:val="00301017"/>
    <w:rsid w:val="0030155F"/>
    <w:rsid w:val="00301D1B"/>
    <w:rsid w:val="00303334"/>
    <w:rsid w:val="0030342C"/>
    <w:rsid w:val="00303CCD"/>
    <w:rsid w:val="0030410A"/>
    <w:rsid w:val="00304C2C"/>
    <w:rsid w:val="0030566C"/>
    <w:rsid w:val="0030587B"/>
    <w:rsid w:val="0030631E"/>
    <w:rsid w:val="00306D98"/>
    <w:rsid w:val="003072AF"/>
    <w:rsid w:val="0030755A"/>
    <w:rsid w:val="0030786C"/>
    <w:rsid w:val="00307A3B"/>
    <w:rsid w:val="0031031A"/>
    <w:rsid w:val="00310981"/>
    <w:rsid w:val="00310FDC"/>
    <w:rsid w:val="00315498"/>
    <w:rsid w:val="0031557F"/>
    <w:rsid w:val="00315625"/>
    <w:rsid w:val="00315CE3"/>
    <w:rsid w:val="003169EE"/>
    <w:rsid w:val="00316ACA"/>
    <w:rsid w:val="00317555"/>
    <w:rsid w:val="00317AAD"/>
    <w:rsid w:val="003203EE"/>
    <w:rsid w:val="003206D6"/>
    <w:rsid w:val="00320B31"/>
    <w:rsid w:val="003212F3"/>
    <w:rsid w:val="003219D0"/>
    <w:rsid w:val="00322107"/>
    <w:rsid w:val="00322846"/>
    <w:rsid w:val="00324419"/>
    <w:rsid w:val="00324819"/>
    <w:rsid w:val="00326C45"/>
    <w:rsid w:val="00326DA7"/>
    <w:rsid w:val="003270E4"/>
    <w:rsid w:val="00327982"/>
    <w:rsid w:val="00330C36"/>
    <w:rsid w:val="00330F3B"/>
    <w:rsid w:val="00330F5C"/>
    <w:rsid w:val="00332AB0"/>
    <w:rsid w:val="00332B2E"/>
    <w:rsid w:val="00333BB4"/>
    <w:rsid w:val="00334363"/>
    <w:rsid w:val="0033476E"/>
    <w:rsid w:val="00334817"/>
    <w:rsid w:val="00334965"/>
    <w:rsid w:val="003349BF"/>
    <w:rsid w:val="00334E0D"/>
    <w:rsid w:val="003350AB"/>
    <w:rsid w:val="0033669A"/>
    <w:rsid w:val="003366C9"/>
    <w:rsid w:val="00336EF3"/>
    <w:rsid w:val="003371B0"/>
    <w:rsid w:val="00337CC6"/>
    <w:rsid w:val="00340DF1"/>
    <w:rsid w:val="00341BB8"/>
    <w:rsid w:val="003428AA"/>
    <w:rsid w:val="00343BBA"/>
    <w:rsid w:val="003442AF"/>
    <w:rsid w:val="00344A7D"/>
    <w:rsid w:val="003451B4"/>
    <w:rsid w:val="00345CEE"/>
    <w:rsid w:val="00346CF7"/>
    <w:rsid w:val="00347140"/>
    <w:rsid w:val="0035071D"/>
    <w:rsid w:val="003509A8"/>
    <w:rsid w:val="003517F9"/>
    <w:rsid w:val="00351831"/>
    <w:rsid w:val="003518B5"/>
    <w:rsid w:val="00352B32"/>
    <w:rsid w:val="00352C66"/>
    <w:rsid w:val="00352CFF"/>
    <w:rsid w:val="003536E2"/>
    <w:rsid w:val="00354842"/>
    <w:rsid w:val="00355A74"/>
    <w:rsid w:val="0035620E"/>
    <w:rsid w:val="00356CEB"/>
    <w:rsid w:val="003572C8"/>
    <w:rsid w:val="00357468"/>
    <w:rsid w:val="003579A9"/>
    <w:rsid w:val="00357BAB"/>
    <w:rsid w:val="003624B8"/>
    <w:rsid w:val="003624C4"/>
    <w:rsid w:val="0036284B"/>
    <w:rsid w:val="00363E60"/>
    <w:rsid w:val="00364492"/>
    <w:rsid w:val="003654AC"/>
    <w:rsid w:val="00367390"/>
    <w:rsid w:val="00367A7D"/>
    <w:rsid w:val="003710CF"/>
    <w:rsid w:val="0037269A"/>
    <w:rsid w:val="00372E87"/>
    <w:rsid w:val="0037358A"/>
    <w:rsid w:val="00374D80"/>
    <w:rsid w:val="003750F6"/>
    <w:rsid w:val="003750FE"/>
    <w:rsid w:val="003755B1"/>
    <w:rsid w:val="00375B2C"/>
    <w:rsid w:val="003760FC"/>
    <w:rsid w:val="0037685C"/>
    <w:rsid w:val="003770B6"/>
    <w:rsid w:val="003772CE"/>
    <w:rsid w:val="003815EA"/>
    <w:rsid w:val="00381679"/>
    <w:rsid w:val="003830D7"/>
    <w:rsid w:val="0038365C"/>
    <w:rsid w:val="0038369B"/>
    <w:rsid w:val="00383808"/>
    <w:rsid w:val="00383888"/>
    <w:rsid w:val="00383B78"/>
    <w:rsid w:val="003849B9"/>
    <w:rsid w:val="00385A9D"/>
    <w:rsid w:val="00386A4F"/>
    <w:rsid w:val="003874D5"/>
    <w:rsid w:val="00387971"/>
    <w:rsid w:val="003902B1"/>
    <w:rsid w:val="00390A2E"/>
    <w:rsid w:val="0039103B"/>
    <w:rsid w:val="00391349"/>
    <w:rsid w:val="00391BF4"/>
    <w:rsid w:val="00391D5E"/>
    <w:rsid w:val="0039240B"/>
    <w:rsid w:val="00393C27"/>
    <w:rsid w:val="00395CFA"/>
    <w:rsid w:val="003966F7"/>
    <w:rsid w:val="00396896"/>
    <w:rsid w:val="00396BA2"/>
    <w:rsid w:val="00396FD0"/>
    <w:rsid w:val="0039792A"/>
    <w:rsid w:val="003979BB"/>
    <w:rsid w:val="003A1A7A"/>
    <w:rsid w:val="003A238A"/>
    <w:rsid w:val="003A2392"/>
    <w:rsid w:val="003A2831"/>
    <w:rsid w:val="003A2D0D"/>
    <w:rsid w:val="003A3297"/>
    <w:rsid w:val="003A36D2"/>
    <w:rsid w:val="003A3ED1"/>
    <w:rsid w:val="003A428D"/>
    <w:rsid w:val="003A453E"/>
    <w:rsid w:val="003A4D1D"/>
    <w:rsid w:val="003A5169"/>
    <w:rsid w:val="003A5805"/>
    <w:rsid w:val="003A6438"/>
    <w:rsid w:val="003A7792"/>
    <w:rsid w:val="003A779C"/>
    <w:rsid w:val="003B08DE"/>
    <w:rsid w:val="003B0902"/>
    <w:rsid w:val="003B175B"/>
    <w:rsid w:val="003B2682"/>
    <w:rsid w:val="003B2B5E"/>
    <w:rsid w:val="003B35C2"/>
    <w:rsid w:val="003B3666"/>
    <w:rsid w:val="003B39D9"/>
    <w:rsid w:val="003B4449"/>
    <w:rsid w:val="003B5B61"/>
    <w:rsid w:val="003B6319"/>
    <w:rsid w:val="003B6488"/>
    <w:rsid w:val="003B6C9B"/>
    <w:rsid w:val="003B7035"/>
    <w:rsid w:val="003B7638"/>
    <w:rsid w:val="003C01E6"/>
    <w:rsid w:val="003C036D"/>
    <w:rsid w:val="003C0B25"/>
    <w:rsid w:val="003C1421"/>
    <w:rsid w:val="003C1593"/>
    <w:rsid w:val="003C1654"/>
    <w:rsid w:val="003C172F"/>
    <w:rsid w:val="003C1D63"/>
    <w:rsid w:val="003C1ED4"/>
    <w:rsid w:val="003C3584"/>
    <w:rsid w:val="003C3B9B"/>
    <w:rsid w:val="003C4E72"/>
    <w:rsid w:val="003C5379"/>
    <w:rsid w:val="003C6297"/>
    <w:rsid w:val="003C6BC9"/>
    <w:rsid w:val="003C7D19"/>
    <w:rsid w:val="003D1828"/>
    <w:rsid w:val="003D1DE4"/>
    <w:rsid w:val="003D1EAD"/>
    <w:rsid w:val="003D2422"/>
    <w:rsid w:val="003D39A1"/>
    <w:rsid w:val="003D39A7"/>
    <w:rsid w:val="003D3FBF"/>
    <w:rsid w:val="003D4A30"/>
    <w:rsid w:val="003D4D15"/>
    <w:rsid w:val="003D7226"/>
    <w:rsid w:val="003D79BB"/>
    <w:rsid w:val="003D7C98"/>
    <w:rsid w:val="003D7D36"/>
    <w:rsid w:val="003E0543"/>
    <w:rsid w:val="003E1555"/>
    <w:rsid w:val="003E2472"/>
    <w:rsid w:val="003E47CC"/>
    <w:rsid w:val="003E49F0"/>
    <w:rsid w:val="003E6EE1"/>
    <w:rsid w:val="003E6FEA"/>
    <w:rsid w:val="003E71EE"/>
    <w:rsid w:val="003E77E7"/>
    <w:rsid w:val="003F06F0"/>
    <w:rsid w:val="003F0724"/>
    <w:rsid w:val="003F1925"/>
    <w:rsid w:val="003F1DAE"/>
    <w:rsid w:val="003F1F1B"/>
    <w:rsid w:val="003F2BC2"/>
    <w:rsid w:val="003F35DD"/>
    <w:rsid w:val="003F4156"/>
    <w:rsid w:val="003F4B0F"/>
    <w:rsid w:val="003F5109"/>
    <w:rsid w:val="003F6301"/>
    <w:rsid w:val="00400B29"/>
    <w:rsid w:val="0040136C"/>
    <w:rsid w:val="00402552"/>
    <w:rsid w:val="00402623"/>
    <w:rsid w:val="00402D60"/>
    <w:rsid w:val="0040355E"/>
    <w:rsid w:val="004043E6"/>
    <w:rsid w:val="00404872"/>
    <w:rsid w:val="0040504B"/>
    <w:rsid w:val="004057C5"/>
    <w:rsid w:val="00405FE0"/>
    <w:rsid w:val="0040670B"/>
    <w:rsid w:val="004068B4"/>
    <w:rsid w:val="00406BC9"/>
    <w:rsid w:val="00407CB1"/>
    <w:rsid w:val="00407D0D"/>
    <w:rsid w:val="00410098"/>
    <w:rsid w:val="00410708"/>
    <w:rsid w:val="004108C4"/>
    <w:rsid w:val="00410EC7"/>
    <w:rsid w:val="00411B39"/>
    <w:rsid w:val="0041220F"/>
    <w:rsid w:val="0041229D"/>
    <w:rsid w:val="00412716"/>
    <w:rsid w:val="00412E35"/>
    <w:rsid w:val="00413A1E"/>
    <w:rsid w:val="00414476"/>
    <w:rsid w:val="00414C2E"/>
    <w:rsid w:val="00415077"/>
    <w:rsid w:val="004151CF"/>
    <w:rsid w:val="00416364"/>
    <w:rsid w:val="004168BB"/>
    <w:rsid w:val="00416B8F"/>
    <w:rsid w:val="00416E47"/>
    <w:rsid w:val="0042012E"/>
    <w:rsid w:val="004204CE"/>
    <w:rsid w:val="00420AA6"/>
    <w:rsid w:val="00420B9F"/>
    <w:rsid w:val="00420CD6"/>
    <w:rsid w:val="0042138C"/>
    <w:rsid w:val="00421C6A"/>
    <w:rsid w:val="00422260"/>
    <w:rsid w:val="004227A5"/>
    <w:rsid w:val="00422819"/>
    <w:rsid w:val="00423016"/>
    <w:rsid w:val="004238EE"/>
    <w:rsid w:val="0042413F"/>
    <w:rsid w:val="00424402"/>
    <w:rsid w:val="004249FE"/>
    <w:rsid w:val="004252B5"/>
    <w:rsid w:val="00425658"/>
    <w:rsid w:val="004256BC"/>
    <w:rsid w:val="00427326"/>
    <w:rsid w:val="004278EF"/>
    <w:rsid w:val="004278F6"/>
    <w:rsid w:val="00427A9B"/>
    <w:rsid w:val="00427AE3"/>
    <w:rsid w:val="0043049F"/>
    <w:rsid w:val="004319F8"/>
    <w:rsid w:val="00431E55"/>
    <w:rsid w:val="004321F6"/>
    <w:rsid w:val="00432505"/>
    <w:rsid w:val="00433044"/>
    <w:rsid w:val="00433C0F"/>
    <w:rsid w:val="004340A8"/>
    <w:rsid w:val="0043548C"/>
    <w:rsid w:val="004375B9"/>
    <w:rsid w:val="00441393"/>
    <w:rsid w:val="0044246E"/>
    <w:rsid w:val="00442681"/>
    <w:rsid w:val="004428D0"/>
    <w:rsid w:val="00442EF0"/>
    <w:rsid w:val="004431C7"/>
    <w:rsid w:val="00443FCE"/>
    <w:rsid w:val="004443A7"/>
    <w:rsid w:val="0044442C"/>
    <w:rsid w:val="00445634"/>
    <w:rsid w:val="00445941"/>
    <w:rsid w:val="004464EB"/>
    <w:rsid w:val="0044660A"/>
    <w:rsid w:val="00446EDD"/>
    <w:rsid w:val="004471A7"/>
    <w:rsid w:val="00447D26"/>
    <w:rsid w:val="004507F6"/>
    <w:rsid w:val="00451D7F"/>
    <w:rsid w:val="00453807"/>
    <w:rsid w:val="0045482D"/>
    <w:rsid w:val="00454902"/>
    <w:rsid w:val="00454F3B"/>
    <w:rsid w:val="00454F60"/>
    <w:rsid w:val="00455D45"/>
    <w:rsid w:val="00456A37"/>
    <w:rsid w:val="00456AEA"/>
    <w:rsid w:val="0045727E"/>
    <w:rsid w:val="0045771A"/>
    <w:rsid w:val="004605B9"/>
    <w:rsid w:val="00460D6C"/>
    <w:rsid w:val="00461F87"/>
    <w:rsid w:val="004642C2"/>
    <w:rsid w:val="00464595"/>
    <w:rsid w:val="00465C49"/>
    <w:rsid w:val="00465E7A"/>
    <w:rsid w:val="00466C88"/>
    <w:rsid w:val="00466F21"/>
    <w:rsid w:val="00470894"/>
    <w:rsid w:val="0047096A"/>
    <w:rsid w:val="00471B9B"/>
    <w:rsid w:val="00472884"/>
    <w:rsid w:val="00472A79"/>
    <w:rsid w:val="004735A4"/>
    <w:rsid w:val="00473A08"/>
    <w:rsid w:val="00473F19"/>
    <w:rsid w:val="0047427D"/>
    <w:rsid w:val="00474F17"/>
    <w:rsid w:val="00475E22"/>
    <w:rsid w:val="00476837"/>
    <w:rsid w:val="00476F22"/>
    <w:rsid w:val="00477204"/>
    <w:rsid w:val="004779BB"/>
    <w:rsid w:val="00480601"/>
    <w:rsid w:val="0048088E"/>
    <w:rsid w:val="00481B32"/>
    <w:rsid w:val="00481D2D"/>
    <w:rsid w:val="00481E64"/>
    <w:rsid w:val="00482720"/>
    <w:rsid w:val="004835E7"/>
    <w:rsid w:val="004847ED"/>
    <w:rsid w:val="00485112"/>
    <w:rsid w:val="004858C2"/>
    <w:rsid w:val="00485A0D"/>
    <w:rsid w:val="004867E2"/>
    <w:rsid w:val="00486C1A"/>
    <w:rsid w:val="004879FB"/>
    <w:rsid w:val="00487CA4"/>
    <w:rsid w:val="004905AF"/>
    <w:rsid w:val="004919F8"/>
    <w:rsid w:val="00491B3A"/>
    <w:rsid w:val="00491B9A"/>
    <w:rsid w:val="00492B24"/>
    <w:rsid w:val="00492B92"/>
    <w:rsid w:val="00492CFD"/>
    <w:rsid w:val="00492F7E"/>
    <w:rsid w:val="00493366"/>
    <w:rsid w:val="00493E04"/>
    <w:rsid w:val="004944A6"/>
    <w:rsid w:val="004946FC"/>
    <w:rsid w:val="00494B35"/>
    <w:rsid w:val="00494DD5"/>
    <w:rsid w:val="00495981"/>
    <w:rsid w:val="00495AC7"/>
    <w:rsid w:val="004962D2"/>
    <w:rsid w:val="004968BB"/>
    <w:rsid w:val="00497B03"/>
    <w:rsid w:val="00497E87"/>
    <w:rsid w:val="004A0DA1"/>
    <w:rsid w:val="004A2543"/>
    <w:rsid w:val="004A262F"/>
    <w:rsid w:val="004A2A9D"/>
    <w:rsid w:val="004A2CF3"/>
    <w:rsid w:val="004A35AD"/>
    <w:rsid w:val="004A3626"/>
    <w:rsid w:val="004A480D"/>
    <w:rsid w:val="004A4C3A"/>
    <w:rsid w:val="004A52E9"/>
    <w:rsid w:val="004A5D00"/>
    <w:rsid w:val="004A61BA"/>
    <w:rsid w:val="004A6597"/>
    <w:rsid w:val="004A6C77"/>
    <w:rsid w:val="004A71A2"/>
    <w:rsid w:val="004A7848"/>
    <w:rsid w:val="004B09FC"/>
    <w:rsid w:val="004B0C8E"/>
    <w:rsid w:val="004B1CB4"/>
    <w:rsid w:val="004B1F33"/>
    <w:rsid w:val="004B2BF2"/>
    <w:rsid w:val="004B2F18"/>
    <w:rsid w:val="004B3DDB"/>
    <w:rsid w:val="004B44FD"/>
    <w:rsid w:val="004B5CFC"/>
    <w:rsid w:val="004B7451"/>
    <w:rsid w:val="004B774D"/>
    <w:rsid w:val="004C1807"/>
    <w:rsid w:val="004C1A35"/>
    <w:rsid w:val="004C1B47"/>
    <w:rsid w:val="004C21A1"/>
    <w:rsid w:val="004C2A44"/>
    <w:rsid w:val="004C4AED"/>
    <w:rsid w:val="004C4EF4"/>
    <w:rsid w:val="004C7296"/>
    <w:rsid w:val="004C7A35"/>
    <w:rsid w:val="004C7B71"/>
    <w:rsid w:val="004C7F96"/>
    <w:rsid w:val="004D0958"/>
    <w:rsid w:val="004D10E8"/>
    <w:rsid w:val="004D1150"/>
    <w:rsid w:val="004D1C65"/>
    <w:rsid w:val="004D27DC"/>
    <w:rsid w:val="004D2C2D"/>
    <w:rsid w:val="004D2D05"/>
    <w:rsid w:val="004D3247"/>
    <w:rsid w:val="004D54A5"/>
    <w:rsid w:val="004D5A84"/>
    <w:rsid w:val="004D7227"/>
    <w:rsid w:val="004D7345"/>
    <w:rsid w:val="004E0052"/>
    <w:rsid w:val="004E0E7F"/>
    <w:rsid w:val="004E0EB8"/>
    <w:rsid w:val="004E1967"/>
    <w:rsid w:val="004E2116"/>
    <w:rsid w:val="004E27F8"/>
    <w:rsid w:val="004E2A9B"/>
    <w:rsid w:val="004E2ADC"/>
    <w:rsid w:val="004E2B41"/>
    <w:rsid w:val="004E43B2"/>
    <w:rsid w:val="004E460F"/>
    <w:rsid w:val="004E4ABA"/>
    <w:rsid w:val="004E4CC5"/>
    <w:rsid w:val="004E76CE"/>
    <w:rsid w:val="004F0389"/>
    <w:rsid w:val="004F1463"/>
    <w:rsid w:val="004F1D02"/>
    <w:rsid w:val="004F2183"/>
    <w:rsid w:val="004F238B"/>
    <w:rsid w:val="004F2679"/>
    <w:rsid w:val="004F2F21"/>
    <w:rsid w:val="004F3494"/>
    <w:rsid w:val="004F40FF"/>
    <w:rsid w:val="004F547B"/>
    <w:rsid w:val="004F6913"/>
    <w:rsid w:val="004F7234"/>
    <w:rsid w:val="004F7865"/>
    <w:rsid w:val="0050012F"/>
    <w:rsid w:val="00500138"/>
    <w:rsid w:val="005006FD"/>
    <w:rsid w:val="0050219B"/>
    <w:rsid w:val="005024BE"/>
    <w:rsid w:val="00502DB6"/>
    <w:rsid w:val="00502F5A"/>
    <w:rsid w:val="00503F17"/>
    <w:rsid w:val="005053DC"/>
    <w:rsid w:val="00506928"/>
    <w:rsid w:val="005073AE"/>
    <w:rsid w:val="005073BC"/>
    <w:rsid w:val="005121B0"/>
    <w:rsid w:val="00512218"/>
    <w:rsid w:val="005124D6"/>
    <w:rsid w:val="005135E6"/>
    <w:rsid w:val="00514362"/>
    <w:rsid w:val="00514711"/>
    <w:rsid w:val="00514880"/>
    <w:rsid w:val="005152B5"/>
    <w:rsid w:val="0051671E"/>
    <w:rsid w:val="00521319"/>
    <w:rsid w:val="0052266E"/>
    <w:rsid w:val="00522BC8"/>
    <w:rsid w:val="00523A24"/>
    <w:rsid w:val="00523C28"/>
    <w:rsid w:val="00524A6C"/>
    <w:rsid w:val="005261A5"/>
    <w:rsid w:val="00531A4F"/>
    <w:rsid w:val="0053203C"/>
    <w:rsid w:val="00532C58"/>
    <w:rsid w:val="005338A0"/>
    <w:rsid w:val="0053452C"/>
    <w:rsid w:val="00534650"/>
    <w:rsid w:val="00534810"/>
    <w:rsid w:val="00534B81"/>
    <w:rsid w:val="00534D0F"/>
    <w:rsid w:val="0053504F"/>
    <w:rsid w:val="00535640"/>
    <w:rsid w:val="00535AB6"/>
    <w:rsid w:val="00536451"/>
    <w:rsid w:val="00536F42"/>
    <w:rsid w:val="00537182"/>
    <w:rsid w:val="005412A6"/>
    <w:rsid w:val="0054193A"/>
    <w:rsid w:val="00542743"/>
    <w:rsid w:val="00542C2D"/>
    <w:rsid w:val="00543452"/>
    <w:rsid w:val="00544A2A"/>
    <w:rsid w:val="00544C98"/>
    <w:rsid w:val="00545C29"/>
    <w:rsid w:val="0054674D"/>
    <w:rsid w:val="00546D0D"/>
    <w:rsid w:val="00547AA8"/>
    <w:rsid w:val="00547D2B"/>
    <w:rsid w:val="0055120A"/>
    <w:rsid w:val="00551933"/>
    <w:rsid w:val="00551985"/>
    <w:rsid w:val="00551D38"/>
    <w:rsid w:val="00552081"/>
    <w:rsid w:val="00552BD3"/>
    <w:rsid w:val="00552D7B"/>
    <w:rsid w:val="00553E6E"/>
    <w:rsid w:val="005543DF"/>
    <w:rsid w:val="00555109"/>
    <w:rsid w:val="005567E1"/>
    <w:rsid w:val="005600F2"/>
    <w:rsid w:val="00560D54"/>
    <w:rsid w:val="00563A27"/>
    <w:rsid w:val="005649C6"/>
    <w:rsid w:val="00564B0A"/>
    <w:rsid w:val="00564F81"/>
    <w:rsid w:val="00565979"/>
    <w:rsid w:val="00565A72"/>
    <w:rsid w:val="00565A85"/>
    <w:rsid w:val="00565F51"/>
    <w:rsid w:val="0056696F"/>
    <w:rsid w:val="00567C33"/>
    <w:rsid w:val="00570954"/>
    <w:rsid w:val="0057127E"/>
    <w:rsid w:val="00572269"/>
    <w:rsid w:val="0057244A"/>
    <w:rsid w:val="00575D8D"/>
    <w:rsid w:val="00575FAD"/>
    <w:rsid w:val="00576972"/>
    <w:rsid w:val="00576BD7"/>
    <w:rsid w:val="00576CC5"/>
    <w:rsid w:val="00576DE2"/>
    <w:rsid w:val="0057768A"/>
    <w:rsid w:val="005800CA"/>
    <w:rsid w:val="005801E1"/>
    <w:rsid w:val="005808BE"/>
    <w:rsid w:val="0058167E"/>
    <w:rsid w:val="00582E56"/>
    <w:rsid w:val="0058306E"/>
    <w:rsid w:val="00583439"/>
    <w:rsid w:val="005834E0"/>
    <w:rsid w:val="00583699"/>
    <w:rsid w:val="00583838"/>
    <w:rsid w:val="00583A47"/>
    <w:rsid w:val="00584823"/>
    <w:rsid w:val="00585706"/>
    <w:rsid w:val="00585A11"/>
    <w:rsid w:val="00585C33"/>
    <w:rsid w:val="00585C36"/>
    <w:rsid w:val="00585CDD"/>
    <w:rsid w:val="005864B9"/>
    <w:rsid w:val="00587058"/>
    <w:rsid w:val="00587457"/>
    <w:rsid w:val="005875AF"/>
    <w:rsid w:val="00591060"/>
    <w:rsid w:val="00591957"/>
    <w:rsid w:val="00591DD8"/>
    <w:rsid w:val="005934AD"/>
    <w:rsid w:val="00597BF9"/>
    <w:rsid w:val="005A0202"/>
    <w:rsid w:val="005A0597"/>
    <w:rsid w:val="005A06DE"/>
    <w:rsid w:val="005A101B"/>
    <w:rsid w:val="005A19E5"/>
    <w:rsid w:val="005A22D0"/>
    <w:rsid w:val="005A373D"/>
    <w:rsid w:val="005A3880"/>
    <w:rsid w:val="005A4F62"/>
    <w:rsid w:val="005A7DD2"/>
    <w:rsid w:val="005A7F3D"/>
    <w:rsid w:val="005B0056"/>
    <w:rsid w:val="005B0B1F"/>
    <w:rsid w:val="005B1190"/>
    <w:rsid w:val="005B140C"/>
    <w:rsid w:val="005B31A1"/>
    <w:rsid w:val="005B4655"/>
    <w:rsid w:val="005B5857"/>
    <w:rsid w:val="005B7292"/>
    <w:rsid w:val="005B7C58"/>
    <w:rsid w:val="005C006E"/>
    <w:rsid w:val="005C1B83"/>
    <w:rsid w:val="005C279C"/>
    <w:rsid w:val="005C2D55"/>
    <w:rsid w:val="005C33D5"/>
    <w:rsid w:val="005C346B"/>
    <w:rsid w:val="005C36DC"/>
    <w:rsid w:val="005C39FF"/>
    <w:rsid w:val="005C4E32"/>
    <w:rsid w:val="005C518C"/>
    <w:rsid w:val="005C5BAD"/>
    <w:rsid w:val="005C62F7"/>
    <w:rsid w:val="005C6A3E"/>
    <w:rsid w:val="005C6BEB"/>
    <w:rsid w:val="005C7A18"/>
    <w:rsid w:val="005D044D"/>
    <w:rsid w:val="005D0501"/>
    <w:rsid w:val="005D0A65"/>
    <w:rsid w:val="005D0ABD"/>
    <w:rsid w:val="005D18AD"/>
    <w:rsid w:val="005D26B4"/>
    <w:rsid w:val="005D27DD"/>
    <w:rsid w:val="005D2A12"/>
    <w:rsid w:val="005D2E8D"/>
    <w:rsid w:val="005D2EC2"/>
    <w:rsid w:val="005D3230"/>
    <w:rsid w:val="005D334D"/>
    <w:rsid w:val="005D3DCD"/>
    <w:rsid w:val="005D4504"/>
    <w:rsid w:val="005D57B4"/>
    <w:rsid w:val="005D64E7"/>
    <w:rsid w:val="005D7D08"/>
    <w:rsid w:val="005E04A2"/>
    <w:rsid w:val="005E1EF5"/>
    <w:rsid w:val="005E1FD3"/>
    <w:rsid w:val="005E2300"/>
    <w:rsid w:val="005E2CCB"/>
    <w:rsid w:val="005E2E6A"/>
    <w:rsid w:val="005E3312"/>
    <w:rsid w:val="005E5928"/>
    <w:rsid w:val="005E6CBC"/>
    <w:rsid w:val="005E73C0"/>
    <w:rsid w:val="005E76C4"/>
    <w:rsid w:val="005E7E0E"/>
    <w:rsid w:val="005F046A"/>
    <w:rsid w:val="005F1984"/>
    <w:rsid w:val="005F1ED0"/>
    <w:rsid w:val="005F2706"/>
    <w:rsid w:val="005F35FE"/>
    <w:rsid w:val="005F3B73"/>
    <w:rsid w:val="005F4A0A"/>
    <w:rsid w:val="005F61CA"/>
    <w:rsid w:val="005F6A8F"/>
    <w:rsid w:val="005F7E41"/>
    <w:rsid w:val="00600E18"/>
    <w:rsid w:val="006011AF"/>
    <w:rsid w:val="00601610"/>
    <w:rsid w:val="00602218"/>
    <w:rsid w:val="00603DB9"/>
    <w:rsid w:val="0060531A"/>
    <w:rsid w:val="006060EB"/>
    <w:rsid w:val="0060632A"/>
    <w:rsid w:val="00606950"/>
    <w:rsid w:val="00607669"/>
    <w:rsid w:val="00607AFD"/>
    <w:rsid w:val="00610B41"/>
    <w:rsid w:val="00612B74"/>
    <w:rsid w:val="00612C90"/>
    <w:rsid w:val="00612F97"/>
    <w:rsid w:val="0061345D"/>
    <w:rsid w:val="006154F2"/>
    <w:rsid w:val="00616802"/>
    <w:rsid w:val="00616EAD"/>
    <w:rsid w:val="006170BB"/>
    <w:rsid w:val="006176DE"/>
    <w:rsid w:val="00617A94"/>
    <w:rsid w:val="00617E12"/>
    <w:rsid w:val="00620F68"/>
    <w:rsid w:val="00621444"/>
    <w:rsid w:val="00621477"/>
    <w:rsid w:val="00621A3F"/>
    <w:rsid w:val="00621AAD"/>
    <w:rsid w:val="006224D6"/>
    <w:rsid w:val="006225CC"/>
    <w:rsid w:val="00622D1D"/>
    <w:rsid w:val="00622FD3"/>
    <w:rsid w:val="00624F2D"/>
    <w:rsid w:val="006255DF"/>
    <w:rsid w:val="0062571F"/>
    <w:rsid w:val="00625EF0"/>
    <w:rsid w:val="0062611B"/>
    <w:rsid w:val="00626D08"/>
    <w:rsid w:val="00626DD5"/>
    <w:rsid w:val="00627951"/>
    <w:rsid w:val="00627A02"/>
    <w:rsid w:val="00627A6A"/>
    <w:rsid w:val="00627CD2"/>
    <w:rsid w:val="0063035D"/>
    <w:rsid w:val="0063047D"/>
    <w:rsid w:val="0063158F"/>
    <w:rsid w:val="00631757"/>
    <w:rsid w:val="00631D6B"/>
    <w:rsid w:val="006325F4"/>
    <w:rsid w:val="00632BEA"/>
    <w:rsid w:val="006330A1"/>
    <w:rsid w:val="00633376"/>
    <w:rsid w:val="006333B9"/>
    <w:rsid w:val="0063349F"/>
    <w:rsid w:val="0063479F"/>
    <w:rsid w:val="006353F0"/>
    <w:rsid w:val="00635630"/>
    <w:rsid w:val="00635A4C"/>
    <w:rsid w:val="00635EB7"/>
    <w:rsid w:val="006364A1"/>
    <w:rsid w:val="00637AB9"/>
    <w:rsid w:val="00637BFD"/>
    <w:rsid w:val="00641C4E"/>
    <w:rsid w:val="00641CE3"/>
    <w:rsid w:val="00642A3E"/>
    <w:rsid w:val="00642EC5"/>
    <w:rsid w:val="00643027"/>
    <w:rsid w:val="006434A1"/>
    <w:rsid w:val="0064392D"/>
    <w:rsid w:val="00644252"/>
    <w:rsid w:val="00644EA6"/>
    <w:rsid w:val="00644F9B"/>
    <w:rsid w:val="00646313"/>
    <w:rsid w:val="00646C07"/>
    <w:rsid w:val="006471CC"/>
    <w:rsid w:val="006476CF"/>
    <w:rsid w:val="0065079F"/>
    <w:rsid w:val="00651630"/>
    <w:rsid w:val="0065379F"/>
    <w:rsid w:val="00654A8D"/>
    <w:rsid w:val="00654D71"/>
    <w:rsid w:val="006552B5"/>
    <w:rsid w:val="0065562D"/>
    <w:rsid w:val="00655A03"/>
    <w:rsid w:val="006569DF"/>
    <w:rsid w:val="00656B23"/>
    <w:rsid w:val="00660186"/>
    <w:rsid w:val="006613A5"/>
    <w:rsid w:val="00661C00"/>
    <w:rsid w:val="00661C6B"/>
    <w:rsid w:val="00662149"/>
    <w:rsid w:val="006622A5"/>
    <w:rsid w:val="00662436"/>
    <w:rsid w:val="00662AC0"/>
    <w:rsid w:val="00663D17"/>
    <w:rsid w:val="0066473B"/>
    <w:rsid w:val="006651D8"/>
    <w:rsid w:val="006657B5"/>
    <w:rsid w:val="00667E76"/>
    <w:rsid w:val="00670222"/>
    <w:rsid w:val="00670A3D"/>
    <w:rsid w:val="00670D5D"/>
    <w:rsid w:val="006711EB"/>
    <w:rsid w:val="00671376"/>
    <w:rsid w:val="00671D65"/>
    <w:rsid w:val="0067276E"/>
    <w:rsid w:val="0067388B"/>
    <w:rsid w:val="0067396C"/>
    <w:rsid w:val="00673EF8"/>
    <w:rsid w:val="00674748"/>
    <w:rsid w:val="00674954"/>
    <w:rsid w:val="00674A1E"/>
    <w:rsid w:val="00674E42"/>
    <w:rsid w:val="00675FED"/>
    <w:rsid w:val="00676522"/>
    <w:rsid w:val="00677756"/>
    <w:rsid w:val="00677D19"/>
    <w:rsid w:val="006801C1"/>
    <w:rsid w:val="00680344"/>
    <w:rsid w:val="00680354"/>
    <w:rsid w:val="00680F10"/>
    <w:rsid w:val="00681002"/>
    <w:rsid w:val="00681731"/>
    <w:rsid w:val="00682112"/>
    <w:rsid w:val="0068268C"/>
    <w:rsid w:val="00685B5F"/>
    <w:rsid w:val="0068626B"/>
    <w:rsid w:val="006868B7"/>
    <w:rsid w:val="00686957"/>
    <w:rsid w:val="006872BA"/>
    <w:rsid w:val="006879A2"/>
    <w:rsid w:val="00691648"/>
    <w:rsid w:val="006917D7"/>
    <w:rsid w:val="00692EEA"/>
    <w:rsid w:val="00694E47"/>
    <w:rsid w:val="00694F44"/>
    <w:rsid w:val="0069509C"/>
    <w:rsid w:val="006956FD"/>
    <w:rsid w:val="00695A85"/>
    <w:rsid w:val="00695F2F"/>
    <w:rsid w:val="0069734F"/>
    <w:rsid w:val="006A07E3"/>
    <w:rsid w:val="006A12DD"/>
    <w:rsid w:val="006A1D8B"/>
    <w:rsid w:val="006A260C"/>
    <w:rsid w:val="006A2681"/>
    <w:rsid w:val="006A3B02"/>
    <w:rsid w:val="006A3B31"/>
    <w:rsid w:val="006A4528"/>
    <w:rsid w:val="006A4557"/>
    <w:rsid w:val="006A45A0"/>
    <w:rsid w:val="006A48CE"/>
    <w:rsid w:val="006A494C"/>
    <w:rsid w:val="006A4B2B"/>
    <w:rsid w:val="006A4E2E"/>
    <w:rsid w:val="006A4F21"/>
    <w:rsid w:val="006A5F66"/>
    <w:rsid w:val="006A65EC"/>
    <w:rsid w:val="006A6622"/>
    <w:rsid w:val="006A6882"/>
    <w:rsid w:val="006A6BAE"/>
    <w:rsid w:val="006A6F38"/>
    <w:rsid w:val="006A717A"/>
    <w:rsid w:val="006A7361"/>
    <w:rsid w:val="006A743F"/>
    <w:rsid w:val="006A756F"/>
    <w:rsid w:val="006A7E5F"/>
    <w:rsid w:val="006B02E7"/>
    <w:rsid w:val="006B2203"/>
    <w:rsid w:val="006B261B"/>
    <w:rsid w:val="006B2C90"/>
    <w:rsid w:val="006B4087"/>
    <w:rsid w:val="006B4DC0"/>
    <w:rsid w:val="006B59E7"/>
    <w:rsid w:val="006B6DD0"/>
    <w:rsid w:val="006B7852"/>
    <w:rsid w:val="006C0DC4"/>
    <w:rsid w:val="006C0F94"/>
    <w:rsid w:val="006C2A8E"/>
    <w:rsid w:val="006C40B1"/>
    <w:rsid w:val="006C6739"/>
    <w:rsid w:val="006C6DB6"/>
    <w:rsid w:val="006C78CB"/>
    <w:rsid w:val="006D10F3"/>
    <w:rsid w:val="006D1678"/>
    <w:rsid w:val="006D18EA"/>
    <w:rsid w:val="006D20F2"/>
    <w:rsid w:val="006D380A"/>
    <w:rsid w:val="006D3C7D"/>
    <w:rsid w:val="006D48DC"/>
    <w:rsid w:val="006D5B35"/>
    <w:rsid w:val="006D5D5F"/>
    <w:rsid w:val="006D6AB7"/>
    <w:rsid w:val="006D6B97"/>
    <w:rsid w:val="006D74D6"/>
    <w:rsid w:val="006E1D40"/>
    <w:rsid w:val="006E225E"/>
    <w:rsid w:val="006E28AC"/>
    <w:rsid w:val="006E290A"/>
    <w:rsid w:val="006E336E"/>
    <w:rsid w:val="006E5384"/>
    <w:rsid w:val="006E64AB"/>
    <w:rsid w:val="006F00BA"/>
    <w:rsid w:val="006F0DFD"/>
    <w:rsid w:val="006F140D"/>
    <w:rsid w:val="006F1F4C"/>
    <w:rsid w:val="006F2E19"/>
    <w:rsid w:val="006F306C"/>
    <w:rsid w:val="006F63A5"/>
    <w:rsid w:val="006F6647"/>
    <w:rsid w:val="006F6D11"/>
    <w:rsid w:val="006F6F40"/>
    <w:rsid w:val="006F7767"/>
    <w:rsid w:val="006F7DEA"/>
    <w:rsid w:val="00700CC9"/>
    <w:rsid w:val="0070142B"/>
    <w:rsid w:val="0070276E"/>
    <w:rsid w:val="00702F45"/>
    <w:rsid w:val="00702F8F"/>
    <w:rsid w:val="00704BCE"/>
    <w:rsid w:val="00706835"/>
    <w:rsid w:val="00706E54"/>
    <w:rsid w:val="00710207"/>
    <w:rsid w:val="007112F2"/>
    <w:rsid w:val="0071163C"/>
    <w:rsid w:val="00711A36"/>
    <w:rsid w:val="00712F54"/>
    <w:rsid w:val="007136A6"/>
    <w:rsid w:val="00713884"/>
    <w:rsid w:val="00714940"/>
    <w:rsid w:val="0071502B"/>
    <w:rsid w:val="0071529C"/>
    <w:rsid w:val="007172AD"/>
    <w:rsid w:val="00720346"/>
    <w:rsid w:val="007210C8"/>
    <w:rsid w:val="00721D33"/>
    <w:rsid w:val="00722A5D"/>
    <w:rsid w:val="00722B1B"/>
    <w:rsid w:val="0072416F"/>
    <w:rsid w:val="007254D6"/>
    <w:rsid w:val="0072666A"/>
    <w:rsid w:val="00727A2B"/>
    <w:rsid w:val="00727A77"/>
    <w:rsid w:val="00727C94"/>
    <w:rsid w:val="0073041A"/>
    <w:rsid w:val="00731EAE"/>
    <w:rsid w:val="00732399"/>
    <w:rsid w:val="007325F6"/>
    <w:rsid w:val="0073326F"/>
    <w:rsid w:val="00733541"/>
    <w:rsid w:val="00733734"/>
    <w:rsid w:val="00734B2F"/>
    <w:rsid w:val="00735033"/>
    <w:rsid w:val="00735328"/>
    <w:rsid w:val="00735C54"/>
    <w:rsid w:val="00736094"/>
    <w:rsid w:val="0073685B"/>
    <w:rsid w:val="00736A2B"/>
    <w:rsid w:val="00736E2A"/>
    <w:rsid w:val="007375BB"/>
    <w:rsid w:val="00737D36"/>
    <w:rsid w:val="007409A5"/>
    <w:rsid w:val="00742696"/>
    <w:rsid w:val="007427C9"/>
    <w:rsid w:val="00743CE2"/>
    <w:rsid w:val="0074527A"/>
    <w:rsid w:val="00745BC2"/>
    <w:rsid w:val="00746C4C"/>
    <w:rsid w:val="0074762B"/>
    <w:rsid w:val="007479F0"/>
    <w:rsid w:val="00750209"/>
    <w:rsid w:val="00750290"/>
    <w:rsid w:val="00751071"/>
    <w:rsid w:val="00751558"/>
    <w:rsid w:val="00751DC9"/>
    <w:rsid w:val="00752042"/>
    <w:rsid w:val="00752142"/>
    <w:rsid w:val="007523F9"/>
    <w:rsid w:val="0075246A"/>
    <w:rsid w:val="007528BC"/>
    <w:rsid w:val="00752EE4"/>
    <w:rsid w:val="00753656"/>
    <w:rsid w:val="00753A9A"/>
    <w:rsid w:val="00753FFD"/>
    <w:rsid w:val="00754EAF"/>
    <w:rsid w:val="007557EE"/>
    <w:rsid w:val="007559B2"/>
    <w:rsid w:val="007566D1"/>
    <w:rsid w:val="007566EE"/>
    <w:rsid w:val="00756C81"/>
    <w:rsid w:val="007573E8"/>
    <w:rsid w:val="00757913"/>
    <w:rsid w:val="00757959"/>
    <w:rsid w:val="00757D62"/>
    <w:rsid w:val="007606D0"/>
    <w:rsid w:val="00760C4E"/>
    <w:rsid w:val="00760D15"/>
    <w:rsid w:val="00761542"/>
    <w:rsid w:val="00761DD3"/>
    <w:rsid w:val="00762A84"/>
    <w:rsid w:val="00762F9A"/>
    <w:rsid w:val="00763956"/>
    <w:rsid w:val="00763D3F"/>
    <w:rsid w:val="00765915"/>
    <w:rsid w:val="00765B1A"/>
    <w:rsid w:val="00765BEA"/>
    <w:rsid w:val="00765EA8"/>
    <w:rsid w:val="007663E2"/>
    <w:rsid w:val="00767F87"/>
    <w:rsid w:val="00770395"/>
    <w:rsid w:val="0077098F"/>
    <w:rsid w:val="007726EF"/>
    <w:rsid w:val="0077278D"/>
    <w:rsid w:val="00774403"/>
    <w:rsid w:val="00774BE5"/>
    <w:rsid w:val="007767AF"/>
    <w:rsid w:val="00776903"/>
    <w:rsid w:val="00776E53"/>
    <w:rsid w:val="00777010"/>
    <w:rsid w:val="0077703F"/>
    <w:rsid w:val="00777A9E"/>
    <w:rsid w:val="00780161"/>
    <w:rsid w:val="007804D4"/>
    <w:rsid w:val="00781139"/>
    <w:rsid w:val="00781A11"/>
    <w:rsid w:val="00781D42"/>
    <w:rsid w:val="00782208"/>
    <w:rsid w:val="00782B24"/>
    <w:rsid w:val="00782B49"/>
    <w:rsid w:val="007843F2"/>
    <w:rsid w:val="00785C2B"/>
    <w:rsid w:val="00786F6F"/>
    <w:rsid w:val="00787FC8"/>
    <w:rsid w:val="0079042A"/>
    <w:rsid w:val="00790580"/>
    <w:rsid w:val="00790616"/>
    <w:rsid w:val="00791475"/>
    <w:rsid w:val="00791DAE"/>
    <w:rsid w:val="00793099"/>
    <w:rsid w:val="0079343B"/>
    <w:rsid w:val="00794A75"/>
    <w:rsid w:val="00794C71"/>
    <w:rsid w:val="0079561D"/>
    <w:rsid w:val="0079683A"/>
    <w:rsid w:val="007969EF"/>
    <w:rsid w:val="00796AFF"/>
    <w:rsid w:val="0079772A"/>
    <w:rsid w:val="00797905"/>
    <w:rsid w:val="00797AF9"/>
    <w:rsid w:val="007A0A12"/>
    <w:rsid w:val="007A132D"/>
    <w:rsid w:val="007A16B5"/>
    <w:rsid w:val="007A1874"/>
    <w:rsid w:val="007A1E5C"/>
    <w:rsid w:val="007A4A58"/>
    <w:rsid w:val="007A4D0B"/>
    <w:rsid w:val="007A57BC"/>
    <w:rsid w:val="007A5866"/>
    <w:rsid w:val="007A5D7A"/>
    <w:rsid w:val="007A7414"/>
    <w:rsid w:val="007B0D68"/>
    <w:rsid w:val="007B195D"/>
    <w:rsid w:val="007B251D"/>
    <w:rsid w:val="007B385C"/>
    <w:rsid w:val="007B4F58"/>
    <w:rsid w:val="007B528D"/>
    <w:rsid w:val="007B5427"/>
    <w:rsid w:val="007B6206"/>
    <w:rsid w:val="007B6A4E"/>
    <w:rsid w:val="007B716F"/>
    <w:rsid w:val="007B7669"/>
    <w:rsid w:val="007B76CD"/>
    <w:rsid w:val="007B77D1"/>
    <w:rsid w:val="007C009E"/>
    <w:rsid w:val="007C053E"/>
    <w:rsid w:val="007C091B"/>
    <w:rsid w:val="007C1984"/>
    <w:rsid w:val="007C1CD9"/>
    <w:rsid w:val="007C2747"/>
    <w:rsid w:val="007C2981"/>
    <w:rsid w:val="007C361D"/>
    <w:rsid w:val="007C4B84"/>
    <w:rsid w:val="007C5237"/>
    <w:rsid w:val="007C5500"/>
    <w:rsid w:val="007C61CE"/>
    <w:rsid w:val="007C7AAD"/>
    <w:rsid w:val="007D004F"/>
    <w:rsid w:val="007D03A8"/>
    <w:rsid w:val="007D0B38"/>
    <w:rsid w:val="007D25FA"/>
    <w:rsid w:val="007D35E0"/>
    <w:rsid w:val="007D4DE2"/>
    <w:rsid w:val="007D5440"/>
    <w:rsid w:val="007D5D3F"/>
    <w:rsid w:val="007D5F68"/>
    <w:rsid w:val="007D6AA8"/>
    <w:rsid w:val="007E0071"/>
    <w:rsid w:val="007E0865"/>
    <w:rsid w:val="007E0BFD"/>
    <w:rsid w:val="007E2637"/>
    <w:rsid w:val="007E330D"/>
    <w:rsid w:val="007E5568"/>
    <w:rsid w:val="007E68DC"/>
    <w:rsid w:val="007E6A3F"/>
    <w:rsid w:val="007E7E6B"/>
    <w:rsid w:val="007F07AC"/>
    <w:rsid w:val="007F1017"/>
    <w:rsid w:val="007F18A9"/>
    <w:rsid w:val="007F201D"/>
    <w:rsid w:val="007F4851"/>
    <w:rsid w:val="007F4A3F"/>
    <w:rsid w:val="007F4A61"/>
    <w:rsid w:val="007F4AF7"/>
    <w:rsid w:val="007F51BC"/>
    <w:rsid w:val="007F5842"/>
    <w:rsid w:val="007F61C2"/>
    <w:rsid w:val="007F7D7A"/>
    <w:rsid w:val="0080076F"/>
    <w:rsid w:val="00800E56"/>
    <w:rsid w:val="008011FC"/>
    <w:rsid w:val="00801787"/>
    <w:rsid w:val="008027EF"/>
    <w:rsid w:val="00802A95"/>
    <w:rsid w:val="00802B0D"/>
    <w:rsid w:val="00802FB8"/>
    <w:rsid w:val="0080346F"/>
    <w:rsid w:val="008044B8"/>
    <w:rsid w:val="00805142"/>
    <w:rsid w:val="00805E10"/>
    <w:rsid w:val="0080710A"/>
    <w:rsid w:val="00807478"/>
    <w:rsid w:val="00807A8B"/>
    <w:rsid w:val="00811383"/>
    <w:rsid w:val="00811EC3"/>
    <w:rsid w:val="00812149"/>
    <w:rsid w:val="008127A9"/>
    <w:rsid w:val="00812C1F"/>
    <w:rsid w:val="00812CAC"/>
    <w:rsid w:val="008133C0"/>
    <w:rsid w:val="00813D29"/>
    <w:rsid w:val="008143E5"/>
    <w:rsid w:val="008155FF"/>
    <w:rsid w:val="00815C81"/>
    <w:rsid w:val="00815E46"/>
    <w:rsid w:val="00815F96"/>
    <w:rsid w:val="008166EF"/>
    <w:rsid w:val="00816AC5"/>
    <w:rsid w:val="00820F26"/>
    <w:rsid w:val="008212B1"/>
    <w:rsid w:val="008216E3"/>
    <w:rsid w:val="00821EEF"/>
    <w:rsid w:val="008222FE"/>
    <w:rsid w:val="00822394"/>
    <w:rsid w:val="008227BD"/>
    <w:rsid w:val="00823876"/>
    <w:rsid w:val="00825751"/>
    <w:rsid w:val="00825E9D"/>
    <w:rsid w:val="008264EB"/>
    <w:rsid w:val="00827123"/>
    <w:rsid w:val="0082788C"/>
    <w:rsid w:val="00827ED5"/>
    <w:rsid w:val="008301F3"/>
    <w:rsid w:val="00830440"/>
    <w:rsid w:val="008312A5"/>
    <w:rsid w:val="00831357"/>
    <w:rsid w:val="00832957"/>
    <w:rsid w:val="00833B05"/>
    <w:rsid w:val="008341D1"/>
    <w:rsid w:val="0083493A"/>
    <w:rsid w:val="00834A5C"/>
    <w:rsid w:val="008362B4"/>
    <w:rsid w:val="00840CA2"/>
    <w:rsid w:val="00841574"/>
    <w:rsid w:val="008415CB"/>
    <w:rsid w:val="008429F2"/>
    <w:rsid w:val="008432E8"/>
    <w:rsid w:val="008435F0"/>
    <w:rsid w:val="0084374F"/>
    <w:rsid w:val="00844BFB"/>
    <w:rsid w:val="00844F26"/>
    <w:rsid w:val="0084507C"/>
    <w:rsid w:val="0084548D"/>
    <w:rsid w:val="0084669E"/>
    <w:rsid w:val="008468EF"/>
    <w:rsid w:val="00846F2D"/>
    <w:rsid w:val="00847DF5"/>
    <w:rsid w:val="00847E12"/>
    <w:rsid w:val="0085019F"/>
    <w:rsid w:val="0085129A"/>
    <w:rsid w:val="00852270"/>
    <w:rsid w:val="008524EC"/>
    <w:rsid w:val="00852B8F"/>
    <w:rsid w:val="0085309D"/>
    <w:rsid w:val="008539A6"/>
    <w:rsid w:val="0085432E"/>
    <w:rsid w:val="008543F2"/>
    <w:rsid w:val="00854CBE"/>
    <w:rsid w:val="00854CD2"/>
    <w:rsid w:val="00855499"/>
    <w:rsid w:val="00856897"/>
    <w:rsid w:val="00856E59"/>
    <w:rsid w:val="00856E9A"/>
    <w:rsid w:val="008570CA"/>
    <w:rsid w:val="00857618"/>
    <w:rsid w:val="0086075D"/>
    <w:rsid w:val="00861515"/>
    <w:rsid w:val="008620B9"/>
    <w:rsid w:val="0086212F"/>
    <w:rsid w:val="00862502"/>
    <w:rsid w:val="00862E33"/>
    <w:rsid w:val="00864557"/>
    <w:rsid w:val="00864DC2"/>
    <w:rsid w:val="0086563B"/>
    <w:rsid w:val="00865C79"/>
    <w:rsid w:val="008660D4"/>
    <w:rsid w:val="00867258"/>
    <w:rsid w:val="00870994"/>
    <w:rsid w:val="00870D20"/>
    <w:rsid w:val="00871FA9"/>
    <w:rsid w:val="008728E9"/>
    <w:rsid w:val="00873068"/>
    <w:rsid w:val="00874B7B"/>
    <w:rsid w:val="00874DFC"/>
    <w:rsid w:val="00876C6E"/>
    <w:rsid w:val="00877557"/>
    <w:rsid w:val="0088199B"/>
    <w:rsid w:val="00881D56"/>
    <w:rsid w:val="00882874"/>
    <w:rsid w:val="0088295C"/>
    <w:rsid w:val="00883497"/>
    <w:rsid w:val="00883787"/>
    <w:rsid w:val="00884464"/>
    <w:rsid w:val="00884A7C"/>
    <w:rsid w:val="00885EB1"/>
    <w:rsid w:val="008861A4"/>
    <w:rsid w:val="00886CD2"/>
    <w:rsid w:val="00886ECF"/>
    <w:rsid w:val="00887E33"/>
    <w:rsid w:val="00891868"/>
    <w:rsid w:val="0089205A"/>
    <w:rsid w:val="008929D2"/>
    <w:rsid w:val="00892A36"/>
    <w:rsid w:val="00893239"/>
    <w:rsid w:val="00894275"/>
    <w:rsid w:val="00894489"/>
    <w:rsid w:val="00895B9F"/>
    <w:rsid w:val="008963A5"/>
    <w:rsid w:val="00896B6F"/>
    <w:rsid w:val="00896BD7"/>
    <w:rsid w:val="00896D61"/>
    <w:rsid w:val="0089771A"/>
    <w:rsid w:val="008979B0"/>
    <w:rsid w:val="008A023A"/>
    <w:rsid w:val="008A08DD"/>
    <w:rsid w:val="008A1B03"/>
    <w:rsid w:val="008A21D4"/>
    <w:rsid w:val="008A25A8"/>
    <w:rsid w:val="008A3363"/>
    <w:rsid w:val="008A3371"/>
    <w:rsid w:val="008A3C3E"/>
    <w:rsid w:val="008A3D42"/>
    <w:rsid w:val="008A4D93"/>
    <w:rsid w:val="008A5010"/>
    <w:rsid w:val="008A5D68"/>
    <w:rsid w:val="008A609F"/>
    <w:rsid w:val="008A6465"/>
    <w:rsid w:val="008A79DE"/>
    <w:rsid w:val="008A7F91"/>
    <w:rsid w:val="008B0A91"/>
    <w:rsid w:val="008B124B"/>
    <w:rsid w:val="008B1757"/>
    <w:rsid w:val="008B5362"/>
    <w:rsid w:val="008B6902"/>
    <w:rsid w:val="008B7005"/>
    <w:rsid w:val="008B7D7E"/>
    <w:rsid w:val="008C0758"/>
    <w:rsid w:val="008C087B"/>
    <w:rsid w:val="008C0E12"/>
    <w:rsid w:val="008C1347"/>
    <w:rsid w:val="008C3D95"/>
    <w:rsid w:val="008C4425"/>
    <w:rsid w:val="008C4C80"/>
    <w:rsid w:val="008C5AC2"/>
    <w:rsid w:val="008C71EC"/>
    <w:rsid w:val="008C7ECB"/>
    <w:rsid w:val="008D07A0"/>
    <w:rsid w:val="008D0EC8"/>
    <w:rsid w:val="008D2FDF"/>
    <w:rsid w:val="008D3AEA"/>
    <w:rsid w:val="008D3CE0"/>
    <w:rsid w:val="008D435F"/>
    <w:rsid w:val="008D473E"/>
    <w:rsid w:val="008D4755"/>
    <w:rsid w:val="008D4C3D"/>
    <w:rsid w:val="008D4C7B"/>
    <w:rsid w:val="008D558D"/>
    <w:rsid w:val="008D5BA7"/>
    <w:rsid w:val="008D603E"/>
    <w:rsid w:val="008D6993"/>
    <w:rsid w:val="008D6F1A"/>
    <w:rsid w:val="008D7AD2"/>
    <w:rsid w:val="008D7E7D"/>
    <w:rsid w:val="008E0079"/>
    <w:rsid w:val="008E0128"/>
    <w:rsid w:val="008E01F0"/>
    <w:rsid w:val="008E0333"/>
    <w:rsid w:val="008E07EE"/>
    <w:rsid w:val="008E0D3C"/>
    <w:rsid w:val="008E11B7"/>
    <w:rsid w:val="008E1B9E"/>
    <w:rsid w:val="008E2FEC"/>
    <w:rsid w:val="008E3258"/>
    <w:rsid w:val="008E3E40"/>
    <w:rsid w:val="008E4AB3"/>
    <w:rsid w:val="008E4E08"/>
    <w:rsid w:val="008E55AB"/>
    <w:rsid w:val="008E5A18"/>
    <w:rsid w:val="008E5D60"/>
    <w:rsid w:val="008E653F"/>
    <w:rsid w:val="008E6E62"/>
    <w:rsid w:val="008E77B4"/>
    <w:rsid w:val="008E79D9"/>
    <w:rsid w:val="008F0AC5"/>
    <w:rsid w:val="008F120A"/>
    <w:rsid w:val="008F1357"/>
    <w:rsid w:val="008F16F5"/>
    <w:rsid w:val="008F1CCF"/>
    <w:rsid w:val="008F1F0D"/>
    <w:rsid w:val="008F2745"/>
    <w:rsid w:val="008F27E0"/>
    <w:rsid w:val="008F2A33"/>
    <w:rsid w:val="008F2F4F"/>
    <w:rsid w:val="008F48EB"/>
    <w:rsid w:val="008F4F0B"/>
    <w:rsid w:val="008F547D"/>
    <w:rsid w:val="008F6822"/>
    <w:rsid w:val="008F7837"/>
    <w:rsid w:val="008F7885"/>
    <w:rsid w:val="008F78F4"/>
    <w:rsid w:val="0090037A"/>
    <w:rsid w:val="00901E64"/>
    <w:rsid w:val="00902ED9"/>
    <w:rsid w:val="009046C4"/>
    <w:rsid w:val="009047B3"/>
    <w:rsid w:val="0090520D"/>
    <w:rsid w:val="009062A5"/>
    <w:rsid w:val="009068BC"/>
    <w:rsid w:val="00906964"/>
    <w:rsid w:val="00907189"/>
    <w:rsid w:val="00907FE8"/>
    <w:rsid w:val="00910216"/>
    <w:rsid w:val="009109E5"/>
    <w:rsid w:val="00910FF2"/>
    <w:rsid w:val="00911272"/>
    <w:rsid w:val="009126DB"/>
    <w:rsid w:val="00912B96"/>
    <w:rsid w:val="00912CC8"/>
    <w:rsid w:val="0091335C"/>
    <w:rsid w:val="009134E3"/>
    <w:rsid w:val="009135D6"/>
    <w:rsid w:val="00913AB8"/>
    <w:rsid w:val="0091460B"/>
    <w:rsid w:val="00914AC6"/>
    <w:rsid w:val="00914C77"/>
    <w:rsid w:val="00914FC5"/>
    <w:rsid w:val="00916263"/>
    <w:rsid w:val="009163EC"/>
    <w:rsid w:val="00916AFD"/>
    <w:rsid w:val="009177A7"/>
    <w:rsid w:val="00920DD2"/>
    <w:rsid w:val="009210C7"/>
    <w:rsid w:val="00921B66"/>
    <w:rsid w:val="009223DC"/>
    <w:rsid w:val="0092369B"/>
    <w:rsid w:val="00924394"/>
    <w:rsid w:val="00924E78"/>
    <w:rsid w:val="00925CF9"/>
    <w:rsid w:val="00925F4E"/>
    <w:rsid w:val="00926073"/>
    <w:rsid w:val="0092677D"/>
    <w:rsid w:val="00926BFD"/>
    <w:rsid w:val="00926E7E"/>
    <w:rsid w:val="0092730F"/>
    <w:rsid w:val="009325B1"/>
    <w:rsid w:val="009327B5"/>
    <w:rsid w:val="00932B40"/>
    <w:rsid w:val="00932C99"/>
    <w:rsid w:val="00933AD1"/>
    <w:rsid w:val="00934305"/>
    <w:rsid w:val="00934F22"/>
    <w:rsid w:val="00935A60"/>
    <w:rsid w:val="0093663E"/>
    <w:rsid w:val="00936C28"/>
    <w:rsid w:val="00937DB4"/>
    <w:rsid w:val="00940162"/>
    <w:rsid w:val="00940E79"/>
    <w:rsid w:val="009421A5"/>
    <w:rsid w:val="009423D2"/>
    <w:rsid w:val="009428E5"/>
    <w:rsid w:val="00942E7B"/>
    <w:rsid w:val="00944F89"/>
    <w:rsid w:val="00946408"/>
    <w:rsid w:val="0094694B"/>
    <w:rsid w:val="00946BFF"/>
    <w:rsid w:val="00947077"/>
    <w:rsid w:val="009502C4"/>
    <w:rsid w:val="00950D4C"/>
    <w:rsid w:val="009510A2"/>
    <w:rsid w:val="00953257"/>
    <w:rsid w:val="00953288"/>
    <w:rsid w:val="00954110"/>
    <w:rsid w:val="009552F8"/>
    <w:rsid w:val="009559B3"/>
    <w:rsid w:val="0095662C"/>
    <w:rsid w:val="00957CFD"/>
    <w:rsid w:val="00957F68"/>
    <w:rsid w:val="0096061B"/>
    <w:rsid w:val="009608F5"/>
    <w:rsid w:val="00961566"/>
    <w:rsid w:val="0096188D"/>
    <w:rsid w:val="00962085"/>
    <w:rsid w:val="009624C6"/>
    <w:rsid w:val="00962CB9"/>
    <w:rsid w:val="00963064"/>
    <w:rsid w:val="009630A3"/>
    <w:rsid w:val="00964312"/>
    <w:rsid w:val="00964DDF"/>
    <w:rsid w:val="00965B8A"/>
    <w:rsid w:val="00966AE9"/>
    <w:rsid w:val="0096707A"/>
    <w:rsid w:val="00967D55"/>
    <w:rsid w:val="0097004E"/>
    <w:rsid w:val="009717AC"/>
    <w:rsid w:val="0097207C"/>
    <w:rsid w:val="0097545E"/>
    <w:rsid w:val="00975601"/>
    <w:rsid w:val="00977505"/>
    <w:rsid w:val="00980686"/>
    <w:rsid w:val="009809B9"/>
    <w:rsid w:val="0098217E"/>
    <w:rsid w:val="009831D8"/>
    <w:rsid w:val="00983E57"/>
    <w:rsid w:val="009864EB"/>
    <w:rsid w:val="009865F0"/>
    <w:rsid w:val="0098675D"/>
    <w:rsid w:val="009875D9"/>
    <w:rsid w:val="00991183"/>
    <w:rsid w:val="00991C26"/>
    <w:rsid w:val="00994C55"/>
    <w:rsid w:val="00994D1E"/>
    <w:rsid w:val="00996749"/>
    <w:rsid w:val="009967EE"/>
    <w:rsid w:val="00996B1A"/>
    <w:rsid w:val="009978C2"/>
    <w:rsid w:val="009A009D"/>
    <w:rsid w:val="009A0B10"/>
    <w:rsid w:val="009A0CDB"/>
    <w:rsid w:val="009A0DD4"/>
    <w:rsid w:val="009A0E99"/>
    <w:rsid w:val="009A3214"/>
    <w:rsid w:val="009A3AE0"/>
    <w:rsid w:val="009A55F4"/>
    <w:rsid w:val="009A65BF"/>
    <w:rsid w:val="009A6D78"/>
    <w:rsid w:val="009A7140"/>
    <w:rsid w:val="009A7F10"/>
    <w:rsid w:val="009B17C2"/>
    <w:rsid w:val="009B27E7"/>
    <w:rsid w:val="009B3E26"/>
    <w:rsid w:val="009B52F5"/>
    <w:rsid w:val="009B5B7B"/>
    <w:rsid w:val="009B5F58"/>
    <w:rsid w:val="009B75F5"/>
    <w:rsid w:val="009C1EBB"/>
    <w:rsid w:val="009C386C"/>
    <w:rsid w:val="009C3A0B"/>
    <w:rsid w:val="009C3BCF"/>
    <w:rsid w:val="009C4048"/>
    <w:rsid w:val="009C4660"/>
    <w:rsid w:val="009C5406"/>
    <w:rsid w:val="009C5A9B"/>
    <w:rsid w:val="009C6CEA"/>
    <w:rsid w:val="009C7633"/>
    <w:rsid w:val="009C7AF2"/>
    <w:rsid w:val="009C7B85"/>
    <w:rsid w:val="009D0111"/>
    <w:rsid w:val="009D1376"/>
    <w:rsid w:val="009D1DA7"/>
    <w:rsid w:val="009D233D"/>
    <w:rsid w:val="009D3300"/>
    <w:rsid w:val="009D5817"/>
    <w:rsid w:val="009D5B91"/>
    <w:rsid w:val="009D6699"/>
    <w:rsid w:val="009D7014"/>
    <w:rsid w:val="009D792E"/>
    <w:rsid w:val="009D7AAC"/>
    <w:rsid w:val="009E05FA"/>
    <w:rsid w:val="009E08ED"/>
    <w:rsid w:val="009E0DFE"/>
    <w:rsid w:val="009E2079"/>
    <w:rsid w:val="009E207B"/>
    <w:rsid w:val="009E20FE"/>
    <w:rsid w:val="009E278A"/>
    <w:rsid w:val="009E3495"/>
    <w:rsid w:val="009E3966"/>
    <w:rsid w:val="009E3F4D"/>
    <w:rsid w:val="009E418D"/>
    <w:rsid w:val="009E4615"/>
    <w:rsid w:val="009E48BD"/>
    <w:rsid w:val="009E4C07"/>
    <w:rsid w:val="009E5E4F"/>
    <w:rsid w:val="009E6C38"/>
    <w:rsid w:val="009E7237"/>
    <w:rsid w:val="009E7296"/>
    <w:rsid w:val="009F0256"/>
    <w:rsid w:val="009F0609"/>
    <w:rsid w:val="009F074B"/>
    <w:rsid w:val="009F2537"/>
    <w:rsid w:val="009F2FD6"/>
    <w:rsid w:val="009F39BB"/>
    <w:rsid w:val="009F3E52"/>
    <w:rsid w:val="009F4BDF"/>
    <w:rsid w:val="009F5439"/>
    <w:rsid w:val="009F550F"/>
    <w:rsid w:val="009F6EB5"/>
    <w:rsid w:val="009F7070"/>
    <w:rsid w:val="009F77AC"/>
    <w:rsid w:val="00A002EF"/>
    <w:rsid w:val="00A00E01"/>
    <w:rsid w:val="00A01184"/>
    <w:rsid w:val="00A014D8"/>
    <w:rsid w:val="00A01E83"/>
    <w:rsid w:val="00A01F01"/>
    <w:rsid w:val="00A02B6B"/>
    <w:rsid w:val="00A03CB4"/>
    <w:rsid w:val="00A03D43"/>
    <w:rsid w:val="00A03FBF"/>
    <w:rsid w:val="00A04380"/>
    <w:rsid w:val="00A063C8"/>
    <w:rsid w:val="00A075AD"/>
    <w:rsid w:val="00A07CA9"/>
    <w:rsid w:val="00A10A1C"/>
    <w:rsid w:val="00A11CD0"/>
    <w:rsid w:val="00A13316"/>
    <w:rsid w:val="00A13948"/>
    <w:rsid w:val="00A14612"/>
    <w:rsid w:val="00A14D50"/>
    <w:rsid w:val="00A1555B"/>
    <w:rsid w:val="00A155C5"/>
    <w:rsid w:val="00A157D3"/>
    <w:rsid w:val="00A16976"/>
    <w:rsid w:val="00A16AD8"/>
    <w:rsid w:val="00A17B29"/>
    <w:rsid w:val="00A2070A"/>
    <w:rsid w:val="00A21CF3"/>
    <w:rsid w:val="00A22436"/>
    <w:rsid w:val="00A24E2D"/>
    <w:rsid w:val="00A2591F"/>
    <w:rsid w:val="00A25A64"/>
    <w:rsid w:val="00A25D5B"/>
    <w:rsid w:val="00A267C0"/>
    <w:rsid w:val="00A276D7"/>
    <w:rsid w:val="00A27AEC"/>
    <w:rsid w:val="00A306D2"/>
    <w:rsid w:val="00A313F0"/>
    <w:rsid w:val="00A31B13"/>
    <w:rsid w:val="00A320DB"/>
    <w:rsid w:val="00A32108"/>
    <w:rsid w:val="00A327FC"/>
    <w:rsid w:val="00A32BC7"/>
    <w:rsid w:val="00A32C6B"/>
    <w:rsid w:val="00A32CD4"/>
    <w:rsid w:val="00A33792"/>
    <w:rsid w:val="00A35D16"/>
    <w:rsid w:val="00A35D90"/>
    <w:rsid w:val="00A36DCE"/>
    <w:rsid w:val="00A37BCD"/>
    <w:rsid w:val="00A40630"/>
    <w:rsid w:val="00A40882"/>
    <w:rsid w:val="00A410C9"/>
    <w:rsid w:val="00A41605"/>
    <w:rsid w:val="00A4276B"/>
    <w:rsid w:val="00A431B3"/>
    <w:rsid w:val="00A432F6"/>
    <w:rsid w:val="00A43C59"/>
    <w:rsid w:val="00A44FA8"/>
    <w:rsid w:val="00A5045E"/>
    <w:rsid w:val="00A50ECD"/>
    <w:rsid w:val="00A51705"/>
    <w:rsid w:val="00A51754"/>
    <w:rsid w:val="00A518F3"/>
    <w:rsid w:val="00A5241F"/>
    <w:rsid w:val="00A52729"/>
    <w:rsid w:val="00A53675"/>
    <w:rsid w:val="00A55BA0"/>
    <w:rsid w:val="00A564D7"/>
    <w:rsid w:val="00A56A0F"/>
    <w:rsid w:val="00A56B6A"/>
    <w:rsid w:val="00A578DC"/>
    <w:rsid w:val="00A60E6B"/>
    <w:rsid w:val="00A60F7F"/>
    <w:rsid w:val="00A6122B"/>
    <w:rsid w:val="00A6197C"/>
    <w:rsid w:val="00A62551"/>
    <w:rsid w:val="00A63993"/>
    <w:rsid w:val="00A6453F"/>
    <w:rsid w:val="00A648C8"/>
    <w:rsid w:val="00A6508E"/>
    <w:rsid w:val="00A65590"/>
    <w:rsid w:val="00A6661D"/>
    <w:rsid w:val="00A6725B"/>
    <w:rsid w:val="00A67629"/>
    <w:rsid w:val="00A70605"/>
    <w:rsid w:val="00A70EB6"/>
    <w:rsid w:val="00A71833"/>
    <w:rsid w:val="00A73134"/>
    <w:rsid w:val="00A73F6A"/>
    <w:rsid w:val="00A740CC"/>
    <w:rsid w:val="00A74D60"/>
    <w:rsid w:val="00A758CD"/>
    <w:rsid w:val="00A7655A"/>
    <w:rsid w:val="00A76996"/>
    <w:rsid w:val="00A777B2"/>
    <w:rsid w:val="00A8000A"/>
    <w:rsid w:val="00A80BE4"/>
    <w:rsid w:val="00A812F5"/>
    <w:rsid w:val="00A81E81"/>
    <w:rsid w:val="00A82914"/>
    <w:rsid w:val="00A8312B"/>
    <w:rsid w:val="00A839A9"/>
    <w:rsid w:val="00A84AAA"/>
    <w:rsid w:val="00A84FF9"/>
    <w:rsid w:val="00A851CA"/>
    <w:rsid w:val="00A852EC"/>
    <w:rsid w:val="00A8531E"/>
    <w:rsid w:val="00A86C54"/>
    <w:rsid w:val="00A86E8B"/>
    <w:rsid w:val="00A87164"/>
    <w:rsid w:val="00A87ABE"/>
    <w:rsid w:val="00A915DE"/>
    <w:rsid w:val="00A91969"/>
    <w:rsid w:val="00A91A3D"/>
    <w:rsid w:val="00A93072"/>
    <w:rsid w:val="00A93953"/>
    <w:rsid w:val="00A951F6"/>
    <w:rsid w:val="00A959D8"/>
    <w:rsid w:val="00A9696F"/>
    <w:rsid w:val="00A96C0C"/>
    <w:rsid w:val="00A96D9F"/>
    <w:rsid w:val="00A970BD"/>
    <w:rsid w:val="00A9770F"/>
    <w:rsid w:val="00A97F0A"/>
    <w:rsid w:val="00AA0594"/>
    <w:rsid w:val="00AA0AF2"/>
    <w:rsid w:val="00AA0EAA"/>
    <w:rsid w:val="00AA113D"/>
    <w:rsid w:val="00AA1C99"/>
    <w:rsid w:val="00AA24BE"/>
    <w:rsid w:val="00AA302D"/>
    <w:rsid w:val="00AA3447"/>
    <w:rsid w:val="00AA39C9"/>
    <w:rsid w:val="00AA39D2"/>
    <w:rsid w:val="00AA4BF7"/>
    <w:rsid w:val="00AA56BF"/>
    <w:rsid w:val="00AA6C7D"/>
    <w:rsid w:val="00AA6D7D"/>
    <w:rsid w:val="00AA77FE"/>
    <w:rsid w:val="00AA79FD"/>
    <w:rsid w:val="00AA7FD6"/>
    <w:rsid w:val="00AB01E3"/>
    <w:rsid w:val="00AB042A"/>
    <w:rsid w:val="00AB0B20"/>
    <w:rsid w:val="00AB139A"/>
    <w:rsid w:val="00AB24B3"/>
    <w:rsid w:val="00AB2C66"/>
    <w:rsid w:val="00AB2D34"/>
    <w:rsid w:val="00AB3430"/>
    <w:rsid w:val="00AB3F1D"/>
    <w:rsid w:val="00AB403B"/>
    <w:rsid w:val="00AB4355"/>
    <w:rsid w:val="00AB4AD1"/>
    <w:rsid w:val="00AB5DCD"/>
    <w:rsid w:val="00AB6892"/>
    <w:rsid w:val="00AB6F18"/>
    <w:rsid w:val="00AB6F80"/>
    <w:rsid w:val="00AB75A8"/>
    <w:rsid w:val="00AB7B48"/>
    <w:rsid w:val="00AB7CFA"/>
    <w:rsid w:val="00AC035C"/>
    <w:rsid w:val="00AC07FA"/>
    <w:rsid w:val="00AC0B07"/>
    <w:rsid w:val="00AC11F7"/>
    <w:rsid w:val="00AC1519"/>
    <w:rsid w:val="00AC1FC4"/>
    <w:rsid w:val="00AC203B"/>
    <w:rsid w:val="00AC44C7"/>
    <w:rsid w:val="00AC4C12"/>
    <w:rsid w:val="00AC50E9"/>
    <w:rsid w:val="00AC5A51"/>
    <w:rsid w:val="00AC5B48"/>
    <w:rsid w:val="00AC6192"/>
    <w:rsid w:val="00AC647E"/>
    <w:rsid w:val="00AC698A"/>
    <w:rsid w:val="00AC6CBC"/>
    <w:rsid w:val="00AD1D92"/>
    <w:rsid w:val="00AD1F64"/>
    <w:rsid w:val="00AD4332"/>
    <w:rsid w:val="00AD4528"/>
    <w:rsid w:val="00AD52F3"/>
    <w:rsid w:val="00AD5371"/>
    <w:rsid w:val="00AD5543"/>
    <w:rsid w:val="00AD6502"/>
    <w:rsid w:val="00AD6984"/>
    <w:rsid w:val="00AD6D61"/>
    <w:rsid w:val="00AD7780"/>
    <w:rsid w:val="00AE058B"/>
    <w:rsid w:val="00AE12AE"/>
    <w:rsid w:val="00AE13DA"/>
    <w:rsid w:val="00AE1442"/>
    <w:rsid w:val="00AE1C04"/>
    <w:rsid w:val="00AE25A8"/>
    <w:rsid w:val="00AE25AA"/>
    <w:rsid w:val="00AE274F"/>
    <w:rsid w:val="00AE28C9"/>
    <w:rsid w:val="00AE2F03"/>
    <w:rsid w:val="00AE339C"/>
    <w:rsid w:val="00AE3D4E"/>
    <w:rsid w:val="00AE4F90"/>
    <w:rsid w:val="00AE4FE2"/>
    <w:rsid w:val="00AE50EE"/>
    <w:rsid w:val="00AE53C1"/>
    <w:rsid w:val="00AE6AD0"/>
    <w:rsid w:val="00AF1315"/>
    <w:rsid w:val="00AF19BF"/>
    <w:rsid w:val="00AF1C63"/>
    <w:rsid w:val="00AF2CD2"/>
    <w:rsid w:val="00AF2DC3"/>
    <w:rsid w:val="00AF2F76"/>
    <w:rsid w:val="00AF35BA"/>
    <w:rsid w:val="00AF4235"/>
    <w:rsid w:val="00AF4588"/>
    <w:rsid w:val="00AF502C"/>
    <w:rsid w:val="00AF53F1"/>
    <w:rsid w:val="00AF57B7"/>
    <w:rsid w:val="00AF5A63"/>
    <w:rsid w:val="00AF5B1A"/>
    <w:rsid w:val="00AF609B"/>
    <w:rsid w:val="00AF7029"/>
    <w:rsid w:val="00AF796B"/>
    <w:rsid w:val="00B00082"/>
    <w:rsid w:val="00B012EF"/>
    <w:rsid w:val="00B01467"/>
    <w:rsid w:val="00B015F4"/>
    <w:rsid w:val="00B01F15"/>
    <w:rsid w:val="00B033E5"/>
    <w:rsid w:val="00B03A63"/>
    <w:rsid w:val="00B05192"/>
    <w:rsid w:val="00B067A9"/>
    <w:rsid w:val="00B06905"/>
    <w:rsid w:val="00B07ADB"/>
    <w:rsid w:val="00B07D95"/>
    <w:rsid w:val="00B11DC2"/>
    <w:rsid w:val="00B12ADB"/>
    <w:rsid w:val="00B167AF"/>
    <w:rsid w:val="00B168E8"/>
    <w:rsid w:val="00B16CCB"/>
    <w:rsid w:val="00B1735D"/>
    <w:rsid w:val="00B201A4"/>
    <w:rsid w:val="00B20CEB"/>
    <w:rsid w:val="00B213A6"/>
    <w:rsid w:val="00B22705"/>
    <w:rsid w:val="00B24D1F"/>
    <w:rsid w:val="00B24DF6"/>
    <w:rsid w:val="00B24E6A"/>
    <w:rsid w:val="00B258D3"/>
    <w:rsid w:val="00B25C1E"/>
    <w:rsid w:val="00B25C94"/>
    <w:rsid w:val="00B261C4"/>
    <w:rsid w:val="00B268EA"/>
    <w:rsid w:val="00B275DB"/>
    <w:rsid w:val="00B27A0F"/>
    <w:rsid w:val="00B27B3E"/>
    <w:rsid w:val="00B30089"/>
    <w:rsid w:val="00B31406"/>
    <w:rsid w:val="00B31AA2"/>
    <w:rsid w:val="00B34151"/>
    <w:rsid w:val="00B3499A"/>
    <w:rsid w:val="00B34D19"/>
    <w:rsid w:val="00B34FE2"/>
    <w:rsid w:val="00B354E3"/>
    <w:rsid w:val="00B357D8"/>
    <w:rsid w:val="00B3600E"/>
    <w:rsid w:val="00B37BFC"/>
    <w:rsid w:val="00B40099"/>
    <w:rsid w:val="00B40358"/>
    <w:rsid w:val="00B41614"/>
    <w:rsid w:val="00B42851"/>
    <w:rsid w:val="00B42D3B"/>
    <w:rsid w:val="00B42E0A"/>
    <w:rsid w:val="00B42F54"/>
    <w:rsid w:val="00B42F80"/>
    <w:rsid w:val="00B43113"/>
    <w:rsid w:val="00B434CD"/>
    <w:rsid w:val="00B435CB"/>
    <w:rsid w:val="00B43BA0"/>
    <w:rsid w:val="00B44A7B"/>
    <w:rsid w:val="00B451EF"/>
    <w:rsid w:val="00B45868"/>
    <w:rsid w:val="00B4676E"/>
    <w:rsid w:val="00B46CC2"/>
    <w:rsid w:val="00B46D29"/>
    <w:rsid w:val="00B474FB"/>
    <w:rsid w:val="00B47FA3"/>
    <w:rsid w:val="00B500F7"/>
    <w:rsid w:val="00B502FA"/>
    <w:rsid w:val="00B50DB8"/>
    <w:rsid w:val="00B51A08"/>
    <w:rsid w:val="00B52499"/>
    <w:rsid w:val="00B52A76"/>
    <w:rsid w:val="00B53654"/>
    <w:rsid w:val="00B5377F"/>
    <w:rsid w:val="00B53905"/>
    <w:rsid w:val="00B539EE"/>
    <w:rsid w:val="00B54B5B"/>
    <w:rsid w:val="00B5555A"/>
    <w:rsid w:val="00B5562E"/>
    <w:rsid w:val="00B55DE2"/>
    <w:rsid w:val="00B55F10"/>
    <w:rsid w:val="00B5618A"/>
    <w:rsid w:val="00B57000"/>
    <w:rsid w:val="00B57633"/>
    <w:rsid w:val="00B60939"/>
    <w:rsid w:val="00B60AFD"/>
    <w:rsid w:val="00B6229D"/>
    <w:rsid w:val="00B62715"/>
    <w:rsid w:val="00B6418E"/>
    <w:rsid w:val="00B64EFE"/>
    <w:rsid w:val="00B65148"/>
    <w:rsid w:val="00B662E0"/>
    <w:rsid w:val="00B662E8"/>
    <w:rsid w:val="00B70639"/>
    <w:rsid w:val="00B70E91"/>
    <w:rsid w:val="00B71116"/>
    <w:rsid w:val="00B71D8D"/>
    <w:rsid w:val="00B72045"/>
    <w:rsid w:val="00B739D7"/>
    <w:rsid w:val="00B772A8"/>
    <w:rsid w:val="00B772E3"/>
    <w:rsid w:val="00B77D36"/>
    <w:rsid w:val="00B80132"/>
    <w:rsid w:val="00B8015C"/>
    <w:rsid w:val="00B80282"/>
    <w:rsid w:val="00B818A4"/>
    <w:rsid w:val="00B827FF"/>
    <w:rsid w:val="00B836E6"/>
    <w:rsid w:val="00B84117"/>
    <w:rsid w:val="00B84258"/>
    <w:rsid w:val="00B84F89"/>
    <w:rsid w:val="00B85818"/>
    <w:rsid w:val="00B85AA2"/>
    <w:rsid w:val="00B860F7"/>
    <w:rsid w:val="00B8626F"/>
    <w:rsid w:val="00B8649C"/>
    <w:rsid w:val="00B870B6"/>
    <w:rsid w:val="00B87F0A"/>
    <w:rsid w:val="00B9229A"/>
    <w:rsid w:val="00B92D0B"/>
    <w:rsid w:val="00B93B4D"/>
    <w:rsid w:val="00B93D45"/>
    <w:rsid w:val="00B93FED"/>
    <w:rsid w:val="00B94945"/>
    <w:rsid w:val="00B94A47"/>
    <w:rsid w:val="00B95189"/>
    <w:rsid w:val="00B96B33"/>
    <w:rsid w:val="00BA2004"/>
    <w:rsid w:val="00BA322D"/>
    <w:rsid w:val="00BA385E"/>
    <w:rsid w:val="00BA4022"/>
    <w:rsid w:val="00BA4531"/>
    <w:rsid w:val="00BA4EA5"/>
    <w:rsid w:val="00BA535A"/>
    <w:rsid w:val="00BA5B0C"/>
    <w:rsid w:val="00BA7363"/>
    <w:rsid w:val="00BB0BDD"/>
    <w:rsid w:val="00BB135D"/>
    <w:rsid w:val="00BB1762"/>
    <w:rsid w:val="00BB2A73"/>
    <w:rsid w:val="00BB2CDE"/>
    <w:rsid w:val="00BB3057"/>
    <w:rsid w:val="00BB42BD"/>
    <w:rsid w:val="00BB4ACC"/>
    <w:rsid w:val="00BB4E2C"/>
    <w:rsid w:val="00BB5CF3"/>
    <w:rsid w:val="00BB6383"/>
    <w:rsid w:val="00BB703E"/>
    <w:rsid w:val="00BB7405"/>
    <w:rsid w:val="00BC0A41"/>
    <w:rsid w:val="00BC204F"/>
    <w:rsid w:val="00BC22DB"/>
    <w:rsid w:val="00BC3631"/>
    <w:rsid w:val="00BC36D3"/>
    <w:rsid w:val="00BC472A"/>
    <w:rsid w:val="00BC5093"/>
    <w:rsid w:val="00BC55C5"/>
    <w:rsid w:val="00BC6200"/>
    <w:rsid w:val="00BC6237"/>
    <w:rsid w:val="00BC63A0"/>
    <w:rsid w:val="00BC63DB"/>
    <w:rsid w:val="00BC6BED"/>
    <w:rsid w:val="00BC7F48"/>
    <w:rsid w:val="00BD16B2"/>
    <w:rsid w:val="00BD18B0"/>
    <w:rsid w:val="00BD23EB"/>
    <w:rsid w:val="00BD246B"/>
    <w:rsid w:val="00BD319E"/>
    <w:rsid w:val="00BD3BF4"/>
    <w:rsid w:val="00BD47C0"/>
    <w:rsid w:val="00BD4A28"/>
    <w:rsid w:val="00BD64F8"/>
    <w:rsid w:val="00BD68A3"/>
    <w:rsid w:val="00BD6938"/>
    <w:rsid w:val="00BD6CF3"/>
    <w:rsid w:val="00BD6D7E"/>
    <w:rsid w:val="00BD7773"/>
    <w:rsid w:val="00BE0406"/>
    <w:rsid w:val="00BE1284"/>
    <w:rsid w:val="00BE1359"/>
    <w:rsid w:val="00BE15EA"/>
    <w:rsid w:val="00BE1F85"/>
    <w:rsid w:val="00BE2180"/>
    <w:rsid w:val="00BE21F2"/>
    <w:rsid w:val="00BE2912"/>
    <w:rsid w:val="00BE3145"/>
    <w:rsid w:val="00BE316F"/>
    <w:rsid w:val="00BE4275"/>
    <w:rsid w:val="00BE44B7"/>
    <w:rsid w:val="00BE5168"/>
    <w:rsid w:val="00BE6148"/>
    <w:rsid w:val="00BE7567"/>
    <w:rsid w:val="00BE7EE7"/>
    <w:rsid w:val="00BF07EC"/>
    <w:rsid w:val="00BF0D4E"/>
    <w:rsid w:val="00BF0F95"/>
    <w:rsid w:val="00BF1002"/>
    <w:rsid w:val="00BF1B7C"/>
    <w:rsid w:val="00BF1DC3"/>
    <w:rsid w:val="00BF1FC8"/>
    <w:rsid w:val="00BF201A"/>
    <w:rsid w:val="00BF2433"/>
    <w:rsid w:val="00BF3196"/>
    <w:rsid w:val="00BF3C02"/>
    <w:rsid w:val="00BF3C35"/>
    <w:rsid w:val="00BF3E60"/>
    <w:rsid w:val="00BF468F"/>
    <w:rsid w:val="00BF4740"/>
    <w:rsid w:val="00BF4B5D"/>
    <w:rsid w:val="00BF61C9"/>
    <w:rsid w:val="00BF6C94"/>
    <w:rsid w:val="00BF75A5"/>
    <w:rsid w:val="00BF78C8"/>
    <w:rsid w:val="00C00424"/>
    <w:rsid w:val="00C00CA4"/>
    <w:rsid w:val="00C01457"/>
    <w:rsid w:val="00C01F26"/>
    <w:rsid w:val="00C021E8"/>
    <w:rsid w:val="00C0273A"/>
    <w:rsid w:val="00C02EF0"/>
    <w:rsid w:val="00C02FEA"/>
    <w:rsid w:val="00C0586A"/>
    <w:rsid w:val="00C1007D"/>
    <w:rsid w:val="00C11038"/>
    <w:rsid w:val="00C11EB3"/>
    <w:rsid w:val="00C12C14"/>
    <w:rsid w:val="00C12FB7"/>
    <w:rsid w:val="00C1356F"/>
    <w:rsid w:val="00C13611"/>
    <w:rsid w:val="00C14C73"/>
    <w:rsid w:val="00C15068"/>
    <w:rsid w:val="00C1636C"/>
    <w:rsid w:val="00C176A4"/>
    <w:rsid w:val="00C176FD"/>
    <w:rsid w:val="00C200AA"/>
    <w:rsid w:val="00C2174B"/>
    <w:rsid w:val="00C21AB8"/>
    <w:rsid w:val="00C21B03"/>
    <w:rsid w:val="00C23236"/>
    <w:rsid w:val="00C237ED"/>
    <w:rsid w:val="00C23947"/>
    <w:rsid w:val="00C24632"/>
    <w:rsid w:val="00C2464F"/>
    <w:rsid w:val="00C25418"/>
    <w:rsid w:val="00C25520"/>
    <w:rsid w:val="00C25D9C"/>
    <w:rsid w:val="00C26FA9"/>
    <w:rsid w:val="00C2778B"/>
    <w:rsid w:val="00C27DA3"/>
    <w:rsid w:val="00C31649"/>
    <w:rsid w:val="00C324A8"/>
    <w:rsid w:val="00C32E83"/>
    <w:rsid w:val="00C338B5"/>
    <w:rsid w:val="00C341CF"/>
    <w:rsid w:val="00C36B23"/>
    <w:rsid w:val="00C36D66"/>
    <w:rsid w:val="00C40385"/>
    <w:rsid w:val="00C40503"/>
    <w:rsid w:val="00C40F69"/>
    <w:rsid w:val="00C41989"/>
    <w:rsid w:val="00C41CAA"/>
    <w:rsid w:val="00C441F4"/>
    <w:rsid w:val="00C4432E"/>
    <w:rsid w:val="00C45158"/>
    <w:rsid w:val="00C4515E"/>
    <w:rsid w:val="00C45439"/>
    <w:rsid w:val="00C4681A"/>
    <w:rsid w:val="00C471A5"/>
    <w:rsid w:val="00C475AA"/>
    <w:rsid w:val="00C4793A"/>
    <w:rsid w:val="00C5006C"/>
    <w:rsid w:val="00C51594"/>
    <w:rsid w:val="00C51675"/>
    <w:rsid w:val="00C51769"/>
    <w:rsid w:val="00C51B4E"/>
    <w:rsid w:val="00C531D8"/>
    <w:rsid w:val="00C53BF1"/>
    <w:rsid w:val="00C53E08"/>
    <w:rsid w:val="00C54CDF"/>
    <w:rsid w:val="00C55365"/>
    <w:rsid w:val="00C55E76"/>
    <w:rsid w:val="00C57796"/>
    <w:rsid w:val="00C57ACE"/>
    <w:rsid w:val="00C62190"/>
    <w:rsid w:val="00C62701"/>
    <w:rsid w:val="00C6389D"/>
    <w:rsid w:val="00C63AD8"/>
    <w:rsid w:val="00C64C81"/>
    <w:rsid w:val="00C64DE2"/>
    <w:rsid w:val="00C64F60"/>
    <w:rsid w:val="00C65576"/>
    <w:rsid w:val="00C66165"/>
    <w:rsid w:val="00C66AEC"/>
    <w:rsid w:val="00C66DD7"/>
    <w:rsid w:val="00C67108"/>
    <w:rsid w:val="00C67C28"/>
    <w:rsid w:val="00C7151A"/>
    <w:rsid w:val="00C717F0"/>
    <w:rsid w:val="00C71F60"/>
    <w:rsid w:val="00C72241"/>
    <w:rsid w:val="00C73C37"/>
    <w:rsid w:val="00C743B4"/>
    <w:rsid w:val="00C74707"/>
    <w:rsid w:val="00C74B15"/>
    <w:rsid w:val="00C750C8"/>
    <w:rsid w:val="00C7560F"/>
    <w:rsid w:val="00C75980"/>
    <w:rsid w:val="00C763D8"/>
    <w:rsid w:val="00C805DA"/>
    <w:rsid w:val="00C80A0E"/>
    <w:rsid w:val="00C8213F"/>
    <w:rsid w:val="00C82BF9"/>
    <w:rsid w:val="00C82C11"/>
    <w:rsid w:val="00C84561"/>
    <w:rsid w:val="00C8692B"/>
    <w:rsid w:val="00C87096"/>
    <w:rsid w:val="00C8732C"/>
    <w:rsid w:val="00C8797A"/>
    <w:rsid w:val="00C900B8"/>
    <w:rsid w:val="00C90C71"/>
    <w:rsid w:val="00C91D00"/>
    <w:rsid w:val="00C91EEC"/>
    <w:rsid w:val="00C9292F"/>
    <w:rsid w:val="00C92BB5"/>
    <w:rsid w:val="00C931CF"/>
    <w:rsid w:val="00C9326E"/>
    <w:rsid w:val="00C934C4"/>
    <w:rsid w:val="00C938CF"/>
    <w:rsid w:val="00C93917"/>
    <w:rsid w:val="00C9425E"/>
    <w:rsid w:val="00C955A6"/>
    <w:rsid w:val="00C957B7"/>
    <w:rsid w:val="00C95936"/>
    <w:rsid w:val="00C9624D"/>
    <w:rsid w:val="00C969DA"/>
    <w:rsid w:val="00C96D83"/>
    <w:rsid w:val="00C97907"/>
    <w:rsid w:val="00C97A77"/>
    <w:rsid w:val="00C97BE1"/>
    <w:rsid w:val="00CA157A"/>
    <w:rsid w:val="00CA1BB0"/>
    <w:rsid w:val="00CA1FAB"/>
    <w:rsid w:val="00CA2497"/>
    <w:rsid w:val="00CA2C77"/>
    <w:rsid w:val="00CA35B2"/>
    <w:rsid w:val="00CA444F"/>
    <w:rsid w:val="00CA5245"/>
    <w:rsid w:val="00CA52CE"/>
    <w:rsid w:val="00CA63C8"/>
    <w:rsid w:val="00CA65EF"/>
    <w:rsid w:val="00CA6B74"/>
    <w:rsid w:val="00CA6BBB"/>
    <w:rsid w:val="00CA71F4"/>
    <w:rsid w:val="00CA74AD"/>
    <w:rsid w:val="00CA753D"/>
    <w:rsid w:val="00CA7A65"/>
    <w:rsid w:val="00CA7B09"/>
    <w:rsid w:val="00CB0413"/>
    <w:rsid w:val="00CB09C7"/>
    <w:rsid w:val="00CB0DD3"/>
    <w:rsid w:val="00CB123B"/>
    <w:rsid w:val="00CB135E"/>
    <w:rsid w:val="00CB1421"/>
    <w:rsid w:val="00CB1B9E"/>
    <w:rsid w:val="00CB259F"/>
    <w:rsid w:val="00CB2DFB"/>
    <w:rsid w:val="00CB2F2A"/>
    <w:rsid w:val="00CB3E0F"/>
    <w:rsid w:val="00CB5B1A"/>
    <w:rsid w:val="00CB6107"/>
    <w:rsid w:val="00CB6B22"/>
    <w:rsid w:val="00CB7C5B"/>
    <w:rsid w:val="00CB7F5F"/>
    <w:rsid w:val="00CC03B0"/>
    <w:rsid w:val="00CC1AF6"/>
    <w:rsid w:val="00CC1B39"/>
    <w:rsid w:val="00CC1EFF"/>
    <w:rsid w:val="00CC2B1E"/>
    <w:rsid w:val="00CC2FD9"/>
    <w:rsid w:val="00CC39ED"/>
    <w:rsid w:val="00CC47A8"/>
    <w:rsid w:val="00CC4B9C"/>
    <w:rsid w:val="00CC4C22"/>
    <w:rsid w:val="00CC4C78"/>
    <w:rsid w:val="00CC51A5"/>
    <w:rsid w:val="00CC53FB"/>
    <w:rsid w:val="00CC600D"/>
    <w:rsid w:val="00CC7837"/>
    <w:rsid w:val="00CD13D0"/>
    <w:rsid w:val="00CD143A"/>
    <w:rsid w:val="00CD1F50"/>
    <w:rsid w:val="00CD1FAC"/>
    <w:rsid w:val="00CD25B9"/>
    <w:rsid w:val="00CD3572"/>
    <w:rsid w:val="00CD41B5"/>
    <w:rsid w:val="00CD56C6"/>
    <w:rsid w:val="00CD5707"/>
    <w:rsid w:val="00CD6931"/>
    <w:rsid w:val="00CD6ADC"/>
    <w:rsid w:val="00CE0BE9"/>
    <w:rsid w:val="00CE26F0"/>
    <w:rsid w:val="00CE34E8"/>
    <w:rsid w:val="00CE3BEF"/>
    <w:rsid w:val="00CE3EE9"/>
    <w:rsid w:val="00CE43A2"/>
    <w:rsid w:val="00CE4C37"/>
    <w:rsid w:val="00CE5FD4"/>
    <w:rsid w:val="00CE6274"/>
    <w:rsid w:val="00CE6401"/>
    <w:rsid w:val="00CE6F39"/>
    <w:rsid w:val="00CF15D4"/>
    <w:rsid w:val="00CF2864"/>
    <w:rsid w:val="00CF2B8D"/>
    <w:rsid w:val="00CF3B04"/>
    <w:rsid w:val="00CF3D3B"/>
    <w:rsid w:val="00CF3EDF"/>
    <w:rsid w:val="00CF456B"/>
    <w:rsid w:val="00CF4595"/>
    <w:rsid w:val="00CF5669"/>
    <w:rsid w:val="00CF5A22"/>
    <w:rsid w:val="00CF6777"/>
    <w:rsid w:val="00CF6C0E"/>
    <w:rsid w:val="00CF72FB"/>
    <w:rsid w:val="00D00718"/>
    <w:rsid w:val="00D00A9F"/>
    <w:rsid w:val="00D015E3"/>
    <w:rsid w:val="00D01A92"/>
    <w:rsid w:val="00D0262E"/>
    <w:rsid w:val="00D0291E"/>
    <w:rsid w:val="00D0316E"/>
    <w:rsid w:val="00D04612"/>
    <w:rsid w:val="00D0473C"/>
    <w:rsid w:val="00D05449"/>
    <w:rsid w:val="00D06E8B"/>
    <w:rsid w:val="00D073C9"/>
    <w:rsid w:val="00D1067C"/>
    <w:rsid w:val="00D110BD"/>
    <w:rsid w:val="00D12BE3"/>
    <w:rsid w:val="00D13675"/>
    <w:rsid w:val="00D141E1"/>
    <w:rsid w:val="00D146E0"/>
    <w:rsid w:val="00D15395"/>
    <w:rsid w:val="00D158BA"/>
    <w:rsid w:val="00D162D8"/>
    <w:rsid w:val="00D16874"/>
    <w:rsid w:val="00D168AE"/>
    <w:rsid w:val="00D17A82"/>
    <w:rsid w:val="00D17D6C"/>
    <w:rsid w:val="00D17E1B"/>
    <w:rsid w:val="00D17FB0"/>
    <w:rsid w:val="00D20150"/>
    <w:rsid w:val="00D201FF"/>
    <w:rsid w:val="00D209CD"/>
    <w:rsid w:val="00D21314"/>
    <w:rsid w:val="00D21DAC"/>
    <w:rsid w:val="00D22148"/>
    <w:rsid w:val="00D22C58"/>
    <w:rsid w:val="00D2404C"/>
    <w:rsid w:val="00D2476E"/>
    <w:rsid w:val="00D24C3D"/>
    <w:rsid w:val="00D24FAE"/>
    <w:rsid w:val="00D2754D"/>
    <w:rsid w:val="00D2779A"/>
    <w:rsid w:val="00D27B27"/>
    <w:rsid w:val="00D30524"/>
    <w:rsid w:val="00D30B77"/>
    <w:rsid w:val="00D33145"/>
    <w:rsid w:val="00D336FF"/>
    <w:rsid w:val="00D33BE9"/>
    <w:rsid w:val="00D346F5"/>
    <w:rsid w:val="00D34B73"/>
    <w:rsid w:val="00D357FF"/>
    <w:rsid w:val="00D35848"/>
    <w:rsid w:val="00D359EF"/>
    <w:rsid w:val="00D424C7"/>
    <w:rsid w:val="00D43A66"/>
    <w:rsid w:val="00D43B2A"/>
    <w:rsid w:val="00D43D70"/>
    <w:rsid w:val="00D43E5D"/>
    <w:rsid w:val="00D46DC2"/>
    <w:rsid w:val="00D47575"/>
    <w:rsid w:val="00D5070F"/>
    <w:rsid w:val="00D50D90"/>
    <w:rsid w:val="00D50E59"/>
    <w:rsid w:val="00D51725"/>
    <w:rsid w:val="00D51E7A"/>
    <w:rsid w:val="00D51F91"/>
    <w:rsid w:val="00D52856"/>
    <w:rsid w:val="00D53ABB"/>
    <w:rsid w:val="00D550A3"/>
    <w:rsid w:val="00D5520B"/>
    <w:rsid w:val="00D5624C"/>
    <w:rsid w:val="00D621CA"/>
    <w:rsid w:val="00D62C05"/>
    <w:rsid w:val="00D62D5E"/>
    <w:rsid w:val="00D631F0"/>
    <w:rsid w:val="00D63813"/>
    <w:rsid w:val="00D64CD8"/>
    <w:rsid w:val="00D65A19"/>
    <w:rsid w:val="00D66A6E"/>
    <w:rsid w:val="00D70952"/>
    <w:rsid w:val="00D70E2E"/>
    <w:rsid w:val="00D70EFA"/>
    <w:rsid w:val="00D70F16"/>
    <w:rsid w:val="00D717AB"/>
    <w:rsid w:val="00D734CC"/>
    <w:rsid w:val="00D74592"/>
    <w:rsid w:val="00D7587D"/>
    <w:rsid w:val="00D75904"/>
    <w:rsid w:val="00D768E4"/>
    <w:rsid w:val="00D76A44"/>
    <w:rsid w:val="00D77082"/>
    <w:rsid w:val="00D77735"/>
    <w:rsid w:val="00D80BA3"/>
    <w:rsid w:val="00D815EF"/>
    <w:rsid w:val="00D835FA"/>
    <w:rsid w:val="00D837D5"/>
    <w:rsid w:val="00D84279"/>
    <w:rsid w:val="00D84DDF"/>
    <w:rsid w:val="00D85225"/>
    <w:rsid w:val="00D859D8"/>
    <w:rsid w:val="00D85C86"/>
    <w:rsid w:val="00D8677A"/>
    <w:rsid w:val="00D871F5"/>
    <w:rsid w:val="00D87547"/>
    <w:rsid w:val="00D91923"/>
    <w:rsid w:val="00D91A95"/>
    <w:rsid w:val="00D91E22"/>
    <w:rsid w:val="00D93003"/>
    <w:rsid w:val="00D9330C"/>
    <w:rsid w:val="00D93753"/>
    <w:rsid w:val="00D94875"/>
    <w:rsid w:val="00D951D3"/>
    <w:rsid w:val="00D95C81"/>
    <w:rsid w:val="00D9603B"/>
    <w:rsid w:val="00D96C1D"/>
    <w:rsid w:val="00D97436"/>
    <w:rsid w:val="00D97A6D"/>
    <w:rsid w:val="00DA146E"/>
    <w:rsid w:val="00DA20FA"/>
    <w:rsid w:val="00DA3156"/>
    <w:rsid w:val="00DA3167"/>
    <w:rsid w:val="00DA38D7"/>
    <w:rsid w:val="00DA4167"/>
    <w:rsid w:val="00DA4DC3"/>
    <w:rsid w:val="00DA549A"/>
    <w:rsid w:val="00DA552A"/>
    <w:rsid w:val="00DA611D"/>
    <w:rsid w:val="00DA6EF2"/>
    <w:rsid w:val="00DA77A5"/>
    <w:rsid w:val="00DB0F2F"/>
    <w:rsid w:val="00DB1050"/>
    <w:rsid w:val="00DB154E"/>
    <w:rsid w:val="00DB245C"/>
    <w:rsid w:val="00DB2863"/>
    <w:rsid w:val="00DB484F"/>
    <w:rsid w:val="00DB48EF"/>
    <w:rsid w:val="00DB79A9"/>
    <w:rsid w:val="00DC013D"/>
    <w:rsid w:val="00DC04F6"/>
    <w:rsid w:val="00DC0BB5"/>
    <w:rsid w:val="00DC16C6"/>
    <w:rsid w:val="00DC1E65"/>
    <w:rsid w:val="00DC2CDC"/>
    <w:rsid w:val="00DC2E0C"/>
    <w:rsid w:val="00DC3C57"/>
    <w:rsid w:val="00DC4B97"/>
    <w:rsid w:val="00DC535A"/>
    <w:rsid w:val="00DC5501"/>
    <w:rsid w:val="00DC5E5F"/>
    <w:rsid w:val="00DC5FEF"/>
    <w:rsid w:val="00DC6537"/>
    <w:rsid w:val="00DC7410"/>
    <w:rsid w:val="00DD1780"/>
    <w:rsid w:val="00DD1C18"/>
    <w:rsid w:val="00DD1F80"/>
    <w:rsid w:val="00DD273C"/>
    <w:rsid w:val="00DD3C60"/>
    <w:rsid w:val="00DD3F28"/>
    <w:rsid w:val="00DD4537"/>
    <w:rsid w:val="00DD4E15"/>
    <w:rsid w:val="00DD58F9"/>
    <w:rsid w:val="00DD6832"/>
    <w:rsid w:val="00DD6CA7"/>
    <w:rsid w:val="00DD79F8"/>
    <w:rsid w:val="00DE2883"/>
    <w:rsid w:val="00DE2E7C"/>
    <w:rsid w:val="00DE3138"/>
    <w:rsid w:val="00DE37F8"/>
    <w:rsid w:val="00DE45B6"/>
    <w:rsid w:val="00DE4FCB"/>
    <w:rsid w:val="00DE5416"/>
    <w:rsid w:val="00DE7832"/>
    <w:rsid w:val="00DF12AE"/>
    <w:rsid w:val="00DF18FC"/>
    <w:rsid w:val="00DF1D5A"/>
    <w:rsid w:val="00DF2048"/>
    <w:rsid w:val="00DF244D"/>
    <w:rsid w:val="00DF24B2"/>
    <w:rsid w:val="00DF2D61"/>
    <w:rsid w:val="00DF30BF"/>
    <w:rsid w:val="00DF4808"/>
    <w:rsid w:val="00DF5D2B"/>
    <w:rsid w:val="00DF72D3"/>
    <w:rsid w:val="00E00A0F"/>
    <w:rsid w:val="00E00DE9"/>
    <w:rsid w:val="00E00E8E"/>
    <w:rsid w:val="00E0532D"/>
    <w:rsid w:val="00E05630"/>
    <w:rsid w:val="00E06DBB"/>
    <w:rsid w:val="00E10149"/>
    <w:rsid w:val="00E13DF9"/>
    <w:rsid w:val="00E15E47"/>
    <w:rsid w:val="00E16372"/>
    <w:rsid w:val="00E16BF4"/>
    <w:rsid w:val="00E16D39"/>
    <w:rsid w:val="00E17760"/>
    <w:rsid w:val="00E200EA"/>
    <w:rsid w:val="00E201E5"/>
    <w:rsid w:val="00E20885"/>
    <w:rsid w:val="00E20BC9"/>
    <w:rsid w:val="00E20E4D"/>
    <w:rsid w:val="00E20ED6"/>
    <w:rsid w:val="00E21358"/>
    <w:rsid w:val="00E21430"/>
    <w:rsid w:val="00E21483"/>
    <w:rsid w:val="00E2249B"/>
    <w:rsid w:val="00E225EE"/>
    <w:rsid w:val="00E22A0D"/>
    <w:rsid w:val="00E2339E"/>
    <w:rsid w:val="00E243D0"/>
    <w:rsid w:val="00E24D01"/>
    <w:rsid w:val="00E24E4B"/>
    <w:rsid w:val="00E25E96"/>
    <w:rsid w:val="00E26D4C"/>
    <w:rsid w:val="00E2771E"/>
    <w:rsid w:val="00E3044F"/>
    <w:rsid w:val="00E31390"/>
    <w:rsid w:val="00E31676"/>
    <w:rsid w:val="00E31AA2"/>
    <w:rsid w:val="00E333BA"/>
    <w:rsid w:val="00E33A3A"/>
    <w:rsid w:val="00E34948"/>
    <w:rsid w:val="00E34C86"/>
    <w:rsid w:val="00E359E3"/>
    <w:rsid w:val="00E3609B"/>
    <w:rsid w:val="00E36864"/>
    <w:rsid w:val="00E37569"/>
    <w:rsid w:val="00E37C9A"/>
    <w:rsid w:val="00E37FA5"/>
    <w:rsid w:val="00E40A73"/>
    <w:rsid w:val="00E417C3"/>
    <w:rsid w:val="00E41E30"/>
    <w:rsid w:val="00E42493"/>
    <w:rsid w:val="00E425A6"/>
    <w:rsid w:val="00E43D70"/>
    <w:rsid w:val="00E442D5"/>
    <w:rsid w:val="00E44D46"/>
    <w:rsid w:val="00E44EFE"/>
    <w:rsid w:val="00E466F3"/>
    <w:rsid w:val="00E47A80"/>
    <w:rsid w:val="00E47B2C"/>
    <w:rsid w:val="00E47BA0"/>
    <w:rsid w:val="00E50D99"/>
    <w:rsid w:val="00E51560"/>
    <w:rsid w:val="00E51971"/>
    <w:rsid w:val="00E52812"/>
    <w:rsid w:val="00E5368F"/>
    <w:rsid w:val="00E53F97"/>
    <w:rsid w:val="00E53FFC"/>
    <w:rsid w:val="00E54347"/>
    <w:rsid w:val="00E54C7F"/>
    <w:rsid w:val="00E55424"/>
    <w:rsid w:val="00E55BB5"/>
    <w:rsid w:val="00E5777F"/>
    <w:rsid w:val="00E57B26"/>
    <w:rsid w:val="00E61C1C"/>
    <w:rsid w:val="00E61DC2"/>
    <w:rsid w:val="00E62BDB"/>
    <w:rsid w:val="00E64459"/>
    <w:rsid w:val="00E65653"/>
    <w:rsid w:val="00E65E79"/>
    <w:rsid w:val="00E6672E"/>
    <w:rsid w:val="00E66783"/>
    <w:rsid w:val="00E668FE"/>
    <w:rsid w:val="00E66BA2"/>
    <w:rsid w:val="00E67416"/>
    <w:rsid w:val="00E67A12"/>
    <w:rsid w:val="00E70EC3"/>
    <w:rsid w:val="00E71538"/>
    <w:rsid w:val="00E7166F"/>
    <w:rsid w:val="00E718B6"/>
    <w:rsid w:val="00E723BA"/>
    <w:rsid w:val="00E734CF"/>
    <w:rsid w:val="00E73581"/>
    <w:rsid w:val="00E741D9"/>
    <w:rsid w:val="00E742C3"/>
    <w:rsid w:val="00E746F6"/>
    <w:rsid w:val="00E74997"/>
    <w:rsid w:val="00E764BD"/>
    <w:rsid w:val="00E76E66"/>
    <w:rsid w:val="00E7725A"/>
    <w:rsid w:val="00E77A40"/>
    <w:rsid w:val="00E77C66"/>
    <w:rsid w:val="00E80689"/>
    <w:rsid w:val="00E806A3"/>
    <w:rsid w:val="00E81C46"/>
    <w:rsid w:val="00E833F7"/>
    <w:rsid w:val="00E83BDF"/>
    <w:rsid w:val="00E867A7"/>
    <w:rsid w:val="00E868FA"/>
    <w:rsid w:val="00E86E17"/>
    <w:rsid w:val="00E87318"/>
    <w:rsid w:val="00E87509"/>
    <w:rsid w:val="00E87A1D"/>
    <w:rsid w:val="00E87ABF"/>
    <w:rsid w:val="00E9075F"/>
    <w:rsid w:val="00E914CC"/>
    <w:rsid w:val="00E91B1B"/>
    <w:rsid w:val="00E926A5"/>
    <w:rsid w:val="00E9299A"/>
    <w:rsid w:val="00E93327"/>
    <w:rsid w:val="00E9333E"/>
    <w:rsid w:val="00E93594"/>
    <w:rsid w:val="00E935D8"/>
    <w:rsid w:val="00E93FD2"/>
    <w:rsid w:val="00E94555"/>
    <w:rsid w:val="00E95F5E"/>
    <w:rsid w:val="00E97055"/>
    <w:rsid w:val="00E978FA"/>
    <w:rsid w:val="00EA0172"/>
    <w:rsid w:val="00EA17C3"/>
    <w:rsid w:val="00EA1941"/>
    <w:rsid w:val="00EA2CAA"/>
    <w:rsid w:val="00EA3864"/>
    <w:rsid w:val="00EA457F"/>
    <w:rsid w:val="00EA4752"/>
    <w:rsid w:val="00EA5839"/>
    <w:rsid w:val="00EA5978"/>
    <w:rsid w:val="00EA5BEA"/>
    <w:rsid w:val="00EA65D8"/>
    <w:rsid w:val="00EA6B60"/>
    <w:rsid w:val="00EA6B69"/>
    <w:rsid w:val="00EA6FFB"/>
    <w:rsid w:val="00EA7E8C"/>
    <w:rsid w:val="00EB1230"/>
    <w:rsid w:val="00EB14A4"/>
    <w:rsid w:val="00EB15B6"/>
    <w:rsid w:val="00EB1BAF"/>
    <w:rsid w:val="00EB1CC0"/>
    <w:rsid w:val="00EB21AB"/>
    <w:rsid w:val="00EB3757"/>
    <w:rsid w:val="00EB4916"/>
    <w:rsid w:val="00EB4B1F"/>
    <w:rsid w:val="00EB5D99"/>
    <w:rsid w:val="00EB6224"/>
    <w:rsid w:val="00EB640F"/>
    <w:rsid w:val="00EB7813"/>
    <w:rsid w:val="00EB7D22"/>
    <w:rsid w:val="00EC00C9"/>
    <w:rsid w:val="00EC011A"/>
    <w:rsid w:val="00EC13B2"/>
    <w:rsid w:val="00EC1A32"/>
    <w:rsid w:val="00EC1FCD"/>
    <w:rsid w:val="00EC2367"/>
    <w:rsid w:val="00EC2649"/>
    <w:rsid w:val="00EC2F03"/>
    <w:rsid w:val="00EC50A4"/>
    <w:rsid w:val="00EC549E"/>
    <w:rsid w:val="00EC7822"/>
    <w:rsid w:val="00ED03F5"/>
    <w:rsid w:val="00ED03F7"/>
    <w:rsid w:val="00ED058C"/>
    <w:rsid w:val="00ED2422"/>
    <w:rsid w:val="00ED57EA"/>
    <w:rsid w:val="00ED5DFC"/>
    <w:rsid w:val="00ED5FE8"/>
    <w:rsid w:val="00EE07D3"/>
    <w:rsid w:val="00EE1A64"/>
    <w:rsid w:val="00EE22AF"/>
    <w:rsid w:val="00EE330A"/>
    <w:rsid w:val="00EE46DC"/>
    <w:rsid w:val="00EE4748"/>
    <w:rsid w:val="00EE47DB"/>
    <w:rsid w:val="00EE5F98"/>
    <w:rsid w:val="00EE65FD"/>
    <w:rsid w:val="00EE7AA1"/>
    <w:rsid w:val="00EF0171"/>
    <w:rsid w:val="00EF04D4"/>
    <w:rsid w:val="00EF1457"/>
    <w:rsid w:val="00EF1B25"/>
    <w:rsid w:val="00EF1BF4"/>
    <w:rsid w:val="00EF28C9"/>
    <w:rsid w:val="00EF4747"/>
    <w:rsid w:val="00EF4BF8"/>
    <w:rsid w:val="00EF5A08"/>
    <w:rsid w:val="00EF5E42"/>
    <w:rsid w:val="00EF6CB0"/>
    <w:rsid w:val="00EF6F03"/>
    <w:rsid w:val="00F00684"/>
    <w:rsid w:val="00F00FF2"/>
    <w:rsid w:val="00F01783"/>
    <w:rsid w:val="00F02253"/>
    <w:rsid w:val="00F02762"/>
    <w:rsid w:val="00F02FC5"/>
    <w:rsid w:val="00F03C2E"/>
    <w:rsid w:val="00F04A66"/>
    <w:rsid w:val="00F04AEB"/>
    <w:rsid w:val="00F04D6F"/>
    <w:rsid w:val="00F0516C"/>
    <w:rsid w:val="00F0534B"/>
    <w:rsid w:val="00F0563D"/>
    <w:rsid w:val="00F05CCE"/>
    <w:rsid w:val="00F05E9C"/>
    <w:rsid w:val="00F067A2"/>
    <w:rsid w:val="00F0737D"/>
    <w:rsid w:val="00F07B17"/>
    <w:rsid w:val="00F11879"/>
    <w:rsid w:val="00F11E5B"/>
    <w:rsid w:val="00F11EAF"/>
    <w:rsid w:val="00F12153"/>
    <w:rsid w:val="00F1263A"/>
    <w:rsid w:val="00F13FCB"/>
    <w:rsid w:val="00F143CF"/>
    <w:rsid w:val="00F1508C"/>
    <w:rsid w:val="00F15683"/>
    <w:rsid w:val="00F16EA6"/>
    <w:rsid w:val="00F17FC4"/>
    <w:rsid w:val="00F206B5"/>
    <w:rsid w:val="00F22012"/>
    <w:rsid w:val="00F225B5"/>
    <w:rsid w:val="00F245D4"/>
    <w:rsid w:val="00F24837"/>
    <w:rsid w:val="00F2530E"/>
    <w:rsid w:val="00F25707"/>
    <w:rsid w:val="00F2575F"/>
    <w:rsid w:val="00F26A22"/>
    <w:rsid w:val="00F27565"/>
    <w:rsid w:val="00F310D4"/>
    <w:rsid w:val="00F31D5A"/>
    <w:rsid w:val="00F32173"/>
    <w:rsid w:val="00F323EB"/>
    <w:rsid w:val="00F33AF4"/>
    <w:rsid w:val="00F33DE9"/>
    <w:rsid w:val="00F34593"/>
    <w:rsid w:val="00F354A3"/>
    <w:rsid w:val="00F35600"/>
    <w:rsid w:val="00F358B8"/>
    <w:rsid w:val="00F35DCB"/>
    <w:rsid w:val="00F3619A"/>
    <w:rsid w:val="00F3672B"/>
    <w:rsid w:val="00F36D78"/>
    <w:rsid w:val="00F37914"/>
    <w:rsid w:val="00F40AAA"/>
    <w:rsid w:val="00F40BA7"/>
    <w:rsid w:val="00F42686"/>
    <w:rsid w:val="00F43560"/>
    <w:rsid w:val="00F46201"/>
    <w:rsid w:val="00F4671E"/>
    <w:rsid w:val="00F467AF"/>
    <w:rsid w:val="00F46B4E"/>
    <w:rsid w:val="00F46CB6"/>
    <w:rsid w:val="00F47DE8"/>
    <w:rsid w:val="00F503C7"/>
    <w:rsid w:val="00F513A8"/>
    <w:rsid w:val="00F53557"/>
    <w:rsid w:val="00F542C1"/>
    <w:rsid w:val="00F54A94"/>
    <w:rsid w:val="00F54C80"/>
    <w:rsid w:val="00F55D5C"/>
    <w:rsid w:val="00F55DC5"/>
    <w:rsid w:val="00F55E73"/>
    <w:rsid w:val="00F55EDA"/>
    <w:rsid w:val="00F60092"/>
    <w:rsid w:val="00F61385"/>
    <w:rsid w:val="00F6226F"/>
    <w:rsid w:val="00F62E86"/>
    <w:rsid w:val="00F62F22"/>
    <w:rsid w:val="00F6495E"/>
    <w:rsid w:val="00F6572D"/>
    <w:rsid w:val="00F65F4B"/>
    <w:rsid w:val="00F662A7"/>
    <w:rsid w:val="00F668FB"/>
    <w:rsid w:val="00F66BB6"/>
    <w:rsid w:val="00F67E45"/>
    <w:rsid w:val="00F70A55"/>
    <w:rsid w:val="00F70C9D"/>
    <w:rsid w:val="00F70DD0"/>
    <w:rsid w:val="00F7140F"/>
    <w:rsid w:val="00F714A6"/>
    <w:rsid w:val="00F72ED2"/>
    <w:rsid w:val="00F733C3"/>
    <w:rsid w:val="00F73FFE"/>
    <w:rsid w:val="00F74CD9"/>
    <w:rsid w:val="00F75605"/>
    <w:rsid w:val="00F76432"/>
    <w:rsid w:val="00F77C14"/>
    <w:rsid w:val="00F80A7B"/>
    <w:rsid w:val="00F80E5D"/>
    <w:rsid w:val="00F810C6"/>
    <w:rsid w:val="00F8293D"/>
    <w:rsid w:val="00F830FB"/>
    <w:rsid w:val="00F8324F"/>
    <w:rsid w:val="00F851CE"/>
    <w:rsid w:val="00F857A6"/>
    <w:rsid w:val="00F85CCB"/>
    <w:rsid w:val="00F862AA"/>
    <w:rsid w:val="00F878DF"/>
    <w:rsid w:val="00F90CEB"/>
    <w:rsid w:val="00F91219"/>
    <w:rsid w:val="00F91390"/>
    <w:rsid w:val="00F91A4D"/>
    <w:rsid w:val="00F91CB6"/>
    <w:rsid w:val="00F92C7F"/>
    <w:rsid w:val="00F93EDD"/>
    <w:rsid w:val="00F94D67"/>
    <w:rsid w:val="00F956CB"/>
    <w:rsid w:val="00F97390"/>
    <w:rsid w:val="00F974DE"/>
    <w:rsid w:val="00F97576"/>
    <w:rsid w:val="00F977D7"/>
    <w:rsid w:val="00F97A78"/>
    <w:rsid w:val="00F97D40"/>
    <w:rsid w:val="00FA050F"/>
    <w:rsid w:val="00FA0B20"/>
    <w:rsid w:val="00FA1A6E"/>
    <w:rsid w:val="00FA1CE3"/>
    <w:rsid w:val="00FA24E7"/>
    <w:rsid w:val="00FA303D"/>
    <w:rsid w:val="00FA35F6"/>
    <w:rsid w:val="00FA3C09"/>
    <w:rsid w:val="00FA4275"/>
    <w:rsid w:val="00FA4828"/>
    <w:rsid w:val="00FA7DA6"/>
    <w:rsid w:val="00FB0127"/>
    <w:rsid w:val="00FB1DF4"/>
    <w:rsid w:val="00FB2312"/>
    <w:rsid w:val="00FB2FCB"/>
    <w:rsid w:val="00FB32DB"/>
    <w:rsid w:val="00FB355A"/>
    <w:rsid w:val="00FB3760"/>
    <w:rsid w:val="00FB425B"/>
    <w:rsid w:val="00FB56C2"/>
    <w:rsid w:val="00FC1074"/>
    <w:rsid w:val="00FC107B"/>
    <w:rsid w:val="00FC1656"/>
    <w:rsid w:val="00FC1884"/>
    <w:rsid w:val="00FC1C78"/>
    <w:rsid w:val="00FC289F"/>
    <w:rsid w:val="00FC371D"/>
    <w:rsid w:val="00FC3C56"/>
    <w:rsid w:val="00FC490E"/>
    <w:rsid w:val="00FC5032"/>
    <w:rsid w:val="00FC5053"/>
    <w:rsid w:val="00FC523C"/>
    <w:rsid w:val="00FC541D"/>
    <w:rsid w:val="00FC5F0B"/>
    <w:rsid w:val="00FC6018"/>
    <w:rsid w:val="00FC6D08"/>
    <w:rsid w:val="00FC6FF8"/>
    <w:rsid w:val="00FC71B6"/>
    <w:rsid w:val="00FC72D4"/>
    <w:rsid w:val="00FC76C8"/>
    <w:rsid w:val="00FC79DC"/>
    <w:rsid w:val="00FD05C0"/>
    <w:rsid w:val="00FD1DAF"/>
    <w:rsid w:val="00FD2100"/>
    <w:rsid w:val="00FD30CF"/>
    <w:rsid w:val="00FD3364"/>
    <w:rsid w:val="00FD383B"/>
    <w:rsid w:val="00FD3C31"/>
    <w:rsid w:val="00FD436C"/>
    <w:rsid w:val="00FD446D"/>
    <w:rsid w:val="00FD5606"/>
    <w:rsid w:val="00FD6394"/>
    <w:rsid w:val="00FD6F01"/>
    <w:rsid w:val="00FD7482"/>
    <w:rsid w:val="00FE0E6C"/>
    <w:rsid w:val="00FE13C5"/>
    <w:rsid w:val="00FE1EC0"/>
    <w:rsid w:val="00FE2505"/>
    <w:rsid w:val="00FE3186"/>
    <w:rsid w:val="00FE3384"/>
    <w:rsid w:val="00FE3687"/>
    <w:rsid w:val="00FE394B"/>
    <w:rsid w:val="00FE6890"/>
    <w:rsid w:val="00FE70C3"/>
    <w:rsid w:val="00FE7E27"/>
    <w:rsid w:val="00FE7E53"/>
    <w:rsid w:val="00FE7F5B"/>
    <w:rsid w:val="00FE7FAF"/>
    <w:rsid w:val="00FF0B90"/>
    <w:rsid w:val="00FF2073"/>
    <w:rsid w:val="00FF366E"/>
    <w:rsid w:val="00FF3DCF"/>
    <w:rsid w:val="00FF4309"/>
    <w:rsid w:val="00FF448C"/>
    <w:rsid w:val="00FF492C"/>
    <w:rsid w:val="00FF4A21"/>
    <w:rsid w:val="00FF5AA3"/>
    <w:rsid w:val="00FF5AD8"/>
    <w:rsid w:val="00FF62B8"/>
    <w:rsid w:val="00FF6E06"/>
    <w:rsid w:val="00FF71AB"/>
    <w:rsid w:val="00FF7C1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uiPriority="59"/>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7A5D7A"/>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Footnote"/>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Footnote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semiHidden/>
    <w:rsid w:val="0044246E"/>
    <w:pPr>
      <w:widowControl/>
      <w:spacing w:before="120" w:line="360" w:lineRule="auto"/>
      <w:jc w:val="left"/>
    </w:pPr>
    <w:rPr>
      <w:rFonts w:cs="Times New Roman"/>
      <w:snapToGrid/>
      <w:szCs w:val="20"/>
      <w:lang w:val="en-GB" w:eastAsia="zh-CN"/>
    </w:rPr>
  </w:style>
  <w:style w:type="character" w:customStyle="1" w:styleId="FootnoteTextChar">
    <w:name w:val="Footnote Text Char"/>
    <w:basedOn w:val="DefaultParagraphFont"/>
    <w:link w:val="FootnoteText"/>
    <w:semiHidden/>
    <w:rsid w:val="0044246E"/>
    <w:rPr>
      <w:rFonts w:ascii="Calibri" w:hAnsi="Calibri"/>
      <w:sz w:val="24"/>
      <w:lang w:val="en-GB" w:eastAsia="zh-CN"/>
    </w:rPr>
  </w:style>
  <w:style w:type="paragraph" w:customStyle="1" w:styleId="TableorfigureAbbreviationsandSource">
    <w:name w:val="Table or figure Abbreviations and Source"/>
    <w:next w:val="Normal"/>
    <w:qFormat/>
    <w:rsid w:val="003072AF"/>
    <w:pPr>
      <w:spacing w:after="240"/>
      <w:contextualSpacing/>
    </w:pPr>
    <w:rPr>
      <w:rFonts w:ascii="Calibri" w:eastAsia="Calibri" w:hAnsi="Calibri"/>
      <w:sz w:val="16"/>
      <w:szCs w:val="22"/>
      <w:lang w:eastAsia="zh-CN"/>
    </w:rPr>
  </w:style>
  <w:style w:type="character" w:customStyle="1" w:styleId="UnresolvedMention1">
    <w:name w:val="Unresolved Mention1"/>
    <w:basedOn w:val="DefaultParagraphFont"/>
    <w:rsid w:val="00AF1C63"/>
    <w:rPr>
      <w:color w:val="808080"/>
      <w:shd w:val="clear" w:color="auto" w:fill="E6E6E6"/>
    </w:rPr>
  </w:style>
  <w:style w:type="character" w:styleId="FootnoteReference">
    <w:name w:val="footnote reference"/>
    <w:basedOn w:val="DefaultParagraphFont"/>
    <w:semiHidden/>
    <w:unhideWhenUsed/>
    <w:rsid w:val="00FA3C09"/>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60531A"/>
    <w:pPr>
      <w:widowControl/>
      <w:spacing w:after="160" w:line="240" w:lineRule="exact"/>
      <w:jc w:val="left"/>
    </w:pPr>
    <w:rPr>
      <w:rFonts w:ascii="Verdana" w:eastAsia="MS Mincho" w:hAnsi="Verdana" w:cs="Verdana"/>
      <w:snapToGrid/>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uiPriority="59"/>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7A5D7A"/>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Footnote"/>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Footnote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semiHidden/>
    <w:rsid w:val="0044246E"/>
    <w:pPr>
      <w:widowControl/>
      <w:spacing w:before="120" w:line="360" w:lineRule="auto"/>
      <w:jc w:val="left"/>
    </w:pPr>
    <w:rPr>
      <w:rFonts w:cs="Times New Roman"/>
      <w:snapToGrid/>
      <w:szCs w:val="20"/>
      <w:lang w:val="en-GB" w:eastAsia="zh-CN"/>
    </w:rPr>
  </w:style>
  <w:style w:type="character" w:customStyle="1" w:styleId="FootnoteTextChar">
    <w:name w:val="Footnote Text Char"/>
    <w:basedOn w:val="DefaultParagraphFont"/>
    <w:link w:val="FootnoteText"/>
    <w:semiHidden/>
    <w:rsid w:val="0044246E"/>
    <w:rPr>
      <w:rFonts w:ascii="Calibri" w:hAnsi="Calibri"/>
      <w:sz w:val="24"/>
      <w:lang w:val="en-GB" w:eastAsia="zh-CN"/>
    </w:rPr>
  </w:style>
  <w:style w:type="paragraph" w:customStyle="1" w:styleId="TableorfigureAbbreviationsandSource">
    <w:name w:val="Table or figure Abbreviations and Source"/>
    <w:next w:val="Normal"/>
    <w:qFormat/>
    <w:rsid w:val="003072AF"/>
    <w:pPr>
      <w:spacing w:after="240"/>
      <w:contextualSpacing/>
    </w:pPr>
    <w:rPr>
      <w:rFonts w:ascii="Calibri" w:eastAsia="Calibri" w:hAnsi="Calibri"/>
      <w:sz w:val="16"/>
      <w:szCs w:val="22"/>
      <w:lang w:eastAsia="zh-CN"/>
    </w:rPr>
  </w:style>
  <w:style w:type="character" w:customStyle="1" w:styleId="UnresolvedMention1">
    <w:name w:val="Unresolved Mention1"/>
    <w:basedOn w:val="DefaultParagraphFont"/>
    <w:rsid w:val="00AF1C63"/>
    <w:rPr>
      <w:color w:val="808080"/>
      <w:shd w:val="clear" w:color="auto" w:fill="E6E6E6"/>
    </w:rPr>
  </w:style>
  <w:style w:type="character" w:styleId="FootnoteReference">
    <w:name w:val="footnote reference"/>
    <w:basedOn w:val="DefaultParagraphFont"/>
    <w:semiHidden/>
    <w:unhideWhenUsed/>
    <w:rsid w:val="00FA3C09"/>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60531A"/>
    <w:pPr>
      <w:widowControl/>
      <w:spacing w:after="160" w:line="240" w:lineRule="exact"/>
      <w:jc w:val="left"/>
    </w:pPr>
    <w:rPr>
      <w:rFonts w:ascii="Verdana" w:eastAsia="MS Mincho" w:hAnsi="Verdana" w:cs="Verdana"/>
      <w:snapToGrid/>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4366">
      <w:bodyDiv w:val="1"/>
      <w:marLeft w:val="0"/>
      <w:marRight w:val="0"/>
      <w:marTop w:val="0"/>
      <w:marBottom w:val="0"/>
      <w:divBdr>
        <w:top w:val="none" w:sz="0" w:space="0" w:color="auto"/>
        <w:left w:val="none" w:sz="0" w:space="0" w:color="auto"/>
        <w:bottom w:val="none" w:sz="0" w:space="0" w:color="auto"/>
        <w:right w:val="none" w:sz="0" w:space="0" w:color="auto"/>
      </w:divBdr>
    </w:div>
    <w:div w:id="753403883">
      <w:bodyDiv w:val="1"/>
      <w:marLeft w:val="0"/>
      <w:marRight w:val="0"/>
      <w:marTop w:val="0"/>
      <w:marBottom w:val="0"/>
      <w:divBdr>
        <w:top w:val="none" w:sz="0" w:space="0" w:color="auto"/>
        <w:left w:val="none" w:sz="0" w:space="0" w:color="auto"/>
        <w:bottom w:val="none" w:sz="0" w:space="0" w:color="auto"/>
        <w:right w:val="none" w:sz="0" w:space="0" w:color="auto"/>
      </w:divBdr>
    </w:div>
    <w:div w:id="767846859">
      <w:bodyDiv w:val="1"/>
      <w:marLeft w:val="0"/>
      <w:marRight w:val="0"/>
      <w:marTop w:val="0"/>
      <w:marBottom w:val="0"/>
      <w:divBdr>
        <w:top w:val="none" w:sz="0" w:space="0" w:color="auto"/>
        <w:left w:val="none" w:sz="0" w:space="0" w:color="auto"/>
        <w:bottom w:val="none" w:sz="0" w:space="0" w:color="auto"/>
        <w:right w:val="none" w:sz="0" w:space="0" w:color="auto"/>
      </w:divBdr>
    </w:div>
    <w:div w:id="123385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header" Target="header3.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ash.confex.com/ash/2017/webprogram/Paper10288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5AA12-8F96-4AB1-9218-935BABC12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15846</Words>
  <Characters>89760</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2018-06-20T04:52:00Z</dcterms:created>
  <dcterms:modified xsi:type="dcterms:W3CDTF">2018-06-22T01:15:00Z</dcterms:modified>
</cp:coreProperties>
</file>