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C0" w:rsidRPr="009F0BEB" w:rsidRDefault="00273B4E" w:rsidP="00A61E4B">
      <w:pPr>
        <w:widowControl/>
        <w:outlineLvl w:val="0"/>
        <w:rPr>
          <w:b/>
          <w:sz w:val="36"/>
          <w:szCs w:val="36"/>
        </w:rPr>
      </w:pPr>
      <w:bookmarkStart w:id="0" w:name="_GoBack"/>
      <w:bookmarkEnd w:id="0"/>
      <w:r w:rsidRPr="009F0BEB">
        <w:rPr>
          <w:b/>
          <w:sz w:val="36"/>
          <w:szCs w:val="36"/>
        </w:rPr>
        <w:t>7</w:t>
      </w:r>
      <w:r w:rsidR="00CB71E2" w:rsidRPr="009F0BEB">
        <w:rPr>
          <w:b/>
          <w:sz w:val="36"/>
          <w:szCs w:val="36"/>
        </w:rPr>
        <w:t>.</w:t>
      </w:r>
      <w:r w:rsidRPr="009F0BEB">
        <w:rPr>
          <w:b/>
          <w:sz w:val="36"/>
          <w:szCs w:val="36"/>
        </w:rPr>
        <w:t>04</w:t>
      </w:r>
      <w:r w:rsidR="00B60939" w:rsidRPr="009F0BEB">
        <w:rPr>
          <w:b/>
          <w:sz w:val="36"/>
          <w:szCs w:val="36"/>
        </w:rPr>
        <w:tab/>
      </w:r>
      <w:r w:rsidR="0087755B" w:rsidRPr="009F0BEB">
        <w:rPr>
          <w:b/>
          <w:sz w:val="36"/>
          <w:szCs w:val="36"/>
        </w:rPr>
        <w:t>IRINOTECAN (NANOLIPOSOMAL)</w:t>
      </w:r>
      <w:r w:rsidR="00B60939" w:rsidRPr="009F0BEB">
        <w:rPr>
          <w:b/>
          <w:sz w:val="36"/>
          <w:szCs w:val="36"/>
        </w:rPr>
        <w:t xml:space="preserve">, </w:t>
      </w:r>
    </w:p>
    <w:p w:rsidR="006B2DC0" w:rsidRPr="009F0BEB" w:rsidRDefault="0087755B" w:rsidP="006B2DC0">
      <w:pPr>
        <w:widowControl/>
        <w:ind w:firstLine="720"/>
        <w:rPr>
          <w:b/>
          <w:sz w:val="36"/>
          <w:szCs w:val="36"/>
        </w:rPr>
      </w:pPr>
      <w:r w:rsidRPr="009F0BEB">
        <w:rPr>
          <w:b/>
          <w:sz w:val="36"/>
          <w:szCs w:val="36"/>
        </w:rPr>
        <w:t>43 mg in 10 mL Injection</w:t>
      </w:r>
      <w:r w:rsidR="00B60939" w:rsidRPr="009F0BEB">
        <w:rPr>
          <w:b/>
          <w:sz w:val="36"/>
          <w:szCs w:val="36"/>
        </w:rPr>
        <w:t xml:space="preserve">, </w:t>
      </w:r>
    </w:p>
    <w:p w:rsidR="006B2DC0" w:rsidRPr="009F0BEB" w:rsidRDefault="0087755B" w:rsidP="006B2DC0">
      <w:pPr>
        <w:widowControl/>
        <w:ind w:firstLine="720"/>
        <w:rPr>
          <w:b/>
          <w:sz w:val="36"/>
          <w:szCs w:val="36"/>
        </w:rPr>
      </w:pPr>
      <w:r w:rsidRPr="009F0BEB">
        <w:rPr>
          <w:b/>
          <w:sz w:val="36"/>
          <w:szCs w:val="36"/>
        </w:rPr>
        <w:t>ONIVYDE</w:t>
      </w:r>
      <w:r w:rsidR="00B60939" w:rsidRPr="009F0BEB">
        <w:rPr>
          <w:b/>
          <w:sz w:val="36"/>
          <w:szCs w:val="36"/>
        </w:rPr>
        <w:t xml:space="preserve">®, </w:t>
      </w:r>
    </w:p>
    <w:p w:rsidR="00B60939" w:rsidRPr="009F0BEB" w:rsidRDefault="00312151" w:rsidP="006B2DC0">
      <w:pPr>
        <w:widowControl/>
        <w:ind w:firstLine="720"/>
        <w:rPr>
          <w:b/>
          <w:sz w:val="36"/>
          <w:szCs w:val="36"/>
        </w:rPr>
      </w:pPr>
      <w:r w:rsidRPr="009F0BEB">
        <w:rPr>
          <w:b/>
          <w:sz w:val="36"/>
          <w:szCs w:val="36"/>
        </w:rPr>
        <w:t>Shire Australia Pty Ltd</w:t>
      </w:r>
    </w:p>
    <w:p w:rsidR="00433044" w:rsidRPr="009F0BEB" w:rsidRDefault="00433044" w:rsidP="006B2DC0">
      <w:pPr>
        <w:pStyle w:val="BodyText"/>
        <w:widowControl/>
      </w:pPr>
    </w:p>
    <w:p w:rsidR="00B50DB8" w:rsidRPr="009F0BEB" w:rsidRDefault="00B50DB8" w:rsidP="00A911D0">
      <w:pPr>
        <w:pStyle w:val="PBACHeading1"/>
      </w:pPr>
      <w:bookmarkStart w:id="1" w:name="_Toc502848545"/>
      <w:r w:rsidRPr="009F0BEB">
        <w:t>Purpose of Application</w:t>
      </w:r>
      <w:bookmarkEnd w:id="1"/>
    </w:p>
    <w:p w:rsidR="00B60939" w:rsidRPr="009F0BEB" w:rsidRDefault="00B60939" w:rsidP="006B2DC0">
      <w:pPr>
        <w:widowControl/>
      </w:pPr>
    </w:p>
    <w:p w:rsidR="002C2775" w:rsidRPr="009F0BEB" w:rsidRDefault="00E83CA0" w:rsidP="006B2DC0">
      <w:pPr>
        <w:pStyle w:val="ListParagraph"/>
        <w:widowControl/>
        <w:numPr>
          <w:ilvl w:val="1"/>
          <w:numId w:val="3"/>
        </w:numPr>
      </w:pPr>
      <w:r w:rsidRPr="009F0BEB">
        <w:t xml:space="preserve">The resubmission requested a Section 100 (Efficient Funding of Chemotherapy) </w:t>
      </w:r>
      <w:r w:rsidR="00F468C8" w:rsidRPr="009F0BEB">
        <w:t xml:space="preserve">Streamlined </w:t>
      </w:r>
      <w:r w:rsidRPr="009F0BEB">
        <w:t>Authority Required listing for irinotecan (</w:t>
      </w:r>
      <w:proofErr w:type="spellStart"/>
      <w:r w:rsidRPr="009F0BEB">
        <w:t>nanoliposomal</w:t>
      </w:r>
      <w:proofErr w:type="spellEnd"/>
      <w:r w:rsidRPr="009F0BEB">
        <w:t xml:space="preserve">) </w:t>
      </w:r>
      <w:r w:rsidR="00F468C8" w:rsidRPr="009F0BEB">
        <w:t xml:space="preserve">in combination with 5-fluorouracil (5-FU) and </w:t>
      </w:r>
      <w:proofErr w:type="spellStart"/>
      <w:r w:rsidR="00F468C8" w:rsidRPr="009F0BEB">
        <w:t>folinic</w:t>
      </w:r>
      <w:proofErr w:type="spellEnd"/>
      <w:r w:rsidR="00F468C8" w:rsidRPr="009F0BEB">
        <w:t xml:space="preserve"> acid for the treatment of patients with metastatic pancreatic adenocarcinoma who have previously failed </w:t>
      </w:r>
      <w:proofErr w:type="gramStart"/>
      <w:r w:rsidR="00F468C8" w:rsidRPr="009F0BEB">
        <w:t>gemcitabine</w:t>
      </w:r>
      <w:r w:rsidR="0092688C" w:rsidRPr="009F0BEB">
        <w:noBreakHyphen/>
      </w:r>
      <w:r w:rsidR="00F468C8" w:rsidRPr="009F0BEB">
        <w:t>based</w:t>
      </w:r>
      <w:proofErr w:type="gramEnd"/>
      <w:r w:rsidR="00F468C8" w:rsidRPr="009F0BEB">
        <w:t xml:space="preserve"> therapy. </w:t>
      </w:r>
    </w:p>
    <w:p w:rsidR="00F468C8" w:rsidRPr="009F0BEB" w:rsidRDefault="00F468C8" w:rsidP="006B2DC0">
      <w:pPr>
        <w:pStyle w:val="ListParagraph"/>
        <w:widowControl/>
        <w:numPr>
          <w:ilvl w:val="1"/>
          <w:numId w:val="3"/>
        </w:numPr>
      </w:pPr>
      <w:r w:rsidRPr="009F0BEB">
        <w:t>Irinotecan (</w:t>
      </w:r>
      <w:proofErr w:type="spellStart"/>
      <w:r w:rsidRPr="009F0BEB">
        <w:t>nanoliposomal</w:t>
      </w:r>
      <w:proofErr w:type="spellEnd"/>
      <w:r w:rsidRPr="009F0BEB">
        <w:t>) plus 5-FU/</w:t>
      </w:r>
      <w:proofErr w:type="spellStart"/>
      <w:r w:rsidRPr="009F0BEB">
        <w:t>folinic</w:t>
      </w:r>
      <w:proofErr w:type="spellEnd"/>
      <w:r w:rsidRPr="009F0BEB">
        <w:t xml:space="preserve"> acid was previously considered by the PBAC in November 2016.</w:t>
      </w:r>
    </w:p>
    <w:p w:rsidR="00C2778B" w:rsidRPr="009F0BEB" w:rsidRDefault="00F468C8" w:rsidP="006B2DC0">
      <w:pPr>
        <w:pStyle w:val="ListParagraph"/>
        <w:widowControl/>
        <w:numPr>
          <w:ilvl w:val="1"/>
          <w:numId w:val="3"/>
        </w:numPr>
        <w:spacing w:after="120"/>
      </w:pPr>
      <w:r w:rsidRPr="009F0BEB">
        <w:t>Listing was requested on the basis of a cost-effectiveness analysis compared with mFOLFOX6 (</w:t>
      </w:r>
      <w:proofErr w:type="spellStart"/>
      <w:r w:rsidRPr="009F0BEB">
        <w:t>oxaliplatin</w:t>
      </w:r>
      <w:proofErr w:type="spellEnd"/>
      <w:r w:rsidRPr="009F0BEB">
        <w:t xml:space="preserve"> plus 5-FU/</w:t>
      </w:r>
      <w:proofErr w:type="spellStart"/>
      <w:r w:rsidRPr="009F0BEB">
        <w:t>folinic</w:t>
      </w:r>
      <w:proofErr w:type="spellEnd"/>
      <w:r w:rsidRPr="009F0BEB">
        <w:t xml:space="preserve"> acid) using 5-FU/</w:t>
      </w:r>
      <w:proofErr w:type="spellStart"/>
      <w:r w:rsidRPr="009F0BEB">
        <w:t>folinic</w:t>
      </w:r>
      <w:proofErr w:type="spellEnd"/>
      <w:r w:rsidRPr="009F0BEB">
        <w:t xml:space="preserve"> acid monotherapy as a proxy. </w:t>
      </w:r>
    </w:p>
    <w:p w:rsidR="00CC30EB" w:rsidRPr="009F0BEB" w:rsidRDefault="00F93719" w:rsidP="006B2DC0">
      <w:pPr>
        <w:pStyle w:val="ListParagraph"/>
        <w:widowControl/>
        <w:numPr>
          <w:ilvl w:val="1"/>
          <w:numId w:val="3"/>
        </w:numPr>
        <w:spacing w:after="120"/>
      </w:pPr>
      <w:r w:rsidRPr="009F0BEB">
        <w:t>Any further reference to irinotecan (</w:t>
      </w:r>
      <w:proofErr w:type="spellStart"/>
      <w:r w:rsidRPr="009F0BEB">
        <w:t>nanoliposomal</w:t>
      </w:r>
      <w:proofErr w:type="spellEnd"/>
      <w:r w:rsidRPr="009F0BEB">
        <w:t>) will describe the drug component whereas the ir</w:t>
      </w:r>
      <w:r w:rsidR="00CC30EB" w:rsidRPr="009F0BEB">
        <w:t>inotecan (</w:t>
      </w:r>
      <w:proofErr w:type="spellStart"/>
      <w:r w:rsidR="00CC30EB" w:rsidRPr="009F0BEB">
        <w:t>nanoliposomal</w:t>
      </w:r>
      <w:proofErr w:type="spellEnd"/>
      <w:r w:rsidR="00CC30EB" w:rsidRPr="009F0BEB">
        <w:t xml:space="preserve">) </w:t>
      </w:r>
      <w:r w:rsidRPr="009F0BEB">
        <w:t xml:space="preserve">plus </w:t>
      </w:r>
      <w:r w:rsidR="00CC30EB" w:rsidRPr="009F0BEB">
        <w:t>5-FU/</w:t>
      </w:r>
      <w:proofErr w:type="spellStart"/>
      <w:r w:rsidR="00CC30EB" w:rsidRPr="009F0BEB">
        <w:t>folinic</w:t>
      </w:r>
      <w:proofErr w:type="spellEnd"/>
      <w:r w:rsidR="00CC30EB" w:rsidRPr="009F0BEB">
        <w:t xml:space="preserve"> acid</w:t>
      </w:r>
      <w:r w:rsidRPr="009F0BEB">
        <w:t xml:space="preserve"> regimen will be </w:t>
      </w:r>
      <w:r w:rsidR="005F690A" w:rsidRPr="009F0BEB">
        <w:t>described</w:t>
      </w:r>
      <w:r w:rsidRPr="009F0BEB">
        <w:t xml:space="preserve"> as </w:t>
      </w:r>
      <w:proofErr w:type="spellStart"/>
      <w:r w:rsidRPr="009F0BEB">
        <w:t>nal</w:t>
      </w:r>
      <w:proofErr w:type="spellEnd"/>
      <w:r w:rsidRPr="009F0BEB">
        <w:t>-IRI.</w:t>
      </w:r>
    </w:p>
    <w:p w:rsidR="00F468C8" w:rsidRPr="009F0BEB" w:rsidRDefault="00F468C8" w:rsidP="006B2DC0">
      <w:pPr>
        <w:widowControl/>
      </w:pPr>
      <w:r w:rsidRPr="009F0BEB">
        <w:rPr>
          <w:rStyle w:val="CommentReference"/>
        </w:rPr>
        <w:t>Table 1:  Key components of the clinical issue addressed in the submission</w:t>
      </w:r>
    </w:p>
    <w:tbl>
      <w:tblPr>
        <w:tblStyle w:val="TableGrid"/>
        <w:tblW w:w="9048" w:type="dxa"/>
        <w:tblLook w:val="04A0" w:firstRow="1" w:lastRow="0" w:firstColumn="1" w:lastColumn="0" w:noHBand="0" w:noVBand="1"/>
        <w:tblCaption w:val="Table 1:  Key components of the clinical issue addressed in the submission"/>
      </w:tblPr>
      <w:tblGrid>
        <w:gridCol w:w="1560"/>
        <w:gridCol w:w="7488"/>
      </w:tblGrid>
      <w:tr w:rsidR="00F468C8" w:rsidRPr="009F0BEB" w:rsidTr="008C785F">
        <w:trPr>
          <w:tblHeader/>
        </w:trPr>
        <w:tc>
          <w:tcPr>
            <w:tcW w:w="1560" w:type="dxa"/>
          </w:tcPr>
          <w:p w:rsidR="00F468C8" w:rsidRPr="009F0BEB" w:rsidRDefault="00F468C8" w:rsidP="006B2DC0">
            <w:pPr>
              <w:pStyle w:val="Tabletext"/>
              <w:rPr>
                <w:b/>
              </w:rPr>
            </w:pPr>
            <w:r w:rsidRPr="009F0BEB">
              <w:rPr>
                <w:b/>
              </w:rPr>
              <w:t>Component</w:t>
            </w:r>
          </w:p>
        </w:tc>
        <w:tc>
          <w:tcPr>
            <w:tcW w:w="7488" w:type="dxa"/>
          </w:tcPr>
          <w:p w:rsidR="00F468C8" w:rsidRPr="009F0BEB" w:rsidRDefault="00F468C8" w:rsidP="006B2DC0">
            <w:pPr>
              <w:pStyle w:val="Tabletext"/>
              <w:jc w:val="center"/>
              <w:rPr>
                <w:b/>
              </w:rPr>
            </w:pPr>
            <w:r w:rsidRPr="009F0BEB">
              <w:rPr>
                <w:b/>
              </w:rPr>
              <w:t>Description</w:t>
            </w:r>
          </w:p>
        </w:tc>
      </w:tr>
      <w:tr w:rsidR="00F468C8" w:rsidRPr="009F0BEB" w:rsidTr="00FE5760">
        <w:tc>
          <w:tcPr>
            <w:tcW w:w="1560" w:type="dxa"/>
          </w:tcPr>
          <w:p w:rsidR="00F468C8" w:rsidRPr="009F0BEB" w:rsidRDefault="00F468C8" w:rsidP="006B2DC0">
            <w:pPr>
              <w:pStyle w:val="Tabletext"/>
            </w:pPr>
            <w:r w:rsidRPr="009F0BEB">
              <w:t>Population</w:t>
            </w:r>
          </w:p>
        </w:tc>
        <w:tc>
          <w:tcPr>
            <w:tcW w:w="7488" w:type="dxa"/>
          </w:tcPr>
          <w:p w:rsidR="00F468C8" w:rsidRPr="009F0BEB" w:rsidRDefault="00F468C8" w:rsidP="006B2DC0">
            <w:pPr>
              <w:pStyle w:val="Tabletext"/>
            </w:pPr>
            <w:r w:rsidRPr="009F0BEB">
              <w:t xml:space="preserve">Patients with metastatic pancreatic adenocarcinoma who have previously failed gemcitabine-based therapy. </w:t>
            </w:r>
          </w:p>
        </w:tc>
      </w:tr>
      <w:tr w:rsidR="00F468C8" w:rsidRPr="009F0BEB" w:rsidTr="00FE5760">
        <w:tc>
          <w:tcPr>
            <w:tcW w:w="1560" w:type="dxa"/>
          </w:tcPr>
          <w:p w:rsidR="00F468C8" w:rsidRPr="009F0BEB" w:rsidRDefault="00F468C8" w:rsidP="006B2DC0">
            <w:pPr>
              <w:pStyle w:val="Tabletext"/>
            </w:pPr>
            <w:r w:rsidRPr="009F0BEB">
              <w:t>Intervention</w:t>
            </w:r>
          </w:p>
        </w:tc>
        <w:tc>
          <w:tcPr>
            <w:tcW w:w="7488" w:type="dxa"/>
          </w:tcPr>
          <w:p w:rsidR="00F468C8" w:rsidRPr="009F0BEB" w:rsidRDefault="00F468C8" w:rsidP="006B2DC0">
            <w:pPr>
              <w:pStyle w:val="Tabletext"/>
            </w:pPr>
            <w:r w:rsidRPr="009F0BEB">
              <w:t>Irinotecan (</w:t>
            </w:r>
            <w:proofErr w:type="spellStart"/>
            <w:r w:rsidRPr="009F0BEB">
              <w:t>nanoliposomal</w:t>
            </w:r>
            <w:proofErr w:type="spellEnd"/>
            <w:r w:rsidRPr="009F0BEB">
              <w:t>) plus 5-fluorouracil/</w:t>
            </w:r>
            <w:proofErr w:type="spellStart"/>
            <w:r w:rsidRPr="009F0BEB">
              <w:t>folinic</w:t>
            </w:r>
            <w:proofErr w:type="spellEnd"/>
            <w:r w:rsidRPr="009F0BEB">
              <w:t xml:space="preserve"> acid</w:t>
            </w:r>
          </w:p>
        </w:tc>
      </w:tr>
      <w:tr w:rsidR="00F468C8" w:rsidRPr="009F0BEB" w:rsidTr="00FE5760">
        <w:tc>
          <w:tcPr>
            <w:tcW w:w="1560" w:type="dxa"/>
          </w:tcPr>
          <w:p w:rsidR="00F468C8" w:rsidRPr="009F0BEB" w:rsidRDefault="00F468C8" w:rsidP="006B2DC0">
            <w:pPr>
              <w:pStyle w:val="Tabletext"/>
            </w:pPr>
            <w:r w:rsidRPr="009F0BEB">
              <w:t>Comparator</w:t>
            </w:r>
          </w:p>
        </w:tc>
        <w:tc>
          <w:tcPr>
            <w:tcW w:w="7488" w:type="dxa"/>
          </w:tcPr>
          <w:p w:rsidR="00F468C8" w:rsidRPr="009F0BEB" w:rsidRDefault="00F468C8" w:rsidP="006B2DC0">
            <w:pPr>
              <w:pStyle w:val="Tabletext"/>
            </w:pPr>
            <w:r w:rsidRPr="009F0BEB">
              <w:t>mFOLFOX6 (</w:t>
            </w:r>
            <w:proofErr w:type="spellStart"/>
            <w:r w:rsidRPr="009F0BEB">
              <w:t>oxaliplatin</w:t>
            </w:r>
            <w:proofErr w:type="spellEnd"/>
            <w:r w:rsidRPr="009F0BEB">
              <w:t xml:space="preserve"> plus 5-fluorouracil/</w:t>
            </w:r>
            <w:proofErr w:type="spellStart"/>
            <w:r w:rsidRPr="009F0BEB">
              <w:t>folinic</w:t>
            </w:r>
            <w:proofErr w:type="spellEnd"/>
            <w:r w:rsidRPr="009F0BEB">
              <w:t xml:space="preserve"> acid)</w:t>
            </w:r>
          </w:p>
        </w:tc>
      </w:tr>
      <w:tr w:rsidR="00F468C8" w:rsidRPr="009F0BEB" w:rsidTr="00FE5760">
        <w:tc>
          <w:tcPr>
            <w:tcW w:w="1560" w:type="dxa"/>
          </w:tcPr>
          <w:p w:rsidR="00F468C8" w:rsidRPr="009F0BEB" w:rsidRDefault="00F468C8" w:rsidP="006B2DC0">
            <w:pPr>
              <w:pStyle w:val="Tabletext"/>
            </w:pPr>
            <w:r w:rsidRPr="009F0BEB">
              <w:t>Outcomes</w:t>
            </w:r>
          </w:p>
        </w:tc>
        <w:tc>
          <w:tcPr>
            <w:tcW w:w="7488" w:type="dxa"/>
          </w:tcPr>
          <w:p w:rsidR="00F468C8" w:rsidRPr="009F0BEB" w:rsidRDefault="00F468C8" w:rsidP="006B2DC0">
            <w:pPr>
              <w:pStyle w:val="Tabletext"/>
            </w:pPr>
            <w:r w:rsidRPr="009F0BEB">
              <w:t>Improvement in survival and delay in disease progression</w:t>
            </w:r>
          </w:p>
        </w:tc>
      </w:tr>
      <w:tr w:rsidR="00F468C8" w:rsidRPr="009F0BEB" w:rsidTr="00FE5760">
        <w:tc>
          <w:tcPr>
            <w:tcW w:w="1560" w:type="dxa"/>
          </w:tcPr>
          <w:p w:rsidR="00F468C8" w:rsidRPr="009F0BEB" w:rsidRDefault="00F468C8" w:rsidP="006B2DC0">
            <w:pPr>
              <w:pStyle w:val="Tabletext"/>
            </w:pPr>
            <w:r w:rsidRPr="009F0BEB">
              <w:t>Clinical claim</w:t>
            </w:r>
          </w:p>
        </w:tc>
        <w:tc>
          <w:tcPr>
            <w:tcW w:w="7488" w:type="dxa"/>
          </w:tcPr>
          <w:p w:rsidR="00F468C8" w:rsidRPr="009F0BEB" w:rsidRDefault="00F468C8" w:rsidP="006B2DC0">
            <w:pPr>
              <w:pStyle w:val="Tabletext"/>
            </w:pPr>
            <w:r w:rsidRPr="009F0BEB">
              <w:t>Irinotecan (</w:t>
            </w:r>
            <w:proofErr w:type="spellStart"/>
            <w:r w:rsidRPr="009F0BEB">
              <w:t>nanoliposomal</w:t>
            </w:r>
            <w:proofErr w:type="spellEnd"/>
            <w:r w:rsidRPr="009F0BEB">
              <w:t>) plus 5-fluorouracil/</w:t>
            </w:r>
            <w:proofErr w:type="spellStart"/>
            <w:r w:rsidRPr="009F0BEB">
              <w:t>folinic</w:t>
            </w:r>
            <w:proofErr w:type="spellEnd"/>
            <w:r w:rsidRPr="009F0BEB">
              <w:t xml:space="preserve"> acid is superior in terms of efficacy and similar in terms of safety compared with mFOLFOX6</w:t>
            </w:r>
          </w:p>
        </w:tc>
      </w:tr>
    </w:tbl>
    <w:p w:rsidR="00F468C8" w:rsidRPr="009F0BEB" w:rsidRDefault="00F468C8" w:rsidP="006B2DC0">
      <w:pPr>
        <w:pStyle w:val="TableFooter"/>
        <w:widowControl/>
      </w:pPr>
      <w:r w:rsidRPr="009F0BEB">
        <w:t>Source: Table 1.1-1, p5 of the submission</w:t>
      </w:r>
    </w:p>
    <w:p w:rsidR="00F468C8" w:rsidRPr="009F0BEB" w:rsidRDefault="00F468C8" w:rsidP="006B2DC0">
      <w:pPr>
        <w:pStyle w:val="TableFooter"/>
        <w:widowControl/>
      </w:pPr>
      <w:r w:rsidRPr="009F0BEB">
        <w:t>Abbreviations: ECOG, Eastern Cooperative Oncology Group</w:t>
      </w:r>
    </w:p>
    <w:p w:rsidR="004E43B2" w:rsidRPr="009F0BEB" w:rsidRDefault="004E43B2" w:rsidP="006B2DC0">
      <w:pPr>
        <w:widowControl/>
      </w:pPr>
    </w:p>
    <w:p w:rsidR="002E0A30" w:rsidRPr="009F0BEB" w:rsidRDefault="002E0A30" w:rsidP="00214C1E">
      <w:pPr>
        <w:pStyle w:val="PBACHeading1"/>
        <w:spacing w:before="120" w:after="120"/>
      </w:pPr>
      <w:r w:rsidRPr="009F0BEB">
        <w:t xml:space="preserve">Requested listing </w:t>
      </w:r>
      <w:bookmarkStart w:id="2" w:name="_Toc502848546"/>
    </w:p>
    <w:bookmarkEnd w:id="2"/>
    <w:p w:rsidR="00CC30EB" w:rsidRPr="009F0BEB" w:rsidRDefault="00CC30EB" w:rsidP="006B2DC0">
      <w:pPr>
        <w:pStyle w:val="ListParagraph"/>
        <w:widowControl/>
        <w:numPr>
          <w:ilvl w:val="1"/>
          <w:numId w:val="3"/>
        </w:numPr>
      </w:pPr>
      <w:r w:rsidRPr="009F0BEB">
        <w:t>Key differences compared with the re</w:t>
      </w:r>
      <w:r w:rsidR="0042344F" w:rsidRPr="009F0BEB">
        <w:t>q</w:t>
      </w:r>
      <w:r w:rsidRPr="009F0BEB">
        <w:t>uested listing</w:t>
      </w:r>
      <w:r w:rsidR="0042344F" w:rsidRPr="009F0BEB">
        <w:t xml:space="preserve"> in the November 2016 submission </w:t>
      </w:r>
      <w:r w:rsidR="0099605D">
        <w:t>were</w:t>
      </w:r>
      <w:r w:rsidR="0099605D" w:rsidRPr="009F0BEB">
        <w:t xml:space="preserve"> </w:t>
      </w:r>
      <w:r w:rsidR="0042344F" w:rsidRPr="009F0BEB">
        <w:t xml:space="preserve">the addition of clinical criteria that restricts </w:t>
      </w:r>
      <w:r w:rsidR="005F690A" w:rsidRPr="009F0BEB">
        <w:t xml:space="preserve">the </w:t>
      </w:r>
      <w:r w:rsidR="0042344F" w:rsidRPr="009F0BEB">
        <w:t>use of irinotecan (</w:t>
      </w:r>
      <w:proofErr w:type="spellStart"/>
      <w:r w:rsidR="0042344F" w:rsidRPr="009F0BEB">
        <w:t>nanoliposomal</w:t>
      </w:r>
      <w:proofErr w:type="spellEnd"/>
      <w:r w:rsidR="0042344F" w:rsidRPr="009F0BEB">
        <w:t>) to patients with no prior exposure to irinotecan (non</w:t>
      </w:r>
      <w:r w:rsidR="0092688C" w:rsidRPr="009F0BEB">
        <w:noBreakHyphen/>
      </w:r>
      <w:proofErr w:type="spellStart"/>
      <w:r w:rsidR="00D578C4" w:rsidRPr="009F0BEB">
        <w:t>nano</w:t>
      </w:r>
      <w:r w:rsidR="0042344F" w:rsidRPr="009F0BEB">
        <w:t>liposomal</w:t>
      </w:r>
      <w:proofErr w:type="spellEnd"/>
      <w:r w:rsidR="0042344F" w:rsidRPr="009F0BEB">
        <w:t>), and that patients must have an ECOG performance status score of 0 to 2.</w:t>
      </w:r>
      <w:r w:rsidR="00066CA0" w:rsidRPr="009F0BEB" w:rsidDel="00066CA0">
        <w:t xml:space="preserve"> </w:t>
      </w:r>
    </w:p>
    <w:p w:rsidR="00C60770" w:rsidRPr="009F0BEB" w:rsidRDefault="002C0C51" w:rsidP="00C60770">
      <w:pPr>
        <w:pStyle w:val="ListParagraph"/>
        <w:widowControl/>
        <w:numPr>
          <w:ilvl w:val="1"/>
          <w:numId w:val="3"/>
        </w:numPr>
      </w:pPr>
      <w:r w:rsidRPr="009F0BEB">
        <w:lastRenderedPageBreak/>
        <w:t xml:space="preserve">Suggestions and additions proposed by the Secretariat to the requested listing </w:t>
      </w:r>
      <w:r w:rsidR="00F2578D" w:rsidRPr="009F0BEB">
        <w:t xml:space="preserve">proposed in the resubmission </w:t>
      </w:r>
      <w:r w:rsidRPr="009F0BEB">
        <w:t xml:space="preserve">are added in italics and suggested deletions are crossed out with strikethrough. </w:t>
      </w:r>
    </w:p>
    <w:tbl>
      <w:tblPr>
        <w:tblW w:w="9214" w:type="dxa"/>
        <w:tblInd w:w="108" w:type="dxa"/>
        <w:tblLayout w:type="fixed"/>
        <w:tblLook w:val="0000" w:firstRow="0" w:lastRow="0" w:firstColumn="0" w:lastColumn="0" w:noHBand="0" w:noVBand="0"/>
      </w:tblPr>
      <w:tblGrid>
        <w:gridCol w:w="2835"/>
        <w:gridCol w:w="284"/>
        <w:gridCol w:w="709"/>
        <w:gridCol w:w="850"/>
        <w:gridCol w:w="1701"/>
        <w:gridCol w:w="1559"/>
        <w:gridCol w:w="1276"/>
      </w:tblGrid>
      <w:tr w:rsidR="002C0C51" w:rsidRPr="009F0BEB" w:rsidTr="000E469B">
        <w:trPr>
          <w:cantSplit/>
          <w:trHeight w:val="471"/>
        </w:trPr>
        <w:tc>
          <w:tcPr>
            <w:tcW w:w="3119" w:type="dxa"/>
            <w:gridSpan w:val="2"/>
            <w:tcBorders>
              <w:bottom w:val="single" w:sz="4" w:space="0" w:color="auto"/>
            </w:tcBorders>
          </w:tcPr>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Name, Restriction,</w:t>
            </w: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Manner of administration and form</w:t>
            </w:r>
          </w:p>
        </w:tc>
        <w:tc>
          <w:tcPr>
            <w:tcW w:w="709" w:type="dxa"/>
            <w:tcBorders>
              <w:bottom w:val="single" w:sz="4" w:space="0" w:color="auto"/>
            </w:tcBorders>
          </w:tcPr>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Max.</w:t>
            </w:r>
          </w:p>
          <w:p w:rsidR="002C0C51" w:rsidRPr="009F0BEB" w:rsidRDefault="00F2578D" w:rsidP="006B2DC0">
            <w:pPr>
              <w:keepNext/>
              <w:widowControl/>
              <w:ind w:left="-108"/>
              <w:rPr>
                <w:rFonts w:ascii="Arial Narrow" w:hAnsi="Arial Narrow"/>
                <w:snapToGrid/>
                <w:sz w:val="20"/>
                <w:szCs w:val="20"/>
                <w:lang w:eastAsia="en-AU"/>
              </w:rPr>
            </w:pPr>
            <w:proofErr w:type="spellStart"/>
            <w:r w:rsidRPr="009F0BEB">
              <w:rPr>
                <w:rFonts w:ascii="Arial Narrow" w:hAnsi="Arial Narrow"/>
                <w:snapToGrid/>
                <w:sz w:val="20"/>
                <w:szCs w:val="20"/>
                <w:lang w:eastAsia="en-AU"/>
              </w:rPr>
              <w:t>Amt</w:t>
            </w:r>
            <w:proofErr w:type="spellEnd"/>
          </w:p>
        </w:tc>
        <w:tc>
          <w:tcPr>
            <w:tcW w:w="850" w:type="dxa"/>
            <w:tcBorders>
              <w:bottom w:val="single" w:sz="4" w:space="0" w:color="auto"/>
            </w:tcBorders>
          </w:tcPr>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№.of</w:t>
            </w:r>
          </w:p>
          <w:p w:rsidR="002C0C51" w:rsidRPr="009F0BEB" w:rsidRDefault="002C0C51" w:rsidP="006B2DC0">
            <w:pPr>
              <w:keepNext/>
              <w:widowControl/>
              <w:ind w:left="-108"/>
              <w:rPr>
                <w:rFonts w:ascii="Arial Narrow" w:hAnsi="Arial Narrow"/>
                <w:snapToGrid/>
                <w:sz w:val="20"/>
                <w:szCs w:val="20"/>
                <w:lang w:eastAsia="en-AU"/>
              </w:rPr>
            </w:pPr>
            <w:proofErr w:type="spellStart"/>
            <w:r w:rsidRPr="009F0BEB">
              <w:rPr>
                <w:rFonts w:ascii="Arial Narrow" w:hAnsi="Arial Narrow"/>
                <w:snapToGrid/>
                <w:sz w:val="20"/>
                <w:szCs w:val="20"/>
                <w:lang w:eastAsia="en-AU"/>
              </w:rPr>
              <w:t>Rpts</w:t>
            </w:r>
            <w:proofErr w:type="spellEnd"/>
          </w:p>
        </w:tc>
        <w:tc>
          <w:tcPr>
            <w:tcW w:w="1701" w:type="dxa"/>
            <w:tcBorders>
              <w:bottom w:val="single" w:sz="4" w:space="0" w:color="auto"/>
            </w:tcBorders>
          </w:tcPr>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 xml:space="preserve">Dispensed Price for Max. </w:t>
            </w:r>
            <w:proofErr w:type="spellStart"/>
            <w:r w:rsidR="00F2578D" w:rsidRPr="009F0BEB">
              <w:rPr>
                <w:rFonts w:ascii="Arial Narrow" w:hAnsi="Arial Narrow"/>
                <w:snapToGrid/>
                <w:sz w:val="20"/>
                <w:szCs w:val="20"/>
                <w:lang w:eastAsia="en-AU"/>
              </w:rPr>
              <w:t>Amt</w:t>
            </w:r>
            <w:proofErr w:type="spellEnd"/>
          </w:p>
        </w:tc>
        <w:tc>
          <w:tcPr>
            <w:tcW w:w="2835" w:type="dxa"/>
            <w:gridSpan w:val="2"/>
            <w:tcBorders>
              <w:bottom w:val="single" w:sz="4" w:space="0" w:color="auto"/>
            </w:tcBorders>
          </w:tcPr>
          <w:p w:rsidR="002C0C51" w:rsidRPr="009F0BEB" w:rsidRDefault="002C0C51" w:rsidP="006B2DC0">
            <w:pPr>
              <w:keepNext/>
              <w:widowControl/>
              <w:rPr>
                <w:rFonts w:ascii="Arial Narrow" w:hAnsi="Arial Narrow"/>
                <w:snapToGrid/>
                <w:sz w:val="20"/>
                <w:szCs w:val="20"/>
                <w:lang w:val="fr-FR" w:eastAsia="en-AU"/>
              </w:rPr>
            </w:pPr>
            <w:r w:rsidRPr="009F0BEB">
              <w:rPr>
                <w:rFonts w:ascii="Arial Narrow" w:hAnsi="Arial Narrow"/>
                <w:snapToGrid/>
                <w:sz w:val="20"/>
                <w:szCs w:val="20"/>
                <w:lang w:eastAsia="en-AU"/>
              </w:rPr>
              <w:t>Proprietary Name and Manufacturer</w:t>
            </w:r>
          </w:p>
        </w:tc>
      </w:tr>
      <w:tr w:rsidR="002C0C51" w:rsidRPr="009F0BEB" w:rsidTr="000E469B">
        <w:trPr>
          <w:cantSplit/>
          <w:trHeight w:val="577"/>
        </w:trPr>
        <w:tc>
          <w:tcPr>
            <w:tcW w:w="3119" w:type="dxa"/>
            <w:gridSpan w:val="2"/>
          </w:tcPr>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mallCaps/>
                <w:snapToGrid/>
                <w:sz w:val="20"/>
                <w:szCs w:val="20"/>
                <w:lang w:eastAsia="en-AU"/>
              </w:rPr>
              <w:t>IRINOTECAN-NANOLIPOSOMAL</w:t>
            </w: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43 mg/10 mL injection, 10 mL vial</w:t>
            </w:r>
          </w:p>
        </w:tc>
        <w:tc>
          <w:tcPr>
            <w:tcW w:w="709" w:type="dxa"/>
          </w:tcPr>
          <w:p w:rsidR="002C0C51" w:rsidRPr="009F0BEB" w:rsidRDefault="002C0C51" w:rsidP="006B2DC0">
            <w:pPr>
              <w:keepNext/>
              <w:widowControl/>
              <w:ind w:left="-108"/>
              <w:rPr>
                <w:rFonts w:ascii="Arial Narrow" w:hAnsi="Arial Narrow"/>
                <w:snapToGrid/>
                <w:sz w:val="20"/>
                <w:szCs w:val="20"/>
                <w:lang w:eastAsia="en-AU"/>
              </w:rPr>
            </w:pP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160mg</w:t>
            </w:r>
          </w:p>
        </w:tc>
        <w:tc>
          <w:tcPr>
            <w:tcW w:w="850" w:type="dxa"/>
          </w:tcPr>
          <w:p w:rsidR="002C0C51" w:rsidRPr="009F0BEB" w:rsidRDefault="002C0C51" w:rsidP="006B2DC0">
            <w:pPr>
              <w:keepNext/>
              <w:widowControl/>
              <w:ind w:left="-108"/>
              <w:rPr>
                <w:rFonts w:ascii="Arial Narrow" w:hAnsi="Arial Narrow"/>
                <w:snapToGrid/>
                <w:sz w:val="20"/>
                <w:szCs w:val="20"/>
                <w:lang w:eastAsia="en-AU"/>
              </w:rPr>
            </w:pP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11</w:t>
            </w:r>
          </w:p>
        </w:tc>
        <w:tc>
          <w:tcPr>
            <w:tcW w:w="1701" w:type="dxa"/>
          </w:tcPr>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w:t>
            </w:r>
            <w:r w:rsidR="00EE2E05">
              <w:rPr>
                <w:rFonts w:ascii="Arial Narrow" w:hAnsi="Arial Narrow"/>
                <w:noProof/>
                <w:snapToGrid/>
                <w:color w:val="000000"/>
                <w:sz w:val="20"/>
                <w:szCs w:val="20"/>
                <w:highlight w:val="black"/>
                <w:lang w:eastAsia="en-AU"/>
              </w:rPr>
              <w:t>'''''''''''''''''''</w:t>
            </w:r>
            <w:r w:rsidRPr="009F0BEB">
              <w:rPr>
                <w:rFonts w:ascii="Arial Narrow" w:hAnsi="Arial Narrow"/>
                <w:snapToGrid/>
                <w:sz w:val="20"/>
                <w:szCs w:val="20"/>
                <w:lang w:eastAsia="en-AU"/>
              </w:rPr>
              <w:t xml:space="preserve"> (Public)</w:t>
            </w: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w:t>
            </w:r>
            <w:r w:rsidR="00EE2E05">
              <w:rPr>
                <w:rFonts w:ascii="Arial Narrow" w:hAnsi="Arial Narrow"/>
                <w:noProof/>
                <w:snapToGrid/>
                <w:color w:val="000000"/>
                <w:sz w:val="20"/>
                <w:szCs w:val="20"/>
                <w:highlight w:val="black"/>
                <w:lang w:eastAsia="en-AU"/>
              </w:rPr>
              <w:t>''''''''''''''''''''''</w:t>
            </w:r>
            <w:r w:rsidRPr="009F0BEB">
              <w:rPr>
                <w:rFonts w:ascii="Arial Narrow" w:hAnsi="Arial Narrow"/>
                <w:snapToGrid/>
                <w:sz w:val="20"/>
                <w:szCs w:val="20"/>
                <w:lang w:eastAsia="en-AU"/>
              </w:rPr>
              <w:t xml:space="preserve"> (Public)*</w:t>
            </w: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w:t>
            </w:r>
            <w:r w:rsidR="00EE2E05">
              <w:rPr>
                <w:rFonts w:ascii="Arial Narrow" w:hAnsi="Arial Narrow"/>
                <w:noProof/>
                <w:snapToGrid/>
                <w:color w:val="000000"/>
                <w:sz w:val="20"/>
                <w:szCs w:val="20"/>
                <w:highlight w:val="black"/>
                <w:lang w:eastAsia="en-AU"/>
              </w:rPr>
              <w:t>'''''''''''''''''''''</w:t>
            </w:r>
            <w:r w:rsidRPr="009F0BEB">
              <w:rPr>
                <w:rFonts w:ascii="Arial Narrow" w:hAnsi="Arial Narrow"/>
                <w:snapToGrid/>
                <w:sz w:val="20"/>
                <w:szCs w:val="20"/>
                <w:lang w:eastAsia="en-AU"/>
              </w:rPr>
              <w:t xml:space="preserve"> (Private)</w:t>
            </w:r>
          </w:p>
          <w:p w:rsidR="002C0C51" w:rsidRPr="009F0BEB" w:rsidRDefault="002C0C51" w:rsidP="006B2DC0">
            <w:pPr>
              <w:keepNext/>
              <w:widowControl/>
              <w:ind w:left="-108"/>
              <w:rPr>
                <w:rFonts w:ascii="Arial Narrow" w:hAnsi="Arial Narrow"/>
                <w:snapToGrid/>
                <w:sz w:val="20"/>
                <w:szCs w:val="20"/>
                <w:lang w:eastAsia="en-AU"/>
              </w:rPr>
            </w:pPr>
            <w:r w:rsidRPr="009F0BEB">
              <w:rPr>
                <w:rFonts w:ascii="Arial Narrow" w:hAnsi="Arial Narrow"/>
                <w:snapToGrid/>
                <w:sz w:val="20"/>
                <w:szCs w:val="20"/>
                <w:lang w:eastAsia="en-AU"/>
              </w:rPr>
              <w:t>$</w:t>
            </w:r>
            <w:r w:rsidR="00EE2E05">
              <w:rPr>
                <w:rFonts w:ascii="Arial Narrow" w:hAnsi="Arial Narrow"/>
                <w:noProof/>
                <w:snapToGrid/>
                <w:color w:val="000000"/>
                <w:sz w:val="20"/>
                <w:szCs w:val="20"/>
                <w:highlight w:val="black"/>
                <w:lang w:eastAsia="en-AU"/>
              </w:rPr>
              <w:t>'''''''''''''''''''''</w:t>
            </w:r>
            <w:r w:rsidRPr="009F0BEB">
              <w:rPr>
                <w:rFonts w:ascii="Arial Narrow" w:hAnsi="Arial Narrow"/>
                <w:snapToGrid/>
                <w:sz w:val="20"/>
                <w:szCs w:val="20"/>
                <w:lang w:eastAsia="en-AU"/>
              </w:rPr>
              <w:t xml:space="preserve"> (Private)*</w:t>
            </w:r>
          </w:p>
        </w:tc>
        <w:tc>
          <w:tcPr>
            <w:tcW w:w="1559" w:type="dxa"/>
          </w:tcPr>
          <w:p w:rsidR="002C0C51" w:rsidRPr="009F0BEB" w:rsidRDefault="002C0C51" w:rsidP="006B2DC0">
            <w:pPr>
              <w:keepNext/>
              <w:widowControl/>
              <w:rPr>
                <w:rFonts w:ascii="Arial Narrow" w:hAnsi="Arial Narrow"/>
                <w:snapToGrid/>
                <w:sz w:val="20"/>
                <w:szCs w:val="20"/>
                <w:lang w:eastAsia="en-AU"/>
              </w:rPr>
            </w:pPr>
            <w:proofErr w:type="spellStart"/>
            <w:r w:rsidRPr="009F0BEB">
              <w:rPr>
                <w:rFonts w:ascii="Arial Narrow" w:hAnsi="Arial Narrow"/>
                <w:snapToGrid/>
                <w:sz w:val="20"/>
                <w:szCs w:val="20"/>
                <w:lang w:eastAsia="en-AU"/>
              </w:rPr>
              <w:t>Onivyde</w:t>
            </w:r>
            <w:proofErr w:type="spellEnd"/>
          </w:p>
        </w:tc>
        <w:tc>
          <w:tcPr>
            <w:tcW w:w="1276" w:type="dxa"/>
          </w:tcPr>
          <w:p w:rsidR="002C0C51" w:rsidRPr="009F0BEB" w:rsidRDefault="002C0C51" w:rsidP="006B2DC0">
            <w:pPr>
              <w:keepNext/>
              <w:widowControl/>
              <w:rPr>
                <w:rFonts w:ascii="Arial Narrow" w:hAnsi="Arial Narrow"/>
                <w:snapToGrid/>
                <w:sz w:val="20"/>
                <w:szCs w:val="20"/>
                <w:lang w:eastAsia="en-AU"/>
              </w:rPr>
            </w:pPr>
            <w:r w:rsidRPr="009F0BEB">
              <w:rPr>
                <w:rFonts w:ascii="Arial Narrow" w:hAnsi="Arial Narrow"/>
                <w:snapToGrid/>
                <w:sz w:val="20"/>
                <w:szCs w:val="20"/>
                <w:lang w:eastAsia="en-AU"/>
              </w:rPr>
              <w:t xml:space="preserve">Shire Australia Pty Ltd </w:t>
            </w:r>
          </w:p>
        </w:tc>
      </w:tr>
      <w:tr w:rsidR="002C0C51" w:rsidRPr="009F0BEB" w:rsidTr="001D4230">
        <w:trPr>
          <w:cantSplit/>
          <w:trHeight w:val="360"/>
        </w:trPr>
        <w:tc>
          <w:tcPr>
            <w:tcW w:w="9214" w:type="dxa"/>
            <w:gridSpan w:val="7"/>
            <w:tcBorders>
              <w:bottom w:val="single" w:sz="4" w:space="0" w:color="auto"/>
            </w:tcBorders>
          </w:tcPr>
          <w:p w:rsidR="002C0C51" w:rsidRPr="009F0BEB" w:rsidRDefault="002C0C51" w:rsidP="006B2DC0">
            <w:pPr>
              <w:widowControl/>
              <w:rPr>
                <w:rFonts w:ascii="Arial Narrow" w:hAnsi="Arial Narrow"/>
                <w:snapToGrid/>
                <w:sz w:val="20"/>
                <w:szCs w:val="20"/>
                <w:lang w:eastAsia="en-AU"/>
              </w:rPr>
            </w:pPr>
            <w:r w:rsidRPr="009F0BEB">
              <w:rPr>
                <w:rFonts w:ascii="Arial Narrow" w:hAnsi="Arial Narrow"/>
                <w:snapToGrid/>
                <w:sz w:val="20"/>
                <w:szCs w:val="20"/>
                <w:lang w:eastAsia="en-AU"/>
              </w:rPr>
              <w:t>*Effective prices</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 xml:space="preserve">Category / </w:t>
            </w:r>
          </w:p>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Section 100 – Efficient funding of Chemotherapy</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Prescriber type:</w:t>
            </w:r>
          </w:p>
          <w:p w:rsidR="002C0C51" w:rsidRPr="009F0BEB" w:rsidRDefault="002C0C51" w:rsidP="006B2DC0">
            <w:pPr>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Check1"/>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 xml:space="preserve">Dental  </w:t>
            </w:r>
            <w:r w:rsidRPr="009F0BEB">
              <w:rPr>
                <w:rFonts w:ascii="Arial Narrow" w:hAnsi="Arial Narrow"/>
                <w:snapToGrid/>
                <w:sz w:val="20"/>
                <w:szCs w:val="20"/>
                <w:lang w:eastAsia="en-AU"/>
              </w:rPr>
              <w:fldChar w:fldCharType="begin">
                <w:ffData>
                  <w:name w:val=""/>
                  <w:enabled/>
                  <w:calcOnExit w:val="0"/>
                  <w:checkBox>
                    <w:sizeAuto/>
                    <w:default w:val="1"/>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 xml:space="preserve">Medical Practitioners  </w:t>
            </w:r>
            <w:r w:rsidRPr="009F0BEB">
              <w:rPr>
                <w:rFonts w:ascii="Arial Narrow" w:hAnsi="Arial Narrow"/>
                <w:snapToGrid/>
                <w:sz w:val="20"/>
                <w:szCs w:val="20"/>
                <w:lang w:eastAsia="en-AU"/>
              </w:rPr>
              <w:fldChar w:fldCharType="begin">
                <w:ffData>
                  <w:name w:val="Check3"/>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 xml:space="preserve">Nurse practitioners  </w:t>
            </w:r>
            <w:r w:rsidRPr="009F0BEB">
              <w:rPr>
                <w:rFonts w:ascii="Arial Narrow" w:hAnsi="Arial Narrow"/>
                <w:snapToGrid/>
                <w:sz w:val="20"/>
                <w:szCs w:val="20"/>
                <w:lang w:eastAsia="en-AU"/>
              </w:rPr>
              <w:fldChar w:fldCharType="begin">
                <w:ffData>
                  <w:name w:val=""/>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Optometrists</w:t>
            </w: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Check5"/>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Midwives</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proofErr w:type="spellStart"/>
            <w:r w:rsidRPr="009F0BEB">
              <w:rPr>
                <w:rFonts w:ascii="Arial Narrow" w:hAnsi="Arial Narrow"/>
                <w:b/>
                <w:snapToGrid/>
                <w:sz w:val="20"/>
                <w:szCs w:val="20"/>
                <w:lang w:eastAsia="en-AU"/>
              </w:rPr>
              <w:t>Episodicity</w:t>
            </w:r>
            <w:proofErr w:type="spellEnd"/>
            <w:r w:rsidRPr="009F0BEB">
              <w:rPr>
                <w:rFonts w:ascii="Arial Narrow" w:hAnsi="Arial Narrow"/>
                <w:b/>
                <w:snapToGrid/>
                <w:sz w:val="20"/>
                <w:szCs w:val="20"/>
                <w:lang w:eastAsia="en-AU"/>
              </w:rPr>
              <w:t>:</w:t>
            </w: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Stage IV (metastatic)</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Adenocarcinoma of the pancreas</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cs="Times New Roman"/>
                <w:snapToGrid/>
                <w:sz w:val="20"/>
                <w:szCs w:val="24"/>
                <w:lang w:eastAsia="en-AU"/>
              </w:rPr>
              <w:t>Stage IV (metastatic) adenocarcinoma of the pancreas</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 xml:space="preserve">Initial treatment </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Restriction Level / Method:</w:t>
            </w:r>
          </w:p>
          <w:p w:rsidR="002C0C51" w:rsidRPr="009F0BEB" w:rsidRDefault="002C0C51" w:rsidP="006B2DC0">
            <w:pPr>
              <w:widowControl/>
              <w:jc w:val="left"/>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Check1"/>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Restricted benefit</w:t>
            </w: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Authority Required - In Writing</w:t>
            </w: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Check3"/>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Authority Required - Telephone</w:t>
            </w: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Authority Required - Emergency</w:t>
            </w: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Check5"/>
                  <w:enabled/>
                  <w:calcOnExit w:val="0"/>
                  <w:checkBox>
                    <w:sizeAuto/>
                    <w:default w:val="0"/>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Authority Required - Electronic</w:t>
            </w: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fldChar w:fldCharType="begin">
                <w:ffData>
                  <w:name w:val="Check5"/>
                  <w:enabled/>
                  <w:calcOnExit w:val="0"/>
                  <w:checkBox>
                    <w:sizeAuto/>
                    <w:default w:val="1"/>
                  </w:checkBox>
                </w:ffData>
              </w:fldChar>
            </w:r>
            <w:r w:rsidRPr="009F0BEB">
              <w:rPr>
                <w:rFonts w:ascii="Arial Narrow" w:hAnsi="Arial Narrow"/>
                <w:snapToGrid/>
                <w:sz w:val="20"/>
                <w:szCs w:val="20"/>
                <w:lang w:eastAsia="en-AU"/>
              </w:rPr>
              <w:instrText xml:space="preserve"> FORMCHECKBOX </w:instrText>
            </w:r>
            <w:r w:rsidR="00C7718A">
              <w:rPr>
                <w:rFonts w:ascii="Arial Narrow" w:hAnsi="Arial Narrow"/>
                <w:snapToGrid/>
                <w:sz w:val="20"/>
                <w:szCs w:val="20"/>
                <w:lang w:eastAsia="en-AU"/>
              </w:rPr>
            </w:r>
            <w:r w:rsidR="00C7718A">
              <w:rPr>
                <w:rFonts w:ascii="Arial Narrow" w:hAnsi="Arial Narrow"/>
                <w:snapToGrid/>
                <w:sz w:val="20"/>
                <w:szCs w:val="20"/>
                <w:lang w:eastAsia="en-AU"/>
              </w:rPr>
              <w:fldChar w:fldCharType="separate"/>
            </w:r>
            <w:r w:rsidRPr="009F0BEB">
              <w:rPr>
                <w:rFonts w:ascii="Arial Narrow" w:hAnsi="Arial Narrow"/>
                <w:snapToGrid/>
                <w:sz w:val="20"/>
                <w:szCs w:val="20"/>
                <w:lang w:eastAsia="en-AU"/>
              </w:rPr>
              <w:fldChar w:fldCharType="end"/>
            </w:r>
            <w:r w:rsidRPr="009F0BEB">
              <w:rPr>
                <w:rFonts w:ascii="Arial Narrow" w:hAnsi="Arial Narrow"/>
                <w:snapToGrid/>
                <w:sz w:val="20"/>
                <w:szCs w:val="20"/>
                <w:lang w:eastAsia="en-AU"/>
              </w:rPr>
              <w:t>Streamlined</w:t>
            </w: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b/>
                <w:snapToGrid/>
                <w:sz w:val="20"/>
                <w:szCs w:val="20"/>
                <w:lang w:eastAsia="en-AU"/>
              </w:rPr>
            </w:pPr>
            <w:r w:rsidRPr="009F0BEB">
              <w:rPr>
                <w:rFonts w:ascii="Arial Narrow" w:hAnsi="Arial Narrow"/>
                <w:b/>
                <w:snapToGrid/>
                <w:sz w:val="20"/>
                <w:szCs w:val="20"/>
                <w:lang w:eastAsia="en-AU"/>
              </w:rPr>
              <w:t>Treatment criteria:</w:t>
            </w:r>
          </w:p>
          <w:p w:rsidR="002C0C51" w:rsidRPr="009F0BEB" w:rsidRDefault="002C0C51" w:rsidP="006B2DC0">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trike/>
                <w:snapToGrid/>
                <w:sz w:val="20"/>
                <w:szCs w:val="20"/>
                <w:lang w:eastAsia="en-AU"/>
              </w:rPr>
            </w:pPr>
            <w:r w:rsidRPr="009F0BEB">
              <w:rPr>
                <w:rFonts w:ascii="Arial Narrow" w:hAnsi="Arial Narrow"/>
                <w:strike/>
                <w:snapToGrid/>
                <w:sz w:val="20"/>
                <w:szCs w:val="20"/>
                <w:lang w:eastAsia="en-AU"/>
              </w:rPr>
              <w:t xml:space="preserve">The treatment must be in combination with 5-fluorouracil and </w:t>
            </w:r>
            <w:proofErr w:type="spellStart"/>
            <w:r w:rsidRPr="009F0BEB">
              <w:rPr>
                <w:rFonts w:ascii="Arial Narrow" w:hAnsi="Arial Narrow"/>
                <w:strike/>
                <w:snapToGrid/>
                <w:sz w:val="20"/>
                <w:szCs w:val="20"/>
                <w:lang w:eastAsia="en-AU"/>
              </w:rPr>
              <w:t>folinic</w:t>
            </w:r>
            <w:proofErr w:type="spellEnd"/>
            <w:r w:rsidRPr="009F0BEB">
              <w:rPr>
                <w:rFonts w:ascii="Arial Narrow" w:hAnsi="Arial Narrow"/>
                <w:strike/>
                <w:snapToGrid/>
                <w:sz w:val="20"/>
                <w:szCs w:val="20"/>
                <w:lang w:eastAsia="en-AU"/>
              </w:rPr>
              <w:t xml:space="preserve"> acid.</w:t>
            </w:r>
          </w:p>
          <w:p w:rsidR="002C0C51" w:rsidRPr="009F0BEB" w:rsidRDefault="002C0C51" w:rsidP="006B2DC0">
            <w:pPr>
              <w:widowControl/>
              <w:jc w:val="left"/>
              <w:rPr>
                <w:rFonts w:ascii="Arial Narrow" w:hAnsi="Arial Narrow"/>
                <w:snapToGrid/>
                <w:sz w:val="20"/>
                <w:szCs w:val="20"/>
                <w:lang w:eastAsia="en-AU"/>
              </w:rPr>
            </w:pPr>
          </w:p>
          <w:p w:rsidR="002C0C51" w:rsidRPr="009F0BEB" w:rsidRDefault="002C0C51" w:rsidP="006B2DC0">
            <w:pPr>
              <w:widowControl/>
              <w:jc w:val="left"/>
              <w:rPr>
                <w:rFonts w:ascii="Arial Narrow" w:hAnsi="Arial Narrow"/>
                <w:snapToGrid/>
                <w:sz w:val="20"/>
                <w:szCs w:val="20"/>
                <w:lang w:eastAsia="en-AU"/>
              </w:rPr>
            </w:pPr>
          </w:p>
          <w:p w:rsidR="002C0C51" w:rsidRPr="009F0BEB" w:rsidRDefault="002C0C51" w:rsidP="006B2DC0">
            <w:pPr>
              <w:widowControl/>
              <w:jc w:val="left"/>
              <w:rPr>
                <w:rFonts w:ascii="Arial Narrow" w:hAnsi="Arial Narrow"/>
                <w:snapToGrid/>
                <w:sz w:val="20"/>
                <w:szCs w:val="20"/>
                <w:lang w:eastAsia="en-AU"/>
              </w:rPr>
            </w:pP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Clinical criteria:</w:t>
            </w:r>
          </w:p>
          <w:p w:rsidR="002C0C51" w:rsidRPr="009F0BEB" w:rsidRDefault="002C0C51" w:rsidP="006B2DC0">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i/>
                <w:snapToGrid/>
                <w:sz w:val="20"/>
                <w:szCs w:val="20"/>
                <w:lang w:eastAsia="en-AU"/>
              </w:rPr>
            </w:pPr>
            <w:r w:rsidRPr="009F0BEB">
              <w:rPr>
                <w:rFonts w:ascii="Arial Narrow" w:hAnsi="Arial Narrow"/>
                <w:i/>
                <w:snapToGrid/>
                <w:sz w:val="20"/>
                <w:szCs w:val="20"/>
                <w:lang w:eastAsia="en-AU"/>
              </w:rPr>
              <w:t xml:space="preserve">The treatment must be in combination with 5-fluorouracil and </w:t>
            </w:r>
            <w:proofErr w:type="spellStart"/>
            <w:r w:rsidRPr="009F0BEB">
              <w:rPr>
                <w:rFonts w:ascii="Arial Narrow" w:hAnsi="Arial Narrow"/>
                <w:i/>
                <w:snapToGrid/>
                <w:sz w:val="20"/>
                <w:szCs w:val="20"/>
                <w:lang w:eastAsia="en-AU"/>
              </w:rPr>
              <w:t>folinic</w:t>
            </w:r>
            <w:proofErr w:type="spellEnd"/>
            <w:r w:rsidRPr="009F0BEB">
              <w:rPr>
                <w:rFonts w:ascii="Arial Narrow" w:hAnsi="Arial Narrow"/>
                <w:i/>
                <w:snapToGrid/>
                <w:sz w:val="20"/>
                <w:szCs w:val="20"/>
                <w:lang w:eastAsia="en-AU"/>
              </w:rPr>
              <w:t xml:space="preserve"> acid</w:t>
            </w:r>
          </w:p>
          <w:p w:rsidR="002C0C51" w:rsidRPr="009F0BEB" w:rsidRDefault="002C0C51" w:rsidP="006B2DC0">
            <w:pPr>
              <w:widowControl/>
              <w:jc w:val="left"/>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i/>
                <w:snapToGrid/>
                <w:sz w:val="20"/>
                <w:szCs w:val="20"/>
                <w:lang w:eastAsia="en-AU"/>
              </w:rPr>
            </w:pPr>
            <w:r w:rsidRPr="009F0BEB">
              <w:rPr>
                <w:rFonts w:ascii="Arial Narrow" w:hAnsi="Arial Narrow"/>
                <w:i/>
                <w:snapToGrid/>
                <w:sz w:val="20"/>
                <w:szCs w:val="20"/>
                <w:lang w:eastAsia="en-AU"/>
              </w:rPr>
              <w:t>AND</w:t>
            </w:r>
          </w:p>
          <w:p w:rsidR="002C0C51" w:rsidRPr="009F0BEB" w:rsidRDefault="002C0C51" w:rsidP="006B2DC0">
            <w:pPr>
              <w:widowControl/>
              <w:jc w:val="left"/>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The condition must have progressed following treatment with gemcitabine-based therapy</w:t>
            </w:r>
          </w:p>
          <w:p w:rsidR="002C0C51" w:rsidRPr="009F0BEB" w:rsidRDefault="002C0C51" w:rsidP="006B2DC0">
            <w:pPr>
              <w:widowControl/>
              <w:jc w:val="left"/>
              <w:rPr>
                <w:rFonts w:ascii="Arial Narrow" w:hAnsi="Arial Narrow"/>
                <w:snapToGrid/>
                <w:sz w:val="20"/>
                <w:szCs w:val="20"/>
                <w:lang w:eastAsia="en-AU"/>
              </w:rPr>
            </w:pPr>
          </w:p>
          <w:p w:rsidR="002C0C51" w:rsidRPr="009F0BEB" w:rsidRDefault="002C0C51" w:rsidP="006B2DC0">
            <w:pPr>
              <w:widowControl/>
              <w:jc w:val="left"/>
              <w:rPr>
                <w:rFonts w:ascii="Arial Narrow" w:hAnsi="Arial Narrow"/>
                <w:snapToGrid/>
                <w:sz w:val="20"/>
                <w:szCs w:val="20"/>
                <w:lang w:eastAsia="en-AU"/>
              </w:rPr>
            </w:pPr>
            <w:r w:rsidRPr="009F0BEB">
              <w:rPr>
                <w:rFonts w:ascii="Arial Narrow" w:hAnsi="Arial Narrow"/>
                <w:snapToGrid/>
                <w:sz w:val="20"/>
                <w:szCs w:val="20"/>
                <w:lang w:eastAsia="en-AU"/>
              </w:rPr>
              <w:t>AND</w:t>
            </w:r>
          </w:p>
          <w:p w:rsidR="002C0C51" w:rsidRPr="009F0BEB" w:rsidRDefault="002C0C51" w:rsidP="006B2DC0">
            <w:pPr>
              <w:widowControl/>
              <w:jc w:val="left"/>
              <w:rPr>
                <w:rFonts w:ascii="Arial Narrow" w:hAnsi="Arial Narrow"/>
                <w:snapToGrid/>
                <w:sz w:val="20"/>
                <w:szCs w:val="20"/>
                <w:lang w:eastAsia="en-AU"/>
              </w:rPr>
            </w:pPr>
          </w:p>
          <w:p w:rsidR="002C0C51" w:rsidRPr="009F0BEB" w:rsidRDefault="002C0C51" w:rsidP="006B2DC0">
            <w:pPr>
              <w:widowControl/>
              <w:jc w:val="left"/>
              <w:rPr>
                <w:rFonts w:ascii="Arial Narrow" w:hAnsi="Arial Narrow"/>
                <w:strike/>
                <w:snapToGrid/>
                <w:sz w:val="20"/>
                <w:szCs w:val="20"/>
                <w:lang w:eastAsia="en-AU"/>
              </w:rPr>
            </w:pPr>
            <w:r w:rsidRPr="009F0BEB">
              <w:rPr>
                <w:rFonts w:ascii="Arial Narrow" w:hAnsi="Arial Narrow"/>
                <w:strike/>
                <w:snapToGrid/>
                <w:sz w:val="20"/>
                <w:szCs w:val="20"/>
                <w:lang w:eastAsia="en-AU"/>
              </w:rPr>
              <w:t>The patient must not have received treatment with irinotecan</w:t>
            </w:r>
          </w:p>
          <w:p w:rsidR="002C0C51" w:rsidRPr="009F0BEB" w:rsidRDefault="002C0C51" w:rsidP="006B2DC0">
            <w:pPr>
              <w:widowControl/>
              <w:jc w:val="left"/>
              <w:rPr>
                <w:rFonts w:ascii="Arial Narrow" w:hAnsi="Arial Narrow"/>
                <w:snapToGrid/>
                <w:sz w:val="20"/>
                <w:szCs w:val="20"/>
                <w:lang w:eastAsia="en-AU"/>
              </w:rPr>
            </w:pPr>
          </w:p>
          <w:p w:rsidR="002C0C51" w:rsidRPr="009F0BEB" w:rsidRDefault="002C0C51" w:rsidP="006B2DC0">
            <w:pPr>
              <w:widowControl/>
              <w:jc w:val="left"/>
              <w:rPr>
                <w:rFonts w:ascii="Arial Narrow" w:hAnsi="Arial Narrow"/>
                <w:i/>
                <w:snapToGrid/>
                <w:sz w:val="20"/>
                <w:szCs w:val="20"/>
                <w:lang w:eastAsia="en-AU"/>
              </w:rPr>
            </w:pPr>
            <w:r w:rsidRPr="009F0BEB">
              <w:rPr>
                <w:rFonts w:ascii="Arial Narrow" w:hAnsi="Arial Narrow"/>
                <w:i/>
                <w:snapToGrid/>
                <w:sz w:val="20"/>
                <w:szCs w:val="20"/>
                <w:lang w:eastAsia="en-AU"/>
              </w:rPr>
              <w:t xml:space="preserve">Patient must not have previously received this drug for this condition, </w:t>
            </w:r>
          </w:p>
          <w:p w:rsidR="002C0C51" w:rsidRPr="009F0BEB" w:rsidRDefault="002C0C51" w:rsidP="006B2DC0">
            <w:pPr>
              <w:widowControl/>
              <w:rPr>
                <w:rFonts w:ascii="Arial Narrow" w:hAnsi="Arial Narrow"/>
                <w:snapToGrid/>
                <w:sz w:val="20"/>
                <w:szCs w:val="20"/>
                <w:lang w:eastAsia="en-AU"/>
              </w:rPr>
            </w:pPr>
          </w:p>
          <w:p w:rsidR="002C0C51" w:rsidRPr="009F0BEB" w:rsidRDefault="002C0C51" w:rsidP="006B2DC0">
            <w:pPr>
              <w:widowControl/>
              <w:rPr>
                <w:rFonts w:ascii="Arial Narrow" w:hAnsi="Arial Narrow"/>
                <w:snapToGrid/>
                <w:sz w:val="20"/>
                <w:szCs w:val="20"/>
                <w:lang w:eastAsia="en-AU"/>
              </w:rPr>
            </w:pPr>
            <w:r w:rsidRPr="009F0BEB">
              <w:rPr>
                <w:rFonts w:ascii="Arial Narrow" w:hAnsi="Arial Narrow"/>
                <w:snapToGrid/>
                <w:sz w:val="20"/>
                <w:szCs w:val="20"/>
                <w:lang w:eastAsia="en-AU"/>
              </w:rPr>
              <w:t xml:space="preserve">AND </w:t>
            </w:r>
          </w:p>
          <w:p w:rsidR="002C0C51" w:rsidRPr="009F0BEB" w:rsidRDefault="002C0C51" w:rsidP="006B2DC0">
            <w:pPr>
              <w:widowControl/>
              <w:rPr>
                <w:rFonts w:ascii="Arial Narrow" w:hAnsi="Arial Narrow"/>
                <w:snapToGrid/>
                <w:sz w:val="20"/>
                <w:szCs w:val="20"/>
                <w:lang w:eastAsia="en-AU"/>
              </w:rPr>
            </w:pPr>
          </w:p>
          <w:p w:rsidR="002C0C51" w:rsidRPr="009F0BEB" w:rsidRDefault="002C0C51" w:rsidP="006B2DC0">
            <w:pPr>
              <w:widowControl/>
              <w:rPr>
                <w:rFonts w:ascii="Arial Narrow" w:hAnsi="Arial Narrow"/>
                <w:snapToGrid/>
                <w:sz w:val="20"/>
                <w:szCs w:val="20"/>
                <w:lang w:eastAsia="en-AU"/>
              </w:rPr>
            </w:pPr>
            <w:r w:rsidRPr="009F0BEB">
              <w:rPr>
                <w:rFonts w:ascii="Arial Narrow" w:hAnsi="Arial Narrow"/>
                <w:strike/>
                <w:snapToGrid/>
                <w:sz w:val="20"/>
                <w:szCs w:val="20"/>
                <w:lang w:eastAsia="en-AU"/>
              </w:rPr>
              <w:t>The</w:t>
            </w:r>
            <w:r w:rsidRPr="009F0BEB">
              <w:rPr>
                <w:rFonts w:ascii="Arial Narrow" w:hAnsi="Arial Narrow"/>
                <w:snapToGrid/>
                <w:sz w:val="20"/>
                <w:szCs w:val="20"/>
                <w:lang w:eastAsia="en-AU"/>
              </w:rPr>
              <w:t xml:space="preserve"> </w:t>
            </w:r>
            <w:proofErr w:type="spellStart"/>
            <w:r w:rsidRPr="009F0BEB">
              <w:rPr>
                <w:rFonts w:ascii="Arial Narrow" w:hAnsi="Arial Narrow"/>
                <w:strike/>
                <w:snapToGrid/>
                <w:sz w:val="20"/>
                <w:szCs w:val="20"/>
                <w:lang w:eastAsia="en-AU"/>
              </w:rPr>
              <w:t>p</w:t>
            </w:r>
            <w:r w:rsidRPr="009F0BEB">
              <w:rPr>
                <w:rFonts w:ascii="Arial Narrow" w:hAnsi="Arial Narrow"/>
                <w:snapToGrid/>
                <w:sz w:val="20"/>
                <w:szCs w:val="20"/>
                <w:lang w:eastAsia="en-AU"/>
              </w:rPr>
              <w:t>Patient</w:t>
            </w:r>
            <w:proofErr w:type="spellEnd"/>
            <w:r w:rsidRPr="009F0BEB">
              <w:rPr>
                <w:rFonts w:ascii="Arial Narrow" w:hAnsi="Arial Narrow"/>
                <w:snapToGrid/>
                <w:sz w:val="20"/>
                <w:szCs w:val="20"/>
                <w:lang w:eastAsia="en-AU"/>
              </w:rPr>
              <w:t xml:space="preserve"> must have an Eastern Cooperative Oncology Group (ECOG) performance status score of 2 or less.</w:t>
            </w:r>
          </w:p>
          <w:p w:rsidR="002C0C51" w:rsidRPr="009F0BEB" w:rsidRDefault="002C0C51" w:rsidP="006B2DC0">
            <w:pPr>
              <w:widowControl/>
              <w:rPr>
                <w:rFonts w:ascii="Arial Narrow" w:hAnsi="Arial Narrow"/>
                <w:snapToGrid/>
                <w:sz w:val="20"/>
                <w:szCs w:val="20"/>
                <w:lang w:eastAsia="en-AU"/>
              </w:rPr>
            </w:pP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lastRenderedPageBreak/>
              <w:t>Population criteria:</w:t>
            </w:r>
          </w:p>
          <w:p w:rsidR="002C0C51" w:rsidRPr="009F0BEB" w:rsidRDefault="002C0C51" w:rsidP="006B2DC0">
            <w:pPr>
              <w:widowControl/>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strike/>
                <w:snapToGrid/>
                <w:sz w:val="20"/>
                <w:szCs w:val="20"/>
                <w:lang w:eastAsia="en-AU"/>
              </w:rPr>
            </w:pPr>
            <w:r w:rsidRPr="009F0BEB">
              <w:rPr>
                <w:rFonts w:ascii="Arial Narrow" w:hAnsi="Arial Narrow"/>
                <w:strike/>
                <w:snapToGrid/>
                <w:sz w:val="20"/>
                <w:szCs w:val="20"/>
                <w:lang w:eastAsia="en-AU"/>
              </w:rPr>
              <w:t xml:space="preserve">A patient who has progressive disease when treated with this drug is no longer eligible for PBS-subsidised treatment with this drug. </w:t>
            </w:r>
          </w:p>
          <w:p w:rsidR="002C0C51" w:rsidRPr="009F0BEB" w:rsidRDefault="002C0C51" w:rsidP="006B2DC0">
            <w:pPr>
              <w:widowControl/>
              <w:jc w:val="left"/>
              <w:rPr>
                <w:rFonts w:ascii="Arial Narrow" w:hAnsi="Arial Narrow"/>
                <w:snapToGrid/>
                <w:sz w:val="20"/>
                <w:szCs w:val="20"/>
                <w:lang w:eastAsia="en-AU"/>
              </w:rPr>
            </w:pPr>
          </w:p>
          <w:p w:rsidR="002C0C51" w:rsidRPr="009F0BEB" w:rsidRDefault="002C0C51" w:rsidP="006B2DC0">
            <w:pPr>
              <w:widowControl/>
              <w:rPr>
                <w:rFonts w:ascii="Arial Narrow" w:hAnsi="Arial Narrow"/>
                <w:snapToGrid/>
                <w:sz w:val="20"/>
                <w:szCs w:val="20"/>
                <w:lang w:eastAsia="en-AU"/>
              </w:rPr>
            </w:pPr>
          </w:p>
        </w:tc>
      </w:tr>
      <w:tr w:rsidR="002C0C51" w:rsidRPr="009F0BEB" w:rsidTr="001D4230">
        <w:trPr>
          <w:cantSplit/>
          <w:trHeight w:val="360"/>
        </w:trPr>
        <w:tc>
          <w:tcPr>
            <w:tcW w:w="2835" w:type="dxa"/>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rPr>
                <w:rFonts w:ascii="Arial Narrow" w:hAnsi="Arial Narrow"/>
                <w:b/>
                <w:snapToGrid/>
                <w:sz w:val="20"/>
                <w:szCs w:val="20"/>
                <w:lang w:eastAsia="en-AU"/>
              </w:rPr>
            </w:pPr>
            <w:r w:rsidRPr="009F0BEB">
              <w:rPr>
                <w:rFonts w:ascii="Arial Narrow" w:hAnsi="Arial Narrow"/>
                <w:b/>
                <w:snapToGrid/>
                <w:sz w:val="20"/>
                <w:szCs w:val="20"/>
                <w:lang w:eastAsia="en-AU"/>
              </w:rPr>
              <w:t>Administrative Advice</w:t>
            </w:r>
          </w:p>
          <w:p w:rsidR="002C0C51" w:rsidRPr="009F0BEB" w:rsidRDefault="002C0C51" w:rsidP="006B2DC0">
            <w:pPr>
              <w:widowControl/>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2C0C51" w:rsidRPr="009F0BEB" w:rsidRDefault="002C0C51" w:rsidP="006B2DC0">
            <w:pPr>
              <w:widowControl/>
              <w:jc w:val="left"/>
              <w:rPr>
                <w:rFonts w:ascii="Arial Narrow" w:hAnsi="Arial Narrow"/>
                <w:i/>
                <w:snapToGrid/>
                <w:sz w:val="20"/>
                <w:szCs w:val="20"/>
                <w:lang w:eastAsia="en-AU"/>
              </w:rPr>
            </w:pPr>
            <w:r w:rsidRPr="009F0BEB">
              <w:rPr>
                <w:rFonts w:ascii="Arial Narrow" w:hAnsi="Arial Narrow"/>
                <w:i/>
                <w:snapToGrid/>
                <w:sz w:val="20"/>
                <w:szCs w:val="20"/>
                <w:lang w:eastAsia="en-AU"/>
              </w:rPr>
              <w:t>A patient who has progressive disease when treated with this drug is no longer eligible for PBS-subsidised treatment with this drug.</w:t>
            </w:r>
          </w:p>
          <w:p w:rsidR="002C0C51" w:rsidRPr="009F0BEB" w:rsidRDefault="002C0C51" w:rsidP="006B2DC0">
            <w:pPr>
              <w:widowControl/>
              <w:jc w:val="left"/>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i/>
                <w:snapToGrid/>
                <w:sz w:val="20"/>
                <w:szCs w:val="20"/>
                <w:lang w:eastAsia="en-AU"/>
              </w:rPr>
            </w:pPr>
            <w:r w:rsidRPr="009F0BEB">
              <w:rPr>
                <w:rFonts w:ascii="Arial Narrow" w:hAnsi="Arial Narrow"/>
                <w:i/>
                <w:snapToGrid/>
                <w:sz w:val="20"/>
                <w:szCs w:val="20"/>
                <w:lang w:eastAsia="en-AU"/>
              </w:rPr>
              <w:t>Special Pricing Arrangements apply.</w:t>
            </w:r>
          </w:p>
          <w:p w:rsidR="002C0C51" w:rsidRPr="009F0BEB" w:rsidRDefault="002C0C51" w:rsidP="006B2DC0">
            <w:pPr>
              <w:widowControl/>
              <w:jc w:val="left"/>
              <w:rPr>
                <w:rFonts w:ascii="Arial Narrow" w:hAnsi="Arial Narrow"/>
                <w:i/>
                <w:snapToGrid/>
                <w:sz w:val="20"/>
                <w:szCs w:val="20"/>
                <w:lang w:eastAsia="en-AU"/>
              </w:rPr>
            </w:pPr>
          </w:p>
          <w:p w:rsidR="002C0C51" w:rsidRPr="009F0BEB" w:rsidRDefault="002C0C51" w:rsidP="006B2DC0">
            <w:pPr>
              <w:widowControl/>
              <w:jc w:val="left"/>
              <w:rPr>
                <w:rFonts w:ascii="Arial Narrow" w:hAnsi="Arial Narrow"/>
                <w:i/>
                <w:snapToGrid/>
                <w:sz w:val="20"/>
                <w:szCs w:val="20"/>
                <w:lang w:eastAsia="en-AU"/>
              </w:rPr>
            </w:pPr>
          </w:p>
        </w:tc>
      </w:tr>
    </w:tbl>
    <w:p w:rsidR="002C0C51" w:rsidRPr="009F0BEB" w:rsidRDefault="002C0C51" w:rsidP="006B2DC0">
      <w:pPr>
        <w:pStyle w:val="ListParagraph"/>
        <w:widowControl/>
      </w:pPr>
    </w:p>
    <w:p w:rsidR="00F2578D" w:rsidRPr="009F0BEB" w:rsidRDefault="00744511" w:rsidP="006B2DC0">
      <w:pPr>
        <w:pStyle w:val="ListParagraph"/>
        <w:widowControl/>
        <w:numPr>
          <w:ilvl w:val="1"/>
          <w:numId w:val="3"/>
        </w:numPr>
      </w:pPr>
      <w:r w:rsidRPr="009F0BEB">
        <w:t>The</w:t>
      </w:r>
      <w:r w:rsidR="00A958AC" w:rsidRPr="009F0BEB">
        <w:t xml:space="preserve"> P</w:t>
      </w:r>
      <w:r w:rsidR="002339A3">
        <w:t>re-Sub-Committee Response (PSCR</w:t>
      </w:r>
      <w:r w:rsidR="00A958AC" w:rsidRPr="009F0BEB">
        <w:t>),</w:t>
      </w:r>
      <w:r w:rsidRPr="009F0BEB">
        <w:t xml:space="preserve"> proposed</w:t>
      </w:r>
      <w:r w:rsidR="00F307A1" w:rsidRPr="009F0BEB">
        <w:t xml:space="preserve"> an amendment to the requested listing to include all patients </w:t>
      </w:r>
      <w:r w:rsidRPr="009F0BEB">
        <w:t>with metastatic pancreatic cancer who have previously failed gemcitabine regardl</w:t>
      </w:r>
      <w:r w:rsidR="0051092F" w:rsidRPr="009F0BEB">
        <w:t xml:space="preserve">ess of prior irinotecan exposure. </w:t>
      </w:r>
      <w:r w:rsidR="0092688C" w:rsidRPr="009F0BEB">
        <w:t>This is consistent with the TGA approved indication.</w:t>
      </w:r>
      <w:r w:rsidR="00F2578D" w:rsidRPr="009F0BEB">
        <w:t xml:space="preserve"> The ESC also noted that while the irinotecan exposed subgroup showed no evidence of effect of </w:t>
      </w:r>
      <w:proofErr w:type="spellStart"/>
      <w:r w:rsidR="00F2578D" w:rsidRPr="009F0BEB">
        <w:t>nal</w:t>
      </w:r>
      <w:proofErr w:type="spellEnd"/>
      <w:r w:rsidR="00F2578D" w:rsidRPr="009F0BEB">
        <w:t xml:space="preserve">-IRI (OS HR (95% CI) for </w:t>
      </w:r>
      <w:proofErr w:type="spellStart"/>
      <w:r w:rsidR="00F2578D" w:rsidRPr="009F0BEB">
        <w:rPr>
          <w:lang w:val="en-US"/>
        </w:rPr>
        <w:t>nal</w:t>
      </w:r>
      <w:proofErr w:type="spellEnd"/>
      <w:r w:rsidR="00F2578D" w:rsidRPr="009F0BEB">
        <w:rPr>
          <w:lang w:val="en-US"/>
        </w:rPr>
        <w:t>-IRI versus 5-FU/</w:t>
      </w:r>
      <w:proofErr w:type="spellStart"/>
      <w:r w:rsidR="00F2578D" w:rsidRPr="009F0BEB">
        <w:rPr>
          <w:lang w:val="en-US"/>
        </w:rPr>
        <w:t>folinic</w:t>
      </w:r>
      <w:proofErr w:type="spellEnd"/>
      <w:r w:rsidR="00F2578D" w:rsidRPr="009F0BEB">
        <w:rPr>
          <w:lang w:val="en-US"/>
        </w:rPr>
        <w:t xml:space="preserve"> acid</w:t>
      </w:r>
      <w:r w:rsidR="00F2578D" w:rsidRPr="009F0BEB">
        <w:t xml:space="preserve">: </w:t>
      </w:r>
      <w:r w:rsidR="00EE2E05">
        <w:rPr>
          <w:noProof/>
          <w:color w:val="000000"/>
          <w:highlight w:val="black"/>
        </w:rPr>
        <w:t>'''''''''</w:t>
      </w:r>
      <w:r w:rsidR="00F2578D" w:rsidRPr="009F0BEB">
        <w:t xml:space="preserve"> (</w:t>
      </w:r>
      <w:r w:rsidR="00EE2E05">
        <w:rPr>
          <w:noProof/>
          <w:color w:val="000000"/>
          <w:highlight w:val="black"/>
        </w:rPr>
        <w:t>'''''''''' '''''''''</w:t>
      </w:r>
      <w:r w:rsidR="00F2578D" w:rsidRPr="009F0BEB">
        <w:t xml:space="preserve">)), this constituted only 12% of patients in the pivotal trial and the test for interaction for the pre-specified ITT subgroup analysis (data cut-off 14 February 2014) indicated that prior irinotecan exposure was not a treatment effect modifier. </w:t>
      </w:r>
      <w:r w:rsidR="0092688C" w:rsidRPr="009F0BEB">
        <w:t xml:space="preserve"> The ESC considered removal of </w:t>
      </w:r>
      <w:r w:rsidR="009D3652" w:rsidRPr="009F0BEB">
        <w:t>this criterion</w:t>
      </w:r>
      <w:r w:rsidR="0092688C" w:rsidRPr="009F0BEB">
        <w:t xml:space="preserve"> to be appropriate. </w:t>
      </w:r>
    </w:p>
    <w:p w:rsidR="00A958AC" w:rsidRPr="009F0BEB" w:rsidRDefault="00F2578D" w:rsidP="006B2DC0">
      <w:pPr>
        <w:pStyle w:val="ListParagraph"/>
        <w:widowControl/>
        <w:numPr>
          <w:ilvl w:val="1"/>
          <w:numId w:val="3"/>
        </w:numPr>
      </w:pPr>
      <w:r w:rsidRPr="009F0BEB">
        <w:t xml:space="preserve">The </w:t>
      </w:r>
      <w:r w:rsidR="00DF7BCF" w:rsidRPr="009F0BEB">
        <w:t>PSCR</w:t>
      </w:r>
      <w:r w:rsidRPr="009F0BEB">
        <w:t xml:space="preserve"> </w:t>
      </w:r>
      <w:r w:rsidR="00DF7BCF" w:rsidRPr="009F0BEB">
        <w:t>(</w:t>
      </w:r>
      <w:r w:rsidRPr="009F0BEB">
        <w:t xml:space="preserve">p4), proposed an amendment to the requested listing to remove the requirement for an Eastern Cooperative Oncology Group (ECOG) score of less than 2. </w:t>
      </w:r>
      <w:r w:rsidR="0092688C" w:rsidRPr="009F0BEB">
        <w:t xml:space="preserve">The ESC noted that there was variability in mapping the </w:t>
      </w:r>
      <w:proofErr w:type="spellStart"/>
      <w:r w:rsidR="0092688C" w:rsidRPr="009F0BEB">
        <w:t>Karnofsky</w:t>
      </w:r>
      <w:proofErr w:type="spellEnd"/>
      <w:r w:rsidR="0092688C" w:rsidRPr="009F0BEB">
        <w:t xml:space="preserve"> Performance Score (KPS) used in the trial to ECOG</w:t>
      </w:r>
      <w:r w:rsidR="0099605D">
        <w:t xml:space="preserve"> performance status</w:t>
      </w:r>
      <w:r w:rsidR="000F4518">
        <w:t xml:space="preserve"> (PS)</w:t>
      </w:r>
      <w:r w:rsidR="00747AE3" w:rsidRPr="009F0BEB">
        <w:t>,</w:t>
      </w:r>
      <w:r w:rsidR="0092688C" w:rsidRPr="009F0BEB">
        <w:t xml:space="preserve"> </w:t>
      </w:r>
      <w:r w:rsidR="00747AE3" w:rsidRPr="009F0BEB">
        <w:t>b</w:t>
      </w:r>
      <w:r w:rsidR="0092688C" w:rsidRPr="009F0BEB">
        <w:t xml:space="preserve">ut that most patients </w:t>
      </w:r>
      <w:r w:rsidR="009D3652" w:rsidRPr="009F0BEB">
        <w:t xml:space="preserve">in the trial </w:t>
      </w:r>
      <w:r w:rsidR="0092688C" w:rsidRPr="009F0BEB">
        <w:t xml:space="preserve">would have had an ECOG </w:t>
      </w:r>
      <w:r w:rsidR="0099605D">
        <w:t xml:space="preserve">PS </w:t>
      </w:r>
      <w:r w:rsidR="0092688C" w:rsidRPr="009F0BEB">
        <w:t xml:space="preserve">of 1 or less. </w:t>
      </w:r>
      <w:r w:rsidR="006417E1" w:rsidRPr="009F0BEB">
        <w:t>T</w:t>
      </w:r>
      <w:r w:rsidR="0092688C" w:rsidRPr="009F0BEB">
        <w:t xml:space="preserve">he ESC </w:t>
      </w:r>
      <w:r w:rsidR="006417E1" w:rsidRPr="009F0BEB">
        <w:t xml:space="preserve">therefore </w:t>
      </w:r>
      <w:r w:rsidR="0092688C" w:rsidRPr="009F0BEB">
        <w:t xml:space="preserve">considered that it would be appropriate for the decision to treat with </w:t>
      </w:r>
      <w:proofErr w:type="spellStart"/>
      <w:r w:rsidR="0092688C" w:rsidRPr="009F0BEB">
        <w:t>nal</w:t>
      </w:r>
      <w:proofErr w:type="spellEnd"/>
      <w:r w:rsidR="0092688C" w:rsidRPr="009F0BEB">
        <w:t xml:space="preserve">-IRI in patients with an ECOG score of </w:t>
      </w:r>
      <w:r w:rsidR="00D60838" w:rsidRPr="009F0BEB">
        <w:t>≥</w:t>
      </w:r>
      <w:r w:rsidR="0092688C" w:rsidRPr="009F0BEB">
        <w:t xml:space="preserve">2 to be a clinical practice decision, made in consultation with patients. The ESC also considered that such patients would unlikely be treated with </w:t>
      </w:r>
      <w:proofErr w:type="spellStart"/>
      <w:r w:rsidR="0092688C" w:rsidRPr="009F0BEB">
        <w:t>nal</w:t>
      </w:r>
      <w:proofErr w:type="spellEnd"/>
      <w:r w:rsidR="0092688C" w:rsidRPr="009F0BEB">
        <w:t>-IRI due to the associated toxicities</w:t>
      </w:r>
      <w:r w:rsidRPr="009F0BEB">
        <w:t xml:space="preserve"> and because international treatment guidelines recommend treatment in patients with good performance status (ECOG 0-1)</w:t>
      </w:r>
      <w:r w:rsidR="0092688C" w:rsidRPr="009F0BEB">
        <w:t xml:space="preserve">.  </w:t>
      </w:r>
    </w:p>
    <w:p w:rsidR="006462AA" w:rsidRPr="009F0BEB" w:rsidRDefault="00855A30" w:rsidP="006462AA">
      <w:pPr>
        <w:pStyle w:val="ListParagraph"/>
        <w:widowControl/>
        <w:numPr>
          <w:ilvl w:val="1"/>
          <w:numId w:val="3"/>
        </w:numPr>
      </w:pPr>
      <w:r w:rsidRPr="009F0BEB">
        <w:t xml:space="preserve">The resubmission proposed a special pricing arrangement based on a </w:t>
      </w:r>
      <w:r w:rsidR="00EE2E05">
        <w:rPr>
          <w:noProof/>
          <w:color w:val="000000"/>
          <w:highlight w:val="black"/>
        </w:rPr>
        <w:t>''''''''</w:t>
      </w:r>
      <w:r w:rsidRPr="009F0BEB">
        <w:t>% rebate applied to the published AEMP per</w:t>
      </w:r>
      <w:r w:rsidR="00605C0C" w:rsidRPr="009F0BEB">
        <w:t xml:space="preserve"> </w:t>
      </w:r>
      <w:r w:rsidR="00117818" w:rsidRPr="009F0BEB">
        <w:t>vial</w:t>
      </w:r>
      <w:r w:rsidR="00605C0C" w:rsidRPr="009F0BEB">
        <w:t xml:space="preserve"> (</w:t>
      </w:r>
      <w:r w:rsidRPr="009F0BEB">
        <w:t xml:space="preserve">43 mg </w:t>
      </w:r>
      <w:r w:rsidR="00605C0C" w:rsidRPr="009F0BEB">
        <w:t>irinotecan in free base form</w:t>
      </w:r>
      <w:r w:rsidR="00E3664C" w:rsidRPr="009F0BEB">
        <w:t xml:space="preserve">, 50 mg as </w:t>
      </w:r>
      <w:r w:rsidR="00E3664C" w:rsidRPr="009F0BEB">
        <w:rPr>
          <w:sz w:val="23"/>
          <w:szCs w:val="23"/>
        </w:rPr>
        <w:t xml:space="preserve">irinotecan hydrochloride </w:t>
      </w:r>
      <w:proofErr w:type="spellStart"/>
      <w:r w:rsidR="00E3664C" w:rsidRPr="009F0BEB">
        <w:rPr>
          <w:sz w:val="23"/>
          <w:szCs w:val="23"/>
        </w:rPr>
        <w:t>trihydrate</w:t>
      </w:r>
      <w:proofErr w:type="spellEnd"/>
      <w:r w:rsidR="00E3664C" w:rsidRPr="009F0BEB">
        <w:rPr>
          <w:sz w:val="23"/>
          <w:szCs w:val="23"/>
        </w:rPr>
        <w:t>; dosing based on free base form</w:t>
      </w:r>
      <w:r w:rsidR="00605C0C" w:rsidRPr="009F0BEB">
        <w:t>)</w:t>
      </w:r>
      <w:r w:rsidR="00E3664C" w:rsidRPr="009F0BEB">
        <w:t xml:space="preserve"> </w:t>
      </w:r>
      <w:r w:rsidRPr="009F0BEB">
        <w:t>of $</w:t>
      </w:r>
      <w:r w:rsidR="00EE2E05">
        <w:rPr>
          <w:noProof/>
          <w:color w:val="000000"/>
          <w:highlight w:val="black"/>
        </w:rPr>
        <w:t>'''''''''''''</w:t>
      </w:r>
      <w:r w:rsidRPr="009F0BEB">
        <w:t>. This corresponds to an effective AEMP of $</w:t>
      </w:r>
      <w:r w:rsidR="00EE2E05">
        <w:rPr>
          <w:noProof/>
          <w:color w:val="000000"/>
          <w:highlight w:val="black"/>
        </w:rPr>
        <w:t>''''''''''''</w:t>
      </w:r>
      <w:r w:rsidRPr="009F0BEB">
        <w:t>. The corresponding public and private hospital prices (published and effective) were calculated assuming 4 vials are requir</w:t>
      </w:r>
      <w:r w:rsidR="005B5586" w:rsidRPr="009F0BEB">
        <w:t>ed to administer a</w:t>
      </w:r>
      <w:r w:rsidRPr="009F0BEB">
        <w:t xml:space="preserve"> maximum amount of 160</w:t>
      </w:r>
      <w:r w:rsidR="00E3664C" w:rsidRPr="009F0BEB">
        <w:t> </w:t>
      </w:r>
      <w:r w:rsidRPr="009F0BEB">
        <w:t>mg</w:t>
      </w:r>
      <w:r w:rsidR="00E3664C" w:rsidRPr="009F0BEB">
        <w:t xml:space="preserve"> (assuming 43 mg per vial, and dosing of 70mg/m</w:t>
      </w:r>
      <w:r w:rsidR="00E3664C" w:rsidRPr="009F0BEB">
        <w:rPr>
          <w:vertAlign w:val="superscript"/>
        </w:rPr>
        <w:t>2</w:t>
      </w:r>
      <w:r w:rsidR="00E3664C" w:rsidRPr="009F0BEB">
        <w:t xml:space="preserve"> with max BSA of 2.2m</w:t>
      </w:r>
      <w:r w:rsidR="00E3664C" w:rsidRPr="009F0BEB">
        <w:rPr>
          <w:vertAlign w:val="superscript"/>
        </w:rPr>
        <w:t>2</w:t>
      </w:r>
      <w:r w:rsidR="00E3664C" w:rsidRPr="009F0BEB">
        <w:t>)</w:t>
      </w:r>
      <w:r w:rsidRPr="009F0BEB">
        <w:t>. The proposed special pricing arrangement is unchanged from the November 2016 submission.</w:t>
      </w:r>
    </w:p>
    <w:p w:rsidR="004E43B2" w:rsidRDefault="006462AA" w:rsidP="006462AA">
      <w:pPr>
        <w:pStyle w:val="ListParagraph"/>
        <w:widowControl/>
        <w:rPr>
          <w:i/>
        </w:rPr>
      </w:pPr>
      <w:r w:rsidRPr="009F0BEB">
        <w:rPr>
          <w:i/>
        </w:rPr>
        <w:t xml:space="preserve">For more detail on PBAC’s view, see section </w:t>
      </w:r>
      <w:r w:rsidR="00A61E4B">
        <w:rPr>
          <w:i/>
        </w:rPr>
        <w:t>6</w:t>
      </w:r>
      <w:r w:rsidRPr="009F0BEB">
        <w:rPr>
          <w:i/>
        </w:rPr>
        <w:t xml:space="preserve"> PBAC outcome.</w:t>
      </w:r>
    </w:p>
    <w:p w:rsidR="00214C1E" w:rsidRPr="009F0BEB" w:rsidRDefault="00214C1E" w:rsidP="006462AA">
      <w:pPr>
        <w:pStyle w:val="ListParagraph"/>
        <w:widowControl/>
        <w:rPr>
          <w:i/>
        </w:rPr>
      </w:pPr>
    </w:p>
    <w:p w:rsidR="002E0A30" w:rsidRPr="009F0BEB" w:rsidRDefault="00A911D0" w:rsidP="00214C1E">
      <w:pPr>
        <w:pStyle w:val="PBACHeading1"/>
        <w:spacing w:before="120" w:after="120"/>
      </w:pPr>
      <w:r w:rsidRPr="009F0BEB">
        <w:lastRenderedPageBreak/>
        <w:t>Background</w:t>
      </w:r>
    </w:p>
    <w:p w:rsidR="00591957" w:rsidRPr="00214C1E" w:rsidRDefault="00591957" w:rsidP="00214C1E">
      <w:pPr>
        <w:widowControl/>
        <w:spacing w:after="120"/>
        <w:rPr>
          <w:b/>
          <w:i/>
          <w:sz w:val="28"/>
          <w:szCs w:val="28"/>
        </w:rPr>
      </w:pPr>
      <w:r w:rsidRPr="009F0BEB">
        <w:rPr>
          <w:b/>
          <w:i/>
          <w:sz w:val="28"/>
          <w:szCs w:val="28"/>
        </w:rPr>
        <w:t>Registration status</w:t>
      </w:r>
    </w:p>
    <w:p w:rsidR="00B60939" w:rsidRPr="009F0BEB" w:rsidRDefault="00C03A1C" w:rsidP="006B2DC0">
      <w:pPr>
        <w:pStyle w:val="ListParagraph"/>
        <w:widowControl/>
        <w:numPr>
          <w:ilvl w:val="1"/>
          <w:numId w:val="3"/>
        </w:numPr>
      </w:pPr>
      <w:r w:rsidRPr="009F0BEB">
        <w:t>Irinotecan (</w:t>
      </w:r>
      <w:proofErr w:type="spellStart"/>
      <w:r w:rsidRPr="009F0BEB">
        <w:t>nanoliposomal</w:t>
      </w:r>
      <w:proofErr w:type="spellEnd"/>
      <w:r w:rsidRPr="009F0BEB">
        <w:t xml:space="preserve">) was approved by the TGA on 19 December 2016 for the treatment of metastatic adenocarcinoma of the </w:t>
      </w:r>
      <w:r w:rsidR="006C302E" w:rsidRPr="009F0BEB">
        <w:t>pancreas, in combination with 5</w:t>
      </w:r>
      <w:r w:rsidR="006C302E" w:rsidRPr="009F0BEB">
        <w:noBreakHyphen/>
      </w:r>
      <w:r w:rsidRPr="009F0BEB">
        <w:t>fluorouracil</w:t>
      </w:r>
      <w:r w:rsidR="002D014B" w:rsidRPr="009F0BEB">
        <w:t xml:space="preserve"> (5-FU)</w:t>
      </w:r>
      <w:r w:rsidRPr="009F0BEB">
        <w:t xml:space="preserve"> and </w:t>
      </w:r>
      <w:proofErr w:type="spellStart"/>
      <w:r w:rsidRPr="009F0BEB">
        <w:t>folinic</w:t>
      </w:r>
      <w:proofErr w:type="spellEnd"/>
      <w:r w:rsidRPr="009F0BEB">
        <w:t xml:space="preserve"> acid (</w:t>
      </w:r>
      <w:proofErr w:type="spellStart"/>
      <w:r w:rsidRPr="009F0BEB">
        <w:t>leucovorin</w:t>
      </w:r>
      <w:proofErr w:type="spellEnd"/>
      <w:r w:rsidRPr="009F0BEB">
        <w:t xml:space="preserve">) in adult patients who have been previously treated with gemcitabine-based therapy. </w:t>
      </w:r>
    </w:p>
    <w:p w:rsidR="00B033E5" w:rsidRPr="00214C1E" w:rsidRDefault="00B033E5" w:rsidP="00214C1E">
      <w:pPr>
        <w:widowControl/>
        <w:spacing w:after="120"/>
        <w:rPr>
          <w:b/>
          <w:i/>
          <w:sz w:val="28"/>
          <w:szCs w:val="28"/>
        </w:rPr>
      </w:pPr>
      <w:r w:rsidRPr="009F0BEB">
        <w:rPr>
          <w:b/>
          <w:i/>
          <w:sz w:val="28"/>
          <w:szCs w:val="28"/>
        </w:rPr>
        <w:t>Previous PBAC consideration</w:t>
      </w:r>
    </w:p>
    <w:p w:rsidR="002C2775" w:rsidRPr="009F0BEB" w:rsidRDefault="00711614" w:rsidP="006B2DC0">
      <w:pPr>
        <w:pStyle w:val="ListParagraph"/>
        <w:widowControl/>
        <w:numPr>
          <w:ilvl w:val="1"/>
          <w:numId w:val="3"/>
        </w:numPr>
      </w:pPr>
      <w:r w:rsidRPr="009F0BEB">
        <w:t>The outstanding matters of concerns from the November 2016 PBAC meeting are summarised in the table below.</w:t>
      </w:r>
      <w:r w:rsidR="00521A52" w:rsidRPr="009F0BEB">
        <w:t xml:space="preserve"> The resubmission</w:t>
      </w:r>
      <w:r w:rsidR="00254505" w:rsidRPr="009F0BEB">
        <w:t xml:space="preserve"> provided additional follow-up data (to three years) for the NAPOLI-1 trial, and a trial-based economic evaluation based on these data. The requested price for </w:t>
      </w:r>
      <w:proofErr w:type="spellStart"/>
      <w:r w:rsidR="00254505" w:rsidRPr="009F0BEB">
        <w:t>nal</w:t>
      </w:r>
      <w:proofErr w:type="spellEnd"/>
      <w:r w:rsidR="00254505" w:rsidRPr="009F0BEB">
        <w:t>-IRI remained unchanged.</w:t>
      </w:r>
    </w:p>
    <w:p w:rsidR="003961BA" w:rsidRPr="009F0BEB" w:rsidRDefault="00711614" w:rsidP="006B2DC0">
      <w:pPr>
        <w:pStyle w:val="TableHeading0"/>
        <w:spacing w:after="0"/>
      </w:pPr>
      <w:r w:rsidRPr="009F0BEB">
        <w:t>Table</w:t>
      </w:r>
      <w:r w:rsidR="00BD5270" w:rsidRPr="009F0BEB">
        <w:t xml:space="preserve"> 2</w:t>
      </w:r>
      <w:r w:rsidRPr="009F0BEB">
        <w:t xml:space="preserve">: </w:t>
      </w:r>
      <w:r w:rsidR="005078EB" w:rsidRPr="009F0BEB">
        <w:t>Comparison of the</w:t>
      </w:r>
      <w:r w:rsidRPr="009F0BEB">
        <w:t xml:space="preserve"> November 2016 submission</w:t>
      </w:r>
      <w:r w:rsidR="005078EB" w:rsidRPr="009F0BEB">
        <w:t xml:space="preserve"> and this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7"/>
        <w:gridCol w:w="3748"/>
        <w:gridCol w:w="3748"/>
      </w:tblGrid>
      <w:tr w:rsidR="003B3A5C" w:rsidRPr="009F0BEB" w:rsidTr="00E3664C">
        <w:trPr>
          <w:tblHeader/>
        </w:trPr>
        <w:tc>
          <w:tcPr>
            <w:tcW w:w="874" w:type="pct"/>
            <w:shd w:val="clear" w:color="auto" w:fill="auto"/>
            <w:vAlign w:val="center"/>
          </w:tcPr>
          <w:p w:rsidR="003B3A5C" w:rsidRPr="009F0BEB" w:rsidRDefault="003B3A5C" w:rsidP="006B2DC0">
            <w:pPr>
              <w:pStyle w:val="Tabletext"/>
              <w:rPr>
                <w:b/>
              </w:rPr>
            </w:pPr>
            <w:r w:rsidRPr="009F0BEB">
              <w:rPr>
                <w:b/>
              </w:rPr>
              <w:t>Component</w:t>
            </w:r>
          </w:p>
        </w:tc>
        <w:tc>
          <w:tcPr>
            <w:tcW w:w="2063" w:type="pct"/>
            <w:shd w:val="clear" w:color="auto" w:fill="auto"/>
            <w:vAlign w:val="center"/>
          </w:tcPr>
          <w:p w:rsidR="003B3A5C" w:rsidRPr="009F0BEB" w:rsidRDefault="003B3A5C" w:rsidP="006B2DC0">
            <w:pPr>
              <w:pStyle w:val="Tabletext"/>
              <w:jc w:val="center"/>
              <w:rPr>
                <w:b/>
              </w:rPr>
            </w:pPr>
            <w:r w:rsidRPr="009F0BEB">
              <w:rPr>
                <w:b/>
              </w:rPr>
              <w:t>November 2016 submission</w:t>
            </w:r>
            <w:r w:rsidR="005078EB" w:rsidRPr="009F0BEB">
              <w:rPr>
                <w:b/>
              </w:rPr>
              <w:t xml:space="preserve"> and PBAC view</w:t>
            </w:r>
          </w:p>
        </w:tc>
        <w:tc>
          <w:tcPr>
            <w:tcW w:w="2063" w:type="pct"/>
            <w:shd w:val="clear" w:color="auto" w:fill="auto"/>
            <w:vAlign w:val="center"/>
          </w:tcPr>
          <w:p w:rsidR="003B3A5C" w:rsidRPr="009F0BEB" w:rsidRDefault="003B3A5C" w:rsidP="006B2DC0">
            <w:pPr>
              <w:pStyle w:val="Tabletext"/>
              <w:jc w:val="center"/>
              <w:rPr>
                <w:b/>
              </w:rPr>
            </w:pPr>
            <w:r w:rsidRPr="009F0BEB">
              <w:rPr>
                <w:b/>
              </w:rPr>
              <w:t>Current resubmission</w:t>
            </w:r>
          </w:p>
        </w:tc>
      </w:tr>
      <w:tr w:rsidR="003B3A5C" w:rsidRPr="009F0BEB" w:rsidTr="00E3664C">
        <w:tc>
          <w:tcPr>
            <w:tcW w:w="874" w:type="pct"/>
            <w:shd w:val="clear" w:color="auto" w:fill="auto"/>
            <w:vAlign w:val="center"/>
          </w:tcPr>
          <w:p w:rsidR="003B3A5C" w:rsidRPr="009F0BEB" w:rsidRDefault="003B3A5C" w:rsidP="006B2DC0">
            <w:pPr>
              <w:pStyle w:val="Tabletext"/>
            </w:pPr>
            <w:r w:rsidRPr="009F0BEB">
              <w:rPr>
                <w:rFonts w:eastAsia="Calibri" w:cs="Arial"/>
              </w:rPr>
              <w:t>Requested listing</w:t>
            </w:r>
          </w:p>
        </w:tc>
        <w:tc>
          <w:tcPr>
            <w:tcW w:w="2063" w:type="pct"/>
            <w:shd w:val="clear" w:color="auto" w:fill="auto"/>
            <w:vAlign w:val="center"/>
          </w:tcPr>
          <w:p w:rsidR="003B3A5C" w:rsidRPr="009F0BEB" w:rsidRDefault="003B3A5C" w:rsidP="006B2DC0">
            <w:pPr>
              <w:pStyle w:val="Tabletext"/>
            </w:pPr>
            <w:r w:rsidRPr="009F0BEB">
              <w:rPr>
                <w:rFonts w:eastAsia="Calibri" w:cs="Arial"/>
              </w:rPr>
              <w:t>Metastatic pancreatic adenocarcinoma patients who have failed gemcitabine-based therapy.</w:t>
            </w:r>
          </w:p>
        </w:tc>
        <w:tc>
          <w:tcPr>
            <w:tcW w:w="2063" w:type="pct"/>
            <w:shd w:val="clear" w:color="auto" w:fill="auto"/>
            <w:vAlign w:val="center"/>
          </w:tcPr>
          <w:p w:rsidR="003B3A5C" w:rsidRPr="009F0BEB" w:rsidRDefault="003B3A5C" w:rsidP="006B2DC0">
            <w:pPr>
              <w:pStyle w:val="Tabletext"/>
            </w:pPr>
            <w:r w:rsidRPr="009F0BEB">
              <w:rPr>
                <w:rFonts w:eastAsia="Calibri" w:cs="Arial"/>
              </w:rPr>
              <w:t>Metastatic pancreatic adenocarcinoma patients who have failed gemcitabine-based therapy. No prior exposure to irinotecan. Performance status based on ECOG 0-2</w:t>
            </w:r>
          </w:p>
        </w:tc>
      </w:tr>
      <w:tr w:rsidR="003B3A5C" w:rsidRPr="009F0BEB" w:rsidTr="00E3664C">
        <w:tc>
          <w:tcPr>
            <w:tcW w:w="874" w:type="pct"/>
            <w:shd w:val="clear" w:color="auto" w:fill="auto"/>
            <w:vAlign w:val="center"/>
          </w:tcPr>
          <w:p w:rsidR="003B3A5C" w:rsidRPr="009F0BEB" w:rsidRDefault="003B3A5C" w:rsidP="006B2DC0">
            <w:pPr>
              <w:pStyle w:val="Tabletext"/>
            </w:pPr>
            <w:r w:rsidRPr="009F0BEB">
              <w:t>Proposed price</w:t>
            </w:r>
          </w:p>
        </w:tc>
        <w:tc>
          <w:tcPr>
            <w:tcW w:w="2063" w:type="pct"/>
            <w:shd w:val="clear" w:color="auto" w:fill="auto"/>
            <w:vAlign w:val="center"/>
          </w:tcPr>
          <w:p w:rsidR="003B3A5C" w:rsidRPr="009F0BEB" w:rsidRDefault="003B3A5C" w:rsidP="006B2DC0">
            <w:pPr>
              <w:pStyle w:val="Tabletext"/>
            </w:pPr>
            <w:r w:rsidRPr="009F0BEB">
              <w:t>DPMA for 160 mg (4 vials):</w:t>
            </w:r>
          </w:p>
          <w:p w:rsidR="003B3A5C" w:rsidRPr="009F0BEB" w:rsidRDefault="003B3A5C" w:rsidP="006B2DC0">
            <w:pPr>
              <w:pStyle w:val="Tabletext"/>
              <w:rPr>
                <w:u w:val="single"/>
              </w:rPr>
            </w:pPr>
            <w:r w:rsidRPr="009F0BEB">
              <w:rPr>
                <w:u w:val="single"/>
              </w:rPr>
              <w:t>Published price</w:t>
            </w:r>
          </w:p>
          <w:p w:rsidR="003B3A5C" w:rsidRPr="009F0BEB" w:rsidRDefault="003B3A5C" w:rsidP="006B2DC0">
            <w:pPr>
              <w:pStyle w:val="Tabletext"/>
            </w:pPr>
            <w:r w:rsidRPr="009F0BEB">
              <w:t>- $</w:t>
            </w:r>
            <w:r w:rsidR="00EE2E05">
              <w:rPr>
                <w:noProof/>
                <w:color w:val="000000"/>
                <w:highlight w:val="black"/>
              </w:rPr>
              <w:t>''''''''''''''''''''''</w:t>
            </w:r>
            <w:r w:rsidRPr="009F0BEB">
              <w:t xml:space="preserve"> (public)</w:t>
            </w:r>
          </w:p>
          <w:p w:rsidR="003B3A5C" w:rsidRPr="009F0BEB" w:rsidRDefault="003B3A5C" w:rsidP="006B2DC0">
            <w:pPr>
              <w:pStyle w:val="Tabletext"/>
            </w:pPr>
            <w:r w:rsidRPr="009F0BEB">
              <w:t>- $</w:t>
            </w:r>
            <w:r w:rsidR="00EE2E05">
              <w:rPr>
                <w:noProof/>
                <w:color w:val="000000"/>
                <w:highlight w:val="black"/>
              </w:rPr>
              <w:t>'''''''''''''''''''</w:t>
            </w:r>
            <w:r w:rsidRPr="009F0BEB">
              <w:t xml:space="preserve"> (private)</w:t>
            </w:r>
          </w:p>
          <w:p w:rsidR="003B3A5C" w:rsidRPr="009F0BEB" w:rsidRDefault="003B3A5C" w:rsidP="006B2DC0">
            <w:pPr>
              <w:pStyle w:val="Tabletext"/>
              <w:rPr>
                <w:u w:val="single"/>
              </w:rPr>
            </w:pPr>
            <w:r w:rsidRPr="009F0BEB">
              <w:rPr>
                <w:u w:val="single"/>
              </w:rPr>
              <w:t>Effective price</w:t>
            </w:r>
          </w:p>
          <w:p w:rsidR="003B3A5C" w:rsidRPr="009F0BEB" w:rsidRDefault="003B3A5C" w:rsidP="006B2DC0">
            <w:pPr>
              <w:pStyle w:val="Tabletext"/>
            </w:pPr>
            <w:r w:rsidRPr="009F0BEB">
              <w:t>- $</w:t>
            </w:r>
            <w:r w:rsidR="00EE2E05">
              <w:rPr>
                <w:noProof/>
                <w:color w:val="000000"/>
                <w:highlight w:val="black"/>
              </w:rPr>
              <w:t>''''''''''''''''''''''</w:t>
            </w:r>
            <w:r w:rsidRPr="009F0BEB">
              <w:t xml:space="preserve"> (Public)</w:t>
            </w:r>
          </w:p>
          <w:p w:rsidR="003B3A5C" w:rsidRPr="009F0BEB" w:rsidRDefault="003B3A5C" w:rsidP="006B2DC0">
            <w:pPr>
              <w:pStyle w:val="Tabletext"/>
            </w:pPr>
            <w:r w:rsidRPr="009F0BEB">
              <w:t>- $</w:t>
            </w:r>
            <w:r w:rsidR="00EE2E05">
              <w:rPr>
                <w:noProof/>
                <w:color w:val="000000"/>
                <w:highlight w:val="black"/>
              </w:rPr>
              <w:t>'''''''''''''''''''''''</w:t>
            </w:r>
            <w:r w:rsidRPr="009F0BEB">
              <w:t xml:space="preserve"> (Private)</w:t>
            </w:r>
          </w:p>
        </w:tc>
        <w:tc>
          <w:tcPr>
            <w:tcW w:w="2063" w:type="pct"/>
            <w:shd w:val="clear" w:color="auto" w:fill="auto"/>
            <w:vAlign w:val="center"/>
          </w:tcPr>
          <w:p w:rsidR="003B3A5C" w:rsidRPr="009F0BEB" w:rsidRDefault="003B3A5C" w:rsidP="006B2DC0">
            <w:pPr>
              <w:pStyle w:val="Tabletext"/>
            </w:pPr>
            <w:r w:rsidRPr="009F0BEB">
              <w:t>Same as November 2016 submission</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Comparators</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and mFOLFOX6</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mFOLFOX6</w:t>
            </w:r>
          </w:p>
        </w:tc>
      </w:tr>
      <w:tr w:rsidR="003B3A5C" w:rsidRPr="009F0BEB" w:rsidTr="00E3664C">
        <w:tc>
          <w:tcPr>
            <w:tcW w:w="874" w:type="pct"/>
            <w:shd w:val="clear" w:color="auto" w:fill="auto"/>
            <w:vAlign w:val="center"/>
          </w:tcPr>
          <w:p w:rsidR="003B3A5C" w:rsidRPr="009F0BEB" w:rsidRDefault="003B3A5C" w:rsidP="006B2DC0">
            <w:pPr>
              <w:pStyle w:val="Tabletext"/>
            </w:pPr>
            <w:r w:rsidRPr="009F0BEB">
              <w:t>Basis of comparison</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 xml:space="preserve">One head-to-head trial comparing </w:t>
            </w:r>
            <w:proofErr w:type="spellStart"/>
            <w:r w:rsidRPr="009F0BEB">
              <w:rPr>
                <w:rFonts w:eastAsia="Calibri" w:cs="Arial"/>
              </w:rPr>
              <w:t>nal</w:t>
            </w:r>
            <w:proofErr w:type="spellEnd"/>
            <w:r w:rsidRPr="009F0BEB">
              <w:rPr>
                <w:rFonts w:eastAsia="Calibri" w:cs="Arial"/>
              </w:rPr>
              <w:t>-IRI with 5-FU/</w:t>
            </w:r>
            <w:proofErr w:type="spellStart"/>
            <w:r w:rsidRPr="009F0BEB">
              <w:rPr>
                <w:rFonts w:eastAsia="Calibri" w:cs="Arial"/>
              </w:rPr>
              <w:t>folinic</w:t>
            </w:r>
            <w:proofErr w:type="spellEnd"/>
            <w:r w:rsidRPr="009F0BEB">
              <w:rPr>
                <w:rFonts w:eastAsia="Calibri" w:cs="Arial"/>
              </w:rPr>
              <w:t xml:space="preserve"> acid (NAPOLI-1).</w:t>
            </w:r>
          </w:p>
          <w:p w:rsidR="003B3A5C" w:rsidRPr="009F0BEB" w:rsidRDefault="003B3A5C" w:rsidP="006B2DC0">
            <w:pPr>
              <w:pStyle w:val="Tabletext"/>
              <w:rPr>
                <w:rFonts w:eastAsia="Calibri" w:cs="Arial"/>
              </w:rPr>
            </w:pPr>
            <w:r w:rsidRPr="009F0BEB">
              <w:rPr>
                <w:rFonts w:eastAsia="Calibri" w:cs="Arial"/>
              </w:rPr>
              <w:t xml:space="preserve">A naïve indirect comparison of </w:t>
            </w:r>
            <w:proofErr w:type="spellStart"/>
            <w:r w:rsidRPr="009F0BEB">
              <w:rPr>
                <w:rFonts w:eastAsia="Calibri" w:cs="Arial"/>
              </w:rPr>
              <w:t>nal</w:t>
            </w:r>
            <w:proofErr w:type="spellEnd"/>
            <w:r w:rsidRPr="009F0BEB">
              <w:rPr>
                <w:rFonts w:eastAsia="Calibri" w:cs="Arial"/>
              </w:rPr>
              <w:t xml:space="preserve">-IRI (NAPOLI-1) with </w:t>
            </w:r>
            <w:proofErr w:type="spellStart"/>
            <w:r w:rsidRPr="009F0BEB">
              <w:rPr>
                <w:rFonts w:eastAsia="Calibri" w:cs="Arial"/>
              </w:rPr>
              <w:t>oxaliplatin</w:t>
            </w:r>
            <w:proofErr w:type="spellEnd"/>
            <w:r w:rsidRPr="009F0BEB">
              <w:rPr>
                <w:rFonts w:eastAsia="Calibri" w:cs="Arial"/>
              </w:rPr>
              <w:t>-containing regimens (CONKO-003 and PANCREOX)</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rPr>
            </w:pPr>
            <w:r w:rsidRPr="009F0BEB">
              <w:t xml:space="preserve">[7.6] The PBAC noted that the results of the naïve indirect analyses comparing </w:t>
            </w:r>
            <w:proofErr w:type="spellStart"/>
            <w:r w:rsidRPr="009F0BEB">
              <w:t>nal</w:t>
            </w:r>
            <w:proofErr w:type="spellEnd"/>
            <w:r w:rsidRPr="009F0BEB">
              <w:t xml:space="preserve">-IRI with </w:t>
            </w:r>
            <w:proofErr w:type="spellStart"/>
            <w:r w:rsidRPr="009F0BEB">
              <w:t>oxaliplatin</w:t>
            </w:r>
            <w:proofErr w:type="spellEnd"/>
            <w:r w:rsidRPr="009F0BEB">
              <w:t>-containing regimens were not reliable</w:t>
            </w:r>
          </w:p>
        </w:tc>
        <w:tc>
          <w:tcPr>
            <w:tcW w:w="2063" w:type="pct"/>
            <w:shd w:val="clear" w:color="auto" w:fill="auto"/>
            <w:vAlign w:val="center"/>
          </w:tcPr>
          <w:p w:rsidR="003B3A5C" w:rsidRPr="009F0BEB" w:rsidRDefault="003B3A5C" w:rsidP="006B2DC0">
            <w:pPr>
              <w:pStyle w:val="Tabletext"/>
            </w:pPr>
            <w:r w:rsidRPr="009F0BEB">
              <w:t>No indirect analyses were presented in the resubmission</w:t>
            </w:r>
          </w:p>
          <w:p w:rsidR="005078EB" w:rsidRPr="009F0BEB" w:rsidRDefault="005078EB" w:rsidP="006B2DC0">
            <w:pPr>
              <w:pStyle w:val="Tabletext"/>
            </w:pPr>
          </w:p>
          <w:p w:rsidR="003B3A5C" w:rsidRPr="009F0BEB" w:rsidRDefault="003B3A5C" w:rsidP="000F4518">
            <w:pPr>
              <w:pStyle w:val="Tabletext"/>
            </w:pPr>
            <w:r w:rsidRPr="009F0BEB">
              <w:t xml:space="preserve">One head-to-head trial comparing </w:t>
            </w:r>
            <w:proofErr w:type="spellStart"/>
            <w:r w:rsidRPr="009F0BEB">
              <w:t>nal</w:t>
            </w:r>
            <w:proofErr w:type="spellEnd"/>
            <w:r w:rsidRPr="009F0BEB">
              <w:t>-IRI with 5-FU/</w:t>
            </w:r>
            <w:proofErr w:type="spellStart"/>
            <w:r w:rsidRPr="009F0BEB">
              <w:t>folinic</w:t>
            </w:r>
            <w:proofErr w:type="spellEnd"/>
            <w:r w:rsidRPr="009F0BEB">
              <w:t xml:space="preserve"> acid (NAPOLI-1) as a proxy for mFOLFOX6, with additional subgroup analysis by prior irinotecan exposure</w:t>
            </w:r>
          </w:p>
        </w:tc>
      </w:tr>
      <w:tr w:rsidR="003B3A5C" w:rsidRPr="009F0BEB" w:rsidTr="00E3664C">
        <w:tc>
          <w:tcPr>
            <w:tcW w:w="874" w:type="pct"/>
            <w:shd w:val="clear" w:color="auto" w:fill="auto"/>
            <w:vAlign w:val="center"/>
          </w:tcPr>
          <w:p w:rsidR="003B3A5C" w:rsidRPr="009F0BEB" w:rsidRDefault="003B3A5C" w:rsidP="006B2DC0">
            <w:pPr>
              <w:pStyle w:val="Tabletext"/>
            </w:pPr>
            <w:r w:rsidRPr="009F0BEB">
              <w:t>Clinical claim</w:t>
            </w:r>
          </w:p>
        </w:tc>
        <w:tc>
          <w:tcPr>
            <w:tcW w:w="2063" w:type="pct"/>
            <w:shd w:val="clear" w:color="auto" w:fill="auto"/>
            <w:vAlign w:val="center"/>
          </w:tcPr>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is superior in terms of efficacy and inferior in terms of safety compared with 5-FU/</w:t>
            </w:r>
            <w:proofErr w:type="spellStart"/>
            <w:r w:rsidRPr="009F0BEB">
              <w:rPr>
                <w:rFonts w:eastAsia="Calibri" w:cs="Arial"/>
              </w:rPr>
              <w:t>folinic</w:t>
            </w:r>
            <w:proofErr w:type="spellEnd"/>
            <w:r w:rsidRPr="009F0BEB">
              <w:rPr>
                <w:rFonts w:eastAsia="Calibri" w:cs="Arial"/>
              </w:rPr>
              <w:t xml:space="preserve"> acid</w:t>
            </w:r>
            <w:r w:rsidR="000F4518">
              <w:rPr>
                <w:rFonts w:eastAsia="Calibri" w:cs="Arial"/>
              </w:rPr>
              <w:t>.</w:t>
            </w:r>
          </w:p>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 xml:space="preserve">-IRI is superior in terms of efficacy and non-inferior in terms of safety compared with </w:t>
            </w:r>
            <w:proofErr w:type="spellStart"/>
            <w:r w:rsidRPr="009F0BEB">
              <w:rPr>
                <w:rFonts w:eastAsia="Calibri" w:cs="Arial"/>
              </w:rPr>
              <w:t>oxaliplatin</w:t>
            </w:r>
            <w:proofErr w:type="spellEnd"/>
            <w:r w:rsidRPr="009F0BEB">
              <w:rPr>
                <w:rFonts w:eastAsia="Calibri" w:cs="Arial"/>
              </w:rPr>
              <w:t>-containing regimens</w:t>
            </w:r>
            <w:r w:rsidR="000F4518">
              <w:rPr>
                <w:rFonts w:eastAsia="Calibri" w:cs="Arial"/>
              </w:rPr>
              <w:t>.</w:t>
            </w:r>
          </w:p>
          <w:p w:rsidR="003B3A5C" w:rsidRPr="009F0BEB" w:rsidRDefault="003B3A5C" w:rsidP="006B2DC0">
            <w:pPr>
              <w:pStyle w:val="Tabletext"/>
              <w:rPr>
                <w:rFonts w:eastAsia="Calibri" w:cs="Arial"/>
              </w:rPr>
            </w:pPr>
          </w:p>
          <w:p w:rsidR="003B3A5C" w:rsidRPr="009F0BEB" w:rsidRDefault="003B3A5C" w:rsidP="006B2DC0">
            <w:pPr>
              <w:pStyle w:val="TableText0"/>
              <w:keepNext w:val="0"/>
              <w:spacing w:before="0" w:after="0"/>
            </w:pPr>
            <w:r w:rsidRPr="009F0BEB">
              <w:t xml:space="preserve">[7.6] The PBAC considered that the claim of superior comparative effectiveness, compared with </w:t>
            </w:r>
            <w:proofErr w:type="spellStart"/>
            <w:r w:rsidRPr="009F0BEB">
              <w:t>oxaliplatin</w:t>
            </w:r>
            <w:proofErr w:type="spellEnd"/>
            <w:r w:rsidRPr="009F0BEB">
              <w:t xml:space="preserve">-containing regimens was adequately supported but that the limitations of the comparisons meant that confidence about statements of relative efficacy between </w:t>
            </w:r>
            <w:proofErr w:type="spellStart"/>
            <w:r w:rsidRPr="009F0BEB">
              <w:t>nal</w:t>
            </w:r>
            <w:proofErr w:type="spellEnd"/>
            <w:r w:rsidRPr="009F0BEB">
              <w:t xml:space="preserve">-IRI and </w:t>
            </w:r>
            <w:proofErr w:type="spellStart"/>
            <w:r w:rsidRPr="009F0BEB">
              <w:t>oxaliplatin</w:t>
            </w:r>
            <w:proofErr w:type="spellEnd"/>
            <w:r w:rsidRPr="009F0BEB">
              <w:t>-containing regimens was necessarily low</w:t>
            </w:r>
          </w:p>
          <w:p w:rsidR="003B3A5C" w:rsidRPr="009F0BEB" w:rsidRDefault="003B3A5C" w:rsidP="006B2DC0">
            <w:pPr>
              <w:pStyle w:val="TableText0"/>
              <w:keepNext w:val="0"/>
              <w:spacing w:before="0" w:after="0"/>
            </w:pPr>
          </w:p>
          <w:p w:rsidR="003B3A5C" w:rsidRPr="009F0BEB" w:rsidRDefault="003B3A5C" w:rsidP="006B2DC0">
            <w:pPr>
              <w:pStyle w:val="Tabletext"/>
              <w:rPr>
                <w:rFonts w:eastAsia="Calibri" w:cs="Arial"/>
              </w:rPr>
            </w:pPr>
            <w:r w:rsidRPr="009F0BEB">
              <w:t xml:space="preserve">The PBAC considered the incremental benefit of </w:t>
            </w:r>
            <w:proofErr w:type="spellStart"/>
            <w:r w:rsidRPr="009F0BEB">
              <w:t>nal</w:t>
            </w:r>
            <w:proofErr w:type="spellEnd"/>
            <w:r w:rsidRPr="009F0BEB">
              <w:t>-IRI over 5 FU/</w:t>
            </w:r>
            <w:proofErr w:type="spellStart"/>
            <w:r w:rsidRPr="009F0BEB">
              <w:t>folinic</w:t>
            </w:r>
            <w:proofErr w:type="spellEnd"/>
            <w:r w:rsidRPr="009F0BEB">
              <w:t xml:space="preserve"> acid observed in NAPOLI-1 (nine week gain in overall survival) to be the upper limit of a plausible incremental benefit of </w:t>
            </w:r>
            <w:proofErr w:type="spellStart"/>
            <w:r w:rsidRPr="009F0BEB">
              <w:t>nal</w:t>
            </w:r>
            <w:proofErr w:type="spellEnd"/>
            <w:r w:rsidRPr="009F0BEB">
              <w:t xml:space="preserve">-IRI over </w:t>
            </w:r>
            <w:proofErr w:type="spellStart"/>
            <w:r w:rsidRPr="009F0BEB">
              <w:t>oxaliplatin</w:t>
            </w:r>
            <w:proofErr w:type="spellEnd"/>
            <w:r w:rsidRPr="009F0BEB">
              <w:t>-containing regimens.</w:t>
            </w:r>
          </w:p>
        </w:tc>
        <w:tc>
          <w:tcPr>
            <w:tcW w:w="2063" w:type="pct"/>
            <w:shd w:val="clear" w:color="auto" w:fill="auto"/>
            <w:vAlign w:val="center"/>
          </w:tcPr>
          <w:p w:rsidR="003B3A5C" w:rsidRPr="009F0BEB" w:rsidRDefault="003B3A5C" w:rsidP="006B2DC0">
            <w:pPr>
              <w:pStyle w:val="Tabletext"/>
              <w:rPr>
                <w:szCs w:val="20"/>
                <w:lang w:val="en-US"/>
              </w:rPr>
            </w:pPr>
            <w:proofErr w:type="spellStart"/>
            <w:r w:rsidRPr="009F0BEB">
              <w:rPr>
                <w:szCs w:val="20"/>
                <w:lang w:val="en-US"/>
              </w:rPr>
              <w:lastRenderedPageBreak/>
              <w:t>Nal</w:t>
            </w:r>
            <w:proofErr w:type="spellEnd"/>
            <w:r w:rsidRPr="009F0BEB">
              <w:rPr>
                <w:szCs w:val="20"/>
                <w:lang w:val="en-US"/>
              </w:rPr>
              <w:t>-IRI is superior in terms of efficacy and non-inferior safety compared with mFOLFOX6</w:t>
            </w:r>
          </w:p>
          <w:p w:rsidR="003B3A5C" w:rsidRPr="009F0BEB" w:rsidRDefault="003B3A5C" w:rsidP="006B2DC0">
            <w:pPr>
              <w:pStyle w:val="Tabletext"/>
              <w:rPr>
                <w:szCs w:val="20"/>
                <w:lang w:val="en-US"/>
              </w:rPr>
            </w:pPr>
          </w:p>
          <w:p w:rsidR="003B3A5C" w:rsidRPr="009F0BEB" w:rsidRDefault="003B3A5C" w:rsidP="006B2DC0">
            <w:pPr>
              <w:pStyle w:val="Tabletext"/>
              <w:rPr>
                <w:color w:val="4BACC6" w:themeColor="accent5"/>
                <w:szCs w:val="20"/>
                <w:lang w:val="en-US"/>
              </w:rPr>
            </w:pPr>
            <w:r w:rsidRPr="009F0BEB">
              <w:t>The resubmission assumed that data from the 5-FU/</w:t>
            </w:r>
            <w:proofErr w:type="spellStart"/>
            <w:r w:rsidRPr="009F0BEB">
              <w:t>folinic</w:t>
            </w:r>
            <w:proofErr w:type="spellEnd"/>
            <w:r w:rsidRPr="009F0BEB">
              <w:t xml:space="preserve"> arm of the NAPOLI-1 trial could be used as a proxy for mFOLFOX6 in terms of both efficacy and safety. The resubmission did not explore the impact of smaller incremental benefits with </w:t>
            </w:r>
            <w:proofErr w:type="spellStart"/>
            <w:r w:rsidRPr="009F0BEB">
              <w:t>nal</w:t>
            </w:r>
            <w:proofErr w:type="spellEnd"/>
            <w:r w:rsidRPr="009F0BEB">
              <w:t>-IRI compared to mFOLFOX6.</w:t>
            </w:r>
          </w:p>
        </w:tc>
      </w:tr>
      <w:tr w:rsidR="003B3A5C" w:rsidRPr="009F0BEB" w:rsidTr="00E3664C">
        <w:tc>
          <w:tcPr>
            <w:tcW w:w="874" w:type="pct"/>
            <w:shd w:val="clear" w:color="auto" w:fill="auto"/>
            <w:vAlign w:val="center"/>
          </w:tcPr>
          <w:p w:rsidR="003B3A5C" w:rsidRPr="009F0BEB" w:rsidRDefault="003B3A5C" w:rsidP="006B2DC0">
            <w:pPr>
              <w:pStyle w:val="Tabletext"/>
            </w:pPr>
            <w:r w:rsidRPr="009F0BEB">
              <w:lastRenderedPageBreak/>
              <w:t>Model structure</w:t>
            </w:r>
          </w:p>
        </w:tc>
        <w:tc>
          <w:tcPr>
            <w:tcW w:w="2063" w:type="pct"/>
            <w:shd w:val="clear" w:color="auto" w:fill="auto"/>
            <w:vAlign w:val="center"/>
          </w:tcPr>
          <w:p w:rsidR="003B3A5C" w:rsidRPr="009F0BEB" w:rsidRDefault="0084305B" w:rsidP="006B2DC0">
            <w:pPr>
              <w:pStyle w:val="Tabletext"/>
              <w:rPr>
                <w:rFonts w:eastAsia="Calibri" w:cs="Arial"/>
              </w:rPr>
            </w:pPr>
            <w:r>
              <w:rPr>
                <w:rFonts w:eastAsia="Calibri" w:cs="Arial"/>
              </w:rPr>
              <w:t>Partitioned survival</w:t>
            </w:r>
            <w:r w:rsidR="003B3A5C" w:rsidRPr="009F0BEB">
              <w:rPr>
                <w:rFonts w:eastAsia="Calibri" w:cs="Arial"/>
              </w:rPr>
              <w:t xml:space="preserve"> analysis with 4 health states:</w:t>
            </w:r>
          </w:p>
          <w:p w:rsidR="003B3A5C" w:rsidRPr="009F0BEB" w:rsidRDefault="003B3A5C" w:rsidP="006B2DC0">
            <w:pPr>
              <w:pStyle w:val="Tabletext"/>
              <w:rPr>
                <w:rFonts w:eastAsia="Calibri" w:cs="Arial"/>
              </w:rPr>
            </w:pPr>
            <w:r w:rsidRPr="009F0BEB">
              <w:rPr>
                <w:rFonts w:eastAsia="Calibri" w:cs="Arial"/>
              </w:rPr>
              <w:t>- pre-progression on-treatment</w:t>
            </w:r>
          </w:p>
          <w:p w:rsidR="003B3A5C" w:rsidRPr="009F0BEB" w:rsidRDefault="003B3A5C" w:rsidP="006B2DC0">
            <w:pPr>
              <w:pStyle w:val="Tabletext"/>
              <w:rPr>
                <w:rFonts w:eastAsia="Calibri" w:cs="Arial"/>
              </w:rPr>
            </w:pPr>
            <w:r w:rsidRPr="009F0BEB">
              <w:rPr>
                <w:rFonts w:eastAsia="Calibri" w:cs="Arial"/>
              </w:rPr>
              <w:t>- pre-progression off-treatment</w:t>
            </w:r>
          </w:p>
          <w:p w:rsidR="003B3A5C" w:rsidRPr="009F0BEB" w:rsidRDefault="003B3A5C" w:rsidP="006B2DC0">
            <w:pPr>
              <w:pStyle w:val="Tabletext"/>
              <w:rPr>
                <w:rFonts w:eastAsia="Calibri" w:cs="Arial"/>
              </w:rPr>
            </w:pPr>
            <w:r w:rsidRPr="009F0BEB">
              <w:rPr>
                <w:rFonts w:eastAsia="Calibri" w:cs="Arial"/>
              </w:rPr>
              <w:t xml:space="preserve">- post-progression </w:t>
            </w:r>
          </w:p>
          <w:p w:rsidR="003B3A5C" w:rsidRPr="009F0BEB" w:rsidRDefault="003B3A5C" w:rsidP="006B2DC0">
            <w:pPr>
              <w:pStyle w:val="Tabletext"/>
              <w:rPr>
                <w:rFonts w:eastAsia="Calibri" w:cs="Arial"/>
              </w:rPr>
            </w:pPr>
            <w:r w:rsidRPr="009F0BEB">
              <w:rPr>
                <w:rFonts w:eastAsia="Calibri" w:cs="Arial"/>
              </w:rPr>
              <w:t xml:space="preserve">- death </w:t>
            </w:r>
          </w:p>
          <w:p w:rsidR="003B3A5C" w:rsidRPr="009F0BEB" w:rsidRDefault="0084305B" w:rsidP="006B2DC0">
            <w:pPr>
              <w:pStyle w:val="Tabletext"/>
              <w:rPr>
                <w:rFonts w:eastAsia="Calibri" w:cs="Arial"/>
              </w:rPr>
            </w:pPr>
            <w:r>
              <w:rPr>
                <w:rFonts w:eastAsia="Calibri" w:cs="Arial"/>
              </w:rPr>
              <w:t>S</w:t>
            </w:r>
            <w:r w:rsidR="003B3A5C" w:rsidRPr="009F0BEB">
              <w:rPr>
                <w:rFonts w:eastAsia="Calibri" w:cs="Arial"/>
              </w:rPr>
              <w:t>urvival probabilities derived from extrapolated survival curves (overall survival, progression-free survival, time on treatment). Time horizon of 5 years with weekly cycle length</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r w:rsidRPr="009F0BEB">
              <w:rPr>
                <w:rFonts w:eastAsia="Calibri" w:cs="Arial"/>
              </w:rPr>
              <w:t>[7.8] The PBAC noted that a trial-based economic analysis was more appropriate for decision making in this instance, given the maturity of the clinical data where the majority of events were captured before the end of the trial.</w:t>
            </w:r>
          </w:p>
          <w:p w:rsidR="005078EB" w:rsidRPr="009F0BEB" w:rsidRDefault="005078EB" w:rsidP="006B2DC0">
            <w:pPr>
              <w:pStyle w:val="Tabletext"/>
            </w:pPr>
          </w:p>
          <w:p w:rsidR="005078EB" w:rsidRPr="009F0BEB" w:rsidRDefault="005078EB" w:rsidP="006B2DC0">
            <w:pPr>
              <w:pStyle w:val="Tabletext"/>
              <w:rPr>
                <w:rFonts w:eastAsia="Calibri" w:cs="Arial"/>
              </w:rPr>
            </w:pPr>
            <w:r w:rsidRPr="009F0BEB">
              <w:t>[7.8] Compared with the trial data, the model overestimated the time spent in the pre-progression off treatment state, with patients maintaining treatment benefit without the accrual of drug costs, monitoring costs and administration costs.</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r w:rsidRPr="009F0BEB">
              <w:rPr>
                <w:rFonts w:eastAsia="Calibri" w:cs="Arial"/>
              </w:rPr>
              <w:t xml:space="preserve">[7.10] The PBAC recommended that a resubmission should present the cost-effectiveness of </w:t>
            </w:r>
            <w:proofErr w:type="spellStart"/>
            <w:r w:rsidRPr="009F0BEB">
              <w:rPr>
                <w:rFonts w:eastAsia="Calibri" w:cs="Arial"/>
              </w:rPr>
              <w:t>nal</w:t>
            </w:r>
            <w:proofErr w:type="spellEnd"/>
            <w:r w:rsidRPr="009F0BEB">
              <w:rPr>
                <w:rFonts w:eastAsia="Calibri" w:cs="Arial"/>
              </w:rPr>
              <w:t>-IRI compared with mFOLFOX6, using the trial results compared with 5-FU/</w:t>
            </w:r>
            <w:proofErr w:type="spellStart"/>
            <w:r w:rsidRPr="009F0BEB">
              <w:rPr>
                <w:rFonts w:eastAsia="Calibri" w:cs="Arial"/>
              </w:rPr>
              <w:t>folinic</w:t>
            </w:r>
            <w:proofErr w:type="spellEnd"/>
            <w:r w:rsidRPr="009F0BEB">
              <w:rPr>
                <w:rFonts w:eastAsia="Calibri" w:cs="Arial"/>
              </w:rPr>
              <w:t xml:space="preserve"> acid from NAPOLI-1 as a proxy for the incremental benefit over </w:t>
            </w:r>
            <w:proofErr w:type="spellStart"/>
            <w:r w:rsidRPr="009F0BEB">
              <w:rPr>
                <w:rFonts w:eastAsia="Calibri" w:cs="Arial"/>
              </w:rPr>
              <w:t>oxaliplatin</w:t>
            </w:r>
            <w:proofErr w:type="spellEnd"/>
            <w:r w:rsidRPr="009F0BEB">
              <w:rPr>
                <w:rFonts w:eastAsia="Calibri" w:cs="Arial"/>
              </w:rPr>
              <w:t>-containing regimens</w:t>
            </w:r>
          </w:p>
        </w:tc>
        <w:tc>
          <w:tcPr>
            <w:tcW w:w="2063" w:type="pct"/>
            <w:shd w:val="clear" w:color="auto" w:fill="auto"/>
            <w:vAlign w:val="center"/>
          </w:tcPr>
          <w:p w:rsidR="005078EB" w:rsidRPr="009F0BEB" w:rsidRDefault="005078EB" w:rsidP="006B2DC0">
            <w:pPr>
              <w:pStyle w:val="Tabletext"/>
              <w:rPr>
                <w:szCs w:val="20"/>
                <w:lang w:val="en-US"/>
              </w:rPr>
            </w:pPr>
            <w:r w:rsidRPr="009F0BEB">
              <w:t>The resubmission presented a trial-based economic analysis based on the NAPOLI-1 trial (and irinotecan naïve subgroup)</w:t>
            </w:r>
          </w:p>
          <w:p w:rsidR="005078EB" w:rsidRPr="009F0BEB" w:rsidRDefault="005078EB" w:rsidP="006B2DC0">
            <w:pPr>
              <w:pStyle w:val="Tabletext"/>
              <w:rPr>
                <w:szCs w:val="20"/>
                <w:lang w:val="en-US"/>
              </w:rPr>
            </w:pPr>
          </w:p>
          <w:p w:rsidR="005078EB" w:rsidRPr="009F0BEB" w:rsidRDefault="003B3A5C" w:rsidP="006B2DC0">
            <w:pPr>
              <w:pStyle w:val="Tabletext"/>
              <w:rPr>
                <w:szCs w:val="20"/>
                <w:lang w:val="en-US"/>
              </w:rPr>
            </w:pPr>
            <w:r w:rsidRPr="009F0BEB">
              <w:rPr>
                <w:szCs w:val="20"/>
                <w:lang w:val="en-US"/>
              </w:rPr>
              <w:t>Same model structure and health states based on partitioned survival analysis derived from trial-based survival curves (overall survival, progression-free survival, time to treatment failure). Time horizon of 3 years with weekly cycle length</w:t>
            </w:r>
          </w:p>
          <w:p w:rsidR="005078EB" w:rsidRPr="009F0BEB" w:rsidRDefault="005078EB" w:rsidP="006B2DC0">
            <w:pPr>
              <w:pStyle w:val="Tabletext"/>
              <w:rPr>
                <w:szCs w:val="20"/>
                <w:lang w:val="en-US"/>
              </w:rPr>
            </w:pPr>
          </w:p>
          <w:p w:rsidR="003B3A5C" w:rsidRPr="009F0BEB" w:rsidRDefault="005078EB" w:rsidP="006B2DC0">
            <w:pPr>
              <w:pStyle w:val="Tabletext"/>
              <w:rPr>
                <w:szCs w:val="20"/>
                <w:lang w:val="en-US"/>
              </w:rPr>
            </w:pPr>
            <w:r w:rsidRPr="009F0BEB">
              <w:t>The time spent in the pre-progression off treatment state was based on trial data in the resubmission. However, the resubmission continued to assume that this group of patients maintain treatment benefit without any further costs</w:t>
            </w:r>
          </w:p>
        </w:tc>
      </w:tr>
      <w:tr w:rsidR="003B3A5C" w:rsidRPr="009F0BEB" w:rsidTr="00E3664C">
        <w:tc>
          <w:tcPr>
            <w:tcW w:w="874" w:type="pct"/>
            <w:shd w:val="clear" w:color="auto" w:fill="auto"/>
            <w:vAlign w:val="center"/>
          </w:tcPr>
          <w:p w:rsidR="003B3A5C" w:rsidRPr="009F0BEB" w:rsidRDefault="003B3A5C" w:rsidP="006B2DC0">
            <w:pPr>
              <w:pStyle w:val="Tabletext"/>
            </w:pPr>
            <w:r w:rsidRPr="009F0BEB">
              <w:t>Outcomes</w:t>
            </w:r>
          </w:p>
        </w:tc>
        <w:tc>
          <w:tcPr>
            <w:tcW w:w="2063" w:type="pct"/>
            <w:shd w:val="clear" w:color="auto" w:fill="auto"/>
            <w:vAlign w:val="center"/>
          </w:tcPr>
          <w:p w:rsidR="005078EB" w:rsidRPr="009F0BEB" w:rsidRDefault="003B3A5C" w:rsidP="006B2DC0">
            <w:pPr>
              <w:pStyle w:val="Tabletext"/>
              <w:rPr>
                <w:rFonts w:eastAsia="Calibri" w:cs="Arial"/>
              </w:rPr>
            </w:pPr>
            <w:r w:rsidRPr="009F0BEB">
              <w:rPr>
                <w:rFonts w:eastAsia="Calibri" w:cs="Arial"/>
              </w:rPr>
              <w:t>Quality-adjusted life years, life years</w:t>
            </w:r>
          </w:p>
        </w:tc>
        <w:tc>
          <w:tcPr>
            <w:tcW w:w="2063" w:type="pct"/>
            <w:shd w:val="clear" w:color="auto" w:fill="auto"/>
            <w:vAlign w:val="center"/>
          </w:tcPr>
          <w:p w:rsidR="005078EB" w:rsidRPr="009F0BEB" w:rsidRDefault="003B3A5C" w:rsidP="006B2DC0">
            <w:pPr>
              <w:pStyle w:val="Tabletext"/>
              <w:rPr>
                <w:szCs w:val="20"/>
                <w:lang w:val="en-US"/>
              </w:rPr>
            </w:pPr>
            <w:r w:rsidRPr="009F0BEB">
              <w:rPr>
                <w:szCs w:val="20"/>
                <w:lang w:val="en-US"/>
              </w:rPr>
              <w:t>Life years</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 xml:space="preserve">Model inputs </w:t>
            </w:r>
          </w:p>
        </w:tc>
        <w:tc>
          <w:tcPr>
            <w:tcW w:w="2063" w:type="pct"/>
            <w:shd w:val="clear" w:color="auto" w:fill="auto"/>
            <w:vAlign w:val="center"/>
          </w:tcPr>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vs 5-FU/</w:t>
            </w:r>
            <w:proofErr w:type="spellStart"/>
            <w:r w:rsidRPr="009F0BEB">
              <w:rPr>
                <w:rFonts w:eastAsia="Calibri" w:cs="Arial"/>
              </w:rPr>
              <w:t>folinic</w:t>
            </w:r>
            <w:proofErr w:type="spellEnd"/>
            <w:r w:rsidRPr="009F0BEB">
              <w:rPr>
                <w:rFonts w:eastAsia="Calibri" w:cs="Arial"/>
              </w:rPr>
              <w:t xml:space="preserve"> acid comparison based on trial data</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vs mFOLFOX6 comparison used trial-based model inputs, assuming efficacy data from the 5-FU/</w:t>
            </w:r>
            <w:proofErr w:type="spellStart"/>
            <w:r w:rsidRPr="009F0BEB">
              <w:rPr>
                <w:rFonts w:eastAsia="Calibri" w:cs="Arial"/>
              </w:rPr>
              <w:t>folinic</w:t>
            </w:r>
            <w:proofErr w:type="spellEnd"/>
            <w:r w:rsidRPr="009F0BEB">
              <w:rPr>
                <w:rFonts w:eastAsia="Calibri" w:cs="Arial"/>
              </w:rPr>
              <w:t xml:space="preserve"> acid monotherapy arm was a proxy for mFOLFOX6</w:t>
            </w:r>
          </w:p>
          <w:p w:rsidR="003B3A5C" w:rsidRPr="009F0BEB" w:rsidRDefault="003B3A5C" w:rsidP="006B2DC0">
            <w:pPr>
              <w:pStyle w:val="Tabletext"/>
              <w:rPr>
                <w:rFonts w:eastAsia="Calibri" w:cs="Arial"/>
                <w:u w:val="single"/>
              </w:rPr>
            </w:pPr>
          </w:p>
          <w:p w:rsidR="003B3A5C" w:rsidRPr="009F0BEB" w:rsidRDefault="003B3A5C" w:rsidP="006B2DC0">
            <w:pPr>
              <w:pStyle w:val="Tabletext"/>
              <w:rPr>
                <w:rFonts w:eastAsia="Calibri" w:cs="Arial"/>
              </w:rPr>
            </w:pPr>
            <w:r w:rsidRPr="009F0BEB">
              <w:rPr>
                <w:rFonts w:eastAsia="Calibri" w:cs="Arial"/>
                <w:u w:val="single"/>
              </w:rPr>
              <w:t>Data source</w:t>
            </w:r>
            <w:r w:rsidRPr="009F0BEB">
              <w:rPr>
                <w:rFonts w:eastAsia="Calibri" w:cs="Arial"/>
              </w:rPr>
              <w:t>: OS and PFS survival curves derived from post-hoc analyses of ITT population (NAPOLI-1). Inadequate detail provided to determine source data for time on treatment survival curve.</w:t>
            </w:r>
          </w:p>
        </w:tc>
        <w:tc>
          <w:tcPr>
            <w:tcW w:w="2063" w:type="pct"/>
            <w:shd w:val="clear" w:color="auto" w:fill="auto"/>
            <w:vAlign w:val="center"/>
          </w:tcPr>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vs mFOLFOX6 (using 5-FU/</w:t>
            </w:r>
            <w:proofErr w:type="spellStart"/>
            <w:r w:rsidRPr="009F0BEB">
              <w:rPr>
                <w:rFonts w:eastAsia="Calibri" w:cs="Arial"/>
              </w:rPr>
              <w:t>folinic</w:t>
            </w:r>
            <w:proofErr w:type="spellEnd"/>
            <w:r w:rsidRPr="009F0BEB">
              <w:rPr>
                <w:rFonts w:eastAsia="Calibri" w:cs="Arial"/>
              </w:rPr>
              <w:t xml:space="preserve"> acid as a proxy) comparison based on trial data</w:t>
            </w:r>
          </w:p>
          <w:p w:rsidR="003B3A5C" w:rsidRPr="009F0BEB" w:rsidRDefault="003B3A5C" w:rsidP="006B2DC0">
            <w:pPr>
              <w:pStyle w:val="Tabletext"/>
              <w:rPr>
                <w:rFonts w:eastAsia="Calibri" w:cs="Arial"/>
                <w:u w:val="single"/>
              </w:rPr>
            </w:pPr>
          </w:p>
          <w:p w:rsidR="003B3A5C" w:rsidRPr="009F0BEB" w:rsidRDefault="003B3A5C" w:rsidP="006B2DC0">
            <w:pPr>
              <w:pStyle w:val="Tabletext"/>
              <w:rPr>
                <w:rFonts w:eastAsia="Calibri" w:cs="Arial"/>
                <w:u w:val="single"/>
              </w:rPr>
            </w:pPr>
            <w:r w:rsidRPr="009F0BEB">
              <w:rPr>
                <w:rFonts w:eastAsia="Calibri" w:cs="Arial"/>
                <w:u w:val="single"/>
              </w:rPr>
              <w:t xml:space="preserve">Data source: </w:t>
            </w:r>
          </w:p>
          <w:p w:rsidR="003B3A5C" w:rsidRPr="009F0BEB" w:rsidRDefault="003B3A5C" w:rsidP="006B2DC0">
            <w:pPr>
              <w:pStyle w:val="Tabletext"/>
              <w:rPr>
                <w:rFonts w:eastAsia="Calibri" w:cs="Arial"/>
              </w:rPr>
            </w:pPr>
            <w:r w:rsidRPr="009F0BEB">
              <w:rPr>
                <w:rFonts w:eastAsia="Calibri" w:cs="Arial"/>
              </w:rPr>
              <w:t>- Base case: OS, PFS and time on treatment survival curves derived from updated post-hoc analysis of irinotecan naïve patient subgroup (NAPOLI-1)</w:t>
            </w:r>
          </w:p>
          <w:p w:rsidR="003B3A5C" w:rsidRPr="009F0BEB" w:rsidRDefault="003B3A5C" w:rsidP="006B2DC0">
            <w:pPr>
              <w:pStyle w:val="Tabletext"/>
              <w:rPr>
                <w:rFonts w:eastAsia="Calibri" w:cs="Arial"/>
              </w:rPr>
            </w:pPr>
            <w:r w:rsidRPr="009F0BEB">
              <w:rPr>
                <w:rFonts w:eastAsia="Calibri" w:cs="Arial"/>
              </w:rPr>
              <w:t>- Alternative: OS, PFS and time on treatment survival curves derived from updated post-hoc analysis of ITT population (NAPOLI-1)</w:t>
            </w:r>
          </w:p>
          <w:p w:rsidR="003B3A5C" w:rsidRPr="009F0BEB" w:rsidRDefault="003B3A5C" w:rsidP="006B2DC0">
            <w:pPr>
              <w:pStyle w:val="Tabletext"/>
              <w:rPr>
                <w:rFonts w:eastAsia="Calibri" w:cs="Arial"/>
                <w:u w:val="single"/>
              </w:rPr>
            </w:pPr>
          </w:p>
        </w:tc>
      </w:tr>
      <w:tr w:rsidR="003B3A5C" w:rsidRPr="009F0BEB" w:rsidTr="00E3664C">
        <w:tc>
          <w:tcPr>
            <w:tcW w:w="874" w:type="pct"/>
            <w:shd w:val="clear" w:color="auto" w:fill="auto"/>
            <w:vAlign w:val="center"/>
          </w:tcPr>
          <w:p w:rsidR="003B3A5C" w:rsidRPr="009F0BEB" w:rsidRDefault="003B3A5C" w:rsidP="007B56E0">
            <w:pPr>
              <w:pStyle w:val="Tabletext"/>
              <w:rPr>
                <w:rFonts w:eastAsia="Calibri" w:cs="Arial"/>
              </w:rPr>
            </w:pPr>
            <w:r w:rsidRPr="009F0BEB">
              <w:rPr>
                <w:rFonts w:eastAsia="Calibri" w:cs="Arial"/>
              </w:rPr>
              <w:t xml:space="preserve">Drug costs per </w:t>
            </w:r>
            <w:r w:rsidR="007B56E0">
              <w:rPr>
                <w:rFonts w:eastAsia="Calibri" w:cs="Arial"/>
              </w:rPr>
              <w:t>week</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Effective prices September 2016 PBS schedule</w:t>
            </w:r>
          </w:p>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w:t>
            </w:r>
            <w:r w:rsidR="00EE2E05">
              <w:rPr>
                <w:rFonts w:eastAsia="Calibri" w:cs="Arial"/>
                <w:noProof/>
                <w:color w:val="000000"/>
                <w:highlight w:val="black"/>
              </w:rPr>
              <w:t>'''''''''''''''</w:t>
            </w:r>
          </w:p>
          <w:p w:rsidR="003B3A5C" w:rsidRPr="00EE2E05"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w:t>
            </w:r>
            <w:r w:rsidR="00EE2E05">
              <w:rPr>
                <w:rFonts w:eastAsia="Calibri" w:cs="Arial"/>
                <w:noProof/>
                <w:color w:val="000000"/>
                <w:highlight w:val="black"/>
              </w:rPr>
              <w:t>'''''''''''''''''</w:t>
            </w:r>
          </w:p>
          <w:p w:rsidR="003B3A5C" w:rsidRPr="00EE2E05" w:rsidRDefault="003B3A5C" w:rsidP="006B2DC0">
            <w:pPr>
              <w:pStyle w:val="Tabletext"/>
              <w:rPr>
                <w:rFonts w:eastAsia="Calibri" w:cs="Arial"/>
              </w:rPr>
            </w:pPr>
            <w:r w:rsidRPr="009F0BEB">
              <w:rPr>
                <w:rFonts w:eastAsia="Calibri" w:cs="Arial"/>
              </w:rPr>
              <w:t>mFOLFOX6: $</w:t>
            </w:r>
            <w:r w:rsidR="00EE2E05">
              <w:rPr>
                <w:rFonts w:eastAsia="Calibri" w:cs="Arial"/>
                <w:noProof/>
                <w:color w:val="000000"/>
                <w:highlight w:val="black"/>
              </w:rPr>
              <w:t>'''''''''''''''''</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r w:rsidRPr="009F0BEB">
              <w:t>[7.8] The costing assumptions inflated the prices of the 5-FU/</w:t>
            </w:r>
            <w:proofErr w:type="spellStart"/>
            <w:r w:rsidRPr="009F0BEB">
              <w:t>folinic</w:t>
            </w:r>
            <w:proofErr w:type="spellEnd"/>
            <w:r w:rsidRPr="009F0BEB">
              <w:t xml:space="preserve"> acid and mFOLFOX6 regimens relative to </w:t>
            </w:r>
            <w:proofErr w:type="spellStart"/>
            <w:r w:rsidRPr="009F0BEB">
              <w:t>nal</w:t>
            </w:r>
            <w:proofErr w:type="spellEnd"/>
            <w:r w:rsidRPr="009F0BEB">
              <w:t>-IRI.</w:t>
            </w:r>
          </w:p>
        </w:tc>
        <w:tc>
          <w:tcPr>
            <w:tcW w:w="2063" w:type="pct"/>
            <w:shd w:val="clear" w:color="auto" w:fill="auto"/>
            <w:vAlign w:val="center"/>
          </w:tcPr>
          <w:p w:rsidR="003B3A5C" w:rsidRPr="009F0BEB" w:rsidRDefault="003B3A5C" w:rsidP="006B2DC0">
            <w:pPr>
              <w:pStyle w:val="Tabletext"/>
              <w:rPr>
                <w:rFonts w:eastAsia="Calibri"/>
              </w:rPr>
            </w:pPr>
            <w:r w:rsidRPr="009F0BEB">
              <w:rPr>
                <w:rFonts w:eastAsia="Calibri"/>
              </w:rPr>
              <w:lastRenderedPageBreak/>
              <w:t>Effective prices December 2017 PBS schedule</w:t>
            </w:r>
          </w:p>
          <w:p w:rsidR="003B3A5C" w:rsidRPr="009F0BEB" w:rsidRDefault="003B3A5C" w:rsidP="006B2DC0">
            <w:pPr>
              <w:pStyle w:val="Tabletext"/>
              <w:rPr>
                <w:rFonts w:eastAsia="Calibri"/>
                <w:u w:val="single"/>
              </w:rPr>
            </w:pPr>
            <w:r w:rsidRPr="009F0BEB">
              <w:rPr>
                <w:rFonts w:eastAsia="Calibri"/>
                <w:u w:val="single"/>
              </w:rPr>
              <w:t>Irinotecan naïve subgroup</w:t>
            </w:r>
          </w:p>
          <w:p w:rsidR="003B3A5C" w:rsidRPr="009F0BEB" w:rsidRDefault="003B3A5C" w:rsidP="006B2DC0">
            <w:pPr>
              <w:pStyle w:val="Tabletext"/>
              <w:rPr>
                <w:rFonts w:eastAsia="Calibri"/>
              </w:rPr>
            </w:pPr>
            <w:proofErr w:type="spellStart"/>
            <w:r w:rsidRPr="009F0BEB">
              <w:rPr>
                <w:rFonts w:eastAsia="Calibri"/>
              </w:rPr>
              <w:t>Nal</w:t>
            </w:r>
            <w:proofErr w:type="spellEnd"/>
            <w:r w:rsidRPr="009F0BEB">
              <w:rPr>
                <w:rFonts w:eastAsia="Calibri"/>
              </w:rPr>
              <w:t>-IRI: $</w:t>
            </w:r>
            <w:r w:rsidR="00EE2E05">
              <w:rPr>
                <w:rFonts w:eastAsia="Calibri"/>
                <w:noProof/>
                <w:color w:val="000000"/>
                <w:highlight w:val="black"/>
              </w:rPr>
              <w:t>''''''''''''''''</w:t>
            </w:r>
          </w:p>
          <w:p w:rsidR="003B3A5C" w:rsidRPr="00EE2E05" w:rsidRDefault="003B3A5C" w:rsidP="006B2DC0">
            <w:pPr>
              <w:pStyle w:val="Tabletext"/>
              <w:rPr>
                <w:rFonts w:eastAsia="Calibri"/>
              </w:rPr>
            </w:pPr>
            <w:r w:rsidRPr="009F0BEB">
              <w:rPr>
                <w:rFonts w:eastAsia="Calibri"/>
              </w:rPr>
              <w:t>mFOLFOX6: $</w:t>
            </w:r>
            <w:r w:rsidR="00EE2E05">
              <w:rPr>
                <w:rFonts w:eastAsia="Calibri"/>
                <w:noProof/>
                <w:color w:val="000000"/>
                <w:highlight w:val="black"/>
              </w:rPr>
              <w:t>'''''''''''''''''</w:t>
            </w:r>
          </w:p>
          <w:p w:rsidR="003B3A5C" w:rsidRPr="009F0BEB" w:rsidRDefault="003B3A5C" w:rsidP="006B2DC0">
            <w:pPr>
              <w:pStyle w:val="Tabletext"/>
              <w:rPr>
                <w:rFonts w:eastAsia="Calibri"/>
              </w:rPr>
            </w:pPr>
          </w:p>
          <w:p w:rsidR="003B3A5C" w:rsidRPr="009F0BEB" w:rsidRDefault="003B3A5C" w:rsidP="006B2DC0">
            <w:pPr>
              <w:pStyle w:val="Tabletext"/>
              <w:rPr>
                <w:rFonts w:eastAsia="Calibri"/>
                <w:u w:val="single"/>
              </w:rPr>
            </w:pPr>
            <w:r w:rsidRPr="009F0BEB">
              <w:rPr>
                <w:rFonts w:eastAsia="Calibri"/>
                <w:u w:val="single"/>
              </w:rPr>
              <w:t>ITT population</w:t>
            </w:r>
          </w:p>
          <w:p w:rsidR="003B3A5C" w:rsidRPr="009F0BEB" w:rsidRDefault="003B3A5C" w:rsidP="006B2DC0">
            <w:pPr>
              <w:pStyle w:val="Tabletext"/>
              <w:rPr>
                <w:rFonts w:eastAsia="Calibri"/>
              </w:rPr>
            </w:pPr>
            <w:proofErr w:type="spellStart"/>
            <w:r w:rsidRPr="009F0BEB">
              <w:rPr>
                <w:rFonts w:eastAsia="Calibri"/>
              </w:rPr>
              <w:t>Nal</w:t>
            </w:r>
            <w:proofErr w:type="spellEnd"/>
            <w:r w:rsidRPr="009F0BEB">
              <w:rPr>
                <w:rFonts w:eastAsia="Calibri"/>
              </w:rPr>
              <w:t>-IRI: $</w:t>
            </w:r>
            <w:r w:rsidR="00EE2E05">
              <w:rPr>
                <w:rFonts w:eastAsia="Calibri"/>
                <w:noProof/>
                <w:color w:val="000000"/>
                <w:highlight w:val="black"/>
              </w:rPr>
              <w:t>''''''''''''''''</w:t>
            </w:r>
          </w:p>
          <w:p w:rsidR="003B3A5C" w:rsidRPr="009F0BEB" w:rsidRDefault="003B3A5C" w:rsidP="006B2DC0">
            <w:pPr>
              <w:pStyle w:val="Tabletext"/>
              <w:rPr>
                <w:rFonts w:eastAsia="Calibri" w:cs="Arial"/>
              </w:rPr>
            </w:pPr>
            <w:r w:rsidRPr="009F0BEB">
              <w:rPr>
                <w:rFonts w:eastAsia="Calibri" w:cs="Arial"/>
              </w:rPr>
              <w:t>mFOLFOX6: $</w:t>
            </w:r>
            <w:r w:rsidR="00EE2E05">
              <w:rPr>
                <w:rFonts w:eastAsia="Calibri" w:cs="Arial"/>
                <w:noProof/>
                <w:color w:val="000000"/>
                <w:highlight w:val="black"/>
              </w:rPr>
              <w:t>'''''''''''''''</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lastRenderedPageBreak/>
              <w:t>Administration costs per cycle</w:t>
            </w:r>
          </w:p>
        </w:tc>
        <w:tc>
          <w:tcPr>
            <w:tcW w:w="2063" w:type="pct"/>
            <w:shd w:val="clear" w:color="auto" w:fill="auto"/>
            <w:vAlign w:val="center"/>
          </w:tcPr>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$257.29</w:t>
            </w:r>
          </w:p>
          <w:p w:rsidR="003B3A5C" w:rsidRPr="009F0BEB"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$326.99</w:t>
            </w:r>
          </w:p>
          <w:p w:rsidR="003B3A5C" w:rsidRPr="009F0BEB" w:rsidRDefault="003B3A5C" w:rsidP="006B2DC0">
            <w:pPr>
              <w:pStyle w:val="Tabletext"/>
              <w:rPr>
                <w:rFonts w:eastAsia="Calibri" w:cs="Arial"/>
              </w:rPr>
            </w:pPr>
            <w:r w:rsidRPr="009F0BEB">
              <w:rPr>
                <w:rFonts w:eastAsia="Calibri" w:cs="Arial"/>
              </w:rPr>
              <w:t>mFOLFOX6: $257.29</w:t>
            </w:r>
          </w:p>
        </w:tc>
        <w:tc>
          <w:tcPr>
            <w:tcW w:w="2063" w:type="pct"/>
            <w:shd w:val="clear" w:color="auto" w:fill="auto"/>
            <w:vAlign w:val="center"/>
          </w:tcPr>
          <w:p w:rsidR="00066CA0" w:rsidRPr="009F0BEB" w:rsidRDefault="00066CA0" w:rsidP="006B2DC0">
            <w:pPr>
              <w:pStyle w:val="Tabletext"/>
              <w:rPr>
                <w:rFonts w:eastAsia="Calibri" w:cs="Arial"/>
                <w:i/>
              </w:rPr>
            </w:pPr>
            <w:r w:rsidRPr="009F0BEB">
              <w:rPr>
                <w:rFonts w:eastAsia="Calibri" w:cs="Arial"/>
              </w:rPr>
              <w:t xml:space="preserve">Lower administration costs for </w:t>
            </w:r>
            <w:proofErr w:type="spellStart"/>
            <w:r w:rsidRPr="009F0BEB">
              <w:rPr>
                <w:rFonts w:eastAsia="Calibri" w:cs="Arial"/>
              </w:rPr>
              <w:t>nal</w:t>
            </w:r>
            <w:proofErr w:type="spellEnd"/>
            <w:r w:rsidRPr="009F0BEB">
              <w:rPr>
                <w:rFonts w:eastAsia="Calibri" w:cs="Arial"/>
              </w:rPr>
              <w:t>-IRI and higher post-progression administration costs.</w:t>
            </w:r>
            <w:r w:rsidRPr="0084305B">
              <w:rPr>
                <w:rFonts w:eastAsia="Calibri" w:cs="Arial"/>
              </w:rPr>
              <w:t xml:space="preserve"> This favours </w:t>
            </w:r>
            <w:proofErr w:type="spellStart"/>
            <w:r w:rsidRPr="0084305B">
              <w:rPr>
                <w:rFonts w:eastAsia="Calibri" w:cs="Arial"/>
              </w:rPr>
              <w:t>nal</w:t>
            </w:r>
            <w:proofErr w:type="spellEnd"/>
            <w:r w:rsidRPr="0084305B">
              <w:rPr>
                <w:rFonts w:eastAsia="Calibri" w:cs="Arial"/>
              </w:rPr>
              <w:t>-IRI.</w:t>
            </w:r>
          </w:p>
          <w:p w:rsidR="00066CA0" w:rsidRPr="009F0BEB" w:rsidRDefault="00066CA0" w:rsidP="006B2DC0">
            <w:pPr>
              <w:pStyle w:val="Tabletext"/>
              <w:rPr>
                <w:rFonts w:eastAsia="Calibri" w:cs="Arial"/>
              </w:rPr>
            </w:pPr>
          </w:p>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$81.60</w:t>
            </w:r>
          </w:p>
          <w:p w:rsidR="003B3A5C" w:rsidRPr="009F0BEB" w:rsidRDefault="003B3A5C" w:rsidP="006B2DC0">
            <w:pPr>
              <w:pStyle w:val="Tabletext"/>
              <w:rPr>
                <w:rFonts w:eastAsia="Calibri" w:cs="Arial"/>
              </w:rPr>
            </w:pPr>
            <w:r w:rsidRPr="009F0BEB">
              <w:rPr>
                <w:rFonts w:eastAsia="Calibri" w:cs="Arial"/>
              </w:rPr>
              <w:t>mFOLFOX6: $81.60</w:t>
            </w:r>
          </w:p>
          <w:p w:rsidR="003B3A5C" w:rsidRPr="009F0BEB" w:rsidRDefault="003B3A5C" w:rsidP="006B2DC0">
            <w:pPr>
              <w:pStyle w:val="Tabletext"/>
              <w:rPr>
                <w:rFonts w:eastAsia="Calibri" w:cs="Arial"/>
              </w:rPr>
            </w:pPr>
            <w:r w:rsidRPr="009F0BEB">
              <w:rPr>
                <w:rFonts w:eastAsia="Calibri" w:cs="Arial"/>
              </w:rPr>
              <w:t>FOLFIRINOX: $130.58</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Adverse event costs per cycle</w:t>
            </w:r>
          </w:p>
        </w:tc>
        <w:tc>
          <w:tcPr>
            <w:tcW w:w="2063" w:type="pct"/>
            <w:shd w:val="clear" w:color="auto" w:fill="auto"/>
            <w:vAlign w:val="center"/>
          </w:tcPr>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$42.64</w:t>
            </w:r>
          </w:p>
          <w:p w:rsidR="003B3A5C" w:rsidRPr="009F0BEB"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$21.69</w:t>
            </w:r>
          </w:p>
          <w:p w:rsidR="003B3A5C" w:rsidRPr="009F0BEB" w:rsidRDefault="003B3A5C" w:rsidP="006B2DC0">
            <w:pPr>
              <w:pStyle w:val="Tabletext"/>
              <w:rPr>
                <w:rFonts w:eastAsia="Calibri" w:cs="Arial"/>
              </w:rPr>
            </w:pPr>
            <w:r w:rsidRPr="009F0BEB">
              <w:rPr>
                <w:rFonts w:eastAsia="Calibri" w:cs="Arial"/>
              </w:rPr>
              <w:t>mFOLFOX6: $54.03</w:t>
            </w:r>
          </w:p>
        </w:tc>
        <w:tc>
          <w:tcPr>
            <w:tcW w:w="2063" w:type="pct"/>
            <w:shd w:val="clear" w:color="auto" w:fill="auto"/>
            <w:vAlign w:val="center"/>
          </w:tcPr>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$25.03</w:t>
            </w:r>
          </w:p>
          <w:p w:rsidR="003B3A5C" w:rsidRPr="009F0BEB" w:rsidRDefault="003B3A5C" w:rsidP="006B2DC0">
            <w:pPr>
              <w:pStyle w:val="Tabletext"/>
              <w:rPr>
                <w:rFonts w:eastAsia="Calibri" w:cs="Arial"/>
              </w:rPr>
            </w:pPr>
            <w:r w:rsidRPr="009F0BEB">
              <w:rPr>
                <w:rFonts w:eastAsia="Calibri" w:cs="Arial"/>
              </w:rPr>
              <w:t>mFOLFOX6: $6.24</w:t>
            </w:r>
          </w:p>
          <w:p w:rsidR="003B3A5C" w:rsidRPr="009F0BEB" w:rsidRDefault="003B3A5C" w:rsidP="006B2DC0">
            <w:pPr>
              <w:pStyle w:val="Tabletext"/>
              <w:rPr>
                <w:rFonts w:eastAsia="Calibri" w:cs="Arial"/>
              </w:rPr>
            </w:pP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Monitoring costs per cycle</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Initial monitoring cost (once-off, applied to all): $350.38</w:t>
            </w:r>
          </w:p>
          <w:p w:rsidR="003B3A5C" w:rsidRPr="009F0BEB" w:rsidRDefault="003B3A5C" w:rsidP="006B2DC0">
            <w:pPr>
              <w:pStyle w:val="Tabletext"/>
              <w:rPr>
                <w:rFonts w:eastAsia="Calibri" w:cs="Arial"/>
              </w:rPr>
            </w:pPr>
            <w:r w:rsidRPr="009F0BEB">
              <w:rPr>
                <w:rFonts w:eastAsia="Calibri" w:cs="Arial"/>
              </w:rPr>
              <w:t>Cost per cycle (all arms): $104.85</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Initial monitoring cost (once-off, applied to all): $441.47</w:t>
            </w:r>
          </w:p>
          <w:p w:rsidR="003B3A5C" w:rsidRPr="009F0BEB" w:rsidRDefault="003B3A5C" w:rsidP="006B2DC0">
            <w:pPr>
              <w:pStyle w:val="Tabletext"/>
              <w:rPr>
                <w:rFonts w:eastAsia="Calibri" w:cs="Arial"/>
              </w:rPr>
            </w:pPr>
            <w:r w:rsidRPr="009F0BEB">
              <w:rPr>
                <w:rFonts w:eastAsia="Calibri" w:cs="Arial"/>
              </w:rPr>
              <w:t>Cost per cycle (all arms): $67.28</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Post-progression treatment drug cost per cycle</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Drug costs based on irinotecan (</w:t>
            </w:r>
            <w:proofErr w:type="spellStart"/>
            <w:r w:rsidRPr="009F0BEB">
              <w:rPr>
                <w:rFonts w:eastAsia="Calibri" w:cs="Arial"/>
              </w:rPr>
              <w:t>nanoliposomal</w:t>
            </w:r>
            <w:proofErr w:type="spellEnd"/>
            <w:r w:rsidRPr="009F0BEB">
              <w:rPr>
                <w:rFonts w:eastAsia="Calibri" w:cs="Arial"/>
              </w:rPr>
              <w:t>) monotherapy and proportion receiving treatment.</w:t>
            </w:r>
          </w:p>
          <w:p w:rsidR="003B3A5C" w:rsidRPr="00EE2E05"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w:t>
            </w:r>
            <w:r w:rsidR="00EE2E05">
              <w:rPr>
                <w:rFonts w:eastAsia="Calibri" w:cs="Arial"/>
                <w:noProof/>
                <w:color w:val="000000"/>
                <w:highlight w:val="black"/>
              </w:rPr>
              <w:t>''''''''''''''''''</w:t>
            </w:r>
          </w:p>
          <w:p w:rsidR="003B3A5C" w:rsidRPr="009F0BEB"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w:t>
            </w:r>
            <w:r w:rsidR="00EE2E05">
              <w:rPr>
                <w:rFonts w:eastAsia="Calibri" w:cs="Arial"/>
                <w:noProof/>
                <w:color w:val="000000"/>
                <w:highlight w:val="black"/>
              </w:rPr>
              <w:t>''''''''''''''''</w:t>
            </w:r>
          </w:p>
          <w:p w:rsidR="003B3A5C" w:rsidRPr="00EE2E05" w:rsidRDefault="003B3A5C" w:rsidP="006B2DC0">
            <w:pPr>
              <w:pStyle w:val="Tabletext"/>
              <w:rPr>
                <w:rFonts w:eastAsia="Calibri" w:cs="Arial"/>
              </w:rPr>
            </w:pPr>
            <w:r w:rsidRPr="009F0BEB">
              <w:rPr>
                <w:rFonts w:eastAsia="Calibri" w:cs="Arial"/>
              </w:rPr>
              <w:t>mFOLFOX6: $</w:t>
            </w:r>
            <w:r w:rsidR="00EE2E05">
              <w:rPr>
                <w:rFonts w:eastAsia="Calibri" w:cs="Arial"/>
                <w:noProof/>
                <w:color w:val="000000"/>
                <w:highlight w:val="black"/>
              </w:rPr>
              <w:t>''''''''''''''''</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r w:rsidRPr="009F0BEB">
              <w:t>[7.8] The differential application of post-progression irinotecan (</w:t>
            </w:r>
            <w:proofErr w:type="spellStart"/>
            <w:r w:rsidRPr="009F0BEB">
              <w:t>nanoliposomal</w:t>
            </w:r>
            <w:proofErr w:type="spellEnd"/>
            <w:r w:rsidRPr="009F0BEB">
              <w:t>) [monotherapy] treatment costs was inadequately justified.</w:t>
            </w:r>
          </w:p>
        </w:tc>
        <w:tc>
          <w:tcPr>
            <w:tcW w:w="2063" w:type="pct"/>
            <w:shd w:val="clear" w:color="auto" w:fill="auto"/>
            <w:vAlign w:val="center"/>
          </w:tcPr>
          <w:p w:rsidR="005078EB" w:rsidRPr="007B56E0" w:rsidRDefault="005078EB" w:rsidP="006B2DC0">
            <w:pPr>
              <w:pStyle w:val="Tabletext"/>
              <w:rPr>
                <w:rFonts w:eastAsia="Calibri" w:cs="Arial"/>
              </w:rPr>
            </w:pPr>
            <w:r w:rsidRPr="007B56E0">
              <w:t>The utilisation of subsequent line therapies remained unchanged in the resubmission but the costs of subsequent line treatment were decreased (due to the assumption of FOLFIRINOX being used as a third line treatment)</w:t>
            </w:r>
          </w:p>
          <w:p w:rsidR="005078EB" w:rsidRPr="007B56E0" w:rsidRDefault="005078EB" w:rsidP="006B2DC0">
            <w:pPr>
              <w:pStyle w:val="Tabletext"/>
              <w:rPr>
                <w:rFonts w:eastAsia="Calibri" w:cs="Arial"/>
              </w:rPr>
            </w:pPr>
          </w:p>
          <w:p w:rsidR="003B3A5C" w:rsidRPr="007B56E0" w:rsidRDefault="003B3A5C" w:rsidP="006B2DC0">
            <w:pPr>
              <w:pStyle w:val="Tabletext"/>
              <w:rPr>
                <w:rFonts w:eastAsia="Calibri" w:cs="Arial"/>
              </w:rPr>
            </w:pPr>
            <w:r w:rsidRPr="007B56E0">
              <w:rPr>
                <w:rFonts w:eastAsia="Calibri" w:cs="Arial"/>
              </w:rPr>
              <w:t xml:space="preserve">Drug costs based on FOLFIRINOX regimen and proportion starting treatment. </w:t>
            </w:r>
          </w:p>
          <w:p w:rsidR="003B3A5C" w:rsidRPr="007B56E0" w:rsidRDefault="003B3A5C" w:rsidP="006B2DC0">
            <w:pPr>
              <w:pStyle w:val="Tabletext"/>
              <w:rPr>
                <w:rFonts w:eastAsia="Calibri" w:cs="Arial"/>
              </w:rPr>
            </w:pPr>
            <w:proofErr w:type="spellStart"/>
            <w:r w:rsidRPr="007B56E0">
              <w:rPr>
                <w:rFonts w:eastAsia="Calibri" w:cs="Arial"/>
              </w:rPr>
              <w:t>Nal</w:t>
            </w:r>
            <w:proofErr w:type="spellEnd"/>
            <w:r w:rsidRPr="007B56E0">
              <w:rPr>
                <w:rFonts w:eastAsia="Calibri" w:cs="Arial"/>
              </w:rPr>
              <w:t>-IRI: $</w:t>
            </w:r>
            <w:r w:rsidR="00EE2E05">
              <w:rPr>
                <w:rFonts w:eastAsia="Calibri" w:cs="Arial"/>
                <w:noProof/>
                <w:color w:val="000000"/>
                <w:highlight w:val="black"/>
              </w:rPr>
              <w:t>''''''''''''</w:t>
            </w:r>
          </w:p>
          <w:p w:rsidR="003B3A5C" w:rsidRPr="007B56E0" w:rsidRDefault="003B3A5C" w:rsidP="006B2DC0">
            <w:pPr>
              <w:pStyle w:val="Tabletext"/>
              <w:rPr>
                <w:rFonts w:eastAsia="Calibri" w:cs="Arial"/>
              </w:rPr>
            </w:pPr>
            <w:r w:rsidRPr="007B56E0">
              <w:rPr>
                <w:rFonts w:eastAsia="Calibri" w:cs="Arial"/>
              </w:rPr>
              <w:t>mFOLFOX6: $</w:t>
            </w:r>
            <w:r w:rsidR="00EE2E05">
              <w:rPr>
                <w:rFonts w:eastAsia="Calibri" w:cs="Arial"/>
                <w:noProof/>
                <w:color w:val="000000"/>
                <w:highlight w:val="black"/>
              </w:rPr>
              <w:t>'''''''''''''''''</w:t>
            </w:r>
          </w:p>
          <w:p w:rsidR="003B3A5C" w:rsidRPr="007B56E0" w:rsidRDefault="003B3A5C" w:rsidP="006B2DC0">
            <w:pPr>
              <w:pStyle w:val="Tabletext"/>
              <w:rPr>
                <w:rFonts w:eastAsia="Calibri" w:cs="Arial"/>
              </w:rPr>
            </w:pPr>
          </w:p>
          <w:p w:rsidR="005078EB" w:rsidRPr="007B56E0" w:rsidRDefault="005078EB" w:rsidP="006B2DC0">
            <w:pPr>
              <w:pStyle w:val="Tabletext"/>
              <w:rPr>
                <w:rFonts w:eastAsia="Calibri" w:cs="Arial"/>
              </w:rPr>
            </w:pPr>
            <w:r w:rsidRPr="007B56E0">
              <w:rPr>
                <w:rFonts w:eastAsia="Calibri" w:cs="Arial"/>
              </w:rPr>
              <w:t xml:space="preserve">The ESC noted that patients are assumed to stay on treatment until they die, which favours </w:t>
            </w:r>
            <w:proofErr w:type="spellStart"/>
            <w:r w:rsidRPr="007B56E0">
              <w:rPr>
                <w:rFonts w:eastAsia="Calibri" w:cs="Arial"/>
              </w:rPr>
              <w:t>nal</w:t>
            </w:r>
            <w:proofErr w:type="spellEnd"/>
            <w:r w:rsidRPr="007B56E0">
              <w:rPr>
                <w:rFonts w:eastAsia="Calibri" w:cs="Arial"/>
              </w:rPr>
              <w:t>-IRI as more patients in the comparator arm commence therapy post-progression.</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Last 4 weeks of life</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$3,597.06</w:t>
            </w:r>
          </w:p>
        </w:tc>
        <w:tc>
          <w:tcPr>
            <w:tcW w:w="2063" w:type="pct"/>
            <w:shd w:val="clear" w:color="auto" w:fill="auto"/>
            <w:vAlign w:val="center"/>
          </w:tcPr>
          <w:p w:rsidR="003B3A5C" w:rsidRPr="007B56E0" w:rsidRDefault="003B3A5C" w:rsidP="006B2DC0">
            <w:pPr>
              <w:pStyle w:val="Tabletext"/>
              <w:rPr>
                <w:rFonts w:eastAsia="Calibri" w:cs="Arial"/>
              </w:rPr>
            </w:pPr>
            <w:r w:rsidRPr="007B56E0">
              <w:rPr>
                <w:rFonts w:eastAsia="Calibri" w:cs="Arial"/>
              </w:rPr>
              <w:t>Not used</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Utility/disutility values</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Pre-progression on-treatment: 0.80</w:t>
            </w:r>
          </w:p>
          <w:p w:rsidR="003B3A5C" w:rsidRPr="009F0BEB" w:rsidRDefault="003B3A5C" w:rsidP="006B2DC0">
            <w:pPr>
              <w:pStyle w:val="Tabletext"/>
              <w:rPr>
                <w:rFonts w:eastAsia="Calibri" w:cs="Arial"/>
              </w:rPr>
            </w:pPr>
            <w:r w:rsidRPr="009F0BEB">
              <w:rPr>
                <w:rFonts w:eastAsia="Calibri" w:cs="Arial"/>
              </w:rPr>
              <w:t>Pre-progression off-treatment: 0.80</w:t>
            </w:r>
          </w:p>
          <w:p w:rsidR="003B3A5C" w:rsidRPr="009F0BEB" w:rsidRDefault="003B3A5C" w:rsidP="006B2DC0">
            <w:pPr>
              <w:pStyle w:val="Tabletext"/>
              <w:rPr>
                <w:rFonts w:eastAsia="Calibri" w:cs="Arial"/>
              </w:rPr>
            </w:pPr>
            <w:r w:rsidRPr="009F0BEB">
              <w:rPr>
                <w:rFonts w:eastAsia="Calibri" w:cs="Arial"/>
              </w:rPr>
              <w:t>Post-progression: 0.75</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u w:val="single"/>
              </w:rPr>
            </w:pPr>
            <w:r w:rsidRPr="009F0BEB">
              <w:rPr>
                <w:rFonts w:eastAsia="Calibri" w:cs="Arial"/>
                <w:u w:val="single"/>
              </w:rPr>
              <w:t>Pre-progression total adverse events disutility</w:t>
            </w:r>
          </w:p>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-0.0172</w:t>
            </w:r>
          </w:p>
          <w:p w:rsidR="003B3A5C" w:rsidRPr="009F0BEB"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-0.0064</w:t>
            </w:r>
          </w:p>
          <w:p w:rsidR="003B3A5C" w:rsidRPr="009F0BEB" w:rsidRDefault="003B3A5C" w:rsidP="006B2DC0">
            <w:pPr>
              <w:pStyle w:val="Tabletext"/>
              <w:rPr>
                <w:rFonts w:eastAsia="Calibri" w:cs="Arial"/>
              </w:rPr>
            </w:pPr>
            <w:r w:rsidRPr="009F0BEB">
              <w:rPr>
                <w:rFonts w:eastAsia="Calibri" w:cs="Arial"/>
              </w:rPr>
              <w:t>mFOLFOX6: -0.0097</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u w:val="single"/>
              </w:rPr>
            </w:pPr>
            <w:r w:rsidRPr="009F0BEB">
              <w:rPr>
                <w:rFonts w:eastAsia="Calibri" w:cs="Arial"/>
                <w:u w:val="single"/>
              </w:rPr>
              <w:t>Post-progression total adverse events disutility</w:t>
            </w:r>
          </w:p>
          <w:p w:rsidR="003B3A5C" w:rsidRPr="009F0BEB" w:rsidRDefault="003B3A5C" w:rsidP="006B2DC0">
            <w:pPr>
              <w:pStyle w:val="Tabletext"/>
              <w:rPr>
                <w:rFonts w:eastAsia="Calibri" w:cs="Arial"/>
              </w:rPr>
            </w:pPr>
            <w:proofErr w:type="spellStart"/>
            <w:r w:rsidRPr="009F0BEB">
              <w:rPr>
                <w:rFonts w:eastAsia="Calibri" w:cs="Arial"/>
              </w:rPr>
              <w:t>Nal</w:t>
            </w:r>
            <w:proofErr w:type="spellEnd"/>
            <w:r w:rsidRPr="009F0BEB">
              <w:rPr>
                <w:rFonts w:eastAsia="Calibri" w:cs="Arial"/>
              </w:rPr>
              <w:t>-IRI: -0.0521</w:t>
            </w:r>
          </w:p>
          <w:p w:rsidR="003B3A5C" w:rsidRPr="009F0BEB" w:rsidRDefault="003B3A5C" w:rsidP="006B2DC0">
            <w:pPr>
              <w:pStyle w:val="Tabletext"/>
              <w:rPr>
                <w:rFonts w:eastAsia="Calibri" w:cs="Arial"/>
              </w:rPr>
            </w:pPr>
            <w:r w:rsidRPr="009F0BEB">
              <w:rPr>
                <w:rFonts w:eastAsia="Calibri" w:cs="Arial"/>
              </w:rPr>
              <w:t>5-FU/</w:t>
            </w:r>
            <w:proofErr w:type="spellStart"/>
            <w:r w:rsidRPr="009F0BEB">
              <w:rPr>
                <w:rFonts w:eastAsia="Calibri" w:cs="Arial"/>
              </w:rPr>
              <w:t>folinic</w:t>
            </w:r>
            <w:proofErr w:type="spellEnd"/>
            <w:r w:rsidRPr="009F0BEB">
              <w:rPr>
                <w:rFonts w:eastAsia="Calibri" w:cs="Arial"/>
              </w:rPr>
              <w:t xml:space="preserve"> acid: -0.0210</w:t>
            </w:r>
          </w:p>
          <w:p w:rsidR="003B3A5C" w:rsidRPr="009F0BEB" w:rsidRDefault="003B3A5C" w:rsidP="006B2DC0">
            <w:pPr>
              <w:pStyle w:val="Tabletext"/>
              <w:rPr>
                <w:rFonts w:eastAsia="Calibri" w:cs="Arial"/>
              </w:rPr>
            </w:pPr>
            <w:r w:rsidRPr="009F0BEB">
              <w:rPr>
                <w:rFonts w:eastAsia="Calibri" w:cs="Arial"/>
              </w:rPr>
              <w:t>mFOLFOX6: -0.0254</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rPr>
            </w:pPr>
            <w:r w:rsidRPr="009F0BEB">
              <w:rPr>
                <w:rFonts w:eastAsia="Calibri" w:cs="Arial"/>
              </w:rPr>
              <w:t xml:space="preserve">Adverse event </w:t>
            </w:r>
            <w:proofErr w:type="spellStart"/>
            <w:r w:rsidRPr="009F0BEB">
              <w:rPr>
                <w:rFonts w:eastAsia="Calibri" w:cs="Arial"/>
              </w:rPr>
              <w:t>disutilities</w:t>
            </w:r>
            <w:proofErr w:type="spellEnd"/>
            <w:r w:rsidRPr="009F0BEB">
              <w:rPr>
                <w:rFonts w:eastAsia="Calibri" w:cs="Arial"/>
              </w:rPr>
              <w:t xml:space="preserve"> adjusted by trial-based adverse event durations and exposure data (NAPOLI-1)</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r w:rsidRPr="009F0BEB">
              <w:rPr>
                <w:rFonts w:eastAsia="Calibri" w:cs="Arial"/>
              </w:rPr>
              <w:t xml:space="preserve">[7.8] The utility estimates for pre-progression and </w:t>
            </w:r>
            <w:r w:rsidRPr="009F0BEB">
              <w:rPr>
                <w:rFonts w:eastAsia="Calibri" w:cs="Arial"/>
              </w:rPr>
              <w:lastRenderedPageBreak/>
              <w:t>post-progression were similar to those of the general population of the same age, and therefore were inappropriately high for patients with metastatic pancreatic cancer. In addition, the submission base case did not include utility decrements for treatment-related adverse events.</w:t>
            </w:r>
          </w:p>
        </w:tc>
        <w:tc>
          <w:tcPr>
            <w:tcW w:w="2063" w:type="pct"/>
            <w:shd w:val="clear" w:color="auto" w:fill="auto"/>
            <w:vAlign w:val="center"/>
          </w:tcPr>
          <w:p w:rsidR="003B3A5C" w:rsidRPr="009F0BEB" w:rsidRDefault="005078EB" w:rsidP="006B2DC0">
            <w:pPr>
              <w:pStyle w:val="Tabletext"/>
              <w:rPr>
                <w:rFonts w:eastAsia="Calibri" w:cs="Arial"/>
              </w:rPr>
            </w:pPr>
            <w:r w:rsidRPr="009F0BEB">
              <w:lastRenderedPageBreak/>
              <w:t>The economic model presented in the resubmission was based on survival data only and did not include utility estimates.</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lastRenderedPageBreak/>
              <w:t>Economic results</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 xml:space="preserve">Treatment with </w:t>
            </w:r>
            <w:proofErr w:type="spellStart"/>
            <w:r w:rsidRPr="009F0BEB">
              <w:rPr>
                <w:rFonts w:eastAsia="Calibri" w:cs="Arial"/>
              </w:rPr>
              <w:t>nal</w:t>
            </w:r>
            <w:proofErr w:type="spellEnd"/>
            <w:r w:rsidRPr="009F0BEB">
              <w:rPr>
                <w:rFonts w:eastAsia="Calibri" w:cs="Arial"/>
              </w:rPr>
              <w:t>-IRI was associated with costs per QALY gained of $</w:t>
            </w:r>
            <w:r w:rsidR="00EE2E05">
              <w:rPr>
                <w:rFonts w:eastAsia="Calibri" w:cs="Arial"/>
                <w:noProof/>
                <w:color w:val="000000"/>
                <w:highlight w:val="black"/>
              </w:rPr>
              <w:t>'''''''''''''''''''</w:t>
            </w:r>
            <w:r w:rsidRPr="009F0BEB">
              <w:rPr>
                <w:rFonts w:eastAsia="Calibri" w:cs="Arial"/>
              </w:rPr>
              <w:t xml:space="preserve"> compared with 5-FU/</w:t>
            </w:r>
            <w:proofErr w:type="spellStart"/>
            <w:r w:rsidRPr="009F0BEB">
              <w:rPr>
                <w:rFonts w:eastAsia="Calibri" w:cs="Arial"/>
              </w:rPr>
              <w:t>folinic</w:t>
            </w:r>
            <w:proofErr w:type="spellEnd"/>
            <w:r w:rsidRPr="009F0BEB">
              <w:rPr>
                <w:rFonts w:eastAsia="Calibri" w:cs="Arial"/>
              </w:rPr>
              <w:t xml:space="preserve"> acid and $</w:t>
            </w:r>
            <w:r w:rsidR="00EE2E05">
              <w:rPr>
                <w:rFonts w:eastAsia="Calibri" w:cs="Arial"/>
                <w:noProof/>
                <w:color w:val="000000"/>
                <w:highlight w:val="black"/>
              </w:rPr>
              <w:t>''''''''''''''''''</w:t>
            </w:r>
            <w:r w:rsidRPr="009F0BEB">
              <w:rPr>
                <w:rFonts w:eastAsia="Calibri" w:cs="Arial"/>
              </w:rPr>
              <w:t xml:space="preserve"> compared with mFOLFOX6 in patients with metastatic pancreatic adenocarcinoma who have failed gemcitabine-based therapy.</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rPr>
            </w:pPr>
            <w:r w:rsidRPr="009F0BEB">
              <w:rPr>
                <w:rFonts w:eastAsia="Calibri" w:cs="Arial"/>
              </w:rPr>
              <w:t xml:space="preserve">Treatment with </w:t>
            </w:r>
            <w:proofErr w:type="spellStart"/>
            <w:r w:rsidRPr="009F0BEB">
              <w:rPr>
                <w:rFonts w:eastAsia="Calibri" w:cs="Arial"/>
              </w:rPr>
              <w:t>nal</w:t>
            </w:r>
            <w:proofErr w:type="spellEnd"/>
            <w:r w:rsidRPr="009F0BEB">
              <w:rPr>
                <w:rFonts w:eastAsia="Calibri" w:cs="Arial"/>
              </w:rPr>
              <w:t>-IRI was associated with costs per LY gained of $</w:t>
            </w:r>
            <w:r w:rsidR="00EE2E05">
              <w:rPr>
                <w:rFonts w:eastAsia="Calibri" w:cs="Arial"/>
                <w:noProof/>
                <w:color w:val="000000"/>
                <w:highlight w:val="black"/>
              </w:rPr>
              <w:t>''''''''''''''''''</w:t>
            </w:r>
            <w:r w:rsidRPr="009F0BEB">
              <w:rPr>
                <w:rFonts w:eastAsia="Calibri" w:cs="Arial"/>
              </w:rPr>
              <w:t xml:space="preserve"> compared with 5-FU/</w:t>
            </w:r>
            <w:proofErr w:type="spellStart"/>
            <w:r w:rsidRPr="009F0BEB">
              <w:rPr>
                <w:rFonts w:eastAsia="Calibri" w:cs="Arial"/>
              </w:rPr>
              <w:t>folinic</w:t>
            </w:r>
            <w:proofErr w:type="spellEnd"/>
            <w:r w:rsidRPr="009F0BEB">
              <w:rPr>
                <w:rFonts w:eastAsia="Calibri" w:cs="Arial"/>
              </w:rPr>
              <w:t xml:space="preserve"> acid and $</w:t>
            </w:r>
            <w:r w:rsidR="00EE2E05">
              <w:rPr>
                <w:rFonts w:eastAsia="Calibri" w:cs="Arial"/>
                <w:noProof/>
                <w:color w:val="000000"/>
                <w:highlight w:val="black"/>
              </w:rPr>
              <w:t>'''''''''''''''''</w:t>
            </w:r>
            <w:r w:rsidRPr="009F0BEB">
              <w:rPr>
                <w:rFonts w:eastAsia="Calibri" w:cs="Arial"/>
              </w:rPr>
              <w:t xml:space="preserve"> compared with mFOLFOX6 in patients with metastatic pancreatic adenocarcinoma who have failed gemcitabine-based therapy.</w:t>
            </w:r>
          </w:p>
          <w:p w:rsidR="003B3A5C" w:rsidRPr="009F0BEB" w:rsidRDefault="003B3A5C" w:rsidP="006B2DC0">
            <w:pPr>
              <w:pStyle w:val="Tabletext"/>
              <w:rPr>
                <w:rFonts w:eastAsia="Calibri" w:cs="Arial"/>
              </w:rPr>
            </w:pPr>
          </w:p>
          <w:p w:rsidR="005078EB" w:rsidRPr="009F0BEB" w:rsidRDefault="005078EB" w:rsidP="006B2DC0">
            <w:pPr>
              <w:pStyle w:val="TableText0"/>
              <w:keepNext w:val="0"/>
              <w:spacing w:before="0" w:after="0"/>
            </w:pPr>
            <w:r w:rsidRPr="009F0BEB">
              <w:t>[7.9] The PBAC noted that the base case ICER in the submission and the alternative ICERs in the pre-PBAC response were over $</w:t>
            </w:r>
            <w:r w:rsidR="00EE2E05">
              <w:rPr>
                <w:noProof/>
                <w:color w:val="000000"/>
                <w:highlight w:val="black"/>
              </w:rPr>
              <w:t>'''''''''''''''''''</w:t>
            </w:r>
            <w:r w:rsidRPr="009F0BEB">
              <w:t xml:space="preserve"> per QALY gained. Accordingly, the PBAC considered that irinotecan (</w:t>
            </w:r>
            <w:proofErr w:type="spellStart"/>
            <w:r w:rsidRPr="009F0BEB">
              <w:t>nanoliposomal</w:t>
            </w:r>
            <w:proofErr w:type="spellEnd"/>
            <w:r w:rsidRPr="009F0BEB">
              <w:t>) was not sufficiently cost-effective to justify a recommendation for listing on the PBS, at the requested price.</w:t>
            </w:r>
          </w:p>
          <w:p w:rsidR="005078EB" w:rsidRPr="009F0BEB" w:rsidRDefault="005078EB" w:rsidP="006B2DC0">
            <w:pPr>
              <w:pStyle w:val="TableText0"/>
              <w:keepNext w:val="0"/>
              <w:spacing w:before="0" w:after="0"/>
            </w:pPr>
          </w:p>
          <w:p w:rsidR="005078EB" w:rsidRPr="009F0BEB" w:rsidRDefault="005078EB" w:rsidP="006B2DC0">
            <w:pPr>
              <w:pStyle w:val="Tabletext"/>
              <w:rPr>
                <w:rFonts w:eastAsia="Calibri" w:cs="Arial"/>
              </w:rPr>
            </w:pPr>
            <w:r w:rsidRPr="009F0BEB">
              <w:t xml:space="preserve">[7.10] The PBAC considered that a significant reduction in the requested price would be required to provide greater confidence in the cost-effectiveness of </w:t>
            </w:r>
            <w:proofErr w:type="spellStart"/>
            <w:r w:rsidRPr="009F0BEB">
              <w:t>nal</w:t>
            </w:r>
            <w:proofErr w:type="spellEnd"/>
            <w:r w:rsidRPr="009F0BEB">
              <w:t xml:space="preserve">-IRI, particularly in the context of the modest and uncertain incremental benefit compared with </w:t>
            </w:r>
            <w:proofErr w:type="spellStart"/>
            <w:r w:rsidRPr="009F0BEB">
              <w:t>oxaliplatin</w:t>
            </w:r>
            <w:proofErr w:type="spellEnd"/>
            <w:r w:rsidRPr="009F0BEB">
              <w:t>-containing regimens. In this regard, the PBAC considered that the revised base case ICER should not exceed $</w:t>
            </w:r>
            <w:r w:rsidR="00EE2E05">
              <w:rPr>
                <w:noProof/>
                <w:color w:val="000000"/>
                <w:highlight w:val="black"/>
              </w:rPr>
              <w:t>'''''''''''''''</w:t>
            </w:r>
            <w:r w:rsidRPr="009F0BEB">
              <w:t xml:space="preserve"> per QALY gained.</w:t>
            </w:r>
          </w:p>
        </w:tc>
        <w:tc>
          <w:tcPr>
            <w:tcW w:w="2063" w:type="pct"/>
            <w:shd w:val="clear" w:color="auto" w:fill="auto"/>
            <w:vAlign w:val="center"/>
          </w:tcPr>
          <w:p w:rsidR="005078EB" w:rsidRPr="009F0BEB" w:rsidRDefault="005078EB" w:rsidP="006B2DC0">
            <w:pPr>
              <w:pStyle w:val="TableText0"/>
              <w:keepNext w:val="0"/>
              <w:spacing w:before="0" w:after="0"/>
            </w:pPr>
            <w:r w:rsidRPr="009F0BEB">
              <w:t>The price of irinotecan (</w:t>
            </w:r>
            <w:proofErr w:type="spellStart"/>
            <w:r w:rsidRPr="009F0BEB">
              <w:t>nanoliposomal</w:t>
            </w:r>
            <w:proofErr w:type="spellEnd"/>
            <w:r w:rsidRPr="009F0BEB">
              <w:t>) remained unchanged in the resubmission.</w:t>
            </w:r>
          </w:p>
          <w:p w:rsidR="005078EB" w:rsidRPr="009F0BEB" w:rsidRDefault="005078EB" w:rsidP="006B2DC0">
            <w:pPr>
              <w:pStyle w:val="Tabletext"/>
              <w:rPr>
                <w:rFonts w:eastAsia="Calibri" w:cs="Arial"/>
              </w:rPr>
            </w:pPr>
          </w:p>
          <w:p w:rsidR="005078EB" w:rsidRPr="009F0BEB" w:rsidRDefault="005078EB" w:rsidP="006B2DC0">
            <w:pPr>
              <w:pStyle w:val="Tabletext"/>
              <w:rPr>
                <w:rFonts w:eastAsia="Calibri" w:cs="Arial"/>
              </w:rPr>
            </w:pPr>
          </w:p>
          <w:p w:rsidR="003B3A5C" w:rsidRPr="009F0BEB" w:rsidRDefault="003B3A5C" w:rsidP="006B2DC0">
            <w:pPr>
              <w:pStyle w:val="Tabletext"/>
              <w:rPr>
                <w:rFonts w:eastAsia="Calibri" w:cs="Arial"/>
              </w:rPr>
            </w:pPr>
            <w:r w:rsidRPr="009F0BEB">
              <w:rPr>
                <w:rFonts w:eastAsia="Calibri" w:cs="Arial"/>
              </w:rPr>
              <w:t xml:space="preserve">Treatment with </w:t>
            </w:r>
            <w:proofErr w:type="spellStart"/>
            <w:r w:rsidRPr="009F0BEB">
              <w:rPr>
                <w:rFonts w:eastAsia="Calibri" w:cs="Arial"/>
              </w:rPr>
              <w:t>nal</w:t>
            </w:r>
            <w:proofErr w:type="spellEnd"/>
            <w:r w:rsidRPr="009F0BEB">
              <w:rPr>
                <w:rFonts w:eastAsia="Calibri" w:cs="Arial"/>
              </w:rPr>
              <w:t>-IRI was associated with costs per LY gained of $</w:t>
            </w:r>
            <w:r w:rsidR="00EE2E05">
              <w:rPr>
                <w:rFonts w:eastAsia="Calibri" w:cs="Arial"/>
                <w:noProof/>
                <w:color w:val="000000"/>
                <w:highlight w:val="black"/>
              </w:rPr>
              <w:t>'''''''''''''''''</w:t>
            </w:r>
            <w:r w:rsidRPr="009F0BEB">
              <w:rPr>
                <w:rFonts w:eastAsia="Calibri" w:cs="Arial"/>
              </w:rPr>
              <w:t xml:space="preserve"> compared with mFOLFOX6 in the </w:t>
            </w:r>
            <w:r w:rsidRPr="009F0BEB">
              <w:rPr>
                <w:rFonts w:eastAsia="Calibri" w:cs="Arial"/>
                <w:u w:val="single"/>
              </w:rPr>
              <w:t>irinotecan naïve subgroup</w:t>
            </w:r>
            <w:r w:rsidRPr="009F0BEB">
              <w:rPr>
                <w:rFonts w:eastAsia="Calibri" w:cs="Arial"/>
              </w:rPr>
              <w:t xml:space="preserve"> of patients with metastatic pancreatic adenocarcinoma who have failed gemcitabine-based therapy.</w:t>
            </w:r>
          </w:p>
          <w:p w:rsidR="003B3A5C" w:rsidRPr="009F0BEB" w:rsidRDefault="003B3A5C" w:rsidP="006B2DC0">
            <w:pPr>
              <w:pStyle w:val="Tabletext"/>
              <w:rPr>
                <w:rFonts w:eastAsia="Calibri" w:cs="Arial"/>
              </w:rPr>
            </w:pPr>
          </w:p>
          <w:p w:rsidR="003B3A5C" w:rsidRPr="009F0BEB" w:rsidRDefault="003B3A5C" w:rsidP="006B2DC0">
            <w:pPr>
              <w:pStyle w:val="Tabletext"/>
              <w:rPr>
                <w:rFonts w:eastAsia="Calibri" w:cs="Arial"/>
              </w:rPr>
            </w:pPr>
            <w:r w:rsidRPr="009F0BEB">
              <w:rPr>
                <w:rFonts w:eastAsia="Calibri" w:cs="Arial"/>
              </w:rPr>
              <w:t xml:space="preserve">Treatment with </w:t>
            </w:r>
            <w:proofErr w:type="spellStart"/>
            <w:r w:rsidRPr="009F0BEB">
              <w:rPr>
                <w:rFonts w:eastAsia="Calibri" w:cs="Arial"/>
              </w:rPr>
              <w:t>nal</w:t>
            </w:r>
            <w:proofErr w:type="spellEnd"/>
            <w:r w:rsidRPr="009F0BEB">
              <w:rPr>
                <w:rFonts w:eastAsia="Calibri" w:cs="Arial"/>
              </w:rPr>
              <w:t>-IRI was associated with costs per LY gained of $</w:t>
            </w:r>
            <w:r w:rsidR="00EE2E05">
              <w:rPr>
                <w:rFonts w:eastAsia="Calibri" w:cs="Arial"/>
                <w:noProof/>
                <w:color w:val="000000"/>
                <w:highlight w:val="black"/>
              </w:rPr>
              <w:t>''''''''''''''''</w:t>
            </w:r>
            <w:r w:rsidRPr="009F0BEB">
              <w:rPr>
                <w:rFonts w:eastAsia="Calibri" w:cs="Arial"/>
              </w:rPr>
              <w:t xml:space="preserve"> compared with mFOLFOX6 in patients with metastatic pancreatic adenocarcinoma who have failed gemcitabine-based therapy.</w:t>
            </w:r>
          </w:p>
          <w:p w:rsidR="003B3A5C" w:rsidRPr="009F0BEB" w:rsidRDefault="003B3A5C" w:rsidP="006B2DC0">
            <w:pPr>
              <w:pStyle w:val="Tabletext"/>
              <w:rPr>
                <w:rFonts w:eastAsia="Calibri" w:cs="Arial"/>
              </w:rPr>
            </w:pP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Eligible patient population</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 xml:space="preserve">Revised estimates in PSCR: Metastatic pancreatic adenocarcinoma patients who failed gemcitabine-based therapy: </w:t>
            </w:r>
            <w:r w:rsidR="00EE2E05">
              <w:rPr>
                <w:rFonts w:eastAsia="Calibri" w:cs="Arial"/>
                <w:noProof/>
                <w:color w:val="000000"/>
                <w:highlight w:val="black"/>
              </w:rPr>
              <w:t>'''''''''</w:t>
            </w:r>
            <w:r w:rsidRPr="009F0BEB">
              <w:rPr>
                <w:rFonts w:eastAsia="Calibri" w:cs="Arial"/>
              </w:rPr>
              <w:t xml:space="preserve"> (Year 1) to </w:t>
            </w:r>
            <w:r w:rsidR="00EE2E05">
              <w:rPr>
                <w:rFonts w:eastAsia="Calibri" w:cs="Arial"/>
                <w:noProof/>
                <w:color w:val="000000"/>
                <w:highlight w:val="black"/>
              </w:rPr>
              <w:t>''''''''</w:t>
            </w:r>
            <w:r w:rsidRPr="009F0BEB">
              <w:rPr>
                <w:rFonts w:eastAsia="Calibri" w:cs="Arial"/>
              </w:rPr>
              <w:t xml:space="preserve"> (Year 5)</w:t>
            </w:r>
            <w:r w:rsidR="00144810">
              <w:rPr>
                <w:rFonts w:eastAsia="Calibri" w:cs="Arial"/>
              </w:rPr>
              <w:t xml:space="preserve"> </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 xml:space="preserve">Metastatic pancreatic adenocarcinoma patients who failed gemcitabine-based therapy, no prior irinotecan, ECOG 0-2: </w:t>
            </w:r>
            <w:r w:rsidR="00EE2E05">
              <w:rPr>
                <w:rFonts w:eastAsia="Calibri" w:cs="Arial"/>
                <w:noProof/>
                <w:color w:val="000000"/>
                <w:highlight w:val="black"/>
              </w:rPr>
              <w:t>'''''''''</w:t>
            </w:r>
            <w:r w:rsidRPr="009F0BEB">
              <w:rPr>
                <w:rFonts w:eastAsia="Calibri" w:cs="Arial"/>
              </w:rPr>
              <w:t xml:space="preserve"> (Year 1) to </w:t>
            </w:r>
            <w:r w:rsidR="00EE2E05">
              <w:rPr>
                <w:rFonts w:eastAsia="Calibri" w:cs="Arial"/>
                <w:noProof/>
                <w:color w:val="000000"/>
                <w:highlight w:val="black"/>
              </w:rPr>
              <w:t>'''''''''''''</w:t>
            </w:r>
            <w:r w:rsidRPr="009F0BEB">
              <w:rPr>
                <w:rFonts w:eastAsia="Calibri" w:cs="Arial"/>
              </w:rPr>
              <w:t xml:space="preserve"> (Year 6)</w:t>
            </w:r>
          </w:p>
        </w:tc>
      </w:tr>
      <w:tr w:rsidR="003B3A5C" w:rsidRPr="009F0BEB" w:rsidTr="00E3664C">
        <w:tc>
          <w:tcPr>
            <w:tcW w:w="874"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Net cost to PBS</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Revised estimates in PSCR: Metastatic pancreatic adenocarcinoma patients who have failed gemcitabine-based therapy: $</w:t>
            </w:r>
            <w:r w:rsidR="00EE2E05">
              <w:rPr>
                <w:rFonts w:eastAsia="Calibri" w:cs="Arial"/>
                <w:noProof/>
                <w:color w:val="000000"/>
                <w:highlight w:val="black"/>
              </w:rPr>
              <w:t>'''''''' ''''''''''''''</w:t>
            </w:r>
            <w:r w:rsidRPr="009F0BEB">
              <w:rPr>
                <w:rFonts w:eastAsia="Calibri" w:cs="Arial"/>
              </w:rPr>
              <w:t xml:space="preserve"> (Year 1) to $</w:t>
            </w:r>
            <w:r w:rsidR="00EE2E05">
              <w:rPr>
                <w:rFonts w:eastAsia="Calibri" w:cs="Arial"/>
                <w:noProof/>
                <w:color w:val="000000"/>
                <w:highlight w:val="black"/>
              </w:rPr>
              <w:t>'''''''''' ''''''''''''''</w:t>
            </w:r>
            <w:r w:rsidRPr="009F0BEB">
              <w:rPr>
                <w:rFonts w:eastAsia="Calibri" w:cs="Arial"/>
              </w:rPr>
              <w:t xml:space="preserve"> (Year 5)</w:t>
            </w:r>
          </w:p>
        </w:tc>
        <w:tc>
          <w:tcPr>
            <w:tcW w:w="2063" w:type="pct"/>
            <w:shd w:val="clear" w:color="auto" w:fill="auto"/>
            <w:vAlign w:val="center"/>
          </w:tcPr>
          <w:p w:rsidR="003B3A5C" w:rsidRPr="009F0BEB" w:rsidRDefault="003B3A5C" w:rsidP="006B2DC0">
            <w:pPr>
              <w:pStyle w:val="Tabletext"/>
              <w:rPr>
                <w:rFonts w:eastAsia="Calibri" w:cs="Arial"/>
              </w:rPr>
            </w:pPr>
            <w:r w:rsidRPr="009F0BEB">
              <w:rPr>
                <w:rFonts w:eastAsia="Calibri" w:cs="Arial"/>
              </w:rPr>
              <w:t>Metastatic pancreatic adenocarcinoma patients who have failed gemcitabine-based therapy, no prior irinotecan, ECOG 0-2: $</w:t>
            </w:r>
            <w:r w:rsidR="00EE2E05">
              <w:rPr>
                <w:rFonts w:eastAsia="Calibri" w:cs="Arial"/>
                <w:noProof/>
                <w:color w:val="000000"/>
                <w:highlight w:val="black"/>
              </w:rPr>
              <w:t>''''''' '''''''''''''''</w:t>
            </w:r>
            <w:r w:rsidRPr="009F0BEB">
              <w:rPr>
                <w:rFonts w:eastAsia="Calibri" w:cs="Arial"/>
              </w:rPr>
              <w:t xml:space="preserve"> (Year 1) to $</w:t>
            </w:r>
            <w:r w:rsidR="00EE2E05">
              <w:rPr>
                <w:rFonts w:eastAsia="Calibri" w:cs="Arial"/>
                <w:noProof/>
                <w:color w:val="000000"/>
                <w:highlight w:val="black"/>
              </w:rPr>
              <w:t>'''''''''''' '''''''''''''''</w:t>
            </w:r>
            <w:r w:rsidRPr="009F0BEB">
              <w:rPr>
                <w:rFonts w:eastAsia="Calibri" w:cs="Arial"/>
              </w:rPr>
              <w:t xml:space="preserve"> (Year 6)</w:t>
            </w:r>
          </w:p>
        </w:tc>
      </w:tr>
    </w:tbl>
    <w:p w:rsidR="005078EB" w:rsidRPr="009F0BEB" w:rsidRDefault="00711614" w:rsidP="006B2DC0">
      <w:pPr>
        <w:pStyle w:val="TableFooter"/>
        <w:widowControl/>
      </w:pPr>
      <w:r w:rsidRPr="009F0BEB">
        <w:t xml:space="preserve">Source: </w:t>
      </w:r>
      <w:r w:rsidR="005078EB" w:rsidRPr="009F0BEB">
        <w:t>compiled during the evaluation, p 1-5 of the resubmission overview</w:t>
      </w:r>
    </w:p>
    <w:p w:rsidR="005078EB" w:rsidRPr="009F0BEB" w:rsidRDefault="005078EB" w:rsidP="006B2DC0">
      <w:pPr>
        <w:pStyle w:val="TableFooter"/>
        <w:widowControl/>
        <w:rPr>
          <w:rStyle w:val="CommentReference"/>
        </w:rPr>
      </w:pPr>
      <w:r w:rsidRPr="009F0BEB">
        <w:t>Abbreviations: DPMA, dispensed price maximum amount; ECOG, Eastern Cooperative Oncology Group performance score; ITT, intent to treat; LY, life year; OS, overall survival; PFS, progression-free survival; QALY, quality-adjusted life year</w:t>
      </w:r>
    </w:p>
    <w:p w:rsidR="00B60939" w:rsidRPr="009F0BEB" w:rsidRDefault="00B60939" w:rsidP="006B2DC0">
      <w:pPr>
        <w:widowControl/>
      </w:pPr>
    </w:p>
    <w:p w:rsidR="00BD5A59" w:rsidRPr="009F0BEB" w:rsidRDefault="00BD5A59" w:rsidP="006B2DC0">
      <w:pPr>
        <w:pStyle w:val="ListParagraph"/>
        <w:widowControl/>
        <w:numPr>
          <w:ilvl w:val="1"/>
          <w:numId w:val="3"/>
        </w:numPr>
      </w:pPr>
      <w:r w:rsidRPr="009F0BEB">
        <w:t xml:space="preserve">The most common and aggressive type of pancreatic cancer is adenocarcinoma originating in the pancreatic duct. Pancreatic adenocarcinoma is asymptomatic in early stages and usually diagnosed at the locally advanced or metastatic stages. There are significant co-morbidities (e.g. pain, jaundice, weight loss) and mortality </w:t>
      </w:r>
      <w:r w:rsidRPr="009F0BEB">
        <w:lastRenderedPageBreak/>
        <w:t>associated with the disease. Prognosis is poor</w:t>
      </w:r>
      <w:r w:rsidR="009942D3" w:rsidRPr="009F0BEB">
        <w:t>,</w:t>
      </w:r>
      <w:r w:rsidRPr="009F0BEB">
        <w:t xml:space="preserve"> with low 5-year survival rates. Based on Australian data provided in the resubmission, patients with pancreatic adenocarcinoma are typically older and at least half are diagnosed with metastatic disease.</w:t>
      </w:r>
    </w:p>
    <w:p w:rsidR="00BD5A59" w:rsidRPr="009F0BEB" w:rsidRDefault="00BD5A59" w:rsidP="006B2DC0">
      <w:pPr>
        <w:pStyle w:val="ListParagraph"/>
        <w:widowControl/>
        <w:numPr>
          <w:ilvl w:val="1"/>
          <w:numId w:val="3"/>
        </w:numPr>
      </w:pPr>
      <w:r w:rsidRPr="009F0BEB">
        <w:t>In metastatic disease, choice of systemic therapy is influenced by many factors including patient performance status. The resubmission claimed that the majority of patients with metastatic pancreatic cancer</w:t>
      </w:r>
      <w:r w:rsidR="00532275" w:rsidRPr="009F0BEB">
        <w:t xml:space="preserve"> are ambulatory (</w:t>
      </w:r>
      <w:r w:rsidRPr="009F0BEB">
        <w:t xml:space="preserve">have an ECOG </w:t>
      </w:r>
      <w:r w:rsidR="00532275" w:rsidRPr="009F0BEB">
        <w:t xml:space="preserve">performance status </w:t>
      </w:r>
      <w:r w:rsidRPr="009F0BEB">
        <w:t>score of 0 to 2).</w:t>
      </w:r>
      <w:r w:rsidR="00A867C7" w:rsidRPr="009F0BEB">
        <w:t xml:space="preserve"> </w:t>
      </w:r>
      <w:r w:rsidR="00532275" w:rsidRPr="009F0BEB">
        <w:t xml:space="preserve">Published guidelines recommend that </w:t>
      </w:r>
      <w:proofErr w:type="spellStart"/>
      <w:r w:rsidR="00532275" w:rsidRPr="009F0BEB">
        <w:t>nal</w:t>
      </w:r>
      <w:proofErr w:type="spellEnd"/>
      <w:r w:rsidR="00532275" w:rsidRPr="009F0BEB">
        <w:t>-IRI should be limited to patients with good performance status (ECOG 0-1).</w:t>
      </w:r>
    </w:p>
    <w:p w:rsidR="00D578C4" w:rsidRPr="009F0BEB" w:rsidRDefault="00D578C4" w:rsidP="006B2DC0">
      <w:pPr>
        <w:pStyle w:val="ListParagraph"/>
        <w:widowControl/>
        <w:numPr>
          <w:ilvl w:val="1"/>
          <w:numId w:val="3"/>
        </w:numPr>
      </w:pPr>
      <w:r w:rsidRPr="009F0BEB">
        <w:t xml:space="preserve">The resubmission positioned </w:t>
      </w:r>
      <w:proofErr w:type="spellStart"/>
      <w:r w:rsidR="00B6003E" w:rsidRPr="009F0BEB">
        <w:t>nal</w:t>
      </w:r>
      <w:proofErr w:type="spellEnd"/>
      <w:r w:rsidR="00B6003E" w:rsidRPr="009F0BEB">
        <w:t>-IRI</w:t>
      </w:r>
      <w:r w:rsidRPr="009F0BEB">
        <w:t xml:space="preserve"> as an alternative to a range of therapies including mFOLFOX6 (</w:t>
      </w:r>
      <w:proofErr w:type="spellStart"/>
      <w:r w:rsidRPr="009F0BEB">
        <w:t>oxaliplatin</w:t>
      </w:r>
      <w:proofErr w:type="spellEnd"/>
      <w:r w:rsidRPr="009F0BEB">
        <w:t xml:space="preserve"> plus 5-FU/</w:t>
      </w:r>
      <w:proofErr w:type="spellStart"/>
      <w:r w:rsidRPr="009F0BEB">
        <w:t>folinic</w:t>
      </w:r>
      <w:proofErr w:type="spellEnd"/>
      <w:r w:rsidRPr="009F0BEB">
        <w:t xml:space="preserve"> acid), </w:t>
      </w:r>
      <w:proofErr w:type="spellStart"/>
      <w:r w:rsidRPr="009F0BEB">
        <w:t>capecitabine</w:t>
      </w:r>
      <w:proofErr w:type="spellEnd"/>
      <w:r w:rsidRPr="009F0BEB">
        <w:t xml:space="preserve"> monotherapy, FOLFIRI (irinotecan plus 5-FU/</w:t>
      </w:r>
      <w:proofErr w:type="spellStart"/>
      <w:r w:rsidRPr="009F0BEB">
        <w:t>folinic</w:t>
      </w:r>
      <w:proofErr w:type="spellEnd"/>
      <w:r w:rsidRPr="009F0BEB">
        <w:t xml:space="preserve"> acid), gemcitabine monotherapy, FOLFIRINOX (irinotecan, </w:t>
      </w:r>
      <w:proofErr w:type="spellStart"/>
      <w:r w:rsidRPr="009F0BEB">
        <w:t>oxaliplatin</w:t>
      </w:r>
      <w:proofErr w:type="spellEnd"/>
      <w:r w:rsidRPr="009F0BEB">
        <w:t>, 5-FU/</w:t>
      </w:r>
      <w:proofErr w:type="spellStart"/>
      <w:r w:rsidRPr="009F0BEB">
        <w:t>folinic</w:t>
      </w:r>
      <w:proofErr w:type="spellEnd"/>
      <w:r w:rsidRPr="009F0BEB">
        <w:t xml:space="preserve"> acid) or XELOX (</w:t>
      </w:r>
      <w:proofErr w:type="spellStart"/>
      <w:r w:rsidRPr="009F0BEB">
        <w:t>oxaliplatin</w:t>
      </w:r>
      <w:proofErr w:type="spellEnd"/>
      <w:r w:rsidRPr="009F0BEB">
        <w:t xml:space="preserve"> plus </w:t>
      </w:r>
      <w:proofErr w:type="spellStart"/>
      <w:r w:rsidRPr="009F0BEB">
        <w:t>capecitabine</w:t>
      </w:r>
      <w:proofErr w:type="spellEnd"/>
      <w:r w:rsidRPr="009F0BEB">
        <w:t xml:space="preserve">) in patients </w:t>
      </w:r>
      <w:r w:rsidR="00B6003E" w:rsidRPr="009F0BEB">
        <w:t>who have failed</w:t>
      </w:r>
      <w:r w:rsidRPr="009F0BEB">
        <w:t xml:space="preserve"> gemcitabine-based therapy. </w:t>
      </w:r>
    </w:p>
    <w:p w:rsidR="00532275" w:rsidRPr="009F0BEB" w:rsidRDefault="00532275" w:rsidP="006B2DC0">
      <w:pPr>
        <w:pStyle w:val="ListParagraph"/>
        <w:widowControl/>
        <w:numPr>
          <w:ilvl w:val="1"/>
          <w:numId w:val="3"/>
        </w:numPr>
      </w:pPr>
      <w:r w:rsidRPr="009F0BEB">
        <w:t>The resubmission claimed that the majority of patients who would be eligible for irinotecan (</w:t>
      </w:r>
      <w:proofErr w:type="spellStart"/>
      <w:r w:rsidRPr="009F0BEB">
        <w:t>nanoliposomal</w:t>
      </w:r>
      <w:proofErr w:type="spellEnd"/>
      <w:r w:rsidRPr="009F0BEB">
        <w:t>) would not have pr</w:t>
      </w:r>
      <w:r w:rsidR="009942D3" w:rsidRPr="009F0BEB">
        <w:t>ior exposure to irinotecan (non</w:t>
      </w:r>
      <w:r w:rsidR="009942D3" w:rsidRPr="009F0BEB">
        <w:noBreakHyphen/>
      </w:r>
      <w:proofErr w:type="spellStart"/>
      <w:r w:rsidRPr="009F0BEB">
        <w:t>nanoliposomal</w:t>
      </w:r>
      <w:proofErr w:type="spellEnd"/>
      <w:r w:rsidRPr="009F0BEB">
        <w:t xml:space="preserve">). Additionally, the resubmission claimed these patients are likely to derive greater clinical benefit compared to irinotecan experienced patients. This claim was not adequately supported by the data presented in the resubmission (i.e. </w:t>
      </w:r>
      <w:r w:rsidR="007B56E0">
        <w:t xml:space="preserve">prior </w:t>
      </w:r>
      <w:r w:rsidRPr="009F0BEB">
        <w:t>irinotecan exposure may not be a treatment effect modifier</w:t>
      </w:r>
      <w:r w:rsidR="007B56E0">
        <w:t xml:space="preserve"> for </w:t>
      </w:r>
      <w:proofErr w:type="spellStart"/>
      <w:r w:rsidR="007B56E0">
        <w:t>nal</w:t>
      </w:r>
      <w:proofErr w:type="spellEnd"/>
      <w:r w:rsidR="007B56E0">
        <w:t>-IRI</w:t>
      </w:r>
      <w:r w:rsidRPr="009F0BEB">
        <w:t xml:space="preserve">). </w:t>
      </w:r>
    </w:p>
    <w:p w:rsidR="00B63F95" w:rsidRPr="009F0BEB" w:rsidRDefault="00B63F95" w:rsidP="006B2DC0">
      <w:pPr>
        <w:pStyle w:val="ListParagraph"/>
        <w:widowControl/>
        <w:numPr>
          <w:ilvl w:val="1"/>
          <w:numId w:val="3"/>
        </w:numPr>
      </w:pPr>
      <w:r w:rsidRPr="009F0BEB">
        <w:t xml:space="preserve">The target population for </w:t>
      </w:r>
      <w:proofErr w:type="spellStart"/>
      <w:r w:rsidR="00B6003E" w:rsidRPr="009F0BEB">
        <w:t>nal</w:t>
      </w:r>
      <w:proofErr w:type="spellEnd"/>
      <w:r w:rsidR="00B6003E" w:rsidRPr="009F0BEB">
        <w:t>-IRI</w:t>
      </w:r>
      <w:r w:rsidRPr="009F0BEB">
        <w:t xml:space="preserve"> </w:t>
      </w:r>
      <w:r w:rsidR="0043689A" w:rsidRPr="009F0BEB">
        <w:t xml:space="preserve">in the resubmission </w:t>
      </w:r>
      <w:r w:rsidR="00071330" w:rsidRPr="009F0BEB">
        <w:t>is</w:t>
      </w:r>
      <w:r w:rsidRPr="009F0BEB">
        <w:t xml:space="preserve"> </w:t>
      </w:r>
      <w:r w:rsidR="0043689A" w:rsidRPr="009F0BEB">
        <w:t xml:space="preserve">ambulatory </w:t>
      </w:r>
      <w:r w:rsidRPr="009F0BEB">
        <w:t>patients with metastatic pancreatic adenocarcinoma who have previously been treated with gemcitabine-based therapy</w:t>
      </w:r>
      <w:r w:rsidR="0043689A" w:rsidRPr="009F0BEB">
        <w:t xml:space="preserve"> and with</w:t>
      </w:r>
      <w:r w:rsidRPr="009F0BEB">
        <w:t xml:space="preserve"> no prior exposure to irinotecan.</w:t>
      </w:r>
      <w:r w:rsidR="00532275" w:rsidRPr="009F0BEB">
        <w:t xml:space="preserve"> </w:t>
      </w:r>
      <w:r w:rsidR="005B2F4D" w:rsidRPr="009F0BEB">
        <w:t>The November 2016 submission did not include</w:t>
      </w:r>
      <w:r w:rsidR="00FC39DE" w:rsidRPr="009F0BEB">
        <w:t xml:space="preserve"> </w:t>
      </w:r>
      <w:r w:rsidR="00532275" w:rsidRPr="009F0BEB">
        <w:t xml:space="preserve">restrictions based on </w:t>
      </w:r>
      <w:r w:rsidR="002D014B" w:rsidRPr="009F0BEB">
        <w:t xml:space="preserve">performance criteria or prior use of irinotecan. </w:t>
      </w:r>
    </w:p>
    <w:p w:rsidR="006462AA" w:rsidRPr="009F0BEB" w:rsidRDefault="00532275" w:rsidP="006462AA">
      <w:pPr>
        <w:pStyle w:val="ListParagraph"/>
        <w:widowControl/>
        <w:numPr>
          <w:ilvl w:val="1"/>
          <w:numId w:val="3"/>
        </w:numPr>
      </w:pPr>
      <w:r w:rsidRPr="009F0BEB">
        <w:t xml:space="preserve">The PBAC previously accepted the clinical place in therapy for </w:t>
      </w:r>
      <w:proofErr w:type="spellStart"/>
      <w:r w:rsidRPr="009F0BEB">
        <w:t>nal</w:t>
      </w:r>
      <w:proofErr w:type="spellEnd"/>
      <w:r w:rsidRPr="009F0BEB">
        <w:t>-IRI in the context of a broader population in the November 2016 submission</w:t>
      </w:r>
      <w:r w:rsidR="0043689A" w:rsidRPr="009F0BEB">
        <w:t>, and</w:t>
      </w:r>
      <w:r w:rsidR="002D014B" w:rsidRPr="009F0BEB">
        <w:t xml:space="preserve"> acknowledged the high clinical need for effective and well-tolerated therapies for this disease, particularly in the context of the poor prognosis for this condition (irinotecan (</w:t>
      </w:r>
      <w:proofErr w:type="spellStart"/>
      <w:r w:rsidR="002D014B" w:rsidRPr="009F0BEB">
        <w:t>nanoliposomal</w:t>
      </w:r>
      <w:proofErr w:type="spellEnd"/>
      <w:r w:rsidR="002D014B" w:rsidRPr="009F0BEB">
        <w:t>) PSD November 2016).</w:t>
      </w:r>
    </w:p>
    <w:p w:rsidR="006462AA" w:rsidRPr="009F0BEB" w:rsidRDefault="006462AA" w:rsidP="006462AA">
      <w:pPr>
        <w:pStyle w:val="ListParagraph"/>
        <w:widowControl/>
        <w:rPr>
          <w:i/>
        </w:rPr>
      </w:pPr>
      <w:r w:rsidRPr="009F0BEB">
        <w:rPr>
          <w:i/>
        </w:rPr>
        <w:t xml:space="preserve">For more detail on PBAC’s view, see section </w:t>
      </w:r>
      <w:r w:rsidR="00A24A91">
        <w:rPr>
          <w:i/>
        </w:rPr>
        <w:t>6</w:t>
      </w:r>
      <w:r w:rsidRPr="009F0BEB">
        <w:rPr>
          <w:i/>
        </w:rPr>
        <w:t xml:space="preserve"> PBAC outcome.</w:t>
      </w:r>
    </w:p>
    <w:p w:rsidR="00B60939" w:rsidRPr="009F0BEB" w:rsidRDefault="008606AD" w:rsidP="00214C1E">
      <w:pPr>
        <w:pStyle w:val="PBACHeading1"/>
        <w:spacing w:before="120" w:after="120"/>
      </w:pPr>
      <w:bookmarkStart w:id="3" w:name="_Toc502848549"/>
      <w:r w:rsidRPr="009F0BEB">
        <w:t>Comparator</w:t>
      </w:r>
      <w:bookmarkEnd w:id="3"/>
    </w:p>
    <w:p w:rsidR="006C728A" w:rsidRPr="009F0BEB" w:rsidRDefault="002D014B" w:rsidP="006B2DC0">
      <w:pPr>
        <w:pStyle w:val="ListParagraph"/>
        <w:widowControl/>
        <w:numPr>
          <w:ilvl w:val="1"/>
          <w:numId w:val="3"/>
        </w:numPr>
      </w:pPr>
      <w:r w:rsidRPr="009F0BEB">
        <w:t xml:space="preserve">The resubmission nominated </w:t>
      </w:r>
      <w:r w:rsidR="006C728A" w:rsidRPr="009F0BEB">
        <w:t>mFOLFOX6 as the main comparator. This was accepted by the PBAC as a relevant comparator in the November 2016 submission in the context of a broader proposed restriction that did not specify patient performance status or prior exposure to irinotecan.</w:t>
      </w:r>
      <w:r w:rsidR="00B6003E" w:rsidRPr="009F0BEB">
        <w:t xml:space="preserve"> </w:t>
      </w:r>
      <w:r w:rsidR="006C728A" w:rsidRPr="009F0BEB">
        <w:t xml:space="preserve">The PBAC </w:t>
      </w:r>
      <w:r w:rsidR="005B2F4D" w:rsidRPr="009F0BEB">
        <w:t xml:space="preserve">also </w:t>
      </w:r>
      <w:r w:rsidR="006C728A" w:rsidRPr="009F0BEB">
        <w:t xml:space="preserve">considered that the most relevant comparators were </w:t>
      </w:r>
      <w:proofErr w:type="spellStart"/>
      <w:r w:rsidR="006C728A" w:rsidRPr="009F0BEB">
        <w:t>oxaliplatin</w:t>
      </w:r>
      <w:proofErr w:type="spellEnd"/>
      <w:r w:rsidR="006C728A" w:rsidRPr="009F0BEB">
        <w:t xml:space="preserve">-containing regimens and </w:t>
      </w:r>
      <w:proofErr w:type="spellStart"/>
      <w:r w:rsidR="006C728A" w:rsidRPr="009F0BEB">
        <w:t>capecitabine</w:t>
      </w:r>
      <w:proofErr w:type="spellEnd"/>
      <w:r w:rsidR="006C728A" w:rsidRPr="009F0BEB">
        <w:t>, noting that a small number of patients may use FOLFIRINOX in the requested setting (</w:t>
      </w:r>
      <w:r w:rsidR="00412DED" w:rsidRPr="009F0BEB">
        <w:t xml:space="preserve">paragraph </w:t>
      </w:r>
      <w:r w:rsidR="008164CF" w:rsidRPr="009F0BEB">
        <w:t>7.4</w:t>
      </w:r>
      <w:r w:rsidR="00412DED" w:rsidRPr="009F0BEB">
        <w:t>,</w:t>
      </w:r>
      <w:r w:rsidR="008164CF" w:rsidRPr="009F0BEB">
        <w:t xml:space="preserve"> </w:t>
      </w:r>
      <w:r w:rsidR="006C728A" w:rsidRPr="009F0BEB">
        <w:t>irinotecan (</w:t>
      </w:r>
      <w:proofErr w:type="spellStart"/>
      <w:r w:rsidR="006C728A" w:rsidRPr="009F0BEB">
        <w:t>nanoliposomal</w:t>
      </w:r>
      <w:proofErr w:type="spellEnd"/>
      <w:r w:rsidR="006C728A" w:rsidRPr="009F0BEB">
        <w:t>)</w:t>
      </w:r>
      <w:r w:rsidR="008164CF" w:rsidRPr="009F0BEB">
        <w:t xml:space="preserve"> </w:t>
      </w:r>
      <w:r w:rsidR="006C728A" w:rsidRPr="009F0BEB">
        <w:t>November 2016 PSD).</w:t>
      </w:r>
    </w:p>
    <w:p w:rsidR="006C728A" w:rsidRPr="009F0BEB" w:rsidRDefault="006C728A" w:rsidP="006B2DC0">
      <w:pPr>
        <w:pStyle w:val="ListParagraph"/>
        <w:widowControl/>
        <w:numPr>
          <w:ilvl w:val="1"/>
          <w:numId w:val="3"/>
        </w:numPr>
      </w:pPr>
      <w:r w:rsidRPr="009F0BEB">
        <w:lastRenderedPageBreak/>
        <w:t>The resubmission claimed that mFOLFOX6 is commonly used in Australian clinical practice and is the only second line regimen listed in Australian guidelines. However, market data provided in the resubmission suggest</w:t>
      </w:r>
      <w:r w:rsidR="00346A60" w:rsidRPr="009F0BEB">
        <w:t>s</w:t>
      </w:r>
      <w:r w:rsidRPr="009F0BEB">
        <w:t xml:space="preserve"> that the most commonly used drugs following progression on gemcitabine are </w:t>
      </w:r>
      <w:proofErr w:type="spellStart"/>
      <w:r w:rsidRPr="009F0BEB">
        <w:t>capecitabine</w:t>
      </w:r>
      <w:proofErr w:type="spellEnd"/>
      <w:r w:rsidRPr="009F0BEB">
        <w:t xml:space="preserve"> monotherapy (</w:t>
      </w:r>
      <w:r w:rsidR="00EE2E05">
        <w:rPr>
          <w:noProof/>
          <w:color w:val="000000"/>
          <w:highlight w:val="black"/>
        </w:rPr>
        <w:t>'''''</w:t>
      </w:r>
      <w:r w:rsidRPr="009F0BEB">
        <w:t>%), XELOX (</w:t>
      </w:r>
      <w:r w:rsidR="00EE2E05">
        <w:rPr>
          <w:noProof/>
          <w:color w:val="000000"/>
          <w:highlight w:val="black"/>
        </w:rPr>
        <w:t>'''''</w:t>
      </w:r>
      <w:r w:rsidRPr="009F0BEB">
        <w:t>%), mFOLFOX6 (</w:t>
      </w:r>
      <w:r w:rsidR="00EE2E05">
        <w:rPr>
          <w:noProof/>
          <w:color w:val="000000"/>
          <w:highlight w:val="black"/>
        </w:rPr>
        <w:t>'''''</w:t>
      </w:r>
      <w:r w:rsidRPr="009F0BEB">
        <w:t>%), nab-paclitaxel with/without other chemotherapy (</w:t>
      </w:r>
      <w:proofErr w:type="gramStart"/>
      <w:r w:rsidR="00EE2E05">
        <w:rPr>
          <w:noProof/>
          <w:color w:val="000000"/>
          <w:highlight w:val="black"/>
        </w:rPr>
        <w:t>''''''</w:t>
      </w:r>
      <w:r w:rsidRPr="009F0BEB">
        <w:t>%</w:t>
      </w:r>
      <w:proofErr w:type="gramEnd"/>
      <w:r w:rsidRPr="009F0BEB">
        <w:t>), FOLFIRINOX (</w:t>
      </w:r>
      <w:r w:rsidR="00EE2E05">
        <w:rPr>
          <w:noProof/>
          <w:color w:val="000000"/>
          <w:highlight w:val="black"/>
        </w:rPr>
        <w:t>''''''</w:t>
      </w:r>
      <w:r w:rsidRPr="009F0BEB">
        <w:t>%), FOLFIRI (</w:t>
      </w:r>
      <w:r w:rsidR="00EE2E05">
        <w:rPr>
          <w:noProof/>
          <w:color w:val="000000"/>
          <w:highlight w:val="black"/>
        </w:rPr>
        <w:t>'''</w:t>
      </w:r>
      <w:r w:rsidRPr="009F0BEB">
        <w:t>%), gemcitabine monotherapy (</w:t>
      </w:r>
      <w:r w:rsidR="00EE2E05">
        <w:rPr>
          <w:noProof/>
          <w:color w:val="000000"/>
          <w:highlight w:val="black"/>
        </w:rPr>
        <w:t>'''</w:t>
      </w:r>
      <w:r w:rsidRPr="009F0BEB">
        <w:t>%) and XELIRI (</w:t>
      </w:r>
      <w:r w:rsidR="00EE2E05">
        <w:rPr>
          <w:noProof/>
          <w:color w:val="000000"/>
          <w:highlight w:val="black"/>
        </w:rPr>
        <w:t>''</w:t>
      </w:r>
      <w:r w:rsidRPr="009F0BEB">
        <w:t xml:space="preserve">%; </w:t>
      </w:r>
      <w:proofErr w:type="spellStart"/>
      <w:r w:rsidRPr="009F0BEB">
        <w:t>capecitabine</w:t>
      </w:r>
      <w:proofErr w:type="spellEnd"/>
      <w:r w:rsidRPr="009F0BEB">
        <w:t xml:space="preserve"> plus irinotecan). This is broadly consistent with recommendations in </w:t>
      </w:r>
      <w:r w:rsidR="008164CF" w:rsidRPr="009F0BEB">
        <w:t xml:space="preserve">international </w:t>
      </w:r>
      <w:r w:rsidRPr="009F0BEB">
        <w:t>guidelines.</w:t>
      </w:r>
    </w:p>
    <w:p w:rsidR="006462AA" w:rsidRPr="009F0BEB" w:rsidRDefault="0069638B" w:rsidP="006462AA">
      <w:pPr>
        <w:pStyle w:val="ListParagraph"/>
        <w:widowControl/>
        <w:numPr>
          <w:ilvl w:val="1"/>
          <w:numId w:val="3"/>
        </w:numPr>
      </w:pPr>
      <w:proofErr w:type="spellStart"/>
      <w:r w:rsidRPr="009F0BEB">
        <w:t>C</w:t>
      </w:r>
      <w:r w:rsidR="006C728A" w:rsidRPr="009F0BEB">
        <w:t>apecitabine</w:t>
      </w:r>
      <w:proofErr w:type="spellEnd"/>
      <w:r w:rsidR="006C728A" w:rsidRPr="009F0BEB">
        <w:t xml:space="preserve"> monotherapy and XELOX </w:t>
      </w:r>
      <w:r w:rsidR="00BD5270" w:rsidRPr="009F0BEB">
        <w:t xml:space="preserve">could also be considered alternative comparators as they </w:t>
      </w:r>
      <w:r w:rsidRPr="009F0BEB">
        <w:t xml:space="preserve">appear to be commonly used in patients </w:t>
      </w:r>
      <w:r w:rsidR="00B6003E" w:rsidRPr="009F0BEB">
        <w:t xml:space="preserve">who have failed </w:t>
      </w:r>
      <w:r w:rsidRPr="009F0BEB">
        <w:t>gemcitabine-based therapy</w:t>
      </w:r>
      <w:r w:rsidR="00BD5270" w:rsidRPr="009F0BEB">
        <w:t xml:space="preserve">. </w:t>
      </w:r>
      <w:r w:rsidR="00B33A9A" w:rsidRPr="009F0BEB">
        <w:t xml:space="preserve">The ESC </w:t>
      </w:r>
      <w:r w:rsidR="00DC3448" w:rsidRPr="009F0BEB">
        <w:t xml:space="preserve">noted that the </w:t>
      </w:r>
      <w:r w:rsidR="00DD124E" w:rsidRPr="009F0BEB">
        <w:t>PBAC had previously accepted that “in principle (even though it is not widely used in Australian practice), 5</w:t>
      </w:r>
      <w:r w:rsidR="00F539A9" w:rsidRPr="009F0BEB">
        <w:noBreakHyphen/>
      </w:r>
      <w:r w:rsidR="00DD124E" w:rsidRPr="009F0BEB">
        <w:t>FU/</w:t>
      </w:r>
      <w:proofErr w:type="spellStart"/>
      <w:r w:rsidR="00DD124E" w:rsidRPr="009F0BEB">
        <w:t>folinic</w:t>
      </w:r>
      <w:proofErr w:type="spellEnd"/>
      <w:r w:rsidR="00DD124E" w:rsidRPr="009F0BEB">
        <w:t xml:space="preserve"> acid could be considered representative of the efficacy and toxicity of mFOLFOX6” (Nov 2016 PSD). However, the ESC considered</w:t>
      </w:r>
      <w:r w:rsidR="00B33A9A" w:rsidRPr="009F0BEB">
        <w:t xml:space="preserve"> </w:t>
      </w:r>
      <w:r w:rsidR="005C203F" w:rsidRPr="009F0BEB">
        <w:t>the assessment of cost</w:t>
      </w:r>
      <w:r w:rsidR="00F539A9" w:rsidRPr="009F0BEB">
        <w:noBreakHyphen/>
      </w:r>
      <w:r w:rsidR="005C203F" w:rsidRPr="009F0BEB">
        <w:t xml:space="preserve">effectiveness of </w:t>
      </w:r>
      <w:proofErr w:type="spellStart"/>
      <w:r w:rsidR="005C203F" w:rsidRPr="009F0BEB">
        <w:t>nal</w:t>
      </w:r>
      <w:proofErr w:type="spellEnd"/>
      <w:r w:rsidR="00DD124E" w:rsidRPr="009F0BEB">
        <w:noBreakHyphen/>
      </w:r>
      <w:r w:rsidR="005C203F" w:rsidRPr="009F0BEB">
        <w:t>IRI for the treatment of this condition</w:t>
      </w:r>
      <w:r w:rsidR="00DD124E" w:rsidRPr="009F0BEB">
        <w:t xml:space="preserve"> should be considered in the context that there are other reasonabl</w:t>
      </w:r>
      <w:r w:rsidR="00003805" w:rsidRPr="009F0BEB">
        <w:t>e</w:t>
      </w:r>
      <w:r w:rsidR="00DD124E" w:rsidRPr="009F0BEB">
        <w:t xml:space="preserve"> alternative comparators that may be </w:t>
      </w:r>
      <w:r w:rsidR="00003805" w:rsidRPr="009F0BEB">
        <w:t>less expensive</w:t>
      </w:r>
      <w:r w:rsidR="00DD124E" w:rsidRPr="009F0BEB">
        <w:t xml:space="preserve"> than mFOLFOX6</w:t>
      </w:r>
      <w:r w:rsidR="005C203F" w:rsidRPr="009F0BEB">
        <w:t xml:space="preserve">. </w:t>
      </w:r>
    </w:p>
    <w:p w:rsidR="006462AA" w:rsidRPr="009F0BEB" w:rsidRDefault="006462AA" w:rsidP="006462AA">
      <w:pPr>
        <w:pStyle w:val="ListParagraph"/>
        <w:widowControl/>
        <w:rPr>
          <w:i/>
        </w:rPr>
      </w:pPr>
      <w:r w:rsidRPr="009F0BEB">
        <w:rPr>
          <w:i/>
        </w:rPr>
        <w:t xml:space="preserve">For more detail on PBAC’s view, see section </w:t>
      </w:r>
      <w:r w:rsidR="00A24A91">
        <w:rPr>
          <w:i/>
        </w:rPr>
        <w:t xml:space="preserve">6 </w:t>
      </w:r>
      <w:r w:rsidRPr="009F0BEB">
        <w:rPr>
          <w:i/>
        </w:rPr>
        <w:t>PBAC outcome.</w:t>
      </w:r>
    </w:p>
    <w:p w:rsidR="008606AD" w:rsidRPr="009F0BEB" w:rsidRDefault="008606AD" w:rsidP="00214C1E">
      <w:pPr>
        <w:pStyle w:val="PBACHeading1"/>
        <w:spacing w:before="120" w:after="160"/>
        <w:rPr>
          <w:i/>
        </w:rPr>
      </w:pPr>
      <w:r w:rsidRPr="009F0BEB">
        <w:t>Consideration of the Evidence</w:t>
      </w:r>
    </w:p>
    <w:p w:rsidR="008606AD" w:rsidRPr="00A24A91" w:rsidRDefault="008606AD" w:rsidP="008606AD">
      <w:pPr>
        <w:pStyle w:val="Heading2"/>
        <w:widowControl/>
        <w:spacing w:after="160"/>
      </w:pPr>
      <w:r w:rsidRPr="00A24A91">
        <w:t>Sponsor hearing</w:t>
      </w:r>
    </w:p>
    <w:p w:rsidR="006462AA" w:rsidRPr="009F0BEB" w:rsidRDefault="006462AA" w:rsidP="006462AA">
      <w:pPr>
        <w:numPr>
          <w:ilvl w:val="1"/>
          <w:numId w:val="3"/>
        </w:numPr>
        <w:spacing w:after="120"/>
        <w:rPr>
          <w:rFonts w:asciiTheme="minorHAnsi" w:hAnsiTheme="minorHAnsi"/>
          <w:bCs/>
        </w:rPr>
      </w:pPr>
      <w:r w:rsidRPr="009F0BEB">
        <w:rPr>
          <w:rFonts w:asciiTheme="minorHAnsi" w:hAnsiTheme="minorHAnsi"/>
          <w:bCs/>
        </w:rPr>
        <w:t>There was no hearing for this item.</w:t>
      </w:r>
    </w:p>
    <w:p w:rsidR="008606AD" w:rsidRPr="00A24A91" w:rsidRDefault="008606AD" w:rsidP="008606AD">
      <w:pPr>
        <w:pStyle w:val="Heading2"/>
        <w:widowControl/>
        <w:spacing w:after="160"/>
      </w:pPr>
      <w:r w:rsidRPr="00A24A91">
        <w:t>Consumer comments</w:t>
      </w:r>
    </w:p>
    <w:p w:rsidR="008C1923" w:rsidRPr="009F0BEB" w:rsidRDefault="00FF5AB8" w:rsidP="006462AA">
      <w:pPr>
        <w:numPr>
          <w:ilvl w:val="1"/>
          <w:numId w:val="3"/>
        </w:numPr>
        <w:spacing w:after="120"/>
        <w:rPr>
          <w:rFonts w:asciiTheme="minorHAnsi" w:hAnsiTheme="minorHAnsi"/>
          <w:bCs/>
        </w:rPr>
      </w:pPr>
      <w:r w:rsidRPr="009F0BEB">
        <w:rPr>
          <w:rFonts w:asciiTheme="minorHAnsi" w:hAnsiTheme="minorHAnsi"/>
          <w:bCs/>
        </w:rPr>
        <w:t xml:space="preserve">The PBAC noted and welcomed the input from individuals (2) via the Consumer Comments facility on the PBS website. </w:t>
      </w:r>
      <w:r w:rsidR="00775962" w:rsidRPr="009F0BEB">
        <w:rPr>
          <w:rFonts w:asciiTheme="minorHAnsi" w:hAnsiTheme="minorHAnsi"/>
          <w:bCs/>
        </w:rPr>
        <w:t>The comments described the potential benefit</w:t>
      </w:r>
      <w:r w:rsidR="0087074C" w:rsidRPr="009F0BEB">
        <w:rPr>
          <w:rFonts w:asciiTheme="minorHAnsi" w:hAnsiTheme="minorHAnsi"/>
          <w:bCs/>
        </w:rPr>
        <w:t>s</w:t>
      </w:r>
      <w:r w:rsidR="00775962" w:rsidRPr="009F0BEB">
        <w:rPr>
          <w:rFonts w:asciiTheme="minorHAnsi" w:hAnsiTheme="minorHAnsi"/>
          <w:bCs/>
        </w:rPr>
        <w:t xml:space="preserve"> of slowing progression</w:t>
      </w:r>
      <w:r w:rsidR="0087074C" w:rsidRPr="009F0BEB">
        <w:rPr>
          <w:rFonts w:asciiTheme="minorHAnsi" w:hAnsiTheme="minorHAnsi"/>
          <w:bCs/>
        </w:rPr>
        <w:t xml:space="preserve"> and improving quality of life</w:t>
      </w:r>
      <w:r w:rsidR="00775962" w:rsidRPr="009F0BEB">
        <w:rPr>
          <w:rFonts w:asciiTheme="minorHAnsi" w:hAnsiTheme="minorHAnsi"/>
          <w:bCs/>
        </w:rPr>
        <w:t xml:space="preserve"> </w:t>
      </w:r>
      <w:r w:rsidR="00F539A9" w:rsidRPr="009F0BEB">
        <w:rPr>
          <w:rFonts w:asciiTheme="minorHAnsi" w:hAnsiTheme="minorHAnsi"/>
          <w:bCs/>
        </w:rPr>
        <w:t>from</w:t>
      </w:r>
      <w:r w:rsidR="00775962" w:rsidRPr="009F0BEB">
        <w:rPr>
          <w:rFonts w:asciiTheme="minorHAnsi" w:hAnsiTheme="minorHAnsi"/>
          <w:bCs/>
        </w:rPr>
        <w:t xml:space="preserve"> treatment with irinotecan (</w:t>
      </w:r>
      <w:proofErr w:type="spellStart"/>
      <w:r w:rsidR="00775962" w:rsidRPr="009F0BEB">
        <w:rPr>
          <w:rFonts w:asciiTheme="minorHAnsi" w:hAnsiTheme="minorHAnsi"/>
          <w:bCs/>
        </w:rPr>
        <w:t>nanoliposomal</w:t>
      </w:r>
      <w:proofErr w:type="spellEnd"/>
      <w:r w:rsidR="00775962" w:rsidRPr="009F0BEB">
        <w:rPr>
          <w:rFonts w:asciiTheme="minorHAnsi" w:hAnsiTheme="minorHAnsi"/>
          <w:bCs/>
        </w:rPr>
        <w:t>)</w:t>
      </w:r>
      <w:r w:rsidR="0087074C" w:rsidRPr="009F0BEB">
        <w:rPr>
          <w:rFonts w:asciiTheme="minorHAnsi" w:hAnsiTheme="minorHAnsi"/>
          <w:bCs/>
        </w:rPr>
        <w:t>.</w:t>
      </w:r>
    </w:p>
    <w:p w:rsidR="006462AA" w:rsidRDefault="006462AA" w:rsidP="006462AA">
      <w:pPr>
        <w:numPr>
          <w:ilvl w:val="1"/>
          <w:numId w:val="3"/>
        </w:numPr>
        <w:spacing w:after="120"/>
        <w:rPr>
          <w:rFonts w:asciiTheme="minorHAnsi" w:hAnsiTheme="minorHAnsi"/>
          <w:bCs/>
        </w:rPr>
      </w:pPr>
      <w:r w:rsidRPr="009F0BEB">
        <w:rPr>
          <w:rFonts w:asciiTheme="minorHAnsi" w:hAnsiTheme="minorHAnsi"/>
          <w:bCs/>
        </w:rPr>
        <w:t xml:space="preserve">The Medical Oncology Group of Australia (MOGA) also expressed its support for the </w:t>
      </w:r>
      <w:r w:rsidR="0087074C" w:rsidRPr="009F0BEB">
        <w:rPr>
          <w:rFonts w:asciiTheme="minorHAnsi" w:hAnsiTheme="minorHAnsi"/>
          <w:bCs/>
        </w:rPr>
        <w:t>irinotecan (</w:t>
      </w:r>
      <w:proofErr w:type="spellStart"/>
      <w:r w:rsidR="0087074C" w:rsidRPr="009F0BEB">
        <w:rPr>
          <w:rFonts w:asciiTheme="minorHAnsi" w:hAnsiTheme="minorHAnsi"/>
          <w:bCs/>
        </w:rPr>
        <w:t>nanoliposomal</w:t>
      </w:r>
      <w:proofErr w:type="spellEnd"/>
      <w:r w:rsidR="0087074C" w:rsidRPr="009F0BEB">
        <w:rPr>
          <w:rFonts w:asciiTheme="minorHAnsi" w:hAnsiTheme="minorHAnsi"/>
          <w:bCs/>
        </w:rPr>
        <w:t xml:space="preserve">) </w:t>
      </w:r>
      <w:r w:rsidRPr="009F0BEB">
        <w:rPr>
          <w:rFonts w:asciiTheme="minorHAnsi" w:hAnsiTheme="minorHAnsi"/>
          <w:bCs/>
        </w:rPr>
        <w:t xml:space="preserve">submission, on the basis of </w:t>
      </w:r>
      <w:r w:rsidR="004C69CB" w:rsidRPr="009F0BEB">
        <w:rPr>
          <w:rFonts w:asciiTheme="minorHAnsi" w:hAnsiTheme="minorHAnsi"/>
          <w:bCs/>
        </w:rPr>
        <w:t>unmet clinical need after failure of standard prior therapies</w:t>
      </w:r>
      <w:r w:rsidRPr="009F0BEB">
        <w:rPr>
          <w:rFonts w:asciiTheme="minorHAnsi" w:hAnsiTheme="minorHAnsi"/>
          <w:bCs/>
        </w:rPr>
        <w:t xml:space="preserve">. The PBAC noted that the MOGA presented the European Society for Medical Oncology Magnitude </w:t>
      </w:r>
      <w:r w:rsidR="009942D3" w:rsidRPr="009F0BEB">
        <w:rPr>
          <w:rFonts w:asciiTheme="minorHAnsi" w:hAnsiTheme="minorHAnsi"/>
          <w:bCs/>
        </w:rPr>
        <w:t>of Clinical Benefit Scale (ESMO</w:t>
      </w:r>
      <w:r w:rsidR="009942D3" w:rsidRPr="009F0BEB">
        <w:rPr>
          <w:rFonts w:asciiTheme="minorHAnsi" w:hAnsiTheme="minorHAnsi"/>
          <w:bCs/>
        </w:rPr>
        <w:noBreakHyphen/>
      </w:r>
      <w:r w:rsidRPr="009F0BEB">
        <w:rPr>
          <w:rFonts w:asciiTheme="minorHAnsi" w:hAnsiTheme="minorHAnsi"/>
          <w:bCs/>
        </w:rPr>
        <w:t xml:space="preserve">MCBS) for </w:t>
      </w:r>
      <w:r w:rsidR="004C69CB" w:rsidRPr="009F0BEB">
        <w:rPr>
          <w:rFonts w:asciiTheme="minorHAnsi" w:hAnsiTheme="minorHAnsi"/>
          <w:bCs/>
        </w:rPr>
        <w:t>irinotecan (</w:t>
      </w:r>
      <w:proofErr w:type="spellStart"/>
      <w:r w:rsidR="004C69CB" w:rsidRPr="009F0BEB">
        <w:rPr>
          <w:rFonts w:asciiTheme="minorHAnsi" w:hAnsiTheme="minorHAnsi"/>
          <w:bCs/>
        </w:rPr>
        <w:t>nanoliposomal</w:t>
      </w:r>
      <w:proofErr w:type="spellEnd"/>
      <w:r w:rsidR="004C69CB" w:rsidRPr="009F0BEB">
        <w:rPr>
          <w:rFonts w:asciiTheme="minorHAnsi" w:hAnsiTheme="minorHAnsi"/>
          <w:bCs/>
        </w:rPr>
        <w:t>)</w:t>
      </w:r>
      <w:r w:rsidRPr="009F0BEB">
        <w:rPr>
          <w:rFonts w:asciiTheme="minorHAnsi" w:hAnsiTheme="minorHAnsi"/>
          <w:bCs/>
        </w:rPr>
        <w:t xml:space="preserve"> which was limited to </w:t>
      </w:r>
      <w:r w:rsidR="008C015B" w:rsidRPr="009F0BEB">
        <w:rPr>
          <w:rFonts w:asciiTheme="minorHAnsi" w:hAnsiTheme="minorHAnsi"/>
          <w:bCs/>
        </w:rPr>
        <w:t>2</w:t>
      </w:r>
      <w:r w:rsidRPr="009F0BEB">
        <w:rPr>
          <w:rFonts w:asciiTheme="minorHAnsi" w:hAnsiTheme="minorHAnsi"/>
          <w:bCs/>
        </w:rPr>
        <w:t xml:space="preserve"> (out of a maximum of 5, where 5 and 4 represent the grades with substantial improvement)</w:t>
      </w:r>
      <w:r w:rsidR="008C015B" w:rsidRPr="009F0BEB">
        <w:rPr>
          <w:rStyle w:val="FootnoteReference"/>
          <w:rFonts w:asciiTheme="minorHAnsi" w:hAnsiTheme="minorHAnsi"/>
          <w:bCs/>
        </w:rPr>
        <w:footnoteReference w:id="1"/>
      </w:r>
      <w:r w:rsidRPr="009F0BEB">
        <w:rPr>
          <w:rFonts w:asciiTheme="minorHAnsi" w:hAnsiTheme="minorHAnsi"/>
          <w:bCs/>
        </w:rPr>
        <w:t>, based on a comparison with</w:t>
      </w:r>
      <w:r w:rsidR="008C015B" w:rsidRPr="009F0BEB">
        <w:rPr>
          <w:rFonts w:asciiTheme="minorHAnsi" w:hAnsiTheme="minorHAnsi"/>
          <w:bCs/>
        </w:rPr>
        <w:t xml:space="preserve"> 5-FU</w:t>
      </w:r>
      <w:r w:rsidRPr="009F0BEB">
        <w:rPr>
          <w:rFonts w:asciiTheme="minorHAnsi" w:hAnsiTheme="minorHAnsi"/>
          <w:bCs/>
        </w:rPr>
        <w:t>.</w:t>
      </w:r>
    </w:p>
    <w:p w:rsidR="00214C1E" w:rsidRPr="009F0BEB" w:rsidRDefault="00214C1E" w:rsidP="008C785F">
      <w:pPr>
        <w:spacing w:after="120"/>
        <w:rPr>
          <w:rFonts w:asciiTheme="minorHAnsi" w:hAnsiTheme="minorHAnsi"/>
          <w:bCs/>
        </w:rPr>
      </w:pPr>
    </w:p>
    <w:p w:rsidR="00B60939" w:rsidRPr="00A24A91" w:rsidRDefault="00B60939" w:rsidP="00D13044">
      <w:pPr>
        <w:pStyle w:val="Heading2"/>
        <w:widowControl/>
        <w:spacing w:after="160"/>
      </w:pPr>
      <w:bookmarkStart w:id="4" w:name="_Toc502848551"/>
      <w:r w:rsidRPr="00A24A91">
        <w:lastRenderedPageBreak/>
        <w:t>Clinical trials</w:t>
      </w:r>
      <w:bookmarkEnd w:id="4"/>
    </w:p>
    <w:p w:rsidR="007F1017" w:rsidRPr="009F0BEB" w:rsidRDefault="00A73134" w:rsidP="006B2DC0">
      <w:pPr>
        <w:pStyle w:val="ListParagraph"/>
        <w:widowControl/>
        <w:numPr>
          <w:ilvl w:val="1"/>
          <w:numId w:val="3"/>
        </w:numPr>
      </w:pPr>
      <w:r w:rsidRPr="009F0BEB">
        <w:rPr>
          <w:rFonts w:cs="Calibri"/>
          <w:snapToGrid/>
          <w:szCs w:val="24"/>
          <w:lang w:val="en-US" w:eastAsia="en-AU"/>
        </w:rPr>
        <w:t xml:space="preserve">The </w:t>
      </w:r>
      <w:r w:rsidR="006C728A" w:rsidRPr="009F0BEB">
        <w:rPr>
          <w:rFonts w:cs="Calibri"/>
          <w:snapToGrid/>
          <w:szCs w:val="24"/>
          <w:lang w:val="en-US" w:eastAsia="en-AU"/>
        </w:rPr>
        <w:t>resubmission was</w:t>
      </w:r>
      <w:r w:rsidRPr="009F0BEB">
        <w:rPr>
          <w:rFonts w:cs="Calibri"/>
          <w:snapToGrid/>
          <w:szCs w:val="24"/>
          <w:lang w:val="en-US" w:eastAsia="en-AU"/>
        </w:rPr>
        <w:t xml:space="preserve"> based on </w:t>
      </w:r>
      <w:r w:rsidR="006C728A" w:rsidRPr="009F0BEB">
        <w:rPr>
          <w:rFonts w:cs="Calibri"/>
          <w:snapToGrid/>
          <w:szCs w:val="24"/>
          <w:lang w:val="en-US" w:eastAsia="en-AU"/>
        </w:rPr>
        <w:t xml:space="preserve">one head-to-head trial comparing </w:t>
      </w:r>
      <w:proofErr w:type="spellStart"/>
      <w:r w:rsidR="00B6003E" w:rsidRPr="009F0BEB">
        <w:rPr>
          <w:rFonts w:cs="Calibri"/>
          <w:snapToGrid/>
          <w:szCs w:val="24"/>
          <w:lang w:val="en-US" w:eastAsia="en-AU"/>
        </w:rPr>
        <w:t>nal</w:t>
      </w:r>
      <w:proofErr w:type="spellEnd"/>
      <w:r w:rsidR="00B6003E" w:rsidRPr="009F0BEB">
        <w:rPr>
          <w:rFonts w:cs="Calibri"/>
          <w:snapToGrid/>
          <w:szCs w:val="24"/>
          <w:lang w:val="en-US" w:eastAsia="en-AU"/>
        </w:rPr>
        <w:t>-IRI</w:t>
      </w:r>
      <w:r w:rsidR="006C728A" w:rsidRPr="009F0BEB">
        <w:rPr>
          <w:rFonts w:cs="Calibri"/>
          <w:snapToGrid/>
          <w:szCs w:val="24"/>
          <w:lang w:val="en-US" w:eastAsia="en-AU"/>
        </w:rPr>
        <w:t xml:space="preserve"> to 5</w:t>
      </w:r>
      <w:r w:rsidR="00F539A9" w:rsidRPr="009F0BEB">
        <w:rPr>
          <w:rFonts w:cs="Calibri"/>
          <w:snapToGrid/>
          <w:szCs w:val="24"/>
          <w:lang w:val="en-US" w:eastAsia="en-AU"/>
        </w:rPr>
        <w:noBreakHyphen/>
      </w:r>
      <w:r w:rsidR="006C728A" w:rsidRPr="009F0BEB">
        <w:rPr>
          <w:rFonts w:cs="Calibri"/>
          <w:snapToGrid/>
          <w:szCs w:val="24"/>
          <w:lang w:val="en-US" w:eastAsia="en-AU"/>
        </w:rPr>
        <w:t>FU/</w:t>
      </w:r>
      <w:proofErr w:type="spellStart"/>
      <w:r w:rsidR="006C728A" w:rsidRPr="009F0BEB">
        <w:rPr>
          <w:rFonts w:cs="Calibri"/>
          <w:snapToGrid/>
          <w:szCs w:val="24"/>
          <w:lang w:val="en-US" w:eastAsia="en-AU"/>
        </w:rPr>
        <w:t>folinic</w:t>
      </w:r>
      <w:proofErr w:type="spellEnd"/>
      <w:r w:rsidR="006C728A" w:rsidRPr="009F0BEB">
        <w:rPr>
          <w:rFonts w:cs="Calibri"/>
          <w:snapToGrid/>
          <w:szCs w:val="24"/>
          <w:lang w:val="en-US" w:eastAsia="en-AU"/>
        </w:rPr>
        <w:t xml:space="preserve"> acid (NAPOLI-1)</w:t>
      </w:r>
      <w:r w:rsidRPr="009F0BEB">
        <w:rPr>
          <w:rFonts w:cs="Calibri"/>
          <w:snapToGrid/>
          <w:szCs w:val="24"/>
          <w:lang w:val="en-US" w:eastAsia="en-AU"/>
        </w:rPr>
        <w:t xml:space="preserve">. </w:t>
      </w:r>
      <w:r w:rsidR="006C728A" w:rsidRPr="009F0BEB">
        <w:rPr>
          <w:rFonts w:cs="Calibri"/>
          <w:snapToGrid/>
          <w:szCs w:val="24"/>
          <w:lang w:val="en-US" w:eastAsia="en-AU"/>
        </w:rPr>
        <w:t>This trial was previously considered by the PBAC in the November 2016 submission.</w:t>
      </w:r>
      <w:r w:rsidR="00702F8F" w:rsidRPr="009F0BEB">
        <w:t xml:space="preserve"> </w:t>
      </w:r>
    </w:p>
    <w:p w:rsidR="00862502" w:rsidRPr="009F0BEB" w:rsidRDefault="00D52918" w:rsidP="006B2DC0">
      <w:pPr>
        <w:pStyle w:val="ListParagraph"/>
        <w:widowControl/>
        <w:numPr>
          <w:ilvl w:val="1"/>
          <w:numId w:val="3"/>
        </w:numPr>
      </w:pPr>
      <w:r w:rsidRPr="009F0BEB">
        <w:t>The resubmission</w:t>
      </w:r>
      <w:r w:rsidR="00725892" w:rsidRPr="009F0BEB">
        <w:t xml:space="preserve"> presented the same clinical data in section 2</w:t>
      </w:r>
      <w:r w:rsidR="006C302E" w:rsidRPr="009F0BEB">
        <w:t xml:space="preserve"> of the submission</w:t>
      </w:r>
      <w:r w:rsidR="009942D3" w:rsidRPr="009F0BEB">
        <w:t xml:space="preserve"> as in the previous submission</w:t>
      </w:r>
      <w:r w:rsidR="00725892" w:rsidRPr="009F0BEB">
        <w:t>, but</w:t>
      </w:r>
      <w:r w:rsidRPr="009F0BEB">
        <w:t xml:space="preserve"> used updated post-hoc analyses </w:t>
      </w:r>
      <w:r w:rsidR="00725892" w:rsidRPr="009F0BEB">
        <w:t xml:space="preserve">from a later data cut </w:t>
      </w:r>
      <w:r w:rsidRPr="009F0BEB">
        <w:t>of the whole</w:t>
      </w:r>
      <w:r w:rsidR="00003805" w:rsidRPr="009F0BEB">
        <w:t xml:space="preserve"> NAPOLI-1</w:t>
      </w:r>
      <w:r w:rsidRPr="009F0BEB">
        <w:t xml:space="preserve"> trial population and </w:t>
      </w:r>
      <w:r w:rsidR="00003805" w:rsidRPr="009F0BEB">
        <w:t xml:space="preserve">the </w:t>
      </w:r>
      <w:r w:rsidR="00412DED" w:rsidRPr="009F0BEB">
        <w:t>irinotecan naïve patient subgroup</w:t>
      </w:r>
      <w:r w:rsidRPr="009F0BEB">
        <w:t xml:space="preserve"> as clinical inputs in the economic </w:t>
      </w:r>
      <w:r w:rsidR="00725892" w:rsidRPr="009F0BEB">
        <w:t>analysis</w:t>
      </w:r>
      <w:r w:rsidRPr="009F0BEB">
        <w:t xml:space="preserve">. </w:t>
      </w:r>
      <w:r w:rsidR="00CF373F" w:rsidRPr="009F0BEB">
        <w:t xml:space="preserve">There was limited </w:t>
      </w:r>
      <w:r w:rsidR="008C3BF0" w:rsidRPr="009F0BEB">
        <w:t xml:space="preserve">information </w:t>
      </w:r>
      <w:r w:rsidR="00CF373F" w:rsidRPr="009F0BEB">
        <w:t>in the resubmission for this data cut-off (follow-up period not reported) although the analysis appeared to include updated individual patient data of up to 3</w:t>
      </w:r>
      <w:r w:rsidR="00F539A9" w:rsidRPr="009F0BEB">
        <w:t> </w:t>
      </w:r>
      <w:r w:rsidR="00CF373F" w:rsidRPr="009F0BEB">
        <w:t>years, beyond the trial period of 2 years. These data have not previousl</w:t>
      </w:r>
      <w:r w:rsidR="008C785F">
        <w:t>y been considered by the PBAC.</w:t>
      </w:r>
    </w:p>
    <w:p w:rsidR="00D52918" w:rsidRPr="009F0BEB" w:rsidRDefault="00BD5270" w:rsidP="006B2DC0">
      <w:pPr>
        <w:pStyle w:val="ListParagraph"/>
        <w:widowControl/>
        <w:numPr>
          <w:ilvl w:val="1"/>
          <w:numId w:val="3"/>
        </w:numPr>
      </w:pPr>
      <w:r w:rsidRPr="009F0BEB">
        <w:t>No data were</w:t>
      </w:r>
      <w:r w:rsidR="00D52918" w:rsidRPr="009F0BEB">
        <w:t xml:space="preserve"> presented comparing </w:t>
      </w:r>
      <w:proofErr w:type="spellStart"/>
      <w:r w:rsidR="00B6003E" w:rsidRPr="009F0BEB">
        <w:t>nal</w:t>
      </w:r>
      <w:proofErr w:type="spellEnd"/>
      <w:r w:rsidR="00B6003E" w:rsidRPr="009F0BEB">
        <w:t>-IRI</w:t>
      </w:r>
      <w:r w:rsidR="00D52918" w:rsidRPr="009F0BEB">
        <w:t xml:space="preserve"> with mFOLFOX6. </w:t>
      </w:r>
    </w:p>
    <w:p w:rsidR="00D52918" w:rsidRPr="009F0BEB" w:rsidRDefault="00D52918" w:rsidP="006B2DC0">
      <w:pPr>
        <w:pStyle w:val="ListParagraph"/>
        <w:widowControl/>
        <w:numPr>
          <w:ilvl w:val="1"/>
          <w:numId w:val="3"/>
        </w:numPr>
      </w:pPr>
      <w:r w:rsidRPr="009F0BEB">
        <w:t>The resubmission claimed that 5-FU/</w:t>
      </w:r>
      <w:proofErr w:type="spellStart"/>
      <w:r w:rsidRPr="009F0BEB">
        <w:t>folinic</w:t>
      </w:r>
      <w:proofErr w:type="spellEnd"/>
      <w:r w:rsidRPr="009F0BEB">
        <w:t xml:space="preserve"> acid could be used as a proxy f</w:t>
      </w:r>
      <w:r w:rsidR="002C5296" w:rsidRPr="009F0BEB">
        <w:t>or mFOLFOX6. The</w:t>
      </w:r>
      <w:r w:rsidRPr="009F0BEB">
        <w:t xml:space="preserve"> PBAC previously acknowledged that 5-FU/</w:t>
      </w:r>
      <w:proofErr w:type="spellStart"/>
      <w:r w:rsidRPr="009F0BEB">
        <w:t>folinic</w:t>
      </w:r>
      <w:proofErr w:type="spellEnd"/>
      <w:r w:rsidRPr="009F0BEB">
        <w:t xml:space="preserve"> acid is not widely used in </w:t>
      </w:r>
      <w:r w:rsidR="002C5296" w:rsidRPr="009F0BEB">
        <w:t xml:space="preserve">Australian practice, </w:t>
      </w:r>
      <w:r w:rsidR="009359AA" w:rsidRPr="009F0BEB">
        <w:t xml:space="preserve">but </w:t>
      </w:r>
      <w:r w:rsidR="002C5296" w:rsidRPr="009F0BEB">
        <w:t>in princip</w:t>
      </w:r>
      <w:r w:rsidRPr="009F0BEB">
        <w:t>l</w:t>
      </w:r>
      <w:r w:rsidR="002C5296" w:rsidRPr="009F0BEB">
        <w:t>e</w:t>
      </w:r>
      <w:r w:rsidRPr="009F0BEB">
        <w:t>, it could be considered representative of the efficacy and toxicity of mFOLFOX6. However, due to limitations with the naïve indirect comparison provided in the previous submission (</w:t>
      </w:r>
      <w:proofErr w:type="spellStart"/>
      <w:r w:rsidR="00B6003E" w:rsidRPr="009F0BEB">
        <w:t>nal</w:t>
      </w:r>
      <w:proofErr w:type="spellEnd"/>
      <w:r w:rsidR="00B6003E" w:rsidRPr="009F0BEB">
        <w:t>-IRI</w:t>
      </w:r>
      <w:r w:rsidRPr="009F0BEB">
        <w:t xml:space="preserve"> versus mFOLFOX6), </w:t>
      </w:r>
      <w:r w:rsidR="002C5296" w:rsidRPr="009F0BEB">
        <w:t xml:space="preserve">the PBAC also acknowledged that </w:t>
      </w:r>
      <w:r w:rsidRPr="009F0BEB">
        <w:t xml:space="preserve">confidence surrounding the relative efficacy between </w:t>
      </w:r>
      <w:proofErr w:type="spellStart"/>
      <w:r w:rsidR="00B6003E" w:rsidRPr="009F0BEB">
        <w:t>nal</w:t>
      </w:r>
      <w:proofErr w:type="spellEnd"/>
      <w:r w:rsidR="00B6003E" w:rsidRPr="009F0BEB">
        <w:t>-IRI</w:t>
      </w:r>
      <w:r w:rsidRPr="009F0BEB">
        <w:t xml:space="preserve"> and </w:t>
      </w:r>
      <w:proofErr w:type="spellStart"/>
      <w:r w:rsidRPr="009F0BEB">
        <w:t>oxaliplatin</w:t>
      </w:r>
      <w:proofErr w:type="spellEnd"/>
      <w:r w:rsidRPr="009F0BEB">
        <w:t>-containing regimens was necessarily low (</w:t>
      </w:r>
      <w:r w:rsidR="00412DED" w:rsidRPr="009F0BEB">
        <w:t xml:space="preserve">paragraphs 7.4 and 7.6, </w:t>
      </w:r>
      <w:r w:rsidRPr="009F0BEB">
        <w:t>irinotecan (</w:t>
      </w:r>
      <w:proofErr w:type="spellStart"/>
      <w:r w:rsidRPr="009F0BEB">
        <w:t>nanoliposomal</w:t>
      </w:r>
      <w:proofErr w:type="spellEnd"/>
      <w:r w:rsidRPr="009F0BEB">
        <w:t>) PSD November 2016).</w:t>
      </w:r>
    </w:p>
    <w:p w:rsidR="00862502" w:rsidRPr="009F0BEB" w:rsidRDefault="00A73134" w:rsidP="006B2DC0">
      <w:pPr>
        <w:pStyle w:val="ListParagraph"/>
        <w:widowControl/>
        <w:numPr>
          <w:ilvl w:val="1"/>
          <w:numId w:val="3"/>
        </w:numPr>
      </w:pPr>
      <w:r w:rsidRPr="009F0BEB">
        <w:rPr>
          <w:rFonts w:cs="Calibri"/>
          <w:snapToGrid/>
          <w:szCs w:val="24"/>
          <w:lang w:val="en-US" w:eastAsia="en-AU"/>
        </w:rPr>
        <w:t xml:space="preserve">Details of the </w:t>
      </w:r>
      <w:r w:rsidR="002C5296" w:rsidRPr="009F0BEB">
        <w:rPr>
          <w:rFonts w:cs="Calibri"/>
          <w:snapToGrid/>
          <w:szCs w:val="24"/>
          <w:lang w:val="en-US" w:eastAsia="en-AU"/>
        </w:rPr>
        <w:t>NAPOLI-1 trial</w:t>
      </w:r>
      <w:r w:rsidRPr="009F0BEB">
        <w:rPr>
          <w:rFonts w:cs="Calibri"/>
          <w:snapToGrid/>
          <w:szCs w:val="24"/>
          <w:lang w:val="en-US" w:eastAsia="en-AU"/>
        </w:rPr>
        <w:t xml:space="preserve"> are provided in the table below.  </w:t>
      </w:r>
    </w:p>
    <w:p w:rsidR="002C5296" w:rsidRPr="009F0BEB" w:rsidRDefault="002C5296" w:rsidP="006B2DC0">
      <w:pPr>
        <w:keepNext/>
        <w:widowControl/>
      </w:pPr>
      <w:r w:rsidRPr="009F0BEB">
        <w:rPr>
          <w:rStyle w:val="CommentReference"/>
        </w:rPr>
        <w:t>T</w:t>
      </w:r>
      <w:r w:rsidR="00BD5270" w:rsidRPr="009F0BEB">
        <w:rPr>
          <w:rStyle w:val="CommentReference"/>
        </w:rPr>
        <w:t>able 3</w:t>
      </w:r>
      <w:r w:rsidRPr="009F0BEB">
        <w:rPr>
          <w:rStyle w:val="CommentReference"/>
        </w:rPr>
        <w:t>:  Trial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2C5296" w:rsidRPr="009F0BEB" w:rsidTr="00A21444">
        <w:trPr>
          <w:tblHeader/>
        </w:trPr>
        <w:tc>
          <w:tcPr>
            <w:tcW w:w="796" w:type="pct"/>
            <w:vAlign w:val="center"/>
          </w:tcPr>
          <w:p w:rsidR="002C5296" w:rsidRPr="009F0BEB" w:rsidRDefault="002C5296" w:rsidP="006B2DC0">
            <w:pPr>
              <w:pStyle w:val="Tabletext"/>
              <w:keepNext/>
              <w:rPr>
                <w:b/>
              </w:rPr>
            </w:pPr>
            <w:r w:rsidRPr="009F0BEB">
              <w:rPr>
                <w:b/>
              </w:rPr>
              <w:t>Trial ID</w:t>
            </w:r>
          </w:p>
        </w:tc>
        <w:tc>
          <w:tcPr>
            <w:tcW w:w="3027" w:type="pct"/>
            <w:vAlign w:val="center"/>
          </w:tcPr>
          <w:p w:rsidR="002C5296" w:rsidRPr="009F0BEB" w:rsidRDefault="002C5296" w:rsidP="006B2DC0">
            <w:pPr>
              <w:pStyle w:val="Tabletext"/>
              <w:keepNext/>
              <w:jc w:val="center"/>
              <w:rPr>
                <w:b/>
              </w:rPr>
            </w:pPr>
            <w:r w:rsidRPr="009F0BEB">
              <w:rPr>
                <w:b/>
              </w:rPr>
              <w:t>Protocol title/ Publication title</w:t>
            </w:r>
          </w:p>
        </w:tc>
        <w:tc>
          <w:tcPr>
            <w:tcW w:w="1177" w:type="pct"/>
            <w:vAlign w:val="center"/>
          </w:tcPr>
          <w:p w:rsidR="002C5296" w:rsidRPr="009F0BEB" w:rsidRDefault="002C5296" w:rsidP="006B2DC0">
            <w:pPr>
              <w:pStyle w:val="Tabletext"/>
              <w:keepNext/>
              <w:jc w:val="center"/>
              <w:rPr>
                <w:b/>
              </w:rPr>
            </w:pPr>
            <w:r w:rsidRPr="009F0BEB">
              <w:rPr>
                <w:b/>
              </w:rPr>
              <w:t>Publication citation</w:t>
            </w:r>
          </w:p>
        </w:tc>
      </w:tr>
      <w:tr w:rsidR="002C5296" w:rsidRPr="009F0BEB" w:rsidTr="00A21444">
        <w:tc>
          <w:tcPr>
            <w:tcW w:w="796" w:type="pct"/>
            <w:vMerge w:val="restart"/>
            <w:vAlign w:val="center"/>
          </w:tcPr>
          <w:p w:rsidR="002C5296" w:rsidRPr="009F0BEB" w:rsidRDefault="002C5296" w:rsidP="006B2DC0">
            <w:pPr>
              <w:pStyle w:val="Tabletext"/>
              <w:keepNext/>
              <w:rPr>
                <w:rFonts w:ascii="Times" w:hAnsi="Times"/>
              </w:rPr>
            </w:pPr>
            <w:r w:rsidRPr="009F0BEB">
              <w:t>NAPOLI-1</w:t>
            </w:r>
          </w:p>
        </w:tc>
        <w:tc>
          <w:tcPr>
            <w:tcW w:w="3027" w:type="pct"/>
            <w:vAlign w:val="center"/>
          </w:tcPr>
          <w:p w:rsidR="002C5296" w:rsidRPr="009F0BEB" w:rsidRDefault="002C5296" w:rsidP="006B2DC0">
            <w:pPr>
              <w:pStyle w:val="Tabletext"/>
              <w:keepNext/>
              <w:rPr>
                <w:szCs w:val="18"/>
              </w:rPr>
            </w:pPr>
            <w:r w:rsidRPr="009F0BEB">
              <w:t>Wang-Gillam A et al (2016). Irinotecan (</w:t>
            </w:r>
            <w:proofErr w:type="spellStart"/>
            <w:r w:rsidRPr="009F0BEB">
              <w:t>nanoliposomal</w:t>
            </w:r>
            <w:proofErr w:type="spellEnd"/>
            <w:r w:rsidRPr="009F0BEB">
              <w:t xml:space="preserve">) with fluorouracil and </w:t>
            </w:r>
            <w:proofErr w:type="spellStart"/>
            <w:r w:rsidRPr="009F0BEB">
              <w:t>folinic</w:t>
            </w:r>
            <w:proofErr w:type="spellEnd"/>
            <w:r w:rsidRPr="009F0BEB">
              <w:t xml:space="preserve"> acid in metastatic pancreatic cancer after previous gemcitabine-based therapy (NAPOLI-1): a global, randomised, open-label, phase 3 trial</w:t>
            </w:r>
          </w:p>
        </w:tc>
        <w:tc>
          <w:tcPr>
            <w:tcW w:w="1177" w:type="pct"/>
            <w:vAlign w:val="center"/>
          </w:tcPr>
          <w:p w:rsidR="002C5296" w:rsidRPr="009F0BEB" w:rsidRDefault="002C5296" w:rsidP="006B2DC0">
            <w:pPr>
              <w:pStyle w:val="Tabletext"/>
              <w:keepNext/>
              <w:rPr>
                <w:rFonts w:ascii="Times" w:hAnsi="Times"/>
              </w:rPr>
            </w:pPr>
            <w:r w:rsidRPr="009F0BEB">
              <w:t>Lancet. 387(10018):545-57</w:t>
            </w:r>
          </w:p>
        </w:tc>
      </w:tr>
      <w:tr w:rsidR="00A21444" w:rsidRPr="009F0BEB" w:rsidTr="00A21444">
        <w:trPr>
          <w:trHeight w:val="1373"/>
        </w:trPr>
        <w:tc>
          <w:tcPr>
            <w:tcW w:w="796" w:type="pct"/>
            <w:vMerge/>
            <w:vAlign w:val="center"/>
          </w:tcPr>
          <w:p w:rsidR="00A21444" w:rsidRPr="009F0BEB" w:rsidRDefault="00A21444" w:rsidP="006B2DC0">
            <w:pPr>
              <w:pStyle w:val="Tabletext"/>
              <w:keepNext/>
            </w:pPr>
          </w:p>
        </w:tc>
        <w:tc>
          <w:tcPr>
            <w:tcW w:w="3027" w:type="pct"/>
            <w:vAlign w:val="center"/>
          </w:tcPr>
          <w:p w:rsidR="00A21444" w:rsidRPr="009F0BEB" w:rsidRDefault="00A21444" w:rsidP="006B2DC0">
            <w:pPr>
              <w:pStyle w:val="Tabletext"/>
              <w:keepNext/>
            </w:pPr>
            <w:r w:rsidRPr="009F0BEB">
              <w:t>Blanc J et al (2017). Subgroup analysis by prior non-liposomal irinotecan therapy in NAPOLI-1: a phase 3 study of nal-IRI±5-fluorouracil/</w:t>
            </w:r>
            <w:proofErr w:type="spellStart"/>
            <w:r w:rsidRPr="009F0BEB">
              <w:t>leucovorin</w:t>
            </w:r>
            <w:proofErr w:type="spellEnd"/>
            <w:r w:rsidRPr="009F0BEB">
              <w:t xml:space="preserve"> in patients with metastatic pancreatic ductal adenocarcinoma previously treated with gemcitabine-based therapy</w:t>
            </w:r>
          </w:p>
        </w:tc>
        <w:tc>
          <w:tcPr>
            <w:tcW w:w="1177" w:type="pct"/>
            <w:vAlign w:val="center"/>
          </w:tcPr>
          <w:p w:rsidR="00A21444" w:rsidRPr="009F0BEB" w:rsidRDefault="00A21444" w:rsidP="006B2DC0">
            <w:pPr>
              <w:pStyle w:val="Tabletext"/>
              <w:keepNext/>
            </w:pPr>
            <w:r w:rsidRPr="009F0BEB">
              <w:t>European Society for Medical Oncology 19</w:t>
            </w:r>
            <w:r w:rsidRPr="009F0BEB">
              <w:rPr>
                <w:vertAlign w:val="superscript"/>
              </w:rPr>
              <w:t>th</w:t>
            </w:r>
            <w:r w:rsidRPr="009F0BEB">
              <w:t xml:space="preserve"> World Congress on Gastrointestinal Cancer, Barcelona, Spain [poster only]</w:t>
            </w:r>
          </w:p>
        </w:tc>
      </w:tr>
      <w:tr w:rsidR="002C5296" w:rsidRPr="009F0BEB" w:rsidTr="00A21444">
        <w:tc>
          <w:tcPr>
            <w:tcW w:w="796" w:type="pct"/>
            <w:vMerge/>
            <w:vAlign w:val="center"/>
          </w:tcPr>
          <w:p w:rsidR="002C5296" w:rsidRPr="009F0BEB" w:rsidRDefault="002C5296" w:rsidP="006B2DC0">
            <w:pPr>
              <w:pStyle w:val="Tabletext"/>
              <w:keepNext/>
            </w:pPr>
          </w:p>
        </w:tc>
        <w:tc>
          <w:tcPr>
            <w:tcW w:w="3027" w:type="pct"/>
            <w:vAlign w:val="center"/>
          </w:tcPr>
          <w:p w:rsidR="002C5296" w:rsidRPr="009F0BEB" w:rsidRDefault="002C5296" w:rsidP="006B2DC0">
            <w:pPr>
              <w:pStyle w:val="Tabletext"/>
              <w:keepNext/>
            </w:pPr>
            <w:r w:rsidRPr="009F0BEB">
              <w:t xml:space="preserve">Clinical study report: MM-398-07-03-01 (NAPOLI-1) (2015): A randomised, open-label phase 3 study of MM-398, with or without 5-fluorouracil and </w:t>
            </w:r>
            <w:proofErr w:type="spellStart"/>
            <w:r w:rsidRPr="009F0BEB">
              <w:t>leucovorin</w:t>
            </w:r>
            <w:proofErr w:type="spellEnd"/>
            <w:r w:rsidRPr="009F0BEB">
              <w:t xml:space="preserve"> in patients with metastatic pancreatic cancer who have failed prior gemcitabine-based therapy</w:t>
            </w:r>
          </w:p>
        </w:tc>
        <w:tc>
          <w:tcPr>
            <w:tcW w:w="1177" w:type="pct"/>
            <w:vAlign w:val="center"/>
          </w:tcPr>
          <w:p w:rsidR="002C5296" w:rsidRPr="009F0BEB" w:rsidRDefault="002C5296" w:rsidP="006B2DC0">
            <w:pPr>
              <w:pStyle w:val="Tabletext"/>
              <w:keepNext/>
              <w:rPr>
                <w:szCs w:val="18"/>
                <w:lang w:eastAsia="en-AU"/>
              </w:rPr>
            </w:pPr>
            <w:r w:rsidRPr="009F0BEB">
              <w:t>Internal study report</w:t>
            </w:r>
          </w:p>
        </w:tc>
      </w:tr>
      <w:tr w:rsidR="002C5296" w:rsidRPr="009F0BEB" w:rsidTr="00A21444">
        <w:tc>
          <w:tcPr>
            <w:tcW w:w="796" w:type="pct"/>
            <w:vMerge/>
            <w:vAlign w:val="center"/>
          </w:tcPr>
          <w:p w:rsidR="002C5296" w:rsidRPr="009F0BEB" w:rsidRDefault="002C5296" w:rsidP="006B2DC0">
            <w:pPr>
              <w:pStyle w:val="Tabletext"/>
              <w:keepNext/>
            </w:pPr>
          </w:p>
        </w:tc>
        <w:tc>
          <w:tcPr>
            <w:tcW w:w="3027" w:type="pct"/>
            <w:vAlign w:val="center"/>
          </w:tcPr>
          <w:p w:rsidR="002C5296" w:rsidRPr="009F0BEB" w:rsidRDefault="002C5296" w:rsidP="006B2DC0">
            <w:pPr>
              <w:pStyle w:val="Tabletext"/>
              <w:keepNext/>
            </w:pPr>
            <w:r w:rsidRPr="009F0BEB">
              <w:t>90 day safety update report of the NAPOLI-1 study. The report contains 16 months of additional safety data from the NAPOLI-1 study, following the primary analysis cut-off date for the data presented from the NAPOLI-1 study which was 14 February 2014. [Date of analysis: 21 July 2015]</w:t>
            </w:r>
          </w:p>
        </w:tc>
        <w:tc>
          <w:tcPr>
            <w:tcW w:w="1177" w:type="pct"/>
            <w:vAlign w:val="center"/>
          </w:tcPr>
          <w:p w:rsidR="002C5296" w:rsidRPr="009F0BEB" w:rsidRDefault="002C5296" w:rsidP="006B2DC0">
            <w:pPr>
              <w:pStyle w:val="Tabletext"/>
              <w:keepNext/>
              <w:rPr>
                <w:szCs w:val="18"/>
                <w:lang w:eastAsia="en-AU"/>
              </w:rPr>
            </w:pPr>
            <w:r w:rsidRPr="009F0BEB">
              <w:t>Internal study report</w:t>
            </w:r>
          </w:p>
        </w:tc>
      </w:tr>
    </w:tbl>
    <w:p w:rsidR="00862502" w:rsidRPr="009F0BEB" w:rsidRDefault="00390B49" w:rsidP="006B2DC0">
      <w:pPr>
        <w:pStyle w:val="TableFooter"/>
        <w:keepNext/>
        <w:widowControl/>
      </w:pPr>
      <w:r w:rsidRPr="009F0BEB">
        <w:t>Source: Table 2.2-1, pp39-40 and Attachment 1 of the resubmission</w:t>
      </w:r>
    </w:p>
    <w:p w:rsidR="00390B49" w:rsidRPr="009F0BEB" w:rsidRDefault="00390B49" w:rsidP="006B2DC0">
      <w:pPr>
        <w:widowControl/>
      </w:pPr>
    </w:p>
    <w:p w:rsidR="007F1017" w:rsidRPr="009F0BEB" w:rsidRDefault="008F120A" w:rsidP="006B2DC0">
      <w:pPr>
        <w:pStyle w:val="ListParagraph"/>
        <w:widowControl/>
        <w:numPr>
          <w:ilvl w:val="1"/>
          <w:numId w:val="3"/>
        </w:numPr>
      </w:pPr>
      <w:r w:rsidRPr="009F0BEB">
        <w:t xml:space="preserve">The key features of the </w:t>
      </w:r>
      <w:r w:rsidR="00A21444" w:rsidRPr="009F0BEB">
        <w:t xml:space="preserve">NAPOLI-1 trial </w:t>
      </w:r>
      <w:r w:rsidRPr="009F0BEB">
        <w:t xml:space="preserve">are summarised in the table below.  </w:t>
      </w:r>
    </w:p>
    <w:p w:rsidR="007F1017" w:rsidRPr="009F0BEB" w:rsidRDefault="00BD5270" w:rsidP="006B2DC0">
      <w:pPr>
        <w:widowControl/>
        <w:rPr>
          <w:rStyle w:val="CommentReference"/>
        </w:rPr>
      </w:pPr>
      <w:r w:rsidRPr="009F0BEB">
        <w:rPr>
          <w:rStyle w:val="CommentReference"/>
        </w:rPr>
        <w:lastRenderedPageBreak/>
        <w:t>Table 4</w:t>
      </w:r>
      <w:r w:rsidR="007F1017" w:rsidRPr="009F0BEB">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736"/>
        <w:gridCol w:w="1519"/>
        <w:gridCol w:w="890"/>
        <w:gridCol w:w="1797"/>
        <w:gridCol w:w="1068"/>
        <w:gridCol w:w="2080"/>
      </w:tblGrid>
      <w:tr w:rsidR="00B41614" w:rsidRPr="009F0BEB" w:rsidTr="00BD5270">
        <w:tc>
          <w:tcPr>
            <w:tcW w:w="547" w:type="pct"/>
            <w:shd w:val="clear" w:color="auto" w:fill="auto"/>
            <w:vAlign w:val="center"/>
          </w:tcPr>
          <w:p w:rsidR="007F1017" w:rsidRPr="009F0BEB" w:rsidRDefault="007F1017" w:rsidP="006B2DC0">
            <w:pPr>
              <w:pStyle w:val="Tabletext"/>
              <w:rPr>
                <w:b/>
                <w:lang w:val="en-US"/>
              </w:rPr>
            </w:pPr>
            <w:r w:rsidRPr="009F0BEB">
              <w:rPr>
                <w:b/>
                <w:lang w:val="en-US"/>
              </w:rPr>
              <w:t>Trial</w:t>
            </w:r>
          </w:p>
        </w:tc>
        <w:tc>
          <w:tcPr>
            <w:tcW w:w="405" w:type="pct"/>
            <w:shd w:val="clear" w:color="auto" w:fill="auto"/>
            <w:vAlign w:val="center"/>
          </w:tcPr>
          <w:p w:rsidR="007F1017" w:rsidRPr="009F0BEB" w:rsidRDefault="007F1017" w:rsidP="006B2DC0">
            <w:pPr>
              <w:pStyle w:val="Tabletext"/>
              <w:jc w:val="center"/>
              <w:rPr>
                <w:b/>
                <w:lang w:val="en-US"/>
              </w:rPr>
            </w:pPr>
            <w:r w:rsidRPr="009F0BEB">
              <w:rPr>
                <w:b/>
                <w:lang w:val="en-US"/>
              </w:rPr>
              <w:t>N</w:t>
            </w:r>
          </w:p>
        </w:tc>
        <w:tc>
          <w:tcPr>
            <w:tcW w:w="836" w:type="pct"/>
            <w:shd w:val="clear" w:color="auto" w:fill="auto"/>
            <w:vAlign w:val="center"/>
          </w:tcPr>
          <w:p w:rsidR="007F1017" w:rsidRPr="009F0BEB" w:rsidRDefault="007F1017" w:rsidP="006B2DC0">
            <w:pPr>
              <w:pStyle w:val="Tabletext"/>
              <w:jc w:val="center"/>
              <w:rPr>
                <w:b/>
                <w:lang w:val="en-US"/>
              </w:rPr>
            </w:pPr>
            <w:r w:rsidRPr="009F0BEB">
              <w:rPr>
                <w:b/>
                <w:lang w:val="en-US"/>
              </w:rPr>
              <w:t>Design/ duration</w:t>
            </w:r>
          </w:p>
        </w:tc>
        <w:tc>
          <w:tcPr>
            <w:tcW w:w="490" w:type="pct"/>
            <w:shd w:val="clear" w:color="auto" w:fill="auto"/>
            <w:vAlign w:val="center"/>
          </w:tcPr>
          <w:p w:rsidR="007F1017" w:rsidRPr="009F0BEB" w:rsidRDefault="007F1017" w:rsidP="006B2DC0">
            <w:pPr>
              <w:pStyle w:val="Tabletext"/>
              <w:jc w:val="center"/>
              <w:rPr>
                <w:b/>
                <w:lang w:val="en-US"/>
              </w:rPr>
            </w:pPr>
            <w:r w:rsidRPr="009F0BEB">
              <w:rPr>
                <w:b/>
                <w:lang w:val="en-US"/>
              </w:rPr>
              <w:t>Risk of bias</w:t>
            </w:r>
          </w:p>
        </w:tc>
        <w:tc>
          <w:tcPr>
            <w:tcW w:w="989" w:type="pct"/>
            <w:shd w:val="clear" w:color="auto" w:fill="auto"/>
            <w:vAlign w:val="center"/>
          </w:tcPr>
          <w:p w:rsidR="007F1017" w:rsidRPr="009F0BEB" w:rsidRDefault="007F1017" w:rsidP="006B2DC0">
            <w:pPr>
              <w:pStyle w:val="Tabletext"/>
              <w:jc w:val="center"/>
              <w:rPr>
                <w:b/>
                <w:lang w:val="en-US"/>
              </w:rPr>
            </w:pPr>
            <w:r w:rsidRPr="009F0BEB">
              <w:rPr>
                <w:b/>
                <w:lang w:val="en-US"/>
              </w:rPr>
              <w:t>Patient population</w:t>
            </w:r>
          </w:p>
        </w:tc>
        <w:tc>
          <w:tcPr>
            <w:tcW w:w="588" w:type="pct"/>
            <w:shd w:val="clear" w:color="auto" w:fill="auto"/>
            <w:vAlign w:val="center"/>
          </w:tcPr>
          <w:p w:rsidR="007F1017" w:rsidRPr="009F0BEB" w:rsidRDefault="007F1017" w:rsidP="006B2DC0">
            <w:pPr>
              <w:pStyle w:val="Tabletext"/>
              <w:jc w:val="center"/>
              <w:rPr>
                <w:b/>
                <w:lang w:val="en-US"/>
              </w:rPr>
            </w:pPr>
            <w:r w:rsidRPr="009F0BEB">
              <w:rPr>
                <w:b/>
                <w:lang w:val="en-US"/>
              </w:rPr>
              <w:t>Outcome(s)</w:t>
            </w:r>
          </w:p>
        </w:tc>
        <w:tc>
          <w:tcPr>
            <w:tcW w:w="1145" w:type="pct"/>
            <w:shd w:val="clear" w:color="auto" w:fill="auto"/>
            <w:vAlign w:val="center"/>
          </w:tcPr>
          <w:p w:rsidR="007F1017" w:rsidRPr="009F0BEB" w:rsidRDefault="007F1017" w:rsidP="006B2DC0">
            <w:pPr>
              <w:pStyle w:val="Tabletext"/>
              <w:jc w:val="center"/>
              <w:rPr>
                <w:b/>
                <w:lang w:val="en-US"/>
              </w:rPr>
            </w:pPr>
            <w:r w:rsidRPr="009F0BEB">
              <w:rPr>
                <w:b/>
                <w:lang w:val="en-US"/>
              </w:rPr>
              <w:t>Use in modelled evaluation</w:t>
            </w:r>
          </w:p>
        </w:tc>
      </w:tr>
      <w:tr w:rsidR="007F1017" w:rsidRPr="009F0BEB" w:rsidTr="00BD5270">
        <w:tc>
          <w:tcPr>
            <w:tcW w:w="5000" w:type="pct"/>
            <w:gridSpan w:val="7"/>
            <w:shd w:val="clear" w:color="auto" w:fill="auto"/>
            <w:vAlign w:val="center"/>
          </w:tcPr>
          <w:p w:rsidR="007F1017" w:rsidRPr="009F0BEB" w:rsidRDefault="00B6003E" w:rsidP="006B2DC0">
            <w:pPr>
              <w:pStyle w:val="Tabletext"/>
              <w:rPr>
                <w:b/>
                <w:lang w:val="en-US"/>
              </w:rPr>
            </w:pPr>
            <w:proofErr w:type="spellStart"/>
            <w:r w:rsidRPr="009F0BEB">
              <w:rPr>
                <w:b/>
                <w:lang w:val="en-US"/>
              </w:rPr>
              <w:t>Nal</w:t>
            </w:r>
            <w:proofErr w:type="spellEnd"/>
            <w:r w:rsidRPr="009F0BEB">
              <w:rPr>
                <w:b/>
                <w:lang w:val="en-US"/>
              </w:rPr>
              <w:t>-IRI</w:t>
            </w:r>
            <w:r w:rsidR="00A21444" w:rsidRPr="009F0BEB">
              <w:rPr>
                <w:b/>
                <w:lang w:val="en-US"/>
              </w:rPr>
              <w:t xml:space="preserve"> vs. 5-FU/</w:t>
            </w:r>
            <w:proofErr w:type="spellStart"/>
            <w:r w:rsidR="00A21444" w:rsidRPr="009F0BEB">
              <w:rPr>
                <w:b/>
                <w:lang w:val="en-US"/>
              </w:rPr>
              <w:t>folinic</w:t>
            </w:r>
            <w:proofErr w:type="spellEnd"/>
            <w:r w:rsidR="00A21444" w:rsidRPr="009F0BEB">
              <w:rPr>
                <w:b/>
                <w:lang w:val="en-US"/>
              </w:rPr>
              <w:t xml:space="preserve"> acid</w:t>
            </w:r>
          </w:p>
        </w:tc>
      </w:tr>
      <w:tr w:rsidR="00B41614" w:rsidRPr="009F0BEB" w:rsidTr="00BD5270">
        <w:tc>
          <w:tcPr>
            <w:tcW w:w="547" w:type="pct"/>
            <w:shd w:val="clear" w:color="auto" w:fill="auto"/>
            <w:vAlign w:val="center"/>
          </w:tcPr>
          <w:p w:rsidR="007F1017" w:rsidRPr="009F0BEB" w:rsidRDefault="00A21444" w:rsidP="006B2DC0">
            <w:pPr>
              <w:pStyle w:val="Tabletext"/>
              <w:rPr>
                <w:lang w:val="en-US"/>
              </w:rPr>
            </w:pPr>
            <w:r w:rsidRPr="009F0BEB">
              <w:rPr>
                <w:lang w:val="en-US"/>
              </w:rPr>
              <w:t>NAPOLI-1</w:t>
            </w:r>
          </w:p>
        </w:tc>
        <w:tc>
          <w:tcPr>
            <w:tcW w:w="405" w:type="pct"/>
            <w:shd w:val="clear" w:color="auto" w:fill="auto"/>
            <w:vAlign w:val="center"/>
          </w:tcPr>
          <w:p w:rsidR="007F1017" w:rsidRPr="009F0BEB" w:rsidRDefault="00A21444" w:rsidP="006B2DC0">
            <w:pPr>
              <w:pStyle w:val="Tabletext"/>
              <w:jc w:val="center"/>
              <w:rPr>
                <w:lang w:val="en-US"/>
              </w:rPr>
            </w:pPr>
            <w:r w:rsidRPr="009F0BEB">
              <w:rPr>
                <w:lang w:val="en-US"/>
              </w:rPr>
              <w:t>236</w:t>
            </w:r>
          </w:p>
        </w:tc>
        <w:tc>
          <w:tcPr>
            <w:tcW w:w="836" w:type="pct"/>
            <w:shd w:val="clear" w:color="auto" w:fill="auto"/>
            <w:vAlign w:val="center"/>
          </w:tcPr>
          <w:p w:rsidR="00A21444" w:rsidRPr="009F0BEB" w:rsidRDefault="00A21444" w:rsidP="006B2DC0">
            <w:pPr>
              <w:pStyle w:val="Tabletext"/>
              <w:jc w:val="center"/>
              <w:rPr>
                <w:lang w:val="en-US"/>
              </w:rPr>
            </w:pPr>
            <w:r w:rsidRPr="009F0BEB">
              <w:rPr>
                <w:lang w:val="en-US"/>
              </w:rPr>
              <w:t>M</w:t>
            </w:r>
            <w:r w:rsidR="00BD5270" w:rsidRPr="009F0BEB">
              <w:rPr>
                <w:lang w:val="en-US"/>
              </w:rPr>
              <w:t>ulti-</w:t>
            </w:r>
            <w:proofErr w:type="spellStart"/>
            <w:r w:rsidR="00BD5270" w:rsidRPr="009F0BEB">
              <w:rPr>
                <w:lang w:val="en-US"/>
              </w:rPr>
              <w:t>centre</w:t>
            </w:r>
            <w:proofErr w:type="spellEnd"/>
            <w:r w:rsidR="00BD5270" w:rsidRPr="009F0BEB">
              <w:rPr>
                <w:lang w:val="en-US"/>
              </w:rPr>
              <w:t xml:space="preserve">, </w:t>
            </w:r>
            <w:proofErr w:type="spellStart"/>
            <w:r w:rsidR="00BD5270" w:rsidRPr="009F0BEB">
              <w:rPr>
                <w:lang w:val="en-US"/>
              </w:rPr>
              <w:t>randomised</w:t>
            </w:r>
            <w:proofErr w:type="spellEnd"/>
            <w:r w:rsidR="00BD5270" w:rsidRPr="009F0BEB">
              <w:rPr>
                <w:lang w:val="en-US"/>
              </w:rPr>
              <w:t>, open label trial</w:t>
            </w:r>
            <w:r w:rsidRPr="009F0BEB">
              <w:rPr>
                <w:lang w:val="en-US"/>
              </w:rPr>
              <w:t xml:space="preserve"> </w:t>
            </w:r>
          </w:p>
          <w:p w:rsidR="007F1017" w:rsidRPr="009F0BEB" w:rsidRDefault="00A21444" w:rsidP="006B2DC0">
            <w:pPr>
              <w:pStyle w:val="Tabletext"/>
              <w:jc w:val="center"/>
              <w:rPr>
                <w:lang w:val="en-US"/>
              </w:rPr>
            </w:pPr>
            <w:r w:rsidRPr="009F0BEB">
              <w:rPr>
                <w:lang w:val="en-US"/>
              </w:rPr>
              <w:t>108 weeks + safety extension</w:t>
            </w:r>
          </w:p>
        </w:tc>
        <w:tc>
          <w:tcPr>
            <w:tcW w:w="490" w:type="pct"/>
            <w:shd w:val="clear" w:color="auto" w:fill="auto"/>
            <w:vAlign w:val="center"/>
          </w:tcPr>
          <w:p w:rsidR="007F1017" w:rsidRPr="009F0BEB" w:rsidRDefault="00A21444" w:rsidP="006B2DC0">
            <w:pPr>
              <w:pStyle w:val="Tabletext"/>
              <w:jc w:val="center"/>
              <w:rPr>
                <w:lang w:val="en-US"/>
              </w:rPr>
            </w:pPr>
            <w:r w:rsidRPr="009F0BEB">
              <w:rPr>
                <w:lang w:val="en-US"/>
              </w:rPr>
              <w:t>High</w:t>
            </w:r>
          </w:p>
        </w:tc>
        <w:tc>
          <w:tcPr>
            <w:tcW w:w="989" w:type="pct"/>
            <w:shd w:val="clear" w:color="auto" w:fill="auto"/>
            <w:vAlign w:val="center"/>
          </w:tcPr>
          <w:p w:rsidR="007F1017" w:rsidRPr="009F0BEB" w:rsidRDefault="00A21444" w:rsidP="006B2DC0">
            <w:pPr>
              <w:pStyle w:val="Tabletext"/>
              <w:jc w:val="center"/>
              <w:rPr>
                <w:lang w:val="en-US"/>
              </w:rPr>
            </w:pPr>
            <w:r w:rsidRPr="009F0BEB">
              <w:rPr>
                <w:lang w:val="en-US"/>
              </w:rPr>
              <w:t xml:space="preserve">Metastatic pancreatic cancer </w:t>
            </w:r>
            <w:r w:rsidR="00E83E04" w:rsidRPr="009F0BEB">
              <w:rPr>
                <w:lang w:val="en-US"/>
              </w:rPr>
              <w:t>patients who have failed gemcitabine</w:t>
            </w:r>
            <w:r w:rsidRPr="009F0BEB">
              <w:rPr>
                <w:lang w:val="en-US"/>
              </w:rPr>
              <w:t>-based therapy</w:t>
            </w:r>
          </w:p>
        </w:tc>
        <w:tc>
          <w:tcPr>
            <w:tcW w:w="588" w:type="pct"/>
            <w:shd w:val="clear" w:color="auto" w:fill="auto"/>
            <w:vAlign w:val="center"/>
          </w:tcPr>
          <w:p w:rsidR="007F1017" w:rsidRPr="009F0BEB" w:rsidRDefault="00BD5270" w:rsidP="006B2DC0">
            <w:pPr>
              <w:pStyle w:val="Tabletext"/>
              <w:jc w:val="center"/>
              <w:rPr>
                <w:lang w:val="en-US"/>
              </w:rPr>
            </w:pPr>
            <w:r w:rsidRPr="009F0BEB">
              <w:rPr>
                <w:lang w:val="en-US"/>
              </w:rPr>
              <w:t>Overall survival, progression-free survival</w:t>
            </w:r>
          </w:p>
        </w:tc>
        <w:tc>
          <w:tcPr>
            <w:tcW w:w="1145" w:type="pct"/>
            <w:shd w:val="clear" w:color="auto" w:fill="auto"/>
            <w:vAlign w:val="center"/>
          </w:tcPr>
          <w:p w:rsidR="007F1017" w:rsidRPr="009F0BEB" w:rsidRDefault="00A21444" w:rsidP="006B2DC0">
            <w:pPr>
              <w:pStyle w:val="Tabletext"/>
              <w:jc w:val="center"/>
              <w:rPr>
                <w:lang w:val="en-US"/>
              </w:rPr>
            </w:pPr>
            <w:r w:rsidRPr="009F0BEB">
              <w:rPr>
                <w:lang w:val="en-US"/>
              </w:rPr>
              <w:t>Yes. Based on updated post-hoc analyses of irinotecan naïve subgroup and ITT population</w:t>
            </w:r>
          </w:p>
        </w:tc>
      </w:tr>
    </w:tbl>
    <w:p w:rsidR="00390B49" w:rsidRPr="009F0BEB" w:rsidRDefault="00390B49" w:rsidP="006B2DC0">
      <w:pPr>
        <w:pStyle w:val="TableFooter"/>
        <w:widowControl/>
      </w:pPr>
      <w:r w:rsidRPr="009F0BEB">
        <w:t>Source: Table 2.2-2, pp41-42 of the submission</w:t>
      </w:r>
    </w:p>
    <w:p w:rsidR="007F1017" w:rsidRPr="009F0BEB" w:rsidRDefault="007F1017" w:rsidP="006B2DC0">
      <w:pPr>
        <w:widowControl/>
      </w:pPr>
    </w:p>
    <w:p w:rsidR="00045017" w:rsidRPr="009F0BEB" w:rsidRDefault="00390B49" w:rsidP="006B2DC0">
      <w:pPr>
        <w:pStyle w:val="ListParagraph"/>
        <w:widowControl/>
        <w:numPr>
          <w:ilvl w:val="1"/>
          <w:numId w:val="3"/>
        </w:numPr>
      </w:pPr>
      <w:r w:rsidRPr="009F0BEB">
        <w:t>The NAPOLI-1 trial had a high risk of bias due to the open-label design, particularly due to differences in frequency of monitoring</w:t>
      </w:r>
      <w:r w:rsidR="00563928" w:rsidRPr="009F0BEB">
        <w:t xml:space="preserve"> (e.g. patients receiving </w:t>
      </w:r>
      <w:proofErr w:type="spellStart"/>
      <w:r w:rsidR="00B6003E" w:rsidRPr="009F0BEB">
        <w:t>nal</w:t>
      </w:r>
      <w:proofErr w:type="spellEnd"/>
      <w:r w:rsidR="00F539A9" w:rsidRPr="009F0BEB">
        <w:noBreakHyphen/>
      </w:r>
      <w:r w:rsidR="00B6003E" w:rsidRPr="009F0BEB">
        <w:t>IRI</w:t>
      </w:r>
      <w:r w:rsidR="00563928" w:rsidRPr="009F0BEB">
        <w:t xml:space="preserve"> had scheduled physical exam</w:t>
      </w:r>
      <w:r w:rsidR="00C345A3" w:rsidRPr="009F0BEB">
        <w:t>ination</w:t>
      </w:r>
      <w:r w:rsidR="00563928" w:rsidRPr="009F0BEB">
        <w:t>s every 2 weeks compared with patients allocated to 5-FU/</w:t>
      </w:r>
      <w:proofErr w:type="spellStart"/>
      <w:r w:rsidR="00563928" w:rsidRPr="009F0BEB">
        <w:t>folinic</w:t>
      </w:r>
      <w:proofErr w:type="spellEnd"/>
      <w:r w:rsidR="00563928" w:rsidRPr="009F0BEB">
        <w:t xml:space="preserve"> acid who were examined every 3 weeks)</w:t>
      </w:r>
      <w:r w:rsidRPr="009F0BEB">
        <w:t xml:space="preserve"> between treatment arms while patients re</w:t>
      </w:r>
      <w:r w:rsidR="00BD5270" w:rsidRPr="009F0BEB">
        <w:t>mained on allocated treatments, leading to</w:t>
      </w:r>
      <w:r w:rsidRPr="009F0BEB">
        <w:t xml:space="preserve"> potential differences in disease management and detection bias between treatment arms.</w:t>
      </w:r>
    </w:p>
    <w:p w:rsidR="00390B49" w:rsidRPr="009F0BEB" w:rsidRDefault="00390B49" w:rsidP="006B2DC0">
      <w:pPr>
        <w:pStyle w:val="ListParagraph"/>
        <w:widowControl/>
        <w:numPr>
          <w:ilvl w:val="1"/>
          <w:numId w:val="3"/>
        </w:numPr>
      </w:pPr>
      <w:r w:rsidRPr="009F0BEB">
        <w:t xml:space="preserve">Although outcome assessors were largely blinded, a limited number of personnel could be </w:t>
      </w:r>
      <w:proofErr w:type="spellStart"/>
      <w:r w:rsidRPr="009F0BEB">
        <w:t>unblinded</w:t>
      </w:r>
      <w:proofErr w:type="spellEnd"/>
      <w:r w:rsidRPr="009F0BEB">
        <w:t xml:space="preserve"> due to differences in visit schedules between treatment arms.</w:t>
      </w:r>
      <w:r w:rsidR="009359AA" w:rsidRPr="009F0BEB">
        <w:t xml:space="preserve"> Th</w:t>
      </w:r>
      <w:r w:rsidR="00EA6A96" w:rsidRPr="009F0BEB">
        <w:t>ere</w:t>
      </w:r>
      <w:r w:rsidR="009359AA" w:rsidRPr="009F0BEB">
        <w:t xml:space="preserve"> is typically a higher risk of bias for outcomes determined by investigators (e.g. progression-free survival) compared to objective outcomes such as overall survival.</w:t>
      </w:r>
    </w:p>
    <w:p w:rsidR="00BD5270" w:rsidRPr="009F0BEB" w:rsidRDefault="00390B49" w:rsidP="006B2DC0">
      <w:pPr>
        <w:pStyle w:val="ListParagraph"/>
        <w:widowControl/>
        <w:numPr>
          <w:ilvl w:val="1"/>
          <w:numId w:val="3"/>
        </w:numPr>
      </w:pPr>
      <w:r w:rsidRPr="009F0BEB">
        <w:t>There was potential for survivor bias due to differential discontinuations and follow-up between treatm</w:t>
      </w:r>
      <w:r w:rsidR="009359AA" w:rsidRPr="009F0BEB">
        <w:t>ent arms in the NAPOLI-1 trial (m</w:t>
      </w:r>
      <w:r w:rsidRPr="009F0BEB">
        <w:t xml:space="preserve">ore patients </w:t>
      </w:r>
      <w:r w:rsidR="009359AA" w:rsidRPr="009F0BEB">
        <w:t>in</w:t>
      </w:r>
      <w:r w:rsidRPr="009F0BEB">
        <w:t xml:space="preserve"> the 5</w:t>
      </w:r>
      <w:r w:rsidR="00F539A9" w:rsidRPr="009F0BEB">
        <w:noBreakHyphen/>
      </w:r>
      <w:r w:rsidRPr="009F0BEB">
        <w:t>FU/</w:t>
      </w:r>
      <w:proofErr w:type="spellStart"/>
      <w:r w:rsidRPr="009F0BEB">
        <w:t>folinic</w:t>
      </w:r>
      <w:proofErr w:type="spellEnd"/>
      <w:r w:rsidRPr="009F0BEB">
        <w:t xml:space="preserve"> acid arm did not receive treatment because of patient decision </w:t>
      </w:r>
      <w:r w:rsidR="009359AA" w:rsidRPr="009F0BEB">
        <w:t xml:space="preserve">or withdrew consent for follow-up </w:t>
      </w:r>
      <w:r w:rsidRPr="009F0BEB">
        <w:t xml:space="preserve">compared to the </w:t>
      </w:r>
      <w:proofErr w:type="spellStart"/>
      <w:r w:rsidR="00B6003E" w:rsidRPr="009F0BEB">
        <w:t>nal</w:t>
      </w:r>
      <w:proofErr w:type="spellEnd"/>
      <w:r w:rsidR="00B6003E" w:rsidRPr="009F0BEB">
        <w:t>-IRI</w:t>
      </w:r>
      <w:r w:rsidR="009359AA" w:rsidRPr="009F0BEB">
        <w:t xml:space="preserve"> arm).</w:t>
      </w:r>
    </w:p>
    <w:p w:rsidR="00F539A9" w:rsidRPr="009F0BEB" w:rsidRDefault="00F539A9" w:rsidP="006B2DC0">
      <w:pPr>
        <w:pStyle w:val="ListParagraph"/>
        <w:widowControl/>
        <w:numPr>
          <w:ilvl w:val="1"/>
          <w:numId w:val="3"/>
        </w:numPr>
      </w:pPr>
      <w:r w:rsidRPr="009F0BEB">
        <w:t>The PBAC noted that the submission did not present any evidence of comparative efficacy between irinotecan (</w:t>
      </w:r>
      <w:proofErr w:type="spellStart"/>
      <w:r w:rsidRPr="009F0BEB">
        <w:t>nanoliposomal</w:t>
      </w:r>
      <w:proofErr w:type="spellEnd"/>
      <w:r w:rsidRPr="009F0BEB">
        <w:t>) and irinotecan.</w:t>
      </w:r>
    </w:p>
    <w:p w:rsidR="00B60939" w:rsidRPr="009F0BEB" w:rsidRDefault="00B60939" w:rsidP="00D13044">
      <w:pPr>
        <w:pStyle w:val="Heading2"/>
        <w:widowControl/>
        <w:spacing w:after="160"/>
      </w:pPr>
      <w:bookmarkStart w:id="5" w:name="_Toc502848552"/>
      <w:r w:rsidRPr="00A24A91">
        <w:t>Comparative effectiveness</w:t>
      </w:r>
      <w:bookmarkEnd w:id="5"/>
    </w:p>
    <w:p w:rsidR="002C2775" w:rsidRPr="009F0BEB" w:rsidRDefault="00083B1D" w:rsidP="006B2DC0">
      <w:pPr>
        <w:pStyle w:val="ListParagraph"/>
        <w:widowControl/>
        <w:numPr>
          <w:ilvl w:val="1"/>
          <w:numId w:val="3"/>
        </w:numPr>
      </w:pPr>
      <w:r w:rsidRPr="009F0BEB">
        <w:t xml:space="preserve">The resubmission presented data for the NAPOLI-1 whole trial population and subgroups of patients with/without prior exposure to irinotecan. </w:t>
      </w:r>
    </w:p>
    <w:p w:rsidR="00BB1E04" w:rsidRPr="009F0BEB" w:rsidRDefault="00390B49" w:rsidP="006B2DC0">
      <w:pPr>
        <w:pStyle w:val="ListParagraph"/>
        <w:widowControl/>
        <w:numPr>
          <w:ilvl w:val="1"/>
          <w:numId w:val="3"/>
        </w:numPr>
      </w:pPr>
      <w:r w:rsidRPr="009F0BEB">
        <w:rPr>
          <w:rFonts w:cs="Calibri"/>
          <w:snapToGrid/>
          <w:szCs w:val="24"/>
          <w:lang w:val="en-US" w:eastAsia="en-AU"/>
        </w:rPr>
        <w:t xml:space="preserve">The primary outcome </w:t>
      </w:r>
      <w:r w:rsidR="00BB1E04" w:rsidRPr="009F0BEB">
        <w:rPr>
          <w:rFonts w:cs="Calibri"/>
          <w:snapToGrid/>
          <w:szCs w:val="24"/>
          <w:lang w:val="en-US" w:eastAsia="en-AU"/>
        </w:rPr>
        <w:t xml:space="preserve">of overall survival </w:t>
      </w:r>
      <w:r w:rsidRPr="009F0BEB">
        <w:rPr>
          <w:rFonts w:cs="Calibri"/>
          <w:snapToGrid/>
          <w:szCs w:val="24"/>
          <w:lang w:val="en-US" w:eastAsia="en-AU"/>
        </w:rPr>
        <w:t>from the updated post-hoc analyses for the whole trial population from NAPOLI-1</w:t>
      </w:r>
      <w:r w:rsidR="00BB1E04" w:rsidRPr="009F0BEB">
        <w:rPr>
          <w:rFonts w:cs="Calibri"/>
          <w:snapToGrid/>
          <w:szCs w:val="24"/>
          <w:lang w:val="en-US" w:eastAsia="en-AU"/>
        </w:rPr>
        <w:t xml:space="preserve"> is </w:t>
      </w:r>
      <w:proofErr w:type="spellStart"/>
      <w:r w:rsidR="00BD5270" w:rsidRPr="009F0BEB">
        <w:rPr>
          <w:rFonts w:cs="Calibri"/>
          <w:snapToGrid/>
          <w:szCs w:val="24"/>
          <w:lang w:val="en-US" w:eastAsia="en-AU"/>
        </w:rPr>
        <w:t>summarised</w:t>
      </w:r>
      <w:proofErr w:type="spellEnd"/>
      <w:r w:rsidR="00BD5270" w:rsidRPr="009F0BEB">
        <w:rPr>
          <w:rFonts w:cs="Calibri"/>
          <w:snapToGrid/>
          <w:szCs w:val="24"/>
          <w:lang w:val="en-US" w:eastAsia="en-AU"/>
        </w:rPr>
        <w:t xml:space="preserve"> in Figure 1 and Table 5</w:t>
      </w:r>
      <w:r w:rsidR="00BB1E04" w:rsidRPr="009F0BEB">
        <w:rPr>
          <w:rFonts w:cs="Calibri"/>
          <w:snapToGrid/>
          <w:szCs w:val="24"/>
          <w:lang w:val="en-US" w:eastAsia="en-AU"/>
        </w:rPr>
        <w:t xml:space="preserve"> below.</w:t>
      </w:r>
    </w:p>
    <w:p w:rsidR="00BB1E04" w:rsidRPr="009F0BEB" w:rsidRDefault="00BD5270" w:rsidP="006B2DC0">
      <w:pPr>
        <w:keepNext/>
        <w:widowControl/>
        <w:rPr>
          <w:rStyle w:val="CommentReference"/>
        </w:rPr>
      </w:pPr>
      <w:r w:rsidRPr="009F0BEB">
        <w:rPr>
          <w:rStyle w:val="CommentReference"/>
        </w:rPr>
        <w:lastRenderedPageBreak/>
        <w:t>Figure 1</w:t>
      </w:r>
      <w:r w:rsidR="00BB1E04" w:rsidRPr="009F0BEB">
        <w:rPr>
          <w:rStyle w:val="CommentReference"/>
        </w:rPr>
        <w:t>: Updated post-hoc analysis of overall survival from NAPOLI-1 trial (ITT population)</w:t>
      </w:r>
    </w:p>
    <w:p w:rsidR="00BB1E04" w:rsidRPr="009F0BEB" w:rsidRDefault="00BB1E04" w:rsidP="006B2DC0">
      <w:pPr>
        <w:keepNext/>
        <w:widowControl/>
        <w:rPr>
          <w:color w:val="3366FF"/>
        </w:rPr>
      </w:pPr>
      <w:r w:rsidRPr="009F0BEB">
        <w:rPr>
          <w:noProof/>
          <w:color w:val="3366FF"/>
          <w:lang w:eastAsia="en-AU"/>
        </w:rPr>
        <w:drawing>
          <wp:inline distT="0" distB="0" distL="0" distR="0" wp14:anchorId="540400E0" wp14:editId="45A0AE77">
            <wp:extent cx="5700395" cy="3755390"/>
            <wp:effectExtent l="0" t="0" r="0" b="0"/>
            <wp:docPr id="1" name="Picture 1" title="Figure 1: Updated post-hoc analysis of overall survival from NAPOLI-1 tri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395" cy="3755390"/>
                    </a:xfrm>
                    <a:prstGeom prst="rect">
                      <a:avLst/>
                    </a:prstGeom>
                    <a:noFill/>
                  </pic:spPr>
                </pic:pic>
              </a:graphicData>
            </a:graphic>
          </wp:inline>
        </w:drawing>
      </w:r>
    </w:p>
    <w:tbl>
      <w:tblPr>
        <w:tblStyle w:val="Commentarytable"/>
        <w:tblW w:w="0" w:type="auto"/>
        <w:tblInd w:w="136" w:type="dxa"/>
        <w:tblLook w:val="04A0" w:firstRow="1" w:lastRow="0" w:firstColumn="1" w:lastColumn="0" w:noHBand="0" w:noVBand="1"/>
        <w:tblCaption w:val="Updated post-hoc analysis of overall survival from NAPOLI-1 trial (ITT population)"/>
      </w:tblPr>
      <w:tblGrid>
        <w:gridCol w:w="952"/>
        <w:gridCol w:w="1007"/>
        <w:gridCol w:w="1008"/>
        <w:gridCol w:w="1008"/>
        <w:gridCol w:w="1008"/>
        <w:gridCol w:w="1008"/>
        <w:gridCol w:w="1008"/>
        <w:gridCol w:w="1008"/>
        <w:gridCol w:w="1008"/>
      </w:tblGrid>
      <w:tr w:rsidR="00BB1E04" w:rsidRPr="009F0BEB" w:rsidTr="008C785F">
        <w:trPr>
          <w:tblHeader/>
        </w:trPr>
        <w:tc>
          <w:tcPr>
            <w:tcW w:w="952" w:type="dxa"/>
            <w:vMerge w:val="restart"/>
          </w:tcPr>
          <w:p w:rsidR="00BB1E04" w:rsidRPr="009F0BEB" w:rsidRDefault="00BB1E04" w:rsidP="006B2DC0">
            <w:pPr>
              <w:pStyle w:val="BodyText"/>
              <w:widowControl/>
              <w:rPr>
                <w:rFonts w:ascii="Arial Narrow" w:hAnsi="Arial Narrow"/>
                <w:b/>
                <w:sz w:val="20"/>
                <w:szCs w:val="20"/>
              </w:rPr>
            </w:pPr>
            <w:r w:rsidRPr="009F0BEB">
              <w:rPr>
                <w:rFonts w:ascii="Arial Narrow" w:hAnsi="Arial Narrow"/>
                <w:b/>
                <w:sz w:val="20"/>
                <w:szCs w:val="20"/>
              </w:rPr>
              <w:t>Patients at risk</w:t>
            </w:r>
          </w:p>
        </w:tc>
        <w:tc>
          <w:tcPr>
            <w:tcW w:w="8063" w:type="dxa"/>
            <w:gridSpan w:val="8"/>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Weeks</w:t>
            </w:r>
          </w:p>
        </w:tc>
      </w:tr>
      <w:tr w:rsidR="00BB1E04" w:rsidRPr="009F0BEB" w:rsidTr="008C785F">
        <w:trPr>
          <w:tblHeader/>
        </w:trPr>
        <w:tc>
          <w:tcPr>
            <w:tcW w:w="952" w:type="dxa"/>
            <w:vMerge/>
          </w:tcPr>
          <w:p w:rsidR="00BB1E04" w:rsidRPr="009F0BEB" w:rsidRDefault="00BB1E04" w:rsidP="006B2DC0">
            <w:pPr>
              <w:pStyle w:val="BodyText"/>
              <w:widowControl/>
              <w:rPr>
                <w:rFonts w:ascii="Arial Narrow" w:hAnsi="Arial Narrow"/>
                <w:b/>
                <w:sz w:val="20"/>
                <w:szCs w:val="20"/>
              </w:rPr>
            </w:pPr>
          </w:p>
        </w:tc>
        <w:tc>
          <w:tcPr>
            <w:tcW w:w="1007"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0</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10</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20</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30</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40</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55</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71</w:t>
            </w:r>
          </w:p>
        </w:tc>
        <w:tc>
          <w:tcPr>
            <w:tcW w:w="1008" w:type="dxa"/>
          </w:tcPr>
          <w:p w:rsidR="00BB1E04" w:rsidRPr="009F0BEB" w:rsidRDefault="00BB1E04" w:rsidP="006B2DC0">
            <w:pPr>
              <w:pStyle w:val="BodyText"/>
              <w:widowControl/>
              <w:jc w:val="center"/>
              <w:rPr>
                <w:rFonts w:ascii="Arial Narrow" w:hAnsi="Arial Narrow"/>
                <w:b/>
                <w:sz w:val="20"/>
                <w:szCs w:val="20"/>
              </w:rPr>
            </w:pPr>
            <w:r w:rsidRPr="009F0BEB">
              <w:rPr>
                <w:rFonts w:ascii="Arial Narrow" w:hAnsi="Arial Narrow"/>
                <w:b/>
                <w:sz w:val="20"/>
                <w:szCs w:val="20"/>
              </w:rPr>
              <w:t>108</w:t>
            </w:r>
          </w:p>
        </w:tc>
      </w:tr>
      <w:tr w:rsidR="00BB1E04" w:rsidRPr="009F0BEB" w:rsidTr="00083B1D">
        <w:tc>
          <w:tcPr>
            <w:tcW w:w="952" w:type="dxa"/>
          </w:tcPr>
          <w:p w:rsidR="00BB1E04" w:rsidRPr="009F0BEB" w:rsidRDefault="00BB1E04" w:rsidP="006B2DC0">
            <w:pPr>
              <w:pStyle w:val="BodyText"/>
              <w:widowControl/>
              <w:rPr>
                <w:rFonts w:ascii="Arial Narrow" w:hAnsi="Arial Narrow"/>
                <w:sz w:val="20"/>
                <w:szCs w:val="20"/>
              </w:rPr>
            </w:pPr>
            <w:proofErr w:type="spellStart"/>
            <w:r w:rsidRPr="009F0BEB">
              <w:rPr>
                <w:rFonts w:ascii="Arial Narrow" w:hAnsi="Arial Narrow"/>
                <w:sz w:val="20"/>
                <w:szCs w:val="20"/>
              </w:rPr>
              <w:t>Nal</w:t>
            </w:r>
            <w:proofErr w:type="spellEnd"/>
            <w:r w:rsidRPr="009F0BEB">
              <w:rPr>
                <w:rFonts w:ascii="Arial Narrow" w:hAnsi="Arial Narrow"/>
                <w:sz w:val="20"/>
                <w:szCs w:val="20"/>
              </w:rPr>
              <w:t>-</w:t>
            </w:r>
            <w:r w:rsidR="00B6003E" w:rsidRPr="009F0BEB">
              <w:rPr>
                <w:rFonts w:ascii="Arial Narrow" w:hAnsi="Arial Narrow"/>
                <w:sz w:val="20"/>
                <w:szCs w:val="20"/>
              </w:rPr>
              <w:t>IRI</w:t>
            </w:r>
          </w:p>
        </w:tc>
        <w:tc>
          <w:tcPr>
            <w:tcW w:w="1007"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117</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104</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71</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52</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40</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28</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18</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8</w:t>
            </w:r>
          </w:p>
        </w:tc>
      </w:tr>
      <w:tr w:rsidR="00BB1E04" w:rsidRPr="009F0BEB" w:rsidTr="00083B1D">
        <w:tc>
          <w:tcPr>
            <w:tcW w:w="952" w:type="dxa"/>
          </w:tcPr>
          <w:p w:rsidR="00BB1E04" w:rsidRPr="009F0BEB" w:rsidRDefault="00BB1E04" w:rsidP="006B2DC0">
            <w:pPr>
              <w:pStyle w:val="BodyText"/>
              <w:widowControl/>
              <w:rPr>
                <w:rFonts w:ascii="Arial Narrow" w:hAnsi="Arial Narrow"/>
                <w:sz w:val="20"/>
                <w:szCs w:val="20"/>
              </w:rPr>
            </w:pPr>
            <w:r w:rsidRPr="009F0BEB">
              <w:rPr>
                <w:rFonts w:ascii="Arial Narrow" w:hAnsi="Arial Narrow"/>
                <w:sz w:val="20"/>
                <w:szCs w:val="20"/>
              </w:rPr>
              <w:t>5-FU/LV</w:t>
            </w:r>
          </w:p>
        </w:tc>
        <w:tc>
          <w:tcPr>
            <w:tcW w:w="1007"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119</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77</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50</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35</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24</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16</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14</w:t>
            </w:r>
          </w:p>
        </w:tc>
        <w:tc>
          <w:tcPr>
            <w:tcW w:w="1008" w:type="dxa"/>
          </w:tcPr>
          <w:p w:rsidR="00BB1E04" w:rsidRPr="009F0BEB" w:rsidRDefault="00BB1E04" w:rsidP="006B2DC0">
            <w:pPr>
              <w:pStyle w:val="BodyText"/>
              <w:widowControl/>
              <w:jc w:val="center"/>
              <w:rPr>
                <w:rFonts w:ascii="Arial Narrow" w:hAnsi="Arial Narrow"/>
                <w:sz w:val="20"/>
                <w:szCs w:val="20"/>
              </w:rPr>
            </w:pPr>
            <w:r w:rsidRPr="009F0BEB">
              <w:rPr>
                <w:rFonts w:ascii="Arial Narrow" w:hAnsi="Arial Narrow"/>
                <w:sz w:val="20"/>
                <w:szCs w:val="20"/>
              </w:rPr>
              <w:t>9</w:t>
            </w:r>
          </w:p>
        </w:tc>
      </w:tr>
    </w:tbl>
    <w:p w:rsidR="00BB1E04" w:rsidRPr="009F0BEB" w:rsidRDefault="00BB1E04" w:rsidP="006B2DC0">
      <w:pPr>
        <w:pStyle w:val="TableFooter"/>
        <w:keepNext/>
        <w:widowControl/>
      </w:pPr>
      <w:r w:rsidRPr="009F0BEB">
        <w:t>Source: ‘</w:t>
      </w:r>
      <w:proofErr w:type="spellStart"/>
      <w:r w:rsidRPr="009F0BEB">
        <w:t>KMOSPrior</w:t>
      </w:r>
      <w:proofErr w:type="spellEnd"/>
      <w:r w:rsidRPr="009F0BEB">
        <w:t xml:space="preserve">’ Excel workbook and KM_OS_wk2_summary_Prot_v2_pats </w:t>
      </w:r>
      <w:proofErr w:type="spellStart"/>
      <w:r w:rsidRPr="009F0BEB">
        <w:t>stata</w:t>
      </w:r>
      <w:proofErr w:type="spellEnd"/>
      <w:r w:rsidRPr="009F0BEB">
        <w:t xml:space="preserve"> output, Appendix 4 of the resubmission</w:t>
      </w:r>
    </w:p>
    <w:p w:rsidR="00BB1E04" w:rsidRPr="009F0BEB" w:rsidRDefault="00BB1E04" w:rsidP="006B2DC0">
      <w:pPr>
        <w:pStyle w:val="TableFooter"/>
        <w:keepNext/>
        <w:widowControl/>
      </w:pPr>
      <w:r w:rsidRPr="009F0BEB">
        <w:t xml:space="preserve">Abbreviations: 5-FU/LV, 5-fluorouracil and </w:t>
      </w:r>
      <w:proofErr w:type="spellStart"/>
      <w:r w:rsidRPr="009F0BEB">
        <w:t>folinic</w:t>
      </w:r>
      <w:proofErr w:type="spellEnd"/>
      <w:r w:rsidRPr="009F0BEB">
        <w:t xml:space="preserve"> acid; CI, confidence interval; ITT, intent to treat; </w:t>
      </w:r>
      <w:proofErr w:type="spellStart"/>
      <w:r w:rsidRPr="009F0BEB">
        <w:t>Nal</w:t>
      </w:r>
      <w:proofErr w:type="spellEnd"/>
      <w:r w:rsidRPr="009F0BEB">
        <w:t>-</w:t>
      </w:r>
      <w:r w:rsidR="00B6003E" w:rsidRPr="009F0BEB">
        <w:t>IRI</w:t>
      </w:r>
      <w:r w:rsidRPr="009F0BEB">
        <w:t>, irinotecan (</w:t>
      </w:r>
      <w:proofErr w:type="spellStart"/>
      <w:r w:rsidRPr="009F0BEB">
        <w:t>nanoliposomal</w:t>
      </w:r>
      <w:proofErr w:type="spellEnd"/>
      <w:r w:rsidRPr="009F0BEB">
        <w:t>) plus 5-FU/</w:t>
      </w:r>
      <w:proofErr w:type="spellStart"/>
      <w:r w:rsidRPr="009F0BEB">
        <w:t>folinic</w:t>
      </w:r>
      <w:proofErr w:type="spellEnd"/>
      <w:r w:rsidRPr="009F0BEB">
        <w:t xml:space="preserve"> acid</w:t>
      </w:r>
    </w:p>
    <w:p w:rsidR="00BB1E04" w:rsidRPr="009F0BEB" w:rsidRDefault="00BB1E04" w:rsidP="006B2DC0">
      <w:pPr>
        <w:widowControl/>
        <w:rPr>
          <w:color w:val="3366FF"/>
        </w:rPr>
      </w:pPr>
    </w:p>
    <w:p w:rsidR="00BB1E04" w:rsidRPr="009F0BEB" w:rsidRDefault="00BD5270" w:rsidP="006B2DC0">
      <w:pPr>
        <w:pStyle w:val="TableHeading0"/>
        <w:spacing w:after="0"/>
      </w:pPr>
      <w:r w:rsidRPr="009F0BEB">
        <w:t>Table 5</w:t>
      </w:r>
      <w:r w:rsidR="00BB1E04" w:rsidRPr="009F0BEB">
        <w:t>: Updated post-hoc analysis of overall survival from NAPOLI-1 (ITT population)</w:t>
      </w:r>
    </w:p>
    <w:tbl>
      <w:tblPr>
        <w:tblStyle w:val="TableGrid2"/>
        <w:tblW w:w="0" w:type="auto"/>
        <w:tblInd w:w="136" w:type="dxa"/>
        <w:tblLook w:val="04A0" w:firstRow="1" w:lastRow="0" w:firstColumn="1" w:lastColumn="0" w:noHBand="0" w:noVBand="1"/>
        <w:tblCaption w:val="Table 5: Updated post-hoc analysis of overall survival from NAPOLI-1 (ITT population)"/>
      </w:tblPr>
      <w:tblGrid>
        <w:gridCol w:w="2978"/>
        <w:gridCol w:w="2268"/>
        <w:gridCol w:w="1984"/>
        <w:gridCol w:w="1785"/>
      </w:tblGrid>
      <w:tr w:rsidR="00BB1E04" w:rsidRPr="009F0BEB" w:rsidTr="008C785F">
        <w:trPr>
          <w:tblHeader/>
        </w:trPr>
        <w:tc>
          <w:tcPr>
            <w:tcW w:w="2978" w:type="dxa"/>
            <w:vAlign w:val="center"/>
          </w:tcPr>
          <w:p w:rsidR="00BB1E04" w:rsidRPr="009F0BEB" w:rsidRDefault="00BB1E04" w:rsidP="006B2DC0">
            <w:pPr>
              <w:keepNext/>
              <w:widowControl/>
              <w:rPr>
                <w:rFonts w:ascii="Arial Narrow" w:hAnsi="Arial Narrow"/>
                <w:b/>
                <w:sz w:val="20"/>
                <w:szCs w:val="20"/>
              </w:rPr>
            </w:pPr>
            <w:r w:rsidRPr="009F0BEB">
              <w:rPr>
                <w:rFonts w:ascii="Arial Narrow" w:hAnsi="Arial Narrow"/>
                <w:b/>
                <w:sz w:val="20"/>
                <w:szCs w:val="20"/>
              </w:rPr>
              <w:t>Overall survival</w:t>
            </w:r>
          </w:p>
        </w:tc>
        <w:tc>
          <w:tcPr>
            <w:tcW w:w="2268" w:type="dxa"/>
            <w:vAlign w:val="center"/>
          </w:tcPr>
          <w:p w:rsidR="00BB1E04" w:rsidRPr="009F0BEB" w:rsidRDefault="00B6003E" w:rsidP="006B2DC0">
            <w:pPr>
              <w:keepNext/>
              <w:widowControl/>
              <w:jc w:val="center"/>
              <w:rPr>
                <w:rFonts w:ascii="Arial Narrow" w:hAnsi="Arial Narrow"/>
                <w:b/>
                <w:sz w:val="20"/>
                <w:szCs w:val="20"/>
              </w:rPr>
            </w:pPr>
            <w:proofErr w:type="spellStart"/>
            <w:r w:rsidRPr="009F0BEB">
              <w:rPr>
                <w:rFonts w:ascii="Arial Narrow" w:hAnsi="Arial Narrow"/>
                <w:b/>
                <w:sz w:val="20"/>
                <w:szCs w:val="20"/>
              </w:rPr>
              <w:t>Nal</w:t>
            </w:r>
            <w:proofErr w:type="spellEnd"/>
            <w:r w:rsidRPr="009F0BEB">
              <w:rPr>
                <w:rFonts w:ascii="Arial Narrow" w:hAnsi="Arial Narrow"/>
                <w:b/>
                <w:sz w:val="20"/>
                <w:szCs w:val="20"/>
              </w:rPr>
              <w:t>-IRI</w:t>
            </w:r>
            <w:r w:rsidR="00BB1E04" w:rsidRPr="009F0BEB">
              <w:rPr>
                <w:rFonts w:ascii="Arial Narrow" w:hAnsi="Arial Narrow"/>
                <w:b/>
                <w:sz w:val="20"/>
                <w:szCs w:val="20"/>
              </w:rPr>
              <w:t xml:space="preserve"> </w:t>
            </w:r>
          </w:p>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N=117</w:t>
            </w:r>
          </w:p>
        </w:tc>
        <w:tc>
          <w:tcPr>
            <w:tcW w:w="1984" w:type="dxa"/>
            <w:vAlign w:val="center"/>
          </w:tcPr>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5-FU/</w:t>
            </w:r>
            <w:proofErr w:type="spellStart"/>
            <w:r w:rsidRPr="009F0BEB">
              <w:rPr>
                <w:rFonts w:ascii="Arial Narrow" w:hAnsi="Arial Narrow"/>
                <w:b/>
                <w:sz w:val="20"/>
                <w:szCs w:val="20"/>
              </w:rPr>
              <w:t>folinic</w:t>
            </w:r>
            <w:proofErr w:type="spellEnd"/>
            <w:r w:rsidRPr="009F0BEB">
              <w:rPr>
                <w:rFonts w:ascii="Arial Narrow" w:hAnsi="Arial Narrow"/>
                <w:b/>
                <w:sz w:val="20"/>
                <w:szCs w:val="20"/>
              </w:rPr>
              <w:t xml:space="preserve"> acid</w:t>
            </w:r>
          </w:p>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N=119</w:t>
            </w:r>
          </w:p>
        </w:tc>
        <w:tc>
          <w:tcPr>
            <w:tcW w:w="1785" w:type="dxa"/>
            <w:vAlign w:val="center"/>
          </w:tcPr>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HR (95% CI)</w:t>
            </w:r>
          </w:p>
        </w:tc>
      </w:tr>
      <w:tr w:rsidR="004C364C" w:rsidRPr="009F0BEB" w:rsidTr="00083B1D">
        <w:tc>
          <w:tcPr>
            <w:tcW w:w="2978" w:type="dxa"/>
            <w:vAlign w:val="center"/>
          </w:tcPr>
          <w:p w:rsidR="004C364C" w:rsidRPr="009F0BEB" w:rsidRDefault="004C364C" w:rsidP="006B2DC0">
            <w:pPr>
              <w:keepNext/>
              <w:widowControl/>
              <w:rPr>
                <w:rFonts w:ascii="Arial Narrow" w:hAnsi="Arial Narrow"/>
                <w:sz w:val="20"/>
                <w:szCs w:val="20"/>
              </w:rPr>
            </w:pPr>
            <w:r w:rsidRPr="009F0BEB">
              <w:rPr>
                <w:rFonts w:ascii="Arial Narrow" w:hAnsi="Arial Narrow"/>
                <w:sz w:val="20"/>
                <w:szCs w:val="20"/>
              </w:rPr>
              <w:t>Died, n/N (%)</w:t>
            </w:r>
          </w:p>
        </w:tc>
        <w:tc>
          <w:tcPr>
            <w:tcW w:w="2268" w:type="dxa"/>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105/117 (89.7)</w:t>
            </w:r>
          </w:p>
        </w:tc>
        <w:tc>
          <w:tcPr>
            <w:tcW w:w="1984" w:type="dxa"/>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102/119 (85.7)</w:t>
            </w:r>
          </w:p>
        </w:tc>
        <w:tc>
          <w:tcPr>
            <w:tcW w:w="1785" w:type="dxa"/>
            <w:vMerge w:val="restart"/>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0.75 (0.57, 0.99)</w:t>
            </w:r>
          </w:p>
        </w:tc>
      </w:tr>
      <w:tr w:rsidR="004C364C" w:rsidRPr="009F0BEB" w:rsidTr="00083B1D">
        <w:tc>
          <w:tcPr>
            <w:tcW w:w="2978" w:type="dxa"/>
            <w:vAlign w:val="center"/>
          </w:tcPr>
          <w:p w:rsidR="004C364C" w:rsidRPr="009F0BEB" w:rsidRDefault="004C364C" w:rsidP="006B2DC0">
            <w:pPr>
              <w:keepNext/>
              <w:widowControl/>
              <w:rPr>
                <w:rFonts w:ascii="Arial Narrow" w:hAnsi="Arial Narrow"/>
                <w:sz w:val="20"/>
                <w:szCs w:val="20"/>
              </w:rPr>
            </w:pPr>
            <w:r w:rsidRPr="009F0BEB">
              <w:rPr>
                <w:rFonts w:ascii="Arial Narrow" w:hAnsi="Arial Narrow"/>
                <w:sz w:val="20"/>
                <w:szCs w:val="20"/>
              </w:rPr>
              <w:t>Censored, n/N (%)</w:t>
            </w:r>
          </w:p>
        </w:tc>
        <w:tc>
          <w:tcPr>
            <w:tcW w:w="2268" w:type="dxa"/>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12/117 (10.3)</w:t>
            </w:r>
          </w:p>
        </w:tc>
        <w:tc>
          <w:tcPr>
            <w:tcW w:w="1984" w:type="dxa"/>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17/119 (14.3)</w:t>
            </w:r>
          </w:p>
        </w:tc>
        <w:tc>
          <w:tcPr>
            <w:tcW w:w="1785" w:type="dxa"/>
            <w:vMerge/>
            <w:vAlign w:val="center"/>
          </w:tcPr>
          <w:p w:rsidR="004C364C" w:rsidRPr="009F0BEB" w:rsidRDefault="004C364C" w:rsidP="006B2DC0">
            <w:pPr>
              <w:keepNext/>
              <w:widowControl/>
              <w:jc w:val="center"/>
              <w:rPr>
                <w:rFonts w:ascii="Arial Narrow" w:hAnsi="Arial Narrow"/>
                <w:sz w:val="20"/>
                <w:szCs w:val="20"/>
              </w:rPr>
            </w:pPr>
          </w:p>
        </w:tc>
      </w:tr>
      <w:tr w:rsidR="004C364C" w:rsidRPr="009F0BEB" w:rsidTr="00083B1D">
        <w:tc>
          <w:tcPr>
            <w:tcW w:w="2978" w:type="dxa"/>
            <w:vAlign w:val="center"/>
          </w:tcPr>
          <w:p w:rsidR="004C364C" w:rsidRPr="009F0BEB" w:rsidRDefault="004C364C"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2268" w:type="dxa"/>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27.1 (20.6, 36.6)</w:t>
            </w:r>
          </w:p>
        </w:tc>
        <w:tc>
          <w:tcPr>
            <w:tcW w:w="1984" w:type="dxa"/>
            <w:vAlign w:val="center"/>
          </w:tcPr>
          <w:p w:rsidR="004C364C" w:rsidRPr="009F0BEB" w:rsidRDefault="004C364C" w:rsidP="006B2DC0">
            <w:pPr>
              <w:keepNext/>
              <w:widowControl/>
              <w:jc w:val="center"/>
              <w:rPr>
                <w:rFonts w:ascii="Arial Narrow" w:hAnsi="Arial Narrow"/>
                <w:sz w:val="20"/>
                <w:szCs w:val="20"/>
              </w:rPr>
            </w:pPr>
            <w:r w:rsidRPr="009F0BEB">
              <w:rPr>
                <w:rFonts w:ascii="Arial Narrow" w:hAnsi="Arial Narrow"/>
                <w:sz w:val="20"/>
                <w:szCs w:val="20"/>
              </w:rPr>
              <w:t>18.4 (14.2, 23.1)</w:t>
            </w:r>
          </w:p>
        </w:tc>
        <w:tc>
          <w:tcPr>
            <w:tcW w:w="1785" w:type="dxa"/>
            <w:vMerge/>
            <w:vAlign w:val="center"/>
          </w:tcPr>
          <w:p w:rsidR="004C364C" w:rsidRPr="009F0BEB" w:rsidRDefault="004C364C" w:rsidP="006B2DC0">
            <w:pPr>
              <w:keepNext/>
              <w:widowControl/>
              <w:jc w:val="center"/>
              <w:rPr>
                <w:rFonts w:ascii="Arial Narrow" w:hAnsi="Arial Narrow"/>
                <w:sz w:val="20"/>
                <w:szCs w:val="20"/>
              </w:rPr>
            </w:pPr>
          </w:p>
        </w:tc>
      </w:tr>
    </w:tbl>
    <w:p w:rsidR="00BB1E04" w:rsidRPr="009F0BEB" w:rsidRDefault="00BB1E04" w:rsidP="006B2DC0">
      <w:pPr>
        <w:pStyle w:val="TableFooter"/>
        <w:widowControl/>
      </w:pPr>
      <w:r w:rsidRPr="009F0BEB">
        <w:t>Source: Post Hoc Analyses, Appendix 4 of the resubmission</w:t>
      </w:r>
    </w:p>
    <w:p w:rsidR="00BB1E04" w:rsidRPr="009F0BEB" w:rsidRDefault="00BB1E04" w:rsidP="006B2DC0">
      <w:pPr>
        <w:pStyle w:val="TableFooter"/>
        <w:widowControl/>
      </w:pPr>
      <w:r w:rsidRPr="009F0BEB">
        <w:t>Abbreviations: CI, confidence interval; HR, hazard ratio</w:t>
      </w:r>
    </w:p>
    <w:p w:rsidR="00BB1E04" w:rsidRPr="009F0BEB" w:rsidRDefault="00BB1E04" w:rsidP="006B2DC0">
      <w:pPr>
        <w:widowControl/>
        <w:rPr>
          <w:color w:val="3366FF"/>
        </w:rPr>
      </w:pPr>
    </w:p>
    <w:p w:rsidR="00254505" w:rsidRPr="009F0BEB" w:rsidRDefault="00BB1E04" w:rsidP="006B2DC0">
      <w:pPr>
        <w:pStyle w:val="ListParagraph"/>
        <w:widowControl/>
        <w:numPr>
          <w:ilvl w:val="1"/>
          <w:numId w:val="3"/>
        </w:numPr>
      </w:pPr>
      <w:r w:rsidRPr="009F0BEB">
        <w:t xml:space="preserve">Results from the updated post-hoc analysis show a statistically significant increase in median overall survival of 8.7 weeks associated with </w:t>
      </w:r>
      <w:proofErr w:type="spellStart"/>
      <w:r w:rsidR="00B6003E" w:rsidRPr="009F0BEB">
        <w:t>nal</w:t>
      </w:r>
      <w:proofErr w:type="spellEnd"/>
      <w:r w:rsidR="00B6003E" w:rsidRPr="009F0BEB">
        <w:t>-IRI</w:t>
      </w:r>
      <w:r w:rsidRPr="009F0BEB">
        <w:t xml:space="preserve"> treatment compared with 5-FU/</w:t>
      </w:r>
      <w:proofErr w:type="spellStart"/>
      <w:r w:rsidRPr="009F0BEB">
        <w:t>folinic</w:t>
      </w:r>
      <w:proofErr w:type="spellEnd"/>
      <w:r w:rsidRPr="009F0BEB">
        <w:t xml:space="preserve"> acid (HR 0.75, 95% CI 0.57, 0.99). The survival curves converged between 80 and 90 weeks. The results were </w:t>
      </w:r>
      <w:r w:rsidR="00254505" w:rsidRPr="009F0BEB">
        <w:t>the same as the</w:t>
      </w:r>
      <w:r w:rsidRPr="009F0BEB">
        <w:t xml:space="preserve"> data presented in the previous submission</w:t>
      </w:r>
      <w:r w:rsidR="00E75B1A" w:rsidRPr="009F0BEB">
        <w:t xml:space="preserve"> </w:t>
      </w:r>
      <w:r w:rsidR="004C364C" w:rsidRPr="009F0BEB">
        <w:t>(paragraph 6.15 irinotecan (</w:t>
      </w:r>
      <w:proofErr w:type="spellStart"/>
      <w:r w:rsidR="004C364C" w:rsidRPr="009F0BEB">
        <w:t>nanoliposomal</w:t>
      </w:r>
      <w:proofErr w:type="spellEnd"/>
      <w:r w:rsidR="004C364C" w:rsidRPr="009F0BEB">
        <w:t xml:space="preserve">) </w:t>
      </w:r>
      <w:r w:rsidR="00F25869">
        <w:t>PSD,</w:t>
      </w:r>
      <w:r w:rsidR="005578D6" w:rsidRPr="009F0BEB">
        <w:t xml:space="preserve"> November 2016)</w:t>
      </w:r>
      <w:r w:rsidRPr="009F0BEB">
        <w:t>.</w:t>
      </w:r>
      <w:r w:rsidR="00A65DC6" w:rsidRPr="009F0BEB">
        <w:t xml:space="preserve"> </w:t>
      </w:r>
    </w:p>
    <w:p w:rsidR="009359AA" w:rsidRPr="009F0BEB" w:rsidRDefault="00BB1E04" w:rsidP="006B2DC0">
      <w:pPr>
        <w:pStyle w:val="ListParagraph"/>
        <w:widowControl/>
        <w:numPr>
          <w:ilvl w:val="1"/>
          <w:numId w:val="3"/>
        </w:numPr>
      </w:pPr>
      <w:r w:rsidRPr="009F0BEB">
        <w:rPr>
          <w:rFonts w:cs="Calibri"/>
          <w:snapToGrid/>
          <w:szCs w:val="24"/>
          <w:lang w:val="en-US" w:eastAsia="en-AU"/>
        </w:rPr>
        <w:t>Progression-free survival from the updated post-hoc analyses for the whole trial popu</w:t>
      </w:r>
      <w:r w:rsidR="00BD5270" w:rsidRPr="009F0BEB">
        <w:rPr>
          <w:rFonts w:cs="Calibri"/>
          <w:snapToGrid/>
          <w:szCs w:val="24"/>
          <w:lang w:val="en-US" w:eastAsia="en-AU"/>
        </w:rPr>
        <w:t xml:space="preserve">lation from NAPOLI-1 is </w:t>
      </w:r>
      <w:proofErr w:type="spellStart"/>
      <w:r w:rsidR="00BD5270" w:rsidRPr="009F0BEB">
        <w:rPr>
          <w:rFonts w:cs="Calibri"/>
          <w:snapToGrid/>
          <w:szCs w:val="24"/>
          <w:lang w:val="en-US" w:eastAsia="en-AU"/>
        </w:rPr>
        <w:t>summarised</w:t>
      </w:r>
      <w:proofErr w:type="spellEnd"/>
      <w:r w:rsidR="00BD5270" w:rsidRPr="009F0BEB">
        <w:rPr>
          <w:rFonts w:cs="Calibri"/>
          <w:snapToGrid/>
          <w:szCs w:val="24"/>
          <w:lang w:val="en-US" w:eastAsia="en-AU"/>
        </w:rPr>
        <w:t xml:space="preserve"> in Figure 2 and Table 6</w:t>
      </w:r>
      <w:r w:rsidRPr="009F0BEB">
        <w:rPr>
          <w:rFonts w:cs="Calibri"/>
          <w:snapToGrid/>
          <w:szCs w:val="24"/>
          <w:lang w:val="en-US" w:eastAsia="en-AU"/>
        </w:rPr>
        <w:t xml:space="preserve"> below.</w:t>
      </w:r>
    </w:p>
    <w:p w:rsidR="00BB1E04" w:rsidRPr="009F0BEB" w:rsidRDefault="00BD5270" w:rsidP="006B2DC0">
      <w:pPr>
        <w:pStyle w:val="TableHeading0"/>
        <w:spacing w:after="0"/>
        <w:rPr>
          <w:snapToGrid w:val="0"/>
        </w:rPr>
      </w:pPr>
      <w:r w:rsidRPr="009F0BEB">
        <w:lastRenderedPageBreak/>
        <w:t>Figure 2</w:t>
      </w:r>
      <w:r w:rsidR="00BB1E04" w:rsidRPr="009F0BEB">
        <w:t>: Updated post-hoc analysis of progression-free survival from NAPOLI-1 trial (ITT population)</w:t>
      </w:r>
    </w:p>
    <w:p w:rsidR="00BB1E04" w:rsidRPr="009F0BEB" w:rsidRDefault="00BB1E04" w:rsidP="006B2DC0">
      <w:pPr>
        <w:keepNext/>
        <w:widowControl/>
        <w:rPr>
          <w:b/>
        </w:rPr>
      </w:pPr>
      <w:r w:rsidRPr="009F0BEB">
        <w:rPr>
          <w:noProof/>
          <w:color w:val="3366FF"/>
          <w:lang w:eastAsia="en-AU"/>
        </w:rPr>
        <w:drawing>
          <wp:inline distT="0" distB="0" distL="0" distR="0" wp14:anchorId="4DE9BC7E" wp14:editId="1AF1085D">
            <wp:extent cx="5694045" cy="3736975"/>
            <wp:effectExtent l="0" t="0" r="1905" b="0"/>
            <wp:docPr id="2" name="Picture 2" title="Figure 2: Updated post-hoc analysis of progression-free survival from NAPOLI-1 tri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4045" cy="3736975"/>
                    </a:xfrm>
                    <a:prstGeom prst="rect">
                      <a:avLst/>
                    </a:prstGeom>
                    <a:noFill/>
                  </pic:spPr>
                </pic:pic>
              </a:graphicData>
            </a:graphic>
          </wp:inline>
        </w:drawing>
      </w:r>
    </w:p>
    <w:tbl>
      <w:tblPr>
        <w:tblStyle w:val="Commentarytable"/>
        <w:tblW w:w="5000" w:type="pct"/>
        <w:tblLook w:val="04A0" w:firstRow="1" w:lastRow="0" w:firstColumn="1" w:lastColumn="0" w:noHBand="0" w:noVBand="1"/>
        <w:tblCaption w:val="Updated post-hoc analysis of progression-free survival from NAPOLI-1 trial (ITT population)"/>
      </w:tblPr>
      <w:tblGrid>
        <w:gridCol w:w="977"/>
        <w:gridCol w:w="1180"/>
        <w:gridCol w:w="1181"/>
        <w:gridCol w:w="1181"/>
        <w:gridCol w:w="1181"/>
        <w:gridCol w:w="1181"/>
        <w:gridCol w:w="1181"/>
        <w:gridCol w:w="1181"/>
      </w:tblGrid>
      <w:tr w:rsidR="00BB1E04" w:rsidRPr="009F0BEB" w:rsidTr="008C785F">
        <w:trPr>
          <w:tblHeader/>
        </w:trPr>
        <w:tc>
          <w:tcPr>
            <w:tcW w:w="528" w:type="pct"/>
            <w:vMerge w:val="restart"/>
          </w:tcPr>
          <w:p w:rsidR="00BB1E04" w:rsidRPr="009F0BEB" w:rsidRDefault="00BB1E04" w:rsidP="00A24A91">
            <w:pPr>
              <w:pStyle w:val="BodyText"/>
              <w:keepNext/>
              <w:widowControl/>
              <w:rPr>
                <w:rFonts w:ascii="Arial Narrow" w:hAnsi="Arial Narrow"/>
                <w:b/>
                <w:sz w:val="20"/>
                <w:szCs w:val="20"/>
              </w:rPr>
            </w:pPr>
            <w:r w:rsidRPr="009F0BEB">
              <w:rPr>
                <w:rFonts w:ascii="Arial Narrow" w:hAnsi="Arial Narrow"/>
                <w:b/>
                <w:sz w:val="20"/>
                <w:szCs w:val="20"/>
              </w:rPr>
              <w:t>Patients at risk</w:t>
            </w:r>
          </w:p>
        </w:tc>
        <w:tc>
          <w:tcPr>
            <w:tcW w:w="4472" w:type="pct"/>
            <w:gridSpan w:val="7"/>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Weeks</w:t>
            </w:r>
          </w:p>
        </w:tc>
      </w:tr>
      <w:tr w:rsidR="00BB1E04" w:rsidRPr="009F0BEB" w:rsidTr="008C785F">
        <w:trPr>
          <w:tblHeader/>
        </w:trPr>
        <w:tc>
          <w:tcPr>
            <w:tcW w:w="528" w:type="pct"/>
            <w:vMerge/>
          </w:tcPr>
          <w:p w:rsidR="00BB1E04" w:rsidRPr="009F0BEB" w:rsidRDefault="00BB1E04" w:rsidP="00A24A91">
            <w:pPr>
              <w:pStyle w:val="BodyText"/>
              <w:keepNext/>
              <w:widowControl/>
              <w:rPr>
                <w:rFonts w:ascii="Arial Narrow" w:hAnsi="Arial Narrow"/>
                <w:b/>
                <w:sz w:val="20"/>
                <w:szCs w:val="20"/>
              </w:rPr>
            </w:pPr>
          </w:p>
        </w:tc>
        <w:tc>
          <w:tcPr>
            <w:tcW w:w="638" w:type="pct"/>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0</w:t>
            </w:r>
          </w:p>
        </w:tc>
        <w:tc>
          <w:tcPr>
            <w:tcW w:w="639" w:type="pct"/>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10</w:t>
            </w:r>
          </w:p>
        </w:tc>
        <w:tc>
          <w:tcPr>
            <w:tcW w:w="639" w:type="pct"/>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23</w:t>
            </w:r>
          </w:p>
        </w:tc>
        <w:tc>
          <w:tcPr>
            <w:tcW w:w="639" w:type="pct"/>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35</w:t>
            </w:r>
          </w:p>
        </w:tc>
        <w:tc>
          <w:tcPr>
            <w:tcW w:w="639" w:type="pct"/>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48</w:t>
            </w:r>
          </w:p>
        </w:tc>
        <w:tc>
          <w:tcPr>
            <w:tcW w:w="639" w:type="pct"/>
          </w:tcPr>
          <w:p w:rsidR="00BB1E04" w:rsidRPr="009F0BEB" w:rsidRDefault="00BB1E04" w:rsidP="00A24A91">
            <w:pPr>
              <w:pStyle w:val="BodyText"/>
              <w:keepNext/>
              <w:widowControl/>
              <w:jc w:val="center"/>
              <w:rPr>
                <w:rFonts w:ascii="Arial Narrow" w:hAnsi="Arial Narrow"/>
                <w:b/>
                <w:sz w:val="20"/>
                <w:szCs w:val="20"/>
                <w:vertAlign w:val="superscript"/>
              </w:rPr>
            </w:pPr>
            <w:r w:rsidRPr="009F0BEB">
              <w:rPr>
                <w:rFonts w:ascii="Arial Narrow" w:hAnsi="Arial Narrow"/>
                <w:b/>
                <w:sz w:val="20"/>
                <w:szCs w:val="20"/>
              </w:rPr>
              <w:t>64/65</w:t>
            </w:r>
            <w:r w:rsidRPr="009F0BEB">
              <w:rPr>
                <w:rFonts w:ascii="Arial Narrow" w:hAnsi="Arial Narrow"/>
                <w:b/>
                <w:sz w:val="20"/>
                <w:szCs w:val="20"/>
                <w:vertAlign w:val="superscript"/>
              </w:rPr>
              <w:t>a</w:t>
            </w:r>
          </w:p>
        </w:tc>
        <w:tc>
          <w:tcPr>
            <w:tcW w:w="639" w:type="pct"/>
          </w:tcPr>
          <w:p w:rsidR="00BB1E04" w:rsidRPr="009F0BEB" w:rsidRDefault="00BB1E04" w:rsidP="00A24A91">
            <w:pPr>
              <w:pStyle w:val="BodyText"/>
              <w:keepNext/>
              <w:widowControl/>
              <w:jc w:val="center"/>
              <w:rPr>
                <w:rFonts w:ascii="Arial Narrow" w:hAnsi="Arial Narrow"/>
                <w:b/>
                <w:sz w:val="20"/>
                <w:szCs w:val="20"/>
              </w:rPr>
            </w:pPr>
            <w:r w:rsidRPr="009F0BEB">
              <w:rPr>
                <w:rFonts w:ascii="Arial Narrow" w:hAnsi="Arial Narrow"/>
                <w:b/>
                <w:sz w:val="20"/>
                <w:szCs w:val="20"/>
              </w:rPr>
              <w:t>83/87</w:t>
            </w:r>
            <w:r w:rsidRPr="009F0BEB">
              <w:rPr>
                <w:rFonts w:ascii="Arial Narrow" w:hAnsi="Arial Narrow"/>
                <w:b/>
                <w:sz w:val="20"/>
                <w:szCs w:val="20"/>
                <w:vertAlign w:val="superscript"/>
              </w:rPr>
              <w:t>a</w:t>
            </w:r>
          </w:p>
        </w:tc>
      </w:tr>
      <w:tr w:rsidR="00BB1E04" w:rsidRPr="009F0BEB" w:rsidTr="00000306">
        <w:tc>
          <w:tcPr>
            <w:tcW w:w="528" w:type="pct"/>
          </w:tcPr>
          <w:p w:rsidR="00BB1E04" w:rsidRPr="009F0BEB" w:rsidRDefault="00BB1E04" w:rsidP="00A24A91">
            <w:pPr>
              <w:pStyle w:val="BodyText"/>
              <w:keepNext/>
              <w:widowControl/>
              <w:rPr>
                <w:rFonts w:ascii="Arial Narrow" w:hAnsi="Arial Narrow"/>
                <w:sz w:val="20"/>
                <w:szCs w:val="20"/>
              </w:rPr>
            </w:pPr>
            <w:proofErr w:type="spellStart"/>
            <w:r w:rsidRPr="009F0BEB">
              <w:rPr>
                <w:rFonts w:ascii="Arial Narrow" w:hAnsi="Arial Narrow"/>
                <w:sz w:val="20"/>
                <w:szCs w:val="20"/>
              </w:rPr>
              <w:t>Nal</w:t>
            </w:r>
            <w:proofErr w:type="spellEnd"/>
            <w:r w:rsidRPr="009F0BEB">
              <w:rPr>
                <w:rFonts w:ascii="Arial Narrow" w:hAnsi="Arial Narrow"/>
                <w:sz w:val="20"/>
                <w:szCs w:val="20"/>
              </w:rPr>
              <w:t>-</w:t>
            </w:r>
            <w:r w:rsidR="00B6003E" w:rsidRPr="009F0BEB">
              <w:rPr>
                <w:rFonts w:ascii="Arial Narrow" w:hAnsi="Arial Narrow"/>
                <w:sz w:val="20"/>
                <w:szCs w:val="20"/>
              </w:rPr>
              <w:t>IRI</w:t>
            </w:r>
          </w:p>
        </w:tc>
        <w:tc>
          <w:tcPr>
            <w:tcW w:w="638"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117</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65</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32</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20</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12</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6</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3</w:t>
            </w:r>
          </w:p>
        </w:tc>
      </w:tr>
      <w:tr w:rsidR="00BB1E04" w:rsidRPr="009F0BEB" w:rsidTr="00000306">
        <w:tc>
          <w:tcPr>
            <w:tcW w:w="528" w:type="pct"/>
          </w:tcPr>
          <w:p w:rsidR="00BB1E04" w:rsidRPr="009F0BEB" w:rsidRDefault="00BB1E04" w:rsidP="00A24A91">
            <w:pPr>
              <w:pStyle w:val="BodyText"/>
              <w:keepNext/>
              <w:widowControl/>
              <w:rPr>
                <w:rFonts w:ascii="Arial Narrow" w:hAnsi="Arial Narrow"/>
                <w:sz w:val="20"/>
                <w:szCs w:val="20"/>
              </w:rPr>
            </w:pPr>
            <w:r w:rsidRPr="009F0BEB">
              <w:rPr>
                <w:rFonts w:ascii="Arial Narrow" w:hAnsi="Arial Narrow"/>
                <w:sz w:val="20"/>
                <w:szCs w:val="20"/>
              </w:rPr>
              <w:t>5-FU/LV</w:t>
            </w:r>
          </w:p>
        </w:tc>
        <w:tc>
          <w:tcPr>
            <w:tcW w:w="638"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119</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38</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13</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7</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4</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3</w:t>
            </w:r>
          </w:p>
        </w:tc>
        <w:tc>
          <w:tcPr>
            <w:tcW w:w="639" w:type="pct"/>
          </w:tcPr>
          <w:p w:rsidR="00BB1E04" w:rsidRPr="009F0BEB" w:rsidRDefault="00BB1E04" w:rsidP="00A24A91">
            <w:pPr>
              <w:pStyle w:val="BodyText"/>
              <w:keepNext/>
              <w:widowControl/>
              <w:jc w:val="center"/>
              <w:rPr>
                <w:rFonts w:ascii="Arial Narrow" w:hAnsi="Arial Narrow"/>
                <w:sz w:val="20"/>
                <w:szCs w:val="20"/>
              </w:rPr>
            </w:pPr>
            <w:r w:rsidRPr="009F0BEB">
              <w:rPr>
                <w:rFonts w:ascii="Arial Narrow" w:hAnsi="Arial Narrow"/>
                <w:sz w:val="20"/>
                <w:szCs w:val="20"/>
              </w:rPr>
              <w:t>1</w:t>
            </w:r>
          </w:p>
        </w:tc>
      </w:tr>
    </w:tbl>
    <w:p w:rsidR="00BB1E04" w:rsidRPr="009F0BEB" w:rsidRDefault="00BB1E04" w:rsidP="006B2DC0">
      <w:pPr>
        <w:pStyle w:val="TableFooter"/>
        <w:widowControl/>
      </w:pPr>
      <w:r w:rsidRPr="009F0BEB">
        <w:t>Source: ‘</w:t>
      </w:r>
      <w:proofErr w:type="spellStart"/>
      <w:r w:rsidRPr="009F0BEB">
        <w:t>KMPFSPrior</w:t>
      </w:r>
      <w:proofErr w:type="spellEnd"/>
      <w:r w:rsidRPr="009F0BEB">
        <w:t>’ Excel workbook, Appendix 4 of the resubmission</w:t>
      </w:r>
    </w:p>
    <w:p w:rsidR="00BB1E04" w:rsidRPr="009F0BEB" w:rsidRDefault="00BB1E04" w:rsidP="006B2DC0">
      <w:pPr>
        <w:pStyle w:val="TableFooter"/>
        <w:widowControl/>
      </w:pPr>
      <w:r w:rsidRPr="009F0BEB">
        <w:t xml:space="preserve">Abbreviations: 5-FU/LV, 5-fluorouracil and </w:t>
      </w:r>
      <w:proofErr w:type="spellStart"/>
      <w:r w:rsidRPr="009F0BEB">
        <w:t>folinic</w:t>
      </w:r>
      <w:proofErr w:type="spellEnd"/>
      <w:r w:rsidRPr="009F0BEB">
        <w:t xml:space="preserve"> acid; CI, confidence interval; ITT, intent to treat; </w:t>
      </w:r>
      <w:proofErr w:type="spellStart"/>
      <w:r w:rsidRPr="009F0BEB">
        <w:t>Nal</w:t>
      </w:r>
      <w:proofErr w:type="spellEnd"/>
      <w:r w:rsidRPr="009F0BEB">
        <w:t>-</w:t>
      </w:r>
      <w:r w:rsidR="00B6003E" w:rsidRPr="009F0BEB">
        <w:t>IRI</w:t>
      </w:r>
      <w:r w:rsidRPr="009F0BEB">
        <w:t>, irinotecan (</w:t>
      </w:r>
      <w:proofErr w:type="spellStart"/>
      <w:r w:rsidRPr="009F0BEB">
        <w:t>nanoliposomal</w:t>
      </w:r>
      <w:proofErr w:type="spellEnd"/>
      <w:r w:rsidRPr="009F0BEB">
        <w:t>) plus 5-FU/</w:t>
      </w:r>
      <w:proofErr w:type="spellStart"/>
      <w:r w:rsidRPr="009F0BEB">
        <w:t>folinic</w:t>
      </w:r>
      <w:proofErr w:type="spellEnd"/>
      <w:r w:rsidRPr="009F0BEB">
        <w:t xml:space="preserve"> acid</w:t>
      </w:r>
    </w:p>
    <w:p w:rsidR="00BB1E04" w:rsidRPr="009F0BEB" w:rsidRDefault="00BB1E04" w:rsidP="006B2DC0">
      <w:pPr>
        <w:pStyle w:val="TableFooter"/>
        <w:widowControl/>
      </w:pPr>
      <w:proofErr w:type="gramStart"/>
      <w:r w:rsidRPr="009F0BEB">
        <w:rPr>
          <w:vertAlign w:val="superscript"/>
        </w:rPr>
        <w:t>a</w:t>
      </w:r>
      <w:proofErr w:type="gramEnd"/>
      <w:r w:rsidRPr="009F0BEB">
        <w:t xml:space="preserve"> No common </w:t>
      </w:r>
      <w:proofErr w:type="spellStart"/>
      <w:r w:rsidRPr="009F0BEB">
        <w:t>timepoint</w:t>
      </w:r>
      <w:proofErr w:type="spellEnd"/>
      <w:r w:rsidRPr="009F0BEB">
        <w:t xml:space="preserve"> for patients remaining at risk was available</w:t>
      </w:r>
      <w:r w:rsidR="00BA3FB4">
        <w:t>.</w:t>
      </w:r>
      <w:r w:rsidRPr="009F0BEB">
        <w:t xml:space="preserve"> </w:t>
      </w:r>
    </w:p>
    <w:p w:rsidR="00BB1E04" w:rsidRPr="009F0BEB" w:rsidRDefault="00BB1E04" w:rsidP="006B2DC0">
      <w:pPr>
        <w:widowControl/>
        <w:rPr>
          <w:color w:val="3366FF"/>
        </w:rPr>
      </w:pPr>
    </w:p>
    <w:p w:rsidR="00BB1E04" w:rsidRPr="009F0BEB" w:rsidRDefault="00BD5270" w:rsidP="006B2DC0">
      <w:pPr>
        <w:pStyle w:val="TableHeading0"/>
        <w:spacing w:after="0"/>
      </w:pPr>
      <w:r w:rsidRPr="009F0BEB">
        <w:t>Table 6</w:t>
      </w:r>
      <w:r w:rsidR="00BB1E04" w:rsidRPr="009F0BEB">
        <w:t>: Updated post-hoc analysis of progression-free survival from NAPOLI-1 (ITT population)</w:t>
      </w:r>
    </w:p>
    <w:tbl>
      <w:tblPr>
        <w:tblStyle w:val="TableGrid2"/>
        <w:tblW w:w="5000" w:type="pct"/>
        <w:tblLook w:val="04A0" w:firstRow="1" w:lastRow="0" w:firstColumn="1" w:lastColumn="0" w:noHBand="0" w:noVBand="1"/>
        <w:tblCaption w:val="Table 6: Updated post-hoc analysis of progression-free survival from NAPOLI-1 (ITT population)"/>
      </w:tblPr>
      <w:tblGrid>
        <w:gridCol w:w="3054"/>
        <w:gridCol w:w="2063"/>
        <w:gridCol w:w="2063"/>
        <w:gridCol w:w="2063"/>
      </w:tblGrid>
      <w:tr w:rsidR="00BB1E04" w:rsidRPr="009F0BEB" w:rsidTr="008C785F">
        <w:trPr>
          <w:tblHeader/>
        </w:trPr>
        <w:tc>
          <w:tcPr>
            <w:tcW w:w="1652" w:type="pct"/>
            <w:vAlign w:val="center"/>
          </w:tcPr>
          <w:p w:rsidR="00BB1E04" w:rsidRPr="009F0BEB" w:rsidRDefault="00BB1E04" w:rsidP="006B2DC0">
            <w:pPr>
              <w:keepNext/>
              <w:widowControl/>
              <w:rPr>
                <w:rFonts w:ascii="Arial Narrow" w:hAnsi="Arial Narrow"/>
                <w:b/>
                <w:sz w:val="20"/>
                <w:szCs w:val="20"/>
              </w:rPr>
            </w:pPr>
            <w:r w:rsidRPr="009F0BEB">
              <w:rPr>
                <w:rFonts w:ascii="Arial Narrow" w:hAnsi="Arial Narrow"/>
                <w:b/>
                <w:sz w:val="20"/>
                <w:szCs w:val="20"/>
              </w:rPr>
              <w:t>Progression-free survival</w:t>
            </w:r>
          </w:p>
        </w:tc>
        <w:tc>
          <w:tcPr>
            <w:tcW w:w="1116" w:type="pct"/>
            <w:vAlign w:val="center"/>
          </w:tcPr>
          <w:p w:rsidR="00BB1E04" w:rsidRPr="009F0BEB" w:rsidRDefault="00B6003E" w:rsidP="006B2DC0">
            <w:pPr>
              <w:keepNext/>
              <w:widowControl/>
              <w:jc w:val="center"/>
              <w:rPr>
                <w:rFonts w:ascii="Arial Narrow" w:hAnsi="Arial Narrow"/>
                <w:b/>
                <w:sz w:val="20"/>
                <w:szCs w:val="20"/>
              </w:rPr>
            </w:pPr>
            <w:proofErr w:type="spellStart"/>
            <w:r w:rsidRPr="009F0BEB">
              <w:rPr>
                <w:rFonts w:ascii="Arial Narrow" w:hAnsi="Arial Narrow"/>
                <w:b/>
                <w:sz w:val="20"/>
                <w:szCs w:val="20"/>
              </w:rPr>
              <w:t>Nal</w:t>
            </w:r>
            <w:proofErr w:type="spellEnd"/>
            <w:r w:rsidRPr="009F0BEB">
              <w:rPr>
                <w:rFonts w:ascii="Arial Narrow" w:hAnsi="Arial Narrow"/>
                <w:b/>
                <w:sz w:val="20"/>
                <w:szCs w:val="20"/>
              </w:rPr>
              <w:t>-IRI</w:t>
            </w:r>
            <w:r w:rsidR="00BB1E04" w:rsidRPr="009F0BEB">
              <w:rPr>
                <w:rFonts w:ascii="Arial Narrow" w:hAnsi="Arial Narrow"/>
                <w:b/>
                <w:sz w:val="20"/>
                <w:szCs w:val="20"/>
              </w:rPr>
              <w:t xml:space="preserve"> </w:t>
            </w:r>
          </w:p>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N=117</w:t>
            </w:r>
          </w:p>
        </w:tc>
        <w:tc>
          <w:tcPr>
            <w:tcW w:w="1116" w:type="pct"/>
            <w:vAlign w:val="center"/>
          </w:tcPr>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5-FU/</w:t>
            </w:r>
            <w:proofErr w:type="spellStart"/>
            <w:r w:rsidRPr="009F0BEB">
              <w:rPr>
                <w:rFonts w:ascii="Arial Narrow" w:hAnsi="Arial Narrow"/>
                <w:b/>
                <w:sz w:val="20"/>
                <w:szCs w:val="20"/>
              </w:rPr>
              <w:t>folinic</w:t>
            </w:r>
            <w:proofErr w:type="spellEnd"/>
            <w:r w:rsidRPr="009F0BEB">
              <w:rPr>
                <w:rFonts w:ascii="Arial Narrow" w:hAnsi="Arial Narrow"/>
                <w:b/>
                <w:sz w:val="20"/>
                <w:szCs w:val="20"/>
              </w:rPr>
              <w:t xml:space="preserve"> acid</w:t>
            </w:r>
          </w:p>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N=119</w:t>
            </w:r>
          </w:p>
        </w:tc>
        <w:tc>
          <w:tcPr>
            <w:tcW w:w="1116" w:type="pct"/>
            <w:vAlign w:val="center"/>
          </w:tcPr>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HR (95% CI)</w:t>
            </w:r>
          </w:p>
        </w:tc>
      </w:tr>
      <w:tr w:rsidR="00BB1E04" w:rsidRPr="009F0BEB" w:rsidTr="00000306">
        <w:tc>
          <w:tcPr>
            <w:tcW w:w="1652" w:type="pct"/>
            <w:vAlign w:val="center"/>
          </w:tcPr>
          <w:p w:rsidR="00BB1E04" w:rsidRPr="009F0BEB" w:rsidRDefault="00BB1E04" w:rsidP="006B2DC0">
            <w:pPr>
              <w:keepNext/>
              <w:widowControl/>
              <w:rPr>
                <w:rFonts w:ascii="Arial Narrow" w:hAnsi="Arial Narrow"/>
                <w:sz w:val="20"/>
                <w:szCs w:val="20"/>
              </w:rPr>
            </w:pPr>
            <w:r w:rsidRPr="009F0BEB">
              <w:rPr>
                <w:rFonts w:ascii="Arial Narrow" w:hAnsi="Arial Narrow"/>
                <w:sz w:val="20"/>
                <w:szCs w:val="20"/>
              </w:rPr>
              <w:t>Patients with events, n/N (%)</w:t>
            </w:r>
          </w:p>
        </w:tc>
        <w:tc>
          <w:tcPr>
            <w:tcW w:w="1116" w:type="pc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95/117 (81.2)</w:t>
            </w:r>
          </w:p>
        </w:tc>
        <w:tc>
          <w:tcPr>
            <w:tcW w:w="1116" w:type="pc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97/119 (81.5)</w:t>
            </w:r>
          </w:p>
        </w:tc>
        <w:tc>
          <w:tcPr>
            <w:tcW w:w="1116" w:type="pct"/>
            <w:vMerge w:val="restar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0.57 (0.43, 0.76)</w:t>
            </w:r>
          </w:p>
        </w:tc>
      </w:tr>
      <w:tr w:rsidR="00BB1E04" w:rsidRPr="009F0BEB" w:rsidTr="00000306">
        <w:tc>
          <w:tcPr>
            <w:tcW w:w="1652" w:type="pct"/>
            <w:vAlign w:val="center"/>
          </w:tcPr>
          <w:p w:rsidR="00BB1E04" w:rsidRPr="009F0BEB" w:rsidRDefault="00086A77" w:rsidP="006B2DC0">
            <w:pPr>
              <w:keepNext/>
              <w:widowControl/>
              <w:rPr>
                <w:rFonts w:ascii="Arial Narrow" w:hAnsi="Arial Narrow"/>
                <w:sz w:val="20"/>
                <w:szCs w:val="20"/>
              </w:rPr>
            </w:pPr>
            <w:r w:rsidRPr="009F0BEB">
              <w:rPr>
                <w:rFonts w:ascii="Arial Narrow" w:hAnsi="Arial Narrow"/>
                <w:sz w:val="20"/>
                <w:szCs w:val="20"/>
              </w:rPr>
              <w:t>C</w:t>
            </w:r>
            <w:r w:rsidR="00BB1E04" w:rsidRPr="009F0BEB">
              <w:rPr>
                <w:rFonts w:ascii="Arial Narrow" w:hAnsi="Arial Narrow"/>
                <w:sz w:val="20"/>
                <w:szCs w:val="20"/>
              </w:rPr>
              <w:t>ensored, n/N (%)</w:t>
            </w:r>
          </w:p>
        </w:tc>
        <w:tc>
          <w:tcPr>
            <w:tcW w:w="1116" w:type="pc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22/117 (18.8)</w:t>
            </w:r>
          </w:p>
        </w:tc>
        <w:tc>
          <w:tcPr>
            <w:tcW w:w="1116" w:type="pc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22/119 (18.5)</w:t>
            </w:r>
          </w:p>
        </w:tc>
        <w:tc>
          <w:tcPr>
            <w:tcW w:w="1116" w:type="pct"/>
            <w:vMerge/>
            <w:vAlign w:val="center"/>
          </w:tcPr>
          <w:p w:rsidR="00BB1E04" w:rsidRPr="009F0BEB" w:rsidRDefault="00BB1E04" w:rsidP="006B2DC0">
            <w:pPr>
              <w:keepNext/>
              <w:widowControl/>
              <w:jc w:val="center"/>
              <w:rPr>
                <w:rFonts w:ascii="Arial Narrow" w:hAnsi="Arial Narrow"/>
                <w:sz w:val="20"/>
                <w:szCs w:val="20"/>
              </w:rPr>
            </w:pPr>
          </w:p>
        </w:tc>
      </w:tr>
      <w:tr w:rsidR="00BB1E04" w:rsidRPr="009F0BEB" w:rsidTr="00000306">
        <w:tc>
          <w:tcPr>
            <w:tcW w:w="1652" w:type="pct"/>
            <w:vAlign w:val="center"/>
          </w:tcPr>
          <w:p w:rsidR="00BB1E04" w:rsidRPr="009F0BEB" w:rsidRDefault="00BB1E04"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1116" w:type="pc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13.4 (11.7, 18.1)</w:t>
            </w:r>
          </w:p>
        </w:tc>
        <w:tc>
          <w:tcPr>
            <w:tcW w:w="1116" w:type="pct"/>
            <w:vAlign w:val="center"/>
          </w:tcPr>
          <w:p w:rsidR="00BB1E04" w:rsidRPr="009F0BEB" w:rsidRDefault="00BB1E04" w:rsidP="006B2DC0">
            <w:pPr>
              <w:keepNext/>
              <w:widowControl/>
              <w:jc w:val="center"/>
              <w:rPr>
                <w:rFonts w:ascii="Arial Narrow" w:hAnsi="Arial Narrow"/>
                <w:sz w:val="20"/>
                <w:szCs w:val="20"/>
              </w:rPr>
            </w:pPr>
            <w:r w:rsidRPr="009F0BEB">
              <w:rPr>
                <w:rFonts w:ascii="Arial Narrow" w:hAnsi="Arial Narrow"/>
                <w:sz w:val="20"/>
                <w:szCs w:val="20"/>
              </w:rPr>
              <w:t>6.3 (6.1, 8.0)</w:t>
            </w:r>
          </w:p>
        </w:tc>
        <w:tc>
          <w:tcPr>
            <w:tcW w:w="1116" w:type="pct"/>
            <w:vMerge/>
            <w:vAlign w:val="center"/>
          </w:tcPr>
          <w:p w:rsidR="00BB1E04" w:rsidRPr="009F0BEB" w:rsidRDefault="00BB1E04" w:rsidP="006B2DC0">
            <w:pPr>
              <w:keepNext/>
              <w:widowControl/>
              <w:jc w:val="center"/>
              <w:rPr>
                <w:rFonts w:ascii="Arial Narrow" w:hAnsi="Arial Narrow"/>
                <w:sz w:val="20"/>
                <w:szCs w:val="20"/>
              </w:rPr>
            </w:pPr>
          </w:p>
        </w:tc>
      </w:tr>
    </w:tbl>
    <w:p w:rsidR="00BB1E04" w:rsidRPr="009F0BEB" w:rsidRDefault="00BB1E04" w:rsidP="006B2DC0">
      <w:pPr>
        <w:pStyle w:val="TableFooter"/>
        <w:widowControl/>
      </w:pPr>
      <w:r w:rsidRPr="009F0BEB">
        <w:t>Source: Post Hoc Analyses, Appendix 4 of the resubmission</w:t>
      </w:r>
    </w:p>
    <w:p w:rsidR="00BB1E04" w:rsidRPr="009F0BEB" w:rsidRDefault="00BB1E04" w:rsidP="006B2DC0">
      <w:pPr>
        <w:pStyle w:val="TableFooter"/>
        <w:widowControl/>
      </w:pPr>
      <w:r w:rsidRPr="009F0BEB">
        <w:t>Abbreviations: CI, confidence interval; HR, hazard ratio</w:t>
      </w:r>
    </w:p>
    <w:p w:rsidR="00BB1E04" w:rsidRPr="009F0BEB" w:rsidRDefault="00BB1E04" w:rsidP="006B2DC0">
      <w:pPr>
        <w:widowControl/>
        <w:rPr>
          <w:b/>
        </w:rPr>
      </w:pPr>
    </w:p>
    <w:p w:rsidR="00BB1E04" w:rsidRPr="009F0BEB" w:rsidRDefault="009A12A9" w:rsidP="006B2DC0">
      <w:pPr>
        <w:pStyle w:val="ListParagraph"/>
        <w:widowControl/>
        <w:numPr>
          <w:ilvl w:val="1"/>
          <w:numId w:val="3"/>
        </w:numPr>
      </w:pPr>
      <w:r w:rsidRPr="009F0BEB">
        <w:t xml:space="preserve">Treatment with </w:t>
      </w:r>
      <w:proofErr w:type="spellStart"/>
      <w:r w:rsidR="00B6003E" w:rsidRPr="009F0BEB">
        <w:t>nal</w:t>
      </w:r>
      <w:proofErr w:type="spellEnd"/>
      <w:r w:rsidR="00B6003E" w:rsidRPr="009F0BEB">
        <w:t>-IRI</w:t>
      </w:r>
      <w:r w:rsidRPr="009F0BEB">
        <w:t xml:space="preserve"> was associated with a statistically significant increase in median progression-free survival of 7.1 weeks compared with 5-FU/</w:t>
      </w:r>
      <w:proofErr w:type="spellStart"/>
      <w:r w:rsidRPr="009F0BEB">
        <w:t>folinic</w:t>
      </w:r>
      <w:proofErr w:type="spellEnd"/>
      <w:r w:rsidRPr="009F0BEB">
        <w:t xml:space="preserve"> acid (HR 0.57, 95% CI 0.43, 0.76). This was consistent with results in the previous submission</w:t>
      </w:r>
      <w:r w:rsidR="00254505" w:rsidRPr="009F0BEB">
        <w:t>, with only a small change in the median PFS for 5-FU/</w:t>
      </w:r>
      <w:proofErr w:type="spellStart"/>
      <w:r w:rsidR="00254505" w:rsidRPr="009F0BEB">
        <w:t>folinic</w:t>
      </w:r>
      <w:proofErr w:type="spellEnd"/>
      <w:r w:rsidR="00254505" w:rsidRPr="009F0BEB">
        <w:t xml:space="preserve"> acid as shown in the table below</w:t>
      </w:r>
      <w:r w:rsidR="005578D6" w:rsidRPr="009F0BEB">
        <w:t xml:space="preserve"> (paragraph 6.18, irinotecan (</w:t>
      </w:r>
      <w:proofErr w:type="spellStart"/>
      <w:r w:rsidR="005578D6" w:rsidRPr="009F0BEB">
        <w:t>nanoliposomal</w:t>
      </w:r>
      <w:proofErr w:type="spellEnd"/>
      <w:r w:rsidR="005578D6" w:rsidRPr="009F0BEB">
        <w:t xml:space="preserve">) </w:t>
      </w:r>
      <w:r w:rsidR="00F25869">
        <w:t>PSD,</w:t>
      </w:r>
      <w:r w:rsidR="005578D6" w:rsidRPr="009F0BEB">
        <w:t xml:space="preserve"> November 2016)</w:t>
      </w:r>
      <w:r w:rsidRPr="009F0BEB">
        <w:t>.</w:t>
      </w:r>
    </w:p>
    <w:p w:rsidR="00254505" w:rsidRPr="009F0BEB" w:rsidRDefault="00254505" w:rsidP="006B2DC0">
      <w:pPr>
        <w:pStyle w:val="TableHeading0"/>
        <w:spacing w:after="0"/>
      </w:pPr>
      <w:r w:rsidRPr="009F0BEB">
        <w:lastRenderedPageBreak/>
        <w:t xml:space="preserve">Table </w:t>
      </w:r>
      <w:r w:rsidR="00000306" w:rsidRPr="009F0BEB">
        <w:t>7</w:t>
      </w:r>
      <w:r w:rsidRPr="009F0BEB">
        <w:t>: Post-hoc analysis for progression-free survival (NAPOLI-1 trial) presented in the November 2016 submission</w:t>
      </w:r>
    </w:p>
    <w:tbl>
      <w:tblPr>
        <w:tblStyle w:val="TableGrid"/>
        <w:tblW w:w="5000" w:type="pct"/>
        <w:tblInd w:w="0" w:type="dxa"/>
        <w:tblLook w:val="04A0" w:firstRow="1" w:lastRow="0" w:firstColumn="1" w:lastColumn="0" w:noHBand="0" w:noVBand="1"/>
        <w:tblCaption w:val="Table 7: Post-hoc analysis for progression-free survival (NAPOLI-1 trial) presented in the November 2016 submission"/>
      </w:tblPr>
      <w:tblGrid>
        <w:gridCol w:w="3206"/>
        <w:gridCol w:w="2167"/>
        <w:gridCol w:w="2021"/>
        <w:gridCol w:w="1849"/>
      </w:tblGrid>
      <w:tr w:rsidR="00254505" w:rsidRPr="009F0BEB" w:rsidTr="008C785F">
        <w:trPr>
          <w:tblHeader/>
        </w:trPr>
        <w:tc>
          <w:tcPr>
            <w:tcW w:w="1735" w:type="pct"/>
            <w:vAlign w:val="center"/>
          </w:tcPr>
          <w:p w:rsidR="00254505" w:rsidRPr="009F0BEB" w:rsidRDefault="00254505" w:rsidP="006B2DC0">
            <w:pPr>
              <w:keepNext/>
              <w:widowControl/>
              <w:rPr>
                <w:rFonts w:ascii="Arial Narrow" w:hAnsi="Arial Narrow"/>
                <w:b/>
                <w:sz w:val="20"/>
              </w:rPr>
            </w:pPr>
            <w:r w:rsidRPr="009F0BEB">
              <w:rPr>
                <w:rFonts w:ascii="Arial Narrow" w:hAnsi="Arial Narrow"/>
                <w:b/>
                <w:sz w:val="20"/>
              </w:rPr>
              <w:t>Progression-free survival</w:t>
            </w:r>
          </w:p>
        </w:tc>
        <w:tc>
          <w:tcPr>
            <w:tcW w:w="1172" w:type="pct"/>
            <w:vAlign w:val="center"/>
          </w:tcPr>
          <w:p w:rsidR="00254505" w:rsidRPr="009F0BEB" w:rsidRDefault="00254505" w:rsidP="006B2DC0">
            <w:pPr>
              <w:keepNext/>
              <w:widowControl/>
              <w:jc w:val="center"/>
              <w:rPr>
                <w:rFonts w:ascii="Arial Narrow" w:hAnsi="Arial Narrow"/>
                <w:b/>
                <w:sz w:val="20"/>
              </w:rPr>
            </w:pPr>
            <w:r w:rsidRPr="009F0BEB">
              <w:rPr>
                <w:rFonts w:ascii="Arial Narrow" w:hAnsi="Arial Narrow"/>
                <w:b/>
                <w:sz w:val="20"/>
              </w:rPr>
              <w:t>Irinotecan (</w:t>
            </w:r>
            <w:proofErr w:type="spellStart"/>
            <w:r w:rsidRPr="009F0BEB">
              <w:rPr>
                <w:rFonts w:ascii="Arial Narrow" w:hAnsi="Arial Narrow"/>
                <w:b/>
                <w:sz w:val="20"/>
              </w:rPr>
              <w:t>nanoliposomal</w:t>
            </w:r>
            <w:proofErr w:type="spellEnd"/>
            <w:r w:rsidRPr="009F0BEB">
              <w:rPr>
                <w:rFonts w:ascii="Arial Narrow" w:hAnsi="Arial Narrow"/>
                <w:b/>
                <w:sz w:val="20"/>
              </w:rPr>
              <w:t>) (N=117)</w:t>
            </w:r>
          </w:p>
        </w:tc>
        <w:tc>
          <w:tcPr>
            <w:tcW w:w="1093" w:type="pct"/>
            <w:vAlign w:val="center"/>
          </w:tcPr>
          <w:p w:rsidR="00254505" w:rsidRPr="009F0BEB" w:rsidRDefault="00254505" w:rsidP="006B2DC0">
            <w:pPr>
              <w:keepNext/>
              <w:widowControl/>
              <w:jc w:val="center"/>
              <w:rPr>
                <w:rFonts w:ascii="Arial Narrow" w:hAnsi="Arial Narrow"/>
                <w:b/>
                <w:sz w:val="20"/>
              </w:rPr>
            </w:pPr>
            <w:r w:rsidRPr="009F0BEB">
              <w:rPr>
                <w:rFonts w:ascii="Arial Narrow" w:hAnsi="Arial Narrow"/>
                <w:b/>
                <w:sz w:val="20"/>
              </w:rPr>
              <w:t>5-FU/</w:t>
            </w:r>
            <w:proofErr w:type="spellStart"/>
            <w:r w:rsidRPr="009F0BEB">
              <w:rPr>
                <w:rFonts w:ascii="Arial Narrow" w:hAnsi="Arial Narrow"/>
                <w:b/>
                <w:sz w:val="20"/>
              </w:rPr>
              <w:t>folinic</w:t>
            </w:r>
            <w:proofErr w:type="spellEnd"/>
            <w:r w:rsidRPr="009F0BEB">
              <w:rPr>
                <w:rFonts w:ascii="Arial Narrow" w:hAnsi="Arial Narrow"/>
                <w:b/>
                <w:sz w:val="20"/>
              </w:rPr>
              <w:t xml:space="preserve"> acid</w:t>
            </w:r>
          </w:p>
          <w:p w:rsidR="00254505" w:rsidRPr="009F0BEB" w:rsidRDefault="00254505" w:rsidP="006B2DC0">
            <w:pPr>
              <w:keepNext/>
              <w:widowControl/>
              <w:jc w:val="center"/>
              <w:rPr>
                <w:rFonts w:ascii="Arial Narrow" w:hAnsi="Arial Narrow"/>
                <w:b/>
                <w:sz w:val="20"/>
              </w:rPr>
            </w:pPr>
            <w:r w:rsidRPr="009F0BEB">
              <w:rPr>
                <w:rFonts w:ascii="Arial Narrow" w:hAnsi="Arial Narrow"/>
                <w:b/>
                <w:sz w:val="20"/>
              </w:rPr>
              <w:t>(N=119)</w:t>
            </w:r>
          </w:p>
        </w:tc>
        <w:tc>
          <w:tcPr>
            <w:tcW w:w="1000" w:type="pct"/>
            <w:vAlign w:val="center"/>
          </w:tcPr>
          <w:p w:rsidR="00254505" w:rsidRPr="009F0BEB" w:rsidRDefault="00254505" w:rsidP="006B2DC0">
            <w:pPr>
              <w:keepNext/>
              <w:widowControl/>
              <w:jc w:val="center"/>
              <w:rPr>
                <w:rFonts w:ascii="Arial Narrow" w:hAnsi="Arial Narrow"/>
                <w:b/>
                <w:sz w:val="20"/>
              </w:rPr>
            </w:pPr>
            <w:r w:rsidRPr="009F0BEB">
              <w:rPr>
                <w:rFonts w:ascii="Arial Narrow" w:hAnsi="Arial Narrow"/>
                <w:b/>
                <w:sz w:val="20"/>
              </w:rPr>
              <w:t>HR (95%CI)</w:t>
            </w:r>
          </w:p>
        </w:tc>
      </w:tr>
      <w:tr w:rsidR="00254505" w:rsidRPr="009F0BEB" w:rsidTr="00000306">
        <w:tc>
          <w:tcPr>
            <w:tcW w:w="1735" w:type="pct"/>
            <w:vAlign w:val="center"/>
          </w:tcPr>
          <w:p w:rsidR="00254505" w:rsidRPr="009F0BEB" w:rsidRDefault="00254505" w:rsidP="006B2DC0">
            <w:pPr>
              <w:keepNext/>
              <w:widowControl/>
              <w:rPr>
                <w:rFonts w:ascii="Arial Narrow" w:hAnsi="Arial Narrow"/>
                <w:sz w:val="20"/>
              </w:rPr>
            </w:pPr>
            <w:r w:rsidRPr="009F0BEB">
              <w:rPr>
                <w:rFonts w:ascii="Arial Narrow" w:hAnsi="Arial Narrow"/>
                <w:sz w:val="20"/>
              </w:rPr>
              <w:t>Patients with event, n/N (%)</w:t>
            </w:r>
          </w:p>
        </w:tc>
        <w:tc>
          <w:tcPr>
            <w:tcW w:w="1172" w:type="pct"/>
            <w:vAlign w:val="center"/>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95/117 (81.2)</w:t>
            </w:r>
          </w:p>
        </w:tc>
        <w:tc>
          <w:tcPr>
            <w:tcW w:w="1093" w:type="pct"/>
            <w:vAlign w:val="center"/>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97/119 (81.5)</w:t>
            </w:r>
          </w:p>
        </w:tc>
        <w:tc>
          <w:tcPr>
            <w:tcW w:w="1000" w:type="pct"/>
            <w:vMerge w:val="restart"/>
            <w:vAlign w:val="center"/>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0.57 (0.43, 0.76)</w:t>
            </w:r>
          </w:p>
          <w:p w:rsidR="00254505" w:rsidRPr="009F0BEB" w:rsidRDefault="00254505" w:rsidP="006B2DC0">
            <w:pPr>
              <w:keepNext/>
              <w:widowControl/>
              <w:jc w:val="center"/>
              <w:rPr>
                <w:rFonts w:ascii="Arial Narrow" w:hAnsi="Arial Narrow"/>
                <w:sz w:val="20"/>
              </w:rPr>
            </w:pPr>
            <w:r w:rsidRPr="009F0BEB">
              <w:rPr>
                <w:rFonts w:ascii="Arial Narrow" w:hAnsi="Arial Narrow"/>
                <w:sz w:val="20"/>
              </w:rPr>
              <w:t>p=0.0001</w:t>
            </w:r>
          </w:p>
        </w:tc>
      </w:tr>
      <w:tr w:rsidR="00254505" w:rsidRPr="009F0BEB" w:rsidTr="00000306">
        <w:tc>
          <w:tcPr>
            <w:tcW w:w="1735" w:type="pct"/>
          </w:tcPr>
          <w:p w:rsidR="00254505" w:rsidRPr="009F0BEB" w:rsidRDefault="00254505" w:rsidP="006B2DC0">
            <w:pPr>
              <w:keepNext/>
              <w:widowControl/>
              <w:rPr>
                <w:rFonts w:ascii="Arial Narrow" w:hAnsi="Arial Narrow"/>
                <w:sz w:val="20"/>
              </w:rPr>
            </w:pPr>
            <w:r w:rsidRPr="009F0BEB">
              <w:rPr>
                <w:rFonts w:ascii="Arial Narrow" w:hAnsi="Arial Narrow"/>
                <w:sz w:val="20"/>
              </w:rPr>
              <w:t>Progressed, n/N (%)</w:t>
            </w:r>
          </w:p>
        </w:tc>
        <w:tc>
          <w:tcPr>
            <w:tcW w:w="1172" w:type="pct"/>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76/117 (65.0)</w:t>
            </w:r>
          </w:p>
        </w:tc>
        <w:tc>
          <w:tcPr>
            <w:tcW w:w="1093" w:type="pct"/>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72/119 (60.5)</w:t>
            </w:r>
          </w:p>
        </w:tc>
        <w:tc>
          <w:tcPr>
            <w:tcW w:w="1000" w:type="pct"/>
            <w:vMerge/>
          </w:tcPr>
          <w:p w:rsidR="00254505" w:rsidRPr="009F0BEB" w:rsidRDefault="00254505" w:rsidP="006B2DC0">
            <w:pPr>
              <w:keepNext/>
              <w:widowControl/>
              <w:jc w:val="center"/>
              <w:rPr>
                <w:rFonts w:ascii="Arial Narrow" w:hAnsi="Arial Narrow"/>
                <w:sz w:val="20"/>
              </w:rPr>
            </w:pPr>
          </w:p>
        </w:tc>
      </w:tr>
      <w:tr w:rsidR="00254505" w:rsidRPr="009F0BEB" w:rsidTr="00000306">
        <w:tc>
          <w:tcPr>
            <w:tcW w:w="1735" w:type="pct"/>
          </w:tcPr>
          <w:p w:rsidR="00254505" w:rsidRPr="009F0BEB" w:rsidRDefault="00254505" w:rsidP="006B2DC0">
            <w:pPr>
              <w:keepNext/>
              <w:widowControl/>
              <w:rPr>
                <w:rFonts w:ascii="Arial Narrow" w:hAnsi="Arial Narrow"/>
                <w:sz w:val="20"/>
              </w:rPr>
            </w:pPr>
            <w:r w:rsidRPr="009F0BEB">
              <w:rPr>
                <w:rFonts w:ascii="Arial Narrow" w:hAnsi="Arial Narrow"/>
                <w:sz w:val="20"/>
              </w:rPr>
              <w:t>Died, n/N (%)</w:t>
            </w:r>
          </w:p>
        </w:tc>
        <w:tc>
          <w:tcPr>
            <w:tcW w:w="1172" w:type="pct"/>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19/117 (16.2)</w:t>
            </w:r>
          </w:p>
        </w:tc>
        <w:tc>
          <w:tcPr>
            <w:tcW w:w="1093" w:type="pct"/>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25/119 (21.0)</w:t>
            </w:r>
          </w:p>
        </w:tc>
        <w:tc>
          <w:tcPr>
            <w:tcW w:w="1000" w:type="pct"/>
            <w:vMerge/>
          </w:tcPr>
          <w:p w:rsidR="00254505" w:rsidRPr="009F0BEB" w:rsidRDefault="00254505" w:rsidP="006B2DC0">
            <w:pPr>
              <w:keepNext/>
              <w:widowControl/>
              <w:jc w:val="center"/>
              <w:rPr>
                <w:rFonts w:ascii="Arial Narrow" w:hAnsi="Arial Narrow"/>
                <w:sz w:val="20"/>
              </w:rPr>
            </w:pPr>
          </w:p>
        </w:tc>
      </w:tr>
      <w:tr w:rsidR="00254505" w:rsidRPr="009F0BEB" w:rsidTr="00000306">
        <w:tc>
          <w:tcPr>
            <w:tcW w:w="1735" w:type="pct"/>
          </w:tcPr>
          <w:p w:rsidR="00254505" w:rsidRPr="009F0BEB" w:rsidRDefault="00254505" w:rsidP="006B2DC0">
            <w:pPr>
              <w:keepNext/>
              <w:widowControl/>
              <w:rPr>
                <w:rFonts w:ascii="Arial Narrow" w:hAnsi="Arial Narrow"/>
                <w:sz w:val="20"/>
              </w:rPr>
            </w:pPr>
            <w:r w:rsidRPr="009F0BEB">
              <w:rPr>
                <w:rFonts w:ascii="Arial Narrow" w:hAnsi="Arial Narrow"/>
                <w:sz w:val="20"/>
              </w:rPr>
              <w:t>Median, weeks (95%CI)</w:t>
            </w:r>
          </w:p>
        </w:tc>
        <w:tc>
          <w:tcPr>
            <w:tcW w:w="1172" w:type="pct"/>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13.4 (11.7, 18.1)</w:t>
            </w:r>
          </w:p>
        </w:tc>
        <w:tc>
          <w:tcPr>
            <w:tcW w:w="1093" w:type="pct"/>
          </w:tcPr>
          <w:p w:rsidR="00254505" w:rsidRPr="009F0BEB" w:rsidRDefault="00254505" w:rsidP="006B2DC0">
            <w:pPr>
              <w:keepNext/>
              <w:widowControl/>
              <w:jc w:val="center"/>
              <w:rPr>
                <w:rFonts w:ascii="Arial Narrow" w:hAnsi="Arial Narrow"/>
                <w:sz w:val="20"/>
              </w:rPr>
            </w:pPr>
            <w:r w:rsidRPr="009F0BEB">
              <w:rPr>
                <w:rFonts w:ascii="Arial Narrow" w:hAnsi="Arial Narrow"/>
                <w:sz w:val="20"/>
              </w:rPr>
              <w:t>6.5 (6.1, 8.0)</w:t>
            </w:r>
          </w:p>
        </w:tc>
        <w:tc>
          <w:tcPr>
            <w:tcW w:w="1000" w:type="pct"/>
            <w:vMerge/>
          </w:tcPr>
          <w:p w:rsidR="00254505" w:rsidRPr="009F0BEB" w:rsidRDefault="00254505" w:rsidP="006B2DC0">
            <w:pPr>
              <w:keepNext/>
              <w:widowControl/>
              <w:jc w:val="center"/>
              <w:rPr>
                <w:rFonts w:ascii="Arial Narrow" w:hAnsi="Arial Narrow"/>
                <w:sz w:val="20"/>
              </w:rPr>
            </w:pPr>
          </w:p>
        </w:tc>
      </w:tr>
    </w:tbl>
    <w:p w:rsidR="00254505" w:rsidRPr="009F0BEB" w:rsidRDefault="00254505" w:rsidP="006B2DC0">
      <w:pPr>
        <w:pStyle w:val="TableFooter"/>
        <w:widowControl/>
      </w:pPr>
      <w:r w:rsidRPr="009F0BEB">
        <w:t>Source: Table 14.2.2.1, Appendix 13 of the submission</w:t>
      </w:r>
    </w:p>
    <w:p w:rsidR="00254505" w:rsidRDefault="00254505" w:rsidP="00D13044">
      <w:pPr>
        <w:pStyle w:val="TableFooter"/>
        <w:widowControl/>
      </w:pPr>
      <w:r w:rsidRPr="009F0BEB">
        <w:t>Abbreviations: CI, confid</w:t>
      </w:r>
      <w:r w:rsidR="00D13044">
        <w:t>ence interval; HR, hazard ratio</w:t>
      </w:r>
    </w:p>
    <w:p w:rsidR="00D13044" w:rsidRPr="009F0BEB" w:rsidRDefault="00D13044" w:rsidP="00D13044">
      <w:pPr>
        <w:pStyle w:val="TableFooter"/>
        <w:widowControl/>
      </w:pPr>
    </w:p>
    <w:p w:rsidR="00BB1E04" w:rsidRPr="009F0BEB" w:rsidRDefault="00BB1E04" w:rsidP="006B2DC0">
      <w:pPr>
        <w:pStyle w:val="ListParagraph"/>
        <w:widowControl/>
        <w:numPr>
          <w:ilvl w:val="1"/>
          <w:numId w:val="3"/>
        </w:numPr>
      </w:pPr>
      <w:r w:rsidRPr="009F0BEB">
        <w:t>Other secondary outcomes u</w:t>
      </w:r>
      <w:r w:rsidR="00BD5270" w:rsidRPr="009F0BEB">
        <w:t>sed included</w:t>
      </w:r>
      <w:r w:rsidRPr="009F0BEB">
        <w:t xml:space="preserve"> time to treatment</w:t>
      </w:r>
      <w:r w:rsidR="00BD5270" w:rsidRPr="009F0BEB">
        <w:t xml:space="preserve"> failure, presented in the table below</w:t>
      </w:r>
      <w:r w:rsidRPr="009F0BEB">
        <w:t>.</w:t>
      </w:r>
    </w:p>
    <w:p w:rsidR="00BB1E04" w:rsidRPr="009F0BEB" w:rsidRDefault="00BD5270" w:rsidP="006B2DC0">
      <w:pPr>
        <w:pStyle w:val="TableHeading0"/>
        <w:spacing w:after="0"/>
      </w:pPr>
      <w:r w:rsidRPr="009F0BEB">
        <w:t xml:space="preserve">Table </w:t>
      </w:r>
      <w:r w:rsidR="007C52CF" w:rsidRPr="009F0BEB">
        <w:t>8</w:t>
      </w:r>
      <w:r w:rsidR="00BB1E04" w:rsidRPr="009F0BEB">
        <w:t>: Updated post-hoc analysis of time to treatment failure from NAPOLI-1 (ITT population)</w:t>
      </w:r>
    </w:p>
    <w:tbl>
      <w:tblPr>
        <w:tblStyle w:val="TableGrid2"/>
        <w:tblW w:w="0" w:type="auto"/>
        <w:tblInd w:w="136" w:type="dxa"/>
        <w:tblLook w:val="04A0" w:firstRow="1" w:lastRow="0" w:firstColumn="1" w:lastColumn="0" w:noHBand="0" w:noVBand="1"/>
        <w:tblCaption w:val="Table 8: Updated post-hoc analysis of time to treatment failure from NAPOLI-1 (ITT population)"/>
      </w:tblPr>
      <w:tblGrid>
        <w:gridCol w:w="2978"/>
        <w:gridCol w:w="2012"/>
        <w:gridCol w:w="2012"/>
        <w:gridCol w:w="2013"/>
      </w:tblGrid>
      <w:tr w:rsidR="00BB1E04" w:rsidRPr="009F0BEB" w:rsidTr="008C785F">
        <w:trPr>
          <w:tblHeader/>
        </w:trPr>
        <w:tc>
          <w:tcPr>
            <w:tcW w:w="2978" w:type="dxa"/>
            <w:vAlign w:val="center"/>
          </w:tcPr>
          <w:p w:rsidR="00BB1E04" w:rsidRPr="009F0BEB" w:rsidRDefault="00BB1E04" w:rsidP="006B2DC0">
            <w:pPr>
              <w:keepNext/>
              <w:widowControl/>
              <w:rPr>
                <w:rFonts w:ascii="Arial Narrow" w:hAnsi="Arial Narrow"/>
                <w:b/>
                <w:sz w:val="20"/>
                <w:szCs w:val="20"/>
              </w:rPr>
            </w:pPr>
            <w:r w:rsidRPr="009F0BEB">
              <w:rPr>
                <w:rFonts w:ascii="Arial Narrow" w:hAnsi="Arial Narrow"/>
                <w:b/>
                <w:sz w:val="20"/>
                <w:szCs w:val="20"/>
              </w:rPr>
              <w:t>Time to treatment failure</w:t>
            </w:r>
          </w:p>
        </w:tc>
        <w:tc>
          <w:tcPr>
            <w:tcW w:w="2012" w:type="dxa"/>
            <w:vAlign w:val="center"/>
          </w:tcPr>
          <w:p w:rsidR="00BB1E04" w:rsidRPr="009F0BEB" w:rsidRDefault="00B6003E" w:rsidP="006B2DC0">
            <w:pPr>
              <w:keepNext/>
              <w:widowControl/>
              <w:jc w:val="center"/>
              <w:rPr>
                <w:rFonts w:ascii="Arial Narrow" w:hAnsi="Arial Narrow"/>
                <w:b/>
                <w:sz w:val="20"/>
                <w:szCs w:val="20"/>
              </w:rPr>
            </w:pPr>
            <w:proofErr w:type="spellStart"/>
            <w:r w:rsidRPr="009F0BEB">
              <w:rPr>
                <w:rFonts w:ascii="Arial Narrow" w:hAnsi="Arial Narrow"/>
                <w:b/>
                <w:sz w:val="20"/>
                <w:szCs w:val="20"/>
              </w:rPr>
              <w:t>Nal</w:t>
            </w:r>
            <w:proofErr w:type="spellEnd"/>
            <w:r w:rsidRPr="009F0BEB">
              <w:rPr>
                <w:rFonts w:ascii="Arial Narrow" w:hAnsi="Arial Narrow"/>
                <w:b/>
                <w:sz w:val="20"/>
                <w:szCs w:val="20"/>
              </w:rPr>
              <w:t>-IRI</w:t>
            </w:r>
            <w:r w:rsidR="00BB1E04" w:rsidRPr="009F0BEB">
              <w:rPr>
                <w:rFonts w:ascii="Arial Narrow" w:hAnsi="Arial Narrow"/>
                <w:b/>
                <w:sz w:val="20"/>
                <w:szCs w:val="20"/>
              </w:rPr>
              <w:t xml:space="preserve"> </w:t>
            </w:r>
          </w:p>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N=117</w:t>
            </w:r>
          </w:p>
        </w:tc>
        <w:tc>
          <w:tcPr>
            <w:tcW w:w="2012" w:type="dxa"/>
            <w:vAlign w:val="center"/>
          </w:tcPr>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5-FU/</w:t>
            </w:r>
            <w:proofErr w:type="spellStart"/>
            <w:r w:rsidRPr="009F0BEB">
              <w:rPr>
                <w:rFonts w:ascii="Arial Narrow" w:hAnsi="Arial Narrow"/>
                <w:b/>
                <w:sz w:val="20"/>
                <w:szCs w:val="20"/>
              </w:rPr>
              <w:t>folinic</w:t>
            </w:r>
            <w:proofErr w:type="spellEnd"/>
            <w:r w:rsidRPr="009F0BEB">
              <w:rPr>
                <w:rFonts w:ascii="Arial Narrow" w:hAnsi="Arial Narrow"/>
                <w:b/>
                <w:sz w:val="20"/>
                <w:szCs w:val="20"/>
              </w:rPr>
              <w:t xml:space="preserve"> acid</w:t>
            </w:r>
          </w:p>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N=119</w:t>
            </w:r>
          </w:p>
        </w:tc>
        <w:tc>
          <w:tcPr>
            <w:tcW w:w="2013" w:type="dxa"/>
            <w:vAlign w:val="center"/>
          </w:tcPr>
          <w:p w:rsidR="00BB1E04" w:rsidRPr="009F0BEB" w:rsidRDefault="00BB1E04" w:rsidP="006B2DC0">
            <w:pPr>
              <w:keepNext/>
              <w:widowControl/>
              <w:jc w:val="center"/>
              <w:rPr>
                <w:rFonts w:ascii="Arial Narrow" w:hAnsi="Arial Narrow"/>
                <w:b/>
                <w:sz w:val="20"/>
                <w:szCs w:val="20"/>
              </w:rPr>
            </w:pPr>
            <w:r w:rsidRPr="009F0BEB">
              <w:rPr>
                <w:rFonts w:ascii="Arial Narrow" w:hAnsi="Arial Narrow"/>
                <w:b/>
                <w:sz w:val="20"/>
                <w:szCs w:val="20"/>
              </w:rPr>
              <w:t>HR (95% CI)</w:t>
            </w:r>
          </w:p>
        </w:tc>
      </w:tr>
      <w:tr w:rsidR="00BB1E04" w:rsidRPr="009F0BEB" w:rsidTr="00083B1D">
        <w:tc>
          <w:tcPr>
            <w:tcW w:w="2978" w:type="dxa"/>
            <w:vAlign w:val="center"/>
          </w:tcPr>
          <w:p w:rsidR="00BB1E04" w:rsidRPr="009F0BEB" w:rsidRDefault="00BB1E04" w:rsidP="006B2DC0">
            <w:pPr>
              <w:keepNext/>
              <w:widowControl/>
              <w:rPr>
                <w:rFonts w:ascii="Arial Narrow" w:hAnsi="Arial Narrow"/>
                <w:sz w:val="20"/>
                <w:szCs w:val="20"/>
              </w:rPr>
            </w:pPr>
            <w:r w:rsidRPr="009F0BEB">
              <w:rPr>
                <w:rFonts w:ascii="Arial Narrow" w:hAnsi="Arial Narrow"/>
                <w:sz w:val="20"/>
                <w:szCs w:val="20"/>
              </w:rPr>
              <w:t>Patients with events, n/N (%)</w:t>
            </w:r>
          </w:p>
        </w:tc>
        <w:tc>
          <w:tcPr>
            <w:tcW w:w="2012" w:type="dxa"/>
            <w:vAlign w:val="center"/>
          </w:tcPr>
          <w:p w:rsidR="00BB1E04"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BB1E04"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restart"/>
            <w:vAlign w:val="center"/>
          </w:tcPr>
          <w:p w:rsidR="00BB1E04" w:rsidRPr="009F0BEB" w:rsidRDefault="00EE2E05" w:rsidP="006B2DC0">
            <w:pPr>
              <w:keepNext/>
              <w:widowControl/>
              <w:jc w:val="center"/>
              <w:rPr>
                <w:rFonts w:ascii="Arial Narrow" w:hAnsi="Arial Narrow"/>
                <w:sz w:val="20"/>
                <w:szCs w:val="20"/>
              </w:rPr>
            </w:pPr>
            <w:r>
              <w:rPr>
                <w:rFonts w:ascii="Arial Narrow" w:hAnsi="Arial Narrow"/>
                <w:noProof/>
                <w:color w:val="000000"/>
                <w:sz w:val="20"/>
                <w:szCs w:val="20"/>
                <w:highlight w:val="black"/>
              </w:rPr>
              <w:t>'''''''''' ''''''''''''''' '''''''''''</w:t>
            </w:r>
            <w:r w:rsidR="00BB1E04" w:rsidRPr="009F0BEB">
              <w:rPr>
                <w:rFonts w:ascii="Arial Narrow" w:hAnsi="Arial Narrow"/>
                <w:sz w:val="20"/>
                <w:szCs w:val="20"/>
              </w:rPr>
              <w:t>)</w:t>
            </w:r>
          </w:p>
        </w:tc>
      </w:tr>
      <w:tr w:rsidR="00BB1E04" w:rsidRPr="009F0BEB" w:rsidTr="00083B1D">
        <w:tc>
          <w:tcPr>
            <w:tcW w:w="2978" w:type="dxa"/>
            <w:vAlign w:val="center"/>
          </w:tcPr>
          <w:p w:rsidR="00BB1E04" w:rsidRPr="009F0BEB" w:rsidRDefault="00BB1E04"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2012" w:type="dxa"/>
            <w:vAlign w:val="center"/>
          </w:tcPr>
          <w:p w:rsidR="00BB1E04"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2" w:type="dxa"/>
            <w:vAlign w:val="center"/>
          </w:tcPr>
          <w:p w:rsidR="00BB1E04"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3" w:type="dxa"/>
            <w:vMerge/>
            <w:vAlign w:val="center"/>
          </w:tcPr>
          <w:p w:rsidR="00BB1E04" w:rsidRPr="009F0BEB" w:rsidRDefault="00BB1E04" w:rsidP="006B2DC0">
            <w:pPr>
              <w:keepNext/>
              <w:widowControl/>
              <w:jc w:val="center"/>
              <w:rPr>
                <w:rFonts w:ascii="Arial Narrow" w:hAnsi="Arial Narrow"/>
                <w:sz w:val="20"/>
                <w:szCs w:val="20"/>
              </w:rPr>
            </w:pPr>
          </w:p>
        </w:tc>
      </w:tr>
    </w:tbl>
    <w:p w:rsidR="00BB1E04" w:rsidRPr="009F0BEB" w:rsidRDefault="00BB1E04" w:rsidP="006B2DC0">
      <w:pPr>
        <w:pStyle w:val="TableFooter"/>
        <w:widowControl/>
      </w:pPr>
      <w:r w:rsidRPr="009F0BEB">
        <w:t>Source: Post Hoc Analyses, Appendix 4 of the resubmission</w:t>
      </w:r>
    </w:p>
    <w:p w:rsidR="00BB1E04" w:rsidRDefault="00BB1E04" w:rsidP="00D13044">
      <w:pPr>
        <w:pStyle w:val="TableFooter"/>
        <w:widowControl/>
      </w:pPr>
      <w:r w:rsidRPr="009F0BEB">
        <w:t>Abbreviations: CI, confid</w:t>
      </w:r>
      <w:r w:rsidR="00D13044">
        <w:t>ence interval; HR, hazard ratio</w:t>
      </w:r>
    </w:p>
    <w:p w:rsidR="00D13044" w:rsidRPr="009F0BEB" w:rsidRDefault="00D13044" w:rsidP="00D13044">
      <w:pPr>
        <w:pStyle w:val="TableFooter"/>
        <w:widowControl/>
      </w:pPr>
    </w:p>
    <w:p w:rsidR="00BB1E04" w:rsidRPr="009F0BEB" w:rsidRDefault="00BB1E04" w:rsidP="006B2DC0">
      <w:pPr>
        <w:pStyle w:val="ListParagraph"/>
        <w:widowControl/>
        <w:numPr>
          <w:ilvl w:val="1"/>
          <w:numId w:val="3"/>
        </w:numPr>
      </w:pPr>
      <w:r w:rsidRPr="009F0BEB">
        <w:t xml:space="preserve">The results show a statistically significant increase in median time to treatment failure of </w:t>
      </w:r>
      <w:r w:rsidR="00EE2E05">
        <w:rPr>
          <w:noProof/>
          <w:color w:val="000000"/>
          <w:highlight w:val="black"/>
        </w:rPr>
        <w:t>'''''' '''''''''''''</w:t>
      </w:r>
      <w:r w:rsidRPr="009F0BEB">
        <w:t xml:space="preserve"> in patients receiving </w:t>
      </w:r>
      <w:proofErr w:type="spellStart"/>
      <w:r w:rsidR="00B6003E" w:rsidRPr="009F0BEB">
        <w:t>nal</w:t>
      </w:r>
      <w:proofErr w:type="spellEnd"/>
      <w:r w:rsidR="00B6003E" w:rsidRPr="009F0BEB">
        <w:t>-IRI</w:t>
      </w:r>
      <w:r w:rsidRPr="009F0BEB">
        <w:t xml:space="preserve"> compared with 5</w:t>
      </w:r>
      <w:r w:rsidR="00F539A9" w:rsidRPr="009F0BEB">
        <w:noBreakHyphen/>
      </w:r>
      <w:r w:rsidRPr="009F0BEB">
        <w:t>FU/</w:t>
      </w:r>
      <w:proofErr w:type="spellStart"/>
      <w:r w:rsidRPr="009F0BEB">
        <w:t>folinic</w:t>
      </w:r>
      <w:proofErr w:type="spellEnd"/>
      <w:r w:rsidRPr="009F0BEB">
        <w:t xml:space="preserve"> acid (HR </w:t>
      </w:r>
      <w:r w:rsidR="00EE2E05">
        <w:rPr>
          <w:noProof/>
          <w:color w:val="000000"/>
          <w:highlight w:val="black"/>
        </w:rPr>
        <w:t>''''''''</w:t>
      </w:r>
      <w:r w:rsidRPr="009F0BEB">
        <w:t xml:space="preserve">, 95% CI </w:t>
      </w:r>
      <w:r w:rsidR="00EE2E05">
        <w:rPr>
          <w:noProof/>
          <w:color w:val="000000"/>
          <w:highlight w:val="black"/>
        </w:rPr>
        <w:t>'''''''''' ''''''''</w:t>
      </w:r>
      <w:r w:rsidRPr="009F0BEB">
        <w:t>). This was consistent with results in the previous submission.</w:t>
      </w:r>
    </w:p>
    <w:p w:rsidR="00974940" w:rsidRPr="009F0BEB" w:rsidRDefault="00974940" w:rsidP="006B2DC0">
      <w:pPr>
        <w:pStyle w:val="ListParagraph"/>
        <w:widowControl/>
        <w:ind w:left="0"/>
        <w:rPr>
          <w:b/>
        </w:rPr>
      </w:pPr>
      <w:r w:rsidRPr="009F0BEB">
        <w:rPr>
          <w:b/>
        </w:rPr>
        <w:t>Subgroup analysis – prior irinotecan exposure</w:t>
      </w:r>
    </w:p>
    <w:p w:rsidR="0006761B" w:rsidRPr="009F0BEB" w:rsidRDefault="0006761B" w:rsidP="006B2DC0">
      <w:pPr>
        <w:pStyle w:val="ListParagraph"/>
        <w:widowControl/>
        <w:numPr>
          <w:ilvl w:val="1"/>
          <w:numId w:val="3"/>
        </w:numPr>
      </w:pPr>
      <w:r w:rsidRPr="009F0BEB">
        <w:t xml:space="preserve">The resubmission presented additional post-hoc analyses for the subgroup of patients with no prior exposure to irinotecan and the complement of this subgroup </w:t>
      </w:r>
      <w:r w:rsidR="00CC620A" w:rsidRPr="009F0BEB">
        <w:t>(</w:t>
      </w:r>
      <w:r w:rsidRPr="009F0BEB">
        <w:t>patients previously treated with irinotecan</w:t>
      </w:r>
      <w:r w:rsidR="00CC620A" w:rsidRPr="009F0BEB">
        <w:t>)</w:t>
      </w:r>
      <w:r w:rsidRPr="009F0BEB">
        <w:t xml:space="preserve">. </w:t>
      </w:r>
      <w:r w:rsidR="003C7555" w:rsidRPr="009F0BEB">
        <w:t>However</w:t>
      </w:r>
      <w:r w:rsidR="00974940" w:rsidRPr="009F0BEB">
        <w:t xml:space="preserve">, the irinotecan experienced subgroup was a small sample size and there was substantial heterogeneity between treatment arms. </w:t>
      </w:r>
      <w:r w:rsidRPr="009F0BEB">
        <w:t>A test for interaction based on the primary analysis period</w:t>
      </w:r>
      <w:r w:rsidR="00226EEA" w:rsidRPr="009F0BEB">
        <w:t xml:space="preserve"> (data cut-off 14 February 2014)</w:t>
      </w:r>
      <w:r w:rsidR="00993428" w:rsidRPr="009F0BEB">
        <w:t xml:space="preserve"> and</w:t>
      </w:r>
      <w:r w:rsidRPr="009F0BEB">
        <w:t xml:space="preserve"> </w:t>
      </w:r>
      <w:r w:rsidR="003C7555" w:rsidRPr="009F0BEB">
        <w:t xml:space="preserve">the updated post-hoc analysis </w:t>
      </w:r>
      <w:r w:rsidRPr="009F0BEB">
        <w:t xml:space="preserve">indicated that prior irinotecan exposure was not a treatment effect modifier. </w:t>
      </w:r>
      <w:r w:rsidR="004C515D" w:rsidRPr="009F0BEB">
        <w:t xml:space="preserve">The ESC considered </w:t>
      </w:r>
      <w:r w:rsidR="00276629" w:rsidRPr="009F0BEB">
        <w:t>the post-hoc sub</w:t>
      </w:r>
      <w:r w:rsidR="00F26934" w:rsidRPr="009F0BEB">
        <w:t xml:space="preserve">group analyses </w:t>
      </w:r>
      <w:r w:rsidR="00496821" w:rsidRPr="009F0BEB">
        <w:t xml:space="preserve">based on prior irinotecan use </w:t>
      </w:r>
      <w:r w:rsidR="00F26934" w:rsidRPr="009F0BEB">
        <w:t>to be uninformative given</w:t>
      </w:r>
      <w:r w:rsidR="00496821" w:rsidRPr="009F0BEB">
        <w:t xml:space="preserve"> </w:t>
      </w:r>
      <w:r w:rsidR="00F26934" w:rsidRPr="009F0BEB">
        <w:t xml:space="preserve">the limitations </w:t>
      </w:r>
      <w:r w:rsidR="00A505E4" w:rsidRPr="009F0BEB">
        <w:t>of the analyses noted above.</w:t>
      </w:r>
      <w:r w:rsidR="00D976C1" w:rsidRPr="009F0BEB">
        <w:t xml:space="preserve"> Further, the ESC noted that the PSCR </w:t>
      </w:r>
      <w:r w:rsidR="003C7555" w:rsidRPr="009F0BEB">
        <w:t>proposed the removal of the restriction criterion excluding patients with prior irinotecan exposure, and therefore considered that this subgroup analysis was no longer relevant to consideration of the submission</w:t>
      </w:r>
      <w:r w:rsidR="008C785F">
        <w:t>.</w:t>
      </w:r>
    </w:p>
    <w:p w:rsidR="0006761B" w:rsidRPr="009F0BEB" w:rsidRDefault="000A2A83" w:rsidP="006B2DC0">
      <w:pPr>
        <w:pStyle w:val="ListParagraph"/>
        <w:widowControl/>
        <w:numPr>
          <w:ilvl w:val="1"/>
          <w:numId w:val="3"/>
        </w:numPr>
      </w:pPr>
      <w:r w:rsidRPr="009F0BEB">
        <w:t xml:space="preserve">There were no statistically significant differences in quality of life measures (EORTC-QLQ-C30, between </w:t>
      </w:r>
      <w:proofErr w:type="spellStart"/>
      <w:r w:rsidRPr="009F0BEB">
        <w:t>nal</w:t>
      </w:r>
      <w:proofErr w:type="spellEnd"/>
      <w:r w:rsidRPr="009F0BEB">
        <w:t>-IRI and 5-FU/</w:t>
      </w:r>
      <w:proofErr w:type="spellStart"/>
      <w:r w:rsidRPr="009F0BEB">
        <w:t>folinic</w:t>
      </w:r>
      <w:proofErr w:type="spellEnd"/>
      <w:r w:rsidRPr="009F0BEB">
        <w:t xml:space="preserve"> acid. The resubmission stated that the results were of limited reliability due to poor data capture reflected in the high proportions of missing data at baseline. </w:t>
      </w:r>
    </w:p>
    <w:p w:rsidR="00BB1E04" w:rsidRPr="009F0BEB" w:rsidRDefault="00BB1E04" w:rsidP="006B2DC0">
      <w:pPr>
        <w:pStyle w:val="ListParagraph"/>
        <w:widowControl/>
        <w:numPr>
          <w:ilvl w:val="1"/>
          <w:numId w:val="3"/>
        </w:numPr>
      </w:pPr>
      <w:r w:rsidRPr="009F0BEB">
        <w:rPr>
          <w:rFonts w:cs="Calibri"/>
          <w:snapToGrid/>
          <w:szCs w:val="24"/>
          <w:lang w:val="en-US" w:eastAsia="en-AU"/>
        </w:rPr>
        <w:t>The primary outcome of overall survival from the up</w:t>
      </w:r>
      <w:r w:rsidR="0006761B" w:rsidRPr="009F0BEB">
        <w:rPr>
          <w:rFonts w:cs="Calibri"/>
          <w:snapToGrid/>
          <w:szCs w:val="24"/>
          <w:lang w:val="en-US" w:eastAsia="en-AU"/>
        </w:rPr>
        <w:t xml:space="preserve">dated post-hoc analyses for </w:t>
      </w:r>
      <w:r w:rsidR="00EA6A96" w:rsidRPr="009F0BEB">
        <w:rPr>
          <w:rFonts w:cs="Calibri"/>
          <w:snapToGrid/>
          <w:szCs w:val="24"/>
          <w:lang w:val="en-US" w:eastAsia="en-AU"/>
        </w:rPr>
        <w:t xml:space="preserve">the </w:t>
      </w:r>
      <w:r w:rsidR="0006761B" w:rsidRPr="009F0BEB">
        <w:rPr>
          <w:rFonts w:cs="Calibri"/>
          <w:snapToGrid/>
          <w:szCs w:val="24"/>
          <w:lang w:val="en-US" w:eastAsia="en-AU"/>
        </w:rPr>
        <w:t>irinotecan naïve subgroup</w:t>
      </w:r>
      <w:r w:rsidR="00231E3C" w:rsidRPr="009F0BEB">
        <w:rPr>
          <w:rFonts w:cs="Calibri"/>
          <w:snapToGrid/>
          <w:szCs w:val="24"/>
          <w:lang w:val="en-US" w:eastAsia="en-AU"/>
        </w:rPr>
        <w:t xml:space="preserve"> </w:t>
      </w:r>
      <w:r w:rsidR="00B64000" w:rsidRPr="009F0BEB">
        <w:rPr>
          <w:rFonts w:cs="Calibri"/>
          <w:snapToGrid/>
          <w:szCs w:val="24"/>
          <w:lang w:val="en-US" w:eastAsia="en-AU"/>
        </w:rPr>
        <w:t>from</w:t>
      </w:r>
      <w:r w:rsidR="005B5586" w:rsidRPr="009F0BEB">
        <w:rPr>
          <w:rFonts w:cs="Calibri"/>
          <w:snapToGrid/>
          <w:szCs w:val="24"/>
          <w:lang w:val="en-US" w:eastAsia="en-AU"/>
        </w:rPr>
        <w:t xml:space="preserve"> NAPOLI-1 is </w:t>
      </w:r>
      <w:proofErr w:type="spellStart"/>
      <w:r w:rsidR="005B5586" w:rsidRPr="009F0BEB">
        <w:rPr>
          <w:rFonts w:cs="Calibri"/>
          <w:snapToGrid/>
          <w:szCs w:val="24"/>
          <w:lang w:val="en-US" w:eastAsia="en-AU"/>
        </w:rPr>
        <w:t>summarised</w:t>
      </w:r>
      <w:proofErr w:type="spellEnd"/>
      <w:r w:rsidR="005B5586" w:rsidRPr="009F0BEB">
        <w:rPr>
          <w:rFonts w:cs="Calibri"/>
          <w:snapToGrid/>
          <w:szCs w:val="24"/>
          <w:lang w:val="en-US" w:eastAsia="en-AU"/>
        </w:rPr>
        <w:t xml:space="preserve"> in Figure 3</w:t>
      </w:r>
      <w:r w:rsidR="00B64000" w:rsidRPr="009F0BEB">
        <w:rPr>
          <w:rFonts w:cs="Calibri"/>
          <w:snapToGrid/>
          <w:szCs w:val="24"/>
          <w:lang w:val="en-US" w:eastAsia="en-AU"/>
        </w:rPr>
        <w:t xml:space="preserve">. </w:t>
      </w:r>
      <w:r w:rsidR="005B5586" w:rsidRPr="009F0BEB">
        <w:rPr>
          <w:rFonts w:cs="Calibri"/>
          <w:snapToGrid/>
          <w:szCs w:val="24"/>
          <w:lang w:val="en-US" w:eastAsia="en-AU"/>
        </w:rPr>
        <w:t xml:space="preserve">Table </w:t>
      </w:r>
      <w:r w:rsidR="00F0166D" w:rsidRPr="009F0BEB">
        <w:rPr>
          <w:rFonts w:cs="Calibri"/>
          <w:snapToGrid/>
          <w:szCs w:val="24"/>
          <w:lang w:val="en-US" w:eastAsia="en-AU"/>
        </w:rPr>
        <w:t>9</w:t>
      </w:r>
      <w:r w:rsidRPr="009F0BEB">
        <w:rPr>
          <w:rFonts w:cs="Calibri"/>
          <w:snapToGrid/>
          <w:szCs w:val="24"/>
          <w:lang w:val="en-US" w:eastAsia="en-AU"/>
        </w:rPr>
        <w:t xml:space="preserve"> </w:t>
      </w:r>
      <w:r w:rsidR="00B64000" w:rsidRPr="009F0BEB">
        <w:rPr>
          <w:rFonts w:cs="Calibri"/>
          <w:snapToGrid/>
          <w:szCs w:val="24"/>
          <w:lang w:val="en-US" w:eastAsia="en-AU"/>
        </w:rPr>
        <w:t>presents the results for overall survival in the irinotecan naïve and irinotecan experienced patients based on the updated post-hoc analyses from the NAPOLI-1 trial.</w:t>
      </w:r>
    </w:p>
    <w:p w:rsidR="0006761B" w:rsidRPr="009F0BEB" w:rsidRDefault="005B5586" w:rsidP="006B2DC0">
      <w:pPr>
        <w:keepNext/>
        <w:widowControl/>
        <w:rPr>
          <w:rFonts w:ascii="Arial Narrow" w:hAnsi="Arial Narrow"/>
          <w:b/>
          <w:sz w:val="20"/>
          <w:szCs w:val="20"/>
        </w:rPr>
      </w:pPr>
      <w:r w:rsidRPr="009F0BEB">
        <w:rPr>
          <w:rFonts w:ascii="Arial Narrow" w:hAnsi="Arial Narrow"/>
          <w:b/>
          <w:sz w:val="20"/>
          <w:szCs w:val="20"/>
        </w:rPr>
        <w:lastRenderedPageBreak/>
        <w:t>Figure 3</w:t>
      </w:r>
      <w:r w:rsidR="0006761B" w:rsidRPr="009F0BEB">
        <w:rPr>
          <w:rFonts w:ascii="Arial Narrow" w:hAnsi="Arial Narrow"/>
          <w:b/>
          <w:sz w:val="20"/>
          <w:szCs w:val="20"/>
        </w:rPr>
        <w:t>: Updated post-hoc analysis of overall survival in NAPOLI-1 (irinotecan naïve subgroup)</w:t>
      </w:r>
    </w:p>
    <w:p w:rsidR="0006761B" w:rsidRPr="009F0BEB" w:rsidRDefault="0006761B" w:rsidP="006B2DC0">
      <w:pPr>
        <w:keepNext/>
        <w:widowControl/>
      </w:pPr>
      <w:r w:rsidRPr="009F0BEB">
        <w:rPr>
          <w:noProof/>
          <w:lang w:eastAsia="en-AU"/>
        </w:rPr>
        <w:drawing>
          <wp:inline distT="0" distB="0" distL="0" distR="0" wp14:anchorId="2B1D3FA3" wp14:editId="1C1F1D02">
            <wp:extent cx="5675630" cy="3542030"/>
            <wp:effectExtent l="0" t="0" r="1270" b="1270"/>
            <wp:docPr id="3" name="Picture 3" title="Figure 3: Updated post-hoc analysis of overall survival in NAPOLI-1 (irinotecan naïve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5630" cy="3542030"/>
                    </a:xfrm>
                    <a:prstGeom prst="rect">
                      <a:avLst/>
                    </a:prstGeom>
                    <a:noFill/>
                  </pic:spPr>
                </pic:pic>
              </a:graphicData>
            </a:graphic>
          </wp:inline>
        </w:drawing>
      </w:r>
    </w:p>
    <w:tbl>
      <w:tblPr>
        <w:tblStyle w:val="Commentarytable"/>
        <w:tblW w:w="0" w:type="auto"/>
        <w:tblInd w:w="136" w:type="dxa"/>
        <w:tblLook w:val="04A0" w:firstRow="1" w:lastRow="0" w:firstColumn="1" w:lastColumn="0" w:noHBand="0" w:noVBand="1"/>
        <w:tblCaption w:val="Updated post-hoc analysis of overall survival in NAPOLI-1 (irinotecan naïve subgroup)"/>
      </w:tblPr>
      <w:tblGrid>
        <w:gridCol w:w="952"/>
        <w:gridCol w:w="1007"/>
        <w:gridCol w:w="1008"/>
        <w:gridCol w:w="1008"/>
        <w:gridCol w:w="1008"/>
        <w:gridCol w:w="1008"/>
        <w:gridCol w:w="1008"/>
        <w:gridCol w:w="1008"/>
        <w:gridCol w:w="1008"/>
      </w:tblGrid>
      <w:tr w:rsidR="0006761B" w:rsidRPr="009F0BEB" w:rsidTr="008C785F">
        <w:trPr>
          <w:tblHeader/>
        </w:trPr>
        <w:tc>
          <w:tcPr>
            <w:tcW w:w="952" w:type="dxa"/>
            <w:vMerge w:val="restart"/>
          </w:tcPr>
          <w:p w:rsidR="0006761B" w:rsidRPr="009F0BEB" w:rsidRDefault="0006761B" w:rsidP="00A24A91">
            <w:pPr>
              <w:pStyle w:val="BodyText"/>
              <w:keepNext/>
              <w:widowControl/>
              <w:rPr>
                <w:rFonts w:ascii="Arial Narrow" w:hAnsi="Arial Narrow"/>
                <w:b/>
                <w:sz w:val="20"/>
                <w:szCs w:val="20"/>
              </w:rPr>
            </w:pPr>
            <w:r w:rsidRPr="009F0BEB">
              <w:rPr>
                <w:rFonts w:ascii="Arial Narrow" w:hAnsi="Arial Narrow"/>
                <w:b/>
                <w:sz w:val="20"/>
                <w:szCs w:val="20"/>
              </w:rPr>
              <w:t>Patients at risk</w:t>
            </w:r>
          </w:p>
        </w:tc>
        <w:tc>
          <w:tcPr>
            <w:tcW w:w="8063" w:type="dxa"/>
            <w:gridSpan w:val="8"/>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Weeks</w:t>
            </w:r>
          </w:p>
        </w:tc>
      </w:tr>
      <w:tr w:rsidR="0006761B" w:rsidRPr="009F0BEB" w:rsidTr="008C785F">
        <w:trPr>
          <w:tblHeader/>
        </w:trPr>
        <w:tc>
          <w:tcPr>
            <w:tcW w:w="952" w:type="dxa"/>
            <w:vMerge/>
          </w:tcPr>
          <w:p w:rsidR="0006761B" w:rsidRPr="009F0BEB" w:rsidRDefault="0006761B" w:rsidP="00A24A91">
            <w:pPr>
              <w:pStyle w:val="BodyText"/>
              <w:keepNext/>
              <w:widowControl/>
              <w:rPr>
                <w:rFonts w:ascii="Arial Narrow" w:hAnsi="Arial Narrow"/>
                <w:b/>
                <w:sz w:val="20"/>
                <w:szCs w:val="20"/>
              </w:rPr>
            </w:pPr>
          </w:p>
        </w:tc>
        <w:tc>
          <w:tcPr>
            <w:tcW w:w="1007"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0</w:t>
            </w:r>
          </w:p>
        </w:tc>
        <w:tc>
          <w:tcPr>
            <w:tcW w:w="1008"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10</w:t>
            </w:r>
          </w:p>
        </w:tc>
        <w:tc>
          <w:tcPr>
            <w:tcW w:w="1008"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20</w:t>
            </w:r>
          </w:p>
        </w:tc>
        <w:tc>
          <w:tcPr>
            <w:tcW w:w="1008"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30</w:t>
            </w:r>
          </w:p>
        </w:tc>
        <w:tc>
          <w:tcPr>
            <w:tcW w:w="1008"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40</w:t>
            </w:r>
          </w:p>
        </w:tc>
        <w:tc>
          <w:tcPr>
            <w:tcW w:w="1008"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55</w:t>
            </w:r>
          </w:p>
        </w:tc>
        <w:tc>
          <w:tcPr>
            <w:tcW w:w="1008" w:type="dxa"/>
          </w:tcPr>
          <w:p w:rsidR="0006761B" w:rsidRPr="009F0BEB" w:rsidRDefault="0006761B" w:rsidP="00A24A91">
            <w:pPr>
              <w:pStyle w:val="BodyText"/>
              <w:keepNext/>
              <w:widowControl/>
              <w:jc w:val="center"/>
              <w:rPr>
                <w:rFonts w:ascii="Arial Narrow" w:hAnsi="Arial Narrow"/>
                <w:b/>
                <w:sz w:val="20"/>
                <w:szCs w:val="20"/>
                <w:vertAlign w:val="superscript"/>
              </w:rPr>
            </w:pPr>
            <w:r w:rsidRPr="009F0BEB">
              <w:rPr>
                <w:rFonts w:ascii="Arial Narrow" w:hAnsi="Arial Narrow"/>
                <w:b/>
                <w:sz w:val="20"/>
                <w:szCs w:val="20"/>
              </w:rPr>
              <w:t>71/72</w:t>
            </w:r>
            <w:r w:rsidRPr="009F0BEB">
              <w:rPr>
                <w:rFonts w:ascii="Arial Narrow" w:hAnsi="Arial Narrow"/>
                <w:b/>
                <w:sz w:val="20"/>
                <w:szCs w:val="20"/>
                <w:vertAlign w:val="superscript"/>
              </w:rPr>
              <w:t>a</w:t>
            </w:r>
          </w:p>
        </w:tc>
        <w:tc>
          <w:tcPr>
            <w:tcW w:w="1008" w:type="dxa"/>
          </w:tcPr>
          <w:p w:rsidR="0006761B" w:rsidRPr="009F0BEB" w:rsidRDefault="0006761B" w:rsidP="00A24A91">
            <w:pPr>
              <w:pStyle w:val="BodyText"/>
              <w:keepNext/>
              <w:widowControl/>
              <w:jc w:val="center"/>
              <w:rPr>
                <w:rFonts w:ascii="Arial Narrow" w:hAnsi="Arial Narrow"/>
                <w:b/>
                <w:sz w:val="20"/>
                <w:szCs w:val="20"/>
              </w:rPr>
            </w:pPr>
            <w:r w:rsidRPr="009F0BEB">
              <w:rPr>
                <w:rFonts w:ascii="Arial Narrow" w:hAnsi="Arial Narrow"/>
                <w:b/>
                <w:sz w:val="20"/>
                <w:szCs w:val="20"/>
              </w:rPr>
              <w:t>108</w:t>
            </w:r>
          </w:p>
        </w:tc>
      </w:tr>
      <w:tr w:rsidR="0006761B" w:rsidRPr="009F0BEB" w:rsidTr="00083B1D">
        <w:tc>
          <w:tcPr>
            <w:tcW w:w="952" w:type="dxa"/>
          </w:tcPr>
          <w:p w:rsidR="0006761B" w:rsidRPr="009F0BEB" w:rsidRDefault="0006761B" w:rsidP="00A24A91">
            <w:pPr>
              <w:pStyle w:val="BodyText"/>
              <w:keepNext/>
              <w:widowControl/>
              <w:rPr>
                <w:rFonts w:ascii="Arial Narrow" w:hAnsi="Arial Narrow"/>
                <w:sz w:val="20"/>
                <w:szCs w:val="20"/>
              </w:rPr>
            </w:pPr>
            <w:proofErr w:type="spellStart"/>
            <w:r w:rsidRPr="009F0BEB">
              <w:rPr>
                <w:rFonts w:ascii="Arial Narrow" w:hAnsi="Arial Narrow"/>
                <w:sz w:val="20"/>
                <w:szCs w:val="20"/>
              </w:rPr>
              <w:t>Nal</w:t>
            </w:r>
            <w:proofErr w:type="spellEnd"/>
            <w:r w:rsidRPr="009F0BEB">
              <w:rPr>
                <w:rFonts w:ascii="Arial Narrow" w:hAnsi="Arial Narrow"/>
                <w:sz w:val="20"/>
                <w:szCs w:val="20"/>
              </w:rPr>
              <w:t>-</w:t>
            </w:r>
            <w:r w:rsidR="00B6003E" w:rsidRPr="009F0BEB">
              <w:rPr>
                <w:rFonts w:ascii="Arial Narrow" w:hAnsi="Arial Narrow"/>
                <w:sz w:val="20"/>
                <w:szCs w:val="20"/>
              </w:rPr>
              <w:t>IRI</w:t>
            </w:r>
          </w:p>
        </w:tc>
        <w:tc>
          <w:tcPr>
            <w:tcW w:w="1007"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105</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95</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65</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49</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39</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28</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18</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8</w:t>
            </w:r>
          </w:p>
        </w:tc>
      </w:tr>
      <w:tr w:rsidR="0006761B" w:rsidRPr="009F0BEB" w:rsidTr="00083B1D">
        <w:tc>
          <w:tcPr>
            <w:tcW w:w="952" w:type="dxa"/>
          </w:tcPr>
          <w:p w:rsidR="0006761B" w:rsidRPr="009F0BEB" w:rsidRDefault="0006761B" w:rsidP="00A24A91">
            <w:pPr>
              <w:pStyle w:val="BodyText"/>
              <w:keepNext/>
              <w:widowControl/>
              <w:rPr>
                <w:rFonts w:ascii="Arial Narrow" w:hAnsi="Arial Narrow"/>
                <w:sz w:val="20"/>
                <w:szCs w:val="20"/>
              </w:rPr>
            </w:pPr>
            <w:r w:rsidRPr="009F0BEB">
              <w:rPr>
                <w:rFonts w:ascii="Arial Narrow" w:hAnsi="Arial Narrow"/>
                <w:sz w:val="20"/>
                <w:szCs w:val="20"/>
              </w:rPr>
              <w:t>5-FU/LV</w:t>
            </w:r>
          </w:p>
        </w:tc>
        <w:tc>
          <w:tcPr>
            <w:tcW w:w="1007"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102</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67</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44</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32</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21</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14</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12</w:t>
            </w:r>
          </w:p>
        </w:tc>
        <w:tc>
          <w:tcPr>
            <w:tcW w:w="1008" w:type="dxa"/>
          </w:tcPr>
          <w:p w:rsidR="0006761B" w:rsidRPr="009F0BEB" w:rsidRDefault="0006761B" w:rsidP="00A24A91">
            <w:pPr>
              <w:pStyle w:val="BodyText"/>
              <w:keepNext/>
              <w:widowControl/>
              <w:jc w:val="center"/>
              <w:rPr>
                <w:rFonts w:ascii="Arial Narrow" w:hAnsi="Arial Narrow"/>
                <w:sz w:val="20"/>
                <w:szCs w:val="20"/>
              </w:rPr>
            </w:pPr>
            <w:r w:rsidRPr="009F0BEB">
              <w:rPr>
                <w:rFonts w:ascii="Arial Narrow" w:hAnsi="Arial Narrow"/>
                <w:sz w:val="20"/>
                <w:szCs w:val="20"/>
              </w:rPr>
              <w:t>8</w:t>
            </w:r>
          </w:p>
        </w:tc>
      </w:tr>
    </w:tbl>
    <w:p w:rsidR="0006761B" w:rsidRPr="009F0BEB" w:rsidRDefault="0006761B" w:rsidP="006B2DC0">
      <w:pPr>
        <w:pStyle w:val="TableFooter"/>
        <w:widowControl/>
      </w:pPr>
      <w:r w:rsidRPr="009F0BEB">
        <w:t>Source: ‘</w:t>
      </w:r>
      <w:proofErr w:type="spellStart"/>
      <w:r w:rsidRPr="009F0BEB">
        <w:t>KMOSPrior</w:t>
      </w:r>
      <w:proofErr w:type="spellEnd"/>
      <w:r w:rsidRPr="009F0BEB">
        <w:t>’ Excel workbook, Appendix 4 of the resubmission</w:t>
      </w:r>
    </w:p>
    <w:p w:rsidR="0006761B" w:rsidRPr="009F0BEB" w:rsidRDefault="0006761B" w:rsidP="006B2DC0">
      <w:pPr>
        <w:pStyle w:val="TableFooter"/>
        <w:widowControl/>
      </w:pPr>
      <w:r w:rsidRPr="009F0BEB">
        <w:t xml:space="preserve">Abbreviations: 5-FU/LV, 5-fluorouracil and </w:t>
      </w:r>
      <w:proofErr w:type="spellStart"/>
      <w:r w:rsidRPr="009F0BEB">
        <w:t>folinic</w:t>
      </w:r>
      <w:proofErr w:type="spellEnd"/>
      <w:r w:rsidRPr="009F0BEB">
        <w:t xml:space="preserve"> acid; CI, confidence interval; </w:t>
      </w:r>
      <w:proofErr w:type="spellStart"/>
      <w:r w:rsidRPr="009F0BEB">
        <w:t>Nal</w:t>
      </w:r>
      <w:proofErr w:type="spellEnd"/>
      <w:r w:rsidRPr="009F0BEB">
        <w:t>-</w:t>
      </w:r>
      <w:r w:rsidR="00B6003E" w:rsidRPr="009F0BEB">
        <w:t>IRI</w:t>
      </w:r>
      <w:r w:rsidRPr="009F0BEB">
        <w:t>, irinotecan (</w:t>
      </w:r>
      <w:proofErr w:type="spellStart"/>
      <w:r w:rsidRPr="009F0BEB">
        <w:t>nanoliposomal</w:t>
      </w:r>
      <w:proofErr w:type="spellEnd"/>
      <w:r w:rsidRPr="009F0BEB">
        <w:t>) plus 5-FU/</w:t>
      </w:r>
      <w:proofErr w:type="spellStart"/>
      <w:r w:rsidRPr="009F0BEB">
        <w:t>folinic</w:t>
      </w:r>
      <w:proofErr w:type="spellEnd"/>
      <w:r w:rsidRPr="009F0BEB">
        <w:t xml:space="preserve"> acid</w:t>
      </w:r>
    </w:p>
    <w:p w:rsidR="0006761B" w:rsidRPr="009F0BEB" w:rsidRDefault="0006761B" w:rsidP="006B2DC0">
      <w:pPr>
        <w:pStyle w:val="TableFooter"/>
        <w:widowControl/>
      </w:pPr>
      <w:proofErr w:type="gramStart"/>
      <w:r w:rsidRPr="009F0BEB">
        <w:rPr>
          <w:vertAlign w:val="superscript"/>
        </w:rPr>
        <w:t>a</w:t>
      </w:r>
      <w:proofErr w:type="gramEnd"/>
      <w:r w:rsidRPr="009F0BEB">
        <w:t xml:space="preserve"> No common </w:t>
      </w:r>
      <w:proofErr w:type="spellStart"/>
      <w:r w:rsidRPr="009F0BEB">
        <w:t>timepoint</w:t>
      </w:r>
      <w:proofErr w:type="spellEnd"/>
      <w:r w:rsidRPr="009F0BEB">
        <w:t xml:space="preserve"> for patients remaining at risk was available </w:t>
      </w:r>
    </w:p>
    <w:p w:rsidR="0006761B" w:rsidRPr="009F0BEB" w:rsidRDefault="0006761B" w:rsidP="006B2DC0">
      <w:pPr>
        <w:widowControl/>
        <w:rPr>
          <w:color w:val="3366FF"/>
        </w:rPr>
      </w:pPr>
    </w:p>
    <w:p w:rsidR="0006761B" w:rsidRPr="009F0BEB" w:rsidRDefault="00381393" w:rsidP="006B2DC0">
      <w:pPr>
        <w:pStyle w:val="TableHeading0"/>
        <w:spacing w:after="0"/>
      </w:pPr>
      <w:r w:rsidRPr="009F0BEB">
        <w:t>Table 9</w:t>
      </w:r>
      <w:r w:rsidR="0006761B" w:rsidRPr="009F0BEB">
        <w:t xml:space="preserve">: Updated post-hoc </w:t>
      </w:r>
      <w:r w:rsidR="00324953" w:rsidRPr="009F0BEB">
        <w:t xml:space="preserve">subgroup </w:t>
      </w:r>
      <w:r w:rsidR="0006761B" w:rsidRPr="009F0BEB">
        <w:t>analysis of overall survival from NAPOLI-1</w:t>
      </w:r>
    </w:p>
    <w:tbl>
      <w:tblPr>
        <w:tblStyle w:val="TableGrid2"/>
        <w:tblW w:w="0" w:type="auto"/>
        <w:tblInd w:w="136" w:type="dxa"/>
        <w:tblLook w:val="04A0" w:firstRow="1" w:lastRow="0" w:firstColumn="1" w:lastColumn="0" w:noHBand="0" w:noVBand="1"/>
        <w:tblCaption w:val="Table 9: Updated post-hoc subgroup analysis of overall survival from NAPOLI-1"/>
      </w:tblPr>
      <w:tblGrid>
        <w:gridCol w:w="2978"/>
        <w:gridCol w:w="2012"/>
        <w:gridCol w:w="2012"/>
        <w:gridCol w:w="2013"/>
      </w:tblGrid>
      <w:tr w:rsidR="0006761B" w:rsidRPr="009F0BEB" w:rsidTr="008C785F">
        <w:trPr>
          <w:tblHeader/>
        </w:trPr>
        <w:tc>
          <w:tcPr>
            <w:tcW w:w="2978" w:type="dxa"/>
            <w:vAlign w:val="center"/>
          </w:tcPr>
          <w:p w:rsidR="0006761B" w:rsidRPr="009F0BEB" w:rsidRDefault="0006761B" w:rsidP="006B2DC0">
            <w:pPr>
              <w:keepNext/>
              <w:widowControl/>
              <w:rPr>
                <w:rFonts w:ascii="Arial Narrow" w:hAnsi="Arial Narrow"/>
                <w:b/>
                <w:sz w:val="20"/>
                <w:szCs w:val="20"/>
              </w:rPr>
            </w:pPr>
            <w:r w:rsidRPr="009F0BEB">
              <w:rPr>
                <w:rFonts w:ascii="Arial Narrow" w:hAnsi="Arial Narrow"/>
                <w:b/>
                <w:sz w:val="20"/>
                <w:szCs w:val="20"/>
              </w:rPr>
              <w:t>Overall survival</w:t>
            </w:r>
          </w:p>
        </w:tc>
        <w:tc>
          <w:tcPr>
            <w:tcW w:w="2012" w:type="dxa"/>
            <w:vAlign w:val="center"/>
          </w:tcPr>
          <w:p w:rsidR="0006761B" w:rsidRPr="009F0BEB" w:rsidRDefault="00B6003E" w:rsidP="006B2DC0">
            <w:pPr>
              <w:keepNext/>
              <w:widowControl/>
              <w:jc w:val="center"/>
              <w:rPr>
                <w:rFonts w:ascii="Arial Narrow" w:hAnsi="Arial Narrow"/>
                <w:b/>
                <w:sz w:val="20"/>
                <w:szCs w:val="20"/>
              </w:rPr>
            </w:pPr>
            <w:proofErr w:type="spellStart"/>
            <w:r w:rsidRPr="009F0BEB">
              <w:rPr>
                <w:rFonts w:ascii="Arial Narrow" w:hAnsi="Arial Narrow"/>
                <w:b/>
                <w:sz w:val="20"/>
                <w:szCs w:val="20"/>
              </w:rPr>
              <w:t>Nal</w:t>
            </w:r>
            <w:proofErr w:type="spellEnd"/>
            <w:r w:rsidRPr="009F0BEB">
              <w:rPr>
                <w:rFonts w:ascii="Arial Narrow" w:hAnsi="Arial Narrow"/>
                <w:b/>
                <w:sz w:val="20"/>
                <w:szCs w:val="20"/>
              </w:rPr>
              <w:t>-IRI</w:t>
            </w:r>
            <w:r w:rsidR="0006761B" w:rsidRPr="009F0BEB">
              <w:rPr>
                <w:rFonts w:ascii="Arial Narrow" w:hAnsi="Arial Narrow"/>
                <w:b/>
                <w:sz w:val="20"/>
                <w:szCs w:val="20"/>
              </w:rPr>
              <w:t xml:space="preserve"> </w:t>
            </w:r>
          </w:p>
          <w:p w:rsidR="0006761B" w:rsidRPr="009F0BEB" w:rsidRDefault="0006761B" w:rsidP="006B2DC0">
            <w:pPr>
              <w:keepNext/>
              <w:widowControl/>
              <w:jc w:val="center"/>
              <w:rPr>
                <w:rFonts w:ascii="Arial Narrow" w:hAnsi="Arial Narrow"/>
                <w:b/>
                <w:sz w:val="20"/>
                <w:szCs w:val="20"/>
              </w:rPr>
            </w:pPr>
            <w:r w:rsidRPr="009F0BEB">
              <w:rPr>
                <w:rFonts w:ascii="Arial Narrow" w:hAnsi="Arial Narrow"/>
                <w:b/>
                <w:sz w:val="20"/>
                <w:szCs w:val="20"/>
              </w:rPr>
              <w:t>N=105</w:t>
            </w:r>
          </w:p>
        </w:tc>
        <w:tc>
          <w:tcPr>
            <w:tcW w:w="2012" w:type="dxa"/>
            <w:vAlign w:val="center"/>
          </w:tcPr>
          <w:p w:rsidR="0006761B" w:rsidRPr="009F0BEB" w:rsidRDefault="0006761B" w:rsidP="006B2DC0">
            <w:pPr>
              <w:keepNext/>
              <w:widowControl/>
              <w:jc w:val="center"/>
              <w:rPr>
                <w:rFonts w:ascii="Arial Narrow" w:hAnsi="Arial Narrow"/>
                <w:b/>
                <w:sz w:val="20"/>
                <w:szCs w:val="20"/>
              </w:rPr>
            </w:pPr>
            <w:r w:rsidRPr="009F0BEB">
              <w:rPr>
                <w:rFonts w:ascii="Arial Narrow" w:hAnsi="Arial Narrow"/>
                <w:b/>
                <w:sz w:val="20"/>
                <w:szCs w:val="20"/>
              </w:rPr>
              <w:t>5-FU/</w:t>
            </w:r>
            <w:proofErr w:type="spellStart"/>
            <w:r w:rsidRPr="009F0BEB">
              <w:rPr>
                <w:rFonts w:ascii="Arial Narrow" w:hAnsi="Arial Narrow"/>
                <w:b/>
                <w:sz w:val="20"/>
                <w:szCs w:val="20"/>
              </w:rPr>
              <w:t>folinic</w:t>
            </w:r>
            <w:proofErr w:type="spellEnd"/>
            <w:r w:rsidRPr="009F0BEB">
              <w:rPr>
                <w:rFonts w:ascii="Arial Narrow" w:hAnsi="Arial Narrow"/>
                <w:b/>
                <w:sz w:val="20"/>
                <w:szCs w:val="20"/>
              </w:rPr>
              <w:t xml:space="preserve"> acid</w:t>
            </w:r>
          </w:p>
          <w:p w:rsidR="0006761B" w:rsidRPr="009F0BEB" w:rsidRDefault="0006761B" w:rsidP="006B2DC0">
            <w:pPr>
              <w:keepNext/>
              <w:widowControl/>
              <w:jc w:val="center"/>
              <w:rPr>
                <w:rFonts w:ascii="Arial Narrow" w:hAnsi="Arial Narrow"/>
                <w:b/>
                <w:sz w:val="20"/>
                <w:szCs w:val="20"/>
              </w:rPr>
            </w:pPr>
            <w:r w:rsidRPr="009F0BEB">
              <w:rPr>
                <w:rFonts w:ascii="Arial Narrow" w:hAnsi="Arial Narrow"/>
                <w:b/>
                <w:sz w:val="20"/>
                <w:szCs w:val="20"/>
              </w:rPr>
              <w:t>N=102</w:t>
            </w:r>
          </w:p>
        </w:tc>
        <w:tc>
          <w:tcPr>
            <w:tcW w:w="2013" w:type="dxa"/>
            <w:vAlign w:val="center"/>
          </w:tcPr>
          <w:p w:rsidR="0006761B" w:rsidRPr="009F0BEB" w:rsidRDefault="0006761B" w:rsidP="006B2DC0">
            <w:pPr>
              <w:keepNext/>
              <w:widowControl/>
              <w:jc w:val="center"/>
              <w:rPr>
                <w:rFonts w:ascii="Arial Narrow" w:hAnsi="Arial Narrow"/>
                <w:b/>
                <w:sz w:val="20"/>
                <w:szCs w:val="20"/>
              </w:rPr>
            </w:pPr>
            <w:r w:rsidRPr="009F0BEB">
              <w:rPr>
                <w:rFonts w:ascii="Arial Narrow" w:hAnsi="Arial Narrow"/>
                <w:b/>
                <w:sz w:val="20"/>
                <w:szCs w:val="20"/>
              </w:rPr>
              <w:t>HR (95% CI)</w:t>
            </w:r>
          </w:p>
        </w:tc>
      </w:tr>
      <w:tr w:rsidR="00324953" w:rsidRPr="009F0BEB" w:rsidTr="00324953">
        <w:tc>
          <w:tcPr>
            <w:tcW w:w="2978" w:type="dxa"/>
            <w:vAlign w:val="center"/>
          </w:tcPr>
          <w:p w:rsidR="00324953" w:rsidRPr="009F0BEB" w:rsidRDefault="00324953" w:rsidP="006B2DC0">
            <w:pPr>
              <w:keepNext/>
              <w:widowControl/>
              <w:rPr>
                <w:rFonts w:ascii="Arial Narrow" w:hAnsi="Arial Narrow"/>
                <w:b/>
                <w:sz w:val="20"/>
                <w:szCs w:val="20"/>
              </w:rPr>
            </w:pPr>
            <w:r w:rsidRPr="009F0BEB">
              <w:rPr>
                <w:rFonts w:ascii="Arial Narrow" w:hAnsi="Arial Narrow"/>
                <w:b/>
                <w:sz w:val="20"/>
                <w:szCs w:val="20"/>
              </w:rPr>
              <w:t>Irinotecan naïve subgroup</w:t>
            </w:r>
          </w:p>
        </w:tc>
        <w:tc>
          <w:tcPr>
            <w:tcW w:w="2012" w:type="dxa"/>
            <w:vAlign w:val="center"/>
          </w:tcPr>
          <w:p w:rsidR="00324953" w:rsidRPr="009F0BEB" w:rsidRDefault="00324953" w:rsidP="006B2DC0">
            <w:pPr>
              <w:keepNext/>
              <w:widowControl/>
              <w:jc w:val="center"/>
              <w:rPr>
                <w:rFonts w:ascii="Arial Narrow" w:hAnsi="Arial Narrow"/>
                <w:sz w:val="20"/>
                <w:szCs w:val="20"/>
              </w:rPr>
            </w:pPr>
          </w:p>
        </w:tc>
        <w:tc>
          <w:tcPr>
            <w:tcW w:w="2012" w:type="dxa"/>
            <w:vAlign w:val="center"/>
          </w:tcPr>
          <w:p w:rsidR="00324953" w:rsidRPr="009F0BEB" w:rsidRDefault="00324953" w:rsidP="006B2DC0">
            <w:pPr>
              <w:keepNext/>
              <w:widowControl/>
              <w:jc w:val="center"/>
              <w:rPr>
                <w:rFonts w:ascii="Arial Narrow" w:hAnsi="Arial Narrow"/>
                <w:sz w:val="20"/>
                <w:szCs w:val="20"/>
              </w:rPr>
            </w:pPr>
          </w:p>
        </w:tc>
        <w:tc>
          <w:tcPr>
            <w:tcW w:w="2013" w:type="dxa"/>
            <w:vAlign w:val="center"/>
          </w:tcPr>
          <w:p w:rsidR="00324953" w:rsidRPr="009F0BEB" w:rsidRDefault="00324953" w:rsidP="006B2DC0">
            <w:pPr>
              <w:keepNext/>
              <w:widowControl/>
              <w:jc w:val="center"/>
              <w:rPr>
                <w:rFonts w:ascii="Arial Narrow" w:hAnsi="Arial Narrow"/>
                <w:sz w:val="20"/>
                <w:szCs w:val="20"/>
              </w:rPr>
            </w:pPr>
          </w:p>
        </w:tc>
      </w:tr>
      <w:tr w:rsidR="00BD68E1" w:rsidRPr="009F0BEB" w:rsidTr="00324953">
        <w:tc>
          <w:tcPr>
            <w:tcW w:w="2978" w:type="dxa"/>
            <w:vAlign w:val="center"/>
          </w:tcPr>
          <w:p w:rsidR="00BD68E1" w:rsidRPr="009F0BEB" w:rsidRDefault="00BD68E1" w:rsidP="006B2DC0">
            <w:pPr>
              <w:keepNext/>
              <w:widowControl/>
              <w:rPr>
                <w:rFonts w:ascii="Arial Narrow" w:hAnsi="Arial Narrow"/>
                <w:sz w:val="20"/>
                <w:szCs w:val="20"/>
              </w:rPr>
            </w:pPr>
            <w:r w:rsidRPr="009F0BEB">
              <w:rPr>
                <w:rFonts w:ascii="Arial Narrow" w:hAnsi="Arial Narrow"/>
                <w:sz w:val="20"/>
                <w:szCs w:val="20"/>
              </w:rPr>
              <w:t>Died, n/N (%)</w:t>
            </w:r>
          </w:p>
        </w:tc>
        <w:tc>
          <w:tcPr>
            <w:tcW w:w="2012" w:type="dxa"/>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restart"/>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BD68E1" w:rsidRPr="009F0BEB" w:rsidTr="00324953">
        <w:tc>
          <w:tcPr>
            <w:tcW w:w="2978" w:type="dxa"/>
            <w:vAlign w:val="center"/>
          </w:tcPr>
          <w:p w:rsidR="00BD68E1" w:rsidRPr="009F0BEB" w:rsidRDefault="00BD68E1" w:rsidP="006B2DC0">
            <w:pPr>
              <w:keepNext/>
              <w:widowControl/>
              <w:rPr>
                <w:rFonts w:ascii="Arial Narrow" w:hAnsi="Arial Narrow"/>
                <w:sz w:val="20"/>
                <w:szCs w:val="20"/>
              </w:rPr>
            </w:pPr>
            <w:r w:rsidRPr="009F0BEB">
              <w:rPr>
                <w:rFonts w:ascii="Arial Narrow" w:hAnsi="Arial Narrow"/>
                <w:sz w:val="20"/>
                <w:szCs w:val="20"/>
              </w:rPr>
              <w:t>Censored, n/N (%)</w:t>
            </w:r>
          </w:p>
        </w:tc>
        <w:tc>
          <w:tcPr>
            <w:tcW w:w="2012" w:type="dxa"/>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ign w:val="center"/>
          </w:tcPr>
          <w:p w:rsidR="00BD68E1" w:rsidRPr="00EE2E05" w:rsidRDefault="00BD68E1" w:rsidP="006B2DC0">
            <w:pPr>
              <w:keepNext/>
              <w:widowControl/>
              <w:jc w:val="center"/>
              <w:rPr>
                <w:rFonts w:ascii="Arial Narrow" w:hAnsi="Arial Narrow"/>
                <w:sz w:val="20"/>
                <w:szCs w:val="20"/>
              </w:rPr>
            </w:pPr>
          </w:p>
        </w:tc>
      </w:tr>
      <w:tr w:rsidR="00BD68E1" w:rsidRPr="009F0BEB" w:rsidTr="00324953">
        <w:tc>
          <w:tcPr>
            <w:tcW w:w="2978" w:type="dxa"/>
            <w:vAlign w:val="center"/>
          </w:tcPr>
          <w:p w:rsidR="00BD68E1" w:rsidRPr="009F0BEB" w:rsidRDefault="00BD68E1"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2012" w:type="dxa"/>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2" w:type="dxa"/>
            <w:vAlign w:val="center"/>
          </w:tcPr>
          <w:p w:rsidR="00BD68E1"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3" w:type="dxa"/>
            <w:vMerge/>
            <w:vAlign w:val="center"/>
          </w:tcPr>
          <w:p w:rsidR="00BD68E1" w:rsidRPr="00EE2E05" w:rsidRDefault="00BD68E1" w:rsidP="006B2DC0">
            <w:pPr>
              <w:keepNext/>
              <w:widowControl/>
              <w:jc w:val="center"/>
              <w:rPr>
                <w:rFonts w:ascii="Arial Narrow" w:hAnsi="Arial Narrow"/>
                <w:sz w:val="20"/>
                <w:szCs w:val="20"/>
              </w:rPr>
            </w:pPr>
          </w:p>
        </w:tc>
      </w:tr>
      <w:tr w:rsidR="00324953" w:rsidRPr="009F0BEB" w:rsidTr="00324953">
        <w:tc>
          <w:tcPr>
            <w:tcW w:w="2978" w:type="dxa"/>
          </w:tcPr>
          <w:p w:rsidR="00324953" w:rsidRPr="009F0BEB" w:rsidRDefault="00324953" w:rsidP="006B2DC0">
            <w:pPr>
              <w:keepNext/>
              <w:widowControl/>
              <w:rPr>
                <w:rFonts w:ascii="Arial Narrow" w:hAnsi="Arial Narrow"/>
                <w:b/>
                <w:sz w:val="20"/>
                <w:szCs w:val="20"/>
              </w:rPr>
            </w:pPr>
            <w:r w:rsidRPr="009F0BEB">
              <w:rPr>
                <w:rFonts w:ascii="Arial Narrow" w:hAnsi="Arial Narrow"/>
                <w:b/>
                <w:sz w:val="20"/>
                <w:szCs w:val="20"/>
              </w:rPr>
              <w:t xml:space="preserve">Irinotecan </w:t>
            </w:r>
            <w:r w:rsidR="001C6CDD" w:rsidRPr="009F0BEB">
              <w:rPr>
                <w:rFonts w:ascii="Arial Narrow" w:hAnsi="Arial Narrow"/>
                <w:b/>
                <w:sz w:val="20"/>
                <w:szCs w:val="20"/>
              </w:rPr>
              <w:t>experienced</w:t>
            </w:r>
            <w:r w:rsidRPr="009F0BEB">
              <w:rPr>
                <w:rFonts w:ascii="Arial Narrow" w:hAnsi="Arial Narrow"/>
                <w:b/>
                <w:sz w:val="20"/>
                <w:szCs w:val="20"/>
              </w:rPr>
              <w:t xml:space="preserve"> subgroup</w:t>
            </w:r>
          </w:p>
        </w:tc>
        <w:tc>
          <w:tcPr>
            <w:tcW w:w="2012" w:type="dxa"/>
          </w:tcPr>
          <w:p w:rsidR="00324953" w:rsidRPr="00EE2E05" w:rsidRDefault="00324953" w:rsidP="006B2DC0">
            <w:pPr>
              <w:keepNext/>
              <w:widowControl/>
              <w:jc w:val="center"/>
              <w:rPr>
                <w:rFonts w:ascii="Arial Narrow" w:hAnsi="Arial Narrow"/>
                <w:sz w:val="20"/>
                <w:szCs w:val="20"/>
              </w:rPr>
            </w:pPr>
          </w:p>
        </w:tc>
        <w:tc>
          <w:tcPr>
            <w:tcW w:w="2012" w:type="dxa"/>
          </w:tcPr>
          <w:p w:rsidR="00324953" w:rsidRPr="00EE2E05" w:rsidRDefault="00324953" w:rsidP="006B2DC0">
            <w:pPr>
              <w:keepNext/>
              <w:widowControl/>
              <w:jc w:val="center"/>
              <w:rPr>
                <w:rFonts w:ascii="Arial Narrow" w:hAnsi="Arial Narrow"/>
                <w:sz w:val="20"/>
                <w:szCs w:val="20"/>
              </w:rPr>
            </w:pPr>
          </w:p>
        </w:tc>
        <w:tc>
          <w:tcPr>
            <w:tcW w:w="2013" w:type="dxa"/>
          </w:tcPr>
          <w:p w:rsidR="00324953" w:rsidRPr="00EE2E05" w:rsidRDefault="00324953" w:rsidP="006B2DC0">
            <w:pPr>
              <w:keepNext/>
              <w:widowControl/>
              <w:jc w:val="center"/>
              <w:rPr>
                <w:rFonts w:ascii="Arial Narrow" w:hAnsi="Arial Narrow"/>
                <w:sz w:val="20"/>
                <w:szCs w:val="20"/>
              </w:rPr>
            </w:pPr>
          </w:p>
        </w:tc>
      </w:tr>
      <w:tr w:rsidR="00324953" w:rsidRPr="009F0BEB" w:rsidTr="00C03E02">
        <w:tc>
          <w:tcPr>
            <w:tcW w:w="2978" w:type="dxa"/>
          </w:tcPr>
          <w:p w:rsidR="00324953" w:rsidRPr="009F0BEB" w:rsidRDefault="00324953" w:rsidP="006B2DC0">
            <w:pPr>
              <w:keepNext/>
              <w:widowControl/>
              <w:rPr>
                <w:rFonts w:ascii="Arial Narrow" w:hAnsi="Arial Narrow"/>
                <w:sz w:val="20"/>
                <w:szCs w:val="20"/>
              </w:rPr>
            </w:pPr>
            <w:r w:rsidRPr="009F0BEB">
              <w:rPr>
                <w:rFonts w:ascii="Arial Narrow" w:hAnsi="Arial Narrow"/>
                <w:sz w:val="20"/>
                <w:szCs w:val="20"/>
              </w:rPr>
              <w:t>Died, n/N (%)</w:t>
            </w:r>
          </w:p>
        </w:tc>
        <w:tc>
          <w:tcPr>
            <w:tcW w:w="2012" w:type="dxa"/>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restart"/>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324953" w:rsidRPr="009F0BEB" w:rsidTr="00C03E02">
        <w:tc>
          <w:tcPr>
            <w:tcW w:w="2978" w:type="dxa"/>
          </w:tcPr>
          <w:p w:rsidR="00324953" w:rsidRPr="009F0BEB" w:rsidRDefault="00324953" w:rsidP="006B2DC0">
            <w:pPr>
              <w:keepNext/>
              <w:widowControl/>
              <w:rPr>
                <w:rFonts w:ascii="Arial Narrow" w:hAnsi="Arial Narrow"/>
                <w:sz w:val="20"/>
                <w:szCs w:val="20"/>
              </w:rPr>
            </w:pPr>
            <w:r w:rsidRPr="009F0BEB">
              <w:rPr>
                <w:rFonts w:ascii="Arial Narrow" w:hAnsi="Arial Narrow"/>
                <w:sz w:val="20"/>
                <w:szCs w:val="20"/>
              </w:rPr>
              <w:t>Censored, n/N (%)</w:t>
            </w:r>
          </w:p>
        </w:tc>
        <w:tc>
          <w:tcPr>
            <w:tcW w:w="2012" w:type="dxa"/>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tcPr>
          <w:p w:rsidR="00324953" w:rsidRPr="009F0BEB" w:rsidRDefault="00324953" w:rsidP="006B2DC0">
            <w:pPr>
              <w:keepNext/>
              <w:widowControl/>
              <w:jc w:val="center"/>
              <w:rPr>
                <w:rFonts w:ascii="Arial Narrow" w:hAnsi="Arial Narrow"/>
                <w:sz w:val="20"/>
                <w:szCs w:val="20"/>
              </w:rPr>
            </w:pPr>
          </w:p>
        </w:tc>
      </w:tr>
      <w:tr w:rsidR="00324953" w:rsidRPr="009F0BEB" w:rsidTr="00C03E02">
        <w:tc>
          <w:tcPr>
            <w:tcW w:w="2978" w:type="dxa"/>
          </w:tcPr>
          <w:p w:rsidR="00324953" w:rsidRPr="009F0BEB" w:rsidRDefault="00324953"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2012" w:type="dxa"/>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2" w:type="dxa"/>
            <w:vAlign w:val="center"/>
          </w:tcPr>
          <w:p w:rsidR="00324953"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3" w:type="dxa"/>
            <w:vMerge/>
          </w:tcPr>
          <w:p w:rsidR="00324953" w:rsidRPr="009F0BEB" w:rsidRDefault="00324953" w:rsidP="006B2DC0">
            <w:pPr>
              <w:keepNext/>
              <w:widowControl/>
              <w:jc w:val="center"/>
              <w:rPr>
                <w:rFonts w:ascii="Arial Narrow" w:hAnsi="Arial Narrow"/>
                <w:sz w:val="20"/>
                <w:szCs w:val="20"/>
              </w:rPr>
            </w:pPr>
          </w:p>
        </w:tc>
      </w:tr>
    </w:tbl>
    <w:p w:rsidR="0006761B" w:rsidRPr="009F0BEB" w:rsidRDefault="0006761B" w:rsidP="006B2DC0">
      <w:pPr>
        <w:pStyle w:val="TableFooter"/>
        <w:widowControl/>
      </w:pPr>
      <w:r w:rsidRPr="009F0BEB">
        <w:t>Source: Post Hoc Analyses, Appendix 4 of the resubmission</w:t>
      </w:r>
    </w:p>
    <w:p w:rsidR="0006761B" w:rsidRDefault="0006761B" w:rsidP="00D13044">
      <w:pPr>
        <w:pStyle w:val="TableFooter"/>
        <w:widowControl/>
      </w:pPr>
      <w:r w:rsidRPr="009F0BEB">
        <w:t>Abbreviations: CI, confid</w:t>
      </w:r>
      <w:r w:rsidR="00D13044">
        <w:t>ence interval; HR, hazard ratio</w:t>
      </w:r>
    </w:p>
    <w:p w:rsidR="00D13044" w:rsidRPr="009F0BEB" w:rsidRDefault="00D13044" w:rsidP="00D13044">
      <w:pPr>
        <w:pStyle w:val="TableFooter"/>
        <w:widowControl/>
      </w:pPr>
    </w:p>
    <w:p w:rsidR="00BB1E04" w:rsidRPr="009F0BEB" w:rsidRDefault="0006761B" w:rsidP="006B2DC0">
      <w:pPr>
        <w:pStyle w:val="ListParagraph"/>
        <w:widowControl/>
        <w:numPr>
          <w:ilvl w:val="1"/>
          <w:numId w:val="3"/>
        </w:numPr>
      </w:pPr>
      <w:r w:rsidRPr="009F0BEB">
        <w:t xml:space="preserve">Treatment with </w:t>
      </w:r>
      <w:proofErr w:type="spellStart"/>
      <w:r w:rsidR="00B6003E" w:rsidRPr="009F0BEB">
        <w:t>nal</w:t>
      </w:r>
      <w:proofErr w:type="spellEnd"/>
      <w:r w:rsidR="00B6003E" w:rsidRPr="009F0BEB">
        <w:t>-IRI</w:t>
      </w:r>
      <w:r w:rsidRPr="009F0BEB">
        <w:t xml:space="preserve"> was associated with a statistically significant increase in median overall survival of </w:t>
      </w:r>
      <w:r w:rsidR="00EE2E05">
        <w:rPr>
          <w:noProof/>
          <w:color w:val="000000"/>
          <w:highlight w:val="black"/>
        </w:rPr>
        <w:t>''''''''</w:t>
      </w:r>
      <w:r w:rsidRPr="009F0BEB">
        <w:t xml:space="preserve"> weeks compared with 5-FU/</w:t>
      </w:r>
      <w:proofErr w:type="spellStart"/>
      <w:r w:rsidRPr="009F0BEB">
        <w:t>folinic</w:t>
      </w:r>
      <w:proofErr w:type="spellEnd"/>
      <w:r w:rsidRPr="009F0BEB">
        <w:t xml:space="preserve"> acid treatment in the irinotecan naïve patient subgroup (HR </w:t>
      </w:r>
      <w:r w:rsidR="00EE2E05">
        <w:rPr>
          <w:noProof/>
          <w:color w:val="000000"/>
          <w:highlight w:val="black"/>
        </w:rPr>
        <w:t>'''''''''</w:t>
      </w:r>
      <w:r w:rsidRPr="009F0BEB">
        <w:t xml:space="preserve">, 95% CI </w:t>
      </w:r>
      <w:r w:rsidR="00EE2E05">
        <w:rPr>
          <w:noProof/>
          <w:color w:val="000000"/>
          <w:highlight w:val="black"/>
        </w:rPr>
        <w:t>'''''''''' '''''''''</w:t>
      </w:r>
      <w:r w:rsidRPr="009F0BEB">
        <w:t xml:space="preserve">). The survival curves converge between 90 and 100 weeks. These results were numerically higher compared with an increase in median overall survival of </w:t>
      </w:r>
      <w:r w:rsidRPr="00D5067E">
        <w:t>8.7</w:t>
      </w:r>
      <w:r w:rsidRPr="009F0BEB">
        <w:t xml:space="preserve"> weeks </w:t>
      </w:r>
      <w:r w:rsidR="00483F4E" w:rsidRPr="009F0BEB">
        <w:t xml:space="preserve">associated with </w:t>
      </w:r>
      <w:proofErr w:type="spellStart"/>
      <w:r w:rsidR="00B6003E" w:rsidRPr="009F0BEB">
        <w:t>nal</w:t>
      </w:r>
      <w:proofErr w:type="spellEnd"/>
      <w:r w:rsidR="00B6003E" w:rsidRPr="009F0BEB">
        <w:t>-IRI</w:t>
      </w:r>
      <w:r w:rsidR="00483F4E" w:rsidRPr="009F0BEB">
        <w:t xml:space="preserve"> </w:t>
      </w:r>
      <w:r w:rsidRPr="009F0BEB">
        <w:t>for the whole trial population (HR 0.75, 95% CI 0.57, 0.99).</w:t>
      </w:r>
    </w:p>
    <w:p w:rsidR="00483F4E" w:rsidRPr="009F0BEB" w:rsidRDefault="005B5586" w:rsidP="006B2DC0">
      <w:pPr>
        <w:pStyle w:val="ListParagraph"/>
        <w:widowControl/>
        <w:numPr>
          <w:ilvl w:val="1"/>
          <w:numId w:val="3"/>
        </w:numPr>
      </w:pPr>
      <w:r w:rsidRPr="009F0BEB">
        <w:lastRenderedPageBreak/>
        <w:t xml:space="preserve">Figure 4 </w:t>
      </w:r>
      <w:r w:rsidR="00483F4E" w:rsidRPr="009F0BEB">
        <w:t>present</w:t>
      </w:r>
      <w:r w:rsidR="00231E3C" w:rsidRPr="009F0BEB">
        <w:t>s</w:t>
      </w:r>
      <w:r w:rsidR="00483F4E" w:rsidRPr="009F0BEB">
        <w:t xml:space="preserve"> the results for progression-free survival in </w:t>
      </w:r>
      <w:r w:rsidR="006D7153" w:rsidRPr="009F0BEB">
        <w:t>irinotecan naïve</w:t>
      </w:r>
      <w:r w:rsidR="00231E3C" w:rsidRPr="009F0BEB">
        <w:t xml:space="preserve"> patients. Table </w:t>
      </w:r>
      <w:r w:rsidR="00F0166D" w:rsidRPr="009F0BEB">
        <w:t>10</w:t>
      </w:r>
      <w:r w:rsidR="00231E3C" w:rsidRPr="009F0BEB">
        <w:t xml:space="preserve"> presents the results for progression-free survival in</w:t>
      </w:r>
      <w:r w:rsidR="00B64000" w:rsidRPr="009F0BEB">
        <w:t xml:space="preserve"> the</w:t>
      </w:r>
      <w:r w:rsidR="00231E3C" w:rsidRPr="009F0BEB">
        <w:t xml:space="preserve"> irinotecan </w:t>
      </w:r>
      <w:r w:rsidR="00E75B1A" w:rsidRPr="009F0BEB">
        <w:t>naïve and</w:t>
      </w:r>
      <w:r w:rsidR="006D7153" w:rsidRPr="009F0BEB">
        <w:t xml:space="preserve"> irinotecan experienced patients</w:t>
      </w:r>
      <w:r w:rsidR="00483F4E" w:rsidRPr="009F0BEB">
        <w:t xml:space="preserve"> based on the updated post-hoc analyses from the NAPOLI-1 trial.</w:t>
      </w:r>
    </w:p>
    <w:p w:rsidR="00483F4E" w:rsidRPr="009F0BEB" w:rsidRDefault="005B5586" w:rsidP="006B2DC0">
      <w:pPr>
        <w:keepNext/>
        <w:widowControl/>
        <w:rPr>
          <w:rFonts w:ascii="Arial Narrow" w:hAnsi="Arial Narrow"/>
          <w:b/>
          <w:sz w:val="20"/>
        </w:rPr>
      </w:pPr>
      <w:r w:rsidRPr="009F0BEB">
        <w:rPr>
          <w:rFonts w:ascii="Arial Narrow" w:hAnsi="Arial Narrow"/>
          <w:b/>
          <w:sz w:val="20"/>
        </w:rPr>
        <w:t>Figure 4</w:t>
      </w:r>
      <w:r w:rsidR="00483F4E" w:rsidRPr="009F0BEB">
        <w:rPr>
          <w:rFonts w:ascii="Arial Narrow" w:hAnsi="Arial Narrow"/>
          <w:b/>
          <w:sz w:val="20"/>
        </w:rPr>
        <w:t>: Updated post-hoc analysis of progression-free survival in NAPOLI-1 (irinotecan naïve subgroup)</w:t>
      </w:r>
    </w:p>
    <w:p w:rsidR="00483F4E" w:rsidRPr="009F0BEB" w:rsidRDefault="00483F4E" w:rsidP="00214C1E">
      <w:pPr>
        <w:keepNext/>
        <w:widowControl/>
        <w:jc w:val="center"/>
      </w:pPr>
      <w:r w:rsidRPr="009F0BEB">
        <w:rPr>
          <w:noProof/>
          <w:snapToGrid/>
          <w:lang w:eastAsia="en-AU"/>
        </w:rPr>
        <w:drawing>
          <wp:inline distT="0" distB="0" distL="0" distR="0" wp14:anchorId="2A8D77D6" wp14:editId="103B04F1">
            <wp:extent cx="5251450" cy="3612259"/>
            <wp:effectExtent l="0" t="0" r="6350" b="7620"/>
            <wp:docPr id="8" name="Picture 8" title="Figure 4: Updated post-hoc analysis of progression-free survival in NAPOLI-1 (irinotecan naïve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0864" cy="3611856"/>
                    </a:xfrm>
                    <a:prstGeom prst="rect">
                      <a:avLst/>
                    </a:prstGeom>
                    <a:noFill/>
                  </pic:spPr>
                </pic:pic>
              </a:graphicData>
            </a:graphic>
          </wp:inline>
        </w:drawing>
      </w:r>
    </w:p>
    <w:tbl>
      <w:tblPr>
        <w:tblStyle w:val="Commentarytable"/>
        <w:tblW w:w="0" w:type="auto"/>
        <w:tblInd w:w="136" w:type="dxa"/>
        <w:tblLook w:val="04A0" w:firstRow="1" w:lastRow="0" w:firstColumn="1" w:lastColumn="0" w:noHBand="0" w:noVBand="1"/>
        <w:tblCaption w:val="Updated post-hoc analysis of progression-free survival in NAPOLI-1 (irinotecan naïve subgroup)"/>
      </w:tblPr>
      <w:tblGrid>
        <w:gridCol w:w="952"/>
        <w:gridCol w:w="1151"/>
        <w:gridCol w:w="1152"/>
        <w:gridCol w:w="1152"/>
        <w:gridCol w:w="1152"/>
        <w:gridCol w:w="1152"/>
        <w:gridCol w:w="1152"/>
        <w:gridCol w:w="1152"/>
      </w:tblGrid>
      <w:tr w:rsidR="00483F4E" w:rsidRPr="009F0BEB" w:rsidTr="008C785F">
        <w:trPr>
          <w:tblHeader/>
        </w:trPr>
        <w:tc>
          <w:tcPr>
            <w:tcW w:w="952" w:type="dxa"/>
            <w:vMerge w:val="restart"/>
          </w:tcPr>
          <w:p w:rsidR="00483F4E" w:rsidRPr="009F0BEB" w:rsidRDefault="00483F4E" w:rsidP="006B2DC0">
            <w:pPr>
              <w:pStyle w:val="BodyText"/>
              <w:keepNext/>
              <w:widowControl/>
              <w:rPr>
                <w:rFonts w:ascii="Arial Narrow" w:hAnsi="Arial Narrow"/>
                <w:b/>
                <w:sz w:val="20"/>
                <w:szCs w:val="20"/>
              </w:rPr>
            </w:pPr>
            <w:r w:rsidRPr="009F0BEB">
              <w:rPr>
                <w:rFonts w:ascii="Arial Narrow" w:hAnsi="Arial Narrow"/>
                <w:b/>
                <w:sz w:val="20"/>
                <w:szCs w:val="20"/>
              </w:rPr>
              <w:t>Patients at risk</w:t>
            </w:r>
          </w:p>
        </w:tc>
        <w:tc>
          <w:tcPr>
            <w:tcW w:w="8063" w:type="dxa"/>
            <w:gridSpan w:val="7"/>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Weeks</w:t>
            </w:r>
          </w:p>
        </w:tc>
      </w:tr>
      <w:tr w:rsidR="00483F4E" w:rsidRPr="009F0BEB" w:rsidTr="008C785F">
        <w:trPr>
          <w:tblHeader/>
        </w:trPr>
        <w:tc>
          <w:tcPr>
            <w:tcW w:w="952" w:type="dxa"/>
            <w:vMerge/>
          </w:tcPr>
          <w:p w:rsidR="00483F4E" w:rsidRPr="009F0BEB" w:rsidRDefault="00483F4E" w:rsidP="006B2DC0">
            <w:pPr>
              <w:pStyle w:val="BodyText"/>
              <w:keepNext/>
              <w:widowControl/>
              <w:rPr>
                <w:rFonts w:ascii="Arial Narrow" w:hAnsi="Arial Narrow"/>
                <w:b/>
                <w:sz w:val="20"/>
                <w:szCs w:val="20"/>
              </w:rPr>
            </w:pPr>
          </w:p>
        </w:tc>
        <w:tc>
          <w:tcPr>
            <w:tcW w:w="1151" w:type="dxa"/>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0</w:t>
            </w:r>
          </w:p>
        </w:tc>
        <w:tc>
          <w:tcPr>
            <w:tcW w:w="1152" w:type="dxa"/>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10</w:t>
            </w:r>
          </w:p>
        </w:tc>
        <w:tc>
          <w:tcPr>
            <w:tcW w:w="1152" w:type="dxa"/>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23</w:t>
            </w:r>
          </w:p>
        </w:tc>
        <w:tc>
          <w:tcPr>
            <w:tcW w:w="1152" w:type="dxa"/>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35</w:t>
            </w:r>
          </w:p>
        </w:tc>
        <w:tc>
          <w:tcPr>
            <w:tcW w:w="1152" w:type="dxa"/>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48</w:t>
            </w:r>
          </w:p>
        </w:tc>
        <w:tc>
          <w:tcPr>
            <w:tcW w:w="1152" w:type="dxa"/>
          </w:tcPr>
          <w:p w:rsidR="00483F4E" w:rsidRPr="009F0BEB" w:rsidRDefault="00483F4E" w:rsidP="006B2DC0">
            <w:pPr>
              <w:pStyle w:val="BodyText"/>
              <w:keepNext/>
              <w:widowControl/>
              <w:jc w:val="center"/>
              <w:rPr>
                <w:rFonts w:ascii="Arial Narrow" w:hAnsi="Arial Narrow"/>
                <w:b/>
                <w:sz w:val="20"/>
                <w:szCs w:val="20"/>
                <w:vertAlign w:val="superscript"/>
              </w:rPr>
            </w:pPr>
            <w:r w:rsidRPr="009F0BEB">
              <w:rPr>
                <w:rFonts w:ascii="Arial Narrow" w:hAnsi="Arial Narrow"/>
                <w:b/>
                <w:sz w:val="20"/>
                <w:szCs w:val="20"/>
              </w:rPr>
              <w:t>64/65</w:t>
            </w:r>
            <w:r w:rsidRPr="009F0BEB">
              <w:rPr>
                <w:rFonts w:ascii="Arial Narrow" w:hAnsi="Arial Narrow"/>
                <w:b/>
                <w:sz w:val="20"/>
                <w:szCs w:val="20"/>
                <w:vertAlign w:val="superscript"/>
              </w:rPr>
              <w:t>a</w:t>
            </w:r>
          </w:p>
        </w:tc>
        <w:tc>
          <w:tcPr>
            <w:tcW w:w="1152" w:type="dxa"/>
          </w:tcPr>
          <w:p w:rsidR="00483F4E" w:rsidRPr="009F0BEB" w:rsidRDefault="00483F4E" w:rsidP="006B2DC0">
            <w:pPr>
              <w:pStyle w:val="BodyText"/>
              <w:keepNext/>
              <w:widowControl/>
              <w:jc w:val="center"/>
              <w:rPr>
                <w:rFonts w:ascii="Arial Narrow" w:hAnsi="Arial Narrow"/>
                <w:b/>
                <w:sz w:val="20"/>
                <w:szCs w:val="20"/>
              </w:rPr>
            </w:pPr>
            <w:r w:rsidRPr="009F0BEB">
              <w:rPr>
                <w:rFonts w:ascii="Arial Narrow" w:hAnsi="Arial Narrow"/>
                <w:b/>
                <w:sz w:val="20"/>
                <w:szCs w:val="20"/>
              </w:rPr>
              <w:t>83/87</w:t>
            </w:r>
            <w:r w:rsidRPr="009F0BEB">
              <w:rPr>
                <w:rFonts w:ascii="Arial Narrow" w:hAnsi="Arial Narrow"/>
                <w:b/>
                <w:sz w:val="20"/>
                <w:szCs w:val="20"/>
                <w:vertAlign w:val="superscript"/>
              </w:rPr>
              <w:t>a</w:t>
            </w:r>
          </w:p>
        </w:tc>
      </w:tr>
      <w:tr w:rsidR="00483F4E" w:rsidRPr="009F0BEB" w:rsidTr="00083B1D">
        <w:tc>
          <w:tcPr>
            <w:tcW w:w="952" w:type="dxa"/>
          </w:tcPr>
          <w:p w:rsidR="00483F4E" w:rsidRPr="009F0BEB" w:rsidRDefault="00483F4E" w:rsidP="006B2DC0">
            <w:pPr>
              <w:pStyle w:val="BodyText"/>
              <w:keepNext/>
              <w:widowControl/>
              <w:rPr>
                <w:rFonts w:ascii="Arial Narrow" w:hAnsi="Arial Narrow"/>
                <w:sz w:val="20"/>
                <w:szCs w:val="20"/>
              </w:rPr>
            </w:pPr>
            <w:proofErr w:type="spellStart"/>
            <w:r w:rsidRPr="009F0BEB">
              <w:rPr>
                <w:rFonts w:ascii="Arial Narrow" w:hAnsi="Arial Narrow"/>
                <w:sz w:val="20"/>
                <w:szCs w:val="20"/>
              </w:rPr>
              <w:t>Nal</w:t>
            </w:r>
            <w:proofErr w:type="spellEnd"/>
            <w:r w:rsidRPr="009F0BEB">
              <w:rPr>
                <w:rFonts w:ascii="Arial Narrow" w:hAnsi="Arial Narrow"/>
                <w:sz w:val="20"/>
                <w:szCs w:val="20"/>
              </w:rPr>
              <w:t>-</w:t>
            </w:r>
            <w:r w:rsidR="00B6003E" w:rsidRPr="009F0BEB">
              <w:rPr>
                <w:rFonts w:ascii="Arial Narrow" w:hAnsi="Arial Narrow"/>
                <w:sz w:val="20"/>
                <w:szCs w:val="20"/>
              </w:rPr>
              <w:t>IRI</w:t>
            </w:r>
          </w:p>
        </w:tc>
        <w:tc>
          <w:tcPr>
            <w:tcW w:w="1151"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105</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61</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30</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20</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12</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6</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3</w:t>
            </w:r>
          </w:p>
        </w:tc>
      </w:tr>
      <w:tr w:rsidR="00483F4E" w:rsidRPr="009F0BEB" w:rsidTr="00083B1D">
        <w:tc>
          <w:tcPr>
            <w:tcW w:w="952" w:type="dxa"/>
          </w:tcPr>
          <w:p w:rsidR="00483F4E" w:rsidRPr="009F0BEB" w:rsidRDefault="00483F4E" w:rsidP="006B2DC0">
            <w:pPr>
              <w:pStyle w:val="BodyText"/>
              <w:keepNext/>
              <w:widowControl/>
              <w:rPr>
                <w:rFonts w:ascii="Arial Narrow" w:hAnsi="Arial Narrow"/>
                <w:sz w:val="20"/>
                <w:szCs w:val="20"/>
              </w:rPr>
            </w:pPr>
            <w:r w:rsidRPr="009F0BEB">
              <w:rPr>
                <w:rFonts w:ascii="Arial Narrow" w:hAnsi="Arial Narrow"/>
                <w:sz w:val="20"/>
                <w:szCs w:val="20"/>
              </w:rPr>
              <w:t>5-FU/LV</w:t>
            </w:r>
          </w:p>
        </w:tc>
        <w:tc>
          <w:tcPr>
            <w:tcW w:w="1151"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102</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34</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12</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6</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3</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2</w:t>
            </w:r>
          </w:p>
        </w:tc>
        <w:tc>
          <w:tcPr>
            <w:tcW w:w="1152" w:type="dxa"/>
          </w:tcPr>
          <w:p w:rsidR="00483F4E" w:rsidRPr="009F0BEB" w:rsidRDefault="00483F4E" w:rsidP="006B2DC0">
            <w:pPr>
              <w:pStyle w:val="BodyText"/>
              <w:keepNext/>
              <w:widowControl/>
              <w:jc w:val="center"/>
              <w:rPr>
                <w:rFonts w:ascii="Arial Narrow" w:hAnsi="Arial Narrow"/>
                <w:sz w:val="20"/>
                <w:szCs w:val="20"/>
              </w:rPr>
            </w:pPr>
            <w:r w:rsidRPr="009F0BEB">
              <w:rPr>
                <w:rFonts w:ascii="Arial Narrow" w:hAnsi="Arial Narrow"/>
                <w:sz w:val="20"/>
                <w:szCs w:val="20"/>
              </w:rPr>
              <w:t>1</w:t>
            </w:r>
          </w:p>
        </w:tc>
      </w:tr>
    </w:tbl>
    <w:p w:rsidR="00483F4E" w:rsidRPr="009F0BEB" w:rsidRDefault="00483F4E" w:rsidP="006B2DC0">
      <w:pPr>
        <w:pStyle w:val="TableFooter"/>
        <w:keepNext/>
        <w:widowControl/>
      </w:pPr>
      <w:r w:rsidRPr="009F0BEB">
        <w:t>Source: ‘</w:t>
      </w:r>
      <w:proofErr w:type="spellStart"/>
      <w:r w:rsidRPr="009F0BEB">
        <w:t>KMPFSPrior</w:t>
      </w:r>
      <w:proofErr w:type="spellEnd"/>
      <w:r w:rsidRPr="009F0BEB">
        <w:t>’ Excel workbook, Appendix 4 of the resubmission</w:t>
      </w:r>
    </w:p>
    <w:p w:rsidR="00483F4E" w:rsidRPr="009F0BEB" w:rsidRDefault="00483F4E" w:rsidP="006B2DC0">
      <w:pPr>
        <w:pStyle w:val="TableFooter"/>
        <w:keepNext/>
        <w:widowControl/>
      </w:pPr>
      <w:r w:rsidRPr="009F0BEB">
        <w:t xml:space="preserve">Abbreviations: 5-FU/LV, 5-fluorouracil and </w:t>
      </w:r>
      <w:proofErr w:type="spellStart"/>
      <w:r w:rsidRPr="009F0BEB">
        <w:t>folinic</w:t>
      </w:r>
      <w:proofErr w:type="spellEnd"/>
      <w:r w:rsidRPr="009F0BEB">
        <w:t xml:space="preserve"> acid; CI, confidence interval; ITT, intent to treat; </w:t>
      </w:r>
      <w:proofErr w:type="spellStart"/>
      <w:r w:rsidRPr="009F0BEB">
        <w:t>Nal</w:t>
      </w:r>
      <w:proofErr w:type="spellEnd"/>
      <w:r w:rsidRPr="009F0BEB">
        <w:t>-</w:t>
      </w:r>
      <w:r w:rsidR="00B6003E" w:rsidRPr="009F0BEB">
        <w:t>IRI</w:t>
      </w:r>
      <w:r w:rsidRPr="009F0BEB">
        <w:t>, irinotecan (</w:t>
      </w:r>
      <w:proofErr w:type="spellStart"/>
      <w:r w:rsidRPr="009F0BEB">
        <w:t>nanoliposomal</w:t>
      </w:r>
      <w:proofErr w:type="spellEnd"/>
      <w:r w:rsidRPr="009F0BEB">
        <w:t>) plus 5-FU/</w:t>
      </w:r>
      <w:proofErr w:type="spellStart"/>
      <w:r w:rsidRPr="009F0BEB">
        <w:t>folinic</w:t>
      </w:r>
      <w:proofErr w:type="spellEnd"/>
      <w:r w:rsidRPr="009F0BEB">
        <w:t xml:space="preserve"> acid</w:t>
      </w:r>
    </w:p>
    <w:p w:rsidR="00483F4E" w:rsidRPr="009F0BEB" w:rsidRDefault="00483F4E" w:rsidP="006B2DC0">
      <w:pPr>
        <w:pStyle w:val="TableFooter"/>
        <w:keepNext/>
        <w:widowControl/>
      </w:pPr>
      <w:proofErr w:type="gramStart"/>
      <w:r w:rsidRPr="009F0BEB">
        <w:rPr>
          <w:vertAlign w:val="superscript"/>
        </w:rPr>
        <w:t>a</w:t>
      </w:r>
      <w:proofErr w:type="gramEnd"/>
      <w:r w:rsidRPr="009F0BEB">
        <w:t xml:space="preserve"> No common </w:t>
      </w:r>
      <w:proofErr w:type="spellStart"/>
      <w:r w:rsidRPr="009F0BEB">
        <w:t>timepoint</w:t>
      </w:r>
      <w:proofErr w:type="spellEnd"/>
      <w:r w:rsidRPr="009F0BEB">
        <w:t xml:space="preserve"> for patients remaining at risk was available </w:t>
      </w:r>
    </w:p>
    <w:p w:rsidR="00483F4E" w:rsidRPr="009F0BEB" w:rsidRDefault="00483F4E" w:rsidP="006B2DC0">
      <w:pPr>
        <w:widowControl/>
        <w:rPr>
          <w:color w:val="3366FF"/>
        </w:rPr>
      </w:pPr>
    </w:p>
    <w:p w:rsidR="00483F4E" w:rsidRPr="009F0BEB" w:rsidRDefault="00381393" w:rsidP="006B2DC0">
      <w:pPr>
        <w:pStyle w:val="TableHeading0"/>
        <w:spacing w:after="0"/>
      </w:pPr>
      <w:r w:rsidRPr="009F0BEB">
        <w:t>Table 10</w:t>
      </w:r>
      <w:r w:rsidR="00483F4E" w:rsidRPr="009F0BEB">
        <w:t xml:space="preserve">: Updated post-hoc </w:t>
      </w:r>
      <w:r w:rsidR="00324953" w:rsidRPr="009F0BEB">
        <w:t xml:space="preserve">subgroup </w:t>
      </w:r>
      <w:r w:rsidR="00483F4E" w:rsidRPr="009F0BEB">
        <w:t xml:space="preserve">analysis of progression-free survival from NAPOLI-1 </w:t>
      </w:r>
    </w:p>
    <w:tbl>
      <w:tblPr>
        <w:tblStyle w:val="TableGrid2"/>
        <w:tblW w:w="0" w:type="auto"/>
        <w:tblInd w:w="136" w:type="dxa"/>
        <w:tblLook w:val="04A0" w:firstRow="1" w:lastRow="0" w:firstColumn="1" w:lastColumn="0" w:noHBand="0" w:noVBand="1"/>
        <w:tblCaption w:val="Table 10: Updated post-hoc subgroup analysis of progression-free survival from NAPOLI-1 "/>
      </w:tblPr>
      <w:tblGrid>
        <w:gridCol w:w="2978"/>
        <w:gridCol w:w="2012"/>
        <w:gridCol w:w="2012"/>
        <w:gridCol w:w="2013"/>
      </w:tblGrid>
      <w:tr w:rsidR="00483F4E" w:rsidRPr="009F0BEB" w:rsidTr="008C785F">
        <w:trPr>
          <w:tblHeader/>
        </w:trPr>
        <w:tc>
          <w:tcPr>
            <w:tcW w:w="2978" w:type="dxa"/>
            <w:vAlign w:val="center"/>
          </w:tcPr>
          <w:p w:rsidR="00483F4E" w:rsidRPr="009F0BEB" w:rsidRDefault="00483F4E" w:rsidP="006B2DC0">
            <w:pPr>
              <w:keepNext/>
              <w:widowControl/>
              <w:rPr>
                <w:rFonts w:ascii="Arial Narrow" w:hAnsi="Arial Narrow"/>
                <w:b/>
                <w:sz w:val="20"/>
                <w:szCs w:val="20"/>
              </w:rPr>
            </w:pPr>
            <w:r w:rsidRPr="009F0BEB">
              <w:rPr>
                <w:rFonts w:ascii="Arial Narrow" w:hAnsi="Arial Narrow"/>
                <w:b/>
                <w:sz w:val="20"/>
                <w:szCs w:val="20"/>
              </w:rPr>
              <w:t>Progression-free survival</w:t>
            </w:r>
          </w:p>
        </w:tc>
        <w:tc>
          <w:tcPr>
            <w:tcW w:w="2012" w:type="dxa"/>
            <w:vAlign w:val="center"/>
          </w:tcPr>
          <w:p w:rsidR="00483F4E" w:rsidRPr="009F0BEB" w:rsidRDefault="00B6003E" w:rsidP="006B2DC0">
            <w:pPr>
              <w:keepNext/>
              <w:widowControl/>
              <w:jc w:val="center"/>
              <w:rPr>
                <w:rFonts w:ascii="Arial Narrow" w:hAnsi="Arial Narrow"/>
                <w:b/>
                <w:sz w:val="20"/>
                <w:szCs w:val="20"/>
              </w:rPr>
            </w:pPr>
            <w:proofErr w:type="spellStart"/>
            <w:r w:rsidRPr="009F0BEB">
              <w:rPr>
                <w:rFonts w:ascii="Arial Narrow" w:hAnsi="Arial Narrow"/>
                <w:b/>
                <w:sz w:val="20"/>
                <w:szCs w:val="20"/>
              </w:rPr>
              <w:t>Nal</w:t>
            </w:r>
            <w:proofErr w:type="spellEnd"/>
            <w:r w:rsidRPr="009F0BEB">
              <w:rPr>
                <w:rFonts w:ascii="Arial Narrow" w:hAnsi="Arial Narrow"/>
                <w:b/>
                <w:sz w:val="20"/>
                <w:szCs w:val="20"/>
              </w:rPr>
              <w:t>-IRI</w:t>
            </w:r>
            <w:r w:rsidR="00483F4E" w:rsidRPr="009F0BEB">
              <w:rPr>
                <w:rFonts w:ascii="Arial Narrow" w:hAnsi="Arial Narrow"/>
                <w:b/>
                <w:sz w:val="20"/>
                <w:szCs w:val="20"/>
              </w:rPr>
              <w:t xml:space="preserve"> </w:t>
            </w:r>
          </w:p>
          <w:p w:rsidR="00483F4E" w:rsidRPr="009F0BEB" w:rsidRDefault="00483F4E" w:rsidP="006B2DC0">
            <w:pPr>
              <w:keepNext/>
              <w:widowControl/>
              <w:jc w:val="center"/>
              <w:rPr>
                <w:rFonts w:ascii="Arial Narrow" w:hAnsi="Arial Narrow"/>
                <w:b/>
                <w:sz w:val="20"/>
                <w:szCs w:val="20"/>
              </w:rPr>
            </w:pPr>
            <w:r w:rsidRPr="009F0BEB">
              <w:rPr>
                <w:rFonts w:ascii="Arial Narrow" w:hAnsi="Arial Narrow"/>
                <w:b/>
                <w:sz w:val="20"/>
                <w:szCs w:val="20"/>
              </w:rPr>
              <w:t>N=105</w:t>
            </w:r>
          </w:p>
        </w:tc>
        <w:tc>
          <w:tcPr>
            <w:tcW w:w="2012" w:type="dxa"/>
            <w:vAlign w:val="center"/>
          </w:tcPr>
          <w:p w:rsidR="00483F4E" w:rsidRPr="009F0BEB" w:rsidRDefault="00483F4E" w:rsidP="006B2DC0">
            <w:pPr>
              <w:keepNext/>
              <w:widowControl/>
              <w:jc w:val="center"/>
              <w:rPr>
                <w:rFonts w:ascii="Arial Narrow" w:hAnsi="Arial Narrow"/>
                <w:b/>
                <w:sz w:val="20"/>
                <w:szCs w:val="20"/>
              </w:rPr>
            </w:pPr>
            <w:r w:rsidRPr="009F0BEB">
              <w:rPr>
                <w:rFonts w:ascii="Arial Narrow" w:hAnsi="Arial Narrow"/>
                <w:b/>
                <w:sz w:val="20"/>
                <w:szCs w:val="20"/>
              </w:rPr>
              <w:t>5-FU/</w:t>
            </w:r>
            <w:proofErr w:type="spellStart"/>
            <w:r w:rsidRPr="009F0BEB">
              <w:rPr>
                <w:rFonts w:ascii="Arial Narrow" w:hAnsi="Arial Narrow"/>
                <w:b/>
                <w:sz w:val="20"/>
                <w:szCs w:val="20"/>
              </w:rPr>
              <w:t>folinic</w:t>
            </w:r>
            <w:proofErr w:type="spellEnd"/>
            <w:r w:rsidRPr="009F0BEB">
              <w:rPr>
                <w:rFonts w:ascii="Arial Narrow" w:hAnsi="Arial Narrow"/>
                <w:b/>
                <w:sz w:val="20"/>
                <w:szCs w:val="20"/>
              </w:rPr>
              <w:t xml:space="preserve"> acid</w:t>
            </w:r>
          </w:p>
          <w:p w:rsidR="00483F4E" w:rsidRPr="009F0BEB" w:rsidRDefault="00483F4E" w:rsidP="006B2DC0">
            <w:pPr>
              <w:keepNext/>
              <w:widowControl/>
              <w:jc w:val="center"/>
              <w:rPr>
                <w:rFonts w:ascii="Arial Narrow" w:hAnsi="Arial Narrow"/>
                <w:b/>
                <w:sz w:val="20"/>
                <w:szCs w:val="20"/>
              </w:rPr>
            </w:pPr>
            <w:r w:rsidRPr="009F0BEB">
              <w:rPr>
                <w:rFonts w:ascii="Arial Narrow" w:hAnsi="Arial Narrow"/>
                <w:b/>
                <w:sz w:val="20"/>
                <w:szCs w:val="20"/>
              </w:rPr>
              <w:t>N=102</w:t>
            </w:r>
          </w:p>
        </w:tc>
        <w:tc>
          <w:tcPr>
            <w:tcW w:w="2013" w:type="dxa"/>
            <w:vAlign w:val="center"/>
          </w:tcPr>
          <w:p w:rsidR="00483F4E" w:rsidRPr="009F0BEB" w:rsidRDefault="00483F4E" w:rsidP="006B2DC0">
            <w:pPr>
              <w:keepNext/>
              <w:widowControl/>
              <w:jc w:val="center"/>
              <w:rPr>
                <w:rFonts w:ascii="Arial Narrow" w:hAnsi="Arial Narrow"/>
                <w:b/>
                <w:sz w:val="20"/>
                <w:szCs w:val="20"/>
              </w:rPr>
            </w:pPr>
            <w:r w:rsidRPr="009F0BEB">
              <w:rPr>
                <w:rFonts w:ascii="Arial Narrow" w:hAnsi="Arial Narrow"/>
                <w:b/>
                <w:sz w:val="20"/>
                <w:szCs w:val="20"/>
              </w:rPr>
              <w:t>HR (95% CI)</w:t>
            </w:r>
          </w:p>
        </w:tc>
      </w:tr>
      <w:tr w:rsidR="00324953" w:rsidRPr="009F0BEB" w:rsidTr="00324953">
        <w:tc>
          <w:tcPr>
            <w:tcW w:w="2978" w:type="dxa"/>
            <w:vAlign w:val="center"/>
          </w:tcPr>
          <w:p w:rsidR="00324953" w:rsidRPr="009F0BEB" w:rsidRDefault="00324953" w:rsidP="006B2DC0">
            <w:pPr>
              <w:keepNext/>
              <w:widowControl/>
              <w:rPr>
                <w:rFonts w:ascii="Arial Narrow" w:hAnsi="Arial Narrow"/>
                <w:b/>
                <w:sz w:val="20"/>
                <w:szCs w:val="20"/>
              </w:rPr>
            </w:pPr>
            <w:r w:rsidRPr="009F0BEB">
              <w:rPr>
                <w:rFonts w:ascii="Arial Narrow" w:hAnsi="Arial Narrow"/>
                <w:b/>
                <w:sz w:val="20"/>
                <w:szCs w:val="20"/>
              </w:rPr>
              <w:t>Irinotecan naïve subgroup</w:t>
            </w:r>
          </w:p>
        </w:tc>
        <w:tc>
          <w:tcPr>
            <w:tcW w:w="2012" w:type="dxa"/>
            <w:vAlign w:val="center"/>
          </w:tcPr>
          <w:p w:rsidR="00324953" w:rsidRPr="009F0BEB" w:rsidRDefault="00324953" w:rsidP="006B2DC0">
            <w:pPr>
              <w:keepNext/>
              <w:widowControl/>
              <w:jc w:val="center"/>
              <w:rPr>
                <w:rFonts w:ascii="Arial Narrow" w:hAnsi="Arial Narrow"/>
                <w:b/>
                <w:sz w:val="20"/>
                <w:szCs w:val="20"/>
              </w:rPr>
            </w:pPr>
          </w:p>
        </w:tc>
        <w:tc>
          <w:tcPr>
            <w:tcW w:w="2012" w:type="dxa"/>
            <w:vAlign w:val="center"/>
          </w:tcPr>
          <w:p w:rsidR="00324953" w:rsidRPr="009F0BEB" w:rsidRDefault="00324953" w:rsidP="006B2DC0">
            <w:pPr>
              <w:keepNext/>
              <w:widowControl/>
              <w:jc w:val="center"/>
              <w:rPr>
                <w:rFonts w:ascii="Arial Narrow" w:hAnsi="Arial Narrow"/>
                <w:b/>
                <w:sz w:val="20"/>
                <w:szCs w:val="20"/>
              </w:rPr>
            </w:pPr>
          </w:p>
        </w:tc>
        <w:tc>
          <w:tcPr>
            <w:tcW w:w="2013" w:type="dxa"/>
            <w:vAlign w:val="center"/>
          </w:tcPr>
          <w:p w:rsidR="00324953" w:rsidRPr="009F0BEB" w:rsidRDefault="00324953" w:rsidP="006B2DC0">
            <w:pPr>
              <w:keepNext/>
              <w:widowControl/>
              <w:jc w:val="center"/>
              <w:rPr>
                <w:rFonts w:ascii="Arial Narrow" w:hAnsi="Arial Narrow"/>
                <w:b/>
                <w:sz w:val="20"/>
                <w:szCs w:val="20"/>
              </w:rPr>
            </w:pPr>
          </w:p>
        </w:tc>
      </w:tr>
      <w:tr w:rsidR="00483F4E" w:rsidRPr="009F0BEB" w:rsidTr="00324953">
        <w:tc>
          <w:tcPr>
            <w:tcW w:w="2978" w:type="dxa"/>
            <w:vAlign w:val="center"/>
          </w:tcPr>
          <w:p w:rsidR="00483F4E" w:rsidRPr="009F0BEB" w:rsidRDefault="00483F4E" w:rsidP="006B2DC0">
            <w:pPr>
              <w:keepNext/>
              <w:widowControl/>
              <w:rPr>
                <w:rFonts w:ascii="Arial Narrow" w:hAnsi="Arial Narrow"/>
                <w:sz w:val="20"/>
                <w:szCs w:val="20"/>
              </w:rPr>
            </w:pPr>
            <w:r w:rsidRPr="009F0BEB">
              <w:rPr>
                <w:rFonts w:ascii="Arial Narrow" w:hAnsi="Arial Narrow"/>
                <w:sz w:val="20"/>
                <w:szCs w:val="20"/>
              </w:rPr>
              <w:t>Patients with events, n/N (%)</w:t>
            </w:r>
          </w:p>
        </w:tc>
        <w:tc>
          <w:tcPr>
            <w:tcW w:w="2012" w:type="dxa"/>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restart"/>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483F4E" w:rsidRPr="009F0BEB" w:rsidTr="00324953">
        <w:tc>
          <w:tcPr>
            <w:tcW w:w="2978" w:type="dxa"/>
            <w:vAlign w:val="center"/>
          </w:tcPr>
          <w:p w:rsidR="00483F4E" w:rsidRPr="009F0BEB" w:rsidRDefault="00086A77" w:rsidP="006B2DC0">
            <w:pPr>
              <w:keepNext/>
              <w:widowControl/>
              <w:rPr>
                <w:rFonts w:ascii="Arial Narrow" w:hAnsi="Arial Narrow"/>
                <w:sz w:val="20"/>
                <w:szCs w:val="20"/>
              </w:rPr>
            </w:pPr>
            <w:r w:rsidRPr="009F0BEB">
              <w:rPr>
                <w:rFonts w:ascii="Arial Narrow" w:hAnsi="Arial Narrow"/>
                <w:sz w:val="20"/>
                <w:szCs w:val="20"/>
              </w:rPr>
              <w:t>C</w:t>
            </w:r>
            <w:r w:rsidR="00483F4E" w:rsidRPr="009F0BEB">
              <w:rPr>
                <w:rFonts w:ascii="Arial Narrow" w:hAnsi="Arial Narrow"/>
                <w:sz w:val="20"/>
                <w:szCs w:val="20"/>
              </w:rPr>
              <w:t>ensored, n/N (%)</w:t>
            </w:r>
          </w:p>
        </w:tc>
        <w:tc>
          <w:tcPr>
            <w:tcW w:w="2012" w:type="dxa"/>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ign w:val="center"/>
          </w:tcPr>
          <w:p w:rsidR="00483F4E" w:rsidRPr="009F0BEB" w:rsidRDefault="00483F4E" w:rsidP="006B2DC0">
            <w:pPr>
              <w:keepNext/>
              <w:widowControl/>
              <w:jc w:val="center"/>
              <w:rPr>
                <w:rFonts w:ascii="Arial Narrow" w:hAnsi="Arial Narrow"/>
                <w:sz w:val="20"/>
                <w:szCs w:val="20"/>
              </w:rPr>
            </w:pPr>
          </w:p>
        </w:tc>
      </w:tr>
      <w:tr w:rsidR="00483F4E" w:rsidRPr="009F0BEB" w:rsidTr="00324953">
        <w:tc>
          <w:tcPr>
            <w:tcW w:w="2978" w:type="dxa"/>
            <w:vAlign w:val="center"/>
          </w:tcPr>
          <w:p w:rsidR="00483F4E" w:rsidRPr="009F0BEB" w:rsidRDefault="00483F4E"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2012" w:type="dxa"/>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2" w:type="dxa"/>
            <w:vAlign w:val="center"/>
          </w:tcPr>
          <w:p w:rsidR="00483F4E"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3" w:type="dxa"/>
            <w:vMerge/>
            <w:vAlign w:val="center"/>
          </w:tcPr>
          <w:p w:rsidR="00483F4E" w:rsidRPr="009F0BEB" w:rsidRDefault="00483F4E" w:rsidP="006B2DC0">
            <w:pPr>
              <w:keepNext/>
              <w:widowControl/>
              <w:jc w:val="center"/>
              <w:rPr>
                <w:rFonts w:ascii="Arial Narrow" w:hAnsi="Arial Narrow"/>
                <w:sz w:val="20"/>
                <w:szCs w:val="20"/>
              </w:rPr>
            </w:pPr>
          </w:p>
        </w:tc>
      </w:tr>
      <w:tr w:rsidR="00324953" w:rsidRPr="009F0BEB" w:rsidTr="00324953">
        <w:tc>
          <w:tcPr>
            <w:tcW w:w="2978" w:type="dxa"/>
          </w:tcPr>
          <w:p w:rsidR="00324953" w:rsidRPr="009F0BEB" w:rsidRDefault="00324953" w:rsidP="006B2DC0">
            <w:pPr>
              <w:keepNext/>
              <w:widowControl/>
              <w:rPr>
                <w:rFonts w:ascii="Arial Narrow" w:hAnsi="Arial Narrow"/>
                <w:b/>
                <w:sz w:val="20"/>
                <w:szCs w:val="20"/>
              </w:rPr>
            </w:pPr>
            <w:r w:rsidRPr="009F0BEB">
              <w:rPr>
                <w:rFonts w:ascii="Arial Narrow" w:hAnsi="Arial Narrow"/>
                <w:b/>
                <w:sz w:val="20"/>
                <w:szCs w:val="20"/>
              </w:rPr>
              <w:t xml:space="preserve">Irinotecan </w:t>
            </w:r>
            <w:r w:rsidR="001C6CDD" w:rsidRPr="009F0BEB">
              <w:rPr>
                <w:rFonts w:ascii="Arial Narrow" w:hAnsi="Arial Narrow"/>
                <w:b/>
                <w:sz w:val="20"/>
                <w:szCs w:val="20"/>
              </w:rPr>
              <w:t>experienced</w:t>
            </w:r>
            <w:r w:rsidRPr="009F0BEB">
              <w:rPr>
                <w:rFonts w:ascii="Arial Narrow" w:hAnsi="Arial Narrow"/>
                <w:b/>
                <w:sz w:val="20"/>
                <w:szCs w:val="20"/>
              </w:rPr>
              <w:t xml:space="preserve"> subgroup</w:t>
            </w:r>
          </w:p>
        </w:tc>
        <w:tc>
          <w:tcPr>
            <w:tcW w:w="2012" w:type="dxa"/>
          </w:tcPr>
          <w:p w:rsidR="00324953" w:rsidRPr="00EE2E05" w:rsidRDefault="00324953" w:rsidP="006B2DC0">
            <w:pPr>
              <w:keepNext/>
              <w:widowControl/>
              <w:jc w:val="center"/>
              <w:rPr>
                <w:rFonts w:ascii="Arial Narrow" w:hAnsi="Arial Narrow"/>
                <w:b/>
                <w:sz w:val="20"/>
                <w:szCs w:val="20"/>
              </w:rPr>
            </w:pPr>
          </w:p>
        </w:tc>
        <w:tc>
          <w:tcPr>
            <w:tcW w:w="2012" w:type="dxa"/>
          </w:tcPr>
          <w:p w:rsidR="00324953" w:rsidRPr="00EE2E05" w:rsidRDefault="00324953" w:rsidP="006B2DC0">
            <w:pPr>
              <w:keepNext/>
              <w:widowControl/>
              <w:jc w:val="center"/>
              <w:rPr>
                <w:rFonts w:ascii="Arial Narrow" w:hAnsi="Arial Narrow"/>
                <w:b/>
                <w:sz w:val="20"/>
                <w:szCs w:val="20"/>
              </w:rPr>
            </w:pPr>
          </w:p>
        </w:tc>
        <w:tc>
          <w:tcPr>
            <w:tcW w:w="2013" w:type="dxa"/>
          </w:tcPr>
          <w:p w:rsidR="00324953" w:rsidRPr="009F0BEB" w:rsidRDefault="00324953" w:rsidP="006B2DC0">
            <w:pPr>
              <w:keepNext/>
              <w:widowControl/>
              <w:jc w:val="center"/>
              <w:rPr>
                <w:rFonts w:ascii="Arial Narrow" w:hAnsi="Arial Narrow"/>
                <w:b/>
                <w:sz w:val="20"/>
                <w:szCs w:val="20"/>
              </w:rPr>
            </w:pPr>
          </w:p>
        </w:tc>
      </w:tr>
      <w:tr w:rsidR="001C6CDD" w:rsidRPr="009F0BEB" w:rsidTr="00C03E02">
        <w:tc>
          <w:tcPr>
            <w:tcW w:w="2978" w:type="dxa"/>
          </w:tcPr>
          <w:p w:rsidR="001C6CDD" w:rsidRPr="009F0BEB" w:rsidRDefault="001C6CDD" w:rsidP="006B2DC0">
            <w:pPr>
              <w:keepNext/>
              <w:widowControl/>
              <w:rPr>
                <w:rFonts w:ascii="Arial Narrow" w:hAnsi="Arial Narrow"/>
                <w:sz w:val="20"/>
                <w:szCs w:val="20"/>
              </w:rPr>
            </w:pPr>
            <w:r w:rsidRPr="009F0BEB">
              <w:rPr>
                <w:rFonts w:ascii="Arial Narrow" w:hAnsi="Arial Narrow"/>
                <w:sz w:val="20"/>
                <w:szCs w:val="20"/>
              </w:rPr>
              <w:t>Patients with events, n/N (%)</w:t>
            </w:r>
          </w:p>
        </w:tc>
        <w:tc>
          <w:tcPr>
            <w:tcW w:w="2012" w:type="dxa"/>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val="restart"/>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1C6CDD" w:rsidRPr="009F0BEB" w:rsidTr="00C03E02">
        <w:tc>
          <w:tcPr>
            <w:tcW w:w="2978" w:type="dxa"/>
          </w:tcPr>
          <w:p w:rsidR="001C6CDD" w:rsidRPr="009F0BEB" w:rsidRDefault="001C6CDD" w:rsidP="006B2DC0">
            <w:pPr>
              <w:keepNext/>
              <w:widowControl/>
              <w:rPr>
                <w:rFonts w:ascii="Arial Narrow" w:hAnsi="Arial Narrow"/>
                <w:sz w:val="20"/>
                <w:szCs w:val="20"/>
              </w:rPr>
            </w:pPr>
            <w:r w:rsidRPr="009F0BEB">
              <w:rPr>
                <w:rFonts w:ascii="Arial Narrow" w:hAnsi="Arial Narrow"/>
                <w:sz w:val="20"/>
                <w:szCs w:val="20"/>
              </w:rPr>
              <w:t>Censored, n/N (%)</w:t>
            </w:r>
          </w:p>
        </w:tc>
        <w:tc>
          <w:tcPr>
            <w:tcW w:w="2012" w:type="dxa"/>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2" w:type="dxa"/>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2013" w:type="dxa"/>
            <w:vMerge/>
          </w:tcPr>
          <w:p w:rsidR="001C6CDD" w:rsidRPr="009F0BEB" w:rsidRDefault="001C6CDD" w:rsidP="006B2DC0">
            <w:pPr>
              <w:keepNext/>
              <w:widowControl/>
              <w:jc w:val="center"/>
              <w:rPr>
                <w:rFonts w:ascii="Arial Narrow" w:hAnsi="Arial Narrow"/>
                <w:sz w:val="20"/>
                <w:szCs w:val="20"/>
              </w:rPr>
            </w:pPr>
          </w:p>
        </w:tc>
      </w:tr>
      <w:tr w:rsidR="001C6CDD" w:rsidRPr="009F0BEB" w:rsidTr="00C03E02">
        <w:tc>
          <w:tcPr>
            <w:tcW w:w="2978" w:type="dxa"/>
          </w:tcPr>
          <w:p w:rsidR="001C6CDD" w:rsidRPr="009F0BEB" w:rsidRDefault="001C6CDD" w:rsidP="006B2DC0">
            <w:pPr>
              <w:keepNext/>
              <w:widowControl/>
              <w:rPr>
                <w:rFonts w:ascii="Arial Narrow" w:hAnsi="Arial Narrow"/>
                <w:sz w:val="20"/>
                <w:szCs w:val="20"/>
              </w:rPr>
            </w:pPr>
            <w:r w:rsidRPr="009F0BEB">
              <w:rPr>
                <w:rFonts w:ascii="Arial Narrow" w:hAnsi="Arial Narrow"/>
                <w:sz w:val="20"/>
                <w:szCs w:val="20"/>
              </w:rPr>
              <w:t>Median, weeks (95% CI)</w:t>
            </w:r>
          </w:p>
        </w:tc>
        <w:tc>
          <w:tcPr>
            <w:tcW w:w="2012" w:type="dxa"/>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2" w:type="dxa"/>
            <w:vAlign w:val="center"/>
          </w:tcPr>
          <w:p w:rsidR="001C6CDD" w:rsidRPr="00EE2E05" w:rsidRDefault="00EE2E05" w:rsidP="006B2DC0">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013" w:type="dxa"/>
            <w:vMerge/>
          </w:tcPr>
          <w:p w:rsidR="001C6CDD" w:rsidRPr="009F0BEB" w:rsidRDefault="001C6CDD" w:rsidP="006B2DC0">
            <w:pPr>
              <w:keepNext/>
              <w:widowControl/>
              <w:jc w:val="center"/>
              <w:rPr>
                <w:rFonts w:ascii="Arial Narrow" w:hAnsi="Arial Narrow"/>
                <w:sz w:val="20"/>
                <w:szCs w:val="20"/>
              </w:rPr>
            </w:pPr>
          </w:p>
        </w:tc>
      </w:tr>
    </w:tbl>
    <w:p w:rsidR="00483F4E" w:rsidRPr="009F0BEB" w:rsidRDefault="00483F4E" w:rsidP="006B2DC0">
      <w:pPr>
        <w:pStyle w:val="TableFooter"/>
        <w:widowControl/>
      </w:pPr>
      <w:r w:rsidRPr="009F0BEB">
        <w:t>Source: Post Hoc Analyses, Appendix 4 of the resubmission</w:t>
      </w:r>
    </w:p>
    <w:p w:rsidR="00483F4E" w:rsidRPr="009F0BEB" w:rsidRDefault="00483F4E" w:rsidP="006B2DC0">
      <w:pPr>
        <w:pStyle w:val="TableFooter"/>
        <w:widowControl/>
      </w:pPr>
      <w:r w:rsidRPr="009F0BEB">
        <w:t>Abbreviations: CI, confidence interval; HR, hazard ratio</w:t>
      </w:r>
    </w:p>
    <w:p w:rsidR="00483F4E" w:rsidRPr="009F0BEB" w:rsidRDefault="00483F4E" w:rsidP="006B2DC0">
      <w:pPr>
        <w:widowControl/>
      </w:pPr>
    </w:p>
    <w:p w:rsidR="00FB07D4" w:rsidRPr="009F0BEB" w:rsidRDefault="00483F4E" w:rsidP="006B2DC0">
      <w:pPr>
        <w:pStyle w:val="ListParagraph"/>
        <w:widowControl/>
        <w:numPr>
          <w:ilvl w:val="1"/>
          <w:numId w:val="3"/>
        </w:numPr>
      </w:pPr>
      <w:r w:rsidRPr="009F0BEB">
        <w:lastRenderedPageBreak/>
        <w:t xml:space="preserve">There was a statistically significant increase in median progression-free survival of </w:t>
      </w:r>
      <w:r w:rsidR="00EE2E05">
        <w:rPr>
          <w:noProof/>
          <w:color w:val="000000"/>
          <w:highlight w:val="black"/>
        </w:rPr>
        <w:t>''''''</w:t>
      </w:r>
      <w:r w:rsidRPr="009F0BEB">
        <w:t xml:space="preserve"> weeks associated with </w:t>
      </w:r>
      <w:proofErr w:type="spellStart"/>
      <w:r w:rsidR="00B6003E" w:rsidRPr="009F0BEB">
        <w:t>nal</w:t>
      </w:r>
      <w:proofErr w:type="spellEnd"/>
      <w:r w:rsidR="00B6003E" w:rsidRPr="009F0BEB">
        <w:t>-IRI</w:t>
      </w:r>
      <w:r w:rsidRPr="009F0BEB">
        <w:t xml:space="preserve"> treatment compared with 5-FU/</w:t>
      </w:r>
      <w:proofErr w:type="spellStart"/>
      <w:r w:rsidRPr="009F0BEB">
        <w:t>folinic</w:t>
      </w:r>
      <w:proofErr w:type="spellEnd"/>
      <w:r w:rsidRPr="009F0BEB">
        <w:t xml:space="preserve"> acid in the subgroup of irinotecan naïve patients (HR </w:t>
      </w:r>
      <w:r w:rsidR="00EE2E05">
        <w:rPr>
          <w:noProof/>
          <w:color w:val="000000"/>
          <w:highlight w:val="black"/>
        </w:rPr>
        <w:t>''''''''</w:t>
      </w:r>
      <w:r w:rsidRPr="009F0BEB">
        <w:t xml:space="preserve">, 95% CI </w:t>
      </w:r>
      <w:r w:rsidR="00EE2E05">
        <w:rPr>
          <w:noProof/>
          <w:color w:val="000000"/>
          <w:highlight w:val="black"/>
        </w:rPr>
        <w:t>''''''''''' ''''''''</w:t>
      </w:r>
      <w:r w:rsidRPr="009F0BEB">
        <w:t xml:space="preserve">). These results </w:t>
      </w:r>
      <w:r w:rsidR="006A1F32" w:rsidRPr="009F0BEB">
        <w:t>were numerically higher</w:t>
      </w:r>
      <w:r w:rsidRPr="009F0BEB">
        <w:t xml:space="preserve"> compared with </w:t>
      </w:r>
      <w:r w:rsidR="00F54F8D" w:rsidRPr="009F0BEB">
        <w:t>an increased median progression</w:t>
      </w:r>
      <w:r w:rsidR="00F54F8D" w:rsidRPr="009F0BEB">
        <w:noBreakHyphen/>
      </w:r>
      <w:r w:rsidR="006A1F32" w:rsidRPr="009F0BEB">
        <w:t xml:space="preserve">free survival of </w:t>
      </w:r>
      <w:r w:rsidRPr="009F0BEB">
        <w:t xml:space="preserve">7.1 weeks </w:t>
      </w:r>
      <w:r w:rsidR="006A1F32" w:rsidRPr="009F0BEB">
        <w:t>for</w:t>
      </w:r>
      <w:r w:rsidRPr="009F0BEB">
        <w:t xml:space="preserve"> </w:t>
      </w:r>
      <w:r w:rsidR="006A1F32" w:rsidRPr="009F0BEB">
        <w:t xml:space="preserve">the </w:t>
      </w:r>
      <w:r w:rsidRPr="009F0BEB">
        <w:t>whole trial populat</w:t>
      </w:r>
      <w:r w:rsidR="006A1F32" w:rsidRPr="009F0BEB">
        <w:t>ion (HR 0.57, 95% CI 0.43, 0.76).</w:t>
      </w:r>
    </w:p>
    <w:p w:rsidR="00B60939" w:rsidRPr="009F0BEB" w:rsidRDefault="00B60939" w:rsidP="00D13044">
      <w:pPr>
        <w:pStyle w:val="Heading2"/>
        <w:widowControl/>
        <w:spacing w:after="160"/>
      </w:pPr>
      <w:bookmarkStart w:id="6" w:name="_Toc502848553"/>
      <w:r w:rsidRPr="00A24A91">
        <w:t>Comparative harms</w:t>
      </w:r>
      <w:bookmarkEnd w:id="6"/>
    </w:p>
    <w:p w:rsidR="004B12A0" w:rsidRPr="009F0BEB" w:rsidRDefault="009359AA" w:rsidP="006B2DC0">
      <w:pPr>
        <w:pStyle w:val="ListParagraph"/>
        <w:widowControl/>
        <w:numPr>
          <w:ilvl w:val="1"/>
          <w:numId w:val="3"/>
        </w:numPr>
      </w:pPr>
      <w:r w:rsidRPr="009F0BEB">
        <w:t>No comparative safety data were</w:t>
      </w:r>
      <w:r w:rsidR="004B12A0" w:rsidRPr="009F0BEB">
        <w:t xml:space="preserve"> presented for </w:t>
      </w:r>
      <w:proofErr w:type="spellStart"/>
      <w:r w:rsidR="00B6003E" w:rsidRPr="009F0BEB">
        <w:t>nal</w:t>
      </w:r>
      <w:proofErr w:type="spellEnd"/>
      <w:r w:rsidR="00B6003E" w:rsidRPr="009F0BEB">
        <w:t>-IRI</w:t>
      </w:r>
      <w:r w:rsidR="004B12A0" w:rsidRPr="009F0BEB">
        <w:t xml:space="preserve"> and mFOLFOX6. </w:t>
      </w:r>
      <w:r w:rsidR="007F1D74" w:rsidRPr="009F0BEB">
        <w:t xml:space="preserve">The PSCR (p3) argued that the claim of non-inferior safety compared to mFOLFOX6 was made on the basis of PBAC’s previous view that </w:t>
      </w:r>
      <w:proofErr w:type="spellStart"/>
      <w:r w:rsidR="007F1D74" w:rsidRPr="009F0BEB">
        <w:t>nal</w:t>
      </w:r>
      <w:proofErr w:type="spellEnd"/>
      <w:r w:rsidR="007F1D74" w:rsidRPr="009F0BEB">
        <w:t xml:space="preserve">-IRI is likely to be of similar safety to </w:t>
      </w:r>
      <w:proofErr w:type="spellStart"/>
      <w:r w:rsidR="007F1D74" w:rsidRPr="009F0BEB">
        <w:t>oxaliplatin</w:t>
      </w:r>
      <w:proofErr w:type="spellEnd"/>
      <w:r w:rsidR="007F1D74" w:rsidRPr="009F0BEB">
        <w:t>-containing regimens. The ESC noted that the PBAC had previously considered that 5 FU/</w:t>
      </w:r>
      <w:proofErr w:type="spellStart"/>
      <w:r w:rsidR="007F1D74" w:rsidRPr="009F0BEB">
        <w:t>folinic</w:t>
      </w:r>
      <w:proofErr w:type="spellEnd"/>
      <w:r w:rsidR="007F1D74" w:rsidRPr="009F0BEB">
        <w:t xml:space="preserve"> </w:t>
      </w:r>
      <w:proofErr w:type="gramStart"/>
      <w:r w:rsidR="007F1D74" w:rsidRPr="009F0BEB">
        <w:t>acid</w:t>
      </w:r>
      <w:proofErr w:type="gramEnd"/>
      <w:r w:rsidR="007F1D74" w:rsidRPr="009F0BEB">
        <w:t xml:space="preserve"> could be considered representative of the efficacy and toxicity of mFOLFOX6 (paragraph 6.38 irinotecan (</w:t>
      </w:r>
      <w:proofErr w:type="spellStart"/>
      <w:r w:rsidR="007F1D74" w:rsidRPr="009F0BEB">
        <w:t>nanoliposomal</w:t>
      </w:r>
      <w:proofErr w:type="spellEnd"/>
      <w:r w:rsidR="007F1D74" w:rsidRPr="009F0BEB">
        <w:t>) November 2016 PSD).</w:t>
      </w:r>
    </w:p>
    <w:p w:rsidR="00CC5FB5" w:rsidRPr="009F0BEB" w:rsidRDefault="003E4416" w:rsidP="006B2DC0">
      <w:pPr>
        <w:pStyle w:val="ListParagraph"/>
        <w:widowControl/>
        <w:numPr>
          <w:ilvl w:val="1"/>
          <w:numId w:val="3"/>
        </w:numPr>
      </w:pPr>
      <w:r w:rsidRPr="009F0BEB">
        <w:t>The resubmission presented updated safety data for the whole trial population for selected severe treatment-related adverse events (grade 3 or more) based on post-hoc analyses of the NAPOLI-1 trial. These results appeared consistent with</w:t>
      </w:r>
      <w:r w:rsidR="00CC5FB5" w:rsidRPr="009F0BEB">
        <w:t xml:space="preserve"> the safety data presented for the whole trial population in the November 2016 submission</w:t>
      </w:r>
      <w:r w:rsidR="00F971A3" w:rsidRPr="009F0BEB">
        <w:t xml:space="preserve"> (paragraphs 6.25 and 6.27, irinotecan (</w:t>
      </w:r>
      <w:proofErr w:type="spellStart"/>
      <w:r w:rsidR="00F971A3" w:rsidRPr="009F0BEB">
        <w:t>nanoliposomal</w:t>
      </w:r>
      <w:proofErr w:type="spellEnd"/>
      <w:r w:rsidR="00F971A3" w:rsidRPr="009F0BEB">
        <w:t xml:space="preserve">) </w:t>
      </w:r>
      <w:r w:rsidR="00F25869">
        <w:t>PSD,</w:t>
      </w:r>
      <w:r w:rsidR="00F971A3" w:rsidRPr="009F0BEB">
        <w:t xml:space="preserve"> November 2016)</w:t>
      </w:r>
      <w:r w:rsidR="009359AA" w:rsidRPr="009F0BEB">
        <w:t>.</w:t>
      </w:r>
    </w:p>
    <w:p w:rsidR="00CC5FB5" w:rsidRPr="009F0BEB" w:rsidRDefault="00B6003E" w:rsidP="006B2DC0">
      <w:pPr>
        <w:pStyle w:val="ListParagraph"/>
        <w:widowControl/>
        <w:numPr>
          <w:ilvl w:val="1"/>
          <w:numId w:val="3"/>
        </w:numPr>
      </w:pPr>
      <w:proofErr w:type="spellStart"/>
      <w:r w:rsidRPr="009F0BEB">
        <w:t>Nal</w:t>
      </w:r>
      <w:proofErr w:type="spellEnd"/>
      <w:r w:rsidRPr="009F0BEB">
        <w:t>-IRI</w:t>
      </w:r>
      <w:r w:rsidR="00CC5FB5" w:rsidRPr="009F0BEB">
        <w:t xml:space="preserve"> was associated with a higher incidence of severe or life threatening treatment-related adverse events (primarily gastrointestinal toxicity, neutropenia, fatigue and decreased appetite) and reports of treatment-related deaths (neutropenic sepsis) compared with 5-FU/</w:t>
      </w:r>
      <w:proofErr w:type="spellStart"/>
      <w:r w:rsidR="00CC5FB5" w:rsidRPr="009F0BEB">
        <w:t>folinic</w:t>
      </w:r>
      <w:proofErr w:type="spellEnd"/>
      <w:r w:rsidR="00CC5FB5" w:rsidRPr="009F0BEB">
        <w:t xml:space="preserve"> acid. Overall, there was a significantly higher incidence of all treatment-related adverse events (for all severities) in patients receiving </w:t>
      </w:r>
      <w:proofErr w:type="spellStart"/>
      <w:r w:rsidRPr="009F0BEB">
        <w:t>nal</w:t>
      </w:r>
      <w:proofErr w:type="spellEnd"/>
      <w:r w:rsidRPr="009F0BEB">
        <w:t>-IRI</w:t>
      </w:r>
      <w:r w:rsidR="00CC5FB5" w:rsidRPr="009F0BEB">
        <w:t xml:space="preserve"> compared with 5-FU/</w:t>
      </w:r>
      <w:proofErr w:type="spellStart"/>
      <w:r w:rsidR="00CC5FB5" w:rsidRPr="009F0BEB">
        <w:t>folinic</w:t>
      </w:r>
      <w:proofErr w:type="spellEnd"/>
      <w:r w:rsidR="00CC5FB5" w:rsidRPr="009F0BEB">
        <w:t xml:space="preserve"> acid that could substantially affect patients’ quality of life</w:t>
      </w:r>
      <w:r w:rsidR="00463414" w:rsidRPr="009F0BEB">
        <w:t xml:space="preserve"> such as diarrhoea, nausea, vomiting, fatigue, decreased appetite and neutropenia</w:t>
      </w:r>
      <w:r w:rsidR="00CC5FB5" w:rsidRPr="009F0BEB">
        <w:t>.</w:t>
      </w:r>
      <w:r w:rsidR="00152219" w:rsidRPr="009F0BEB">
        <w:t xml:space="preserve"> The ESC </w:t>
      </w:r>
      <w:r w:rsidR="003C7555" w:rsidRPr="009F0BEB">
        <w:t>considered</w:t>
      </w:r>
      <w:r w:rsidR="00152219" w:rsidRPr="009F0BEB">
        <w:t xml:space="preserve"> that the observed treatment related adverse events in patients receiving </w:t>
      </w:r>
      <w:proofErr w:type="spellStart"/>
      <w:r w:rsidR="00152219" w:rsidRPr="009F0BEB">
        <w:t>nal</w:t>
      </w:r>
      <w:proofErr w:type="spellEnd"/>
      <w:r w:rsidR="00152219" w:rsidRPr="009F0BEB">
        <w:t>-IRI would have a substantial impact on quality of life</w:t>
      </w:r>
      <w:r w:rsidR="003C7555" w:rsidRPr="009F0BEB">
        <w:t xml:space="preserve"> in patients</w:t>
      </w:r>
      <w:r w:rsidR="007F1D74" w:rsidRPr="009F0BEB">
        <w:t xml:space="preserve"> </w:t>
      </w:r>
      <w:r w:rsidR="003C7555" w:rsidRPr="009F0BEB">
        <w:t>where</w:t>
      </w:r>
      <w:r w:rsidR="007133E7" w:rsidRPr="009F0BEB">
        <w:t xml:space="preserve"> quality of life is likely to already be limited.</w:t>
      </w:r>
    </w:p>
    <w:p w:rsidR="00856817" w:rsidRPr="009F0BEB" w:rsidRDefault="00856817" w:rsidP="006B2DC0">
      <w:pPr>
        <w:pStyle w:val="ListParagraph"/>
        <w:widowControl/>
        <w:numPr>
          <w:ilvl w:val="1"/>
          <w:numId w:val="3"/>
        </w:numPr>
      </w:pPr>
      <w:r w:rsidRPr="009F0BEB">
        <w:t>The trial also reported four treatment-related deaths in the irinotecan (</w:t>
      </w:r>
      <w:proofErr w:type="spellStart"/>
      <w:r w:rsidRPr="009F0BEB">
        <w:t>nanoliposomal</w:t>
      </w:r>
      <w:proofErr w:type="spellEnd"/>
      <w:r w:rsidRPr="009F0BEB">
        <w:t>) monotherapy arm recorded as being due to five events (gastrointestinal toxicity, disseminated intravascular coagulation, pulmonary embolism, septic shock, enterocolitis infectio</w:t>
      </w:r>
      <w:r w:rsidR="00290DEC" w:rsidRPr="009F0BEB">
        <w:t>ns</w:t>
      </w:r>
      <w:r w:rsidRPr="009F0BEB">
        <w:t>).</w:t>
      </w:r>
    </w:p>
    <w:p w:rsidR="00C67CE6" w:rsidRPr="009F0BEB" w:rsidRDefault="00C67CE6" w:rsidP="006B2DC0">
      <w:pPr>
        <w:pStyle w:val="ListParagraph"/>
        <w:widowControl/>
        <w:numPr>
          <w:ilvl w:val="1"/>
          <w:numId w:val="3"/>
        </w:numPr>
      </w:pPr>
      <w:r w:rsidRPr="009F0BEB">
        <w:t xml:space="preserve">The trial report noted higher use of supportive therapies such as granulocyte stimulating factors (G-CSF), blood transfusions and erythropoietin in patients receiving </w:t>
      </w:r>
      <w:proofErr w:type="spellStart"/>
      <w:r w:rsidR="00B6003E" w:rsidRPr="009F0BEB">
        <w:t>nal</w:t>
      </w:r>
      <w:proofErr w:type="spellEnd"/>
      <w:r w:rsidR="00B6003E" w:rsidRPr="009F0BEB">
        <w:t>-IRI</w:t>
      </w:r>
      <w:r w:rsidRPr="009F0BEB">
        <w:t xml:space="preserve"> compared with 5-FU/</w:t>
      </w:r>
      <w:proofErr w:type="spellStart"/>
      <w:r w:rsidRPr="009F0BEB">
        <w:t>folinic</w:t>
      </w:r>
      <w:proofErr w:type="spellEnd"/>
      <w:r w:rsidRPr="009F0BEB">
        <w:t xml:space="preserve"> acid (e.g. </w:t>
      </w:r>
      <w:r w:rsidR="00EE2E05">
        <w:rPr>
          <w:noProof/>
          <w:color w:val="000000"/>
          <w:highlight w:val="black"/>
        </w:rPr>
        <w:t>'''''''''</w:t>
      </w:r>
      <w:r w:rsidRPr="009F0BEB">
        <w:t xml:space="preserve">% versus </w:t>
      </w:r>
      <w:r w:rsidR="00EE2E05">
        <w:rPr>
          <w:noProof/>
          <w:color w:val="000000"/>
          <w:highlight w:val="black"/>
        </w:rPr>
        <w:t>'''''''</w:t>
      </w:r>
      <w:r w:rsidRPr="009F0BEB">
        <w:t xml:space="preserve">% of patients used G-CSF in the trial). </w:t>
      </w:r>
    </w:p>
    <w:p w:rsidR="00856817" w:rsidRPr="009F0BEB" w:rsidRDefault="00856817" w:rsidP="006B2DC0">
      <w:pPr>
        <w:pStyle w:val="ListParagraph"/>
        <w:widowControl/>
        <w:numPr>
          <w:ilvl w:val="1"/>
          <w:numId w:val="3"/>
        </w:numPr>
      </w:pPr>
      <w:r w:rsidRPr="009F0BEB">
        <w:t xml:space="preserve">Based on </w:t>
      </w:r>
      <w:r w:rsidR="00F971A3" w:rsidRPr="009F0BEB">
        <w:t>the Periodic Safety Update Report (14 October 2016 to 13 April 2017) and 90-day safety update of the NAPOLI-1 trial provided in the</w:t>
      </w:r>
      <w:r w:rsidRPr="009F0BEB">
        <w:t xml:space="preserve"> expanded assessment of </w:t>
      </w:r>
      <w:r w:rsidRPr="009F0BEB">
        <w:lastRenderedPageBreak/>
        <w:t>harms, important identified risks associated with irinotecan (</w:t>
      </w:r>
      <w:proofErr w:type="spellStart"/>
      <w:r w:rsidRPr="009F0BEB">
        <w:t>nanoliposomal</w:t>
      </w:r>
      <w:proofErr w:type="spellEnd"/>
      <w:r w:rsidRPr="009F0BEB">
        <w:t xml:space="preserve">) include diarrhoea, leukopenia/neutropenia, anaemia, acute infusion reactions and thromboembolic events. Important potential risks were identified as </w:t>
      </w:r>
      <w:proofErr w:type="spellStart"/>
      <w:r w:rsidRPr="009F0BEB">
        <w:t>embryotoxicity</w:t>
      </w:r>
      <w:proofErr w:type="spellEnd"/>
      <w:r w:rsidRPr="009F0BEB">
        <w:t xml:space="preserve">/teratogenicity, hypersensitivity reactions, medication errors related to drug/dose confusion with non-liposomal irinotecan and interstitial lung disease. One event of fatal diarrhoea and one event of fatal neutropenic sepsis were reported in post-market safety data as possibly treatment-related. </w:t>
      </w:r>
    </w:p>
    <w:p w:rsidR="00B60939" w:rsidRPr="009F0BEB" w:rsidRDefault="00CC5FB5" w:rsidP="006B2DC0">
      <w:pPr>
        <w:pStyle w:val="ListParagraph"/>
        <w:widowControl/>
        <w:numPr>
          <w:ilvl w:val="1"/>
          <w:numId w:val="3"/>
        </w:numPr>
      </w:pPr>
      <w:r w:rsidRPr="009F0BEB">
        <w:t xml:space="preserve">The resubmission </w:t>
      </w:r>
      <w:r w:rsidR="00CD15D8" w:rsidRPr="009F0BEB">
        <w:t xml:space="preserve">also </w:t>
      </w:r>
      <w:r w:rsidRPr="009F0BEB">
        <w:t xml:space="preserve">presented new safety data </w:t>
      </w:r>
      <w:r w:rsidR="00C67CE6" w:rsidRPr="009F0BEB">
        <w:t>for selected severe treatment-related adverse events (grade 3 or more) based on post-hoc analyse</w:t>
      </w:r>
      <w:r w:rsidRPr="009F0BEB">
        <w:t xml:space="preserve">s of the irinotecan naïve </w:t>
      </w:r>
      <w:r w:rsidR="00C67CE6" w:rsidRPr="009F0BEB">
        <w:t>and complement subgroups</w:t>
      </w:r>
      <w:r w:rsidRPr="009F0BEB">
        <w:t xml:space="preserve">. </w:t>
      </w:r>
      <w:r w:rsidR="00C67CE6" w:rsidRPr="009F0BEB">
        <w:t>It was difficult to fully assess the comparative safety data for the subgroups due to the limited selection of data presented (no data presented for tre</w:t>
      </w:r>
      <w:r w:rsidR="003E4416" w:rsidRPr="009F0BEB">
        <w:t>atment-emergent adverse events of any severity, no data presented for serious treatment-related adverse events).</w:t>
      </w:r>
    </w:p>
    <w:p w:rsidR="005D26B4" w:rsidRPr="009F0BEB" w:rsidRDefault="003E4416" w:rsidP="006B2DC0">
      <w:pPr>
        <w:pStyle w:val="ListParagraph"/>
        <w:widowControl/>
        <w:numPr>
          <w:ilvl w:val="1"/>
          <w:numId w:val="3"/>
        </w:numPr>
      </w:pPr>
      <w:r w:rsidRPr="009F0BEB">
        <w:t>Based</w:t>
      </w:r>
      <w:r w:rsidR="0040242F" w:rsidRPr="009F0BEB">
        <w:t xml:space="preserve"> on</w:t>
      </w:r>
      <w:r w:rsidRPr="009F0BEB">
        <w:t xml:space="preserve"> the data presented, the safety profile for </w:t>
      </w:r>
      <w:r w:rsidR="0040242F" w:rsidRPr="009F0BEB">
        <w:t xml:space="preserve">the </w:t>
      </w:r>
      <w:r w:rsidRPr="009F0BEB">
        <w:t xml:space="preserve">irinotecan naïve subgroup (most common severe treatment-related adverse events) appeared similar to the safety data for the whole trial population. However, the safety profile for </w:t>
      </w:r>
      <w:proofErr w:type="spellStart"/>
      <w:r w:rsidR="00B6003E" w:rsidRPr="009F0BEB">
        <w:t>nal</w:t>
      </w:r>
      <w:proofErr w:type="spellEnd"/>
      <w:r w:rsidR="00F539A9" w:rsidRPr="009F0BEB">
        <w:noBreakHyphen/>
      </w:r>
      <w:r w:rsidR="00B6003E" w:rsidRPr="009F0BEB">
        <w:t>IRI</w:t>
      </w:r>
      <w:r w:rsidRPr="009F0BEB">
        <w:t xml:space="preserve"> in irinotecan experienced patients remains </w:t>
      </w:r>
      <w:r w:rsidR="00856817" w:rsidRPr="009F0BEB">
        <w:t>uncertain</w:t>
      </w:r>
      <w:r w:rsidRPr="009F0BEB">
        <w:t xml:space="preserve"> </w:t>
      </w:r>
      <w:r w:rsidR="00856817" w:rsidRPr="009F0BEB">
        <w:t>given the low number of events from a relatively small number of patients (n=26).</w:t>
      </w:r>
      <w:r w:rsidR="00D130EB" w:rsidRPr="009F0BEB">
        <w:t xml:space="preserve"> The ESC considered that given the irinotecan naïve subgroup captured the majority of patients in the trial, the safety signals were unlikely to differ from the whole trial population. </w:t>
      </w:r>
    </w:p>
    <w:p w:rsidR="004151CF" w:rsidRPr="009F0BEB" w:rsidRDefault="007F1017" w:rsidP="00D13044">
      <w:pPr>
        <w:pStyle w:val="Heading2"/>
        <w:widowControl/>
        <w:spacing w:after="160"/>
      </w:pPr>
      <w:bookmarkStart w:id="7" w:name="_Toc502848554"/>
      <w:r w:rsidRPr="00A24A91">
        <w:t>Benefits/harms</w:t>
      </w:r>
      <w:bookmarkEnd w:id="7"/>
    </w:p>
    <w:p w:rsidR="00B60939" w:rsidRPr="009F0BEB" w:rsidRDefault="004B12A0" w:rsidP="006B2DC0">
      <w:pPr>
        <w:pStyle w:val="ListParagraph"/>
        <w:widowControl/>
        <w:numPr>
          <w:ilvl w:val="1"/>
          <w:numId w:val="3"/>
        </w:numPr>
      </w:pPr>
      <w:r w:rsidRPr="009F0BEB">
        <w:rPr>
          <w:rFonts w:cs="Calibri"/>
          <w:snapToGrid/>
          <w:szCs w:val="24"/>
          <w:lang w:val="en-US" w:eastAsia="en-AU"/>
        </w:rPr>
        <w:t xml:space="preserve">A summary of the comparative benefits and harms for </w:t>
      </w:r>
      <w:proofErr w:type="spellStart"/>
      <w:r w:rsidR="00B6003E" w:rsidRPr="009F0BEB">
        <w:rPr>
          <w:rFonts w:cs="Calibri"/>
          <w:snapToGrid/>
          <w:szCs w:val="24"/>
          <w:lang w:val="en-US" w:eastAsia="en-AU"/>
        </w:rPr>
        <w:t>nal</w:t>
      </w:r>
      <w:proofErr w:type="spellEnd"/>
      <w:r w:rsidR="00B6003E" w:rsidRPr="009F0BEB">
        <w:rPr>
          <w:rFonts w:cs="Calibri"/>
          <w:snapToGrid/>
          <w:szCs w:val="24"/>
          <w:lang w:val="en-US" w:eastAsia="en-AU"/>
        </w:rPr>
        <w:t>-IRI</w:t>
      </w:r>
      <w:r w:rsidR="00512F75" w:rsidRPr="009F0BEB">
        <w:rPr>
          <w:rFonts w:cs="Calibri"/>
          <w:snapToGrid/>
          <w:szCs w:val="24"/>
          <w:lang w:val="en-US" w:eastAsia="en-AU"/>
        </w:rPr>
        <w:t xml:space="preserve"> versus 5</w:t>
      </w:r>
      <w:r w:rsidR="00F539A9" w:rsidRPr="009F0BEB">
        <w:rPr>
          <w:rFonts w:cs="Calibri"/>
          <w:snapToGrid/>
          <w:szCs w:val="24"/>
          <w:lang w:val="en-US" w:eastAsia="en-AU"/>
        </w:rPr>
        <w:noBreakHyphen/>
      </w:r>
      <w:r w:rsidR="00512F75" w:rsidRPr="009F0BEB">
        <w:rPr>
          <w:rFonts w:cs="Calibri"/>
          <w:snapToGrid/>
          <w:szCs w:val="24"/>
          <w:lang w:val="en-US" w:eastAsia="en-AU"/>
        </w:rPr>
        <w:t>FU/</w:t>
      </w:r>
      <w:proofErr w:type="spellStart"/>
      <w:r w:rsidR="00512F75" w:rsidRPr="009F0BEB">
        <w:rPr>
          <w:rFonts w:cs="Calibri"/>
          <w:snapToGrid/>
          <w:szCs w:val="24"/>
          <w:lang w:val="en-US" w:eastAsia="en-AU"/>
        </w:rPr>
        <w:t>folinic</w:t>
      </w:r>
      <w:proofErr w:type="spellEnd"/>
      <w:r w:rsidR="00512F75" w:rsidRPr="009F0BEB">
        <w:rPr>
          <w:rFonts w:cs="Calibri"/>
          <w:snapToGrid/>
          <w:szCs w:val="24"/>
          <w:lang w:val="en-US" w:eastAsia="en-AU"/>
        </w:rPr>
        <w:t xml:space="preserve"> acid </w:t>
      </w:r>
      <w:r w:rsidR="0040242F" w:rsidRPr="009F0BEB">
        <w:rPr>
          <w:rFonts w:cs="Calibri"/>
          <w:snapToGrid/>
          <w:szCs w:val="24"/>
          <w:lang w:val="en-US" w:eastAsia="en-AU"/>
        </w:rPr>
        <w:t xml:space="preserve">is presented in Table </w:t>
      </w:r>
      <w:r w:rsidR="00F0166D" w:rsidRPr="009F0BEB">
        <w:rPr>
          <w:rFonts w:cs="Calibri"/>
          <w:snapToGrid/>
          <w:szCs w:val="24"/>
          <w:lang w:val="en-US" w:eastAsia="en-AU"/>
        </w:rPr>
        <w:t>11</w:t>
      </w:r>
      <w:r w:rsidR="00512F75" w:rsidRPr="009F0BEB">
        <w:rPr>
          <w:rFonts w:cs="Calibri"/>
          <w:snapToGrid/>
          <w:szCs w:val="24"/>
          <w:lang w:val="en-US" w:eastAsia="en-AU"/>
        </w:rPr>
        <w:t>.</w:t>
      </w:r>
    </w:p>
    <w:p w:rsidR="00692D4F" w:rsidRPr="009F0BEB" w:rsidRDefault="00381393" w:rsidP="00D13044">
      <w:pPr>
        <w:keepNext/>
        <w:widowControl/>
      </w:pPr>
      <w:r w:rsidRPr="009F0BEB">
        <w:rPr>
          <w:rFonts w:ascii="Arial Narrow" w:hAnsi="Arial Narrow"/>
          <w:b/>
          <w:sz w:val="20"/>
          <w:szCs w:val="16"/>
        </w:rPr>
        <w:t>Table 11</w:t>
      </w:r>
      <w:r w:rsidR="00692D4F" w:rsidRPr="009F0BEB">
        <w:rPr>
          <w:rFonts w:ascii="Arial Narrow" w:hAnsi="Arial Narrow"/>
          <w:b/>
          <w:sz w:val="20"/>
          <w:szCs w:val="16"/>
        </w:rPr>
        <w:t xml:space="preserve">: Summary of comparative benefits and harms for </w:t>
      </w:r>
      <w:proofErr w:type="spellStart"/>
      <w:r w:rsidR="00692D4F" w:rsidRPr="009F0BEB">
        <w:rPr>
          <w:rFonts w:ascii="Arial Narrow" w:hAnsi="Arial Narrow"/>
          <w:b/>
          <w:sz w:val="20"/>
          <w:szCs w:val="16"/>
        </w:rPr>
        <w:t>nal</w:t>
      </w:r>
      <w:proofErr w:type="spellEnd"/>
      <w:r w:rsidR="00692D4F" w:rsidRPr="009F0BEB">
        <w:rPr>
          <w:rFonts w:ascii="Arial Narrow" w:hAnsi="Arial Narrow"/>
          <w:b/>
          <w:sz w:val="20"/>
          <w:szCs w:val="16"/>
        </w:rPr>
        <w:t>-IRI and 5-FU/</w:t>
      </w:r>
      <w:proofErr w:type="spellStart"/>
      <w:r w:rsidR="00692D4F" w:rsidRPr="009F0BEB">
        <w:rPr>
          <w:rFonts w:ascii="Arial Narrow" w:hAnsi="Arial Narrow"/>
          <w:b/>
          <w:sz w:val="20"/>
          <w:szCs w:val="16"/>
        </w:rPr>
        <w:t>folinic</w:t>
      </w:r>
      <w:proofErr w:type="spellEnd"/>
      <w:r w:rsidR="00692D4F" w:rsidRPr="009F0BEB">
        <w:rPr>
          <w:rFonts w:ascii="Arial Narrow" w:hAnsi="Arial Narrow"/>
          <w:b/>
          <w:sz w:val="20"/>
          <w:szCs w:val="16"/>
        </w:rPr>
        <w:t xml:space="preserve"> acid (whole trial population)</w:t>
      </w:r>
    </w:p>
    <w:tbl>
      <w:tblPr>
        <w:tblStyle w:val="TableGridbeth1"/>
        <w:tblW w:w="4979" w:type="pct"/>
        <w:tblInd w:w="56" w:type="dxa"/>
        <w:tblLayout w:type="fixed"/>
        <w:tblCellMar>
          <w:left w:w="28" w:type="dxa"/>
          <w:right w:w="28" w:type="dxa"/>
        </w:tblCellMar>
        <w:tblLook w:val="04A0" w:firstRow="1" w:lastRow="0" w:firstColumn="1" w:lastColumn="0" w:noHBand="0" w:noVBand="1"/>
        <w:tblCaption w:val="Table 11: Summary of comparative benefits and harms for nal-IRI and 5-FU/folinic acid (whole trial population)"/>
      </w:tblPr>
      <w:tblGrid>
        <w:gridCol w:w="2513"/>
        <w:gridCol w:w="1713"/>
        <w:gridCol w:w="1559"/>
        <w:gridCol w:w="1702"/>
        <w:gridCol w:w="1558"/>
      </w:tblGrid>
      <w:tr w:rsidR="00692D4F" w:rsidRPr="009F0BEB" w:rsidTr="008C785F">
        <w:trPr>
          <w:tblHeader/>
        </w:trPr>
        <w:tc>
          <w:tcPr>
            <w:tcW w:w="1389" w:type="pct"/>
            <w:shd w:val="clear" w:color="auto" w:fill="auto"/>
            <w:vAlign w:val="center"/>
          </w:tcPr>
          <w:p w:rsidR="00692D4F" w:rsidRPr="009F0BEB" w:rsidRDefault="00692D4F" w:rsidP="00D13044">
            <w:pPr>
              <w:keepNext/>
              <w:widowControl/>
              <w:jc w:val="left"/>
              <w:rPr>
                <w:rFonts w:ascii="Arial Narrow" w:hAnsi="Arial Narrow"/>
                <w:b/>
                <w:color w:val="000000"/>
                <w:sz w:val="20"/>
              </w:rPr>
            </w:pPr>
            <w:r w:rsidRPr="009F0BEB">
              <w:rPr>
                <w:rFonts w:ascii="Arial Narrow" w:hAnsi="Arial Narrow"/>
                <w:b/>
                <w:color w:val="000000"/>
                <w:sz w:val="20"/>
              </w:rPr>
              <w:t>Benefits</w:t>
            </w:r>
          </w:p>
        </w:tc>
        <w:tc>
          <w:tcPr>
            <w:tcW w:w="947" w:type="pct"/>
            <w:vAlign w:val="center"/>
          </w:tcPr>
          <w:p w:rsidR="00692D4F" w:rsidRPr="009F0BEB" w:rsidRDefault="00692D4F" w:rsidP="00D13044">
            <w:pPr>
              <w:keepNext/>
              <w:widowControl/>
              <w:jc w:val="center"/>
              <w:rPr>
                <w:rFonts w:ascii="Arial Narrow" w:hAnsi="Arial Narrow"/>
                <w:b/>
                <w:color w:val="000000"/>
                <w:sz w:val="20"/>
              </w:rPr>
            </w:pPr>
            <w:proofErr w:type="spellStart"/>
            <w:r w:rsidRPr="009F0BEB">
              <w:rPr>
                <w:rFonts w:ascii="Arial Narrow" w:hAnsi="Arial Narrow"/>
                <w:b/>
                <w:color w:val="000000"/>
                <w:sz w:val="20"/>
              </w:rPr>
              <w:t>Nal</w:t>
            </w:r>
            <w:proofErr w:type="spellEnd"/>
            <w:r w:rsidRPr="009F0BEB">
              <w:rPr>
                <w:rFonts w:ascii="Arial Narrow" w:hAnsi="Arial Narrow"/>
                <w:b/>
                <w:color w:val="000000"/>
                <w:sz w:val="20"/>
              </w:rPr>
              <w:t>-IRI</w:t>
            </w:r>
          </w:p>
        </w:tc>
        <w:tc>
          <w:tcPr>
            <w:tcW w:w="862" w:type="pct"/>
            <w:vAlign w:val="center"/>
          </w:tcPr>
          <w:p w:rsidR="00692D4F" w:rsidRPr="009F0BEB" w:rsidRDefault="00692D4F" w:rsidP="00D13044">
            <w:pPr>
              <w:keepNext/>
              <w:widowControl/>
              <w:jc w:val="center"/>
              <w:rPr>
                <w:rFonts w:ascii="Arial Narrow" w:hAnsi="Arial Narrow"/>
                <w:b/>
                <w:color w:val="000000"/>
                <w:sz w:val="20"/>
              </w:rPr>
            </w:pPr>
            <w:r w:rsidRPr="009F0BEB">
              <w:rPr>
                <w:rFonts w:ascii="Arial Narrow" w:hAnsi="Arial Narrow"/>
                <w:b/>
                <w:color w:val="000000"/>
                <w:sz w:val="20"/>
              </w:rPr>
              <w:t>5-FU/</w:t>
            </w:r>
            <w:proofErr w:type="spellStart"/>
            <w:r w:rsidRPr="009F0BEB">
              <w:rPr>
                <w:rFonts w:ascii="Arial Narrow" w:hAnsi="Arial Narrow"/>
                <w:b/>
                <w:color w:val="000000"/>
                <w:sz w:val="20"/>
              </w:rPr>
              <w:t>folinic</w:t>
            </w:r>
            <w:proofErr w:type="spellEnd"/>
            <w:r w:rsidRPr="009F0BEB">
              <w:rPr>
                <w:rFonts w:ascii="Arial Narrow" w:hAnsi="Arial Narrow"/>
                <w:b/>
                <w:color w:val="000000"/>
                <w:sz w:val="20"/>
              </w:rPr>
              <w:t xml:space="preserve"> acid</w:t>
            </w:r>
          </w:p>
        </w:tc>
        <w:tc>
          <w:tcPr>
            <w:tcW w:w="941" w:type="pct"/>
            <w:vAlign w:val="center"/>
          </w:tcPr>
          <w:p w:rsidR="00692D4F" w:rsidRPr="009F0BEB" w:rsidRDefault="00692D4F" w:rsidP="00D13044">
            <w:pPr>
              <w:keepNext/>
              <w:widowControl/>
              <w:jc w:val="center"/>
              <w:rPr>
                <w:rFonts w:ascii="Arial Narrow" w:hAnsi="Arial Narrow"/>
                <w:b/>
                <w:color w:val="000000"/>
                <w:sz w:val="20"/>
              </w:rPr>
            </w:pPr>
            <w:r w:rsidRPr="009F0BEB">
              <w:rPr>
                <w:rFonts w:ascii="Arial Narrow" w:hAnsi="Arial Narrow"/>
                <w:b/>
                <w:color w:val="000000"/>
                <w:sz w:val="20"/>
              </w:rPr>
              <w:t>Absolute Difference</w:t>
            </w:r>
          </w:p>
        </w:tc>
        <w:tc>
          <w:tcPr>
            <w:tcW w:w="861" w:type="pct"/>
            <w:vAlign w:val="center"/>
          </w:tcPr>
          <w:p w:rsidR="00692D4F" w:rsidRPr="009F0BEB" w:rsidRDefault="00692D4F" w:rsidP="00D13044">
            <w:pPr>
              <w:keepNext/>
              <w:widowControl/>
              <w:jc w:val="center"/>
              <w:rPr>
                <w:rFonts w:ascii="Arial Narrow" w:hAnsi="Arial Narrow"/>
                <w:b/>
                <w:color w:val="000000"/>
                <w:sz w:val="20"/>
              </w:rPr>
            </w:pPr>
            <w:r w:rsidRPr="009F0BEB">
              <w:rPr>
                <w:rFonts w:ascii="Arial Narrow" w:hAnsi="Arial Narrow"/>
                <w:b/>
                <w:color w:val="000000"/>
                <w:sz w:val="20"/>
              </w:rPr>
              <w:t>HR (95% CI)</w:t>
            </w:r>
          </w:p>
        </w:tc>
      </w:tr>
      <w:tr w:rsidR="00692D4F" w:rsidRPr="009F0BEB" w:rsidTr="00901DDB">
        <w:tc>
          <w:tcPr>
            <w:tcW w:w="5000" w:type="pct"/>
            <w:gridSpan w:val="5"/>
            <w:shd w:val="clear" w:color="auto" w:fill="auto"/>
            <w:vAlign w:val="center"/>
          </w:tcPr>
          <w:p w:rsidR="00692D4F" w:rsidRPr="009F0BEB" w:rsidRDefault="00692D4F" w:rsidP="00D13044">
            <w:pPr>
              <w:keepNext/>
              <w:widowControl/>
              <w:jc w:val="left"/>
              <w:rPr>
                <w:rFonts w:ascii="Arial Narrow" w:hAnsi="Arial Narrow"/>
                <w:b/>
                <w:sz w:val="20"/>
              </w:rPr>
            </w:pPr>
            <w:r w:rsidRPr="009F0BEB">
              <w:rPr>
                <w:rFonts w:ascii="Arial Narrow" w:hAnsi="Arial Narrow"/>
                <w:b/>
                <w:color w:val="000000"/>
                <w:sz w:val="20"/>
              </w:rPr>
              <w:t>Overall survival</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Died</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105/117 (89.7)</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102/119 (85.7)</w:t>
            </w:r>
          </w:p>
        </w:tc>
        <w:tc>
          <w:tcPr>
            <w:tcW w:w="941" w:type="pct"/>
            <w:vMerge w:val="restar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color w:val="000000"/>
                <w:sz w:val="20"/>
              </w:rPr>
              <w:t>8.7</w:t>
            </w:r>
          </w:p>
        </w:tc>
        <w:tc>
          <w:tcPr>
            <w:tcW w:w="861" w:type="pct"/>
            <w:vMerge w:val="restar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color w:val="000000"/>
                <w:sz w:val="20"/>
              </w:rPr>
              <w:t>0.75 (0.57, 0.99)</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Median OS (weeks)</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27.1</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18.4</w:t>
            </w:r>
          </w:p>
        </w:tc>
        <w:tc>
          <w:tcPr>
            <w:tcW w:w="941" w:type="pct"/>
            <w:vMerge/>
            <w:vAlign w:val="center"/>
          </w:tcPr>
          <w:p w:rsidR="00692D4F" w:rsidRPr="009F0BEB" w:rsidRDefault="00692D4F" w:rsidP="00D13044">
            <w:pPr>
              <w:keepNext/>
              <w:widowControl/>
              <w:jc w:val="center"/>
              <w:rPr>
                <w:rFonts w:ascii="Arial Narrow" w:hAnsi="Arial Narrow"/>
                <w:color w:val="000000"/>
                <w:sz w:val="20"/>
              </w:rPr>
            </w:pPr>
          </w:p>
        </w:tc>
        <w:tc>
          <w:tcPr>
            <w:tcW w:w="861" w:type="pct"/>
            <w:vMerge/>
            <w:vAlign w:val="center"/>
          </w:tcPr>
          <w:p w:rsidR="00692D4F" w:rsidRPr="009F0BEB" w:rsidRDefault="00692D4F" w:rsidP="00D13044">
            <w:pPr>
              <w:keepNext/>
              <w:widowControl/>
              <w:jc w:val="center"/>
              <w:rPr>
                <w:rFonts w:ascii="Arial Narrow" w:hAnsi="Arial Narrow"/>
                <w:color w:val="000000"/>
                <w:sz w:val="20"/>
              </w:rPr>
            </w:pPr>
          </w:p>
        </w:tc>
      </w:tr>
      <w:tr w:rsidR="00692D4F" w:rsidRPr="009F0BEB" w:rsidTr="00901DDB">
        <w:tc>
          <w:tcPr>
            <w:tcW w:w="5000" w:type="pct"/>
            <w:gridSpan w:val="5"/>
            <w:shd w:val="clear" w:color="auto" w:fill="auto"/>
            <w:vAlign w:val="center"/>
          </w:tcPr>
          <w:p w:rsidR="00692D4F" w:rsidRPr="009F0BEB" w:rsidRDefault="00692D4F" w:rsidP="00D13044">
            <w:pPr>
              <w:keepNext/>
              <w:widowControl/>
              <w:jc w:val="left"/>
              <w:rPr>
                <w:rFonts w:ascii="Arial Narrow" w:hAnsi="Arial Narrow"/>
                <w:b/>
                <w:color w:val="000000"/>
                <w:sz w:val="20"/>
              </w:rPr>
            </w:pPr>
            <w:r w:rsidRPr="009F0BEB">
              <w:rPr>
                <w:rFonts w:ascii="Arial Narrow" w:hAnsi="Arial Narrow"/>
                <w:b/>
                <w:color w:val="000000"/>
                <w:sz w:val="20"/>
              </w:rPr>
              <w:t>Progression-free survival</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Progressed or died</w:t>
            </w:r>
          </w:p>
        </w:tc>
        <w:tc>
          <w:tcPr>
            <w:tcW w:w="947" w:type="pct"/>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95/117 (81.2)</w:t>
            </w:r>
          </w:p>
        </w:tc>
        <w:tc>
          <w:tcPr>
            <w:tcW w:w="862" w:type="pct"/>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97/119 (81.5)</w:t>
            </w:r>
          </w:p>
        </w:tc>
        <w:tc>
          <w:tcPr>
            <w:tcW w:w="941" w:type="pct"/>
            <w:vMerge w:val="restar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color w:val="000000"/>
                <w:sz w:val="20"/>
              </w:rPr>
              <w:t>7.1</w:t>
            </w:r>
          </w:p>
        </w:tc>
        <w:tc>
          <w:tcPr>
            <w:tcW w:w="861" w:type="pct"/>
            <w:vMerge w:val="restar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color w:val="000000"/>
                <w:sz w:val="20"/>
              </w:rPr>
              <w:t>0.57 (0.43, 0.76)</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Median PFS (weeks)</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13.4</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6.3</w:t>
            </w:r>
          </w:p>
        </w:tc>
        <w:tc>
          <w:tcPr>
            <w:tcW w:w="941" w:type="pct"/>
            <w:vMerge/>
            <w:vAlign w:val="center"/>
          </w:tcPr>
          <w:p w:rsidR="00692D4F" w:rsidRPr="009F0BEB" w:rsidRDefault="00692D4F" w:rsidP="00D13044">
            <w:pPr>
              <w:keepNext/>
              <w:widowControl/>
              <w:jc w:val="center"/>
              <w:rPr>
                <w:rFonts w:ascii="Arial Narrow" w:hAnsi="Arial Narrow"/>
                <w:color w:val="000000"/>
                <w:sz w:val="20"/>
              </w:rPr>
            </w:pPr>
          </w:p>
        </w:tc>
        <w:tc>
          <w:tcPr>
            <w:tcW w:w="861" w:type="pct"/>
            <w:vMerge/>
            <w:vAlign w:val="center"/>
          </w:tcPr>
          <w:p w:rsidR="00692D4F" w:rsidRPr="009F0BEB" w:rsidRDefault="00692D4F" w:rsidP="00D13044">
            <w:pPr>
              <w:keepNext/>
              <w:widowControl/>
              <w:jc w:val="center"/>
              <w:rPr>
                <w:rFonts w:ascii="Arial Narrow" w:hAnsi="Arial Narrow"/>
                <w:color w:val="000000"/>
                <w:sz w:val="20"/>
              </w:rPr>
            </w:pPr>
          </w:p>
        </w:tc>
      </w:tr>
      <w:tr w:rsidR="00692D4F" w:rsidRPr="009F0BEB" w:rsidTr="00901DDB">
        <w:tc>
          <w:tcPr>
            <w:tcW w:w="1389" w:type="pct"/>
            <w:vMerge w:val="restart"/>
            <w:shd w:val="clear" w:color="auto" w:fill="auto"/>
            <w:vAlign w:val="center"/>
          </w:tcPr>
          <w:p w:rsidR="00692D4F" w:rsidRPr="009F0BEB" w:rsidRDefault="00692D4F" w:rsidP="00D13044">
            <w:pPr>
              <w:keepNext/>
              <w:widowControl/>
              <w:rPr>
                <w:rFonts w:ascii="Arial Narrow" w:hAnsi="Arial Narrow"/>
                <w:b/>
                <w:color w:val="000000"/>
                <w:sz w:val="20"/>
              </w:rPr>
            </w:pPr>
            <w:r w:rsidRPr="009F0BEB">
              <w:rPr>
                <w:rFonts w:ascii="Arial Narrow" w:hAnsi="Arial Narrow"/>
                <w:b/>
                <w:color w:val="000000"/>
                <w:sz w:val="20"/>
              </w:rPr>
              <w:t>Harms</w:t>
            </w:r>
          </w:p>
        </w:tc>
        <w:tc>
          <w:tcPr>
            <w:tcW w:w="947" w:type="pct"/>
            <w:vMerge w:val="restart"/>
            <w:vAlign w:val="center"/>
          </w:tcPr>
          <w:p w:rsidR="00692D4F" w:rsidRPr="009F0BEB" w:rsidRDefault="00692D4F" w:rsidP="00D13044">
            <w:pPr>
              <w:keepNext/>
              <w:widowControl/>
              <w:jc w:val="center"/>
              <w:rPr>
                <w:rFonts w:ascii="Arial Narrow" w:hAnsi="Arial Narrow"/>
                <w:b/>
                <w:sz w:val="20"/>
              </w:rPr>
            </w:pPr>
            <w:proofErr w:type="spellStart"/>
            <w:r w:rsidRPr="009F0BEB">
              <w:rPr>
                <w:rFonts w:ascii="Arial Narrow" w:hAnsi="Arial Narrow"/>
                <w:b/>
                <w:sz w:val="20"/>
              </w:rPr>
              <w:t>Nal</w:t>
            </w:r>
            <w:proofErr w:type="spellEnd"/>
            <w:r w:rsidRPr="009F0BEB">
              <w:rPr>
                <w:rFonts w:ascii="Arial Narrow" w:hAnsi="Arial Narrow"/>
                <w:b/>
                <w:sz w:val="20"/>
              </w:rPr>
              <w:t>-IRI</w:t>
            </w:r>
          </w:p>
        </w:tc>
        <w:tc>
          <w:tcPr>
            <w:tcW w:w="862" w:type="pct"/>
            <w:vMerge w:val="restart"/>
            <w:vAlign w:val="center"/>
          </w:tcPr>
          <w:p w:rsidR="00692D4F" w:rsidRPr="009F0BEB" w:rsidRDefault="00692D4F" w:rsidP="00D13044">
            <w:pPr>
              <w:keepNext/>
              <w:widowControl/>
              <w:jc w:val="center"/>
              <w:rPr>
                <w:rFonts w:ascii="Arial Narrow" w:hAnsi="Arial Narrow"/>
                <w:b/>
                <w:sz w:val="20"/>
              </w:rPr>
            </w:pPr>
            <w:r w:rsidRPr="009F0BEB">
              <w:rPr>
                <w:rFonts w:ascii="Arial Narrow" w:hAnsi="Arial Narrow"/>
                <w:b/>
                <w:sz w:val="20"/>
              </w:rPr>
              <w:t>5-FU/</w:t>
            </w:r>
            <w:proofErr w:type="spellStart"/>
            <w:r w:rsidRPr="009F0BEB">
              <w:rPr>
                <w:rFonts w:ascii="Arial Narrow" w:hAnsi="Arial Narrow"/>
                <w:b/>
                <w:sz w:val="20"/>
              </w:rPr>
              <w:t>folinic</w:t>
            </w:r>
            <w:proofErr w:type="spellEnd"/>
            <w:r w:rsidRPr="009F0BEB">
              <w:rPr>
                <w:rFonts w:ascii="Arial Narrow" w:hAnsi="Arial Narrow"/>
                <w:b/>
                <w:sz w:val="20"/>
              </w:rPr>
              <w:t xml:space="preserve"> acid</w:t>
            </w:r>
          </w:p>
        </w:tc>
        <w:tc>
          <w:tcPr>
            <w:tcW w:w="1802" w:type="pct"/>
            <w:gridSpan w:val="2"/>
            <w:vAlign w:val="center"/>
          </w:tcPr>
          <w:p w:rsidR="00692D4F" w:rsidRPr="009F0BEB" w:rsidRDefault="00692D4F" w:rsidP="00D13044">
            <w:pPr>
              <w:keepNext/>
              <w:widowControl/>
              <w:jc w:val="center"/>
              <w:rPr>
                <w:rFonts w:ascii="Arial Narrow" w:hAnsi="Arial Narrow"/>
                <w:b/>
                <w:color w:val="000000"/>
                <w:sz w:val="20"/>
              </w:rPr>
            </w:pPr>
            <w:r w:rsidRPr="009F0BEB">
              <w:rPr>
                <w:rFonts w:ascii="Arial Narrow" w:hAnsi="Arial Narrow"/>
                <w:b/>
                <w:color w:val="000000"/>
                <w:sz w:val="20"/>
              </w:rPr>
              <w:t>Fatal or life-threatening</w:t>
            </w:r>
          </w:p>
        </w:tc>
      </w:tr>
      <w:tr w:rsidR="00692D4F" w:rsidRPr="009F0BEB" w:rsidTr="00901DDB">
        <w:tc>
          <w:tcPr>
            <w:tcW w:w="1389" w:type="pct"/>
            <w:vMerge/>
            <w:shd w:val="clear" w:color="auto" w:fill="auto"/>
            <w:vAlign w:val="center"/>
          </w:tcPr>
          <w:p w:rsidR="00692D4F" w:rsidRPr="009F0BEB" w:rsidRDefault="00692D4F" w:rsidP="00D13044">
            <w:pPr>
              <w:keepNext/>
              <w:widowControl/>
              <w:rPr>
                <w:rFonts w:ascii="Arial Narrow" w:hAnsi="Arial Narrow"/>
                <w:b/>
                <w:color w:val="000000"/>
                <w:sz w:val="20"/>
              </w:rPr>
            </w:pPr>
          </w:p>
        </w:tc>
        <w:tc>
          <w:tcPr>
            <w:tcW w:w="947" w:type="pct"/>
            <w:vMerge/>
            <w:vAlign w:val="center"/>
          </w:tcPr>
          <w:p w:rsidR="00692D4F" w:rsidRPr="009F0BEB" w:rsidRDefault="00692D4F" w:rsidP="00D13044">
            <w:pPr>
              <w:keepNext/>
              <w:widowControl/>
              <w:jc w:val="center"/>
              <w:rPr>
                <w:rFonts w:ascii="Arial Narrow" w:hAnsi="Arial Narrow"/>
                <w:b/>
                <w:sz w:val="20"/>
              </w:rPr>
            </w:pPr>
          </w:p>
        </w:tc>
        <w:tc>
          <w:tcPr>
            <w:tcW w:w="862" w:type="pct"/>
            <w:vMerge/>
            <w:vAlign w:val="center"/>
          </w:tcPr>
          <w:p w:rsidR="00692D4F" w:rsidRPr="009F0BEB" w:rsidRDefault="00692D4F" w:rsidP="00D13044">
            <w:pPr>
              <w:keepNext/>
              <w:widowControl/>
              <w:jc w:val="center"/>
              <w:rPr>
                <w:rFonts w:ascii="Arial Narrow" w:hAnsi="Arial Narrow"/>
                <w:b/>
                <w:sz w:val="20"/>
              </w:rPr>
            </w:pPr>
          </w:p>
        </w:tc>
        <w:tc>
          <w:tcPr>
            <w:tcW w:w="941" w:type="pct"/>
            <w:vAlign w:val="center"/>
          </w:tcPr>
          <w:p w:rsidR="00692D4F" w:rsidRPr="009F0BEB" w:rsidRDefault="00692D4F" w:rsidP="00D13044">
            <w:pPr>
              <w:keepNext/>
              <w:widowControl/>
              <w:jc w:val="center"/>
              <w:rPr>
                <w:rFonts w:ascii="Arial Narrow" w:hAnsi="Arial Narrow"/>
                <w:b/>
                <w:sz w:val="20"/>
              </w:rPr>
            </w:pPr>
            <w:proofErr w:type="spellStart"/>
            <w:r w:rsidRPr="009F0BEB">
              <w:rPr>
                <w:rFonts w:ascii="Arial Narrow" w:hAnsi="Arial Narrow"/>
                <w:b/>
                <w:sz w:val="20"/>
              </w:rPr>
              <w:t>Nal</w:t>
            </w:r>
            <w:proofErr w:type="spellEnd"/>
            <w:r w:rsidRPr="009F0BEB">
              <w:rPr>
                <w:rFonts w:ascii="Arial Narrow" w:hAnsi="Arial Narrow"/>
                <w:b/>
                <w:sz w:val="20"/>
              </w:rPr>
              <w:t>-IRI</w:t>
            </w:r>
          </w:p>
        </w:tc>
        <w:tc>
          <w:tcPr>
            <w:tcW w:w="861" w:type="pct"/>
            <w:vAlign w:val="center"/>
          </w:tcPr>
          <w:p w:rsidR="00692D4F" w:rsidRPr="009F0BEB" w:rsidRDefault="00692D4F" w:rsidP="00D13044">
            <w:pPr>
              <w:keepNext/>
              <w:widowControl/>
              <w:jc w:val="center"/>
              <w:rPr>
                <w:rFonts w:ascii="Arial Narrow" w:hAnsi="Arial Narrow"/>
                <w:b/>
                <w:sz w:val="20"/>
              </w:rPr>
            </w:pPr>
            <w:r w:rsidRPr="009F0BEB">
              <w:rPr>
                <w:rFonts w:ascii="Arial Narrow" w:hAnsi="Arial Narrow"/>
                <w:b/>
                <w:sz w:val="20"/>
              </w:rPr>
              <w:t>5-FU/</w:t>
            </w:r>
            <w:proofErr w:type="spellStart"/>
            <w:r w:rsidRPr="009F0BEB">
              <w:rPr>
                <w:rFonts w:ascii="Arial Narrow" w:hAnsi="Arial Narrow"/>
                <w:b/>
                <w:sz w:val="20"/>
              </w:rPr>
              <w:t>folinic</w:t>
            </w:r>
            <w:proofErr w:type="spellEnd"/>
            <w:r w:rsidRPr="009F0BEB">
              <w:rPr>
                <w:rFonts w:ascii="Arial Narrow" w:hAnsi="Arial Narrow"/>
                <w:b/>
                <w:sz w:val="20"/>
              </w:rPr>
              <w:t xml:space="preserve"> acid</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Diarrhoea</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72/117 (61.5)</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25/134 (18.7)</w:t>
            </w:r>
          </w:p>
        </w:tc>
        <w:tc>
          <w:tcPr>
            <w:tcW w:w="94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Nausea</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64/117 (54.7)</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40/134 (29.9)</w:t>
            </w:r>
          </w:p>
        </w:tc>
        <w:tc>
          <w:tcPr>
            <w:tcW w:w="94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Vomiting</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57/117 (48.7)</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27/134 (20.1)</w:t>
            </w:r>
          </w:p>
        </w:tc>
        <w:tc>
          <w:tcPr>
            <w:tcW w:w="94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Fatigue</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43/117 (36.8)</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27/134 (20.1)</w:t>
            </w:r>
          </w:p>
        </w:tc>
        <w:tc>
          <w:tcPr>
            <w:tcW w:w="94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Decreased appetite</w:t>
            </w:r>
          </w:p>
        </w:tc>
        <w:tc>
          <w:tcPr>
            <w:tcW w:w="947"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37/117 (31.6)</w:t>
            </w:r>
          </w:p>
        </w:tc>
        <w:tc>
          <w:tcPr>
            <w:tcW w:w="862"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16/134 (11.9)</w:t>
            </w:r>
          </w:p>
        </w:tc>
        <w:tc>
          <w:tcPr>
            <w:tcW w:w="94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Neutropenia/febrile neutropenia</w:t>
            </w:r>
          </w:p>
        </w:tc>
        <w:tc>
          <w:tcPr>
            <w:tcW w:w="947" w:type="pct"/>
            <w:vAlign w:val="center"/>
          </w:tcPr>
          <w:p w:rsidR="00692D4F" w:rsidRPr="009F0BEB" w:rsidRDefault="00692D4F" w:rsidP="00D13044">
            <w:pPr>
              <w:keepNext/>
              <w:widowControl/>
              <w:tabs>
                <w:tab w:val="left" w:pos="720"/>
              </w:tabs>
              <w:jc w:val="center"/>
              <w:rPr>
                <w:rFonts w:ascii="Arial Narrow" w:hAnsi="Arial Narrow"/>
                <w:sz w:val="20"/>
              </w:rPr>
            </w:pPr>
            <w:r w:rsidRPr="009F0BEB">
              <w:rPr>
                <w:rFonts w:ascii="Arial Narrow" w:hAnsi="Arial Narrow"/>
                <w:sz w:val="20"/>
              </w:rPr>
              <w:t>36/117 (30.8)</w:t>
            </w:r>
          </w:p>
        </w:tc>
        <w:tc>
          <w:tcPr>
            <w:tcW w:w="862" w:type="pct"/>
            <w:vAlign w:val="center"/>
          </w:tcPr>
          <w:p w:rsidR="00692D4F" w:rsidRPr="009F0BEB" w:rsidRDefault="00692D4F" w:rsidP="00D13044">
            <w:pPr>
              <w:keepNext/>
              <w:widowControl/>
              <w:tabs>
                <w:tab w:val="left" w:pos="720"/>
              </w:tabs>
              <w:jc w:val="center"/>
              <w:rPr>
                <w:rFonts w:ascii="Arial Narrow" w:hAnsi="Arial Narrow"/>
                <w:sz w:val="20"/>
              </w:rPr>
            </w:pPr>
            <w:r w:rsidRPr="009F0BEB">
              <w:rPr>
                <w:rFonts w:ascii="Arial Narrow" w:hAnsi="Arial Narrow"/>
                <w:sz w:val="20"/>
              </w:rPr>
              <w:t>3/134 (2.2)</w:t>
            </w:r>
          </w:p>
        </w:tc>
        <w:tc>
          <w:tcPr>
            <w:tcW w:w="941" w:type="pc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Anaemia</w:t>
            </w:r>
          </w:p>
        </w:tc>
        <w:tc>
          <w:tcPr>
            <w:tcW w:w="947" w:type="pct"/>
            <w:vAlign w:val="center"/>
          </w:tcPr>
          <w:p w:rsidR="00692D4F" w:rsidRPr="009F0BEB" w:rsidRDefault="00692D4F" w:rsidP="00D13044">
            <w:pPr>
              <w:keepNext/>
              <w:widowControl/>
              <w:tabs>
                <w:tab w:val="left" w:pos="720"/>
              </w:tabs>
              <w:jc w:val="center"/>
              <w:rPr>
                <w:rFonts w:ascii="Arial Narrow" w:hAnsi="Arial Narrow"/>
                <w:sz w:val="20"/>
              </w:rPr>
            </w:pPr>
            <w:r w:rsidRPr="009F0BEB">
              <w:rPr>
                <w:rFonts w:ascii="Arial Narrow" w:hAnsi="Arial Narrow"/>
                <w:sz w:val="20"/>
              </w:rPr>
              <w:t>20/117 (17.1)</w:t>
            </w:r>
          </w:p>
        </w:tc>
        <w:tc>
          <w:tcPr>
            <w:tcW w:w="862" w:type="pct"/>
            <w:vAlign w:val="center"/>
          </w:tcPr>
          <w:p w:rsidR="00692D4F" w:rsidRPr="009F0BEB" w:rsidRDefault="00692D4F" w:rsidP="00D13044">
            <w:pPr>
              <w:keepNext/>
              <w:widowControl/>
              <w:tabs>
                <w:tab w:val="left" w:pos="720"/>
              </w:tabs>
              <w:jc w:val="center"/>
              <w:rPr>
                <w:rFonts w:ascii="Arial Narrow" w:hAnsi="Arial Narrow"/>
                <w:sz w:val="20"/>
              </w:rPr>
            </w:pPr>
            <w:r w:rsidRPr="009F0BEB">
              <w:rPr>
                <w:rFonts w:ascii="Arial Narrow" w:hAnsi="Arial Narrow"/>
                <w:sz w:val="20"/>
              </w:rPr>
              <w:t>16/134 (11.9)</w:t>
            </w:r>
          </w:p>
        </w:tc>
        <w:tc>
          <w:tcPr>
            <w:tcW w:w="941" w:type="pc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sz w:val="20"/>
              </w:rPr>
              <w:t>NR</w:t>
            </w:r>
          </w:p>
        </w:tc>
        <w:tc>
          <w:tcPr>
            <w:tcW w:w="861" w:type="pc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sz w:val="20"/>
              </w:rPr>
              <w:t>NR</w:t>
            </w:r>
          </w:p>
        </w:tc>
      </w:tr>
      <w:tr w:rsidR="00692D4F" w:rsidRPr="009F0BEB" w:rsidTr="00901DDB">
        <w:tc>
          <w:tcPr>
            <w:tcW w:w="1389" w:type="pct"/>
            <w:shd w:val="clear" w:color="auto" w:fill="auto"/>
            <w:vAlign w:val="center"/>
          </w:tcPr>
          <w:p w:rsidR="00692D4F" w:rsidRPr="009F0BEB" w:rsidRDefault="00692D4F" w:rsidP="00D13044">
            <w:pPr>
              <w:keepNext/>
              <w:widowControl/>
              <w:rPr>
                <w:rFonts w:ascii="Arial Narrow" w:hAnsi="Arial Narrow"/>
                <w:color w:val="000000"/>
                <w:sz w:val="20"/>
              </w:rPr>
            </w:pPr>
            <w:r w:rsidRPr="009F0BEB">
              <w:rPr>
                <w:rFonts w:ascii="Arial Narrow" w:hAnsi="Arial Narrow"/>
                <w:color w:val="000000"/>
                <w:sz w:val="20"/>
              </w:rPr>
              <w:t>Treatment-related death</w:t>
            </w:r>
          </w:p>
        </w:tc>
        <w:tc>
          <w:tcPr>
            <w:tcW w:w="947" w:type="pct"/>
            <w:vAlign w:val="center"/>
          </w:tcPr>
          <w:p w:rsidR="00692D4F" w:rsidRPr="009F0BEB" w:rsidRDefault="00692D4F" w:rsidP="00D13044">
            <w:pPr>
              <w:keepNext/>
              <w:widowControl/>
              <w:tabs>
                <w:tab w:val="left" w:pos="720"/>
              </w:tabs>
              <w:jc w:val="center"/>
              <w:rPr>
                <w:rFonts w:ascii="Arial Narrow" w:hAnsi="Arial Narrow"/>
                <w:sz w:val="20"/>
              </w:rPr>
            </w:pPr>
            <w:r w:rsidRPr="009F0BEB">
              <w:rPr>
                <w:rFonts w:ascii="Arial Narrow" w:hAnsi="Arial Narrow"/>
                <w:sz w:val="20"/>
              </w:rPr>
              <w:t>-</w:t>
            </w:r>
          </w:p>
        </w:tc>
        <w:tc>
          <w:tcPr>
            <w:tcW w:w="862" w:type="pct"/>
            <w:vAlign w:val="center"/>
          </w:tcPr>
          <w:p w:rsidR="00692D4F" w:rsidRPr="009F0BEB" w:rsidRDefault="00692D4F" w:rsidP="00D13044">
            <w:pPr>
              <w:keepNext/>
              <w:widowControl/>
              <w:tabs>
                <w:tab w:val="left" w:pos="720"/>
              </w:tabs>
              <w:jc w:val="center"/>
              <w:rPr>
                <w:rFonts w:ascii="Arial Narrow" w:hAnsi="Arial Narrow"/>
                <w:sz w:val="20"/>
              </w:rPr>
            </w:pPr>
            <w:r w:rsidRPr="009F0BEB">
              <w:rPr>
                <w:rFonts w:ascii="Arial Narrow" w:hAnsi="Arial Narrow"/>
                <w:sz w:val="20"/>
              </w:rPr>
              <w:t>-</w:t>
            </w:r>
          </w:p>
        </w:tc>
        <w:tc>
          <w:tcPr>
            <w:tcW w:w="941" w:type="pc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sz w:val="20"/>
              </w:rPr>
              <w:t>1/117 (0.9)</w:t>
            </w:r>
          </w:p>
        </w:tc>
        <w:tc>
          <w:tcPr>
            <w:tcW w:w="861" w:type="pct"/>
            <w:vAlign w:val="center"/>
          </w:tcPr>
          <w:p w:rsidR="00692D4F" w:rsidRPr="009F0BEB" w:rsidRDefault="00692D4F" w:rsidP="00D13044">
            <w:pPr>
              <w:keepNext/>
              <w:widowControl/>
              <w:jc w:val="center"/>
              <w:rPr>
                <w:rFonts w:ascii="Arial Narrow" w:hAnsi="Arial Narrow"/>
                <w:color w:val="000000"/>
                <w:sz w:val="20"/>
              </w:rPr>
            </w:pPr>
            <w:r w:rsidRPr="009F0BEB">
              <w:rPr>
                <w:rFonts w:ascii="Arial Narrow" w:hAnsi="Arial Narrow"/>
                <w:sz w:val="20"/>
              </w:rPr>
              <w:t>0/134 (0)</w:t>
            </w:r>
          </w:p>
        </w:tc>
      </w:tr>
    </w:tbl>
    <w:p w:rsidR="00692D4F" w:rsidRPr="009F0BEB" w:rsidRDefault="00692D4F" w:rsidP="006B2DC0">
      <w:pPr>
        <w:widowControl/>
        <w:rPr>
          <w:rFonts w:ascii="Arial Narrow" w:hAnsi="Arial Narrow"/>
          <w:sz w:val="18"/>
        </w:rPr>
      </w:pPr>
      <w:r w:rsidRPr="009F0BEB">
        <w:rPr>
          <w:rFonts w:ascii="Arial Narrow" w:hAnsi="Arial Narrow"/>
          <w:sz w:val="18"/>
        </w:rPr>
        <w:t>Source:  Post Hoc Analyses, Appendix 4 and p80 of the resubmission</w:t>
      </w:r>
    </w:p>
    <w:p w:rsidR="00692D4F" w:rsidRDefault="00692D4F" w:rsidP="006B2DC0">
      <w:pPr>
        <w:widowControl/>
        <w:rPr>
          <w:rFonts w:ascii="Arial Narrow" w:hAnsi="Arial Narrow"/>
          <w:sz w:val="18"/>
        </w:rPr>
      </w:pPr>
      <w:r w:rsidRPr="009F0BEB">
        <w:rPr>
          <w:rFonts w:ascii="Arial Narrow" w:hAnsi="Arial Narrow"/>
          <w:sz w:val="18"/>
        </w:rPr>
        <w:t>Abbreviations: CI, confidence interval; HR, hazard ratio; OS, overall survival; PFS, progression-free survival</w:t>
      </w:r>
    </w:p>
    <w:p w:rsidR="00D13044" w:rsidRPr="00D13044" w:rsidRDefault="00D13044" w:rsidP="006B2DC0">
      <w:pPr>
        <w:widowControl/>
        <w:rPr>
          <w:rFonts w:ascii="Arial Narrow" w:hAnsi="Arial Narrow"/>
          <w:sz w:val="18"/>
        </w:rPr>
      </w:pPr>
    </w:p>
    <w:p w:rsidR="00692D4F" w:rsidRPr="009F0BEB" w:rsidRDefault="00692D4F" w:rsidP="006B2DC0">
      <w:pPr>
        <w:pStyle w:val="ListParagraph"/>
        <w:widowControl/>
        <w:numPr>
          <w:ilvl w:val="1"/>
          <w:numId w:val="3"/>
        </w:numPr>
      </w:pPr>
      <w:r w:rsidRPr="009F0BEB">
        <w:lastRenderedPageBreak/>
        <w:t xml:space="preserve">On the basis of the direct evidence presented in the resubmission, treatment with </w:t>
      </w:r>
      <w:proofErr w:type="spellStart"/>
      <w:r w:rsidRPr="009F0BEB">
        <w:t>nal</w:t>
      </w:r>
      <w:proofErr w:type="spellEnd"/>
      <w:r w:rsidRPr="009F0BEB">
        <w:t>-IRI compared with 5-FU/</w:t>
      </w:r>
      <w:proofErr w:type="spellStart"/>
      <w:r w:rsidRPr="009F0BEB">
        <w:t>folinic</w:t>
      </w:r>
      <w:proofErr w:type="spellEnd"/>
      <w:r w:rsidRPr="009F0BEB">
        <w:t xml:space="preserve"> acid results in a statistically significant increase in overall survival (median of approximately 9 weeks) and progression-free survival (median of approximately 7 weeks) in the whole trial population. </w:t>
      </w:r>
    </w:p>
    <w:p w:rsidR="00692D4F" w:rsidRPr="009F0BEB" w:rsidRDefault="00692D4F" w:rsidP="006B2DC0">
      <w:pPr>
        <w:widowControl/>
        <w:numPr>
          <w:ilvl w:val="1"/>
          <w:numId w:val="3"/>
        </w:numPr>
      </w:pPr>
      <w:r w:rsidRPr="009F0BEB">
        <w:t xml:space="preserve">On the basis of the direct evidence presented by the resubmission, for every 100 patients treated with </w:t>
      </w:r>
      <w:proofErr w:type="spellStart"/>
      <w:r w:rsidRPr="009F0BEB">
        <w:t>nal</w:t>
      </w:r>
      <w:proofErr w:type="spellEnd"/>
      <w:r w:rsidRPr="009F0BEB">
        <w:t>-IRI compared with 5-FU/</w:t>
      </w:r>
      <w:proofErr w:type="spellStart"/>
      <w:r w:rsidRPr="009F0BEB">
        <w:t>folinic</w:t>
      </w:r>
      <w:proofErr w:type="spellEnd"/>
      <w:r w:rsidRPr="009F0BEB">
        <w:t xml:space="preserve"> acid over a follow-up period of at least 25 months, approximately:</w:t>
      </w:r>
    </w:p>
    <w:p w:rsidR="00692D4F" w:rsidRPr="009F0BEB" w:rsidRDefault="00692D4F" w:rsidP="006B2DC0">
      <w:pPr>
        <w:widowControl/>
        <w:numPr>
          <w:ilvl w:val="0"/>
          <w:numId w:val="2"/>
        </w:numPr>
        <w:ind w:left="993" w:hanging="284"/>
      </w:pPr>
      <w:r w:rsidRPr="009F0BEB">
        <w:t>43 additional patients would have treatment-related diarrhoea</w:t>
      </w:r>
    </w:p>
    <w:p w:rsidR="00692D4F" w:rsidRPr="009F0BEB" w:rsidRDefault="00692D4F" w:rsidP="006B2DC0">
      <w:pPr>
        <w:widowControl/>
        <w:numPr>
          <w:ilvl w:val="0"/>
          <w:numId w:val="2"/>
        </w:numPr>
        <w:ind w:left="993" w:hanging="284"/>
      </w:pPr>
      <w:r w:rsidRPr="009F0BEB">
        <w:t xml:space="preserve">25 additional patients would have treatment-related nausea </w:t>
      </w:r>
    </w:p>
    <w:p w:rsidR="00692D4F" w:rsidRPr="009F0BEB" w:rsidRDefault="00692D4F" w:rsidP="006B2DC0">
      <w:pPr>
        <w:widowControl/>
        <w:numPr>
          <w:ilvl w:val="0"/>
          <w:numId w:val="2"/>
        </w:numPr>
        <w:ind w:left="993" w:hanging="284"/>
      </w:pPr>
      <w:r w:rsidRPr="009F0BEB">
        <w:t xml:space="preserve">29 additional patients would have treatment-related vomiting </w:t>
      </w:r>
    </w:p>
    <w:p w:rsidR="00692D4F" w:rsidRPr="009F0BEB" w:rsidRDefault="00692D4F" w:rsidP="006B2DC0">
      <w:pPr>
        <w:widowControl/>
        <w:numPr>
          <w:ilvl w:val="0"/>
          <w:numId w:val="2"/>
        </w:numPr>
        <w:ind w:left="993" w:hanging="284"/>
      </w:pPr>
      <w:r w:rsidRPr="009F0BEB">
        <w:t xml:space="preserve">17 additional patients would have treatment-related fatigue </w:t>
      </w:r>
    </w:p>
    <w:p w:rsidR="00692D4F" w:rsidRPr="009F0BEB" w:rsidRDefault="00692D4F" w:rsidP="006B2DC0">
      <w:pPr>
        <w:widowControl/>
        <w:numPr>
          <w:ilvl w:val="0"/>
          <w:numId w:val="2"/>
        </w:numPr>
        <w:ind w:left="993" w:hanging="284"/>
      </w:pPr>
      <w:r w:rsidRPr="009F0BEB">
        <w:t xml:space="preserve">20 additional patients would have treatment-related decreased appetite </w:t>
      </w:r>
    </w:p>
    <w:p w:rsidR="00692D4F" w:rsidRPr="009F0BEB" w:rsidRDefault="00692D4F" w:rsidP="006B2DC0">
      <w:pPr>
        <w:widowControl/>
        <w:numPr>
          <w:ilvl w:val="0"/>
          <w:numId w:val="2"/>
        </w:numPr>
        <w:ind w:left="993" w:hanging="284"/>
      </w:pPr>
      <w:r w:rsidRPr="009F0BEB">
        <w:t>29 additional patients would have treatment-related neutropenia</w:t>
      </w:r>
    </w:p>
    <w:p w:rsidR="00692D4F" w:rsidRPr="009F0BEB" w:rsidRDefault="00692D4F" w:rsidP="006B2DC0">
      <w:pPr>
        <w:widowControl/>
        <w:numPr>
          <w:ilvl w:val="0"/>
          <w:numId w:val="2"/>
        </w:numPr>
        <w:ind w:left="993" w:hanging="284"/>
      </w:pPr>
      <w:r w:rsidRPr="009F0BEB">
        <w:t>5 additional patients would have treatment-related anaemia</w:t>
      </w:r>
    </w:p>
    <w:p w:rsidR="00692D4F" w:rsidRPr="009F0BEB" w:rsidRDefault="00692D4F" w:rsidP="006B2DC0">
      <w:pPr>
        <w:widowControl/>
        <w:numPr>
          <w:ilvl w:val="0"/>
          <w:numId w:val="2"/>
        </w:numPr>
        <w:ind w:left="993" w:hanging="284"/>
      </w:pPr>
      <w:r w:rsidRPr="009F0BEB">
        <w:t>1 additional patient would experience treatment-related death</w:t>
      </w:r>
    </w:p>
    <w:p w:rsidR="0040242F" w:rsidRPr="009F0BEB" w:rsidRDefault="0040242F" w:rsidP="006B2DC0">
      <w:pPr>
        <w:pStyle w:val="ListParagraph"/>
        <w:widowControl/>
        <w:spacing w:after="0"/>
        <w:ind w:left="993"/>
      </w:pPr>
    </w:p>
    <w:p w:rsidR="00B60939" w:rsidRPr="009F0BEB" w:rsidRDefault="00B60939" w:rsidP="00D13044">
      <w:pPr>
        <w:pStyle w:val="Heading2"/>
        <w:widowControl/>
        <w:spacing w:after="160"/>
      </w:pPr>
      <w:bookmarkStart w:id="8" w:name="_Toc502848555"/>
      <w:r w:rsidRPr="00A24A91">
        <w:t>Clinical claim</w:t>
      </w:r>
      <w:bookmarkEnd w:id="8"/>
    </w:p>
    <w:p w:rsidR="00B60939" w:rsidRPr="009F0BEB" w:rsidRDefault="00722B9F" w:rsidP="006B2DC0">
      <w:pPr>
        <w:pStyle w:val="ListParagraph"/>
        <w:widowControl/>
        <w:numPr>
          <w:ilvl w:val="1"/>
          <w:numId w:val="3"/>
        </w:numPr>
      </w:pPr>
      <w:r w:rsidRPr="009F0BEB">
        <w:t xml:space="preserve">The resubmission described </w:t>
      </w:r>
      <w:proofErr w:type="spellStart"/>
      <w:r w:rsidR="00B6003E" w:rsidRPr="009F0BEB">
        <w:t>nal</w:t>
      </w:r>
      <w:proofErr w:type="spellEnd"/>
      <w:r w:rsidR="00B6003E" w:rsidRPr="009F0BEB">
        <w:t>-IRI</w:t>
      </w:r>
      <w:r w:rsidRPr="009F0BEB">
        <w:t xml:space="preserve"> as superior in terms of efficacy compared to mFOLFOX6 (using 5-FU/</w:t>
      </w:r>
      <w:proofErr w:type="spellStart"/>
      <w:r w:rsidRPr="009F0BEB">
        <w:t>folinic</w:t>
      </w:r>
      <w:proofErr w:type="spellEnd"/>
      <w:r w:rsidRPr="009F0BEB">
        <w:t xml:space="preserve"> acid monotherapy as a proxy). </w:t>
      </w:r>
      <w:r w:rsidR="00027C58" w:rsidRPr="009F0BEB">
        <w:t xml:space="preserve">The PBAC considered that </w:t>
      </w:r>
      <w:r w:rsidR="00E96542" w:rsidRPr="009F0BEB">
        <w:t>the inherent uncertainty in</w:t>
      </w:r>
      <w:r w:rsidR="00A02798" w:rsidRPr="009F0BEB">
        <w:t>troduced by</w:t>
      </w:r>
      <w:r w:rsidR="00E96542" w:rsidRPr="009F0BEB">
        <w:t xml:space="preserve"> using a proxy to de</w:t>
      </w:r>
      <w:r w:rsidR="00A02798" w:rsidRPr="009F0BEB">
        <w:t>monstrate</w:t>
      </w:r>
      <w:r w:rsidR="00E96542" w:rsidRPr="009F0BEB">
        <w:t xml:space="preserve"> </w:t>
      </w:r>
      <w:r w:rsidR="00A02798" w:rsidRPr="009F0BEB">
        <w:t>comparative efficacy</w:t>
      </w:r>
      <w:r w:rsidR="00E96542" w:rsidRPr="009F0BEB">
        <w:t xml:space="preserve"> made it difficult to ascertain </w:t>
      </w:r>
      <w:r w:rsidR="00E47A9F">
        <w:t xml:space="preserve">if </w:t>
      </w:r>
      <w:r w:rsidR="00E96542" w:rsidRPr="009F0BEB">
        <w:t>the claim of superior efficacy</w:t>
      </w:r>
      <w:r w:rsidR="00E47A9F">
        <w:t xml:space="preserve"> was reasonable</w:t>
      </w:r>
      <w:r w:rsidR="00E96542" w:rsidRPr="009F0BEB">
        <w:t>.</w:t>
      </w:r>
      <w:r w:rsidR="00A02798" w:rsidRPr="009F0BEB">
        <w:t xml:space="preserve"> </w:t>
      </w:r>
    </w:p>
    <w:p w:rsidR="002C3C46" w:rsidRPr="009F0BEB" w:rsidRDefault="007F1D74" w:rsidP="006B2DC0">
      <w:pPr>
        <w:pStyle w:val="ListParagraph"/>
        <w:widowControl/>
        <w:numPr>
          <w:ilvl w:val="1"/>
          <w:numId w:val="3"/>
        </w:numPr>
      </w:pPr>
      <w:r w:rsidRPr="009F0BEB">
        <w:t>The ESC noted that the approach used in the resubmission (using 5-FU/</w:t>
      </w:r>
      <w:proofErr w:type="spellStart"/>
      <w:r w:rsidRPr="009F0BEB">
        <w:t>folinic</w:t>
      </w:r>
      <w:proofErr w:type="spellEnd"/>
      <w:r w:rsidRPr="009F0BEB">
        <w:t xml:space="preserve"> acid as a proxy) assumes that the </w:t>
      </w:r>
      <w:proofErr w:type="spellStart"/>
      <w:r w:rsidRPr="009F0BEB">
        <w:t>oxaliplatin</w:t>
      </w:r>
      <w:proofErr w:type="spellEnd"/>
      <w:r w:rsidRPr="009F0BEB">
        <w:t xml:space="preserve"> component in the mFOLFOX6 regimen provides no additional benefit. The ESC noted that no information provided in the submission supported the assumption that the </w:t>
      </w:r>
      <w:proofErr w:type="spellStart"/>
      <w:r w:rsidRPr="009F0BEB">
        <w:t>oxaliplatin</w:t>
      </w:r>
      <w:proofErr w:type="spellEnd"/>
      <w:r w:rsidRPr="009F0BEB">
        <w:t xml:space="preserve"> component in mFOLFOX6 does not provide additional benefit.  The ESC also noted that the </w:t>
      </w:r>
      <w:r w:rsidR="00722B9F" w:rsidRPr="009F0BEB">
        <w:t xml:space="preserve">incremental benefit of </w:t>
      </w:r>
      <w:proofErr w:type="spellStart"/>
      <w:r w:rsidR="00B6003E" w:rsidRPr="009F0BEB">
        <w:t>nal</w:t>
      </w:r>
      <w:proofErr w:type="spellEnd"/>
      <w:r w:rsidR="00B6003E" w:rsidRPr="009F0BEB">
        <w:t>-IRI</w:t>
      </w:r>
      <w:r w:rsidR="00722B9F" w:rsidRPr="009F0BEB">
        <w:t xml:space="preserve"> over 5-FU/</w:t>
      </w:r>
      <w:proofErr w:type="spellStart"/>
      <w:r w:rsidR="00722B9F" w:rsidRPr="009F0BEB">
        <w:t>folinic</w:t>
      </w:r>
      <w:proofErr w:type="spellEnd"/>
      <w:r w:rsidR="00722B9F" w:rsidRPr="009F0BEB">
        <w:t xml:space="preserve"> acid observed in the NAPOLI-1 trial (9 weeks gain in overall survival) was </w:t>
      </w:r>
      <w:r w:rsidRPr="009F0BEB">
        <w:t xml:space="preserve">previously </w:t>
      </w:r>
      <w:r w:rsidR="00722B9F" w:rsidRPr="009F0BEB">
        <w:t xml:space="preserve">considered by the PBAC to be the upper limit of a plausible incremental benefit over </w:t>
      </w:r>
      <w:proofErr w:type="spellStart"/>
      <w:r w:rsidR="00722B9F" w:rsidRPr="009F0BEB">
        <w:t>oxaliplatin</w:t>
      </w:r>
      <w:proofErr w:type="spellEnd"/>
      <w:r w:rsidR="00722B9F" w:rsidRPr="009F0BEB">
        <w:t>-containing regimens.</w:t>
      </w:r>
      <w:r w:rsidR="00A02798" w:rsidRPr="009F0BEB">
        <w:t xml:space="preserve"> Further, the PBAC noted that no evidence had been presented to support a claim that</w:t>
      </w:r>
      <w:r w:rsidR="00F54F8D" w:rsidRPr="009F0BEB">
        <w:t xml:space="preserve"> </w:t>
      </w:r>
      <w:proofErr w:type="spellStart"/>
      <w:r w:rsidR="00F54F8D" w:rsidRPr="009F0BEB">
        <w:t>nanoliposomal</w:t>
      </w:r>
      <w:proofErr w:type="spellEnd"/>
      <w:r w:rsidR="00A02798" w:rsidRPr="009F0BEB">
        <w:t xml:space="preserve"> irinotecan would confer any additional benefit over the </w:t>
      </w:r>
      <w:r w:rsidR="00F54F8D" w:rsidRPr="009F0BEB">
        <w:t>non</w:t>
      </w:r>
      <w:r w:rsidR="00F54F8D" w:rsidRPr="009F0BEB">
        <w:noBreakHyphen/>
      </w:r>
      <w:proofErr w:type="spellStart"/>
      <w:r w:rsidR="00F54F8D" w:rsidRPr="009F0BEB">
        <w:t>nanoliposomal</w:t>
      </w:r>
      <w:proofErr w:type="spellEnd"/>
      <w:r w:rsidR="00F54F8D" w:rsidRPr="009F0BEB">
        <w:t xml:space="preserve"> </w:t>
      </w:r>
      <w:r w:rsidR="00A02798" w:rsidRPr="009F0BEB">
        <w:t xml:space="preserve">irinotecan currently available </w:t>
      </w:r>
      <w:r w:rsidR="00F54F8D" w:rsidRPr="009F0BEB">
        <w:t xml:space="preserve">for use </w:t>
      </w:r>
      <w:r w:rsidR="00A02798" w:rsidRPr="009F0BEB">
        <w:t>in this setting</w:t>
      </w:r>
      <w:r w:rsidR="00F54F8D" w:rsidRPr="009F0BEB">
        <w:t xml:space="preserve"> (FOLFIRI)</w:t>
      </w:r>
      <w:r w:rsidR="00A02798" w:rsidRPr="009F0BEB">
        <w:t>.</w:t>
      </w:r>
    </w:p>
    <w:p w:rsidR="00F033B5" w:rsidRPr="009F0BEB" w:rsidRDefault="00722B9F" w:rsidP="006B2DC0">
      <w:pPr>
        <w:pStyle w:val="ListParagraph"/>
        <w:widowControl/>
        <w:numPr>
          <w:ilvl w:val="1"/>
          <w:numId w:val="3"/>
        </w:numPr>
      </w:pPr>
      <w:r w:rsidRPr="009F0BEB">
        <w:t xml:space="preserve">The resubmission described </w:t>
      </w:r>
      <w:proofErr w:type="spellStart"/>
      <w:r w:rsidR="00B6003E" w:rsidRPr="009F0BEB">
        <w:t>nal</w:t>
      </w:r>
      <w:proofErr w:type="spellEnd"/>
      <w:r w:rsidR="00B6003E" w:rsidRPr="009F0BEB">
        <w:t>-IRI</w:t>
      </w:r>
      <w:r w:rsidRPr="009F0BEB">
        <w:t xml:space="preserve"> as non-inferior in terms of safety compared to mFOLFOX6 (using 5-FU/</w:t>
      </w:r>
      <w:proofErr w:type="spellStart"/>
      <w:r w:rsidRPr="009F0BEB">
        <w:t>folinic</w:t>
      </w:r>
      <w:proofErr w:type="spellEnd"/>
      <w:r w:rsidRPr="009F0BEB">
        <w:t xml:space="preserve"> acid monotherapy as a proxy). </w:t>
      </w:r>
      <w:r w:rsidR="007F1D74" w:rsidRPr="009F0BEB">
        <w:t xml:space="preserve">No data were presented in the resubmission comparing the safety of </w:t>
      </w:r>
      <w:proofErr w:type="spellStart"/>
      <w:r w:rsidR="007F1D74" w:rsidRPr="009F0BEB">
        <w:t>nal</w:t>
      </w:r>
      <w:proofErr w:type="spellEnd"/>
      <w:r w:rsidR="007F1D74" w:rsidRPr="009F0BEB">
        <w:t xml:space="preserve">-IRI versus mFOLFOX6. In terms of safety, the PBAC previously considered that </w:t>
      </w:r>
      <w:proofErr w:type="spellStart"/>
      <w:r w:rsidR="007F1D74" w:rsidRPr="009F0BEB">
        <w:t>nal</w:t>
      </w:r>
      <w:proofErr w:type="spellEnd"/>
      <w:r w:rsidR="007F1D74" w:rsidRPr="009F0BEB">
        <w:t xml:space="preserve">-IRI is likely to be of similar safety compared to </w:t>
      </w:r>
      <w:proofErr w:type="spellStart"/>
      <w:r w:rsidR="007F1D74" w:rsidRPr="009F0BEB">
        <w:t>oxaliplatin</w:t>
      </w:r>
      <w:proofErr w:type="spellEnd"/>
      <w:r w:rsidR="007F1D74" w:rsidRPr="009F0BEB">
        <w:t>-containing regimens (with both regimens having significant toxicities) but may be inferior to some other alternative second</w:t>
      </w:r>
      <w:r w:rsidR="007F1D74" w:rsidRPr="009F0BEB">
        <w:noBreakHyphen/>
        <w:t xml:space="preserve">line treatment options, such as </w:t>
      </w:r>
      <w:proofErr w:type="spellStart"/>
      <w:r w:rsidR="007F1D74" w:rsidRPr="009F0BEB">
        <w:t>capecitabine</w:t>
      </w:r>
      <w:proofErr w:type="spellEnd"/>
      <w:r w:rsidR="007F1D74" w:rsidRPr="009F0BEB">
        <w:t xml:space="preserve"> monotherapy.</w:t>
      </w:r>
      <w:r w:rsidR="00B74206" w:rsidRPr="009F0BEB">
        <w:t xml:space="preserve"> The ESC not</w:t>
      </w:r>
      <w:r w:rsidR="007F1D74" w:rsidRPr="009F0BEB">
        <w:t>ed</w:t>
      </w:r>
      <w:r w:rsidR="00B74206" w:rsidRPr="009F0BEB">
        <w:t xml:space="preserve"> the</w:t>
      </w:r>
      <w:r w:rsidR="00B74206" w:rsidRPr="009F0BEB">
        <w:rPr>
          <w:i/>
        </w:rPr>
        <w:t xml:space="preserve"> </w:t>
      </w:r>
      <w:r w:rsidR="00B74206" w:rsidRPr="009F0BEB">
        <w:t xml:space="preserve">significantly higher incidence of treatment related AEs and higher number of </w:t>
      </w:r>
      <w:r w:rsidR="00B74206" w:rsidRPr="009F0BEB">
        <w:lastRenderedPageBreak/>
        <w:t xml:space="preserve">patients treated with </w:t>
      </w:r>
      <w:proofErr w:type="spellStart"/>
      <w:r w:rsidR="00B74206" w:rsidRPr="009F0BEB">
        <w:t>nal</w:t>
      </w:r>
      <w:proofErr w:type="spellEnd"/>
      <w:r w:rsidR="00B74206" w:rsidRPr="009F0BEB">
        <w:t xml:space="preserve">-IRI </w:t>
      </w:r>
      <w:r w:rsidR="008F36E2" w:rsidRPr="009F0BEB">
        <w:t>who had</w:t>
      </w:r>
      <w:r w:rsidR="00B74206" w:rsidRPr="009F0BEB">
        <w:t xml:space="preserve"> at least one dose reduction compared with those treated with 5-FU/</w:t>
      </w:r>
      <w:proofErr w:type="spellStart"/>
      <w:r w:rsidR="00B74206" w:rsidRPr="009F0BEB">
        <w:t>folinic</w:t>
      </w:r>
      <w:proofErr w:type="spellEnd"/>
      <w:r w:rsidR="00B74206" w:rsidRPr="009F0BEB">
        <w:t xml:space="preserve"> acid.</w:t>
      </w:r>
      <w:r w:rsidR="007F1D74" w:rsidRPr="009F0BEB">
        <w:t xml:space="preserve"> The ESC therefore considered that the claim of non-inferior safety was not supported by the evidence presented.</w:t>
      </w:r>
    </w:p>
    <w:p w:rsidR="00866927" w:rsidRPr="009F0BEB" w:rsidRDefault="00866927" w:rsidP="00866927">
      <w:pPr>
        <w:pStyle w:val="ListParagraph"/>
        <w:widowControl/>
        <w:numPr>
          <w:ilvl w:val="1"/>
          <w:numId w:val="3"/>
        </w:numPr>
      </w:pPr>
      <w:r w:rsidRPr="009F0BEB">
        <w:t>The PBAC maintained that irinotecan (</w:t>
      </w:r>
      <w:proofErr w:type="spellStart"/>
      <w:r w:rsidRPr="009F0BEB">
        <w:t>nanoliposomal</w:t>
      </w:r>
      <w:proofErr w:type="spellEnd"/>
      <w:r w:rsidRPr="009F0BEB">
        <w:t xml:space="preserve">) is likely to be of similar safety to </w:t>
      </w:r>
      <w:proofErr w:type="spellStart"/>
      <w:r w:rsidRPr="009F0BEB">
        <w:t>oxaliplatin</w:t>
      </w:r>
      <w:proofErr w:type="spellEnd"/>
      <w:r w:rsidRPr="009F0BEB">
        <w:t>-containing regimens (with both regimens having significant toxicities) and therefore considered the claim of non-inferior safety compared to mFOLFOX6 to be acceptable.</w:t>
      </w:r>
    </w:p>
    <w:p w:rsidR="00B60939" w:rsidRPr="009F0BEB" w:rsidRDefault="00B60939" w:rsidP="00D13044">
      <w:pPr>
        <w:pStyle w:val="Heading2"/>
        <w:widowControl/>
        <w:spacing w:after="160"/>
      </w:pPr>
      <w:bookmarkStart w:id="9" w:name="_Toc502848556"/>
      <w:r w:rsidRPr="00A24A91">
        <w:t>Economic analysis</w:t>
      </w:r>
      <w:bookmarkEnd w:id="9"/>
      <w:r w:rsidR="00491B3A" w:rsidRPr="00A24A91">
        <w:t xml:space="preserve"> </w:t>
      </w:r>
    </w:p>
    <w:p w:rsidR="00C11326" w:rsidRPr="009F0BEB" w:rsidRDefault="00C11326" w:rsidP="006B2DC0">
      <w:pPr>
        <w:pStyle w:val="ListParagraph"/>
        <w:widowControl/>
        <w:numPr>
          <w:ilvl w:val="1"/>
          <w:numId w:val="3"/>
        </w:numPr>
      </w:pPr>
      <w:r w:rsidRPr="009F0BEB">
        <w:t>The PBAC considered that on the basis that superior comparative efficacy had not been accepted, that a cost-minimisation analysis may be more appropriate.</w:t>
      </w:r>
    </w:p>
    <w:p w:rsidR="00275C5A" w:rsidRPr="009F0BEB" w:rsidRDefault="00EA5F9D" w:rsidP="006B2DC0">
      <w:pPr>
        <w:pStyle w:val="ListParagraph"/>
        <w:widowControl/>
        <w:numPr>
          <w:ilvl w:val="1"/>
          <w:numId w:val="3"/>
        </w:numPr>
      </w:pPr>
      <w:r w:rsidRPr="009F0BEB">
        <w:rPr>
          <w:rFonts w:cs="Calibri"/>
          <w:snapToGrid/>
          <w:szCs w:val="24"/>
          <w:lang w:val="en-US" w:eastAsia="en-AU"/>
        </w:rPr>
        <w:t xml:space="preserve">The resubmission presented </w:t>
      </w:r>
      <w:r w:rsidR="00290DEC" w:rsidRPr="009F0BEB">
        <w:rPr>
          <w:rFonts w:cs="Calibri"/>
          <w:snapToGrid/>
          <w:szCs w:val="24"/>
          <w:lang w:val="en-US" w:eastAsia="en-AU"/>
        </w:rPr>
        <w:t xml:space="preserve">two separate </w:t>
      </w:r>
      <w:r w:rsidRPr="009F0BEB">
        <w:rPr>
          <w:rFonts w:cs="Calibri"/>
          <w:snapToGrid/>
          <w:szCs w:val="24"/>
          <w:lang w:val="en-US" w:eastAsia="en-AU"/>
        </w:rPr>
        <w:t>trial-based cost-effectiveness analys</w:t>
      </w:r>
      <w:r w:rsidR="00290DEC" w:rsidRPr="009F0BEB">
        <w:rPr>
          <w:rFonts w:cs="Calibri"/>
          <w:snapToGrid/>
          <w:szCs w:val="24"/>
          <w:lang w:val="en-US" w:eastAsia="en-AU"/>
        </w:rPr>
        <w:t>e</w:t>
      </w:r>
      <w:r w:rsidRPr="009F0BEB">
        <w:rPr>
          <w:rFonts w:cs="Calibri"/>
          <w:snapToGrid/>
          <w:szCs w:val="24"/>
          <w:lang w:val="en-US" w:eastAsia="en-AU"/>
        </w:rPr>
        <w:t xml:space="preserve">s comparing </w:t>
      </w:r>
      <w:proofErr w:type="spellStart"/>
      <w:r w:rsidR="00B6003E" w:rsidRPr="009F0BEB">
        <w:rPr>
          <w:rFonts w:cs="Calibri"/>
          <w:snapToGrid/>
          <w:szCs w:val="24"/>
          <w:lang w:val="en-US" w:eastAsia="en-AU"/>
        </w:rPr>
        <w:t>nal</w:t>
      </w:r>
      <w:proofErr w:type="spellEnd"/>
      <w:r w:rsidR="00B6003E" w:rsidRPr="009F0BEB">
        <w:rPr>
          <w:rFonts w:cs="Calibri"/>
          <w:snapToGrid/>
          <w:szCs w:val="24"/>
          <w:lang w:val="en-US" w:eastAsia="en-AU"/>
        </w:rPr>
        <w:t>-IRI</w:t>
      </w:r>
      <w:r w:rsidRPr="009F0BEB">
        <w:rPr>
          <w:rFonts w:cs="Calibri"/>
          <w:snapToGrid/>
          <w:szCs w:val="24"/>
          <w:lang w:val="en-US" w:eastAsia="en-AU"/>
        </w:rPr>
        <w:t xml:space="preserve"> with mFOLFOX6 (using 5-FU/</w:t>
      </w:r>
      <w:proofErr w:type="spellStart"/>
      <w:r w:rsidRPr="009F0BEB">
        <w:rPr>
          <w:rFonts w:cs="Calibri"/>
          <w:snapToGrid/>
          <w:szCs w:val="24"/>
          <w:lang w:val="en-US" w:eastAsia="en-AU"/>
        </w:rPr>
        <w:t>folinic</w:t>
      </w:r>
      <w:proofErr w:type="spellEnd"/>
      <w:r w:rsidRPr="009F0BEB">
        <w:rPr>
          <w:rFonts w:cs="Calibri"/>
          <w:snapToGrid/>
          <w:szCs w:val="24"/>
          <w:lang w:val="en-US" w:eastAsia="en-AU"/>
        </w:rPr>
        <w:t xml:space="preserve"> acid as a proxy) </w:t>
      </w:r>
      <w:r w:rsidR="0006608E" w:rsidRPr="009F0BEB">
        <w:rPr>
          <w:rFonts w:cs="Calibri"/>
          <w:snapToGrid/>
          <w:szCs w:val="24"/>
          <w:lang w:val="en-US" w:eastAsia="en-AU"/>
        </w:rPr>
        <w:t xml:space="preserve">based on the whole trial population with metastatic pancreatic adenocarcinoma who previously </w:t>
      </w:r>
      <w:r w:rsidR="00E73458" w:rsidRPr="009F0BEB">
        <w:rPr>
          <w:rFonts w:cs="Calibri"/>
          <w:snapToGrid/>
          <w:szCs w:val="24"/>
          <w:lang w:val="en-US" w:eastAsia="en-AU"/>
        </w:rPr>
        <w:t xml:space="preserve">failed </w:t>
      </w:r>
      <w:r w:rsidR="0006608E" w:rsidRPr="009F0BEB">
        <w:rPr>
          <w:rFonts w:cs="Calibri"/>
          <w:snapToGrid/>
          <w:szCs w:val="24"/>
          <w:lang w:val="en-US" w:eastAsia="en-AU"/>
        </w:rPr>
        <w:t>gemcitabine-based therapy and the subgroup of irinotecan naïve patients.</w:t>
      </w:r>
      <w:r w:rsidRPr="009F0BEB">
        <w:rPr>
          <w:rFonts w:cs="Calibri"/>
          <w:snapToGrid/>
          <w:szCs w:val="24"/>
          <w:lang w:val="en-US" w:eastAsia="en-AU"/>
        </w:rPr>
        <w:t xml:space="preserve"> </w:t>
      </w:r>
      <w:r w:rsidR="00B00AC8" w:rsidRPr="009F0BEB">
        <w:rPr>
          <w:rFonts w:cs="Calibri"/>
          <w:snapToGrid/>
          <w:szCs w:val="24"/>
          <w:lang w:val="en-US" w:eastAsia="en-AU"/>
        </w:rPr>
        <w:t xml:space="preserve">The ESC considered that the analysis </w:t>
      </w:r>
      <w:r w:rsidR="007D0EB9" w:rsidRPr="009F0BEB">
        <w:rPr>
          <w:rFonts w:cs="Calibri"/>
          <w:snapToGrid/>
          <w:szCs w:val="24"/>
          <w:lang w:val="en-US" w:eastAsia="en-AU"/>
        </w:rPr>
        <w:t xml:space="preserve">based on the whole trial population </w:t>
      </w:r>
      <w:r w:rsidR="007F1D74" w:rsidRPr="009F0BEB">
        <w:rPr>
          <w:rFonts w:cs="Calibri"/>
          <w:snapToGrid/>
          <w:szCs w:val="24"/>
          <w:lang w:val="en-US" w:eastAsia="en-AU"/>
        </w:rPr>
        <w:t>wa</w:t>
      </w:r>
      <w:r w:rsidR="007D0EB9" w:rsidRPr="009F0BEB">
        <w:rPr>
          <w:rFonts w:cs="Calibri"/>
          <w:snapToGrid/>
          <w:szCs w:val="24"/>
          <w:lang w:val="en-US" w:eastAsia="en-AU"/>
        </w:rPr>
        <w:t xml:space="preserve">s appropriate for determining the cost-effectiveness of </w:t>
      </w:r>
      <w:proofErr w:type="spellStart"/>
      <w:r w:rsidR="007D0EB9" w:rsidRPr="009F0BEB">
        <w:rPr>
          <w:rFonts w:cs="Calibri"/>
          <w:snapToGrid/>
          <w:szCs w:val="24"/>
          <w:lang w:val="en-US" w:eastAsia="en-AU"/>
        </w:rPr>
        <w:t>nal</w:t>
      </w:r>
      <w:proofErr w:type="spellEnd"/>
      <w:r w:rsidR="007D0EB9" w:rsidRPr="009F0BEB">
        <w:rPr>
          <w:rFonts w:cs="Calibri"/>
          <w:snapToGrid/>
          <w:szCs w:val="24"/>
          <w:lang w:val="en-US" w:eastAsia="en-AU"/>
        </w:rPr>
        <w:t>-IRI for the treatment of metastatic pancreatic</w:t>
      </w:r>
      <w:r w:rsidR="007D0EB9" w:rsidRPr="009F0BEB">
        <w:t xml:space="preserve"> </w:t>
      </w:r>
      <w:r w:rsidR="007D0EB9" w:rsidRPr="009F0BEB">
        <w:rPr>
          <w:rFonts w:cs="Calibri"/>
          <w:snapToGrid/>
          <w:szCs w:val="24"/>
          <w:lang w:val="en-US" w:eastAsia="en-AU"/>
        </w:rPr>
        <w:t>adenocarcinoma for patients who previously failed gemcitabine-based therapy.</w:t>
      </w:r>
      <w:r w:rsidR="007D0EB9" w:rsidRPr="009F0BEB">
        <w:t xml:space="preserve"> </w:t>
      </w:r>
      <w:r w:rsidR="007D0EB9" w:rsidRPr="009F0BEB">
        <w:rPr>
          <w:rFonts w:cs="Calibri"/>
          <w:snapToGrid/>
          <w:szCs w:val="24"/>
          <w:lang w:val="en-US" w:eastAsia="en-AU"/>
        </w:rPr>
        <w:t>The ESC did not consider the economic analysis presented for the i</w:t>
      </w:r>
      <w:r w:rsidR="00B435EC" w:rsidRPr="009F0BEB">
        <w:rPr>
          <w:rFonts w:cs="Calibri"/>
          <w:snapToGrid/>
          <w:szCs w:val="24"/>
          <w:lang w:val="en-US" w:eastAsia="en-AU"/>
        </w:rPr>
        <w:t xml:space="preserve">rinotecan naïve subgroup to be reliable </w:t>
      </w:r>
      <w:r w:rsidR="007D0EB9" w:rsidRPr="009F0BEB">
        <w:rPr>
          <w:rFonts w:cs="Calibri"/>
          <w:snapToGrid/>
          <w:szCs w:val="24"/>
          <w:lang w:val="en-US" w:eastAsia="en-AU"/>
        </w:rPr>
        <w:t>given the limitations of the post-hoc analyses for this subgroup.</w:t>
      </w:r>
      <w:r w:rsidR="007F1D74" w:rsidRPr="009F0BEB">
        <w:rPr>
          <w:rFonts w:cs="Calibri"/>
          <w:snapToGrid/>
          <w:szCs w:val="24"/>
          <w:lang w:val="en-US" w:eastAsia="en-AU"/>
        </w:rPr>
        <w:t xml:space="preserve"> Further, the ESC noted that the PSCR proposed removal of the restriction criterion that patients </w:t>
      </w:r>
      <w:proofErr w:type="gramStart"/>
      <w:r w:rsidR="007F1D74" w:rsidRPr="009F0BEB">
        <w:rPr>
          <w:rFonts w:cs="Calibri"/>
          <w:snapToGrid/>
          <w:szCs w:val="24"/>
          <w:lang w:val="en-US" w:eastAsia="en-AU"/>
        </w:rPr>
        <w:t>be</w:t>
      </w:r>
      <w:proofErr w:type="gramEnd"/>
      <w:r w:rsidR="007F1D74" w:rsidRPr="009F0BEB">
        <w:rPr>
          <w:rFonts w:cs="Calibri"/>
          <w:snapToGrid/>
          <w:szCs w:val="24"/>
          <w:lang w:val="en-US" w:eastAsia="en-AU"/>
        </w:rPr>
        <w:t xml:space="preserve"> irinotecan naïve, and therefore the analysis based on this subgroup would no longer be relevant to the submission.</w:t>
      </w:r>
      <w:r w:rsidR="007D0EB9" w:rsidRPr="009F0BEB">
        <w:rPr>
          <w:rFonts w:cs="Calibri"/>
          <w:snapToGrid/>
          <w:szCs w:val="24"/>
          <w:lang w:val="en-US" w:eastAsia="en-AU"/>
        </w:rPr>
        <w:t xml:space="preserve">  </w:t>
      </w:r>
    </w:p>
    <w:p w:rsidR="0006608E" w:rsidRPr="009F0BEB" w:rsidRDefault="00290DEC" w:rsidP="006B2DC0">
      <w:pPr>
        <w:pStyle w:val="ListParagraph"/>
        <w:widowControl/>
        <w:numPr>
          <w:ilvl w:val="1"/>
          <w:numId w:val="3"/>
        </w:numPr>
      </w:pPr>
      <w:r w:rsidRPr="009F0BEB">
        <w:t>T</w:t>
      </w:r>
      <w:r w:rsidR="0006608E" w:rsidRPr="009F0BEB">
        <w:t xml:space="preserve">he PBAC </w:t>
      </w:r>
      <w:r w:rsidR="00891B40" w:rsidRPr="009F0BEB">
        <w:t xml:space="preserve">previously </w:t>
      </w:r>
      <w:r w:rsidR="0006608E" w:rsidRPr="009F0BEB">
        <w:t xml:space="preserve">considered a trial-based analysis was more appropriate given the maturity of the clinical data where the majority of events were captured before the end of the trial. The PBAC recommended that a resubmission should present a comparison of </w:t>
      </w:r>
      <w:proofErr w:type="spellStart"/>
      <w:r w:rsidR="00B6003E" w:rsidRPr="009F0BEB">
        <w:t>nal</w:t>
      </w:r>
      <w:proofErr w:type="spellEnd"/>
      <w:r w:rsidR="00B6003E" w:rsidRPr="009F0BEB">
        <w:t>-IRI</w:t>
      </w:r>
      <w:r w:rsidR="0006608E" w:rsidRPr="009F0BEB">
        <w:t xml:space="preserve"> with mFOLFOX6, using the trial results compared with 5-FU/</w:t>
      </w:r>
      <w:proofErr w:type="spellStart"/>
      <w:r w:rsidR="0006608E" w:rsidRPr="009F0BEB">
        <w:t>folinic</w:t>
      </w:r>
      <w:proofErr w:type="spellEnd"/>
      <w:r w:rsidR="0006608E" w:rsidRPr="009F0BEB">
        <w:t xml:space="preserve"> acid from the NAPOLI-1 trial as a proxy for the incremental benefit over </w:t>
      </w:r>
      <w:proofErr w:type="spellStart"/>
      <w:r w:rsidR="0006608E" w:rsidRPr="009F0BEB">
        <w:t>oxaliplatin</w:t>
      </w:r>
      <w:proofErr w:type="spellEnd"/>
      <w:r w:rsidR="0006608E" w:rsidRPr="009F0BEB">
        <w:t>-containing regimens.</w:t>
      </w:r>
    </w:p>
    <w:p w:rsidR="0006608E" w:rsidRPr="009F0BEB" w:rsidRDefault="0040242F" w:rsidP="006B2DC0">
      <w:pPr>
        <w:pStyle w:val="ListParagraph"/>
        <w:widowControl/>
        <w:numPr>
          <w:ilvl w:val="1"/>
          <w:numId w:val="3"/>
        </w:numPr>
      </w:pPr>
      <w:r w:rsidRPr="009F0BEB">
        <w:t xml:space="preserve">Table </w:t>
      </w:r>
      <w:r w:rsidR="00F0166D" w:rsidRPr="009F0BEB">
        <w:t>12</w:t>
      </w:r>
      <w:r w:rsidR="0006608E" w:rsidRPr="009F0BEB">
        <w:t xml:space="preserve"> summarises the key components of the model compared to the November 2016 submission</w:t>
      </w:r>
      <w:r w:rsidR="00E1414D" w:rsidRPr="009F0BEB">
        <w:t>.</w:t>
      </w:r>
    </w:p>
    <w:p w:rsidR="000925ED" w:rsidRPr="009F0BEB" w:rsidRDefault="00381393" w:rsidP="00A24A91">
      <w:pPr>
        <w:keepNext/>
        <w:widowControl/>
        <w:rPr>
          <w:rStyle w:val="CommentReference"/>
          <w:sz w:val="22"/>
          <w:szCs w:val="22"/>
        </w:rPr>
      </w:pPr>
      <w:r w:rsidRPr="009F0BEB">
        <w:rPr>
          <w:rStyle w:val="CommentReference"/>
          <w:szCs w:val="20"/>
        </w:rPr>
        <w:lastRenderedPageBreak/>
        <w:t>Table 12</w:t>
      </w:r>
      <w:r w:rsidR="000925ED" w:rsidRPr="009F0BEB">
        <w:rPr>
          <w:rStyle w:val="CommentReference"/>
          <w:szCs w:val="20"/>
        </w:rPr>
        <w:t>: Key components of the economic evaluation</w:t>
      </w:r>
    </w:p>
    <w:tbl>
      <w:tblPr>
        <w:tblW w:w="0" w:type="auto"/>
        <w:tblInd w:w="108" w:type="dxa"/>
        <w:tblCellMar>
          <w:left w:w="0" w:type="dxa"/>
          <w:right w:w="0" w:type="dxa"/>
        </w:tblCellMar>
        <w:tblLook w:val="04A0" w:firstRow="1" w:lastRow="0" w:firstColumn="1" w:lastColumn="0" w:noHBand="0" w:noVBand="1"/>
      </w:tblPr>
      <w:tblGrid>
        <w:gridCol w:w="2268"/>
        <w:gridCol w:w="6804"/>
      </w:tblGrid>
      <w:tr w:rsidR="000925ED" w:rsidRPr="009F0BEB" w:rsidTr="000925ED">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szCs w:val="20"/>
              </w:rPr>
            </w:pPr>
            <w:r w:rsidRPr="009F0BEB">
              <w:rPr>
                <w:rStyle w:val="CommentReference"/>
                <w:szCs w:val="20"/>
              </w:rPr>
              <w:t>Component</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szCs w:val="20"/>
              </w:rPr>
            </w:pPr>
            <w:r w:rsidRPr="009F0BEB">
              <w:rPr>
                <w:rStyle w:val="CommentReference"/>
                <w:szCs w:val="20"/>
              </w:rPr>
              <w:t>Summary</w:t>
            </w:r>
          </w:p>
        </w:tc>
      </w:tr>
      <w:tr w:rsidR="000925ED" w:rsidRPr="009F0BEB" w:rsidTr="000925ED">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szCs w:val="20"/>
              </w:rPr>
            </w:pPr>
            <w:r w:rsidRPr="009F0BEB">
              <w:rPr>
                <w:rFonts w:ascii="Arial Narrow" w:hAnsi="Arial Narrow"/>
                <w:sz w:val="20"/>
                <w:szCs w:val="20"/>
              </w:rPr>
              <w:t>Time horizon</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 w:val="0"/>
                <w:szCs w:val="20"/>
              </w:rPr>
            </w:pPr>
            <w:r w:rsidRPr="009F0BEB">
              <w:rPr>
                <w:rStyle w:val="CommentReference"/>
                <w:b w:val="0"/>
                <w:bCs/>
                <w:szCs w:val="20"/>
              </w:rPr>
              <w:t>3 years</w:t>
            </w:r>
            <w:r w:rsidR="00891B40" w:rsidRPr="009F0BEB">
              <w:rPr>
                <w:rStyle w:val="CommentReference"/>
                <w:b w:val="0"/>
                <w:bCs/>
                <w:szCs w:val="20"/>
              </w:rPr>
              <w:t xml:space="preserve"> (versus 5 years for the November 2016 submission)</w:t>
            </w:r>
          </w:p>
        </w:tc>
      </w:tr>
      <w:tr w:rsidR="000925ED" w:rsidRPr="009F0BEB" w:rsidTr="000925ED">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Cs/>
                <w:szCs w:val="20"/>
              </w:rPr>
            </w:pPr>
            <w:r w:rsidRPr="009F0BEB">
              <w:rPr>
                <w:rFonts w:ascii="Arial Narrow" w:hAnsi="Arial Narrow"/>
                <w:sz w:val="20"/>
                <w:szCs w:val="20"/>
              </w:rPr>
              <w:t>Outcomes</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 w:val="0"/>
                <w:szCs w:val="20"/>
              </w:rPr>
            </w:pPr>
            <w:r w:rsidRPr="009F0BEB">
              <w:rPr>
                <w:rStyle w:val="CommentReference"/>
                <w:b w:val="0"/>
                <w:bCs/>
                <w:szCs w:val="20"/>
              </w:rPr>
              <w:t>Life years</w:t>
            </w:r>
            <w:r w:rsidR="00891B40" w:rsidRPr="009F0BEB">
              <w:rPr>
                <w:rStyle w:val="CommentReference"/>
                <w:b w:val="0"/>
                <w:bCs/>
                <w:szCs w:val="20"/>
              </w:rPr>
              <w:t xml:space="preserve"> (versus quality adjusted life years in the November 2016 submission)</w:t>
            </w:r>
          </w:p>
        </w:tc>
      </w:tr>
      <w:tr w:rsidR="000925ED" w:rsidRPr="009F0BEB" w:rsidTr="000925ED">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Cs/>
                <w:szCs w:val="20"/>
              </w:rPr>
            </w:pPr>
            <w:r w:rsidRPr="009F0BEB">
              <w:rPr>
                <w:rFonts w:ascii="Arial Narrow" w:hAnsi="Arial Narrow"/>
                <w:sz w:val="20"/>
                <w:szCs w:val="20"/>
              </w:rPr>
              <w:t>Methods used to generate results</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E47A9F" w:rsidP="00A24A91">
            <w:pPr>
              <w:keepNext/>
              <w:widowControl/>
              <w:rPr>
                <w:rStyle w:val="CommentReference"/>
                <w:b w:val="0"/>
                <w:szCs w:val="20"/>
              </w:rPr>
            </w:pPr>
            <w:r>
              <w:rPr>
                <w:rStyle w:val="CommentReference"/>
                <w:b w:val="0"/>
                <w:bCs/>
                <w:szCs w:val="20"/>
              </w:rPr>
              <w:t>P</w:t>
            </w:r>
            <w:r w:rsidR="000925ED" w:rsidRPr="009F0BEB">
              <w:rPr>
                <w:rStyle w:val="CommentReference"/>
                <w:b w:val="0"/>
                <w:bCs/>
                <w:szCs w:val="20"/>
              </w:rPr>
              <w:t>artitioned survival analysis</w:t>
            </w:r>
            <w:r w:rsidR="006759A0" w:rsidRPr="009F0BEB">
              <w:rPr>
                <w:rStyle w:val="CommentReference"/>
                <w:b w:val="0"/>
                <w:bCs/>
                <w:szCs w:val="20"/>
              </w:rPr>
              <w:t xml:space="preserve"> (same as for November 2016 submission)</w:t>
            </w:r>
          </w:p>
        </w:tc>
      </w:tr>
      <w:tr w:rsidR="000925ED" w:rsidRPr="009F0BEB" w:rsidTr="000925ED">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Cs/>
                <w:szCs w:val="20"/>
              </w:rPr>
            </w:pPr>
            <w:r w:rsidRPr="009F0BEB">
              <w:rPr>
                <w:rFonts w:ascii="Arial Narrow" w:hAnsi="Arial Narrow"/>
                <w:sz w:val="20"/>
                <w:szCs w:val="20"/>
              </w:rPr>
              <w:t>Health states</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 w:val="0"/>
                <w:szCs w:val="20"/>
              </w:rPr>
            </w:pPr>
            <w:r w:rsidRPr="009F0BEB">
              <w:rPr>
                <w:rStyle w:val="CommentReference"/>
                <w:b w:val="0"/>
                <w:bCs/>
                <w:szCs w:val="20"/>
              </w:rPr>
              <w:t>Pre-progression on-treatment, pre-progression off-treatment, post-progression, death</w:t>
            </w:r>
            <w:r w:rsidR="006759A0" w:rsidRPr="009F0BEB">
              <w:rPr>
                <w:rStyle w:val="CommentReference"/>
                <w:b w:val="0"/>
                <w:bCs/>
                <w:szCs w:val="20"/>
              </w:rPr>
              <w:t xml:space="preserve"> (same as for November 2016 submission)</w:t>
            </w:r>
          </w:p>
        </w:tc>
      </w:tr>
      <w:tr w:rsidR="000925ED" w:rsidRPr="009F0BEB" w:rsidTr="000925ED">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sz w:val="22"/>
              </w:rPr>
            </w:pPr>
            <w:r w:rsidRPr="009F0BEB">
              <w:rPr>
                <w:rFonts w:ascii="Arial Narrow" w:hAnsi="Arial Narrow"/>
                <w:sz w:val="20"/>
                <w:szCs w:val="20"/>
              </w:rPr>
              <w:t>Cycle length</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 w:val="0"/>
                <w:szCs w:val="20"/>
              </w:rPr>
            </w:pPr>
            <w:r w:rsidRPr="009F0BEB">
              <w:rPr>
                <w:rStyle w:val="CommentReference"/>
                <w:b w:val="0"/>
                <w:bCs/>
                <w:szCs w:val="20"/>
              </w:rPr>
              <w:t>1 week; half-cycle correction applied to both outcomes and costs</w:t>
            </w:r>
            <w:r w:rsidR="006759A0" w:rsidRPr="009F0BEB">
              <w:rPr>
                <w:rStyle w:val="CommentReference"/>
                <w:b w:val="0"/>
                <w:bCs/>
                <w:szCs w:val="20"/>
              </w:rPr>
              <w:t xml:space="preserve"> (same as for November 2016 submission)</w:t>
            </w:r>
          </w:p>
        </w:tc>
      </w:tr>
      <w:tr w:rsidR="000925ED" w:rsidRPr="009F0BEB" w:rsidTr="000925ED">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5ED" w:rsidRPr="009F0BEB" w:rsidRDefault="000A2A83" w:rsidP="00A24A91">
            <w:pPr>
              <w:keepNext/>
              <w:widowControl/>
              <w:rPr>
                <w:sz w:val="22"/>
              </w:rPr>
            </w:pPr>
            <w:r w:rsidRPr="009F0BEB">
              <w:rPr>
                <w:rFonts w:ascii="Arial Narrow" w:hAnsi="Arial Narrow"/>
                <w:sz w:val="20"/>
                <w:szCs w:val="20"/>
              </w:rPr>
              <w:t>Methods used to generate results</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25ED" w:rsidRPr="009F0BEB" w:rsidRDefault="000925ED" w:rsidP="00A24A91">
            <w:pPr>
              <w:keepNext/>
              <w:widowControl/>
              <w:rPr>
                <w:rStyle w:val="CommentReference"/>
                <w:b w:val="0"/>
                <w:szCs w:val="20"/>
              </w:rPr>
            </w:pPr>
            <w:r w:rsidRPr="009F0BEB">
              <w:rPr>
                <w:rStyle w:val="CommentReference"/>
                <w:b w:val="0"/>
                <w:bCs/>
                <w:szCs w:val="20"/>
              </w:rPr>
              <w:t>Kaplan-Meier curves for overall survival, progression-free survival and time to treatment failure based on NAPOLI-1 trial population and irinotecan naïve subgroup</w:t>
            </w:r>
            <w:r w:rsidR="006759A0" w:rsidRPr="009F0BEB">
              <w:rPr>
                <w:rStyle w:val="CommentReference"/>
                <w:b w:val="0"/>
                <w:bCs/>
                <w:szCs w:val="20"/>
              </w:rPr>
              <w:t xml:space="preserve"> (trial data with longer follow-up and subgroup data included in the model versus the November 2016 submission)</w:t>
            </w:r>
          </w:p>
        </w:tc>
      </w:tr>
    </w:tbl>
    <w:p w:rsidR="00D13044" w:rsidRDefault="000925ED" w:rsidP="006B2DC0">
      <w:pPr>
        <w:widowControl/>
        <w:rPr>
          <w:rStyle w:val="CommentReference"/>
          <w:b w:val="0"/>
          <w:bCs/>
          <w:sz w:val="18"/>
          <w:szCs w:val="18"/>
        </w:rPr>
      </w:pPr>
      <w:r w:rsidRPr="009F0BEB">
        <w:rPr>
          <w:rStyle w:val="CommentReference"/>
          <w:b w:val="0"/>
          <w:bCs/>
          <w:sz w:val="18"/>
          <w:szCs w:val="18"/>
        </w:rPr>
        <w:t>Source: Table 3.1-1, p102 of the resubmission</w:t>
      </w:r>
    </w:p>
    <w:p w:rsidR="00D13044" w:rsidRDefault="00D13044" w:rsidP="006B2DC0">
      <w:pPr>
        <w:widowControl/>
        <w:rPr>
          <w:rStyle w:val="CommentReference"/>
          <w:b w:val="0"/>
          <w:bCs/>
          <w:sz w:val="18"/>
          <w:szCs w:val="18"/>
        </w:rPr>
      </w:pPr>
    </w:p>
    <w:p w:rsidR="00275C5A" w:rsidRPr="009F0BEB" w:rsidRDefault="007D54B4" w:rsidP="006B2DC0">
      <w:pPr>
        <w:pStyle w:val="ListParagraph"/>
        <w:keepNext/>
        <w:widowControl/>
        <w:numPr>
          <w:ilvl w:val="1"/>
          <w:numId w:val="3"/>
        </w:numPr>
      </w:pPr>
      <w:r w:rsidRPr="009F0BEB">
        <w:t xml:space="preserve">The </w:t>
      </w:r>
      <w:r w:rsidR="00083B1D" w:rsidRPr="009F0BEB">
        <w:t xml:space="preserve">key </w:t>
      </w:r>
      <w:r w:rsidRPr="009F0BEB">
        <w:t>differences between the November 2016 subm</w:t>
      </w:r>
      <w:r w:rsidR="00083B1D" w:rsidRPr="009F0BEB">
        <w:t>ission and the resubmission are:</w:t>
      </w:r>
    </w:p>
    <w:p w:rsidR="00083B1D" w:rsidRPr="009F0BEB" w:rsidRDefault="00083B1D" w:rsidP="006B2DC0">
      <w:pPr>
        <w:pStyle w:val="ListParagraph"/>
        <w:keepNext/>
        <w:widowControl/>
        <w:numPr>
          <w:ilvl w:val="0"/>
          <w:numId w:val="17"/>
        </w:numPr>
        <w:spacing w:after="0"/>
      </w:pPr>
      <w:r w:rsidRPr="009F0BEB">
        <w:t>removal of utility estimates in the resubmission, with outcomes based on life year gained only;</w:t>
      </w:r>
    </w:p>
    <w:p w:rsidR="00083B1D" w:rsidRPr="009F0BEB" w:rsidRDefault="00083B1D" w:rsidP="006B2DC0">
      <w:pPr>
        <w:pStyle w:val="ListParagraph"/>
        <w:keepNext/>
        <w:widowControl/>
        <w:numPr>
          <w:ilvl w:val="0"/>
          <w:numId w:val="17"/>
        </w:numPr>
        <w:spacing w:after="0"/>
      </w:pPr>
      <w:r w:rsidRPr="009F0BEB">
        <w:t xml:space="preserve">trial-based economic analysis with no modelled extrapolation over 3 years versus </w:t>
      </w:r>
      <w:r w:rsidR="00E47A9F">
        <w:t xml:space="preserve">a modelled analysis over </w:t>
      </w:r>
      <w:r w:rsidRPr="009F0BEB">
        <w:t>5 years previously;</w:t>
      </w:r>
    </w:p>
    <w:p w:rsidR="00083B1D" w:rsidRPr="009F0BEB" w:rsidRDefault="00083B1D" w:rsidP="006B2DC0">
      <w:pPr>
        <w:pStyle w:val="ListParagraph"/>
        <w:keepNext/>
        <w:widowControl/>
        <w:numPr>
          <w:ilvl w:val="0"/>
          <w:numId w:val="17"/>
        </w:numPr>
        <w:spacing w:after="0"/>
      </w:pPr>
      <w:r w:rsidRPr="009F0BEB">
        <w:t xml:space="preserve">new clinical data based on updated post-hoc analyses from the NAPOLI-1 trial for the irinotecan naïve subgroup and ITT population (numerical increase in survival benefit in the irinotecan naïve subgroup compared to whole trial population); </w:t>
      </w:r>
    </w:p>
    <w:p w:rsidR="00083B1D" w:rsidRPr="009F0BEB" w:rsidRDefault="00083B1D" w:rsidP="006B2DC0">
      <w:pPr>
        <w:pStyle w:val="ListParagraph"/>
        <w:keepNext/>
        <w:widowControl/>
        <w:numPr>
          <w:ilvl w:val="0"/>
          <w:numId w:val="17"/>
        </w:numPr>
        <w:spacing w:after="0"/>
      </w:pPr>
      <w:r w:rsidRPr="009F0BEB">
        <w:t xml:space="preserve">decreased drug cost associated with </w:t>
      </w:r>
      <w:proofErr w:type="spellStart"/>
      <w:r w:rsidR="00B6003E" w:rsidRPr="009F0BEB">
        <w:t>nal</w:t>
      </w:r>
      <w:proofErr w:type="spellEnd"/>
      <w:r w:rsidR="00B6003E" w:rsidRPr="009F0BEB">
        <w:t>-IRI</w:t>
      </w:r>
      <w:r w:rsidRPr="009F0BEB">
        <w:t xml:space="preserve"> primarily due to</w:t>
      </w:r>
      <w:r w:rsidR="009802F4" w:rsidRPr="009F0BEB">
        <w:t xml:space="preserve"> the</w:t>
      </w:r>
      <w:r w:rsidRPr="009F0BEB">
        <w:t xml:space="preserve"> change in approach used to calculate cost of the irinotecan (</w:t>
      </w:r>
      <w:proofErr w:type="spellStart"/>
      <w:r w:rsidRPr="009F0BEB">
        <w:t>nanoliposomal</w:t>
      </w:r>
      <w:proofErr w:type="spellEnd"/>
      <w:r w:rsidRPr="009F0BEB">
        <w:t>) component</w:t>
      </w:r>
      <w:r w:rsidR="00824993" w:rsidRPr="009F0BEB">
        <w:t xml:space="preserve"> (based on a fixed-vial distribution)</w:t>
      </w:r>
      <w:r w:rsidRPr="009F0BEB">
        <w:t>;</w:t>
      </w:r>
    </w:p>
    <w:p w:rsidR="00083B1D" w:rsidRPr="009F0BEB" w:rsidRDefault="00083B1D" w:rsidP="006B2DC0">
      <w:pPr>
        <w:pStyle w:val="ListParagraph"/>
        <w:keepNext/>
        <w:widowControl/>
        <w:numPr>
          <w:ilvl w:val="0"/>
          <w:numId w:val="17"/>
        </w:numPr>
        <w:spacing w:after="0"/>
      </w:pPr>
      <w:r w:rsidRPr="009F0BEB">
        <w:t>increased drug cost associated with mFOLFOX6 largely due to change in dosing regimen used to estimate drug costs</w:t>
      </w:r>
      <w:r w:rsidR="000D075E" w:rsidRPr="009F0BEB">
        <w:t xml:space="preserve"> (trial instead of guidelines-based)</w:t>
      </w:r>
      <w:r w:rsidRPr="009F0BEB">
        <w:t>;</w:t>
      </w:r>
    </w:p>
    <w:p w:rsidR="00083B1D" w:rsidRPr="009F0BEB" w:rsidRDefault="00083B1D" w:rsidP="006B2DC0">
      <w:pPr>
        <w:pStyle w:val="ListParagraph"/>
        <w:keepNext/>
        <w:widowControl/>
        <w:numPr>
          <w:ilvl w:val="0"/>
          <w:numId w:val="17"/>
        </w:numPr>
        <w:spacing w:after="0"/>
      </w:pPr>
      <w:r w:rsidRPr="009F0BEB">
        <w:t xml:space="preserve">decreased adverse event costs primarily due to </w:t>
      </w:r>
      <w:r w:rsidR="0051345A" w:rsidRPr="009F0BEB">
        <w:t>the included</w:t>
      </w:r>
      <w:r w:rsidR="00290DEC" w:rsidRPr="009F0BEB">
        <w:t xml:space="preserve"> </w:t>
      </w:r>
      <w:r w:rsidRPr="009F0BEB">
        <w:t>distribution between hospital and non-hospital costs; and</w:t>
      </w:r>
    </w:p>
    <w:p w:rsidR="00083B1D" w:rsidRPr="009F0BEB" w:rsidRDefault="00083B1D" w:rsidP="006B2DC0">
      <w:pPr>
        <w:pStyle w:val="ListParagraph"/>
        <w:keepNext/>
        <w:widowControl/>
        <w:numPr>
          <w:ilvl w:val="0"/>
          <w:numId w:val="17"/>
        </w:numPr>
        <w:spacing w:after="0"/>
      </w:pPr>
      <w:proofErr w:type="gramStart"/>
      <w:r w:rsidRPr="009F0BEB">
        <w:t>decreased</w:t>
      </w:r>
      <w:proofErr w:type="gramEnd"/>
      <w:r w:rsidRPr="009F0BEB">
        <w:t xml:space="preserve"> post-progression treatment costs assuming patients received FOLFIRINOX as post-progression treatment.</w:t>
      </w:r>
    </w:p>
    <w:p w:rsidR="00083B1D" w:rsidRPr="009F0BEB" w:rsidRDefault="00083B1D" w:rsidP="006B2DC0">
      <w:pPr>
        <w:widowControl/>
        <w:ind w:left="720"/>
      </w:pPr>
    </w:p>
    <w:p w:rsidR="00275C5A" w:rsidRPr="009F0BEB" w:rsidRDefault="007D54B4" w:rsidP="006B2DC0">
      <w:pPr>
        <w:pStyle w:val="ListParagraph"/>
        <w:widowControl/>
        <w:numPr>
          <w:ilvl w:val="1"/>
          <w:numId w:val="3"/>
        </w:numPr>
      </w:pPr>
      <w:r w:rsidRPr="009F0BEB">
        <w:t xml:space="preserve">Key </w:t>
      </w:r>
      <w:r w:rsidR="00243AED">
        <w:t>drivers of</w:t>
      </w:r>
      <w:r w:rsidRPr="009F0BEB">
        <w:t xml:space="preserve"> the economic model in the resubmission are summarised in the following table.</w:t>
      </w:r>
    </w:p>
    <w:p w:rsidR="00D110BD" w:rsidRPr="009F0BEB" w:rsidRDefault="00D110BD" w:rsidP="002B0DE8">
      <w:pPr>
        <w:keepNext/>
        <w:widowControl/>
        <w:rPr>
          <w:rStyle w:val="CommentReference"/>
        </w:rPr>
      </w:pPr>
      <w:r w:rsidRPr="009F0BEB">
        <w:rPr>
          <w:rStyle w:val="CommentReference"/>
        </w:rPr>
        <w:lastRenderedPageBreak/>
        <w:t xml:space="preserve">Table </w:t>
      </w:r>
      <w:r w:rsidR="00381393" w:rsidRPr="009F0BEB">
        <w:rPr>
          <w:rStyle w:val="CommentReference"/>
        </w:rPr>
        <w:t>13</w:t>
      </w:r>
      <w:r w:rsidRPr="009F0BEB">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6"/>
        <w:gridCol w:w="5673"/>
        <w:gridCol w:w="1684"/>
      </w:tblGrid>
      <w:tr w:rsidR="00537182" w:rsidRPr="009F0BEB" w:rsidTr="003A170E">
        <w:trPr>
          <w:tblHeader/>
        </w:trPr>
        <w:tc>
          <w:tcPr>
            <w:tcW w:w="950" w:type="pct"/>
            <w:shd w:val="clear" w:color="auto" w:fill="auto"/>
            <w:vAlign w:val="center"/>
          </w:tcPr>
          <w:p w:rsidR="00D110BD" w:rsidRPr="009F0BEB" w:rsidRDefault="00D110BD" w:rsidP="002B0DE8">
            <w:pPr>
              <w:pStyle w:val="Tabletext"/>
              <w:keepNext/>
              <w:rPr>
                <w:b/>
                <w:lang w:val="en-US"/>
              </w:rPr>
            </w:pPr>
            <w:r w:rsidRPr="009F0BEB">
              <w:rPr>
                <w:b/>
                <w:lang w:val="en-US"/>
              </w:rPr>
              <w:t>Description</w:t>
            </w:r>
          </w:p>
        </w:tc>
        <w:tc>
          <w:tcPr>
            <w:tcW w:w="3123" w:type="pct"/>
            <w:shd w:val="clear" w:color="auto" w:fill="auto"/>
            <w:vAlign w:val="center"/>
          </w:tcPr>
          <w:p w:rsidR="00D110BD" w:rsidRPr="009F0BEB" w:rsidRDefault="00D110BD" w:rsidP="002B0DE8">
            <w:pPr>
              <w:pStyle w:val="Tabletext"/>
              <w:keepNext/>
              <w:rPr>
                <w:b/>
                <w:lang w:val="en-US"/>
              </w:rPr>
            </w:pPr>
            <w:r w:rsidRPr="009F0BEB">
              <w:rPr>
                <w:b/>
                <w:lang w:val="en-US"/>
              </w:rPr>
              <w:t>Method/Value</w:t>
            </w:r>
          </w:p>
        </w:tc>
        <w:tc>
          <w:tcPr>
            <w:tcW w:w="927" w:type="pct"/>
            <w:shd w:val="clear" w:color="auto" w:fill="auto"/>
            <w:vAlign w:val="center"/>
          </w:tcPr>
          <w:p w:rsidR="00D110BD" w:rsidRPr="009F0BEB" w:rsidRDefault="00D110BD" w:rsidP="002B0DE8">
            <w:pPr>
              <w:pStyle w:val="Tabletext"/>
              <w:keepNext/>
              <w:jc w:val="center"/>
              <w:rPr>
                <w:b/>
                <w:lang w:val="en-US"/>
              </w:rPr>
            </w:pPr>
            <w:r w:rsidRPr="009F0BEB">
              <w:rPr>
                <w:b/>
                <w:lang w:val="en-US"/>
              </w:rPr>
              <w:t>Impact</w:t>
            </w:r>
          </w:p>
        </w:tc>
      </w:tr>
      <w:tr w:rsidR="00F04535" w:rsidRPr="009F0BEB" w:rsidTr="003A170E">
        <w:tc>
          <w:tcPr>
            <w:tcW w:w="950" w:type="pct"/>
            <w:shd w:val="clear" w:color="auto" w:fill="auto"/>
            <w:vAlign w:val="center"/>
          </w:tcPr>
          <w:p w:rsidR="00F04535" w:rsidRPr="009F0BEB" w:rsidRDefault="00F04535" w:rsidP="002B0DE8">
            <w:pPr>
              <w:pStyle w:val="Tabletext"/>
              <w:keepNext/>
              <w:rPr>
                <w:lang w:val="en-US"/>
              </w:rPr>
            </w:pPr>
            <w:r w:rsidRPr="009F0BEB">
              <w:rPr>
                <w:lang w:val="en-US"/>
              </w:rPr>
              <w:t>Survival benefit</w:t>
            </w:r>
          </w:p>
        </w:tc>
        <w:tc>
          <w:tcPr>
            <w:tcW w:w="3123" w:type="pct"/>
            <w:shd w:val="clear" w:color="auto" w:fill="auto"/>
            <w:vAlign w:val="center"/>
          </w:tcPr>
          <w:p w:rsidR="00F04535" w:rsidRPr="009F0BEB" w:rsidRDefault="00402133" w:rsidP="002B0DE8">
            <w:pPr>
              <w:pStyle w:val="Tabletext"/>
              <w:keepNext/>
              <w:rPr>
                <w:lang w:val="en-US"/>
              </w:rPr>
            </w:pPr>
            <w:r w:rsidRPr="009F0BEB">
              <w:rPr>
                <w:lang w:val="en-US"/>
              </w:rPr>
              <w:t xml:space="preserve">Based on updated post-hoc analyses of NAPOLI-1 trial population and irinotecan naïve subgroup (3 years including follow-up). It was unclear whether the </w:t>
            </w:r>
            <w:r w:rsidR="00811016" w:rsidRPr="009F0BEB">
              <w:rPr>
                <w:lang w:val="en-US"/>
              </w:rPr>
              <w:t>incremental survival benefit from the trial could be directly applied in the model given the magnitude of incremental benefit versus mFOLFOX6 remained uncertain.</w:t>
            </w:r>
            <w:r w:rsidR="00811016" w:rsidRPr="00243AED">
              <w:rPr>
                <w:lang w:val="en-US"/>
              </w:rPr>
              <w:t xml:space="preserve"> </w:t>
            </w:r>
            <w:r w:rsidR="009B3784" w:rsidRPr="00243AED">
              <w:rPr>
                <w:lang w:val="en-US"/>
              </w:rPr>
              <w:t xml:space="preserve"> A </w:t>
            </w:r>
            <w:r w:rsidR="009B3784" w:rsidRPr="00243AED">
              <w:t xml:space="preserve">mean difference in overall survival of 8.0 weeks was </w:t>
            </w:r>
            <w:r w:rsidR="00893987" w:rsidRPr="00243AED">
              <w:t>estimated from</w:t>
            </w:r>
            <w:r w:rsidR="009B3784" w:rsidRPr="00243AED">
              <w:t xml:space="preserve"> the economic model for the ITT population</w:t>
            </w:r>
            <w:r w:rsidR="00DA17D8" w:rsidRPr="00243AED">
              <w:t xml:space="preserve"> for the whole follow-up period. The </w:t>
            </w:r>
            <w:r w:rsidR="009B3784" w:rsidRPr="00243AED">
              <w:t xml:space="preserve">mean difference in overall survival to the point at which the </w:t>
            </w:r>
            <w:proofErr w:type="spellStart"/>
            <w:r w:rsidR="009B3784" w:rsidRPr="00243AED">
              <w:t>nal</w:t>
            </w:r>
            <w:proofErr w:type="spellEnd"/>
            <w:r w:rsidR="009B3784" w:rsidRPr="00243AED">
              <w:t>-IRI and 5FU/</w:t>
            </w:r>
            <w:proofErr w:type="spellStart"/>
            <w:r w:rsidR="009B3784" w:rsidRPr="00243AED">
              <w:t>folinic</w:t>
            </w:r>
            <w:proofErr w:type="spellEnd"/>
            <w:r w:rsidR="009B3784" w:rsidRPr="00243AED">
              <w:t xml:space="preserve"> acid curves converge</w:t>
            </w:r>
            <w:r w:rsidR="00DA17D8" w:rsidRPr="00243AED">
              <w:t xml:space="preserve"> in the KM data</w:t>
            </w:r>
            <w:r w:rsidR="009B3784" w:rsidRPr="00243AED">
              <w:t xml:space="preserve"> was approximately 8.7 weeks</w:t>
            </w:r>
            <w:r w:rsidR="00496821" w:rsidRPr="00243AED">
              <w:t>, which is longer than estimated by the model</w:t>
            </w:r>
            <w:r w:rsidR="009B3784" w:rsidRPr="00243AED">
              <w:t>.</w:t>
            </w:r>
          </w:p>
        </w:tc>
        <w:tc>
          <w:tcPr>
            <w:tcW w:w="927" w:type="pct"/>
            <w:shd w:val="clear" w:color="auto" w:fill="auto"/>
            <w:vAlign w:val="center"/>
          </w:tcPr>
          <w:p w:rsidR="00F04535" w:rsidRPr="009F0BEB" w:rsidRDefault="00A05E92" w:rsidP="002B0DE8">
            <w:pPr>
              <w:pStyle w:val="Tabletext"/>
              <w:keepNext/>
              <w:jc w:val="center"/>
              <w:rPr>
                <w:lang w:val="en-US"/>
              </w:rPr>
            </w:pPr>
            <w:r w:rsidRPr="009F0BEB">
              <w:rPr>
                <w:lang w:val="en-US"/>
              </w:rPr>
              <w:t>Unclear</w:t>
            </w:r>
          </w:p>
        </w:tc>
      </w:tr>
      <w:tr w:rsidR="00537182" w:rsidRPr="009F0BEB" w:rsidTr="002420B6">
        <w:tc>
          <w:tcPr>
            <w:tcW w:w="950" w:type="pct"/>
            <w:shd w:val="clear" w:color="auto" w:fill="auto"/>
            <w:vAlign w:val="center"/>
          </w:tcPr>
          <w:p w:rsidR="00D110BD" w:rsidRPr="009F0BEB" w:rsidRDefault="00F04535" w:rsidP="002B0DE8">
            <w:pPr>
              <w:pStyle w:val="Tabletext"/>
              <w:keepNext/>
              <w:rPr>
                <w:lang w:val="en-US"/>
              </w:rPr>
            </w:pPr>
            <w:r w:rsidRPr="009F0BEB">
              <w:rPr>
                <w:lang w:val="en-US"/>
              </w:rPr>
              <w:t>Treatment costs</w:t>
            </w:r>
          </w:p>
        </w:tc>
        <w:tc>
          <w:tcPr>
            <w:tcW w:w="3123" w:type="pct"/>
            <w:shd w:val="clear" w:color="auto" w:fill="auto"/>
            <w:vAlign w:val="center"/>
          </w:tcPr>
          <w:p w:rsidR="002420B6" w:rsidRPr="009F0BEB" w:rsidRDefault="002420B6" w:rsidP="002B0DE8">
            <w:pPr>
              <w:pStyle w:val="Tabletext"/>
              <w:keepNext/>
              <w:rPr>
                <w:lang w:val="en-US"/>
              </w:rPr>
            </w:pPr>
            <w:r w:rsidRPr="009F0BEB">
              <w:rPr>
                <w:lang w:val="en-US"/>
              </w:rPr>
              <w:t xml:space="preserve">The revised treatment costs associated with </w:t>
            </w:r>
            <w:proofErr w:type="spellStart"/>
            <w:r w:rsidR="00B6003E" w:rsidRPr="009F0BEB">
              <w:rPr>
                <w:lang w:val="en-US"/>
              </w:rPr>
              <w:t>nal</w:t>
            </w:r>
            <w:proofErr w:type="spellEnd"/>
            <w:r w:rsidR="00B6003E" w:rsidRPr="009F0BEB">
              <w:rPr>
                <w:lang w:val="en-US"/>
              </w:rPr>
              <w:t>-IRI</w:t>
            </w:r>
            <w:r w:rsidRPr="009F0BEB">
              <w:rPr>
                <w:lang w:val="en-US"/>
              </w:rPr>
              <w:t xml:space="preserve"> are substantially lower whereas treatment costs for mFOLFOX6 have increased compared to the November 2016 submission.</w:t>
            </w:r>
            <w:r w:rsidR="00F17CBD" w:rsidRPr="009F0BEB">
              <w:rPr>
                <w:lang w:val="en-US"/>
              </w:rPr>
              <w:t xml:space="preserve"> The estimates were highly uncertain due to the following</w:t>
            </w:r>
            <w:r w:rsidR="00B45445" w:rsidRPr="009F0BEB">
              <w:rPr>
                <w:lang w:val="en-US"/>
              </w:rPr>
              <w:t xml:space="preserve"> issues:</w:t>
            </w:r>
          </w:p>
          <w:p w:rsidR="0032472B" w:rsidRPr="009F0BEB" w:rsidRDefault="0032472B" w:rsidP="002B0DE8">
            <w:pPr>
              <w:pStyle w:val="Tabletext"/>
              <w:keepNext/>
              <w:numPr>
                <w:ilvl w:val="0"/>
                <w:numId w:val="22"/>
              </w:numPr>
              <w:rPr>
                <w:lang w:val="en-US"/>
              </w:rPr>
            </w:pPr>
            <w:r w:rsidRPr="009F0BEB">
              <w:rPr>
                <w:lang w:val="en-US"/>
              </w:rPr>
              <w:t xml:space="preserve">There are a wide range of treatment regimens </w:t>
            </w:r>
            <w:r w:rsidR="004843A7" w:rsidRPr="009F0BEB">
              <w:rPr>
                <w:lang w:val="en-US"/>
              </w:rPr>
              <w:t xml:space="preserve">in addition to mFOLFOX6 that are likely to be substituted which are less expensive (such as </w:t>
            </w:r>
            <w:proofErr w:type="spellStart"/>
            <w:r w:rsidR="004843A7" w:rsidRPr="009F0BEB">
              <w:rPr>
                <w:lang w:val="en-US"/>
              </w:rPr>
              <w:t>capecitabine</w:t>
            </w:r>
            <w:proofErr w:type="spellEnd"/>
            <w:r w:rsidR="004843A7" w:rsidRPr="009F0BEB">
              <w:rPr>
                <w:lang w:val="en-US"/>
              </w:rPr>
              <w:t xml:space="preserve"> and XELOX) than the mFOLFOX6 regimen. </w:t>
            </w:r>
            <w:r w:rsidRPr="009F0BEB">
              <w:rPr>
                <w:lang w:val="en-US"/>
              </w:rPr>
              <w:t xml:space="preserve">The model was sensitive to alternative comparator treatment costs. </w:t>
            </w:r>
          </w:p>
          <w:p w:rsidR="002420B6" w:rsidRPr="009F0BEB" w:rsidRDefault="003A170E" w:rsidP="002B0DE8">
            <w:pPr>
              <w:pStyle w:val="Tabletext"/>
              <w:keepNext/>
              <w:numPr>
                <w:ilvl w:val="0"/>
                <w:numId w:val="22"/>
              </w:numPr>
              <w:rPr>
                <w:lang w:val="en-US"/>
              </w:rPr>
            </w:pPr>
            <w:r w:rsidRPr="009F0BEB">
              <w:rPr>
                <w:lang w:val="en-US"/>
              </w:rPr>
              <w:t xml:space="preserve">The resubmission </w:t>
            </w:r>
            <w:r w:rsidR="004943C5" w:rsidRPr="009F0BEB">
              <w:rPr>
                <w:lang w:val="en-US"/>
              </w:rPr>
              <w:t xml:space="preserve">applied the </w:t>
            </w:r>
            <w:r w:rsidRPr="009F0BEB">
              <w:rPr>
                <w:lang w:val="en-US"/>
              </w:rPr>
              <w:t xml:space="preserve">trial-based dosing regimen for mFOLFOX6 that uses a higher dose of </w:t>
            </w:r>
            <w:proofErr w:type="spellStart"/>
            <w:r w:rsidRPr="009F0BEB">
              <w:rPr>
                <w:lang w:val="en-US"/>
              </w:rPr>
              <w:t>folinic</w:t>
            </w:r>
            <w:proofErr w:type="spellEnd"/>
            <w:r w:rsidRPr="009F0BEB">
              <w:rPr>
                <w:lang w:val="en-US"/>
              </w:rPr>
              <w:t xml:space="preserve"> acid (400 mg/m</w:t>
            </w:r>
            <w:r w:rsidRPr="009F0BEB">
              <w:rPr>
                <w:vertAlign w:val="superscript"/>
                <w:lang w:val="en-US"/>
              </w:rPr>
              <w:t>2</w:t>
            </w:r>
            <w:r w:rsidRPr="009F0BEB">
              <w:rPr>
                <w:lang w:val="en-US"/>
              </w:rPr>
              <w:t>) than recommended in guidelines (50 mg). This resulted in a higher cost compared to the previous submission that used doses as recommended in guidelines.</w:t>
            </w:r>
            <w:r w:rsidR="002420B6" w:rsidRPr="009F0BEB">
              <w:rPr>
                <w:lang w:val="en-US"/>
              </w:rPr>
              <w:t xml:space="preserve"> </w:t>
            </w:r>
          </w:p>
        </w:tc>
        <w:tc>
          <w:tcPr>
            <w:tcW w:w="927" w:type="pct"/>
            <w:shd w:val="clear" w:color="auto" w:fill="auto"/>
            <w:vAlign w:val="center"/>
          </w:tcPr>
          <w:p w:rsidR="00D110BD" w:rsidRPr="009F0BEB" w:rsidRDefault="00F04535" w:rsidP="002B0DE8">
            <w:pPr>
              <w:pStyle w:val="Tabletext"/>
              <w:keepNext/>
              <w:jc w:val="center"/>
              <w:rPr>
                <w:lang w:val="en-US"/>
              </w:rPr>
            </w:pPr>
            <w:r w:rsidRPr="009F0BEB">
              <w:rPr>
                <w:lang w:val="en-US"/>
              </w:rPr>
              <w:t xml:space="preserve">High, </w:t>
            </w:r>
            <w:proofErr w:type="spellStart"/>
            <w:r w:rsidRPr="009F0BEB">
              <w:rPr>
                <w:lang w:val="en-US"/>
              </w:rPr>
              <w:t>favours</w:t>
            </w:r>
            <w:proofErr w:type="spellEnd"/>
            <w:r w:rsidRPr="009F0BEB">
              <w:rPr>
                <w:lang w:val="en-US"/>
              </w:rPr>
              <w:t xml:space="preserve"> </w:t>
            </w:r>
            <w:proofErr w:type="spellStart"/>
            <w:r w:rsidR="00B6003E" w:rsidRPr="009F0BEB">
              <w:rPr>
                <w:lang w:val="en-US"/>
              </w:rPr>
              <w:t>nal</w:t>
            </w:r>
            <w:proofErr w:type="spellEnd"/>
            <w:r w:rsidR="00B6003E" w:rsidRPr="009F0BEB">
              <w:rPr>
                <w:lang w:val="en-US"/>
              </w:rPr>
              <w:t>-IRI</w:t>
            </w:r>
          </w:p>
        </w:tc>
      </w:tr>
      <w:tr w:rsidR="00D47D23" w:rsidRPr="00243AED" w:rsidTr="002420B6">
        <w:tc>
          <w:tcPr>
            <w:tcW w:w="950" w:type="pct"/>
            <w:shd w:val="clear" w:color="auto" w:fill="auto"/>
            <w:vAlign w:val="center"/>
          </w:tcPr>
          <w:p w:rsidR="00D47D23" w:rsidRPr="00243AED" w:rsidRDefault="00D55896" w:rsidP="002B0DE8">
            <w:pPr>
              <w:pStyle w:val="Tabletext"/>
              <w:keepNext/>
              <w:rPr>
                <w:lang w:val="en-US"/>
              </w:rPr>
            </w:pPr>
            <w:r w:rsidRPr="00243AED">
              <w:rPr>
                <w:lang w:val="en-US"/>
              </w:rPr>
              <w:t xml:space="preserve">Post-progression treatment duration </w:t>
            </w:r>
          </w:p>
        </w:tc>
        <w:tc>
          <w:tcPr>
            <w:tcW w:w="3123" w:type="pct"/>
            <w:shd w:val="clear" w:color="auto" w:fill="auto"/>
            <w:vAlign w:val="center"/>
          </w:tcPr>
          <w:p w:rsidR="00D47D23" w:rsidRPr="00243AED" w:rsidRDefault="00CE469F" w:rsidP="002B0DE8">
            <w:pPr>
              <w:pStyle w:val="Tabletext"/>
              <w:keepNext/>
              <w:rPr>
                <w:lang w:val="en-US"/>
              </w:rPr>
            </w:pPr>
            <w:r w:rsidRPr="00243AED">
              <w:rPr>
                <w:lang w:val="en-US"/>
              </w:rPr>
              <w:t xml:space="preserve">The model inappropriately assumed that </w:t>
            </w:r>
            <w:r w:rsidR="00A85769" w:rsidRPr="00243AED">
              <w:rPr>
                <w:lang w:val="en-US"/>
              </w:rPr>
              <w:t xml:space="preserve">the proportion of </w:t>
            </w:r>
            <w:r w:rsidRPr="00243AED">
              <w:rPr>
                <w:lang w:val="en-US"/>
              </w:rPr>
              <w:t xml:space="preserve">patients in the </w:t>
            </w:r>
            <w:proofErr w:type="spellStart"/>
            <w:r w:rsidRPr="00243AED">
              <w:rPr>
                <w:lang w:val="en-US"/>
              </w:rPr>
              <w:t>nal</w:t>
            </w:r>
            <w:proofErr w:type="spellEnd"/>
            <w:r w:rsidRPr="00243AED">
              <w:rPr>
                <w:lang w:val="en-US"/>
              </w:rPr>
              <w:t xml:space="preserve">-IRI (31%) </w:t>
            </w:r>
            <w:r w:rsidR="006328E5" w:rsidRPr="00243AED">
              <w:rPr>
                <w:lang w:val="en-US"/>
              </w:rPr>
              <w:t>and 5-FU/</w:t>
            </w:r>
            <w:proofErr w:type="spellStart"/>
            <w:r w:rsidR="006328E5" w:rsidRPr="00243AED">
              <w:rPr>
                <w:lang w:val="en-US"/>
              </w:rPr>
              <w:t>folinic</w:t>
            </w:r>
            <w:proofErr w:type="spellEnd"/>
            <w:r w:rsidR="006328E5" w:rsidRPr="00243AED">
              <w:rPr>
                <w:lang w:val="en-US"/>
              </w:rPr>
              <w:t xml:space="preserve"> acid (38%) arms that received post-progression </w:t>
            </w:r>
            <w:r w:rsidR="00571F68" w:rsidRPr="00243AED">
              <w:rPr>
                <w:lang w:val="en-US"/>
              </w:rPr>
              <w:t>treatments</w:t>
            </w:r>
            <w:r w:rsidR="00A85769" w:rsidRPr="00243AED">
              <w:rPr>
                <w:lang w:val="en-US"/>
              </w:rPr>
              <w:t xml:space="preserve"> were treated</w:t>
            </w:r>
            <w:r w:rsidR="009E6496" w:rsidRPr="00243AED">
              <w:rPr>
                <w:lang w:val="en-US"/>
              </w:rPr>
              <w:t xml:space="preserve"> continuously until death. </w:t>
            </w:r>
            <w:r w:rsidR="00A85769" w:rsidRPr="00243AED">
              <w:rPr>
                <w:lang w:val="en-US"/>
              </w:rPr>
              <w:t xml:space="preserve"> </w:t>
            </w:r>
          </w:p>
        </w:tc>
        <w:tc>
          <w:tcPr>
            <w:tcW w:w="927" w:type="pct"/>
            <w:shd w:val="clear" w:color="auto" w:fill="auto"/>
            <w:vAlign w:val="center"/>
          </w:tcPr>
          <w:p w:rsidR="00D47D23" w:rsidRPr="00243AED" w:rsidRDefault="006328E5" w:rsidP="002B0DE8">
            <w:pPr>
              <w:pStyle w:val="Tabletext"/>
              <w:keepNext/>
              <w:jc w:val="center"/>
              <w:rPr>
                <w:lang w:val="en-US"/>
              </w:rPr>
            </w:pPr>
            <w:r w:rsidRPr="00243AED">
              <w:rPr>
                <w:lang w:val="en-US"/>
              </w:rPr>
              <w:t xml:space="preserve">Moderate, </w:t>
            </w:r>
            <w:proofErr w:type="spellStart"/>
            <w:r w:rsidRPr="00243AED">
              <w:rPr>
                <w:lang w:val="en-US"/>
              </w:rPr>
              <w:t>favours</w:t>
            </w:r>
            <w:proofErr w:type="spellEnd"/>
            <w:r w:rsidRPr="00243AED">
              <w:rPr>
                <w:lang w:val="en-US"/>
              </w:rPr>
              <w:t xml:space="preserve"> </w:t>
            </w:r>
            <w:proofErr w:type="spellStart"/>
            <w:r w:rsidRPr="00243AED">
              <w:rPr>
                <w:lang w:val="en-US"/>
              </w:rPr>
              <w:t>naI</w:t>
            </w:r>
            <w:proofErr w:type="spellEnd"/>
            <w:r w:rsidRPr="00243AED">
              <w:rPr>
                <w:lang w:val="en-US"/>
              </w:rPr>
              <w:t>-IRI</w:t>
            </w:r>
          </w:p>
        </w:tc>
      </w:tr>
      <w:tr w:rsidR="00537182" w:rsidRPr="009F0BEB" w:rsidTr="002420B6">
        <w:tc>
          <w:tcPr>
            <w:tcW w:w="950" w:type="pct"/>
            <w:shd w:val="clear" w:color="auto" w:fill="auto"/>
            <w:vAlign w:val="center"/>
          </w:tcPr>
          <w:p w:rsidR="00D110BD" w:rsidRPr="009F0BEB" w:rsidRDefault="00F04535" w:rsidP="002B0DE8">
            <w:pPr>
              <w:pStyle w:val="Tabletext"/>
              <w:keepNext/>
              <w:rPr>
                <w:lang w:val="en-US"/>
              </w:rPr>
            </w:pPr>
            <w:r w:rsidRPr="009F0BEB">
              <w:rPr>
                <w:lang w:val="en-US"/>
              </w:rPr>
              <w:t>Adverse event costs</w:t>
            </w:r>
          </w:p>
        </w:tc>
        <w:tc>
          <w:tcPr>
            <w:tcW w:w="3123" w:type="pct"/>
            <w:shd w:val="clear" w:color="auto" w:fill="auto"/>
            <w:vAlign w:val="center"/>
          </w:tcPr>
          <w:p w:rsidR="004879B9" w:rsidRPr="009F0BEB" w:rsidRDefault="003A170E" w:rsidP="002B0DE8">
            <w:pPr>
              <w:pStyle w:val="Tabletext"/>
              <w:keepNext/>
              <w:rPr>
                <w:lang w:val="en-US"/>
              </w:rPr>
            </w:pPr>
            <w:r w:rsidRPr="009F0BEB">
              <w:rPr>
                <w:lang w:val="en-US"/>
              </w:rPr>
              <w:t xml:space="preserve">The revised adverse event costs associated with </w:t>
            </w:r>
            <w:proofErr w:type="spellStart"/>
            <w:r w:rsidR="00B6003E" w:rsidRPr="009F0BEB">
              <w:rPr>
                <w:lang w:val="en-US"/>
              </w:rPr>
              <w:t>nal</w:t>
            </w:r>
            <w:proofErr w:type="spellEnd"/>
            <w:r w:rsidR="00B6003E" w:rsidRPr="009F0BEB">
              <w:rPr>
                <w:lang w:val="en-US"/>
              </w:rPr>
              <w:t>-IRI</w:t>
            </w:r>
            <w:r w:rsidRPr="009F0BEB">
              <w:rPr>
                <w:lang w:val="en-US"/>
              </w:rPr>
              <w:t xml:space="preserve"> and mFOLFOX6 were lower compared to the November 2016 submission.</w:t>
            </w:r>
            <w:r w:rsidR="00B45445" w:rsidRPr="009F0BEB">
              <w:rPr>
                <w:lang w:val="en-US"/>
              </w:rPr>
              <w:t xml:space="preserve"> </w:t>
            </w:r>
            <w:r w:rsidR="0051345A" w:rsidRPr="009F0BEB">
              <w:rPr>
                <w:lang w:val="en-US"/>
              </w:rPr>
              <w:t xml:space="preserve">The cost of managing adverse events may not be reliable estimates due to a likely underestimation of </w:t>
            </w:r>
            <w:proofErr w:type="spellStart"/>
            <w:r w:rsidR="0051345A" w:rsidRPr="009F0BEB">
              <w:rPr>
                <w:lang w:val="en-US"/>
              </w:rPr>
              <w:t>hospitalised</w:t>
            </w:r>
            <w:proofErr w:type="spellEnd"/>
            <w:r w:rsidR="0051345A" w:rsidRPr="009F0BEB">
              <w:rPr>
                <w:lang w:val="en-US"/>
              </w:rPr>
              <w:t xml:space="preserve"> events, drug costs for acute events were based on proportion used instead of full prescription costs, and estimated costs did not account for the increased use of supportive therapies not directly related to an adverse event (e.g. granulocyte growth factor or blood transfusions). </w:t>
            </w:r>
          </w:p>
        </w:tc>
        <w:tc>
          <w:tcPr>
            <w:tcW w:w="927" w:type="pct"/>
            <w:shd w:val="clear" w:color="auto" w:fill="auto"/>
            <w:vAlign w:val="center"/>
          </w:tcPr>
          <w:p w:rsidR="00D110BD" w:rsidRPr="009F0BEB" w:rsidRDefault="003A170E" w:rsidP="002B0DE8">
            <w:pPr>
              <w:pStyle w:val="Tabletext"/>
              <w:keepNext/>
              <w:jc w:val="center"/>
              <w:rPr>
                <w:lang w:val="en-US"/>
              </w:rPr>
            </w:pPr>
            <w:r w:rsidRPr="009F0BEB">
              <w:rPr>
                <w:lang w:val="en-US"/>
              </w:rPr>
              <w:t xml:space="preserve">Moderate, </w:t>
            </w:r>
            <w:proofErr w:type="spellStart"/>
            <w:r w:rsidRPr="009F0BEB">
              <w:rPr>
                <w:lang w:val="en-US"/>
              </w:rPr>
              <w:t>favours</w:t>
            </w:r>
            <w:proofErr w:type="spellEnd"/>
            <w:r w:rsidRPr="009F0BEB">
              <w:rPr>
                <w:lang w:val="en-US"/>
              </w:rPr>
              <w:t xml:space="preserve"> </w:t>
            </w:r>
            <w:proofErr w:type="spellStart"/>
            <w:r w:rsidR="00B6003E" w:rsidRPr="009F0BEB">
              <w:rPr>
                <w:lang w:val="en-US"/>
              </w:rPr>
              <w:t>nal</w:t>
            </w:r>
            <w:proofErr w:type="spellEnd"/>
            <w:r w:rsidR="00B6003E" w:rsidRPr="009F0BEB">
              <w:rPr>
                <w:lang w:val="en-US"/>
              </w:rPr>
              <w:t>-IRI</w:t>
            </w:r>
          </w:p>
        </w:tc>
      </w:tr>
      <w:tr w:rsidR="005A368F" w:rsidRPr="00243AED" w:rsidTr="002420B6">
        <w:tc>
          <w:tcPr>
            <w:tcW w:w="950" w:type="pct"/>
            <w:shd w:val="clear" w:color="auto" w:fill="auto"/>
            <w:vAlign w:val="center"/>
          </w:tcPr>
          <w:p w:rsidR="005A368F" w:rsidRPr="00243AED" w:rsidRDefault="005A368F" w:rsidP="002B0DE8">
            <w:pPr>
              <w:pStyle w:val="Tabletext"/>
              <w:keepNext/>
              <w:rPr>
                <w:lang w:val="en-US"/>
              </w:rPr>
            </w:pPr>
            <w:r w:rsidRPr="00243AED">
              <w:rPr>
                <w:lang w:val="en-US"/>
              </w:rPr>
              <w:t>Quality adjusted life years</w:t>
            </w:r>
          </w:p>
        </w:tc>
        <w:tc>
          <w:tcPr>
            <w:tcW w:w="3123" w:type="pct"/>
            <w:shd w:val="clear" w:color="auto" w:fill="auto"/>
            <w:vAlign w:val="center"/>
          </w:tcPr>
          <w:p w:rsidR="005A368F" w:rsidRPr="00243AED" w:rsidRDefault="007E2B5E" w:rsidP="002B0DE8">
            <w:pPr>
              <w:pStyle w:val="Tabletext"/>
              <w:keepNext/>
              <w:rPr>
                <w:lang w:val="en-US"/>
              </w:rPr>
            </w:pPr>
            <w:r w:rsidRPr="00243AED">
              <w:rPr>
                <w:lang w:val="en-US"/>
              </w:rPr>
              <w:t xml:space="preserve">Utility values were not incorporated in the economic analyses. </w:t>
            </w:r>
          </w:p>
        </w:tc>
        <w:tc>
          <w:tcPr>
            <w:tcW w:w="927" w:type="pct"/>
            <w:shd w:val="clear" w:color="auto" w:fill="auto"/>
            <w:vAlign w:val="center"/>
          </w:tcPr>
          <w:p w:rsidR="005A368F" w:rsidRPr="00243AED" w:rsidRDefault="00FE3EAC" w:rsidP="002B0DE8">
            <w:pPr>
              <w:pStyle w:val="Tabletext"/>
              <w:keepNext/>
              <w:jc w:val="center"/>
              <w:rPr>
                <w:lang w:val="en-US"/>
              </w:rPr>
            </w:pPr>
            <w:r w:rsidRPr="00243AED">
              <w:rPr>
                <w:lang w:val="en-US"/>
              </w:rPr>
              <w:t xml:space="preserve">High, </w:t>
            </w:r>
            <w:proofErr w:type="spellStart"/>
            <w:r w:rsidRPr="00243AED">
              <w:rPr>
                <w:lang w:val="en-US"/>
              </w:rPr>
              <w:t>favours</w:t>
            </w:r>
            <w:proofErr w:type="spellEnd"/>
            <w:r w:rsidRPr="00243AED">
              <w:rPr>
                <w:lang w:val="en-US"/>
              </w:rPr>
              <w:t xml:space="preserve"> </w:t>
            </w:r>
            <w:proofErr w:type="spellStart"/>
            <w:r w:rsidRPr="00243AED">
              <w:rPr>
                <w:lang w:val="en-US"/>
              </w:rPr>
              <w:t>nal</w:t>
            </w:r>
            <w:proofErr w:type="spellEnd"/>
            <w:r w:rsidRPr="00243AED">
              <w:rPr>
                <w:lang w:val="en-US"/>
              </w:rPr>
              <w:t>-IRI</w:t>
            </w:r>
          </w:p>
        </w:tc>
      </w:tr>
    </w:tbl>
    <w:p w:rsidR="00D110BD" w:rsidRPr="009F0BEB" w:rsidRDefault="003A170E" w:rsidP="002B0DE8">
      <w:pPr>
        <w:pStyle w:val="TableFooter"/>
        <w:keepNext/>
        <w:widowControl/>
      </w:pPr>
      <w:r w:rsidRPr="009F0BEB">
        <w:t>Source: compiled during the evaluation</w:t>
      </w:r>
    </w:p>
    <w:p w:rsidR="009D792E" w:rsidRDefault="003A170E" w:rsidP="00B37D6C">
      <w:pPr>
        <w:pStyle w:val="TableFooter"/>
        <w:keepNext/>
        <w:widowControl/>
      </w:pPr>
      <w:r w:rsidRPr="009F0BEB">
        <w:t xml:space="preserve">Abbreviations: BSA, body surface area; ITT, intent to treat; </w:t>
      </w:r>
      <w:proofErr w:type="spellStart"/>
      <w:r w:rsidRPr="009F0BEB">
        <w:t>nal</w:t>
      </w:r>
      <w:proofErr w:type="spellEnd"/>
      <w:r w:rsidRPr="009F0BEB">
        <w:t>-</w:t>
      </w:r>
      <w:r w:rsidR="00B6003E" w:rsidRPr="009F0BEB">
        <w:t>IRI</w:t>
      </w:r>
      <w:r w:rsidRPr="009F0BEB">
        <w:t>, irinotecan (</w:t>
      </w:r>
      <w:proofErr w:type="spellStart"/>
      <w:r w:rsidRPr="009F0BEB">
        <w:t>nanoliposomal</w:t>
      </w:r>
      <w:proofErr w:type="spellEnd"/>
      <w:r w:rsidRPr="009F0BEB">
        <w:t>)</w:t>
      </w:r>
      <w:r w:rsidR="00B6003E" w:rsidRPr="009F0BEB">
        <w:t xml:space="preserve"> plus 5-FU/</w:t>
      </w:r>
      <w:proofErr w:type="spellStart"/>
      <w:r w:rsidR="00B6003E" w:rsidRPr="009F0BEB">
        <w:t>folinic</w:t>
      </w:r>
      <w:proofErr w:type="spellEnd"/>
      <w:r w:rsidR="00B6003E" w:rsidRPr="009F0BEB">
        <w:t xml:space="preserve"> acid</w:t>
      </w:r>
      <w:r w:rsidRPr="009F0BEB">
        <w:t xml:space="preserve">; OS, </w:t>
      </w:r>
      <w:r w:rsidR="00B37D6C">
        <w:t>overall survival</w:t>
      </w:r>
    </w:p>
    <w:p w:rsidR="00B37D6C" w:rsidRPr="009F0BEB" w:rsidRDefault="00B37D6C" w:rsidP="00B37D6C">
      <w:pPr>
        <w:pStyle w:val="TableFooter"/>
        <w:keepNext/>
        <w:widowControl/>
      </w:pPr>
    </w:p>
    <w:p w:rsidR="003E76D6" w:rsidRPr="009F0BEB" w:rsidRDefault="008E06D9" w:rsidP="006B2DC0">
      <w:pPr>
        <w:pStyle w:val="ListParagraph"/>
        <w:widowControl/>
        <w:numPr>
          <w:ilvl w:val="1"/>
          <w:numId w:val="3"/>
        </w:numPr>
      </w:pPr>
      <w:r w:rsidRPr="009F0BEB">
        <w:t xml:space="preserve">The ESC considered </w:t>
      </w:r>
      <w:r w:rsidR="00BF1201" w:rsidRPr="009F0BEB">
        <w:t xml:space="preserve">that </w:t>
      </w:r>
      <w:r w:rsidR="006B4D51" w:rsidRPr="009F0BEB">
        <w:t xml:space="preserve">although different from the previous submission, </w:t>
      </w:r>
      <w:r w:rsidR="00BF1201" w:rsidRPr="009F0BEB">
        <w:t>given the economic model in th</w:t>
      </w:r>
      <w:r w:rsidR="006B4D51" w:rsidRPr="009F0BEB">
        <w:t>is</w:t>
      </w:r>
      <w:r w:rsidR="00BF1201" w:rsidRPr="009F0BEB">
        <w:t xml:space="preserve"> resubmission was trial based, </w:t>
      </w:r>
      <w:r w:rsidRPr="009F0BEB">
        <w:t xml:space="preserve">the approach to estimate the cost of </w:t>
      </w:r>
      <w:proofErr w:type="spellStart"/>
      <w:r w:rsidRPr="009F0BEB">
        <w:t>nal</w:t>
      </w:r>
      <w:proofErr w:type="spellEnd"/>
      <w:r w:rsidRPr="009F0BEB">
        <w:t xml:space="preserve">-IRI was appropriate. The ESC noted that </w:t>
      </w:r>
      <w:r w:rsidR="00D30D65" w:rsidRPr="009F0BEB">
        <w:t xml:space="preserve">the average number of vials per 2-week cycle used </w:t>
      </w:r>
      <w:r w:rsidR="0014097F" w:rsidRPr="009F0BEB">
        <w:t xml:space="preserve">in the model </w:t>
      </w:r>
      <w:r w:rsidR="00D30D65" w:rsidRPr="009F0BEB">
        <w:t>was based on the number of vials administered per patient in the NAPOLI-1 trial</w:t>
      </w:r>
      <w:r w:rsidR="00A456FF" w:rsidRPr="009F0BEB">
        <w:t xml:space="preserve">. </w:t>
      </w:r>
    </w:p>
    <w:p w:rsidR="00100B70" w:rsidRPr="009F0BEB" w:rsidRDefault="00100B70" w:rsidP="005D347C">
      <w:pPr>
        <w:pStyle w:val="ListParagraph"/>
        <w:widowControl/>
        <w:numPr>
          <w:ilvl w:val="1"/>
          <w:numId w:val="3"/>
        </w:numPr>
      </w:pPr>
      <w:r w:rsidRPr="009F0BEB">
        <w:t>The November 2016 submission presented an incremental cost per life year gained of $</w:t>
      </w:r>
      <w:r w:rsidR="005D347C" w:rsidRPr="005D347C">
        <w:t xml:space="preserve">75,000 - $105,000 </w:t>
      </w:r>
      <w:r w:rsidRPr="009F0BEB">
        <w:t xml:space="preserve">when comparing </w:t>
      </w:r>
      <w:proofErr w:type="spellStart"/>
      <w:r w:rsidR="00B6003E" w:rsidRPr="009F0BEB">
        <w:t>nal</w:t>
      </w:r>
      <w:proofErr w:type="spellEnd"/>
      <w:r w:rsidR="00B6003E" w:rsidRPr="009F0BEB">
        <w:t>-IRI</w:t>
      </w:r>
      <w:r w:rsidRPr="009F0BEB">
        <w:t xml:space="preserve"> with mFOLFOX6. The corresponding incremental cost per QALY gained presented was $</w:t>
      </w:r>
      <w:r w:rsidR="005D347C">
        <w:t xml:space="preserve">105,000 </w:t>
      </w:r>
      <w:r w:rsidR="005D347C" w:rsidRPr="005D347C">
        <w:t>– $200,000</w:t>
      </w:r>
      <w:r w:rsidRPr="009F0BEB">
        <w:t>. In consideration of the November 2016 resubmission, the PBAC considered that a revised base case ICER should not exceed $50,000 per QALY gained.</w:t>
      </w:r>
    </w:p>
    <w:p w:rsidR="00100B70" w:rsidRPr="009F0BEB" w:rsidRDefault="00100B70" w:rsidP="006B2DC0">
      <w:pPr>
        <w:pStyle w:val="ListParagraph"/>
        <w:widowControl/>
        <w:numPr>
          <w:ilvl w:val="1"/>
          <w:numId w:val="3"/>
        </w:numPr>
      </w:pPr>
      <w:r w:rsidRPr="009F0BEB">
        <w:lastRenderedPageBreak/>
        <w:t>The resubmission presented results based on an incremental cost per life year gained, stating that the NAPOLI-1 trial did not collect utility values and the PBAC considered that the utility values used in the previous submission for pre</w:t>
      </w:r>
      <w:r w:rsidR="00C00441" w:rsidRPr="009F0BEB">
        <w:noBreakHyphen/>
      </w:r>
      <w:r w:rsidRPr="009F0BEB">
        <w:t>progression (0.8) and post-progression (0.75) were inappropriately high for patients with metastatic pancreatic cancer (paragraph 7.8 irinotecan (</w:t>
      </w:r>
      <w:proofErr w:type="spellStart"/>
      <w:r w:rsidRPr="009F0BEB">
        <w:t>nanoliposomal</w:t>
      </w:r>
      <w:proofErr w:type="spellEnd"/>
      <w:r w:rsidRPr="009F0BEB">
        <w:t>) November 2016 PSD).</w:t>
      </w:r>
    </w:p>
    <w:p w:rsidR="00100B70" w:rsidRPr="009F0BEB" w:rsidRDefault="00100B70" w:rsidP="006B2DC0">
      <w:pPr>
        <w:pStyle w:val="ListParagraph"/>
        <w:widowControl/>
        <w:numPr>
          <w:ilvl w:val="1"/>
          <w:numId w:val="3"/>
        </w:numPr>
      </w:pPr>
      <w:r w:rsidRPr="009F0BEB">
        <w:t xml:space="preserve">The resubmission also stated that this approach was considered by the PBAC when evaluating the nab-paclitaxel March 2014 submission for the treatment of locally advanced, </w:t>
      </w:r>
      <w:proofErr w:type="spellStart"/>
      <w:r w:rsidRPr="009F0BEB">
        <w:t>unresectable</w:t>
      </w:r>
      <w:proofErr w:type="spellEnd"/>
      <w:r w:rsidRPr="009F0BEB">
        <w:t xml:space="preserve"> or metastatic pancreatic adenocarcinoma. </w:t>
      </w:r>
      <w:r w:rsidR="00C00441" w:rsidRPr="009F0BEB">
        <w:t>“</w:t>
      </w:r>
      <w:r w:rsidRPr="009F0BEB">
        <w:t xml:space="preserve">The PBAC considered that at an ICER of </w:t>
      </w:r>
      <w:proofErr w:type="gramStart"/>
      <w:r w:rsidRPr="009F0BEB">
        <w:t>between $45,000 to $75,000 per life year gained</w:t>
      </w:r>
      <w:r w:rsidR="00C978B6" w:rsidRPr="009F0BEB">
        <w:t>,</w:t>
      </w:r>
      <w:proofErr w:type="gramEnd"/>
      <w:r w:rsidR="00C978B6" w:rsidRPr="009F0BEB">
        <w:t xml:space="preserve"> </w:t>
      </w:r>
      <w:r w:rsidRPr="009F0BEB">
        <w:t>nab</w:t>
      </w:r>
      <w:r w:rsidR="00BF1201" w:rsidRPr="009F0BEB">
        <w:noBreakHyphen/>
      </w:r>
      <w:r w:rsidRPr="009F0BEB">
        <w:t>paclitaxel would not be cost-effective. The PBAC considered that the cost</w:t>
      </w:r>
      <w:r w:rsidR="00BF1201" w:rsidRPr="009F0BEB">
        <w:noBreakHyphen/>
      </w:r>
      <w:r w:rsidRPr="009F0BEB">
        <w:t xml:space="preserve">effectiveness of nab-paclitaxel would be acceptable at an ICER of </w:t>
      </w:r>
      <w:proofErr w:type="gramStart"/>
      <w:r w:rsidRPr="009F0BEB">
        <w:t>between $50,000 to $90,000 per QALY</w:t>
      </w:r>
      <w:r w:rsidR="006759A0" w:rsidRPr="009F0BEB">
        <w:t xml:space="preserve"> gained</w:t>
      </w:r>
      <w:r w:rsidRPr="009F0BEB">
        <w:t>, which would be comparable with that of other recent medicines where there is high unmet clinical need</w:t>
      </w:r>
      <w:proofErr w:type="gramEnd"/>
      <w:r w:rsidRPr="009F0BEB">
        <w:t>. The PBAC considered that an ICER in the range of $15,000 to $45,000 per life year gained would be appropriate to account for the lack of adjustment of quality of life</w:t>
      </w:r>
      <w:r w:rsidR="00C00441" w:rsidRPr="009F0BEB">
        <w:t>”</w:t>
      </w:r>
      <w:r w:rsidRPr="009F0BEB">
        <w:t xml:space="preserve"> (nab-paclitaxel March 2014 PSD).</w:t>
      </w:r>
    </w:p>
    <w:p w:rsidR="00275C5A" w:rsidRPr="009F0BEB" w:rsidRDefault="007D54B4" w:rsidP="006B2DC0">
      <w:pPr>
        <w:pStyle w:val="ListParagraph"/>
        <w:widowControl/>
        <w:numPr>
          <w:ilvl w:val="1"/>
          <w:numId w:val="3"/>
        </w:numPr>
      </w:pPr>
      <w:r w:rsidRPr="009F0BEB">
        <w:t xml:space="preserve">The results of the economic evaluation are summarised in </w:t>
      </w:r>
      <w:r w:rsidR="00540DF3" w:rsidRPr="009F0BEB">
        <w:t>the table below</w:t>
      </w:r>
      <w:r w:rsidRPr="009F0BEB">
        <w:t>.</w:t>
      </w:r>
    </w:p>
    <w:p w:rsidR="00EA5F9D" w:rsidRPr="009F0BEB" w:rsidRDefault="00381393" w:rsidP="006B2DC0">
      <w:pPr>
        <w:keepNext/>
        <w:widowControl/>
        <w:rPr>
          <w:rStyle w:val="CommentReference"/>
        </w:rPr>
      </w:pPr>
      <w:r w:rsidRPr="009F0BEB">
        <w:rPr>
          <w:rStyle w:val="CommentReference"/>
        </w:rPr>
        <w:t>Table 14</w:t>
      </w:r>
      <w:r w:rsidR="00EA5F9D" w:rsidRPr="009F0BEB">
        <w:rPr>
          <w:rStyle w:val="CommentReference"/>
        </w:rPr>
        <w:t>: Results of the economic evaluation</w:t>
      </w:r>
      <w:r w:rsidR="00BF1201" w:rsidRPr="009F0BEB">
        <w:rPr>
          <w:rStyle w:val="CommentReference"/>
        </w:rPr>
        <w:t xml:space="preserve">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42"/>
        <w:gridCol w:w="2454"/>
        <w:gridCol w:w="2314"/>
        <w:gridCol w:w="1573"/>
      </w:tblGrid>
      <w:tr w:rsidR="00EA5F9D" w:rsidRPr="009F0BEB" w:rsidTr="00083B1D">
        <w:trPr>
          <w:tblHeader/>
        </w:trPr>
        <w:tc>
          <w:tcPr>
            <w:tcW w:w="1509" w:type="pct"/>
            <w:vAlign w:val="center"/>
          </w:tcPr>
          <w:p w:rsidR="00EA5F9D" w:rsidRPr="009F0BEB" w:rsidRDefault="00EA5F9D" w:rsidP="006B2DC0">
            <w:pPr>
              <w:pStyle w:val="Tabletext"/>
              <w:keepNext/>
              <w:rPr>
                <w:b/>
              </w:rPr>
            </w:pPr>
            <w:r w:rsidRPr="009F0BEB">
              <w:rPr>
                <w:b/>
              </w:rPr>
              <w:t>Component</w:t>
            </w:r>
          </w:p>
        </w:tc>
        <w:tc>
          <w:tcPr>
            <w:tcW w:w="1351" w:type="pct"/>
            <w:vAlign w:val="center"/>
          </w:tcPr>
          <w:p w:rsidR="00EA5F9D" w:rsidRPr="009F0BEB" w:rsidRDefault="00B6003E" w:rsidP="006B2DC0">
            <w:pPr>
              <w:pStyle w:val="Tabletext"/>
              <w:keepNext/>
              <w:jc w:val="center"/>
              <w:rPr>
                <w:b/>
              </w:rPr>
            </w:pPr>
            <w:proofErr w:type="spellStart"/>
            <w:r w:rsidRPr="009F0BEB">
              <w:rPr>
                <w:b/>
              </w:rPr>
              <w:t>Nal</w:t>
            </w:r>
            <w:proofErr w:type="spellEnd"/>
            <w:r w:rsidRPr="009F0BEB">
              <w:rPr>
                <w:b/>
              </w:rPr>
              <w:t>-IRI</w:t>
            </w:r>
          </w:p>
        </w:tc>
        <w:tc>
          <w:tcPr>
            <w:tcW w:w="1274" w:type="pct"/>
            <w:vAlign w:val="center"/>
          </w:tcPr>
          <w:p w:rsidR="00EA5F9D" w:rsidRPr="009F0BEB" w:rsidRDefault="00EA5F9D" w:rsidP="006B2DC0">
            <w:pPr>
              <w:pStyle w:val="Tabletext"/>
              <w:keepNext/>
              <w:jc w:val="center"/>
              <w:rPr>
                <w:b/>
              </w:rPr>
            </w:pPr>
            <w:r w:rsidRPr="009F0BEB">
              <w:rPr>
                <w:b/>
              </w:rPr>
              <w:t>mFOLFOX6</w:t>
            </w:r>
          </w:p>
        </w:tc>
        <w:tc>
          <w:tcPr>
            <w:tcW w:w="866" w:type="pct"/>
            <w:vAlign w:val="center"/>
          </w:tcPr>
          <w:p w:rsidR="00EA5F9D" w:rsidRPr="009F0BEB" w:rsidRDefault="00EA5F9D" w:rsidP="006B2DC0">
            <w:pPr>
              <w:pStyle w:val="Tabletext"/>
              <w:keepNext/>
              <w:jc w:val="center"/>
              <w:rPr>
                <w:b/>
              </w:rPr>
            </w:pPr>
            <w:r w:rsidRPr="009F0BEB">
              <w:rPr>
                <w:b/>
              </w:rPr>
              <w:t>Increment</w:t>
            </w:r>
          </w:p>
        </w:tc>
      </w:tr>
      <w:tr w:rsidR="00EA5F9D" w:rsidRPr="009F0BEB" w:rsidTr="00083B1D">
        <w:tc>
          <w:tcPr>
            <w:tcW w:w="1509" w:type="pct"/>
            <w:vAlign w:val="center"/>
          </w:tcPr>
          <w:p w:rsidR="00EA5F9D" w:rsidRPr="009F0BEB" w:rsidRDefault="00EA5F9D" w:rsidP="006B2DC0">
            <w:pPr>
              <w:pStyle w:val="Tabletext"/>
              <w:keepNext/>
            </w:pPr>
            <w:r w:rsidRPr="009F0BEB">
              <w:t>Costs</w:t>
            </w:r>
          </w:p>
        </w:tc>
        <w:tc>
          <w:tcPr>
            <w:tcW w:w="1351" w:type="pct"/>
            <w:vAlign w:val="center"/>
          </w:tcPr>
          <w:p w:rsidR="00EA5F9D" w:rsidRPr="009F0BEB" w:rsidRDefault="00EA5F9D" w:rsidP="006B2DC0">
            <w:pPr>
              <w:pStyle w:val="Tabletext"/>
              <w:keepNext/>
              <w:jc w:val="center"/>
            </w:pPr>
            <w:r w:rsidRPr="009F0BEB">
              <w:t>$</w:t>
            </w:r>
            <w:r w:rsidR="00EE2E05">
              <w:rPr>
                <w:noProof/>
                <w:color w:val="000000"/>
                <w:highlight w:val="black"/>
              </w:rPr>
              <w:t>''''''''''''''''''''''''</w:t>
            </w:r>
          </w:p>
        </w:tc>
        <w:tc>
          <w:tcPr>
            <w:tcW w:w="1274" w:type="pct"/>
            <w:vAlign w:val="center"/>
          </w:tcPr>
          <w:p w:rsidR="00EA5F9D" w:rsidRPr="009F0BEB" w:rsidRDefault="00EA5F9D" w:rsidP="006B2DC0">
            <w:pPr>
              <w:pStyle w:val="Tabletext"/>
              <w:keepNext/>
              <w:jc w:val="center"/>
            </w:pPr>
            <w:r w:rsidRPr="009F0BEB">
              <w:t>$</w:t>
            </w:r>
            <w:r w:rsidR="00EE2E05">
              <w:rPr>
                <w:noProof/>
                <w:color w:val="000000"/>
                <w:highlight w:val="black"/>
              </w:rPr>
              <w:t>''''''''''''''''''''</w:t>
            </w:r>
          </w:p>
        </w:tc>
        <w:tc>
          <w:tcPr>
            <w:tcW w:w="866" w:type="pct"/>
            <w:vAlign w:val="center"/>
          </w:tcPr>
          <w:p w:rsidR="00EA5F9D" w:rsidRPr="009F0BEB" w:rsidRDefault="00EA5F9D" w:rsidP="006B2DC0">
            <w:pPr>
              <w:pStyle w:val="Tabletext"/>
              <w:keepNext/>
              <w:jc w:val="center"/>
            </w:pPr>
            <w:r w:rsidRPr="009F0BEB">
              <w:t>$</w:t>
            </w:r>
            <w:r w:rsidR="00EE2E05">
              <w:rPr>
                <w:noProof/>
                <w:color w:val="000000"/>
                <w:highlight w:val="black"/>
              </w:rPr>
              <w:t>'''''''''''''''''''''''</w:t>
            </w:r>
          </w:p>
        </w:tc>
      </w:tr>
      <w:tr w:rsidR="00EA5F9D" w:rsidRPr="009F0BEB" w:rsidTr="00083B1D">
        <w:tc>
          <w:tcPr>
            <w:tcW w:w="1509" w:type="pct"/>
            <w:vAlign w:val="center"/>
          </w:tcPr>
          <w:p w:rsidR="00EA5F9D" w:rsidRPr="009F0BEB" w:rsidRDefault="00272339" w:rsidP="006B2DC0">
            <w:pPr>
              <w:pStyle w:val="Tabletext"/>
              <w:keepNext/>
            </w:pPr>
            <w:r w:rsidRPr="009F0BEB">
              <w:t>Life years</w:t>
            </w:r>
          </w:p>
        </w:tc>
        <w:tc>
          <w:tcPr>
            <w:tcW w:w="1351" w:type="pct"/>
            <w:vAlign w:val="center"/>
          </w:tcPr>
          <w:p w:rsidR="00EA5F9D" w:rsidRPr="00EE2E05" w:rsidRDefault="00EE2E05" w:rsidP="006B2DC0">
            <w:pPr>
              <w:pStyle w:val="Tabletext"/>
              <w:keepNext/>
              <w:jc w:val="center"/>
              <w:rPr>
                <w:highlight w:val="black"/>
              </w:rPr>
            </w:pPr>
            <w:r>
              <w:rPr>
                <w:noProof/>
                <w:color w:val="000000"/>
                <w:highlight w:val="black"/>
              </w:rPr>
              <w:t>'''''''''''''''</w:t>
            </w:r>
          </w:p>
        </w:tc>
        <w:tc>
          <w:tcPr>
            <w:tcW w:w="1274" w:type="pct"/>
            <w:vAlign w:val="center"/>
          </w:tcPr>
          <w:p w:rsidR="00EA5F9D" w:rsidRPr="00EE2E05" w:rsidRDefault="00EE2E05" w:rsidP="006B2DC0">
            <w:pPr>
              <w:pStyle w:val="Tabletext"/>
              <w:keepNext/>
              <w:jc w:val="center"/>
              <w:rPr>
                <w:highlight w:val="black"/>
              </w:rPr>
            </w:pPr>
            <w:r>
              <w:rPr>
                <w:noProof/>
                <w:color w:val="000000"/>
                <w:highlight w:val="black"/>
              </w:rPr>
              <w:t>'''''''''''''''''</w:t>
            </w:r>
          </w:p>
        </w:tc>
        <w:tc>
          <w:tcPr>
            <w:tcW w:w="866" w:type="pct"/>
            <w:vAlign w:val="center"/>
          </w:tcPr>
          <w:p w:rsidR="00EA5F9D" w:rsidRPr="00EE2E05" w:rsidRDefault="00EE2E05" w:rsidP="006B2DC0">
            <w:pPr>
              <w:pStyle w:val="Tabletext"/>
              <w:keepNext/>
              <w:jc w:val="center"/>
              <w:rPr>
                <w:highlight w:val="black"/>
              </w:rPr>
            </w:pPr>
            <w:r>
              <w:rPr>
                <w:noProof/>
                <w:color w:val="000000"/>
                <w:highlight w:val="black"/>
              </w:rPr>
              <w:t>''''''''''''''''</w:t>
            </w:r>
          </w:p>
        </w:tc>
      </w:tr>
      <w:tr w:rsidR="00EA5F9D" w:rsidRPr="009F0BEB" w:rsidTr="00083B1D">
        <w:tc>
          <w:tcPr>
            <w:tcW w:w="4134" w:type="pct"/>
            <w:gridSpan w:val="3"/>
            <w:vAlign w:val="center"/>
          </w:tcPr>
          <w:p w:rsidR="00EA5F9D" w:rsidRPr="009F0BEB" w:rsidRDefault="00EA5F9D" w:rsidP="006B2DC0">
            <w:pPr>
              <w:pStyle w:val="Tabletext"/>
              <w:keepNext/>
              <w:rPr>
                <w:rFonts w:ascii="Times" w:hAnsi="Times"/>
                <w:b/>
                <w:snapToGrid w:val="0"/>
              </w:rPr>
            </w:pPr>
            <w:r w:rsidRPr="009F0BEB">
              <w:rPr>
                <w:b/>
              </w:rPr>
              <w:t>Increme</w:t>
            </w:r>
            <w:r w:rsidR="00272339" w:rsidRPr="009F0BEB">
              <w:rPr>
                <w:b/>
              </w:rPr>
              <w:t>ntal cost per life year</w:t>
            </w:r>
            <w:r w:rsidRPr="009F0BEB">
              <w:rPr>
                <w:b/>
              </w:rPr>
              <w:t xml:space="preserve"> gained</w:t>
            </w:r>
          </w:p>
        </w:tc>
        <w:tc>
          <w:tcPr>
            <w:tcW w:w="866" w:type="pct"/>
            <w:vAlign w:val="center"/>
          </w:tcPr>
          <w:p w:rsidR="00EA5F9D" w:rsidRPr="009F0BEB" w:rsidRDefault="00EA5F9D" w:rsidP="006B2DC0">
            <w:pPr>
              <w:pStyle w:val="Tabletext"/>
              <w:keepNext/>
              <w:jc w:val="center"/>
              <w:rPr>
                <w:rFonts w:ascii="Times" w:hAnsi="Times"/>
                <w:b/>
              </w:rPr>
            </w:pPr>
            <w:r w:rsidRPr="009F0BEB">
              <w:rPr>
                <w:b/>
              </w:rPr>
              <w:t>$</w:t>
            </w:r>
            <w:r w:rsidR="00EE2E05">
              <w:rPr>
                <w:b/>
                <w:noProof/>
                <w:color w:val="000000"/>
                <w:highlight w:val="black"/>
              </w:rPr>
              <w:t>''''''''''''''</w:t>
            </w:r>
          </w:p>
        </w:tc>
      </w:tr>
    </w:tbl>
    <w:p w:rsidR="00EA5F9D" w:rsidRDefault="00EA5F9D" w:rsidP="00B37D6C">
      <w:pPr>
        <w:pStyle w:val="TableFooter"/>
        <w:keepNext/>
        <w:widowControl/>
      </w:pPr>
      <w:r w:rsidRPr="009F0BEB">
        <w:t>Source: Table 3.8-1, p142 and Table 3.9-1, p145 of the resubmissi</w:t>
      </w:r>
      <w:r w:rsidR="00B37D6C">
        <w:t>on</w:t>
      </w:r>
    </w:p>
    <w:p w:rsidR="00B37D6C" w:rsidRPr="009F0BEB" w:rsidRDefault="00B37D6C" w:rsidP="00B37D6C">
      <w:pPr>
        <w:pStyle w:val="TableFooter"/>
        <w:keepNext/>
        <w:widowControl/>
      </w:pPr>
    </w:p>
    <w:p w:rsidR="00582B98" w:rsidRPr="009F0BEB" w:rsidRDefault="00582B98" w:rsidP="006B2DC0">
      <w:pPr>
        <w:pStyle w:val="ListParagraph"/>
        <w:widowControl/>
        <w:numPr>
          <w:ilvl w:val="1"/>
          <w:numId w:val="3"/>
        </w:numPr>
      </w:pPr>
      <w:r w:rsidRPr="009F0BEB">
        <w:t xml:space="preserve">In the ITT population, treatment with </w:t>
      </w:r>
      <w:proofErr w:type="spellStart"/>
      <w:r w:rsidR="00B6003E" w:rsidRPr="009F0BEB">
        <w:t>nal</w:t>
      </w:r>
      <w:proofErr w:type="spellEnd"/>
      <w:r w:rsidR="00B6003E" w:rsidRPr="009F0BEB">
        <w:t>-IRI</w:t>
      </w:r>
      <w:r w:rsidRPr="009F0BEB">
        <w:t xml:space="preserve"> was assoc</w:t>
      </w:r>
      <w:r w:rsidR="00540DF3" w:rsidRPr="009F0BEB">
        <w:t xml:space="preserve">iated </w:t>
      </w:r>
      <w:r w:rsidR="00100B70" w:rsidRPr="009F0BEB">
        <w:t xml:space="preserve">with </w:t>
      </w:r>
      <w:r w:rsidR="00540DF3" w:rsidRPr="009F0BEB">
        <w:t xml:space="preserve">an incremental cost </w:t>
      </w:r>
      <w:r w:rsidR="00DA17D8" w:rsidRPr="009F0BEB">
        <w:t xml:space="preserve">(ICER) </w:t>
      </w:r>
      <w:r w:rsidR="00540DF3" w:rsidRPr="009F0BEB">
        <w:t>per life year</w:t>
      </w:r>
      <w:r w:rsidRPr="009F0BEB">
        <w:t xml:space="preserve"> </w:t>
      </w:r>
      <w:r w:rsidR="00DA17D8" w:rsidRPr="009F0BEB">
        <w:t xml:space="preserve">(LY) </w:t>
      </w:r>
      <w:r w:rsidRPr="009F0BEB">
        <w:t>gained of $</w:t>
      </w:r>
      <w:r w:rsidR="001E4EBC">
        <w:t>75,000 - $105,000</w:t>
      </w:r>
      <w:r w:rsidRPr="009F0BEB">
        <w:t xml:space="preserve"> compared to mFOLFOX6 (using 5</w:t>
      </w:r>
      <w:r w:rsidR="00DA17D8" w:rsidRPr="009F0BEB">
        <w:noBreakHyphen/>
      </w:r>
      <w:r w:rsidRPr="009F0BEB">
        <w:t>FU/</w:t>
      </w:r>
      <w:proofErr w:type="spellStart"/>
      <w:r w:rsidRPr="009F0BEB">
        <w:t>folinic</w:t>
      </w:r>
      <w:proofErr w:type="spellEnd"/>
      <w:r w:rsidRPr="009F0BEB">
        <w:t xml:space="preserve"> acid as a proxy). </w:t>
      </w:r>
      <w:r w:rsidR="00DA17D8" w:rsidRPr="009F0BEB">
        <w:t>For the irinotecan naïve subgroup, the ICER/LY gained was $</w:t>
      </w:r>
      <w:r w:rsidR="001E4EBC">
        <w:t>45,000 - $75,000</w:t>
      </w:r>
      <w:r w:rsidR="00DA17D8" w:rsidRPr="009F0BEB">
        <w:t xml:space="preserve">. </w:t>
      </w:r>
      <w:r w:rsidR="00BF1201" w:rsidRPr="009F0BEB">
        <w:t>The ESC noted that the revised base case presented in the PSCR resulted in an ICER per LY gained of $</w:t>
      </w:r>
      <w:r w:rsidR="00E04FAB" w:rsidRPr="00E04FAB">
        <w:t>7</w:t>
      </w:r>
      <w:r w:rsidR="00E04FAB">
        <w:t>5,</w:t>
      </w:r>
      <w:r w:rsidR="00E04FAB" w:rsidRPr="00E04FAB">
        <w:t>000 - $105,000</w:t>
      </w:r>
      <w:r w:rsidR="00BF1201" w:rsidRPr="009F0BEB">
        <w:t>.</w:t>
      </w:r>
    </w:p>
    <w:p w:rsidR="009B3784" w:rsidRPr="009F0BEB" w:rsidRDefault="009B3784" w:rsidP="006B2DC0">
      <w:pPr>
        <w:pStyle w:val="ListParagraph"/>
        <w:widowControl/>
        <w:numPr>
          <w:ilvl w:val="1"/>
          <w:numId w:val="3"/>
        </w:numPr>
      </w:pPr>
      <w:r w:rsidRPr="009F0BEB">
        <w:t>The PSCR presented revised economic analyses for the ITT and irinotecan naïve subgroup (s</w:t>
      </w:r>
      <w:r w:rsidR="00DA17D8" w:rsidRPr="009F0BEB">
        <w:t xml:space="preserve">ee Table </w:t>
      </w:r>
      <w:r w:rsidR="00381393" w:rsidRPr="009F0BEB">
        <w:t>15</w:t>
      </w:r>
      <w:r w:rsidRPr="009F0BEB">
        <w:t xml:space="preserve"> below</w:t>
      </w:r>
      <w:r w:rsidR="00496821" w:rsidRPr="009F0BEB">
        <w:t xml:space="preserve"> for the ITT results</w:t>
      </w:r>
      <w:r w:rsidRPr="009F0BEB">
        <w:t xml:space="preserve">). The ESC noted that the following changes </w:t>
      </w:r>
      <w:r w:rsidR="00176456" w:rsidRPr="009F0BEB">
        <w:t>were</w:t>
      </w:r>
      <w:r w:rsidRPr="009F0BEB">
        <w:t xml:space="preserve"> made in the respecified base case analyses:</w:t>
      </w:r>
    </w:p>
    <w:p w:rsidR="009B3784" w:rsidRPr="009F0BEB" w:rsidRDefault="008767B0" w:rsidP="006B2DC0">
      <w:pPr>
        <w:pStyle w:val="ListParagraph"/>
        <w:widowControl/>
        <w:numPr>
          <w:ilvl w:val="0"/>
          <w:numId w:val="30"/>
        </w:numPr>
      </w:pPr>
      <w:r>
        <w:t>H</w:t>
      </w:r>
      <w:r w:rsidR="009B3784" w:rsidRPr="009F0BEB">
        <w:t>ospitalis</w:t>
      </w:r>
      <w:r>
        <w:t>ation assumed</w:t>
      </w:r>
      <w:r w:rsidR="009B3784" w:rsidRPr="009F0BEB">
        <w:t xml:space="preserve"> </w:t>
      </w:r>
      <w:r>
        <w:t>for all</w:t>
      </w:r>
      <w:r w:rsidR="009B3784" w:rsidRPr="009F0BEB">
        <w:t xml:space="preserve"> adverse events. This increased the weekly adverse event cost of </w:t>
      </w:r>
      <w:proofErr w:type="spellStart"/>
      <w:r w:rsidR="009B3784" w:rsidRPr="009F0BEB">
        <w:t>nal</w:t>
      </w:r>
      <w:proofErr w:type="spellEnd"/>
      <w:r w:rsidR="009B3784" w:rsidRPr="009F0BEB">
        <w:t>-IRI to $229.03 from $25.03</w:t>
      </w:r>
      <w:r w:rsidR="00176456" w:rsidRPr="009F0BEB">
        <w:t>, and for mFOLFOX6</w:t>
      </w:r>
      <w:r w:rsidR="00E26D0B" w:rsidRPr="009F0BEB">
        <w:t xml:space="preserve"> to $50.80</w:t>
      </w:r>
      <w:r w:rsidR="00176456" w:rsidRPr="009F0BEB">
        <w:t xml:space="preserve"> from $</w:t>
      </w:r>
      <w:r w:rsidR="00E26D0B" w:rsidRPr="009F0BEB">
        <w:t>6.24</w:t>
      </w:r>
      <w:r w:rsidR="009B3784" w:rsidRPr="009F0BEB">
        <w:t xml:space="preserve">. </w:t>
      </w:r>
      <w:r w:rsidR="00176456" w:rsidRPr="009F0BEB">
        <w:t xml:space="preserve"> The ICER </w:t>
      </w:r>
      <w:r w:rsidR="00383467" w:rsidRPr="009F0BEB">
        <w:t xml:space="preserve">increased to </w:t>
      </w:r>
      <w:r w:rsidR="00E26D0B" w:rsidRPr="009F0BEB">
        <w:t>$</w:t>
      </w:r>
      <w:r w:rsidR="00F615AC">
        <w:t>75,000-$105,000</w:t>
      </w:r>
      <w:r w:rsidR="00E26D0B" w:rsidRPr="009F0BEB">
        <w:t xml:space="preserve"> per LY gained</w:t>
      </w:r>
      <w:r w:rsidR="00496821" w:rsidRPr="009F0BEB">
        <w:t xml:space="preserve"> (from $</w:t>
      </w:r>
      <w:r w:rsidR="00F615AC">
        <w:t>75,000-$105,000</w:t>
      </w:r>
      <w:r w:rsidR="00496821" w:rsidRPr="009F0BEB">
        <w:t>)</w:t>
      </w:r>
      <w:r w:rsidR="00E26D0B" w:rsidRPr="009F0BEB">
        <w:t>.</w:t>
      </w:r>
    </w:p>
    <w:p w:rsidR="009B3784" w:rsidRPr="009F0BEB" w:rsidRDefault="005227BC" w:rsidP="007705B9">
      <w:pPr>
        <w:pStyle w:val="ListParagraph"/>
        <w:widowControl/>
        <w:numPr>
          <w:ilvl w:val="0"/>
          <w:numId w:val="30"/>
        </w:numPr>
      </w:pPr>
      <w:r>
        <w:t>Same</w:t>
      </w:r>
      <w:r w:rsidRPr="009F0BEB">
        <w:t xml:space="preserve"> </w:t>
      </w:r>
      <w:r w:rsidR="009B3784" w:rsidRPr="009F0BEB">
        <w:t xml:space="preserve">adverse event rates and associated weekly costs </w:t>
      </w:r>
      <w:r>
        <w:t xml:space="preserve">assumed </w:t>
      </w:r>
      <w:r w:rsidR="009B3784" w:rsidRPr="009F0BEB">
        <w:t>for</w:t>
      </w:r>
      <w:r>
        <w:t xml:space="preserve"> the</w:t>
      </w:r>
      <w:r w:rsidR="009B3784" w:rsidRPr="009F0BEB">
        <w:t xml:space="preserve"> </w:t>
      </w:r>
      <w:proofErr w:type="spellStart"/>
      <w:r w:rsidR="009B3784" w:rsidRPr="009F0BEB">
        <w:t>nal</w:t>
      </w:r>
      <w:proofErr w:type="spellEnd"/>
      <w:r w:rsidR="009B3784" w:rsidRPr="009F0BEB">
        <w:t xml:space="preserve">-IRI and mFOLFOX6 arms. </w:t>
      </w:r>
      <w:r w:rsidR="00E26D0B" w:rsidRPr="009F0BEB">
        <w:t>This reduced the ICER to $</w:t>
      </w:r>
      <w:r w:rsidR="007705B9" w:rsidRPr="007705B9">
        <w:t xml:space="preserve">75,000-$105,000 </w:t>
      </w:r>
      <w:r w:rsidR="00E26D0B" w:rsidRPr="009F0BEB">
        <w:t>per LY gained</w:t>
      </w:r>
      <w:r w:rsidR="00762C01" w:rsidRPr="009F0BEB">
        <w:t xml:space="preserve"> (from $</w:t>
      </w:r>
      <w:r w:rsidR="007705B9" w:rsidRPr="007705B9">
        <w:t>75,000-$105,000</w:t>
      </w:r>
      <w:r w:rsidR="00762C01" w:rsidRPr="009F0BEB">
        <w:t>)</w:t>
      </w:r>
      <w:r w:rsidR="00E26D0B" w:rsidRPr="009F0BEB">
        <w:t xml:space="preserve">. </w:t>
      </w:r>
      <w:r w:rsidR="009B3784" w:rsidRPr="009F0BEB">
        <w:t xml:space="preserve">The ESC considered that this </w:t>
      </w:r>
      <w:r w:rsidR="00E26D0B" w:rsidRPr="009F0BEB">
        <w:t xml:space="preserve">change to the </w:t>
      </w:r>
      <w:r w:rsidR="00E26D0B" w:rsidRPr="009F0BEB">
        <w:lastRenderedPageBreak/>
        <w:t xml:space="preserve">model inputs </w:t>
      </w:r>
      <w:r w:rsidR="009B3784" w:rsidRPr="009F0BEB">
        <w:t>may not be acceptable in the context of the claim of non-inferior safety being unsupported.</w:t>
      </w:r>
    </w:p>
    <w:p w:rsidR="009B3784" w:rsidRPr="009F0BEB" w:rsidRDefault="005227BC" w:rsidP="006B2DC0">
      <w:pPr>
        <w:pStyle w:val="ListParagraph"/>
        <w:widowControl/>
        <w:numPr>
          <w:ilvl w:val="0"/>
          <w:numId w:val="30"/>
        </w:numPr>
      </w:pPr>
      <w:r>
        <w:t>W</w:t>
      </w:r>
      <w:r w:rsidR="009B3784" w:rsidRPr="009F0BEB">
        <w:t xml:space="preserve">eekly administration cost associated with post-progression treatment FOLFIRINOX </w:t>
      </w:r>
      <w:r>
        <w:t xml:space="preserve">reduced </w:t>
      </w:r>
      <w:r w:rsidR="009B3784" w:rsidRPr="009F0BEB">
        <w:t>to $81.60 from $130.58.</w:t>
      </w:r>
      <w:r w:rsidR="00E26D0B" w:rsidRPr="009F0BEB">
        <w:t xml:space="preserve"> This resulted in administration cost for FOLFIRINOX being the same as for mFOLFOX6 and </w:t>
      </w:r>
      <w:proofErr w:type="spellStart"/>
      <w:r w:rsidR="00E26D0B" w:rsidRPr="009F0BEB">
        <w:t>nal</w:t>
      </w:r>
      <w:proofErr w:type="spellEnd"/>
      <w:r w:rsidR="00E26D0B" w:rsidRPr="009F0BEB">
        <w:t>-IRI.</w:t>
      </w:r>
      <w:r w:rsidR="009B3784" w:rsidRPr="009F0BEB">
        <w:t xml:space="preserve"> </w:t>
      </w:r>
      <w:r w:rsidR="00E26D0B" w:rsidRPr="009F0BEB">
        <w:t xml:space="preserve">The ICER increased slightly to </w:t>
      </w:r>
      <w:r w:rsidR="00762670">
        <w:t>$75,000-$105,000</w:t>
      </w:r>
      <w:r w:rsidR="00762C01" w:rsidRPr="009F0BEB">
        <w:t xml:space="preserve"> per LY gained (from $</w:t>
      </w:r>
      <w:r w:rsidR="00762670">
        <w:t>75,000 - $105,000</w:t>
      </w:r>
      <w:r w:rsidR="00762C01" w:rsidRPr="009F0BEB">
        <w:t>)</w:t>
      </w:r>
      <w:r w:rsidR="00E26D0B" w:rsidRPr="009F0BEB">
        <w:t>, which was presented as the revised base case.</w:t>
      </w:r>
    </w:p>
    <w:p w:rsidR="00307176" w:rsidRPr="009F0BEB" w:rsidRDefault="00720184" w:rsidP="006B2DC0">
      <w:pPr>
        <w:pStyle w:val="ListParagraph"/>
        <w:widowControl/>
        <w:numPr>
          <w:ilvl w:val="1"/>
          <w:numId w:val="3"/>
        </w:numPr>
      </w:pPr>
      <w:r w:rsidRPr="009F0BEB">
        <w:t xml:space="preserve">The ESC noted that the </w:t>
      </w:r>
      <w:r w:rsidR="009B3784" w:rsidRPr="009F0BEB">
        <w:t xml:space="preserve">PSCR did not provide sufficient </w:t>
      </w:r>
      <w:r w:rsidR="00C217A4" w:rsidRPr="009F0BEB">
        <w:t>justification</w:t>
      </w:r>
      <w:r w:rsidR="00131639" w:rsidRPr="009F0BEB">
        <w:t xml:space="preserve"> for the assumption of equal adverse event rates in the </w:t>
      </w:r>
      <w:proofErr w:type="spellStart"/>
      <w:r w:rsidR="00131639" w:rsidRPr="009F0BEB">
        <w:t>nal</w:t>
      </w:r>
      <w:proofErr w:type="spellEnd"/>
      <w:r w:rsidR="00131639" w:rsidRPr="009F0BEB">
        <w:t>-IRI and mFOLFOX6 arms.</w:t>
      </w:r>
      <w:r w:rsidR="009B3784" w:rsidRPr="009F0BEB">
        <w:t xml:space="preserve"> </w:t>
      </w:r>
      <w:r w:rsidR="00131639" w:rsidRPr="009F0BEB">
        <w:t>Other</w:t>
      </w:r>
      <w:r w:rsidR="00DE6B49" w:rsidRPr="009F0BEB">
        <w:t xml:space="preserve"> issues raised during the evaluation</w:t>
      </w:r>
      <w:r w:rsidRPr="009F0BEB">
        <w:t xml:space="preserve"> </w:t>
      </w:r>
      <w:proofErr w:type="gramStart"/>
      <w:r w:rsidRPr="009F0BEB">
        <w:t>remain,</w:t>
      </w:r>
      <w:proofErr w:type="gramEnd"/>
      <w:r w:rsidRPr="009F0BEB">
        <w:t xml:space="preserve"> including the post-progression treatment duration and the fact that mFOLFOX6 is the most expensive of the range of treatment options that could be replaced by </w:t>
      </w:r>
      <w:proofErr w:type="spellStart"/>
      <w:r w:rsidRPr="009F0BEB">
        <w:t>nal</w:t>
      </w:r>
      <w:proofErr w:type="spellEnd"/>
      <w:r w:rsidRPr="009F0BEB">
        <w:t>-IRI</w:t>
      </w:r>
      <w:r w:rsidR="009B3784" w:rsidRPr="009F0BEB">
        <w:t xml:space="preserve">. </w:t>
      </w:r>
      <w:r w:rsidR="00C00441" w:rsidRPr="009F0BEB">
        <w:t xml:space="preserve">The PBAC noted that there were higher rates of GCSF use in the </w:t>
      </w:r>
      <w:proofErr w:type="spellStart"/>
      <w:r w:rsidR="00C11326" w:rsidRPr="009F0BEB">
        <w:t>nal</w:t>
      </w:r>
      <w:proofErr w:type="spellEnd"/>
      <w:r w:rsidR="00C11326" w:rsidRPr="009F0BEB">
        <w:t>-IRI arm, and that the costs of this had not been included in the model.</w:t>
      </w:r>
    </w:p>
    <w:p w:rsidR="00DA17D8" w:rsidRPr="009F0BEB" w:rsidRDefault="00381393" w:rsidP="006B2DC0">
      <w:pPr>
        <w:widowControl/>
        <w:rPr>
          <w:rStyle w:val="CommentReference"/>
        </w:rPr>
      </w:pPr>
      <w:r w:rsidRPr="009F0BEB">
        <w:rPr>
          <w:rStyle w:val="CommentReference"/>
        </w:rPr>
        <w:t>Table 15</w:t>
      </w:r>
      <w:r w:rsidR="00DA17D8" w:rsidRPr="009F0BEB">
        <w:rPr>
          <w:rStyle w:val="CommentReference"/>
        </w:rPr>
        <w:t>: Results of the revised economic evaluation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42"/>
        <w:gridCol w:w="2454"/>
        <w:gridCol w:w="2314"/>
        <w:gridCol w:w="1573"/>
      </w:tblGrid>
      <w:tr w:rsidR="00DA17D8" w:rsidRPr="009F0BEB" w:rsidTr="00E3664C">
        <w:trPr>
          <w:tblHeader/>
        </w:trPr>
        <w:tc>
          <w:tcPr>
            <w:tcW w:w="1509" w:type="pct"/>
            <w:vAlign w:val="center"/>
          </w:tcPr>
          <w:p w:rsidR="00DA17D8" w:rsidRPr="009F0BEB" w:rsidRDefault="00DA17D8" w:rsidP="006B2DC0">
            <w:pPr>
              <w:pStyle w:val="Tabletext"/>
              <w:rPr>
                <w:b/>
              </w:rPr>
            </w:pPr>
            <w:r w:rsidRPr="009F0BEB">
              <w:rPr>
                <w:b/>
              </w:rPr>
              <w:t>Component</w:t>
            </w:r>
          </w:p>
        </w:tc>
        <w:tc>
          <w:tcPr>
            <w:tcW w:w="1351" w:type="pct"/>
            <w:vAlign w:val="center"/>
          </w:tcPr>
          <w:p w:rsidR="00DA17D8" w:rsidRPr="009F0BEB" w:rsidRDefault="00DA17D8" w:rsidP="006B2DC0">
            <w:pPr>
              <w:pStyle w:val="Tabletext"/>
              <w:jc w:val="center"/>
              <w:rPr>
                <w:b/>
              </w:rPr>
            </w:pPr>
            <w:proofErr w:type="spellStart"/>
            <w:r w:rsidRPr="009F0BEB">
              <w:rPr>
                <w:b/>
              </w:rPr>
              <w:t>Nal</w:t>
            </w:r>
            <w:proofErr w:type="spellEnd"/>
            <w:r w:rsidRPr="009F0BEB">
              <w:rPr>
                <w:b/>
              </w:rPr>
              <w:t>-IRI</w:t>
            </w:r>
          </w:p>
        </w:tc>
        <w:tc>
          <w:tcPr>
            <w:tcW w:w="1274" w:type="pct"/>
            <w:vAlign w:val="center"/>
          </w:tcPr>
          <w:p w:rsidR="00DA17D8" w:rsidRPr="009F0BEB" w:rsidRDefault="00DA17D8" w:rsidP="006B2DC0">
            <w:pPr>
              <w:pStyle w:val="Tabletext"/>
              <w:jc w:val="center"/>
              <w:rPr>
                <w:b/>
              </w:rPr>
            </w:pPr>
            <w:r w:rsidRPr="009F0BEB">
              <w:rPr>
                <w:b/>
              </w:rPr>
              <w:t>mFOLFOX6</w:t>
            </w:r>
          </w:p>
        </w:tc>
        <w:tc>
          <w:tcPr>
            <w:tcW w:w="866" w:type="pct"/>
            <w:vAlign w:val="center"/>
          </w:tcPr>
          <w:p w:rsidR="00DA17D8" w:rsidRPr="009F0BEB" w:rsidRDefault="00DA17D8" w:rsidP="006B2DC0">
            <w:pPr>
              <w:pStyle w:val="Tabletext"/>
              <w:jc w:val="center"/>
              <w:rPr>
                <w:b/>
              </w:rPr>
            </w:pPr>
            <w:r w:rsidRPr="009F0BEB">
              <w:rPr>
                <w:b/>
              </w:rPr>
              <w:t>Increment</w:t>
            </w:r>
          </w:p>
        </w:tc>
      </w:tr>
      <w:tr w:rsidR="00DA17D8" w:rsidRPr="009F0BEB" w:rsidTr="00E3664C">
        <w:tc>
          <w:tcPr>
            <w:tcW w:w="1509" w:type="pct"/>
            <w:vAlign w:val="center"/>
          </w:tcPr>
          <w:p w:rsidR="00DA17D8" w:rsidRPr="009F0BEB" w:rsidRDefault="00DA17D8" w:rsidP="006B2DC0">
            <w:pPr>
              <w:pStyle w:val="Tabletext"/>
            </w:pPr>
            <w:r w:rsidRPr="009F0BEB">
              <w:t>Costs</w:t>
            </w:r>
          </w:p>
        </w:tc>
        <w:tc>
          <w:tcPr>
            <w:tcW w:w="1351" w:type="pct"/>
            <w:vAlign w:val="center"/>
          </w:tcPr>
          <w:p w:rsidR="00DA17D8" w:rsidRPr="009F0BEB" w:rsidRDefault="00DA17D8" w:rsidP="006B2DC0">
            <w:pPr>
              <w:pStyle w:val="Tabletext"/>
              <w:jc w:val="center"/>
            </w:pPr>
            <w:r w:rsidRPr="009F0BEB">
              <w:t>$</w:t>
            </w:r>
            <w:r w:rsidR="00EE2E05">
              <w:rPr>
                <w:noProof/>
                <w:color w:val="000000"/>
                <w:highlight w:val="black"/>
              </w:rPr>
              <w:t>'''''''''''''''''''''''''</w:t>
            </w:r>
          </w:p>
        </w:tc>
        <w:tc>
          <w:tcPr>
            <w:tcW w:w="1274" w:type="pct"/>
            <w:vAlign w:val="center"/>
          </w:tcPr>
          <w:p w:rsidR="00DA17D8" w:rsidRPr="009F0BEB" w:rsidRDefault="00DA17D8" w:rsidP="006B2DC0">
            <w:pPr>
              <w:pStyle w:val="Tabletext"/>
              <w:jc w:val="center"/>
            </w:pPr>
            <w:r w:rsidRPr="009F0BEB">
              <w:t>$</w:t>
            </w:r>
            <w:r w:rsidR="00EE2E05">
              <w:rPr>
                <w:noProof/>
                <w:color w:val="000000"/>
                <w:highlight w:val="black"/>
              </w:rPr>
              <w:t>''''''''''''''''''''''''''</w:t>
            </w:r>
          </w:p>
        </w:tc>
        <w:tc>
          <w:tcPr>
            <w:tcW w:w="866" w:type="pct"/>
            <w:vAlign w:val="center"/>
          </w:tcPr>
          <w:p w:rsidR="00DA17D8" w:rsidRPr="009F0BEB" w:rsidRDefault="00DA17D8" w:rsidP="006B2DC0">
            <w:pPr>
              <w:pStyle w:val="Tabletext"/>
              <w:jc w:val="center"/>
            </w:pPr>
            <w:r w:rsidRPr="009F0BEB">
              <w:t>$</w:t>
            </w:r>
            <w:r w:rsidR="00EE2E05">
              <w:rPr>
                <w:noProof/>
                <w:color w:val="000000"/>
                <w:highlight w:val="black"/>
              </w:rPr>
              <w:t>''''''''''''''''''''''''</w:t>
            </w:r>
          </w:p>
        </w:tc>
      </w:tr>
      <w:tr w:rsidR="00DA17D8" w:rsidRPr="009F0BEB" w:rsidTr="00E3664C">
        <w:tc>
          <w:tcPr>
            <w:tcW w:w="1509" w:type="pct"/>
            <w:vAlign w:val="center"/>
          </w:tcPr>
          <w:p w:rsidR="00DA17D8" w:rsidRPr="009F0BEB" w:rsidRDefault="00DA17D8" w:rsidP="006B2DC0">
            <w:pPr>
              <w:pStyle w:val="Tabletext"/>
            </w:pPr>
            <w:r w:rsidRPr="009F0BEB">
              <w:t>Life years</w:t>
            </w:r>
          </w:p>
        </w:tc>
        <w:tc>
          <w:tcPr>
            <w:tcW w:w="1351" w:type="pct"/>
            <w:vAlign w:val="center"/>
          </w:tcPr>
          <w:p w:rsidR="00DA17D8" w:rsidRPr="00EE2E05" w:rsidRDefault="00EE2E05" w:rsidP="006B2DC0">
            <w:pPr>
              <w:pStyle w:val="Tabletext"/>
              <w:jc w:val="center"/>
              <w:rPr>
                <w:highlight w:val="black"/>
              </w:rPr>
            </w:pPr>
            <w:r>
              <w:rPr>
                <w:noProof/>
                <w:color w:val="000000"/>
                <w:highlight w:val="black"/>
              </w:rPr>
              <w:t>'''''''''''''''''</w:t>
            </w:r>
          </w:p>
        </w:tc>
        <w:tc>
          <w:tcPr>
            <w:tcW w:w="1274" w:type="pct"/>
            <w:vAlign w:val="center"/>
          </w:tcPr>
          <w:p w:rsidR="00DA17D8" w:rsidRPr="00EE2E05" w:rsidRDefault="00EE2E05" w:rsidP="006B2DC0">
            <w:pPr>
              <w:pStyle w:val="Tabletext"/>
              <w:jc w:val="center"/>
              <w:rPr>
                <w:highlight w:val="black"/>
              </w:rPr>
            </w:pPr>
            <w:r>
              <w:rPr>
                <w:noProof/>
                <w:color w:val="000000"/>
                <w:highlight w:val="black"/>
              </w:rPr>
              <w:t>'''''''''''''''</w:t>
            </w:r>
          </w:p>
        </w:tc>
        <w:tc>
          <w:tcPr>
            <w:tcW w:w="866" w:type="pct"/>
            <w:vAlign w:val="center"/>
          </w:tcPr>
          <w:p w:rsidR="00DA17D8" w:rsidRPr="00EE2E05" w:rsidRDefault="00EE2E05" w:rsidP="006B2DC0">
            <w:pPr>
              <w:pStyle w:val="Tabletext"/>
              <w:jc w:val="center"/>
              <w:rPr>
                <w:highlight w:val="black"/>
              </w:rPr>
            </w:pPr>
            <w:r>
              <w:rPr>
                <w:noProof/>
                <w:color w:val="000000"/>
                <w:highlight w:val="black"/>
              </w:rPr>
              <w:t>'''''''''''''''</w:t>
            </w:r>
          </w:p>
        </w:tc>
      </w:tr>
      <w:tr w:rsidR="00DA17D8" w:rsidRPr="009F0BEB" w:rsidTr="00E3664C">
        <w:tc>
          <w:tcPr>
            <w:tcW w:w="4134" w:type="pct"/>
            <w:gridSpan w:val="3"/>
            <w:vAlign w:val="center"/>
          </w:tcPr>
          <w:p w:rsidR="00DA17D8" w:rsidRPr="009F0BEB" w:rsidRDefault="00DA17D8" w:rsidP="006B2DC0">
            <w:pPr>
              <w:pStyle w:val="Tabletext"/>
              <w:rPr>
                <w:rFonts w:ascii="Times" w:hAnsi="Times"/>
                <w:b/>
                <w:snapToGrid w:val="0"/>
              </w:rPr>
            </w:pPr>
            <w:r w:rsidRPr="009F0BEB">
              <w:rPr>
                <w:b/>
              </w:rPr>
              <w:t>Incremental cost per life year gained</w:t>
            </w:r>
          </w:p>
        </w:tc>
        <w:tc>
          <w:tcPr>
            <w:tcW w:w="866" w:type="pct"/>
            <w:vAlign w:val="center"/>
          </w:tcPr>
          <w:p w:rsidR="00DA17D8" w:rsidRPr="009F0BEB" w:rsidRDefault="00DA17D8" w:rsidP="006B2DC0">
            <w:pPr>
              <w:pStyle w:val="Tabletext"/>
              <w:jc w:val="center"/>
              <w:rPr>
                <w:rFonts w:ascii="Times" w:hAnsi="Times"/>
                <w:b/>
              </w:rPr>
            </w:pPr>
            <w:r w:rsidRPr="009F0BEB">
              <w:rPr>
                <w:b/>
              </w:rPr>
              <w:t>$</w:t>
            </w:r>
            <w:r w:rsidR="00EE2E05">
              <w:rPr>
                <w:b/>
                <w:noProof/>
                <w:color w:val="000000"/>
                <w:highlight w:val="black"/>
              </w:rPr>
              <w:t>''''''''''''''</w:t>
            </w:r>
          </w:p>
        </w:tc>
      </w:tr>
    </w:tbl>
    <w:p w:rsidR="009B3784" w:rsidRDefault="00DA17D8" w:rsidP="00A1267F">
      <w:pPr>
        <w:pStyle w:val="TableFooter"/>
        <w:widowControl/>
      </w:pPr>
      <w:r w:rsidRPr="009F0BEB">
        <w:t>S</w:t>
      </w:r>
      <w:r w:rsidR="00A1267F">
        <w:t xml:space="preserve">ource: Table 1, p1 of the PSCR </w:t>
      </w:r>
    </w:p>
    <w:p w:rsidR="00A1267F" w:rsidRPr="009F0BEB" w:rsidRDefault="00A1267F" w:rsidP="00A1267F">
      <w:pPr>
        <w:pStyle w:val="TableFooter"/>
        <w:widowControl/>
      </w:pPr>
    </w:p>
    <w:p w:rsidR="00582B98" w:rsidRPr="009F0BEB" w:rsidRDefault="00582B98" w:rsidP="006B2DC0">
      <w:pPr>
        <w:pStyle w:val="ListParagraph"/>
        <w:widowControl/>
        <w:numPr>
          <w:ilvl w:val="1"/>
          <w:numId w:val="3"/>
        </w:numPr>
      </w:pPr>
      <w:r w:rsidRPr="009F0BEB">
        <w:t>Although th</w:t>
      </w:r>
      <w:r w:rsidR="00540DF3" w:rsidRPr="009F0BEB">
        <w:t>e use of incremental cost per life year</w:t>
      </w:r>
      <w:r w:rsidRPr="009F0BEB">
        <w:t xml:space="preserve"> gained may be reasonable, the result does not capture the impact of this disease on quality of life which is likely to be substantial in this particular setting (poor prognosis, treatments associated with considerable toxicities).</w:t>
      </w:r>
      <w:r w:rsidR="007741D9" w:rsidRPr="009F0BEB">
        <w:t xml:space="preserve"> The ESC noted that the updated literature search for published utility studies presented in the submission indicated that the utility value for pancreatic patients may be as low as 0.6. As such,</w:t>
      </w:r>
      <w:r w:rsidR="001C7F68" w:rsidRPr="009F0BEB">
        <w:t xml:space="preserve"> </w:t>
      </w:r>
      <w:r w:rsidR="007741D9" w:rsidRPr="009F0BEB">
        <w:t>t</w:t>
      </w:r>
      <w:r w:rsidR="001C7F68" w:rsidRPr="009F0BEB">
        <w:t>he ESC considered that the incremental cost per QALY gained would likely be</w:t>
      </w:r>
      <w:r w:rsidR="00250A1A" w:rsidRPr="009F0BEB">
        <w:t xml:space="preserve"> substantially</w:t>
      </w:r>
      <w:r w:rsidR="001C7F68" w:rsidRPr="009F0BEB">
        <w:t xml:space="preserve"> </w:t>
      </w:r>
      <w:r w:rsidR="00250A1A" w:rsidRPr="009F0BEB">
        <w:t>higher</w:t>
      </w:r>
      <w:r w:rsidR="007741D9" w:rsidRPr="009F0BEB">
        <w:t xml:space="preserve"> than the incremental cost per life year gained</w:t>
      </w:r>
      <w:r w:rsidR="00250A1A" w:rsidRPr="009F0BEB">
        <w:t xml:space="preserve"> and </w:t>
      </w:r>
      <w:r w:rsidR="00BF1201" w:rsidRPr="009F0BEB">
        <w:t>the ICER the</w:t>
      </w:r>
      <w:r w:rsidR="00250A1A" w:rsidRPr="009F0BEB">
        <w:t xml:space="preserve"> PBAC </w:t>
      </w:r>
      <w:r w:rsidR="00BF1201" w:rsidRPr="009F0BEB">
        <w:t xml:space="preserve">previously </w:t>
      </w:r>
      <w:r w:rsidR="00250A1A" w:rsidRPr="009F0BEB">
        <w:t xml:space="preserve">considered would be </w:t>
      </w:r>
      <w:proofErr w:type="gramStart"/>
      <w:r w:rsidR="00250A1A" w:rsidRPr="009F0BEB">
        <w:t>cost</w:t>
      </w:r>
      <w:r w:rsidR="00BF1201" w:rsidRPr="009F0BEB">
        <w:noBreakHyphen/>
      </w:r>
      <w:r w:rsidR="00307176" w:rsidRPr="009F0BEB">
        <w:t>effective</w:t>
      </w:r>
      <w:proofErr w:type="gramEnd"/>
      <w:r w:rsidR="00307176" w:rsidRPr="009F0BEB">
        <w:t xml:space="preserve"> for nab-paclitaxel</w:t>
      </w:r>
      <w:r w:rsidR="00250A1A" w:rsidRPr="009F0BEB">
        <w:t xml:space="preserve">. </w:t>
      </w:r>
      <w:r w:rsidR="00C11326" w:rsidRPr="009F0BEB">
        <w:t>The PBAC considered that the approach of using LY instead of QALYs was inappropriate.</w:t>
      </w:r>
    </w:p>
    <w:p w:rsidR="00C25D9C" w:rsidRPr="009F0BEB" w:rsidRDefault="007D54B4" w:rsidP="006B2DC0">
      <w:pPr>
        <w:pStyle w:val="ListParagraph"/>
        <w:widowControl/>
        <w:numPr>
          <w:ilvl w:val="1"/>
          <w:numId w:val="3"/>
        </w:numPr>
      </w:pPr>
      <w:r w:rsidRPr="009F0BEB">
        <w:t>The results of key sensitivity analyses are summarised below.</w:t>
      </w:r>
      <w:r w:rsidR="00BF1201" w:rsidRPr="009F0BEB">
        <w:t xml:space="preserve"> </w:t>
      </w:r>
      <w:r w:rsidR="00DF6723">
        <w:t>T</w:t>
      </w:r>
      <w:r w:rsidR="00BF1201" w:rsidRPr="009F0BEB">
        <w:t>hese were based on the original base case provided with the resubmission, not the revised base case provided in the PSCR.</w:t>
      </w:r>
    </w:p>
    <w:p w:rsidR="00540DF3" w:rsidRPr="009F0BEB" w:rsidRDefault="00381393" w:rsidP="002B0DE8">
      <w:pPr>
        <w:pStyle w:val="TableHeading0"/>
        <w:spacing w:after="0"/>
      </w:pPr>
      <w:r w:rsidRPr="009F0BEB">
        <w:lastRenderedPageBreak/>
        <w:t>Table 16</w:t>
      </w:r>
      <w:r w:rsidR="00540DF3" w:rsidRPr="009F0BEB">
        <w:t>: Results of key sensitivity analyses</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1701"/>
        <w:gridCol w:w="1133"/>
      </w:tblGrid>
      <w:tr w:rsidR="00611AE6" w:rsidRPr="009F0BEB" w:rsidTr="00540DF3">
        <w:trPr>
          <w:tblHeader/>
        </w:trPr>
        <w:tc>
          <w:tcPr>
            <w:tcW w:w="4678" w:type="dxa"/>
          </w:tcPr>
          <w:p w:rsidR="00611AE6" w:rsidRPr="009F0BEB" w:rsidRDefault="00611AE6" w:rsidP="002B0DE8">
            <w:pPr>
              <w:pStyle w:val="Tabletext"/>
              <w:keepNext/>
              <w:tabs>
                <w:tab w:val="left" w:pos="142"/>
              </w:tabs>
              <w:rPr>
                <w:b/>
              </w:rPr>
            </w:pPr>
          </w:p>
        </w:tc>
        <w:tc>
          <w:tcPr>
            <w:tcW w:w="1559" w:type="dxa"/>
          </w:tcPr>
          <w:p w:rsidR="00611AE6" w:rsidRPr="009F0BEB" w:rsidRDefault="00611AE6" w:rsidP="002B0DE8">
            <w:pPr>
              <w:pStyle w:val="Tabletext"/>
              <w:keepNext/>
              <w:jc w:val="center"/>
              <w:rPr>
                <w:b/>
              </w:rPr>
            </w:pPr>
            <w:r w:rsidRPr="009F0BEB">
              <w:rPr>
                <w:b/>
              </w:rPr>
              <w:t>Incremental cost</w:t>
            </w:r>
          </w:p>
        </w:tc>
        <w:tc>
          <w:tcPr>
            <w:tcW w:w="1701" w:type="dxa"/>
          </w:tcPr>
          <w:p w:rsidR="00611AE6" w:rsidRPr="009F0BEB" w:rsidRDefault="00611AE6" w:rsidP="002B0DE8">
            <w:pPr>
              <w:pStyle w:val="Tabletext"/>
              <w:keepNext/>
              <w:jc w:val="center"/>
              <w:rPr>
                <w:b/>
              </w:rPr>
            </w:pPr>
            <w:r w:rsidRPr="009F0BEB">
              <w:rPr>
                <w:b/>
              </w:rPr>
              <w:t>Incremental LY</w:t>
            </w:r>
          </w:p>
        </w:tc>
        <w:tc>
          <w:tcPr>
            <w:tcW w:w="1133" w:type="dxa"/>
          </w:tcPr>
          <w:p w:rsidR="00611AE6" w:rsidRPr="009F0BEB" w:rsidRDefault="00611AE6" w:rsidP="002B0DE8">
            <w:pPr>
              <w:pStyle w:val="Tabletext"/>
              <w:keepNext/>
              <w:jc w:val="center"/>
              <w:rPr>
                <w:b/>
              </w:rPr>
            </w:pPr>
            <w:r w:rsidRPr="009F0BEB">
              <w:rPr>
                <w:b/>
              </w:rPr>
              <w:t>ICER</w:t>
            </w:r>
          </w:p>
        </w:tc>
      </w:tr>
      <w:tr w:rsidR="00611AE6" w:rsidRPr="009F0BEB" w:rsidTr="00540DF3">
        <w:tc>
          <w:tcPr>
            <w:tcW w:w="9071" w:type="dxa"/>
            <w:gridSpan w:val="4"/>
          </w:tcPr>
          <w:p w:rsidR="00611AE6" w:rsidRPr="009F0BEB" w:rsidRDefault="00611AE6" w:rsidP="002B0DE8">
            <w:pPr>
              <w:pStyle w:val="Tabletext"/>
              <w:keepNext/>
              <w:rPr>
                <w:b/>
              </w:rPr>
            </w:pPr>
            <w:r w:rsidRPr="009F0BEB">
              <w:rPr>
                <w:b/>
              </w:rPr>
              <w:t>Univariate analyses</w:t>
            </w:r>
          </w:p>
        </w:tc>
      </w:tr>
      <w:tr w:rsidR="00611AE6" w:rsidRPr="009F0BEB" w:rsidTr="00540DF3">
        <w:tc>
          <w:tcPr>
            <w:tcW w:w="4678" w:type="dxa"/>
          </w:tcPr>
          <w:p w:rsidR="00611AE6" w:rsidRPr="009F0BEB" w:rsidRDefault="00611AE6" w:rsidP="002B0DE8">
            <w:pPr>
              <w:pStyle w:val="Tabletext"/>
              <w:keepNext/>
              <w:tabs>
                <w:tab w:val="left" w:pos="142"/>
              </w:tabs>
            </w:pPr>
            <w:r w:rsidRPr="009F0BEB">
              <w:t>Base case (irinotecan naïve subgroup)</w:t>
            </w:r>
          </w:p>
        </w:tc>
        <w:tc>
          <w:tcPr>
            <w:tcW w:w="1559" w:type="dxa"/>
          </w:tcPr>
          <w:p w:rsidR="00611AE6" w:rsidRPr="009F0BEB" w:rsidRDefault="00611AE6" w:rsidP="002B0DE8">
            <w:pPr>
              <w:pStyle w:val="Tabletext"/>
              <w:keepNext/>
              <w:jc w:val="center"/>
            </w:pPr>
            <w:r w:rsidRPr="009F0BEB">
              <w:t>$</w:t>
            </w:r>
            <w:r w:rsidR="00EE2E05">
              <w:rPr>
                <w:noProof/>
                <w:color w:val="000000"/>
                <w:highlight w:val="black"/>
              </w:rPr>
              <w:t>''''''''''''''''</w:t>
            </w:r>
          </w:p>
        </w:tc>
        <w:tc>
          <w:tcPr>
            <w:tcW w:w="1701" w:type="dxa"/>
          </w:tcPr>
          <w:p w:rsidR="00611AE6" w:rsidRPr="00EE2E05" w:rsidRDefault="00EE2E05" w:rsidP="002B0DE8">
            <w:pPr>
              <w:pStyle w:val="Tabletext"/>
              <w:keepNext/>
              <w:jc w:val="center"/>
              <w:rPr>
                <w:highlight w:val="black"/>
              </w:rPr>
            </w:pPr>
            <w:r>
              <w:rPr>
                <w:noProof/>
                <w:color w:val="000000"/>
                <w:highlight w:val="black"/>
              </w:rPr>
              <w:t>''''''''''''''''</w:t>
            </w:r>
          </w:p>
        </w:tc>
        <w:tc>
          <w:tcPr>
            <w:tcW w:w="1133" w:type="dxa"/>
          </w:tcPr>
          <w:p w:rsidR="00611AE6" w:rsidRPr="009F0BEB" w:rsidRDefault="00611AE6" w:rsidP="002B0DE8">
            <w:pPr>
              <w:pStyle w:val="Tabletext"/>
              <w:keepNext/>
              <w:jc w:val="center"/>
            </w:pPr>
            <w:r w:rsidRPr="009F0BEB">
              <w:t>$</w:t>
            </w:r>
            <w:r w:rsidR="00EE2E05">
              <w:rPr>
                <w:noProof/>
                <w:color w:val="000000"/>
                <w:highlight w:val="black"/>
              </w:rPr>
              <w:t>'''''''''''''''''</w:t>
            </w:r>
          </w:p>
        </w:tc>
      </w:tr>
      <w:tr w:rsidR="00611AE6" w:rsidRPr="009F0BEB" w:rsidTr="00540DF3">
        <w:tblPrEx>
          <w:tblCellMar>
            <w:left w:w="0" w:type="dxa"/>
            <w:right w:w="0" w:type="dxa"/>
          </w:tblCellMar>
        </w:tblPrEx>
        <w:tc>
          <w:tcPr>
            <w:tcW w:w="4678" w:type="dxa"/>
            <w:tcMar>
              <w:top w:w="0" w:type="dxa"/>
              <w:left w:w="108" w:type="dxa"/>
              <w:bottom w:w="0" w:type="dxa"/>
              <w:right w:w="108" w:type="dxa"/>
            </w:tcMar>
          </w:tcPr>
          <w:p w:rsidR="00611AE6" w:rsidRPr="009F0BEB" w:rsidRDefault="00611AE6" w:rsidP="002B0DE8">
            <w:pPr>
              <w:pStyle w:val="Tabletext"/>
              <w:keepNext/>
              <w:rPr>
                <w:vertAlign w:val="superscript"/>
              </w:rPr>
            </w:pPr>
            <w:r w:rsidRPr="009F0BEB">
              <w:t>Comparator (changing drug costs only)</w:t>
            </w:r>
            <w:r w:rsidRPr="009F0BEB">
              <w:rPr>
                <w:vertAlign w:val="superscript"/>
              </w:rPr>
              <w:t>a</w:t>
            </w:r>
          </w:p>
          <w:p w:rsidR="00611AE6" w:rsidRPr="009F0BEB" w:rsidRDefault="00611AE6" w:rsidP="002B0DE8">
            <w:pPr>
              <w:pStyle w:val="Tabletext"/>
              <w:keepNext/>
              <w:ind w:left="142"/>
              <w:rPr>
                <w:vertAlign w:val="superscript"/>
              </w:rPr>
            </w:pPr>
            <w:proofErr w:type="spellStart"/>
            <w:r w:rsidRPr="009F0BEB">
              <w:t>Capecitabine</w:t>
            </w:r>
            <w:proofErr w:type="spellEnd"/>
            <w:r w:rsidRPr="009F0BEB">
              <w:t xml:space="preserve"> monotherapy $28.70/week</w:t>
            </w:r>
          </w:p>
          <w:p w:rsidR="00611AE6" w:rsidRPr="009F0BEB" w:rsidRDefault="00611AE6" w:rsidP="002B0DE8">
            <w:pPr>
              <w:pStyle w:val="Tabletext"/>
              <w:keepNext/>
              <w:ind w:left="142"/>
              <w:rPr>
                <w:vertAlign w:val="superscript"/>
              </w:rPr>
            </w:pPr>
            <w:proofErr w:type="spellStart"/>
            <w:r w:rsidRPr="009F0BEB">
              <w:t>Capecitabine</w:t>
            </w:r>
            <w:proofErr w:type="spellEnd"/>
            <w:r w:rsidRPr="009F0BEB">
              <w:t xml:space="preserve"> monotherapy $46.82/week</w:t>
            </w:r>
          </w:p>
          <w:p w:rsidR="00611AE6" w:rsidRPr="009F0BEB" w:rsidRDefault="00611AE6" w:rsidP="002B0DE8">
            <w:pPr>
              <w:pStyle w:val="Tabletext"/>
              <w:keepNext/>
              <w:ind w:left="171"/>
              <w:rPr>
                <w:vertAlign w:val="superscript"/>
              </w:rPr>
            </w:pPr>
            <w:r w:rsidRPr="009F0BEB">
              <w:t>XELOX (</w:t>
            </w:r>
            <w:proofErr w:type="spellStart"/>
            <w:r w:rsidRPr="009F0BEB">
              <w:t>capecitabine</w:t>
            </w:r>
            <w:proofErr w:type="spellEnd"/>
            <w:r w:rsidRPr="009F0BEB">
              <w:t xml:space="preserve"> plus </w:t>
            </w:r>
            <w:proofErr w:type="spellStart"/>
            <w:r w:rsidRPr="009F0BEB">
              <w:t>oxaliplatin</w:t>
            </w:r>
            <w:proofErr w:type="spellEnd"/>
            <w:r w:rsidRPr="009F0BEB">
              <w:t>) $72.06/week</w:t>
            </w:r>
          </w:p>
        </w:tc>
        <w:tc>
          <w:tcPr>
            <w:tcW w:w="1559" w:type="dxa"/>
            <w:tcMar>
              <w:top w:w="0" w:type="dxa"/>
              <w:left w:w="108" w:type="dxa"/>
              <w:bottom w:w="0" w:type="dxa"/>
              <w:right w:w="108" w:type="dxa"/>
            </w:tcMar>
            <w:vAlign w:val="center"/>
          </w:tcPr>
          <w:p w:rsidR="00611AE6" w:rsidRPr="009F0BEB" w:rsidRDefault="00611AE6" w:rsidP="002B0DE8">
            <w:pPr>
              <w:pStyle w:val="Tabletext"/>
              <w:keepNext/>
              <w:jc w:val="center"/>
              <w:rPr>
                <w:bCs/>
              </w:rPr>
            </w:pPr>
          </w:p>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tc>
        <w:tc>
          <w:tcPr>
            <w:tcW w:w="1701" w:type="dxa"/>
            <w:tcMar>
              <w:top w:w="0" w:type="dxa"/>
              <w:left w:w="108" w:type="dxa"/>
              <w:bottom w:w="0" w:type="dxa"/>
              <w:right w:w="108" w:type="dxa"/>
            </w:tcMar>
            <w:vAlign w:val="center"/>
          </w:tcPr>
          <w:p w:rsidR="00611AE6" w:rsidRPr="00EE2E05" w:rsidRDefault="00611AE6" w:rsidP="002B0DE8">
            <w:pPr>
              <w:pStyle w:val="Tabletext"/>
              <w:keepNext/>
              <w:jc w:val="center"/>
              <w:rPr>
                <w:bCs/>
              </w:rPr>
            </w:pPr>
          </w:p>
          <w:p w:rsidR="00611AE6" w:rsidRPr="00EE2E05" w:rsidRDefault="00EE2E05" w:rsidP="002B0DE8">
            <w:pPr>
              <w:pStyle w:val="Tabletext"/>
              <w:keepNext/>
              <w:jc w:val="center"/>
              <w:rPr>
                <w:bCs/>
                <w:highlight w:val="black"/>
              </w:rPr>
            </w:pPr>
            <w:r>
              <w:rPr>
                <w:bCs/>
                <w:noProof/>
                <w:color w:val="000000"/>
                <w:highlight w:val="black"/>
              </w:rPr>
              <w:t>'''''''''''''''''</w:t>
            </w:r>
          </w:p>
          <w:p w:rsidR="00611AE6" w:rsidRPr="00EE2E05" w:rsidRDefault="00EE2E05" w:rsidP="002B0DE8">
            <w:pPr>
              <w:pStyle w:val="Tabletext"/>
              <w:keepNext/>
              <w:jc w:val="center"/>
              <w:rPr>
                <w:bCs/>
                <w:highlight w:val="black"/>
              </w:rPr>
            </w:pPr>
            <w:r>
              <w:rPr>
                <w:bCs/>
                <w:noProof/>
                <w:color w:val="000000"/>
                <w:highlight w:val="black"/>
              </w:rPr>
              <w:t>''''''''''''''''</w:t>
            </w:r>
          </w:p>
          <w:p w:rsidR="00611AE6" w:rsidRPr="00EE2E05" w:rsidRDefault="00EE2E05" w:rsidP="002B0DE8">
            <w:pPr>
              <w:pStyle w:val="Tabletext"/>
              <w:keepNext/>
              <w:jc w:val="center"/>
              <w:rPr>
                <w:bCs/>
                <w:highlight w:val="black"/>
              </w:rPr>
            </w:pPr>
            <w:r>
              <w:rPr>
                <w:bCs/>
                <w:noProof/>
                <w:color w:val="000000"/>
                <w:highlight w:val="black"/>
              </w:rPr>
              <w:t>'''''''''''''''''</w:t>
            </w:r>
          </w:p>
        </w:tc>
        <w:tc>
          <w:tcPr>
            <w:tcW w:w="1133" w:type="dxa"/>
            <w:tcMar>
              <w:top w:w="0" w:type="dxa"/>
              <w:left w:w="108" w:type="dxa"/>
              <w:bottom w:w="0" w:type="dxa"/>
              <w:right w:w="108" w:type="dxa"/>
            </w:tcMar>
            <w:vAlign w:val="center"/>
          </w:tcPr>
          <w:p w:rsidR="00611AE6" w:rsidRPr="009F0BEB" w:rsidRDefault="00611AE6" w:rsidP="002B0DE8">
            <w:pPr>
              <w:pStyle w:val="Tabletext"/>
              <w:keepNext/>
              <w:jc w:val="center"/>
              <w:rPr>
                <w:bCs/>
              </w:rPr>
            </w:pPr>
          </w:p>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tc>
      </w:tr>
      <w:tr w:rsidR="00611AE6" w:rsidRPr="009F0BEB" w:rsidTr="00540DF3">
        <w:tblPrEx>
          <w:tblCellMar>
            <w:left w:w="0" w:type="dxa"/>
            <w:right w:w="0" w:type="dxa"/>
          </w:tblCellMar>
        </w:tblPrEx>
        <w:tc>
          <w:tcPr>
            <w:tcW w:w="4678" w:type="dxa"/>
            <w:tcMar>
              <w:top w:w="0" w:type="dxa"/>
              <w:left w:w="108" w:type="dxa"/>
              <w:bottom w:w="0" w:type="dxa"/>
              <w:right w:w="108" w:type="dxa"/>
            </w:tcMar>
          </w:tcPr>
          <w:p w:rsidR="00611AE6" w:rsidRPr="009F0BEB" w:rsidRDefault="00611AE6" w:rsidP="002B0DE8">
            <w:pPr>
              <w:pStyle w:val="Tabletext"/>
              <w:keepNext/>
            </w:pPr>
            <w:r w:rsidRPr="009F0BEB">
              <w:t>Using same approach to costing irinotecan (</w:t>
            </w:r>
            <w:proofErr w:type="spellStart"/>
            <w:r w:rsidRPr="009F0BEB">
              <w:t>nanoliposomal</w:t>
            </w:r>
            <w:proofErr w:type="spellEnd"/>
            <w:r w:rsidRPr="009F0BEB">
              <w:t>) as other drugs (efficient vial combination 3×</w:t>
            </w:r>
            <w:r w:rsidR="00E3664C" w:rsidRPr="009F0BEB">
              <w:t>43 mg</w:t>
            </w:r>
            <w:r w:rsidRPr="009F0BEB">
              <w:t xml:space="preserve"> per cycle; $</w:t>
            </w:r>
            <w:r w:rsidR="00EE2E05">
              <w:rPr>
                <w:noProof/>
                <w:color w:val="000000"/>
                <w:highlight w:val="black"/>
              </w:rPr>
              <w:t>'''''''''''''''''''''</w:t>
            </w:r>
            <w:r w:rsidRPr="009F0BEB">
              <w:t>) applied to proportion on treatment</w:t>
            </w:r>
          </w:p>
        </w:tc>
        <w:tc>
          <w:tcPr>
            <w:tcW w:w="1559" w:type="dxa"/>
            <w:tcMar>
              <w:top w:w="0" w:type="dxa"/>
              <w:left w:w="108" w:type="dxa"/>
              <w:bottom w:w="0" w:type="dxa"/>
              <w:right w:w="108" w:type="dxa"/>
            </w:tcMar>
            <w:vAlign w:val="center"/>
          </w:tcPr>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tc>
        <w:tc>
          <w:tcPr>
            <w:tcW w:w="1701" w:type="dxa"/>
            <w:tcMar>
              <w:top w:w="0" w:type="dxa"/>
              <w:left w:w="108" w:type="dxa"/>
              <w:bottom w:w="0" w:type="dxa"/>
              <w:right w:w="108" w:type="dxa"/>
            </w:tcMar>
            <w:vAlign w:val="center"/>
          </w:tcPr>
          <w:p w:rsidR="00611AE6" w:rsidRPr="00EE2E05" w:rsidRDefault="00EE2E05" w:rsidP="002B0DE8">
            <w:pPr>
              <w:pStyle w:val="Tabletext"/>
              <w:keepNext/>
              <w:jc w:val="center"/>
              <w:rPr>
                <w:bCs/>
                <w:highlight w:val="black"/>
              </w:rPr>
            </w:pPr>
            <w:r>
              <w:rPr>
                <w:bCs/>
                <w:noProof/>
                <w:color w:val="000000"/>
                <w:highlight w:val="black"/>
              </w:rPr>
              <w:t>'''''''''''''''</w:t>
            </w:r>
          </w:p>
        </w:tc>
        <w:tc>
          <w:tcPr>
            <w:tcW w:w="1133" w:type="dxa"/>
            <w:tcMar>
              <w:top w:w="0" w:type="dxa"/>
              <w:left w:w="108" w:type="dxa"/>
              <w:bottom w:w="0" w:type="dxa"/>
              <w:right w:w="108" w:type="dxa"/>
            </w:tcMar>
            <w:vAlign w:val="center"/>
          </w:tcPr>
          <w:p w:rsidR="00611AE6" w:rsidRPr="009F0BEB" w:rsidRDefault="00611AE6" w:rsidP="002B0DE8">
            <w:pPr>
              <w:pStyle w:val="Tabletext"/>
              <w:keepNext/>
              <w:jc w:val="center"/>
              <w:rPr>
                <w:bCs/>
              </w:rPr>
            </w:pPr>
            <w:r w:rsidRPr="009F0BEB">
              <w:rPr>
                <w:bCs/>
              </w:rPr>
              <w:t>$</w:t>
            </w:r>
            <w:r w:rsidR="00EE2E05">
              <w:rPr>
                <w:bCs/>
                <w:noProof/>
                <w:color w:val="000000"/>
                <w:highlight w:val="black"/>
              </w:rPr>
              <w:t>''''''''''''''''''</w:t>
            </w:r>
          </w:p>
        </w:tc>
      </w:tr>
      <w:tr w:rsidR="00611AE6" w:rsidRPr="009F0BEB" w:rsidTr="00540DF3">
        <w:tc>
          <w:tcPr>
            <w:tcW w:w="4678" w:type="dxa"/>
            <w:tcBorders>
              <w:bottom w:val="double" w:sz="4" w:space="0" w:color="auto"/>
            </w:tcBorders>
          </w:tcPr>
          <w:p w:rsidR="00611AE6" w:rsidRPr="009F0BEB" w:rsidRDefault="00611AE6" w:rsidP="002B0DE8">
            <w:pPr>
              <w:pStyle w:val="Tabletext"/>
              <w:keepNext/>
              <w:tabs>
                <w:tab w:val="left" w:pos="142"/>
              </w:tabs>
            </w:pPr>
            <w:r w:rsidRPr="009F0BEB">
              <w:t>Alternative distributions for hospital vs. non-hospital costs for severe treatment-related adverse events</w:t>
            </w:r>
          </w:p>
          <w:p w:rsidR="00611AE6" w:rsidRPr="009F0BEB" w:rsidRDefault="00611AE6" w:rsidP="002B0DE8">
            <w:pPr>
              <w:pStyle w:val="Tabletext"/>
              <w:keepNext/>
              <w:tabs>
                <w:tab w:val="left" w:pos="142"/>
              </w:tabs>
              <w:ind w:left="142"/>
            </w:pPr>
            <w:r w:rsidRPr="009F0BEB">
              <w:t>25% hospitalised</w:t>
            </w:r>
          </w:p>
          <w:p w:rsidR="00611AE6" w:rsidRPr="009F0BEB" w:rsidRDefault="00611AE6" w:rsidP="002B0DE8">
            <w:pPr>
              <w:pStyle w:val="Tabletext"/>
              <w:keepNext/>
              <w:tabs>
                <w:tab w:val="left" w:pos="142"/>
              </w:tabs>
              <w:ind w:left="142"/>
            </w:pPr>
            <w:r w:rsidRPr="009F0BEB">
              <w:t>50% hospitalised</w:t>
            </w:r>
          </w:p>
          <w:p w:rsidR="00611AE6" w:rsidRPr="009F0BEB" w:rsidRDefault="00611AE6" w:rsidP="002B0DE8">
            <w:pPr>
              <w:pStyle w:val="Tabletext"/>
              <w:keepNext/>
              <w:tabs>
                <w:tab w:val="left" w:pos="142"/>
              </w:tabs>
              <w:ind w:left="142"/>
            </w:pPr>
            <w:r w:rsidRPr="009F0BEB">
              <w:t>75% hospitalised</w:t>
            </w:r>
          </w:p>
          <w:p w:rsidR="00611AE6" w:rsidRPr="009F0BEB" w:rsidRDefault="00611AE6" w:rsidP="002B0DE8">
            <w:pPr>
              <w:pStyle w:val="Tabletext"/>
              <w:keepNext/>
              <w:tabs>
                <w:tab w:val="left" w:pos="142"/>
              </w:tabs>
              <w:ind w:left="142"/>
            </w:pPr>
            <w:r w:rsidRPr="009F0BEB">
              <w:t>100% hospitalised</w:t>
            </w:r>
          </w:p>
        </w:tc>
        <w:tc>
          <w:tcPr>
            <w:tcW w:w="1559" w:type="dxa"/>
            <w:tcBorders>
              <w:bottom w:val="double" w:sz="4" w:space="0" w:color="auto"/>
            </w:tcBorders>
          </w:tcPr>
          <w:p w:rsidR="00611AE6" w:rsidRPr="009F0BEB" w:rsidRDefault="00611AE6" w:rsidP="002B0DE8">
            <w:pPr>
              <w:pStyle w:val="Tabletext"/>
              <w:keepNext/>
              <w:jc w:val="center"/>
            </w:pPr>
          </w:p>
          <w:p w:rsidR="00611AE6" w:rsidRPr="009F0BEB" w:rsidRDefault="00611AE6" w:rsidP="002B0DE8">
            <w:pPr>
              <w:pStyle w:val="Tabletext"/>
              <w:keepNext/>
              <w:jc w:val="center"/>
            </w:pPr>
          </w:p>
          <w:p w:rsidR="00611AE6" w:rsidRPr="009F0BEB" w:rsidRDefault="00611AE6" w:rsidP="002B0DE8">
            <w:pPr>
              <w:pStyle w:val="Tabletext"/>
              <w:keepNext/>
              <w:jc w:val="center"/>
            </w:pPr>
            <w:r w:rsidRPr="009F0BEB">
              <w:t>$</w:t>
            </w:r>
            <w:r w:rsidR="00EE2E05">
              <w:rPr>
                <w:noProof/>
                <w:color w:val="000000"/>
                <w:highlight w:val="black"/>
              </w:rPr>
              <w:t>''''''''''''''''</w:t>
            </w:r>
          </w:p>
          <w:p w:rsidR="00611AE6" w:rsidRPr="00EE2E05" w:rsidRDefault="00611AE6" w:rsidP="002B0DE8">
            <w:pPr>
              <w:pStyle w:val="Tabletext"/>
              <w:keepNext/>
              <w:jc w:val="center"/>
            </w:pPr>
            <w:r w:rsidRPr="009F0BEB">
              <w:t>$</w:t>
            </w:r>
            <w:r w:rsidR="00EE2E05">
              <w:rPr>
                <w:noProof/>
                <w:color w:val="000000"/>
                <w:highlight w:val="black"/>
              </w:rPr>
              <w:t>''''''''''''''''</w:t>
            </w:r>
          </w:p>
          <w:p w:rsidR="00611AE6" w:rsidRPr="009F0BEB" w:rsidRDefault="00611AE6" w:rsidP="002B0DE8">
            <w:pPr>
              <w:pStyle w:val="Tabletext"/>
              <w:keepNext/>
              <w:jc w:val="center"/>
            </w:pPr>
            <w:r w:rsidRPr="009F0BEB">
              <w:t>$</w:t>
            </w:r>
            <w:r w:rsidR="00EE2E05">
              <w:rPr>
                <w:noProof/>
                <w:color w:val="000000"/>
                <w:highlight w:val="black"/>
              </w:rPr>
              <w:t>''''''''''''''''</w:t>
            </w:r>
          </w:p>
          <w:p w:rsidR="00611AE6" w:rsidRPr="009F0BEB" w:rsidRDefault="00611AE6" w:rsidP="002B0DE8">
            <w:pPr>
              <w:pStyle w:val="Tabletext"/>
              <w:keepNext/>
              <w:jc w:val="center"/>
            </w:pPr>
            <w:r w:rsidRPr="009F0BEB">
              <w:t>$</w:t>
            </w:r>
            <w:r w:rsidR="00EE2E05">
              <w:rPr>
                <w:noProof/>
                <w:color w:val="000000"/>
                <w:highlight w:val="black"/>
              </w:rPr>
              <w:t>'''''''''''''''''</w:t>
            </w:r>
          </w:p>
        </w:tc>
        <w:tc>
          <w:tcPr>
            <w:tcW w:w="1701" w:type="dxa"/>
            <w:tcBorders>
              <w:bottom w:val="double" w:sz="4" w:space="0" w:color="auto"/>
            </w:tcBorders>
          </w:tcPr>
          <w:p w:rsidR="00611AE6" w:rsidRPr="00EE2E05" w:rsidRDefault="00611AE6" w:rsidP="002B0DE8">
            <w:pPr>
              <w:pStyle w:val="Tabletext"/>
              <w:keepNext/>
              <w:jc w:val="center"/>
            </w:pPr>
          </w:p>
          <w:p w:rsidR="00611AE6" w:rsidRPr="00EE2E05" w:rsidRDefault="00611AE6" w:rsidP="002B0DE8">
            <w:pPr>
              <w:pStyle w:val="Tabletext"/>
              <w:keepNext/>
              <w:jc w:val="center"/>
            </w:pPr>
          </w:p>
          <w:p w:rsidR="00611AE6" w:rsidRPr="00EE2E05" w:rsidRDefault="00EE2E05" w:rsidP="002B0DE8">
            <w:pPr>
              <w:pStyle w:val="Tabletext"/>
              <w:keepNext/>
              <w:jc w:val="center"/>
              <w:rPr>
                <w:highlight w:val="black"/>
              </w:rPr>
            </w:pPr>
            <w:r>
              <w:rPr>
                <w:noProof/>
                <w:color w:val="000000"/>
                <w:highlight w:val="black"/>
              </w:rPr>
              <w:t>''''''''''''''''''</w:t>
            </w:r>
          </w:p>
          <w:p w:rsidR="00611AE6" w:rsidRPr="00EE2E05" w:rsidRDefault="00EE2E05" w:rsidP="002B0DE8">
            <w:pPr>
              <w:pStyle w:val="Tabletext"/>
              <w:keepNext/>
              <w:jc w:val="center"/>
              <w:rPr>
                <w:highlight w:val="black"/>
              </w:rPr>
            </w:pPr>
            <w:r>
              <w:rPr>
                <w:noProof/>
                <w:color w:val="000000"/>
                <w:highlight w:val="black"/>
              </w:rPr>
              <w:t>'''''''''''''''''</w:t>
            </w:r>
          </w:p>
          <w:p w:rsidR="00611AE6" w:rsidRPr="00EE2E05" w:rsidRDefault="00EE2E05" w:rsidP="002B0DE8">
            <w:pPr>
              <w:pStyle w:val="Tabletext"/>
              <w:keepNext/>
              <w:jc w:val="center"/>
              <w:rPr>
                <w:highlight w:val="black"/>
              </w:rPr>
            </w:pPr>
            <w:r>
              <w:rPr>
                <w:noProof/>
                <w:color w:val="000000"/>
                <w:highlight w:val="black"/>
              </w:rPr>
              <w:t>'''''''''''''''</w:t>
            </w:r>
          </w:p>
          <w:p w:rsidR="00611AE6" w:rsidRPr="00EE2E05" w:rsidRDefault="00EE2E05" w:rsidP="002B0DE8">
            <w:pPr>
              <w:pStyle w:val="Tabletext"/>
              <w:keepNext/>
              <w:jc w:val="center"/>
              <w:rPr>
                <w:highlight w:val="black"/>
              </w:rPr>
            </w:pPr>
            <w:r>
              <w:rPr>
                <w:noProof/>
                <w:color w:val="000000"/>
                <w:highlight w:val="black"/>
              </w:rPr>
              <w:t>'''''''''''''''</w:t>
            </w:r>
          </w:p>
        </w:tc>
        <w:tc>
          <w:tcPr>
            <w:tcW w:w="1133" w:type="dxa"/>
            <w:tcBorders>
              <w:bottom w:val="double" w:sz="4" w:space="0" w:color="auto"/>
            </w:tcBorders>
          </w:tcPr>
          <w:p w:rsidR="00611AE6" w:rsidRPr="009F0BEB" w:rsidRDefault="00611AE6" w:rsidP="002B0DE8">
            <w:pPr>
              <w:pStyle w:val="Tabletext"/>
              <w:keepNext/>
              <w:jc w:val="center"/>
            </w:pPr>
          </w:p>
          <w:p w:rsidR="00611AE6" w:rsidRPr="009F0BEB" w:rsidRDefault="00611AE6" w:rsidP="002B0DE8">
            <w:pPr>
              <w:pStyle w:val="Tabletext"/>
              <w:keepNext/>
              <w:jc w:val="center"/>
            </w:pPr>
          </w:p>
          <w:p w:rsidR="00611AE6" w:rsidRPr="009F0BEB" w:rsidRDefault="00611AE6" w:rsidP="002B0DE8">
            <w:pPr>
              <w:pStyle w:val="Tabletext"/>
              <w:keepNext/>
              <w:jc w:val="center"/>
            </w:pPr>
            <w:r w:rsidRPr="009F0BEB">
              <w:t>$</w:t>
            </w:r>
            <w:r w:rsidR="00EE2E05">
              <w:rPr>
                <w:noProof/>
                <w:color w:val="000000"/>
                <w:highlight w:val="black"/>
              </w:rPr>
              <w:t>'''''''''''''''</w:t>
            </w:r>
          </w:p>
          <w:p w:rsidR="00611AE6" w:rsidRPr="009F0BEB" w:rsidRDefault="00611AE6" w:rsidP="002B0DE8">
            <w:pPr>
              <w:pStyle w:val="Tabletext"/>
              <w:keepNext/>
              <w:jc w:val="center"/>
            </w:pPr>
            <w:r w:rsidRPr="009F0BEB">
              <w:t>$</w:t>
            </w:r>
            <w:r w:rsidR="00EE2E05">
              <w:rPr>
                <w:noProof/>
                <w:color w:val="000000"/>
                <w:highlight w:val="black"/>
              </w:rPr>
              <w:t>'''''''''''''''''</w:t>
            </w:r>
          </w:p>
          <w:p w:rsidR="00611AE6" w:rsidRPr="009F0BEB" w:rsidRDefault="00611AE6" w:rsidP="002B0DE8">
            <w:pPr>
              <w:pStyle w:val="Tabletext"/>
              <w:keepNext/>
              <w:jc w:val="center"/>
            </w:pPr>
            <w:r w:rsidRPr="009F0BEB">
              <w:t>$</w:t>
            </w:r>
            <w:r w:rsidR="00EE2E05">
              <w:rPr>
                <w:noProof/>
                <w:color w:val="000000"/>
                <w:highlight w:val="black"/>
              </w:rPr>
              <w:t>''''''''''''''''</w:t>
            </w:r>
          </w:p>
          <w:p w:rsidR="00611AE6" w:rsidRPr="009F0BEB" w:rsidRDefault="00611AE6" w:rsidP="002B0DE8">
            <w:pPr>
              <w:pStyle w:val="Tabletext"/>
              <w:keepNext/>
              <w:jc w:val="center"/>
            </w:pPr>
            <w:r w:rsidRPr="009F0BEB">
              <w:t>$</w:t>
            </w:r>
            <w:r w:rsidR="00EE2E05">
              <w:rPr>
                <w:noProof/>
                <w:color w:val="000000"/>
                <w:highlight w:val="black"/>
              </w:rPr>
              <w:t>'''''''''''''''</w:t>
            </w:r>
          </w:p>
        </w:tc>
      </w:tr>
      <w:tr w:rsidR="00540DF3" w:rsidRPr="009F0BEB" w:rsidTr="00540DF3">
        <w:tc>
          <w:tcPr>
            <w:tcW w:w="4678" w:type="dxa"/>
            <w:tcBorders>
              <w:top w:val="double" w:sz="4" w:space="0" w:color="auto"/>
              <w:left w:val="single" w:sz="8" w:space="0" w:color="auto"/>
              <w:bottom w:val="single" w:sz="8" w:space="0" w:color="auto"/>
              <w:right w:val="single" w:sz="8" w:space="0" w:color="auto"/>
            </w:tcBorders>
          </w:tcPr>
          <w:p w:rsidR="00540DF3" w:rsidRPr="009F0BEB" w:rsidRDefault="00540DF3" w:rsidP="002B0DE8">
            <w:pPr>
              <w:pStyle w:val="Tabletext"/>
              <w:keepNext/>
              <w:tabs>
                <w:tab w:val="left" w:pos="142"/>
              </w:tabs>
            </w:pPr>
            <w:r w:rsidRPr="009F0BEB">
              <w:t>ITT population survival benefit</w:t>
            </w:r>
          </w:p>
        </w:tc>
        <w:tc>
          <w:tcPr>
            <w:tcW w:w="1559" w:type="dxa"/>
            <w:tcBorders>
              <w:top w:val="double" w:sz="4" w:space="0" w:color="auto"/>
              <w:left w:val="single" w:sz="8" w:space="0" w:color="auto"/>
              <w:bottom w:val="single" w:sz="8" w:space="0" w:color="auto"/>
              <w:right w:val="single" w:sz="8" w:space="0" w:color="auto"/>
            </w:tcBorders>
          </w:tcPr>
          <w:p w:rsidR="00540DF3" w:rsidRPr="009F0BEB" w:rsidRDefault="00540DF3" w:rsidP="002B0DE8">
            <w:pPr>
              <w:pStyle w:val="Tabletext"/>
              <w:keepNext/>
              <w:jc w:val="center"/>
            </w:pPr>
            <w:r w:rsidRPr="009F0BEB">
              <w:t>$</w:t>
            </w:r>
            <w:r w:rsidR="00EE2E05">
              <w:rPr>
                <w:noProof/>
                <w:color w:val="000000"/>
                <w:highlight w:val="black"/>
              </w:rPr>
              <w:t>''''''''''''''''''</w:t>
            </w:r>
          </w:p>
        </w:tc>
        <w:tc>
          <w:tcPr>
            <w:tcW w:w="1701" w:type="dxa"/>
            <w:tcBorders>
              <w:top w:val="double" w:sz="4" w:space="0" w:color="auto"/>
              <w:left w:val="single" w:sz="8" w:space="0" w:color="auto"/>
              <w:bottom w:val="single" w:sz="8" w:space="0" w:color="auto"/>
              <w:right w:val="single" w:sz="8" w:space="0" w:color="auto"/>
            </w:tcBorders>
          </w:tcPr>
          <w:p w:rsidR="00540DF3" w:rsidRPr="00EE2E05" w:rsidRDefault="00EE2E05" w:rsidP="002B0DE8">
            <w:pPr>
              <w:pStyle w:val="Tabletext"/>
              <w:keepNext/>
              <w:jc w:val="center"/>
              <w:rPr>
                <w:highlight w:val="black"/>
              </w:rPr>
            </w:pPr>
            <w:r>
              <w:rPr>
                <w:noProof/>
                <w:color w:val="000000"/>
                <w:highlight w:val="black"/>
              </w:rPr>
              <w:t>''''''''''''''''</w:t>
            </w:r>
          </w:p>
        </w:tc>
        <w:tc>
          <w:tcPr>
            <w:tcW w:w="1133" w:type="dxa"/>
            <w:tcBorders>
              <w:top w:val="double" w:sz="4" w:space="0" w:color="auto"/>
              <w:left w:val="single" w:sz="8" w:space="0" w:color="auto"/>
              <w:bottom w:val="single" w:sz="8" w:space="0" w:color="auto"/>
              <w:right w:val="single" w:sz="8" w:space="0" w:color="auto"/>
            </w:tcBorders>
          </w:tcPr>
          <w:p w:rsidR="00540DF3" w:rsidRPr="009F0BEB" w:rsidRDefault="00540DF3" w:rsidP="002B0DE8">
            <w:pPr>
              <w:pStyle w:val="Tabletext"/>
              <w:keepNext/>
              <w:jc w:val="center"/>
            </w:pPr>
            <w:r w:rsidRPr="009F0BEB">
              <w:t>$</w:t>
            </w:r>
            <w:r w:rsidR="00EE2E05">
              <w:rPr>
                <w:noProof/>
                <w:color w:val="000000"/>
                <w:highlight w:val="black"/>
              </w:rPr>
              <w:t>''''''''''''''''</w:t>
            </w:r>
          </w:p>
        </w:tc>
      </w:tr>
      <w:tr w:rsidR="00540DF3" w:rsidRPr="009F0BEB" w:rsidTr="00540DF3">
        <w:tc>
          <w:tcPr>
            <w:tcW w:w="4678" w:type="dxa"/>
            <w:tcBorders>
              <w:top w:val="single" w:sz="8" w:space="0" w:color="auto"/>
            </w:tcBorders>
          </w:tcPr>
          <w:p w:rsidR="00540DF3" w:rsidRPr="009F0BEB" w:rsidRDefault="00540DF3" w:rsidP="002B0DE8">
            <w:pPr>
              <w:pStyle w:val="Tabletext"/>
              <w:keepNext/>
              <w:rPr>
                <w:vertAlign w:val="superscript"/>
              </w:rPr>
            </w:pPr>
            <w:r w:rsidRPr="009F0BEB">
              <w:t>Comparator (changing drug costs only)</w:t>
            </w:r>
            <w:r w:rsidRPr="009F0BEB">
              <w:rPr>
                <w:vertAlign w:val="superscript"/>
              </w:rPr>
              <w:t>a</w:t>
            </w:r>
          </w:p>
          <w:p w:rsidR="00540DF3" w:rsidRPr="009F0BEB" w:rsidRDefault="00540DF3" w:rsidP="002B0DE8">
            <w:pPr>
              <w:pStyle w:val="Tabletext"/>
              <w:keepNext/>
              <w:ind w:left="142"/>
              <w:rPr>
                <w:vertAlign w:val="superscript"/>
              </w:rPr>
            </w:pPr>
            <w:proofErr w:type="spellStart"/>
            <w:r w:rsidRPr="009F0BEB">
              <w:t>Capecitabine</w:t>
            </w:r>
            <w:proofErr w:type="spellEnd"/>
            <w:r w:rsidRPr="009F0BEB">
              <w:t xml:space="preserve"> monotherapy $29.33/week</w:t>
            </w:r>
          </w:p>
          <w:p w:rsidR="00540DF3" w:rsidRPr="009F0BEB" w:rsidRDefault="00540DF3" w:rsidP="002B0DE8">
            <w:pPr>
              <w:pStyle w:val="Tabletext"/>
              <w:keepNext/>
              <w:tabs>
                <w:tab w:val="left" w:pos="3520"/>
              </w:tabs>
              <w:ind w:left="142"/>
              <w:rPr>
                <w:vertAlign w:val="superscript"/>
              </w:rPr>
            </w:pPr>
            <w:proofErr w:type="spellStart"/>
            <w:r w:rsidRPr="009F0BEB">
              <w:t>Capecitabine</w:t>
            </w:r>
            <w:proofErr w:type="spellEnd"/>
            <w:r w:rsidRPr="009F0BEB">
              <w:t xml:space="preserve"> monotherapy $47.86/week</w:t>
            </w:r>
            <w:r w:rsidRPr="009F0BEB">
              <w:tab/>
            </w:r>
          </w:p>
          <w:p w:rsidR="00540DF3" w:rsidRPr="009F0BEB" w:rsidRDefault="00540DF3" w:rsidP="002B0DE8">
            <w:pPr>
              <w:pStyle w:val="Tabletext"/>
              <w:keepNext/>
              <w:tabs>
                <w:tab w:val="left" w:pos="142"/>
              </w:tabs>
            </w:pPr>
            <w:r w:rsidRPr="009F0BEB">
              <w:t>XELOX (</w:t>
            </w:r>
            <w:proofErr w:type="spellStart"/>
            <w:r w:rsidRPr="009F0BEB">
              <w:t>capecitabine</w:t>
            </w:r>
            <w:proofErr w:type="spellEnd"/>
            <w:r w:rsidRPr="009F0BEB">
              <w:t xml:space="preserve"> plus </w:t>
            </w:r>
            <w:proofErr w:type="spellStart"/>
            <w:r w:rsidRPr="009F0BEB">
              <w:t>oxaliplatin</w:t>
            </w:r>
            <w:proofErr w:type="spellEnd"/>
            <w:r w:rsidRPr="009F0BEB">
              <w:t>) $72.57/week</w:t>
            </w:r>
          </w:p>
        </w:tc>
        <w:tc>
          <w:tcPr>
            <w:tcW w:w="1559" w:type="dxa"/>
            <w:tcBorders>
              <w:top w:val="single" w:sz="8" w:space="0" w:color="auto"/>
            </w:tcBorders>
            <w:vAlign w:val="center"/>
          </w:tcPr>
          <w:p w:rsidR="00540DF3" w:rsidRPr="009F0BEB" w:rsidRDefault="00540DF3" w:rsidP="002B0DE8">
            <w:pPr>
              <w:pStyle w:val="Tabletext"/>
              <w:keepNext/>
              <w:jc w:val="center"/>
              <w:rPr>
                <w:bCs/>
              </w:rPr>
            </w:pPr>
          </w:p>
          <w:p w:rsidR="00540DF3" w:rsidRPr="009F0BEB" w:rsidRDefault="00540DF3" w:rsidP="002B0DE8">
            <w:pPr>
              <w:pStyle w:val="Tabletext"/>
              <w:keepNext/>
              <w:jc w:val="center"/>
              <w:rPr>
                <w:bCs/>
              </w:rPr>
            </w:pPr>
            <w:r w:rsidRPr="009F0BEB">
              <w:rPr>
                <w:bCs/>
              </w:rPr>
              <w:t>$</w:t>
            </w:r>
            <w:r w:rsidR="00EE2E05">
              <w:rPr>
                <w:bCs/>
                <w:noProof/>
                <w:color w:val="000000"/>
                <w:highlight w:val="black"/>
              </w:rPr>
              <w:t>''''''''''''''''</w:t>
            </w:r>
          </w:p>
          <w:p w:rsidR="00540DF3" w:rsidRPr="009F0BEB" w:rsidRDefault="00540DF3" w:rsidP="002B0DE8">
            <w:pPr>
              <w:pStyle w:val="Tabletext"/>
              <w:keepNext/>
              <w:jc w:val="center"/>
              <w:rPr>
                <w:bCs/>
              </w:rPr>
            </w:pPr>
            <w:r w:rsidRPr="009F0BEB">
              <w:rPr>
                <w:bCs/>
              </w:rPr>
              <w:t>$</w:t>
            </w:r>
            <w:r w:rsidR="00EE2E05">
              <w:rPr>
                <w:bCs/>
                <w:noProof/>
                <w:color w:val="000000"/>
                <w:highlight w:val="black"/>
              </w:rPr>
              <w:t>'''''''''''''''''</w:t>
            </w:r>
          </w:p>
          <w:p w:rsidR="00540DF3" w:rsidRPr="009F0BEB" w:rsidRDefault="00540DF3" w:rsidP="002B0DE8">
            <w:pPr>
              <w:pStyle w:val="Tabletext"/>
              <w:keepNext/>
              <w:jc w:val="center"/>
            </w:pPr>
            <w:r w:rsidRPr="009F0BEB">
              <w:rPr>
                <w:bCs/>
              </w:rPr>
              <w:t>$</w:t>
            </w:r>
            <w:r w:rsidR="00EE2E05">
              <w:rPr>
                <w:bCs/>
                <w:noProof/>
                <w:color w:val="000000"/>
                <w:highlight w:val="black"/>
              </w:rPr>
              <w:t>''''''''''''''''</w:t>
            </w:r>
          </w:p>
        </w:tc>
        <w:tc>
          <w:tcPr>
            <w:tcW w:w="1701" w:type="dxa"/>
            <w:tcBorders>
              <w:top w:val="single" w:sz="8" w:space="0" w:color="auto"/>
            </w:tcBorders>
            <w:vAlign w:val="center"/>
          </w:tcPr>
          <w:p w:rsidR="00540DF3" w:rsidRPr="00EE2E05" w:rsidRDefault="00540DF3" w:rsidP="002B0DE8">
            <w:pPr>
              <w:pStyle w:val="Tabletext"/>
              <w:keepNext/>
              <w:jc w:val="center"/>
              <w:rPr>
                <w:bCs/>
              </w:rPr>
            </w:pPr>
          </w:p>
          <w:p w:rsidR="00540DF3" w:rsidRPr="00EE2E05" w:rsidRDefault="00EE2E05" w:rsidP="002B0DE8">
            <w:pPr>
              <w:pStyle w:val="Tabletext"/>
              <w:keepNext/>
              <w:jc w:val="center"/>
              <w:rPr>
                <w:bCs/>
                <w:highlight w:val="black"/>
              </w:rPr>
            </w:pPr>
            <w:r>
              <w:rPr>
                <w:bCs/>
                <w:noProof/>
                <w:color w:val="000000"/>
                <w:highlight w:val="black"/>
              </w:rPr>
              <w:t>'''''''''''''''''</w:t>
            </w:r>
          </w:p>
          <w:p w:rsidR="00540DF3" w:rsidRPr="00EE2E05" w:rsidRDefault="00EE2E05" w:rsidP="002B0DE8">
            <w:pPr>
              <w:pStyle w:val="Tabletext"/>
              <w:keepNext/>
              <w:jc w:val="center"/>
              <w:rPr>
                <w:bCs/>
                <w:highlight w:val="black"/>
              </w:rPr>
            </w:pPr>
            <w:r>
              <w:rPr>
                <w:bCs/>
                <w:noProof/>
                <w:color w:val="000000"/>
                <w:highlight w:val="black"/>
              </w:rPr>
              <w:t>'''''''''''''''</w:t>
            </w:r>
          </w:p>
          <w:p w:rsidR="00540DF3" w:rsidRPr="00EE2E05" w:rsidRDefault="00EE2E05" w:rsidP="002B0DE8">
            <w:pPr>
              <w:pStyle w:val="Tabletext"/>
              <w:keepNext/>
              <w:jc w:val="center"/>
              <w:rPr>
                <w:highlight w:val="black"/>
              </w:rPr>
            </w:pPr>
            <w:r>
              <w:rPr>
                <w:bCs/>
                <w:noProof/>
                <w:color w:val="000000"/>
                <w:highlight w:val="black"/>
              </w:rPr>
              <w:t>'''''''''''''''''</w:t>
            </w:r>
          </w:p>
        </w:tc>
        <w:tc>
          <w:tcPr>
            <w:tcW w:w="1133" w:type="dxa"/>
            <w:tcBorders>
              <w:top w:val="single" w:sz="8" w:space="0" w:color="auto"/>
            </w:tcBorders>
            <w:vAlign w:val="center"/>
          </w:tcPr>
          <w:p w:rsidR="00540DF3" w:rsidRPr="009F0BEB" w:rsidRDefault="00540DF3" w:rsidP="002B0DE8">
            <w:pPr>
              <w:pStyle w:val="Tabletext"/>
              <w:keepNext/>
              <w:jc w:val="center"/>
              <w:rPr>
                <w:bCs/>
              </w:rPr>
            </w:pPr>
          </w:p>
          <w:p w:rsidR="00540DF3" w:rsidRPr="009F0BEB" w:rsidRDefault="00540DF3" w:rsidP="002B0DE8">
            <w:pPr>
              <w:pStyle w:val="Tabletext"/>
              <w:keepNext/>
              <w:jc w:val="center"/>
              <w:rPr>
                <w:bCs/>
              </w:rPr>
            </w:pPr>
            <w:r w:rsidRPr="009F0BEB">
              <w:rPr>
                <w:bCs/>
              </w:rPr>
              <w:t>$</w:t>
            </w:r>
            <w:r w:rsidR="00EE2E05">
              <w:rPr>
                <w:bCs/>
                <w:noProof/>
                <w:color w:val="000000"/>
                <w:highlight w:val="black"/>
              </w:rPr>
              <w:t>'''''''''''''''</w:t>
            </w:r>
          </w:p>
          <w:p w:rsidR="00540DF3" w:rsidRPr="009F0BEB" w:rsidRDefault="00540DF3" w:rsidP="002B0DE8">
            <w:pPr>
              <w:pStyle w:val="Tabletext"/>
              <w:keepNext/>
              <w:jc w:val="center"/>
              <w:rPr>
                <w:bCs/>
              </w:rPr>
            </w:pPr>
            <w:r w:rsidRPr="009F0BEB">
              <w:rPr>
                <w:bCs/>
              </w:rPr>
              <w:t>$</w:t>
            </w:r>
            <w:r w:rsidR="00EE2E05">
              <w:rPr>
                <w:bCs/>
                <w:noProof/>
                <w:color w:val="000000"/>
                <w:highlight w:val="black"/>
              </w:rPr>
              <w:t>''''''''''''''''</w:t>
            </w:r>
          </w:p>
          <w:p w:rsidR="00540DF3" w:rsidRPr="009F0BEB" w:rsidRDefault="00540DF3" w:rsidP="002B0DE8">
            <w:pPr>
              <w:pStyle w:val="Tabletext"/>
              <w:keepNext/>
              <w:jc w:val="center"/>
            </w:pPr>
            <w:r w:rsidRPr="009F0BEB">
              <w:rPr>
                <w:bCs/>
              </w:rPr>
              <w:t>$</w:t>
            </w:r>
            <w:r w:rsidR="00EE2E05">
              <w:rPr>
                <w:bCs/>
                <w:noProof/>
                <w:color w:val="000000"/>
                <w:highlight w:val="black"/>
              </w:rPr>
              <w:t>'''''''''''''''</w:t>
            </w:r>
          </w:p>
        </w:tc>
      </w:tr>
      <w:tr w:rsidR="00540DF3" w:rsidRPr="009F0BEB" w:rsidTr="00540DF3">
        <w:tc>
          <w:tcPr>
            <w:tcW w:w="4678" w:type="dxa"/>
          </w:tcPr>
          <w:p w:rsidR="00540DF3" w:rsidRPr="009F0BEB" w:rsidRDefault="00540DF3" w:rsidP="002B0DE8">
            <w:pPr>
              <w:pStyle w:val="Tabletext"/>
              <w:keepNext/>
            </w:pPr>
            <w:r w:rsidRPr="009F0BEB">
              <w:t>Using same approach to costing irinotecan (</w:t>
            </w:r>
            <w:proofErr w:type="spellStart"/>
            <w:r w:rsidRPr="009F0BEB">
              <w:t>nanoliposomal</w:t>
            </w:r>
            <w:proofErr w:type="spellEnd"/>
            <w:r w:rsidRPr="009F0BEB">
              <w:t>) as other drugs (efficient vial combination 3×</w:t>
            </w:r>
            <w:r w:rsidR="00E3664C" w:rsidRPr="009F0BEB">
              <w:t>43</w:t>
            </w:r>
            <w:r w:rsidR="00DA17D8" w:rsidRPr="009F0BEB">
              <w:t>mg</w:t>
            </w:r>
            <w:r w:rsidR="00605C0C" w:rsidRPr="009F0BEB">
              <w:t xml:space="preserve"> </w:t>
            </w:r>
            <w:r w:rsidRPr="009F0BEB">
              <w:t>per cycle; $</w:t>
            </w:r>
            <w:r w:rsidR="00EE2E05">
              <w:rPr>
                <w:noProof/>
                <w:color w:val="000000"/>
                <w:highlight w:val="black"/>
              </w:rPr>
              <w:t>''''''''''''''''''''</w:t>
            </w:r>
            <w:r w:rsidRPr="009F0BEB">
              <w:t>) applied to proportion on treatment</w:t>
            </w:r>
          </w:p>
        </w:tc>
        <w:tc>
          <w:tcPr>
            <w:tcW w:w="1559" w:type="dxa"/>
            <w:vAlign w:val="center"/>
          </w:tcPr>
          <w:p w:rsidR="00540DF3" w:rsidRPr="009F0BEB" w:rsidRDefault="00540DF3" w:rsidP="002B0DE8">
            <w:pPr>
              <w:pStyle w:val="Tabletext"/>
              <w:keepNext/>
              <w:jc w:val="center"/>
              <w:rPr>
                <w:bCs/>
              </w:rPr>
            </w:pPr>
            <w:r w:rsidRPr="009F0BEB">
              <w:rPr>
                <w:bCs/>
              </w:rPr>
              <w:t>$</w:t>
            </w:r>
            <w:r w:rsidR="00EE2E05">
              <w:rPr>
                <w:bCs/>
                <w:noProof/>
                <w:color w:val="000000"/>
                <w:highlight w:val="black"/>
              </w:rPr>
              <w:t>''''''''''''''''</w:t>
            </w:r>
          </w:p>
        </w:tc>
        <w:tc>
          <w:tcPr>
            <w:tcW w:w="1701" w:type="dxa"/>
            <w:vAlign w:val="center"/>
          </w:tcPr>
          <w:p w:rsidR="00540DF3" w:rsidRPr="00EE2E05" w:rsidRDefault="00EE2E05" w:rsidP="002B0DE8">
            <w:pPr>
              <w:pStyle w:val="Tabletext"/>
              <w:keepNext/>
              <w:jc w:val="center"/>
              <w:rPr>
                <w:bCs/>
                <w:highlight w:val="black"/>
              </w:rPr>
            </w:pPr>
            <w:r>
              <w:rPr>
                <w:bCs/>
                <w:noProof/>
                <w:color w:val="000000"/>
                <w:highlight w:val="black"/>
              </w:rPr>
              <w:t>''''''''''''''''</w:t>
            </w:r>
          </w:p>
        </w:tc>
        <w:tc>
          <w:tcPr>
            <w:tcW w:w="1133" w:type="dxa"/>
            <w:vAlign w:val="center"/>
          </w:tcPr>
          <w:p w:rsidR="00540DF3" w:rsidRPr="009F0BEB" w:rsidRDefault="00540DF3" w:rsidP="002B0DE8">
            <w:pPr>
              <w:pStyle w:val="Tabletext"/>
              <w:keepNext/>
              <w:jc w:val="center"/>
              <w:rPr>
                <w:bCs/>
              </w:rPr>
            </w:pPr>
            <w:r w:rsidRPr="009F0BEB">
              <w:rPr>
                <w:bCs/>
              </w:rPr>
              <w:t>$</w:t>
            </w:r>
            <w:r w:rsidR="00EE2E05">
              <w:rPr>
                <w:bCs/>
                <w:noProof/>
                <w:color w:val="000000"/>
                <w:highlight w:val="black"/>
              </w:rPr>
              <w:t>''''''''''''''''''</w:t>
            </w:r>
          </w:p>
        </w:tc>
      </w:tr>
      <w:tr w:rsidR="00540DF3" w:rsidRPr="009F0BEB" w:rsidTr="00540DF3">
        <w:tc>
          <w:tcPr>
            <w:tcW w:w="4678" w:type="dxa"/>
          </w:tcPr>
          <w:p w:rsidR="00540DF3" w:rsidRPr="009F0BEB" w:rsidRDefault="00540DF3" w:rsidP="002B0DE8">
            <w:pPr>
              <w:pStyle w:val="Tabletext"/>
              <w:keepNext/>
              <w:tabs>
                <w:tab w:val="left" w:pos="142"/>
              </w:tabs>
            </w:pPr>
            <w:r w:rsidRPr="009F0BEB">
              <w:t>Alternative distributions for hospital vs. non-hospital costs for severe treatment-related adverse events</w:t>
            </w:r>
          </w:p>
          <w:p w:rsidR="00540DF3" w:rsidRPr="009F0BEB" w:rsidRDefault="00540DF3" w:rsidP="002B0DE8">
            <w:pPr>
              <w:pStyle w:val="Tabletext"/>
              <w:keepNext/>
              <w:tabs>
                <w:tab w:val="left" w:pos="142"/>
              </w:tabs>
            </w:pPr>
            <w:r w:rsidRPr="009F0BEB">
              <w:t>- 25% hospitalised</w:t>
            </w:r>
          </w:p>
          <w:p w:rsidR="00540DF3" w:rsidRPr="009F0BEB" w:rsidRDefault="00540DF3" w:rsidP="002B0DE8">
            <w:pPr>
              <w:pStyle w:val="Tabletext"/>
              <w:keepNext/>
              <w:tabs>
                <w:tab w:val="left" w:pos="142"/>
              </w:tabs>
            </w:pPr>
            <w:r w:rsidRPr="009F0BEB">
              <w:t>- 50% hospitalised</w:t>
            </w:r>
          </w:p>
          <w:p w:rsidR="00540DF3" w:rsidRPr="009F0BEB" w:rsidRDefault="00540DF3" w:rsidP="002B0DE8">
            <w:pPr>
              <w:pStyle w:val="Tabletext"/>
              <w:keepNext/>
              <w:tabs>
                <w:tab w:val="left" w:pos="142"/>
              </w:tabs>
            </w:pPr>
            <w:r w:rsidRPr="009F0BEB">
              <w:t>- 75% hospitalised</w:t>
            </w:r>
          </w:p>
          <w:p w:rsidR="00540DF3" w:rsidRPr="009F0BEB" w:rsidRDefault="00540DF3" w:rsidP="002B0DE8">
            <w:pPr>
              <w:pStyle w:val="Tabletext"/>
              <w:keepNext/>
            </w:pPr>
            <w:r w:rsidRPr="009F0BEB">
              <w:t>- 100% hospitalised</w:t>
            </w:r>
          </w:p>
        </w:tc>
        <w:tc>
          <w:tcPr>
            <w:tcW w:w="1559" w:type="dxa"/>
          </w:tcPr>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rPr>
                <w:bCs/>
              </w:rPr>
            </w:pPr>
            <w:r w:rsidRPr="009F0BEB">
              <w:t>$</w:t>
            </w:r>
            <w:r w:rsidR="00EE2E05">
              <w:rPr>
                <w:noProof/>
                <w:color w:val="000000"/>
                <w:highlight w:val="black"/>
              </w:rPr>
              <w:t>'''''''''''''''</w:t>
            </w:r>
          </w:p>
        </w:tc>
        <w:tc>
          <w:tcPr>
            <w:tcW w:w="1701" w:type="dxa"/>
          </w:tcPr>
          <w:p w:rsidR="00540DF3" w:rsidRPr="00EE2E05" w:rsidRDefault="00540DF3" w:rsidP="002B0DE8">
            <w:pPr>
              <w:pStyle w:val="Tabletext"/>
              <w:keepNext/>
              <w:jc w:val="center"/>
            </w:pPr>
          </w:p>
          <w:p w:rsidR="00540DF3" w:rsidRPr="00EE2E05" w:rsidRDefault="00540DF3" w:rsidP="002B0DE8">
            <w:pPr>
              <w:pStyle w:val="Tabletext"/>
              <w:keepNext/>
              <w:jc w:val="center"/>
            </w:pPr>
          </w:p>
          <w:p w:rsidR="00540DF3" w:rsidRPr="00EE2E05" w:rsidRDefault="00EE2E05" w:rsidP="002B0DE8">
            <w:pPr>
              <w:pStyle w:val="Tabletext"/>
              <w:keepNext/>
              <w:jc w:val="center"/>
              <w:rPr>
                <w:highlight w:val="black"/>
              </w:rPr>
            </w:pPr>
            <w:r>
              <w:rPr>
                <w:noProof/>
                <w:color w:val="000000"/>
                <w:highlight w:val="black"/>
              </w:rPr>
              <w:t>'''''''''''''''''</w:t>
            </w:r>
          </w:p>
          <w:p w:rsidR="00540DF3" w:rsidRPr="00EE2E05" w:rsidRDefault="00EE2E05" w:rsidP="002B0DE8">
            <w:pPr>
              <w:pStyle w:val="Tabletext"/>
              <w:keepNext/>
              <w:jc w:val="center"/>
              <w:rPr>
                <w:highlight w:val="black"/>
              </w:rPr>
            </w:pPr>
            <w:r>
              <w:rPr>
                <w:noProof/>
                <w:color w:val="000000"/>
                <w:highlight w:val="black"/>
              </w:rPr>
              <w:t>'''''''''''''''''</w:t>
            </w:r>
          </w:p>
          <w:p w:rsidR="00540DF3" w:rsidRPr="00EE2E05" w:rsidRDefault="00EE2E05" w:rsidP="002B0DE8">
            <w:pPr>
              <w:pStyle w:val="Tabletext"/>
              <w:keepNext/>
              <w:jc w:val="center"/>
              <w:rPr>
                <w:highlight w:val="black"/>
              </w:rPr>
            </w:pPr>
            <w:r>
              <w:rPr>
                <w:noProof/>
                <w:color w:val="000000"/>
                <w:highlight w:val="black"/>
              </w:rPr>
              <w:t>''''''''''''''''</w:t>
            </w:r>
          </w:p>
          <w:p w:rsidR="00540DF3" w:rsidRPr="00EE2E05" w:rsidRDefault="00EE2E05" w:rsidP="002B0DE8">
            <w:pPr>
              <w:pStyle w:val="Tabletext"/>
              <w:keepNext/>
              <w:jc w:val="center"/>
              <w:rPr>
                <w:bCs/>
                <w:highlight w:val="black"/>
              </w:rPr>
            </w:pPr>
            <w:r>
              <w:rPr>
                <w:noProof/>
                <w:color w:val="000000"/>
                <w:highlight w:val="black"/>
              </w:rPr>
              <w:t>'''''''''''''''</w:t>
            </w:r>
          </w:p>
        </w:tc>
        <w:tc>
          <w:tcPr>
            <w:tcW w:w="1133" w:type="dxa"/>
          </w:tcPr>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EE2E05"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rPr>
                <w:bCs/>
              </w:rPr>
            </w:pPr>
            <w:r w:rsidRPr="009F0BEB">
              <w:t>$</w:t>
            </w:r>
            <w:r w:rsidR="00EE2E05">
              <w:rPr>
                <w:noProof/>
                <w:color w:val="000000"/>
                <w:highlight w:val="black"/>
              </w:rPr>
              <w:t>''''''''''''''''''</w:t>
            </w:r>
          </w:p>
        </w:tc>
      </w:tr>
      <w:tr w:rsidR="00540DF3" w:rsidRPr="009F0BEB" w:rsidTr="00540DF3">
        <w:tc>
          <w:tcPr>
            <w:tcW w:w="9071" w:type="dxa"/>
            <w:gridSpan w:val="4"/>
          </w:tcPr>
          <w:p w:rsidR="00540DF3" w:rsidRPr="009F0BEB" w:rsidRDefault="00121E58" w:rsidP="002B0DE8">
            <w:pPr>
              <w:pStyle w:val="Tabletext"/>
              <w:keepNext/>
              <w:rPr>
                <w:b/>
              </w:rPr>
            </w:pPr>
            <w:r w:rsidRPr="009F0BEB">
              <w:rPr>
                <w:b/>
              </w:rPr>
              <w:t>Multivariate</w:t>
            </w:r>
            <w:r w:rsidR="00540DF3" w:rsidRPr="009F0BEB">
              <w:rPr>
                <w:b/>
              </w:rPr>
              <w:t xml:space="preserve"> analyses</w:t>
            </w:r>
          </w:p>
        </w:tc>
      </w:tr>
      <w:tr w:rsidR="00540DF3" w:rsidRPr="009F0BEB" w:rsidTr="00540DF3">
        <w:tc>
          <w:tcPr>
            <w:tcW w:w="4678" w:type="dxa"/>
            <w:tcBorders>
              <w:top w:val="single" w:sz="4" w:space="0" w:color="auto"/>
            </w:tcBorders>
          </w:tcPr>
          <w:p w:rsidR="00540DF3" w:rsidRPr="009F0BEB" w:rsidRDefault="00540DF3" w:rsidP="002B0DE8">
            <w:pPr>
              <w:pStyle w:val="Tabletext"/>
              <w:keepNext/>
              <w:tabs>
                <w:tab w:val="left" w:pos="142"/>
              </w:tabs>
            </w:pPr>
            <w:r w:rsidRPr="009F0BEB">
              <w:t>ITT population survival benefit, using same approach to costing irinotecan (</w:t>
            </w:r>
            <w:proofErr w:type="spellStart"/>
            <w:r w:rsidRPr="009F0BEB">
              <w:t>nanoliposomal</w:t>
            </w:r>
            <w:proofErr w:type="spellEnd"/>
            <w:r w:rsidRPr="009F0BEB">
              <w:t>) as other drugs (efficient vial combination 3×</w:t>
            </w:r>
            <w:r w:rsidR="00E3664C" w:rsidRPr="009F0BEB">
              <w:t>43</w:t>
            </w:r>
            <w:r w:rsidR="00DA17D8" w:rsidRPr="009F0BEB">
              <w:t xml:space="preserve">mg </w:t>
            </w:r>
            <w:r w:rsidRPr="009F0BEB">
              <w:t>per cycle; $</w:t>
            </w:r>
            <w:r w:rsidR="00EE2E05">
              <w:rPr>
                <w:noProof/>
                <w:color w:val="000000"/>
                <w:highlight w:val="black"/>
              </w:rPr>
              <w:t>'''''''''''''''''''''''</w:t>
            </w:r>
            <w:r w:rsidRPr="009F0BEB">
              <w:t xml:space="preserve">) applied to proportion on treatment and adjusting comparator </w:t>
            </w:r>
            <w:proofErr w:type="spellStart"/>
            <w:r w:rsidRPr="009F0BEB">
              <w:t>costs</w:t>
            </w:r>
            <w:r w:rsidRPr="009F0BEB">
              <w:rPr>
                <w:vertAlign w:val="superscript"/>
              </w:rPr>
              <w:t>a</w:t>
            </w:r>
            <w:proofErr w:type="spellEnd"/>
          </w:p>
          <w:p w:rsidR="00540DF3" w:rsidRPr="009F0BEB" w:rsidRDefault="00540DF3" w:rsidP="002B0DE8">
            <w:pPr>
              <w:pStyle w:val="Tabletext"/>
              <w:keepNext/>
              <w:ind w:firstLine="34"/>
              <w:rPr>
                <w:vertAlign w:val="superscript"/>
              </w:rPr>
            </w:pPr>
            <w:r w:rsidRPr="009F0BEB">
              <w:t xml:space="preserve">  </w:t>
            </w:r>
            <w:proofErr w:type="spellStart"/>
            <w:r w:rsidRPr="009F0BEB">
              <w:t>Capecitabine</w:t>
            </w:r>
            <w:proofErr w:type="spellEnd"/>
            <w:r w:rsidRPr="009F0BEB">
              <w:t xml:space="preserve"> monotherapy $29.33/week</w:t>
            </w:r>
          </w:p>
          <w:p w:rsidR="00540DF3" w:rsidRPr="009F0BEB" w:rsidRDefault="00540DF3" w:rsidP="002B0DE8">
            <w:pPr>
              <w:pStyle w:val="Tabletext"/>
              <w:keepNext/>
              <w:tabs>
                <w:tab w:val="left" w:pos="3520"/>
              </w:tabs>
              <w:ind w:firstLine="34"/>
              <w:rPr>
                <w:vertAlign w:val="superscript"/>
              </w:rPr>
            </w:pPr>
            <w:r w:rsidRPr="009F0BEB">
              <w:t xml:space="preserve">  </w:t>
            </w:r>
            <w:proofErr w:type="spellStart"/>
            <w:r w:rsidRPr="009F0BEB">
              <w:t>Capecitabine</w:t>
            </w:r>
            <w:proofErr w:type="spellEnd"/>
            <w:r w:rsidRPr="009F0BEB">
              <w:t xml:space="preserve"> monotherapy $47.86/week</w:t>
            </w:r>
            <w:r w:rsidRPr="009F0BEB">
              <w:tab/>
            </w:r>
          </w:p>
          <w:p w:rsidR="00540DF3" w:rsidRPr="009F0BEB" w:rsidRDefault="00540DF3" w:rsidP="002B0DE8">
            <w:pPr>
              <w:pStyle w:val="Tabletext"/>
              <w:keepNext/>
              <w:tabs>
                <w:tab w:val="left" w:pos="142"/>
              </w:tabs>
              <w:ind w:firstLine="34"/>
            </w:pPr>
            <w:r w:rsidRPr="009F0BEB">
              <w:t xml:space="preserve">  XELOX (</w:t>
            </w:r>
            <w:proofErr w:type="spellStart"/>
            <w:r w:rsidRPr="009F0BEB">
              <w:t>capecitabine</w:t>
            </w:r>
            <w:proofErr w:type="spellEnd"/>
            <w:r w:rsidRPr="009F0BEB">
              <w:t xml:space="preserve"> plus </w:t>
            </w:r>
            <w:proofErr w:type="spellStart"/>
            <w:r w:rsidRPr="009F0BEB">
              <w:t>oxaliplatin</w:t>
            </w:r>
            <w:proofErr w:type="spellEnd"/>
            <w:r w:rsidRPr="009F0BEB">
              <w:t>) $72.57/week</w:t>
            </w:r>
          </w:p>
        </w:tc>
        <w:tc>
          <w:tcPr>
            <w:tcW w:w="1559" w:type="dxa"/>
            <w:tcBorders>
              <w:top w:val="nil"/>
              <w:left w:val="nil"/>
              <w:bottom w:val="single" w:sz="8" w:space="0" w:color="auto"/>
              <w:right w:val="single" w:sz="8" w:space="0" w:color="auto"/>
            </w:tcBorders>
          </w:tcPr>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rPr>
                <w:szCs w:val="20"/>
              </w:rPr>
            </w:pPr>
            <w:r w:rsidRPr="009F0BEB">
              <w:t>$</w:t>
            </w:r>
            <w:r w:rsidR="00EE2E05">
              <w:rPr>
                <w:noProof/>
                <w:color w:val="000000"/>
                <w:highlight w:val="black"/>
              </w:rPr>
              <w:t>'''''''''''''''</w:t>
            </w:r>
          </w:p>
        </w:tc>
        <w:tc>
          <w:tcPr>
            <w:tcW w:w="1701" w:type="dxa"/>
            <w:tcBorders>
              <w:top w:val="nil"/>
              <w:left w:val="nil"/>
              <w:bottom w:val="single" w:sz="8" w:space="0" w:color="auto"/>
              <w:right w:val="single" w:sz="8" w:space="0" w:color="auto"/>
            </w:tcBorders>
          </w:tcPr>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EE2E05" w:rsidRDefault="00EE2E05" w:rsidP="002B0DE8">
            <w:pPr>
              <w:pStyle w:val="Tabletext"/>
              <w:keepNext/>
              <w:jc w:val="center"/>
              <w:rPr>
                <w:highlight w:val="black"/>
              </w:rPr>
            </w:pPr>
            <w:r>
              <w:rPr>
                <w:noProof/>
                <w:color w:val="000000"/>
                <w:highlight w:val="black"/>
              </w:rPr>
              <w:t>'''''''''''''''''</w:t>
            </w:r>
          </w:p>
          <w:p w:rsidR="00540DF3" w:rsidRPr="00EE2E05" w:rsidRDefault="00EE2E05" w:rsidP="002B0DE8">
            <w:pPr>
              <w:pStyle w:val="Tabletext"/>
              <w:keepNext/>
              <w:jc w:val="center"/>
              <w:rPr>
                <w:highlight w:val="black"/>
              </w:rPr>
            </w:pPr>
            <w:r>
              <w:rPr>
                <w:noProof/>
                <w:color w:val="000000"/>
                <w:highlight w:val="black"/>
              </w:rPr>
              <w:t>'''''''''''''''''</w:t>
            </w:r>
          </w:p>
          <w:p w:rsidR="00540DF3" w:rsidRPr="00EE2E05" w:rsidRDefault="00EE2E05" w:rsidP="002B0DE8">
            <w:pPr>
              <w:pStyle w:val="Tabletext"/>
              <w:keepNext/>
              <w:jc w:val="center"/>
              <w:rPr>
                <w:szCs w:val="20"/>
                <w:highlight w:val="black"/>
              </w:rPr>
            </w:pPr>
            <w:r>
              <w:rPr>
                <w:noProof/>
                <w:color w:val="000000"/>
                <w:highlight w:val="black"/>
              </w:rPr>
              <w:t>''''''''''''''''</w:t>
            </w:r>
          </w:p>
        </w:tc>
        <w:tc>
          <w:tcPr>
            <w:tcW w:w="1133" w:type="dxa"/>
            <w:tcBorders>
              <w:top w:val="nil"/>
              <w:left w:val="nil"/>
              <w:bottom w:val="single" w:sz="8" w:space="0" w:color="auto"/>
              <w:right w:val="single" w:sz="8" w:space="0" w:color="auto"/>
            </w:tcBorders>
          </w:tcPr>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pPr>
            <w:r w:rsidRPr="009F0BEB">
              <w:t>$</w:t>
            </w:r>
            <w:r w:rsidR="00EE2E05">
              <w:rPr>
                <w:noProof/>
                <w:color w:val="000000"/>
                <w:highlight w:val="black"/>
              </w:rPr>
              <w:t>'''''''''''''''''''''</w:t>
            </w:r>
          </w:p>
          <w:p w:rsidR="00540DF3" w:rsidRPr="009F0BEB" w:rsidRDefault="00540DF3" w:rsidP="002B0DE8">
            <w:pPr>
              <w:pStyle w:val="Tabletext"/>
              <w:keepNext/>
              <w:jc w:val="center"/>
              <w:rPr>
                <w:szCs w:val="20"/>
              </w:rPr>
            </w:pPr>
            <w:r w:rsidRPr="009F0BEB">
              <w:t>$</w:t>
            </w:r>
            <w:r w:rsidR="00EE2E05">
              <w:rPr>
                <w:noProof/>
                <w:color w:val="000000"/>
                <w:highlight w:val="black"/>
              </w:rPr>
              <w:t>''''''''''''''''''''</w:t>
            </w:r>
          </w:p>
        </w:tc>
      </w:tr>
    </w:tbl>
    <w:p w:rsidR="00540DF3" w:rsidRPr="009F0BEB" w:rsidRDefault="00540DF3" w:rsidP="002B0DE8">
      <w:pPr>
        <w:keepNext/>
        <w:widowControl/>
        <w:rPr>
          <w:rFonts w:ascii="Arial Narrow" w:hAnsi="Arial Narrow"/>
          <w:sz w:val="18"/>
        </w:rPr>
      </w:pPr>
      <w:r w:rsidRPr="009F0BEB">
        <w:rPr>
          <w:rFonts w:ascii="Arial Narrow" w:hAnsi="Arial Narrow"/>
          <w:sz w:val="18"/>
        </w:rPr>
        <w:t>Source: compiled during the evaluation using ‘ONIVYDE (</w:t>
      </w:r>
      <w:proofErr w:type="spellStart"/>
      <w:r w:rsidRPr="009F0BEB">
        <w:rPr>
          <w:rFonts w:ascii="Arial Narrow" w:hAnsi="Arial Narrow"/>
          <w:sz w:val="18"/>
        </w:rPr>
        <w:t>nanoliposomal</w:t>
      </w:r>
      <w:proofErr w:type="spellEnd"/>
      <w:r w:rsidRPr="009F0BEB">
        <w:rPr>
          <w:rFonts w:ascii="Arial Narrow" w:hAnsi="Arial Narrow"/>
          <w:sz w:val="18"/>
        </w:rPr>
        <w:t xml:space="preserve"> irinotecan) Economic Evaluation – Base Case’ and ‘ONIVYDE (</w:t>
      </w:r>
      <w:proofErr w:type="spellStart"/>
      <w:r w:rsidRPr="009F0BEB">
        <w:rPr>
          <w:rFonts w:ascii="Arial Narrow" w:hAnsi="Arial Narrow"/>
          <w:sz w:val="18"/>
        </w:rPr>
        <w:t>nanoliposomal</w:t>
      </w:r>
      <w:proofErr w:type="spellEnd"/>
      <w:r w:rsidRPr="009F0BEB">
        <w:rPr>
          <w:rFonts w:ascii="Arial Narrow" w:hAnsi="Arial Narrow"/>
          <w:sz w:val="18"/>
        </w:rPr>
        <w:t xml:space="preserve"> irinotecan) Economic Evaluation – ITT population’ Excel workbooks of the resubmission</w:t>
      </w:r>
    </w:p>
    <w:p w:rsidR="007D54B4" w:rsidRPr="009F0BEB" w:rsidRDefault="00540DF3" w:rsidP="002B0DE8">
      <w:pPr>
        <w:keepNext/>
        <w:widowControl/>
      </w:pPr>
      <w:proofErr w:type="gramStart"/>
      <w:r w:rsidRPr="009F0BEB">
        <w:rPr>
          <w:rFonts w:ascii="Arial Narrow" w:hAnsi="Arial Narrow"/>
          <w:sz w:val="18"/>
          <w:vertAlign w:val="superscript"/>
        </w:rPr>
        <w:t>a</w:t>
      </w:r>
      <w:proofErr w:type="gramEnd"/>
      <w:r w:rsidRPr="009F0BEB">
        <w:rPr>
          <w:rFonts w:ascii="Arial Narrow" w:hAnsi="Arial Narrow"/>
          <w:sz w:val="18"/>
        </w:rPr>
        <w:t xml:space="preserve"> Based on trial-based dosing regimens from </w:t>
      </w:r>
      <w:proofErr w:type="spellStart"/>
      <w:r w:rsidRPr="009F0BEB">
        <w:rPr>
          <w:rFonts w:ascii="Arial Narrow" w:hAnsi="Arial Narrow"/>
          <w:sz w:val="18"/>
        </w:rPr>
        <w:t>Boeck</w:t>
      </w:r>
      <w:proofErr w:type="spellEnd"/>
      <w:r w:rsidRPr="009F0BEB">
        <w:rPr>
          <w:rFonts w:ascii="Arial Narrow" w:hAnsi="Arial Narrow"/>
          <w:sz w:val="18"/>
        </w:rPr>
        <w:t xml:space="preserve"> 2008 and Cartwright 2002 publications</w:t>
      </w:r>
    </w:p>
    <w:p w:rsidR="007D54B4" w:rsidRPr="009F0BEB" w:rsidRDefault="007D54B4" w:rsidP="006B2DC0">
      <w:pPr>
        <w:widowControl/>
      </w:pPr>
    </w:p>
    <w:p w:rsidR="00416A45" w:rsidRPr="009F0BEB" w:rsidRDefault="00416A45" w:rsidP="006B2DC0">
      <w:pPr>
        <w:pStyle w:val="ListParagraph"/>
        <w:widowControl/>
        <w:numPr>
          <w:ilvl w:val="1"/>
          <w:numId w:val="3"/>
        </w:numPr>
      </w:pPr>
      <w:r w:rsidRPr="009F0BEB">
        <w:t>The sensitivity analyses indicated that the economic model was sensitive to the approach used to estimate the irinotecan (</w:t>
      </w:r>
      <w:proofErr w:type="spellStart"/>
      <w:r w:rsidRPr="009F0BEB">
        <w:t>nanoliposomal</w:t>
      </w:r>
      <w:proofErr w:type="spellEnd"/>
      <w:r w:rsidRPr="009F0BEB">
        <w:t xml:space="preserve">) drug cost, the use of alternative distributions of hospitalised versus non-hospitalised adverse event costs and alternative comparator </w:t>
      </w:r>
      <w:r w:rsidR="00B571EF" w:rsidRPr="009F0BEB">
        <w:t>treatment</w:t>
      </w:r>
      <w:r w:rsidRPr="009F0BEB">
        <w:t xml:space="preserve"> costs.</w:t>
      </w:r>
    </w:p>
    <w:p w:rsidR="00416A45" w:rsidRPr="009F0BEB" w:rsidRDefault="00FE7ED1" w:rsidP="006B2DC0">
      <w:pPr>
        <w:pStyle w:val="ListParagraph"/>
        <w:widowControl/>
        <w:numPr>
          <w:ilvl w:val="1"/>
          <w:numId w:val="3"/>
        </w:numPr>
      </w:pPr>
      <w:r w:rsidRPr="009F0BEB">
        <w:t xml:space="preserve">Sensitivity analyses based on an estimated cost of </w:t>
      </w:r>
      <w:r w:rsidR="00E725AA" w:rsidRPr="009F0BEB">
        <w:t>$</w:t>
      </w:r>
      <w:r w:rsidR="00EE2E05">
        <w:rPr>
          <w:noProof/>
          <w:color w:val="000000"/>
          <w:highlight w:val="black"/>
        </w:rPr>
        <w:t>''''''''''''''''</w:t>
      </w:r>
      <w:r w:rsidR="00E725AA" w:rsidRPr="009F0BEB">
        <w:t xml:space="preserve"> for irinotecan (</w:t>
      </w:r>
      <w:proofErr w:type="spellStart"/>
      <w:r w:rsidR="00E725AA" w:rsidRPr="009F0BEB">
        <w:t>nanoliposomal</w:t>
      </w:r>
      <w:proofErr w:type="spellEnd"/>
      <w:r w:rsidR="00E725AA" w:rsidRPr="009F0BEB">
        <w:t xml:space="preserve">) per treatment cycle (estimated total cost of </w:t>
      </w:r>
      <w:proofErr w:type="spellStart"/>
      <w:r w:rsidR="00E725AA" w:rsidRPr="009F0BEB">
        <w:t>nal</w:t>
      </w:r>
      <w:proofErr w:type="spellEnd"/>
      <w:r w:rsidR="00E725AA" w:rsidRPr="009F0BEB">
        <w:t>-IRI of $</w:t>
      </w:r>
      <w:r w:rsidR="00EE2E05">
        <w:rPr>
          <w:noProof/>
          <w:color w:val="000000"/>
          <w:highlight w:val="black"/>
        </w:rPr>
        <w:t>'''''''''''''''</w:t>
      </w:r>
      <w:r w:rsidR="00E725AA" w:rsidRPr="009F0BEB">
        <w:t>)</w:t>
      </w:r>
      <w:r w:rsidRPr="009F0BEB">
        <w:t xml:space="preserve"> and </w:t>
      </w:r>
      <w:r w:rsidR="00193DFD" w:rsidRPr="009F0BEB">
        <w:t xml:space="preserve">estimated </w:t>
      </w:r>
      <w:r w:rsidRPr="009F0BEB">
        <w:t xml:space="preserve">comparator costs based on </w:t>
      </w:r>
      <w:proofErr w:type="spellStart"/>
      <w:r w:rsidRPr="009F0BEB">
        <w:t>capecitabine</w:t>
      </w:r>
      <w:proofErr w:type="spellEnd"/>
      <w:r w:rsidRPr="009F0BEB">
        <w:t xml:space="preserve"> monotherapy or XELOX resulted in incremental costs per life year gained of $</w:t>
      </w:r>
      <w:r w:rsidR="00561461">
        <w:t>105,000-$200,000</w:t>
      </w:r>
      <w:r w:rsidRPr="009F0BEB">
        <w:t xml:space="preserve">. </w:t>
      </w:r>
    </w:p>
    <w:p w:rsidR="00F54F8D" w:rsidRPr="009F0BEB" w:rsidRDefault="00C11326" w:rsidP="0046315F">
      <w:pPr>
        <w:pStyle w:val="ListParagraph"/>
        <w:widowControl/>
        <w:numPr>
          <w:ilvl w:val="1"/>
          <w:numId w:val="3"/>
        </w:numPr>
      </w:pPr>
      <w:r w:rsidRPr="009F0BEB">
        <w:lastRenderedPageBreak/>
        <w:t xml:space="preserve">The pre-PBAC response proposed a revised risk sharing arrangement </w:t>
      </w:r>
      <w:r w:rsidR="00F54F8D" w:rsidRPr="009F0BEB">
        <w:t xml:space="preserve">(RSA) </w:t>
      </w:r>
      <w:r w:rsidRPr="009F0BEB">
        <w:t xml:space="preserve">which </w:t>
      </w:r>
      <w:r w:rsidR="00DD2011">
        <w:t>may</w:t>
      </w:r>
      <w:r w:rsidR="00DD2011" w:rsidRPr="009F0BEB">
        <w:t xml:space="preserve"> </w:t>
      </w:r>
      <w:r w:rsidRPr="009F0BEB">
        <w:t xml:space="preserve">reduce the </w:t>
      </w:r>
      <w:r w:rsidR="00DD2011">
        <w:t xml:space="preserve">average </w:t>
      </w:r>
      <w:r w:rsidRPr="009F0BEB">
        <w:t xml:space="preserve">cost of </w:t>
      </w:r>
      <w:r w:rsidR="0075575F" w:rsidRPr="009F0BEB">
        <w:t>irinotecan (</w:t>
      </w:r>
      <w:proofErr w:type="spellStart"/>
      <w:r w:rsidR="0075575F" w:rsidRPr="009F0BEB">
        <w:t>nanoliposomal</w:t>
      </w:r>
      <w:proofErr w:type="spellEnd"/>
      <w:r w:rsidR="0075575F" w:rsidRPr="009F0BEB">
        <w:t>)</w:t>
      </w:r>
      <w:r w:rsidRPr="009F0BEB">
        <w:t xml:space="preserve">, and therefore the ICER. The sponsor proposed to provide an additional rebate of </w:t>
      </w:r>
      <w:r w:rsidR="00EE2E05">
        <w:rPr>
          <w:noProof/>
          <w:color w:val="000000"/>
          <w:highlight w:val="black"/>
        </w:rPr>
        <w:t>'''''''''</w:t>
      </w:r>
      <w:r w:rsidRPr="009F0BEB">
        <w:t xml:space="preserve">% of the effective price for all utilisation above </w:t>
      </w:r>
      <w:r w:rsidR="00EE2E05">
        <w:rPr>
          <w:noProof/>
          <w:color w:val="000000"/>
          <w:highlight w:val="black"/>
        </w:rPr>
        <w:t>''''''</w:t>
      </w:r>
      <w:r w:rsidRPr="009F0BEB">
        <w:t>% of the expected expenditure. The pre-PBAC response claimed that if utilisation was as expected, the risk sharing arrangement would effectively reduce the ICER to $</w:t>
      </w:r>
      <w:r w:rsidR="00561461">
        <w:t>45,</w:t>
      </w:r>
      <w:r w:rsidR="00874BEC">
        <w:t>0</w:t>
      </w:r>
      <w:r w:rsidR="00561461">
        <w:t>00-$75,000</w:t>
      </w:r>
      <w:r w:rsidRPr="009F0BEB">
        <w:t xml:space="preserve"> per LYG</w:t>
      </w:r>
      <w:r w:rsidR="00DD2011">
        <w:t xml:space="preserve"> for the ITT population</w:t>
      </w:r>
      <w:r w:rsidRPr="009F0BEB">
        <w:t>. The PBAC noted that this ICER was based on the model presented in the resubmission with a base case of $</w:t>
      </w:r>
      <w:r w:rsidR="00874BEC">
        <w:t>75,000-$105,000</w:t>
      </w:r>
      <w:r w:rsidRPr="009F0BEB">
        <w:t xml:space="preserve"> per LYG rather than the respecified base case presented in the </w:t>
      </w:r>
      <w:r w:rsidR="00F54F8D" w:rsidRPr="009F0BEB">
        <w:t>PSCR</w:t>
      </w:r>
      <w:r w:rsidRPr="009F0BEB">
        <w:t xml:space="preserve"> with an ICER of $</w:t>
      </w:r>
      <w:r w:rsidR="00874BEC">
        <w:t>75,000-$105,000</w:t>
      </w:r>
      <w:r w:rsidR="00874BEC" w:rsidRPr="009F0BEB">
        <w:t xml:space="preserve"> </w:t>
      </w:r>
      <w:r w:rsidRPr="009F0BEB">
        <w:t>per LYG, which was unjustified. The PBAC noted that applying the revised base case</w:t>
      </w:r>
      <w:r w:rsidR="00F54F8D" w:rsidRPr="009F0BEB">
        <w:t xml:space="preserve"> to the proposed approach</w:t>
      </w:r>
      <w:r w:rsidRPr="009F0BEB">
        <w:t>, the ICER increased to $</w:t>
      </w:r>
      <w:r w:rsidR="0046315F" w:rsidRPr="0046315F">
        <w:t xml:space="preserve">45,000-$75,000 </w:t>
      </w:r>
      <w:r w:rsidRPr="009F0BEB">
        <w:t xml:space="preserve">per LYG. </w:t>
      </w:r>
      <w:r w:rsidR="00B67701" w:rsidRPr="00B67701">
        <w:t>The PBAC noted that the ICER would only be achieved if utilisation was as estimated. For assessments of cost-effectiveness to rely on RSA rebates, the PBAC advised that it would need to have a high level of confidence in the utilisation estimates underpinning the RSA. Given the remaining concerns regarding the estimation of the eligible patient population and uptake rates, the PBAC considered that there was substantial uncertainty in the financial estimates that had been provided.</w:t>
      </w:r>
    </w:p>
    <w:p w:rsidR="00F54F8D" w:rsidRPr="009F0BEB" w:rsidRDefault="00DD2011" w:rsidP="003E0BBE">
      <w:pPr>
        <w:pStyle w:val="ListParagraph"/>
        <w:widowControl/>
        <w:numPr>
          <w:ilvl w:val="1"/>
          <w:numId w:val="3"/>
        </w:numPr>
      </w:pPr>
      <w:r>
        <w:t>The PBAC noted the average price for</w:t>
      </w:r>
      <w:r w:rsidR="0075575F">
        <w:t xml:space="preserve"> </w:t>
      </w:r>
      <w:r w:rsidR="0075575F" w:rsidRPr="009F0BEB">
        <w:t>irinotecan (</w:t>
      </w:r>
      <w:proofErr w:type="spellStart"/>
      <w:r w:rsidR="0075575F" w:rsidRPr="009F0BEB">
        <w:t>nanoliposomal</w:t>
      </w:r>
      <w:proofErr w:type="spellEnd"/>
      <w:r w:rsidR="0075575F" w:rsidRPr="009F0BEB">
        <w:t>)</w:t>
      </w:r>
      <w:r w:rsidR="0075575F">
        <w:t xml:space="preserve"> and hence the ICER would depend on the extent of use and this further increased the uncertainty associated with</w:t>
      </w:r>
      <w:r w:rsidR="00B63088" w:rsidRPr="009F0BEB">
        <w:t xml:space="preserve"> the ICER</w:t>
      </w:r>
      <w:r w:rsidR="008F562A">
        <w:t xml:space="preserve">, especially given </w:t>
      </w:r>
      <w:r w:rsidR="008F562A" w:rsidRPr="009F0BEB">
        <w:t>the utilisation and financial estimates on which the rebate caps are based are uncertain</w:t>
      </w:r>
      <w:r w:rsidR="008F562A">
        <w:t xml:space="preserve">. </w:t>
      </w:r>
      <w:r w:rsidR="00B63088" w:rsidRPr="009F0BEB">
        <w:t xml:space="preserve"> </w:t>
      </w:r>
    </w:p>
    <w:p w:rsidR="00C25D9C" w:rsidRPr="00081F55" w:rsidRDefault="00C25D9C" w:rsidP="00D13044">
      <w:pPr>
        <w:pStyle w:val="Heading2"/>
        <w:widowControl/>
        <w:spacing w:after="160"/>
      </w:pPr>
      <w:bookmarkStart w:id="10" w:name="_Toc502848557"/>
      <w:r w:rsidRPr="00081F55">
        <w:t>Drug cost/patient/</w:t>
      </w:r>
      <w:r w:rsidR="00593AF0" w:rsidRPr="00081F55">
        <w:t>cycle</w:t>
      </w:r>
      <w:bookmarkEnd w:id="10"/>
    </w:p>
    <w:p w:rsidR="00F156E0" w:rsidRPr="009F0BEB" w:rsidRDefault="00F156E0" w:rsidP="006B2DC0">
      <w:pPr>
        <w:pStyle w:val="ListParagraph"/>
        <w:widowControl/>
        <w:numPr>
          <w:ilvl w:val="1"/>
          <w:numId w:val="3"/>
        </w:numPr>
      </w:pPr>
      <w:r w:rsidRPr="009F0BEB">
        <w:t xml:space="preserve">The drug cost per patient </w:t>
      </w:r>
      <w:r w:rsidR="00593AF0" w:rsidRPr="009F0BEB">
        <w:t>per cycle</w:t>
      </w:r>
      <w:r w:rsidRPr="009F0BEB">
        <w:t xml:space="preserve"> (</w:t>
      </w:r>
      <w:r w:rsidR="00593AF0" w:rsidRPr="009F0BEB">
        <w:t>2 weeks</w:t>
      </w:r>
      <w:r w:rsidRPr="009F0BEB">
        <w:t xml:space="preserve">) for </w:t>
      </w:r>
      <w:proofErr w:type="spellStart"/>
      <w:r w:rsidR="00B6003E" w:rsidRPr="009F0BEB">
        <w:t>nal</w:t>
      </w:r>
      <w:proofErr w:type="spellEnd"/>
      <w:r w:rsidR="00B6003E" w:rsidRPr="009F0BEB">
        <w:t>-IRI</w:t>
      </w:r>
      <w:r w:rsidRPr="009F0BEB">
        <w:t xml:space="preserve"> in combination with 5-FU/</w:t>
      </w:r>
      <w:proofErr w:type="spellStart"/>
      <w:r w:rsidRPr="009F0BEB">
        <w:t>folinic</w:t>
      </w:r>
      <w:proofErr w:type="spellEnd"/>
      <w:r w:rsidRPr="009F0BEB">
        <w:t xml:space="preserve"> acid was approximately $</w:t>
      </w:r>
      <w:r w:rsidR="00EE2E05">
        <w:rPr>
          <w:noProof/>
          <w:color w:val="000000"/>
          <w:highlight w:val="black"/>
        </w:rPr>
        <w:t>''''''''''</w:t>
      </w:r>
      <w:r w:rsidRPr="009F0BEB">
        <w:t xml:space="preserve"> (Section 100, Efficient Funding of Chemotherapy dispensed price). This was calculated using the proposed effective dispensed price and trial-based body surface area of 1.73 m</w:t>
      </w:r>
      <w:r w:rsidRPr="009F0BEB">
        <w:rPr>
          <w:vertAlign w:val="superscript"/>
        </w:rPr>
        <w:t>2</w:t>
      </w:r>
      <w:r w:rsidRPr="009F0BEB">
        <w:t xml:space="preserve"> and </w:t>
      </w:r>
      <w:r w:rsidR="00EE2E05">
        <w:rPr>
          <w:noProof/>
          <w:color w:val="000000"/>
          <w:highlight w:val="black"/>
        </w:rPr>
        <w:t>''''''''</w:t>
      </w:r>
      <w:r w:rsidRPr="009F0BEB">
        <w:t xml:space="preserve">% dose </w:t>
      </w:r>
      <w:r w:rsidR="00593AF0" w:rsidRPr="009F0BEB">
        <w:t>intensity</w:t>
      </w:r>
      <w:r w:rsidRPr="009F0BEB">
        <w:t xml:space="preserve">, requiring </w:t>
      </w:r>
      <w:r w:rsidR="00EE2E05">
        <w:rPr>
          <w:noProof/>
          <w:color w:val="000000"/>
          <w:highlight w:val="black"/>
        </w:rPr>
        <w:t>''''''''</w:t>
      </w:r>
      <w:r w:rsidRPr="009F0BEB">
        <w:t xml:space="preserve"> mg of irinotecan (</w:t>
      </w:r>
      <w:proofErr w:type="spellStart"/>
      <w:r w:rsidRPr="009F0BEB">
        <w:t>nanoliposomal</w:t>
      </w:r>
      <w:proofErr w:type="spellEnd"/>
      <w:r w:rsidRPr="009F0BEB">
        <w:t>) (3 vials), 3,176</w:t>
      </w:r>
      <w:r w:rsidR="00824993" w:rsidRPr="009F0BEB">
        <w:t> </w:t>
      </w:r>
      <w:r w:rsidRPr="009F0BEB">
        <w:t xml:space="preserve">mg of 5-FU (1 x 500 mg and 3 x 1000 mg vials) and 529 mg of </w:t>
      </w:r>
      <w:proofErr w:type="spellStart"/>
      <w:r w:rsidRPr="009F0BEB">
        <w:t>folinic</w:t>
      </w:r>
      <w:proofErr w:type="spellEnd"/>
      <w:r w:rsidRPr="009F0BEB">
        <w:t xml:space="preserve"> acid (average cost of $0.08 per mg). The resubmission assumed that 31% of the drug would be dispensed in public hospitals and 69% in private hospitals. </w:t>
      </w:r>
    </w:p>
    <w:p w:rsidR="00F156E0" w:rsidRPr="009F0BEB" w:rsidRDefault="00F156E0" w:rsidP="006B2DC0">
      <w:pPr>
        <w:pStyle w:val="ListParagraph"/>
        <w:widowControl/>
        <w:numPr>
          <w:ilvl w:val="1"/>
          <w:numId w:val="3"/>
        </w:numPr>
      </w:pPr>
      <w:r w:rsidRPr="009F0BEB">
        <w:t xml:space="preserve">The drug cost per patient </w:t>
      </w:r>
      <w:r w:rsidR="00593AF0" w:rsidRPr="009F0BEB">
        <w:t>per cycle</w:t>
      </w:r>
      <w:r w:rsidRPr="009F0BEB">
        <w:t xml:space="preserve"> (</w:t>
      </w:r>
      <w:r w:rsidR="00593AF0" w:rsidRPr="009F0BEB">
        <w:t>2 weeks</w:t>
      </w:r>
      <w:r w:rsidRPr="009F0BEB">
        <w:t xml:space="preserve">) for mFOLFOX6 </w:t>
      </w:r>
      <w:r w:rsidR="00B028F7" w:rsidRPr="009F0BEB">
        <w:t xml:space="preserve">was approximately $424 based on the same body surface area and dose intensity, requiring 112 mg of </w:t>
      </w:r>
      <w:proofErr w:type="spellStart"/>
      <w:r w:rsidR="00B028F7" w:rsidRPr="009F0BEB">
        <w:t>oxaliplatin</w:t>
      </w:r>
      <w:proofErr w:type="spellEnd"/>
      <w:r w:rsidR="00B028F7" w:rsidRPr="009F0BEB">
        <w:t xml:space="preserve"> (1 x 50 mg and 1 x 100 mg vial), 3,705 mg of 5-FU (1 x 500 mg and 3 x 1000 mg vials) and 529 mg of </w:t>
      </w:r>
      <w:proofErr w:type="spellStart"/>
      <w:r w:rsidR="00B028F7" w:rsidRPr="009F0BEB">
        <w:t>folinic</w:t>
      </w:r>
      <w:proofErr w:type="spellEnd"/>
      <w:r w:rsidR="00B028F7" w:rsidRPr="009F0BEB">
        <w:t xml:space="preserve"> acid (average cost of $0.08 per mg). This cost was higher than used in the previous submission ($339), primarily due to </w:t>
      </w:r>
      <w:r w:rsidR="00E725AA" w:rsidRPr="009F0BEB">
        <w:t xml:space="preserve">the use of </w:t>
      </w:r>
      <w:r w:rsidR="00643812" w:rsidRPr="009F0BEB">
        <w:t>a higher</w:t>
      </w:r>
      <w:r w:rsidR="00824993" w:rsidRPr="009F0BEB">
        <w:t>,</w:t>
      </w:r>
      <w:r w:rsidR="00643812" w:rsidRPr="009F0BEB">
        <w:t xml:space="preserve"> trial-based</w:t>
      </w:r>
      <w:r w:rsidR="00824993" w:rsidRPr="009F0BEB">
        <w:t>,</w:t>
      </w:r>
      <w:r w:rsidR="00643812" w:rsidRPr="009F0BEB">
        <w:t xml:space="preserve"> dose</w:t>
      </w:r>
      <w:r w:rsidR="004943C5" w:rsidRPr="009F0BEB">
        <w:t xml:space="preserve"> </w:t>
      </w:r>
      <w:r w:rsidR="00E725AA" w:rsidRPr="009F0BEB">
        <w:t>of 400 mg/m</w:t>
      </w:r>
      <w:r w:rsidR="00E725AA" w:rsidRPr="009F0BEB">
        <w:rPr>
          <w:vertAlign w:val="superscript"/>
        </w:rPr>
        <w:t>2</w:t>
      </w:r>
      <w:r w:rsidR="00643812" w:rsidRPr="009F0BEB">
        <w:t xml:space="preserve"> for </w:t>
      </w:r>
      <w:proofErr w:type="spellStart"/>
      <w:r w:rsidR="00643812" w:rsidRPr="009F0BEB">
        <w:t>folinic</w:t>
      </w:r>
      <w:proofErr w:type="spellEnd"/>
      <w:r w:rsidR="00643812" w:rsidRPr="009F0BEB">
        <w:t xml:space="preserve"> acid whereas the previous submission more appropriately used the </w:t>
      </w:r>
      <w:r w:rsidR="00E725AA" w:rsidRPr="009F0BEB">
        <w:t>50 mg bolus dose</w:t>
      </w:r>
      <w:r w:rsidR="00643812" w:rsidRPr="009F0BEB">
        <w:t xml:space="preserve"> as recommended in guidelines</w:t>
      </w:r>
      <w:r w:rsidR="00E725AA" w:rsidRPr="009F0BEB">
        <w:t>.</w:t>
      </w:r>
      <w:r w:rsidR="00A37F9A" w:rsidRPr="009F0BEB">
        <w:t xml:space="preserve"> The </w:t>
      </w:r>
      <w:r w:rsidR="00C11326" w:rsidRPr="009F0BEB">
        <w:t xml:space="preserve">PBAC agreed with the </w:t>
      </w:r>
      <w:r w:rsidR="00A37F9A" w:rsidRPr="009F0BEB">
        <w:t xml:space="preserve">ESC </w:t>
      </w:r>
      <w:r w:rsidR="00C11326" w:rsidRPr="009F0BEB">
        <w:t xml:space="preserve">that </w:t>
      </w:r>
      <w:r w:rsidR="00A37F9A" w:rsidRPr="009F0BEB">
        <w:t xml:space="preserve">it would have been more appropriate to use the 50 mg bolus dose as per recommended guidelines as this is the likely dose to be used in clinical practice. </w:t>
      </w:r>
    </w:p>
    <w:p w:rsidR="003265D1" w:rsidRPr="009F0BEB" w:rsidRDefault="003265D1" w:rsidP="006B2DC0">
      <w:pPr>
        <w:pStyle w:val="ListParagraph"/>
        <w:widowControl/>
        <w:numPr>
          <w:ilvl w:val="1"/>
          <w:numId w:val="3"/>
        </w:numPr>
      </w:pPr>
      <w:r w:rsidRPr="009F0BEB">
        <w:lastRenderedPageBreak/>
        <w:t>The drug costs per patient per course were estimated to be $</w:t>
      </w:r>
      <w:r w:rsidR="00EE2E05">
        <w:rPr>
          <w:noProof/>
          <w:color w:val="000000"/>
          <w:highlight w:val="black"/>
        </w:rPr>
        <w:t>'''''''''''''</w:t>
      </w:r>
      <w:r w:rsidRPr="009F0BEB">
        <w:t xml:space="preserve"> for </w:t>
      </w:r>
      <w:proofErr w:type="spellStart"/>
      <w:r w:rsidRPr="009F0BEB">
        <w:t>nal</w:t>
      </w:r>
      <w:proofErr w:type="spellEnd"/>
      <w:r w:rsidR="00C11326" w:rsidRPr="009F0BEB">
        <w:noBreakHyphen/>
      </w:r>
      <w:r w:rsidRPr="009F0BEB">
        <w:t xml:space="preserve">IRI and $2,118 for mFOLFOX6, based on the modelled treatment durations for </w:t>
      </w:r>
      <w:proofErr w:type="spellStart"/>
      <w:r w:rsidRPr="009F0BEB">
        <w:t>nal</w:t>
      </w:r>
      <w:proofErr w:type="spellEnd"/>
      <w:r w:rsidRPr="009F0BEB">
        <w:t xml:space="preserve">-IRI and mFOLFOX6 used in the ITT </w:t>
      </w:r>
      <w:r w:rsidR="00BF4C25">
        <w:t xml:space="preserve">economic </w:t>
      </w:r>
      <w:r w:rsidRPr="009F0BEB">
        <w:t xml:space="preserve">model (approximately </w:t>
      </w:r>
      <w:r w:rsidR="00EE2E05">
        <w:rPr>
          <w:noProof/>
          <w:color w:val="000000"/>
          <w:highlight w:val="black"/>
        </w:rPr>
        <w:t>''''''''</w:t>
      </w:r>
      <w:r w:rsidRPr="009F0BEB">
        <w:t xml:space="preserve"> weeks and </w:t>
      </w:r>
      <w:r w:rsidR="00EE2E05">
        <w:rPr>
          <w:noProof/>
          <w:color w:val="000000"/>
          <w:highlight w:val="black"/>
        </w:rPr>
        <w:t>'''''''''</w:t>
      </w:r>
      <w:r w:rsidRPr="009F0BEB">
        <w:t xml:space="preserve"> weeks, respectively).</w:t>
      </w:r>
    </w:p>
    <w:p w:rsidR="00B60939" w:rsidRPr="00D13044" w:rsidRDefault="00B60939" w:rsidP="00D13044">
      <w:pPr>
        <w:pStyle w:val="Heading2"/>
        <w:widowControl/>
        <w:spacing w:after="160"/>
      </w:pPr>
      <w:bookmarkStart w:id="11" w:name="_Toc502848558"/>
      <w:r w:rsidRPr="00081F55">
        <w:t>Estimated PBS usage &amp; financial implications</w:t>
      </w:r>
      <w:bookmarkEnd w:id="11"/>
    </w:p>
    <w:p w:rsidR="0072416F" w:rsidRPr="009F0BEB" w:rsidRDefault="00C25D9C" w:rsidP="006B2DC0">
      <w:pPr>
        <w:pStyle w:val="ListParagraph"/>
        <w:widowControl/>
        <w:numPr>
          <w:ilvl w:val="1"/>
          <w:numId w:val="3"/>
        </w:numPr>
      </w:pPr>
      <w:r w:rsidRPr="009F0BEB">
        <w:t xml:space="preserve">This </w:t>
      </w:r>
      <w:r w:rsidR="00582B98" w:rsidRPr="009F0BEB">
        <w:t>re</w:t>
      </w:r>
      <w:r w:rsidRPr="009F0BEB">
        <w:t xml:space="preserve">submission </w:t>
      </w:r>
      <w:r w:rsidR="00484186" w:rsidRPr="009F0BEB">
        <w:t>w</w:t>
      </w:r>
      <w:r w:rsidR="006C302E" w:rsidRPr="009F0BEB">
        <w:t>as</w:t>
      </w:r>
      <w:r w:rsidR="00484186" w:rsidRPr="009F0BEB">
        <w:t xml:space="preserve"> not</w:t>
      </w:r>
      <w:r w:rsidRPr="009F0BEB">
        <w:t xml:space="preserve"> considered by DUSC. </w:t>
      </w:r>
      <w:r w:rsidR="00582B98" w:rsidRPr="009F0BEB">
        <w:t>The resubmission used an epidemiological approach to estimate the utilisation/financial implications associated with the PBS listing of irinotecan (</w:t>
      </w:r>
      <w:proofErr w:type="spellStart"/>
      <w:r w:rsidR="00582B98" w:rsidRPr="009F0BEB">
        <w:t>nanoliposomal</w:t>
      </w:r>
      <w:proofErr w:type="spellEnd"/>
      <w:r w:rsidR="00582B98" w:rsidRPr="009F0BEB">
        <w:t xml:space="preserve">) over the first 6 years of listing. </w:t>
      </w:r>
    </w:p>
    <w:p w:rsidR="00711614" w:rsidRPr="009F0BEB" w:rsidRDefault="00381393" w:rsidP="002B0DE8">
      <w:pPr>
        <w:pStyle w:val="TableHeading0"/>
        <w:spacing w:after="0"/>
      </w:pPr>
      <w:r w:rsidRPr="009F0BEB">
        <w:t>Table 17</w:t>
      </w:r>
      <w:r w:rsidR="00711614" w:rsidRPr="009F0BEB">
        <w:t>: Estimated use and financial implications</w:t>
      </w:r>
    </w:p>
    <w:tbl>
      <w:tblPr>
        <w:tblW w:w="5002"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1169"/>
        <w:gridCol w:w="1170"/>
        <w:gridCol w:w="1169"/>
        <w:gridCol w:w="1170"/>
        <w:gridCol w:w="1169"/>
        <w:gridCol w:w="1085"/>
      </w:tblGrid>
      <w:tr w:rsidR="00711614" w:rsidRPr="009F0BEB" w:rsidTr="00083B1D">
        <w:trPr>
          <w:tblHeader/>
        </w:trPr>
        <w:tc>
          <w:tcPr>
            <w:tcW w:w="1186" w:type="pct"/>
            <w:tcBorders>
              <w:left w:val="single" w:sz="4" w:space="0" w:color="auto"/>
              <w:bottom w:val="single" w:sz="4" w:space="0" w:color="auto"/>
            </w:tcBorders>
            <w:shd w:val="clear" w:color="auto" w:fill="auto"/>
            <w:vAlign w:val="center"/>
          </w:tcPr>
          <w:p w:rsidR="00711614" w:rsidRPr="009F0BEB" w:rsidRDefault="00711614" w:rsidP="002B0DE8">
            <w:pPr>
              <w:keepNext/>
              <w:widowControl/>
              <w:rPr>
                <w:rFonts w:ascii="Arial Narrow" w:eastAsia="Calibri" w:hAnsi="Arial Narrow" w:cs="Times New Roman"/>
                <w:sz w:val="20"/>
                <w:szCs w:val="20"/>
                <w:lang w:eastAsia="en-AU"/>
              </w:rPr>
            </w:pPr>
          </w:p>
        </w:tc>
        <w:tc>
          <w:tcPr>
            <w:tcW w:w="643" w:type="pct"/>
            <w:tcBorders>
              <w:bottom w:val="single" w:sz="4" w:space="0" w:color="auto"/>
            </w:tcBorders>
            <w:shd w:val="clear" w:color="auto" w:fill="auto"/>
            <w:vAlign w:val="center"/>
          </w:tcPr>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Year 1</w:t>
            </w:r>
          </w:p>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(2018)</w:t>
            </w:r>
          </w:p>
        </w:tc>
        <w:tc>
          <w:tcPr>
            <w:tcW w:w="644" w:type="pct"/>
            <w:tcBorders>
              <w:bottom w:val="single" w:sz="4" w:space="0" w:color="auto"/>
            </w:tcBorders>
            <w:shd w:val="clear" w:color="auto" w:fill="auto"/>
            <w:vAlign w:val="center"/>
          </w:tcPr>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Year 2</w:t>
            </w:r>
          </w:p>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(2019)</w:t>
            </w:r>
          </w:p>
        </w:tc>
        <w:tc>
          <w:tcPr>
            <w:tcW w:w="643" w:type="pct"/>
            <w:tcBorders>
              <w:bottom w:val="single" w:sz="4" w:space="0" w:color="auto"/>
            </w:tcBorders>
            <w:shd w:val="clear" w:color="auto" w:fill="auto"/>
            <w:vAlign w:val="center"/>
          </w:tcPr>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Year 3</w:t>
            </w:r>
          </w:p>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(2020)</w:t>
            </w:r>
          </w:p>
        </w:tc>
        <w:tc>
          <w:tcPr>
            <w:tcW w:w="644" w:type="pct"/>
            <w:tcBorders>
              <w:bottom w:val="single" w:sz="4" w:space="0" w:color="auto"/>
            </w:tcBorders>
            <w:shd w:val="clear" w:color="auto" w:fill="auto"/>
            <w:vAlign w:val="center"/>
          </w:tcPr>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Year 4</w:t>
            </w:r>
          </w:p>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(2021)</w:t>
            </w:r>
          </w:p>
        </w:tc>
        <w:tc>
          <w:tcPr>
            <w:tcW w:w="643" w:type="pct"/>
            <w:tcBorders>
              <w:bottom w:val="single" w:sz="4" w:space="0" w:color="auto"/>
              <w:right w:val="single" w:sz="4" w:space="0" w:color="auto"/>
            </w:tcBorders>
            <w:shd w:val="clear" w:color="auto" w:fill="auto"/>
            <w:vAlign w:val="center"/>
          </w:tcPr>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 xml:space="preserve">Year 5 </w:t>
            </w:r>
          </w:p>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(2022)</w:t>
            </w:r>
          </w:p>
        </w:tc>
        <w:tc>
          <w:tcPr>
            <w:tcW w:w="597" w:type="pct"/>
            <w:tcBorders>
              <w:bottom w:val="single" w:sz="4" w:space="0" w:color="auto"/>
              <w:right w:val="single" w:sz="4" w:space="0" w:color="auto"/>
            </w:tcBorders>
            <w:vAlign w:val="center"/>
          </w:tcPr>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 xml:space="preserve">Year 6 </w:t>
            </w:r>
          </w:p>
          <w:p w:rsidR="00711614" w:rsidRPr="009F0BEB" w:rsidRDefault="00711614" w:rsidP="002B0DE8">
            <w:pPr>
              <w:keepNext/>
              <w:widowControl/>
              <w:jc w:val="center"/>
              <w:rPr>
                <w:rFonts w:ascii="Arial Narrow" w:eastAsia="Calibri" w:hAnsi="Arial Narrow" w:cs="Times New Roman"/>
                <w:b/>
                <w:bCs/>
                <w:sz w:val="20"/>
                <w:szCs w:val="20"/>
                <w:lang w:eastAsia="en-AU"/>
              </w:rPr>
            </w:pPr>
            <w:r w:rsidRPr="009F0BEB">
              <w:rPr>
                <w:rFonts w:ascii="Arial Narrow" w:eastAsia="Calibri" w:hAnsi="Arial Narrow" w:cs="Times New Roman"/>
                <w:b/>
                <w:bCs/>
                <w:sz w:val="20"/>
                <w:szCs w:val="20"/>
                <w:lang w:eastAsia="en-AU"/>
              </w:rPr>
              <w:t>(2023)</w:t>
            </w:r>
          </w:p>
        </w:tc>
      </w:tr>
      <w:tr w:rsidR="00711614" w:rsidRPr="009F0BEB" w:rsidTr="00083B1D">
        <w:tc>
          <w:tcPr>
            <w:tcW w:w="1186" w:type="pct"/>
            <w:tcBorders>
              <w:left w:val="single" w:sz="4" w:space="0" w:color="auto"/>
              <w:bottom w:val="single" w:sz="4" w:space="0" w:color="auto"/>
            </w:tcBorders>
            <w:shd w:val="clear" w:color="auto" w:fill="auto"/>
            <w:vAlign w:val="center"/>
          </w:tcPr>
          <w:p w:rsidR="00711614" w:rsidRPr="009F0BEB" w:rsidRDefault="00711614" w:rsidP="002B0DE8">
            <w:pPr>
              <w:keepNext/>
              <w:widowControl/>
              <w:jc w:val="left"/>
              <w:rPr>
                <w:rFonts w:ascii="Arial Narrow" w:hAnsi="Arial Narrow"/>
                <w:sz w:val="20"/>
                <w:szCs w:val="20"/>
              </w:rPr>
            </w:pPr>
            <w:r w:rsidRPr="009F0BEB">
              <w:rPr>
                <w:rFonts w:ascii="Arial Narrow" w:hAnsi="Arial Narrow"/>
                <w:sz w:val="20"/>
                <w:szCs w:val="20"/>
              </w:rPr>
              <w:t>Incident pancreatic cancer patients</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3,335</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3,434</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3,534</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3,636</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3,738</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3,842</w:t>
            </w:r>
          </w:p>
        </w:tc>
      </w:tr>
      <w:tr w:rsidR="00711614" w:rsidRPr="009F0BEB" w:rsidTr="00083B1D">
        <w:tc>
          <w:tcPr>
            <w:tcW w:w="1186" w:type="pct"/>
            <w:tcBorders>
              <w:left w:val="single" w:sz="4" w:space="0" w:color="auto"/>
              <w:bottom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sz w:val="20"/>
                <w:szCs w:val="20"/>
                <w:lang w:eastAsia="en-AU"/>
              </w:rPr>
            </w:pPr>
            <w:r w:rsidRPr="009F0BEB">
              <w:rPr>
                <w:rFonts w:ascii="Arial Narrow" w:eastAsia="Calibri" w:hAnsi="Arial Narrow" w:cs="Times New Roman"/>
                <w:sz w:val="20"/>
                <w:szCs w:val="20"/>
                <w:lang w:eastAsia="en-AU"/>
              </w:rPr>
              <w:t>Patients using 2</w:t>
            </w:r>
            <w:r w:rsidRPr="009F0BEB">
              <w:rPr>
                <w:rFonts w:ascii="Arial Narrow" w:eastAsia="Calibri" w:hAnsi="Arial Narrow" w:cs="Times New Roman"/>
                <w:sz w:val="20"/>
                <w:szCs w:val="20"/>
                <w:vertAlign w:val="superscript"/>
                <w:lang w:eastAsia="en-AU"/>
              </w:rPr>
              <w:t>nd</w:t>
            </w:r>
            <w:r w:rsidRPr="009F0BEB">
              <w:rPr>
                <w:rFonts w:ascii="Arial Narrow" w:eastAsia="Calibri" w:hAnsi="Arial Narrow" w:cs="Times New Roman"/>
                <w:sz w:val="20"/>
                <w:szCs w:val="20"/>
                <w:lang w:eastAsia="en-AU"/>
              </w:rPr>
              <w:t xml:space="preserve"> line palliative chemotherapy</w:t>
            </w:r>
          </w:p>
        </w:tc>
        <w:tc>
          <w:tcPr>
            <w:tcW w:w="643"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sz w:val="20"/>
                <w:szCs w:val="20"/>
                <w:lang w:eastAsia="en-AU"/>
              </w:rPr>
            </w:pPr>
            <w:r w:rsidRPr="009F0BEB">
              <w:rPr>
                <w:rFonts w:ascii="Arial Narrow" w:eastAsia="Calibri" w:hAnsi="Arial Narrow" w:cs="Times New Roman"/>
                <w:sz w:val="20"/>
                <w:szCs w:val="20"/>
                <w:lang w:eastAsia="en-AU"/>
              </w:rPr>
              <w:t>Patients using 3</w:t>
            </w:r>
            <w:r w:rsidRPr="009F0BEB">
              <w:rPr>
                <w:rFonts w:ascii="Arial Narrow" w:eastAsia="Calibri" w:hAnsi="Arial Narrow" w:cs="Times New Roman"/>
                <w:sz w:val="20"/>
                <w:szCs w:val="20"/>
                <w:vertAlign w:val="superscript"/>
                <w:lang w:eastAsia="en-AU"/>
              </w:rPr>
              <w:t>rd</w:t>
            </w:r>
            <w:r w:rsidRPr="009F0BEB">
              <w:rPr>
                <w:rFonts w:ascii="Arial Narrow" w:eastAsia="Calibri" w:hAnsi="Arial Narrow" w:cs="Times New Roman"/>
                <w:sz w:val="20"/>
                <w:szCs w:val="20"/>
                <w:lang w:eastAsia="en-AU"/>
              </w:rPr>
              <w:t xml:space="preserve"> line palliative chemotherapy</w:t>
            </w:r>
          </w:p>
        </w:tc>
        <w:tc>
          <w:tcPr>
            <w:tcW w:w="643"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tcBorders>
              <w:right w:val="single" w:sz="4" w:space="0" w:color="auto"/>
            </w:tcBorders>
            <w:vAlign w:val="center"/>
          </w:tcPr>
          <w:p w:rsidR="00711614" w:rsidRPr="00EE2E05" w:rsidRDefault="00EE2E05" w:rsidP="002B0DE8">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b/>
                <w:sz w:val="20"/>
                <w:szCs w:val="20"/>
                <w:lang w:eastAsia="en-AU"/>
              </w:rPr>
            </w:pPr>
            <w:r w:rsidRPr="009F0BEB">
              <w:rPr>
                <w:rFonts w:ascii="Arial Narrow" w:eastAsia="Calibri" w:hAnsi="Arial Narrow" w:cs="Times New Roman"/>
                <w:b/>
                <w:sz w:val="20"/>
                <w:szCs w:val="20"/>
                <w:lang w:eastAsia="en-AU"/>
              </w:rPr>
              <w:t xml:space="preserve">Total patients treated with </w:t>
            </w:r>
            <w:proofErr w:type="spellStart"/>
            <w:r w:rsidR="00B6003E" w:rsidRPr="009F0BEB">
              <w:rPr>
                <w:rFonts w:ascii="Arial Narrow" w:eastAsia="Calibri" w:hAnsi="Arial Narrow" w:cs="Times New Roman"/>
                <w:b/>
                <w:sz w:val="20"/>
                <w:szCs w:val="20"/>
                <w:lang w:eastAsia="en-AU"/>
              </w:rPr>
              <w:t>nal</w:t>
            </w:r>
            <w:proofErr w:type="spellEnd"/>
            <w:r w:rsidR="00B6003E" w:rsidRPr="009F0BEB">
              <w:rPr>
                <w:rFonts w:ascii="Arial Narrow" w:eastAsia="Calibri" w:hAnsi="Arial Narrow" w:cs="Times New Roman"/>
                <w:b/>
                <w:sz w:val="20"/>
                <w:szCs w:val="20"/>
                <w:lang w:eastAsia="en-AU"/>
              </w:rPr>
              <w:t>-IRI</w:t>
            </w:r>
            <w:r w:rsidRPr="009F0BEB">
              <w:rPr>
                <w:rFonts w:ascii="Arial Narrow" w:eastAsia="Calibri" w:hAnsi="Arial Narrow" w:cs="Times New Roman"/>
                <w:b/>
                <w:sz w:val="20"/>
                <w:szCs w:val="20"/>
                <w:lang w:eastAsia="en-AU"/>
              </w:rPr>
              <w:t xml:space="preserve"> </w:t>
            </w:r>
          </w:p>
        </w:tc>
        <w:tc>
          <w:tcPr>
            <w:tcW w:w="643" w:type="pct"/>
            <w:shd w:val="clear" w:color="auto" w:fill="auto"/>
            <w:vAlign w:val="center"/>
          </w:tcPr>
          <w:p w:rsidR="00711614" w:rsidRPr="00EE2E05" w:rsidRDefault="00EE2E05" w:rsidP="002B0DE8">
            <w:pPr>
              <w:keepNext/>
              <w:widowControl/>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4" w:type="pct"/>
            <w:shd w:val="clear" w:color="auto" w:fill="auto"/>
            <w:vAlign w:val="center"/>
          </w:tcPr>
          <w:p w:rsidR="00711614" w:rsidRPr="00EE2E05" w:rsidRDefault="00EE2E05" w:rsidP="002B0DE8">
            <w:pPr>
              <w:keepNext/>
              <w:widowControl/>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3" w:type="pct"/>
            <w:shd w:val="clear" w:color="auto" w:fill="auto"/>
            <w:vAlign w:val="center"/>
          </w:tcPr>
          <w:p w:rsidR="00711614" w:rsidRPr="00EE2E05" w:rsidRDefault="00EE2E05" w:rsidP="002B0DE8">
            <w:pPr>
              <w:keepNext/>
              <w:widowControl/>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4" w:type="pct"/>
            <w:shd w:val="clear" w:color="auto" w:fill="auto"/>
            <w:vAlign w:val="center"/>
          </w:tcPr>
          <w:p w:rsidR="00711614" w:rsidRPr="00EE2E05" w:rsidRDefault="00EE2E05" w:rsidP="002B0DE8">
            <w:pPr>
              <w:keepNext/>
              <w:widowControl/>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center"/>
          </w:tcPr>
          <w:p w:rsidR="00711614" w:rsidRPr="00EE2E05" w:rsidRDefault="00EE2E05" w:rsidP="002B0DE8">
            <w:pPr>
              <w:keepNext/>
              <w:widowControl/>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597" w:type="pct"/>
            <w:tcBorders>
              <w:right w:val="single" w:sz="4" w:space="0" w:color="auto"/>
            </w:tcBorders>
            <w:vAlign w:val="center"/>
          </w:tcPr>
          <w:p w:rsidR="00711614" w:rsidRPr="00EE2E05" w:rsidRDefault="00EE2E05" w:rsidP="002B0DE8">
            <w:pPr>
              <w:keepNext/>
              <w:widowControl/>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sz w:val="20"/>
                <w:szCs w:val="20"/>
                <w:lang w:eastAsia="en-AU"/>
              </w:rPr>
            </w:pPr>
            <w:r w:rsidRPr="009F0BEB">
              <w:rPr>
                <w:rFonts w:ascii="Arial Narrow" w:eastAsia="Calibri" w:hAnsi="Arial Narrow" w:cs="Times New Roman"/>
                <w:sz w:val="20"/>
                <w:szCs w:val="20"/>
                <w:lang w:eastAsia="en-AU"/>
              </w:rPr>
              <w:t xml:space="preserve">Effective cost of </w:t>
            </w:r>
            <w:r w:rsidR="00B6003E" w:rsidRPr="009F0BEB">
              <w:rPr>
                <w:rFonts w:ascii="Arial Narrow" w:eastAsia="Calibri" w:hAnsi="Arial Narrow" w:cs="Times New Roman"/>
                <w:sz w:val="20"/>
                <w:szCs w:val="20"/>
                <w:lang w:eastAsia="en-AU"/>
              </w:rPr>
              <w:t>irinotecan (</w:t>
            </w:r>
            <w:proofErr w:type="spellStart"/>
            <w:r w:rsidR="00B6003E" w:rsidRPr="009F0BEB">
              <w:rPr>
                <w:rFonts w:ascii="Arial Narrow" w:eastAsia="Calibri" w:hAnsi="Arial Narrow" w:cs="Times New Roman"/>
                <w:sz w:val="20"/>
                <w:szCs w:val="20"/>
                <w:lang w:eastAsia="en-AU"/>
              </w:rPr>
              <w:t>nanoliposomal</w:t>
            </w:r>
            <w:proofErr w:type="spellEnd"/>
            <w:r w:rsidR="00B6003E" w:rsidRPr="009F0BEB">
              <w:rPr>
                <w:rFonts w:ascii="Arial Narrow" w:eastAsia="Calibri" w:hAnsi="Arial Narrow" w:cs="Times New Roman"/>
                <w:sz w:val="20"/>
                <w:szCs w:val="20"/>
                <w:lang w:eastAsia="en-AU"/>
              </w:rPr>
              <w:t>)</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sz w:val="20"/>
                <w:szCs w:val="20"/>
                <w:lang w:eastAsia="en-AU"/>
              </w:rPr>
            </w:pPr>
            <w:r w:rsidRPr="009F0BEB">
              <w:rPr>
                <w:rFonts w:ascii="Arial Narrow" w:eastAsia="Calibri" w:hAnsi="Arial Narrow" w:cs="Times New Roman"/>
                <w:sz w:val="20"/>
                <w:szCs w:val="20"/>
                <w:lang w:eastAsia="en-AU"/>
              </w:rPr>
              <w:t xml:space="preserve">Cost of concomitant 5-FU </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816,314</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1,082,969</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1,218,518</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1,291,907</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1,363,519</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1,419,439</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sz w:val="20"/>
                <w:szCs w:val="20"/>
                <w:lang w:eastAsia="en-AU"/>
              </w:rPr>
            </w:pPr>
            <w:r w:rsidRPr="009F0BEB">
              <w:rPr>
                <w:rFonts w:ascii="Arial Narrow" w:eastAsia="Calibri" w:hAnsi="Arial Narrow" w:cs="Times New Roman"/>
                <w:sz w:val="20"/>
                <w:szCs w:val="20"/>
                <w:lang w:eastAsia="en-AU"/>
              </w:rPr>
              <w:t xml:space="preserve">Cost of concomitant </w:t>
            </w:r>
            <w:proofErr w:type="spellStart"/>
            <w:r w:rsidRPr="009F0BEB">
              <w:rPr>
                <w:rFonts w:ascii="Arial Narrow" w:eastAsia="Calibri" w:hAnsi="Arial Narrow" w:cs="Times New Roman"/>
                <w:sz w:val="20"/>
                <w:szCs w:val="20"/>
                <w:lang w:eastAsia="en-AU"/>
              </w:rPr>
              <w:t>folinic</w:t>
            </w:r>
            <w:proofErr w:type="spellEnd"/>
            <w:r w:rsidRPr="009F0BEB">
              <w:rPr>
                <w:rFonts w:ascii="Arial Narrow" w:eastAsia="Calibri" w:hAnsi="Arial Narrow" w:cs="Times New Roman"/>
                <w:sz w:val="20"/>
                <w:szCs w:val="20"/>
                <w:lang w:eastAsia="en-AU"/>
              </w:rPr>
              <w:t xml:space="preserve"> acid</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268,314</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355,961</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400,515</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424,637</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448,175</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466,555</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sz w:val="20"/>
                <w:szCs w:val="20"/>
                <w:lang w:eastAsia="en-AU"/>
              </w:rPr>
            </w:pPr>
            <w:r w:rsidRPr="009F0BEB">
              <w:rPr>
                <w:rFonts w:ascii="Arial Narrow" w:eastAsia="Calibri" w:hAnsi="Arial Narrow" w:cs="Times New Roman"/>
                <w:sz w:val="20"/>
                <w:szCs w:val="20"/>
                <w:lang w:eastAsia="en-AU"/>
              </w:rPr>
              <w:t xml:space="preserve">Drug costs to manage adverse events </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32,351</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42,918</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48,291</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51,198</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54,036</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Pr="00186D3B">
              <w:rPr>
                <w:rFonts w:ascii="Arial Narrow" w:hAnsi="Arial Narrow"/>
                <w:sz w:val="20"/>
                <w:szCs w:val="20"/>
              </w:rPr>
              <w:t>56,253</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eastAsia="Calibri" w:hAnsi="Arial Narrow" w:cs="Times New Roman"/>
                <w:b/>
                <w:sz w:val="20"/>
                <w:szCs w:val="20"/>
                <w:lang w:eastAsia="en-AU"/>
              </w:rPr>
            </w:pPr>
            <w:r w:rsidRPr="009F0BEB">
              <w:rPr>
                <w:rFonts w:ascii="Arial Narrow" w:eastAsia="Calibri" w:hAnsi="Arial Narrow" w:cs="Times New Roman"/>
                <w:b/>
                <w:sz w:val="20"/>
                <w:szCs w:val="20"/>
                <w:lang w:eastAsia="en-AU"/>
              </w:rPr>
              <w:t xml:space="preserve">Total cost of treatment with </w:t>
            </w:r>
            <w:proofErr w:type="spellStart"/>
            <w:r w:rsidRPr="009F0BEB">
              <w:rPr>
                <w:rFonts w:ascii="Arial Narrow" w:eastAsia="Calibri" w:hAnsi="Arial Narrow" w:cs="Times New Roman"/>
                <w:b/>
                <w:sz w:val="20"/>
                <w:szCs w:val="20"/>
                <w:lang w:eastAsia="en-AU"/>
              </w:rPr>
              <w:t>nal</w:t>
            </w:r>
            <w:proofErr w:type="spellEnd"/>
            <w:r w:rsidRPr="009F0BEB">
              <w:rPr>
                <w:rFonts w:ascii="Arial Narrow" w:eastAsia="Calibri" w:hAnsi="Arial Narrow" w:cs="Times New Roman"/>
                <w:b/>
                <w:sz w:val="20"/>
                <w:szCs w:val="20"/>
                <w:lang w:eastAsia="en-AU"/>
              </w:rPr>
              <w:t>-</w:t>
            </w:r>
            <w:r w:rsidR="00B6003E" w:rsidRPr="009F0BEB">
              <w:rPr>
                <w:rFonts w:ascii="Arial Narrow" w:eastAsia="Calibri" w:hAnsi="Arial Narrow" w:cs="Times New Roman"/>
                <w:b/>
                <w:sz w:val="20"/>
                <w:szCs w:val="20"/>
                <w:lang w:eastAsia="en-AU"/>
              </w:rPr>
              <w:t>IRI</w:t>
            </w:r>
          </w:p>
        </w:tc>
        <w:tc>
          <w:tcPr>
            <w:tcW w:w="643"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3"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hAnsi="Arial Narrow"/>
                <w:sz w:val="20"/>
                <w:szCs w:val="20"/>
                <w:vertAlign w:val="superscript"/>
                <w:lang w:eastAsia="en-AU"/>
              </w:rPr>
            </w:pPr>
            <w:r w:rsidRPr="009F0BEB">
              <w:rPr>
                <w:rFonts w:ascii="Arial Narrow" w:hAnsi="Arial Narrow"/>
                <w:sz w:val="20"/>
                <w:szCs w:val="20"/>
                <w:lang w:eastAsia="en-AU"/>
              </w:rPr>
              <w:t xml:space="preserve">Patient co-payments </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hAnsi="Arial Narrow"/>
                <w:sz w:val="20"/>
                <w:szCs w:val="20"/>
                <w:vertAlign w:val="superscript"/>
                <w:lang w:eastAsia="en-AU"/>
              </w:rPr>
            </w:pPr>
            <w:r w:rsidRPr="009F0BEB">
              <w:rPr>
                <w:rFonts w:ascii="Arial Narrow" w:hAnsi="Arial Narrow"/>
                <w:sz w:val="20"/>
                <w:szCs w:val="20"/>
                <w:lang w:eastAsia="en-AU"/>
              </w:rPr>
              <w:t xml:space="preserve">Cost of substituted mFOLFOX6 regimen </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w:t>
            </w:r>
            <w:r w:rsidR="00EE2E05">
              <w:rPr>
                <w:rFonts w:ascii="Arial Narrow" w:hAnsi="Arial Narrow"/>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rPr>
                <w:rFonts w:ascii="Arial Narrow" w:hAnsi="Arial Narrow"/>
                <w:b/>
                <w:sz w:val="20"/>
                <w:szCs w:val="20"/>
                <w:lang w:eastAsia="en-AU"/>
              </w:rPr>
            </w:pPr>
            <w:r w:rsidRPr="009F0BEB">
              <w:rPr>
                <w:rFonts w:ascii="Arial Narrow" w:hAnsi="Arial Narrow"/>
                <w:b/>
                <w:sz w:val="20"/>
                <w:szCs w:val="20"/>
                <w:lang w:eastAsia="en-AU"/>
              </w:rPr>
              <w:t>Net cost to PBS/RPBS</w:t>
            </w:r>
          </w:p>
        </w:tc>
        <w:tc>
          <w:tcPr>
            <w:tcW w:w="643" w:type="pct"/>
            <w:shd w:val="clear" w:color="auto" w:fill="auto"/>
            <w:vAlign w:val="bottom"/>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4" w:type="pct"/>
            <w:shd w:val="clear" w:color="auto" w:fill="auto"/>
            <w:vAlign w:val="bottom"/>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3" w:type="pct"/>
            <w:shd w:val="clear" w:color="auto" w:fill="auto"/>
            <w:vAlign w:val="bottom"/>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4" w:type="pct"/>
            <w:shd w:val="clear" w:color="auto" w:fill="auto"/>
            <w:vAlign w:val="bottom"/>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bottom"/>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597" w:type="pct"/>
            <w:tcBorders>
              <w:right w:val="single" w:sz="4" w:space="0" w:color="auto"/>
            </w:tcBorders>
            <w:vAlign w:val="bottom"/>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hAnsi="Arial Narrow"/>
                <w:sz w:val="20"/>
                <w:lang w:eastAsia="en-AU"/>
              </w:rPr>
            </w:pPr>
            <w:r w:rsidRPr="009F0BEB">
              <w:rPr>
                <w:rFonts w:ascii="Arial Narrow" w:hAnsi="Arial Narrow"/>
                <w:sz w:val="20"/>
                <w:lang w:eastAsia="en-AU"/>
              </w:rPr>
              <w:t>Incremental MBS costs for treatment administration, adverse events and monitoring</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$948,554</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$1,258,407</w:t>
            </w:r>
          </w:p>
        </w:tc>
        <w:tc>
          <w:tcPr>
            <w:tcW w:w="643"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$1,415,915</w:t>
            </w:r>
          </w:p>
        </w:tc>
        <w:tc>
          <w:tcPr>
            <w:tcW w:w="644" w:type="pct"/>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$1,501,193</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$1,584,405</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sz w:val="20"/>
                <w:szCs w:val="20"/>
              </w:rPr>
            </w:pPr>
            <w:r w:rsidRPr="009F0BEB">
              <w:rPr>
                <w:rFonts w:ascii="Arial Narrow" w:hAnsi="Arial Narrow"/>
                <w:sz w:val="20"/>
                <w:szCs w:val="20"/>
              </w:rPr>
              <w:t>$1,649,385</w:t>
            </w:r>
          </w:p>
        </w:tc>
      </w:tr>
      <w:tr w:rsidR="00711614" w:rsidRPr="009F0BEB" w:rsidTr="00083B1D">
        <w:tc>
          <w:tcPr>
            <w:tcW w:w="1186" w:type="pct"/>
            <w:tcBorders>
              <w:left w:val="single" w:sz="4" w:space="0" w:color="auto"/>
            </w:tcBorders>
            <w:shd w:val="clear" w:color="auto" w:fill="auto"/>
            <w:vAlign w:val="center"/>
          </w:tcPr>
          <w:p w:rsidR="00711614" w:rsidRPr="009F0BEB" w:rsidRDefault="00711614" w:rsidP="002B0DE8">
            <w:pPr>
              <w:keepNext/>
              <w:widowControl/>
              <w:jc w:val="left"/>
              <w:rPr>
                <w:rFonts w:ascii="Arial Narrow" w:hAnsi="Arial Narrow"/>
                <w:b/>
                <w:sz w:val="20"/>
                <w:lang w:eastAsia="en-AU"/>
              </w:rPr>
            </w:pPr>
            <w:r w:rsidRPr="009F0BEB">
              <w:rPr>
                <w:rFonts w:ascii="Arial Narrow" w:hAnsi="Arial Narrow"/>
                <w:b/>
                <w:sz w:val="20"/>
                <w:lang w:eastAsia="en-AU"/>
              </w:rPr>
              <w:t>Total cost to government</w:t>
            </w:r>
          </w:p>
        </w:tc>
        <w:tc>
          <w:tcPr>
            <w:tcW w:w="643"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3"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4" w:type="pct"/>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643" w:type="pct"/>
            <w:tcBorders>
              <w:right w:val="single" w:sz="4" w:space="0" w:color="auto"/>
            </w:tcBorders>
            <w:shd w:val="clear" w:color="auto" w:fill="auto"/>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c>
          <w:tcPr>
            <w:tcW w:w="597" w:type="pct"/>
            <w:tcBorders>
              <w:right w:val="single" w:sz="4" w:space="0" w:color="auto"/>
            </w:tcBorders>
            <w:vAlign w:val="center"/>
          </w:tcPr>
          <w:p w:rsidR="00711614" w:rsidRPr="009F0BEB" w:rsidRDefault="00711614" w:rsidP="002B0DE8">
            <w:pPr>
              <w:keepNext/>
              <w:widowControl/>
              <w:jc w:val="center"/>
              <w:rPr>
                <w:rFonts w:ascii="Arial Narrow" w:hAnsi="Arial Narrow"/>
                <w:b/>
                <w:sz w:val="20"/>
                <w:szCs w:val="20"/>
              </w:rPr>
            </w:pPr>
            <w:r w:rsidRPr="009F0BEB">
              <w:rPr>
                <w:rFonts w:ascii="Arial Narrow" w:hAnsi="Arial Narrow"/>
                <w:b/>
                <w:sz w:val="20"/>
                <w:szCs w:val="20"/>
              </w:rPr>
              <w:t>$</w:t>
            </w:r>
            <w:r w:rsidR="00EE2E05">
              <w:rPr>
                <w:rFonts w:ascii="Arial Narrow" w:hAnsi="Arial Narrow"/>
                <w:b/>
                <w:noProof/>
                <w:color w:val="000000"/>
                <w:sz w:val="20"/>
                <w:szCs w:val="20"/>
                <w:highlight w:val="black"/>
              </w:rPr>
              <w:t>'''''''''''''''''''''</w:t>
            </w:r>
          </w:p>
        </w:tc>
      </w:tr>
    </w:tbl>
    <w:p w:rsidR="00711614" w:rsidRPr="009F0BEB" w:rsidRDefault="00711614" w:rsidP="002B0DE8">
      <w:pPr>
        <w:pStyle w:val="TableFooter"/>
        <w:keepNext/>
        <w:widowControl/>
      </w:pPr>
      <w:r w:rsidRPr="009F0BEB">
        <w:t xml:space="preserve">Source: Table 4.1-7, p156; Table 4.1-8, p157; Table 4.1-11, pp159-160; Table 4.1-12, p160; Table 4.1-14, pp161-162; Table 4.1-19, p165; Table 4.1-20, p166; Table 4.1-22, p167; Table 4.1-23, p168; Table 4.1-24, p168; Table 4.1-25, p169; Table 4.1-26, p169 of the resubmission </w:t>
      </w:r>
    </w:p>
    <w:p w:rsidR="00711614" w:rsidRDefault="00711614" w:rsidP="00D13044">
      <w:pPr>
        <w:pStyle w:val="TableFooter"/>
        <w:keepNext/>
        <w:widowControl/>
      </w:pPr>
      <w:r w:rsidRPr="009F0BEB">
        <w:t xml:space="preserve">Abbreviations: MBS, Medicare Benefits Schedule; </w:t>
      </w:r>
      <w:proofErr w:type="spellStart"/>
      <w:r w:rsidRPr="009F0BEB">
        <w:t>nal</w:t>
      </w:r>
      <w:proofErr w:type="spellEnd"/>
      <w:r w:rsidRPr="009F0BEB">
        <w:t>-</w:t>
      </w:r>
      <w:r w:rsidR="00B6003E" w:rsidRPr="009F0BEB">
        <w:t>IRI</w:t>
      </w:r>
      <w:r w:rsidRPr="009F0BEB">
        <w:t>, irinotecan (</w:t>
      </w:r>
      <w:proofErr w:type="spellStart"/>
      <w:r w:rsidRPr="009F0BEB">
        <w:t>nanoliposomal</w:t>
      </w:r>
      <w:proofErr w:type="spellEnd"/>
      <w:r w:rsidRPr="009F0BEB">
        <w:t>)</w:t>
      </w:r>
      <w:r w:rsidR="00B6003E" w:rsidRPr="009F0BEB">
        <w:t xml:space="preserve"> plus 5-FU/</w:t>
      </w:r>
      <w:proofErr w:type="spellStart"/>
      <w:r w:rsidR="00B6003E" w:rsidRPr="009F0BEB">
        <w:t>folinic</w:t>
      </w:r>
      <w:proofErr w:type="spellEnd"/>
      <w:r w:rsidR="00B6003E" w:rsidRPr="009F0BEB">
        <w:t xml:space="preserve"> acid</w:t>
      </w:r>
      <w:r w:rsidRPr="009F0BEB">
        <w:t>; PBS, Pharmaceutical Benefits Scheme; RPBS, Repatriation Pharmaceutical Benefits Scheme</w:t>
      </w:r>
    </w:p>
    <w:p w:rsidR="00D13044" w:rsidRPr="009F0BEB" w:rsidRDefault="00D13044" w:rsidP="00D13044">
      <w:pPr>
        <w:pStyle w:val="TableFooter"/>
        <w:keepNext/>
        <w:widowControl/>
      </w:pPr>
    </w:p>
    <w:p w:rsidR="00540DF3" w:rsidRPr="009F0BEB" w:rsidRDefault="00F54830" w:rsidP="006B2DC0">
      <w:pPr>
        <w:pStyle w:val="ListParagraph"/>
        <w:widowControl/>
        <w:numPr>
          <w:ilvl w:val="1"/>
          <w:numId w:val="3"/>
        </w:numPr>
        <w:spacing w:after="0"/>
      </w:pPr>
      <w:r w:rsidRPr="009F0BEB">
        <w:t xml:space="preserve">The resubmission estimated that in Year 1, the number of patients treated would be </w:t>
      </w:r>
      <w:r w:rsidR="007815B8">
        <w:t>less than 10,000</w:t>
      </w:r>
      <w:r w:rsidR="007815B8" w:rsidRPr="009F0BEB">
        <w:t xml:space="preserve"> </w:t>
      </w:r>
      <w:r w:rsidRPr="009F0BEB">
        <w:t xml:space="preserve">at a net cost to the PBS of </w:t>
      </w:r>
      <w:r w:rsidR="007815B8">
        <w:t xml:space="preserve">less than </w:t>
      </w:r>
      <w:r w:rsidRPr="009F0BEB">
        <w:t>$</w:t>
      </w:r>
      <w:r w:rsidR="007815B8">
        <w:t>10</w:t>
      </w:r>
      <w:r w:rsidRPr="009F0BEB">
        <w:t xml:space="preserve"> million, increasing to </w:t>
      </w:r>
      <w:r w:rsidR="007815B8">
        <w:t>less than 10,000</w:t>
      </w:r>
      <w:r w:rsidRPr="009F0BEB">
        <w:t xml:space="preserve"> patients in Year 6 at a net cost to the PBS of $</w:t>
      </w:r>
      <w:r w:rsidR="007815B8">
        <w:t xml:space="preserve">10-$20 </w:t>
      </w:r>
      <w:r w:rsidRPr="009F0BEB">
        <w:t xml:space="preserve">million (compared with </w:t>
      </w:r>
      <w:r w:rsidR="00EE2E05">
        <w:rPr>
          <w:noProof/>
          <w:color w:val="000000"/>
          <w:highlight w:val="black"/>
        </w:rPr>
        <w:t>''''''''</w:t>
      </w:r>
      <w:r w:rsidRPr="009F0BEB">
        <w:t xml:space="preserve"> patients and $</w:t>
      </w:r>
      <w:r w:rsidR="00EE2E05">
        <w:rPr>
          <w:noProof/>
          <w:color w:val="000000"/>
          <w:highlight w:val="black"/>
        </w:rPr>
        <w:t>''''''''''''''''''''</w:t>
      </w:r>
      <w:r w:rsidRPr="009F0BEB">
        <w:t xml:space="preserve"> in Year 1, increasing to </w:t>
      </w:r>
      <w:r w:rsidR="00EE2E05">
        <w:rPr>
          <w:noProof/>
          <w:color w:val="000000"/>
          <w:highlight w:val="black"/>
        </w:rPr>
        <w:t>'''''''</w:t>
      </w:r>
      <w:r w:rsidRPr="009F0BEB">
        <w:t xml:space="preserve"> patients and $</w:t>
      </w:r>
      <w:r w:rsidR="00EE2E05">
        <w:rPr>
          <w:noProof/>
          <w:color w:val="000000"/>
          <w:highlight w:val="black"/>
        </w:rPr>
        <w:t>''''''''</w:t>
      </w:r>
      <w:r w:rsidRPr="009F0BEB">
        <w:t xml:space="preserve"> million in Year 5 based on the PSCR for the November 2016 submission</w:t>
      </w:r>
      <w:r w:rsidR="007815B8">
        <w:t xml:space="preserve">. </w:t>
      </w:r>
      <w:r w:rsidR="00A27E3D" w:rsidRPr="009F0BEB">
        <w:t xml:space="preserve">The </w:t>
      </w:r>
      <w:r w:rsidR="00A27E3D" w:rsidRPr="009F0BEB">
        <w:lastRenderedPageBreak/>
        <w:t>difference in patient numbers was primarily due to the inclusion of non-metastatic patients with no attempted resection in the current estimates who were previously excluded in the November 2016 estimates.</w:t>
      </w:r>
      <w:r w:rsidR="00B314EC" w:rsidRPr="009F0BEB">
        <w:t xml:space="preserve"> This was consistent with DUSC advice (irinotecan (</w:t>
      </w:r>
      <w:proofErr w:type="spellStart"/>
      <w:r w:rsidR="00B314EC" w:rsidRPr="009F0BEB">
        <w:t>nanoliposomal</w:t>
      </w:r>
      <w:proofErr w:type="spellEnd"/>
      <w:r w:rsidR="00B314EC" w:rsidRPr="009F0BEB">
        <w:t>) DUSC advice November 2016).</w:t>
      </w:r>
    </w:p>
    <w:p w:rsidR="00540DF3" w:rsidRPr="009F0BEB" w:rsidRDefault="00540DF3" w:rsidP="006B2DC0">
      <w:pPr>
        <w:pStyle w:val="ListParagraph"/>
        <w:widowControl/>
        <w:spacing w:after="0"/>
      </w:pPr>
    </w:p>
    <w:p w:rsidR="00582B98" w:rsidRPr="009F0BEB" w:rsidRDefault="00F54830" w:rsidP="006B2DC0">
      <w:pPr>
        <w:pStyle w:val="ListParagraph"/>
        <w:widowControl/>
        <w:numPr>
          <w:ilvl w:val="1"/>
          <w:numId w:val="3"/>
        </w:numPr>
        <w:spacing w:after="0"/>
      </w:pPr>
      <w:r w:rsidRPr="009F0BEB">
        <w:t xml:space="preserve">The estimated utilisation and financial implications were </w:t>
      </w:r>
      <w:r w:rsidR="00AA14B6" w:rsidRPr="009F0BEB">
        <w:t xml:space="preserve">highly </w:t>
      </w:r>
      <w:r w:rsidRPr="009F0BEB">
        <w:t>uncertain due to the following issues:</w:t>
      </w:r>
    </w:p>
    <w:p w:rsidR="00F54830" w:rsidRPr="009F0BEB" w:rsidRDefault="000A7B18" w:rsidP="006B2DC0">
      <w:pPr>
        <w:pStyle w:val="ListParagraph"/>
        <w:widowControl/>
        <w:numPr>
          <w:ilvl w:val="0"/>
          <w:numId w:val="21"/>
        </w:numPr>
        <w:spacing w:after="0"/>
      </w:pPr>
      <w:r w:rsidRPr="009F0BEB">
        <w:t>The size of the</w:t>
      </w:r>
      <w:r w:rsidR="0070724B" w:rsidRPr="009F0BEB">
        <w:t xml:space="preserve"> eligible</w:t>
      </w:r>
      <w:r w:rsidR="00AA14B6" w:rsidRPr="009F0BEB">
        <w:t xml:space="preserve"> patient population</w:t>
      </w:r>
      <w:r w:rsidRPr="009F0BEB">
        <w:t xml:space="preserve"> was uncertain</w:t>
      </w:r>
      <w:r w:rsidR="00AA14B6" w:rsidRPr="009F0BEB">
        <w:t xml:space="preserve"> due to unsupported assumptions regarding treatment rates </w:t>
      </w:r>
      <w:r w:rsidRPr="009F0BEB">
        <w:t xml:space="preserve">in </w:t>
      </w:r>
      <w:r w:rsidR="00AA14B6" w:rsidRPr="009F0BEB">
        <w:t xml:space="preserve">different lines of therapy, </w:t>
      </w:r>
      <w:r w:rsidR="000037E1" w:rsidRPr="009F0BEB">
        <w:t>not including patients who qualify for</w:t>
      </w:r>
      <w:r w:rsidR="00EE17C8" w:rsidRPr="009F0BEB">
        <w:t xml:space="preserve"> treatment with </w:t>
      </w:r>
      <w:proofErr w:type="spellStart"/>
      <w:r w:rsidR="00B6003E" w:rsidRPr="009F0BEB">
        <w:t>nal</w:t>
      </w:r>
      <w:proofErr w:type="spellEnd"/>
      <w:r w:rsidR="00B6003E" w:rsidRPr="009F0BEB">
        <w:t>-IRI</w:t>
      </w:r>
      <w:r w:rsidR="00AA14B6" w:rsidRPr="009F0BEB">
        <w:t xml:space="preserve"> from </w:t>
      </w:r>
      <w:r w:rsidR="000037E1" w:rsidRPr="009F0BEB">
        <w:t xml:space="preserve">having </w:t>
      </w:r>
      <w:r w:rsidR="00AA14B6" w:rsidRPr="009F0BEB">
        <w:t xml:space="preserve">prior non-metastatic treatment and inadequate accounting of </w:t>
      </w:r>
      <w:r w:rsidR="009507A1" w:rsidRPr="009F0BEB">
        <w:t xml:space="preserve">patients who experience </w:t>
      </w:r>
      <w:r w:rsidR="00AA14B6" w:rsidRPr="009F0BEB">
        <w:t xml:space="preserve">disease recurrence after 12 months. </w:t>
      </w:r>
      <w:r w:rsidR="00D15F09" w:rsidRPr="009F0BEB">
        <w:t>These issues were previous</w:t>
      </w:r>
      <w:r w:rsidR="00C07AEA" w:rsidRPr="009F0BEB">
        <w:t>ly</w:t>
      </w:r>
      <w:r w:rsidR="00D15F09" w:rsidRPr="009F0BEB">
        <w:t xml:space="preserve"> raised by DUSC and were inadequately addressed in the resubmission. </w:t>
      </w:r>
      <w:r w:rsidR="00AA14B6" w:rsidRPr="009F0BEB">
        <w:t>The estimated patient numbers may be substantial under or over estimates;</w:t>
      </w:r>
    </w:p>
    <w:p w:rsidR="00AA14B6" w:rsidRPr="009F0BEB" w:rsidRDefault="00AA14B6" w:rsidP="006B2DC0">
      <w:pPr>
        <w:pStyle w:val="ListParagraph"/>
        <w:widowControl/>
        <w:numPr>
          <w:ilvl w:val="0"/>
          <w:numId w:val="21"/>
        </w:numPr>
        <w:spacing w:after="0"/>
      </w:pPr>
      <w:r w:rsidRPr="009F0BEB">
        <w:t xml:space="preserve">Uptake rates were based on unsupported assumptions with no </w:t>
      </w:r>
      <w:r w:rsidR="009A69B4" w:rsidRPr="009F0BEB">
        <w:t>justification</w:t>
      </w:r>
      <w:r w:rsidRPr="009F0BEB">
        <w:t xml:space="preserve"> of patterns in second-line and third-line therapy</w:t>
      </w:r>
    </w:p>
    <w:p w:rsidR="00AA14B6" w:rsidRPr="009F0BEB" w:rsidRDefault="00AA14B6" w:rsidP="006B2DC0">
      <w:pPr>
        <w:pStyle w:val="ListParagraph"/>
        <w:widowControl/>
        <w:numPr>
          <w:ilvl w:val="1"/>
          <w:numId w:val="21"/>
        </w:numPr>
        <w:spacing w:after="0"/>
      </w:pPr>
      <w:r w:rsidRPr="009F0BEB">
        <w:t xml:space="preserve">DUSC has previously noted the poor side effect profile associated with </w:t>
      </w:r>
      <w:proofErr w:type="spellStart"/>
      <w:r w:rsidR="00B6003E" w:rsidRPr="009F0BEB">
        <w:t>nal</w:t>
      </w:r>
      <w:proofErr w:type="spellEnd"/>
      <w:r w:rsidR="00B6003E" w:rsidRPr="009F0BEB">
        <w:t>-IRI</w:t>
      </w:r>
      <w:r w:rsidRPr="009F0BEB">
        <w:t xml:space="preserve"> which may affect its uptake in real-world palliative care populations (which are likely to include more patients with poorer performance status  than trial populations)</w:t>
      </w:r>
      <w:r w:rsidR="00D15F09" w:rsidRPr="009F0BEB">
        <w:t xml:space="preserve"> (irinotecan (</w:t>
      </w:r>
      <w:proofErr w:type="spellStart"/>
      <w:r w:rsidR="00D15F09" w:rsidRPr="009F0BEB">
        <w:t>nanoliposomal</w:t>
      </w:r>
      <w:proofErr w:type="spellEnd"/>
      <w:r w:rsidR="00D15F09" w:rsidRPr="009F0BEB">
        <w:t>) DUSC advice November 2016)</w:t>
      </w:r>
      <w:r w:rsidRPr="009F0BEB">
        <w:t>;</w:t>
      </w:r>
    </w:p>
    <w:p w:rsidR="00AA14B6" w:rsidRPr="009F0BEB" w:rsidRDefault="00AA14B6" w:rsidP="006B2DC0">
      <w:pPr>
        <w:pStyle w:val="ListParagraph"/>
        <w:widowControl/>
        <w:numPr>
          <w:ilvl w:val="1"/>
          <w:numId w:val="21"/>
        </w:numPr>
        <w:spacing w:after="0"/>
      </w:pPr>
      <w:r w:rsidRPr="009F0BEB">
        <w:t xml:space="preserve">DUSC has previously noted the poor outcomes associated with treatment for pancreatic cancer (including </w:t>
      </w:r>
      <w:proofErr w:type="spellStart"/>
      <w:r w:rsidR="00B6003E" w:rsidRPr="009F0BEB">
        <w:t>nal</w:t>
      </w:r>
      <w:proofErr w:type="spellEnd"/>
      <w:r w:rsidR="00B6003E" w:rsidRPr="009F0BEB">
        <w:t>-IRI</w:t>
      </w:r>
      <w:r w:rsidRPr="009F0BEB">
        <w:t>) and suggested that patients with good performance status will trial multiple regimens and the market will be highly sensitive to the availability of new treatments in the future</w:t>
      </w:r>
      <w:r w:rsidR="00D15F09" w:rsidRPr="009F0BEB">
        <w:t xml:space="preserve"> (irinotecan (</w:t>
      </w:r>
      <w:proofErr w:type="spellStart"/>
      <w:r w:rsidR="00D15F09" w:rsidRPr="009F0BEB">
        <w:t>nanoliposomal</w:t>
      </w:r>
      <w:proofErr w:type="spellEnd"/>
      <w:r w:rsidR="00D15F09" w:rsidRPr="009F0BEB">
        <w:t>) DUSC advice November 2016)</w:t>
      </w:r>
      <w:r w:rsidRPr="009F0BEB">
        <w:t>.</w:t>
      </w:r>
    </w:p>
    <w:p w:rsidR="00AA14B6" w:rsidRPr="009F0BEB" w:rsidRDefault="00AA14B6" w:rsidP="006B2DC0">
      <w:pPr>
        <w:pStyle w:val="ListParagraph"/>
        <w:widowControl/>
        <w:numPr>
          <w:ilvl w:val="0"/>
          <w:numId w:val="21"/>
        </w:numPr>
        <w:spacing w:after="0"/>
      </w:pPr>
      <w:r w:rsidRPr="009F0BEB">
        <w:t xml:space="preserve">Drug costs, administration costs, adverse event costs and monitoring costs have been imported from the economic evaluation and therefore incorporate all the issues of concern with these estimates (such as underestimation of irinotecan </w:t>
      </w:r>
      <w:r w:rsidR="00B6003E" w:rsidRPr="009F0BEB">
        <w:t>(</w:t>
      </w:r>
      <w:proofErr w:type="spellStart"/>
      <w:r w:rsidR="00B6003E" w:rsidRPr="009F0BEB">
        <w:t>nanoliposomal</w:t>
      </w:r>
      <w:proofErr w:type="spellEnd"/>
      <w:r w:rsidR="00B6003E" w:rsidRPr="009F0BEB">
        <w:t>)</w:t>
      </w:r>
      <w:r w:rsidRPr="009F0BEB">
        <w:t xml:space="preserve"> costs, underestimation of adverse</w:t>
      </w:r>
      <w:r w:rsidR="0070724B" w:rsidRPr="009F0BEB">
        <w:t xml:space="preserve"> event</w:t>
      </w:r>
      <w:r w:rsidRPr="009F0BEB">
        <w:t xml:space="preserve"> costs, and uncertainty in the subsequent-line therapy costs). Additionally, multi-year costs from the economic evaluation are attributed to single years in the budget impact model</w:t>
      </w:r>
      <w:r w:rsidR="00D15F09" w:rsidRPr="009F0BEB">
        <w:t>. This issue was previously raised by DUSC and was not addressed in the resubmission</w:t>
      </w:r>
      <w:r w:rsidR="00071330" w:rsidRPr="009F0BEB">
        <w:t xml:space="preserve"> (irinotecan (</w:t>
      </w:r>
      <w:proofErr w:type="spellStart"/>
      <w:r w:rsidR="00071330" w:rsidRPr="009F0BEB">
        <w:t>nanoliposomal</w:t>
      </w:r>
      <w:proofErr w:type="spellEnd"/>
      <w:r w:rsidR="00071330" w:rsidRPr="009F0BEB">
        <w:t>) DUSC advice November 2016)</w:t>
      </w:r>
      <w:r w:rsidRPr="009F0BEB">
        <w:t xml:space="preserve">; </w:t>
      </w:r>
    </w:p>
    <w:p w:rsidR="00AA14B6" w:rsidRPr="009F0BEB" w:rsidRDefault="00AA14B6" w:rsidP="006B2DC0">
      <w:pPr>
        <w:pStyle w:val="ListParagraph"/>
        <w:widowControl/>
        <w:numPr>
          <w:ilvl w:val="0"/>
          <w:numId w:val="21"/>
        </w:numPr>
        <w:spacing w:after="0"/>
      </w:pPr>
      <w:r w:rsidRPr="009F0BEB">
        <w:t xml:space="preserve">The resubmission assumed that the mFOLFOX6 drug regimen could act as a proxy for all drug regimens potentially substituted by </w:t>
      </w:r>
      <w:proofErr w:type="spellStart"/>
      <w:r w:rsidR="00B6003E" w:rsidRPr="009F0BEB">
        <w:t>nal</w:t>
      </w:r>
      <w:proofErr w:type="spellEnd"/>
      <w:r w:rsidR="00B6003E" w:rsidRPr="009F0BEB">
        <w:t>-IRI</w:t>
      </w:r>
      <w:r w:rsidRPr="009F0BEB">
        <w:t xml:space="preserve">. </w:t>
      </w:r>
      <w:r w:rsidR="00B571EF" w:rsidRPr="009F0BEB">
        <w:t>There</w:t>
      </w:r>
      <w:r w:rsidRPr="009F0BEB">
        <w:t xml:space="preserve"> is likely to be substantial variation in overall costs between individual regimens (e.g. </w:t>
      </w:r>
      <w:proofErr w:type="spellStart"/>
      <w:r w:rsidRPr="009F0BEB">
        <w:t>capecitabine</w:t>
      </w:r>
      <w:proofErr w:type="spellEnd"/>
      <w:r w:rsidRPr="009F0BEB">
        <w:t xml:space="preserve"> monotherapy versus FOLFIRINOX) and substituted therapies</w:t>
      </w:r>
      <w:r w:rsidR="00B571EF" w:rsidRPr="009F0BEB">
        <w:t xml:space="preserve"> </w:t>
      </w:r>
      <w:r w:rsidR="00593AF0" w:rsidRPr="009F0BEB">
        <w:t xml:space="preserve">which </w:t>
      </w:r>
      <w:r w:rsidRPr="009F0BEB">
        <w:t>represent a major cost-offset in the budget impact model.</w:t>
      </w:r>
      <w:r w:rsidR="00D15F09" w:rsidRPr="009F0BEB">
        <w:t xml:space="preserve"> DUSC previously raised this assumption as a concern which was not addressed in the resubmission</w:t>
      </w:r>
      <w:r w:rsidR="00071330" w:rsidRPr="009F0BEB">
        <w:t xml:space="preserve"> (irinotecan (</w:t>
      </w:r>
      <w:proofErr w:type="spellStart"/>
      <w:r w:rsidR="00071330" w:rsidRPr="009F0BEB">
        <w:t>nanoliposomal</w:t>
      </w:r>
      <w:proofErr w:type="spellEnd"/>
      <w:r w:rsidR="00071330" w:rsidRPr="009F0BEB">
        <w:t>) DUSC advice November 2016)</w:t>
      </w:r>
      <w:r w:rsidR="00D15F09" w:rsidRPr="009F0BEB">
        <w:t xml:space="preserve">. </w:t>
      </w:r>
    </w:p>
    <w:p w:rsidR="00576972" w:rsidRDefault="00576972" w:rsidP="006B2DC0">
      <w:pPr>
        <w:widowControl/>
      </w:pPr>
    </w:p>
    <w:p w:rsidR="00214C1E" w:rsidRPr="009F0BEB" w:rsidRDefault="00214C1E" w:rsidP="006B2DC0">
      <w:pPr>
        <w:widowControl/>
      </w:pPr>
    </w:p>
    <w:p w:rsidR="00576972" w:rsidRPr="00081F55" w:rsidRDefault="00576972" w:rsidP="00D13044">
      <w:pPr>
        <w:pStyle w:val="Heading2"/>
        <w:widowControl/>
        <w:spacing w:after="160"/>
      </w:pPr>
      <w:bookmarkStart w:id="12" w:name="_Toc502848559"/>
      <w:r w:rsidRPr="00081F55">
        <w:lastRenderedPageBreak/>
        <w:t>Quality Use of Medicines</w:t>
      </w:r>
      <w:bookmarkEnd w:id="12"/>
    </w:p>
    <w:p w:rsidR="00576972" w:rsidRPr="009F0BEB" w:rsidRDefault="00FB07D4" w:rsidP="006B2DC0">
      <w:pPr>
        <w:pStyle w:val="ListParagraph"/>
        <w:widowControl/>
        <w:numPr>
          <w:ilvl w:val="1"/>
          <w:numId w:val="3"/>
        </w:numPr>
      </w:pPr>
      <w:r w:rsidRPr="009F0BEB">
        <w:t>No quality use of medicines issues were identified in the resubmission. However, there are potential issues for consideration that were identified during the evaluation:</w:t>
      </w:r>
    </w:p>
    <w:p w:rsidR="00FB07D4" w:rsidRPr="009F0BEB" w:rsidRDefault="00FB07D4" w:rsidP="006B2DC0">
      <w:pPr>
        <w:pStyle w:val="ListParagraph"/>
        <w:widowControl/>
        <w:numPr>
          <w:ilvl w:val="0"/>
          <w:numId w:val="18"/>
        </w:numPr>
        <w:spacing w:after="0"/>
      </w:pPr>
      <w:r w:rsidRPr="009F0BEB">
        <w:t>There is potential for administration of the incorrect drug as well as the incorrect dose due to the availability of other formulations and strengths of irinotecan (non-liposomal irinotecan). This issue has been identified in the</w:t>
      </w:r>
      <w:r w:rsidR="00F3550B" w:rsidRPr="009F0BEB">
        <w:t xml:space="preserve"> Periodic Safety Update Report (14 October 2016 to 13 April 2017)</w:t>
      </w:r>
      <w:r w:rsidRPr="009F0BEB">
        <w:t xml:space="preserve"> and included as a black box warning in the product information. </w:t>
      </w:r>
    </w:p>
    <w:p w:rsidR="00FB07D4" w:rsidRPr="009F0BEB" w:rsidRDefault="00632C9C" w:rsidP="006B2DC0">
      <w:pPr>
        <w:pStyle w:val="ListParagraph"/>
        <w:widowControl/>
        <w:numPr>
          <w:ilvl w:val="0"/>
          <w:numId w:val="18"/>
        </w:numPr>
        <w:spacing w:after="0"/>
        <w:ind w:left="1077" w:hanging="357"/>
      </w:pPr>
      <w:r w:rsidRPr="009F0BEB">
        <w:t xml:space="preserve">All patients in the NAPOLI-1 trial underwent UGT1A1 genotype testing and those </w:t>
      </w:r>
      <w:r w:rsidR="00C217A4" w:rsidRPr="009F0BEB">
        <w:t xml:space="preserve">who </w:t>
      </w:r>
      <w:r w:rsidRPr="009F0BEB">
        <w:t>were homozygous for the UGT1A1*</w:t>
      </w:r>
      <w:proofErr w:type="gramStart"/>
      <w:r w:rsidRPr="009F0BEB">
        <w:t>28 allele</w:t>
      </w:r>
      <w:proofErr w:type="gramEnd"/>
      <w:r w:rsidRPr="009F0BEB">
        <w:t xml:space="preserve"> received a reduced initial dose of irinotecan (</w:t>
      </w:r>
      <w:proofErr w:type="spellStart"/>
      <w:r w:rsidRPr="009F0BEB">
        <w:t>nanoliposomal</w:t>
      </w:r>
      <w:proofErr w:type="spellEnd"/>
      <w:r w:rsidRPr="009F0BEB">
        <w:t xml:space="preserve">) due to increased risk of neutropenia. </w:t>
      </w:r>
      <w:r w:rsidR="00B6003E" w:rsidRPr="009F0BEB">
        <w:t xml:space="preserve">This was consistent with dosing recommendations in the product information. </w:t>
      </w:r>
      <w:r w:rsidR="00DA17D8" w:rsidRPr="009F0BEB">
        <w:t>While UGT1A1 genotype testing is available in Australia, it is not rebated and therefore these patients may not be identified in practice.</w:t>
      </w:r>
    </w:p>
    <w:p w:rsidR="00FB07D4" w:rsidRPr="009F0BEB" w:rsidRDefault="00FB07D4" w:rsidP="006B2DC0">
      <w:pPr>
        <w:widowControl/>
      </w:pPr>
    </w:p>
    <w:p w:rsidR="00576972" w:rsidRPr="00081F55" w:rsidRDefault="00576972" w:rsidP="00D13044">
      <w:pPr>
        <w:pStyle w:val="Heading2"/>
        <w:widowControl/>
        <w:spacing w:after="160"/>
      </w:pPr>
      <w:bookmarkStart w:id="13" w:name="_Toc502848560"/>
      <w:r w:rsidRPr="00081F55">
        <w:t>Financial Management – Risk Sharing Arrangements</w:t>
      </w:r>
      <w:bookmarkEnd w:id="13"/>
    </w:p>
    <w:p w:rsidR="006462AA" w:rsidRPr="009F0BEB" w:rsidRDefault="009B3784" w:rsidP="006462AA">
      <w:pPr>
        <w:pStyle w:val="ListParagraph"/>
        <w:widowControl/>
        <w:numPr>
          <w:ilvl w:val="1"/>
          <w:numId w:val="3"/>
        </w:numPr>
      </w:pPr>
      <w:r w:rsidRPr="009F0BEB">
        <w:t>The PSCR acknowledged the uncertainties with the financial estimates and proposed a risk sharing arrangement to manage this. However, no details of the proposed risk sharing arrangement were provided.</w:t>
      </w:r>
    </w:p>
    <w:p w:rsidR="00D5014D" w:rsidRPr="009F0BEB" w:rsidRDefault="003262CC" w:rsidP="00BD052C">
      <w:pPr>
        <w:pStyle w:val="ListParagraph"/>
        <w:widowControl/>
        <w:numPr>
          <w:ilvl w:val="1"/>
          <w:numId w:val="3"/>
        </w:numPr>
      </w:pPr>
      <w:r w:rsidRPr="009F0BEB">
        <w:t>The pre-PBAC Response</w:t>
      </w:r>
      <w:r w:rsidR="00D972B7" w:rsidRPr="009F0BEB">
        <w:t xml:space="preserve"> proposed that the</w:t>
      </w:r>
      <w:r w:rsidRPr="009F0BEB">
        <w:t xml:space="preserve"> risk sharing arrangement </w:t>
      </w:r>
      <w:r w:rsidR="00D972B7" w:rsidRPr="009F0BEB">
        <w:t>take the form of a</w:t>
      </w:r>
      <w:r w:rsidRPr="009F0BEB">
        <w:t xml:space="preserve"> rebate of </w:t>
      </w:r>
      <w:r w:rsidR="00EE2E05">
        <w:rPr>
          <w:noProof/>
          <w:color w:val="000000"/>
          <w:highlight w:val="black"/>
        </w:rPr>
        <w:t>''''''''</w:t>
      </w:r>
      <w:r w:rsidRPr="009F0BEB">
        <w:t xml:space="preserve">% </w:t>
      </w:r>
      <w:r w:rsidR="00D972B7" w:rsidRPr="009F0BEB">
        <w:t xml:space="preserve">above expenditure </w:t>
      </w:r>
      <w:r w:rsidR="00BC147E" w:rsidRPr="009F0BEB">
        <w:t xml:space="preserve">with expenditure caps set to </w:t>
      </w:r>
      <w:r w:rsidR="00EE2E05">
        <w:rPr>
          <w:noProof/>
          <w:color w:val="000000"/>
          <w:highlight w:val="black"/>
        </w:rPr>
        <w:t>''''''</w:t>
      </w:r>
      <w:r w:rsidR="00BC147E" w:rsidRPr="009F0BEB">
        <w:t xml:space="preserve">% of the predicted total Commonwealth expenditure. </w:t>
      </w:r>
    </w:p>
    <w:p w:rsidR="006462AA" w:rsidRPr="009F0BEB" w:rsidRDefault="006462AA" w:rsidP="006462AA">
      <w:pPr>
        <w:pStyle w:val="ListParagraph"/>
        <w:widowControl/>
        <w:rPr>
          <w:i/>
        </w:rPr>
      </w:pPr>
      <w:r w:rsidRPr="009F0BEB">
        <w:rPr>
          <w:i/>
        </w:rPr>
        <w:t xml:space="preserve">For more detail on PBAC’s view, see section </w:t>
      </w:r>
      <w:r w:rsidR="00081F55">
        <w:rPr>
          <w:i/>
        </w:rPr>
        <w:t>6</w:t>
      </w:r>
      <w:r w:rsidRPr="009F0BEB">
        <w:rPr>
          <w:i/>
        </w:rPr>
        <w:t xml:space="preserve"> PBAC outcome.</w:t>
      </w:r>
    </w:p>
    <w:p w:rsidR="00ED461F" w:rsidRPr="009F0BEB" w:rsidRDefault="00ED461F" w:rsidP="005B285E">
      <w:pPr>
        <w:pStyle w:val="PBACHeading1"/>
        <w:spacing w:after="160"/>
        <w:rPr>
          <w:i/>
          <w:lang w:val="en-GB"/>
        </w:rPr>
      </w:pPr>
      <w:r w:rsidRPr="009F0BEB">
        <w:rPr>
          <w:lang w:val="en-GB"/>
        </w:rPr>
        <w:t>PBAC Outcome</w:t>
      </w:r>
    </w:p>
    <w:p w:rsidR="00A02739" w:rsidRPr="009F0BEB" w:rsidRDefault="00A02739" w:rsidP="00ED461F">
      <w:pPr>
        <w:numPr>
          <w:ilvl w:val="1"/>
          <w:numId w:val="3"/>
        </w:numPr>
        <w:spacing w:after="120"/>
        <w:rPr>
          <w:rFonts w:asciiTheme="minorHAnsi" w:hAnsiTheme="minorHAnsi"/>
          <w:bCs/>
          <w:lang w:val="en-GB"/>
        </w:rPr>
      </w:pPr>
      <w:r w:rsidRPr="009F0BEB">
        <w:rPr>
          <w:rFonts w:asciiTheme="minorHAnsi" w:hAnsiTheme="minorHAnsi"/>
          <w:bCs/>
          <w:lang w:val="en-GB"/>
        </w:rPr>
        <w:t xml:space="preserve">The PBAC did not recommend the listing of irinotecan (in the form of I.V. injection containing </w:t>
      </w:r>
      <w:proofErr w:type="spellStart"/>
      <w:r w:rsidRPr="009F0BEB">
        <w:rPr>
          <w:rFonts w:asciiTheme="minorHAnsi" w:hAnsiTheme="minorHAnsi"/>
          <w:bCs/>
          <w:lang w:val="en-GB"/>
        </w:rPr>
        <w:t>nanoliposomal</w:t>
      </w:r>
      <w:proofErr w:type="spellEnd"/>
      <w:r w:rsidRPr="009F0BEB">
        <w:rPr>
          <w:rFonts w:asciiTheme="minorHAnsi" w:hAnsiTheme="minorHAnsi"/>
          <w:bCs/>
          <w:lang w:val="en-GB"/>
        </w:rPr>
        <w:t xml:space="preserve"> 43 mg in 10 mL, referred to as irinotecan (</w:t>
      </w:r>
      <w:proofErr w:type="spellStart"/>
      <w:r w:rsidRPr="009F0BEB">
        <w:rPr>
          <w:rFonts w:asciiTheme="minorHAnsi" w:hAnsiTheme="minorHAnsi"/>
          <w:bCs/>
          <w:lang w:val="en-GB"/>
        </w:rPr>
        <w:t>nanoliposomal</w:t>
      </w:r>
      <w:proofErr w:type="spellEnd"/>
      <w:r w:rsidRPr="009F0BEB">
        <w:rPr>
          <w:rFonts w:asciiTheme="minorHAnsi" w:hAnsiTheme="minorHAnsi"/>
          <w:bCs/>
          <w:lang w:val="en-GB"/>
        </w:rPr>
        <w:t>)) in combination with 5-FU/</w:t>
      </w:r>
      <w:proofErr w:type="spellStart"/>
      <w:r w:rsidRPr="009F0BEB">
        <w:rPr>
          <w:rFonts w:asciiTheme="minorHAnsi" w:hAnsiTheme="minorHAnsi"/>
          <w:bCs/>
          <w:lang w:val="en-GB"/>
        </w:rPr>
        <w:t>folinic</w:t>
      </w:r>
      <w:proofErr w:type="spellEnd"/>
      <w:r w:rsidRPr="009F0BEB">
        <w:rPr>
          <w:rFonts w:asciiTheme="minorHAnsi" w:hAnsiTheme="minorHAnsi"/>
          <w:bCs/>
          <w:lang w:val="en-GB"/>
        </w:rPr>
        <w:t xml:space="preserve"> acid for the treatment of metastatic pancreatic adenocarcinoma in adult patients with disease progression who have previously received gemcitabine-based therapy. Th</w:t>
      </w:r>
      <w:r w:rsidR="009C047C" w:rsidRPr="009F0BEB">
        <w:rPr>
          <w:rFonts w:asciiTheme="minorHAnsi" w:hAnsiTheme="minorHAnsi"/>
          <w:bCs/>
          <w:lang w:val="en-GB"/>
        </w:rPr>
        <w:t xml:space="preserve">e PBAC based its decision on </w:t>
      </w:r>
      <w:r w:rsidRPr="009F0BEB">
        <w:rPr>
          <w:rFonts w:asciiTheme="minorHAnsi" w:hAnsiTheme="minorHAnsi"/>
          <w:bCs/>
          <w:lang w:val="en-GB"/>
        </w:rPr>
        <w:t>unacceptably high incremental cost-effectiveness in the context of a modest and uncertain incremental clinical benefit</w:t>
      </w:r>
      <w:r w:rsidR="00A07194" w:rsidRPr="009F0BEB">
        <w:rPr>
          <w:rFonts w:asciiTheme="minorHAnsi" w:hAnsiTheme="minorHAnsi"/>
          <w:bCs/>
          <w:lang w:val="en-GB"/>
        </w:rPr>
        <w:t>.</w:t>
      </w:r>
    </w:p>
    <w:p w:rsidR="003E736A" w:rsidRPr="009F0BEB" w:rsidRDefault="00B84BFE" w:rsidP="003E736A">
      <w:pPr>
        <w:pStyle w:val="ListParagraph"/>
        <w:numPr>
          <w:ilvl w:val="1"/>
          <w:numId w:val="3"/>
        </w:numPr>
        <w:rPr>
          <w:rFonts w:asciiTheme="minorHAnsi" w:hAnsiTheme="minorHAnsi"/>
          <w:bCs/>
          <w:lang w:val="en-GB"/>
        </w:rPr>
      </w:pPr>
      <w:r w:rsidRPr="009F0BEB">
        <w:rPr>
          <w:rFonts w:asciiTheme="minorHAnsi" w:hAnsiTheme="minorHAnsi"/>
          <w:bCs/>
          <w:lang w:val="en-GB"/>
        </w:rPr>
        <w:t xml:space="preserve">The PBAC </w:t>
      </w:r>
      <w:r w:rsidR="00B63E55" w:rsidRPr="009F0BEB">
        <w:rPr>
          <w:rFonts w:asciiTheme="minorHAnsi" w:hAnsiTheme="minorHAnsi"/>
          <w:bCs/>
          <w:lang w:val="en-GB"/>
        </w:rPr>
        <w:t>reaffirmed</w:t>
      </w:r>
      <w:r w:rsidR="004811CF" w:rsidRPr="009F0BEB">
        <w:rPr>
          <w:rFonts w:asciiTheme="minorHAnsi" w:hAnsiTheme="minorHAnsi"/>
          <w:bCs/>
          <w:lang w:val="en-GB"/>
        </w:rPr>
        <w:t xml:space="preserve"> the high clinical need for effective and well-tolerated therapies for metastatic pancreatic adenocarcinoma, particularly in the context of the poor prognosis for this condition.</w:t>
      </w:r>
      <w:r w:rsidR="003E736A" w:rsidRPr="009F0BEB">
        <w:rPr>
          <w:rFonts w:asciiTheme="minorHAnsi" w:hAnsiTheme="minorHAnsi"/>
          <w:bCs/>
          <w:lang w:val="en-GB"/>
        </w:rPr>
        <w:t xml:space="preserve"> The PBAC noted the consumer comments received relating to this submission, including from the Medical Oncology Group of Australia (MOGA).</w:t>
      </w:r>
      <w:r w:rsidR="00DB437B" w:rsidRPr="009F0BEB">
        <w:rPr>
          <w:rFonts w:asciiTheme="minorHAnsi" w:hAnsiTheme="minorHAnsi"/>
          <w:bCs/>
          <w:lang w:val="en-GB"/>
        </w:rPr>
        <w:t xml:space="preserve"> The PBAC noted that MOGA expressed support for the irinotecan (</w:t>
      </w:r>
      <w:proofErr w:type="spellStart"/>
      <w:r w:rsidR="00DB437B" w:rsidRPr="009F0BEB">
        <w:rPr>
          <w:rFonts w:asciiTheme="minorHAnsi" w:hAnsiTheme="minorHAnsi"/>
          <w:bCs/>
          <w:lang w:val="en-GB"/>
        </w:rPr>
        <w:t>nanoliposomal</w:t>
      </w:r>
      <w:proofErr w:type="spellEnd"/>
      <w:r w:rsidR="00DB437B" w:rsidRPr="009F0BEB">
        <w:rPr>
          <w:rFonts w:asciiTheme="minorHAnsi" w:hAnsiTheme="minorHAnsi"/>
          <w:bCs/>
          <w:lang w:val="en-GB"/>
        </w:rPr>
        <w:t>)</w:t>
      </w:r>
      <w:r w:rsidR="003E736A" w:rsidRPr="009F0BEB">
        <w:rPr>
          <w:rFonts w:asciiTheme="minorHAnsi" w:hAnsiTheme="minorHAnsi"/>
          <w:bCs/>
          <w:lang w:val="en-GB"/>
        </w:rPr>
        <w:t xml:space="preserve"> submission, and based on the European Society for Medical </w:t>
      </w:r>
      <w:r w:rsidR="003E736A" w:rsidRPr="009F0BEB">
        <w:rPr>
          <w:rFonts w:asciiTheme="minorHAnsi" w:hAnsiTheme="minorHAnsi"/>
          <w:bCs/>
          <w:lang w:val="en-GB"/>
        </w:rPr>
        <w:lastRenderedPageBreak/>
        <w:t>Oncology Magnitude of Clinical Benefit Scale (ESMO-MCBS) the rating was limited to 2 (out of a maximum of 5, where 5 and 4 represent the grades with substantial improvement).</w:t>
      </w:r>
    </w:p>
    <w:p w:rsidR="008A027A" w:rsidRPr="009F0BEB" w:rsidRDefault="008A027A" w:rsidP="003E736A">
      <w:pPr>
        <w:pStyle w:val="ListParagraph"/>
        <w:numPr>
          <w:ilvl w:val="1"/>
          <w:numId w:val="3"/>
        </w:numPr>
        <w:rPr>
          <w:rFonts w:asciiTheme="minorHAnsi" w:hAnsiTheme="minorHAnsi"/>
          <w:bCs/>
          <w:lang w:val="en-GB"/>
        </w:rPr>
      </w:pPr>
      <w:r w:rsidRPr="009F0BEB">
        <w:rPr>
          <w:rFonts w:asciiTheme="minorHAnsi" w:hAnsiTheme="minorHAnsi"/>
          <w:bCs/>
          <w:lang w:val="en-GB"/>
        </w:rPr>
        <w:t>The PBAC noted</w:t>
      </w:r>
      <w:r w:rsidR="00B63E55" w:rsidRPr="009F0BEB">
        <w:rPr>
          <w:rFonts w:asciiTheme="minorHAnsi" w:hAnsiTheme="minorHAnsi"/>
          <w:bCs/>
          <w:lang w:val="en-GB"/>
        </w:rPr>
        <w:t xml:space="preserve"> that as per the November 2016 major submission,</w:t>
      </w:r>
      <w:r w:rsidRPr="009F0BEB">
        <w:rPr>
          <w:rFonts w:asciiTheme="minorHAnsi" w:hAnsiTheme="minorHAnsi"/>
          <w:bCs/>
          <w:lang w:val="en-GB"/>
        </w:rPr>
        <w:t xml:space="preserve"> the </w:t>
      </w:r>
      <w:r w:rsidR="00B63E55" w:rsidRPr="009F0BEB">
        <w:rPr>
          <w:rFonts w:asciiTheme="minorHAnsi" w:hAnsiTheme="minorHAnsi"/>
          <w:bCs/>
          <w:lang w:val="en-GB"/>
        </w:rPr>
        <w:t>re</w:t>
      </w:r>
      <w:r w:rsidRPr="009F0BEB">
        <w:rPr>
          <w:rFonts w:asciiTheme="minorHAnsi" w:hAnsiTheme="minorHAnsi"/>
          <w:bCs/>
          <w:lang w:val="en-GB"/>
        </w:rPr>
        <w:t xml:space="preserve">submission’s proposed clinical place for </w:t>
      </w:r>
      <w:proofErr w:type="spellStart"/>
      <w:r w:rsidR="00B71E8F">
        <w:rPr>
          <w:rFonts w:asciiTheme="minorHAnsi" w:hAnsiTheme="minorHAnsi"/>
          <w:bCs/>
          <w:lang w:val="en-GB"/>
        </w:rPr>
        <w:t>nal</w:t>
      </w:r>
      <w:proofErr w:type="spellEnd"/>
      <w:r w:rsidR="00B71E8F">
        <w:rPr>
          <w:rFonts w:asciiTheme="minorHAnsi" w:hAnsiTheme="minorHAnsi"/>
          <w:bCs/>
          <w:lang w:val="en-GB"/>
        </w:rPr>
        <w:t>-IRI</w:t>
      </w:r>
      <w:r w:rsidR="00987D72" w:rsidRPr="009F0BEB">
        <w:rPr>
          <w:rFonts w:asciiTheme="minorHAnsi" w:hAnsiTheme="minorHAnsi"/>
          <w:bCs/>
          <w:lang w:val="en-GB"/>
        </w:rPr>
        <w:t xml:space="preserve"> was</w:t>
      </w:r>
      <w:r w:rsidR="00B374D9" w:rsidRPr="009F0BEB">
        <w:rPr>
          <w:rFonts w:asciiTheme="minorHAnsi" w:hAnsiTheme="minorHAnsi"/>
          <w:bCs/>
          <w:lang w:val="en-GB"/>
        </w:rPr>
        <w:t xml:space="preserve"> as an alternative treatment in patients with metastatic pancreatic adenocarcinoma who have progressed after previous treatment with gemcitabine-based therapy. </w:t>
      </w:r>
      <w:r w:rsidR="00AB07EB" w:rsidRPr="009F0BEB">
        <w:rPr>
          <w:rFonts w:asciiTheme="minorHAnsi" w:hAnsiTheme="minorHAnsi"/>
          <w:bCs/>
          <w:lang w:val="en-GB"/>
        </w:rPr>
        <w:t>The PBAC noted that the submission did not provide evidence to support PBS-subsidised use of irinotecan (</w:t>
      </w:r>
      <w:proofErr w:type="spellStart"/>
      <w:r w:rsidR="00AB07EB" w:rsidRPr="009F0BEB">
        <w:rPr>
          <w:rFonts w:asciiTheme="minorHAnsi" w:hAnsiTheme="minorHAnsi"/>
          <w:bCs/>
          <w:lang w:val="en-GB"/>
        </w:rPr>
        <w:t>nanoliposomal</w:t>
      </w:r>
      <w:proofErr w:type="spellEnd"/>
      <w:r w:rsidR="00AB07EB" w:rsidRPr="009F0BEB">
        <w:rPr>
          <w:rFonts w:asciiTheme="minorHAnsi" w:hAnsiTheme="minorHAnsi"/>
          <w:bCs/>
          <w:lang w:val="en-GB"/>
        </w:rPr>
        <w:t xml:space="preserve">) as a replacement for irinotecan in irinotecan-containing therapies in the same line of treatment, such as FOLFIRINOX. </w:t>
      </w:r>
    </w:p>
    <w:p w:rsidR="00E51E6F" w:rsidRPr="009F0BEB" w:rsidRDefault="00716F29" w:rsidP="00ED461F">
      <w:pPr>
        <w:pStyle w:val="ListParagraph"/>
        <w:numPr>
          <w:ilvl w:val="1"/>
          <w:numId w:val="3"/>
        </w:numPr>
        <w:spacing w:after="120"/>
        <w:rPr>
          <w:rFonts w:asciiTheme="minorHAnsi" w:hAnsiTheme="minorHAnsi"/>
          <w:bCs/>
          <w:lang w:val="en-GB"/>
        </w:rPr>
      </w:pPr>
      <w:r w:rsidRPr="009F0BEB">
        <w:rPr>
          <w:rFonts w:asciiTheme="minorHAnsi" w:hAnsiTheme="minorHAnsi"/>
          <w:bCs/>
          <w:lang w:val="en-GB"/>
        </w:rPr>
        <w:t xml:space="preserve">The PBAC </w:t>
      </w:r>
      <w:r w:rsidR="00AD0044" w:rsidRPr="009F0BEB">
        <w:rPr>
          <w:rFonts w:asciiTheme="minorHAnsi" w:hAnsiTheme="minorHAnsi"/>
          <w:bCs/>
          <w:lang w:val="en-GB"/>
        </w:rPr>
        <w:t>considered the</w:t>
      </w:r>
      <w:r w:rsidRPr="009F0BEB">
        <w:rPr>
          <w:rFonts w:asciiTheme="minorHAnsi" w:hAnsiTheme="minorHAnsi"/>
          <w:bCs/>
          <w:lang w:val="en-GB"/>
        </w:rPr>
        <w:t xml:space="preserve"> submission</w:t>
      </w:r>
      <w:r w:rsidR="00455654" w:rsidRPr="009F0BEB">
        <w:rPr>
          <w:rFonts w:asciiTheme="minorHAnsi" w:hAnsiTheme="minorHAnsi"/>
          <w:bCs/>
          <w:lang w:val="en-GB"/>
        </w:rPr>
        <w:t>’s</w:t>
      </w:r>
      <w:r w:rsidRPr="009F0BEB">
        <w:rPr>
          <w:rFonts w:asciiTheme="minorHAnsi" w:hAnsiTheme="minorHAnsi"/>
          <w:bCs/>
          <w:lang w:val="en-GB"/>
        </w:rPr>
        <w:t xml:space="preserve"> nominated</w:t>
      </w:r>
      <w:r w:rsidR="00791D7F" w:rsidRPr="009F0BEB">
        <w:rPr>
          <w:rFonts w:asciiTheme="minorHAnsi" w:hAnsiTheme="minorHAnsi"/>
          <w:bCs/>
          <w:lang w:val="en-GB"/>
        </w:rPr>
        <w:t xml:space="preserve"> comparator of mFOLFOX6</w:t>
      </w:r>
      <w:r w:rsidR="00AD0044" w:rsidRPr="009F0BEB">
        <w:rPr>
          <w:rFonts w:asciiTheme="minorHAnsi" w:hAnsiTheme="minorHAnsi"/>
          <w:bCs/>
          <w:lang w:val="en-GB"/>
        </w:rPr>
        <w:t xml:space="preserve"> was </w:t>
      </w:r>
      <w:r w:rsidR="0053541D">
        <w:rPr>
          <w:rFonts w:asciiTheme="minorHAnsi" w:hAnsiTheme="minorHAnsi"/>
          <w:bCs/>
          <w:lang w:val="en-GB"/>
        </w:rPr>
        <w:t>reasonable</w:t>
      </w:r>
      <w:r w:rsidR="00791D7F" w:rsidRPr="009F0BEB">
        <w:rPr>
          <w:rFonts w:asciiTheme="minorHAnsi" w:hAnsiTheme="minorHAnsi"/>
          <w:bCs/>
          <w:lang w:val="en-GB"/>
        </w:rPr>
        <w:t>.</w:t>
      </w:r>
      <w:r w:rsidR="00AB07EB" w:rsidRPr="009F0BEB">
        <w:rPr>
          <w:rFonts w:asciiTheme="minorHAnsi" w:hAnsiTheme="minorHAnsi"/>
          <w:bCs/>
          <w:lang w:val="en-GB"/>
        </w:rPr>
        <w:t xml:space="preserve"> </w:t>
      </w:r>
      <w:r w:rsidR="006138C6" w:rsidRPr="009F0BEB">
        <w:rPr>
          <w:rFonts w:asciiTheme="minorHAnsi" w:hAnsiTheme="minorHAnsi"/>
          <w:bCs/>
          <w:lang w:val="en-GB"/>
        </w:rPr>
        <w:t xml:space="preserve">The PBAC </w:t>
      </w:r>
      <w:r w:rsidR="00D41C84" w:rsidRPr="009F0BEB">
        <w:rPr>
          <w:rFonts w:asciiTheme="minorHAnsi" w:hAnsiTheme="minorHAnsi"/>
          <w:bCs/>
          <w:lang w:val="en-GB"/>
        </w:rPr>
        <w:t>recalled it previously considered that the most relevant compara</w:t>
      </w:r>
      <w:r w:rsidR="00E51E6F" w:rsidRPr="009F0BEB">
        <w:rPr>
          <w:rFonts w:asciiTheme="minorHAnsi" w:hAnsiTheme="minorHAnsi"/>
          <w:bCs/>
          <w:lang w:val="en-GB"/>
        </w:rPr>
        <w:t xml:space="preserve">tors are </w:t>
      </w:r>
      <w:proofErr w:type="spellStart"/>
      <w:r w:rsidR="00E51E6F" w:rsidRPr="009F0BEB">
        <w:rPr>
          <w:rFonts w:asciiTheme="minorHAnsi" w:hAnsiTheme="minorHAnsi"/>
          <w:bCs/>
          <w:lang w:val="en-GB"/>
        </w:rPr>
        <w:t>oxaliplatin</w:t>
      </w:r>
      <w:proofErr w:type="spellEnd"/>
      <w:r w:rsidR="00E51E6F" w:rsidRPr="009F0BEB">
        <w:rPr>
          <w:rFonts w:asciiTheme="minorHAnsi" w:hAnsiTheme="minorHAnsi"/>
          <w:bCs/>
          <w:lang w:val="en-GB"/>
        </w:rPr>
        <w:t>-containing regimen</w:t>
      </w:r>
      <w:r w:rsidR="00D41C84" w:rsidRPr="009F0BEB">
        <w:rPr>
          <w:rFonts w:asciiTheme="minorHAnsi" w:hAnsiTheme="minorHAnsi"/>
          <w:bCs/>
          <w:lang w:val="en-GB"/>
        </w:rPr>
        <w:t>s such as mFOLFOX6</w:t>
      </w:r>
      <w:r w:rsidR="00D16E9F">
        <w:rPr>
          <w:rFonts w:asciiTheme="minorHAnsi" w:hAnsiTheme="minorHAnsi"/>
          <w:bCs/>
          <w:lang w:val="en-GB"/>
        </w:rPr>
        <w:t>,</w:t>
      </w:r>
      <w:r w:rsidR="00E51E6F" w:rsidRPr="009F0BEB">
        <w:rPr>
          <w:rFonts w:asciiTheme="minorHAnsi" w:hAnsiTheme="minorHAnsi"/>
          <w:bCs/>
          <w:lang w:val="en-GB"/>
        </w:rPr>
        <w:t xml:space="preserve"> and </w:t>
      </w:r>
      <w:proofErr w:type="spellStart"/>
      <w:r w:rsidR="00E51E6F" w:rsidRPr="009F0BEB">
        <w:rPr>
          <w:rFonts w:asciiTheme="minorHAnsi" w:hAnsiTheme="minorHAnsi"/>
          <w:bCs/>
          <w:lang w:val="en-GB"/>
        </w:rPr>
        <w:t>capecitabine</w:t>
      </w:r>
      <w:proofErr w:type="spellEnd"/>
      <w:r w:rsidR="00E51E6F" w:rsidRPr="009F0BEB">
        <w:rPr>
          <w:rFonts w:asciiTheme="minorHAnsi" w:hAnsiTheme="minorHAnsi"/>
          <w:bCs/>
          <w:lang w:val="en-GB"/>
        </w:rPr>
        <w:t xml:space="preserve">. </w:t>
      </w:r>
      <w:r w:rsidR="00A60529" w:rsidRPr="009F0BEB">
        <w:rPr>
          <w:rFonts w:asciiTheme="minorHAnsi" w:hAnsiTheme="minorHAnsi"/>
          <w:bCs/>
          <w:lang w:val="en-GB"/>
        </w:rPr>
        <w:t xml:space="preserve">The PBAC considered that alternative therapies used following gemcitabine-based therapy (e.g. </w:t>
      </w:r>
      <w:r w:rsidR="00703344" w:rsidRPr="009F0BEB">
        <w:rPr>
          <w:rFonts w:asciiTheme="minorHAnsi" w:hAnsiTheme="minorHAnsi"/>
          <w:bCs/>
          <w:lang w:val="en-GB"/>
        </w:rPr>
        <w:t xml:space="preserve">FOLFIRINOX, </w:t>
      </w:r>
      <w:r w:rsidR="00A60529" w:rsidRPr="009F0BEB">
        <w:rPr>
          <w:rFonts w:asciiTheme="minorHAnsi" w:hAnsiTheme="minorHAnsi"/>
          <w:bCs/>
          <w:lang w:val="en-GB"/>
        </w:rPr>
        <w:t xml:space="preserve">FOLFIRI, XELOX, </w:t>
      </w:r>
      <w:proofErr w:type="spellStart"/>
      <w:r w:rsidR="00A60529" w:rsidRPr="009F0BEB">
        <w:rPr>
          <w:rFonts w:asciiTheme="minorHAnsi" w:hAnsiTheme="minorHAnsi"/>
          <w:bCs/>
          <w:lang w:val="en-GB"/>
        </w:rPr>
        <w:t>capecitabine</w:t>
      </w:r>
      <w:proofErr w:type="spellEnd"/>
      <w:r w:rsidR="00A60529" w:rsidRPr="009F0BEB">
        <w:rPr>
          <w:rFonts w:asciiTheme="minorHAnsi" w:hAnsiTheme="minorHAnsi"/>
          <w:bCs/>
          <w:lang w:val="en-GB"/>
        </w:rPr>
        <w:t xml:space="preserve">) could also be considered alternative comparators.  </w:t>
      </w:r>
    </w:p>
    <w:p w:rsidR="00A02739" w:rsidRPr="009F0BEB" w:rsidRDefault="00E96856" w:rsidP="00C74318">
      <w:pPr>
        <w:numPr>
          <w:ilvl w:val="1"/>
          <w:numId w:val="3"/>
        </w:numPr>
        <w:spacing w:after="120"/>
        <w:rPr>
          <w:rFonts w:asciiTheme="minorHAnsi" w:hAnsiTheme="minorHAnsi"/>
          <w:bCs/>
          <w:lang w:val="en-GB"/>
        </w:rPr>
      </w:pPr>
      <w:r w:rsidRPr="009F0BEB">
        <w:rPr>
          <w:rFonts w:asciiTheme="minorHAnsi" w:hAnsiTheme="minorHAnsi"/>
          <w:bCs/>
          <w:lang w:val="en-GB"/>
        </w:rPr>
        <w:t xml:space="preserve">The PBAC noted </w:t>
      </w:r>
      <w:r w:rsidR="001F6FE8" w:rsidRPr="009F0BEB">
        <w:rPr>
          <w:rFonts w:asciiTheme="minorHAnsi" w:hAnsiTheme="minorHAnsi"/>
          <w:bCs/>
          <w:lang w:val="en-GB"/>
        </w:rPr>
        <w:t xml:space="preserve">that as per the November 2016 major submission, </w:t>
      </w:r>
      <w:r w:rsidRPr="009F0BEB">
        <w:rPr>
          <w:rFonts w:asciiTheme="minorHAnsi" w:hAnsiTheme="minorHAnsi"/>
          <w:bCs/>
          <w:lang w:val="en-GB"/>
        </w:rPr>
        <w:t xml:space="preserve">the </w:t>
      </w:r>
      <w:r w:rsidR="001F6FE8" w:rsidRPr="009F0BEB">
        <w:rPr>
          <w:rFonts w:asciiTheme="minorHAnsi" w:hAnsiTheme="minorHAnsi"/>
          <w:bCs/>
          <w:lang w:val="en-GB"/>
        </w:rPr>
        <w:t>re</w:t>
      </w:r>
      <w:r w:rsidR="00092BAD" w:rsidRPr="009F0BEB">
        <w:rPr>
          <w:rFonts w:asciiTheme="minorHAnsi" w:hAnsiTheme="minorHAnsi"/>
          <w:bCs/>
          <w:lang w:val="en-GB"/>
        </w:rPr>
        <w:t xml:space="preserve">submission was </w:t>
      </w:r>
      <w:r w:rsidRPr="009F0BEB">
        <w:rPr>
          <w:rFonts w:asciiTheme="minorHAnsi" w:hAnsiTheme="minorHAnsi"/>
          <w:bCs/>
          <w:lang w:val="en-GB"/>
        </w:rPr>
        <w:t>based on one head-to-head, open label tr</w:t>
      </w:r>
      <w:r w:rsidR="003C4ACA" w:rsidRPr="009F0BEB">
        <w:rPr>
          <w:rFonts w:asciiTheme="minorHAnsi" w:hAnsiTheme="minorHAnsi"/>
          <w:bCs/>
          <w:lang w:val="en-GB"/>
        </w:rPr>
        <w:t xml:space="preserve">ial </w:t>
      </w:r>
      <w:r w:rsidRPr="009F0BEB">
        <w:rPr>
          <w:rFonts w:asciiTheme="minorHAnsi" w:hAnsiTheme="minorHAnsi"/>
          <w:bCs/>
          <w:lang w:val="en-GB"/>
        </w:rPr>
        <w:t>comparing irinotecan (</w:t>
      </w:r>
      <w:proofErr w:type="spellStart"/>
      <w:r w:rsidRPr="009F0BEB">
        <w:rPr>
          <w:rFonts w:asciiTheme="minorHAnsi" w:hAnsiTheme="minorHAnsi"/>
          <w:bCs/>
          <w:lang w:val="en-GB"/>
        </w:rPr>
        <w:t>nanoliposomal</w:t>
      </w:r>
      <w:proofErr w:type="spellEnd"/>
      <w:r w:rsidR="003C4ACA" w:rsidRPr="009F0BEB">
        <w:rPr>
          <w:rFonts w:asciiTheme="minorHAnsi" w:hAnsiTheme="minorHAnsi"/>
          <w:bCs/>
          <w:lang w:val="en-GB"/>
        </w:rPr>
        <w:t xml:space="preserve">) </w:t>
      </w:r>
      <w:r w:rsidR="007B0619" w:rsidRPr="009F0BEB">
        <w:rPr>
          <w:rFonts w:asciiTheme="minorHAnsi" w:hAnsiTheme="minorHAnsi"/>
          <w:bCs/>
          <w:lang w:val="en-GB"/>
        </w:rPr>
        <w:t>with 5-FU/</w:t>
      </w:r>
      <w:proofErr w:type="spellStart"/>
      <w:r w:rsidR="007B0619" w:rsidRPr="009F0BEB">
        <w:rPr>
          <w:rFonts w:asciiTheme="minorHAnsi" w:hAnsiTheme="minorHAnsi"/>
          <w:bCs/>
          <w:lang w:val="en-GB"/>
        </w:rPr>
        <w:t>folinic</w:t>
      </w:r>
      <w:proofErr w:type="spellEnd"/>
      <w:r w:rsidR="007B0619" w:rsidRPr="009F0BEB">
        <w:rPr>
          <w:rFonts w:asciiTheme="minorHAnsi" w:hAnsiTheme="minorHAnsi"/>
          <w:bCs/>
          <w:lang w:val="en-GB"/>
        </w:rPr>
        <w:t xml:space="preserve"> </w:t>
      </w:r>
      <w:r w:rsidRPr="009F0BEB">
        <w:rPr>
          <w:rFonts w:asciiTheme="minorHAnsi" w:hAnsiTheme="minorHAnsi"/>
          <w:bCs/>
          <w:lang w:val="en-GB"/>
        </w:rPr>
        <w:t>acid</w:t>
      </w:r>
      <w:r w:rsidR="00F272D4" w:rsidRPr="009F0BEB">
        <w:rPr>
          <w:rFonts w:asciiTheme="minorHAnsi" w:hAnsiTheme="minorHAnsi"/>
          <w:bCs/>
          <w:lang w:val="en-GB"/>
        </w:rPr>
        <w:t xml:space="preserve">: NAPOLI-1 (n=236). The PBAC noted that </w:t>
      </w:r>
      <w:r w:rsidR="00AD0044" w:rsidRPr="009F0BEB">
        <w:rPr>
          <w:rFonts w:asciiTheme="minorHAnsi" w:hAnsiTheme="minorHAnsi"/>
          <w:bCs/>
          <w:lang w:val="en-GB"/>
        </w:rPr>
        <w:t xml:space="preserve">the </w:t>
      </w:r>
      <w:r w:rsidR="0053541D">
        <w:rPr>
          <w:rFonts w:asciiTheme="minorHAnsi" w:hAnsiTheme="minorHAnsi"/>
          <w:bCs/>
          <w:lang w:val="en-GB"/>
        </w:rPr>
        <w:t>re</w:t>
      </w:r>
      <w:r w:rsidR="00F272D4" w:rsidRPr="009F0BEB">
        <w:rPr>
          <w:rFonts w:asciiTheme="minorHAnsi" w:hAnsiTheme="minorHAnsi"/>
          <w:bCs/>
          <w:lang w:val="en-GB"/>
        </w:rPr>
        <w:t xml:space="preserve">submission presented new </w:t>
      </w:r>
      <w:r w:rsidR="00303638" w:rsidRPr="009F0BEB">
        <w:rPr>
          <w:rFonts w:asciiTheme="minorHAnsi" w:hAnsiTheme="minorHAnsi"/>
          <w:bCs/>
          <w:i/>
          <w:lang w:val="en-GB"/>
        </w:rPr>
        <w:t>post-hoc</w:t>
      </w:r>
      <w:r w:rsidR="00303638" w:rsidRPr="009F0BEB">
        <w:rPr>
          <w:rFonts w:asciiTheme="minorHAnsi" w:hAnsiTheme="minorHAnsi"/>
          <w:bCs/>
          <w:lang w:val="en-GB"/>
        </w:rPr>
        <w:t xml:space="preserve"> </w:t>
      </w:r>
      <w:r w:rsidR="008D1005" w:rsidRPr="009F0BEB">
        <w:rPr>
          <w:rFonts w:asciiTheme="minorHAnsi" w:hAnsiTheme="minorHAnsi"/>
          <w:bCs/>
          <w:lang w:val="en-GB"/>
        </w:rPr>
        <w:t>analyses</w:t>
      </w:r>
      <w:r w:rsidR="0053541D">
        <w:rPr>
          <w:rFonts w:asciiTheme="minorHAnsi" w:hAnsiTheme="minorHAnsi"/>
          <w:bCs/>
          <w:lang w:val="en-GB"/>
        </w:rPr>
        <w:t xml:space="preserve"> based on data with additional follow-up</w:t>
      </w:r>
      <w:r w:rsidR="00AD0044" w:rsidRPr="009F0BEB">
        <w:rPr>
          <w:rFonts w:asciiTheme="minorHAnsi" w:hAnsiTheme="minorHAnsi"/>
          <w:bCs/>
          <w:lang w:val="en-GB"/>
        </w:rPr>
        <w:t xml:space="preserve"> (</w:t>
      </w:r>
      <w:r w:rsidR="00270370" w:rsidRPr="009F0BEB">
        <w:rPr>
          <w:rFonts w:asciiTheme="minorHAnsi" w:hAnsiTheme="minorHAnsi"/>
          <w:bCs/>
          <w:lang w:val="en-GB"/>
        </w:rPr>
        <w:t>follow-up period not reported</w:t>
      </w:r>
      <w:r w:rsidR="00AD0044" w:rsidRPr="009F0BEB">
        <w:rPr>
          <w:rFonts w:asciiTheme="minorHAnsi" w:hAnsiTheme="minorHAnsi"/>
          <w:bCs/>
          <w:lang w:val="en-GB"/>
        </w:rPr>
        <w:t>)</w:t>
      </w:r>
      <w:r w:rsidR="008D1005" w:rsidRPr="009F0BEB">
        <w:rPr>
          <w:rFonts w:asciiTheme="minorHAnsi" w:hAnsiTheme="minorHAnsi"/>
          <w:bCs/>
          <w:lang w:val="en-GB"/>
        </w:rPr>
        <w:t xml:space="preserve"> from the NAPOLI-1 trial</w:t>
      </w:r>
      <w:r w:rsidR="0053541D">
        <w:rPr>
          <w:rFonts w:asciiTheme="minorHAnsi" w:hAnsiTheme="minorHAnsi"/>
          <w:bCs/>
          <w:lang w:val="en-GB"/>
        </w:rPr>
        <w:t xml:space="preserve">. The results for these analyses </w:t>
      </w:r>
      <w:r w:rsidR="008F046E" w:rsidRPr="009F0BEB">
        <w:rPr>
          <w:rFonts w:asciiTheme="minorHAnsi" w:hAnsiTheme="minorHAnsi"/>
          <w:bCs/>
          <w:lang w:val="en-GB"/>
        </w:rPr>
        <w:t>(increase in median OS of 8.7 weeks</w:t>
      </w:r>
      <w:r w:rsidR="0053541D">
        <w:rPr>
          <w:rFonts w:asciiTheme="minorHAnsi" w:hAnsiTheme="minorHAnsi"/>
          <w:bCs/>
          <w:lang w:val="en-GB"/>
        </w:rPr>
        <w:t>;</w:t>
      </w:r>
      <w:r w:rsidR="0053541D" w:rsidRPr="009F0BEB" w:rsidDel="0053541D">
        <w:rPr>
          <w:rFonts w:asciiTheme="minorHAnsi" w:hAnsiTheme="minorHAnsi"/>
          <w:bCs/>
          <w:lang w:val="en-GB"/>
        </w:rPr>
        <w:t xml:space="preserve"> </w:t>
      </w:r>
      <w:r w:rsidR="00823FA6" w:rsidRPr="009F0BEB">
        <w:rPr>
          <w:rFonts w:asciiTheme="minorHAnsi" w:hAnsiTheme="minorHAnsi"/>
          <w:bCs/>
          <w:lang w:val="en-GB"/>
        </w:rPr>
        <w:t>increase in median PFS of 7.1</w:t>
      </w:r>
      <w:r w:rsidR="00D53F95">
        <w:rPr>
          <w:rFonts w:asciiTheme="minorHAnsi" w:hAnsiTheme="minorHAnsi"/>
          <w:bCs/>
          <w:lang w:val="en-GB"/>
        </w:rPr>
        <w:t xml:space="preserve"> weeks</w:t>
      </w:r>
      <w:r w:rsidR="00823FA6" w:rsidRPr="009F0BEB">
        <w:rPr>
          <w:rFonts w:asciiTheme="minorHAnsi" w:hAnsiTheme="minorHAnsi"/>
          <w:bCs/>
          <w:lang w:val="en-GB"/>
        </w:rPr>
        <w:t>)</w:t>
      </w:r>
      <w:r w:rsidR="0053541D">
        <w:rPr>
          <w:rFonts w:asciiTheme="minorHAnsi" w:hAnsiTheme="minorHAnsi"/>
          <w:bCs/>
          <w:lang w:val="en-GB"/>
        </w:rPr>
        <w:t xml:space="preserve"> were similar to those reported in the November 2016 submission</w:t>
      </w:r>
      <w:r w:rsidR="00823FA6" w:rsidRPr="009F0BEB">
        <w:rPr>
          <w:rFonts w:asciiTheme="minorHAnsi" w:hAnsiTheme="minorHAnsi"/>
          <w:bCs/>
          <w:lang w:val="en-GB"/>
        </w:rPr>
        <w:t xml:space="preserve">. </w:t>
      </w:r>
    </w:p>
    <w:p w:rsidR="00DE5DA4" w:rsidRPr="009F0BEB" w:rsidRDefault="00DE5DA4" w:rsidP="00C74318">
      <w:pPr>
        <w:numPr>
          <w:ilvl w:val="1"/>
          <w:numId w:val="3"/>
        </w:numPr>
        <w:spacing w:after="120"/>
        <w:rPr>
          <w:rFonts w:asciiTheme="minorHAnsi" w:hAnsiTheme="minorHAnsi"/>
          <w:bCs/>
          <w:lang w:val="en-GB"/>
        </w:rPr>
      </w:pPr>
      <w:r w:rsidRPr="009F0BEB">
        <w:rPr>
          <w:rFonts w:asciiTheme="minorHAnsi" w:hAnsiTheme="minorHAnsi"/>
          <w:bCs/>
          <w:lang w:val="en-GB"/>
        </w:rPr>
        <w:t>The PBAC</w:t>
      </w:r>
      <w:r w:rsidR="00427A17" w:rsidRPr="009F0BEB">
        <w:rPr>
          <w:rFonts w:asciiTheme="minorHAnsi" w:hAnsiTheme="minorHAnsi"/>
          <w:bCs/>
          <w:lang w:val="en-GB"/>
        </w:rPr>
        <w:t xml:space="preserve"> considered while the evidence presented supported a superior benefit of treatment</w:t>
      </w:r>
      <w:r w:rsidR="007B0619" w:rsidRPr="009F0BEB">
        <w:rPr>
          <w:rFonts w:asciiTheme="minorHAnsi" w:hAnsiTheme="minorHAnsi"/>
          <w:bCs/>
          <w:lang w:val="en-GB"/>
        </w:rPr>
        <w:t xml:space="preserve"> with </w:t>
      </w:r>
      <w:proofErr w:type="spellStart"/>
      <w:r w:rsidR="00661410">
        <w:rPr>
          <w:rFonts w:asciiTheme="minorHAnsi" w:hAnsiTheme="minorHAnsi"/>
          <w:bCs/>
          <w:lang w:val="en-GB"/>
        </w:rPr>
        <w:t>nal</w:t>
      </w:r>
      <w:proofErr w:type="spellEnd"/>
      <w:r w:rsidR="00661410">
        <w:rPr>
          <w:rFonts w:asciiTheme="minorHAnsi" w:hAnsiTheme="minorHAnsi"/>
          <w:bCs/>
          <w:lang w:val="en-GB"/>
        </w:rPr>
        <w:t>-IRI</w:t>
      </w:r>
      <w:r w:rsidR="00427A17" w:rsidRPr="009F0BEB">
        <w:rPr>
          <w:rFonts w:asciiTheme="minorHAnsi" w:hAnsiTheme="minorHAnsi"/>
          <w:bCs/>
          <w:lang w:val="en-GB"/>
        </w:rPr>
        <w:t xml:space="preserve"> compared</w:t>
      </w:r>
      <w:r w:rsidR="007B0619" w:rsidRPr="009F0BEB">
        <w:rPr>
          <w:rFonts w:asciiTheme="minorHAnsi" w:hAnsiTheme="minorHAnsi"/>
          <w:bCs/>
          <w:lang w:val="en-GB"/>
        </w:rPr>
        <w:t xml:space="preserve"> with 5-FU/</w:t>
      </w:r>
      <w:proofErr w:type="spellStart"/>
      <w:r w:rsidR="007B0619" w:rsidRPr="009F0BEB">
        <w:rPr>
          <w:rFonts w:asciiTheme="minorHAnsi" w:hAnsiTheme="minorHAnsi"/>
          <w:bCs/>
          <w:lang w:val="en-GB"/>
        </w:rPr>
        <w:t>folinic</w:t>
      </w:r>
      <w:proofErr w:type="spellEnd"/>
      <w:r w:rsidR="007B0619" w:rsidRPr="009F0BEB">
        <w:rPr>
          <w:rFonts w:asciiTheme="minorHAnsi" w:hAnsiTheme="minorHAnsi"/>
          <w:bCs/>
          <w:lang w:val="en-GB"/>
        </w:rPr>
        <w:t xml:space="preserve"> acid, the submission’s claim of superior efficacy compared </w:t>
      </w:r>
      <w:r w:rsidR="00B63E55" w:rsidRPr="009F0BEB">
        <w:rPr>
          <w:rFonts w:asciiTheme="minorHAnsi" w:hAnsiTheme="minorHAnsi"/>
          <w:bCs/>
          <w:lang w:val="en-GB"/>
        </w:rPr>
        <w:t>with mFOLFOX6 (using 5-</w:t>
      </w:r>
      <w:r w:rsidR="00605A5F" w:rsidRPr="009F0BEB">
        <w:rPr>
          <w:rFonts w:asciiTheme="minorHAnsi" w:hAnsiTheme="minorHAnsi"/>
          <w:bCs/>
          <w:lang w:val="en-GB"/>
        </w:rPr>
        <w:t>FU/</w:t>
      </w:r>
      <w:proofErr w:type="spellStart"/>
      <w:r w:rsidR="00605A5F" w:rsidRPr="009F0BEB">
        <w:rPr>
          <w:rFonts w:asciiTheme="minorHAnsi" w:hAnsiTheme="minorHAnsi"/>
          <w:bCs/>
          <w:lang w:val="en-GB"/>
        </w:rPr>
        <w:t>folinic</w:t>
      </w:r>
      <w:proofErr w:type="spellEnd"/>
      <w:r w:rsidR="00605A5F" w:rsidRPr="009F0BEB">
        <w:rPr>
          <w:rFonts w:asciiTheme="minorHAnsi" w:hAnsiTheme="minorHAnsi"/>
          <w:bCs/>
          <w:lang w:val="en-GB"/>
        </w:rPr>
        <w:t xml:space="preserve"> acid as a proxy) was uncertain. While the PBAC recalled it previously considered that in principle</w:t>
      </w:r>
      <w:r w:rsidR="008543D4" w:rsidRPr="009F0BEB">
        <w:rPr>
          <w:rFonts w:asciiTheme="minorHAnsi" w:hAnsiTheme="minorHAnsi"/>
          <w:bCs/>
          <w:lang w:val="en-GB"/>
        </w:rPr>
        <w:t>, 5-FU/</w:t>
      </w:r>
      <w:proofErr w:type="spellStart"/>
      <w:r w:rsidR="008543D4" w:rsidRPr="009F0BEB">
        <w:rPr>
          <w:rFonts w:asciiTheme="minorHAnsi" w:hAnsiTheme="minorHAnsi"/>
          <w:bCs/>
          <w:lang w:val="en-GB"/>
        </w:rPr>
        <w:t>folinic</w:t>
      </w:r>
      <w:proofErr w:type="spellEnd"/>
      <w:r w:rsidR="008543D4" w:rsidRPr="009F0BEB">
        <w:rPr>
          <w:rFonts w:asciiTheme="minorHAnsi" w:hAnsiTheme="minorHAnsi"/>
          <w:bCs/>
          <w:lang w:val="en-GB"/>
        </w:rPr>
        <w:t xml:space="preserve"> acid could be considered representative of the efficacy and toxicity of mFOLFOX6, the inherent uncertainty </w:t>
      </w:r>
      <w:r w:rsidR="00040C1E" w:rsidRPr="009F0BEB">
        <w:rPr>
          <w:rFonts w:asciiTheme="minorHAnsi" w:hAnsiTheme="minorHAnsi"/>
          <w:bCs/>
          <w:lang w:val="en-GB"/>
        </w:rPr>
        <w:t>a</w:t>
      </w:r>
      <w:r w:rsidR="00813094" w:rsidRPr="009F0BEB">
        <w:rPr>
          <w:rFonts w:asciiTheme="minorHAnsi" w:hAnsiTheme="minorHAnsi"/>
          <w:bCs/>
          <w:lang w:val="en-GB"/>
        </w:rPr>
        <w:t>ssociated with using a proxy</w:t>
      </w:r>
      <w:r w:rsidR="00F57D5B" w:rsidRPr="009F0BEB">
        <w:rPr>
          <w:rFonts w:asciiTheme="minorHAnsi" w:hAnsiTheme="minorHAnsi"/>
          <w:bCs/>
          <w:lang w:val="en-GB"/>
        </w:rPr>
        <w:t xml:space="preserve"> </w:t>
      </w:r>
      <w:r w:rsidR="0005637D" w:rsidRPr="009F0BEB">
        <w:rPr>
          <w:rFonts w:asciiTheme="minorHAnsi" w:hAnsiTheme="minorHAnsi"/>
          <w:bCs/>
          <w:lang w:val="en-GB"/>
        </w:rPr>
        <w:t>in an analysis of comparative efficacy</w:t>
      </w:r>
      <w:r w:rsidR="00F57D5B" w:rsidRPr="009F0BEB">
        <w:rPr>
          <w:rFonts w:asciiTheme="minorHAnsi" w:hAnsiTheme="minorHAnsi"/>
          <w:bCs/>
          <w:lang w:val="en-GB"/>
        </w:rPr>
        <w:t xml:space="preserve"> </w:t>
      </w:r>
      <w:r w:rsidR="00512618" w:rsidRPr="009F0BEB">
        <w:rPr>
          <w:rFonts w:asciiTheme="minorHAnsi" w:hAnsiTheme="minorHAnsi"/>
          <w:bCs/>
          <w:lang w:val="en-GB"/>
        </w:rPr>
        <w:t xml:space="preserve">meant that </w:t>
      </w:r>
      <w:r w:rsidR="0005637D" w:rsidRPr="009F0BEB">
        <w:rPr>
          <w:rFonts w:asciiTheme="minorHAnsi" w:hAnsiTheme="minorHAnsi"/>
          <w:bCs/>
          <w:lang w:val="en-GB"/>
        </w:rPr>
        <w:t xml:space="preserve">there was low confidence </w:t>
      </w:r>
      <w:r w:rsidR="00B71E8F">
        <w:rPr>
          <w:rFonts w:asciiTheme="minorHAnsi" w:hAnsiTheme="minorHAnsi"/>
          <w:bCs/>
          <w:lang w:val="en-GB"/>
        </w:rPr>
        <w:t>regarding the extent of benefit</w:t>
      </w:r>
      <w:r w:rsidR="00315554" w:rsidRPr="009F0BEB">
        <w:rPr>
          <w:rFonts w:asciiTheme="minorHAnsi" w:hAnsiTheme="minorHAnsi"/>
          <w:bCs/>
          <w:lang w:val="en-GB"/>
        </w:rPr>
        <w:t xml:space="preserve">. </w:t>
      </w:r>
      <w:r w:rsidR="004133BC" w:rsidRPr="009F0BEB">
        <w:rPr>
          <w:rFonts w:asciiTheme="minorHAnsi" w:hAnsiTheme="minorHAnsi"/>
          <w:bCs/>
          <w:lang w:val="en-GB"/>
        </w:rPr>
        <w:t xml:space="preserve">The PBAC noted that the approach </w:t>
      </w:r>
      <w:r w:rsidR="00B71E8F">
        <w:rPr>
          <w:rFonts w:asciiTheme="minorHAnsi" w:hAnsiTheme="minorHAnsi"/>
          <w:bCs/>
          <w:lang w:val="en-GB"/>
        </w:rPr>
        <w:t xml:space="preserve">of </w:t>
      </w:r>
      <w:r w:rsidR="004133BC" w:rsidRPr="009F0BEB">
        <w:rPr>
          <w:rFonts w:asciiTheme="minorHAnsi" w:hAnsiTheme="minorHAnsi"/>
          <w:bCs/>
          <w:lang w:val="en-GB"/>
        </w:rPr>
        <w:t>using 5</w:t>
      </w:r>
      <w:r w:rsidR="00703344" w:rsidRPr="009F0BEB">
        <w:rPr>
          <w:rFonts w:asciiTheme="minorHAnsi" w:hAnsiTheme="minorHAnsi"/>
          <w:bCs/>
          <w:lang w:val="en-GB"/>
        </w:rPr>
        <w:noBreakHyphen/>
      </w:r>
      <w:r w:rsidR="004133BC" w:rsidRPr="009F0BEB">
        <w:rPr>
          <w:rFonts w:asciiTheme="minorHAnsi" w:hAnsiTheme="minorHAnsi"/>
          <w:bCs/>
          <w:lang w:val="en-GB"/>
        </w:rPr>
        <w:t>FU/</w:t>
      </w:r>
      <w:proofErr w:type="spellStart"/>
      <w:r w:rsidR="004133BC" w:rsidRPr="009F0BEB">
        <w:rPr>
          <w:rFonts w:asciiTheme="minorHAnsi" w:hAnsiTheme="minorHAnsi"/>
          <w:bCs/>
          <w:lang w:val="en-GB"/>
        </w:rPr>
        <w:t>folinic</w:t>
      </w:r>
      <w:proofErr w:type="spellEnd"/>
      <w:r w:rsidR="004133BC" w:rsidRPr="009F0BEB">
        <w:rPr>
          <w:rFonts w:asciiTheme="minorHAnsi" w:hAnsiTheme="minorHAnsi"/>
          <w:bCs/>
          <w:lang w:val="en-GB"/>
        </w:rPr>
        <w:t xml:space="preserve"> acid as a proxy </w:t>
      </w:r>
      <w:r w:rsidR="00DB471B">
        <w:rPr>
          <w:rFonts w:asciiTheme="minorHAnsi" w:hAnsiTheme="minorHAnsi"/>
          <w:bCs/>
          <w:lang w:val="en-GB"/>
        </w:rPr>
        <w:t>implicitly</w:t>
      </w:r>
      <w:r w:rsidR="00DB471B" w:rsidRPr="009F0BEB">
        <w:rPr>
          <w:rFonts w:asciiTheme="minorHAnsi" w:hAnsiTheme="minorHAnsi"/>
          <w:bCs/>
          <w:lang w:val="en-GB"/>
        </w:rPr>
        <w:t xml:space="preserve"> </w:t>
      </w:r>
      <w:r w:rsidR="004133BC" w:rsidRPr="009F0BEB">
        <w:rPr>
          <w:rFonts w:asciiTheme="minorHAnsi" w:hAnsiTheme="minorHAnsi"/>
          <w:bCs/>
          <w:lang w:val="en-GB"/>
        </w:rPr>
        <w:t xml:space="preserve">assumes the </w:t>
      </w:r>
      <w:proofErr w:type="spellStart"/>
      <w:r w:rsidR="004133BC" w:rsidRPr="009F0BEB">
        <w:rPr>
          <w:rFonts w:asciiTheme="minorHAnsi" w:hAnsiTheme="minorHAnsi"/>
          <w:bCs/>
          <w:lang w:val="en-GB"/>
        </w:rPr>
        <w:t>oxaliplatin</w:t>
      </w:r>
      <w:proofErr w:type="spellEnd"/>
      <w:r w:rsidR="004133BC" w:rsidRPr="009F0BEB">
        <w:rPr>
          <w:rFonts w:asciiTheme="minorHAnsi" w:hAnsiTheme="minorHAnsi"/>
          <w:bCs/>
          <w:lang w:val="en-GB"/>
        </w:rPr>
        <w:t xml:space="preserve"> co</w:t>
      </w:r>
      <w:r w:rsidR="00965B1E" w:rsidRPr="009F0BEB">
        <w:rPr>
          <w:rFonts w:asciiTheme="minorHAnsi" w:hAnsiTheme="minorHAnsi"/>
          <w:bCs/>
          <w:lang w:val="en-GB"/>
        </w:rPr>
        <w:t>mponent in the mFOLFOX6 regimen</w:t>
      </w:r>
      <w:r w:rsidR="004133BC" w:rsidRPr="009F0BEB">
        <w:rPr>
          <w:rFonts w:asciiTheme="minorHAnsi" w:hAnsiTheme="minorHAnsi"/>
          <w:bCs/>
          <w:lang w:val="en-GB"/>
        </w:rPr>
        <w:t xml:space="preserve"> provides no additional benefit</w:t>
      </w:r>
      <w:r w:rsidR="00DB471B">
        <w:rPr>
          <w:rFonts w:asciiTheme="minorHAnsi" w:hAnsiTheme="minorHAnsi"/>
          <w:bCs/>
          <w:lang w:val="en-GB"/>
        </w:rPr>
        <w:t xml:space="preserve">, </w:t>
      </w:r>
      <w:r w:rsidR="00B71E8F">
        <w:rPr>
          <w:rFonts w:asciiTheme="minorHAnsi" w:hAnsiTheme="minorHAnsi"/>
          <w:bCs/>
          <w:lang w:val="en-GB"/>
        </w:rPr>
        <w:t>and this</w:t>
      </w:r>
      <w:r w:rsidR="00DB471B">
        <w:rPr>
          <w:rFonts w:asciiTheme="minorHAnsi" w:hAnsiTheme="minorHAnsi"/>
          <w:bCs/>
          <w:lang w:val="en-GB"/>
        </w:rPr>
        <w:t xml:space="preserve"> was not supported</w:t>
      </w:r>
      <w:r w:rsidR="004133BC" w:rsidRPr="009F0BEB">
        <w:rPr>
          <w:rFonts w:asciiTheme="minorHAnsi" w:hAnsiTheme="minorHAnsi"/>
          <w:bCs/>
          <w:lang w:val="en-GB"/>
        </w:rPr>
        <w:t xml:space="preserve">. </w:t>
      </w:r>
      <w:r w:rsidR="00965B1E" w:rsidRPr="009F0BEB">
        <w:rPr>
          <w:rFonts w:asciiTheme="minorHAnsi" w:hAnsiTheme="minorHAnsi"/>
          <w:bCs/>
          <w:lang w:val="en-GB"/>
        </w:rPr>
        <w:t>The PBAC considered that by extension,</w:t>
      </w:r>
      <w:r w:rsidR="008B130A" w:rsidRPr="009F0BEB">
        <w:rPr>
          <w:rFonts w:asciiTheme="minorHAnsi" w:hAnsiTheme="minorHAnsi"/>
          <w:bCs/>
          <w:lang w:val="en-GB"/>
        </w:rPr>
        <w:t xml:space="preserve"> </w:t>
      </w:r>
      <w:r w:rsidR="00D16E9F">
        <w:rPr>
          <w:rFonts w:asciiTheme="minorHAnsi" w:hAnsiTheme="minorHAnsi"/>
          <w:bCs/>
          <w:lang w:val="en-GB"/>
        </w:rPr>
        <w:t>the claim of</w:t>
      </w:r>
      <w:r w:rsidR="008B130A" w:rsidRPr="009F0BEB">
        <w:rPr>
          <w:rFonts w:asciiTheme="minorHAnsi" w:hAnsiTheme="minorHAnsi"/>
          <w:bCs/>
          <w:lang w:val="en-GB"/>
        </w:rPr>
        <w:t xml:space="preserve"> superior efficacy of </w:t>
      </w:r>
      <w:proofErr w:type="spellStart"/>
      <w:r w:rsidR="00D16E9F">
        <w:rPr>
          <w:rFonts w:asciiTheme="minorHAnsi" w:hAnsiTheme="minorHAnsi"/>
          <w:bCs/>
          <w:lang w:val="en-GB"/>
        </w:rPr>
        <w:t>nal</w:t>
      </w:r>
      <w:proofErr w:type="spellEnd"/>
      <w:r w:rsidR="00D16E9F">
        <w:rPr>
          <w:rFonts w:asciiTheme="minorHAnsi" w:hAnsiTheme="minorHAnsi"/>
          <w:bCs/>
          <w:lang w:val="en-GB"/>
        </w:rPr>
        <w:t>-IRI</w:t>
      </w:r>
      <w:r w:rsidR="008B130A" w:rsidRPr="009F0BEB">
        <w:rPr>
          <w:rFonts w:asciiTheme="minorHAnsi" w:hAnsiTheme="minorHAnsi"/>
          <w:bCs/>
          <w:lang w:val="en-GB"/>
        </w:rPr>
        <w:t xml:space="preserve"> over other combination therapies in the </w:t>
      </w:r>
      <w:r w:rsidR="000C2F19" w:rsidRPr="009F0BEB">
        <w:rPr>
          <w:rFonts w:asciiTheme="minorHAnsi" w:hAnsiTheme="minorHAnsi"/>
          <w:bCs/>
          <w:lang w:val="en-GB"/>
        </w:rPr>
        <w:t>second line treatment setting</w:t>
      </w:r>
      <w:r w:rsidR="00D16E9F">
        <w:rPr>
          <w:rFonts w:asciiTheme="minorHAnsi" w:hAnsiTheme="minorHAnsi"/>
          <w:bCs/>
          <w:lang w:val="en-GB"/>
        </w:rPr>
        <w:t xml:space="preserve"> was uncertain</w:t>
      </w:r>
      <w:r w:rsidR="0005637D" w:rsidRPr="009F0BEB">
        <w:rPr>
          <w:rFonts w:asciiTheme="minorHAnsi" w:hAnsiTheme="minorHAnsi"/>
          <w:bCs/>
          <w:lang w:val="en-GB"/>
        </w:rPr>
        <w:t>.</w:t>
      </w:r>
      <w:r w:rsidR="00BE7027">
        <w:rPr>
          <w:rFonts w:asciiTheme="minorHAnsi" w:hAnsiTheme="minorHAnsi"/>
          <w:bCs/>
          <w:lang w:val="en-GB"/>
        </w:rPr>
        <w:t xml:space="preserve"> Further, the PBAC considered there was no evidence to support the use of irinotecan (</w:t>
      </w:r>
      <w:proofErr w:type="spellStart"/>
      <w:r w:rsidR="00BE7027">
        <w:rPr>
          <w:rFonts w:asciiTheme="minorHAnsi" w:hAnsiTheme="minorHAnsi"/>
          <w:bCs/>
          <w:lang w:val="en-GB"/>
        </w:rPr>
        <w:t>nan</w:t>
      </w:r>
      <w:r w:rsidR="0017069A">
        <w:rPr>
          <w:rFonts w:asciiTheme="minorHAnsi" w:hAnsiTheme="minorHAnsi"/>
          <w:bCs/>
          <w:lang w:val="en-GB"/>
        </w:rPr>
        <w:t>oliposomal</w:t>
      </w:r>
      <w:proofErr w:type="spellEnd"/>
      <w:r w:rsidR="0017069A">
        <w:rPr>
          <w:rFonts w:asciiTheme="minorHAnsi" w:hAnsiTheme="minorHAnsi"/>
          <w:bCs/>
          <w:lang w:val="en-GB"/>
        </w:rPr>
        <w:t xml:space="preserve">) as an alternative to non </w:t>
      </w:r>
      <w:proofErr w:type="spellStart"/>
      <w:r w:rsidR="0017069A">
        <w:rPr>
          <w:rFonts w:asciiTheme="minorHAnsi" w:hAnsiTheme="minorHAnsi"/>
          <w:bCs/>
          <w:lang w:val="en-GB"/>
        </w:rPr>
        <w:t>nanoliposomal</w:t>
      </w:r>
      <w:proofErr w:type="spellEnd"/>
      <w:r w:rsidR="0017069A">
        <w:rPr>
          <w:rFonts w:asciiTheme="minorHAnsi" w:hAnsiTheme="minorHAnsi"/>
          <w:bCs/>
          <w:lang w:val="en-GB"/>
        </w:rPr>
        <w:t xml:space="preserve"> irinotecan </w:t>
      </w:r>
      <w:r w:rsidR="005A0310">
        <w:rPr>
          <w:rFonts w:asciiTheme="minorHAnsi" w:hAnsiTheme="minorHAnsi"/>
          <w:bCs/>
          <w:lang w:val="en-GB"/>
        </w:rPr>
        <w:t>within</w:t>
      </w:r>
      <w:r w:rsidR="0017069A">
        <w:rPr>
          <w:rFonts w:asciiTheme="minorHAnsi" w:hAnsiTheme="minorHAnsi"/>
          <w:bCs/>
          <w:lang w:val="en-GB"/>
        </w:rPr>
        <w:t xml:space="preserve"> combination therapies.</w:t>
      </w:r>
    </w:p>
    <w:p w:rsidR="00315554" w:rsidRPr="009F0BEB" w:rsidRDefault="0056587C" w:rsidP="00A47ECB">
      <w:pPr>
        <w:numPr>
          <w:ilvl w:val="1"/>
          <w:numId w:val="3"/>
        </w:numPr>
        <w:spacing w:after="120"/>
        <w:rPr>
          <w:rFonts w:asciiTheme="minorHAnsi" w:hAnsiTheme="minorHAnsi"/>
          <w:bCs/>
          <w:lang w:val="en-GB"/>
        </w:rPr>
      </w:pPr>
      <w:r w:rsidRPr="009F0BEB">
        <w:rPr>
          <w:rFonts w:asciiTheme="minorHAnsi" w:hAnsiTheme="minorHAnsi"/>
          <w:bCs/>
          <w:lang w:val="en-GB"/>
        </w:rPr>
        <w:t xml:space="preserve">The PBAC considered that </w:t>
      </w:r>
      <w:proofErr w:type="spellStart"/>
      <w:r w:rsidR="00D16E9F">
        <w:rPr>
          <w:rFonts w:asciiTheme="minorHAnsi" w:hAnsiTheme="minorHAnsi"/>
          <w:bCs/>
          <w:lang w:val="en-GB"/>
        </w:rPr>
        <w:t>nal</w:t>
      </w:r>
      <w:proofErr w:type="spellEnd"/>
      <w:r w:rsidR="00D16E9F">
        <w:rPr>
          <w:rFonts w:asciiTheme="minorHAnsi" w:hAnsiTheme="minorHAnsi"/>
          <w:bCs/>
          <w:lang w:val="en-GB"/>
        </w:rPr>
        <w:t>-IRI</w:t>
      </w:r>
      <w:r w:rsidR="0028229E" w:rsidRPr="009F0BEB">
        <w:rPr>
          <w:rFonts w:asciiTheme="minorHAnsi" w:hAnsiTheme="minorHAnsi"/>
          <w:bCs/>
          <w:lang w:val="en-GB"/>
        </w:rPr>
        <w:t xml:space="preserve"> is inferior in terms of safety compared to 5-FU/</w:t>
      </w:r>
      <w:proofErr w:type="spellStart"/>
      <w:r w:rsidR="0028229E" w:rsidRPr="009F0BEB">
        <w:rPr>
          <w:rFonts w:asciiTheme="minorHAnsi" w:hAnsiTheme="minorHAnsi"/>
          <w:bCs/>
          <w:lang w:val="en-GB"/>
        </w:rPr>
        <w:t>folinic</w:t>
      </w:r>
      <w:proofErr w:type="spellEnd"/>
      <w:r w:rsidR="0028229E" w:rsidRPr="009F0BEB">
        <w:rPr>
          <w:rFonts w:asciiTheme="minorHAnsi" w:hAnsiTheme="minorHAnsi"/>
          <w:bCs/>
          <w:lang w:val="en-GB"/>
        </w:rPr>
        <w:t xml:space="preserve"> acid noting </w:t>
      </w:r>
      <w:r w:rsidR="005A40D0" w:rsidRPr="009F0BEB">
        <w:rPr>
          <w:rFonts w:asciiTheme="minorHAnsi" w:hAnsiTheme="minorHAnsi"/>
          <w:bCs/>
          <w:lang w:val="en-GB"/>
        </w:rPr>
        <w:t xml:space="preserve">that </w:t>
      </w:r>
      <w:proofErr w:type="spellStart"/>
      <w:r w:rsidR="00D16E9F">
        <w:rPr>
          <w:rFonts w:asciiTheme="minorHAnsi" w:hAnsiTheme="minorHAnsi"/>
          <w:bCs/>
          <w:lang w:val="en-GB"/>
        </w:rPr>
        <w:t>nal</w:t>
      </w:r>
      <w:proofErr w:type="spellEnd"/>
      <w:r w:rsidR="00D16E9F">
        <w:rPr>
          <w:rFonts w:asciiTheme="minorHAnsi" w:hAnsiTheme="minorHAnsi"/>
          <w:bCs/>
          <w:lang w:val="en-GB"/>
        </w:rPr>
        <w:t>-IRI</w:t>
      </w:r>
      <w:r w:rsidR="005A40D0" w:rsidRPr="009F0BEB">
        <w:rPr>
          <w:rFonts w:asciiTheme="minorHAnsi" w:hAnsiTheme="minorHAnsi"/>
          <w:bCs/>
          <w:lang w:val="en-GB"/>
        </w:rPr>
        <w:t xml:space="preserve"> was associated with significantly higher incidences of treatment-related adverse events and a higher </w:t>
      </w:r>
      <w:r w:rsidR="00A47ECB" w:rsidRPr="009F0BEB">
        <w:rPr>
          <w:rFonts w:asciiTheme="minorHAnsi" w:hAnsiTheme="minorHAnsi"/>
          <w:bCs/>
          <w:lang w:val="en-GB"/>
        </w:rPr>
        <w:t>rate of dose reduction compared with 5-FU/</w:t>
      </w:r>
      <w:proofErr w:type="spellStart"/>
      <w:r w:rsidR="00A47ECB" w:rsidRPr="009F0BEB">
        <w:rPr>
          <w:rFonts w:asciiTheme="minorHAnsi" w:hAnsiTheme="minorHAnsi"/>
          <w:bCs/>
          <w:lang w:val="en-GB"/>
        </w:rPr>
        <w:t>folinic</w:t>
      </w:r>
      <w:proofErr w:type="spellEnd"/>
      <w:r w:rsidR="00A47ECB" w:rsidRPr="009F0BEB">
        <w:rPr>
          <w:rFonts w:asciiTheme="minorHAnsi" w:hAnsiTheme="minorHAnsi"/>
          <w:bCs/>
          <w:lang w:val="en-GB"/>
        </w:rPr>
        <w:t xml:space="preserve"> acid. </w:t>
      </w:r>
      <w:r w:rsidR="008B130A" w:rsidRPr="009F0BEB">
        <w:rPr>
          <w:rFonts w:asciiTheme="minorHAnsi" w:hAnsiTheme="minorHAnsi"/>
          <w:bCs/>
          <w:lang w:val="en-GB"/>
        </w:rPr>
        <w:t xml:space="preserve">The PBAC considered that </w:t>
      </w:r>
      <w:proofErr w:type="spellStart"/>
      <w:r w:rsidR="00D16E9F">
        <w:rPr>
          <w:rFonts w:asciiTheme="minorHAnsi" w:hAnsiTheme="minorHAnsi"/>
          <w:bCs/>
          <w:lang w:val="en-GB"/>
        </w:rPr>
        <w:t>nal</w:t>
      </w:r>
      <w:proofErr w:type="spellEnd"/>
      <w:r w:rsidR="00D16E9F">
        <w:rPr>
          <w:rFonts w:asciiTheme="minorHAnsi" w:hAnsiTheme="minorHAnsi"/>
          <w:bCs/>
          <w:lang w:val="en-GB"/>
        </w:rPr>
        <w:t>-IRI</w:t>
      </w:r>
      <w:r w:rsidR="008B130A" w:rsidRPr="009F0BEB">
        <w:rPr>
          <w:rFonts w:asciiTheme="minorHAnsi" w:hAnsiTheme="minorHAnsi"/>
          <w:bCs/>
          <w:lang w:val="en-GB"/>
        </w:rPr>
        <w:t xml:space="preserve"> is likely to be of </w:t>
      </w:r>
      <w:r w:rsidR="000C2F19" w:rsidRPr="009F0BEB">
        <w:rPr>
          <w:rFonts w:asciiTheme="minorHAnsi" w:hAnsiTheme="minorHAnsi"/>
          <w:bCs/>
          <w:lang w:val="en-GB"/>
        </w:rPr>
        <w:t xml:space="preserve">similar </w:t>
      </w:r>
      <w:r w:rsidR="00AC34A3" w:rsidRPr="009F0BEB">
        <w:rPr>
          <w:rFonts w:asciiTheme="minorHAnsi" w:hAnsiTheme="minorHAnsi"/>
          <w:bCs/>
          <w:lang w:val="en-GB"/>
        </w:rPr>
        <w:lastRenderedPageBreak/>
        <w:t>safety to</w:t>
      </w:r>
      <w:r w:rsidR="000C2F19" w:rsidRPr="009F0BEB">
        <w:rPr>
          <w:rFonts w:asciiTheme="minorHAnsi" w:hAnsiTheme="minorHAnsi"/>
          <w:bCs/>
          <w:lang w:val="en-GB"/>
        </w:rPr>
        <w:t xml:space="preserve"> mFOLFOX6 and other </w:t>
      </w:r>
      <w:proofErr w:type="spellStart"/>
      <w:r w:rsidR="000C2F19" w:rsidRPr="009F0BEB">
        <w:rPr>
          <w:rFonts w:asciiTheme="minorHAnsi" w:hAnsiTheme="minorHAnsi"/>
          <w:bCs/>
          <w:lang w:val="en-GB"/>
        </w:rPr>
        <w:t>oxaliplatin</w:t>
      </w:r>
      <w:proofErr w:type="spellEnd"/>
      <w:r w:rsidR="000C2F19" w:rsidRPr="009F0BEB">
        <w:rPr>
          <w:rFonts w:asciiTheme="minorHAnsi" w:hAnsiTheme="minorHAnsi"/>
          <w:bCs/>
          <w:lang w:val="en-GB"/>
        </w:rPr>
        <w:t>-containing regimens.</w:t>
      </w:r>
    </w:p>
    <w:p w:rsidR="00FB268B" w:rsidRPr="009F0BEB" w:rsidRDefault="002540EA" w:rsidP="003154AE">
      <w:pPr>
        <w:numPr>
          <w:ilvl w:val="1"/>
          <w:numId w:val="3"/>
        </w:numPr>
        <w:spacing w:after="120"/>
        <w:rPr>
          <w:rFonts w:asciiTheme="minorHAnsi" w:hAnsiTheme="minorHAnsi"/>
          <w:bCs/>
          <w:lang w:val="en-GB"/>
        </w:rPr>
      </w:pPr>
      <w:r w:rsidRPr="009F0BEB">
        <w:rPr>
          <w:rFonts w:asciiTheme="minorHAnsi" w:hAnsiTheme="minorHAnsi"/>
          <w:bCs/>
          <w:lang w:val="en-GB"/>
        </w:rPr>
        <w:t xml:space="preserve">The PBAC noted that the </w:t>
      </w:r>
      <w:r w:rsidR="00F50BDD" w:rsidRPr="009F0BEB">
        <w:rPr>
          <w:rFonts w:asciiTheme="minorHAnsi" w:hAnsiTheme="minorHAnsi"/>
          <w:bCs/>
          <w:lang w:val="en-GB"/>
        </w:rPr>
        <w:t>re</w:t>
      </w:r>
      <w:r w:rsidRPr="009F0BEB">
        <w:rPr>
          <w:rFonts w:asciiTheme="minorHAnsi" w:hAnsiTheme="minorHAnsi"/>
          <w:bCs/>
          <w:lang w:val="en-GB"/>
        </w:rPr>
        <w:t xml:space="preserve">submission presented </w:t>
      </w:r>
      <w:r w:rsidR="003A55A6" w:rsidRPr="009F0BEB">
        <w:rPr>
          <w:rFonts w:asciiTheme="minorHAnsi" w:hAnsiTheme="minorHAnsi"/>
          <w:bCs/>
          <w:lang w:val="en-GB"/>
        </w:rPr>
        <w:t xml:space="preserve">a trial-based analysis comparing </w:t>
      </w:r>
      <w:proofErr w:type="spellStart"/>
      <w:r w:rsidR="00D16E9F">
        <w:rPr>
          <w:rFonts w:asciiTheme="minorHAnsi" w:hAnsiTheme="minorHAnsi"/>
          <w:bCs/>
          <w:lang w:val="en-GB"/>
        </w:rPr>
        <w:t>nal</w:t>
      </w:r>
      <w:proofErr w:type="spellEnd"/>
      <w:r w:rsidR="00D16E9F">
        <w:rPr>
          <w:rFonts w:asciiTheme="minorHAnsi" w:hAnsiTheme="minorHAnsi"/>
          <w:bCs/>
          <w:lang w:val="en-GB"/>
        </w:rPr>
        <w:t>-IRI</w:t>
      </w:r>
      <w:r w:rsidR="003A55A6" w:rsidRPr="009F0BEB">
        <w:rPr>
          <w:rFonts w:asciiTheme="minorHAnsi" w:hAnsiTheme="minorHAnsi"/>
          <w:bCs/>
          <w:lang w:val="en-GB"/>
        </w:rPr>
        <w:t xml:space="preserve"> to mFOLFOX6 (using 5-FU/</w:t>
      </w:r>
      <w:proofErr w:type="spellStart"/>
      <w:r w:rsidR="003A55A6" w:rsidRPr="009F0BEB">
        <w:rPr>
          <w:rFonts w:asciiTheme="minorHAnsi" w:hAnsiTheme="minorHAnsi"/>
          <w:bCs/>
          <w:lang w:val="en-GB"/>
        </w:rPr>
        <w:t>folinic</w:t>
      </w:r>
      <w:proofErr w:type="spellEnd"/>
      <w:r w:rsidR="003A55A6" w:rsidRPr="009F0BEB">
        <w:rPr>
          <w:rFonts w:asciiTheme="minorHAnsi" w:hAnsiTheme="minorHAnsi"/>
          <w:bCs/>
          <w:lang w:val="en-GB"/>
        </w:rPr>
        <w:t xml:space="preserve"> acid as a proxy</w:t>
      </w:r>
      <w:r w:rsidR="00DB471B">
        <w:rPr>
          <w:rFonts w:asciiTheme="minorHAnsi" w:hAnsiTheme="minorHAnsi"/>
          <w:bCs/>
          <w:lang w:val="en-GB"/>
        </w:rPr>
        <w:t xml:space="preserve"> for efficacy</w:t>
      </w:r>
      <w:r w:rsidR="003A55A6" w:rsidRPr="009F0BEB">
        <w:rPr>
          <w:rFonts w:asciiTheme="minorHAnsi" w:hAnsiTheme="minorHAnsi"/>
          <w:bCs/>
          <w:lang w:val="en-GB"/>
        </w:rPr>
        <w:t>)</w:t>
      </w:r>
      <w:r w:rsidR="0026516F" w:rsidRPr="009F0BEB">
        <w:rPr>
          <w:rFonts w:asciiTheme="minorHAnsi" w:hAnsiTheme="minorHAnsi"/>
          <w:bCs/>
          <w:lang w:val="en-GB"/>
        </w:rPr>
        <w:t xml:space="preserve"> which </w:t>
      </w:r>
      <w:r w:rsidR="00E66C4C">
        <w:rPr>
          <w:rFonts w:asciiTheme="minorHAnsi" w:hAnsiTheme="minorHAnsi"/>
          <w:bCs/>
          <w:lang w:val="en-GB"/>
        </w:rPr>
        <w:t>estimated the incremental</w:t>
      </w:r>
      <w:r w:rsidR="0026516F" w:rsidRPr="009F0BEB">
        <w:rPr>
          <w:rFonts w:asciiTheme="minorHAnsi" w:hAnsiTheme="minorHAnsi"/>
          <w:bCs/>
          <w:lang w:val="en-GB"/>
        </w:rPr>
        <w:t xml:space="preserve"> cost per life</w:t>
      </w:r>
      <w:r w:rsidR="00703344" w:rsidRPr="009F0BEB">
        <w:rPr>
          <w:rFonts w:asciiTheme="minorHAnsi" w:hAnsiTheme="minorHAnsi"/>
          <w:bCs/>
          <w:lang w:val="en-GB"/>
        </w:rPr>
        <w:t>-</w:t>
      </w:r>
      <w:r w:rsidR="0026516F" w:rsidRPr="009F0BEB">
        <w:rPr>
          <w:rFonts w:asciiTheme="minorHAnsi" w:hAnsiTheme="minorHAnsi"/>
          <w:bCs/>
          <w:lang w:val="en-GB"/>
        </w:rPr>
        <w:t>year gained</w:t>
      </w:r>
      <w:r w:rsidR="006826AF" w:rsidRPr="009F0BEB">
        <w:rPr>
          <w:rFonts w:asciiTheme="minorHAnsi" w:hAnsiTheme="minorHAnsi"/>
          <w:bCs/>
          <w:lang w:val="en-GB"/>
        </w:rPr>
        <w:t xml:space="preserve"> (LYG)</w:t>
      </w:r>
      <w:r w:rsidR="003A55A6" w:rsidRPr="009F0BEB">
        <w:rPr>
          <w:rFonts w:asciiTheme="minorHAnsi" w:hAnsiTheme="minorHAnsi"/>
          <w:bCs/>
          <w:lang w:val="en-GB"/>
        </w:rPr>
        <w:t>.</w:t>
      </w:r>
      <w:r w:rsidR="00C57471" w:rsidRPr="009F0BEB">
        <w:rPr>
          <w:rFonts w:asciiTheme="minorHAnsi" w:hAnsiTheme="minorHAnsi"/>
          <w:bCs/>
          <w:lang w:val="en-GB"/>
        </w:rPr>
        <w:t xml:space="preserve"> </w:t>
      </w:r>
      <w:r w:rsidR="0026516F" w:rsidRPr="009F0BEB">
        <w:rPr>
          <w:rFonts w:asciiTheme="minorHAnsi" w:hAnsiTheme="minorHAnsi"/>
          <w:bCs/>
          <w:lang w:val="en-GB"/>
        </w:rPr>
        <w:t>The PBAC</w:t>
      </w:r>
      <w:r w:rsidR="00FA3685" w:rsidRPr="009F0BEB">
        <w:rPr>
          <w:rFonts w:asciiTheme="minorHAnsi" w:hAnsiTheme="minorHAnsi"/>
          <w:bCs/>
          <w:lang w:val="en-GB"/>
        </w:rPr>
        <w:t xml:space="preserve"> noted that </w:t>
      </w:r>
      <w:r w:rsidR="00B70DE3">
        <w:rPr>
          <w:rFonts w:asciiTheme="minorHAnsi" w:hAnsiTheme="minorHAnsi"/>
          <w:bCs/>
          <w:lang w:val="en-GB"/>
        </w:rPr>
        <w:t>the</w:t>
      </w:r>
      <w:r w:rsidR="00FA3685" w:rsidRPr="009F0BEB">
        <w:rPr>
          <w:rFonts w:asciiTheme="minorHAnsi" w:hAnsiTheme="minorHAnsi"/>
          <w:bCs/>
          <w:lang w:val="en-GB"/>
        </w:rPr>
        <w:t xml:space="preserve"> revised </w:t>
      </w:r>
      <w:r w:rsidR="00B70DE3">
        <w:rPr>
          <w:rFonts w:asciiTheme="minorHAnsi" w:hAnsiTheme="minorHAnsi"/>
          <w:bCs/>
          <w:lang w:val="en-GB"/>
        </w:rPr>
        <w:t>base case</w:t>
      </w:r>
      <w:r w:rsidR="00B70DE3" w:rsidRPr="009F0BEB">
        <w:rPr>
          <w:rFonts w:asciiTheme="minorHAnsi" w:hAnsiTheme="minorHAnsi"/>
          <w:bCs/>
          <w:lang w:val="en-GB"/>
        </w:rPr>
        <w:t xml:space="preserve"> </w:t>
      </w:r>
      <w:r w:rsidR="006826AF" w:rsidRPr="009F0BEB">
        <w:rPr>
          <w:rFonts w:asciiTheme="minorHAnsi" w:hAnsiTheme="minorHAnsi"/>
          <w:bCs/>
          <w:lang w:val="en-GB"/>
        </w:rPr>
        <w:t>presented in the PSCR</w:t>
      </w:r>
      <w:r w:rsidR="00B70DE3">
        <w:rPr>
          <w:rFonts w:asciiTheme="minorHAnsi" w:hAnsiTheme="minorHAnsi"/>
          <w:bCs/>
          <w:lang w:val="en-GB"/>
        </w:rPr>
        <w:t>,</w:t>
      </w:r>
      <w:r w:rsidR="0026516F" w:rsidRPr="009F0BEB">
        <w:rPr>
          <w:rFonts w:asciiTheme="minorHAnsi" w:hAnsiTheme="minorHAnsi"/>
          <w:bCs/>
          <w:lang w:val="en-GB"/>
        </w:rPr>
        <w:t xml:space="preserve"> </w:t>
      </w:r>
      <w:r w:rsidR="006826AF" w:rsidRPr="009F0BEB">
        <w:rPr>
          <w:rFonts w:asciiTheme="minorHAnsi" w:hAnsiTheme="minorHAnsi"/>
          <w:bCs/>
          <w:lang w:val="en-GB"/>
        </w:rPr>
        <w:t xml:space="preserve">which </w:t>
      </w:r>
      <w:r w:rsidR="00B70DE3">
        <w:rPr>
          <w:rFonts w:asciiTheme="minorHAnsi" w:hAnsiTheme="minorHAnsi"/>
          <w:bCs/>
          <w:lang w:val="en-GB"/>
        </w:rPr>
        <w:t>incorporated</w:t>
      </w:r>
      <w:r w:rsidR="00B70DE3" w:rsidRPr="009F0BEB">
        <w:rPr>
          <w:rFonts w:asciiTheme="minorHAnsi" w:hAnsiTheme="minorHAnsi"/>
          <w:bCs/>
          <w:lang w:val="en-GB"/>
        </w:rPr>
        <w:t xml:space="preserve"> </w:t>
      </w:r>
      <w:r w:rsidR="006826AF" w:rsidRPr="009F0BEB">
        <w:rPr>
          <w:rFonts w:asciiTheme="minorHAnsi" w:hAnsiTheme="minorHAnsi"/>
          <w:bCs/>
          <w:lang w:val="en-GB"/>
        </w:rPr>
        <w:t xml:space="preserve">a number of changes </w:t>
      </w:r>
      <w:r w:rsidR="00311160">
        <w:rPr>
          <w:rFonts w:asciiTheme="minorHAnsi" w:hAnsiTheme="minorHAnsi"/>
          <w:bCs/>
          <w:lang w:val="en-GB"/>
        </w:rPr>
        <w:t>(</w:t>
      </w:r>
      <w:r w:rsidR="006826AF" w:rsidRPr="009F0BEB">
        <w:rPr>
          <w:rFonts w:asciiTheme="minorHAnsi" w:hAnsiTheme="minorHAnsi"/>
          <w:bCs/>
          <w:lang w:val="en-GB"/>
        </w:rPr>
        <w:t>se</w:t>
      </w:r>
      <w:r w:rsidR="00B16491" w:rsidRPr="009F0BEB">
        <w:rPr>
          <w:rFonts w:asciiTheme="minorHAnsi" w:hAnsiTheme="minorHAnsi"/>
          <w:bCs/>
          <w:lang w:val="en-GB"/>
        </w:rPr>
        <w:t>e paragraph 5.51)</w:t>
      </w:r>
      <w:r w:rsidR="00B70DE3">
        <w:rPr>
          <w:rFonts w:asciiTheme="minorHAnsi" w:hAnsiTheme="minorHAnsi"/>
          <w:bCs/>
          <w:lang w:val="en-GB"/>
        </w:rPr>
        <w:t>,</w:t>
      </w:r>
      <w:r w:rsidR="00B16491" w:rsidRPr="009F0BEB">
        <w:rPr>
          <w:rFonts w:asciiTheme="minorHAnsi" w:hAnsiTheme="minorHAnsi"/>
          <w:bCs/>
          <w:lang w:val="en-GB"/>
        </w:rPr>
        <w:t xml:space="preserve"> resulted i</w:t>
      </w:r>
      <w:r w:rsidR="00C57471" w:rsidRPr="009F0BEB">
        <w:rPr>
          <w:rFonts w:asciiTheme="minorHAnsi" w:hAnsiTheme="minorHAnsi"/>
          <w:bCs/>
          <w:lang w:val="en-GB"/>
        </w:rPr>
        <w:t xml:space="preserve">n </w:t>
      </w:r>
      <w:r w:rsidR="00703344" w:rsidRPr="009F0BEB">
        <w:rPr>
          <w:rFonts w:asciiTheme="minorHAnsi" w:hAnsiTheme="minorHAnsi"/>
          <w:bCs/>
          <w:lang w:val="en-GB"/>
        </w:rPr>
        <w:t>an increase</w:t>
      </w:r>
      <w:r w:rsidR="00C57471" w:rsidRPr="009F0BEB">
        <w:rPr>
          <w:rFonts w:asciiTheme="minorHAnsi" w:hAnsiTheme="minorHAnsi"/>
          <w:bCs/>
          <w:lang w:val="en-GB"/>
        </w:rPr>
        <w:t xml:space="preserve"> in</w:t>
      </w:r>
      <w:r w:rsidR="006826AF" w:rsidRPr="009F0BEB">
        <w:rPr>
          <w:rFonts w:asciiTheme="minorHAnsi" w:hAnsiTheme="minorHAnsi"/>
          <w:bCs/>
          <w:lang w:val="en-GB"/>
        </w:rPr>
        <w:t xml:space="preserve"> </w:t>
      </w:r>
      <w:r w:rsidR="00703344" w:rsidRPr="009F0BEB">
        <w:rPr>
          <w:rFonts w:asciiTheme="minorHAnsi" w:hAnsiTheme="minorHAnsi"/>
          <w:bCs/>
          <w:lang w:val="en-GB"/>
        </w:rPr>
        <w:t xml:space="preserve">the </w:t>
      </w:r>
      <w:r w:rsidR="006826AF" w:rsidRPr="009F0BEB">
        <w:rPr>
          <w:rFonts w:asciiTheme="minorHAnsi" w:hAnsiTheme="minorHAnsi"/>
          <w:bCs/>
          <w:lang w:val="en-GB"/>
        </w:rPr>
        <w:t xml:space="preserve">cost per LYG </w:t>
      </w:r>
      <w:r w:rsidR="00703344" w:rsidRPr="009F0BEB">
        <w:rPr>
          <w:rFonts w:asciiTheme="minorHAnsi" w:hAnsiTheme="minorHAnsi"/>
          <w:bCs/>
          <w:lang w:val="en-GB"/>
        </w:rPr>
        <w:t>to</w:t>
      </w:r>
      <w:r w:rsidR="00FA3685" w:rsidRPr="009F0BEB">
        <w:rPr>
          <w:rFonts w:asciiTheme="minorHAnsi" w:hAnsiTheme="minorHAnsi"/>
          <w:bCs/>
          <w:lang w:val="en-GB"/>
        </w:rPr>
        <w:t xml:space="preserve"> $</w:t>
      </w:r>
      <w:r w:rsidR="00795DAB">
        <w:rPr>
          <w:rFonts w:asciiTheme="minorHAnsi" w:hAnsiTheme="minorHAnsi"/>
          <w:bCs/>
          <w:lang w:val="en-GB"/>
        </w:rPr>
        <w:t>75,000-$105,000</w:t>
      </w:r>
      <w:r w:rsidR="00FA3685" w:rsidRPr="009F0BEB">
        <w:rPr>
          <w:rFonts w:asciiTheme="minorHAnsi" w:hAnsiTheme="minorHAnsi"/>
          <w:bCs/>
          <w:lang w:val="en-GB"/>
        </w:rPr>
        <w:t xml:space="preserve"> from $</w:t>
      </w:r>
      <w:r w:rsidR="00795DAB">
        <w:rPr>
          <w:rFonts w:asciiTheme="minorHAnsi" w:hAnsiTheme="minorHAnsi"/>
          <w:bCs/>
          <w:lang w:val="en-GB"/>
        </w:rPr>
        <w:t>75,000-$105,000</w:t>
      </w:r>
      <w:r w:rsidR="00FA3685" w:rsidRPr="009F0BEB">
        <w:rPr>
          <w:rFonts w:asciiTheme="minorHAnsi" w:hAnsiTheme="minorHAnsi"/>
          <w:bCs/>
          <w:lang w:val="en-GB"/>
        </w:rPr>
        <w:t xml:space="preserve">. The PBAC </w:t>
      </w:r>
      <w:r w:rsidR="00D62F0E" w:rsidRPr="009F0BEB">
        <w:rPr>
          <w:rFonts w:asciiTheme="minorHAnsi" w:hAnsiTheme="minorHAnsi"/>
          <w:bCs/>
          <w:lang w:val="en-GB"/>
        </w:rPr>
        <w:t>noted that</w:t>
      </w:r>
      <w:r w:rsidR="00FA3685" w:rsidRPr="009F0BEB">
        <w:rPr>
          <w:rFonts w:asciiTheme="minorHAnsi" w:hAnsiTheme="minorHAnsi"/>
          <w:bCs/>
          <w:lang w:val="en-GB"/>
        </w:rPr>
        <w:t xml:space="preserve"> the revised </w:t>
      </w:r>
      <w:r w:rsidR="00B70DE3">
        <w:rPr>
          <w:rFonts w:asciiTheme="minorHAnsi" w:hAnsiTheme="minorHAnsi"/>
          <w:bCs/>
          <w:lang w:val="en-GB"/>
        </w:rPr>
        <w:t>base case</w:t>
      </w:r>
      <w:r w:rsidR="00B70DE3" w:rsidRPr="009F0BEB">
        <w:rPr>
          <w:rFonts w:asciiTheme="minorHAnsi" w:hAnsiTheme="minorHAnsi"/>
          <w:bCs/>
          <w:lang w:val="en-GB"/>
        </w:rPr>
        <w:t xml:space="preserve"> </w:t>
      </w:r>
      <w:r w:rsidR="00FA3685" w:rsidRPr="009F0BEB">
        <w:rPr>
          <w:rFonts w:asciiTheme="minorHAnsi" w:hAnsiTheme="minorHAnsi"/>
          <w:bCs/>
          <w:lang w:val="en-GB"/>
        </w:rPr>
        <w:t xml:space="preserve">addressed some uncertainties in the model </w:t>
      </w:r>
      <w:r w:rsidR="00E4423B" w:rsidRPr="009F0BEB">
        <w:rPr>
          <w:rFonts w:asciiTheme="minorHAnsi" w:hAnsiTheme="minorHAnsi"/>
          <w:bCs/>
          <w:lang w:val="en-GB"/>
        </w:rPr>
        <w:t>relating to</w:t>
      </w:r>
      <w:r w:rsidR="00FA3685" w:rsidRPr="009F0BEB">
        <w:rPr>
          <w:rFonts w:asciiTheme="minorHAnsi" w:hAnsiTheme="minorHAnsi"/>
          <w:bCs/>
          <w:lang w:val="en-GB"/>
        </w:rPr>
        <w:t xml:space="preserve"> the proportion </w:t>
      </w:r>
      <w:r w:rsidR="00703344" w:rsidRPr="009F0BEB">
        <w:rPr>
          <w:rFonts w:asciiTheme="minorHAnsi" w:hAnsiTheme="minorHAnsi"/>
          <w:bCs/>
          <w:lang w:val="en-GB"/>
        </w:rPr>
        <w:t xml:space="preserve">of </w:t>
      </w:r>
      <w:r w:rsidR="00FA3685" w:rsidRPr="009F0BEB">
        <w:rPr>
          <w:rFonts w:asciiTheme="minorHAnsi" w:hAnsiTheme="minorHAnsi"/>
          <w:bCs/>
          <w:lang w:val="en-GB"/>
        </w:rPr>
        <w:t>adverse events</w:t>
      </w:r>
      <w:r w:rsidR="00B70DE3">
        <w:rPr>
          <w:rFonts w:asciiTheme="minorHAnsi" w:hAnsiTheme="minorHAnsi"/>
          <w:bCs/>
          <w:lang w:val="en-GB"/>
        </w:rPr>
        <w:t xml:space="preserve"> resulting in hospitalisation</w:t>
      </w:r>
      <w:r w:rsidR="00FA3685" w:rsidRPr="009F0BEB">
        <w:rPr>
          <w:rFonts w:asciiTheme="minorHAnsi" w:hAnsiTheme="minorHAnsi"/>
          <w:bCs/>
          <w:lang w:val="en-GB"/>
        </w:rPr>
        <w:t xml:space="preserve"> and </w:t>
      </w:r>
      <w:r w:rsidR="00B70DE3">
        <w:rPr>
          <w:rFonts w:asciiTheme="minorHAnsi" w:hAnsiTheme="minorHAnsi"/>
          <w:bCs/>
          <w:lang w:val="en-GB"/>
        </w:rPr>
        <w:t xml:space="preserve">the </w:t>
      </w:r>
      <w:r w:rsidR="00FA3685" w:rsidRPr="009F0BEB">
        <w:rPr>
          <w:rFonts w:asciiTheme="minorHAnsi" w:hAnsiTheme="minorHAnsi"/>
          <w:bCs/>
          <w:lang w:val="en-GB"/>
        </w:rPr>
        <w:t>difference in</w:t>
      </w:r>
      <w:r w:rsidR="00311160">
        <w:rPr>
          <w:rFonts w:asciiTheme="minorHAnsi" w:hAnsiTheme="minorHAnsi"/>
          <w:bCs/>
          <w:lang w:val="en-GB"/>
        </w:rPr>
        <w:t xml:space="preserve"> weekly post-progression</w:t>
      </w:r>
      <w:r w:rsidR="00FA3685" w:rsidRPr="009F0BEB">
        <w:rPr>
          <w:rFonts w:asciiTheme="minorHAnsi" w:hAnsiTheme="minorHAnsi"/>
          <w:bCs/>
          <w:lang w:val="en-GB"/>
        </w:rPr>
        <w:t xml:space="preserve"> administr</w:t>
      </w:r>
      <w:r w:rsidR="00E4423B" w:rsidRPr="009F0BEB">
        <w:rPr>
          <w:rFonts w:asciiTheme="minorHAnsi" w:hAnsiTheme="minorHAnsi"/>
          <w:bCs/>
          <w:lang w:val="en-GB"/>
        </w:rPr>
        <w:t xml:space="preserve">ation costs applied </w:t>
      </w:r>
      <w:r w:rsidR="00311160">
        <w:rPr>
          <w:rFonts w:asciiTheme="minorHAnsi" w:hAnsiTheme="minorHAnsi"/>
          <w:bCs/>
          <w:lang w:val="en-GB"/>
        </w:rPr>
        <w:t>to</w:t>
      </w:r>
      <w:r w:rsidR="00311160" w:rsidRPr="009F0BEB">
        <w:rPr>
          <w:rFonts w:asciiTheme="minorHAnsi" w:hAnsiTheme="minorHAnsi"/>
          <w:bCs/>
          <w:lang w:val="en-GB"/>
        </w:rPr>
        <w:t xml:space="preserve"> </w:t>
      </w:r>
      <w:r w:rsidR="00E4423B" w:rsidRPr="009F0BEB">
        <w:rPr>
          <w:rFonts w:asciiTheme="minorHAnsi" w:hAnsiTheme="minorHAnsi"/>
          <w:bCs/>
          <w:lang w:val="en-GB"/>
        </w:rPr>
        <w:t>each arm</w:t>
      </w:r>
      <w:r w:rsidR="00D62F0E" w:rsidRPr="009F0BEB">
        <w:rPr>
          <w:rFonts w:asciiTheme="minorHAnsi" w:hAnsiTheme="minorHAnsi"/>
          <w:bCs/>
          <w:lang w:val="en-GB"/>
        </w:rPr>
        <w:t xml:space="preserve">. However, the PBAC noted that the revised </w:t>
      </w:r>
      <w:r w:rsidR="00F4761D" w:rsidRPr="009F0BEB">
        <w:rPr>
          <w:rFonts w:asciiTheme="minorHAnsi" w:hAnsiTheme="minorHAnsi"/>
          <w:bCs/>
          <w:lang w:val="en-GB"/>
        </w:rPr>
        <w:t xml:space="preserve">base case </w:t>
      </w:r>
      <w:r w:rsidR="00D62F0E" w:rsidRPr="009F0BEB">
        <w:rPr>
          <w:rFonts w:asciiTheme="minorHAnsi" w:hAnsiTheme="minorHAnsi"/>
          <w:bCs/>
          <w:lang w:val="en-GB"/>
        </w:rPr>
        <w:t xml:space="preserve">did not address </w:t>
      </w:r>
      <w:r w:rsidR="00311160">
        <w:rPr>
          <w:rFonts w:asciiTheme="minorHAnsi" w:hAnsiTheme="minorHAnsi"/>
          <w:bCs/>
          <w:lang w:val="en-GB"/>
        </w:rPr>
        <w:t xml:space="preserve">all outstanding issues (see paragraph 5.55) </w:t>
      </w:r>
      <w:r w:rsidR="00D625F5">
        <w:rPr>
          <w:rFonts w:asciiTheme="minorHAnsi" w:hAnsiTheme="minorHAnsi"/>
          <w:bCs/>
          <w:lang w:val="en-GB"/>
        </w:rPr>
        <w:t xml:space="preserve">and therefore considered that the revised based case remained uncertain. </w:t>
      </w:r>
      <w:r w:rsidR="00311160">
        <w:rPr>
          <w:rFonts w:asciiTheme="minorHAnsi" w:hAnsiTheme="minorHAnsi"/>
          <w:bCs/>
          <w:lang w:val="en-GB"/>
        </w:rPr>
        <w:t xml:space="preserve"> </w:t>
      </w:r>
    </w:p>
    <w:p w:rsidR="000C2F19" w:rsidRPr="009F0BEB" w:rsidRDefault="00B16491" w:rsidP="003154AE">
      <w:pPr>
        <w:numPr>
          <w:ilvl w:val="1"/>
          <w:numId w:val="3"/>
        </w:numPr>
        <w:spacing w:after="120"/>
        <w:rPr>
          <w:rFonts w:asciiTheme="minorHAnsi" w:hAnsiTheme="minorHAnsi"/>
          <w:bCs/>
          <w:lang w:val="en-GB"/>
        </w:rPr>
      </w:pPr>
      <w:r w:rsidRPr="009F0BEB">
        <w:rPr>
          <w:rFonts w:asciiTheme="minorHAnsi" w:hAnsiTheme="minorHAnsi"/>
          <w:bCs/>
          <w:lang w:val="en-GB"/>
        </w:rPr>
        <w:t>The PBAC noted the ICER was</w:t>
      </w:r>
      <w:r w:rsidR="00F4761D" w:rsidRPr="009F0BEB">
        <w:rPr>
          <w:rFonts w:asciiTheme="minorHAnsi" w:hAnsiTheme="minorHAnsi"/>
          <w:bCs/>
          <w:lang w:val="en-GB"/>
        </w:rPr>
        <w:t xml:space="preserve"> </w:t>
      </w:r>
      <w:r w:rsidRPr="009F0BEB">
        <w:rPr>
          <w:rFonts w:asciiTheme="minorHAnsi" w:hAnsiTheme="minorHAnsi"/>
          <w:bCs/>
          <w:lang w:val="en-GB"/>
        </w:rPr>
        <w:t xml:space="preserve">sensitive </w:t>
      </w:r>
      <w:r w:rsidR="00F4761D" w:rsidRPr="009F0BEB">
        <w:rPr>
          <w:rFonts w:asciiTheme="minorHAnsi" w:hAnsiTheme="minorHAnsi"/>
          <w:bCs/>
          <w:lang w:val="en-GB"/>
        </w:rPr>
        <w:t>to alternative comparator treatment costs</w:t>
      </w:r>
      <w:r w:rsidR="006573F7">
        <w:rPr>
          <w:rFonts w:asciiTheme="minorHAnsi" w:hAnsiTheme="minorHAnsi"/>
          <w:bCs/>
          <w:lang w:val="en-GB"/>
        </w:rPr>
        <w:t>;</w:t>
      </w:r>
      <w:r w:rsidR="00F4761D" w:rsidRPr="009F0BEB">
        <w:rPr>
          <w:rFonts w:asciiTheme="minorHAnsi" w:hAnsiTheme="minorHAnsi"/>
          <w:bCs/>
          <w:lang w:val="en-GB"/>
        </w:rPr>
        <w:t xml:space="preserve"> the ICER increased </w:t>
      </w:r>
      <w:proofErr w:type="gramStart"/>
      <w:r w:rsidR="00F4761D" w:rsidRPr="009F0BEB">
        <w:rPr>
          <w:rFonts w:asciiTheme="minorHAnsi" w:hAnsiTheme="minorHAnsi"/>
          <w:bCs/>
          <w:lang w:val="en-GB"/>
        </w:rPr>
        <w:t>to  $</w:t>
      </w:r>
      <w:proofErr w:type="gramEnd"/>
      <w:r w:rsidR="00795DAB">
        <w:rPr>
          <w:rFonts w:asciiTheme="minorHAnsi" w:hAnsiTheme="minorHAnsi"/>
          <w:bCs/>
          <w:lang w:val="en-GB"/>
        </w:rPr>
        <w:t>75,000-$105,000</w:t>
      </w:r>
      <w:r w:rsidR="00F4761D" w:rsidRPr="009F0BEB">
        <w:rPr>
          <w:rFonts w:asciiTheme="minorHAnsi" w:hAnsiTheme="minorHAnsi"/>
          <w:bCs/>
          <w:lang w:val="en-GB"/>
        </w:rPr>
        <w:t xml:space="preserve"> per LYG when alternative</w:t>
      </w:r>
      <w:r w:rsidR="005668C8" w:rsidRPr="009F0BEB">
        <w:rPr>
          <w:rFonts w:asciiTheme="minorHAnsi" w:hAnsiTheme="minorHAnsi"/>
          <w:bCs/>
          <w:lang w:val="en-GB"/>
        </w:rPr>
        <w:t xml:space="preserve"> comparator costs were applied. Further, the PBAC considered it appropriate to </w:t>
      </w:r>
      <w:r w:rsidR="00DB141B" w:rsidRPr="009F0BEB">
        <w:rPr>
          <w:rFonts w:asciiTheme="minorHAnsi" w:hAnsiTheme="minorHAnsi"/>
          <w:bCs/>
          <w:lang w:val="en-GB"/>
        </w:rPr>
        <w:t xml:space="preserve">incorporate quality of life </w:t>
      </w:r>
      <w:r w:rsidR="006573F7" w:rsidRPr="009F0BEB">
        <w:rPr>
          <w:rFonts w:asciiTheme="minorHAnsi" w:hAnsiTheme="minorHAnsi"/>
          <w:bCs/>
          <w:lang w:val="en-GB"/>
        </w:rPr>
        <w:t>in the</w:t>
      </w:r>
      <w:r w:rsidR="00DB141B" w:rsidRPr="009F0BEB">
        <w:rPr>
          <w:rFonts w:asciiTheme="minorHAnsi" w:hAnsiTheme="minorHAnsi"/>
          <w:bCs/>
          <w:lang w:val="en-GB"/>
        </w:rPr>
        <w:t xml:space="preserve"> analysis</w:t>
      </w:r>
      <w:r w:rsidR="00502D77">
        <w:rPr>
          <w:rFonts w:asciiTheme="minorHAnsi" w:hAnsiTheme="minorHAnsi"/>
          <w:bCs/>
          <w:lang w:val="en-GB"/>
        </w:rPr>
        <w:t xml:space="preserve"> and report the results </w:t>
      </w:r>
      <w:r w:rsidR="0040392C">
        <w:rPr>
          <w:rFonts w:asciiTheme="minorHAnsi" w:hAnsiTheme="minorHAnsi"/>
          <w:bCs/>
          <w:lang w:val="en-GB"/>
        </w:rPr>
        <w:t>using QALYs gained</w:t>
      </w:r>
      <w:r w:rsidR="00DB141B" w:rsidRPr="009F0BEB">
        <w:rPr>
          <w:rFonts w:asciiTheme="minorHAnsi" w:hAnsiTheme="minorHAnsi"/>
          <w:bCs/>
          <w:lang w:val="en-GB"/>
        </w:rPr>
        <w:t xml:space="preserve"> </w:t>
      </w:r>
      <w:r w:rsidR="00F771B2" w:rsidRPr="009F0BEB">
        <w:rPr>
          <w:rFonts w:asciiTheme="minorHAnsi" w:hAnsiTheme="minorHAnsi"/>
          <w:bCs/>
          <w:lang w:val="en-GB"/>
        </w:rPr>
        <w:t xml:space="preserve">given </w:t>
      </w:r>
      <w:r w:rsidR="00EE4DB7" w:rsidRPr="009F0BEB">
        <w:rPr>
          <w:rFonts w:asciiTheme="minorHAnsi" w:hAnsiTheme="minorHAnsi"/>
          <w:bCs/>
          <w:lang w:val="en-GB"/>
        </w:rPr>
        <w:t>the impact of the disease</w:t>
      </w:r>
      <w:r w:rsidR="00703344" w:rsidRPr="009F0BEB">
        <w:rPr>
          <w:rFonts w:asciiTheme="minorHAnsi" w:hAnsiTheme="minorHAnsi"/>
          <w:bCs/>
          <w:lang w:val="en-GB"/>
        </w:rPr>
        <w:t xml:space="preserve"> and treatment</w:t>
      </w:r>
      <w:r w:rsidR="00EE4DB7" w:rsidRPr="009F0BEB">
        <w:rPr>
          <w:rFonts w:asciiTheme="minorHAnsi" w:hAnsiTheme="minorHAnsi"/>
          <w:bCs/>
          <w:lang w:val="en-GB"/>
        </w:rPr>
        <w:t xml:space="preserve"> on quality of life is likely to be substantial. </w:t>
      </w:r>
      <w:r w:rsidR="00F771B2" w:rsidRPr="009F0BEB">
        <w:rPr>
          <w:rFonts w:asciiTheme="minorHAnsi" w:hAnsiTheme="minorHAnsi"/>
          <w:bCs/>
          <w:lang w:val="en-GB"/>
        </w:rPr>
        <w:t xml:space="preserve">The PBAC agreed with the ESC that the incremental cost per QALY </w:t>
      </w:r>
      <w:r w:rsidR="0040392C">
        <w:rPr>
          <w:rFonts w:asciiTheme="minorHAnsi" w:hAnsiTheme="minorHAnsi"/>
          <w:bCs/>
          <w:lang w:val="en-GB"/>
        </w:rPr>
        <w:t xml:space="preserve">gained </w:t>
      </w:r>
      <w:r w:rsidR="00F771B2" w:rsidRPr="009F0BEB">
        <w:rPr>
          <w:rFonts w:asciiTheme="minorHAnsi" w:hAnsiTheme="minorHAnsi"/>
          <w:bCs/>
          <w:lang w:val="en-GB"/>
        </w:rPr>
        <w:t>would likely be substantially higher</w:t>
      </w:r>
      <w:r w:rsidR="00383B0B" w:rsidRPr="009F0BEB">
        <w:rPr>
          <w:rFonts w:asciiTheme="minorHAnsi" w:hAnsiTheme="minorHAnsi"/>
          <w:bCs/>
          <w:lang w:val="en-GB"/>
        </w:rPr>
        <w:t xml:space="preserve"> </w:t>
      </w:r>
      <w:r w:rsidR="002D082D" w:rsidRPr="009F0BEB">
        <w:rPr>
          <w:rFonts w:asciiTheme="minorHAnsi" w:hAnsiTheme="minorHAnsi"/>
          <w:bCs/>
          <w:lang w:val="en-GB"/>
        </w:rPr>
        <w:t xml:space="preserve">than </w:t>
      </w:r>
      <w:r w:rsidR="000A7733" w:rsidRPr="009F0BEB">
        <w:rPr>
          <w:rFonts w:asciiTheme="minorHAnsi" w:hAnsiTheme="minorHAnsi"/>
          <w:bCs/>
          <w:lang w:val="en-GB"/>
        </w:rPr>
        <w:t>the incremental</w:t>
      </w:r>
      <w:r w:rsidR="002D082D" w:rsidRPr="009F0BEB">
        <w:rPr>
          <w:rFonts w:asciiTheme="minorHAnsi" w:hAnsiTheme="minorHAnsi"/>
          <w:bCs/>
          <w:lang w:val="en-GB"/>
        </w:rPr>
        <w:t xml:space="preserve"> cost per LYG</w:t>
      </w:r>
      <w:r w:rsidR="000A331D" w:rsidRPr="009F0BEB">
        <w:rPr>
          <w:rFonts w:asciiTheme="minorHAnsi" w:hAnsiTheme="minorHAnsi"/>
          <w:bCs/>
          <w:lang w:val="en-GB"/>
        </w:rPr>
        <w:t xml:space="preserve"> presented</w:t>
      </w:r>
      <w:r w:rsidR="00F771B2" w:rsidRPr="009F0BEB">
        <w:rPr>
          <w:rFonts w:asciiTheme="minorHAnsi" w:hAnsiTheme="minorHAnsi"/>
          <w:bCs/>
          <w:lang w:val="en-GB"/>
        </w:rPr>
        <w:t xml:space="preserve">. </w:t>
      </w:r>
      <w:r w:rsidR="005668C8" w:rsidRPr="009F0BEB">
        <w:rPr>
          <w:rFonts w:asciiTheme="minorHAnsi" w:hAnsiTheme="minorHAnsi"/>
          <w:bCs/>
          <w:lang w:val="en-GB"/>
        </w:rPr>
        <w:t>Accordingly, the PBAC considered that the ICER was likely</w:t>
      </w:r>
      <w:r w:rsidR="0040392C">
        <w:rPr>
          <w:rFonts w:asciiTheme="minorHAnsi" w:hAnsiTheme="minorHAnsi"/>
          <w:bCs/>
          <w:lang w:val="en-GB"/>
        </w:rPr>
        <w:t xml:space="preserve"> to be substantially higher than </w:t>
      </w:r>
      <w:r w:rsidR="00EF089D">
        <w:rPr>
          <w:rFonts w:asciiTheme="minorHAnsi" w:hAnsiTheme="minorHAnsi"/>
          <w:bCs/>
          <w:lang w:val="en-GB"/>
        </w:rPr>
        <w:t>that</w:t>
      </w:r>
      <w:r w:rsidR="0040392C">
        <w:rPr>
          <w:rFonts w:asciiTheme="minorHAnsi" w:hAnsiTheme="minorHAnsi"/>
          <w:bCs/>
          <w:lang w:val="en-GB"/>
        </w:rPr>
        <w:t xml:space="preserve"> </w:t>
      </w:r>
      <w:r w:rsidR="00DB141B" w:rsidRPr="009F0BEB">
        <w:rPr>
          <w:rFonts w:asciiTheme="minorHAnsi" w:hAnsiTheme="minorHAnsi"/>
          <w:bCs/>
          <w:lang w:val="en-GB"/>
        </w:rPr>
        <w:t xml:space="preserve">previously advised </w:t>
      </w:r>
      <w:r w:rsidR="0040392C">
        <w:rPr>
          <w:rFonts w:asciiTheme="minorHAnsi" w:hAnsiTheme="minorHAnsi"/>
          <w:bCs/>
          <w:lang w:val="en-GB"/>
        </w:rPr>
        <w:t>of less than</w:t>
      </w:r>
      <w:r w:rsidR="00DB141B" w:rsidRPr="009F0BEB">
        <w:rPr>
          <w:rFonts w:asciiTheme="minorHAnsi" w:hAnsiTheme="minorHAnsi"/>
          <w:bCs/>
          <w:lang w:val="en-GB"/>
        </w:rPr>
        <w:t xml:space="preserve"> $50,000 per QALY gained</w:t>
      </w:r>
      <w:r w:rsidR="00EF089D">
        <w:rPr>
          <w:rFonts w:asciiTheme="minorHAnsi" w:hAnsiTheme="minorHAnsi"/>
          <w:bCs/>
          <w:lang w:val="en-GB"/>
        </w:rPr>
        <w:t>.</w:t>
      </w:r>
    </w:p>
    <w:p w:rsidR="009F0BEB" w:rsidRPr="009F0BEB" w:rsidRDefault="00092BAD" w:rsidP="003154AE">
      <w:pPr>
        <w:numPr>
          <w:ilvl w:val="1"/>
          <w:numId w:val="3"/>
        </w:numPr>
        <w:spacing w:after="120"/>
        <w:rPr>
          <w:rFonts w:asciiTheme="minorHAnsi" w:hAnsiTheme="minorHAnsi"/>
          <w:bCs/>
          <w:lang w:val="en-GB"/>
        </w:rPr>
      </w:pPr>
      <w:r w:rsidRPr="009F0BEB">
        <w:rPr>
          <w:rFonts w:asciiTheme="minorHAnsi" w:hAnsiTheme="minorHAnsi"/>
          <w:bCs/>
          <w:lang w:val="en-GB"/>
        </w:rPr>
        <w:t xml:space="preserve">The PBAC </w:t>
      </w:r>
      <w:r w:rsidR="00374114" w:rsidRPr="009F0BEB">
        <w:rPr>
          <w:rFonts w:asciiTheme="minorHAnsi" w:hAnsiTheme="minorHAnsi"/>
          <w:bCs/>
          <w:lang w:val="en-GB"/>
        </w:rPr>
        <w:t>noted that several issues previously raised by</w:t>
      </w:r>
      <w:r w:rsidR="003262CC" w:rsidRPr="009F0BEB">
        <w:rPr>
          <w:rFonts w:asciiTheme="minorHAnsi" w:hAnsiTheme="minorHAnsi"/>
          <w:bCs/>
          <w:lang w:val="en-GB"/>
        </w:rPr>
        <w:t xml:space="preserve"> the</w:t>
      </w:r>
      <w:r w:rsidR="00374114" w:rsidRPr="009F0BEB">
        <w:rPr>
          <w:rFonts w:asciiTheme="minorHAnsi" w:hAnsiTheme="minorHAnsi"/>
          <w:bCs/>
          <w:lang w:val="en-GB"/>
        </w:rPr>
        <w:t xml:space="preserve"> DUSC regarding the estimation of the eligible patient population and uptake rates had not been addressed in the </w:t>
      </w:r>
      <w:r w:rsidR="003262CC" w:rsidRPr="009F0BEB">
        <w:rPr>
          <w:rFonts w:asciiTheme="minorHAnsi" w:hAnsiTheme="minorHAnsi"/>
          <w:bCs/>
          <w:lang w:val="en-GB"/>
        </w:rPr>
        <w:t>re</w:t>
      </w:r>
      <w:r w:rsidR="00C76BD6" w:rsidRPr="009F0BEB">
        <w:rPr>
          <w:rFonts w:asciiTheme="minorHAnsi" w:hAnsiTheme="minorHAnsi"/>
          <w:bCs/>
          <w:lang w:val="en-GB"/>
        </w:rPr>
        <w:t>submission (see paragraph 5.66</w:t>
      </w:r>
      <w:r w:rsidR="00374114" w:rsidRPr="009F0BEB">
        <w:rPr>
          <w:rFonts w:asciiTheme="minorHAnsi" w:hAnsiTheme="minorHAnsi"/>
          <w:bCs/>
          <w:lang w:val="en-GB"/>
        </w:rPr>
        <w:t>) and therefore considered that the estimated financial i</w:t>
      </w:r>
      <w:r w:rsidR="003262CC" w:rsidRPr="009F0BEB">
        <w:rPr>
          <w:rFonts w:asciiTheme="minorHAnsi" w:hAnsiTheme="minorHAnsi"/>
          <w:bCs/>
          <w:lang w:val="en-GB"/>
        </w:rPr>
        <w:t xml:space="preserve">mplications remained uncertain. </w:t>
      </w:r>
    </w:p>
    <w:p w:rsidR="00245A0E" w:rsidRPr="009F0BEB" w:rsidRDefault="007013DD" w:rsidP="003154AE">
      <w:pPr>
        <w:numPr>
          <w:ilvl w:val="1"/>
          <w:numId w:val="3"/>
        </w:numPr>
        <w:spacing w:after="120"/>
        <w:rPr>
          <w:rFonts w:asciiTheme="minorHAnsi" w:hAnsiTheme="minorHAnsi"/>
          <w:bCs/>
          <w:lang w:val="en-GB"/>
        </w:rPr>
      </w:pPr>
      <w:r>
        <w:rPr>
          <w:rFonts w:asciiTheme="minorHAnsi" w:hAnsiTheme="minorHAnsi"/>
          <w:bCs/>
          <w:lang w:val="en-GB"/>
        </w:rPr>
        <w:t>The P</w:t>
      </w:r>
      <w:r w:rsidR="002821E4">
        <w:rPr>
          <w:rFonts w:asciiTheme="minorHAnsi" w:hAnsiTheme="minorHAnsi"/>
          <w:bCs/>
          <w:lang w:val="en-GB"/>
        </w:rPr>
        <w:t xml:space="preserve">BAC </w:t>
      </w:r>
      <w:r w:rsidR="00CA4C97">
        <w:rPr>
          <w:rFonts w:asciiTheme="minorHAnsi" w:hAnsiTheme="minorHAnsi"/>
          <w:bCs/>
          <w:lang w:val="en-GB"/>
        </w:rPr>
        <w:t>noted that</w:t>
      </w:r>
      <w:r w:rsidR="002821E4">
        <w:rPr>
          <w:rFonts w:asciiTheme="minorHAnsi" w:hAnsiTheme="minorHAnsi"/>
          <w:bCs/>
          <w:lang w:val="en-GB"/>
        </w:rPr>
        <w:t xml:space="preserve"> </w:t>
      </w:r>
      <w:r w:rsidR="00F7328F">
        <w:rPr>
          <w:rFonts w:asciiTheme="minorHAnsi" w:hAnsiTheme="minorHAnsi"/>
          <w:bCs/>
          <w:lang w:val="en-GB"/>
        </w:rPr>
        <w:t xml:space="preserve">in their pre-PBAC </w:t>
      </w:r>
      <w:proofErr w:type="gramStart"/>
      <w:r w:rsidR="00F7328F">
        <w:rPr>
          <w:rFonts w:asciiTheme="minorHAnsi" w:hAnsiTheme="minorHAnsi"/>
          <w:bCs/>
          <w:lang w:val="en-GB"/>
        </w:rPr>
        <w:t>response ,</w:t>
      </w:r>
      <w:proofErr w:type="gramEnd"/>
      <w:r w:rsidR="00F7328F">
        <w:rPr>
          <w:rFonts w:asciiTheme="minorHAnsi" w:hAnsiTheme="minorHAnsi"/>
          <w:bCs/>
          <w:lang w:val="en-GB"/>
        </w:rPr>
        <w:t xml:space="preserve"> </w:t>
      </w:r>
      <w:r w:rsidR="002821E4">
        <w:rPr>
          <w:rFonts w:asciiTheme="minorHAnsi" w:hAnsiTheme="minorHAnsi"/>
          <w:bCs/>
          <w:lang w:val="en-GB"/>
        </w:rPr>
        <w:t xml:space="preserve">the </w:t>
      </w:r>
      <w:r w:rsidR="00F7328F">
        <w:rPr>
          <w:rFonts w:asciiTheme="minorHAnsi" w:hAnsiTheme="minorHAnsi"/>
          <w:bCs/>
          <w:lang w:val="en-GB"/>
        </w:rPr>
        <w:t xml:space="preserve">sponsor </w:t>
      </w:r>
      <w:r w:rsidR="002821E4">
        <w:rPr>
          <w:rFonts w:asciiTheme="minorHAnsi" w:hAnsiTheme="minorHAnsi"/>
          <w:bCs/>
          <w:lang w:val="en-GB"/>
        </w:rPr>
        <w:t xml:space="preserve">proposed </w:t>
      </w:r>
      <w:r w:rsidR="00F7328F">
        <w:rPr>
          <w:rFonts w:asciiTheme="minorHAnsi" w:hAnsiTheme="minorHAnsi"/>
          <w:bCs/>
          <w:lang w:val="en-GB"/>
        </w:rPr>
        <w:t xml:space="preserve">a </w:t>
      </w:r>
      <w:r w:rsidR="002821E4">
        <w:rPr>
          <w:rFonts w:asciiTheme="minorHAnsi" w:hAnsiTheme="minorHAnsi"/>
          <w:bCs/>
          <w:lang w:val="en-GB"/>
        </w:rPr>
        <w:t>rebate</w:t>
      </w:r>
      <w:r w:rsidR="00AD5131">
        <w:rPr>
          <w:rFonts w:asciiTheme="minorHAnsi" w:hAnsiTheme="minorHAnsi"/>
          <w:bCs/>
          <w:lang w:val="en-GB"/>
        </w:rPr>
        <w:t xml:space="preserve"> </w:t>
      </w:r>
      <w:r w:rsidR="002821E4">
        <w:rPr>
          <w:rFonts w:asciiTheme="minorHAnsi" w:hAnsiTheme="minorHAnsi"/>
          <w:bCs/>
          <w:lang w:val="en-GB"/>
        </w:rPr>
        <w:t xml:space="preserve">set at </w:t>
      </w:r>
      <w:r w:rsidR="00F7328F">
        <w:rPr>
          <w:rFonts w:asciiTheme="minorHAnsi" w:hAnsiTheme="minorHAnsi"/>
          <w:bCs/>
          <w:lang w:val="en-GB"/>
        </w:rPr>
        <w:t xml:space="preserve">a threshold of </w:t>
      </w:r>
      <w:r w:rsidR="00EE2E05">
        <w:rPr>
          <w:rFonts w:asciiTheme="minorHAnsi" w:hAnsiTheme="minorHAnsi"/>
          <w:bCs/>
          <w:noProof/>
          <w:color w:val="000000"/>
          <w:highlight w:val="black"/>
          <w:lang w:val="en-GB"/>
        </w:rPr>
        <w:t>'''''</w:t>
      </w:r>
      <w:r w:rsidR="002821E4">
        <w:rPr>
          <w:rFonts w:asciiTheme="minorHAnsi" w:hAnsiTheme="minorHAnsi"/>
          <w:bCs/>
          <w:lang w:val="en-GB"/>
        </w:rPr>
        <w:t>% of predicted Commonwealth expenditure</w:t>
      </w:r>
      <w:r w:rsidR="00CA4C97">
        <w:rPr>
          <w:rFonts w:asciiTheme="minorHAnsi" w:hAnsiTheme="minorHAnsi"/>
          <w:bCs/>
          <w:lang w:val="en-GB"/>
        </w:rPr>
        <w:t xml:space="preserve">, </w:t>
      </w:r>
      <w:r w:rsidR="00F7328F">
        <w:rPr>
          <w:rFonts w:asciiTheme="minorHAnsi" w:hAnsiTheme="minorHAnsi"/>
          <w:bCs/>
          <w:lang w:val="en-GB"/>
        </w:rPr>
        <w:t>and</w:t>
      </w:r>
      <w:r w:rsidR="00CA4C97">
        <w:rPr>
          <w:rFonts w:asciiTheme="minorHAnsi" w:hAnsiTheme="minorHAnsi"/>
          <w:bCs/>
          <w:lang w:val="en-GB"/>
        </w:rPr>
        <w:t xml:space="preserve"> </w:t>
      </w:r>
      <w:r w:rsidR="00F7328F">
        <w:rPr>
          <w:rFonts w:asciiTheme="minorHAnsi" w:hAnsiTheme="minorHAnsi"/>
          <w:bCs/>
          <w:lang w:val="en-GB"/>
        </w:rPr>
        <w:t xml:space="preserve">this was </w:t>
      </w:r>
      <w:r w:rsidR="00CA4C97">
        <w:rPr>
          <w:rFonts w:asciiTheme="minorHAnsi" w:hAnsiTheme="minorHAnsi"/>
          <w:bCs/>
          <w:lang w:val="en-GB"/>
        </w:rPr>
        <w:t xml:space="preserve">estimated </w:t>
      </w:r>
      <w:r w:rsidR="00F7328F">
        <w:rPr>
          <w:rFonts w:asciiTheme="minorHAnsi" w:hAnsiTheme="minorHAnsi"/>
          <w:bCs/>
          <w:lang w:val="en-GB"/>
        </w:rPr>
        <w:t>to</w:t>
      </w:r>
      <w:r w:rsidR="00CA4C97">
        <w:rPr>
          <w:rFonts w:asciiTheme="minorHAnsi" w:hAnsiTheme="minorHAnsi"/>
          <w:bCs/>
          <w:lang w:val="en-GB"/>
        </w:rPr>
        <w:t xml:space="preserve"> reduce the ICER to $</w:t>
      </w:r>
      <w:r w:rsidR="00795DAB">
        <w:rPr>
          <w:rFonts w:asciiTheme="minorHAnsi" w:hAnsiTheme="minorHAnsi"/>
          <w:bCs/>
          <w:lang w:val="en-GB"/>
        </w:rPr>
        <w:t xml:space="preserve">45,000-$75,000 </w:t>
      </w:r>
      <w:r w:rsidR="00CA4C97">
        <w:rPr>
          <w:rFonts w:asciiTheme="minorHAnsi" w:hAnsiTheme="minorHAnsi"/>
          <w:bCs/>
          <w:lang w:val="en-GB"/>
        </w:rPr>
        <w:t xml:space="preserve">per LYG. </w:t>
      </w:r>
      <w:r w:rsidR="00F7328F">
        <w:rPr>
          <w:rFonts w:asciiTheme="minorHAnsi" w:hAnsiTheme="minorHAnsi"/>
          <w:bCs/>
          <w:lang w:val="en-GB"/>
        </w:rPr>
        <w:t>Given the clinical and modelling issues noted above, the PBAC considered the estimated ICER to be uncertain and incorporating a reduction in the irinotecan (</w:t>
      </w:r>
      <w:proofErr w:type="spellStart"/>
      <w:r w:rsidR="00F7328F">
        <w:rPr>
          <w:rFonts w:asciiTheme="minorHAnsi" w:hAnsiTheme="minorHAnsi"/>
          <w:bCs/>
          <w:lang w:val="en-GB"/>
        </w:rPr>
        <w:t>nanoliposomal</w:t>
      </w:r>
      <w:proofErr w:type="spellEnd"/>
      <w:r w:rsidR="00F7328F">
        <w:rPr>
          <w:rFonts w:asciiTheme="minorHAnsi" w:hAnsiTheme="minorHAnsi"/>
          <w:bCs/>
          <w:lang w:val="en-GB"/>
        </w:rPr>
        <w:t>) price based on the proposed RSA further increased the uncertainty. Further, t</w:t>
      </w:r>
      <w:r w:rsidR="00CA4C97">
        <w:rPr>
          <w:rFonts w:asciiTheme="minorHAnsi" w:hAnsiTheme="minorHAnsi"/>
          <w:bCs/>
          <w:lang w:val="en-GB"/>
        </w:rPr>
        <w:t>he PBAC noted that the ICER would only be achieved if utilisation was as estimated. For assessments of cost-effectiveness to rely on RSA rebates, the PBAC advised that it would need to have a high level of confidence in the utilisation estimates underpinning the RSA.</w:t>
      </w:r>
      <w:r w:rsidR="00566840">
        <w:rPr>
          <w:rFonts w:asciiTheme="minorHAnsi" w:hAnsiTheme="minorHAnsi"/>
          <w:bCs/>
          <w:lang w:val="en-GB"/>
        </w:rPr>
        <w:t xml:space="preserve"> Given the remaining concerns regarding the estimation of the eligible patient population and uptake rates, the PBAC considered that there was substantial uncertainty in the financial estimates that had been provided.</w:t>
      </w:r>
    </w:p>
    <w:p w:rsidR="005668C8" w:rsidRPr="009F0BEB" w:rsidRDefault="00E94064" w:rsidP="00245A0E">
      <w:pPr>
        <w:numPr>
          <w:ilvl w:val="1"/>
          <w:numId w:val="3"/>
        </w:numPr>
        <w:spacing w:after="120"/>
        <w:rPr>
          <w:rFonts w:asciiTheme="minorHAnsi" w:hAnsiTheme="minorHAnsi"/>
          <w:bCs/>
          <w:lang w:val="en-GB"/>
        </w:rPr>
      </w:pPr>
      <w:r>
        <w:rPr>
          <w:rFonts w:asciiTheme="minorHAnsi" w:hAnsiTheme="minorHAnsi"/>
          <w:bCs/>
          <w:lang w:val="en-GB"/>
        </w:rPr>
        <w:t xml:space="preserve">Given the modest clinical benefit of </w:t>
      </w:r>
      <w:proofErr w:type="spellStart"/>
      <w:r>
        <w:rPr>
          <w:rFonts w:asciiTheme="minorHAnsi" w:hAnsiTheme="minorHAnsi"/>
          <w:bCs/>
          <w:lang w:val="en-GB"/>
        </w:rPr>
        <w:t>nal</w:t>
      </w:r>
      <w:proofErr w:type="spellEnd"/>
      <w:r>
        <w:rPr>
          <w:rFonts w:asciiTheme="minorHAnsi" w:hAnsiTheme="minorHAnsi"/>
          <w:bCs/>
          <w:lang w:val="en-GB"/>
        </w:rPr>
        <w:t xml:space="preserve">-IRI over </w:t>
      </w:r>
      <w:r w:rsidRPr="009F0BEB">
        <w:rPr>
          <w:rFonts w:asciiTheme="minorHAnsi" w:hAnsiTheme="minorHAnsi"/>
          <w:bCs/>
          <w:lang w:val="en-GB"/>
        </w:rPr>
        <w:t>5-FU/</w:t>
      </w:r>
      <w:proofErr w:type="spellStart"/>
      <w:r w:rsidRPr="009F0BEB">
        <w:rPr>
          <w:rFonts w:asciiTheme="minorHAnsi" w:hAnsiTheme="minorHAnsi"/>
          <w:bCs/>
          <w:lang w:val="en-GB"/>
        </w:rPr>
        <w:t>folinic</w:t>
      </w:r>
      <w:proofErr w:type="spellEnd"/>
      <w:r w:rsidRPr="009F0BEB">
        <w:rPr>
          <w:rFonts w:asciiTheme="minorHAnsi" w:hAnsiTheme="minorHAnsi"/>
          <w:bCs/>
          <w:lang w:val="en-GB"/>
        </w:rPr>
        <w:t xml:space="preserve"> acid</w:t>
      </w:r>
      <w:r>
        <w:rPr>
          <w:rFonts w:asciiTheme="minorHAnsi" w:hAnsiTheme="minorHAnsi"/>
          <w:bCs/>
          <w:lang w:val="en-GB"/>
        </w:rPr>
        <w:t xml:space="preserve">, and the highly uncertain extent of benefit of </w:t>
      </w:r>
      <w:proofErr w:type="spellStart"/>
      <w:r>
        <w:rPr>
          <w:rFonts w:asciiTheme="minorHAnsi" w:hAnsiTheme="minorHAnsi"/>
          <w:bCs/>
          <w:lang w:val="en-GB"/>
        </w:rPr>
        <w:t>nal</w:t>
      </w:r>
      <w:proofErr w:type="spellEnd"/>
      <w:r>
        <w:rPr>
          <w:rFonts w:asciiTheme="minorHAnsi" w:hAnsiTheme="minorHAnsi"/>
          <w:bCs/>
          <w:lang w:val="en-GB"/>
        </w:rPr>
        <w:t xml:space="preserve">-IRI over </w:t>
      </w:r>
      <w:r w:rsidRPr="009F0BEB">
        <w:rPr>
          <w:rFonts w:asciiTheme="minorHAnsi" w:hAnsiTheme="minorHAnsi"/>
          <w:bCs/>
          <w:lang w:val="en-GB"/>
        </w:rPr>
        <w:t>mFOLFOX6</w:t>
      </w:r>
      <w:r>
        <w:rPr>
          <w:rFonts w:asciiTheme="minorHAnsi" w:hAnsiTheme="minorHAnsi"/>
          <w:bCs/>
          <w:lang w:val="en-GB"/>
        </w:rPr>
        <w:t xml:space="preserve"> and other regimens used following </w:t>
      </w:r>
      <w:r w:rsidRPr="009F0BEB">
        <w:rPr>
          <w:rFonts w:asciiTheme="minorHAnsi" w:hAnsiTheme="minorHAnsi"/>
          <w:bCs/>
          <w:lang w:val="en-GB"/>
        </w:rPr>
        <w:t>gemcitabine-based therapy</w:t>
      </w:r>
      <w:r>
        <w:rPr>
          <w:rFonts w:asciiTheme="minorHAnsi" w:hAnsiTheme="minorHAnsi"/>
          <w:bCs/>
          <w:lang w:val="en-GB"/>
        </w:rPr>
        <w:t>, t</w:t>
      </w:r>
      <w:r w:rsidR="00245A0E" w:rsidRPr="009F0BEB">
        <w:rPr>
          <w:rFonts w:asciiTheme="minorHAnsi" w:hAnsiTheme="minorHAnsi"/>
          <w:bCs/>
          <w:lang w:val="en-GB"/>
        </w:rPr>
        <w:t>he PBAC recommended that a resubmission should present a cost-minimisation analysis</w:t>
      </w:r>
      <w:r>
        <w:rPr>
          <w:rFonts w:asciiTheme="minorHAnsi" w:hAnsiTheme="minorHAnsi"/>
          <w:bCs/>
          <w:lang w:val="en-GB"/>
        </w:rPr>
        <w:t xml:space="preserve"> against </w:t>
      </w:r>
      <w:r w:rsidR="00661410">
        <w:rPr>
          <w:rFonts w:asciiTheme="minorHAnsi" w:hAnsiTheme="minorHAnsi"/>
          <w:bCs/>
          <w:lang w:val="en-GB"/>
        </w:rPr>
        <w:t xml:space="preserve">other existing combination </w:t>
      </w:r>
      <w:r>
        <w:rPr>
          <w:rFonts w:asciiTheme="minorHAnsi" w:hAnsiTheme="minorHAnsi"/>
          <w:bCs/>
          <w:lang w:val="en-GB"/>
        </w:rPr>
        <w:lastRenderedPageBreak/>
        <w:t xml:space="preserve">regimens used </w:t>
      </w:r>
      <w:r w:rsidR="00935035">
        <w:rPr>
          <w:rFonts w:asciiTheme="minorHAnsi" w:hAnsiTheme="minorHAnsi"/>
          <w:bCs/>
          <w:lang w:val="en-GB"/>
        </w:rPr>
        <w:t>in the proposed setting</w:t>
      </w:r>
      <w:r w:rsidR="00661410">
        <w:rPr>
          <w:rFonts w:asciiTheme="minorHAnsi" w:hAnsiTheme="minorHAnsi"/>
          <w:bCs/>
          <w:lang w:val="en-GB"/>
        </w:rPr>
        <w:t>, such as FOLFOX and FOLFIRI</w:t>
      </w:r>
      <w:r w:rsidR="00935035">
        <w:rPr>
          <w:rFonts w:asciiTheme="minorHAnsi" w:hAnsiTheme="minorHAnsi"/>
          <w:bCs/>
          <w:lang w:val="en-GB"/>
        </w:rPr>
        <w:t>.</w:t>
      </w:r>
      <w:r w:rsidR="00935035" w:rsidRPr="009F0BEB" w:rsidDel="00935035">
        <w:rPr>
          <w:rFonts w:asciiTheme="minorHAnsi" w:hAnsiTheme="minorHAnsi"/>
          <w:bCs/>
          <w:lang w:val="en-GB"/>
        </w:rPr>
        <w:t xml:space="preserve"> </w:t>
      </w:r>
    </w:p>
    <w:p w:rsidR="00245A0E" w:rsidRPr="009F0BEB" w:rsidRDefault="00245A0E" w:rsidP="00A47ECB">
      <w:pPr>
        <w:numPr>
          <w:ilvl w:val="1"/>
          <w:numId w:val="3"/>
        </w:numPr>
        <w:spacing w:after="120"/>
        <w:rPr>
          <w:rFonts w:asciiTheme="minorHAnsi" w:hAnsiTheme="minorHAnsi"/>
          <w:bCs/>
          <w:lang w:val="en-GB"/>
        </w:rPr>
      </w:pPr>
      <w:r w:rsidRPr="009F0BEB">
        <w:rPr>
          <w:rFonts w:asciiTheme="minorHAnsi" w:hAnsiTheme="minorHAnsi"/>
          <w:bCs/>
          <w:lang w:val="en-GB"/>
        </w:rPr>
        <w:t>The PBAC noted that this submission is eligible for an Independent Review.</w:t>
      </w:r>
    </w:p>
    <w:p w:rsidR="00ED461F" w:rsidRPr="009F0BEB" w:rsidRDefault="00ED461F" w:rsidP="00ED461F">
      <w:pPr>
        <w:spacing w:before="240"/>
        <w:rPr>
          <w:rFonts w:asciiTheme="minorHAnsi" w:hAnsiTheme="minorHAnsi"/>
          <w:b/>
          <w:bCs/>
          <w:lang w:val="en-GB"/>
        </w:rPr>
      </w:pPr>
      <w:r w:rsidRPr="009F0BEB">
        <w:rPr>
          <w:rFonts w:asciiTheme="minorHAnsi" w:hAnsiTheme="minorHAnsi"/>
          <w:b/>
          <w:bCs/>
          <w:lang w:val="en-GB"/>
        </w:rPr>
        <w:t>Outcome:</w:t>
      </w:r>
    </w:p>
    <w:p w:rsidR="00ED461F" w:rsidRDefault="00D13044" w:rsidP="00ED461F">
      <w:pPr>
        <w:rPr>
          <w:rFonts w:asciiTheme="minorHAnsi" w:hAnsiTheme="minorHAnsi"/>
          <w:bCs/>
          <w:lang w:val="en-GB"/>
        </w:rPr>
      </w:pPr>
      <w:r>
        <w:rPr>
          <w:rFonts w:asciiTheme="minorHAnsi" w:hAnsiTheme="minorHAnsi"/>
          <w:bCs/>
          <w:lang w:val="en-GB"/>
        </w:rPr>
        <w:t xml:space="preserve">Rejected </w:t>
      </w:r>
    </w:p>
    <w:p w:rsidR="00B92BD3" w:rsidRDefault="00B92BD3" w:rsidP="00ED461F">
      <w:pPr>
        <w:rPr>
          <w:rFonts w:asciiTheme="minorHAnsi" w:hAnsiTheme="minorHAnsi"/>
          <w:bCs/>
          <w:lang w:val="en-GB"/>
        </w:rPr>
      </w:pPr>
    </w:p>
    <w:p w:rsidR="00B92BD3" w:rsidRPr="00B92BD3" w:rsidRDefault="00B92BD3" w:rsidP="00B92BD3">
      <w:pPr>
        <w:pStyle w:val="PBACHeading1"/>
        <w:spacing w:after="160"/>
        <w:rPr>
          <w:rFonts w:asciiTheme="minorHAnsi" w:eastAsiaTheme="minorHAnsi" w:hAnsiTheme="minorHAnsi" w:cstheme="minorBidi"/>
          <w:snapToGrid/>
        </w:rPr>
      </w:pPr>
      <w:r w:rsidRPr="00B92BD3">
        <w:rPr>
          <w:rFonts w:asciiTheme="minorHAnsi" w:eastAsiaTheme="minorHAnsi" w:hAnsiTheme="minorHAnsi" w:cstheme="minorBidi"/>
          <w:snapToGrid/>
        </w:rPr>
        <w:t>Context for Decision</w:t>
      </w:r>
    </w:p>
    <w:p w:rsidR="00B92BD3" w:rsidRPr="00B92BD3" w:rsidRDefault="00B92BD3" w:rsidP="00B92BD3">
      <w:pPr>
        <w:widowControl/>
        <w:spacing w:line="276" w:lineRule="auto"/>
        <w:ind w:left="426"/>
        <w:rPr>
          <w:rFonts w:asciiTheme="minorHAnsi" w:eastAsiaTheme="minorHAnsi" w:hAnsiTheme="minorHAnsi"/>
          <w:snapToGrid/>
        </w:rPr>
      </w:pPr>
      <w:r w:rsidRPr="00B92BD3">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92BD3" w:rsidRPr="00B92BD3" w:rsidRDefault="00B92BD3" w:rsidP="00C7718A">
      <w:pPr>
        <w:widowControl/>
        <w:ind w:left="425"/>
        <w:rPr>
          <w:rFonts w:ascii="Arial" w:eastAsiaTheme="minorHAnsi" w:hAnsi="Arial"/>
          <w:snapToGrid/>
          <w:sz w:val="22"/>
        </w:rPr>
      </w:pPr>
    </w:p>
    <w:p w:rsidR="00B92BD3" w:rsidRPr="00B92BD3" w:rsidRDefault="00B92BD3" w:rsidP="00B92BD3">
      <w:pPr>
        <w:pStyle w:val="PBACHeading1"/>
        <w:spacing w:after="160"/>
        <w:rPr>
          <w:rFonts w:asciiTheme="minorHAnsi" w:eastAsiaTheme="minorHAnsi" w:hAnsiTheme="minorHAnsi" w:cstheme="minorBidi"/>
          <w:snapToGrid/>
        </w:rPr>
      </w:pPr>
      <w:r w:rsidRPr="00B92BD3">
        <w:rPr>
          <w:rFonts w:asciiTheme="minorHAnsi" w:eastAsiaTheme="minorHAnsi" w:hAnsiTheme="minorHAnsi" w:cstheme="minorBidi"/>
          <w:snapToGrid/>
        </w:rPr>
        <w:t xml:space="preserve"> Sponsor’s Comment</w:t>
      </w:r>
    </w:p>
    <w:p w:rsidR="00B92BD3" w:rsidRPr="00B92BD3" w:rsidRDefault="00B92BD3" w:rsidP="00B92BD3">
      <w:pPr>
        <w:widowControl/>
        <w:spacing w:after="120" w:line="276" w:lineRule="auto"/>
        <w:ind w:left="426"/>
        <w:rPr>
          <w:rFonts w:asciiTheme="minorHAnsi" w:eastAsiaTheme="minorHAnsi" w:hAnsiTheme="minorHAnsi"/>
          <w:bCs/>
          <w:snapToGrid/>
        </w:rPr>
      </w:pPr>
      <w:r w:rsidRPr="00B92BD3">
        <w:rPr>
          <w:rFonts w:asciiTheme="minorHAnsi" w:eastAsiaTheme="minorHAnsi" w:hAnsiTheme="minorHAnsi"/>
          <w:bCs/>
          <w:snapToGrid/>
        </w:rPr>
        <w:t>The sponsor had no comment.</w:t>
      </w:r>
    </w:p>
    <w:p w:rsidR="00B92BD3" w:rsidRPr="00D13044" w:rsidRDefault="00B92BD3" w:rsidP="00ED461F">
      <w:pPr>
        <w:rPr>
          <w:rFonts w:asciiTheme="minorHAnsi" w:hAnsiTheme="minorHAnsi"/>
          <w:bCs/>
          <w:lang w:val="en-GB"/>
        </w:rPr>
      </w:pPr>
    </w:p>
    <w:sectPr w:rsidR="00B92BD3" w:rsidRPr="00D13044" w:rsidSect="009B3784">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A429DB" w15:done="0"/>
  <w15:commentEx w15:paraId="051900C8" w15:done="0"/>
  <w15:commentEx w15:paraId="67693D37" w15:paraIdParent="051900C8" w15:done="0"/>
  <w15:commentEx w15:paraId="034FA71A" w15:done="0"/>
  <w15:commentEx w15:paraId="275D0625" w15:paraIdParent="034FA71A" w15:done="0"/>
  <w15:commentEx w15:paraId="1A779923" w15:done="0"/>
  <w15:commentEx w15:paraId="35F4E59C" w15:paraIdParent="1A779923" w15:done="0"/>
  <w15:commentEx w15:paraId="14FD9DD6" w15:done="0"/>
  <w15:commentEx w15:paraId="4D0098A3" w15:paraIdParent="14FD9DD6" w15:done="0"/>
  <w15:commentEx w15:paraId="4E99083A" w15:done="0"/>
  <w15:commentEx w15:paraId="5BB8F178" w15:paraIdParent="4E99083A" w15:done="0"/>
  <w15:commentEx w15:paraId="0BB5B279" w15:done="0"/>
  <w15:commentEx w15:paraId="72BEACD2" w15:paraIdParent="0BB5B279" w15:done="0"/>
  <w15:commentEx w15:paraId="3A64AC8B" w15:done="0"/>
  <w15:commentEx w15:paraId="7FFAD311" w15:done="0"/>
  <w15:commentEx w15:paraId="659876B8" w15:done="0"/>
  <w15:commentEx w15:paraId="61DFD0EB" w15:done="0"/>
  <w15:commentEx w15:paraId="30094664" w15:paraIdParent="61DFD0EB" w15:done="0"/>
  <w15:commentEx w15:paraId="05E05F03" w15:done="0"/>
  <w15:commentEx w15:paraId="453197C8" w15:paraIdParent="05E05F03" w15:done="0"/>
  <w15:commentEx w15:paraId="62FD1C0F" w15:done="0"/>
  <w15:commentEx w15:paraId="68CFACB8" w15:paraIdParent="62FD1C0F" w15:done="0"/>
  <w15:commentEx w15:paraId="0266EF02" w15:done="0"/>
  <w15:commentEx w15:paraId="616895AA" w15:paraIdParent="0266EF02" w15:done="0"/>
  <w15:commentEx w15:paraId="449CD437" w15:done="0"/>
  <w15:commentEx w15:paraId="189FCC44" w15:paraIdParent="449CD437" w15:done="0"/>
  <w15:commentEx w15:paraId="4FA45017" w15:done="0"/>
  <w15:commentEx w15:paraId="50A43B65" w15:done="0"/>
  <w15:commentEx w15:paraId="54CF9D29" w15:done="0"/>
  <w15:commentEx w15:paraId="2411A9D2" w15:paraIdParent="54CF9D29" w15:done="0"/>
  <w15:commentEx w15:paraId="26CD0C46" w15:paraIdParent="54CF9D29" w15:done="0"/>
  <w15:commentEx w15:paraId="0739F14C" w15:done="0"/>
  <w15:commentEx w15:paraId="469C5370" w15:done="0"/>
  <w15:commentEx w15:paraId="1C2031CA" w15:done="0"/>
  <w15:commentEx w15:paraId="0CE51157" w15:paraIdParent="1C2031CA" w15:done="0"/>
  <w15:commentEx w15:paraId="5A9268D5" w15:done="0"/>
  <w15:commentEx w15:paraId="1603BB6A" w15:paraIdParent="5A9268D5" w15:done="0"/>
  <w15:commentEx w15:paraId="36020B66" w15:done="0"/>
  <w15:commentEx w15:paraId="64CCAD90" w15:paraIdParent="36020B66" w15:done="0"/>
  <w15:commentEx w15:paraId="542A0052" w15:done="0"/>
  <w15:commentEx w15:paraId="102B0AD6" w15:paraIdParent="542A0052" w15:done="0"/>
  <w15:commentEx w15:paraId="443E6A03" w15:done="0"/>
  <w15:commentEx w15:paraId="57EE95E8" w15:done="0"/>
  <w15:commentEx w15:paraId="6232CE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E05" w:rsidRDefault="00EE2E05" w:rsidP="00124A51">
      <w:r>
        <w:separator/>
      </w:r>
    </w:p>
    <w:p w:rsidR="00EE2E05" w:rsidRDefault="00EE2E05"/>
  </w:endnote>
  <w:endnote w:type="continuationSeparator" w:id="0">
    <w:p w:rsidR="00EE2E05" w:rsidRDefault="00EE2E05" w:rsidP="00124A51">
      <w:r>
        <w:continuationSeparator/>
      </w:r>
    </w:p>
    <w:p w:rsidR="00EE2E05" w:rsidRDefault="00EE2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05" w:rsidRDefault="00EE2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487127623"/>
      <w:docPartObj>
        <w:docPartGallery w:val="Page Numbers (Bottom of Page)"/>
        <w:docPartUnique/>
      </w:docPartObj>
    </w:sdtPr>
    <w:sdtEndPr>
      <w:rPr>
        <w:noProof/>
      </w:rPr>
    </w:sdtEndPr>
    <w:sdtContent>
      <w:p w:rsidR="004C068B" w:rsidRPr="000B5DA9" w:rsidRDefault="004C068B">
        <w:pPr>
          <w:pStyle w:val="Footer"/>
          <w:jc w:val="center"/>
          <w:rPr>
            <w:b/>
          </w:rPr>
        </w:pPr>
        <w:r w:rsidRPr="000B5DA9">
          <w:rPr>
            <w:b/>
          </w:rPr>
          <w:fldChar w:fldCharType="begin"/>
        </w:r>
        <w:r w:rsidRPr="000B5DA9">
          <w:rPr>
            <w:b/>
          </w:rPr>
          <w:instrText xml:space="preserve"> PAGE   \* MERGEFORMAT </w:instrText>
        </w:r>
        <w:r w:rsidRPr="000B5DA9">
          <w:rPr>
            <w:b/>
          </w:rPr>
          <w:fldChar w:fldCharType="separate"/>
        </w:r>
        <w:r w:rsidR="00C7718A">
          <w:rPr>
            <w:b/>
            <w:noProof/>
          </w:rPr>
          <w:t>1</w:t>
        </w:r>
        <w:r w:rsidRPr="000B5DA9">
          <w:rPr>
            <w:b/>
            <w:noProof/>
          </w:rPr>
          <w:fldChar w:fldCharType="end"/>
        </w:r>
      </w:p>
    </w:sdtContent>
  </w:sdt>
  <w:p w:rsidR="004C068B" w:rsidRPr="007C1CD9" w:rsidRDefault="004C068B" w:rsidP="00015886">
    <w:pPr>
      <w:ind w:right="360"/>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05" w:rsidRDefault="00EE2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E05" w:rsidRDefault="00EE2E05" w:rsidP="00124A51">
      <w:r>
        <w:separator/>
      </w:r>
    </w:p>
    <w:p w:rsidR="00EE2E05" w:rsidRDefault="00EE2E05"/>
  </w:footnote>
  <w:footnote w:type="continuationSeparator" w:id="0">
    <w:p w:rsidR="00EE2E05" w:rsidRDefault="00EE2E05" w:rsidP="00124A51">
      <w:r>
        <w:continuationSeparator/>
      </w:r>
    </w:p>
    <w:p w:rsidR="00EE2E05" w:rsidRDefault="00EE2E05"/>
  </w:footnote>
  <w:footnote w:id="1">
    <w:p w:rsidR="004C068B" w:rsidRDefault="004C068B">
      <w:pPr>
        <w:pStyle w:val="FootnoteText"/>
      </w:pPr>
      <w:r>
        <w:rPr>
          <w:rStyle w:val="FootnoteReference"/>
        </w:rPr>
        <w:footnoteRef/>
      </w:r>
      <w:r>
        <w:t xml:space="preserve"> </w:t>
      </w:r>
      <w:proofErr w:type="spellStart"/>
      <w:r w:rsidRPr="008C015B">
        <w:t>Cherny</w:t>
      </w:r>
      <w:proofErr w:type="spellEnd"/>
      <w:r w:rsidRPr="008C015B">
        <w:t xml:space="preserve"> NI, Dafni U, </w:t>
      </w:r>
      <w:proofErr w:type="spellStart"/>
      <w:r w:rsidRPr="008C015B">
        <w:t>Bogaerts</w:t>
      </w:r>
      <w:proofErr w:type="spellEnd"/>
      <w:r w:rsidRPr="008C015B">
        <w:t xml:space="preserve">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05" w:rsidRDefault="00EE2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8B" w:rsidRPr="00F90A91" w:rsidRDefault="004C068B" w:rsidP="000B5DA9">
    <w:pPr>
      <w:pStyle w:val="Header"/>
      <w:ind w:left="360"/>
      <w:jc w:val="center"/>
      <w:rPr>
        <w:rFonts w:asciiTheme="minorHAnsi" w:hAnsiTheme="minorHAnsi"/>
        <w:i/>
        <w:color w:val="808080"/>
        <w:sz w:val="22"/>
      </w:rPr>
    </w:pPr>
    <w:r>
      <w:rPr>
        <w:rFonts w:asciiTheme="minorHAnsi" w:hAnsiTheme="minorHAnsi"/>
        <w:i/>
        <w:color w:val="808080"/>
        <w:sz w:val="22"/>
      </w:rPr>
      <w:t xml:space="preserve">Public Summary Document </w:t>
    </w:r>
    <w:r w:rsidRPr="00F90A91">
      <w:rPr>
        <w:rFonts w:asciiTheme="minorHAnsi" w:hAnsiTheme="minorHAnsi"/>
        <w:i/>
        <w:color w:val="808080"/>
        <w:sz w:val="22"/>
      </w:rPr>
      <w:t xml:space="preserve">– </w:t>
    </w:r>
    <w:r>
      <w:rPr>
        <w:rFonts w:asciiTheme="minorHAnsi" w:hAnsiTheme="minorHAnsi"/>
        <w:i/>
        <w:color w:val="808080"/>
        <w:sz w:val="22"/>
      </w:rPr>
      <w:t>March 2018</w:t>
    </w:r>
    <w:r w:rsidRPr="00F90A91">
      <w:rPr>
        <w:rFonts w:asciiTheme="minorHAnsi" w:hAnsiTheme="minorHAnsi"/>
        <w:i/>
        <w:color w:val="808080"/>
        <w:sz w:val="22"/>
      </w:rPr>
      <w:t xml:space="preserve"> PBAC Meeting</w:t>
    </w:r>
  </w:p>
  <w:p w:rsidR="004C068B" w:rsidRPr="000B5DA9" w:rsidRDefault="004C068B" w:rsidP="000B5D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05" w:rsidRDefault="00EE2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812D9"/>
    <w:multiLevelType w:val="hybridMultilevel"/>
    <w:tmpl w:val="7760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1E6A58"/>
    <w:multiLevelType w:val="hybridMultilevel"/>
    <w:tmpl w:val="1A7439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0C2876"/>
    <w:multiLevelType w:val="hybridMultilevel"/>
    <w:tmpl w:val="D02CACD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8E0A90"/>
    <w:multiLevelType w:val="hybridMultilevel"/>
    <w:tmpl w:val="F1C0D722"/>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677946"/>
    <w:multiLevelType w:val="hybridMultilevel"/>
    <w:tmpl w:val="900E0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42017E"/>
    <w:multiLevelType w:val="hybridMultilevel"/>
    <w:tmpl w:val="F198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9B0CE3"/>
    <w:multiLevelType w:val="hybridMultilevel"/>
    <w:tmpl w:val="30A0BEB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
    <w:nsid w:val="213B7BF1"/>
    <w:multiLevelType w:val="hybridMultilevel"/>
    <w:tmpl w:val="29FE77D0"/>
    <w:lvl w:ilvl="0" w:tplc="FFFFFFFF">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1">
    <w:nsid w:val="23860DAD"/>
    <w:multiLevelType w:val="hybridMultilevel"/>
    <w:tmpl w:val="8294CC0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C67C3A"/>
    <w:multiLevelType w:val="hybridMultilevel"/>
    <w:tmpl w:val="4266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616D3C"/>
    <w:multiLevelType w:val="hybridMultilevel"/>
    <w:tmpl w:val="DF8EFD4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CC7B03"/>
    <w:multiLevelType w:val="hybridMultilevel"/>
    <w:tmpl w:val="F4D09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0450CA9"/>
    <w:multiLevelType w:val="hybridMultilevel"/>
    <w:tmpl w:val="AB6A7D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8D16636"/>
    <w:multiLevelType w:val="hybridMultilevel"/>
    <w:tmpl w:val="C15A1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B7C34E2"/>
    <w:multiLevelType w:val="hybridMultilevel"/>
    <w:tmpl w:val="87C8A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D354B6"/>
    <w:multiLevelType w:val="hybridMultilevel"/>
    <w:tmpl w:val="FEFA6754"/>
    <w:lvl w:ilvl="0" w:tplc="5CD23AB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373152"/>
    <w:multiLevelType w:val="hybridMultilevel"/>
    <w:tmpl w:val="ACFAA31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C3124"/>
    <w:multiLevelType w:val="hybridMultilevel"/>
    <w:tmpl w:val="E0F0E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E54433"/>
    <w:multiLevelType w:val="hybridMultilevel"/>
    <w:tmpl w:val="30E4E7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9B31BC2"/>
    <w:multiLevelType w:val="hybridMultilevel"/>
    <w:tmpl w:val="30B050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F42E43"/>
    <w:multiLevelType w:val="hybridMultilevel"/>
    <w:tmpl w:val="E8828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B066F9D"/>
    <w:multiLevelType w:val="hybridMultilevel"/>
    <w:tmpl w:val="64BA88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710714"/>
    <w:multiLevelType w:val="hybridMultilevel"/>
    <w:tmpl w:val="C7CEC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F9326C"/>
    <w:multiLevelType w:val="multilevel"/>
    <w:tmpl w:val="4F6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03305B"/>
    <w:multiLevelType w:val="hybridMultilevel"/>
    <w:tmpl w:val="823248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778E6407"/>
    <w:multiLevelType w:val="hybridMultilevel"/>
    <w:tmpl w:val="4FA6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4D033C"/>
    <w:multiLevelType w:val="multilevel"/>
    <w:tmpl w:val="851610AC"/>
    <w:lvl w:ilvl="0">
      <w:start w:val="1"/>
      <w:numFmt w:val="decimal"/>
      <w:pStyle w:val="PBACHeading1"/>
      <w:lvlText w:val="%1"/>
      <w:lvlJc w:val="left"/>
      <w:pPr>
        <w:ind w:left="720" w:hanging="720"/>
      </w:pPr>
      <w:rPr>
        <w:bCs w:val="0"/>
        <w:i w:val="0"/>
        <w:iC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8FE680D"/>
    <w:multiLevelType w:val="hybridMultilevel"/>
    <w:tmpl w:val="17EC35AC"/>
    <w:lvl w:ilvl="0" w:tplc="F488CFD6">
      <w:numFmt w:val="bullet"/>
      <w:lvlText w:val="-"/>
      <w:lvlJc w:val="left"/>
      <w:pPr>
        <w:ind w:left="807" w:hanging="360"/>
      </w:pPr>
      <w:rPr>
        <w:rFonts w:ascii="Times New Roman" w:eastAsia="Times New Roman" w:hAnsi="Times New Roman" w:cs="Times New Roman"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34">
    <w:nsid w:val="7E1D640E"/>
    <w:multiLevelType w:val="hybridMultilevel"/>
    <w:tmpl w:val="1870E8C6"/>
    <w:lvl w:ilvl="0" w:tplc="FB909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
  </w:num>
  <w:num w:numId="3">
    <w:abstractNumId w:val="32"/>
  </w:num>
  <w:num w:numId="4">
    <w:abstractNumId w:val="21"/>
  </w:num>
  <w:num w:numId="5">
    <w:abstractNumId w:val="6"/>
  </w:num>
  <w:num w:numId="6">
    <w:abstractNumId w:val="33"/>
  </w:num>
  <w:num w:numId="7">
    <w:abstractNumId w:val="14"/>
  </w:num>
  <w:num w:numId="8">
    <w:abstractNumId w:val="7"/>
  </w:num>
  <w:num w:numId="9">
    <w:abstractNumId w:val="8"/>
  </w:num>
  <w:num w:numId="10">
    <w:abstractNumId w:val="5"/>
  </w:num>
  <w:num w:numId="11">
    <w:abstractNumId w:val="11"/>
  </w:num>
  <w:num w:numId="12">
    <w:abstractNumId w:val="20"/>
  </w:num>
  <w:num w:numId="13">
    <w:abstractNumId w:val="3"/>
  </w:num>
  <w:num w:numId="14">
    <w:abstractNumId w:val="10"/>
  </w:num>
  <w:num w:numId="15">
    <w:abstractNumId w:val="31"/>
  </w:num>
  <w:num w:numId="16">
    <w:abstractNumId w:val="2"/>
  </w:num>
  <w:num w:numId="17">
    <w:abstractNumId w:val="30"/>
  </w:num>
  <w:num w:numId="18">
    <w:abstractNumId w:val="16"/>
  </w:num>
  <w:num w:numId="19">
    <w:abstractNumId w:val="17"/>
  </w:num>
  <w:num w:numId="20">
    <w:abstractNumId w:val="26"/>
  </w:num>
  <w:num w:numId="21">
    <w:abstractNumId w:val="23"/>
  </w:num>
  <w:num w:numId="22">
    <w:abstractNumId w:val="25"/>
  </w:num>
  <w:num w:numId="23">
    <w:abstractNumId w:val="19"/>
  </w:num>
  <w:num w:numId="24">
    <w:abstractNumId w:val="13"/>
  </w:num>
  <w:num w:numId="25">
    <w:abstractNumId w:val="15"/>
  </w:num>
  <w:num w:numId="26">
    <w:abstractNumId w:val="28"/>
  </w:num>
  <w:num w:numId="27">
    <w:abstractNumId w:val="29"/>
  </w:num>
  <w:num w:numId="28">
    <w:abstractNumId w:val="24"/>
  </w:num>
  <w:num w:numId="29">
    <w:abstractNumId w:val="22"/>
  </w:num>
  <w:num w:numId="30">
    <w:abstractNumId w:val="9"/>
  </w:num>
  <w:num w:numId="31">
    <w:abstractNumId w:val="27"/>
  </w:num>
  <w:num w:numId="32">
    <w:abstractNumId w:val="4"/>
  </w:num>
  <w:num w:numId="33">
    <w:abstractNumId w:val="0"/>
  </w:num>
  <w:num w:numId="34">
    <w:abstractNumId w:val="12"/>
  </w:num>
  <w:num w:numId="35">
    <w:abstractNumId w:val="34"/>
  </w:num>
  <w:num w:numId="36">
    <w:abstractNumId w:val="32"/>
  </w:num>
  <w:num w:numId="37">
    <w:abstractNumId w:val="3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 Goon">
    <w15:presenceInfo w15:providerId="AD" w15:userId="S-1-5-21-1451058757-1749049392-1947940980-366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NotTrackFormatting/>
  <w:defaultTabStop w:val="720"/>
  <w:defaultTableStyle w:val="Commentarytab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06"/>
    <w:rsid w:val="00000790"/>
    <w:rsid w:val="00000948"/>
    <w:rsid w:val="0000110B"/>
    <w:rsid w:val="000015DF"/>
    <w:rsid w:val="00001717"/>
    <w:rsid w:val="00003499"/>
    <w:rsid w:val="000037E1"/>
    <w:rsid w:val="00003805"/>
    <w:rsid w:val="000039B7"/>
    <w:rsid w:val="000060AD"/>
    <w:rsid w:val="0001132B"/>
    <w:rsid w:val="00012014"/>
    <w:rsid w:val="00013247"/>
    <w:rsid w:val="00014676"/>
    <w:rsid w:val="0001578B"/>
    <w:rsid w:val="00015886"/>
    <w:rsid w:val="000162EF"/>
    <w:rsid w:val="00017282"/>
    <w:rsid w:val="000216B6"/>
    <w:rsid w:val="0002225F"/>
    <w:rsid w:val="00022948"/>
    <w:rsid w:val="000229AF"/>
    <w:rsid w:val="00023763"/>
    <w:rsid w:val="00025AB1"/>
    <w:rsid w:val="0002698D"/>
    <w:rsid w:val="00027C58"/>
    <w:rsid w:val="00031CC3"/>
    <w:rsid w:val="00033863"/>
    <w:rsid w:val="0003489E"/>
    <w:rsid w:val="00035094"/>
    <w:rsid w:val="00035DC0"/>
    <w:rsid w:val="00036829"/>
    <w:rsid w:val="00040895"/>
    <w:rsid w:val="00040C1E"/>
    <w:rsid w:val="00040D8D"/>
    <w:rsid w:val="00043C37"/>
    <w:rsid w:val="00043E35"/>
    <w:rsid w:val="00044077"/>
    <w:rsid w:val="00045017"/>
    <w:rsid w:val="00045A2B"/>
    <w:rsid w:val="0004698F"/>
    <w:rsid w:val="00050045"/>
    <w:rsid w:val="00053047"/>
    <w:rsid w:val="000532DF"/>
    <w:rsid w:val="000539D0"/>
    <w:rsid w:val="00053A76"/>
    <w:rsid w:val="00054621"/>
    <w:rsid w:val="000546D7"/>
    <w:rsid w:val="000555A4"/>
    <w:rsid w:val="00055855"/>
    <w:rsid w:val="00055B0B"/>
    <w:rsid w:val="0005637D"/>
    <w:rsid w:val="00056DA5"/>
    <w:rsid w:val="00060E39"/>
    <w:rsid w:val="00061042"/>
    <w:rsid w:val="00063B4C"/>
    <w:rsid w:val="00063D0F"/>
    <w:rsid w:val="0006608E"/>
    <w:rsid w:val="000662F4"/>
    <w:rsid w:val="00066360"/>
    <w:rsid w:val="00066CA0"/>
    <w:rsid w:val="0006761B"/>
    <w:rsid w:val="00071248"/>
    <w:rsid w:val="00071330"/>
    <w:rsid w:val="000718B2"/>
    <w:rsid w:val="00072048"/>
    <w:rsid w:val="000720B9"/>
    <w:rsid w:val="00072D3C"/>
    <w:rsid w:val="00072DA3"/>
    <w:rsid w:val="000737F7"/>
    <w:rsid w:val="00074C4A"/>
    <w:rsid w:val="0007672F"/>
    <w:rsid w:val="000774F0"/>
    <w:rsid w:val="000775BE"/>
    <w:rsid w:val="00080293"/>
    <w:rsid w:val="00080673"/>
    <w:rsid w:val="00080909"/>
    <w:rsid w:val="000812CA"/>
    <w:rsid w:val="00081F55"/>
    <w:rsid w:val="0008258D"/>
    <w:rsid w:val="00083B1D"/>
    <w:rsid w:val="00083E99"/>
    <w:rsid w:val="00083F05"/>
    <w:rsid w:val="00084542"/>
    <w:rsid w:val="000856C5"/>
    <w:rsid w:val="00086A77"/>
    <w:rsid w:val="00087721"/>
    <w:rsid w:val="00090C7E"/>
    <w:rsid w:val="000925ED"/>
    <w:rsid w:val="00092600"/>
    <w:rsid w:val="0009262B"/>
    <w:rsid w:val="00092BAD"/>
    <w:rsid w:val="00093310"/>
    <w:rsid w:val="0009445C"/>
    <w:rsid w:val="00095FE5"/>
    <w:rsid w:val="00096284"/>
    <w:rsid w:val="000A0883"/>
    <w:rsid w:val="000A19CC"/>
    <w:rsid w:val="000A2A83"/>
    <w:rsid w:val="000A331D"/>
    <w:rsid w:val="000A3535"/>
    <w:rsid w:val="000A3EBA"/>
    <w:rsid w:val="000A7733"/>
    <w:rsid w:val="000A795C"/>
    <w:rsid w:val="000A7B18"/>
    <w:rsid w:val="000A7D08"/>
    <w:rsid w:val="000B0670"/>
    <w:rsid w:val="000B0E75"/>
    <w:rsid w:val="000B1ADC"/>
    <w:rsid w:val="000B2164"/>
    <w:rsid w:val="000B2511"/>
    <w:rsid w:val="000B568B"/>
    <w:rsid w:val="000B5DA9"/>
    <w:rsid w:val="000B5E3C"/>
    <w:rsid w:val="000B6CAC"/>
    <w:rsid w:val="000B731D"/>
    <w:rsid w:val="000B7612"/>
    <w:rsid w:val="000B7F04"/>
    <w:rsid w:val="000B7F09"/>
    <w:rsid w:val="000C1195"/>
    <w:rsid w:val="000C2F19"/>
    <w:rsid w:val="000C3DF9"/>
    <w:rsid w:val="000C6713"/>
    <w:rsid w:val="000C6CA2"/>
    <w:rsid w:val="000D075E"/>
    <w:rsid w:val="000D1095"/>
    <w:rsid w:val="000D1BFC"/>
    <w:rsid w:val="000D281A"/>
    <w:rsid w:val="000D290E"/>
    <w:rsid w:val="000D2D14"/>
    <w:rsid w:val="000D326A"/>
    <w:rsid w:val="000D45C5"/>
    <w:rsid w:val="000D4A04"/>
    <w:rsid w:val="000D4CE7"/>
    <w:rsid w:val="000D51FB"/>
    <w:rsid w:val="000D5A51"/>
    <w:rsid w:val="000D6F48"/>
    <w:rsid w:val="000E135D"/>
    <w:rsid w:val="000E2761"/>
    <w:rsid w:val="000E2F54"/>
    <w:rsid w:val="000E469B"/>
    <w:rsid w:val="000E5026"/>
    <w:rsid w:val="000E57FB"/>
    <w:rsid w:val="000E6F49"/>
    <w:rsid w:val="000F00BA"/>
    <w:rsid w:val="000F1B78"/>
    <w:rsid w:val="000F316A"/>
    <w:rsid w:val="000F3C74"/>
    <w:rsid w:val="000F4518"/>
    <w:rsid w:val="000F4BB8"/>
    <w:rsid w:val="000F62E7"/>
    <w:rsid w:val="000F7127"/>
    <w:rsid w:val="000F7845"/>
    <w:rsid w:val="000F7ED7"/>
    <w:rsid w:val="00100B70"/>
    <w:rsid w:val="00100F8A"/>
    <w:rsid w:val="00103E54"/>
    <w:rsid w:val="00105AE2"/>
    <w:rsid w:val="001065AF"/>
    <w:rsid w:val="00106B80"/>
    <w:rsid w:val="0011032E"/>
    <w:rsid w:val="00112D17"/>
    <w:rsid w:val="00112FC9"/>
    <w:rsid w:val="0011348B"/>
    <w:rsid w:val="00115982"/>
    <w:rsid w:val="00115D62"/>
    <w:rsid w:val="00116C53"/>
    <w:rsid w:val="00117818"/>
    <w:rsid w:val="00121799"/>
    <w:rsid w:val="00121E58"/>
    <w:rsid w:val="001222FC"/>
    <w:rsid w:val="00123CBE"/>
    <w:rsid w:val="001240CE"/>
    <w:rsid w:val="00124260"/>
    <w:rsid w:val="00124688"/>
    <w:rsid w:val="00124A51"/>
    <w:rsid w:val="00125288"/>
    <w:rsid w:val="00126621"/>
    <w:rsid w:val="00127284"/>
    <w:rsid w:val="001301E9"/>
    <w:rsid w:val="00130CCC"/>
    <w:rsid w:val="00131639"/>
    <w:rsid w:val="00131ABA"/>
    <w:rsid w:val="00131D82"/>
    <w:rsid w:val="00133242"/>
    <w:rsid w:val="00133D36"/>
    <w:rsid w:val="00135887"/>
    <w:rsid w:val="00137645"/>
    <w:rsid w:val="0014015A"/>
    <w:rsid w:val="001408B4"/>
    <w:rsid w:val="0014097F"/>
    <w:rsid w:val="001409F2"/>
    <w:rsid w:val="00140E99"/>
    <w:rsid w:val="00143914"/>
    <w:rsid w:val="00144810"/>
    <w:rsid w:val="00145540"/>
    <w:rsid w:val="001456B0"/>
    <w:rsid w:val="00146272"/>
    <w:rsid w:val="0014769F"/>
    <w:rsid w:val="00152219"/>
    <w:rsid w:val="00152CFA"/>
    <w:rsid w:val="00153728"/>
    <w:rsid w:val="00156AF5"/>
    <w:rsid w:val="00157130"/>
    <w:rsid w:val="001576B1"/>
    <w:rsid w:val="00160A4C"/>
    <w:rsid w:val="00160FF9"/>
    <w:rsid w:val="001612F9"/>
    <w:rsid w:val="00162913"/>
    <w:rsid w:val="00162BED"/>
    <w:rsid w:val="00163EFF"/>
    <w:rsid w:val="001661FB"/>
    <w:rsid w:val="00167FDC"/>
    <w:rsid w:val="0017069A"/>
    <w:rsid w:val="00171FDE"/>
    <w:rsid w:val="0017214C"/>
    <w:rsid w:val="00172AA7"/>
    <w:rsid w:val="00173565"/>
    <w:rsid w:val="00173B07"/>
    <w:rsid w:val="00173EAA"/>
    <w:rsid w:val="00173EDC"/>
    <w:rsid w:val="0017421B"/>
    <w:rsid w:val="00174385"/>
    <w:rsid w:val="0017525E"/>
    <w:rsid w:val="00175B3A"/>
    <w:rsid w:val="00176456"/>
    <w:rsid w:val="0017759F"/>
    <w:rsid w:val="00177FE9"/>
    <w:rsid w:val="00180091"/>
    <w:rsid w:val="001805B7"/>
    <w:rsid w:val="00180732"/>
    <w:rsid w:val="001807DC"/>
    <w:rsid w:val="00181D9C"/>
    <w:rsid w:val="00182DFC"/>
    <w:rsid w:val="001830C7"/>
    <w:rsid w:val="00186D3B"/>
    <w:rsid w:val="0018752F"/>
    <w:rsid w:val="00192E98"/>
    <w:rsid w:val="00193DFD"/>
    <w:rsid w:val="00195222"/>
    <w:rsid w:val="001975D8"/>
    <w:rsid w:val="001A3A9C"/>
    <w:rsid w:val="001A3D0F"/>
    <w:rsid w:val="001A43FA"/>
    <w:rsid w:val="001A59FB"/>
    <w:rsid w:val="001A6354"/>
    <w:rsid w:val="001A7A70"/>
    <w:rsid w:val="001A7AE8"/>
    <w:rsid w:val="001B1471"/>
    <w:rsid w:val="001B204E"/>
    <w:rsid w:val="001B3443"/>
    <w:rsid w:val="001B3530"/>
    <w:rsid w:val="001B3B6B"/>
    <w:rsid w:val="001B48BE"/>
    <w:rsid w:val="001B4935"/>
    <w:rsid w:val="001B4D20"/>
    <w:rsid w:val="001B6EA0"/>
    <w:rsid w:val="001C0AF7"/>
    <w:rsid w:val="001C210E"/>
    <w:rsid w:val="001C29DD"/>
    <w:rsid w:val="001C2A9B"/>
    <w:rsid w:val="001C4299"/>
    <w:rsid w:val="001C4582"/>
    <w:rsid w:val="001C4ED6"/>
    <w:rsid w:val="001C59FF"/>
    <w:rsid w:val="001C5F94"/>
    <w:rsid w:val="001C6CDD"/>
    <w:rsid w:val="001C6E66"/>
    <w:rsid w:val="001C78EA"/>
    <w:rsid w:val="001C7B7B"/>
    <w:rsid w:val="001C7F68"/>
    <w:rsid w:val="001D415F"/>
    <w:rsid w:val="001D4173"/>
    <w:rsid w:val="001D4230"/>
    <w:rsid w:val="001D4D91"/>
    <w:rsid w:val="001D6791"/>
    <w:rsid w:val="001D7A42"/>
    <w:rsid w:val="001E073D"/>
    <w:rsid w:val="001E140B"/>
    <w:rsid w:val="001E1B5B"/>
    <w:rsid w:val="001E238E"/>
    <w:rsid w:val="001E2483"/>
    <w:rsid w:val="001E2B1E"/>
    <w:rsid w:val="001E30D4"/>
    <w:rsid w:val="001E37C5"/>
    <w:rsid w:val="001E3A5D"/>
    <w:rsid w:val="001E3BBE"/>
    <w:rsid w:val="001E48DE"/>
    <w:rsid w:val="001E4EBC"/>
    <w:rsid w:val="001E52EB"/>
    <w:rsid w:val="001E61D2"/>
    <w:rsid w:val="001E740C"/>
    <w:rsid w:val="001F078D"/>
    <w:rsid w:val="001F1235"/>
    <w:rsid w:val="001F1CB3"/>
    <w:rsid w:val="001F38B5"/>
    <w:rsid w:val="001F4FF9"/>
    <w:rsid w:val="001F6FE8"/>
    <w:rsid w:val="001F7361"/>
    <w:rsid w:val="002011B0"/>
    <w:rsid w:val="00203181"/>
    <w:rsid w:val="00203783"/>
    <w:rsid w:val="0020385F"/>
    <w:rsid w:val="00207021"/>
    <w:rsid w:val="0020732F"/>
    <w:rsid w:val="00207BFA"/>
    <w:rsid w:val="00207D00"/>
    <w:rsid w:val="002105C1"/>
    <w:rsid w:val="002106CF"/>
    <w:rsid w:val="00211751"/>
    <w:rsid w:val="00211A9B"/>
    <w:rsid w:val="0021207E"/>
    <w:rsid w:val="00214C1E"/>
    <w:rsid w:val="002154C2"/>
    <w:rsid w:val="00223B49"/>
    <w:rsid w:val="00224C96"/>
    <w:rsid w:val="00224DD4"/>
    <w:rsid w:val="00225864"/>
    <w:rsid w:val="00225E42"/>
    <w:rsid w:val="00226B1B"/>
    <w:rsid w:val="00226EEA"/>
    <w:rsid w:val="00227F0C"/>
    <w:rsid w:val="00230378"/>
    <w:rsid w:val="002306CB"/>
    <w:rsid w:val="002309CC"/>
    <w:rsid w:val="00230A88"/>
    <w:rsid w:val="00231276"/>
    <w:rsid w:val="00231E3C"/>
    <w:rsid w:val="0023209F"/>
    <w:rsid w:val="00232F33"/>
    <w:rsid w:val="002336C2"/>
    <w:rsid w:val="002339A3"/>
    <w:rsid w:val="0023413F"/>
    <w:rsid w:val="0023588C"/>
    <w:rsid w:val="0023629D"/>
    <w:rsid w:val="00237255"/>
    <w:rsid w:val="0024083A"/>
    <w:rsid w:val="00240B92"/>
    <w:rsid w:val="00241745"/>
    <w:rsid w:val="00241D7C"/>
    <w:rsid w:val="002420B6"/>
    <w:rsid w:val="002421DE"/>
    <w:rsid w:val="002423DB"/>
    <w:rsid w:val="002424AF"/>
    <w:rsid w:val="00242CB2"/>
    <w:rsid w:val="00242F43"/>
    <w:rsid w:val="0024350C"/>
    <w:rsid w:val="002439DC"/>
    <w:rsid w:val="00243AED"/>
    <w:rsid w:val="00244DC8"/>
    <w:rsid w:val="0024529F"/>
    <w:rsid w:val="002458BA"/>
    <w:rsid w:val="00245A0E"/>
    <w:rsid w:val="00245EAC"/>
    <w:rsid w:val="00245ED5"/>
    <w:rsid w:val="0024636C"/>
    <w:rsid w:val="00246630"/>
    <w:rsid w:val="00247925"/>
    <w:rsid w:val="002505AD"/>
    <w:rsid w:val="00250A1A"/>
    <w:rsid w:val="002514D0"/>
    <w:rsid w:val="00251C92"/>
    <w:rsid w:val="0025299C"/>
    <w:rsid w:val="00253FFE"/>
    <w:rsid w:val="002540EA"/>
    <w:rsid w:val="00254505"/>
    <w:rsid w:val="00254DCF"/>
    <w:rsid w:val="0025516B"/>
    <w:rsid w:val="0025534B"/>
    <w:rsid w:val="002554ED"/>
    <w:rsid w:val="00255BB7"/>
    <w:rsid w:val="00257541"/>
    <w:rsid w:val="00257629"/>
    <w:rsid w:val="002602CA"/>
    <w:rsid w:val="00260BBC"/>
    <w:rsid w:val="00260F60"/>
    <w:rsid w:val="00261BA2"/>
    <w:rsid w:val="00262A1A"/>
    <w:rsid w:val="00262A87"/>
    <w:rsid w:val="002638DB"/>
    <w:rsid w:val="00263EED"/>
    <w:rsid w:val="00264280"/>
    <w:rsid w:val="00264AE7"/>
    <w:rsid w:val="00264C92"/>
    <w:rsid w:val="00264D26"/>
    <w:rsid w:val="0026516F"/>
    <w:rsid w:val="0026611E"/>
    <w:rsid w:val="002673ED"/>
    <w:rsid w:val="00267642"/>
    <w:rsid w:val="00267AEA"/>
    <w:rsid w:val="002700E6"/>
    <w:rsid w:val="00270370"/>
    <w:rsid w:val="00271470"/>
    <w:rsid w:val="00272339"/>
    <w:rsid w:val="0027294B"/>
    <w:rsid w:val="00272ED9"/>
    <w:rsid w:val="0027375A"/>
    <w:rsid w:val="00273B4E"/>
    <w:rsid w:val="00274588"/>
    <w:rsid w:val="00275C5A"/>
    <w:rsid w:val="00276629"/>
    <w:rsid w:val="00281014"/>
    <w:rsid w:val="002821E4"/>
    <w:rsid w:val="0028229E"/>
    <w:rsid w:val="00283B3C"/>
    <w:rsid w:val="002841B4"/>
    <w:rsid w:val="0028738B"/>
    <w:rsid w:val="00287E73"/>
    <w:rsid w:val="0029062D"/>
    <w:rsid w:val="002908C4"/>
    <w:rsid w:val="00290DEC"/>
    <w:rsid w:val="002930E4"/>
    <w:rsid w:val="0029509B"/>
    <w:rsid w:val="002955D4"/>
    <w:rsid w:val="00295EEC"/>
    <w:rsid w:val="0029683C"/>
    <w:rsid w:val="002A14AB"/>
    <w:rsid w:val="002A2F50"/>
    <w:rsid w:val="002A33E8"/>
    <w:rsid w:val="002A3F26"/>
    <w:rsid w:val="002A5F00"/>
    <w:rsid w:val="002B09A4"/>
    <w:rsid w:val="002B0C44"/>
    <w:rsid w:val="002B0DE8"/>
    <w:rsid w:val="002B1C1F"/>
    <w:rsid w:val="002B3D20"/>
    <w:rsid w:val="002B432F"/>
    <w:rsid w:val="002B4487"/>
    <w:rsid w:val="002B4582"/>
    <w:rsid w:val="002B62B3"/>
    <w:rsid w:val="002B6414"/>
    <w:rsid w:val="002B6754"/>
    <w:rsid w:val="002B6CCE"/>
    <w:rsid w:val="002C0C51"/>
    <w:rsid w:val="002C1CDB"/>
    <w:rsid w:val="002C2510"/>
    <w:rsid w:val="002C2775"/>
    <w:rsid w:val="002C27C1"/>
    <w:rsid w:val="002C3C46"/>
    <w:rsid w:val="002C4D64"/>
    <w:rsid w:val="002C5099"/>
    <w:rsid w:val="002C5296"/>
    <w:rsid w:val="002C5889"/>
    <w:rsid w:val="002C71CE"/>
    <w:rsid w:val="002D014B"/>
    <w:rsid w:val="002D082D"/>
    <w:rsid w:val="002D55CC"/>
    <w:rsid w:val="002D577C"/>
    <w:rsid w:val="002E0A30"/>
    <w:rsid w:val="002E15B9"/>
    <w:rsid w:val="002E1D82"/>
    <w:rsid w:val="002E2158"/>
    <w:rsid w:val="002E3565"/>
    <w:rsid w:val="002E3EBE"/>
    <w:rsid w:val="002E5B44"/>
    <w:rsid w:val="002E6768"/>
    <w:rsid w:val="002E7722"/>
    <w:rsid w:val="002F07BA"/>
    <w:rsid w:val="002F0DA9"/>
    <w:rsid w:val="002F0F7F"/>
    <w:rsid w:val="002F0F9F"/>
    <w:rsid w:val="002F1F29"/>
    <w:rsid w:val="002F488E"/>
    <w:rsid w:val="002F5010"/>
    <w:rsid w:val="002F643C"/>
    <w:rsid w:val="002F71C0"/>
    <w:rsid w:val="00300444"/>
    <w:rsid w:val="00301017"/>
    <w:rsid w:val="00301493"/>
    <w:rsid w:val="003014F5"/>
    <w:rsid w:val="0030155F"/>
    <w:rsid w:val="003023CD"/>
    <w:rsid w:val="00303638"/>
    <w:rsid w:val="00303E8B"/>
    <w:rsid w:val="0030520C"/>
    <w:rsid w:val="003056A0"/>
    <w:rsid w:val="0030587B"/>
    <w:rsid w:val="00306D98"/>
    <w:rsid w:val="00307176"/>
    <w:rsid w:val="0030786C"/>
    <w:rsid w:val="0031031A"/>
    <w:rsid w:val="003107E7"/>
    <w:rsid w:val="00310981"/>
    <w:rsid w:val="00311160"/>
    <w:rsid w:val="00311980"/>
    <w:rsid w:val="00311D1A"/>
    <w:rsid w:val="00312151"/>
    <w:rsid w:val="00312CEA"/>
    <w:rsid w:val="00312D7C"/>
    <w:rsid w:val="00313F98"/>
    <w:rsid w:val="00314BE7"/>
    <w:rsid w:val="00315498"/>
    <w:rsid w:val="003154AE"/>
    <w:rsid w:val="00315554"/>
    <w:rsid w:val="0031568E"/>
    <w:rsid w:val="003205A8"/>
    <w:rsid w:val="00321AB2"/>
    <w:rsid w:val="00321AC3"/>
    <w:rsid w:val="00322107"/>
    <w:rsid w:val="00322846"/>
    <w:rsid w:val="003234EA"/>
    <w:rsid w:val="0032442A"/>
    <w:rsid w:val="0032472B"/>
    <w:rsid w:val="00324953"/>
    <w:rsid w:val="003262CC"/>
    <w:rsid w:val="003265D1"/>
    <w:rsid w:val="00326DA7"/>
    <w:rsid w:val="003270E4"/>
    <w:rsid w:val="00330C93"/>
    <w:rsid w:val="00330F5C"/>
    <w:rsid w:val="00333F98"/>
    <w:rsid w:val="00335161"/>
    <w:rsid w:val="00335D69"/>
    <w:rsid w:val="003366C9"/>
    <w:rsid w:val="003371B0"/>
    <w:rsid w:val="00340DF1"/>
    <w:rsid w:val="003431BF"/>
    <w:rsid w:val="003432FA"/>
    <w:rsid w:val="00344714"/>
    <w:rsid w:val="003453FE"/>
    <w:rsid w:val="00346245"/>
    <w:rsid w:val="00346A60"/>
    <w:rsid w:val="003517F9"/>
    <w:rsid w:val="003542D9"/>
    <w:rsid w:val="003552D9"/>
    <w:rsid w:val="0035620E"/>
    <w:rsid w:val="00356FB9"/>
    <w:rsid w:val="003600F9"/>
    <w:rsid w:val="003608D0"/>
    <w:rsid w:val="00360A0C"/>
    <w:rsid w:val="00361C44"/>
    <w:rsid w:val="003624C4"/>
    <w:rsid w:val="00362D90"/>
    <w:rsid w:val="003654AC"/>
    <w:rsid w:val="0036676F"/>
    <w:rsid w:val="0036756B"/>
    <w:rsid w:val="00370A33"/>
    <w:rsid w:val="003710CF"/>
    <w:rsid w:val="003715F1"/>
    <w:rsid w:val="00371AF2"/>
    <w:rsid w:val="0037209B"/>
    <w:rsid w:val="0037358A"/>
    <w:rsid w:val="00374114"/>
    <w:rsid w:val="003750F6"/>
    <w:rsid w:val="00375449"/>
    <w:rsid w:val="003757EF"/>
    <w:rsid w:val="00375814"/>
    <w:rsid w:val="00375E89"/>
    <w:rsid w:val="003760FC"/>
    <w:rsid w:val="00377760"/>
    <w:rsid w:val="003808FD"/>
    <w:rsid w:val="0038125B"/>
    <w:rsid w:val="00381393"/>
    <w:rsid w:val="00383467"/>
    <w:rsid w:val="0038365C"/>
    <w:rsid w:val="0038369B"/>
    <w:rsid w:val="00383B0B"/>
    <w:rsid w:val="00383B78"/>
    <w:rsid w:val="00385A9D"/>
    <w:rsid w:val="00386D2F"/>
    <w:rsid w:val="003902B1"/>
    <w:rsid w:val="00390B49"/>
    <w:rsid w:val="0039502A"/>
    <w:rsid w:val="003957A0"/>
    <w:rsid w:val="0039598D"/>
    <w:rsid w:val="003961BA"/>
    <w:rsid w:val="00396896"/>
    <w:rsid w:val="00396FD0"/>
    <w:rsid w:val="00397B46"/>
    <w:rsid w:val="003A170E"/>
    <w:rsid w:val="003A1A7A"/>
    <w:rsid w:val="003A2392"/>
    <w:rsid w:val="003A24ED"/>
    <w:rsid w:val="003A2831"/>
    <w:rsid w:val="003A3ED1"/>
    <w:rsid w:val="003A55A6"/>
    <w:rsid w:val="003A5CEE"/>
    <w:rsid w:val="003B0B7B"/>
    <w:rsid w:val="003B1872"/>
    <w:rsid w:val="003B2B2B"/>
    <w:rsid w:val="003B3A5C"/>
    <w:rsid w:val="003B4ED6"/>
    <w:rsid w:val="003B5B28"/>
    <w:rsid w:val="003B5B61"/>
    <w:rsid w:val="003C0EA5"/>
    <w:rsid w:val="003C1099"/>
    <w:rsid w:val="003C1654"/>
    <w:rsid w:val="003C373E"/>
    <w:rsid w:val="003C4948"/>
    <w:rsid w:val="003C4ACA"/>
    <w:rsid w:val="003C6F1D"/>
    <w:rsid w:val="003C7555"/>
    <w:rsid w:val="003C7D19"/>
    <w:rsid w:val="003C7D1C"/>
    <w:rsid w:val="003D0430"/>
    <w:rsid w:val="003D0B28"/>
    <w:rsid w:val="003D1828"/>
    <w:rsid w:val="003D1955"/>
    <w:rsid w:val="003D1BA4"/>
    <w:rsid w:val="003D1DE4"/>
    <w:rsid w:val="003D1E02"/>
    <w:rsid w:val="003D2422"/>
    <w:rsid w:val="003D2901"/>
    <w:rsid w:val="003D39A1"/>
    <w:rsid w:val="003D3FBF"/>
    <w:rsid w:val="003D4A30"/>
    <w:rsid w:val="003D502A"/>
    <w:rsid w:val="003D50AD"/>
    <w:rsid w:val="003D79BB"/>
    <w:rsid w:val="003D7C98"/>
    <w:rsid w:val="003E0543"/>
    <w:rsid w:val="003E0600"/>
    <w:rsid w:val="003E0BBE"/>
    <w:rsid w:val="003E1464"/>
    <w:rsid w:val="003E2FF3"/>
    <w:rsid w:val="003E35E4"/>
    <w:rsid w:val="003E4416"/>
    <w:rsid w:val="003E5689"/>
    <w:rsid w:val="003E5902"/>
    <w:rsid w:val="003E736A"/>
    <w:rsid w:val="003E76D6"/>
    <w:rsid w:val="003E799C"/>
    <w:rsid w:val="003F4156"/>
    <w:rsid w:val="003F7E91"/>
    <w:rsid w:val="00400B29"/>
    <w:rsid w:val="0040105F"/>
    <w:rsid w:val="0040199F"/>
    <w:rsid w:val="00402133"/>
    <w:rsid w:val="0040242F"/>
    <w:rsid w:val="0040392C"/>
    <w:rsid w:val="00403CB4"/>
    <w:rsid w:val="0040400A"/>
    <w:rsid w:val="0040504B"/>
    <w:rsid w:val="004067D7"/>
    <w:rsid w:val="0040715A"/>
    <w:rsid w:val="00410708"/>
    <w:rsid w:val="00410EC7"/>
    <w:rsid w:val="0041143C"/>
    <w:rsid w:val="004117B4"/>
    <w:rsid w:val="00411B39"/>
    <w:rsid w:val="00412DED"/>
    <w:rsid w:val="00413122"/>
    <w:rsid w:val="004133BC"/>
    <w:rsid w:val="0041343A"/>
    <w:rsid w:val="00413A1E"/>
    <w:rsid w:val="00414476"/>
    <w:rsid w:val="0041447A"/>
    <w:rsid w:val="00414C2E"/>
    <w:rsid w:val="004151CF"/>
    <w:rsid w:val="00416364"/>
    <w:rsid w:val="00416842"/>
    <w:rsid w:val="00416A45"/>
    <w:rsid w:val="00417075"/>
    <w:rsid w:val="00420AA6"/>
    <w:rsid w:val="00420B9F"/>
    <w:rsid w:val="00420DE4"/>
    <w:rsid w:val="00422260"/>
    <w:rsid w:val="00423035"/>
    <w:rsid w:val="0042344F"/>
    <w:rsid w:val="00423FEE"/>
    <w:rsid w:val="0042413F"/>
    <w:rsid w:val="004243AD"/>
    <w:rsid w:val="00424C95"/>
    <w:rsid w:val="00427A17"/>
    <w:rsid w:val="00430868"/>
    <w:rsid w:val="004319F8"/>
    <w:rsid w:val="00431E55"/>
    <w:rsid w:val="004321F6"/>
    <w:rsid w:val="00432644"/>
    <w:rsid w:val="00433044"/>
    <w:rsid w:val="004334B6"/>
    <w:rsid w:val="004348FD"/>
    <w:rsid w:val="00436051"/>
    <w:rsid w:val="0043689A"/>
    <w:rsid w:val="004375B9"/>
    <w:rsid w:val="00437C63"/>
    <w:rsid w:val="004400C7"/>
    <w:rsid w:val="00441D1C"/>
    <w:rsid w:val="0044206E"/>
    <w:rsid w:val="004428D0"/>
    <w:rsid w:val="004443A7"/>
    <w:rsid w:val="0044442C"/>
    <w:rsid w:val="00444BC3"/>
    <w:rsid w:val="004455E2"/>
    <w:rsid w:val="00445941"/>
    <w:rsid w:val="00445FC0"/>
    <w:rsid w:val="004464EB"/>
    <w:rsid w:val="00447934"/>
    <w:rsid w:val="00447D26"/>
    <w:rsid w:val="00452661"/>
    <w:rsid w:val="0045541B"/>
    <w:rsid w:val="00455654"/>
    <w:rsid w:val="00455737"/>
    <w:rsid w:val="00455D45"/>
    <w:rsid w:val="00457E5B"/>
    <w:rsid w:val="00462150"/>
    <w:rsid w:val="0046315F"/>
    <w:rsid w:val="00463414"/>
    <w:rsid w:val="00464181"/>
    <w:rsid w:val="00464595"/>
    <w:rsid w:val="00465990"/>
    <w:rsid w:val="0046613B"/>
    <w:rsid w:val="00466205"/>
    <w:rsid w:val="00470346"/>
    <w:rsid w:val="00470CCD"/>
    <w:rsid w:val="00471E96"/>
    <w:rsid w:val="00472A79"/>
    <w:rsid w:val="004731E1"/>
    <w:rsid w:val="00473F19"/>
    <w:rsid w:val="00475E22"/>
    <w:rsid w:val="00476BFF"/>
    <w:rsid w:val="00476F89"/>
    <w:rsid w:val="0048088E"/>
    <w:rsid w:val="004808F1"/>
    <w:rsid w:val="004811CF"/>
    <w:rsid w:val="004815F1"/>
    <w:rsid w:val="00481666"/>
    <w:rsid w:val="00482720"/>
    <w:rsid w:val="004835E7"/>
    <w:rsid w:val="00483F4E"/>
    <w:rsid w:val="00484186"/>
    <w:rsid w:val="004843A7"/>
    <w:rsid w:val="004853A3"/>
    <w:rsid w:val="004866B7"/>
    <w:rsid w:val="004867E2"/>
    <w:rsid w:val="004879B9"/>
    <w:rsid w:val="00487AAC"/>
    <w:rsid w:val="00491B3A"/>
    <w:rsid w:val="00492773"/>
    <w:rsid w:val="00492CFD"/>
    <w:rsid w:val="0049350E"/>
    <w:rsid w:val="004937D2"/>
    <w:rsid w:val="00493FD5"/>
    <w:rsid w:val="004943C5"/>
    <w:rsid w:val="00494678"/>
    <w:rsid w:val="00494DD5"/>
    <w:rsid w:val="00495EFC"/>
    <w:rsid w:val="004962D2"/>
    <w:rsid w:val="00496821"/>
    <w:rsid w:val="004A0DA1"/>
    <w:rsid w:val="004A198E"/>
    <w:rsid w:val="004A52E9"/>
    <w:rsid w:val="004A6597"/>
    <w:rsid w:val="004A6F41"/>
    <w:rsid w:val="004A7848"/>
    <w:rsid w:val="004B12A0"/>
    <w:rsid w:val="004B1647"/>
    <w:rsid w:val="004B1CB4"/>
    <w:rsid w:val="004B22BB"/>
    <w:rsid w:val="004B2554"/>
    <w:rsid w:val="004B2F18"/>
    <w:rsid w:val="004B3DDB"/>
    <w:rsid w:val="004B3F96"/>
    <w:rsid w:val="004B44FD"/>
    <w:rsid w:val="004B5CFC"/>
    <w:rsid w:val="004B6ED3"/>
    <w:rsid w:val="004B714D"/>
    <w:rsid w:val="004B774D"/>
    <w:rsid w:val="004B7A11"/>
    <w:rsid w:val="004C068B"/>
    <w:rsid w:val="004C0E6D"/>
    <w:rsid w:val="004C1D17"/>
    <w:rsid w:val="004C364C"/>
    <w:rsid w:val="004C39AB"/>
    <w:rsid w:val="004C4126"/>
    <w:rsid w:val="004C4AED"/>
    <w:rsid w:val="004C515D"/>
    <w:rsid w:val="004C5391"/>
    <w:rsid w:val="004C5E61"/>
    <w:rsid w:val="004C69CB"/>
    <w:rsid w:val="004C79AA"/>
    <w:rsid w:val="004D1C36"/>
    <w:rsid w:val="004D2C2D"/>
    <w:rsid w:val="004D7227"/>
    <w:rsid w:val="004D768D"/>
    <w:rsid w:val="004D7A97"/>
    <w:rsid w:val="004E0E7F"/>
    <w:rsid w:val="004E0EB8"/>
    <w:rsid w:val="004E2ADC"/>
    <w:rsid w:val="004E34DF"/>
    <w:rsid w:val="004E43B2"/>
    <w:rsid w:val="004E4EC2"/>
    <w:rsid w:val="004E5412"/>
    <w:rsid w:val="004E5C44"/>
    <w:rsid w:val="004E708F"/>
    <w:rsid w:val="004F1D02"/>
    <w:rsid w:val="004F2679"/>
    <w:rsid w:val="004F2F21"/>
    <w:rsid w:val="004F3004"/>
    <w:rsid w:val="004F33EB"/>
    <w:rsid w:val="004F3799"/>
    <w:rsid w:val="004F4D80"/>
    <w:rsid w:val="004F5CA7"/>
    <w:rsid w:val="004F6913"/>
    <w:rsid w:val="004F712D"/>
    <w:rsid w:val="004F7581"/>
    <w:rsid w:val="004F7865"/>
    <w:rsid w:val="005002C6"/>
    <w:rsid w:val="0050219B"/>
    <w:rsid w:val="00502354"/>
    <w:rsid w:val="00502D77"/>
    <w:rsid w:val="00503F17"/>
    <w:rsid w:val="005049A2"/>
    <w:rsid w:val="005049B7"/>
    <w:rsid w:val="00504E3C"/>
    <w:rsid w:val="00505750"/>
    <w:rsid w:val="00506372"/>
    <w:rsid w:val="00506928"/>
    <w:rsid w:val="00506D4F"/>
    <w:rsid w:val="005078EB"/>
    <w:rsid w:val="005105A7"/>
    <w:rsid w:val="0051092F"/>
    <w:rsid w:val="0051161A"/>
    <w:rsid w:val="00512618"/>
    <w:rsid w:val="00512D62"/>
    <w:rsid w:val="00512EC8"/>
    <w:rsid w:val="00512F75"/>
    <w:rsid w:val="0051345A"/>
    <w:rsid w:val="00513741"/>
    <w:rsid w:val="005152B5"/>
    <w:rsid w:val="0051556E"/>
    <w:rsid w:val="00515889"/>
    <w:rsid w:val="00516509"/>
    <w:rsid w:val="00516B86"/>
    <w:rsid w:val="00517842"/>
    <w:rsid w:val="00521319"/>
    <w:rsid w:val="00521433"/>
    <w:rsid w:val="00521A52"/>
    <w:rsid w:val="005223B3"/>
    <w:rsid w:val="005227BC"/>
    <w:rsid w:val="00522A62"/>
    <w:rsid w:val="00522BC8"/>
    <w:rsid w:val="00523C28"/>
    <w:rsid w:val="0052621C"/>
    <w:rsid w:val="0052700D"/>
    <w:rsid w:val="0052757D"/>
    <w:rsid w:val="0053069C"/>
    <w:rsid w:val="00530DE5"/>
    <w:rsid w:val="00532275"/>
    <w:rsid w:val="0053438E"/>
    <w:rsid w:val="00534534"/>
    <w:rsid w:val="00534E3B"/>
    <w:rsid w:val="0053541D"/>
    <w:rsid w:val="00536786"/>
    <w:rsid w:val="00536F42"/>
    <w:rsid w:val="00537182"/>
    <w:rsid w:val="00540DF3"/>
    <w:rsid w:val="00542743"/>
    <w:rsid w:val="00542C2D"/>
    <w:rsid w:val="0054310E"/>
    <w:rsid w:val="00544E2F"/>
    <w:rsid w:val="00544EBD"/>
    <w:rsid w:val="005454FF"/>
    <w:rsid w:val="005456DD"/>
    <w:rsid w:val="00546C48"/>
    <w:rsid w:val="00550A37"/>
    <w:rsid w:val="00550CCD"/>
    <w:rsid w:val="005512FC"/>
    <w:rsid w:val="00551985"/>
    <w:rsid w:val="00552BD3"/>
    <w:rsid w:val="00554DCB"/>
    <w:rsid w:val="00554EF7"/>
    <w:rsid w:val="00555109"/>
    <w:rsid w:val="005565CF"/>
    <w:rsid w:val="005578D6"/>
    <w:rsid w:val="00557D76"/>
    <w:rsid w:val="00561461"/>
    <w:rsid w:val="00561AF4"/>
    <w:rsid w:val="00561CB7"/>
    <w:rsid w:val="00561E3E"/>
    <w:rsid w:val="00562F80"/>
    <w:rsid w:val="00563928"/>
    <w:rsid w:val="00564001"/>
    <w:rsid w:val="00564DB2"/>
    <w:rsid w:val="0056587C"/>
    <w:rsid w:val="00566840"/>
    <w:rsid w:val="005668C8"/>
    <w:rsid w:val="0056696F"/>
    <w:rsid w:val="005704CA"/>
    <w:rsid w:val="0057052B"/>
    <w:rsid w:val="0057128A"/>
    <w:rsid w:val="00571F68"/>
    <w:rsid w:val="00572269"/>
    <w:rsid w:val="0057244A"/>
    <w:rsid w:val="005753D7"/>
    <w:rsid w:val="0057562A"/>
    <w:rsid w:val="00575D8D"/>
    <w:rsid w:val="00576972"/>
    <w:rsid w:val="00576A6D"/>
    <w:rsid w:val="00577BD2"/>
    <w:rsid w:val="0058095C"/>
    <w:rsid w:val="00582B98"/>
    <w:rsid w:val="00583699"/>
    <w:rsid w:val="00585CDD"/>
    <w:rsid w:val="00587058"/>
    <w:rsid w:val="00587631"/>
    <w:rsid w:val="00591957"/>
    <w:rsid w:val="00593AF0"/>
    <w:rsid w:val="00593B97"/>
    <w:rsid w:val="00593D72"/>
    <w:rsid w:val="00593E87"/>
    <w:rsid w:val="00597B1C"/>
    <w:rsid w:val="00597BF9"/>
    <w:rsid w:val="005A0310"/>
    <w:rsid w:val="005A0984"/>
    <w:rsid w:val="005A2D0B"/>
    <w:rsid w:val="005A368F"/>
    <w:rsid w:val="005A373D"/>
    <w:rsid w:val="005A40D0"/>
    <w:rsid w:val="005A5FB1"/>
    <w:rsid w:val="005A7E90"/>
    <w:rsid w:val="005B0B04"/>
    <w:rsid w:val="005B1CBB"/>
    <w:rsid w:val="005B285E"/>
    <w:rsid w:val="005B2F4D"/>
    <w:rsid w:val="005B5586"/>
    <w:rsid w:val="005B5857"/>
    <w:rsid w:val="005B6893"/>
    <w:rsid w:val="005C18D5"/>
    <w:rsid w:val="005C1B54"/>
    <w:rsid w:val="005C1B83"/>
    <w:rsid w:val="005C203F"/>
    <w:rsid w:val="005C2D55"/>
    <w:rsid w:val="005C346B"/>
    <w:rsid w:val="005C3DEB"/>
    <w:rsid w:val="005C5EEF"/>
    <w:rsid w:val="005D044D"/>
    <w:rsid w:val="005D0ABD"/>
    <w:rsid w:val="005D18AD"/>
    <w:rsid w:val="005D26B4"/>
    <w:rsid w:val="005D347C"/>
    <w:rsid w:val="005D44B6"/>
    <w:rsid w:val="005D576F"/>
    <w:rsid w:val="005D7E20"/>
    <w:rsid w:val="005D7E34"/>
    <w:rsid w:val="005E2768"/>
    <w:rsid w:val="005E2E45"/>
    <w:rsid w:val="005E59E6"/>
    <w:rsid w:val="005E6CBC"/>
    <w:rsid w:val="005E73C0"/>
    <w:rsid w:val="005E75ED"/>
    <w:rsid w:val="005F1DA1"/>
    <w:rsid w:val="005F2706"/>
    <w:rsid w:val="005F323B"/>
    <w:rsid w:val="005F368E"/>
    <w:rsid w:val="005F3742"/>
    <w:rsid w:val="005F690A"/>
    <w:rsid w:val="005F6A8F"/>
    <w:rsid w:val="005F6D28"/>
    <w:rsid w:val="006014E6"/>
    <w:rsid w:val="00601931"/>
    <w:rsid w:val="00603A5F"/>
    <w:rsid w:val="00603DB9"/>
    <w:rsid w:val="00604C1C"/>
    <w:rsid w:val="00605A5F"/>
    <w:rsid w:val="00605C0C"/>
    <w:rsid w:val="00606E99"/>
    <w:rsid w:val="00607126"/>
    <w:rsid w:val="00607669"/>
    <w:rsid w:val="00607AFD"/>
    <w:rsid w:val="00607F0A"/>
    <w:rsid w:val="006101BD"/>
    <w:rsid w:val="00611332"/>
    <w:rsid w:val="00611AE6"/>
    <w:rsid w:val="00612B35"/>
    <w:rsid w:val="00612F97"/>
    <w:rsid w:val="0061345D"/>
    <w:rsid w:val="006138C6"/>
    <w:rsid w:val="006154F2"/>
    <w:rsid w:val="00615D77"/>
    <w:rsid w:val="00616802"/>
    <w:rsid w:val="00617E12"/>
    <w:rsid w:val="0062083E"/>
    <w:rsid w:val="00620EE1"/>
    <w:rsid w:val="00621477"/>
    <w:rsid w:val="0062174E"/>
    <w:rsid w:val="00622ECC"/>
    <w:rsid w:val="00623B84"/>
    <w:rsid w:val="00623F12"/>
    <w:rsid w:val="0062445D"/>
    <w:rsid w:val="00624659"/>
    <w:rsid w:val="00627195"/>
    <w:rsid w:val="0063096C"/>
    <w:rsid w:val="00630FAC"/>
    <w:rsid w:val="0063158F"/>
    <w:rsid w:val="00631D6B"/>
    <w:rsid w:val="006328E5"/>
    <w:rsid w:val="00632C9C"/>
    <w:rsid w:val="006330A1"/>
    <w:rsid w:val="00634452"/>
    <w:rsid w:val="0063479F"/>
    <w:rsid w:val="006353F0"/>
    <w:rsid w:val="006361EF"/>
    <w:rsid w:val="00636453"/>
    <w:rsid w:val="006364A1"/>
    <w:rsid w:val="006373F0"/>
    <w:rsid w:val="00637494"/>
    <w:rsid w:val="00637BFD"/>
    <w:rsid w:val="006417E1"/>
    <w:rsid w:val="006417F9"/>
    <w:rsid w:val="00641A02"/>
    <w:rsid w:val="00641C4E"/>
    <w:rsid w:val="0064284E"/>
    <w:rsid w:val="00642D61"/>
    <w:rsid w:val="00642E40"/>
    <w:rsid w:val="00643812"/>
    <w:rsid w:val="0064534A"/>
    <w:rsid w:val="006457BA"/>
    <w:rsid w:val="00645A26"/>
    <w:rsid w:val="006462AA"/>
    <w:rsid w:val="006471CC"/>
    <w:rsid w:val="00647AFF"/>
    <w:rsid w:val="006503A1"/>
    <w:rsid w:val="0065079F"/>
    <w:rsid w:val="0065143E"/>
    <w:rsid w:val="00652811"/>
    <w:rsid w:val="0065379F"/>
    <w:rsid w:val="00653B00"/>
    <w:rsid w:val="00653B7E"/>
    <w:rsid w:val="006545B6"/>
    <w:rsid w:val="00654837"/>
    <w:rsid w:val="006573F7"/>
    <w:rsid w:val="00661410"/>
    <w:rsid w:val="006617F3"/>
    <w:rsid w:val="00661C6B"/>
    <w:rsid w:val="006622BD"/>
    <w:rsid w:val="0066285E"/>
    <w:rsid w:val="00663319"/>
    <w:rsid w:val="00663A5B"/>
    <w:rsid w:val="00663C9E"/>
    <w:rsid w:val="0066402E"/>
    <w:rsid w:val="00666DFB"/>
    <w:rsid w:val="00667428"/>
    <w:rsid w:val="00671893"/>
    <w:rsid w:val="00672E9F"/>
    <w:rsid w:val="00674E42"/>
    <w:rsid w:val="00675930"/>
    <w:rsid w:val="006759A0"/>
    <w:rsid w:val="006804DF"/>
    <w:rsid w:val="00682112"/>
    <w:rsid w:val="0068254F"/>
    <w:rsid w:val="006826AF"/>
    <w:rsid w:val="00683F56"/>
    <w:rsid w:val="00683FBB"/>
    <w:rsid w:val="006844CC"/>
    <w:rsid w:val="006852F1"/>
    <w:rsid w:val="00685376"/>
    <w:rsid w:val="00686957"/>
    <w:rsid w:val="006872BA"/>
    <w:rsid w:val="006877B5"/>
    <w:rsid w:val="00690931"/>
    <w:rsid w:val="00691648"/>
    <w:rsid w:val="006917D7"/>
    <w:rsid w:val="00692D4F"/>
    <w:rsid w:val="00694245"/>
    <w:rsid w:val="00694F44"/>
    <w:rsid w:val="00694FB9"/>
    <w:rsid w:val="0069638B"/>
    <w:rsid w:val="00697B0A"/>
    <w:rsid w:val="00697B8E"/>
    <w:rsid w:val="006A1A70"/>
    <w:rsid w:val="006A1F32"/>
    <w:rsid w:val="006A2180"/>
    <w:rsid w:val="006A3337"/>
    <w:rsid w:val="006A4F48"/>
    <w:rsid w:val="006A6729"/>
    <w:rsid w:val="006A6EA5"/>
    <w:rsid w:val="006A7E5F"/>
    <w:rsid w:val="006B111F"/>
    <w:rsid w:val="006B261B"/>
    <w:rsid w:val="006B2C90"/>
    <w:rsid w:val="006B2DC0"/>
    <w:rsid w:val="006B3D89"/>
    <w:rsid w:val="006B42A8"/>
    <w:rsid w:val="006B4D51"/>
    <w:rsid w:val="006B5641"/>
    <w:rsid w:val="006B6DD0"/>
    <w:rsid w:val="006B7310"/>
    <w:rsid w:val="006C0A68"/>
    <w:rsid w:val="006C114B"/>
    <w:rsid w:val="006C2A8E"/>
    <w:rsid w:val="006C302E"/>
    <w:rsid w:val="006C49D1"/>
    <w:rsid w:val="006C728A"/>
    <w:rsid w:val="006D0885"/>
    <w:rsid w:val="006D0F9D"/>
    <w:rsid w:val="006D102D"/>
    <w:rsid w:val="006D126F"/>
    <w:rsid w:val="006D2A35"/>
    <w:rsid w:val="006D3390"/>
    <w:rsid w:val="006D3C7D"/>
    <w:rsid w:val="006D461A"/>
    <w:rsid w:val="006D5D5F"/>
    <w:rsid w:val="006D709A"/>
    <w:rsid w:val="006D7153"/>
    <w:rsid w:val="006D7C39"/>
    <w:rsid w:val="006E095F"/>
    <w:rsid w:val="006E192F"/>
    <w:rsid w:val="006E1F07"/>
    <w:rsid w:val="006E2039"/>
    <w:rsid w:val="006E2482"/>
    <w:rsid w:val="006E2C08"/>
    <w:rsid w:val="006E7329"/>
    <w:rsid w:val="006E7689"/>
    <w:rsid w:val="006F1AA7"/>
    <w:rsid w:val="006F1E78"/>
    <w:rsid w:val="006F306C"/>
    <w:rsid w:val="006F3BBC"/>
    <w:rsid w:val="006F4E74"/>
    <w:rsid w:val="006F621C"/>
    <w:rsid w:val="006F63A5"/>
    <w:rsid w:val="007013DD"/>
    <w:rsid w:val="0070142B"/>
    <w:rsid w:val="00701AA7"/>
    <w:rsid w:val="00702324"/>
    <w:rsid w:val="0070276E"/>
    <w:rsid w:val="00702F8F"/>
    <w:rsid w:val="00703344"/>
    <w:rsid w:val="00704906"/>
    <w:rsid w:val="0070724B"/>
    <w:rsid w:val="00707421"/>
    <w:rsid w:val="00710454"/>
    <w:rsid w:val="0071074C"/>
    <w:rsid w:val="00711614"/>
    <w:rsid w:val="007116B5"/>
    <w:rsid w:val="00711A36"/>
    <w:rsid w:val="007133E7"/>
    <w:rsid w:val="0071343A"/>
    <w:rsid w:val="00714BF6"/>
    <w:rsid w:val="00714DA6"/>
    <w:rsid w:val="00714E82"/>
    <w:rsid w:val="0071529C"/>
    <w:rsid w:val="00715C87"/>
    <w:rsid w:val="00716F29"/>
    <w:rsid w:val="007172AD"/>
    <w:rsid w:val="00717E9B"/>
    <w:rsid w:val="00720184"/>
    <w:rsid w:val="00720669"/>
    <w:rsid w:val="00721198"/>
    <w:rsid w:val="007225B3"/>
    <w:rsid w:val="00722B1B"/>
    <w:rsid w:val="00722B9F"/>
    <w:rsid w:val="00723BF5"/>
    <w:rsid w:val="0072416F"/>
    <w:rsid w:val="007253E3"/>
    <w:rsid w:val="007256CE"/>
    <w:rsid w:val="0072575B"/>
    <w:rsid w:val="00725892"/>
    <w:rsid w:val="00726DE8"/>
    <w:rsid w:val="00727C94"/>
    <w:rsid w:val="00730421"/>
    <w:rsid w:val="00731469"/>
    <w:rsid w:val="00731C3E"/>
    <w:rsid w:val="00731EAE"/>
    <w:rsid w:val="00731F6A"/>
    <w:rsid w:val="00735033"/>
    <w:rsid w:val="00735328"/>
    <w:rsid w:val="0073685B"/>
    <w:rsid w:val="00737D90"/>
    <w:rsid w:val="0074016A"/>
    <w:rsid w:val="00744511"/>
    <w:rsid w:val="00745081"/>
    <w:rsid w:val="0074529B"/>
    <w:rsid w:val="00747AE3"/>
    <w:rsid w:val="007505B7"/>
    <w:rsid w:val="00752142"/>
    <w:rsid w:val="007523F9"/>
    <w:rsid w:val="007528B3"/>
    <w:rsid w:val="0075575F"/>
    <w:rsid w:val="007573E8"/>
    <w:rsid w:val="00757BEF"/>
    <w:rsid w:val="00760C4E"/>
    <w:rsid w:val="00760D85"/>
    <w:rsid w:val="0076147A"/>
    <w:rsid w:val="007614DA"/>
    <w:rsid w:val="00762670"/>
    <w:rsid w:val="00762C01"/>
    <w:rsid w:val="007632B2"/>
    <w:rsid w:val="00765B1A"/>
    <w:rsid w:val="00766443"/>
    <w:rsid w:val="00770075"/>
    <w:rsid w:val="007700B8"/>
    <w:rsid w:val="007705B9"/>
    <w:rsid w:val="00772916"/>
    <w:rsid w:val="0077292C"/>
    <w:rsid w:val="00772CD3"/>
    <w:rsid w:val="007741D9"/>
    <w:rsid w:val="00774417"/>
    <w:rsid w:val="00775962"/>
    <w:rsid w:val="00777559"/>
    <w:rsid w:val="007815B8"/>
    <w:rsid w:val="007838F0"/>
    <w:rsid w:val="007843F2"/>
    <w:rsid w:val="00790F0E"/>
    <w:rsid w:val="00791090"/>
    <w:rsid w:val="00791D7F"/>
    <w:rsid w:val="00792F76"/>
    <w:rsid w:val="0079339F"/>
    <w:rsid w:val="007945EB"/>
    <w:rsid w:val="0079534D"/>
    <w:rsid w:val="00795DAB"/>
    <w:rsid w:val="00796032"/>
    <w:rsid w:val="007969F7"/>
    <w:rsid w:val="007970D2"/>
    <w:rsid w:val="007A0A12"/>
    <w:rsid w:val="007A0B69"/>
    <w:rsid w:val="007A132D"/>
    <w:rsid w:val="007A14D0"/>
    <w:rsid w:val="007A2CC7"/>
    <w:rsid w:val="007A491B"/>
    <w:rsid w:val="007A4A4D"/>
    <w:rsid w:val="007A5302"/>
    <w:rsid w:val="007B0619"/>
    <w:rsid w:val="007B0D68"/>
    <w:rsid w:val="007B251D"/>
    <w:rsid w:val="007B2CD6"/>
    <w:rsid w:val="007B4F58"/>
    <w:rsid w:val="007B528D"/>
    <w:rsid w:val="007B5563"/>
    <w:rsid w:val="007B56E0"/>
    <w:rsid w:val="007B6906"/>
    <w:rsid w:val="007B6E7C"/>
    <w:rsid w:val="007B77D1"/>
    <w:rsid w:val="007C055C"/>
    <w:rsid w:val="007C07B9"/>
    <w:rsid w:val="007C1128"/>
    <w:rsid w:val="007C1CD9"/>
    <w:rsid w:val="007C2AE9"/>
    <w:rsid w:val="007C361D"/>
    <w:rsid w:val="007C4B84"/>
    <w:rsid w:val="007C52CF"/>
    <w:rsid w:val="007C642A"/>
    <w:rsid w:val="007C6508"/>
    <w:rsid w:val="007C7EFE"/>
    <w:rsid w:val="007D004F"/>
    <w:rsid w:val="007D0B38"/>
    <w:rsid w:val="007D0EB9"/>
    <w:rsid w:val="007D1FEF"/>
    <w:rsid w:val="007D491C"/>
    <w:rsid w:val="007D5440"/>
    <w:rsid w:val="007D54B4"/>
    <w:rsid w:val="007D7BFB"/>
    <w:rsid w:val="007E0981"/>
    <w:rsid w:val="007E23EF"/>
    <w:rsid w:val="007E2B5E"/>
    <w:rsid w:val="007E2FF7"/>
    <w:rsid w:val="007F1017"/>
    <w:rsid w:val="007F1B26"/>
    <w:rsid w:val="007F1D74"/>
    <w:rsid w:val="007F29FF"/>
    <w:rsid w:val="007F2A5E"/>
    <w:rsid w:val="007F31E0"/>
    <w:rsid w:val="007F3E48"/>
    <w:rsid w:val="007F486B"/>
    <w:rsid w:val="007F49DE"/>
    <w:rsid w:val="007F4A3F"/>
    <w:rsid w:val="007F4A61"/>
    <w:rsid w:val="007F54DE"/>
    <w:rsid w:val="007F5CC0"/>
    <w:rsid w:val="007F61C2"/>
    <w:rsid w:val="007F661D"/>
    <w:rsid w:val="007F6C3D"/>
    <w:rsid w:val="007F79D2"/>
    <w:rsid w:val="008010CF"/>
    <w:rsid w:val="0080138E"/>
    <w:rsid w:val="00801523"/>
    <w:rsid w:val="00802396"/>
    <w:rsid w:val="00803A56"/>
    <w:rsid w:val="00804A84"/>
    <w:rsid w:val="00805142"/>
    <w:rsid w:val="008053C5"/>
    <w:rsid w:val="008056ED"/>
    <w:rsid w:val="0080748D"/>
    <w:rsid w:val="00807A8B"/>
    <w:rsid w:val="00811016"/>
    <w:rsid w:val="00811383"/>
    <w:rsid w:val="00812149"/>
    <w:rsid w:val="0081247F"/>
    <w:rsid w:val="00812CAC"/>
    <w:rsid w:val="00813094"/>
    <w:rsid w:val="008164CF"/>
    <w:rsid w:val="008166EF"/>
    <w:rsid w:val="008168CF"/>
    <w:rsid w:val="00816981"/>
    <w:rsid w:val="00816BD6"/>
    <w:rsid w:val="0081740E"/>
    <w:rsid w:val="00817B96"/>
    <w:rsid w:val="00822F8A"/>
    <w:rsid w:val="008237AE"/>
    <w:rsid w:val="00823FA6"/>
    <w:rsid w:val="00824993"/>
    <w:rsid w:val="00825751"/>
    <w:rsid w:val="00825E07"/>
    <w:rsid w:val="00825F66"/>
    <w:rsid w:val="00826180"/>
    <w:rsid w:val="008264EB"/>
    <w:rsid w:val="008274FB"/>
    <w:rsid w:val="0083041A"/>
    <w:rsid w:val="00831E3E"/>
    <w:rsid w:val="00833B05"/>
    <w:rsid w:val="008362B4"/>
    <w:rsid w:val="00840764"/>
    <w:rsid w:val="00840859"/>
    <w:rsid w:val="00840B6B"/>
    <w:rsid w:val="00840CA2"/>
    <w:rsid w:val="008423A9"/>
    <w:rsid w:val="0084305B"/>
    <w:rsid w:val="0084374F"/>
    <w:rsid w:val="00843A04"/>
    <w:rsid w:val="00843A80"/>
    <w:rsid w:val="008449E1"/>
    <w:rsid w:val="00844FEB"/>
    <w:rsid w:val="00846EE1"/>
    <w:rsid w:val="008478BF"/>
    <w:rsid w:val="00847DF5"/>
    <w:rsid w:val="008511AB"/>
    <w:rsid w:val="00852A4C"/>
    <w:rsid w:val="0085309D"/>
    <w:rsid w:val="008543D4"/>
    <w:rsid w:val="00854BBC"/>
    <w:rsid w:val="00855A30"/>
    <w:rsid w:val="00856817"/>
    <w:rsid w:val="00856897"/>
    <w:rsid w:val="00856E9A"/>
    <w:rsid w:val="008606AD"/>
    <w:rsid w:val="0086075D"/>
    <w:rsid w:val="00860798"/>
    <w:rsid w:val="00860FF9"/>
    <w:rsid w:val="00862502"/>
    <w:rsid w:val="00863461"/>
    <w:rsid w:val="008635BD"/>
    <w:rsid w:val="008660D4"/>
    <w:rsid w:val="00866927"/>
    <w:rsid w:val="0087074C"/>
    <w:rsid w:val="00871FA9"/>
    <w:rsid w:val="00871FF9"/>
    <w:rsid w:val="008728E9"/>
    <w:rsid w:val="008737F5"/>
    <w:rsid w:val="00874BEC"/>
    <w:rsid w:val="00875E7D"/>
    <w:rsid w:val="008767B0"/>
    <w:rsid w:val="0087755B"/>
    <w:rsid w:val="008775FA"/>
    <w:rsid w:val="00877AE5"/>
    <w:rsid w:val="00881A95"/>
    <w:rsid w:val="008822BE"/>
    <w:rsid w:val="00882874"/>
    <w:rsid w:val="00883787"/>
    <w:rsid w:val="00883BAC"/>
    <w:rsid w:val="00884822"/>
    <w:rsid w:val="0088634D"/>
    <w:rsid w:val="00886CD2"/>
    <w:rsid w:val="00891818"/>
    <w:rsid w:val="00891B40"/>
    <w:rsid w:val="00892A36"/>
    <w:rsid w:val="00893239"/>
    <w:rsid w:val="00893868"/>
    <w:rsid w:val="00893987"/>
    <w:rsid w:val="00894489"/>
    <w:rsid w:val="00894CEA"/>
    <w:rsid w:val="0089585C"/>
    <w:rsid w:val="00895869"/>
    <w:rsid w:val="008963A5"/>
    <w:rsid w:val="008A0212"/>
    <w:rsid w:val="008A027A"/>
    <w:rsid w:val="008A3363"/>
    <w:rsid w:val="008A3371"/>
    <w:rsid w:val="008A3C3E"/>
    <w:rsid w:val="008A47D8"/>
    <w:rsid w:val="008A4C71"/>
    <w:rsid w:val="008A5A02"/>
    <w:rsid w:val="008A5E44"/>
    <w:rsid w:val="008A68AC"/>
    <w:rsid w:val="008A79DE"/>
    <w:rsid w:val="008B0102"/>
    <w:rsid w:val="008B0946"/>
    <w:rsid w:val="008B130A"/>
    <w:rsid w:val="008B1757"/>
    <w:rsid w:val="008B1AAA"/>
    <w:rsid w:val="008B2EEF"/>
    <w:rsid w:val="008B545E"/>
    <w:rsid w:val="008B7802"/>
    <w:rsid w:val="008B7D7E"/>
    <w:rsid w:val="008C015B"/>
    <w:rsid w:val="008C1923"/>
    <w:rsid w:val="008C3BF0"/>
    <w:rsid w:val="008C54C7"/>
    <w:rsid w:val="008C785F"/>
    <w:rsid w:val="008C7ECB"/>
    <w:rsid w:val="008D0FDA"/>
    <w:rsid w:val="008D1005"/>
    <w:rsid w:val="008D2247"/>
    <w:rsid w:val="008D2335"/>
    <w:rsid w:val="008D4755"/>
    <w:rsid w:val="008D4C3D"/>
    <w:rsid w:val="008D70E6"/>
    <w:rsid w:val="008D74FD"/>
    <w:rsid w:val="008E06D9"/>
    <w:rsid w:val="008E0D3C"/>
    <w:rsid w:val="008E1B9E"/>
    <w:rsid w:val="008E4C08"/>
    <w:rsid w:val="008E55AB"/>
    <w:rsid w:val="008E5EDD"/>
    <w:rsid w:val="008E6A5A"/>
    <w:rsid w:val="008E7A06"/>
    <w:rsid w:val="008E7D96"/>
    <w:rsid w:val="008F0252"/>
    <w:rsid w:val="008F046E"/>
    <w:rsid w:val="008F120A"/>
    <w:rsid w:val="008F135D"/>
    <w:rsid w:val="008F27E0"/>
    <w:rsid w:val="008F2807"/>
    <w:rsid w:val="008F2C11"/>
    <w:rsid w:val="008F2E13"/>
    <w:rsid w:val="008F2EE9"/>
    <w:rsid w:val="008F36E2"/>
    <w:rsid w:val="008F3B3C"/>
    <w:rsid w:val="008F48EB"/>
    <w:rsid w:val="008F4F0B"/>
    <w:rsid w:val="008F562A"/>
    <w:rsid w:val="008F5EFE"/>
    <w:rsid w:val="008F6086"/>
    <w:rsid w:val="009006BD"/>
    <w:rsid w:val="00900BFB"/>
    <w:rsid w:val="00901DDB"/>
    <w:rsid w:val="009046C4"/>
    <w:rsid w:val="00904CA9"/>
    <w:rsid w:val="00904D30"/>
    <w:rsid w:val="00905912"/>
    <w:rsid w:val="009062A5"/>
    <w:rsid w:val="00911272"/>
    <w:rsid w:val="00912051"/>
    <w:rsid w:val="009135D6"/>
    <w:rsid w:val="00913B81"/>
    <w:rsid w:val="00914C77"/>
    <w:rsid w:val="009154D0"/>
    <w:rsid w:val="0091742E"/>
    <w:rsid w:val="009175EE"/>
    <w:rsid w:val="00922688"/>
    <w:rsid w:val="00922E30"/>
    <w:rsid w:val="0092369B"/>
    <w:rsid w:val="0092394E"/>
    <w:rsid w:val="00923D85"/>
    <w:rsid w:val="0092611D"/>
    <w:rsid w:val="0092688C"/>
    <w:rsid w:val="00927E61"/>
    <w:rsid w:val="00932E4D"/>
    <w:rsid w:val="00934552"/>
    <w:rsid w:val="00935035"/>
    <w:rsid w:val="009359AA"/>
    <w:rsid w:val="00937342"/>
    <w:rsid w:val="009379ED"/>
    <w:rsid w:val="0094061C"/>
    <w:rsid w:val="00940CE2"/>
    <w:rsid w:val="0094135E"/>
    <w:rsid w:val="0094257D"/>
    <w:rsid w:val="00944DFA"/>
    <w:rsid w:val="00946DB8"/>
    <w:rsid w:val="009507A1"/>
    <w:rsid w:val="009510A2"/>
    <w:rsid w:val="00953257"/>
    <w:rsid w:val="009535CA"/>
    <w:rsid w:val="00956A17"/>
    <w:rsid w:val="00957E64"/>
    <w:rsid w:val="009604BF"/>
    <w:rsid w:val="0096160B"/>
    <w:rsid w:val="00962CB9"/>
    <w:rsid w:val="009634E2"/>
    <w:rsid w:val="00964312"/>
    <w:rsid w:val="00965B1E"/>
    <w:rsid w:val="00965B8A"/>
    <w:rsid w:val="00965C23"/>
    <w:rsid w:val="00965E15"/>
    <w:rsid w:val="009668C5"/>
    <w:rsid w:val="00970B5D"/>
    <w:rsid w:val="009717AC"/>
    <w:rsid w:val="009731F8"/>
    <w:rsid w:val="00974940"/>
    <w:rsid w:val="0097625B"/>
    <w:rsid w:val="0097717A"/>
    <w:rsid w:val="009802F4"/>
    <w:rsid w:val="00981C3C"/>
    <w:rsid w:val="00983E57"/>
    <w:rsid w:val="00985180"/>
    <w:rsid w:val="0098675D"/>
    <w:rsid w:val="00987D72"/>
    <w:rsid w:val="00991852"/>
    <w:rsid w:val="00993428"/>
    <w:rsid w:val="009942D3"/>
    <w:rsid w:val="00994330"/>
    <w:rsid w:val="0099491D"/>
    <w:rsid w:val="009953EA"/>
    <w:rsid w:val="00995918"/>
    <w:rsid w:val="00995F5E"/>
    <w:rsid w:val="0099605D"/>
    <w:rsid w:val="00996B1A"/>
    <w:rsid w:val="009A05A1"/>
    <w:rsid w:val="009A12A9"/>
    <w:rsid w:val="009A2ADF"/>
    <w:rsid w:val="009A2ECF"/>
    <w:rsid w:val="009A5DD9"/>
    <w:rsid w:val="009A69B4"/>
    <w:rsid w:val="009A6CC3"/>
    <w:rsid w:val="009A769D"/>
    <w:rsid w:val="009A7F10"/>
    <w:rsid w:val="009B1C49"/>
    <w:rsid w:val="009B2FF5"/>
    <w:rsid w:val="009B349A"/>
    <w:rsid w:val="009B3784"/>
    <w:rsid w:val="009B3B0E"/>
    <w:rsid w:val="009B3E26"/>
    <w:rsid w:val="009B6282"/>
    <w:rsid w:val="009B6CAF"/>
    <w:rsid w:val="009C047C"/>
    <w:rsid w:val="009C44F1"/>
    <w:rsid w:val="009C4572"/>
    <w:rsid w:val="009C4612"/>
    <w:rsid w:val="009C6CEA"/>
    <w:rsid w:val="009C6FD8"/>
    <w:rsid w:val="009C7B85"/>
    <w:rsid w:val="009D3173"/>
    <w:rsid w:val="009D3652"/>
    <w:rsid w:val="009D47A3"/>
    <w:rsid w:val="009D4E44"/>
    <w:rsid w:val="009D5B91"/>
    <w:rsid w:val="009D792E"/>
    <w:rsid w:val="009E0DFE"/>
    <w:rsid w:val="009E225F"/>
    <w:rsid w:val="009E25E4"/>
    <w:rsid w:val="009E299B"/>
    <w:rsid w:val="009E2AB9"/>
    <w:rsid w:val="009E4C07"/>
    <w:rsid w:val="009E6496"/>
    <w:rsid w:val="009E6813"/>
    <w:rsid w:val="009F0BEB"/>
    <w:rsid w:val="009F3AF4"/>
    <w:rsid w:val="009F455F"/>
    <w:rsid w:val="009F5260"/>
    <w:rsid w:val="009F577A"/>
    <w:rsid w:val="009F6284"/>
    <w:rsid w:val="00A00D37"/>
    <w:rsid w:val="00A01184"/>
    <w:rsid w:val="00A02739"/>
    <w:rsid w:val="00A02798"/>
    <w:rsid w:val="00A03D43"/>
    <w:rsid w:val="00A04380"/>
    <w:rsid w:val="00A05146"/>
    <w:rsid w:val="00A05E92"/>
    <w:rsid w:val="00A07194"/>
    <w:rsid w:val="00A078C1"/>
    <w:rsid w:val="00A0799F"/>
    <w:rsid w:val="00A11CD0"/>
    <w:rsid w:val="00A1267F"/>
    <w:rsid w:val="00A13772"/>
    <w:rsid w:val="00A13948"/>
    <w:rsid w:val="00A13B85"/>
    <w:rsid w:val="00A14A76"/>
    <w:rsid w:val="00A1555B"/>
    <w:rsid w:val="00A155C5"/>
    <w:rsid w:val="00A1623D"/>
    <w:rsid w:val="00A16AD8"/>
    <w:rsid w:val="00A17D01"/>
    <w:rsid w:val="00A21444"/>
    <w:rsid w:val="00A21CF3"/>
    <w:rsid w:val="00A24753"/>
    <w:rsid w:val="00A24A91"/>
    <w:rsid w:val="00A254B0"/>
    <w:rsid w:val="00A27118"/>
    <w:rsid w:val="00A27AEC"/>
    <w:rsid w:val="00A27E3D"/>
    <w:rsid w:val="00A31738"/>
    <w:rsid w:val="00A320DB"/>
    <w:rsid w:val="00A34A85"/>
    <w:rsid w:val="00A35432"/>
    <w:rsid w:val="00A35D16"/>
    <w:rsid w:val="00A372F4"/>
    <w:rsid w:val="00A3770F"/>
    <w:rsid w:val="00A37BCD"/>
    <w:rsid w:val="00A37F9A"/>
    <w:rsid w:val="00A43C59"/>
    <w:rsid w:val="00A456FF"/>
    <w:rsid w:val="00A47ECB"/>
    <w:rsid w:val="00A505E4"/>
    <w:rsid w:val="00A50ECD"/>
    <w:rsid w:val="00A518F3"/>
    <w:rsid w:val="00A52729"/>
    <w:rsid w:val="00A53675"/>
    <w:rsid w:val="00A548AE"/>
    <w:rsid w:val="00A54900"/>
    <w:rsid w:val="00A564D7"/>
    <w:rsid w:val="00A566C9"/>
    <w:rsid w:val="00A56B6A"/>
    <w:rsid w:val="00A578DC"/>
    <w:rsid w:val="00A57B72"/>
    <w:rsid w:val="00A6001A"/>
    <w:rsid w:val="00A60529"/>
    <w:rsid w:val="00A60FE0"/>
    <w:rsid w:val="00A61E4B"/>
    <w:rsid w:val="00A64118"/>
    <w:rsid w:val="00A646F4"/>
    <w:rsid w:val="00A651AB"/>
    <w:rsid w:val="00A65DC6"/>
    <w:rsid w:val="00A66BDB"/>
    <w:rsid w:val="00A6725B"/>
    <w:rsid w:val="00A7045B"/>
    <w:rsid w:val="00A70605"/>
    <w:rsid w:val="00A70A01"/>
    <w:rsid w:val="00A71234"/>
    <w:rsid w:val="00A7224F"/>
    <w:rsid w:val="00A73134"/>
    <w:rsid w:val="00A73C1D"/>
    <w:rsid w:val="00A76F86"/>
    <w:rsid w:val="00A777B2"/>
    <w:rsid w:val="00A81687"/>
    <w:rsid w:val="00A81986"/>
    <w:rsid w:val="00A826B0"/>
    <w:rsid w:val="00A826DF"/>
    <w:rsid w:val="00A83BDB"/>
    <w:rsid w:val="00A85769"/>
    <w:rsid w:val="00A867C7"/>
    <w:rsid w:val="00A86B0F"/>
    <w:rsid w:val="00A86E8B"/>
    <w:rsid w:val="00A87164"/>
    <w:rsid w:val="00A87CDC"/>
    <w:rsid w:val="00A911D0"/>
    <w:rsid w:val="00A91695"/>
    <w:rsid w:val="00A926A1"/>
    <w:rsid w:val="00A93072"/>
    <w:rsid w:val="00A93655"/>
    <w:rsid w:val="00A937F8"/>
    <w:rsid w:val="00A93953"/>
    <w:rsid w:val="00A93B58"/>
    <w:rsid w:val="00A958AC"/>
    <w:rsid w:val="00A959D8"/>
    <w:rsid w:val="00A966D5"/>
    <w:rsid w:val="00AA09C2"/>
    <w:rsid w:val="00AA0AB4"/>
    <w:rsid w:val="00AA113D"/>
    <w:rsid w:val="00AA14B6"/>
    <w:rsid w:val="00AA6C7D"/>
    <w:rsid w:val="00AA7FD6"/>
    <w:rsid w:val="00AB042A"/>
    <w:rsid w:val="00AB0468"/>
    <w:rsid w:val="00AB062B"/>
    <w:rsid w:val="00AB07EB"/>
    <w:rsid w:val="00AB0888"/>
    <w:rsid w:val="00AB0AC7"/>
    <w:rsid w:val="00AB0D7E"/>
    <w:rsid w:val="00AB2D34"/>
    <w:rsid w:val="00AB3430"/>
    <w:rsid w:val="00AB4AD1"/>
    <w:rsid w:val="00AB5D4E"/>
    <w:rsid w:val="00AB625C"/>
    <w:rsid w:val="00AB7B08"/>
    <w:rsid w:val="00AB7CFA"/>
    <w:rsid w:val="00AC0CDB"/>
    <w:rsid w:val="00AC14C1"/>
    <w:rsid w:val="00AC34A3"/>
    <w:rsid w:val="00AC4762"/>
    <w:rsid w:val="00AC5B48"/>
    <w:rsid w:val="00AC61C5"/>
    <w:rsid w:val="00AC64B0"/>
    <w:rsid w:val="00AC6CCA"/>
    <w:rsid w:val="00AD0044"/>
    <w:rsid w:val="00AD13FC"/>
    <w:rsid w:val="00AD2D30"/>
    <w:rsid w:val="00AD2FC1"/>
    <w:rsid w:val="00AD422F"/>
    <w:rsid w:val="00AD4655"/>
    <w:rsid w:val="00AD47CA"/>
    <w:rsid w:val="00AD5131"/>
    <w:rsid w:val="00AD5DCB"/>
    <w:rsid w:val="00AD6502"/>
    <w:rsid w:val="00AD69B7"/>
    <w:rsid w:val="00AD6F86"/>
    <w:rsid w:val="00AD7C65"/>
    <w:rsid w:val="00AE0551"/>
    <w:rsid w:val="00AE3597"/>
    <w:rsid w:val="00AE3EB1"/>
    <w:rsid w:val="00AE41D6"/>
    <w:rsid w:val="00AE42C1"/>
    <w:rsid w:val="00AE514F"/>
    <w:rsid w:val="00AE5AD1"/>
    <w:rsid w:val="00AF009C"/>
    <w:rsid w:val="00AF1315"/>
    <w:rsid w:val="00AF19BF"/>
    <w:rsid w:val="00AF227F"/>
    <w:rsid w:val="00AF2616"/>
    <w:rsid w:val="00AF2DC3"/>
    <w:rsid w:val="00AF5C2E"/>
    <w:rsid w:val="00AF6E10"/>
    <w:rsid w:val="00AF7764"/>
    <w:rsid w:val="00B00AC8"/>
    <w:rsid w:val="00B028F7"/>
    <w:rsid w:val="00B033E5"/>
    <w:rsid w:val="00B03A63"/>
    <w:rsid w:val="00B05EE4"/>
    <w:rsid w:val="00B060ED"/>
    <w:rsid w:val="00B07039"/>
    <w:rsid w:val="00B12B87"/>
    <w:rsid w:val="00B12EB9"/>
    <w:rsid w:val="00B15C4E"/>
    <w:rsid w:val="00B16491"/>
    <w:rsid w:val="00B176AA"/>
    <w:rsid w:val="00B201A4"/>
    <w:rsid w:val="00B206A1"/>
    <w:rsid w:val="00B20E68"/>
    <w:rsid w:val="00B2134D"/>
    <w:rsid w:val="00B213A6"/>
    <w:rsid w:val="00B23837"/>
    <w:rsid w:val="00B243F4"/>
    <w:rsid w:val="00B24DF6"/>
    <w:rsid w:val="00B25117"/>
    <w:rsid w:val="00B314EC"/>
    <w:rsid w:val="00B3282F"/>
    <w:rsid w:val="00B32F13"/>
    <w:rsid w:val="00B33A9A"/>
    <w:rsid w:val="00B344B4"/>
    <w:rsid w:val="00B348C4"/>
    <w:rsid w:val="00B34FE2"/>
    <w:rsid w:val="00B357D8"/>
    <w:rsid w:val="00B36643"/>
    <w:rsid w:val="00B36DA3"/>
    <w:rsid w:val="00B374D9"/>
    <w:rsid w:val="00B37BFC"/>
    <w:rsid w:val="00B37D6C"/>
    <w:rsid w:val="00B40358"/>
    <w:rsid w:val="00B41004"/>
    <w:rsid w:val="00B41614"/>
    <w:rsid w:val="00B41CE6"/>
    <w:rsid w:val="00B42851"/>
    <w:rsid w:val="00B42F80"/>
    <w:rsid w:val="00B435CB"/>
    <w:rsid w:val="00B435EC"/>
    <w:rsid w:val="00B45445"/>
    <w:rsid w:val="00B474BE"/>
    <w:rsid w:val="00B508F1"/>
    <w:rsid w:val="00B50DB8"/>
    <w:rsid w:val="00B511DB"/>
    <w:rsid w:val="00B520F0"/>
    <w:rsid w:val="00B5256A"/>
    <w:rsid w:val="00B529C7"/>
    <w:rsid w:val="00B53402"/>
    <w:rsid w:val="00B53654"/>
    <w:rsid w:val="00B53905"/>
    <w:rsid w:val="00B54B5B"/>
    <w:rsid w:val="00B5562E"/>
    <w:rsid w:val="00B57000"/>
    <w:rsid w:val="00B571EF"/>
    <w:rsid w:val="00B57778"/>
    <w:rsid w:val="00B57FD7"/>
    <w:rsid w:val="00B6003E"/>
    <w:rsid w:val="00B60939"/>
    <w:rsid w:val="00B60AFD"/>
    <w:rsid w:val="00B60EFB"/>
    <w:rsid w:val="00B62715"/>
    <w:rsid w:val="00B63088"/>
    <w:rsid w:val="00B63E55"/>
    <w:rsid w:val="00B63F95"/>
    <w:rsid w:val="00B64000"/>
    <w:rsid w:val="00B64690"/>
    <w:rsid w:val="00B67701"/>
    <w:rsid w:val="00B679BA"/>
    <w:rsid w:val="00B67C45"/>
    <w:rsid w:val="00B70D98"/>
    <w:rsid w:val="00B70DE3"/>
    <w:rsid w:val="00B71AD0"/>
    <w:rsid w:val="00B71E8F"/>
    <w:rsid w:val="00B73FE6"/>
    <w:rsid w:val="00B74206"/>
    <w:rsid w:val="00B74CA3"/>
    <w:rsid w:val="00B76E8F"/>
    <w:rsid w:val="00B76FD2"/>
    <w:rsid w:val="00B80249"/>
    <w:rsid w:val="00B80B0C"/>
    <w:rsid w:val="00B818A4"/>
    <w:rsid w:val="00B823F7"/>
    <w:rsid w:val="00B84117"/>
    <w:rsid w:val="00B84BFE"/>
    <w:rsid w:val="00B85620"/>
    <w:rsid w:val="00B85978"/>
    <w:rsid w:val="00B85AA2"/>
    <w:rsid w:val="00B8649C"/>
    <w:rsid w:val="00B877B6"/>
    <w:rsid w:val="00B87F0A"/>
    <w:rsid w:val="00B92BD3"/>
    <w:rsid w:val="00B92D0B"/>
    <w:rsid w:val="00B9400A"/>
    <w:rsid w:val="00B94945"/>
    <w:rsid w:val="00B967CE"/>
    <w:rsid w:val="00BA0CAE"/>
    <w:rsid w:val="00BA2FF7"/>
    <w:rsid w:val="00BA322D"/>
    <w:rsid w:val="00BA3A89"/>
    <w:rsid w:val="00BA3FB4"/>
    <w:rsid w:val="00BA4A38"/>
    <w:rsid w:val="00BA5E3F"/>
    <w:rsid w:val="00BA78D2"/>
    <w:rsid w:val="00BB0BDD"/>
    <w:rsid w:val="00BB0C9B"/>
    <w:rsid w:val="00BB10B0"/>
    <w:rsid w:val="00BB1E04"/>
    <w:rsid w:val="00BB1EB4"/>
    <w:rsid w:val="00BB2295"/>
    <w:rsid w:val="00BB29E9"/>
    <w:rsid w:val="00BB2A73"/>
    <w:rsid w:val="00BB4ACC"/>
    <w:rsid w:val="00BB703E"/>
    <w:rsid w:val="00BB7405"/>
    <w:rsid w:val="00BC147E"/>
    <w:rsid w:val="00BC1FB0"/>
    <w:rsid w:val="00BC2C47"/>
    <w:rsid w:val="00BC3631"/>
    <w:rsid w:val="00BC5461"/>
    <w:rsid w:val="00BC7E3A"/>
    <w:rsid w:val="00BD052C"/>
    <w:rsid w:val="00BD169E"/>
    <w:rsid w:val="00BD1F45"/>
    <w:rsid w:val="00BD5270"/>
    <w:rsid w:val="00BD5A59"/>
    <w:rsid w:val="00BD61AB"/>
    <w:rsid w:val="00BD68A3"/>
    <w:rsid w:val="00BD68E1"/>
    <w:rsid w:val="00BD6938"/>
    <w:rsid w:val="00BD6B9D"/>
    <w:rsid w:val="00BD6CF3"/>
    <w:rsid w:val="00BD6FFE"/>
    <w:rsid w:val="00BE0E87"/>
    <w:rsid w:val="00BE2180"/>
    <w:rsid w:val="00BE21F2"/>
    <w:rsid w:val="00BE3A8B"/>
    <w:rsid w:val="00BE4275"/>
    <w:rsid w:val="00BE51C1"/>
    <w:rsid w:val="00BE5C17"/>
    <w:rsid w:val="00BE6BCA"/>
    <w:rsid w:val="00BE7027"/>
    <w:rsid w:val="00BF014B"/>
    <w:rsid w:val="00BF0F95"/>
    <w:rsid w:val="00BF1130"/>
    <w:rsid w:val="00BF1201"/>
    <w:rsid w:val="00BF1DD9"/>
    <w:rsid w:val="00BF2433"/>
    <w:rsid w:val="00BF2B01"/>
    <w:rsid w:val="00BF3C2F"/>
    <w:rsid w:val="00BF4C25"/>
    <w:rsid w:val="00BF58A4"/>
    <w:rsid w:val="00BF5C40"/>
    <w:rsid w:val="00BF61C9"/>
    <w:rsid w:val="00BF6C94"/>
    <w:rsid w:val="00BF7244"/>
    <w:rsid w:val="00BF7284"/>
    <w:rsid w:val="00BF72E3"/>
    <w:rsid w:val="00BF7A6E"/>
    <w:rsid w:val="00C001AC"/>
    <w:rsid w:val="00C00424"/>
    <w:rsid w:val="00C00441"/>
    <w:rsid w:val="00C00699"/>
    <w:rsid w:val="00C00877"/>
    <w:rsid w:val="00C021EC"/>
    <w:rsid w:val="00C03A1C"/>
    <w:rsid w:val="00C03E02"/>
    <w:rsid w:val="00C03FFD"/>
    <w:rsid w:val="00C05302"/>
    <w:rsid w:val="00C06C4C"/>
    <w:rsid w:val="00C07AEA"/>
    <w:rsid w:val="00C11326"/>
    <w:rsid w:val="00C1139F"/>
    <w:rsid w:val="00C11D3E"/>
    <w:rsid w:val="00C12C14"/>
    <w:rsid w:val="00C13F70"/>
    <w:rsid w:val="00C142B4"/>
    <w:rsid w:val="00C171E2"/>
    <w:rsid w:val="00C200AA"/>
    <w:rsid w:val="00C217A4"/>
    <w:rsid w:val="00C22DEA"/>
    <w:rsid w:val="00C236D6"/>
    <w:rsid w:val="00C237ED"/>
    <w:rsid w:val="00C24632"/>
    <w:rsid w:val="00C25418"/>
    <w:rsid w:val="00C25D9C"/>
    <w:rsid w:val="00C2778B"/>
    <w:rsid w:val="00C27A3F"/>
    <w:rsid w:val="00C3123C"/>
    <w:rsid w:val="00C31584"/>
    <w:rsid w:val="00C31649"/>
    <w:rsid w:val="00C316B9"/>
    <w:rsid w:val="00C345A3"/>
    <w:rsid w:val="00C37B08"/>
    <w:rsid w:val="00C40385"/>
    <w:rsid w:val="00C42BBB"/>
    <w:rsid w:val="00C444CC"/>
    <w:rsid w:val="00C45E65"/>
    <w:rsid w:val="00C475AA"/>
    <w:rsid w:val="00C52D92"/>
    <w:rsid w:val="00C55CE7"/>
    <w:rsid w:val="00C56BC4"/>
    <w:rsid w:val="00C57471"/>
    <w:rsid w:val="00C602A5"/>
    <w:rsid w:val="00C60770"/>
    <w:rsid w:val="00C65576"/>
    <w:rsid w:val="00C65909"/>
    <w:rsid w:val="00C65BB2"/>
    <w:rsid w:val="00C66165"/>
    <w:rsid w:val="00C67C1C"/>
    <w:rsid w:val="00C67CE6"/>
    <w:rsid w:val="00C708F5"/>
    <w:rsid w:val="00C7151A"/>
    <w:rsid w:val="00C71F60"/>
    <w:rsid w:val="00C72241"/>
    <w:rsid w:val="00C72E83"/>
    <w:rsid w:val="00C74318"/>
    <w:rsid w:val="00C750C8"/>
    <w:rsid w:val="00C7560F"/>
    <w:rsid w:val="00C759B6"/>
    <w:rsid w:val="00C75A08"/>
    <w:rsid w:val="00C76BD6"/>
    <w:rsid w:val="00C7718A"/>
    <w:rsid w:val="00C80A0E"/>
    <w:rsid w:val="00C8213F"/>
    <w:rsid w:val="00C8460D"/>
    <w:rsid w:val="00C85EC4"/>
    <w:rsid w:val="00C8797A"/>
    <w:rsid w:val="00C87BED"/>
    <w:rsid w:val="00C900B8"/>
    <w:rsid w:val="00C90C71"/>
    <w:rsid w:val="00C9147E"/>
    <w:rsid w:val="00C919FE"/>
    <w:rsid w:val="00C91B8F"/>
    <w:rsid w:val="00C925C7"/>
    <w:rsid w:val="00C931CF"/>
    <w:rsid w:val="00C938CF"/>
    <w:rsid w:val="00C93D11"/>
    <w:rsid w:val="00C94BBC"/>
    <w:rsid w:val="00C9624D"/>
    <w:rsid w:val="00C969DA"/>
    <w:rsid w:val="00C97133"/>
    <w:rsid w:val="00C97845"/>
    <w:rsid w:val="00C978B6"/>
    <w:rsid w:val="00CA095F"/>
    <w:rsid w:val="00CA0A7F"/>
    <w:rsid w:val="00CA0C63"/>
    <w:rsid w:val="00CA2C77"/>
    <w:rsid w:val="00CA3DE6"/>
    <w:rsid w:val="00CA444F"/>
    <w:rsid w:val="00CA4C97"/>
    <w:rsid w:val="00CA4DC2"/>
    <w:rsid w:val="00CA5245"/>
    <w:rsid w:val="00CA71F4"/>
    <w:rsid w:val="00CA7B09"/>
    <w:rsid w:val="00CA7B53"/>
    <w:rsid w:val="00CB1AA0"/>
    <w:rsid w:val="00CB1B87"/>
    <w:rsid w:val="00CB223E"/>
    <w:rsid w:val="00CB2F2A"/>
    <w:rsid w:val="00CB4815"/>
    <w:rsid w:val="00CB5828"/>
    <w:rsid w:val="00CB5864"/>
    <w:rsid w:val="00CB5B1A"/>
    <w:rsid w:val="00CB5EF9"/>
    <w:rsid w:val="00CB6B22"/>
    <w:rsid w:val="00CB71E2"/>
    <w:rsid w:val="00CB73FC"/>
    <w:rsid w:val="00CB7680"/>
    <w:rsid w:val="00CB7F5F"/>
    <w:rsid w:val="00CC12CF"/>
    <w:rsid w:val="00CC1B39"/>
    <w:rsid w:val="00CC25D2"/>
    <w:rsid w:val="00CC30EB"/>
    <w:rsid w:val="00CC3B19"/>
    <w:rsid w:val="00CC5DC3"/>
    <w:rsid w:val="00CC5FB5"/>
    <w:rsid w:val="00CC620A"/>
    <w:rsid w:val="00CC6574"/>
    <w:rsid w:val="00CD15D8"/>
    <w:rsid w:val="00CD2767"/>
    <w:rsid w:val="00CD59E0"/>
    <w:rsid w:val="00CD6127"/>
    <w:rsid w:val="00CD6ADC"/>
    <w:rsid w:val="00CD6F2E"/>
    <w:rsid w:val="00CD73EB"/>
    <w:rsid w:val="00CE1289"/>
    <w:rsid w:val="00CE1BBD"/>
    <w:rsid w:val="00CE3045"/>
    <w:rsid w:val="00CE3BB7"/>
    <w:rsid w:val="00CE4243"/>
    <w:rsid w:val="00CE4682"/>
    <w:rsid w:val="00CE469F"/>
    <w:rsid w:val="00CE6034"/>
    <w:rsid w:val="00CE60C6"/>
    <w:rsid w:val="00CE6274"/>
    <w:rsid w:val="00CE66A0"/>
    <w:rsid w:val="00CE7731"/>
    <w:rsid w:val="00CF2B8D"/>
    <w:rsid w:val="00CF373F"/>
    <w:rsid w:val="00CF456B"/>
    <w:rsid w:val="00CF4A83"/>
    <w:rsid w:val="00CF5A22"/>
    <w:rsid w:val="00CF646E"/>
    <w:rsid w:val="00CF65ED"/>
    <w:rsid w:val="00D01A90"/>
    <w:rsid w:val="00D021EA"/>
    <w:rsid w:val="00D0262E"/>
    <w:rsid w:val="00D02726"/>
    <w:rsid w:val="00D02A80"/>
    <w:rsid w:val="00D03181"/>
    <w:rsid w:val="00D033A9"/>
    <w:rsid w:val="00D06793"/>
    <w:rsid w:val="00D100D1"/>
    <w:rsid w:val="00D110BD"/>
    <w:rsid w:val="00D11CFC"/>
    <w:rsid w:val="00D1207D"/>
    <w:rsid w:val="00D13044"/>
    <w:rsid w:val="00D130EB"/>
    <w:rsid w:val="00D13675"/>
    <w:rsid w:val="00D141E1"/>
    <w:rsid w:val="00D15F09"/>
    <w:rsid w:val="00D169B7"/>
    <w:rsid w:val="00D16B22"/>
    <w:rsid w:val="00D16D2A"/>
    <w:rsid w:val="00D16E9F"/>
    <w:rsid w:val="00D172E1"/>
    <w:rsid w:val="00D17D6C"/>
    <w:rsid w:val="00D2200D"/>
    <w:rsid w:val="00D2729A"/>
    <w:rsid w:val="00D2754D"/>
    <w:rsid w:val="00D27B27"/>
    <w:rsid w:val="00D307D4"/>
    <w:rsid w:val="00D30D65"/>
    <w:rsid w:val="00D33BE9"/>
    <w:rsid w:val="00D33FCD"/>
    <w:rsid w:val="00D357FF"/>
    <w:rsid w:val="00D3649F"/>
    <w:rsid w:val="00D37B0F"/>
    <w:rsid w:val="00D40B9C"/>
    <w:rsid w:val="00D40C9E"/>
    <w:rsid w:val="00D41C84"/>
    <w:rsid w:val="00D424C7"/>
    <w:rsid w:val="00D42EA4"/>
    <w:rsid w:val="00D43B2A"/>
    <w:rsid w:val="00D45778"/>
    <w:rsid w:val="00D463B6"/>
    <w:rsid w:val="00D47393"/>
    <w:rsid w:val="00D47575"/>
    <w:rsid w:val="00D47D23"/>
    <w:rsid w:val="00D5014D"/>
    <w:rsid w:val="00D5067E"/>
    <w:rsid w:val="00D52918"/>
    <w:rsid w:val="00D53F95"/>
    <w:rsid w:val="00D54F69"/>
    <w:rsid w:val="00D55896"/>
    <w:rsid w:val="00D56BA2"/>
    <w:rsid w:val="00D578C4"/>
    <w:rsid w:val="00D602CA"/>
    <w:rsid w:val="00D60838"/>
    <w:rsid w:val="00D6219F"/>
    <w:rsid w:val="00D6254E"/>
    <w:rsid w:val="00D625F5"/>
    <w:rsid w:val="00D6270F"/>
    <w:rsid w:val="00D62F0E"/>
    <w:rsid w:val="00D63B44"/>
    <w:rsid w:val="00D63E24"/>
    <w:rsid w:val="00D65619"/>
    <w:rsid w:val="00D66FEB"/>
    <w:rsid w:val="00D70F16"/>
    <w:rsid w:val="00D7104F"/>
    <w:rsid w:val="00D71E1F"/>
    <w:rsid w:val="00D72FF8"/>
    <w:rsid w:val="00D7325F"/>
    <w:rsid w:val="00D74DCF"/>
    <w:rsid w:val="00D76A44"/>
    <w:rsid w:val="00D77306"/>
    <w:rsid w:val="00D8097F"/>
    <w:rsid w:val="00D815EF"/>
    <w:rsid w:val="00D827AD"/>
    <w:rsid w:val="00D83491"/>
    <w:rsid w:val="00D8493E"/>
    <w:rsid w:val="00D909AC"/>
    <w:rsid w:val="00D91113"/>
    <w:rsid w:val="00D915DD"/>
    <w:rsid w:val="00D91923"/>
    <w:rsid w:val="00D9325E"/>
    <w:rsid w:val="00D93551"/>
    <w:rsid w:val="00D93753"/>
    <w:rsid w:val="00D95A47"/>
    <w:rsid w:val="00D972B7"/>
    <w:rsid w:val="00D976C1"/>
    <w:rsid w:val="00DA003F"/>
    <w:rsid w:val="00DA17D8"/>
    <w:rsid w:val="00DA276F"/>
    <w:rsid w:val="00DA2851"/>
    <w:rsid w:val="00DA2E51"/>
    <w:rsid w:val="00DA3167"/>
    <w:rsid w:val="00DA4907"/>
    <w:rsid w:val="00DA4DC3"/>
    <w:rsid w:val="00DA5636"/>
    <w:rsid w:val="00DA5C12"/>
    <w:rsid w:val="00DA77A5"/>
    <w:rsid w:val="00DA77EB"/>
    <w:rsid w:val="00DA7EC6"/>
    <w:rsid w:val="00DB0185"/>
    <w:rsid w:val="00DB02F4"/>
    <w:rsid w:val="00DB141B"/>
    <w:rsid w:val="00DB18C6"/>
    <w:rsid w:val="00DB437B"/>
    <w:rsid w:val="00DB4518"/>
    <w:rsid w:val="00DB471B"/>
    <w:rsid w:val="00DB484F"/>
    <w:rsid w:val="00DB5847"/>
    <w:rsid w:val="00DB6F4B"/>
    <w:rsid w:val="00DB7D2C"/>
    <w:rsid w:val="00DC04F6"/>
    <w:rsid w:val="00DC05AE"/>
    <w:rsid w:val="00DC0B12"/>
    <w:rsid w:val="00DC0FC9"/>
    <w:rsid w:val="00DC17D0"/>
    <w:rsid w:val="00DC274D"/>
    <w:rsid w:val="00DC3448"/>
    <w:rsid w:val="00DC3C57"/>
    <w:rsid w:val="00DC3F1C"/>
    <w:rsid w:val="00DC404F"/>
    <w:rsid w:val="00DC43E3"/>
    <w:rsid w:val="00DC5501"/>
    <w:rsid w:val="00DC5D39"/>
    <w:rsid w:val="00DC5DBA"/>
    <w:rsid w:val="00DC6816"/>
    <w:rsid w:val="00DC7354"/>
    <w:rsid w:val="00DC7E49"/>
    <w:rsid w:val="00DD0299"/>
    <w:rsid w:val="00DD02CB"/>
    <w:rsid w:val="00DD124E"/>
    <w:rsid w:val="00DD1BF4"/>
    <w:rsid w:val="00DD2011"/>
    <w:rsid w:val="00DD273C"/>
    <w:rsid w:val="00DD3965"/>
    <w:rsid w:val="00DD3F28"/>
    <w:rsid w:val="00DD4537"/>
    <w:rsid w:val="00DD4637"/>
    <w:rsid w:val="00DD4D84"/>
    <w:rsid w:val="00DD4E15"/>
    <w:rsid w:val="00DD59CD"/>
    <w:rsid w:val="00DD5CD7"/>
    <w:rsid w:val="00DE0C33"/>
    <w:rsid w:val="00DE2BB1"/>
    <w:rsid w:val="00DE3138"/>
    <w:rsid w:val="00DE37F8"/>
    <w:rsid w:val="00DE45FD"/>
    <w:rsid w:val="00DE4935"/>
    <w:rsid w:val="00DE4FB5"/>
    <w:rsid w:val="00DE4FCB"/>
    <w:rsid w:val="00DE53FE"/>
    <w:rsid w:val="00DE5DA4"/>
    <w:rsid w:val="00DE6B49"/>
    <w:rsid w:val="00DE7832"/>
    <w:rsid w:val="00DF18FC"/>
    <w:rsid w:val="00DF5649"/>
    <w:rsid w:val="00DF5D2B"/>
    <w:rsid w:val="00DF6723"/>
    <w:rsid w:val="00DF7BA7"/>
    <w:rsid w:val="00DF7BCF"/>
    <w:rsid w:val="00E000C6"/>
    <w:rsid w:val="00E004D6"/>
    <w:rsid w:val="00E00538"/>
    <w:rsid w:val="00E00DB9"/>
    <w:rsid w:val="00E00E8E"/>
    <w:rsid w:val="00E015C1"/>
    <w:rsid w:val="00E031DE"/>
    <w:rsid w:val="00E0336C"/>
    <w:rsid w:val="00E038DC"/>
    <w:rsid w:val="00E04FAB"/>
    <w:rsid w:val="00E0546B"/>
    <w:rsid w:val="00E05630"/>
    <w:rsid w:val="00E06680"/>
    <w:rsid w:val="00E06DBB"/>
    <w:rsid w:val="00E10149"/>
    <w:rsid w:val="00E1060E"/>
    <w:rsid w:val="00E10B97"/>
    <w:rsid w:val="00E11F79"/>
    <w:rsid w:val="00E127DE"/>
    <w:rsid w:val="00E12B67"/>
    <w:rsid w:val="00E132D3"/>
    <w:rsid w:val="00E1379A"/>
    <w:rsid w:val="00E1414D"/>
    <w:rsid w:val="00E16372"/>
    <w:rsid w:val="00E1650A"/>
    <w:rsid w:val="00E1754A"/>
    <w:rsid w:val="00E17AD1"/>
    <w:rsid w:val="00E205B1"/>
    <w:rsid w:val="00E20E4D"/>
    <w:rsid w:val="00E20ED6"/>
    <w:rsid w:val="00E21358"/>
    <w:rsid w:val="00E2249B"/>
    <w:rsid w:val="00E226D8"/>
    <w:rsid w:val="00E22A0D"/>
    <w:rsid w:val="00E25C5E"/>
    <w:rsid w:val="00E26A99"/>
    <w:rsid w:val="00E26D0B"/>
    <w:rsid w:val="00E2771E"/>
    <w:rsid w:val="00E27C05"/>
    <w:rsid w:val="00E27EE0"/>
    <w:rsid w:val="00E30188"/>
    <w:rsid w:val="00E31AE1"/>
    <w:rsid w:val="00E32A2A"/>
    <w:rsid w:val="00E32B7C"/>
    <w:rsid w:val="00E34948"/>
    <w:rsid w:val="00E34FF1"/>
    <w:rsid w:val="00E35C73"/>
    <w:rsid w:val="00E35CCE"/>
    <w:rsid w:val="00E3664C"/>
    <w:rsid w:val="00E37569"/>
    <w:rsid w:val="00E419A6"/>
    <w:rsid w:val="00E41E30"/>
    <w:rsid w:val="00E42EAE"/>
    <w:rsid w:val="00E43CEE"/>
    <w:rsid w:val="00E43D70"/>
    <w:rsid w:val="00E4423B"/>
    <w:rsid w:val="00E44DC4"/>
    <w:rsid w:val="00E45889"/>
    <w:rsid w:val="00E463D0"/>
    <w:rsid w:val="00E466F3"/>
    <w:rsid w:val="00E47A9F"/>
    <w:rsid w:val="00E47B2C"/>
    <w:rsid w:val="00E501D2"/>
    <w:rsid w:val="00E5057E"/>
    <w:rsid w:val="00E51560"/>
    <w:rsid w:val="00E51E6F"/>
    <w:rsid w:val="00E53817"/>
    <w:rsid w:val="00E538F7"/>
    <w:rsid w:val="00E53A66"/>
    <w:rsid w:val="00E54347"/>
    <w:rsid w:val="00E553DB"/>
    <w:rsid w:val="00E55424"/>
    <w:rsid w:val="00E55BB5"/>
    <w:rsid w:val="00E56DAA"/>
    <w:rsid w:val="00E57164"/>
    <w:rsid w:val="00E627D7"/>
    <w:rsid w:val="00E6292F"/>
    <w:rsid w:val="00E650F5"/>
    <w:rsid w:val="00E65306"/>
    <w:rsid w:val="00E65E79"/>
    <w:rsid w:val="00E660BC"/>
    <w:rsid w:val="00E66BA2"/>
    <w:rsid w:val="00E66C4C"/>
    <w:rsid w:val="00E67416"/>
    <w:rsid w:val="00E67493"/>
    <w:rsid w:val="00E70196"/>
    <w:rsid w:val="00E718B6"/>
    <w:rsid w:val="00E71E14"/>
    <w:rsid w:val="00E71EA9"/>
    <w:rsid w:val="00E723BA"/>
    <w:rsid w:val="00E725AA"/>
    <w:rsid w:val="00E72A52"/>
    <w:rsid w:val="00E72B6E"/>
    <w:rsid w:val="00E731D6"/>
    <w:rsid w:val="00E73458"/>
    <w:rsid w:val="00E73581"/>
    <w:rsid w:val="00E73975"/>
    <w:rsid w:val="00E75B1A"/>
    <w:rsid w:val="00E75D30"/>
    <w:rsid w:val="00E76EB5"/>
    <w:rsid w:val="00E806D7"/>
    <w:rsid w:val="00E81FFB"/>
    <w:rsid w:val="00E82660"/>
    <w:rsid w:val="00E82C69"/>
    <w:rsid w:val="00E833F7"/>
    <w:rsid w:val="00E83BDF"/>
    <w:rsid w:val="00E83CA0"/>
    <w:rsid w:val="00E83E04"/>
    <w:rsid w:val="00E83E26"/>
    <w:rsid w:val="00E8416E"/>
    <w:rsid w:val="00E85048"/>
    <w:rsid w:val="00E86465"/>
    <w:rsid w:val="00E87A1D"/>
    <w:rsid w:val="00E87F40"/>
    <w:rsid w:val="00E91B98"/>
    <w:rsid w:val="00E91C7F"/>
    <w:rsid w:val="00E926A5"/>
    <w:rsid w:val="00E9385D"/>
    <w:rsid w:val="00E94064"/>
    <w:rsid w:val="00E96542"/>
    <w:rsid w:val="00E96856"/>
    <w:rsid w:val="00E97980"/>
    <w:rsid w:val="00EA17C3"/>
    <w:rsid w:val="00EA1C46"/>
    <w:rsid w:val="00EA2C66"/>
    <w:rsid w:val="00EA2CAA"/>
    <w:rsid w:val="00EA3864"/>
    <w:rsid w:val="00EA4639"/>
    <w:rsid w:val="00EA5B9B"/>
    <w:rsid w:val="00EA5F9D"/>
    <w:rsid w:val="00EA6A96"/>
    <w:rsid w:val="00EA6C3D"/>
    <w:rsid w:val="00EB15B6"/>
    <w:rsid w:val="00EB4916"/>
    <w:rsid w:val="00EB66F7"/>
    <w:rsid w:val="00EB723A"/>
    <w:rsid w:val="00EC00C9"/>
    <w:rsid w:val="00EC0D40"/>
    <w:rsid w:val="00EC2649"/>
    <w:rsid w:val="00EC310E"/>
    <w:rsid w:val="00EC3880"/>
    <w:rsid w:val="00EC4B70"/>
    <w:rsid w:val="00EC4EDD"/>
    <w:rsid w:val="00EC5A26"/>
    <w:rsid w:val="00EC73D7"/>
    <w:rsid w:val="00EC78D3"/>
    <w:rsid w:val="00EC7BA9"/>
    <w:rsid w:val="00ED0CF1"/>
    <w:rsid w:val="00ED20BA"/>
    <w:rsid w:val="00ED3F56"/>
    <w:rsid w:val="00ED461F"/>
    <w:rsid w:val="00ED57EA"/>
    <w:rsid w:val="00ED60AE"/>
    <w:rsid w:val="00ED68E1"/>
    <w:rsid w:val="00ED6E64"/>
    <w:rsid w:val="00ED73B3"/>
    <w:rsid w:val="00EE07D3"/>
    <w:rsid w:val="00EE17C8"/>
    <w:rsid w:val="00EE22AF"/>
    <w:rsid w:val="00EE2E05"/>
    <w:rsid w:val="00EE45CE"/>
    <w:rsid w:val="00EE4DB7"/>
    <w:rsid w:val="00EE7872"/>
    <w:rsid w:val="00EF0171"/>
    <w:rsid w:val="00EF089D"/>
    <w:rsid w:val="00EF130D"/>
    <w:rsid w:val="00EF1479"/>
    <w:rsid w:val="00EF1B25"/>
    <w:rsid w:val="00EF1D53"/>
    <w:rsid w:val="00EF2BBF"/>
    <w:rsid w:val="00EF3E36"/>
    <w:rsid w:val="00EF4747"/>
    <w:rsid w:val="00EF4BF8"/>
    <w:rsid w:val="00EF638D"/>
    <w:rsid w:val="00EF6569"/>
    <w:rsid w:val="00F00119"/>
    <w:rsid w:val="00F00EF9"/>
    <w:rsid w:val="00F0166D"/>
    <w:rsid w:val="00F02253"/>
    <w:rsid w:val="00F0256C"/>
    <w:rsid w:val="00F033B5"/>
    <w:rsid w:val="00F03C2E"/>
    <w:rsid w:val="00F04354"/>
    <w:rsid w:val="00F04535"/>
    <w:rsid w:val="00F047DF"/>
    <w:rsid w:val="00F04A66"/>
    <w:rsid w:val="00F0516C"/>
    <w:rsid w:val="00F067A2"/>
    <w:rsid w:val="00F07988"/>
    <w:rsid w:val="00F1013D"/>
    <w:rsid w:val="00F10156"/>
    <w:rsid w:val="00F1263A"/>
    <w:rsid w:val="00F149D8"/>
    <w:rsid w:val="00F156E0"/>
    <w:rsid w:val="00F167F2"/>
    <w:rsid w:val="00F16E9D"/>
    <w:rsid w:val="00F17CBD"/>
    <w:rsid w:val="00F2233A"/>
    <w:rsid w:val="00F228F1"/>
    <w:rsid w:val="00F24837"/>
    <w:rsid w:val="00F2575F"/>
    <w:rsid w:val="00F2578D"/>
    <w:rsid w:val="00F25869"/>
    <w:rsid w:val="00F263EE"/>
    <w:rsid w:val="00F26934"/>
    <w:rsid w:val="00F26DCB"/>
    <w:rsid w:val="00F27136"/>
    <w:rsid w:val="00F272D4"/>
    <w:rsid w:val="00F27565"/>
    <w:rsid w:val="00F307A1"/>
    <w:rsid w:val="00F30F72"/>
    <w:rsid w:val="00F310D4"/>
    <w:rsid w:val="00F315F0"/>
    <w:rsid w:val="00F31D5A"/>
    <w:rsid w:val="00F31EC4"/>
    <w:rsid w:val="00F33DE9"/>
    <w:rsid w:val="00F3550B"/>
    <w:rsid w:val="00F355D7"/>
    <w:rsid w:val="00F3619A"/>
    <w:rsid w:val="00F40AAA"/>
    <w:rsid w:val="00F40BA7"/>
    <w:rsid w:val="00F412CE"/>
    <w:rsid w:val="00F4151F"/>
    <w:rsid w:val="00F41BCD"/>
    <w:rsid w:val="00F43B85"/>
    <w:rsid w:val="00F4498B"/>
    <w:rsid w:val="00F4641A"/>
    <w:rsid w:val="00F466FF"/>
    <w:rsid w:val="00F468C8"/>
    <w:rsid w:val="00F46CB6"/>
    <w:rsid w:val="00F4761D"/>
    <w:rsid w:val="00F4778B"/>
    <w:rsid w:val="00F47DE8"/>
    <w:rsid w:val="00F5066E"/>
    <w:rsid w:val="00F50BDD"/>
    <w:rsid w:val="00F51A31"/>
    <w:rsid w:val="00F52750"/>
    <w:rsid w:val="00F53571"/>
    <w:rsid w:val="00F539A9"/>
    <w:rsid w:val="00F542C1"/>
    <w:rsid w:val="00F54830"/>
    <w:rsid w:val="00F54F8D"/>
    <w:rsid w:val="00F55E73"/>
    <w:rsid w:val="00F55EDA"/>
    <w:rsid w:val="00F56A4E"/>
    <w:rsid w:val="00F5706A"/>
    <w:rsid w:val="00F57D5B"/>
    <w:rsid w:val="00F60092"/>
    <w:rsid w:val="00F60DE5"/>
    <w:rsid w:val="00F615AC"/>
    <w:rsid w:val="00F62807"/>
    <w:rsid w:val="00F65EB4"/>
    <w:rsid w:val="00F65F4B"/>
    <w:rsid w:val="00F66A78"/>
    <w:rsid w:val="00F67240"/>
    <w:rsid w:val="00F67CCE"/>
    <w:rsid w:val="00F70C9D"/>
    <w:rsid w:val="00F71100"/>
    <w:rsid w:val="00F71199"/>
    <w:rsid w:val="00F71699"/>
    <w:rsid w:val="00F71D93"/>
    <w:rsid w:val="00F71DBA"/>
    <w:rsid w:val="00F7328F"/>
    <w:rsid w:val="00F74CD9"/>
    <w:rsid w:val="00F755D5"/>
    <w:rsid w:val="00F75C23"/>
    <w:rsid w:val="00F7605A"/>
    <w:rsid w:val="00F76574"/>
    <w:rsid w:val="00F771B2"/>
    <w:rsid w:val="00F77A71"/>
    <w:rsid w:val="00F801CA"/>
    <w:rsid w:val="00F80935"/>
    <w:rsid w:val="00F80A7B"/>
    <w:rsid w:val="00F80E5D"/>
    <w:rsid w:val="00F82023"/>
    <w:rsid w:val="00F84333"/>
    <w:rsid w:val="00F851CE"/>
    <w:rsid w:val="00F85777"/>
    <w:rsid w:val="00F85874"/>
    <w:rsid w:val="00F86B6D"/>
    <w:rsid w:val="00F8709D"/>
    <w:rsid w:val="00F870E9"/>
    <w:rsid w:val="00F87483"/>
    <w:rsid w:val="00F90340"/>
    <w:rsid w:val="00F91219"/>
    <w:rsid w:val="00F9192D"/>
    <w:rsid w:val="00F91D1D"/>
    <w:rsid w:val="00F93719"/>
    <w:rsid w:val="00F958AF"/>
    <w:rsid w:val="00F971A3"/>
    <w:rsid w:val="00F97A78"/>
    <w:rsid w:val="00FA0130"/>
    <w:rsid w:val="00FA0B20"/>
    <w:rsid w:val="00FA24E7"/>
    <w:rsid w:val="00FA3685"/>
    <w:rsid w:val="00FA616A"/>
    <w:rsid w:val="00FA7372"/>
    <w:rsid w:val="00FA7AD1"/>
    <w:rsid w:val="00FB07D4"/>
    <w:rsid w:val="00FB268B"/>
    <w:rsid w:val="00FB2FCB"/>
    <w:rsid w:val="00FB3CF5"/>
    <w:rsid w:val="00FB4335"/>
    <w:rsid w:val="00FB4A01"/>
    <w:rsid w:val="00FB6A8A"/>
    <w:rsid w:val="00FB6B76"/>
    <w:rsid w:val="00FB7B41"/>
    <w:rsid w:val="00FC1074"/>
    <w:rsid w:val="00FC13D2"/>
    <w:rsid w:val="00FC1884"/>
    <w:rsid w:val="00FC2DBD"/>
    <w:rsid w:val="00FC371D"/>
    <w:rsid w:val="00FC39DE"/>
    <w:rsid w:val="00FC48AA"/>
    <w:rsid w:val="00FC5F0B"/>
    <w:rsid w:val="00FC640C"/>
    <w:rsid w:val="00FC670D"/>
    <w:rsid w:val="00FD0360"/>
    <w:rsid w:val="00FD1EA8"/>
    <w:rsid w:val="00FD2100"/>
    <w:rsid w:val="00FD23A6"/>
    <w:rsid w:val="00FD436C"/>
    <w:rsid w:val="00FD446D"/>
    <w:rsid w:val="00FD4522"/>
    <w:rsid w:val="00FD6394"/>
    <w:rsid w:val="00FD748A"/>
    <w:rsid w:val="00FD78D1"/>
    <w:rsid w:val="00FE0E6C"/>
    <w:rsid w:val="00FE1F10"/>
    <w:rsid w:val="00FE27AB"/>
    <w:rsid w:val="00FE3EAC"/>
    <w:rsid w:val="00FE5760"/>
    <w:rsid w:val="00FE5B28"/>
    <w:rsid w:val="00FE6422"/>
    <w:rsid w:val="00FE6E1D"/>
    <w:rsid w:val="00FE70C3"/>
    <w:rsid w:val="00FE71FE"/>
    <w:rsid w:val="00FE77CA"/>
    <w:rsid w:val="00FE7ED1"/>
    <w:rsid w:val="00FF0DD4"/>
    <w:rsid w:val="00FF2A84"/>
    <w:rsid w:val="00FF2C27"/>
    <w:rsid w:val="00FF3779"/>
    <w:rsid w:val="00FF3DCF"/>
    <w:rsid w:val="00FF492C"/>
    <w:rsid w:val="00FF4A21"/>
    <w:rsid w:val="00FF585B"/>
    <w:rsid w:val="00FF5AA3"/>
    <w:rsid w:val="00FF5AB8"/>
    <w:rsid w:val="00FF5AD8"/>
    <w:rsid w:val="00FF7E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B1E04"/>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653B7E"/>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911D0"/>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Commentarytable">
    <w:name w:val="Commentary table"/>
    <w:basedOn w:val="TableNormal"/>
    <w:uiPriority w:val="99"/>
    <w:rsid w:val="00CB73FC"/>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
    <w:name w:val="Table Grid1"/>
    <w:basedOn w:val="TableNormal"/>
    <w:next w:val="TableGrid"/>
    <w:uiPriority w:val="39"/>
    <w:rsid w:val="00E6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
    <w:name w:val="V5.0 Instructions"/>
    <w:basedOn w:val="Normal"/>
    <w:link w:val="V50InstructionsChar"/>
    <w:qFormat/>
    <w:rsid w:val="00D83491"/>
    <w:pPr>
      <w:widowControl/>
      <w:spacing w:before="120" w:after="160"/>
    </w:pPr>
    <w:rPr>
      <w:rFonts w:eastAsiaTheme="minorHAnsi" w:cstheme="minorBidi"/>
      <w:snapToGrid/>
      <w:color w:val="4BACC6" w:themeColor="accent5"/>
    </w:rPr>
  </w:style>
  <w:style w:type="character" w:customStyle="1" w:styleId="V50InstructionsChar">
    <w:name w:val="V5.0 Instructions Char"/>
    <w:basedOn w:val="DefaultParagraphFont"/>
    <w:link w:val="V50Instructions"/>
    <w:rsid w:val="00D83491"/>
    <w:rPr>
      <w:rFonts w:ascii="Calibri" w:eastAsiaTheme="minorHAnsi" w:hAnsi="Calibri" w:cstheme="minorBidi"/>
      <w:color w:val="4BACC6" w:themeColor="accent5"/>
      <w:sz w:val="24"/>
      <w:szCs w:val="22"/>
      <w:lang w:eastAsia="en-US"/>
    </w:rPr>
  </w:style>
  <w:style w:type="paragraph" w:customStyle="1" w:styleId="TableHeading0">
    <w:name w:val="Table Heading"/>
    <w:basedOn w:val="Normal"/>
    <w:qFormat/>
    <w:rsid w:val="00F26DCB"/>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5A0984"/>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5A0984"/>
    <w:rPr>
      <w:rFonts w:ascii="Arial Narrow" w:eastAsiaTheme="minorHAnsi" w:hAnsi="Arial Narrow" w:cstheme="minorBidi"/>
      <w:szCs w:val="22"/>
      <w:lang w:eastAsia="en-US"/>
    </w:rPr>
  </w:style>
  <w:style w:type="table" w:customStyle="1" w:styleId="TableGrid2">
    <w:name w:val="Table Grid2"/>
    <w:basedOn w:val="TableNormal"/>
    <w:next w:val="TableGrid"/>
    <w:uiPriority w:val="39"/>
    <w:rsid w:val="00551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72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C1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1872"/>
    <w:pPr>
      <w:widowControl/>
      <w:spacing w:after="160" w:line="240" w:lineRule="exact"/>
      <w:jc w:val="left"/>
    </w:pPr>
    <w:rPr>
      <w:rFonts w:ascii="Verdana" w:eastAsia="MS Mincho" w:hAnsi="Verdana" w:cs="Verdana"/>
      <w:snapToGrid/>
      <w:sz w:val="20"/>
      <w:szCs w:val="20"/>
      <w:lang w:val="en-US"/>
    </w:rPr>
  </w:style>
  <w:style w:type="table" w:customStyle="1" w:styleId="TableGridbeth1">
    <w:name w:val="Table Gridbeth1"/>
    <w:basedOn w:val="TableNormal"/>
    <w:next w:val="TableGrid"/>
    <w:uiPriority w:val="59"/>
    <w:rsid w:val="00692D4F"/>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D461F"/>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ED461F"/>
    <w:rPr>
      <w:rFonts w:ascii="Courier New" w:hAnsi="Courier New"/>
    </w:rPr>
  </w:style>
  <w:style w:type="paragraph" w:styleId="FootnoteText">
    <w:name w:val="footnote text"/>
    <w:basedOn w:val="Normal"/>
    <w:link w:val="FootnoteTextChar"/>
    <w:semiHidden/>
    <w:unhideWhenUsed/>
    <w:rsid w:val="008C015B"/>
    <w:rPr>
      <w:sz w:val="20"/>
      <w:szCs w:val="20"/>
    </w:rPr>
  </w:style>
  <w:style w:type="character" w:customStyle="1" w:styleId="FootnoteTextChar">
    <w:name w:val="Footnote Text Char"/>
    <w:basedOn w:val="DefaultParagraphFont"/>
    <w:link w:val="FootnoteText"/>
    <w:semiHidden/>
    <w:rsid w:val="008C015B"/>
    <w:rPr>
      <w:rFonts w:ascii="Calibri" w:hAnsi="Calibri" w:cs="Arial"/>
      <w:snapToGrid w:val="0"/>
      <w:lang w:eastAsia="en-US"/>
    </w:rPr>
  </w:style>
  <w:style w:type="character" w:styleId="FootnoteReference">
    <w:name w:val="footnote reference"/>
    <w:basedOn w:val="DefaultParagraphFont"/>
    <w:semiHidden/>
    <w:unhideWhenUsed/>
    <w:rsid w:val="008C01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B1E04"/>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653B7E"/>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911D0"/>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Commentarytable">
    <w:name w:val="Commentary table"/>
    <w:basedOn w:val="TableNormal"/>
    <w:uiPriority w:val="99"/>
    <w:rsid w:val="00CB73FC"/>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
    <w:name w:val="Table Grid1"/>
    <w:basedOn w:val="TableNormal"/>
    <w:next w:val="TableGrid"/>
    <w:uiPriority w:val="39"/>
    <w:rsid w:val="00E6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
    <w:name w:val="V5.0 Instructions"/>
    <w:basedOn w:val="Normal"/>
    <w:link w:val="V50InstructionsChar"/>
    <w:qFormat/>
    <w:rsid w:val="00D83491"/>
    <w:pPr>
      <w:widowControl/>
      <w:spacing w:before="120" w:after="160"/>
    </w:pPr>
    <w:rPr>
      <w:rFonts w:eastAsiaTheme="minorHAnsi" w:cstheme="minorBidi"/>
      <w:snapToGrid/>
      <w:color w:val="4BACC6" w:themeColor="accent5"/>
    </w:rPr>
  </w:style>
  <w:style w:type="character" w:customStyle="1" w:styleId="V50InstructionsChar">
    <w:name w:val="V5.0 Instructions Char"/>
    <w:basedOn w:val="DefaultParagraphFont"/>
    <w:link w:val="V50Instructions"/>
    <w:rsid w:val="00D83491"/>
    <w:rPr>
      <w:rFonts w:ascii="Calibri" w:eastAsiaTheme="minorHAnsi" w:hAnsi="Calibri" w:cstheme="minorBidi"/>
      <w:color w:val="4BACC6" w:themeColor="accent5"/>
      <w:sz w:val="24"/>
      <w:szCs w:val="22"/>
      <w:lang w:eastAsia="en-US"/>
    </w:rPr>
  </w:style>
  <w:style w:type="paragraph" w:customStyle="1" w:styleId="TableHeading0">
    <w:name w:val="Table Heading"/>
    <w:basedOn w:val="Normal"/>
    <w:qFormat/>
    <w:rsid w:val="00F26DCB"/>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5A0984"/>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5A0984"/>
    <w:rPr>
      <w:rFonts w:ascii="Arial Narrow" w:eastAsiaTheme="minorHAnsi" w:hAnsi="Arial Narrow" w:cstheme="minorBidi"/>
      <w:szCs w:val="22"/>
      <w:lang w:eastAsia="en-US"/>
    </w:rPr>
  </w:style>
  <w:style w:type="table" w:customStyle="1" w:styleId="TableGrid2">
    <w:name w:val="Table Grid2"/>
    <w:basedOn w:val="TableNormal"/>
    <w:next w:val="TableGrid"/>
    <w:uiPriority w:val="39"/>
    <w:rsid w:val="00551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72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C1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1872"/>
    <w:pPr>
      <w:widowControl/>
      <w:spacing w:after="160" w:line="240" w:lineRule="exact"/>
      <w:jc w:val="left"/>
    </w:pPr>
    <w:rPr>
      <w:rFonts w:ascii="Verdana" w:eastAsia="MS Mincho" w:hAnsi="Verdana" w:cs="Verdana"/>
      <w:snapToGrid/>
      <w:sz w:val="20"/>
      <w:szCs w:val="20"/>
      <w:lang w:val="en-US"/>
    </w:rPr>
  </w:style>
  <w:style w:type="table" w:customStyle="1" w:styleId="TableGridbeth1">
    <w:name w:val="Table Gridbeth1"/>
    <w:basedOn w:val="TableNormal"/>
    <w:next w:val="TableGrid"/>
    <w:uiPriority w:val="59"/>
    <w:rsid w:val="00692D4F"/>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D461F"/>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ED461F"/>
    <w:rPr>
      <w:rFonts w:ascii="Courier New" w:hAnsi="Courier New"/>
    </w:rPr>
  </w:style>
  <w:style w:type="paragraph" w:styleId="FootnoteText">
    <w:name w:val="footnote text"/>
    <w:basedOn w:val="Normal"/>
    <w:link w:val="FootnoteTextChar"/>
    <w:semiHidden/>
    <w:unhideWhenUsed/>
    <w:rsid w:val="008C015B"/>
    <w:rPr>
      <w:sz w:val="20"/>
      <w:szCs w:val="20"/>
    </w:rPr>
  </w:style>
  <w:style w:type="character" w:customStyle="1" w:styleId="FootnoteTextChar">
    <w:name w:val="Footnote Text Char"/>
    <w:basedOn w:val="DefaultParagraphFont"/>
    <w:link w:val="FootnoteText"/>
    <w:semiHidden/>
    <w:rsid w:val="008C015B"/>
    <w:rPr>
      <w:rFonts w:ascii="Calibri" w:hAnsi="Calibri" w:cs="Arial"/>
      <w:snapToGrid w:val="0"/>
      <w:lang w:eastAsia="en-US"/>
    </w:rPr>
  </w:style>
  <w:style w:type="character" w:styleId="FootnoteReference">
    <w:name w:val="footnote reference"/>
    <w:basedOn w:val="DefaultParagraphFont"/>
    <w:semiHidden/>
    <w:unhideWhenUsed/>
    <w:rsid w:val="008C0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6760">
      <w:bodyDiv w:val="1"/>
      <w:marLeft w:val="0"/>
      <w:marRight w:val="0"/>
      <w:marTop w:val="0"/>
      <w:marBottom w:val="0"/>
      <w:divBdr>
        <w:top w:val="none" w:sz="0" w:space="0" w:color="auto"/>
        <w:left w:val="none" w:sz="0" w:space="0" w:color="auto"/>
        <w:bottom w:val="none" w:sz="0" w:space="0" w:color="auto"/>
        <w:right w:val="none" w:sz="0" w:space="0" w:color="auto"/>
      </w:divBdr>
    </w:div>
    <w:div w:id="371420427">
      <w:bodyDiv w:val="1"/>
      <w:marLeft w:val="0"/>
      <w:marRight w:val="0"/>
      <w:marTop w:val="0"/>
      <w:marBottom w:val="0"/>
      <w:divBdr>
        <w:top w:val="none" w:sz="0" w:space="0" w:color="auto"/>
        <w:left w:val="none" w:sz="0" w:space="0" w:color="auto"/>
        <w:bottom w:val="none" w:sz="0" w:space="0" w:color="auto"/>
        <w:right w:val="none" w:sz="0" w:space="0" w:color="auto"/>
      </w:divBdr>
    </w:div>
    <w:div w:id="468590948">
      <w:bodyDiv w:val="1"/>
      <w:marLeft w:val="0"/>
      <w:marRight w:val="0"/>
      <w:marTop w:val="0"/>
      <w:marBottom w:val="0"/>
      <w:divBdr>
        <w:top w:val="none" w:sz="0" w:space="0" w:color="auto"/>
        <w:left w:val="none" w:sz="0" w:space="0" w:color="auto"/>
        <w:bottom w:val="none" w:sz="0" w:space="0" w:color="auto"/>
        <w:right w:val="none" w:sz="0" w:space="0" w:color="auto"/>
      </w:divBdr>
    </w:div>
    <w:div w:id="492991276">
      <w:bodyDiv w:val="1"/>
      <w:marLeft w:val="0"/>
      <w:marRight w:val="0"/>
      <w:marTop w:val="0"/>
      <w:marBottom w:val="0"/>
      <w:divBdr>
        <w:top w:val="none" w:sz="0" w:space="0" w:color="auto"/>
        <w:left w:val="none" w:sz="0" w:space="0" w:color="auto"/>
        <w:bottom w:val="none" w:sz="0" w:space="0" w:color="auto"/>
        <w:right w:val="none" w:sz="0" w:space="0" w:color="auto"/>
      </w:divBdr>
    </w:div>
    <w:div w:id="499856374">
      <w:bodyDiv w:val="1"/>
      <w:marLeft w:val="0"/>
      <w:marRight w:val="0"/>
      <w:marTop w:val="0"/>
      <w:marBottom w:val="0"/>
      <w:divBdr>
        <w:top w:val="none" w:sz="0" w:space="0" w:color="auto"/>
        <w:left w:val="none" w:sz="0" w:space="0" w:color="auto"/>
        <w:bottom w:val="none" w:sz="0" w:space="0" w:color="auto"/>
        <w:right w:val="none" w:sz="0" w:space="0" w:color="auto"/>
      </w:divBdr>
    </w:div>
    <w:div w:id="820584620">
      <w:bodyDiv w:val="1"/>
      <w:marLeft w:val="0"/>
      <w:marRight w:val="0"/>
      <w:marTop w:val="0"/>
      <w:marBottom w:val="0"/>
      <w:divBdr>
        <w:top w:val="none" w:sz="0" w:space="0" w:color="auto"/>
        <w:left w:val="none" w:sz="0" w:space="0" w:color="auto"/>
        <w:bottom w:val="none" w:sz="0" w:space="0" w:color="auto"/>
        <w:right w:val="none" w:sz="0" w:space="0" w:color="auto"/>
      </w:divBdr>
    </w:div>
    <w:div w:id="910041131">
      <w:bodyDiv w:val="1"/>
      <w:marLeft w:val="0"/>
      <w:marRight w:val="0"/>
      <w:marTop w:val="0"/>
      <w:marBottom w:val="0"/>
      <w:divBdr>
        <w:top w:val="none" w:sz="0" w:space="0" w:color="auto"/>
        <w:left w:val="none" w:sz="0" w:space="0" w:color="auto"/>
        <w:bottom w:val="none" w:sz="0" w:space="0" w:color="auto"/>
        <w:right w:val="none" w:sz="0" w:space="0" w:color="auto"/>
      </w:divBdr>
    </w:div>
    <w:div w:id="919681958">
      <w:bodyDiv w:val="1"/>
      <w:marLeft w:val="0"/>
      <w:marRight w:val="0"/>
      <w:marTop w:val="0"/>
      <w:marBottom w:val="0"/>
      <w:divBdr>
        <w:top w:val="none" w:sz="0" w:space="0" w:color="auto"/>
        <w:left w:val="none" w:sz="0" w:space="0" w:color="auto"/>
        <w:bottom w:val="none" w:sz="0" w:space="0" w:color="auto"/>
        <w:right w:val="none" w:sz="0" w:space="0" w:color="auto"/>
      </w:divBdr>
    </w:div>
    <w:div w:id="932053333">
      <w:bodyDiv w:val="1"/>
      <w:marLeft w:val="0"/>
      <w:marRight w:val="0"/>
      <w:marTop w:val="0"/>
      <w:marBottom w:val="0"/>
      <w:divBdr>
        <w:top w:val="none" w:sz="0" w:space="0" w:color="auto"/>
        <w:left w:val="none" w:sz="0" w:space="0" w:color="auto"/>
        <w:bottom w:val="none" w:sz="0" w:space="0" w:color="auto"/>
        <w:right w:val="none" w:sz="0" w:space="0" w:color="auto"/>
      </w:divBdr>
    </w:div>
    <w:div w:id="1036195101">
      <w:bodyDiv w:val="1"/>
      <w:marLeft w:val="0"/>
      <w:marRight w:val="0"/>
      <w:marTop w:val="0"/>
      <w:marBottom w:val="0"/>
      <w:divBdr>
        <w:top w:val="none" w:sz="0" w:space="0" w:color="auto"/>
        <w:left w:val="none" w:sz="0" w:space="0" w:color="auto"/>
        <w:bottom w:val="none" w:sz="0" w:space="0" w:color="auto"/>
        <w:right w:val="none" w:sz="0" w:space="0" w:color="auto"/>
      </w:divBdr>
    </w:div>
    <w:div w:id="1092897871">
      <w:bodyDiv w:val="1"/>
      <w:marLeft w:val="0"/>
      <w:marRight w:val="0"/>
      <w:marTop w:val="0"/>
      <w:marBottom w:val="0"/>
      <w:divBdr>
        <w:top w:val="none" w:sz="0" w:space="0" w:color="auto"/>
        <w:left w:val="none" w:sz="0" w:space="0" w:color="auto"/>
        <w:bottom w:val="none" w:sz="0" w:space="0" w:color="auto"/>
        <w:right w:val="none" w:sz="0" w:space="0" w:color="auto"/>
      </w:divBdr>
    </w:div>
    <w:div w:id="1126005863">
      <w:bodyDiv w:val="1"/>
      <w:marLeft w:val="0"/>
      <w:marRight w:val="0"/>
      <w:marTop w:val="0"/>
      <w:marBottom w:val="0"/>
      <w:divBdr>
        <w:top w:val="none" w:sz="0" w:space="0" w:color="auto"/>
        <w:left w:val="none" w:sz="0" w:space="0" w:color="auto"/>
        <w:bottom w:val="none" w:sz="0" w:space="0" w:color="auto"/>
        <w:right w:val="none" w:sz="0" w:space="0" w:color="auto"/>
      </w:divBdr>
    </w:div>
    <w:div w:id="1205798380">
      <w:bodyDiv w:val="1"/>
      <w:marLeft w:val="0"/>
      <w:marRight w:val="0"/>
      <w:marTop w:val="0"/>
      <w:marBottom w:val="0"/>
      <w:divBdr>
        <w:top w:val="none" w:sz="0" w:space="0" w:color="auto"/>
        <w:left w:val="none" w:sz="0" w:space="0" w:color="auto"/>
        <w:bottom w:val="none" w:sz="0" w:space="0" w:color="auto"/>
        <w:right w:val="none" w:sz="0" w:space="0" w:color="auto"/>
      </w:divBdr>
    </w:div>
    <w:div w:id="1314332622">
      <w:bodyDiv w:val="1"/>
      <w:marLeft w:val="0"/>
      <w:marRight w:val="0"/>
      <w:marTop w:val="0"/>
      <w:marBottom w:val="0"/>
      <w:divBdr>
        <w:top w:val="none" w:sz="0" w:space="0" w:color="auto"/>
        <w:left w:val="none" w:sz="0" w:space="0" w:color="auto"/>
        <w:bottom w:val="none" w:sz="0" w:space="0" w:color="auto"/>
        <w:right w:val="none" w:sz="0" w:space="0" w:color="auto"/>
      </w:divBdr>
    </w:div>
    <w:div w:id="1598246366">
      <w:bodyDiv w:val="1"/>
      <w:marLeft w:val="0"/>
      <w:marRight w:val="0"/>
      <w:marTop w:val="0"/>
      <w:marBottom w:val="0"/>
      <w:divBdr>
        <w:top w:val="none" w:sz="0" w:space="0" w:color="auto"/>
        <w:left w:val="none" w:sz="0" w:space="0" w:color="auto"/>
        <w:bottom w:val="none" w:sz="0" w:space="0" w:color="auto"/>
        <w:right w:val="none" w:sz="0" w:space="0" w:color="auto"/>
      </w:divBdr>
    </w:div>
    <w:div w:id="1736732065">
      <w:bodyDiv w:val="1"/>
      <w:marLeft w:val="0"/>
      <w:marRight w:val="0"/>
      <w:marTop w:val="0"/>
      <w:marBottom w:val="0"/>
      <w:divBdr>
        <w:top w:val="none" w:sz="0" w:space="0" w:color="auto"/>
        <w:left w:val="none" w:sz="0" w:space="0" w:color="auto"/>
        <w:bottom w:val="none" w:sz="0" w:space="0" w:color="auto"/>
        <w:right w:val="none" w:sz="0" w:space="0" w:color="auto"/>
      </w:divBdr>
    </w:div>
    <w:div w:id="20745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827C-5F88-4773-A5BD-09217BB4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11435</Words>
  <Characters>70365</Characters>
  <Application>Microsoft Office Word</Application>
  <DocSecurity>0</DocSecurity>
  <Lines>586</Lines>
  <Paragraphs>163</Paragraphs>
  <ScaleCrop>false</ScaleCrop>
  <LinksUpToDate>false</LinksUpToDate>
  <CharactersWithSpaces>81637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2018-06-19T04:58:00Z</dcterms:created>
  <dcterms:modified xsi:type="dcterms:W3CDTF">2018-06-22T01:09:00Z</dcterms:modified>
</cp:coreProperties>
</file>