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C1" w:rsidRDefault="00BF58BF"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5.21</w:t>
      </w:r>
      <w:r w:rsidR="007E0EC6">
        <w:rPr>
          <w:rFonts w:asciiTheme="minorHAnsi" w:hAnsiTheme="minorHAnsi"/>
          <w:sz w:val="36"/>
          <w:szCs w:val="36"/>
        </w:rPr>
        <w:t xml:space="preserve"> I</w:t>
      </w:r>
      <w:r w:rsidR="0041071A">
        <w:rPr>
          <w:rFonts w:asciiTheme="minorHAnsi" w:hAnsiTheme="minorHAnsi"/>
          <w:sz w:val="36"/>
          <w:szCs w:val="36"/>
        </w:rPr>
        <w:t>nactivated</w:t>
      </w:r>
      <w:r w:rsidR="00CE4A2C">
        <w:rPr>
          <w:rFonts w:asciiTheme="minorHAnsi" w:hAnsiTheme="minorHAnsi"/>
          <w:sz w:val="36"/>
          <w:szCs w:val="36"/>
        </w:rPr>
        <w:t xml:space="preserve"> </w:t>
      </w:r>
      <w:r w:rsidR="0041071A">
        <w:rPr>
          <w:rFonts w:asciiTheme="minorHAnsi" w:hAnsiTheme="minorHAnsi"/>
          <w:sz w:val="36"/>
          <w:szCs w:val="36"/>
        </w:rPr>
        <w:t xml:space="preserve">trivalent </w:t>
      </w:r>
      <w:r w:rsidR="00CE4A2C">
        <w:rPr>
          <w:rFonts w:asciiTheme="minorHAnsi" w:hAnsiTheme="minorHAnsi"/>
          <w:sz w:val="36"/>
          <w:szCs w:val="36"/>
        </w:rPr>
        <w:t>influenza vaccine</w:t>
      </w:r>
      <w:r w:rsidR="008A50F1" w:rsidRPr="002B5596">
        <w:rPr>
          <w:rFonts w:asciiTheme="minorHAnsi" w:hAnsiTheme="minorHAnsi"/>
          <w:sz w:val="36"/>
          <w:szCs w:val="36"/>
        </w:rPr>
        <w:t xml:space="preserve"> </w:t>
      </w:r>
      <w:r w:rsidR="0041071A">
        <w:rPr>
          <w:rFonts w:asciiTheme="minorHAnsi" w:hAnsiTheme="minorHAnsi"/>
          <w:sz w:val="36"/>
          <w:szCs w:val="36"/>
        </w:rPr>
        <w:t xml:space="preserve">(Split </w:t>
      </w:r>
      <w:proofErr w:type="spellStart"/>
      <w:r w:rsidR="0041071A">
        <w:rPr>
          <w:rFonts w:asciiTheme="minorHAnsi" w:hAnsiTheme="minorHAnsi"/>
          <w:sz w:val="36"/>
          <w:szCs w:val="36"/>
        </w:rPr>
        <w:t>Virion</w:t>
      </w:r>
      <w:proofErr w:type="spellEnd"/>
      <w:proofErr w:type="gramStart"/>
      <w:r w:rsidR="0041071A">
        <w:rPr>
          <w:rFonts w:asciiTheme="minorHAnsi" w:hAnsiTheme="minorHAnsi"/>
          <w:sz w:val="36"/>
          <w:szCs w:val="36"/>
        </w:rPr>
        <w:t>)</w:t>
      </w:r>
      <w:proofErr w:type="gramEnd"/>
      <w:r w:rsidR="008A50F1" w:rsidRPr="002B5596">
        <w:rPr>
          <w:rFonts w:asciiTheme="minorHAnsi" w:hAnsiTheme="minorHAnsi"/>
          <w:sz w:val="36"/>
          <w:szCs w:val="36"/>
        </w:rPr>
        <w:br/>
      </w:r>
      <w:r w:rsidR="00CE4A2C">
        <w:rPr>
          <w:rFonts w:asciiTheme="minorHAnsi" w:hAnsiTheme="minorHAnsi"/>
          <w:sz w:val="36"/>
          <w:szCs w:val="36"/>
        </w:rPr>
        <w:t>suspension for injection</w:t>
      </w:r>
      <w:r w:rsidR="0004240E" w:rsidRPr="002B5596">
        <w:rPr>
          <w:rFonts w:asciiTheme="minorHAnsi" w:hAnsiTheme="minorHAnsi"/>
          <w:sz w:val="36"/>
          <w:szCs w:val="36"/>
        </w:rPr>
        <w:t xml:space="preserve">, </w:t>
      </w:r>
    </w:p>
    <w:p w:rsidR="00C27B58" w:rsidRPr="00577C4D" w:rsidRDefault="008739C1" w:rsidP="00577C4D">
      <w:pPr>
        <w:pStyle w:val="Title"/>
        <w:spacing w:before="120" w:after="160"/>
        <w:ind w:left="720" w:hanging="720"/>
        <w:rPr>
          <w:rFonts w:asciiTheme="minorHAnsi" w:hAnsiTheme="minorHAnsi"/>
          <w:sz w:val="36"/>
          <w:szCs w:val="36"/>
        </w:rPr>
      </w:pPr>
      <w:r>
        <w:rPr>
          <w:rFonts w:asciiTheme="minorHAnsi" w:hAnsiTheme="minorHAnsi"/>
          <w:sz w:val="36"/>
          <w:szCs w:val="36"/>
        </w:rPr>
        <w:t xml:space="preserve">        </w:t>
      </w:r>
      <w:r w:rsidR="0041071A" w:rsidRPr="00905799">
        <w:rPr>
          <w:rFonts w:asciiTheme="minorHAnsi" w:hAnsiTheme="minorHAnsi"/>
          <w:sz w:val="36"/>
          <w:szCs w:val="36"/>
        </w:rPr>
        <w:t>180</w:t>
      </w:r>
      <w:r w:rsidR="00CE4A2C" w:rsidRPr="0041071A">
        <w:rPr>
          <w:rFonts w:asciiTheme="minorHAnsi" w:hAnsiTheme="minorHAnsi"/>
          <w:sz w:val="36"/>
          <w:szCs w:val="36"/>
        </w:rPr>
        <w:t>mcg</w:t>
      </w:r>
      <w:r w:rsidR="0041071A" w:rsidRPr="00905799">
        <w:rPr>
          <w:rFonts w:asciiTheme="minorHAnsi" w:hAnsiTheme="minorHAnsi"/>
          <w:sz w:val="36"/>
          <w:szCs w:val="36"/>
        </w:rPr>
        <w:t xml:space="preserve"> single dose</w:t>
      </w:r>
      <w:r w:rsidR="00CE4A2C" w:rsidRPr="0041071A">
        <w:rPr>
          <w:rFonts w:asciiTheme="minorHAnsi" w:hAnsiTheme="minorHAnsi"/>
          <w:sz w:val="36"/>
          <w:szCs w:val="36"/>
        </w:rPr>
        <w:t xml:space="preserve"> in 0.5mL</w:t>
      </w:r>
      <w:r w:rsidR="0004240E" w:rsidRPr="0041071A">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proofErr w:type="spellStart"/>
      <w:r w:rsidR="0041071A">
        <w:rPr>
          <w:rFonts w:asciiTheme="minorHAnsi" w:hAnsiTheme="minorHAnsi"/>
          <w:sz w:val="36"/>
          <w:szCs w:val="36"/>
        </w:rPr>
        <w:t>Fluzone</w:t>
      </w:r>
      <w:proofErr w:type="spellEnd"/>
      <w:r w:rsidR="0004240E" w:rsidRPr="002B5596">
        <w:rPr>
          <w:rFonts w:asciiTheme="minorHAnsi" w:hAnsiTheme="minorHAnsi"/>
          <w:sz w:val="36"/>
          <w:szCs w:val="36"/>
          <w:vertAlign w:val="superscript"/>
        </w:rPr>
        <w:t>®</w:t>
      </w:r>
      <w:r w:rsidR="0041071A">
        <w:rPr>
          <w:rFonts w:asciiTheme="minorHAnsi" w:hAnsiTheme="minorHAnsi"/>
          <w:sz w:val="36"/>
          <w:szCs w:val="36"/>
          <w:vertAlign w:val="superscript"/>
        </w:rPr>
        <w:t xml:space="preserve"> </w:t>
      </w:r>
      <w:r w:rsidR="00B54119">
        <w:rPr>
          <w:rFonts w:asciiTheme="minorHAnsi" w:hAnsiTheme="minorHAnsi"/>
          <w:sz w:val="36"/>
          <w:szCs w:val="36"/>
        </w:rPr>
        <w:t>High-</w:t>
      </w:r>
      <w:r w:rsidR="0041071A">
        <w:rPr>
          <w:rFonts w:asciiTheme="minorHAnsi" w:hAnsiTheme="minorHAnsi"/>
          <w:sz w:val="36"/>
          <w:szCs w:val="36"/>
        </w:rPr>
        <w:t>Dose,</w:t>
      </w:r>
      <w:r w:rsidR="00EF44A0" w:rsidRPr="002B5596">
        <w:rPr>
          <w:rFonts w:asciiTheme="minorHAnsi" w:hAnsiTheme="minorHAnsi"/>
          <w:sz w:val="36"/>
          <w:szCs w:val="36"/>
        </w:rPr>
        <w:t xml:space="preserve"> </w:t>
      </w:r>
      <w:r w:rsidR="0041071A" w:rsidRPr="00BC6EBF">
        <w:rPr>
          <w:rFonts w:asciiTheme="minorHAnsi" w:hAnsiTheme="minorHAnsi"/>
          <w:sz w:val="36"/>
          <w:szCs w:val="36"/>
        </w:rPr>
        <w:t>Sanofi</w:t>
      </w:r>
      <w:r w:rsidR="00B80D04">
        <w:rPr>
          <w:rFonts w:asciiTheme="minorHAnsi" w:hAnsiTheme="minorHAnsi"/>
          <w:sz w:val="36"/>
          <w:szCs w:val="36"/>
        </w:rPr>
        <w:t>-A</w:t>
      </w:r>
      <w:r w:rsidR="00BC6EBF">
        <w:rPr>
          <w:rFonts w:asciiTheme="minorHAnsi" w:hAnsiTheme="minorHAnsi"/>
          <w:sz w:val="36"/>
          <w:szCs w:val="36"/>
        </w:rPr>
        <w:t>ventis</w:t>
      </w:r>
      <w:r w:rsidR="0007163B">
        <w:rPr>
          <w:rFonts w:asciiTheme="minorHAnsi" w:hAnsiTheme="minorHAnsi"/>
          <w:sz w:val="36"/>
          <w:szCs w:val="36"/>
        </w:rPr>
        <w:t xml:space="preserve"> Australia Pty Ltd</w:t>
      </w:r>
      <w:r w:rsidR="0041071A">
        <w:rPr>
          <w:rFonts w:asciiTheme="minorHAnsi" w:hAnsiTheme="minorHAnsi"/>
          <w:sz w:val="36"/>
          <w:szCs w:val="36"/>
        </w:rPr>
        <w:t xml:space="preserve"> </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w:t>
      </w:r>
      <w:r w:rsidR="00BF58BF">
        <w:rPr>
          <w:rFonts w:asciiTheme="minorHAnsi" w:eastAsiaTheme="minorHAnsi" w:hAnsiTheme="minorHAnsi" w:cstheme="minorBidi"/>
          <w:snapToGrid/>
          <w:sz w:val="24"/>
          <w:szCs w:val="22"/>
        </w:rPr>
        <w:t>sought</w:t>
      </w:r>
      <w:r w:rsidR="002A1006">
        <w:rPr>
          <w:rFonts w:asciiTheme="minorHAnsi" w:eastAsiaTheme="minorHAnsi" w:hAnsiTheme="minorHAnsi" w:cstheme="minorBidi"/>
          <w:snapToGrid/>
          <w:sz w:val="24"/>
          <w:szCs w:val="22"/>
        </w:rPr>
        <w:t xml:space="preserve"> </w:t>
      </w:r>
      <w:r w:rsidR="00004A96">
        <w:rPr>
          <w:rFonts w:asciiTheme="minorHAnsi" w:eastAsiaTheme="minorHAnsi" w:hAnsiTheme="minorHAnsi" w:cstheme="minorBidi"/>
          <w:snapToGrid/>
          <w:sz w:val="24"/>
          <w:szCs w:val="22"/>
        </w:rPr>
        <w:t>listing on the</w:t>
      </w:r>
      <w:r w:rsidR="0041071A">
        <w:rPr>
          <w:rFonts w:asciiTheme="minorHAnsi" w:eastAsiaTheme="minorHAnsi" w:hAnsiTheme="minorHAnsi" w:cstheme="minorBidi"/>
          <w:snapToGrid/>
          <w:sz w:val="24"/>
          <w:szCs w:val="22"/>
        </w:rPr>
        <w:t xml:space="preserve"> </w:t>
      </w:r>
      <w:r w:rsidR="00004A96">
        <w:rPr>
          <w:rFonts w:asciiTheme="minorHAnsi" w:eastAsiaTheme="minorHAnsi" w:hAnsiTheme="minorHAnsi" w:cstheme="minorBidi"/>
          <w:snapToGrid/>
          <w:sz w:val="24"/>
          <w:szCs w:val="22"/>
        </w:rPr>
        <w:t>National Immunisation Program (NIP) for</w:t>
      </w:r>
      <w:r w:rsidR="00BF58BF">
        <w:rPr>
          <w:rFonts w:asciiTheme="minorHAnsi" w:eastAsiaTheme="minorHAnsi" w:hAnsiTheme="minorHAnsi" w:cstheme="minorBidi"/>
          <w:snapToGrid/>
          <w:sz w:val="24"/>
          <w:szCs w:val="22"/>
        </w:rPr>
        <w:t xml:space="preserve"> </w:t>
      </w:r>
      <w:r w:rsidR="0041071A">
        <w:rPr>
          <w:rFonts w:asciiTheme="minorHAnsi" w:eastAsiaTheme="minorHAnsi" w:hAnsiTheme="minorHAnsi" w:cstheme="minorBidi"/>
          <w:snapToGrid/>
          <w:sz w:val="24"/>
          <w:szCs w:val="22"/>
        </w:rPr>
        <w:t>inactivated trivalent</w:t>
      </w:r>
      <w:r w:rsidR="00CE4A2C" w:rsidRPr="00905799">
        <w:rPr>
          <w:rFonts w:asciiTheme="minorHAnsi" w:eastAsiaTheme="minorHAnsi" w:hAnsiTheme="minorHAnsi" w:cstheme="minorBidi"/>
          <w:snapToGrid/>
          <w:sz w:val="24"/>
          <w:szCs w:val="22"/>
        </w:rPr>
        <w:t xml:space="preserve"> influenza vaccine</w:t>
      </w:r>
      <w:r w:rsidR="00CE4A2C">
        <w:rPr>
          <w:rFonts w:asciiTheme="minorHAnsi" w:eastAsiaTheme="minorHAnsi" w:hAnsiTheme="minorHAnsi" w:cstheme="minorBidi"/>
          <w:snapToGrid/>
          <w:sz w:val="24"/>
          <w:szCs w:val="22"/>
        </w:rPr>
        <w:t xml:space="preserve"> </w:t>
      </w:r>
      <w:r w:rsidR="00353014">
        <w:rPr>
          <w:rFonts w:asciiTheme="minorHAnsi" w:eastAsiaTheme="minorHAnsi" w:hAnsiTheme="minorHAnsi" w:cstheme="minorBidi"/>
          <w:snapToGrid/>
          <w:sz w:val="24"/>
          <w:szCs w:val="22"/>
        </w:rPr>
        <w:t>(TIV-HD)</w:t>
      </w:r>
      <w:r w:rsidR="0077673D">
        <w:rPr>
          <w:rFonts w:asciiTheme="minorHAnsi" w:eastAsiaTheme="minorHAnsi" w:hAnsiTheme="minorHAnsi" w:cstheme="minorBidi"/>
          <w:snapToGrid/>
          <w:sz w:val="24"/>
          <w:szCs w:val="22"/>
        </w:rPr>
        <w:t xml:space="preserve"> </w:t>
      </w:r>
      <w:r w:rsidR="00004A96">
        <w:rPr>
          <w:rFonts w:asciiTheme="minorHAnsi" w:eastAsiaTheme="minorHAnsi" w:hAnsiTheme="minorHAnsi" w:cstheme="minorBidi"/>
          <w:snapToGrid/>
          <w:sz w:val="24"/>
          <w:szCs w:val="22"/>
        </w:rPr>
        <w:t xml:space="preserve">(Split </w:t>
      </w:r>
      <w:proofErr w:type="spellStart"/>
      <w:r w:rsidR="00004A96">
        <w:rPr>
          <w:rFonts w:asciiTheme="minorHAnsi" w:eastAsiaTheme="minorHAnsi" w:hAnsiTheme="minorHAnsi" w:cstheme="minorBidi"/>
          <w:snapToGrid/>
          <w:sz w:val="24"/>
          <w:szCs w:val="22"/>
        </w:rPr>
        <w:t>Virion</w:t>
      </w:r>
      <w:proofErr w:type="spellEnd"/>
      <w:r w:rsidR="00004A96">
        <w:rPr>
          <w:rFonts w:asciiTheme="minorHAnsi" w:eastAsiaTheme="minorHAnsi" w:hAnsiTheme="minorHAnsi" w:cstheme="minorBidi"/>
          <w:snapToGrid/>
          <w:sz w:val="24"/>
          <w:szCs w:val="22"/>
        </w:rPr>
        <w:t>).</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CE5982" w:rsidRDefault="00CE5982" w:rsidP="00CE598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Pr>
          <w:rFonts w:asciiTheme="minorHAnsi" w:eastAsiaTheme="minorHAnsi" w:hAnsiTheme="minorHAnsi" w:cstheme="minorBidi"/>
          <w:snapToGrid/>
          <w:sz w:val="24"/>
          <w:szCs w:val="22"/>
        </w:rPr>
        <w:t>sought the following addition to Schedule 1 (Designated vaccines and circumstances in which vaccines may be provided) of National Health (Immunisation Program – Designated Vaccines Determination 2014 (No.1)):</w:t>
      </w:r>
    </w:p>
    <w:p w:rsidR="00A6367B" w:rsidRPr="00A6367B" w:rsidRDefault="00A6367B" w:rsidP="00A6367B">
      <w:pPr>
        <w:spacing w:after="120"/>
        <w:rPr>
          <w:rFonts w:asciiTheme="minorHAnsi" w:eastAsiaTheme="minorHAnsi" w:hAnsiTheme="minorHAnsi" w:cstheme="minorBidi"/>
          <w:szCs w:val="22"/>
        </w:rPr>
      </w:pPr>
    </w:p>
    <w:tbl>
      <w:tblPr>
        <w:tblW w:w="4915" w:type="pct"/>
        <w:tblLook w:val="0000" w:firstRow="0" w:lastRow="0" w:firstColumn="0" w:lastColumn="0" w:noHBand="0" w:noVBand="0"/>
      </w:tblPr>
      <w:tblGrid>
        <w:gridCol w:w="3376"/>
        <w:gridCol w:w="755"/>
        <w:gridCol w:w="908"/>
        <w:gridCol w:w="1646"/>
        <w:gridCol w:w="801"/>
        <w:gridCol w:w="706"/>
        <w:gridCol w:w="893"/>
      </w:tblGrid>
      <w:tr w:rsidR="00163329" w:rsidRPr="0039782C" w:rsidTr="00CE4A2C">
        <w:trPr>
          <w:cantSplit/>
          <w:trHeight w:val="465"/>
        </w:trPr>
        <w:tc>
          <w:tcPr>
            <w:tcW w:w="1866"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8"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14" w:type="pct"/>
            <w:tcBorders>
              <w:bottom w:val="single" w:sz="4" w:space="0" w:color="auto"/>
            </w:tcBorders>
          </w:tcPr>
          <w:p w:rsidR="00826F6D" w:rsidRPr="0039782C" w:rsidRDefault="00905799" w:rsidP="00905799">
            <w:pPr>
              <w:keepNext/>
              <w:spacing w:before="40" w:after="40"/>
              <w:jc w:val="both"/>
              <w:rPr>
                <w:rFonts w:ascii="Arial Narrow" w:hAnsi="Arial Narrow" w:cs="Arial"/>
                <w:b/>
                <w:sz w:val="20"/>
                <w:szCs w:val="20"/>
              </w:rPr>
            </w:pPr>
            <w:r>
              <w:rPr>
                <w:rFonts w:ascii="Arial Narrow" w:hAnsi="Arial Narrow" w:cs="Arial"/>
                <w:b/>
                <w:sz w:val="20"/>
                <w:szCs w:val="20"/>
              </w:rPr>
              <w:t>Nationally Negotiated Price</w:t>
            </w:r>
          </w:p>
        </w:tc>
        <w:tc>
          <w:tcPr>
            <w:tcW w:w="1288"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CE4A2C">
        <w:trPr>
          <w:cantSplit/>
          <w:trHeight w:val="567"/>
        </w:trPr>
        <w:tc>
          <w:tcPr>
            <w:tcW w:w="1866" w:type="pct"/>
          </w:tcPr>
          <w:p w:rsidR="00826F6D" w:rsidRPr="00260CE3" w:rsidRDefault="00CE4A2C" w:rsidP="00EB0B63">
            <w:pPr>
              <w:keepNext/>
              <w:spacing w:before="40" w:after="40"/>
              <w:jc w:val="both"/>
              <w:rPr>
                <w:rFonts w:ascii="Arial Narrow" w:hAnsi="Arial Narrow" w:cs="Arial"/>
                <w:sz w:val="20"/>
                <w:szCs w:val="20"/>
              </w:rPr>
            </w:pPr>
            <w:r>
              <w:rPr>
                <w:rFonts w:ascii="Arial Narrow" w:hAnsi="Arial Narrow" w:cs="Arial"/>
                <w:smallCaps/>
                <w:sz w:val="20"/>
                <w:szCs w:val="20"/>
              </w:rPr>
              <w:t xml:space="preserve">INACTIVATED </w:t>
            </w:r>
            <w:r w:rsidR="0041071A">
              <w:rPr>
                <w:rFonts w:ascii="Arial Narrow" w:hAnsi="Arial Narrow" w:cs="Arial"/>
                <w:smallCaps/>
                <w:sz w:val="20"/>
                <w:szCs w:val="20"/>
              </w:rPr>
              <w:t xml:space="preserve">TRIVALENT </w:t>
            </w:r>
            <w:r>
              <w:rPr>
                <w:rFonts w:ascii="Arial Narrow" w:hAnsi="Arial Narrow" w:cs="Arial"/>
                <w:smallCaps/>
                <w:sz w:val="20"/>
                <w:szCs w:val="20"/>
              </w:rPr>
              <w:t>INFLUENZA VACCINE</w:t>
            </w:r>
            <w:r w:rsidR="0041071A">
              <w:rPr>
                <w:rFonts w:ascii="Arial Narrow" w:hAnsi="Arial Narrow" w:cs="Arial"/>
                <w:smallCaps/>
                <w:sz w:val="20"/>
                <w:szCs w:val="20"/>
              </w:rPr>
              <w:t xml:space="preserve"> (SPLIT VIRION)</w:t>
            </w:r>
          </w:p>
          <w:p w:rsidR="00826F6D" w:rsidRPr="00260CE3" w:rsidRDefault="00905799" w:rsidP="00B80D04">
            <w:pPr>
              <w:keepNext/>
              <w:spacing w:before="40" w:after="40"/>
              <w:jc w:val="both"/>
              <w:rPr>
                <w:rFonts w:ascii="Arial Narrow" w:hAnsi="Arial Narrow" w:cs="Arial"/>
                <w:sz w:val="20"/>
                <w:szCs w:val="20"/>
              </w:rPr>
            </w:pPr>
            <w:r w:rsidRPr="00905799">
              <w:rPr>
                <w:rFonts w:ascii="Arial Narrow" w:hAnsi="Arial Narrow" w:cs="Arial"/>
                <w:sz w:val="20"/>
                <w:szCs w:val="20"/>
              </w:rPr>
              <w:t xml:space="preserve">Suspension for </w:t>
            </w:r>
            <w:r w:rsidRPr="005A654B">
              <w:rPr>
                <w:rFonts w:ascii="Arial Narrow" w:hAnsi="Arial Narrow" w:cs="Arial"/>
                <w:sz w:val="20"/>
                <w:szCs w:val="20"/>
              </w:rPr>
              <w:t>injection</w:t>
            </w:r>
            <w:r w:rsidR="0041071A" w:rsidRPr="005A654B">
              <w:rPr>
                <w:rFonts w:ascii="Arial Narrow" w:hAnsi="Arial Narrow" w:cs="Arial"/>
                <w:sz w:val="20"/>
                <w:szCs w:val="20"/>
              </w:rPr>
              <w:t>, 180</w:t>
            </w:r>
            <w:r w:rsidR="00CE4A2C" w:rsidRPr="005A654B">
              <w:rPr>
                <w:rFonts w:ascii="Arial Narrow" w:hAnsi="Arial Narrow" w:cs="Arial"/>
                <w:sz w:val="20"/>
                <w:szCs w:val="20"/>
              </w:rPr>
              <w:t>mcg</w:t>
            </w:r>
            <w:r w:rsidR="0041071A" w:rsidRPr="005A654B">
              <w:rPr>
                <w:rFonts w:ascii="Arial Narrow" w:hAnsi="Arial Narrow" w:cs="Arial"/>
                <w:sz w:val="20"/>
                <w:szCs w:val="20"/>
              </w:rPr>
              <w:t xml:space="preserve"> single dose</w:t>
            </w:r>
            <w:r w:rsidR="00CE4A2C" w:rsidRPr="005A654B">
              <w:rPr>
                <w:rFonts w:ascii="Arial Narrow" w:hAnsi="Arial Narrow" w:cs="Arial"/>
                <w:sz w:val="20"/>
                <w:szCs w:val="20"/>
              </w:rPr>
              <w:t xml:space="preserve"> in 0</w:t>
            </w:r>
            <w:r w:rsidR="00CE4A2C">
              <w:rPr>
                <w:rFonts w:ascii="Arial Narrow" w:hAnsi="Arial Narrow" w:cs="Arial"/>
                <w:sz w:val="20"/>
                <w:szCs w:val="20"/>
              </w:rPr>
              <w:t>.5mL</w:t>
            </w:r>
            <w:r w:rsidR="00826F6D" w:rsidRPr="00260CE3">
              <w:rPr>
                <w:rFonts w:ascii="Arial Narrow" w:hAnsi="Arial Narrow" w:cs="Arial"/>
                <w:sz w:val="20"/>
                <w:szCs w:val="20"/>
              </w:rPr>
              <w:t xml:space="preserve"> </w:t>
            </w:r>
          </w:p>
        </w:tc>
        <w:tc>
          <w:tcPr>
            <w:tcW w:w="424"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0538CE"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508"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5A654B" w:rsidP="00EB0B63">
            <w:pPr>
              <w:keepNext/>
              <w:spacing w:before="40" w:after="40"/>
              <w:jc w:val="both"/>
              <w:rPr>
                <w:rFonts w:ascii="Arial Narrow" w:hAnsi="Arial Narrow" w:cs="Arial"/>
                <w:sz w:val="20"/>
                <w:szCs w:val="20"/>
              </w:rPr>
            </w:pPr>
            <w:r>
              <w:rPr>
                <w:rFonts w:ascii="Arial Narrow" w:hAnsi="Arial Narrow" w:cs="Arial"/>
                <w:sz w:val="20"/>
                <w:szCs w:val="20"/>
              </w:rPr>
              <w:t>0</w:t>
            </w:r>
          </w:p>
        </w:tc>
        <w:tc>
          <w:tcPr>
            <w:tcW w:w="914"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826F6D" w:rsidP="002A1006">
            <w:pPr>
              <w:keepNext/>
              <w:spacing w:before="40" w:after="40"/>
              <w:jc w:val="both"/>
              <w:rPr>
                <w:rFonts w:ascii="Arial Narrow" w:hAnsi="Arial Narrow" w:cs="Arial"/>
                <w:sz w:val="20"/>
                <w:szCs w:val="20"/>
              </w:rPr>
            </w:pPr>
            <w:r w:rsidRPr="002A1006">
              <w:rPr>
                <w:rFonts w:ascii="Arial Narrow" w:hAnsi="Arial Narrow" w:cs="Arial"/>
                <w:sz w:val="20"/>
                <w:szCs w:val="20"/>
              </w:rPr>
              <w:t>$</w:t>
            </w:r>
            <w:r w:rsidR="00B9700A">
              <w:rPr>
                <w:rFonts w:ascii="Arial Narrow" w:hAnsi="Arial Narrow" w:cs="Arial"/>
                <w:noProof/>
                <w:color w:val="000000"/>
                <w:sz w:val="20"/>
                <w:szCs w:val="20"/>
                <w:highlight w:val="black"/>
              </w:rPr>
              <w:t>''''''''''</w:t>
            </w:r>
          </w:p>
        </w:tc>
        <w:tc>
          <w:tcPr>
            <w:tcW w:w="393" w:type="pct"/>
          </w:tcPr>
          <w:p w:rsidR="00C27B58" w:rsidRDefault="00C27B58" w:rsidP="00EB0B63">
            <w:pPr>
              <w:keepNext/>
              <w:spacing w:before="40" w:after="40"/>
              <w:jc w:val="both"/>
              <w:rPr>
                <w:rFonts w:ascii="Arial Narrow" w:hAnsi="Arial Narrow" w:cs="Arial"/>
                <w:sz w:val="20"/>
                <w:szCs w:val="20"/>
              </w:rPr>
            </w:pPr>
          </w:p>
          <w:p w:rsidR="00826F6D" w:rsidRPr="00260CE3" w:rsidRDefault="00CE4A2C" w:rsidP="00EB0B63">
            <w:pPr>
              <w:keepNext/>
              <w:spacing w:before="40" w:after="40"/>
              <w:jc w:val="both"/>
              <w:rPr>
                <w:rFonts w:ascii="Arial Narrow" w:hAnsi="Arial Narrow" w:cs="Arial"/>
                <w:sz w:val="20"/>
                <w:szCs w:val="20"/>
              </w:rPr>
            </w:pPr>
            <w:proofErr w:type="spellStart"/>
            <w:r>
              <w:rPr>
                <w:rFonts w:ascii="Arial Narrow" w:hAnsi="Arial Narrow" w:cs="Arial"/>
                <w:sz w:val="20"/>
                <w:szCs w:val="20"/>
              </w:rPr>
              <w:t>Flu</w:t>
            </w:r>
            <w:r w:rsidR="00492074">
              <w:rPr>
                <w:rFonts w:ascii="Arial Narrow" w:hAnsi="Arial Narrow" w:cs="Arial"/>
                <w:sz w:val="20"/>
                <w:szCs w:val="20"/>
              </w:rPr>
              <w:t>zone</w:t>
            </w:r>
            <w:proofErr w:type="spellEnd"/>
          </w:p>
        </w:tc>
        <w:tc>
          <w:tcPr>
            <w:tcW w:w="895" w:type="pct"/>
            <w:gridSpan w:val="2"/>
          </w:tcPr>
          <w:p w:rsidR="00C27B58" w:rsidRDefault="00C27B58" w:rsidP="00EB0B63">
            <w:pPr>
              <w:keepNext/>
              <w:spacing w:before="40" w:after="40"/>
              <w:jc w:val="both"/>
              <w:rPr>
                <w:rFonts w:ascii="Arial Narrow" w:hAnsi="Arial Narrow" w:cs="Arial"/>
                <w:sz w:val="20"/>
                <w:szCs w:val="20"/>
              </w:rPr>
            </w:pPr>
          </w:p>
          <w:p w:rsidR="00826F6D" w:rsidRPr="00260CE3" w:rsidRDefault="0007163B" w:rsidP="00CE4A2C">
            <w:pPr>
              <w:keepNext/>
              <w:spacing w:before="40" w:after="40"/>
              <w:jc w:val="both"/>
              <w:rPr>
                <w:rFonts w:ascii="Arial Narrow" w:hAnsi="Arial Narrow" w:cs="Arial"/>
                <w:sz w:val="20"/>
                <w:szCs w:val="20"/>
              </w:rPr>
            </w:pPr>
            <w:proofErr w:type="spellStart"/>
            <w:r>
              <w:rPr>
                <w:rFonts w:ascii="Arial Narrow" w:hAnsi="Arial Narrow" w:cs="Arial"/>
                <w:sz w:val="20"/>
                <w:szCs w:val="20"/>
              </w:rPr>
              <w:t>S</w:t>
            </w:r>
            <w:r w:rsidR="0098747B" w:rsidRPr="00905799">
              <w:rPr>
                <w:rFonts w:ascii="Arial Narrow" w:hAnsi="Arial Narrow" w:cs="Arial"/>
                <w:sz w:val="20"/>
                <w:szCs w:val="20"/>
              </w:rPr>
              <w:t>anofi-aventis</w:t>
            </w:r>
            <w:proofErr w:type="spellEnd"/>
            <w:r w:rsidR="0098747B" w:rsidRPr="00905799">
              <w:rPr>
                <w:rFonts w:ascii="Arial Narrow" w:hAnsi="Arial Narrow" w:cs="Arial"/>
                <w:sz w:val="20"/>
                <w:szCs w:val="20"/>
              </w:rPr>
              <w:t xml:space="preserve"> Australia </w:t>
            </w:r>
            <w:r>
              <w:rPr>
                <w:rFonts w:ascii="Arial Narrow" w:hAnsi="Arial Narrow" w:cs="Arial"/>
                <w:sz w:val="20"/>
                <w:szCs w:val="20"/>
              </w:rPr>
              <w:t>P</w:t>
            </w:r>
            <w:r w:rsidR="0098747B" w:rsidRPr="00905799">
              <w:rPr>
                <w:rFonts w:ascii="Arial Narrow" w:hAnsi="Arial Narrow" w:cs="Arial"/>
                <w:sz w:val="20"/>
                <w:szCs w:val="20"/>
              </w:rPr>
              <w:t xml:space="preserve">ty </w:t>
            </w:r>
            <w:r>
              <w:rPr>
                <w:rFonts w:ascii="Arial Narrow" w:hAnsi="Arial Narrow" w:cs="Arial"/>
                <w:sz w:val="20"/>
                <w:szCs w:val="20"/>
              </w:rPr>
              <w:t>L</w:t>
            </w:r>
            <w:r w:rsidR="0098747B" w:rsidRPr="00905799">
              <w:rPr>
                <w:rFonts w:ascii="Arial Narrow" w:hAnsi="Arial Narrow" w:cs="Arial"/>
                <w:sz w:val="20"/>
                <w:szCs w:val="20"/>
              </w:rPr>
              <w:t>td</w:t>
            </w:r>
            <w:r w:rsidR="0098747B">
              <w:t xml:space="preserve"> </w:t>
            </w:r>
          </w:p>
        </w:tc>
      </w:tr>
      <w:tr w:rsidR="00826F6D" w:rsidRPr="00260CE3" w:rsidTr="003F3228">
        <w:trPr>
          <w:gridAfter w:val="1"/>
          <w:wAfter w:w="499" w:type="pct"/>
          <w:cantSplit/>
          <w:trHeight w:val="360"/>
        </w:trPr>
        <w:tc>
          <w:tcPr>
            <w:tcW w:w="4501" w:type="pct"/>
            <w:gridSpan w:val="6"/>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bl>
    <w:p w:rsidR="00611060" w:rsidRDefault="00611060" w:rsidP="00611060">
      <w:pPr>
        <w:pStyle w:val="ListParagraph"/>
        <w:ind w:left="709"/>
        <w:rPr>
          <w:rFonts w:asciiTheme="minorHAnsi" w:hAnsiTheme="minorHAnsi"/>
          <w:i/>
          <w:highlight w:val="yellow"/>
        </w:rPr>
      </w:pPr>
    </w:p>
    <w:p w:rsidR="00F9629A" w:rsidRPr="00352EF6" w:rsidRDefault="00611060" w:rsidP="00352EF6">
      <w:pPr>
        <w:spacing w:after="120"/>
        <w:rPr>
          <w:rFonts w:asciiTheme="minorHAnsi" w:eastAsiaTheme="minorHAnsi" w:hAnsiTheme="minorHAnsi" w:cstheme="minorBidi"/>
          <w:i/>
          <w:szCs w:val="22"/>
        </w:rPr>
      </w:pPr>
      <w:r w:rsidRPr="003974C8">
        <w:rPr>
          <w:rFonts w:asciiTheme="minorHAnsi" w:eastAsiaTheme="minorHAnsi" w:hAnsiTheme="minorHAnsi" w:cstheme="minorBidi"/>
          <w:i/>
          <w:szCs w:val="22"/>
        </w:rPr>
        <w:t>For more detail on PBAC’s view, see section 7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1455B1" w:rsidRPr="003974C8" w:rsidRDefault="003D1E8C" w:rsidP="00F149F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974C8">
        <w:rPr>
          <w:rFonts w:asciiTheme="minorHAnsi" w:eastAsiaTheme="minorHAnsi" w:hAnsiTheme="minorHAnsi" w:cstheme="minorBidi"/>
          <w:snapToGrid/>
          <w:sz w:val="24"/>
          <w:szCs w:val="22"/>
        </w:rPr>
        <w:t>TIV-HD</w:t>
      </w:r>
      <w:r w:rsidR="00476245" w:rsidRPr="003974C8">
        <w:rPr>
          <w:rFonts w:asciiTheme="minorHAnsi" w:eastAsiaTheme="minorHAnsi" w:hAnsiTheme="minorHAnsi" w:cstheme="minorBidi"/>
          <w:snapToGrid/>
          <w:sz w:val="24"/>
          <w:szCs w:val="22"/>
        </w:rPr>
        <w:t xml:space="preserve"> </w:t>
      </w:r>
      <w:r w:rsidR="0091106E" w:rsidRPr="003974C8">
        <w:rPr>
          <w:rFonts w:asciiTheme="minorHAnsi" w:eastAsiaTheme="minorHAnsi" w:hAnsiTheme="minorHAnsi" w:cstheme="minorBidi"/>
          <w:snapToGrid/>
          <w:sz w:val="24"/>
          <w:szCs w:val="22"/>
        </w:rPr>
        <w:t>received</w:t>
      </w:r>
      <w:r w:rsidR="00476245" w:rsidRPr="003974C8">
        <w:rPr>
          <w:rFonts w:asciiTheme="minorHAnsi" w:eastAsiaTheme="minorHAnsi" w:hAnsiTheme="minorHAnsi" w:cstheme="minorBidi"/>
          <w:snapToGrid/>
          <w:sz w:val="24"/>
          <w:szCs w:val="22"/>
        </w:rPr>
        <w:t xml:space="preserve"> </w:t>
      </w:r>
      <w:r w:rsidR="003974C8" w:rsidRPr="003974C8">
        <w:rPr>
          <w:rFonts w:asciiTheme="minorHAnsi" w:hAnsiTheme="minorHAnsi" w:cstheme="minorHAnsi"/>
        </w:rPr>
        <w:t>TGA registration in December 2017</w:t>
      </w:r>
      <w:r w:rsidR="003974C8">
        <w:rPr>
          <w:rFonts w:asciiTheme="minorHAnsi" w:hAnsiTheme="minorHAnsi" w:cstheme="minorHAnsi"/>
        </w:rPr>
        <w:t xml:space="preserve"> for:</w:t>
      </w:r>
    </w:p>
    <w:p w:rsidR="001455B1" w:rsidRPr="00F149F1" w:rsidRDefault="001455B1" w:rsidP="000144E2">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szCs w:val="22"/>
        </w:rPr>
      </w:pPr>
      <w:proofErr w:type="gramStart"/>
      <w:r w:rsidRPr="00905799">
        <w:rPr>
          <w:rFonts w:asciiTheme="minorHAnsi" w:eastAsiaTheme="minorHAnsi" w:hAnsiTheme="minorHAnsi" w:cstheme="minorBidi"/>
          <w:snapToGrid/>
          <w:sz w:val="24"/>
          <w:szCs w:val="22"/>
        </w:rPr>
        <w:t>active</w:t>
      </w:r>
      <w:proofErr w:type="gramEnd"/>
      <w:r w:rsidRPr="00905799">
        <w:rPr>
          <w:rFonts w:asciiTheme="minorHAnsi" w:eastAsiaTheme="minorHAnsi" w:hAnsiTheme="minorHAnsi" w:cstheme="minorBidi"/>
          <w:snapToGrid/>
          <w:sz w:val="24"/>
          <w:szCs w:val="22"/>
        </w:rPr>
        <w:t xml:space="preserve"> immunisation against influenza disease caused by influenza virus subtypes A and type B contained in the vaccine for use in persons 65 years and older.</w:t>
      </w:r>
    </w:p>
    <w:p w:rsidR="005E49BE" w:rsidRDefault="003D1E8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TIV-HD </w:t>
      </w:r>
      <w:r w:rsidR="005E49BE">
        <w:rPr>
          <w:rFonts w:asciiTheme="minorHAnsi" w:eastAsiaTheme="minorHAnsi" w:hAnsiTheme="minorHAnsi" w:cstheme="minorBidi"/>
          <w:snapToGrid/>
          <w:sz w:val="24"/>
          <w:szCs w:val="22"/>
        </w:rPr>
        <w:t xml:space="preserve">has not previously been considered by the PBAC.  Previous influenza vaccine considerations </w:t>
      </w:r>
      <w:r w:rsidR="001455B1">
        <w:rPr>
          <w:rFonts w:asciiTheme="minorHAnsi" w:eastAsiaTheme="minorHAnsi" w:hAnsiTheme="minorHAnsi" w:cstheme="minorBidi"/>
          <w:snapToGrid/>
          <w:sz w:val="24"/>
          <w:szCs w:val="22"/>
        </w:rPr>
        <w:t>since 2005 are</w:t>
      </w:r>
      <w:r w:rsidR="005E49BE">
        <w:rPr>
          <w:rFonts w:asciiTheme="minorHAnsi" w:eastAsiaTheme="minorHAnsi" w:hAnsiTheme="minorHAnsi" w:cstheme="minorBidi"/>
          <w:snapToGrid/>
          <w:sz w:val="24"/>
          <w:szCs w:val="22"/>
        </w:rPr>
        <w:t>:</w:t>
      </w:r>
    </w:p>
    <w:p w:rsidR="00245C75" w:rsidRDefault="00245C75">
      <w:pPr>
        <w:rPr>
          <w:rFonts w:ascii="Arial" w:hAnsi="Arial" w:cs="Arial"/>
          <w:b/>
          <w:snapToGrid w:val="0"/>
          <w:sz w:val="22"/>
          <w:szCs w:val="22"/>
          <w:lang w:eastAsia="en-US"/>
        </w:rPr>
      </w:pPr>
      <w:r>
        <w:br w:type="page"/>
      </w:r>
    </w:p>
    <w:p w:rsidR="00A6367B" w:rsidRPr="00596F15" w:rsidRDefault="00A6367B" w:rsidP="00A6367B">
      <w:pPr>
        <w:pStyle w:val="Caption"/>
        <w:keepNext/>
        <w:rPr>
          <w:rFonts w:ascii="Arial Narrow" w:hAnsi="Arial Narrow"/>
          <w:color w:val="auto"/>
          <w:sz w:val="20"/>
          <w:szCs w:val="20"/>
        </w:rPr>
      </w:pPr>
      <w:r w:rsidRPr="00596F15">
        <w:rPr>
          <w:rFonts w:ascii="Arial Narrow" w:hAnsi="Arial Narrow"/>
          <w:color w:val="auto"/>
          <w:sz w:val="20"/>
          <w:szCs w:val="20"/>
        </w:rPr>
        <w:lastRenderedPageBreak/>
        <w:t xml:space="preserve">Table </w:t>
      </w:r>
      <w:r w:rsidRPr="00596F15">
        <w:rPr>
          <w:rFonts w:ascii="Arial Narrow" w:hAnsi="Arial Narrow"/>
          <w:color w:val="auto"/>
          <w:sz w:val="20"/>
          <w:szCs w:val="20"/>
        </w:rPr>
        <w:fldChar w:fldCharType="begin"/>
      </w:r>
      <w:r w:rsidRPr="00596F15">
        <w:rPr>
          <w:rFonts w:ascii="Arial Narrow" w:hAnsi="Arial Narrow"/>
          <w:color w:val="auto"/>
          <w:sz w:val="20"/>
          <w:szCs w:val="20"/>
        </w:rPr>
        <w:instrText xml:space="preserve"> SEQ Table \* ARABIC </w:instrText>
      </w:r>
      <w:r w:rsidRPr="00596F15">
        <w:rPr>
          <w:rFonts w:ascii="Arial Narrow" w:hAnsi="Arial Narrow"/>
          <w:color w:val="auto"/>
          <w:sz w:val="20"/>
          <w:szCs w:val="20"/>
        </w:rPr>
        <w:fldChar w:fldCharType="separate"/>
      </w:r>
      <w:r w:rsidRPr="00596F15">
        <w:rPr>
          <w:rFonts w:ascii="Arial Narrow" w:hAnsi="Arial Narrow"/>
          <w:noProof/>
          <w:color w:val="auto"/>
          <w:sz w:val="20"/>
          <w:szCs w:val="20"/>
        </w:rPr>
        <w:t>1</w:t>
      </w:r>
      <w:r w:rsidRPr="00596F15">
        <w:rPr>
          <w:rFonts w:ascii="Arial Narrow" w:hAnsi="Arial Narrow"/>
          <w:color w:val="auto"/>
          <w:sz w:val="20"/>
          <w:szCs w:val="20"/>
        </w:rPr>
        <w:fldChar w:fldCharType="end"/>
      </w:r>
      <w:r w:rsidRPr="00596F15">
        <w:rPr>
          <w:rFonts w:ascii="Arial Narrow" w:hAnsi="Arial Narrow"/>
          <w:color w:val="auto"/>
          <w:sz w:val="20"/>
          <w:szCs w:val="20"/>
        </w:rPr>
        <w:t xml:space="preserve"> PBAC considerations of influenza vaccines</w:t>
      </w:r>
    </w:p>
    <w:tbl>
      <w:tblPr>
        <w:tblStyle w:val="TableGrid"/>
        <w:tblW w:w="0" w:type="auto"/>
        <w:tblInd w:w="720" w:type="dxa"/>
        <w:tblLook w:val="04A0" w:firstRow="1" w:lastRow="0" w:firstColumn="1" w:lastColumn="0" w:noHBand="0" w:noVBand="1"/>
      </w:tblPr>
      <w:tblGrid>
        <w:gridCol w:w="1891"/>
        <w:gridCol w:w="1393"/>
        <w:gridCol w:w="1495"/>
        <w:gridCol w:w="2066"/>
        <w:gridCol w:w="1677"/>
      </w:tblGrid>
      <w:tr w:rsidR="00710D0E" w:rsidRPr="00D222D8" w:rsidTr="00A15BB7">
        <w:tc>
          <w:tcPr>
            <w:tcW w:w="1891" w:type="dxa"/>
          </w:tcPr>
          <w:p w:rsidR="00710D0E" w:rsidRPr="00D222D8" w:rsidRDefault="00710D0E" w:rsidP="00A15BB7">
            <w:pPr>
              <w:pStyle w:val="ListParagraph"/>
              <w:widowControl/>
              <w:spacing w:before="120" w:after="160"/>
              <w:ind w:left="0"/>
              <w:contextualSpacing w:val="0"/>
              <w:rPr>
                <w:rFonts w:ascii="Arial Narrow" w:eastAsiaTheme="minorHAnsi" w:hAnsi="Arial Narrow" w:cstheme="minorBidi"/>
                <w:b/>
                <w:snapToGrid/>
                <w:sz w:val="20"/>
              </w:rPr>
            </w:pPr>
            <w:r w:rsidRPr="00D222D8">
              <w:rPr>
                <w:rFonts w:ascii="Arial Narrow" w:eastAsiaTheme="minorHAnsi" w:hAnsi="Arial Narrow" w:cstheme="minorBidi"/>
                <w:b/>
                <w:snapToGrid/>
                <w:sz w:val="20"/>
              </w:rPr>
              <w:t>Item considered</w:t>
            </w:r>
          </w:p>
        </w:tc>
        <w:tc>
          <w:tcPr>
            <w:tcW w:w="1393" w:type="dxa"/>
          </w:tcPr>
          <w:p w:rsidR="00710D0E" w:rsidRPr="00D222D8" w:rsidRDefault="00710D0E" w:rsidP="00A15BB7">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Date</w:t>
            </w:r>
          </w:p>
        </w:tc>
        <w:tc>
          <w:tcPr>
            <w:tcW w:w="1495" w:type="dxa"/>
          </w:tcPr>
          <w:p w:rsidR="00710D0E" w:rsidRPr="00D222D8" w:rsidRDefault="00710D0E" w:rsidP="00A15BB7">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Purpose</w:t>
            </w:r>
          </w:p>
        </w:tc>
        <w:tc>
          <w:tcPr>
            <w:tcW w:w="2066" w:type="dxa"/>
          </w:tcPr>
          <w:p w:rsidR="00710D0E" w:rsidRPr="00D222D8" w:rsidRDefault="00710D0E" w:rsidP="00A15BB7">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Outcome</w:t>
            </w:r>
          </w:p>
        </w:tc>
        <w:tc>
          <w:tcPr>
            <w:tcW w:w="1677" w:type="dxa"/>
          </w:tcPr>
          <w:p w:rsidR="00710D0E" w:rsidRPr="00D222D8" w:rsidRDefault="00710D0E" w:rsidP="00A15BB7">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Model</w:t>
            </w:r>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Influenza vaccine (</w:t>
            </w:r>
            <w:proofErr w:type="spellStart"/>
            <w:r w:rsidRPr="00D222D8">
              <w:rPr>
                <w:rFonts w:ascii="Arial Narrow" w:eastAsiaTheme="minorHAnsi" w:hAnsi="Arial Narrow" w:cstheme="minorBidi"/>
                <w:snapToGrid/>
                <w:sz w:val="20"/>
              </w:rPr>
              <w:t>Fluarix</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Flubax</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Influvac</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Vaxigrip</w:t>
            </w:r>
            <w:proofErr w:type="spellEnd"/>
            <w:r w:rsidRPr="00D222D8">
              <w:rPr>
                <w:rFonts w:ascii="Arial Narrow" w:eastAsiaTheme="minorHAnsi" w:hAnsi="Arial Narrow" w:cstheme="minorBidi"/>
                <w:snapToGrid/>
                <w:sz w:val="20"/>
              </w:rPr>
              <w:t>)</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November 2007</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NIP listing for all Australians over 50 years of age</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Rejected due to uncertainty of clinical benefits and the results of the modelled </w:t>
            </w:r>
            <w:r w:rsidR="00352EF6" w:rsidRPr="00D222D8">
              <w:rPr>
                <w:rFonts w:ascii="Arial Narrow" w:eastAsiaTheme="minorHAnsi" w:hAnsi="Arial Narrow" w:cstheme="minorBidi"/>
                <w:sz w:val="20"/>
                <w:szCs w:val="20"/>
              </w:rPr>
              <w:t>economic</w:t>
            </w:r>
            <w:r w:rsidRPr="00D222D8">
              <w:rPr>
                <w:rFonts w:ascii="Arial Narrow" w:eastAsiaTheme="minorHAnsi" w:hAnsi="Arial Narrow" w:cstheme="minorBidi"/>
                <w:sz w:val="20"/>
                <w:szCs w:val="20"/>
              </w:rPr>
              <w:t xml:space="preserve"> evaluation and outcomes.</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Current influenza vaccination practice in the 50-64 age group</w:t>
            </w:r>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Influenza vaccine (</w:t>
            </w:r>
            <w:proofErr w:type="spellStart"/>
            <w:r w:rsidRPr="00D222D8">
              <w:rPr>
                <w:rFonts w:ascii="Arial Narrow" w:eastAsiaTheme="minorHAnsi" w:hAnsi="Arial Narrow" w:cstheme="minorBidi"/>
                <w:snapToGrid/>
                <w:sz w:val="20"/>
              </w:rPr>
              <w:t>Intanza</w:t>
            </w:r>
            <w:proofErr w:type="spellEnd"/>
            <w:r w:rsidRPr="00D222D8">
              <w:rPr>
                <w:rFonts w:ascii="Arial Narrow" w:eastAsiaTheme="minorHAnsi" w:hAnsi="Arial Narrow" w:cstheme="minorBidi"/>
                <w:snapToGrid/>
                <w:sz w:val="20"/>
              </w:rPr>
              <w:t>)</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2009</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NIP listing for patients aged 65 and older via intradermal route</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current NIP funded vaccines for this age group </w:t>
            </w:r>
            <w:proofErr w:type="spellStart"/>
            <w:r w:rsidRPr="00D222D8">
              <w:rPr>
                <w:rFonts w:ascii="Arial Narrow" w:eastAsiaTheme="minorHAnsi" w:hAnsi="Arial Narrow" w:cstheme="minorBidi"/>
                <w:sz w:val="20"/>
                <w:szCs w:val="20"/>
              </w:rPr>
              <w:t>eg</w:t>
            </w:r>
            <w:proofErr w:type="spellEnd"/>
            <w:r w:rsidRPr="00D222D8">
              <w:rPr>
                <w:rFonts w:ascii="Arial Narrow" w:eastAsiaTheme="minorHAnsi" w:hAnsi="Arial Narrow" w:cstheme="minorBidi"/>
                <w:sz w:val="20"/>
                <w:szCs w:val="20"/>
              </w:rPr>
              <w:t xml:space="preserve"> </w:t>
            </w:r>
            <w:proofErr w:type="spellStart"/>
            <w:r w:rsidRPr="00D222D8">
              <w:rPr>
                <w:rFonts w:ascii="Arial Narrow" w:eastAsiaTheme="minorHAnsi" w:hAnsi="Arial Narrow" w:cstheme="minorBidi"/>
                <w:sz w:val="20"/>
                <w:szCs w:val="20"/>
              </w:rPr>
              <w:t>Vaxigrip</w:t>
            </w:r>
            <w:proofErr w:type="spellEnd"/>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Trivalent influenza vaccine</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2014</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Extend NIP schedule to include vaccination for Indigenous children aged 6 months to 5 years of age</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Compared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trivalent </w:t>
            </w:r>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vaccine (</w:t>
            </w:r>
            <w:proofErr w:type="spellStart"/>
            <w:r w:rsidRPr="00D222D8">
              <w:rPr>
                <w:rFonts w:ascii="Arial Narrow" w:eastAsiaTheme="minorHAnsi" w:hAnsi="Arial Narrow" w:cstheme="minorBidi"/>
                <w:snapToGrid/>
                <w:sz w:val="20"/>
              </w:rPr>
              <w:t>Fluarix</w:t>
            </w:r>
            <w:proofErr w:type="spellEnd"/>
            <w:r w:rsidRPr="00D222D8">
              <w:rPr>
                <w:rFonts w:ascii="Arial Narrow" w:eastAsiaTheme="minorHAnsi" w:hAnsi="Arial Narrow" w:cstheme="minorBidi"/>
                <w:snapToGrid/>
                <w:sz w:val="20"/>
              </w:rPr>
              <w:t xml:space="preserve"> Tetra)</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March 2015</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People 3 to 9 years and 9 years and older</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 (did not recommend expanding beyond existing NIP covered population due to lack of evidence)</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trivalent influenza vaccine</w:t>
            </w:r>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vaccine (</w:t>
            </w:r>
            <w:proofErr w:type="spellStart"/>
            <w:r w:rsidRPr="00D222D8">
              <w:rPr>
                <w:rFonts w:ascii="Arial Narrow" w:eastAsiaTheme="minorHAnsi" w:hAnsi="Arial Narrow" w:cstheme="minorBidi"/>
                <w:snapToGrid/>
                <w:sz w:val="20"/>
              </w:rPr>
              <w:t>Quadri</w:t>
            </w:r>
            <w:proofErr w:type="spellEnd"/>
            <w:r w:rsidRPr="00D222D8">
              <w:rPr>
                <w:rFonts w:ascii="Arial Narrow" w:eastAsiaTheme="minorHAnsi" w:hAnsi="Arial Narrow" w:cstheme="minorBidi"/>
                <w:snapToGrid/>
                <w:sz w:val="20"/>
              </w:rPr>
              <w:t xml:space="preserve"> Flu Junior and </w:t>
            </w:r>
            <w:proofErr w:type="spellStart"/>
            <w:r w:rsidRPr="00D222D8">
              <w:rPr>
                <w:rFonts w:ascii="Arial Narrow" w:eastAsiaTheme="minorHAnsi" w:hAnsi="Arial Narrow" w:cstheme="minorBidi"/>
                <w:snapToGrid/>
                <w:sz w:val="20"/>
              </w:rPr>
              <w:t>FluQuadri</w:t>
            </w:r>
            <w:proofErr w:type="spellEnd"/>
            <w:r w:rsidRPr="00D222D8">
              <w:rPr>
                <w:rFonts w:ascii="Arial Narrow" w:eastAsiaTheme="minorHAnsi" w:hAnsi="Arial Narrow" w:cstheme="minorBidi"/>
                <w:snapToGrid/>
                <w:sz w:val="20"/>
              </w:rPr>
              <w:t>)</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2015</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NIP listing for children aged 6 months to under 3 years of age, 3 to 9 years and above 9 years </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Tetra (&gt;36 months of age) and Flu </w:t>
            </w:r>
            <w:proofErr w:type="spellStart"/>
            <w:r w:rsidRPr="00D222D8">
              <w:rPr>
                <w:rFonts w:ascii="Arial Narrow" w:eastAsiaTheme="minorHAnsi" w:hAnsi="Arial Narrow" w:cstheme="minorBidi"/>
                <w:sz w:val="20"/>
                <w:szCs w:val="20"/>
              </w:rPr>
              <w:t>Quadri</w:t>
            </w:r>
            <w:proofErr w:type="spellEnd"/>
            <w:r w:rsidRPr="00D222D8">
              <w:rPr>
                <w:rFonts w:ascii="Arial Narrow" w:eastAsiaTheme="minorHAnsi" w:hAnsi="Arial Narrow" w:cstheme="minorBidi"/>
                <w:sz w:val="20"/>
                <w:szCs w:val="20"/>
              </w:rPr>
              <w:t xml:space="preserve"> for 6-&lt;36 months, TIV was appropriate</w:t>
            </w:r>
          </w:p>
        </w:tc>
      </w:tr>
      <w:tr w:rsidR="00710D0E" w:rsidRPr="00D222D8" w:rsidTr="00A15BB7">
        <w:tc>
          <w:tcPr>
            <w:tcW w:w="1891" w:type="dxa"/>
          </w:tcPr>
          <w:p w:rsidR="00710D0E" w:rsidRPr="00D222D8" w:rsidRDefault="00710D0E" w:rsidP="00A15BB7">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vaccination (Afluria Quad)</w:t>
            </w:r>
          </w:p>
        </w:tc>
        <w:tc>
          <w:tcPr>
            <w:tcW w:w="1393"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August 2016</w:t>
            </w:r>
          </w:p>
        </w:tc>
        <w:tc>
          <w:tcPr>
            <w:tcW w:w="1495"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Add a new item to the NIP for adults</w:t>
            </w:r>
          </w:p>
        </w:tc>
        <w:tc>
          <w:tcPr>
            <w:tcW w:w="2066"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10D0E" w:rsidRPr="00D222D8" w:rsidRDefault="00710D0E" w:rsidP="00A15BB7">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Tetra </w:t>
            </w:r>
          </w:p>
        </w:tc>
      </w:tr>
    </w:tbl>
    <w:p w:rsidR="003974C8" w:rsidRPr="00D323F1" w:rsidRDefault="003974C8" w:rsidP="003974C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135BE">
        <w:rPr>
          <w:rFonts w:asciiTheme="minorHAnsi" w:eastAsiaTheme="minorHAnsi" w:hAnsiTheme="minorHAnsi" w:cstheme="minorBidi"/>
          <w:snapToGrid/>
          <w:sz w:val="24"/>
        </w:rPr>
        <w:t>The submission was prepared in response to liaison with the company from the Chief Medical Officer following the outcomes of the 2017 influenza season in Australia.  Given the</w:t>
      </w:r>
      <w:r w:rsidR="001B53D9" w:rsidRPr="009135BE">
        <w:rPr>
          <w:rFonts w:asciiTheme="minorHAnsi" w:eastAsiaTheme="minorHAnsi" w:hAnsiTheme="minorHAnsi" w:cstheme="minorBidi"/>
          <w:snapToGrid/>
          <w:sz w:val="24"/>
        </w:rPr>
        <w:t xml:space="preserve"> experience of the</w:t>
      </w:r>
      <w:r w:rsidRPr="009135BE">
        <w:rPr>
          <w:rFonts w:asciiTheme="minorHAnsi" w:eastAsiaTheme="minorHAnsi" w:hAnsiTheme="minorHAnsi" w:cstheme="minorBidi"/>
          <w:snapToGrid/>
          <w:sz w:val="24"/>
        </w:rPr>
        <w:t xml:space="preserve"> 2017 influenza season, </w:t>
      </w:r>
      <w:r w:rsidR="001B53D9" w:rsidRPr="009135BE">
        <w:rPr>
          <w:rFonts w:asciiTheme="minorHAnsi" w:eastAsiaTheme="minorHAnsi" w:hAnsiTheme="minorHAnsi" w:cstheme="minorBidi"/>
          <w:snapToGrid/>
          <w:sz w:val="24"/>
        </w:rPr>
        <w:t>to contribute to the Government’s response to public health concerns around</w:t>
      </w:r>
      <w:r w:rsidRPr="009135BE">
        <w:rPr>
          <w:rFonts w:asciiTheme="minorHAnsi" w:eastAsiaTheme="minorHAnsi" w:hAnsiTheme="minorHAnsi" w:cstheme="minorBidi"/>
          <w:snapToGrid/>
          <w:sz w:val="24"/>
        </w:rPr>
        <w:t xml:space="preserve"> the 2018 influenza season </w:t>
      </w:r>
      <w:r w:rsidR="009C5D5B" w:rsidRPr="009135BE">
        <w:rPr>
          <w:rFonts w:asciiTheme="minorHAnsi" w:eastAsiaTheme="minorHAnsi" w:hAnsiTheme="minorHAnsi" w:cstheme="minorBidi"/>
          <w:snapToGrid/>
          <w:sz w:val="24"/>
        </w:rPr>
        <w:t>Sanofi</w:t>
      </w:r>
      <w:r w:rsidRPr="009135BE">
        <w:rPr>
          <w:rFonts w:asciiTheme="minorHAnsi" w:eastAsiaTheme="minorHAnsi" w:hAnsiTheme="minorHAnsi" w:cstheme="minorBidi"/>
          <w:snapToGrid/>
          <w:sz w:val="24"/>
        </w:rPr>
        <w:t xml:space="preserve"> made the submission on a cost-minimisation basis to the current standard of care </w:t>
      </w:r>
      <w:proofErr w:type="spellStart"/>
      <w:r w:rsidRPr="009135BE">
        <w:rPr>
          <w:rFonts w:asciiTheme="minorHAnsi" w:eastAsiaTheme="minorHAnsi" w:hAnsiTheme="minorHAnsi" w:cstheme="minorBidi"/>
          <w:snapToGrid/>
          <w:sz w:val="24"/>
        </w:rPr>
        <w:t>quadrivalent</w:t>
      </w:r>
      <w:proofErr w:type="spellEnd"/>
      <w:r w:rsidRPr="009135BE">
        <w:rPr>
          <w:rFonts w:asciiTheme="minorHAnsi" w:eastAsiaTheme="minorHAnsi" w:hAnsiTheme="minorHAnsi" w:cstheme="minorBidi"/>
          <w:snapToGrid/>
          <w:sz w:val="24"/>
        </w:rPr>
        <w:t xml:space="preserve"> influenza vaccine (QIV),</w:t>
      </w:r>
      <w:r w:rsidR="001B53D9" w:rsidRPr="009135BE">
        <w:rPr>
          <w:rFonts w:asciiTheme="minorHAnsi" w:eastAsiaTheme="minorHAnsi" w:hAnsiTheme="minorHAnsi" w:cstheme="minorBidi"/>
          <w:snapToGrid/>
          <w:sz w:val="24"/>
        </w:rPr>
        <w:t xml:space="preserve"> in the interests of public health. Sanofi intend</w:t>
      </w:r>
      <w:r w:rsidRPr="009135BE">
        <w:rPr>
          <w:rFonts w:asciiTheme="minorHAnsi" w:eastAsiaTheme="minorHAnsi" w:hAnsiTheme="minorHAnsi" w:cstheme="minorBidi"/>
          <w:snapToGrid/>
          <w:sz w:val="24"/>
        </w:rPr>
        <w:t xml:space="preserve"> </w:t>
      </w:r>
      <w:r w:rsidR="001B53D9" w:rsidRPr="009135BE">
        <w:rPr>
          <w:rFonts w:asciiTheme="minorHAnsi" w:eastAsiaTheme="minorHAnsi" w:hAnsiTheme="minorHAnsi" w:cstheme="minorBidi"/>
          <w:snapToGrid/>
          <w:sz w:val="24"/>
        </w:rPr>
        <w:t>to lodge</w:t>
      </w:r>
      <w:r w:rsidRPr="009135BE">
        <w:rPr>
          <w:rFonts w:asciiTheme="minorHAnsi" w:eastAsiaTheme="minorHAnsi" w:hAnsiTheme="minorHAnsi" w:cstheme="minorBidi"/>
          <w:snapToGrid/>
          <w:sz w:val="24"/>
        </w:rPr>
        <w:t xml:space="preserve"> a major submission for this </w:t>
      </w:r>
      <w:r w:rsidR="001B53D9" w:rsidRPr="009135BE">
        <w:rPr>
          <w:rFonts w:asciiTheme="minorHAnsi" w:eastAsiaTheme="minorHAnsi" w:hAnsiTheme="minorHAnsi" w:cstheme="minorBidi"/>
          <w:snapToGrid/>
          <w:sz w:val="24"/>
        </w:rPr>
        <w:t xml:space="preserve">vaccine </w:t>
      </w:r>
      <w:r w:rsidRPr="009135BE">
        <w:rPr>
          <w:rFonts w:asciiTheme="minorHAnsi" w:eastAsiaTheme="minorHAnsi" w:hAnsiTheme="minorHAnsi" w:cstheme="minorBidi"/>
          <w:snapToGrid/>
          <w:sz w:val="24"/>
        </w:rPr>
        <w:t xml:space="preserve">at a future </w:t>
      </w:r>
      <w:r w:rsidR="001B53D9" w:rsidRPr="009135BE">
        <w:rPr>
          <w:rFonts w:asciiTheme="minorHAnsi" w:eastAsiaTheme="minorHAnsi" w:hAnsiTheme="minorHAnsi" w:cstheme="minorBidi"/>
          <w:snapToGrid/>
          <w:sz w:val="24"/>
        </w:rPr>
        <w:t xml:space="preserve">PBAC </w:t>
      </w:r>
      <w:r w:rsidRPr="009135BE">
        <w:rPr>
          <w:rFonts w:asciiTheme="minorHAnsi" w:eastAsiaTheme="minorHAnsi" w:hAnsiTheme="minorHAnsi" w:cstheme="minorBidi"/>
          <w:snapToGrid/>
          <w:sz w:val="24"/>
        </w:rPr>
        <w:t>meeting seeking a cost effectiveness assessment.</w:t>
      </w:r>
    </w:p>
    <w:p w:rsidR="00611060" w:rsidRPr="00352EF6" w:rsidRDefault="00611060" w:rsidP="00352EF6">
      <w:pPr>
        <w:spacing w:after="120"/>
      </w:pPr>
      <w:r w:rsidRPr="003974C8">
        <w:rPr>
          <w:rFonts w:asciiTheme="minorHAnsi" w:eastAsiaTheme="minorHAnsi" w:hAnsiTheme="minorHAnsi" w:cstheme="minorBidi"/>
          <w:i/>
          <w:szCs w:val="22"/>
        </w:rPr>
        <w:lastRenderedPageBreak/>
        <w:t>For more detail on PBAC’s view, see section 7 PBAC outcome.</w:t>
      </w:r>
    </w:p>
    <w:p w:rsidR="00CE10C4" w:rsidRPr="00333804" w:rsidRDefault="00521C61" w:rsidP="00521C61">
      <w:pPr>
        <w:pStyle w:val="PBACHeading1"/>
        <w:spacing w:before="240" w:after="120"/>
        <w:ind w:left="709" w:hanging="709"/>
        <w:rPr>
          <w:rFonts w:asciiTheme="minorHAnsi" w:hAnsiTheme="minorHAnsi"/>
          <w:sz w:val="32"/>
          <w:szCs w:val="32"/>
        </w:rPr>
      </w:pPr>
      <w:r w:rsidRPr="00333804">
        <w:rPr>
          <w:rFonts w:asciiTheme="minorHAnsi" w:hAnsiTheme="minorHAnsi"/>
          <w:sz w:val="32"/>
          <w:szCs w:val="32"/>
        </w:rPr>
        <w:t xml:space="preserve">Current </w:t>
      </w:r>
      <w:r w:rsidR="00905799">
        <w:rPr>
          <w:rFonts w:asciiTheme="minorHAnsi" w:hAnsiTheme="minorHAnsi"/>
          <w:sz w:val="32"/>
          <w:szCs w:val="32"/>
        </w:rPr>
        <w:t>Situation</w:t>
      </w:r>
    </w:p>
    <w:p w:rsidR="004C0508" w:rsidRPr="00333804" w:rsidRDefault="004C0508" w:rsidP="004C050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33804">
        <w:rPr>
          <w:rFonts w:asciiTheme="minorHAnsi" w:eastAsiaTheme="minorHAnsi" w:hAnsiTheme="minorHAnsi" w:cstheme="minorBidi"/>
          <w:snapToGrid/>
          <w:sz w:val="24"/>
          <w:szCs w:val="22"/>
        </w:rPr>
        <w:t xml:space="preserve">The submission sought listing on the NIP for subsidised provision of TIV-HD for those aged ≥65 eligible for free influenza vaccines through the NIP due to the high rates of cases of influenza in this age group in 2017 and the </w:t>
      </w:r>
      <w:r w:rsidR="00333804" w:rsidRPr="00905799">
        <w:rPr>
          <w:rFonts w:asciiTheme="minorHAnsi" w:eastAsiaTheme="minorHAnsi" w:hAnsiTheme="minorHAnsi" w:cstheme="minorBidi"/>
          <w:snapToGrid/>
          <w:sz w:val="24"/>
          <w:szCs w:val="22"/>
        </w:rPr>
        <w:t>enhanced immune response and efficacy pro</w:t>
      </w:r>
      <w:r w:rsidRPr="00333804">
        <w:rPr>
          <w:rFonts w:asciiTheme="minorHAnsi" w:eastAsiaTheme="minorHAnsi" w:hAnsiTheme="minorHAnsi" w:cstheme="minorBidi"/>
          <w:snapToGrid/>
          <w:sz w:val="24"/>
          <w:szCs w:val="22"/>
        </w:rPr>
        <w:t>duced by TIV-HD for this age group</w:t>
      </w:r>
      <w:r w:rsidR="00333804" w:rsidRPr="00333804">
        <w:rPr>
          <w:rFonts w:asciiTheme="minorHAnsi" w:eastAsiaTheme="minorHAnsi" w:hAnsiTheme="minorHAnsi" w:cstheme="minorBidi"/>
          <w:snapToGrid/>
          <w:sz w:val="24"/>
          <w:szCs w:val="22"/>
        </w:rPr>
        <w:t xml:space="preserve"> (Submission, P1)</w:t>
      </w:r>
      <w:r w:rsidRPr="00333804">
        <w:rPr>
          <w:rFonts w:asciiTheme="minorHAnsi" w:eastAsiaTheme="minorHAnsi" w:hAnsiTheme="minorHAnsi" w:cstheme="minorBidi"/>
          <w:snapToGrid/>
          <w:sz w:val="24"/>
          <w:szCs w:val="22"/>
        </w:rPr>
        <w:t>.</w:t>
      </w:r>
    </w:p>
    <w:p w:rsidR="004C0508" w:rsidRDefault="004C0508" w:rsidP="004C050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33804">
        <w:rPr>
          <w:rFonts w:asciiTheme="minorHAnsi" w:eastAsiaTheme="minorHAnsi" w:hAnsiTheme="minorHAnsi" w:cstheme="minorBidi"/>
          <w:snapToGrid/>
          <w:sz w:val="24"/>
          <w:szCs w:val="22"/>
        </w:rPr>
        <w:t>As the</w:t>
      </w:r>
      <w:r w:rsidRPr="00C17890">
        <w:rPr>
          <w:rFonts w:asciiTheme="minorHAnsi" w:eastAsiaTheme="minorHAnsi" w:hAnsiTheme="minorHAnsi" w:cstheme="minorBidi"/>
          <w:snapToGrid/>
          <w:sz w:val="24"/>
          <w:szCs w:val="22"/>
        </w:rPr>
        <w:t xml:space="preserve"> submission presented a </w:t>
      </w:r>
      <w:r w:rsidR="00AD24E7">
        <w:rPr>
          <w:rFonts w:asciiTheme="minorHAnsi" w:eastAsiaTheme="minorHAnsi" w:hAnsiTheme="minorHAnsi" w:cstheme="minorBidi"/>
          <w:snapToGrid/>
          <w:sz w:val="24"/>
          <w:szCs w:val="22"/>
        </w:rPr>
        <w:t>cost-minimisation analysis (</w:t>
      </w:r>
      <w:r w:rsidRPr="00C17890">
        <w:rPr>
          <w:rFonts w:asciiTheme="minorHAnsi" w:eastAsiaTheme="minorHAnsi" w:hAnsiTheme="minorHAnsi" w:cstheme="minorBidi"/>
          <w:snapToGrid/>
          <w:sz w:val="24"/>
          <w:szCs w:val="22"/>
        </w:rPr>
        <w:t>CMA</w:t>
      </w:r>
      <w:r w:rsidR="00AD24E7">
        <w:rPr>
          <w:rFonts w:asciiTheme="minorHAnsi" w:eastAsiaTheme="minorHAnsi" w:hAnsiTheme="minorHAnsi" w:cstheme="minorBidi"/>
          <w:snapToGrid/>
          <w:sz w:val="24"/>
          <w:szCs w:val="22"/>
        </w:rPr>
        <w:t>)</w:t>
      </w:r>
      <w:r w:rsidRPr="00C17890">
        <w:rPr>
          <w:rFonts w:asciiTheme="minorHAnsi" w:eastAsiaTheme="minorHAnsi" w:hAnsiTheme="minorHAnsi" w:cstheme="minorBidi"/>
          <w:snapToGrid/>
          <w:sz w:val="24"/>
          <w:szCs w:val="22"/>
        </w:rPr>
        <w:t xml:space="preserve"> for a seasonal influenza vaccine, the PBAC </w:t>
      </w:r>
      <w:r w:rsidR="00905799">
        <w:rPr>
          <w:rFonts w:asciiTheme="minorHAnsi" w:eastAsiaTheme="minorHAnsi" w:hAnsiTheme="minorHAnsi" w:cstheme="minorBidi"/>
          <w:snapToGrid/>
          <w:sz w:val="24"/>
          <w:szCs w:val="22"/>
        </w:rPr>
        <w:t xml:space="preserve">consideration </w:t>
      </w:r>
      <w:r w:rsidRPr="00C17890">
        <w:rPr>
          <w:rFonts w:asciiTheme="minorHAnsi" w:eastAsiaTheme="minorHAnsi" w:hAnsiTheme="minorHAnsi" w:cstheme="minorBidi"/>
          <w:snapToGrid/>
          <w:sz w:val="24"/>
          <w:szCs w:val="22"/>
        </w:rPr>
        <w:t xml:space="preserve">will be </w:t>
      </w:r>
      <w:r w:rsidR="00905799">
        <w:rPr>
          <w:rFonts w:asciiTheme="minorHAnsi" w:eastAsiaTheme="minorHAnsi" w:hAnsiTheme="minorHAnsi" w:cstheme="minorBidi"/>
          <w:snapToGrid/>
          <w:sz w:val="24"/>
          <w:szCs w:val="22"/>
        </w:rPr>
        <w:t>informed</w:t>
      </w:r>
      <w:r w:rsidR="00905799" w:rsidRPr="00C17890">
        <w:rPr>
          <w:rFonts w:asciiTheme="minorHAnsi" w:eastAsiaTheme="minorHAnsi" w:hAnsiTheme="minorHAnsi" w:cstheme="minorBidi"/>
          <w:snapToGrid/>
          <w:sz w:val="24"/>
          <w:szCs w:val="22"/>
        </w:rPr>
        <w:t xml:space="preserve"> </w:t>
      </w:r>
      <w:r w:rsidRPr="00C17890">
        <w:rPr>
          <w:rFonts w:asciiTheme="minorHAnsi" w:eastAsiaTheme="minorHAnsi" w:hAnsiTheme="minorHAnsi" w:cstheme="minorBidi"/>
          <w:snapToGrid/>
          <w:sz w:val="24"/>
          <w:szCs w:val="22"/>
        </w:rPr>
        <w:t>by the advice of the Australian Technical Advisory Group on Immunisation (ATAGI) which considered the vaccine with regards to comparative cost-effectiveness</w:t>
      </w:r>
      <w:r>
        <w:rPr>
          <w:rFonts w:asciiTheme="minorHAnsi" w:eastAsiaTheme="minorHAnsi" w:hAnsiTheme="minorHAnsi" w:cstheme="minorBidi"/>
          <w:snapToGrid/>
          <w:sz w:val="24"/>
          <w:szCs w:val="22"/>
        </w:rPr>
        <w:t xml:space="preserve"> and</w:t>
      </w:r>
      <w:r w:rsidRPr="00C17890">
        <w:rPr>
          <w:rFonts w:asciiTheme="minorHAnsi" w:eastAsiaTheme="minorHAnsi" w:hAnsiTheme="minorHAnsi" w:cstheme="minorBidi"/>
          <w:snapToGrid/>
          <w:sz w:val="24"/>
          <w:szCs w:val="22"/>
        </w:rPr>
        <w:t xml:space="preserve"> safety.  </w:t>
      </w:r>
    </w:p>
    <w:p w:rsidR="004C0508" w:rsidRDefault="004C0508" w:rsidP="004C050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163A7">
        <w:rPr>
          <w:rFonts w:asciiTheme="minorHAnsi" w:eastAsiaTheme="minorHAnsi" w:hAnsiTheme="minorHAnsi" w:cstheme="minorBidi"/>
          <w:snapToGrid/>
          <w:sz w:val="24"/>
          <w:szCs w:val="22"/>
        </w:rPr>
        <w:t>ATAGI supported the listing of TIV-HD for the proposed</w:t>
      </w:r>
      <w:r w:rsidR="00BF4BF3" w:rsidRPr="00E163A7">
        <w:rPr>
          <w:rFonts w:asciiTheme="minorHAnsi" w:eastAsiaTheme="minorHAnsi" w:hAnsiTheme="minorHAnsi" w:cstheme="minorBidi"/>
          <w:snapToGrid/>
          <w:sz w:val="24"/>
          <w:szCs w:val="22"/>
        </w:rPr>
        <w:t xml:space="preserve"> age</w:t>
      </w:r>
      <w:r w:rsidRPr="00E163A7">
        <w:rPr>
          <w:rFonts w:asciiTheme="minorHAnsi" w:eastAsiaTheme="minorHAnsi" w:hAnsiTheme="minorHAnsi" w:cstheme="minorBidi"/>
          <w:snapToGrid/>
          <w:sz w:val="24"/>
          <w:szCs w:val="22"/>
        </w:rPr>
        <w:t xml:space="preserve"> group based on the claim of non-inferiority.  ATAGI’s</w:t>
      </w:r>
      <w:r w:rsidRPr="00333804">
        <w:rPr>
          <w:rFonts w:asciiTheme="minorHAnsi" w:eastAsiaTheme="minorHAnsi" w:hAnsiTheme="minorHAnsi" w:cstheme="minorBidi"/>
          <w:snapToGrid/>
          <w:sz w:val="24"/>
          <w:szCs w:val="22"/>
        </w:rPr>
        <w:t xml:space="preserve"> advice is summarised below for the purposes of the PBAC assessment.  A full evaluation of the submission has not been undertaken b</w:t>
      </w:r>
      <w:r w:rsidRPr="00C17890">
        <w:rPr>
          <w:rFonts w:asciiTheme="minorHAnsi" w:eastAsiaTheme="minorHAnsi" w:hAnsiTheme="minorHAnsi" w:cstheme="minorBidi"/>
          <w:snapToGrid/>
          <w:sz w:val="24"/>
          <w:szCs w:val="22"/>
        </w:rPr>
        <w:t xml:space="preserve">y the PBAC Secretariat. </w:t>
      </w:r>
    </w:p>
    <w:p w:rsidR="004C0508" w:rsidRDefault="004C0508" w:rsidP="004C050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17890">
        <w:rPr>
          <w:rFonts w:asciiTheme="minorHAnsi" w:eastAsiaTheme="minorHAnsi" w:hAnsiTheme="minorHAnsi" w:cstheme="minorBidi"/>
          <w:snapToGrid/>
          <w:sz w:val="24"/>
          <w:szCs w:val="22"/>
        </w:rPr>
        <w:t xml:space="preserve">The proposed price is equal to the nationally negotiated price for the </w:t>
      </w:r>
      <w:r w:rsidRPr="008F7878">
        <w:rPr>
          <w:rFonts w:asciiTheme="minorHAnsi" w:eastAsiaTheme="minorHAnsi" w:hAnsiTheme="minorHAnsi" w:cstheme="minorBidi"/>
          <w:snapToGrid/>
          <w:sz w:val="24"/>
          <w:szCs w:val="22"/>
        </w:rPr>
        <w:t>comparator</w:t>
      </w:r>
      <w:r w:rsidRPr="00C17890">
        <w:rPr>
          <w:rFonts w:asciiTheme="minorHAnsi" w:eastAsiaTheme="minorHAnsi" w:hAnsiTheme="minorHAnsi" w:cstheme="minorBidi"/>
          <w:snapToGrid/>
          <w:sz w:val="24"/>
          <w:szCs w:val="22"/>
        </w:rPr>
        <w:t>, noting that the tender price for the comparator may be lower.</w:t>
      </w:r>
    </w:p>
    <w:p w:rsidR="008C5408" w:rsidRDefault="008C5408" w:rsidP="004C050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TGA Delegate’s Overview noted a few implementation points</w:t>
      </w:r>
      <w:r w:rsidR="0075057B">
        <w:rPr>
          <w:rFonts w:asciiTheme="minorHAnsi" w:eastAsiaTheme="minorHAnsi" w:hAnsiTheme="minorHAnsi" w:cstheme="minorBidi"/>
          <w:snapToGrid/>
          <w:sz w:val="24"/>
          <w:szCs w:val="22"/>
        </w:rPr>
        <w:t xml:space="preserve"> that came from the Risk Management Plan Evaluation Report Round 2</w:t>
      </w:r>
      <w:r>
        <w:rPr>
          <w:rFonts w:asciiTheme="minorHAnsi" w:eastAsiaTheme="minorHAnsi" w:hAnsiTheme="minorHAnsi" w:cstheme="minorBidi"/>
          <w:snapToGrid/>
          <w:sz w:val="24"/>
          <w:szCs w:val="22"/>
        </w:rPr>
        <w:t>:</w:t>
      </w:r>
    </w:p>
    <w:p w:rsidR="008C5408" w:rsidRPr="00905799" w:rsidRDefault="0075057B" w:rsidP="000144E2">
      <w:pPr>
        <w:pStyle w:val="ListParagraph"/>
        <w:widowControl/>
        <w:numPr>
          <w:ilvl w:val="2"/>
          <w:numId w:val="14"/>
        </w:numPr>
        <w:ind w:left="1417"/>
        <w:contextualSpacing w:val="0"/>
        <w:rPr>
          <w:rFonts w:asciiTheme="minorHAnsi" w:eastAsiaTheme="minorHAnsi" w:hAnsiTheme="minorHAnsi" w:cstheme="minorBidi"/>
          <w:i/>
          <w:snapToGrid/>
          <w:sz w:val="24"/>
          <w:szCs w:val="24"/>
        </w:rPr>
      </w:pPr>
      <w:r w:rsidRPr="00905799">
        <w:rPr>
          <w:rFonts w:asciiTheme="minorHAnsi" w:hAnsiTheme="minorHAnsi"/>
          <w:sz w:val="24"/>
          <w:szCs w:val="24"/>
        </w:rPr>
        <w:t xml:space="preserve">That the sponsor must provide a commitment to conduct an enhanced safety surveillance study in Australia if requested by the TGA.  </w:t>
      </w:r>
      <w:r w:rsidRPr="00852BC9">
        <w:rPr>
          <w:rFonts w:asciiTheme="minorHAnsi" w:hAnsiTheme="minorHAnsi"/>
          <w:sz w:val="24"/>
          <w:szCs w:val="24"/>
        </w:rPr>
        <w:t>This was not referenced within the minor submission and may be expected to be discussed in any further submission for this medicine, noting that the sponsor proposes that a major submission will be lodged for the July 2018 PBAC meeting seeking a cost effectiveness analysis.</w:t>
      </w:r>
    </w:p>
    <w:p w:rsidR="000931CC" w:rsidRPr="00852BC9" w:rsidRDefault="0075057B" w:rsidP="000144E2">
      <w:pPr>
        <w:pStyle w:val="ListParagraph"/>
        <w:widowControl/>
        <w:numPr>
          <w:ilvl w:val="2"/>
          <w:numId w:val="14"/>
        </w:numPr>
        <w:ind w:left="1417"/>
        <w:contextualSpacing w:val="0"/>
        <w:rPr>
          <w:rFonts w:asciiTheme="minorHAnsi" w:hAnsiTheme="minorHAnsi"/>
          <w:sz w:val="24"/>
          <w:szCs w:val="24"/>
        </w:rPr>
      </w:pPr>
      <w:r w:rsidRPr="00905799">
        <w:rPr>
          <w:rFonts w:asciiTheme="minorHAnsi" w:hAnsiTheme="minorHAnsi"/>
          <w:sz w:val="24"/>
          <w:szCs w:val="24"/>
        </w:rPr>
        <w:t xml:space="preserve">Amendment of the product information to amend discrepancies between the draft PI and the </w:t>
      </w:r>
      <w:r w:rsidR="000931CC" w:rsidRPr="00905799">
        <w:rPr>
          <w:rFonts w:asciiTheme="minorHAnsi" w:hAnsiTheme="minorHAnsi"/>
          <w:sz w:val="24"/>
          <w:szCs w:val="24"/>
        </w:rPr>
        <w:t>Australian Immunisation Handbook regarding persons with egg allergy</w:t>
      </w:r>
      <w:r w:rsidR="000931CC" w:rsidRPr="00852BC9">
        <w:rPr>
          <w:rFonts w:asciiTheme="minorHAnsi" w:hAnsiTheme="minorHAnsi"/>
          <w:sz w:val="24"/>
          <w:szCs w:val="24"/>
        </w:rPr>
        <w:t>.</w:t>
      </w:r>
      <w:r w:rsidR="000931CC" w:rsidRPr="00905799">
        <w:rPr>
          <w:rFonts w:asciiTheme="minorHAnsi" w:hAnsiTheme="minorHAnsi"/>
          <w:sz w:val="24"/>
          <w:szCs w:val="24"/>
        </w:rPr>
        <w:t xml:space="preserve"> </w:t>
      </w:r>
    </w:p>
    <w:p w:rsidR="0075057B" w:rsidRPr="00852BC9" w:rsidRDefault="0075057B" w:rsidP="00905799">
      <w:pPr>
        <w:pStyle w:val="ListParagraph"/>
        <w:widowControl/>
        <w:numPr>
          <w:ilvl w:val="1"/>
          <w:numId w:val="14"/>
        </w:numPr>
        <w:spacing w:before="120" w:after="160"/>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 xml:space="preserve">The TGA Delegate’s Overview (P12) also noted that viral safety issues were under negotiation with the viral safety unit and the sponsor.  </w:t>
      </w:r>
      <w:r w:rsidRPr="00852BC9">
        <w:rPr>
          <w:rFonts w:asciiTheme="minorHAnsi" w:eastAsiaTheme="minorHAnsi" w:hAnsiTheme="minorHAnsi" w:cstheme="minorBidi"/>
          <w:snapToGrid/>
          <w:sz w:val="24"/>
          <w:szCs w:val="22"/>
        </w:rPr>
        <w:t>No further detail was provided.</w:t>
      </w:r>
    </w:p>
    <w:p w:rsidR="000931CC" w:rsidRPr="00905799" w:rsidRDefault="004C0508" w:rsidP="00905799">
      <w:pPr>
        <w:pStyle w:val="ListParagraph"/>
        <w:widowControl/>
        <w:numPr>
          <w:ilvl w:val="1"/>
          <w:numId w:val="14"/>
        </w:numPr>
        <w:spacing w:before="120" w:after="160"/>
        <w:contextualSpacing w:val="0"/>
        <w:rPr>
          <w:rFonts w:asciiTheme="minorHAnsi" w:eastAsiaTheme="minorHAnsi" w:hAnsiTheme="minorHAnsi" w:cstheme="minorBidi"/>
          <w:b/>
          <w:snapToGrid/>
          <w:sz w:val="24"/>
        </w:rPr>
      </w:pPr>
      <w:r>
        <w:rPr>
          <w:rFonts w:asciiTheme="minorHAnsi" w:eastAsiaTheme="minorHAnsi" w:hAnsiTheme="minorHAnsi" w:cstheme="minorBidi"/>
          <w:snapToGrid/>
          <w:sz w:val="24"/>
          <w:szCs w:val="22"/>
        </w:rPr>
        <w:t xml:space="preserve">ATAGI noted a number of points relevant to the implementation of listing of </w:t>
      </w:r>
      <w:r w:rsidRPr="00C17890">
        <w:rPr>
          <w:rFonts w:asciiTheme="minorHAnsi" w:eastAsiaTheme="minorHAnsi" w:hAnsiTheme="minorHAnsi" w:cstheme="minorBidi"/>
          <w:snapToGrid/>
          <w:sz w:val="24"/>
          <w:szCs w:val="22"/>
        </w:rPr>
        <w:t>TIV</w:t>
      </w:r>
      <w:r>
        <w:rPr>
          <w:rFonts w:asciiTheme="minorHAnsi" w:eastAsiaTheme="minorHAnsi" w:hAnsiTheme="minorHAnsi" w:cstheme="minorBidi"/>
          <w:snapToGrid/>
          <w:sz w:val="24"/>
          <w:szCs w:val="22"/>
        </w:rPr>
        <w:t>-HD:</w:t>
      </w:r>
    </w:p>
    <w:p w:rsidR="000931CC" w:rsidRPr="00852BC9" w:rsidRDefault="000931CC" w:rsidP="000144E2">
      <w:pPr>
        <w:pStyle w:val="ListParagraph"/>
        <w:widowControl/>
        <w:numPr>
          <w:ilvl w:val="2"/>
          <w:numId w:val="14"/>
        </w:numPr>
        <w:ind w:left="1417"/>
        <w:contextualSpacing w:val="0"/>
        <w:rPr>
          <w:rFonts w:asciiTheme="minorHAnsi" w:hAnsiTheme="minorHAnsi"/>
          <w:sz w:val="24"/>
          <w:szCs w:val="24"/>
        </w:rPr>
      </w:pPr>
      <w:r w:rsidRPr="00905799">
        <w:rPr>
          <w:rFonts w:asciiTheme="minorHAnsi" w:hAnsiTheme="minorHAnsi"/>
          <w:sz w:val="24"/>
          <w:szCs w:val="24"/>
        </w:rPr>
        <w:t xml:space="preserve">Continued availability of QIV as an </w:t>
      </w:r>
      <w:r w:rsidRPr="000931CC">
        <w:rPr>
          <w:rFonts w:asciiTheme="minorHAnsi" w:hAnsiTheme="minorHAnsi"/>
          <w:sz w:val="24"/>
          <w:szCs w:val="24"/>
        </w:rPr>
        <w:t>alternative</w:t>
      </w:r>
      <w:r w:rsidRPr="00905799">
        <w:rPr>
          <w:rFonts w:asciiTheme="minorHAnsi" w:hAnsiTheme="minorHAnsi"/>
          <w:sz w:val="24"/>
          <w:szCs w:val="24"/>
        </w:rPr>
        <w:t xml:space="preserve"> for use </w:t>
      </w:r>
      <w:r>
        <w:rPr>
          <w:rFonts w:asciiTheme="minorHAnsi" w:hAnsiTheme="minorHAnsi"/>
          <w:sz w:val="24"/>
          <w:szCs w:val="24"/>
        </w:rPr>
        <w:t>would be</w:t>
      </w:r>
      <w:r w:rsidRPr="00905799">
        <w:rPr>
          <w:rFonts w:asciiTheme="minorHAnsi" w:hAnsiTheme="minorHAnsi"/>
          <w:sz w:val="24"/>
          <w:szCs w:val="24"/>
        </w:rPr>
        <w:t xml:space="preserve"> important, however stocking both vaccines and preventing confusion amongst providers may be difficult (Pre-Submission Advice)</w:t>
      </w:r>
      <w:r>
        <w:rPr>
          <w:rFonts w:asciiTheme="minorHAnsi" w:hAnsiTheme="minorHAnsi"/>
          <w:sz w:val="24"/>
          <w:szCs w:val="24"/>
        </w:rPr>
        <w:t>.</w:t>
      </w:r>
    </w:p>
    <w:p w:rsidR="00B54119" w:rsidRPr="00852BC9" w:rsidRDefault="000931CC" w:rsidP="000144E2">
      <w:pPr>
        <w:pStyle w:val="ListParagraph"/>
        <w:widowControl/>
        <w:numPr>
          <w:ilvl w:val="2"/>
          <w:numId w:val="14"/>
        </w:numPr>
        <w:ind w:left="1417"/>
        <w:contextualSpacing w:val="0"/>
        <w:rPr>
          <w:rFonts w:asciiTheme="minorHAnsi" w:hAnsiTheme="minorHAnsi"/>
          <w:sz w:val="24"/>
          <w:szCs w:val="24"/>
        </w:rPr>
      </w:pPr>
      <w:r>
        <w:rPr>
          <w:rFonts w:asciiTheme="minorHAnsi" w:hAnsiTheme="minorHAnsi"/>
          <w:sz w:val="24"/>
          <w:szCs w:val="24"/>
        </w:rPr>
        <w:t>Evaluation</w:t>
      </w:r>
      <w:r w:rsidR="00B54119" w:rsidRPr="00905799">
        <w:rPr>
          <w:rFonts w:asciiTheme="minorHAnsi" w:hAnsiTheme="minorHAnsi"/>
          <w:sz w:val="24"/>
          <w:szCs w:val="24"/>
        </w:rPr>
        <w:t xml:space="preserve"> of the program would be particularly important and that ex</w:t>
      </w:r>
      <w:r w:rsidR="00F15EEE" w:rsidRPr="00905799">
        <w:rPr>
          <w:rFonts w:asciiTheme="minorHAnsi" w:hAnsiTheme="minorHAnsi"/>
          <w:sz w:val="24"/>
          <w:szCs w:val="24"/>
        </w:rPr>
        <w:t>isting surveillance mechanisms we</w:t>
      </w:r>
      <w:r w:rsidR="00B54119" w:rsidRPr="00905799">
        <w:rPr>
          <w:rFonts w:asciiTheme="minorHAnsi" w:hAnsiTheme="minorHAnsi"/>
          <w:sz w:val="24"/>
          <w:szCs w:val="24"/>
        </w:rPr>
        <w:t xml:space="preserve">re inadequate to estimate the burden of influenza due to under-reporting.  ATAGI strongly recommended that the </w:t>
      </w:r>
      <w:r w:rsidR="00B54119" w:rsidRPr="00905799">
        <w:rPr>
          <w:rFonts w:asciiTheme="minorHAnsi" w:hAnsiTheme="minorHAnsi"/>
          <w:sz w:val="24"/>
          <w:szCs w:val="24"/>
        </w:rPr>
        <w:lastRenderedPageBreak/>
        <w:t>impact of TIV-HD relative to other available vaccine/s used in the NIP for Australians aged 65 and over be evaluated</w:t>
      </w:r>
      <w:r>
        <w:rPr>
          <w:rFonts w:asciiTheme="minorHAnsi" w:hAnsiTheme="minorHAnsi"/>
          <w:sz w:val="24"/>
          <w:szCs w:val="24"/>
        </w:rPr>
        <w:t xml:space="preserve"> (Pre-Submission PBAC Advice</w:t>
      </w:r>
      <w:proofErr w:type="gramStart"/>
      <w:r>
        <w:rPr>
          <w:rFonts w:asciiTheme="minorHAnsi" w:hAnsiTheme="minorHAnsi"/>
          <w:sz w:val="24"/>
          <w:szCs w:val="24"/>
        </w:rPr>
        <w:t>, )</w:t>
      </w:r>
      <w:proofErr w:type="gramEnd"/>
      <w:r w:rsidR="00B54119" w:rsidRPr="00905799">
        <w:rPr>
          <w:rFonts w:asciiTheme="minorHAnsi" w:hAnsiTheme="minorHAnsi"/>
          <w:sz w:val="24"/>
          <w:szCs w:val="24"/>
        </w:rPr>
        <w:t xml:space="preserve">.  </w:t>
      </w:r>
    </w:p>
    <w:p w:rsidR="000931CC" w:rsidRPr="00852BC9" w:rsidRDefault="000931CC" w:rsidP="000144E2">
      <w:pPr>
        <w:pStyle w:val="ListParagraph"/>
        <w:widowControl/>
        <w:numPr>
          <w:ilvl w:val="2"/>
          <w:numId w:val="14"/>
        </w:numPr>
        <w:ind w:left="1417"/>
        <w:contextualSpacing w:val="0"/>
        <w:rPr>
          <w:rFonts w:asciiTheme="minorHAnsi" w:hAnsiTheme="minorHAnsi"/>
          <w:sz w:val="24"/>
          <w:szCs w:val="24"/>
        </w:rPr>
      </w:pPr>
      <w:r w:rsidRPr="00905799">
        <w:rPr>
          <w:rFonts w:asciiTheme="minorHAnsi" w:hAnsiTheme="minorHAnsi"/>
          <w:sz w:val="24"/>
          <w:szCs w:val="24"/>
        </w:rPr>
        <w:t>Monitoring potential adverse events with widespread use of TIV-HD was essential (Pre-Submission PBAC Advice).</w:t>
      </w:r>
    </w:p>
    <w:p w:rsidR="00B54119" w:rsidRPr="00852BC9" w:rsidRDefault="000931CC" w:rsidP="000144E2">
      <w:pPr>
        <w:pStyle w:val="ListParagraph"/>
        <w:widowControl/>
        <w:numPr>
          <w:ilvl w:val="2"/>
          <w:numId w:val="14"/>
        </w:numPr>
        <w:ind w:left="1417"/>
        <w:contextualSpacing w:val="0"/>
        <w:rPr>
          <w:rFonts w:asciiTheme="minorHAnsi" w:hAnsiTheme="minorHAnsi"/>
          <w:sz w:val="24"/>
          <w:szCs w:val="24"/>
        </w:rPr>
      </w:pPr>
      <w:r>
        <w:rPr>
          <w:rFonts w:asciiTheme="minorHAnsi" w:hAnsiTheme="minorHAnsi"/>
          <w:sz w:val="24"/>
          <w:szCs w:val="24"/>
        </w:rPr>
        <w:t>There would be m</w:t>
      </w:r>
      <w:r w:rsidR="00B54119" w:rsidRPr="00905799">
        <w:rPr>
          <w:rFonts w:asciiTheme="minorHAnsi" w:hAnsiTheme="minorHAnsi"/>
          <w:sz w:val="24"/>
          <w:szCs w:val="24"/>
        </w:rPr>
        <w:t>inor increases in cold chain capacity and storage space requirements from the addition of an alternative vaccine</w:t>
      </w:r>
      <w:r w:rsidRPr="00905799">
        <w:rPr>
          <w:rFonts w:asciiTheme="minorHAnsi" w:hAnsiTheme="minorHAnsi"/>
          <w:sz w:val="24"/>
          <w:szCs w:val="24"/>
        </w:rPr>
        <w:t xml:space="preserve"> (Pre-Submission PBAC Advice).</w:t>
      </w:r>
    </w:p>
    <w:p w:rsidR="00B54119" w:rsidRPr="00852BC9" w:rsidRDefault="000931CC" w:rsidP="000144E2">
      <w:pPr>
        <w:pStyle w:val="ListParagraph"/>
        <w:widowControl/>
        <w:numPr>
          <w:ilvl w:val="2"/>
          <w:numId w:val="14"/>
        </w:numPr>
        <w:ind w:left="1417"/>
        <w:contextualSpacing w:val="0"/>
        <w:rPr>
          <w:rFonts w:asciiTheme="minorHAnsi" w:hAnsiTheme="minorHAnsi"/>
          <w:sz w:val="24"/>
          <w:szCs w:val="24"/>
        </w:rPr>
      </w:pPr>
      <w:r>
        <w:rPr>
          <w:rFonts w:asciiTheme="minorHAnsi" w:hAnsiTheme="minorHAnsi"/>
          <w:sz w:val="24"/>
          <w:szCs w:val="24"/>
        </w:rPr>
        <w:t>S</w:t>
      </w:r>
      <w:r w:rsidR="00B54119" w:rsidRPr="00905799">
        <w:rPr>
          <w:rFonts w:asciiTheme="minorHAnsi" w:hAnsiTheme="minorHAnsi"/>
          <w:sz w:val="24"/>
          <w:szCs w:val="24"/>
        </w:rPr>
        <w:t xml:space="preserve">ubstantial planning and resourcing would be required for communication with and education of general practitioners and other immunisation providers including managing the availability of multiple vaccines types </w:t>
      </w:r>
      <w:r w:rsidR="00B8128B">
        <w:rPr>
          <w:rFonts w:asciiTheme="minorHAnsi" w:hAnsiTheme="minorHAnsi"/>
          <w:sz w:val="24"/>
          <w:szCs w:val="24"/>
        </w:rPr>
        <w:t>for</w:t>
      </w:r>
      <w:r w:rsidR="00B8128B" w:rsidRPr="00905799">
        <w:rPr>
          <w:rFonts w:asciiTheme="minorHAnsi" w:hAnsiTheme="minorHAnsi"/>
          <w:sz w:val="24"/>
          <w:szCs w:val="24"/>
        </w:rPr>
        <w:t xml:space="preserve"> </w:t>
      </w:r>
      <w:r w:rsidR="00B54119" w:rsidRPr="00905799">
        <w:rPr>
          <w:rFonts w:asciiTheme="minorHAnsi" w:hAnsiTheme="minorHAnsi"/>
          <w:sz w:val="24"/>
          <w:szCs w:val="24"/>
        </w:rPr>
        <w:t>the same population group and how to counsel patients on which vaccine to receive, which may be a complicated message</w:t>
      </w:r>
      <w:r w:rsidRPr="00905799">
        <w:rPr>
          <w:rFonts w:asciiTheme="minorHAnsi" w:hAnsiTheme="minorHAnsi"/>
          <w:sz w:val="24"/>
          <w:szCs w:val="24"/>
        </w:rPr>
        <w:t xml:space="preserve"> (Pre-Submission PBAC Advice).</w:t>
      </w:r>
    </w:p>
    <w:p w:rsidR="00B54119" w:rsidRPr="00852BC9" w:rsidRDefault="000931CC" w:rsidP="000144E2">
      <w:pPr>
        <w:pStyle w:val="ListParagraph"/>
        <w:widowControl/>
        <w:numPr>
          <w:ilvl w:val="2"/>
          <w:numId w:val="14"/>
        </w:numPr>
        <w:ind w:left="1417"/>
        <w:contextualSpacing w:val="0"/>
        <w:rPr>
          <w:rFonts w:asciiTheme="minorHAnsi" w:hAnsiTheme="minorHAnsi"/>
          <w:sz w:val="24"/>
          <w:szCs w:val="24"/>
        </w:rPr>
      </w:pPr>
      <w:r>
        <w:rPr>
          <w:rFonts w:asciiTheme="minorHAnsi" w:hAnsiTheme="minorHAnsi"/>
          <w:sz w:val="24"/>
          <w:szCs w:val="24"/>
        </w:rPr>
        <w:t>P</w:t>
      </w:r>
      <w:r w:rsidR="00B54119" w:rsidRPr="00905799">
        <w:rPr>
          <w:rFonts w:asciiTheme="minorHAnsi" w:hAnsiTheme="minorHAnsi"/>
          <w:sz w:val="24"/>
          <w:szCs w:val="24"/>
        </w:rPr>
        <w:t xml:space="preserve">roviders </w:t>
      </w:r>
      <w:r>
        <w:rPr>
          <w:rFonts w:asciiTheme="minorHAnsi" w:hAnsiTheme="minorHAnsi"/>
          <w:sz w:val="24"/>
          <w:szCs w:val="24"/>
        </w:rPr>
        <w:t xml:space="preserve">would </w:t>
      </w:r>
      <w:r w:rsidR="00B54119" w:rsidRPr="00905799">
        <w:rPr>
          <w:rFonts w:asciiTheme="minorHAnsi" w:hAnsiTheme="minorHAnsi"/>
          <w:sz w:val="24"/>
          <w:szCs w:val="24"/>
        </w:rPr>
        <w:t xml:space="preserve">need to be aware the </w:t>
      </w:r>
      <w:r w:rsidR="00B54119" w:rsidRPr="00852BC9">
        <w:rPr>
          <w:rFonts w:asciiTheme="minorHAnsi" w:hAnsiTheme="minorHAnsi"/>
          <w:sz w:val="24"/>
          <w:szCs w:val="24"/>
        </w:rPr>
        <w:t xml:space="preserve">TIV-HD </w:t>
      </w:r>
      <w:r w:rsidR="00B54119" w:rsidRPr="00905799">
        <w:rPr>
          <w:rFonts w:asciiTheme="minorHAnsi" w:hAnsiTheme="minorHAnsi"/>
          <w:sz w:val="24"/>
          <w:szCs w:val="24"/>
        </w:rPr>
        <w:t>would only be registered for use in adults aged 65 and above</w:t>
      </w:r>
      <w:r>
        <w:rPr>
          <w:rFonts w:asciiTheme="minorHAnsi" w:hAnsiTheme="minorHAnsi"/>
          <w:sz w:val="24"/>
          <w:szCs w:val="24"/>
        </w:rPr>
        <w:t>,</w:t>
      </w:r>
      <w:r w:rsidR="00B54119" w:rsidRPr="00905799">
        <w:rPr>
          <w:rFonts w:asciiTheme="minorHAnsi" w:hAnsiTheme="minorHAnsi"/>
          <w:sz w:val="24"/>
          <w:szCs w:val="24"/>
        </w:rPr>
        <w:t xml:space="preserve"> and recording the number of inadvertent admin</w:t>
      </w:r>
      <w:r>
        <w:rPr>
          <w:rFonts w:asciiTheme="minorHAnsi" w:hAnsiTheme="minorHAnsi"/>
          <w:sz w:val="24"/>
          <w:szCs w:val="24"/>
        </w:rPr>
        <w:t>istration to other age groups was</w:t>
      </w:r>
      <w:r w:rsidR="00B54119" w:rsidRPr="00905799">
        <w:rPr>
          <w:rFonts w:asciiTheme="minorHAnsi" w:hAnsiTheme="minorHAnsi"/>
          <w:sz w:val="24"/>
          <w:szCs w:val="24"/>
        </w:rPr>
        <w:t xml:space="preserve"> highly desirable</w:t>
      </w:r>
      <w:r w:rsidRPr="00905799">
        <w:rPr>
          <w:rFonts w:asciiTheme="minorHAnsi" w:hAnsiTheme="minorHAnsi"/>
          <w:sz w:val="24"/>
          <w:szCs w:val="24"/>
        </w:rPr>
        <w:t xml:space="preserve"> (Pre-Submission PBAC Advice)</w:t>
      </w:r>
      <w:r w:rsidR="00B54119" w:rsidRPr="00905799">
        <w:rPr>
          <w:rFonts w:asciiTheme="minorHAnsi" w:hAnsiTheme="minorHAnsi"/>
          <w:sz w:val="24"/>
          <w:szCs w:val="24"/>
        </w:rPr>
        <w:t>.</w:t>
      </w:r>
    </w:p>
    <w:p w:rsidR="004C0508" w:rsidRDefault="000931CC" w:rsidP="000144E2">
      <w:pPr>
        <w:pStyle w:val="ListParagraph"/>
        <w:widowControl/>
        <w:numPr>
          <w:ilvl w:val="2"/>
          <w:numId w:val="14"/>
        </w:numPr>
        <w:ind w:left="1417"/>
        <w:contextualSpacing w:val="0"/>
        <w:rPr>
          <w:rFonts w:asciiTheme="minorHAnsi" w:hAnsiTheme="minorHAnsi"/>
          <w:sz w:val="24"/>
          <w:szCs w:val="24"/>
        </w:rPr>
      </w:pPr>
      <w:r>
        <w:rPr>
          <w:rFonts w:asciiTheme="minorHAnsi" w:hAnsiTheme="minorHAnsi"/>
          <w:sz w:val="24"/>
          <w:szCs w:val="24"/>
        </w:rPr>
        <w:t>W</w:t>
      </w:r>
      <w:r w:rsidR="00B54119" w:rsidRPr="00905799">
        <w:rPr>
          <w:rFonts w:asciiTheme="minorHAnsi" w:hAnsiTheme="minorHAnsi"/>
          <w:sz w:val="24"/>
          <w:szCs w:val="24"/>
        </w:rPr>
        <w:t xml:space="preserve">hile inadvertent administration to other adult age groups </w:t>
      </w:r>
      <w:r w:rsidRPr="00905799">
        <w:rPr>
          <w:rFonts w:asciiTheme="minorHAnsi" w:hAnsiTheme="minorHAnsi"/>
          <w:sz w:val="24"/>
          <w:szCs w:val="24"/>
        </w:rPr>
        <w:t>was of concern, the risks we</w:t>
      </w:r>
      <w:r w:rsidR="00B54119" w:rsidRPr="00905799">
        <w:rPr>
          <w:rFonts w:asciiTheme="minorHAnsi" w:hAnsiTheme="minorHAnsi"/>
          <w:sz w:val="24"/>
          <w:szCs w:val="24"/>
        </w:rPr>
        <w:t xml:space="preserve">re likely to be minor and with appropriate labelling and packaging, it </w:t>
      </w:r>
      <w:r>
        <w:rPr>
          <w:rFonts w:asciiTheme="minorHAnsi" w:hAnsiTheme="minorHAnsi"/>
          <w:sz w:val="24"/>
          <w:szCs w:val="24"/>
        </w:rPr>
        <w:t>wa</w:t>
      </w:r>
      <w:r w:rsidR="00B54119" w:rsidRPr="00905799">
        <w:rPr>
          <w:rFonts w:asciiTheme="minorHAnsi" w:hAnsiTheme="minorHAnsi"/>
          <w:sz w:val="24"/>
          <w:szCs w:val="24"/>
        </w:rPr>
        <w:t xml:space="preserve">s less likely that inadvertent administration to children </w:t>
      </w:r>
      <w:r>
        <w:rPr>
          <w:rFonts w:asciiTheme="minorHAnsi" w:hAnsiTheme="minorHAnsi"/>
          <w:sz w:val="24"/>
          <w:szCs w:val="24"/>
        </w:rPr>
        <w:t>would</w:t>
      </w:r>
      <w:r w:rsidR="00B54119" w:rsidRPr="00905799">
        <w:rPr>
          <w:rFonts w:asciiTheme="minorHAnsi" w:hAnsiTheme="minorHAnsi"/>
          <w:sz w:val="24"/>
          <w:szCs w:val="24"/>
        </w:rPr>
        <w:t xml:space="preserve"> occur</w:t>
      </w:r>
      <w:r w:rsidRPr="00905799">
        <w:rPr>
          <w:rFonts w:asciiTheme="minorHAnsi" w:hAnsiTheme="minorHAnsi"/>
          <w:sz w:val="24"/>
          <w:szCs w:val="24"/>
        </w:rPr>
        <w:t xml:space="preserve"> (Pre-Submission PBAC Advice)</w:t>
      </w:r>
      <w:r w:rsidR="00B54119" w:rsidRPr="00905799">
        <w:rPr>
          <w:rFonts w:asciiTheme="minorHAnsi" w:hAnsiTheme="minorHAnsi"/>
          <w:sz w:val="24"/>
          <w:szCs w:val="24"/>
        </w:rPr>
        <w:t xml:space="preserve">. </w:t>
      </w:r>
    </w:p>
    <w:p w:rsidR="000144E2" w:rsidRPr="00852BC9" w:rsidRDefault="000144E2" w:rsidP="000144E2">
      <w:pPr>
        <w:pStyle w:val="ListParagraph"/>
        <w:widowControl/>
        <w:ind w:left="1417"/>
        <w:contextualSpacing w:val="0"/>
        <w:rPr>
          <w:rFonts w:asciiTheme="minorHAnsi" w:hAnsiTheme="minorHAnsi"/>
          <w:sz w:val="24"/>
          <w:szCs w:val="24"/>
        </w:rPr>
      </w:pPr>
    </w:p>
    <w:p w:rsidR="00611060" w:rsidRPr="003974C8" w:rsidRDefault="00611060" w:rsidP="00852BC9">
      <w:pPr>
        <w:spacing w:after="120"/>
        <w:rPr>
          <w:rFonts w:asciiTheme="minorHAnsi" w:eastAsiaTheme="minorHAnsi" w:hAnsiTheme="minorHAnsi" w:cstheme="minorBidi"/>
          <w:i/>
          <w:szCs w:val="22"/>
        </w:rPr>
      </w:pPr>
      <w:r w:rsidRPr="003974C8">
        <w:rPr>
          <w:rFonts w:asciiTheme="minorHAnsi" w:eastAsiaTheme="minorHAnsi" w:hAnsiTheme="minorHAnsi" w:cstheme="minorBidi"/>
          <w:i/>
          <w:szCs w:val="22"/>
        </w:rPr>
        <w:t>For more detail on PBAC’s view, see section 7 PBAC outcome.</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333804" w:rsidRPr="000144E2" w:rsidRDefault="00FF2801" w:rsidP="000144E2">
      <w:pPr>
        <w:widowControl w:val="0"/>
        <w:numPr>
          <w:ilvl w:val="1"/>
          <w:numId w:val="5"/>
        </w:numPr>
        <w:spacing w:after="120"/>
        <w:jc w:val="both"/>
        <w:rPr>
          <w:rFonts w:asciiTheme="minorHAnsi" w:hAnsiTheme="minorHAnsi" w:cs="Arial"/>
          <w:bCs/>
          <w:snapToGrid w:val="0"/>
        </w:rPr>
      </w:pPr>
      <w:r w:rsidRPr="000144E2">
        <w:rPr>
          <w:rFonts w:asciiTheme="minorHAnsi" w:hAnsiTheme="minorHAnsi" w:cs="Arial"/>
          <w:bCs/>
          <w:snapToGrid w:val="0"/>
        </w:rPr>
        <w:t xml:space="preserve">The minor submission </w:t>
      </w:r>
      <w:r w:rsidR="00F149F1" w:rsidRPr="000144E2">
        <w:rPr>
          <w:rFonts w:asciiTheme="minorHAnsi" w:hAnsiTheme="minorHAnsi" w:cs="Arial"/>
          <w:bCs/>
          <w:snapToGrid w:val="0"/>
        </w:rPr>
        <w:t xml:space="preserve">did not clearly </w:t>
      </w:r>
      <w:r w:rsidR="000A5974" w:rsidRPr="000144E2">
        <w:rPr>
          <w:rFonts w:asciiTheme="minorHAnsi" w:hAnsiTheme="minorHAnsi" w:cs="Arial"/>
          <w:bCs/>
          <w:snapToGrid w:val="0"/>
        </w:rPr>
        <w:t>nominate</w:t>
      </w:r>
      <w:r w:rsidR="0048003E" w:rsidRPr="000144E2">
        <w:rPr>
          <w:rFonts w:asciiTheme="minorHAnsi" w:hAnsiTheme="minorHAnsi" w:cs="Arial"/>
          <w:bCs/>
          <w:snapToGrid w:val="0"/>
        </w:rPr>
        <w:t xml:space="preserve"> </w:t>
      </w:r>
      <w:r w:rsidR="00FD4884" w:rsidRPr="000144E2">
        <w:rPr>
          <w:rFonts w:asciiTheme="minorHAnsi" w:hAnsiTheme="minorHAnsi" w:cs="Arial"/>
          <w:bCs/>
          <w:snapToGrid w:val="0"/>
        </w:rPr>
        <w:t>a</w:t>
      </w:r>
      <w:r w:rsidR="0048003E" w:rsidRPr="000144E2">
        <w:rPr>
          <w:rFonts w:asciiTheme="minorHAnsi" w:hAnsiTheme="minorHAnsi" w:cs="Arial"/>
          <w:bCs/>
          <w:snapToGrid w:val="0"/>
        </w:rPr>
        <w:t xml:space="preserve"> </w:t>
      </w:r>
      <w:r w:rsidR="00F149F1" w:rsidRPr="000144E2">
        <w:rPr>
          <w:rFonts w:asciiTheme="minorHAnsi" w:hAnsiTheme="minorHAnsi" w:cs="Arial"/>
          <w:bCs/>
          <w:snapToGrid w:val="0"/>
        </w:rPr>
        <w:t xml:space="preserve">comparator.  </w:t>
      </w:r>
    </w:p>
    <w:p w:rsidR="00C35996" w:rsidRPr="000144E2" w:rsidRDefault="00F149F1" w:rsidP="000144E2">
      <w:pPr>
        <w:widowControl w:val="0"/>
        <w:numPr>
          <w:ilvl w:val="1"/>
          <w:numId w:val="5"/>
        </w:numPr>
        <w:spacing w:after="120"/>
        <w:jc w:val="both"/>
        <w:rPr>
          <w:rFonts w:asciiTheme="minorHAnsi" w:hAnsiTheme="minorHAnsi" w:cs="Arial"/>
          <w:bCs/>
          <w:snapToGrid w:val="0"/>
        </w:rPr>
      </w:pPr>
      <w:r w:rsidRPr="000144E2">
        <w:rPr>
          <w:rFonts w:asciiTheme="minorHAnsi" w:hAnsiTheme="minorHAnsi" w:cs="Arial"/>
          <w:bCs/>
          <w:snapToGrid w:val="0"/>
        </w:rPr>
        <w:t>The clinical studies presented compare</w:t>
      </w:r>
      <w:r w:rsidR="00C17CDF" w:rsidRPr="000144E2">
        <w:rPr>
          <w:rFonts w:asciiTheme="minorHAnsi" w:hAnsiTheme="minorHAnsi" w:cs="Arial"/>
          <w:bCs/>
          <w:snapToGrid w:val="0"/>
        </w:rPr>
        <w:t>d</w:t>
      </w:r>
      <w:r w:rsidRPr="000144E2">
        <w:rPr>
          <w:rFonts w:asciiTheme="minorHAnsi" w:hAnsiTheme="minorHAnsi" w:cs="Arial"/>
          <w:bCs/>
          <w:snapToGrid w:val="0"/>
        </w:rPr>
        <w:t xml:space="preserve"> </w:t>
      </w:r>
      <w:r w:rsidR="000538CE" w:rsidRPr="000144E2">
        <w:rPr>
          <w:rFonts w:asciiTheme="minorHAnsi" w:hAnsiTheme="minorHAnsi" w:cs="Arial"/>
          <w:bCs/>
          <w:snapToGrid w:val="0"/>
        </w:rPr>
        <w:t>TIV-HD to TIV-SD</w:t>
      </w:r>
      <w:r w:rsidRPr="000144E2">
        <w:rPr>
          <w:rFonts w:asciiTheme="minorHAnsi" w:hAnsiTheme="minorHAnsi" w:cs="Arial"/>
          <w:bCs/>
          <w:snapToGrid w:val="0"/>
        </w:rPr>
        <w:t>. The submission acknowledge</w:t>
      </w:r>
      <w:r w:rsidR="00996672" w:rsidRPr="000144E2">
        <w:rPr>
          <w:rFonts w:asciiTheme="minorHAnsi" w:hAnsiTheme="minorHAnsi" w:cs="Arial"/>
          <w:bCs/>
          <w:snapToGrid w:val="0"/>
        </w:rPr>
        <w:t>d</w:t>
      </w:r>
      <w:r w:rsidRPr="000144E2">
        <w:rPr>
          <w:rFonts w:asciiTheme="minorHAnsi" w:hAnsiTheme="minorHAnsi" w:cs="Arial"/>
          <w:bCs/>
          <w:snapToGrid w:val="0"/>
        </w:rPr>
        <w:t xml:space="preserve"> (P6) </w:t>
      </w:r>
      <w:r w:rsidR="00C17CDF" w:rsidRPr="000144E2">
        <w:rPr>
          <w:rFonts w:asciiTheme="minorHAnsi" w:hAnsiTheme="minorHAnsi" w:cs="Arial"/>
          <w:bCs/>
          <w:snapToGrid w:val="0"/>
        </w:rPr>
        <w:t>the current standard of care to be</w:t>
      </w:r>
      <w:r w:rsidRPr="000144E2">
        <w:rPr>
          <w:rFonts w:asciiTheme="minorHAnsi" w:hAnsiTheme="minorHAnsi" w:cs="Arial"/>
          <w:bCs/>
          <w:snapToGrid w:val="0"/>
        </w:rPr>
        <w:t xml:space="preserve"> standard dose QIV, and that QIV was recommended for NIP listing on the basis of non-inferior efficacy and saf</w:t>
      </w:r>
      <w:r w:rsidR="00B01654" w:rsidRPr="000144E2">
        <w:rPr>
          <w:rFonts w:asciiTheme="minorHAnsi" w:hAnsiTheme="minorHAnsi" w:cs="Arial"/>
          <w:bCs/>
          <w:snapToGrid w:val="0"/>
        </w:rPr>
        <w:t xml:space="preserve">ety </w:t>
      </w:r>
      <w:r w:rsidR="00996672" w:rsidRPr="000144E2">
        <w:rPr>
          <w:rFonts w:asciiTheme="minorHAnsi" w:hAnsiTheme="minorHAnsi" w:cs="Arial"/>
          <w:bCs/>
          <w:snapToGrid w:val="0"/>
        </w:rPr>
        <w:t>to</w:t>
      </w:r>
      <w:r w:rsidR="00B01654" w:rsidRPr="000144E2">
        <w:rPr>
          <w:rFonts w:asciiTheme="minorHAnsi" w:hAnsiTheme="minorHAnsi" w:cs="Arial"/>
          <w:bCs/>
          <w:snapToGrid w:val="0"/>
        </w:rPr>
        <w:t xml:space="preserve"> TIV.  The sponsor conclude</w:t>
      </w:r>
      <w:r w:rsidR="00996672" w:rsidRPr="000144E2">
        <w:rPr>
          <w:rFonts w:asciiTheme="minorHAnsi" w:hAnsiTheme="minorHAnsi" w:cs="Arial"/>
          <w:bCs/>
          <w:snapToGrid w:val="0"/>
        </w:rPr>
        <w:t>d</w:t>
      </w:r>
      <w:r w:rsidR="00B01654" w:rsidRPr="000144E2">
        <w:rPr>
          <w:rFonts w:asciiTheme="minorHAnsi" w:hAnsiTheme="minorHAnsi" w:cs="Arial"/>
          <w:bCs/>
          <w:snapToGrid w:val="0"/>
        </w:rPr>
        <w:t xml:space="preserve"> that as TGA and ATAGI acknowledge</w:t>
      </w:r>
      <w:r w:rsidR="002237EF" w:rsidRPr="000144E2">
        <w:rPr>
          <w:rFonts w:asciiTheme="minorHAnsi" w:hAnsiTheme="minorHAnsi" w:cs="Arial"/>
          <w:bCs/>
          <w:snapToGrid w:val="0"/>
        </w:rPr>
        <w:t>d</w:t>
      </w:r>
      <w:r w:rsidR="00B01654" w:rsidRPr="000144E2">
        <w:rPr>
          <w:rFonts w:asciiTheme="minorHAnsi" w:hAnsiTheme="minorHAnsi" w:cs="Arial"/>
          <w:bCs/>
          <w:snapToGrid w:val="0"/>
        </w:rPr>
        <w:t xml:space="preserve"> </w:t>
      </w:r>
      <w:r w:rsidR="000538CE" w:rsidRPr="000144E2">
        <w:rPr>
          <w:rFonts w:asciiTheme="minorHAnsi" w:hAnsiTheme="minorHAnsi" w:cs="Arial"/>
          <w:bCs/>
          <w:snapToGrid w:val="0"/>
        </w:rPr>
        <w:t xml:space="preserve">TIV-HD </w:t>
      </w:r>
      <w:r w:rsidR="00B01654" w:rsidRPr="000144E2">
        <w:rPr>
          <w:rFonts w:asciiTheme="minorHAnsi" w:hAnsiTheme="minorHAnsi" w:cs="Arial"/>
          <w:bCs/>
          <w:snapToGrid w:val="0"/>
        </w:rPr>
        <w:t>to hav</w:t>
      </w:r>
      <w:r w:rsidR="00996672" w:rsidRPr="000144E2">
        <w:rPr>
          <w:rFonts w:asciiTheme="minorHAnsi" w:hAnsiTheme="minorHAnsi" w:cs="Arial"/>
          <w:bCs/>
          <w:snapToGrid w:val="0"/>
        </w:rPr>
        <w:t xml:space="preserve">e superior efficacy to TIV, it </w:t>
      </w:r>
      <w:r w:rsidR="00503C2B" w:rsidRPr="000144E2">
        <w:rPr>
          <w:rFonts w:asciiTheme="minorHAnsi" w:hAnsiTheme="minorHAnsi" w:cs="Arial"/>
          <w:bCs/>
          <w:snapToGrid w:val="0"/>
        </w:rPr>
        <w:t>wa</w:t>
      </w:r>
      <w:r w:rsidR="00B01654" w:rsidRPr="000144E2">
        <w:rPr>
          <w:rFonts w:asciiTheme="minorHAnsi" w:hAnsiTheme="minorHAnsi" w:cs="Arial"/>
          <w:bCs/>
          <w:snapToGrid w:val="0"/>
        </w:rPr>
        <w:t xml:space="preserve">s reasonable to conclude </w:t>
      </w:r>
      <w:r w:rsidR="00C17CDF" w:rsidRPr="000144E2">
        <w:rPr>
          <w:rFonts w:asciiTheme="minorHAnsi" w:hAnsiTheme="minorHAnsi" w:cs="Arial"/>
          <w:bCs/>
          <w:snapToGrid w:val="0"/>
        </w:rPr>
        <w:t xml:space="preserve">that </w:t>
      </w:r>
      <w:r w:rsidR="00333804" w:rsidRPr="000144E2">
        <w:rPr>
          <w:rFonts w:asciiTheme="minorHAnsi" w:hAnsiTheme="minorHAnsi" w:cs="Arial"/>
          <w:bCs/>
          <w:snapToGrid w:val="0"/>
        </w:rPr>
        <w:t>the therapeutic conclusion also</w:t>
      </w:r>
      <w:r w:rsidR="00B01654" w:rsidRPr="000144E2">
        <w:rPr>
          <w:rFonts w:asciiTheme="minorHAnsi" w:hAnsiTheme="minorHAnsi" w:cs="Arial"/>
          <w:bCs/>
          <w:snapToGrid w:val="0"/>
        </w:rPr>
        <w:t xml:space="preserve"> extend</w:t>
      </w:r>
      <w:r w:rsidR="00C17CDF" w:rsidRPr="000144E2">
        <w:rPr>
          <w:rFonts w:asciiTheme="minorHAnsi" w:hAnsiTheme="minorHAnsi" w:cs="Arial"/>
          <w:bCs/>
          <w:snapToGrid w:val="0"/>
        </w:rPr>
        <w:t>ed</w:t>
      </w:r>
      <w:r w:rsidR="00B01654" w:rsidRPr="000144E2">
        <w:rPr>
          <w:rFonts w:asciiTheme="minorHAnsi" w:hAnsiTheme="minorHAnsi" w:cs="Arial"/>
          <w:bCs/>
          <w:snapToGrid w:val="0"/>
        </w:rPr>
        <w:t xml:space="preserve"> to QIV</w:t>
      </w:r>
      <w:r w:rsidR="00333804" w:rsidRPr="000144E2">
        <w:rPr>
          <w:rFonts w:asciiTheme="minorHAnsi" w:hAnsiTheme="minorHAnsi" w:cs="Arial"/>
          <w:bCs/>
          <w:snapToGrid w:val="0"/>
        </w:rPr>
        <w:t xml:space="preserve">.  </w:t>
      </w:r>
    </w:p>
    <w:p w:rsidR="0048003E" w:rsidRPr="000144E2" w:rsidRDefault="0048003E" w:rsidP="000144E2">
      <w:pPr>
        <w:widowControl w:val="0"/>
        <w:numPr>
          <w:ilvl w:val="1"/>
          <w:numId w:val="5"/>
        </w:numPr>
        <w:spacing w:after="120"/>
        <w:jc w:val="both"/>
        <w:rPr>
          <w:rFonts w:asciiTheme="minorHAnsi" w:hAnsiTheme="minorHAnsi" w:cs="Arial"/>
          <w:bCs/>
          <w:snapToGrid w:val="0"/>
        </w:rPr>
      </w:pPr>
      <w:r w:rsidRPr="000144E2">
        <w:rPr>
          <w:rFonts w:asciiTheme="minorHAnsi" w:hAnsiTheme="minorHAnsi" w:cs="Arial"/>
          <w:bCs/>
          <w:snapToGrid w:val="0"/>
        </w:rPr>
        <w:t xml:space="preserve">ATAGI did not </w:t>
      </w:r>
      <w:r w:rsidR="00B8128B" w:rsidRPr="000144E2">
        <w:rPr>
          <w:rFonts w:asciiTheme="minorHAnsi" w:hAnsiTheme="minorHAnsi" w:cs="Arial"/>
          <w:bCs/>
          <w:snapToGrid w:val="0"/>
        </w:rPr>
        <w:t xml:space="preserve">consider </w:t>
      </w:r>
      <w:r w:rsidRPr="000144E2">
        <w:rPr>
          <w:rFonts w:asciiTheme="minorHAnsi" w:hAnsiTheme="minorHAnsi" w:cs="Arial"/>
          <w:bCs/>
          <w:snapToGrid w:val="0"/>
        </w:rPr>
        <w:t xml:space="preserve">that TIV single dose </w:t>
      </w:r>
      <w:r w:rsidR="0077673D" w:rsidRPr="000144E2">
        <w:rPr>
          <w:rFonts w:asciiTheme="minorHAnsi" w:hAnsiTheme="minorHAnsi" w:cs="Arial"/>
          <w:bCs/>
          <w:snapToGrid w:val="0"/>
        </w:rPr>
        <w:t xml:space="preserve">(SD) </w:t>
      </w:r>
      <w:r w:rsidR="00C17CDF" w:rsidRPr="000144E2">
        <w:rPr>
          <w:rFonts w:asciiTheme="minorHAnsi" w:hAnsiTheme="minorHAnsi" w:cs="Arial"/>
          <w:bCs/>
          <w:snapToGrid w:val="0"/>
        </w:rPr>
        <w:t>wa</w:t>
      </w:r>
      <w:r w:rsidRPr="000144E2">
        <w:rPr>
          <w:rFonts w:asciiTheme="minorHAnsi" w:hAnsiTheme="minorHAnsi" w:cs="Arial"/>
          <w:bCs/>
          <w:snapToGrid w:val="0"/>
        </w:rPr>
        <w:t xml:space="preserve">s an appropriate comparator given that QIV is used exclusively under the </w:t>
      </w:r>
      <w:r w:rsidR="00C17CDF" w:rsidRPr="000144E2">
        <w:rPr>
          <w:rFonts w:asciiTheme="minorHAnsi" w:hAnsiTheme="minorHAnsi" w:cs="Arial"/>
          <w:bCs/>
          <w:snapToGrid w:val="0"/>
        </w:rPr>
        <w:t>NIP and noted there wa</w:t>
      </w:r>
      <w:r w:rsidRPr="000144E2">
        <w:rPr>
          <w:rFonts w:asciiTheme="minorHAnsi" w:hAnsiTheme="minorHAnsi" w:cs="Arial"/>
          <w:bCs/>
          <w:snapToGrid w:val="0"/>
        </w:rPr>
        <w:t xml:space="preserve">s a level of uncertainty given the absence of head-to-head studies of TIV-HD versus QIV.  </w:t>
      </w:r>
      <w:r w:rsidR="00503C2B" w:rsidRPr="000144E2">
        <w:rPr>
          <w:rFonts w:asciiTheme="minorHAnsi" w:hAnsiTheme="minorHAnsi" w:cs="Arial"/>
          <w:bCs/>
          <w:snapToGrid w:val="0"/>
        </w:rPr>
        <w:t>(Pre-Submission PBAC Advice)</w:t>
      </w:r>
      <w:r w:rsidRPr="000144E2">
        <w:rPr>
          <w:rFonts w:asciiTheme="minorHAnsi" w:hAnsiTheme="minorHAnsi" w:cs="Arial"/>
          <w:bCs/>
          <w:snapToGrid w:val="0"/>
        </w:rPr>
        <w:t>.</w:t>
      </w:r>
      <w:r w:rsidR="005D7298">
        <w:rPr>
          <w:rFonts w:asciiTheme="minorHAnsi" w:hAnsiTheme="minorHAnsi" w:cs="Arial"/>
          <w:bCs/>
          <w:snapToGrid w:val="0"/>
        </w:rPr>
        <w:t xml:space="preserve"> </w:t>
      </w:r>
    </w:p>
    <w:p w:rsidR="003B6F41" w:rsidRPr="000144E2" w:rsidRDefault="00333804" w:rsidP="000144E2">
      <w:pPr>
        <w:widowControl w:val="0"/>
        <w:numPr>
          <w:ilvl w:val="1"/>
          <w:numId w:val="5"/>
        </w:numPr>
        <w:spacing w:after="120"/>
        <w:jc w:val="both"/>
        <w:rPr>
          <w:rFonts w:asciiTheme="minorHAnsi" w:hAnsiTheme="minorHAnsi" w:cs="Arial"/>
          <w:bCs/>
          <w:snapToGrid w:val="0"/>
        </w:rPr>
      </w:pPr>
      <w:r w:rsidRPr="000144E2">
        <w:rPr>
          <w:rFonts w:asciiTheme="minorHAnsi" w:hAnsiTheme="minorHAnsi" w:cs="Arial"/>
          <w:bCs/>
          <w:snapToGrid w:val="0"/>
        </w:rPr>
        <w:t xml:space="preserve">QIV was recommended in March 2015 based on non-inferiority to TIV (Public Summary Document, QIV, </w:t>
      </w:r>
      <w:proofErr w:type="gramStart"/>
      <w:r w:rsidRPr="000144E2">
        <w:rPr>
          <w:rFonts w:asciiTheme="minorHAnsi" w:hAnsiTheme="minorHAnsi" w:cs="Arial"/>
          <w:bCs/>
          <w:snapToGrid w:val="0"/>
        </w:rPr>
        <w:t>March</w:t>
      </w:r>
      <w:proofErr w:type="gramEnd"/>
      <w:r w:rsidRPr="000144E2">
        <w:rPr>
          <w:rFonts w:asciiTheme="minorHAnsi" w:hAnsiTheme="minorHAnsi" w:cs="Arial"/>
          <w:bCs/>
          <w:snapToGrid w:val="0"/>
        </w:rPr>
        <w:t xml:space="preserve"> 2015).</w:t>
      </w:r>
    </w:p>
    <w:p w:rsidR="00611060" w:rsidRPr="003974C8" w:rsidRDefault="00611060" w:rsidP="00852BC9">
      <w:pPr>
        <w:spacing w:after="120"/>
        <w:rPr>
          <w:rFonts w:asciiTheme="minorHAnsi" w:hAnsiTheme="minorHAnsi" w:cstheme="minorHAnsi"/>
          <w:b/>
          <w:i/>
        </w:rPr>
      </w:pPr>
      <w:r w:rsidRPr="003974C8">
        <w:rPr>
          <w:rFonts w:asciiTheme="minorHAnsi" w:eastAsiaTheme="minorHAnsi" w:hAnsiTheme="minorHAnsi" w:cstheme="minorBidi"/>
          <w:i/>
          <w:szCs w:val="22"/>
        </w:rPr>
        <w:t>For more detail on PBAC’s view, see section 7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lastRenderedPageBreak/>
        <w:t>C</w:t>
      </w:r>
      <w:r w:rsidR="00D84934" w:rsidRPr="003C2FB5">
        <w:rPr>
          <w:rFonts w:asciiTheme="minorHAnsi" w:hAnsiTheme="minorHAnsi"/>
          <w:sz w:val="32"/>
          <w:szCs w:val="32"/>
        </w:rPr>
        <w:t>onsideration of the evidence</w:t>
      </w:r>
    </w:p>
    <w:p w:rsidR="00F47921" w:rsidRPr="002C1A4A" w:rsidRDefault="00F47921" w:rsidP="00F47921">
      <w:pPr>
        <w:widowControl w:val="0"/>
        <w:spacing w:before="240" w:line="276" w:lineRule="auto"/>
        <w:jc w:val="both"/>
        <w:rPr>
          <w:rFonts w:asciiTheme="minorHAnsi" w:hAnsiTheme="minorHAnsi" w:cs="Arial"/>
          <w:b/>
          <w:bCs/>
          <w:i/>
          <w:snapToGrid w:val="0"/>
          <w:sz w:val="28"/>
          <w:szCs w:val="28"/>
        </w:rPr>
      </w:pPr>
      <w:r w:rsidRPr="002C1A4A">
        <w:rPr>
          <w:rFonts w:asciiTheme="minorHAnsi" w:hAnsiTheme="minorHAnsi" w:cs="Arial"/>
          <w:b/>
          <w:bCs/>
          <w:i/>
          <w:snapToGrid w:val="0"/>
          <w:sz w:val="28"/>
          <w:szCs w:val="28"/>
        </w:rPr>
        <w:t>Sponsor hearing</w:t>
      </w:r>
    </w:p>
    <w:p w:rsidR="00F47921" w:rsidRPr="002C1A4A" w:rsidRDefault="00F47921" w:rsidP="00F47921">
      <w:pPr>
        <w:widowControl w:val="0"/>
        <w:numPr>
          <w:ilvl w:val="1"/>
          <w:numId w:val="5"/>
        </w:numPr>
        <w:spacing w:after="120"/>
        <w:jc w:val="both"/>
        <w:rPr>
          <w:rFonts w:asciiTheme="minorHAnsi" w:hAnsiTheme="minorHAnsi" w:cs="Arial"/>
          <w:bCs/>
          <w:snapToGrid w:val="0"/>
        </w:rPr>
      </w:pPr>
      <w:r w:rsidRPr="002C1A4A">
        <w:rPr>
          <w:rFonts w:asciiTheme="minorHAnsi" w:hAnsiTheme="minorHAnsi" w:cs="Arial"/>
          <w:bCs/>
          <w:snapToGrid w:val="0"/>
        </w:rPr>
        <w:t>There was no hearing for this ite</w:t>
      </w:r>
      <w:r w:rsidR="002C1A4A" w:rsidRPr="002C1A4A">
        <w:rPr>
          <w:rFonts w:asciiTheme="minorHAnsi" w:hAnsiTheme="minorHAnsi" w:cs="Arial"/>
          <w:bCs/>
          <w:snapToGrid w:val="0"/>
        </w:rPr>
        <w:t>m as it was a minor submission.</w:t>
      </w:r>
    </w:p>
    <w:p w:rsidR="00F47921" w:rsidRPr="003974C8" w:rsidRDefault="00F47921" w:rsidP="00F47921">
      <w:pPr>
        <w:widowControl w:val="0"/>
        <w:spacing w:before="240" w:line="276" w:lineRule="auto"/>
        <w:jc w:val="both"/>
        <w:rPr>
          <w:rFonts w:asciiTheme="minorHAnsi" w:hAnsiTheme="minorHAnsi" w:cs="Arial"/>
          <w:b/>
          <w:bCs/>
          <w:i/>
          <w:snapToGrid w:val="0"/>
          <w:sz w:val="28"/>
          <w:szCs w:val="28"/>
        </w:rPr>
      </w:pPr>
      <w:r w:rsidRPr="003974C8">
        <w:rPr>
          <w:rFonts w:asciiTheme="minorHAnsi" w:hAnsiTheme="minorHAnsi" w:cs="Arial"/>
          <w:b/>
          <w:bCs/>
          <w:i/>
          <w:snapToGrid w:val="0"/>
          <w:sz w:val="28"/>
          <w:szCs w:val="28"/>
        </w:rPr>
        <w:t>Consumer comments</w:t>
      </w:r>
    </w:p>
    <w:p w:rsidR="00F47921" w:rsidRPr="003974C8" w:rsidRDefault="00F47921" w:rsidP="00F47921">
      <w:pPr>
        <w:widowControl w:val="0"/>
        <w:numPr>
          <w:ilvl w:val="1"/>
          <w:numId w:val="5"/>
        </w:numPr>
        <w:spacing w:after="120"/>
        <w:jc w:val="both"/>
        <w:rPr>
          <w:rFonts w:asciiTheme="minorHAnsi" w:hAnsiTheme="minorHAnsi" w:cs="Arial"/>
          <w:bCs/>
          <w:snapToGrid w:val="0"/>
        </w:rPr>
      </w:pPr>
      <w:r w:rsidRPr="003974C8">
        <w:rPr>
          <w:rFonts w:asciiTheme="minorHAnsi" w:hAnsiTheme="minorHAnsi" w:cs="Arial"/>
          <w:bCs/>
          <w:snapToGrid w:val="0"/>
        </w:rPr>
        <w:t>The PBAC noted and welcomed the input from individuals (</w:t>
      </w:r>
      <w:r w:rsidR="003974C8" w:rsidRPr="003974C8">
        <w:rPr>
          <w:rFonts w:asciiTheme="minorHAnsi" w:hAnsiTheme="minorHAnsi" w:cs="Arial"/>
          <w:bCs/>
          <w:snapToGrid w:val="0"/>
        </w:rPr>
        <w:t xml:space="preserve">2) </w:t>
      </w:r>
      <w:r w:rsidRPr="003974C8">
        <w:rPr>
          <w:rFonts w:asciiTheme="minorHAnsi" w:hAnsiTheme="minorHAnsi" w:cs="Arial"/>
          <w:bCs/>
          <w:snapToGrid w:val="0"/>
        </w:rPr>
        <w:t xml:space="preserve">via the Consumer Comments facility on the PBS website.  The comments </w:t>
      </w:r>
      <w:r w:rsidR="003974C8" w:rsidRPr="003974C8">
        <w:rPr>
          <w:rFonts w:asciiTheme="minorHAnsi" w:hAnsiTheme="minorHAnsi" w:cs="Arial"/>
          <w:bCs/>
          <w:snapToGrid w:val="0"/>
        </w:rPr>
        <w:t>were supportive of the requested listing.</w:t>
      </w:r>
      <w:r w:rsidRPr="003974C8">
        <w:rPr>
          <w:rFonts w:asciiTheme="minorHAnsi" w:hAnsiTheme="minorHAnsi" w:cs="Arial"/>
          <w:bCs/>
          <w:snapToGrid w:val="0"/>
        </w:rPr>
        <w:t xml:space="preserve">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F550CF"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As a</w:t>
      </w:r>
      <w:r w:rsidR="0000701F">
        <w:rPr>
          <w:rFonts w:asciiTheme="minorHAnsi" w:eastAsiaTheme="minorHAnsi" w:hAnsiTheme="minorHAnsi" w:cstheme="minorBidi"/>
          <w:snapToGrid/>
          <w:sz w:val="24"/>
          <w:szCs w:val="22"/>
        </w:rPr>
        <w:t xml:space="preserve"> </w:t>
      </w:r>
      <w:r w:rsidRPr="001B2BBC">
        <w:rPr>
          <w:rFonts w:asciiTheme="minorHAnsi" w:eastAsiaTheme="minorHAnsi" w:hAnsiTheme="minorHAnsi" w:cstheme="minorBidi"/>
          <w:snapToGrid/>
          <w:sz w:val="24"/>
          <w:szCs w:val="22"/>
        </w:rPr>
        <w:t>minor submission, no clinical trial</w:t>
      </w:r>
      <w:r w:rsidR="00B8128B">
        <w:rPr>
          <w:rFonts w:asciiTheme="minorHAnsi" w:eastAsiaTheme="minorHAnsi" w:hAnsiTheme="minorHAnsi" w:cstheme="minorBidi"/>
          <w:snapToGrid/>
          <w:sz w:val="24"/>
          <w:szCs w:val="22"/>
        </w:rPr>
        <w:t xml:space="preserve"> evidence was evaluated by the PBAC Secretariat.  Both the</w:t>
      </w:r>
      <w:r w:rsidR="0000701F">
        <w:rPr>
          <w:rFonts w:asciiTheme="minorHAnsi" w:eastAsiaTheme="minorHAnsi" w:hAnsiTheme="minorHAnsi" w:cstheme="minorBidi"/>
          <w:snapToGrid/>
          <w:sz w:val="24"/>
          <w:szCs w:val="22"/>
        </w:rPr>
        <w:t xml:space="preserve"> Therapeutic Goods Administration (TGA) and the Australian Technical Advisory Group on Immunisation (ATAGI)</w:t>
      </w:r>
      <w:r w:rsidR="00B8128B">
        <w:rPr>
          <w:rFonts w:asciiTheme="minorHAnsi" w:eastAsiaTheme="minorHAnsi" w:hAnsiTheme="minorHAnsi" w:cstheme="minorBidi"/>
          <w:snapToGrid/>
          <w:sz w:val="24"/>
          <w:szCs w:val="22"/>
        </w:rPr>
        <w:t xml:space="preserve"> have considered the clinical evidence for TIV-HD</w:t>
      </w:r>
      <w:r w:rsidR="0000701F">
        <w:rPr>
          <w:rFonts w:asciiTheme="minorHAnsi" w:eastAsiaTheme="minorHAnsi" w:hAnsiTheme="minorHAnsi" w:cstheme="minorBidi"/>
          <w:snapToGrid/>
          <w:sz w:val="24"/>
          <w:szCs w:val="22"/>
        </w:rPr>
        <w:t>.</w:t>
      </w:r>
    </w:p>
    <w:p w:rsidR="003B6F41" w:rsidRDefault="0076420C" w:rsidP="00B812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basis of the minor submission’s request </w:t>
      </w:r>
      <w:r w:rsidR="00FF2801" w:rsidRPr="001B2BBC">
        <w:rPr>
          <w:rFonts w:asciiTheme="minorHAnsi" w:eastAsiaTheme="minorHAnsi" w:hAnsiTheme="minorHAnsi" w:cstheme="minorBidi"/>
          <w:snapToGrid/>
          <w:sz w:val="24"/>
          <w:szCs w:val="22"/>
        </w:rPr>
        <w:t>wa</w:t>
      </w:r>
      <w:r w:rsidRPr="001B2BBC">
        <w:rPr>
          <w:rFonts w:asciiTheme="minorHAnsi" w:eastAsiaTheme="minorHAnsi" w:hAnsiTheme="minorHAnsi" w:cstheme="minorBidi"/>
          <w:snapToGrid/>
          <w:sz w:val="24"/>
          <w:szCs w:val="22"/>
        </w:rPr>
        <w:t>s</w:t>
      </w:r>
      <w:r w:rsidR="000A5974">
        <w:rPr>
          <w:rFonts w:asciiTheme="minorHAnsi" w:eastAsiaTheme="minorHAnsi" w:hAnsiTheme="minorHAnsi" w:cstheme="minorBidi"/>
          <w:snapToGrid/>
          <w:sz w:val="24"/>
          <w:szCs w:val="22"/>
        </w:rPr>
        <w:t xml:space="preserve"> </w:t>
      </w:r>
      <w:r w:rsidR="00B8128B">
        <w:rPr>
          <w:rFonts w:asciiTheme="minorHAnsi" w:eastAsiaTheme="minorHAnsi" w:hAnsiTheme="minorHAnsi" w:cstheme="minorBidi"/>
          <w:snapToGrid/>
          <w:sz w:val="24"/>
          <w:szCs w:val="22"/>
        </w:rPr>
        <w:t xml:space="preserve">that TIV-HD was </w:t>
      </w:r>
      <w:r w:rsidR="000A5974">
        <w:rPr>
          <w:rFonts w:asciiTheme="minorHAnsi" w:eastAsiaTheme="minorHAnsi" w:hAnsiTheme="minorHAnsi" w:cstheme="minorBidi"/>
          <w:snapToGrid/>
          <w:sz w:val="24"/>
          <w:szCs w:val="22"/>
        </w:rPr>
        <w:t xml:space="preserve">non-inferior </w:t>
      </w:r>
      <w:r w:rsidR="00EC1803">
        <w:rPr>
          <w:rFonts w:asciiTheme="minorHAnsi" w:eastAsiaTheme="minorHAnsi" w:hAnsiTheme="minorHAnsi" w:cstheme="minorBidi"/>
          <w:snapToGrid/>
          <w:sz w:val="24"/>
          <w:szCs w:val="22"/>
        </w:rPr>
        <w:t>in</w:t>
      </w:r>
      <w:r w:rsidR="003B6F41">
        <w:rPr>
          <w:rFonts w:asciiTheme="minorHAnsi" w:eastAsiaTheme="minorHAnsi" w:hAnsiTheme="minorHAnsi" w:cstheme="minorBidi"/>
          <w:snapToGrid/>
          <w:sz w:val="24"/>
          <w:szCs w:val="22"/>
        </w:rPr>
        <w:t xml:space="preserve"> efficacy and safety </w:t>
      </w:r>
      <w:r w:rsidR="000A5974">
        <w:rPr>
          <w:rFonts w:asciiTheme="minorHAnsi" w:eastAsiaTheme="minorHAnsi" w:hAnsiTheme="minorHAnsi" w:cstheme="minorBidi"/>
          <w:snapToGrid/>
          <w:sz w:val="24"/>
          <w:szCs w:val="22"/>
        </w:rPr>
        <w:t xml:space="preserve">to </w:t>
      </w:r>
      <w:r w:rsidR="003B6F41">
        <w:rPr>
          <w:rFonts w:asciiTheme="minorHAnsi" w:eastAsiaTheme="minorHAnsi" w:hAnsiTheme="minorHAnsi" w:cstheme="minorBidi"/>
          <w:snapToGrid/>
          <w:sz w:val="24"/>
          <w:szCs w:val="22"/>
        </w:rPr>
        <w:t xml:space="preserve">the comparator.  </w:t>
      </w:r>
    </w:p>
    <w:p w:rsidR="00BB7EC3" w:rsidRPr="00611060" w:rsidRDefault="00D309F9" w:rsidP="0061106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primary evidence </w:t>
      </w:r>
      <w:r w:rsidR="00B8128B">
        <w:rPr>
          <w:rFonts w:asciiTheme="minorHAnsi" w:eastAsiaTheme="minorHAnsi" w:hAnsiTheme="minorHAnsi" w:cstheme="minorBidi"/>
          <w:snapToGrid/>
          <w:sz w:val="24"/>
          <w:szCs w:val="22"/>
        </w:rPr>
        <w:t xml:space="preserve">available </w:t>
      </w:r>
      <w:r>
        <w:rPr>
          <w:rFonts w:asciiTheme="minorHAnsi" w:eastAsiaTheme="minorHAnsi" w:hAnsiTheme="minorHAnsi" w:cstheme="minorBidi"/>
          <w:snapToGrid/>
          <w:sz w:val="24"/>
          <w:szCs w:val="22"/>
        </w:rPr>
        <w:t xml:space="preserve">for efficacy, effectiveness and immunogenicity of TIV-HD against </w:t>
      </w:r>
      <w:r w:rsidR="00534575">
        <w:rPr>
          <w:rFonts w:asciiTheme="minorHAnsi" w:eastAsiaTheme="minorHAnsi" w:hAnsiTheme="minorHAnsi" w:cstheme="minorBidi"/>
          <w:snapToGrid/>
          <w:sz w:val="24"/>
          <w:szCs w:val="22"/>
        </w:rPr>
        <w:t>laboratory confirmed influenza we</w:t>
      </w:r>
      <w:r>
        <w:rPr>
          <w:rFonts w:asciiTheme="minorHAnsi" w:eastAsiaTheme="minorHAnsi" w:hAnsiTheme="minorHAnsi" w:cstheme="minorBidi"/>
          <w:snapToGrid/>
          <w:sz w:val="24"/>
          <w:szCs w:val="22"/>
        </w:rPr>
        <w:t>re provided by one large pivotal clinical trial and three post-market observat</w:t>
      </w:r>
      <w:r w:rsidR="000538CE">
        <w:rPr>
          <w:rFonts w:asciiTheme="minorHAnsi" w:eastAsiaTheme="minorHAnsi" w:hAnsiTheme="minorHAnsi" w:cstheme="minorBidi"/>
          <w:snapToGrid/>
          <w:sz w:val="24"/>
          <w:szCs w:val="22"/>
        </w:rPr>
        <w:t xml:space="preserve">ional studies. </w:t>
      </w:r>
      <w:r>
        <w:rPr>
          <w:rFonts w:asciiTheme="minorHAnsi" w:eastAsiaTheme="minorHAnsi" w:hAnsiTheme="minorHAnsi" w:cstheme="minorBidi"/>
          <w:snapToGrid/>
          <w:sz w:val="24"/>
          <w:szCs w:val="22"/>
        </w:rPr>
        <w:t>ATAGI found that these provide</w:t>
      </w:r>
      <w:r w:rsidR="00534575">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evidence of superior efficacy of TIV-HD compared to TIV-SD and noted uncertainties around the lack of comparative studies of TIV-HD with QIV, and the uncertainties observed year to year with the influenza seasons (Pre-Submission PBAC Advice).</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effectiveness</w:t>
      </w:r>
    </w:p>
    <w:p w:rsidR="00556200" w:rsidRPr="00B8128B" w:rsidRDefault="003B6F41" w:rsidP="00B812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8128B">
        <w:rPr>
          <w:rFonts w:asciiTheme="minorHAnsi" w:eastAsiaTheme="minorHAnsi" w:hAnsiTheme="minorHAnsi" w:cstheme="minorBidi"/>
          <w:snapToGrid/>
          <w:sz w:val="24"/>
          <w:szCs w:val="22"/>
        </w:rPr>
        <w:t xml:space="preserve">Based on evidence from three post-marketing observational studies in the USA, ATAGI considered that the vaccine effectiveness studies for </w:t>
      </w:r>
      <w:r w:rsidR="00D309F9" w:rsidRPr="00AD70EE">
        <w:rPr>
          <w:rFonts w:asciiTheme="minorHAnsi" w:eastAsiaTheme="minorHAnsi" w:hAnsiTheme="minorHAnsi" w:cstheme="minorBidi"/>
          <w:snapToGrid/>
          <w:sz w:val="24"/>
          <w:szCs w:val="22"/>
        </w:rPr>
        <w:t>TIV-HD</w:t>
      </w:r>
      <w:r w:rsidRPr="00B8128B">
        <w:rPr>
          <w:rFonts w:asciiTheme="minorHAnsi" w:eastAsiaTheme="minorHAnsi" w:hAnsiTheme="minorHAnsi" w:cstheme="minorBidi"/>
          <w:snapToGrid/>
          <w:sz w:val="24"/>
          <w:szCs w:val="22"/>
        </w:rPr>
        <w:t xml:space="preserve"> corroborated with the pivotal efficacy clinical trials presented. </w:t>
      </w:r>
      <w:r w:rsidR="00556200" w:rsidRPr="00B8128B">
        <w:rPr>
          <w:rFonts w:asciiTheme="minorHAnsi" w:eastAsiaTheme="minorHAnsi" w:hAnsiTheme="minorHAnsi" w:cstheme="minorBidi"/>
          <w:snapToGrid/>
          <w:sz w:val="24"/>
          <w:szCs w:val="22"/>
        </w:rPr>
        <w:t>ATAGI acknowledged superior ef</w:t>
      </w:r>
      <w:r w:rsidR="00AC5D07" w:rsidRPr="00AD70EE">
        <w:rPr>
          <w:rFonts w:asciiTheme="minorHAnsi" w:eastAsiaTheme="minorHAnsi" w:hAnsiTheme="minorHAnsi" w:cstheme="minorBidi"/>
          <w:snapToGrid/>
          <w:sz w:val="24"/>
          <w:szCs w:val="22"/>
        </w:rPr>
        <w:t xml:space="preserve">ficacy of </w:t>
      </w:r>
      <w:r w:rsidR="00D309F9" w:rsidRPr="00AD70EE">
        <w:rPr>
          <w:rFonts w:asciiTheme="minorHAnsi" w:eastAsiaTheme="minorHAnsi" w:hAnsiTheme="minorHAnsi" w:cstheme="minorBidi"/>
          <w:snapToGrid/>
          <w:sz w:val="24"/>
          <w:szCs w:val="22"/>
        </w:rPr>
        <w:t>TIV-HD</w:t>
      </w:r>
      <w:r w:rsidR="00AC5D07" w:rsidRPr="00AD70EE">
        <w:rPr>
          <w:rFonts w:asciiTheme="minorHAnsi" w:eastAsiaTheme="minorHAnsi" w:hAnsiTheme="minorHAnsi" w:cstheme="minorBidi"/>
          <w:snapToGrid/>
          <w:sz w:val="24"/>
          <w:szCs w:val="22"/>
        </w:rPr>
        <w:t xml:space="preserve"> compared with TIV</w:t>
      </w:r>
      <w:r w:rsidR="00556200" w:rsidRPr="00B8128B">
        <w:rPr>
          <w:rFonts w:asciiTheme="minorHAnsi" w:eastAsiaTheme="minorHAnsi" w:hAnsiTheme="minorHAnsi" w:cstheme="minorBidi"/>
          <w:snapToGrid/>
          <w:sz w:val="24"/>
          <w:szCs w:val="22"/>
        </w:rPr>
        <w:t>–SD, with the most no</w:t>
      </w:r>
      <w:r w:rsidRPr="00B8128B">
        <w:rPr>
          <w:rFonts w:asciiTheme="minorHAnsi" w:eastAsiaTheme="minorHAnsi" w:hAnsiTheme="minorHAnsi" w:cstheme="minorBidi"/>
          <w:snapToGrid/>
          <w:sz w:val="24"/>
          <w:szCs w:val="22"/>
        </w:rPr>
        <w:t>table effect being against the A</w:t>
      </w:r>
      <w:r w:rsidR="00556200" w:rsidRPr="00B8128B">
        <w:rPr>
          <w:rFonts w:asciiTheme="minorHAnsi" w:eastAsiaTheme="minorHAnsi" w:hAnsiTheme="minorHAnsi" w:cstheme="minorBidi"/>
          <w:snapToGrid/>
          <w:sz w:val="24"/>
          <w:szCs w:val="22"/>
        </w:rPr>
        <w:t>/H3 strain.</w:t>
      </w:r>
      <w:r w:rsidR="00D309F9" w:rsidRPr="00AD70EE">
        <w:rPr>
          <w:rFonts w:asciiTheme="minorHAnsi" w:eastAsiaTheme="minorHAnsi" w:hAnsiTheme="minorHAnsi" w:cstheme="minorBidi"/>
          <w:snapToGrid/>
          <w:sz w:val="24"/>
          <w:szCs w:val="22"/>
        </w:rPr>
        <w:t xml:space="preserve">  ATAG</w:t>
      </w:r>
      <w:r w:rsidR="005320A9" w:rsidRPr="00AD70EE">
        <w:rPr>
          <w:rFonts w:asciiTheme="minorHAnsi" w:eastAsiaTheme="minorHAnsi" w:hAnsiTheme="minorHAnsi" w:cstheme="minorBidi"/>
          <w:snapToGrid/>
          <w:sz w:val="24"/>
          <w:szCs w:val="22"/>
        </w:rPr>
        <w:t xml:space="preserve">I noted that effectiveness varied </w:t>
      </w:r>
      <w:r w:rsidR="00D309F9" w:rsidRPr="00AD70EE">
        <w:rPr>
          <w:rFonts w:asciiTheme="minorHAnsi" w:eastAsiaTheme="minorHAnsi" w:hAnsiTheme="minorHAnsi" w:cstheme="minorBidi"/>
          <w:snapToGrid/>
          <w:sz w:val="24"/>
          <w:szCs w:val="22"/>
        </w:rPr>
        <w:t>by a number of factors including age, circulating strains and severity of the season</w:t>
      </w:r>
      <w:r w:rsidRPr="00B8128B">
        <w:rPr>
          <w:rFonts w:asciiTheme="minorHAnsi" w:eastAsiaTheme="minorHAnsi" w:hAnsiTheme="minorHAnsi" w:cstheme="minorBidi"/>
          <w:snapToGrid/>
          <w:sz w:val="24"/>
          <w:szCs w:val="22"/>
        </w:rPr>
        <w:t xml:space="preserve"> (</w:t>
      </w:r>
      <w:r w:rsidR="00D309F9" w:rsidRPr="00AD70EE">
        <w:rPr>
          <w:rFonts w:asciiTheme="minorHAnsi" w:eastAsiaTheme="minorHAnsi" w:hAnsiTheme="minorHAnsi" w:cstheme="minorBidi"/>
          <w:snapToGrid/>
          <w:sz w:val="24"/>
          <w:szCs w:val="22"/>
        </w:rPr>
        <w:t>Pre-Submission PBAC Advice</w:t>
      </w:r>
      <w:r w:rsidRPr="00B8128B">
        <w:rPr>
          <w:rFonts w:asciiTheme="minorHAnsi" w:eastAsiaTheme="minorHAnsi" w:hAnsiTheme="minorHAnsi" w:cstheme="minorBidi"/>
          <w:snapToGrid/>
          <w:sz w:val="24"/>
          <w:szCs w:val="22"/>
        </w:rPr>
        <w:t>)</w:t>
      </w:r>
      <w:r w:rsidR="00D309F9" w:rsidRPr="00AD70EE">
        <w:rPr>
          <w:rFonts w:asciiTheme="minorHAnsi" w:eastAsiaTheme="minorHAnsi" w:hAnsiTheme="minorHAnsi" w:cstheme="minorBidi"/>
          <w:snapToGrid/>
          <w:sz w:val="24"/>
          <w:szCs w:val="22"/>
        </w:rPr>
        <w:t>.  ATAGI considered an overall relative vaccine efficacy of TID-HD versus TIV-SD of 24.2% (95%CI: 9.7%-36.5%) to be most appropriate for the base case assessment, as reported in the FIM12 study (Pre-Submission PBAC Advice).</w:t>
      </w:r>
    </w:p>
    <w:p w:rsidR="003B6F41" w:rsidRPr="00AD70EE" w:rsidRDefault="005320A9" w:rsidP="00B812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D70EE">
        <w:rPr>
          <w:rFonts w:asciiTheme="minorHAnsi" w:eastAsiaTheme="minorHAnsi" w:hAnsiTheme="minorHAnsi" w:cstheme="minorBidi"/>
          <w:snapToGrid/>
          <w:sz w:val="24"/>
          <w:szCs w:val="22"/>
        </w:rPr>
        <w:t>With regard to immunogenicity,</w:t>
      </w:r>
      <w:r w:rsidR="003B6F41" w:rsidRPr="00B8128B">
        <w:rPr>
          <w:rFonts w:asciiTheme="minorHAnsi" w:eastAsiaTheme="minorHAnsi" w:hAnsiTheme="minorHAnsi" w:cstheme="minorBidi"/>
          <w:snapToGrid/>
          <w:sz w:val="24"/>
          <w:szCs w:val="22"/>
        </w:rPr>
        <w:t xml:space="preserve"> ATAGI found that the immunological findings were largely consistent with findings from efficacy studies</w:t>
      </w:r>
      <w:r w:rsidRPr="00AD70EE">
        <w:rPr>
          <w:rFonts w:asciiTheme="minorHAnsi" w:eastAsiaTheme="minorHAnsi" w:hAnsiTheme="minorHAnsi" w:cstheme="minorBidi"/>
          <w:snapToGrid/>
          <w:sz w:val="24"/>
          <w:szCs w:val="22"/>
        </w:rPr>
        <w:t>;</w:t>
      </w:r>
      <w:r w:rsidR="003B6F41" w:rsidRPr="00B8128B">
        <w:rPr>
          <w:rFonts w:asciiTheme="minorHAnsi" w:eastAsiaTheme="minorHAnsi" w:hAnsiTheme="minorHAnsi" w:cstheme="minorBidi"/>
          <w:snapToGrid/>
          <w:sz w:val="24"/>
          <w:szCs w:val="22"/>
        </w:rPr>
        <w:t xml:space="preserve"> that </w:t>
      </w:r>
      <w:r w:rsidR="00D309F9" w:rsidRPr="00AD70EE">
        <w:rPr>
          <w:rFonts w:asciiTheme="minorHAnsi" w:eastAsiaTheme="minorHAnsi" w:hAnsiTheme="minorHAnsi" w:cstheme="minorBidi"/>
          <w:snapToGrid/>
          <w:sz w:val="24"/>
          <w:szCs w:val="22"/>
        </w:rPr>
        <w:t>TIV-HD</w:t>
      </w:r>
      <w:r w:rsidRPr="00AD70EE">
        <w:rPr>
          <w:rFonts w:asciiTheme="minorHAnsi" w:eastAsiaTheme="minorHAnsi" w:hAnsiTheme="minorHAnsi" w:cstheme="minorBidi"/>
          <w:snapToGrid/>
          <w:sz w:val="24"/>
          <w:szCs w:val="22"/>
        </w:rPr>
        <w:t xml:space="preserve"> generated</w:t>
      </w:r>
      <w:r w:rsidR="003B6F41" w:rsidRPr="00B8128B">
        <w:rPr>
          <w:rFonts w:asciiTheme="minorHAnsi" w:eastAsiaTheme="minorHAnsi" w:hAnsiTheme="minorHAnsi" w:cstheme="minorBidi"/>
          <w:snapToGrid/>
          <w:sz w:val="24"/>
          <w:szCs w:val="22"/>
        </w:rPr>
        <w:t xml:space="preserve"> a superior immune response </w:t>
      </w:r>
      <w:r w:rsidR="00784AC0" w:rsidRPr="00AD70EE">
        <w:rPr>
          <w:rFonts w:asciiTheme="minorHAnsi" w:eastAsiaTheme="minorHAnsi" w:hAnsiTheme="minorHAnsi" w:cstheme="minorBidi"/>
          <w:snapToGrid/>
          <w:sz w:val="24"/>
          <w:szCs w:val="22"/>
        </w:rPr>
        <w:t>to TIV</w:t>
      </w:r>
      <w:r w:rsidR="00AC5D07" w:rsidRPr="00AD70EE">
        <w:rPr>
          <w:rFonts w:asciiTheme="minorHAnsi" w:eastAsiaTheme="minorHAnsi" w:hAnsiTheme="minorHAnsi" w:cstheme="minorBidi"/>
          <w:snapToGrid/>
          <w:sz w:val="24"/>
          <w:szCs w:val="22"/>
        </w:rPr>
        <w:t xml:space="preserve">-SD </w:t>
      </w:r>
      <w:r w:rsidR="003B6F41" w:rsidRPr="00B8128B">
        <w:rPr>
          <w:rFonts w:asciiTheme="minorHAnsi" w:eastAsiaTheme="minorHAnsi" w:hAnsiTheme="minorHAnsi" w:cstheme="minorBidi"/>
          <w:snapToGrid/>
          <w:sz w:val="24"/>
          <w:szCs w:val="22"/>
        </w:rPr>
        <w:t xml:space="preserve">in geometric </w:t>
      </w:r>
      <w:r w:rsidR="00784AC0" w:rsidRPr="00AD70EE">
        <w:rPr>
          <w:rFonts w:asciiTheme="minorHAnsi" w:eastAsiaTheme="minorHAnsi" w:hAnsiTheme="minorHAnsi" w:cstheme="minorBidi"/>
          <w:snapToGrid/>
          <w:sz w:val="24"/>
          <w:szCs w:val="22"/>
        </w:rPr>
        <w:t>mean titre ratio</w:t>
      </w:r>
      <w:r w:rsidR="003B6F41" w:rsidRPr="00B8128B">
        <w:rPr>
          <w:rFonts w:asciiTheme="minorHAnsi" w:eastAsiaTheme="minorHAnsi" w:hAnsiTheme="minorHAnsi" w:cstheme="minorBidi"/>
          <w:snapToGrid/>
          <w:sz w:val="24"/>
          <w:szCs w:val="22"/>
        </w:rPr>
        <w:t>s 28 days post vaccination for A/H3 and A/H1 subtypes, and a non-inferior response for B strains, using FDA criteria</w:t>
      </w:r>
      <w:r w:rsidR="007566D9" w:rsidRPr="00AD70EE">
        <w:rPr>
          <w:rFonts w:asciiTheme="minorHAnsi" w:eastAsiaTheme="minorHAnsi" w:hAnsiTheme="minorHAnsi" w:cstheme="minorBidi"/>
          <w:snapToGrid/>
          <w:sz w:val="24"/>
          <w:szCs w:val="22"/>
        </w:rPr>
        <w:t xml:space="preserve"> </w:t>
      </w:r>
      <w:r w:rsidR="00784AC0" w:rsidRPr="00AD70EE">
        <w:rPr>
          <w:rFonts w:asciiTheme="minorHAnsi" w:eastAsiaTheme="minorHAnsi" w:hAnsiTheme="minorHAnsi" w:cstheme="minorBidi"/>
          <w:snapToGrid/>
          <w:sz w:val="24"/>
          <w:szCs w:val="22"/>
        </w:rPr>
        <w:t>(</w:t>
      </w:r>
      <w:r w:rsidR="007566D9" w:rsidRPr="00AD70EE">
        <w:rPr>
          <w:rFonts w:asciiTheme="minorHAnsi" w:eastAsiaTheme="minorHAnsi" w:hAnsiTheme="minorHAnsi" w:cstheme="minorBidi"/>
          <w:snapToGrid/>
          <w:sz w:val="24"/>
          <w:szCs w:val="22"/>
        </w:rPr>
        <w:t>Pre-Submission PBAC Advice</w:t>
      </w:r>
      <w:r w:rsidR="00784AC0" w:rsidRPr="00AD70EE">
        <w:rPr>
          <w:rFonts w:asciiTheme="minorHAnsi" w:eastAsiaTheme="minorHAnsi" w:hAnsiTheme="minorHAnsi" w:cstheme="minorBidi"/>
          <w:snapToGrid/>
          <w:sz w:val="24"/>
          <w:szCs w:val="22"/>
        </w:rPr>
        <w:t>)</w:t>
      </w:r>
      <w:r w:rsidR="007566D9" w:rsidRPr="00AD70EE">
        <w:rPr>
          <w:rFonts w:asciiTheme="minorHAnsi" w:eastAsiaTheme="minorHAnsi" w:hAnsiTheme="minorHAnsi" w:cstheme="minorBidi"/>
          <w:snapToGrid/>
          <w:sz w:val="24"/>
          <w:szCs w:val="22"/>
        </w:rPr>
        <w:t>.</w:t>
      </w:r>
    </w:p>
    <w:p w:rsidR="00161F7D" w:rsidRDefault="005320A9" w:rsidP="00B812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ATAGI noted that t</w:t>
      </w:r>
      <w:r w:rsidR="00AC5D07">
        <w:rPr>
          <w:rFonts w:asciiTheme="minorHAnsi" w:eastAsiaTheme="minorHAnsi" w:hAnsiTheme="minorHAnsi" w:cstheme="minorBidi"/>
          <w:snapToGrid/>
          <w:sz w:val="24"/>
          <w:szCs w:val="22"/>
        </w:rPr>
        <w:t>he key issue with assessing effectiveness</w:t>
      </w:r>
      <w:r w:rsidR="00161F7D">
        <w:rPr>
          <w:rFonts w:asciiTheme="minorHAnsi" w:eastAsiaTheme="minorHAnsi" w:hAnsiTheme="minorHAnsi" w:cstheme="minorBidi"/>
          <w:snapToGrid/>
          <w:sz w:val="24"/>
          <w:szCs w:val="22"/>
        </w:rPr>
        <w:t xml:space="preserve"> of </w:t>
      </w:r>
      <w:r w:rsidR="000538CE">
        <w:rPr>
          <w:rFonts w:asciiTheme="minorHAnsi" w:eastAsiaTheme="minorHAnsi" w:hAnsiTheme="minorHAnsi" w:cstheme="minorBidi"/>
          <w:snapToGrid/>
          <w:sz w:val="24"/>
          <w:szCs w:val="22"/>
        </w:rPr>
        <w:t>TIV-HD</w:t>
      </w:r>
      <w:r w:rsidR="00161F7D">
        <w:rPr>
          <w:rFonts w:asciiTheme="minorHAnsi" w:eastAsiaTheme="minorHAnsi" w:hAnsiTheme="minorHAnsi" w:cstheme="minorBidi"/>
          <w:snapToGrid/>
          <w:sz w:val="24"/>
          <w:szCs w:val="22"/>
        </w:rPr>
        <w:t xml:space="preserve"> against QIV </w:t>
      </w:r>
      <w:r>
        <w:rPr>
          <w:rFonts w:asciiTheme="minorHAnsi" w:eastAsiaTheme="minorHAnsi" w:hAnsiTheme="minorHAnsi" w:cstheme="minorBidi"/>
          <w:snapToGrid/>
          <w:sz w:val="24"/>
          <w:szCs w:val="22"/>
        </w:rPr>
        <w:t>was</w:t>
      </w:r>
      <w:r w:rsidR="00161F7D">
        <w:rPr>
          <w:rFonts w:asciiTheme="minorHAnsi" w:eastAsiaTheme="minorHAnsi" w:hAnsiTheme="minorHAnsi" w:cstheme="minorBidi"/>
          <w:snapToGrid/>
          <w:sz w:val="24"/>
          <w:szCs w:val="22"/>
        </w:rPr>
        <w:t xml:space="preserve"> the magnitude of the loss of protection against the alternative B lineage with the use of TIV-HD, which is hard to predict from year to year.  </w:t>
      </w:r>
    </w:p>
    <w:p w:rsidR="00784AC0" w:rsidRPr="00B8128B" w:rsidRDefault="00161F7D" w:rsidP="00B812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ATAGI found that overall, the potential additional disease burden due to the alternative B </w:t>
      </w:r>
      <w:r w:rsidR="005320A9">
        <w:rPr>
          <w:rFonts w:asciiTheme="minorHAnsi" w:eastAsiaTheme="minorHAnsi" w:hAnsiTheme="minorHAnsi" w:cstheme="minorBidi"/>
          <w:snapToGrid/>
          <w:sz w:val="24"/>
          <w:szCs w:val="22"/>
        </w:rPr>
        <w:t>lineage not included in TIV-HD wa</w:t>
      </w:r>
      <w:r>
        <w:rPr>
          <w:rFonts w:asciiTheme="minorHAnsi" w:eastAsiaTheme="minorHAnsi" w:hAnsiTheme="minorHAnsi" w:cstheme="minorBidi"/>
          <w:snapToGrid/>
          <w:sz w:val="24"/>
          <w:szCs w:val="22"/>
        </w:rPr>
        <w:t>s likely to be offset by the potential additional protection provided against the vaccine strains common to TIV-HD and QIV, especially A/H3 in adults aged 65 and above (ATAGI Pre-PBAC Advice).  The ATAGI advice (P3-4) identified that among people with previous influenza exposure, the additional protection against the additional B lineage provided by the inclusion of a second B lineage in a QIV was predicted to not be statistically significant and the greatest advantage of QIV was thus in infants and children.</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harms</w:t>
      </w:r>
    </w:p>
    <w:p w:rsidR="007566D9" w:rsidRDefault="007566D9" w:rsidP="00B8128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8128B">
        <w:rPr>
          <w:rFonts w:asciiTheme="minorHAnsi" w:eastAsiaTheme="minorHAnsi" w:hAnsiTheme="minorHAnsi" w:cstheme="minorBidi"/>
          <w:snapToGrid/>
          <w:sz w:val="24"/>
          <w:szCs w:val="22"/>
        </w:rPr>
        <w:t>ATAGI did not identify any studies examining co</w:t>
      </w:r>
      <w:r w:rsidR="00924362">
        <w:rPr>
          <w:rFonts w:asciiTheme="minorHAnsi" w:eastAsiaTheme="minorHAnsi" w:hAnsiTheme="minorHAnsi" w:cstheme="minorBidi"/>
          <w:snapToGrid/>
          <w:sz w:val="24"/>
          <w:szCs w:val="22"/>
        </w:rPr>
        <w:t>-</w:t>
      </w:r>
      <w:r w:rsidR="000538CE" w:rsidRPr="000538CE">
        <w:rPr>
          <w:rFonts w:asciiTheme="minorHAnsi" w:eastAsiaTheme="minorHAnsi" w:hAnsiTheme="minorHAnsi" w:cstheme="minorBidi"/>
          <w:snapToGrid/>
          <w:sz w:val="24"/>
          <w:szCs w:val="22"/>
        </w:rPr>
        <w:t>administration</w:t>
      </w:r>
      <w:r w:rsidRPr="00B8128B">
        <w:rPr>
          <w:rFonts w:asciiTheme="minorHAnsi" w:eastAsiaTheme="minorHAnsi" w:hAnsiTheme="minorHAnsi" w:cstheme="minorBidi"/>
          <w:snapToGrid/>
          <w:sz w:val="24"/>
          <w:szCs w:val="22"/>
        </w:rPr>
        <w:t xml:space="preserve"> of TIV-HD with other NIP vaccines that may be used in the proposed age group such as 23-valent pneumococcal polysaccharide vaccine (PPV23) or </w:t>
      </w:r>
      <w:proofErr w:type="spellStart"/>
      <w:r w:rsidRPr="00B8128B">
        <w:rPr>
          <w:rFonts w:asciiTheme="minorHAnsi" w:eastAsiaTheme="minorHAnsi" w:hAnsiTheme="minorHAnsi" w:cstheme="minorBidi"/>
          <w:snapToGrid/>
          <w:sz w:val="24"/>
          <w:szCs w:val="22"/>
        </w:rPr>
        <w:t>Zostavax</w:t>
      </w:r>
      <w:proofErr w:type="spellEnd"/>
      <w:r w:rsidRPr="00B8128B">
        <w:rPr>
          <w:rFonts w:asciiTheme="minorHAnsi" w:eastAsiaTheme="minorHAnsi" w:hAnsiTheme="minorHAnsi" w:cstheme="minorBidi"/>
          <w:snapToGrid/>
          <w:sz w:val="24"/>
          <w:szCs w:val="22"/>
        </w:rPr>
        <w:t xml:space="preserve">.  ATAGI noted this as an uncertainty of the submission, </w:t>
      </w:r>
      <w:r w:rsidR="00924362" w:rsidRPr="00924362">
        <w:rPr>
          <w:rFonts w:asciiTheme="minorHAnsi" w:eastAsiaTheme="minorHAnsi" w:hAnsiTheme="minorHAnsi" w:cstheme="minorBidi"/>
          <w:snapToGrid/>
          <w:sz w:val="24"/>
          <w:szCs w:val="22"/>
        </w:rPr>
        <w:t>however</w:t>
      </w:r>
      <w:r w:rsidRPr="00B8128B">
        <w:rPr>
          <w:rFonts w:asciiTheme="minorHAnsi" w:eastAsiaTheme="minorHAnsi" w:hAnsiTheme="minorHAnsi" w:cstheme="minorBidi"/>
          <w:snapToGrid/>
          <w:sz w:val="24"/>
          <w:szCs w:val="22"/>
        </w:rPr>
        <w:t xml:space="preserve"> </w:t>
      </w:r>
      <w:r w:rsidR="005320A9">
        <w:rPr>
          <w:rFonts w:asciiTheme="minorHAnsi" w:eastAsiaTheme="minorHAnsi" w:hAnsiTheme="minorHAnsi" w:cstheme="minorBidi"/>
          <w:snapToGrid/>
          <w:sz w:val="24"/>
          <w:szCs w:val="22"/>
        </w:rPr>
        <w:t xml:space="preserve">noted </w:t>
      </w:r>
      <w:r w:rsidRPr="00B8128B">
        <w:rPr>
          <w:rFonts w:asciiTheme="minorHAnsi" w:eastAsiaTheme="minorHAnsi" w:hAnsiTheme="minorHAnsi" w:cstheme="minorBidi"/>
          <w:snapToGrid/>
          <w:sz w:val="24"/>
          <w:szCs w:val="22"/>
        </w:rPr>
        <w:t xml:space="preserve">TIV-HD has been used in the USA for several seasons, where PPV23 is used widely in the same population without reports of increased risk of </w:t>
      </w:r>
      <w:r w:rsidR="00924362" w:rsidRPr="00924362">
        <w:rPr>
          <w:rFonts w:asciiTheme="minorHAnsi" w:eastAsiaTheme="minorHAnsi" w:hAnsiTheme="minorHAnsi" w:cstheme="minorBidi"/>
          <w:snapToGrid/>
          <w:sz w:val="24"/>
          <w:szCs w:val="22"/>
        </w:rPr>
        <w:t>severe</w:t>
      </w:r>
      <w:r w:rsidRPr="00B8128B">
        <w:rPr>
          <w:rFonts w:asciiTheme="minorHAnsi" w:eastAsiaTheme="minorHAnsi" w:hAnsiTheme="minorHAnsi" w:cstheme="minorBidi"/>
          <w:snapToGrid/>
          <w:sz w:val="24"/>
          <w:szCs w:val="22"/>
        </w:rPr>
        <w:t xml:space="preserve"> adverse events following co</w:t>
      </w:r>
      <w:r w:rsidR="00924362">
        <w:rPr>
          <w:rFonts w:asciiTheme="minorHAnsi" w:eastAsiaTheme="minorHAnsi" w:hAnsiTheme="minorHAnsi" w:cstheme="minorBidi"/>
          <w:snapToGrid/>
          <w:sz w:val="24"/>
          <w:szCs w:val="22"/>
        </w:rPr>
        <w:t>-</w:t>
      </w:r>
      <w:r w:rsidRPr="00B8128B">
        <w:rPr>
          <w:rFonts w:asciiTheme="minorHAnsi" w:eastAsiaTheme="minorHAnsi" w:hAnsiTheme="minorHAnsi" w:cstheme="minorBidi"/>
          <w:snapToGrid/>
          <w:sz w:val="24"/>
          <w:szCs w:val="22"/>
        </w:rPr>
        <w:t xml:space="preserve">administration.  ATAGI concluded there was no major </w:t>
      </w:r>
      <w:r w:rsidR="00924362" w:rsidRPr="00924362">
        <w:rPr>
          <w:rFonts w:asciiTheme="minorHAnsi" w:eastAsiaTheme="minorHAnsi" w:hAnsiTheme="minorHAnsi" w:cstheme="minorBidi"/>
          <w:snapToGrid/>
          <w:sz w:val="24"/>
          <w:szCs w:val="22"/>
        </w:rPr>
        <w:t>concern</w:t>
      </w:r>
      <w:r w:rsidRPr="00B8128B">
        <w:rPr>
          <w:rFonts w:asciiTheme="minorHAnsi" w:eastAsiaTheme="minorHAnsi" w:hAnsiTheme="minorHAnsi" w:cstheme="minorBidi"/>
          <w:snapToGrid/>
          <w:sz w:val="24"/>
          <w:szCs w:val="22"/>
        </w:rPr>
        <w:t xml:space="preserve"> regarding concomitant administration with other NIP </w:t>
      </w:r>
      <w:r w:rsidR="00924362" w:rsidRPr="00924362">
        <w:rPr>
          <w:rFonts w:asciiTheme="minorHAnsi" w:eastAsiaTheme="minorHAnsi" w:hAnsiTheme="minorHAnsi" w:cstheme="minorBidi"/>
          <w:snapToGrid/>
          <w:sz w:val="24"/>
          <w:szCs w:val="22"/>
        </w:rPr>
        <w:t>vaccines</w:t>
      </w:r>
      <w:r w:rsidRPr="00B8128B">
        <w:rPr>
          <w:rFonts w:asciiTheme="minorHAnsi" w:eastAsiaTheme="minorHAnsi" w:hAnsiTheme="minorHAnsi" w:cstheme="minorBidi"/>
          <w:snapToGrid/>
          <w:sz w:val="24"/>
          <w:szCs w:val="22"/>
        </w:rPr>
        <w:t xml:space="preserve"> used in the rel</w:t>
      </w:r>
      <w:r w:rsidR="00924362">
        <w:rPr>
          <w:rFonts w:asciiTheme="minorHAnsi" w:eastAsiaTheme="minorHAnsi" w:hAnsiTheme="minorHAnsi" w:cstheme="minorBidi"/>
          <w:snapToGrid/>
          <w:sz w:val="24"/>
          <w:szCs w:val="22"/>
        </w:rPr>
        <w:t>ev</w:t>
      </w:r>
      <w:r w:rsidRPr="00B8128B">
        <w:rPr>
          <w:rFonts w:asciiTheme="minorHAnsi" w:eastAsiaTheme="minorHAnsi" w:hAnsiTheme="minorHAnsi" w:cstheme="minorBidi"/>
          <w:snapToGrid/>
          <w:sz w:val="24"/>
          <w:szCs w:val="22"/>
        </w:rPr>
        <w:t>ant age group, however given the lack of data, monitoring of potential adverse events would be essential</w:t>
      </w:r>
      <w:r w:rsidR="00924362">
        <w:rPr>
          <w:rFonts w:asciiTheme="minorHAnsi" w:eastAsiaTheme="minorHAnsi" w:hAnsiTheme="minorHAnsi" w:cstheme="minorBidi"/>
          <w:snapToGrid/>
          <w:sz w:val="24"/>
          <w:szCs w:val="22"/>
        </w:rPr>
        <w:t xml:space="preserve"> (Pre-Submission PBAC Advice, P10)</w:t>
      </w:r>
      <w:r w:rsidRPr="00B8128B">
        <w:rPr>
          <w:rFonts w:asciiTheme="minorHAnsi" w:eastAsiaTheme="minorHAnsi" w:hAnsiTheme="minorHAnsi" w:cstheme="minorBidi"/>
          <w:snapToGrid/>
          <w:sz w:val="24"/>
          <w:szCs w:val="22"/>
        </w:rPr>
        <w:t>.</w:t>
      </w:r>
    </w:p>
    <w:p w:rsidR="00924362" w:rsidRDefault="00A50197" w:rsidP="00B8128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Based on sponsor led studies, ATAGI </w:t>
      </w:r>
      <w:r w:rsidR="005320A9">
        <w:rPr>
          <w:rFonts w:asciiTheme="minorHAnsi" w:eastAsiaTheme="minorHAnsi" w:hAnsiTheme="minorHAnsi" w:cstheme="minorBidi"/>
          <w:snapToGrid/>
          <w:sz w:val="24"/>
          <w:szCs w:val="22"/>
        </w:rPr>
        <w:t xml:space="preserve">(Pre-Submission Advice) </w:t>
      </w:r>
      <w:r>
        <w:rPr>
          <w:rFonts w:asciiTheme="minorHAnsi" w:eastAsiaTheme="minorHAnsi" w:hAnsiTheme="minorHAnsi" w:cstheme="minorBidi"/>
          <w:snapToGrid/>
          <w:sz w:val="24"/>
          <w:szCs w:val="22"/>
        </w:rPr>
        <w:t xml:space="preserve">noted that TIV-HD recipients had significantly more local reactions than TIV-SD recipients (~30% versus 20%), which were mostly mild in severity.  Similar rates of systemic reactions, non-serious events and serious adverse events were observed in both groups.  ATAGI noted post market passive surveillance data from the USA and post-market telephone surveys which </w:t>
      </w:r>
      <w:r w:rsidR="00534575">
        <w:rPr>
          <w:rFonts w:asciiTheme="minorHAnsi" w:eastAsiaTheme="minorHAnsi" w:hAnsiTheme="minorHAnsi" w:cstheme="minorBidi"/>
          <w:snapToGrid/>
          <w:sz w:val="24"/>
          <w:szCs w:val="22"/>
        </w:rPr>
        <w:t>reported</w:t>
      </w:r>
      <w:r>
        <w:rPr>
          <w:rFonts w:asciiTheme="minorHAnsi" w:eastAsiaTheme="minorHAnsi" w:hAnsiTheme="minorHAnsi" w:cstheme="minorBidi"/>
          <w:snapToGrid/>
          <w:sz w:val="24"/>
          <w:szCs w:val="22"/>
        </w:rPr>
        <w:t xml:space="preserve"> varied levels of adverse events, and noted several biases in these data.</w:t>
      </w:r>
    </w:p>
    <w:p w:rsidR="007566D9" w:rsidRPr="00B8128B" w:rsidRDefault="00924362" w:rsidP="00B8128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Overall, </w:t>
      </w:r>
      <w:r w:rsidR="007566D9">
        <w:rPr>
          <w:rFonts w:asciiTheme="minorHAnsi" w:eastAsiaTheme="minorHAnsi" w:hAnsiTheme="minorHAnsi" w:cstheme="minorBidi"/>
          <w:snapToGrid/>
          <w:sz w:val="24"/>
          <w:szCs w:val="22"/>
        </w:rPr>
        <w:t>ATAGI found that while there was a higher rate of local reactions</w:t>
      </w:r>
      <w:r>
        <w:rPr>
          <w:rFonts w:asciiTheme="minorHAnsi" w:eastAsiaTheme="minorHAnsi" w:hAnsiTheme="minorHAnsi" w:cstheme="minorBidi"/>
          <w:snapToGrid/>
          <w:sz w:val="24"/>
          <w:szCs w:val="22"/>
        </w:rPr>
        <w:t xml:space="preserve"> associated with TIV-HD, it had no specific concerns regarding the safety of TIV-HD that would preclude its use in the NIP for adults aged 65 and above, subject to TGA approval (Pre-Submission PBAC Advice).</w:t>
      </w:r>
    </w:p>
    <w:p w:rsidR="003C2FB5" w:rsidRPr="00966D0D" w:rsidRDefault="006436CD"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Benefits and harms</w:t>
      </w:r>
    </w:p>
    <w:p w:rsidR="007A61AE" w:rsidRPr="007A61AE" w:rsidRDefault="00B8128B"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ATAGI noted that u</w:t>
      </w:r>
      <w:r w:rsidR="007A61AE" w:rsidRPr="00B8128B">
        <w:rPr>
          <w:rFonts w:asciiTheme="minorHAnsi" w:eastAsiaTheme="minorHAnsi" w:hAnsiTheme="minorHAnsi" w:cstheme="minorBidi"/>
          <w:snapToGrid/>
          <w:sz w:val="24"/>
          <w:szCs w:val="22"/>
        </w:rPr>
        <w:t xml:space="preserve">se of TIV-HD  </w:t>
      </w:r>
      <w:r w:rsidR="005320A9">
        <w:rPr>
          <w:rFonts w:asciiTheme="minorHAnsi" w:eastAsiaTheme="minorHAnsi" w:hAnsiTheme="minorHAnsi" w:cstheme="minorBidi"/>
          <w:snapToGrid/>
          <w:sz w:val="24"/>
          <w:szCs w:val="22"/>
        </w:rPr>
        <w:t>was</w:t>
      </w:r>
      <w:r w:rsidR="007A61AE" w:rsidRPr="00B8128B">
        <w:rPr>
          <w:rFonts w:asciiTheme="minorHAnsi" w:eastAsiaTheme="minorHAnsi" w:hAnsiTheme="minorHAnsi" w:cstheme="minorBidi"/>
          <w:snapToGrid/>
          <w:sz w:val="24"/>
          <w:szCs w:val="22"/>
        </w:rPr>
        <w:t xml:space="preserve"> associated with a higher rate of local r</w:t>
      </w:r>
      <w:r w:rsidRPr="00B8128B">
        <w:rPr>
          <w:rFonts w:asciiTheme="minorHAnsi" w:eastAsiaTheme="minorHAnsi" w:hAnsiTheme="minorHAnsi" w:cstheme="minorBidi"/>
          <w:snapToGrid/>
          <w:sz w:val="24"/>
          <w:szCs w:val="22"/>
        </w:rPr>
        <w:t>eactions than TIV-SD and it d</w:t>
      </w:r>
      <w:r>
        <w:rPr>
          <w:rFonts w:asciiTheme="minorHAnsi" w:eastAsiaTheme="minorHAnsi" w:hAnsiTheme="minorHAnsi" w:cstheme="minorBidi"/>
          <w:snapToGrid/>
          <w:sz w:val="24"/>
          <w:szCs w:val="22"/>
        </w:rPr>
        <w:t>id</w:t>
      </w:r>
      <w:r w:rsidR="007A61AE" w:rsidRPr="00B8128B">
        <w:rPr>
          <w:rFonts w:asciiTheme="minorHAnsi" w:eastAsiaTheme="minorHAnsi" w:hAnsiTheme="minorHAnsi" w:cstheme="minorBidi"/>
          <w:snapToGrid/>
          <w:sz w:val="24"/>
          <w:szCs w:val="22"/>
        </w:rPr>
        <w:t xml:space="preserve"> not vaccinate against an additional B </w:t>
      </w:r>
      <w:r w:rsidR="00503C2B">
        <w:rPr>
          <w:rFonts w:asciiTheme="minorHAnsi" w:eastAsiaTheme="minorHAnsi" w:hAnsiTheme="minorHAnsi" w:cstheme="minorBidi"/>
          <w:snapToGrid/>
          <w:sz w:val="24"/>
          <w:szCs w:val="22"/>
        </w:rPr>
        <w:t>lineage</w:t>
      </w:r>
      <w:r w:rsidR="005320A9" w:rsidRPr="005320A9">
        <w:rPr>
          <w:rFonts w:asciiTheme="minorHAnsi" w:eastAsiaTheme="minorHAnsi" w:hAnsiTheme="minorHAnsi" w:cstheme="minorBidi"/>
          <w:snapToGrid/>
          <w:sz w:val="24"/>
          <w:szCs w:val="22"/>
        </w:rPr>
        <w:t>, however it</w:t>
      </w:r>
      <w:r w:rsidR="005320A9">
        <w:rPr>
          <w:rFonts w:asciiTheme="minorHAnsi" w:eastAsiaTheme="minorHAnsi" w:hAnsiTheme="minorHAnsi" w:cstheme="minorBidi"/>
          <w:snapToGrid/>
          <w:sz w:val="24"/>
          <w:szCs w:val="22"/>
        </w:rPr>
        <w:t xml:space="preserve"> was found to be</w:t>
      </w:r>
      <w:r w:rsidR="007A61AE" w:rsidRPr="00B8128B">
        <w:rPr>
          <w:rFonts w:asciiTheme="minorHAnsi" w:eastAsiaTheme="minorHAnsi" w:hAnsiTheme="minorHAnsi" w:cstheme="minorBidi"/>
          <w:snapToGrid/>
          <w:sz w:val="24"/>
          <w:szCs w:val="22"/>
        </w:rPr>
        <w:t xml:space="preserve"> more effective in vaccinating against strains of influenza </w:t>
      </w:r>
      <w:r w:rsidR="00F653CF">
        <w:rPr>
          <w:rFonts w:asciiTheme="minorHAnsi" w:eastAsiaTheme="minorHAnsi" w:hAnsiTheme="minorHAnsi" w:cstheme="minorBidi"/>
          <w:snapToGrid/>
          <w:sz w:val="24"/>
          <w:szCs w:val="22"/>
        </w:rPr>
        <w:t>that more commonly affect</w:t>
      </w:r>
      <w:r w:rsidR="007A61AE" w:rsidRPr="00B8128B">
        <w:rPr>
          <w:rFonts w:asciiTheme="minorHAnsi" w:eastAsiaTheme="minorHAnsi" w:hAnsiTheme="minorHAnsi" w:cstheme="minorBidi"/>
          <w:snapToGrid/>
          <w:sz w:val="24"/>
          <w:szCs w:val="22"/>
        </w:rPr>
        <w:t xml:space="preserve"> those in the proposed population, aged 65 and over.  </w:t>
      </w:r>
    </w:p>
    <w:p w:rsidR="003C2FB5"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Clinical claim</w:t>
      </w:r>
    </w:p>
    <w:p w:rsidR="00F84FA8" w:rsidRPr="00503C2B" w:rsidRDefault="00FF2801" w:rsidP="00B8128B">
      <w:pPr>
        <w:pStyle w:val="ListParagraph"/>
        <w:widowControl/>
        <w:numPr>
          <w:ilvl w:val="1"/>
          <w:numId w:val="14"/>
        </w:numPr>
        <w:spacing w:after="120"/>
        <w:contextualSpacing w:val="0"/>
        <w:rPr>
          <w:rFonts w:asciiTheme="minorHAnsi" w:hAnsiTheme="minorHAnsi"/>
          <w:sz w:val="24"/>
          <w:szCs w:val="24"/>
        </w:rPr>
      </w:pPr>
      <w:r w:rsidRPr="00B8128B">
        <w:rPr>
          <w:rFonts w:asciiTheme="minorHAnsi" w:hAnsiTheme="minorHAnsi"/>
          <w:sz w:val="24"/>
          <w:szCs w:val="24"/>
        </w:rPr>
        <w:t>The submission claimed</w:t>
      </w:r>
      <w:r w:rsidR="00BB7EC3" w:rsidRPr="00B8128B">
        <w:rPr>
          <w:rFonts w:asciiTheme="minorHAnsi" w:hAnsiTheme="minorHAnsi"/>
          <w:sz w:val="24"/>
          <w:szCs w:val="24"/>
        </w:rPr>
        <w:t xml:space="preserve"> </w:t>
      </w:r>
      <w:r w:rsidR="00333804" w:rsidRPr="00B8128B">
        <w:rPr>
          <w:rFonts w:asciiTheme="minorHAnsi" w:hAnsiTheme="minorHAnsi"/>
          <w:sz w:val="24"/>
          <w:szCs w:val="24"/>
        </w:rPr>
        <w:t>superior</w:t>
      </w:r>
      <w:r w:rsidR="00333804" w:rsidRPr="00E15E6E">
        <w:rPr>
          <w:rFonts w:asciiTheme="minorHAnsi" w:hAnsiTheme="minorHAnsi"/>
          <w:sz w:val="24"/>
          <w:szCs w:val="24"/>
        </w:rPr>
        <w:t xml:space="preserve"> </w:t>
      </w:r>
      <w:r w:rsidR="00BB7EC3" w:rsidRPr="00B8128B">
        <w:rPr>
          <w:rFonts w:asciiTheme="minorHAnsi" w:hAnsiTheme="minorHAnsi"/>
          <w:sz w:val="24"/>
          <w:szCs w:val="24"/>
        </w:rPr>
        <w:t>comparative effectiveness and</w:t>
      </w:r>
      <w:r w:rsidR="00503C2B" w:rsidRPr="00B8128B" w:rsidDel="00503C2B">
        <w:rPr>
          <w:rFonts w:asciiTheme="minorHAnsi" w:hAnsiTheme="minorHAnsi"/>
          <w:sz w:val="24"/>
          <w:szCs w:val="24"/>
        </w:rPr>
        <w:t xml:space="preserve"> </w:t>
      </w:r>
      <w:r w:rsidR="00333804" w:rsidRPr="009A31F7">
        <w:rPr>
          <w:rFonts w:asciiTheme="minorHAnsi" w:hAnsiTheme="minorHAnsi"/>
          <w:sz w:val="24"/>
          <w:szCs w:val="24"/>
        </w:rPr>
        <w:t xml:space="preserve">non-inferior </w:t>
      </w:r>
      <w:r w:rsidR="00BB7EC3" w:rsidRPr="00B8128B">
        <w:rPr>
          <w:rFonts w:asciiTheme="minorHAnsi" w:hAnsiTheme="minorHAnsi"/>
          <w:sz w:val="24"/>
          <w:szCs w:val="24"/>
        </w:rPr>
        <w:t xml:space="preserve">comparative safety of </w:t>
      </w:r>
      <w:r w:rsidR="00503C2B" w:rsidRPr="00B8128B">
        <w:rPr>
          <w:rFonts w:asciiTheme="minorHAnsi" w:hAnsiTheme="minorHAnsi"/>
          <w:sz w:val="24"/>
          <w:szCs w:val="24"/>
        </w:rPr>
        <w:t>TIV-HD compared with TIV-SD.  The submission noted that QIV, the current standard of care, was listed based on non-inferiority to TIV-SD</w:t>
      </w:r>
      <w:r w:rsidR="00503C2B" w:rsidRPr="00503C2B">
        <w:rPr>
          <w:rFonts w:asciiTheme="minorHAnsi" w:hAnsiTheme="minorHAnsi"/>
          <w:sz w:val="24"/>
          <w:szCs w:val="24"/>
        </w:rPr>
        <w:t xml:space="preserve"> (</w:t>
      </w:r>
      <w:r w:rsidR="00503C2B">
        <w:rPr>
          <w:rFonts w:asciiTheme="minorHAnsi" w:hAnsiTheme="minorHAnsi"/>
          <w:sz w:val="24"/>
          <w:szCs w:val="24"/>
        </w:rPr>
        <w:t>S</w:t>
      </w:r>
      <w:r w:rsidR="00503C2B" w:rsidRPr="00B8128B">
        <w:rPr>
          <w:rFonts w:asciiTheme="minorHAnsi" w:hAnsiTheme="minorHAnsi"/>
          <w:sz w:val="24"/>
          <w:szCs w:val="24"/>
        </w:rPr>
        <w:t xml:space="preserve">ubmission, P6). </w:t>
      </w:r>
    </w:p>
    <w:p w:rsidR="00AD70EE" w:rsidRDefault="00333804" w:rsidP="00B8128B">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ATAGI </w:t>
      </w:r>
      <w:r w:rsidR="00AD70EE" w:rsidRPr="007266C7">
        <w:rPr>
          <w:rFonts w:asciiTheme="minorHAnsi" w:hAnsiTheme="minorHAnsi"/>
          <w:sz w:val="24"/>
          <w:szCs w:val="24"/>
        </w:rPr>
        <w:t xml:space="preserve">considered that </w:t>
      </w:r>
      <w:r w:rsidR="00AD70EE">
        <w:rPr>
          <w:rFonts w:asciiTheme="minorHAnsi" w:eastAsiaTheme="minorHAnsi" w:hAnsiTheme="minorHAnsi" w:cstheme="minorBidi"/>
          <w:snapToGrid/>
          <w:sz w:val="24"/>
          <w:szCs w:val="22"/>
        </w:rPr>
        <w:t xml:space="preserve">TIV-HD </w:t>
      </w:r>
      <w:r w:rsidR="00AD70EE">
        <w:rPr>
          <w:rFonts w:asciiTheme="minorHAnsi" w:hAnsiTheme="minorHAnsi"/>
          <w:sz w:val="24"/>
          <w:szCs w:val="24"/>
        </w:rPr>
        <w:t>wa</w:t>
      </w:r>
      <w:r w:rsidR="00AD70EE" w:rsidRPr="007266C7">
        <w:rPr>
          <w:rFonts w:asciiTheme="minorHAnsi" w:hAnsiTheme="minorHAnsi"/>
          <w:sz w:val="24"/>
          <w:szCs w:val="24"/>
        </w:rPr>
        <w:t>s suitable for listing on the NIP designated vaccines list for the prevention of seasonal influenza in adults aged 65 and above, subject to TGA approval for registration</w:t>
      </w:r>
      <w:r w:rsidR="00AD70EE">
        <w:rPr>
          <w:rFonts w:asciiTheme="minorHAnsi" w:hAnsiTheme="minorHAnsi"/>
          <w:sz w:val="24"/>
          <w:szCs w:val="24"/>
        </w:rPr>
        <w:t xml:space="preserve"> (Pre-Submission PBAC Advice)</w:t>
      </w:r>
      <w:r w:rsidR="00AD70EE" w:rsidRPr="007266C7">
        <w:rPr>
          <w:rFonts w:asciiTheme="minorHAnsi" w:hAnsiTheme="minorHAnsi"/>
          <w:sz w:val="24"/>
          <w:szCs w:val="24"/>
        </w:rPr>
        <w:t xml:space="preserve">. </w:t>
      </w:r>
    </w:p>
    <w:p w:rsidR="00333804" w:rsidRPr="00B8128B" w:rsidRDefault="00AD70EE" w:rsidP="00B8128B">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ATAGI </w:t>
      </w:r>
      <w:r w:rsidR="00333804">
        <w:rPr>
          <w:rFonts w:asciiTheme="minorHAnsi" w:hAnsiTheme="minorHAnsi"/>
          <w:sz w:val="24"/>
          <w:szCs w:val="24"/>
        </w:rPr>
        <w:t>noted that considering the cost-minimisation approach and the trade-off between enhanced protection against strains common between TIV-HD and QIV (particularly A/H3) and the potential for reduced protection against the alternative B lineage, that overall TIV-HD was non-inferior to the current QIV available under the NIP for use in adults aged 65 years and above (Pre-Submission PBAC Advice).</w:t>
      </w:r>
    </w:p>
    <w:p w:rsidR="0092228A" w:rsidRDefault="0092228A" w:rsidP="00B8128B">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ATAGI considered that the key uncertainty of the submission was the impact of the potential loss of protection against the additional alternative B lineage included in the QIV but not in TIV, relative to the impact of potential </w:t>
      </w:r>
      <w:r w:rsidR="00503C2B">
        <w:rPr>
          <w:rFonts w:asciiTheme="minorHAnsi" w:hAnsiTheme="minorHAnsi"/>
          <w:sz w:val="24"/>
          <w:szCs w:val="24"/>
        </w:rPr>
        <w:t>additional</w:t>
      </w:r>
      <w:r w:rsidR="00AD70EE">
        <w:rPr>
          <w:rFonts w:asciiTheme="minorHAnsi" w:hAnsiTheme="minorHAnsi"/>
          <w:sz w:val="24"/>
          <w:szCs w:val="24"/>
        </w:rPr>
        <w:t xml:space="preserve"> protection provided by TIV-</w:t>
      </w:r>
      <w:r>
        <w:rPr>
          <w:rFonts w:asciiTheme="minorHAnsi" w:hAnsiTheme="minorHAnsi"/>
          <w:sz w:val="24"/>
          <w:szCs w:val="24"/>
        </w:rPr>
        <w:t xml:space="preserve">HD, particularly against A/H3 disease.  This is complicated by the unpredictability of circulating strains each season and the extent of cross-protection afforded by TIV against this.  These variables mean the </w:t>
      </w:r>
      <w:r w:rsidR="00503C2B">
        <w:rPr>
          <w:rFonts w:asciiTheme="minorHAnsi" w:hAnsiTheme="minorHAnsi"/>
          <w:sz w:val="24"/>
          <w:szCs w:val="24"/>
        </w:rPr>
        <w:t>magnitude</w:t>
      </w:r>
      <w:r>
        <w:rPr>
          <w:rFonts w:asciiTheme="minorHAnsi" w:hAnsiTheme="minorHAnsi"/>
          <w:sz w:val="24"/>
          <w:szCs w:val="24"/>
        </w:rPr>
        <w:t xml:space="preserve"> of relative efficacy and effectiveness will likely vary annually.  </w:t>
      </w:r>
    </w:p>
    <w:p w:rsidR="00F84FA8" w:rsidRDefault="0000701F" w:rsidP="00B8128B">
      <w:pPr>
        <w:pStyle w:val="ListParagraph"/>
        <w:widowControl/>
        <w:numPr>
          <w:ilvl w:val="1"/>
          <w:numId w:val="14"/>
        </w:numPr>
        <w:spacing w:after="120"/>
        <w:contextualSpacing w:val="0"/>
        <w:rPr>
          <w:rFonts w:asciiTheme="minorHAnsi" w:hAnsiTheme="minorHAnsi"/>
          <w:sz w:val="24"/>
          <w:szCs w:val="24"/>
        </w:rPr>
      </w:pPr>
      <w:r w:rsidRPr="00B8128B">
        <w:rPr>
          <w:rFonts w:asciiTheme="minorHAnsi" w:hAnsiTheme="minorHAnsi"/>
          <w:sz w:val="24"/>
          <w:szCs w:val="24"/>
        </w:rPr>
        <w:t xml:space="preserve">ATAGI noted that: </w:t>
      </w:r>
    </w:p>
    <w:p w:rsidR="00F84FA8" w:rsidRDefault="00AD70EE" w:rsidP="00B8128B">
      <w:pPr>
        <w:pStyle w:val="ListParagraph"/>
        <w:widowControl/>
        <w:numPr>
          <w:ilvl w:val="2"/>
          <w:numId w:val="15"/>
        </w:numPr>
        <w:spacing w:after="120"/>
        <w:contextualSpacing w:val="0"/>
        <w:rPr>
          <w:rFonts w:asciiTheme="minorHAnsi" w:hAnsiTheme="minorHAnsi"/>
          <w:sz w:val="24"/>
          <w:szCs w:val="24"/>
        </w:rPr>
      </w:pPr>
      <w:r>
        <w:rPr>
          <w:rFonts w:asciiTheme="minorHAnsi" w:hAnsiTheme="minorHAnsi"/>
          <w:sz w:val="24"/>
          <w:szCs w:val="24"/>
        </w:rPr>
        <w:t>there wa</w:t>
      </w:r>
      <w:r w:rsidR="0000701F" w:rsidRPr="00B8128B">
        <w:rPr>
          <w:rFonts w:asciiTheme="minorHAnsi" w:hAnsiTheme="minorHAnsi"/>
          <w:sz w:val="24"/>
          <w:szCs w:val="24"/>
        </w:rPr>
        <w:t xml:space="preserve">s sufficient evidence indicating </w:t>
      </w:r>
      <w:r w:rsidR="000538CE">
        <w:rPr>
          <w:rFonts w:asciiTheme="minorHAnsi" w:eastAsiaTheme="minorHAnsi" w:hAnsiTheme="minorHAnsi" w:cstheme="minorBidi"/>
          <w:snapToGrid/>
          <w:sz w:val="24"/>
          <w:szCs w:val="22"/>
        </w:rPr>
        <w:t xml:space="preserve">TIV-HD </w:t>
      </w:r>
      <w:r w:rsidR="0000701F" w:rsidRPr="00B8128B">
        <w:rPr>
          <w:rFonts w:asciiTheme="minorHAnsi" w:hAnsiTheme="minorHAnsi"/>
          <w:sz w:val="24"/>
          <w:szCs w:val="24"/>
        </w:rPr>
        <w:t xml:space="preserve">is </w:t>
      </w:r>
      <w:r w:rsidR="00F149F1" w:rsidRPr="00F149F1">
        <w:rPr>
          <w:rFonts w:asciiTheme="minorHAnsi" w:hAnsiTheme="minorHAnsi"/>
          <w:sz w:val="24"/>
          <w:szCs w:val="24"/>
        </w:rPr>
        <w:t>superior in effectiveness to a</w:t>
      </w:r>
      <w:r w:rsidR="00F149F1">
        <w:rPr>
          <w:rFonts w:asciiTheme="minorHAnsi" w:hAnsiTheme="minorHAnsi"/>
          <w:sz w:val="24"/>
          <w:szCs w:val="24"/>
        </w:rPr>
        <w:t xml:space="preserve"> </w:t>
      </w:r>
      <w:r w:rsidR="00353014">
        <w:rPr>
          <w:rFonts w:asciiTheme="minorHAnsi" w:hAnsiTheme="minorHAnsi"/>
          <w:sz w:val="24"/>
          <w:szCs w:val="24"/>
        </w:rPr>
        <w:t>TIV-SD</w:t>
      </w:r>
      <w:r w:rsidR="0000701F" w:rsidRPr="00B8128B">
        <w:rPr>
          <w:rFonts w:asciiTheme="minorHAnsi" w:hAnsiTheme="minorHAnsi"/>
          <w:sz w:val="24"/>
          <w:szCs w:val="24"/>
        </w:rPr>
        <w:t xml:space="preserve"> aga</w:t>
      </w:r>
      <w:r w:rsidR="00F84FA8" w:rsidRPr="00F149F1">
        <w:rPr>
          <w:rFonts w:asciiTheme="minorHAnsi" w:hAnsiTheme="minorHAnsi"/>
          <w:sz w:val="24"/>
          <w:szCs w:val="24"/>
        </w:rPr>
        <w:t>inst matched influenza strains</w:t>
      </w:r>
      <w:r w:rsidR="00F84FA8">
        <w:rPr>
          <w:rFonts w:asciiTheme="minorHAnsi" w:hAnsiTheme="minorHAnsi"/>
          <w:sz w:val="24"/>
          <w:szCs w:val="24"/>
        </w:rPr>
        <w:t>;</w:t>
      </w:r>
    </w:p>
    <w:p w:rsidR="0000701F" w:rsidRDefault="00AD70EE" w:rsidP="00B8128B">
      <w:pPr>
        <w:pStyle w:val="ListParagraph"/>
        <w:widowControl/>
        <w:numPr>
          <w:ilvl w:val="2"/>
          <w:numId w:val="15"/>
        </w:numPr>
        <w:spacing w:after="120"/>
        <w:contextualSpacing w:val="0"/>
        <w:rPr>
          <w:rFonts w:asciiTheme="minorHAnsi" w:hAnsiTheme="minorHAnsi"/>
          <w:sz w:val="24"/>
          <w:szCs w:val="24"/>
        </w:rPr>
      </w:pPr>
      <w:r>
        <w:rPr>
          <w:rFonts w:asciiTheme="minorHAnsi" w:hAnsiTheme="minorHAnsi"/>
          <w:sz w:val="24"/>
          <w:szCs w:val="24"/>
        </w:rPr>
        <w:t>that the additional protection wa</w:t>
      </w:r>
      <w:r w:rsidR="0000701F" w:rsidRPr="00B8128B">
        <w:rPr>
          <w:rFonts w:asciiTheme="minorHAnsi" w:hAnsiTheme="minorHAnsi"/>
          <w:sz w:val="24"/>
          <w:szCs w:val="24"/>
        </w:rPr>
        <w:t>s substantial enough to off</w:t>
      </w:r>
      <w:r w:rsidR="00F149F1" w:rsidRPr="00F149F1">
        <w:rPr>
          <w:rFonts w:asciiTheme="minorHAnsi" w:hAnsiTheme="minorHAnsi"/>
          <w:sz w:val="24"/>
          <w:szCs w:val="24"/>
        </w:rPr>
        <w:t>set if not outweigh</w:t>
      </w:r>
      <w:r w:rsidR="0000701F" w:rsidRPr="00B8128B">
        <w:rPr>
          <w:rFonts w:asciiTheme="minorHAnsi" w:hAnsiTheme="minorHAnsi"/>
          <w:sz w:val="24"/>
          <w:szCs w:val="24"/>
        </w:rPr>
        <w:t xml:space="preserve"> the potential loss of protection against the alternative B lineage not in the vaccine, in most years, for adults aged 65 years and above</w:t>
      </w:r>
      <w:r w:rsidR="00F84FA8">
        <w:rPr>
          <w:rFonts w:asciiTheme="minorHAnsi" w:hAnsiTheme="minorHAnsi"/>
          <w:sz w:val="24"/>
          <w:szCs w:val="24"/>
        </w:rPr>
        <w:t>; and</w:t>
      </w:r>
    </w:p>
    <w:p w:rsidR="00F84FA8" w:rsidRDefault="000538CE" w:rsidP="00B8128B">
      <w:pPr>
        <w:pStyle w:val="ListParagraph"/>
        <w:widowControl/>
        <w:numPr>
          <w:ilvl w:val="2"/>
          <w:numId w:val="1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TIV-HD </w:t>
      </w:r>
      <w:r w:rsidR="00AD70EE">
        <w:rPr>
          <w:rFonts w:asciiTheme="minorHAnsi" w:hAnsiTheme="minorHAnsi"/>
          <w:sz w:val="24"/>
          <w:szCs w:val="24"/>
        </w:rPr>
        <w:t>had</w:t>
      </w:r>
      <w:r w:rsidR="00F84FA8">
        <w:rPr>
          <w:rFonts w:asciiTheme="minorHAnsi" w:hAnsiTheme="minorHAnsi"/>
          <w:sz w:val="24"/>
          <w:szCs w:val="24"/>
        </w:rPr>
        <w:t xml:space="preserve"> an acceptable safety profile, albeit with a higher frequenc</w:t>
      </w:r>
      <w:r>
        <w:rPr>
          <w:rFonts w:asciiTheme="minorHAnsi" w:hAnsiTheme="minorHAnsi"/>
          <w:sz w:val="24"/>
          <w:szCs w:val="24"/>
        </w:rPr>
        <w:t>y of mild to moderate injection-</w:t>
      </w:r>
      <w:r w:rsidR="00F84FA8">
        <w:rPr>
          <w:rFonts w:asciiTheme="minorHAnsi" w:hAnsiTheme="minorHAnsi"/>
          <w:sz w:val="24"/>
          <w:szCs w:val="24"/>
        </w:rPr>
        <w:t xml:space="preserve">site reactions compared with </w:t>
      </w:r>
      <w:r>
        <w:rPr>
          <w:rFonts w:asciiTheme="minorHAnsi" w:hAnsiTheme="minorHAnsi"/>
          <w:sz w:val="24"/>
          <w:szCs w:val="24"/>
        </w:rPr>
        <w:t>TIV-SD (Pre-Submission PBAC Advice)</w:t>
      </w:r>
      <w:r w:rsidR="00F84FA8">
        <w:rPr>
          <w:rFonts w:asciiTheme="minorHAnsi" w:hAnsiTheme="minorHAnsi"/>
          <w:sz w:val="24"/>
          <w:szCs w:val="24"/>
        </w:rPr>
        <w:t>.</w:t>
      </w:r>
    </w:p>
    <w:p w:rsidR="003974C8" w:rsidRPr="003974C8" w:rsidRDefault="003974C8" w:rsidP="003974C8">
      <w:pPr>
        <w:pStyle w:val="ListParagraph"/>
        <w:widowControl/>
        <w:numPr>
          <w:ilvl w:val="1"/>
          <w:numId w:val="14"/>
        </w:numPr>
        <w:spacing w:after="120"/>
        <w:contextualSpacing w:val="0"/>
        <w:rPr>
          <w:rFonts w:asciiTheme="minorHAnsi" w:hAnsiTheme="minorHAnsi"/>
          <w:sz w:val="24"/>
          <w:szCs w:val="24"/>
        </w:rPr>
      </w:pPr>
      <w:r w:rsidRPr="003974C8">
        <w:rPr>
          <w:rFonts w:asciiTheme="minorHAnsi" w:hAnsiTheme="minorHAnsi"/>
          <w:sz w:val="24"/>
          <w:szCs w:val="24"/>
        </w:rPr>
        <w:t>The PBAC accepted the ATAGI advice that TIV-HD is non-inferior overall to QIV for the prevention of seasonal influenza in adults aged ≥65 years.</w:t>
      </w:r>
    </w:p>
    <w:p w:rsidR="003974C8" w:rsidRPr="003974C8" w:rsidRDefault="003974C8" w:rsidP="003974C8">
      <w:pPr>
        <w:pStyle w:val="ListParagraph"/>
        <w:widowControl/>
        <w:numPr>
          <w:ilvl w:val="1"/>
          <w:numId w:val="14"/>
        </w:numPr>
        <w:spacing w:after="120"/>
        <w:contextualSpacing w:val="0"/>
        <w:rPr>
          <w:rFonts w:asciiTheme="minorHAnsi" w:hAnsiTheme="minorHAnsi"/>
          <w:sz w:val="24"/>
          <w:szCs w:val="24"/>
        </w:rPr>
      </w:pPr>
      <w:r w:rsidRPr="003974C8">
        <w:rPr>
          <w:rFonts w:asciiTheme="minorHAnsi" w:hAnsiTheme="minorHAnsi"/>
          <w:sz w:val="24"/>
          <w:szCs w:val="24"/>
        </w:rPr>
        <w:t>The PBAC agreed with the ATAGI that the evidence supports a claim that TIV-HD has an acceptable safety profile, albeit with a higher frequency of mild to moderate injection-site reactions compared with TIV-SD.  The PBAC recalled that QIV was originally listed on the NIP after a positive PBAC recommendation in 2015, based on QIV being non-inferior in efficacy and toxicity compared to TIV.</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Economic analysis</w:t>
      </w:r>
    </w:p>
    <w:p w:rsidR="009B0F67" w:rsidRDefault="00F149F1" w:rsidP="00AD24E7">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The submission sought a price equal to the </w:t>
      </w:r>
      <w:r w:rsidR="00AD24E7">
        <w:rPr>
          <w:rFonts w:asciiTheme="minorHAnsi" w:hAnsiTheme="minorHAnsi"/>
          <w:sz w:val="24"/>
          <w:szCs w:val="24"/>
        </w:rPr>
        <w:t xml:space="preserve">nationally negotiated price of the </w:t>
      </w:r>
      <w:r w:rsidR="00126280">
        <w:rPr>
          <w:rFonts w:asciiTheme="minorHAnsi" w:hAnsiTheme="minorHAnsi"/>
          <w:sz w:val="24"/>
          <w:szCs w:val="24"/>
        </w:rPr>
        <w:t>QIV</w:t>
      </w:r>
      <w:r w:rsidR="00AD24E7">
        <w:rPr>
          <w:rFonts w:asciiTheme="minorHAnsi" w:hAnsiTheme="minorHAnsi"/>
          <w:sz w:val="24"/>
          <w:szCs w:val="24"/>
        </w:rPr>
        <w:t xml:space="preserve"> standard of care</w:t>
      </w:r>
      <w:r w:rsidR="00126280">
        <w:rPr>
          <w:rFonts w:asciiTheme="minorHAnsi" w:hAnsiTheme="minorHAnsi"/>
          <w:sz w:val="24"/>
          <w:szCs w:val="24"/>
        </w:rPr>
        <w:t xml:space="preserve"> </w:t>
      </w:r>
      <w:r>
        <w:rPr>
          <w:rFonts w:asciiTheme="minorHAnsi" w:hAnsiTheme="minorHAnsi"/>
          <w:sz w:val="24"/>
          <w:szCs w:val="24"/>
        </w:rPr>
        <w:t>comparator based on the clinical and safety profile</w:t>
      </w:r>
      <w:r w:rsidR="00126280">
        <w:rPr>
          <w:rFonts w:asciiTheme="minorHAnsi" w:hAnsiTheme="minorHAnsi"/>
          <w:sz w:val="24"/>
          <w:szCs w:val="24"/>
        </w:rPr>
        <w:t xml:space="preserve"> of TIV-HD</w:t>
      </w:r>
      <w:r>
        <w:rPr>
          <w:rFonts w:asciiTheme="minorHAnsi" w:hAnsiTheme="minorHAnsi"/>
          <w:sz w:val="24"/>
          <w:szCs w:val="24"/>
        </w:rPr>
        <w:t xml:space="preserve">.  </w:t>
      </w:r>
    </w:p>
    <w:p w:rsidR="00612974" w:rsidRPr="00502FD5" w:rsidRDefault="00612974" w:rsidP="0061297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ATAGI considered that although the proportional uptake of </w:t>
      </w:r>
      <w:r w:rsidR="000538CE">
        <w:rPr>
          <w:rFonts w:asciiTheme="minorHAnsi" w:eastAsiaTheme="minorHAnsi" w:hAnsiTheme="minorHAnsi" w:cstheme="minorBidi"/>
          <w:snapToGrid/>
          <w:sz w:val="24"/>
          <w:szCs w:val="22"/>
        </w:rPr>
        <w:t xml:space="preserve">TIV-HD </w:t>
      </w:r>
      <w:r>
        <w:rPr>
          <w:rFonts w:asciiTheme="minorHAnsi" w:eastAsiaTheme="minorHAnsi" w:hAnsiTheme="minorHAnsi" w:cstheme="minorBidi"/>
          <w:snapToGrid/>
          <w:sz w:val="24"/>
          <w:szCs w:val="22"/>
        </w:rPr>
        <w:t xml:space="preserve">was hard to predict, the overall coverage of influenza vaccination in the proposed population would be likely to be similar to existing coverage (approximately 75%) of </w:t>
      </w:r>
      <w:r w:rsidR="000538CE">
        <w:rPr>
          <w:rFonts w:asciiTheme="minorHAnsi" w:eastAsiaTheme="minorHAnsi" w:hAnsiTheme="minorHAnsi" w:cstheme="minorBidi"/>
          <w:snapToGrid/>
          <w:sz w:val="24"/>
          <w:szCs w:val="22"/>
        </w:rPr>
        <w:t xml:space="preserve">TIV-HD </w:t>
      </w:r>
      <w:r>
        <w:rPr>
          <w:rFonts w:asciiTheme="minorHAnsi" w:eastAsiaTheme="minorHAnsi" w:hAnsiTheme="minorHAnsi" w:cstheme="minorBidi"/>
          <w:snapToGrid/>
          <w:sz w:val="24"/>
          <w:szCs w:val="22"/>
        </w:rPr>
        <w:t>was introduced as an alternative influenza vaccine under the NIP for this age group</w:t>
      </w:r>
      <w:r w:rsidR="00503C2B">
        <w:rPr>
          <w:rFonts w:asciiTheme="minorHAnsi" w:eastAsiaTheme="minorHAnsi" w:hAnsiTheme="minorHAnsi" w:cstheme="minorBidi"/>
          <w:snapToGrid/>
          <w:sz w:val="24"/>
          <w:szCs w:val="22"/>
        </w:rPr>
        <w:t xml:space="preserve"> (Pre-Submission PBAC Advice, P12)</w:t>
      </w:r>
      <w:r>
        <w:rPr>
          <w:rFonts w:asciiTheme="minorHAnsi" w:eastAsiaTheme="minorHAnsi" w:hAnsiTheme="minorHAnsi" w:cstheme="minorBidi"/>
          <w:snapToGrid/>
          <w:sz w:val="24"/>
          <w:szCs w:val="22"/>
        </w:rPr>
        <w:t>.</w:t>
      </w:r>
    </w:p>
    <w:p w:rsidR="003C2FB5" w:rsidRPr="00F149F1" w:rsidRDefault="00A55FEE"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 xml:space="preserve">Drug </w:t>
      </w:r>
      <w:r w:rsidRPr="00F149F1">
        <w:rPr>
          <w:rFonts w:asciiTheme="minorHAnsi" w:eastAsiaTheme="majorEastAsia" w:hAnsiTheme="minorHAnsi" w:cstheme="majorBidi"/>
          <w:sz w:val="28"/>
          <w:szCs w:val="28"/>
          <w:lang w:eastAsia="en-US"/>
        </w:rPr>
        <w:t>cost/patient</w:t>
      </w:r>
      <w:r w:rsidR="00F84FA8" w:rsidRPr="00F149F1" w:rsidDel="00F84FA8">
        <w:rPr>
          <w:rFonts w:asciiTheme="minorHAnsi" w:eastAsiaTheme="majorEastAsia" w:hAnsiTheme="minorHAnsi" w:cstheme="majorBidi"/>
          <w:sz w:val="28"/>
          <w:szCs w:val="28"/>
          <w:lang w:eastAsia="en-US"/>
        </w:rPr>
        <w:t xml:space="preserve"> </w:t>
      </w:r>
      <w:r w:rsidRPr="00F149F1">
        <w:rPr>
          <w:rFonts w:asciiTheme="minorHAnsi" w:eastAsiaTheme="majorEastAsia" w:hAnsiTheme="minorHAnsi" w:cstheme="majorBidi"/>
          <w:sz w:val="28"/>
          <w:szCs w:val="28"/>
          <w:lang w:eastAsia="en-US"/>
        </w:rPr>
        <w:t>/year: $</w:t>
      </w:r>
      <w:r w:rsidR="00B9700A">
        <w:rPr>
          <w:rFonts w:asciiTheme="minorHAnsi" w:eastAsiaTheme="majorEastAsia" w:hAnsiTheme="minorHAnsi" w:cstheme="majorBidi"/>
          <w:noProof/>
          <w:color w:val="000000"/>
          <w:sz w:val="28"/>
          <w:szCs w:val="28"/>
          <w:highlight w:val="black"/>
          <w:lang w:eastAsia="en-US"/>
        </w:rPr>
        <w:t>'''''''''</w:t>
      </w:r>
      <w:r w:rsidRPr="00F149F1">
        <w:rPr>
          <w:rFonts w:asciiTheme="minorHAnsi" w:eastAsiaTheme="majorEastAsia" w:hAnsiTheme="minorHAnsi" w:cstheme="majorBidi"/>
          <w:sz w:val="28"/>
          <w:szCs w:val="28"/>
          <w:lang w:eastAsia="en-US"/>
        </w:rPr>
        <w:t>.</w:t>
      </w:r>
    </w:p>
    <w:p w:rsidR="007868F1" w:rsidRPr="00AD24E7" w:rsidRDefault="00CE4A2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149F1">
        <w:rPr>
          <w:rFonts w:asciiTheme="minorHAnsi" w:eastAsiaTheme="minorHAnsi" w:hAnsiTheme="minorHAnsi" w:cstheme="minorBidi"/>
          <w:snapToGrid/>
          <w:sz w:val="24"/>
          <w:szCs w:val="22"/>
        </w:rPr>
        <w:t>The d</w:t>
      </w:r>
      <w:r w:rsidR="005320A9">
        <w:rPr>
          <w:rFonts w:asciiTheme="minorHAnsi" w:eastAsiaTheme="minorHAnsi" w:hAnsiTheme="minorHAnsi" w:cstheme="minorBidi"/>
          <w:snapToGrid/>
          <w:sz w:val="24"/>
          <w:szCs w:val="22"/>
        </w:rPr>
        <w:t xml:space="preserve">rug cost per patient per year </w:t>
      </w:r>
      <w:r w:rsidR="00AD24E7">
        <w:rPr>
          <w:rFonts w:asciiTheme="minorHAnsi" w:eastAsiaTheme="minorHAnsi" w:hAnsiTheme="minorHAnsi" w:cstheme="minorBidi"/>
          <w:snapToGrid/>
          <w:sz w:val="24"/>
          <w:szCs w:val="22"/>
        </w:rPr>
        <w:t xml:space="preserve">to the NIP </w:t>
      </w:r>
      <w:r w:rsidR="005320A9">
        <w:rPr>
          <w:rFonts w:asciiTheme="minorHAnsi" w:eastAsiaTheme="minorHAnsi" w:hAnsiTheme="minorHAnsi" w:cstheme="minorBidi"/>
          <w:snapToGrid/>
          <w:sz w:val="24"/>
          <w:szCs w:val="22"/>
        </w:rPr>
        <w:t>was</w:t>
      </w:r>
      <w:r w:rsidRPr="00F149F1">
        <w:rPr>
          <w:rFonts w:asciiTheme="minorHAnsi" w:eastAsiaTheme="minorHAnsi" w:hAnsiTheme="minorHAnsi" w:cstheme="minorBidi"/>
          <w:snapToGrid/>
          <w:sz w:val="24"/>
          <w:szCs w:val="22"/>
        </w:rPr>
        <w:t xml:space="preserve"> proposed as </w:t>
      </w:r>
      <w:r w:rsidR="00F149F1" w:rsidRPr="00AD24E7">
        <w:rPr>
          <w:rFonts w:asciiTheme="minorHAnsi" w:eastAsiaTheme="minorHAnsi" w:hAnsiTheme="minorHAnsi" w:cstheme="minorBidi"/>
          <w:snapToGrid/>
          <w:sz w:val="24"/>
          <w:szCs w:val="22"/>
        </w:rPr>
        <w:t>$</w:t>
      </w:r>
      <w:r w:rsidR="00B9700A">
        <w:rPr>
          <w:rFonts w:asciiTheme="minorHAnsi" w:eastAsiaTheme="minorHAnsi" w:hAnsiTheme="minorHAnsi" w:cstheme="minorBidi"/>
          <w:noProof/>
          <w:snapToGrid/>
          <w:color w:val="000000"/>
          <w:sz w:val="24"/>
          <w:szCs w:val="22"/>
          <w:highlight w:val="black"/>
        </w:rPr>
        <w:t>''''''''</w:t>
      </w:r>
      <w:r w:rsidR="00F84FA8" w:rsidRPr="00AD24E7">
        <w:rPr>
          <w:rFonts w:asciiTheme="minorHAnsi" w:eastAsiaTheme="minorHAnsi" w:hAnsiTheme="minorHAnsi" w:cstheme="minorBidi"/>
          <w:snapToGrid/>
          <w:sz w:val="24"/>
          <w:szCs w:val="22"/>
        </w:rPr>
        <w:t xml:space="preserve"> for a single dose</w:t>
      </w:r>
      <w:r w:rsidR="00F84FA8" w:rsidRPr="00F149F1">
        <w:rPr>
          <w:rFonts w:asciiTheme="minorHAnsi" w:eastAsiaTheme="minorHAnsi" w:hAnsiTheme="minorHAnsi" w:cstheme="minorBidi"/>
          <w:snapToGrid/>
          <w:sz w:val="24"/>
          <w:szCs w:val="22"/>
        </w:rPr>
        <w:t xml:space="preserve"> prior the start of the</w:t>
      </w:r>
      <w:r w:rsidR="00F149F1" w:rsidRPr="00F149F1">
        <w:rPr>
          <w:rFonts w:asciiTheme="minorHAnsi" w:eastAsiaTheme="minorHAnsi" w:hAnsiTheme="minorHAnsi" w:cstheme="minorBidi"/>
          <w:snapToGrid/>
          <w:sz w:val="24"/>
          <w:szCs w:val="22"/>
        </w:rPr>
        <w:t xml:space="preserve"> 2018</w:t>
      </w:r>
      <w:r w:rsidR="00F84FA8" w:rsidRPr="00F149F1">
        <w:rPr>
          <w:rFonts w:asciiTheme="minorHAnsi" w:eastAsiaTheme="minorHAnsi" w:hAnsiTheme="minorHAnsi" w:cstheme="minorBidi"/>
          <w:snapToGrid/>
          <w:sz w:val="24"/>
          <w:szCs w:val="22"/>
        </w:rPr>
        <w:t xml:space="preserve"> influenza season, the same cost as </w:t>
      </w:r>
      <w:r w:rsidR="005320A9">
        <w:rPr>
          <w:rFonts w:asciiTheme="minorHAnsi" w:eastAsiaTheme="minorHAnsi" w:hAnsiTheme="minorHAnsi" w:cstheme="minorBidi"/>
          <w:snapToGrid/>
          <w:sz w:val="24"/>
          <w:szCs w:val="22"/>
        </w:rPr>
        <w:t xml:space="preserve">the nationally negotiated price for </w:t>
      </w:r>
      <w:r w:rsidR="00F149F1" w:rsidRPr="00F149F1">
        <w:rPr>
          <w:rFonts w:asciiTheme="minorHAnsi" w:eastAsiaTheme="minorHAnsi" w:hAnsiTheme="minorHAnsi" w:cstheme="minorBidi"/>
          <w:snapToGrid/>
          <w:sz w:val="24"/>
          <w:szCs w:val="22"/>
        </w:rPr>
        <w:t xml:space="preserve">QIV </w:t>
      </w:r>
      <w:r w:rsidR="00F84FA8" w:rsidRPr="00F149F1">
        <w:rPr>
          <w:rFonts w:asciiTheme="minorHAnsi" w:eastAsiaTheme="minorHAnsi" w:hAnsiTheme="minorHAnsi" w:cstheme="minorBidi"/>
          <w:snapToGrid/>
          <w:sz w:val="24"/>
          <w:szCs w:val="22"/>
        </w:rPr>
        <w:t>comparator</w:t>
      </w:r>
      <w:r w:rsidR="00FB0686">
        <w:rPr>
          <w:rFonts w:asciiTheme="minorHAnsi" w:eastAsiaTheme="minorHAnsi" w:hAnsiTheme="minorHAnsi" w:cstheme="minorBidi"/>
          <w:snapToGrid/>
          <w:sz w:val="24"/>
          <w:szCs w:val="22"/>
        </w:rPr>
        <w:t>s</w:t>
      </w:r>
      <w:r w:rsidR="00F84FA8" w:rsidRPr="00F149F1">
        <w:rPr>
          <w:rFonts w:asciiTheme="minorHAnsi" w:eastAsiaTheme="minorHAnsi" w:hAnsiTheme="minorHAnsi" w:cstheme="minorBidi"/>
          <w:snapToGrid/>
          <w:sz w:val="24"/>
          <w:szCs w:val="22"/>
        </w:rPr>
        <w:t>.</w:t>
      </w:r>
    </w:p>
    <w:p w:rsidR="007868F1" w:rsidRPr="008306F3" w:rsidRDefault="007868F1" w:rsidP="007868F1">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 xml:space="preserve">Estimated </w:t>
      </w:r>
      <w:r w:rsidR="005320A9">
        <w:rPr>
          <w:rFonts w:asciiTheme="minorHAnsi" w:eastAsiaTheme="majorEastAsia" w:hAnsiTheme="minorHAnsi" w:cstheme="majorBidi"/>
          <w:sz w:val="28"/>
          <w:szCs w:val="28"/>
          <w:lang w:eastAsia="en-US"/>
        </w:rPr>
        <w:t>NIP</w:t>
      </w:r>
      <w:r w:rsidRPr="003C2FB5">
        <w:rPr>
          <w:rFonts w:asciiTheme="minorHAnsi" w:eastAsiaTheme="majorEastAsia" w:hAnsiTheme="minorHAnsi" w:cstheme="majorBidi"/>
          <w:sz w:val="28"/>
          <w:szCs w:val="28"/>
          <w:lang w:eastAsia="en-US"/>
        </w:rPr>
        <w:t xml:space="preserve"> usage &amp; financial implications</w:t>
      </w:r>
    </w:p>
    <w:p w:rsidR="007868F1" w:rsidRPr="00AD24E7" w:rsidRDefault="00333804"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D24E7">
        <w:rPr>
          <w:rFonts w:asciiTheme="minorHAnsi" w:eastAsiaTheme="minorHAnsi" w:hAnsiTheme="minorHAnsi" w:cstheme="minorBidi"/>
          <w:snapToGrid/>
          <w:sz w:val="24"/>
          <w:szCs w:val="22"/>
        </w:rPr>
        <w:t xml:space="preserve">No financial implications to the NIP or changes in NIP usage were anticipated as TIV-HD will substitute for QIV and both </w:t>
      </w:r>
      <w:r w:rsidR="00AD24E7">
        <w:rPr>
          <w:rFonts w:asciiTheme="minorHAnsi" w:eastAsiaTheme="minorHAnsi" w:hAnsiTheme="minorHAnsi" w:cstheme="minorBidi"/>
          <w:snapToGrid/>
          <w:sz w:val="24"/>
          <w:szCs w:val="22"/>
        </w:rPr>
        <w:t>vaccines</w:t>
      </w:r>
      <w:r w:rsidR="00AD24E7" w:rsidRPr="00AD24E7">
        <w:rPr>
          <w:rFonts w:asciiTheme="minorHAnsi" w:eastAsiaTheme="minorHAnsi" w:hAnsiTheme="minorHAnsi" w:cstheme="minorBidi"/>
          <w:snapToGrid/>
          <w:sz w:val="24"/>
          <w:szCs w:val="22"/>
        </w:rPr>
        <w:t xml:space="preserve"> </w:t>
      </w:r>
      <w:r w:rsidRPr="00AD24E7">
        <w:rPr>
          <w:rFonts w:asciiTheme="minorHAnsi" w:eastAsiaTheme="minorHAnsi" w:hAnsiTheme="minorHAnsi" w:cstheme="minorBidi"/>
          <w:snapToGrid/>
          <w:sz w:val="24"/>
          <w:szCs w:val="22"/>
        </w:rPr>
        <w:t>have the same price.</w:t>
      </w:r>
    </w:p>
    <w:p w:rsidR="003974C8" w:rsidRPr="003974C8" w:rsidRDefault="00611060" w:rsidP="00852BC9">
      <w:pPr>
        <w:spacing w:after="120"/>
        <w:rPr>
          <w:rFonts w:asciiTheme="minorHAnsi" w:eastAsiaTheme="minorHAnsi" w:hAnsiTheme="minorHAnsi" w:cstheme="minorBidi"/>
          <w:i/>
          <w:szCs w:val="22"/>
        </w:rPr>
      </w:pPr>
      <w:r w:rsidRPr="003974C8">
        <w:rPr>
          <w:rFonts w:asciiTheme="minorHAnsi" w:eastAsiaTheme="minorHAnsi" w:hAnsiTheme="minorHAnsi" w:cstheme="minorBidi"/>
          <w:i/>
          <w:szCs w:val="22"/>
        </w:rPr>
        <w:t>For more detail on PBAC’s view, see section 7 PBAC outcome.</w:t>
      </w:r>
    </w:p>
    <w:p w:rsidR="00611060" w:rsidRPr="008B0B28" w:rsidRDefault="00611060" w:rsidP="00611060">
      <w:pPr>
        <w:pStyle w:val="PBACHeading1"/>
        <w:numPr>
          <w:ilvl w:val="0"/>
          <w:numId w:val="5"/>
        </w:numPr>
        <w:rPr>
          <w:rFonts w:asciiTheme="minorHAnsi" w:hAnsiTheme="minorHAnsi"/>
          <w:sz w:val="32"/>
          <w:szCs w:val="32"/>
        </w:rPr>
      </w:pPr>
      <w:r w:rsidRPr="008B0B28">
        <w:rPr>
          <w:rFonts w:asciiTheme="minorHAnsi" w:hAnsiTheme="minorHAnsi"/>
          <w:sz w:val="32"/>
          <w:szCs w:val="32"/>
        </w:rPr>
        <w:t>PBAC Outcome</w:t>
      </w:r>
    </w:p>
    <w:p w:rsidR="00611060" w:rsidRPr="003C2FB5" w:rsidRDefault="00611060" w:rsidP="00611060">
      <w:pPr>
        <w:jc w:val="both"/>
        <w:rPr>
          <w:rFonts w:asciiTheme="minorHAnsi" w:hAnsiTheme="minorHAnsi"/>
        </w:rPr>
      </w:pPr>
    </w:p>
    <w:p w:rsidR="003974C8" w:rsidRPr="005A63BE" w:rsidRDefault="003974C8" w:rsidP="003974C8">
      <w:pPr>
        <w:widowControl w:val="0"/>
        <w:numPr>
          <w:ilvl w:val="1"/>
          <w:numId w:val="5"/>
        </w:numPr>
        <w:spacing w:after="120"/>
        <w:jc w:val="both"/>
        <w:rPr>
          <w:rFonts w:asciiTheme="minorHAnsi" w:hAnsiTheme="minorHAnsi" w:cstheme="minorHAnsi"/>
          <w:bCs/>
          <w:lang w:val="en-GB"/>
        </w:rPr>
      </w:pPr>
      <w:r>
        <w:rPr>
          <w:rFonts w:asciiTheme="minorHAnsi" w:hAnsiTheme="minorHAnsi" w:cstheme="minorHAnsi"/>
          <w:bCs/>
          <w:lang w:val="en-GB"/>
        </w:rPr>
        <w:t>T</w:t>
      </w:r>
      <w:r w:rsidRPr="005A63BE">
        <w:rPr>
          <w:rFonts w:asciiTheme="minorHAnsi" w:hAnsiTheme="minorHAnsi" w:cstheme="minorHAnsi"/>
          <w:bCs/>
          <w:lang w:val="en-GB"/>
        </w:rPr>
        <w:t xml:space="preserve">he PBAC </w:t>
      </w:r>
      <w:r>
        <w:rPr>
          <w:rFonts w:asciiTheme="minorHAnsi" w:hAnsiTheme="minorHAnsi" w:cstheme="minorHAnsi"/>
          <w:bCs/>
          <w:lang w:val="en-GB"/>
        </w:rPr>
        <w:t>recommended that</w:t>
      </w:r>
      <w:r w:rsidRPr="005A63BE">
        <w:rPr>
          <w:rFonts w:asciiTheme="minorHAnsi" w:hAnsiTheme="minorHAnsi" w:cstheme="minorHAnsi"/>
          <w:bCs/>
          <w:lang w:val="en-GB"/>
        </w:rPr>
        <w:t xml:space="preserve"> </w:t>
      </w:r>
      <w:r>
        <w:rPr>
          <w:rFonts w:asciiTheme="minorHAnsi" w:eastAsiaTheme="minorHAnsi" w:hAnsiTheme="minorHAnsi" w:cstheme="minorBidi"/>
          <w:szCs w:val="22"/>
        </w:rPr>
        <w:t>inactivated trivalent</w:t>
      </w:r>
      <w:r w:rsidRPr="00905799">
        <w:rPr>
          <w:rFonts w:asciiTheme="minorHAnsi" w:eastAsiaTheme="minorHAnsi" w:hAnsiTheme="minorHAnsi" w:cstheme="minorBidi"/>
          <w:szCs w:val="22"/>
        </w:rPr>
        <w:t xml:space="preserve"> influenza vaccine</w:t>
      </w:r>
      <w:r>
        <w:rPr>
          <w:rFonts w:asciiTheme="minorHAnsi" w:eastAsiaTheme="minorHAnsi" w:hAnsiTheme="minorHAnsi" w:cstheme="minorBidi"/>
          <w:szCs w:val="22"/>
        </w:rPr>
        <w:t xml:space="preserve"> (TIV-HD) </w:t>
      </w:r>
      <w:r>
        <w:rPr>
          <w:rFonts w:asciiTheme="minorHAnsi" w:hAnsiTheme="minorHAnsi" w:cstheme="minorHAnsi"/>
        </w:rPr>
        <w:t>be</w:t>
      </w:r>
      <w:r w:rsidRPr="005A63BE">
        <w:rPr>
          <w:rFonts w:asciiTheme="minorHAnsi" w:hAnsiTheme="minorHAnsi" w:cstheme="minorHAnsi"/>
        </w:rPr>
        <w:t xml:space="preserve"> a designated vaccine </w:t>
      </w:r>
      <w:r>
        <w:rPr>
          <w:rFonts w:asciiTheme="minorHAnsi" w:hAnsiTheme="minorHAnsi" w:cstheme="minorHAnsi"/>
        </w:rPr>
        <w:t>for</w:t>
      </w:r>
      <w:r w:rsidRPr="005A63BE">
        <w:rPr>
          <w:rFonts w:asciiTheme="minorHAnsi" w:hAnsiTheme="minorHAnsi" w:cstheme="minorHAnsi"/>
        </w:rPr>
        <w:t xml:space="preserve"> the </w:t>
      </w:r>
      <w:r>
        <w:rPr>
          <w:rFonts w:asciiTheme="minorHAnsi" w:hAnsiTheme="minorHAnsi" w:cstheme="minorHAnsi"/>
        </w:rPr>
        <w:t xml:space="preserve">purposes of the </w:t>
      </w:r>
      <w:r>
        <w:rPr>
          <w:rFonts w:asciiTheme="minorHAnsi" w:hAnsiTheme="minorHAnsi" w:cstheme="minorHAnsi"/>
          <w:i/>
        </w:rPr>
        <w:t xml:space="preserve">National Health Act 1953 </w:t>
      </w:r>
      <w:r w:rsidRPr="005A63BE">
        <w:rPr>
          <w:rFonts w:asciiTheme="minorHAnsi" w:hAnsiTheme="minorHAnsi" w:cstheme="minorHAnsi"/>
        </w:rPr>
        <w:t xml:space="preserve">for </w:t>
      </w:r>
      <w:r>
        <w:rPr>
          <w:rFonts w:asciiTheme="minorHAnsi" w:hAnsiTheme="minorHAnsi" w:cstheme="minorHAnsi"/>
        </w:rPr>
        <w:t>active immunisation against influenza</w:t>
      </w:r>
      <w:r w:rsidRPr="005A63BE">
        <w:rPr>
          <w:rFonts w:asciiTheme="minorHAnsi" w:hAnsiTheme="minorHAnsi" w:cstheme="minorHAnsi"/>
        </w:rPr>
        <w:t xml:space="preserve"> in </w:t>
      </w:r>
      <w:r>
        <w:rPr>
          <w:rFonts w:asciiTheme="minorHAnsi" w:hAnsiTheme="minorHAnsi" w:cstheme="minorHAnsi"/>
        </w:rPr>
        <w:t>adults aged ≥65 years.</w:t>
      </w:r>
    </w:p>
    <w:p w:rsidR="003974C8" w:rsidRDefault="003974C8" w:rsidP="003974C8">
      <w:pPr>
        <w:widowControl w:val="0"/>
        <w:numPr>
          <w:ilvl w:val="1"/>
          <w:numId w:val="5"/>
        </w:numPr>
        <w:spacing w:after="120"/>
        <w:jc w:val="both"/>
        <w:rPr>
          <w:rFonts w:asciiTheme="minorHAnsi" w:hAnsiTheme="minorHAnsi" w:cstheme="minorHAnsi"/>
          <w:bCs/>
          <w:lang w:val="en-GB"/>
        </w:rPr>
      </w:pPr>
      <w:r>
        <w:rPr>
          <w:rFonts w:asciiTheme="minorHAnsi" w:hAnsiTheme="minorHAnsi" w:cstheme="minorHAnsi"/>
          <w:bCs/>
          <w:lang w:val="en-GB"/>
        </w:rPr>
        <w:t xml:space="preserve">The PBAC considered that the TIV-HD vaccine would be acceptably cost-effective if subsidised on a cost-minimisation basis with the currently NIP listed </w:t>
      </w:r>
      <w:proofErr w:type="spellStart"/>
      <w:r>
        <w:rPr>
          <w:rFonts w:asciiTheme="minorHAnsi" w:hAnsiTheme="minorHAnsi" w:cstheme="minorHAnsi"/>
          <w:bCs/>
          <w:lang w:val="en-GB"/>
        </w:rPr>
        <w:t>quadrivalent</w:t>
      </w:r>
      <w:proofErr w:type="spellEnd"/>
      <w:r>
        <w:rPr>
          <w:rFonts w:asciiTheme="minorHAnsi" w:hAnsiTheme="minorHAnsi" w:cstheme="minorHAnsi"/>
          <w:bCs/>
          <w:lang w:val="en-GB"/>
        </w:rPr>
        <w:t xml:space="preserve"> inactivated vaccines (QIV) for those aged </w:t>
      </w:r>
      <w:r w:rsidRPr="00415B86">
        <w:rPr>
          <w:rFonts w:asciiTheme="minorHAnsi" w:hAnsiTheme="minorHAnsi" w:cs="Arial"/>
          <w:bCs/>
          <w:snapToGrid w:val="0"/>
          <w:lang w:val="en-GB"/>
        </w:rPr>
        <w:t>≥</w:t>
      </w:r>
      <w:r>
        <w:rPr>
          <w:rFonts w:asciiTheme="minorHAnsi" w:hAnsiTheme="minorHAnsi" w:cstheme="minorHAnsi"/>
          <w:bCs/>
          <w:lang w:val="en-GB"/>
        </w:rPr>
        <w:t>65.</w:t>
      </w:r>
    </w:p>
    <w:p w:rsidR="003974C8" w:rsidRDefault="003974C8" w:rsidP="003974C8">
      <w:pPr>
        <w:widowControl w:val="0"/>
        <w:numPr>
          <w:ilvl w:val="1"/>
          <w:numId w:val="5"/>
        </w:numPr>
        <w:spacing w:after="120"/>
        <w:jc w:val="both"/>
        <w:rPr>
          <w:rFonts w:asciiTheme="minorHAnsi" w:hAnsiTheme="minorHAnsi" w:cs="Arial"/>
          <w:bCs/>
          <w:snapToGrid w:val="0"/>
          <w:lang w:val="en-GB"/>
        </w:rPr>
      </w:pPr>
      <w:r w:rsidRPr="005A63BE">
        <w:rPr>
          <w:rFonts w:asciiTheme="minorHAnsi" w:hAnsiTheme="minorHAnsi" w:cs="Arial"/>
          <w:bCs/>
          <w:snapToGrid w:val="0"/>
          <w:lang w:val="en-GB"/>
        </w:rPr>
        <w:t xml:space="preserve">The </w:t>
      </w:r>
      <w:r>
        <w:rPr>
          <w:rFonts w:asciiTheme="minorHAnsi" w:hAnsiTheme="minorHAnsi" w:cs="Arial"/>
          <w:bCs/>
          <w:snapToGrid w:val="0"/>
          <w:lang w:val="en-GB"/>
        </w:rPr>
        <w:t>PBAC accepted the ATAGI</w:t>
      </w:r>
      <w:r w:rsidRPr="005A63BE">
        <w:rPr>
          <w:rFonts w:asciiTheme="minorHAnsi" w:hAnsiTheme="minorHAnsi" w:cs="Arial"/>
          <w:bCs/>
          <w:snapToGrid w:val="0"/>
          <w:lang w:val="en-GB"/>
        </w:rPr>
        <w:t xml:space="preserve"> </w:t>
      </w:r>
      <w:r>
        <w:rPr>
          <w:rFonts w:asciiTheme="minorHAnsi" w:hAnsiTheme="minorHAnsi" w:cs="Arial"/>
          <w:bCs/>
          <w:snapToGrid w:val="0"/>
          <w:lang w:val="en-GB"/>
        </w:rPr>
        <w:t xml:space="preserve">advice that TIV-HD is non-inferior overall to QIV for the prevention of seasonal influenza in adults aged </w:t>
      </w:r>
      <w:r w:rsidRPr="007E7209">
        <w:rPr>
          <w:rFonts w:asciiTheme="minorHAnsi" w:hAnsiTheme="minorHAnsi" w:cs="Arial"/>
          <w:bCs/>
          <w:snapToGrid w:val="0"/>
          <w:lang w:val="en-GB"/>
        </w:rPr>
        <w:t>≥65 years</w:t>
      </w:r>
      <w:r>
        <w:rPr>
          <w:rFonts w:asciiTheme="minorHAnsi" w:hAnsiTheme="minorHAnsi" w:cs="Arial"/>
          <w:bCs/>
          <w:snapToGrid w:val="0"/>
          <w:lang w:val="en-GB"/>
        </w:rPr>
        <w:t>.</w:t>
      </w:r>
    </w:p>
    <w:p w:rsidR="003974C8" w:rsidRDefault="003974C8" w:rsidP="003974C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with the ATAGI that there is sufficient evidence indicating TIV-HD is superior in effectiveness to a standard-dose trivalent inactivated vaccine (TIV-SD) against vaccine-matched influenza strains, particularly against influenza A/H3 disease which accounts for a substantial burden in this age group.</w:t>
      </w:r>
    </w:p>
    <w:p w:rsidR="003974C8" w:rsidRDefault="003974C8" w:rsidP="003974C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with the ATAGI that the additional protection against vaccine-matched strains included in the TIV-HD vaccine is substantial enough to offset, if not outweigh, the potential loss of protection against the alternative B lineage not in the vaccine, in most years, for adults</w:t>
      </w:r>
      <w:r w:rsidRPr="007E7209">
        <w:t xml:space="preserve"> </w:t>
      </w:r>
      <w:r w:rsidRPr="007E7209">
        <w:rPr>
          <w:rFonts w:asciiTheme="minorHAnsi" w:hAnsiTheme="minorHAnsi" w:cs="Arial"/>
          <w:bCs/>
          <w:snapToGrid w:val="0"/>
          <w:lang w:val="en-GB"/>
        </w:rPr>
        <w:t>aged ≥65 years</w:t>
      </w:r>
      <w:r>
        <w:rPr>
          <w:rFonts w:asciiTheme="minorHAnsi" w:hAnsiTheme="minorHAnsi" w:cs="Arial"/>
          <w:bCs/>
          <w:snapToGrid w:val="0"/>
          <w:lang w:val="en-GB"/>
        </w:rPr>
        <w:t>.</w:t>
      </w:r>
    </w:p>
    <w:p w:rsidR="003974C8" w:rsidRPr="00510AA6" w:rsidRDefault="003974C8" w:rsidP="003974C8">
      <w:pPr>
        <w:widowControl w:val="0"/>
        <w:numPr>
          <w:ilvl w:val="1"/>
          <w:numId w:val="5"/>
        </w:numPr>
        <w:spacing w:after="120"/>
        <w:jc w:val="both"/>
        <w:rPr>
          <w:rFonts w:asciiTheme="minorHAnsi" w:hAnsiTheme="minorHAnsi" w:cstheme="minorHAnsi"/>
          <w:bCs/>
          <w:lang w:val="en-GB"/>
        </w:rPr>
      </w:pPr>
      <w:r>
        <w:rPr>
          <w:rFonts w:asciiTheme="minorHAnsi" w:hAnsiTheme="minorHAnsi" w:cs="Arial"/>
          <w:bCs/>
          <w:snapToGrid w:val="0"/>
          <w:lang w:val="en-GB"/>
        </w:rPr>
        <w:t xml:space="preserve">The PBAC agreed with the ATAGI that the evidence supports a claim that TIV-HD has an acceptable safety profile, albeit with a higher frequency of mild to moderate </w:t>
      </w:r>
      <w:r>
        <w:rPr>
          <w:rFonts w:asciiTheme="minorHAnsi" w:hAnsiTheme="minorHAnsi" w:cs="Arial"/>
          <w:bCs/>
          <w:snapToGrid w:val="0"/>
          <w:lang w:val="en-GB"/>
        </w:rPr>
        <w:lastRenderedPageBreak/>
        <w:t xml:space="preserve">injection-site reactions compared with TIV-SD.   </w:t>
      </w:r>
      <w:r w:rsidRPr="00522A7C">
        <w:rPr>
          <w:rFonts w:asciiTheme="minorHAnsi" w:hAnsiTheme="minorHAnsi" w:cstheme="minorHAnsi"/>
          <w:bCs/>
          <w:lang w:val="en-GB"/>
        </w:rPr>
        <w:t xml:space="preserve">The </w:t>
      </w:r>
      <w:r>
        <w:rPr>
          <w:rFonts w:asciiTheme="minorHAnsi" w:hAnsiTheme="minorHAnsi" w:cstheme="minorHAnsi"/>
          <w:bCs/>
          <w:lang w:val="en-GB"/>
        </w:rPr>
        <w:t>PBAC recalled that</w:t>
      </w:r>
      <w:r w:rsidRPr="00522A7C">
        <w:rPr>
          <w:rFonts w:asciiTheme="minorHAnsi" w:hAnsiTheme="minorHAnsi" w:cstheme="minorHAnsi"/>
          <w:bCs/>
          <w:lang w:val="en-GB"/>
        </w:rPr>
        <w:t xml:space="preserve"> </w:t>
      </w:r>
      <w:r w:rsidRPr="00522A7C">
        <w:rPr>
          <w:rFonts w:asciiTheme="minorHAnsi" w:eastAsiaTheme="minorHAnsi" w:hAnsiTheme="minorHAnsi" w:cstheme="minorBidi"/>
          <w:szCs w:val="22"/>
        </w:rPr>
        <w:t xml:space="preserve">QIV was originally listed on the NIP </w:t>
      </w:r>
      <w:r>
        <w:rPr>
          <w:rFonts w:asciiTheme="minorHAnsi" w:eastAsiaTheme="minorHAnsi" w:hAnsiTheme="minorHAnsi" w:cstheme="minorBidi"/>
          <w:szCs w:val="22"/>
        </w:rPr>
        <w:t xml:space="preserve">after a </w:t>
      </w:r>
      <w:r w:rsidRPr="004559F8">
        <w:rPr>
          <w:rFonts w:asciiTheme="minorHAnsi" w:eastAsiaTheme="minorHAnsi" w:hAnsiTheme="minorHAnsi" w:cstheme="minorBidi"/>
          <w:szCs w:val="22"/>
        </w:rPr>
        <w:t>positive PBAC recommendation in 2015</w:t>
      </w:r>
      <w:r>
        <w:rPr>
          <w:rFonts w:asciiTheme="minorHAnsi" w:eastAsiaTheme="minorHAnsi" w:hAnsiTheme="minorHAnsi" w:cstheme="minorBidi"/>
          <w:szCs w:val="22"/>
        </w:rPr>
        <w:t>,</w:t>
      </w:r>
      <w:r w:rsidRPr="004559F8">
        <w:rPr>
          <w:rFonts w:asciiTheme="minorHAnsi" w:eastAsiaTheme="minorHAnsi" w:hAnsiTheme="minorHAnsi" w:cstheme="minorBidi"/>
          <w:szCs w:val="22"/>
        </w:rPr>
        <w:t xml:space="preserve"> based on </w:t>
      </w:r>
      <w:r>
        <w:rPr>
          <w:rFonts w:asciiTheme="minorHAnsi" w:eastAsiaTheme="minorHAnsi" w:hAnsiTheme="minorHAnsi" w:cstheme="minorBidi"/>
          <w:szCs w:val="22"/>
        </w:rPr>
        <w:t>QIV</w:t>
      </w:r>
      <w:r w:rsidRPr="004559F8">
        <w:rPr>
          <w:rFonts w:asciiTheme="minorHAnsi" w:eastAsiaTheme="minorHAnsi" w:hAnsiTheme="minorHAnsi" w:cstheme="minorBidi"/>
          <w:szCs w:val="22"/>
        </w:rPr>
        <w:t xml:space="preserve"> being non-inferior in efficacy and toxicity compared to TIV.</w:t>
      </w:r>
    </w:p>
    <w:p w:rsidR="003974C8" w:rsidRPr="00AF3CB2" w:rsidRDefault="003974C8" w:rsidP="003974C8">
      <w:pPr>
        <w:widowControl w:val="0"/>
        <w:numPr>
          <w:ilvl w:val="1"/>
          <w:numId w:val="5"/>
        </w:numPr>
        <w:spacing w:after="120"/>
        <w:jc w:val="both"/>
        <w:rPr>
          <w:rFonts w:asciiTheme="minorHAnsi" w:hAnsiTheme="minorHAnsi" w:cs="Arial"/>
          <w:bCs/>
          <w:snapToGrid w:val="0"/>
          <w:lang w:val="en-GB"/>
        </w:rPr>
      </w:pPr>
      <w:r w:rsidRPr="00AF3CB2">
        <w:rPr>
          <w:rFonts w:asciiTheme="minorHAnsi" w:hAnsiTheme="minorHAnsi" w:cs="Arial"/>
          <w:bCs/>
          <w:snapToGrid w:val="0"/>
          <w:lang w:val="en-GB"/>
        </w:rPr>
        <w:t xml:space="preserve">The PBAC advised that the </w:t>
      </w:r>
      <w:proofErr w:type="spellStart"/>
      <w:r w:rsidRPr="00AF3CB2">
        <w:rPr>
          <w:rFonts w:asciiTheme="minorHAnsi" w:hAnsiTheme="minorHAnsi" w:cs="Arial"/>
          <w:bCs/>
          <w:snapToGrid w:val="0"/>
          <w:lang w:val="en-GB"/>
        </w:rPr>
        <w:t>equi</w:t>
      </w:r>
      <w:proofErr w:type="spellEnd"/>
      <w:r w:rsidRPr="00AF3CB2">
        <w:rPr>
          <w:rFonts w:asciiTheme="minorHAnsi" w:hAnsiTheme="minorHAnsi" w:cs="Arial"/>
          <w:bCs/>
          <w:snapToGrid w:val="0"/>
          <w:lang w:val="en-GB"/>
        </w:rPr>
        <w:t>-effective doses should be considered to be TIV-HD 1 x 180μg dose to QIV 1 x dose.</w:t>
      </w:r>
    </w:p>
    <w:p w:rsidR="003974C8" w:rsidRPr="00AF3CB2" w:rsidRDefault="003974C8" w:rsidP="003974C8">
      <w:pPr>
        <w:pStyle w:val="ListParagraph"/>
        <w:widowControl/>
        <w:numPr>
          <w:ilvl w:val="1"/>
          <w:numId w:val="5"/>
        </w:numPr>
        <w:spacing w:after="120"/>
        <w:rPr>
          <w:rFonts w:asciiTheme="minorHAnsi" w:hAnsiTheme="minorHAnsi" w:cstheme="minorHAnsi"/>
          <w:sz w:val="24"/>
          <w:szCs w:val="24"/>
        </w:rPr>
      </w:pPr>
      <w:r w:rsidRPr="00AF3CB2">
        <w:rPr>
          <w:rFonts w:asciiTheme="minorHAnsi" w:hAnsiTheme="minorHAnsi" w:cstheme="minorHAnsi"/>
          <w:sz w:val="24"/>
          <w:szCs w:val="24"/>
        </w:rPr>
        <w:t xml:space="preserve">The PBAC further noted that: </w:t>
      </w:r>
    </w:p>
    <w:p w:rsidR="003974C8" w:rsidRPr="00AF3CB2" w:rsidRDefault="003974C8" w:rsidP="003974C8">
      <w:pPr>
        <w:pStyle w:val="ListParagraph"/>
        <w:widowControl/>
        <w:numPr>
          <w:ilvl w:val="2"/>
          <w:numId w:val="5"/>
        </w:numPr>
        <w:spacing w:after="120"/>
        <w:ind w:left="1418"/>
        <w:rPr>
          <w:rFonts w:asciiTheme="minorHAnsi" w:hAnsiTheme="minorHAnsi" w:cstheme="minorHAnsi"/>
          <w:sz w:val="24"/>
          <w:szCs w:val="24"/>
        </w:rPr>
      </w:pPr>
      <w:proofErr w:type="gramStart"/>
      <w:r w:rsidRPr="00AF3CB2">
        <w:rPr>
          <w:rFonts w:asciiTheme="minorHAnsi" w:hAnsiTheme="minorHAnsi" w:cstheme="minorHAnsi"/>
          <w:sz w:val="24"/>
          <w:szCs w:val="24"/>
        </w:rPr>
        <w:t>in</w:t>
      </w:r>
      <w:proofErr w:type="gramEnd"/>
      <w:r w:rsidRPr="00AF3CB2">
        <w:rPr>
          <w:rFonts w:asciiTheme="minorHAnsi" w:hAnsiTheme="minorHAnsi" w:cstheme="minorHAnsi"/>
          <w:sz w:val="24"/>
          <w:szCs w:val="24"/>
        </w:rPr>
        <w:t xml:space="preserve"> progressing listing on the NIP, the Office of Health Protection would need to consider a number of issues raised by ATAGI around logistics associated with the introduction of an additional vaccine, program evaluation, education and communication with health care providers and post-market surveillance measures.  </w:t>
      </w:r>
    </w:p>
    <w:p w:rsidR="003974C8" w:rsidRPr="00AF3CB2" w:rsidRDefault="003974C8" w:rsidP="003974C8">
      <w:pPr>
        <w:pStyle w:val="ListParagraph"/>
        <w:widowControl/>
        <w:numPr>
          <w:ilvl w:val="2"/>
          <w:numId w:val="5"/>
        </w:numPr>
        <w:spacing w:after="120"/>
        <w:ind w:left="1418"/>
        <w:rPr>
          <w:rFonts w:asciiTheme="minorHAnsi" w:hAnsiTheme="minorHAnsi" w:cstheme="minorHAnsi"/>
          <w:sz w:val="24"/>
          <w:szCs w:val="24"/>
        </w:rPr>
      </w:pPr>
      <w:r w:rsidRPr="00AF3CB2">
        <w:rPr>
          <w:rFonts w:asciiTheme="minorHAnsi" w:hAnsiTheme="minorHAnsi" w:cstheme="minorHAnsi"/>
          <w:sz w:val="24"/>
          <w:szCs w:val="24"/>
        </w:rPr>
        <w:t>TIV-HD received TGA registration in December 2017.</w:t>
      </w:r>
    </w:p>
    <w:p w:rsidR="003974C8" w:rsidRPr="00AF3CB2" w:rsidRDefault="003974C8" w:rsidP="003974C8">
      <w:pPr>
        <w:widowControl w:val="0"/>
        <w:numPr>
          <w:ilvl w:val="1"/>
          <w:numId w:val="5"/>
        </w:numPr>
        <w:spacing w:after="120"/>
        <w:jc w:val="both"/>
        <w:rPr>
          <w:rFonts w:asciiTheme="minorHAnsi" w:hAnsiTheme="minorHAnsi" w:cstheme="minorHAnsi"/>
          <w:bCs/>
          <w:i/>
          <w:lang w:val="en-GB"/>
        </w:rPr>
      </w:pPr>
      <w:r w:rsidRPr="00AF3CB2">
        <w:rPr>
          <w:rFonts w:asciiTheme="minorHAnsi" w:hAnsiTheme="minorHAnsi" w:cstheme="minorHAnsi"/>
          <w:bCs/>
          <w:lang w:val="en-GB"/>
        </w:rPr>
        <w:t>The PBAC noted that this submission is not eligible for independent review as independent review is only relevant to PBS listing.</w:t>
      </w:r>
    </w:p>
    <w:p w:rsidR="003974C8" w:rsidRPr="005B0DED" w:rsidRDefault="003974C8" w:rsidP="003974C8">
      <w:pPr>
        <w:spacing w:before="240"/>
        <w:jc w:val="both"/>
        <w:rPr>
          <w:rFonts w:asciiTheme="minorHAnsi" w:hAnsiTheme="minorHAnsi" w:cs="Arial"/>
          <w:b/>
          <w:bCs/>
          <w:snapToGrid w:val="0"/>
          <w:lang w:val="en-GB"/>
        </w:rPr>
      </w:pPr>
      <w:r w:rsidRPr="005B0DED">
        <w:rPr>
          <w:rFonts w:asciiTheme="minorHAnsi" w:hAnsiTheme="minorHAnsi" w:cs="Arial"/>
          <w:b/>
          <w:bCs/>
          <w:snapToGrid w:val="0"/>
          <w:lang w:val="en-GB"/>
        </w:rPr>
        <w:t>Outcome:</w:t>
      </w:r>
    </w:p>
    <w:p w:rsidR="003974C8" w:rsidRPr="005A48A5" w:rsidRDefault="003974C8" w:rsidP="003974C8">
      <w:pPr>
        <w:jc w:val="both"/>
        <w:rPr>
          <w:rFonts w:asciiTheme="minorHAnsi" w:hAnsiTheme="minorHAnsi" w:cs="Arial"/>
          <w:bCs/>
          <w:snapToGrid w:val="0"/>
          <w:highlight w:val="yellow"/>
          <w:lang w:val="en-GB"/>
        </w:rPr>
      </w:pPr>
      <w:r>
        <w:rPr>
          <w:rFonts w:asciiTheme="minorHAnsi" w:hAnsiTheme="minorHAnsi" w:cs="Arial"/>
          <w:bCs/>
          <w:snapToGrid w:val="0"/>
          <w:lang w:val="en-GB"/>
        </w:rPr>
        <w:t>Recommended</w:t>
      </w:r>
    </w:p>
    <w:p w:rsidR="0091106E" w:rsidRDefault="0091106E" w:rsidP="003974C8"/>
    <w:p w:rsidR="002109B9" w:rsidRPr="002109B9" w:rsidRDefault="002109B9" w:rsidP="002109B9">
      <w:pPr>
        <w:pStyle w:val="PBACHeading1"/>
        <w:numPr>
          <w:ilvl w:val="0"/>
          <w:numId w:val="5"/>
        </w:numPr>
        <w:rPr>
          <w:rFonts w:asciiTheme="minorHAnsi" w:eastAsiaTheme="minorHAnsi" w:hAnsiTheme="minorHAnsi" w:cstheme="minorBidi"/>
          <w:sz w:val="32"/>
        </w:rPr>
      </w:pPr>
      <w:r w:rsidRPr="002109B9">
        <w:rPr>
          <w:rFonts w:asciiTheme="minorHAnsi" w:eastAsiaTheme="minorHAnsi" w:hAnsiTheme="minorHAnsi" w:cstheme="minorBidi"/>
          <w:sz w:val="32"/>
        </w:rPr>
        <w:t>Context for Decision</w:t>
      </w:r>
    </w:p>
    <w:p w:rsidR="002109B9" w:rsidRPr="002109B9" w:rsidRDefault="002109B9" w:rsidP="002109B9">
      <w:pPr>
        <w:spacing w:line="276" w:lineRule="auto"/>
        <w:ind w:left="426"/>
        <w:jc w:val="both"/>
        <w:rPr>
          <w:rFonts w:asciiTheme="minorHAnsi" w:eastAsiaTheme="minorHAnsi" w:hAnsiTheme="minorHAnsi" w:cs="Arial"/>
          <w:szCs w:val="22"/>
          <w:lang w:eastAsia="en-US"/>
        </w:rPr>
      </w:pPr>
      <w:r w:rsidRPr="002109B9">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109B9" w:rsidRPr="002109B9" w:rsidRDefault="002109B9" w:rsidP="002109B9">
      <w:pPr>
        <w:spacing w:after="200" w:line="276" w:lineRule="auto"/>
        <w:ind w:left="426"/>
        <w:jc w:val="both"/>
        <w:rPr>
          <w:rFonts w:ascii="Arial" w:eastAsiaTheme="minorHAnsi" w:hAnsi="Arial" w:cs="Arial"/>
          <w:sz w:val="22"/>
          <w:szCs w:val="22"/>
          <w:lang w:eastAsia="en-US"/>
        </w:rPr>
      </w:pPr>
    </w:p>
    <w:p w:rsidR="00123B1B" w:rsidRPr="007735E2" w:rsidRDefault="002109B9" w:rsidP="007735E2">
      <w:pPr>
        <w:pStyle w:val="PBACHeading1"/>
        <w:numPr>
          <w:ilvl w:val="0"/>
          <w:numId w:val="5"/>
        </w:numPr>
        <w:rPr>
          <w:rFonts w:asciiTheme="minorHAnsi" w:eastAsiaTheme="minorHAnsi" w:hAnsiTheme="minorHAnsi" w:cstheme="minorBidi"/>
          <w:sz w:val="32"/>
        </w:rPr>
      </w:pPr>
      <w:r w:rsidRPr="002109B9">
        <w:rPr>
          <w:rFonts w:asciiTheme="minorHAnsi" w:eastAsiaTheme="minorHAnsi" w:hAnsiTheme="minorHAnsi" w:cstheme="minorBidi"/>
          <w:sz w:val="32"/>
        </w:rPr>
        <w:t xml:space="preserve"> Sponsor’s Comment</w:t>
      </w:r>
    </w:p>
    <w:p w:rsidR="002109B9" w:rsidRPr="007735E2" w:rsidRDefault="00123B1B" w:rsidP="007735E2">
      <w:pPr>
        <w:spacing w:line="276" w:lineRule="auto"/>
        <w:ind w:left="426"/>
        <w:jc w:val="both"/>
        <w:rPr>
          <w:rFonts w:asciiTheme="minorHAnsi" w:eastAsiaTheme="minorHAnsi" w:hAnsiTheme="minorHAnsi" w:cs="Arial"/>
          <w:szCs w:val="22"/>
          <w:lang w:eastAsia="en-US"/>
        </w:rPr>
      </w:pPr>
      <w:r w:rsidRPr="007735E2">
        <w:rPr>
          <w:rFonts w:asciiTheme="minorHAnsi" w:eastAsiaTheme="minorHAnsi" w:hAnsiTheme="minorHAnsi" w:cs="Arial"/>
          <w:szCs w:val="22"/>
          <w:lang w:eastAsia="en-US"/>
        </w:rPr>
        <w:t xml:space="preserve">Sanofi welcomes the PBAC’s recommendation to list </w:t>
      </w:r>
      <w:proofErr w:type="spellStart"/>
      <w:r w:rsidRPr="007735E2">
        <w:rPr>
          <w:rFonts w:asciiTheme="minorHAnsi" w:eastAsiaTheme="minorHAnsi" w:hAnsiTheme="minorHAnsi" w:cs="Arial"/>
          <w:szCs w:val="22"/>
          <w:lang w:eastAsia="en-US"/>
        </w:rPr>
        <w:t>Fluzone</w:t>
      </w:r>
      <w:proofErr w:type="spellEnd"/>
      <w:r w:rsidRPr="007735E2">
        <w:rPr>
          <w:rFonts w:asciiTheme="minorHAnsi" w:eastAsiaTheme="minorHAnsi" w:hAnsiTheme="minorHAnsi" w:cs="Arial"/>
          <w:szCs w:val="22"/>
          <w:lang w:eastAsia="en-US"/>
        </w:rPr>
        <w:t xml:space="preserve"> High-Dose on the NIP and the diligent work adopted by all parties to make this important vaccine available for older Australians for the 2018 influenza season. We welcome the opportunity for the PBAC to undertake a full evaluation of </w:t>
      </w:r>
      <w:proofErr w:type="spellStart"/>
      <w:r w:rsidRPr="007735E2">
        <w:rPr>
          <w:rFonts w:asciiTheme="minorHAnsi" w:eastAsiaTheme="minorHAnsi" w:hAnsiTheme="minorHAnsi" w:cs="Arial"/>
          <w:szCs w:val="22"/>
          <w:lang w:eastAsia="en-US"/>
        </w:rPr>
        <w:t>Fluzone</w:t>
      </w:r>
      <w:proofErr w:type="spellEnd"/>
      <w:r w:rsidRPr="007735E2">
        <w:rPr>
          <w:rFonts w:asciiTheme="minorHAnsi" w:eastAsiaTheme="minorHAnsi" w:hAnsiTheme="minorHAnsi" w:cs="Arial"/>
          <w:szCs w:val="22"/>
          <w:lang w:eastAsia="en-US"/>
        </w:rPr>
        <w:t xml:space="preserve"> High-Dose at the July meeting as an important step towards ensuring Australians aged 65 and over continue to benefit from access to this more effective influenza vaccine for future seasons.</w:t>
      </w:r>
    </w:p>
    <w:sectPr w:rsidR="002109B9" w:rsidRPr="007735E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00A" w:rsidRDefault="00B9700A">
      <w:r>
        <w:separator/>
      </w:r>
    </w:p>
    <w:p w:rsidR="00B9700A" w:rsidRDefault="00B9700A"/>
  </w:endnote>
  <w:endnote w:type="continuationSeparator" w:id="0">
    <w:p w:rsidR="00B9700A" w:rsidRDefault="00B9700A">
      <w:r>
        <w:continuationSeparator/>
      </w:r>
    </w:p>
    <w:p w:rsidR="00B9700A" w:rsidRDefault="00B97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824EF" w:rsidTr="005A3173">
      <w:trPr>
        <w:trHeight w:val="151"/>
      </w:trPr>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824EF" w:rsidRPr="005A3173" w:rsidRDefault="00E824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r>
    <w:tr w:rsidR="00E824EF" w:rsidTr="005A3173">
      <w:trPr>
        <w:trHeight w:val="150"/>
      </w:trPr>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0" w:type="auto"/>
          <w:vMerge/>
          <w:vAlign w:val="center"/>
          <w:hideMark/>
        </w:tcPr>
        <w:p w:rsidR="00E824EF" w:rsidRPr="005A3173" w:rsidRDefault="00E824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r>
  </w:tbl>
  <w:p w:rsidR="00E824EF" w:rsidRDefault="00E824E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4EF" w:rsidRDefault="00E824EF">
    <w:pPr>
      <w:pStyle w:val="Footer"/>
    </w:pPr>
  </w:p>
  <w:p w:rsidR="00E824EF" w:rsidRDefault="00E824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56463844"/>
      <w:docPartObj>
        <w:docPartGallery w:val="Page Numbers (Bottom of Page)"/>
        <w:docPartUnique/>
      </w:docPartObj>
    </w:sdtPr>
    <w:sdtEndPr>
      <w:rPr>
        <w:noProof/>
      </w:rPr>
    </w:sdtEndPr>
    <w:sdtContent>
      <w:p w:rsidR="00611060" w:rsidRPr="00611060" w:rsidRDefault="00611060">
        <w:pPr>
          <w:pStyle w:val="Footer"/>
          <w:jc w:val="center"/>
          <w:rPr>
            <w:b/>
          </w:rPr>
        </w:pPr>
        <w:r w:rsidRPr="00611060">
          <w:rPr>
            <w:b/>
          </w:rPr>
          <w:fldChar w:fldCharType="begin"/>
        </w:r>
        <w:r w:rsidRPr="00611060">
          <w:rPr>
            <w:b/>
          </w:rPr>
          <w:instrText xml:space="preserve"> PAGE   \* MERGEFORMAT </w:instrText>
        </w:r>
        <w:r w:rsidRPr="00611060">
          <w:rPr>
            <w:b/>
          </w:rPr>
          <w:fldChar w:fldCharType="separate"/>
        </w:r>
        <w:r w:rsidR="00596F15">
          <w:rPr>
            <w:b/>
            <w:noProof/>
          </w:rPr>
          <w:t>1</w:t>
        </w:r>
        <w:r w:rsidRPr="00611060">
          <w:rPr>
            <w:b/>
            <w:noProof/>
          </w:rPr>
          <w:fldChar w:fldCharType="end"/>
        </w:r>
      </w:p>
    </w:sdtContent>
  </w:sdt>
  <w:p w:rsidR="00E824EF" w:rsidRPr="005E1333" w:rsidRDefault="00E824EF"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824EF" w:rsidTr="005A3173">
      <w:trPr>
        <w:trHeight w:val="151"/>
      </w:trPr>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824EF" w:rsidRPr="005A3173" w:rsidRDefault="00E824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r>
    <w:tr w:rsidR="00E824EF" w:rsidTr="005A3173">
      <w:trPr>
        <w:trHeight w:val="150"/>
      </w:trPr>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0" w:type="auto"/>
          <w:vMerge/>
          <w:vAlign w:val="center"/>
          <w:hideMark/>
        </w:tcPr>
        <w:p w:rsidR="00E824EF" w:rsidRPr="005A3173" w:rsidRDefault="00E824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824EF" w:rsidTr="005A3173">
      <w:trPr>
        <w:trHeight w:val="151"/>
      </w:trPr>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824EF" w:rsidRPr="005A3173" w:rsidRDefault="00E824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824EF" w:rsidRPr="005A3173" w:rsidRDefault="00E824EF" w:rsidP="005A3173">
          <w:pPr>
            <w:pStyle w:val="Header"/>
            <w:spacing w:line="276" w:lineRule="auto"/>
            <w:rPr>
              <w:rFonts w:ascii="Calibri" w:eastAsia="MS Gothic" w:hAnsi="Calibri"/>
              <w:b/>
              <w:bCs/>
              <w:color w:val="4F81BD"/>
            </w:rPr>
          </w:pPr>
        </w:p>
      </w:tc>
    </w:tr>
    <w:tr w:rsidR="00E824EF" w:rsidTr="005A3173">
      <w:trPr>
        <w:trHeight w:val="150"/>
      </w:trPr>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c>
        <w:tcPr>
          <w:tcW w:w="0" w:type="auto"/>
          <w:vMerge/>
          <w:vAlign w:val="center"/>
          <w:hideMark/>
        </w:tcPr>
        <w:p w:rsidR="00E824EF" w:rsidRPr="005A3173" w:rsidRDefault="00E824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824EF" w:rsidRPr="005A3173" w:rsidRDefault="00E824EF" w:rsidP="005A3173">
          <w:pPr>
            <w:pStyle w:val="Header"/>
            <w:spacing w:line="276" w:lineRule="auto"/>
            <w:rPr>
              <w:rFonts w:ascii="Calibri" w:eastAsia="MS Gothic" w:hAnsi="Calibri"/>
              <w:b/>
              <w:bCs/>
              <w:color w:val="4F81BD"/>
            </w:rPr>
          </w:pPr>
        </w:p>
      </w:tc>
    </w:tr>
  </w:tbl>
  <w:p w:rsidR="00E824EF" w:rsidRPr="007C0F57" w:rsidRDefault="00E824E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824EF" w:rsidRPr="007C0F57" w:rsidRDefault="00E824EF" w:rsidP="007C0F57">
    <w:pPr>
      <w:pStyle w:val="Footer"/>
      <w:jc w:val="center"/>
      <w:rPr>
        <w:b/>
        <w:i/>
        <w:sz w:val="20"/>
        <w:szCs w:val="20"/>
      </w:rPr>
    </w:pPr>
    <w:r w:rsidRPr="007C0F57">
      <w:rPr>
        <w:b/>
        <w:i/>
        <w:sz w:val="20"/>
        <w:szCs w:val="20"/>
      </w:rPr>
      <w:t>Commercial-in-Confidence</w:t>
    </w:r>
  </w:p>
  <w:p w:rsidR="00E824EF" w:rsidRDefault="00E824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00A" w:rsidRDefault="00B9700A">
      <w:r>
        <w:separator/>
      </w:r>
    </w:p>
    <w:p w:rsidR="00B9700A" w:rsidRDefault="00B9700A"/>
  </w:footnote>
  <w:footnote w:type="continuationSeparator" w:id="0">
    <w:p w:rsidR="00B9700A" w:rsidRDefault="00B9700A">
      <w:r>
        <w:continuationSeparator/>
      </w:r>
    </w:p>
    <w:p w:rsidR="00B9700A" w:rsidRDefault="00B970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824EF" w:rsidRPr="008E0D90" w:rsidTr="00A06225">
      <w:trPr>
        <w:trHeight w:val="151"/>
      </w:trPr>
      <w:tc>
        <w:tcPr>
          <w:tcW w:w="2389" w:type="pct"/>
          <w:tcBorders>
            <w:top w:val="nil"/>
            <w:left w:val="nil"/>
            <w:bottom w:val="single" w:sz="4" w:space="0" w:color="4F81BD"/>
            <w:right w:val="nil"/>
          </w:tcBorders>
        </w:tcPr>
        <w:p w:rsidR="00E824EF" w:rsidRPr="00A06225" w:rsidRDefault="00E824EF">
          <w:pPr>
            <w:pStyle w:val="Header"/>
            <w:spacing w:line="276" w:lineRule="auto"/>
            <w:rPr>
              <w:rFonts w:ascii="Cambria" w:eastAsia="MS Gothic" w:hAnsi="Cambria"/>
              <w:b/>
              <w:bCs/>
              <w:color w:val="4F81BD"/>
            </w:rPr>
          </w:pPr>
        </w:p>
      </w:tc>
      <w:tc>
        <w:tcPr>
          <w:tcW w:w="333" w:type="pct"/>
          <w:vMerge w:val="restart"/>
          <w:noWrap/>
          <w:vAlign w:val="center"/>
          <w:hideMark/>
        </w:tcPr>
        <w:p w:rsidR="00E824EF" w:rsidRPr="00A06225" w:rsidRDefault="00E824E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824EF" w:rsidRPr="00A06225" w:rsidRDefault="00E824EF">
          <w:pPr>
            <w:pStyle w:val="Header"/>
            <w:spacing w:line="276" w:lineRule="auto"/>
            <w:rPr>
              <w:rFonts w:ascii="Cambria" w:eastAsia="MS Gothic" w:hAnsi="Cambria"/>
              <w:b/>
              <w:bCs/>
              <w:color w:val="4F81BD"/>
            </w:rPr>
          </w:pPr>
        </w:p>
      </w:tc>
    </w:tr>
    <w:tr w:rsidR="00E824EF" w:rsidRPr="008E0D90" w:rsidTr="00A06225">
      <w:trPr>
        <w:trHeight w:val="150"/>
      </w:trPr>
      <w:tc>
        <w:tcPr>
          <w:tcW w:w="2389" w:type="pct"/>
          <w:tcBorders>
            <w:top w:val="single" w:sz="4" w:space="0" w:color="4F81BD"/>
            <w:left w:val="nil"/>
            <w:bottom w:val="nil"/>
            <w:right w:val="nil"/>
          </w:tcBorders>
        </w:tcPr>
        <w:p w:rsidR="00E824EF" w:rsidRPr="00A06225" w:rsidRDefault="00E824EF">
          <w:pPr>
            <w:pStyle w:val="Header"/>
            <w:spacing w:line="276" w:lineRule="auto"/>
            <w:rPr>
              <w:rFonts w:ascii="Cambria" w:eastAsia="MS Gothic" w:hAnsi="Cambria"/>
              <w:b/>
              <w:bCs/>
              <w:color w:val="4F81BD"/>
            </w:rPr>
          </w:pPr>
        </w:p>
      </w:tc>
      <w:tc>
        <w:tcPr>
          <w:tcW w:w="0" w:type="auto"/>
          <w:vMerge/>
          <w:vAlign w:val="center"/>
          <w:hideMark/>
        </w:tcPr>
        <w:p w:rsidR="00E824EF" w:rsidRPr="00A06225" w:rsidRDefault="00E824EF">
          <w:pPr>
            <w:rPr>
              <w:rFonts w:ascii="Cambria" w:hAnsi="Cambria"/>
              <w:color w:val="4F81BD"/>
              <w:sz w:val="22"/>
              <w:szCs w:val="22"/>
            </w:rPr>
          </w:pPr>
        </w:p>
      </w:tc>
      <w:tc>
        <w:tcPr>
          <w:tcW w:w="2278" w:type="pct"/>
          <w:tcBorders>
            <w:top w:val="single" w:sz="4" w:space="0" w:color="4F81BD"/>
            <w:left w:val="nil"/>
            <w:bottom w:val="nil"/>
            <w:right w:val="nil"/>
          </w:tcBorders>
        </w:tcPr>
        <w:p w:rsidR="00E824EF" w:rsidRPr="00A06225" w:rsidRDefault="00E824EF">
          <w:pPr>
            <w:pStyle w:val="Header"/>
            <w:spacing w:line="276" w:lineRule="auto"/>
            <w:rPr>
              <w:rFonts w:ascii="Cambria" w:eastAsia="MS Gothic" w:hAnsi="Cambria"/>
              <w:b/>
              <w:bCs/>
              <w:color w:val="4F81BD"/>
            </w:rPr>
          </w:pPr>
        </w:p>
      </w:tc>
    </w:tr>
  </w:tbl>
  <w:p w:rsidR="00E824EF" w:rsidRDefault="00E824EF">
    <w:pPr>
      <w:pStyle w:val="Header"/>
    </w:pPr>
  </w:p>
  <w:p w:rsidR="00E824EF" w:rsidRDefault="00E824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60" w:rsidRPr="00B755E9" w:rsidRDefault="00743401" w:rsidP="00611060">
    <w:pPr>
      <w:pStyle w:val="Header"/>
      <w:jc w:val="center"/>
      <w:rPr>
        <w:rFonts w:asciiTheme="minorHAnsi" w:hAnsiTheme="minorHAnsi" w:cs="Arial"/>
        <w:i/>
      </w:rPr>
    </w:pPr>
    <w:r>
      <w:rPr>
        <w:rFonts w:asciiTheme="minorHAnsi" w:hAnsiTheme="minorHAnsi" w:cs="Arial"/>
        <w:i/>
      </w:rPr>
      <w:t>Public Summary Document</w:t>
    </w:r>
    <w:r w:rsidR="00611060" w:rsidRPr="00B755E9">
      <w:rPr>
        <w:rFonts w:asciiTheme="minorHAnsi" w:hAnsiTheme="minorHAnsi" w:cs="Arial"/>
        <w:i/>
      </w:rPr>
      <w:t xml:space="preserve"> –</w:t>
    </w:r>
    <w:r w:rsidR="009135BE">
      <w:rPr>
        <w:rFonts w:asciiTheme="minorHAnsi" w:hAnsiTheme="minorHAnsi" w:cs="Arial"/>
        <w:i/>
      </w:rPr>
      <w:t xml:space="preserve"> </w:t>
    </w:r>
    <w:r>
      <w:rPr>
        <w:rFonts w:asciiTheme="minorHAnsi" w:hAnsiTheme="minorHAnsi" w:cs="Arial"/>
        <w:i/>
      </w:rPr>
      <w:t>March</w:t>
    </w:r>
    <w:r w:rsidR="00611060">
      <w:rPr>
        <w:rFonts w:asciiTheme="minorHAnsi" w:hAnsiTheme="minorHAnsi" w:cs="Arial"/>
        <w:i/>
      </w:rPr>
      <w:t xml:space="preserve"> 2018</w:t>
    </w:r>
    <w:r w:rsidR="00611060" w:rsidRPr="00B755E9">
      <w:rPr>
        <w:rFonts w:asciiTheme="minorHAnsi" w:hAnsiTheme="minorHAnsi" w:cs="Arial"/>
        <w:i/>
      </w:rPr>
      <w:t xml:space="preserve"> PBAC Meeting</w:t>
    </w:r>
  </w:p>
  <w:p w:rsidR="00E824EF" w:rsidRDefault="00E824E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08" w:rsidRDefault="00971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3564D72"/>
    <w:multiLevelType w:val="multilevel"/>
    <w:tmpl w:val="E1261D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673407C8"/>
    <w:multiLevelType w:val="hybridMultilevel"/>
    <w:tmpl w:val="E5DCA876"/>
    <w:lvl w:ilvl="0" w:tplc="382EB15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D5D622A"/>
    <w:multiLevelType w:val="multilevel"/>
    <w:tmpl w:val="7B20F3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84D033C"/>
    <w:multiLevelType w:val="multilevel"/>
    <w:tmpl w:val="22F46E8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6"/>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6"/>
  </w:num>
  <w:num w:numId="15">
    <w:abstractNumId w:val="15"/>
  </w:num>
  <w:num w:numId="16">
    <w:abstractNumId w:val="16"/>
  </w:num>
  <w:num w:numId="17">
    <w:abstractNumId w:val="12"/>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3"/>
  </w:num>
  <w:num w:numId="25">
    <w:abstractNumId w:val="16"/>
  </w:num>
  <w:num w:numId="26">
    <w:abstractNumId w:val="14"/>
  </w:num>
  <w:num w:numId="27">
    <w:abstractNumId w:val="16"/>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4A96"/>
    <w:rsid w:val="0000701F"/>
    <w:rsid w:val="00010781"/>
    <w:rsid w:val="000144E2"/>
    <w:rsid w:val="0002464A"/>
    <w:rsid w:val="0003106B"/>
    <w:rsid w:val="000421A1"/>
    <w:rsid w:val="0004240E"/>
    <w:rsid w:val="00045E26"/>
    <w:rsid w:val="000514B5"/>
    <w:rsid w:val="000538CE"/>
    <w:rsid w:val="00060E64"/>
    <w:rsid w:val="00066755"/>
    <w:rsid w:val="0007163B"/>
    <w:rsid w:val="000754A7"/>
    <w:rsid w:val="00077143"/>
    <w:rsid w:val="00082169"/>
    <w:rsid w:val="000931CC"/>
    <w:rsid w:val="000969AD"/>
    <w:rsid w:val="000A5974"/>
    <w:rsid w:val="000B558D"/>
    <w:rsid w:val="000C6996"/>
    <w:rsid w:val="000D23BA"/>
    <w:rsid w:val="000E1010"/>
    <w:rsid w:val="000E681E"/>
    <w:rsid w:val="000F0003"/>
    <w:rsid w:val="000F4E6A"/>
    <w:rsid w:val="00102701"/>
    <w:rsid w:val="00104227"/>
    <w:rsid w:val="001107BF"/>
    <w:rsid w:val="00123B1B"/>
    <w:rsid w:val="0012417C"/>
    <w:rsid w:val="00126280"/>
    <w:rsid w:val="001321E9"/>
    <w:rsid w:val="001379AB"/>
    <w:rsid w:val="00142395"/>
    <w:rsid w:val="00142714"/>
    <w:rsid w:val="001452ED"/>
    <w:rsid w:val="001455B1"/>
    <w:rsid w:val="00161F7D"/>
    <w:rsid w:val="00163329"/>
    <w:rsid w:val="00164623"/>
    <w:rsid w:val="00165B64"/>
    <w:rsid w:val="001830CE"/>
    <w:rsid w:val="0018643B"/>
    <w:rsid w:val="00196307"/>
    <w:rsid w:val="001A33EA"/>
    <w:rsid w:val="001B017F"/>
    <w:rsid w:val="001B2BBC"/>
    <w:rsid w:val="001B5129"/>
    <w:rsid w:val="001B53D9"/>
    <w:rsid w:val="001C1195"/>
    <w:rsid w:val="001F1850"/>
    <w:rsid w:val="00203FAC"/>
    <w:rsid w:val="002109B9"/>
    <w:rsid w:val="00213CFB"/>
    <w:rsid w:val="00217BE1"/>
    <w:rsid w:val="002237EF"/>
    <w:rsid w:val="00241102"/>
    <w:rsid w:val="00245C75"/>
    <w:rsid w:val="00271BA1"/>
    <w:rsid w:val="002762FA"/>
    <w:rsid w:val="00277505"/>
    <w:rsid w:val="0029458F"/>
    <w:rsid w:val="002A1006"/>
    <w:rsid w:val="002A104C"/>
    <w:rsid w:val="002A4589"/>
    <w:rsid w:val="002A4960"/>
    <w:rsid w:val="002B1AE6"/>
    <w:rsid w:val="002B2DE8"/>
    <w:rsid w:val="002B30F8"/>
    <w:rsid w:val="002B3B1C"/>
    <w:rsid w:val="002B5596"/>
    <w:rsid w:val="002C1A4A"/>
    <w:rsid w:val="002C212F"/>
    <w:rsid w:val="002D4543"/>
    <w:rsid w:val="002E3153"/>
    <w:rsid w:val="002E72CA"/>
    <w:rsid w:val="00300AD6"/>
    <w:rsid w:val="00317C6C"/>
    <w:rsid w:val="00326E79"/>
    <w:rsid w:val="00327FEB"/>
    <w:rsid w:val="00333804"/>
    <w:rsid w:val="0033518A"/>
    <w:rsid w:val="003367EF"/>
    <w:rsid w:val="00340A56"/>
    <w:rsid w:val="00341AE4"/>
    <w:rsid w:val="00352EF6"/>
    <w:rsid w:val="00353014"/>
    <w:rsid w:val="00355CCD"/>
    <w:rsid w:val="00381B02"/>
    <w:rsid w:val="003872CF"/>
    <w:rsid w:val="003974C8"/>
    <w:rsid w:val="0039782C"/>
    <w:rsid w:val="003A5B4A"/>
    <w:rsid w:val="003B23C5"/>
    <w:rsid w:val="003B2A75"/>
    <w:rsid w:val="003B6124"/>
    <w:rsid w:val="003B6F41"/>
    <w:rsid w:val="003C2FB5"/>
    <w:rsid w:val="003D1E8C"/>
    <w:rsid w:val="003D4AC4"/>
    <w:rsid w:val="003D63B7"/>
    <w:rsid w:val="003E468B"/>
    <w:rsid w:val="003F3228"/>
    <w:rsid w:val="003F5C8C"/>
    <w:rsid w:val="0041071A"/>
    <w:rsid w:val="004252EC"/>
    <w:rsid w:val="004465BD"/>
    <w:rsid w:val="00466ADA"/>
    <w:rsid w:val="00476245"/>
    <w:rsid w:val="0048003E"/>
    <w:rsid w:val="00483035"/>
    <w:rsid w:val="00485024"/>
    <w:rsid w:val="00485940"/>
    <w:rsid w:val="00492074"/>
    <w:rsid w:val="004A2484"/>
    <w:rsid w:val="004A5A85"/>
    <w:rsid w:val="004A66BD"/>
    <w:rsid w:val="004A71D1"/>
    <w:rsid w:val="004B5640"/>
    <w:rsid w:val="004C0508"/>
    <w:rsid w:val="004C1BD7"/>
    <w:rsid w:val="004C31FE"/>
    <w:rsid w:val="004C691D"/>
    <w:rsid w:val="004C6C07"/>
    <w:rsid w:val="004C76CE"/>
    <w:rsid w:val="004E5F38"/>
    <w:rsid w:val="004E692D"/>
    <w:rsid w:val="00501554"/>
    <w:rsid w:val="00503670"/>
    <w:rsid w:val="00503C2B"/>
    <w:rsid w:val="00514CD7"/>
    <w:rsid w:val="00521C61"/>
    <w:rsid w:val="005319B2"/>
    <w:rsid w:val="005320A9"/>
    <w:rsid w:val="00532402"/>
    <w:rsid w:val="00532C74"/>
    <w:rsid w:val="00534575"/>
    <w:rsid w:val="00534E2E"/>
    <w:rsid w:val="00544552"/>
    <w:rsid w:val="005518F3"/>
    <w:rsid w:val="00556200"/>
    <w:rsid w:val="005652CB"/>
    <w:rsid w:val="00577C4D"/>
    <w:rsid w:val="00581932"/>
    <w:rsid w:val="005848D6"/>
    <w:rsid w:val="005963BB"/>
    <w:rsid w:val="00596F15"/>
    <w:rsid w:val="005A3173"/>
    <w:rsid w:val="005A3223"/>
    <w:rsid w:val="005A3DA3"/>
    <w:rsid w:val="005A52C4"/>
    <w:rsid w:val="005A654B"/>
    <w:rsid w:val="005D03AB"/>
    <w:rsid w:val="005D5017"/>
    <w:rsid w:val="005D7298"/>
    <w:rsid w:val="005E1333"/>
    <w:rsid w:val="005E49BE"/>
    <w:rsid w:val="00601A91"/>
    <w:rsid w:val="00602BA3"/>
    <w:rsid w:val="00611060"/>
    <w:rsid w:val="00612974"/>
    <w:rsid w:val="00612E34"/>
    <w:rsid w:val="00614159"/>
    <w:rsid w:val="00617C00"/>
    <w:rsid w:val="006263BF"/>
    <w:rsid w:val="0062748A"/>
    <w:rsid w:val="00630A2C"/>
    <w:rsid w:val="0063682E"/>
    <w:rsid w:val="006436CD"/>
    <w:rsid w:val="00651169"/>
    <w:rsid w:val="00653D69"/>
    <w:rsid w:val="006670BE"/>
    <w:rsid w:val="00670A76"/>
    <w:rsid w:val="006711AA"/>
    <w:rsid w:val="00672B57"/>
    <w:rsid w:val="00675622"/>
    <w:rsid w:val="006857EA"/>
    <w:rsid w:val="006906DB"/>
    <w:rsid w:val="00691E6C"/>
    <w:rsid w:val="00696129"/>
    <w:rsid w:val="00697CF2"/>
    <w:rsid w:val="006A12A5"/>
    <w:rsid w:val="006B0D94"/>
    <w:rsid w:val="006B485D"/>
    <w:rsid w:val="006C708E"/>
    <w:rsid w:val="006D6EC7"/>
    <w:rsid w:val="006F5125"/>
    <w:rsid w:val="007003C8"/>
    <w:rsid w:val="00702B6F"/>
    <w:rsid w:val="00710D0E"/>
    <w:rsid w:val="0071340B"/>
    <w:rsid w:val="007174BB"/>
    <w:rsid w:val="0072025D"/>
    <w:rsid w:val="007353D3"/>
    <w:rsid w:val="00743401"/>
    <w:rsid w:val="0075057B"/>
    <w:rsid w:val="007566D9"/>
    <w:rsid w:val="0076420C"/>
    <w:rsid w:val="00772925"/>
    <w:rsid w:val="007735E2"/>
    <w:rsid w:val="007753C2"/>
    <w:rsid w:val="007755F4"/>
    <w:rsid w:val="0077673D"/>
    <w:rsid w:val="007838B8"/>
    <w:rsid w:val="00784AC0"/>
    <w:rsid w:val="007868F1"/>
    <w:rsid w:val="007937C3"/>
    <w:rsid w:val="007A61AE"/>
    <w:rsid w:val="007C0F57"/>
    <w:rsid w:val="007C40B6"/>
    <w:rsid w:val="007C729F"/>
    <w:rsid w:val="007D1C1F"/>
    <w:rsid w:val="007E0EC6"/>
    <w:rsid w:val="007E1D28"/>
    <w:rsid w:val="007E7CBF"/>
    <w:rsid w:val="007F2641"/>
    <w:rsid w:val="007F7C36"/>
    <w:rsid w:val="00806796"/>
    <w:rsid w:val="008151D6"/>
    <w:rsid w:val="00826F6D"/>
    <w:rsid w:val="008306F3"/>
    <w:rsid w:val="00831BC7"/>
    <w:rsid w:val="0085224F"/>
    <w:rsid w:val="00852BC9"/>
    <w:rsid w:val="00856DDD"/>
    <w:rsid w:val="00863E68"/>
    <w:rsid w:val="008739C1"/>
    <w:rsid w:val="00882085"/>
    <w:rsid w:val="00883188"/>
    <w:rsid w:val="00897D58"/>
    <w:rsid w:val="00897F22"/>
    <w:rsid w:val="008A1956"/>
    <w:rsid w:val="008A4937"/>
    <w:rsid w:val="008A50F1"/>
    <w:rsid w:val="008C008A"/>
    <w:rsid w:val="008C5408"/>
    <w:rsid w:val="008D1B5C"/>
    <w:rsid w:val="008D3C82"/>
    <w:rsid w:val="008D447E"/>
    <w:rsid w:val="008D7A41"/>
    <w:rsid w:val="008E3680"/>
    <w:rsid w:val="008E5870"/>
    <w:rsid w:val="008F1434"/>
    <w:rsid w:val="008F7355"/>
    <w:rsid w:val="00905799"/>
    <w:rsid w:val="009067B7"/>
    <w:rsid w:val="0091106E"/>
    <w:rsid w:val="009135BE"/>
    <w:rsid w:val="0092228A"/>
    <w:rsid w:val="00924362"/>
    <w:rsid w:val="00930937"/>
    <w:rsid w:val="00933E6C"/>
    <w:rsid w:val="00937958"/>
    <w:rsid w:val="00942160"/>
    <w:rsid w:val="00950A26"/>
    <w:rsid w:val="0095146F"/>
    <w:rsid w:val="009602C5"/>
    <w:rsid w:val="00962223"/>
    <w:rsid w:val="00965B2B"/>
    <w:rsid w:val="00966D0D"/>
    <w:rsid w:val="00971A08"/>
    <w:rsid w:val="00974C21"/>
    <w:rsid w:val="0098309B"/>
    <w:rsid w:val="0098747B"/>
    <w:rsid w:val="00996672"/>
    <w:rsid w:val="009B0F67"/>
    <w:rsid w:val="009B224E"/>
    <w:rsid w:val="009C4313"/>
    <w:rsid w:val="009C5D5B"/>
    <w:rsid w:val="009C703C"/>
    <w:rsid w:val="009D3CAA"/>
    <w:rsid w:val="009F2A95"/>
    <w:rsid w:val="009F4E46"/>
    <w:rsid w:val="009F5B65"/>
    <w:rsid w:val="009F5F2E"/>
    <w:rsid w:val="00A06225"/>
    <w:rsid w:val="00A128E6"/>
    <w:rsid w:val="00A15DA4"/>
    <w:rsid w:val="00A34E6C"/>
    <w:rsid w:val="00A37C8D"/>
    <w:rsid w:val="00A50197"/>
    <w:rsid w:val="00A5273B"/>
    <w:rsid w:val="00A53A9D"/>
    <w:rsid w:val="00A55FEE"/>
    <w:rsid w:val="00A606E5"/>
    <w:rsid w:val="00A62C1A"/>
    <w:rsid w:val="00A6367B"/>
    <w:rsid w:val="00A6426D"/>
    <w:rsid w:val="00A665C1"/>
    <w:rsid w:val="00A70622"/>
    <w:rsid w:val="00A70977"/>
    <w:rsid w:val="00A77613"/>
    <w:rsid w:val="00A77B8F"/>
    <w:rsid w:val="00A8390C"/>
    <w:rsid w:val="00A8415C"/>
    <w:rsid w:val="00A928BD"/>
    <w:rsid w:val="00AA4D1C"/>
    <w:rsid w:val="00AC193C"/>
    <w:rsid w:val="00AC5206"/>
    <w:rsid w:val="00AC5D07"/>
    <w:rsid w:val="00AD24E7"/>
    <w:rsid w:val="00AD4530"/>
    <w:rsid w:val="00AD70EE"/>
    <w:rsid w:val="00AE11A5"/>
    <w:rsid w:val="00AE13E2"/>
    <w:rsid w:val="00AE22D3"/>
    <w:rsid w:val="00AF3CB2"/>
    <w:rsid w:val="00AF418D"/>
    <w:rsid w:val="00AF62DF"/>
    <w:rsid w:val="00AF68CC"/>
    <w:rsid w:val="00B01654"/>
    <w:rsid w:val="00B1059E"/>
    <w:rsid w:val="00B176C8"/>
    <w:rsid w:val="00B205AA"/>
    <w:rsid w:val="00B22E84"/>
    <w:rsid w:val="00B25F75"/>
    <w:rsid w:val="00B26B3F"/>
    <w:rsid w:val="00B43E90"/>
    <w:rsid w:val="00B467DC"/>
    <w:rsid w:val="00B54119"/>
    <w:rsid w:val="00B56118"/>
    <w:rsid w:val="00B6773F"/>
    <w:rsid w:val="00B801BA"/>
    <w:rsid w:val="00B80D04"/>
    <w:rsid w:val="00B8128B"/>
    <w:rsid w:val="00B84D5C"/>
    <w:rsid w:val="00B9700A"/>
    <w:rsid w:val="00BB69F5"/>
    <w:rsid w:val="00BB7EC3"/>
    <w:rsid w:val="00BC4B9A"/>
    <w:rsid w:val="00BC55DD"/>
    <w:rsid w:val="00BC6EBF"/>
    <w:rsid w:val="00BD2A51"/>
    <w:rsid w:val="00BD784C"/>
    <w:rsid w:val="00BE6543"/>
    <w:rsid w:val="00BF4BF3"/>
    <w:rsid w:val="00BF4CB6"/>
    <w:rsid w:val="00BF58BF"/>
    <w:rsid w:val="00C00DA7"/>
    <w:rsid w:val="00C05A38"/>
    <w:rsid w:val="00C12768"/>
    <w:rsid w:val="00C17CDF"/>
    <w:rsid w:val="00C22A1D"/>
    <w:rsid w:val="00C27B58"/>
    <w:rsid w:val="00C35996"/>
    <w:rsid w:val="00C4747E"/>
    <w:rsid w:val="00C5342C"/>
    <w:rsid w:val="00C603D4"/>
    <w:rsid w:val="00C6256A"/>
    <w:rsid w:val="00C77891"/>
    <w:rsid w:val="00C81562"/>
    <w:rsid w:val="00C91449"/>
    <w:rsid w:val="00C92D10"/>
    <w:rsid w:val="00CE10C4"/>
    <w:rsid w:val="00CE27B5"/>
    <w:rsid w:val="00CE4A2C"/>
    <w:rsid w:val="00CE5982"/>
    <w:rsid w:val="00D0321E"/>
    <w:rsid w:val="00D1455A"/>
    <w:rsid w:val="00D24952"/>
    <w:rsid w:val="00D309F9"/>
    <w:rsid w:val="00D31150"/>
    <w:rsid w:val="00D3138B"/>
    <w:rsid w:val="00D323F1"/>
    <w:rsid w:val="00D3280C"/>
    <w:rsid w:val="00D3406A"/>
    <w:rsid w:val="00D4572C"/>
    <w:rsid w:val="00D469B2"/>
    <w:rsid w:val="00D741EB"/>
    <w:rsid w:val="00D83605"/>
    <w:rsid w:val="00D84934"/>
    <w:rsid w:val="00D91271"/>
    <w:rsid w:val="00DA2CB5"/>
    <w:rsid w:val="00DA4BAC"/>
    <w:rsid w:val="00DC13BE"/>
    <w:rsid w:val="00DC259E"/>
    <w:rsid w:val="00DE3453"/>
    <w:rsid w:val="00DE48B0"/>
    <w:rsid w:val="00DE6D27"/>
    <w:rsid w:val="00DF217D"/>
    <w:rsid w:val="00DF26A7"/>
    <w:rsid w:val="00E10596"/>
    <w:rsid w:val="00E15627"/>
    <w:rsid w:val="00E163A7"/>
    <w:rsid w:val="00E164B3"/>
    <w:rsid w:val="00E16910"/>
    <w:rsid w:val="00E42BDB"/>
    <w:rsid w:val="00E57EEB"/>
    <w:rsid w:val="00E62D94"/>
    <w:rsid w:val="00E62F8C"/>
    <w:rsid w:val="00E65E54"/>
    <w:rsid w:val="00E80155"/>
    <w:rsid w:val="00E824EF"/>
    <w:rsid w:val="00E8333E"/>
    <w:rsid w:val="00E848C0"/>
    <w:rsid w:val="00E91B96"/>
    <w:rsid w:val="00E93E3D"/>
    <w:rsid w:val="00E941A1"/>
    <w:rsid w:val="00E95CE3"/>
    <w:rsid w:val="00EA2825"/>
    <w:rsid w:val="00EB0B63"/>
    <w:rsid w:val="00EB5088"/>
    <w:rsid w:val="00EC1803"/>
    <w:rsid w:val="00EC3FF8"/>
    <w:rsid w:val="00ED1644"/>
    <w:rsid w:val="00ED2593"/>
    <w:rsid w:val="00ED7D9C"/>
    <w:rsid w:val="00EF143B"/>
    <w:rsid w:val="00EF44A0"/>
    <w:rsid w:val="00EF4FED"/>
    <w:rsid w:val="00F050BD"/>
    <w:rsid w:val="00F05657"/>
    <w:rsid w:val="00F069CC"/>
    <w:rsid w:val="00F149F1"/>
    <w:rsid w:val="00F15055"/>
    <w:rsid w:val="00F15EEE"/>
    <w:rsid w:val="00F25578"/>
    <w:rsid w:val="00F258E5"/>
    <w:rsid w:val="00F300BC"/>
    <w:rsid w:val="00F3334E"/>
    <w:rsid w:val="00F36CCB"/>
    <w:rsid w:val="00F374E5"/>
    <w:rsid w:val="00F43AF2"/>
    <w:rsid w:val="00F47921"/>
    <w:rsid w:val="00F50EC4"/>
    <w:rsid w:val="00F550CF"/>
    <w:rsid w:val="00F57A6D"/>
    <w:rsid w:val="00F638CC"/>
    <w:rsid w:val="00F64CC1"/>
    <w:rsid w:val="00F653CF"/>
    <w:rsid w:val="00F72317"/>
    <w:rsid w:val="00F80475"/>
    <w:rsid w:val="00F8247A"/>
    <w:rsid w:val="00F84FA8"/>
    <w:rsid w:val="00F9629A"/>
    <w:rsid w:val="00F97EFC"/>
    <w:rsid w:val="00FA5079"/>
    <w:rsid w:val="00FA5883"/>
    <w:rsid w:val="00FA6055"/>
    <w:rsid w:val="00FB0686"/>
    <w:rsid w:val="00FB322F"/>
    <w:rsid w:val="00FB442F"/>
    <w:rsid w:val="00FC1929"/>
    <w:rsid w:val="00FC5B46"/>
    <w:rsid w:val="00FD4884"/>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annotation subjec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3804"/>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val="en-GB"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3804"/>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en-GB" w:eastAsia="en-US"/>
    </w:rPr>
  </w:style>
  <w:style w:type="paragraph" w:styleId="Heading8">
    <w:name w:val="heading 8"/>
    <w:basedOn w:val="Normal"/>
    <w:next w:val="Normal"/>
    <w:link w:val="Heading8Char"/>
    <w:uiPriority w:val="9"/>
    <w:semiHidden/>
    <w:unhideWhenUsed/>
    <w:qFormat/>
    <w:rsid w:val="0033380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GB" w:eastAsia="en-US"/>
    </w:rPr>
  </w:style>
  <w:style w:type="paragraph" w:styleId="Heading9">
    <w:name w:val="heading 9"/>
    <w:basedOn w:val="Normal"/>
    <w:next w:val="Normal"/>
    <w:link w:val="Heading9Char"/>
    <w:uiPriority w:val="9"/>
    <w:semiHidden/>
    <w:unhideWhenUsed/>
    <w:qFormat/>
    <w:rsid w:val="0033380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41071A"/>
    <w:pPr>
      <w:autoSpaceDE w:val="0"/>
      <w:autoSpaceDN w:val="0"/>
      <w:adjustRightInd w:val="0"/>
    </w:pPr>
    <w:rPr>
      <w:rFonts w:ascii="Cambria" w:hAnsi="Cambria" w:cs="Cambria"/>
      <w:color w:val="000000"/>
      <w:sz w:val="24"/>
      <w:szCs w:val="24"/>
    </w:rPr>
  </w:style>
  <w:style w:type="paragraph" w:styleId="Revision">
    <w:name w:val="Revision"/>
    <w:hidden/>
    <w:uiPriority w:val="71"/>
    <w:rsid w:val="00F149F1"/>
    <w:rPr>
      <w:sz w:val="24"/>
      <w:szCs w:val="24"/>
    </w:rPr>
  </w:style>
  <w:style w:type="character" w:customStyle="1" w:styleId="Heading4Char">
    <w:name w:val="Heading 4 Char"/>
    <w:basedOn w:val="DefaultParagraphFont"/>
    <w:link w:val="Heading4"/>
    <w:uiPriority w:val="9"/>
    <w:semiHidden/>
    <w:rsid w:val="00333804"/>
    <w:rPr>
      <w:rFonts w:asciiTheme="majorHAnsi" w:eastAsiaTheme="majorEastAsia" w:hAnsiTheme="majorHAnsi" w:cstheme="majorBidi"/>
      <w:b/>
      <w:bCs/>
      <w:i/>
      <w:iCs/>
      <w:color w:val="4F81BD" w:themeColor="accent1"/>
      <w:sz w:val="22"/>
      <w:szCs w:val="22"/>
      <w:lang w:val="en-GB" w:eastAsia="en-US"/>
    </w:rPr>
  </w:style>
  <w:style w:type="character" w:customStyle="1" w:styleId="Heading7Char">
    <w:name w:val="Heading 7 Char"/>
    <w:basedOn w:val="DefaultParagraphFont"/>
    <w:link w:val="Heading7"/>
    <w:uiPriority w:val="9"/>
    <w:semiHidden/>
    <w:rsid w:val="00333804"/>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uiPriority w:val="9"/>
    <w:semiHidden/>
    <w:rsid w:val="00333804"/>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333804"/>
    <w:rPr>
      <w:rFonts w:asciiTheme="majorHAnsi" w:eastAsiaTheme="majorEastAsia" w:hAnsiTheme="majorHAnsi" w:cstheme="majorBidi"/>
      <w:i/>
      <w:iCs/>
      <w:color w:val="404040" w:themeColor="text1" w:themeTint="BF"/>
      <w:lang w:val="en-GB" w:eastAsia="en-US"/>
    </w:rPr>
  </w:style>
  <w:style w:type="paragraph" w:styleId="Caption">
    <w:name w:val="caption"/>
    <w:basedOn w:val="Normal"/>
    <w:next w:val="Normal"/>
    <w:unhideWhenUsed/>
    <w:qFormat/>
    <w:rsid w:val="00965B2B"/>
    <w:pPr>
      <w:spacing w:after="200"/>
    </w:pPr>
    <w:rPr>
      <w:b/>
      <w:bCs/>
      <w:color w:val="4F81BD" w:themeColor="accent1"/>
      <w:sz w:val="18"/>
      <w:szCs w:val="18"/>
    </w:rPr>
  </w:style>
  <w:style w:type="character" w:customStyle="1" w:styleId="TabletextChar">
    <w:name w:val="Table text Char"/>
    <w:link w:val="Tabletext"/>
    <w:uiPriority w:val="2"/>
    <w:rsid w:val="0091106E"/>
    <w:rPr>
      <w:rFonts w:ascii="Arial" w:hAnsi="Arial"/>
      <w:lang w:eastAsia="en-US"/>
    </w:rPr>
  </w:style>
  <w:style w:type="paragraph" w:customStyle="1" w:styleId="tablecolhead">
    <w:name w:val="tablecolhead"/>
    <w:basedOn w:val="Normal"/>
    <w:rsid w:val="0091106E"/>
    <w:pPr>
      <w:spacing w:before="100" w:beforeAutospacing="1" w:after="100" w:afterAutospacing="1"/>
    </w:pPr>
  </w:style>
  <w:style w:type="paragraph" w:customStyle="1" w:styleId="tabletext0">
    <w:name w:val="tabletext0"/>
    <w:basedOn w:val="Normal"/>
    <w:rsid w:val="009110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annotation subjec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3804"/>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val="en-GB"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3804"/>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en-GB" w:eastAsia="en-US"/>
    </w:rPr>
  </w:style>
  <w:style w:type="paragraph" w:styleId="Heading8">
    <w:name w:val="heading 8"/>
    <w:basedOn w:val="Normal"/>
    <w:next w:val="Normal"/>
    <w:link w:val="Heading8Char"/>
    <w:uiPriority w:val="9"/>
    <w:semiHidden/>
    <w:unhideWhenUsed/>
    <w:qFormat/>
    <w:rsid w:val="0033380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GB" w:eastAsia="en-US"/>
    </w:rPr>
  </w:style>
  <w:style w:type="paragraph" w:styleId="Heading9">
    <w:name w:val="heading 9"/>
    <w:basedOn w:val="Normal"/>
    <w:next w:val="Normal"/>
    <w:link w:val="Heading9Char"/>
    <w:uiPriority w:val="9"/>
    <w:semiHidden/>
    <w:unhideWhenUsed/>
    <w:qFormat/>
    <w:rsid w:val="0033380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41071A"/>
    <w:pPr>
      <w:autoSpaceDE w:val="0"/>
      <w:autoSpaceDN w:val="0"/>
      <w:adjustRightInd w:val="0"/>
    </w:pPr>
    <w:rPr>
      <w:rFonts w:ascii="Cambria" w:hAnsi="Cambria" w:cs="Cambria"/>
      <w:color w:val="000000"/>
      <w:sz w:val="24"/>
      <w:szCs w:val="24"/>
    </w:rPr>
  </w:style>
  <w:style w:type="paragraph" w:styleId="Revision">
    <w:name w:val="Revision"/>
    <w:hidden/>
    <w:uiPriority w:val="71"/>
    <w:rsid w:val="00F149F1"/>
    <w:rPr>
      <w:sz w:val="24"/>
      <w:szCs w:val="24"/>
    </w:rPr>
  </w:style>
  <w:style w:type="character" w:customStyle="1" w:styleId="Heading4Char">
    <w:name w:val="Heading 4 Char"/>
    <w:basedOn w:val="DefaultParagraphFont"/>
    <w:link w:val="Heading4"/>
    <w:uiPriority w:val="9"/>
    <w:semiHidden/>
    <w:rsid w:val="00333804"/>
    <w:rPr>
      <w:rFonts w:asciiTheme="majorHAnsi" w:eastAsiaTheme="majorEastAsia" w:hAnsiTheme="majorHAnsi" w:cstheme="majorBidi"/>
      <w:b/>
      <w:bCs/>
      <w:i/>
      <w:iCs/>
      <w:color w:val="4F81BD" w:themeColor="accent1"/>
      <w:sz w:val="22"/>
      <w:szCs w:val="22"/>
      <w:lang w:val="en-GB" w:eastAsia="en-US"/>
    </w:rPr>
  </w:style>
  <w:style w:type="character" w:customStyle="1" w:styleId="Heading7Char">
    <w:name w:val="Heading 7 Char"/>
    <w:basedOn w:val="DefaultParagraphFont"/>
    <w:link w:val="Heading7"/>
    <w:uiPriority w:val="9"/>
    <w:semiHidden/>
    <w:rsid w:val="00333804"/>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uiPriority w:val="9"/>
    <w:semiHidden/>
    <w:rsid w:val="00333804"/>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333804"/>
    <w:rPr>
      <w:rFonts w:asciiTheme="majorHAnsi" w:eastAsiaTheme="majorEastAsia" w:hAnsiTheme="majorHAnsi" w:cstheme="majorBidi"/>
      <w:i/>
      <w:iCs/>
      <w:color w:val="404040" w:themeColor="text1" w:themeTint="BF"/>
      <w:lang w:val="en-GB" w:eastAsia="en-US"/>
    </w:rPr>
  </w:style>
  <w:style w:type="paragraph" w:styleId="Caption">
    <w:name w:val="caption"/>
    <w:basedOn w:val="Normal"/>
    <w:next w:val="Normal"/>
    <w:unhideWhenUsed/>
    <w:qFormat/>
    <w:rsid w:val="00965B2B"/>
    <w:pPr>
      <w:spacing w:after="200"/>
    </w:pPr>
    <w:rPr>
      <w:b/>
      <w:bCs/>
      <w:color w:val="4F81BD" w:themeColor="accent1"/>
      <w:sz w:val="18"/>
      <w:szCs w:val="18"/>
    </w:rPr>
  </w:style>
  <w:style w:type="character" w:customStyle="1" w:styleId="TabletextChar">
    <w:name w:val="Table text Char"/>
    <w:link w:val="Tabletext"/>
    <w:uiPriority w:val="2"/>
    <w:rsid w:val="0091106E"/>
    <w:rPr>
      <w:rFonts w:ascii="Arial" w:hAnsi="Arial"/>
      <w:lang w:eastAsia="en-US"/>
    </w:rPr>
  </w:style>
  <w:style w:type="paragraph" w:customStyle="1" w:styleId="tablecolhead">
    <w:name w:val="tablecolhead"/>
    <w:basedOn w:val="Normal"/>
    <w:rsid w:val="0091106E"/>
    <w:pPr>
      <w:spacing w:before="100" w:beforeAutospacing="1" w:after="100" w:afterAutospacing="1"/>
    </w:pPr>
  </w:style>
  <w:style w:type="paragraph" w:customStyle="1" w:styleId="tabletext0">
    <w:name w:val="tabletext0"/>
    <w:basedOn w:val="Normal"/>
    <w:rsid w:val="009110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51A9-8582-4E70-BACE-E06447C4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3076</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2018-06-20T04:36:00Z</dcterms:created>
  <dcterms:modified xsi:type="dcterms:W3CDTF">2018-06-22T00:45:00Z</dcterms:modified>
</cp:coreProperties>
</file>