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E8" w:rsidRPr="00D114E8" w:rsidRDefault="00D114E8" w:rsidP="00D114E8">
      <w:bookmarkStart w:id="0" w:name="_GoBack"/>
      <w:bookmarkEnd w:id="0"/>
    </w:p>
    <w:p w:rsidR="00C27B58" w:rsidRPr="00577C4D" w:rsidRDefault="00304D80" w:rsidP="00577C4D">
      <w:pPr>
        <w:pStyle w:val="Title"/>
        <w:spacing w:before="120" w:after="160"/>
        <w:ind w:left="720" w:hanging="720"/>
        <w:rPr>
          <w:rFonts w:asciiTheme="minorHAnsi" w:hAnsiTheme="minorHAnsi"/>
          <w:sz w:val="36"/>
          <w:szCs w:val="36"/>
        </w:rPr>
      </w:pPr>
      <w:r>
        <w:rPr>
          <w:rFonts w:asciiTheme="minorHAnsi" w:hAnsiTheme="minorHAnsi"/>
          <w:sz w:val="36"/>
          <w:szCs w:val="36"/>
        </w:rPr>
        <w:t>5.20</w:t>
      </w:r>
      <w:r w:rsidR="007C0F57" w:rsidRPr="002B5596">
        <w:rPr>
          <w:rFonts w:asciiTheme="minorHAnsi" w:hAnsiTheme="minorHAnsi"/>
          <w:sz w:val="36"/>
          <w:szCs w:val="36"/>
        </w:rPr>
        <w:tab/>
      </w:r>
      <w:r w:rsidR="00B45DB1">
        <w:rPr>
          <w:rFonts w:asciiTheme="minorHAnsi" w:hAnsiTheme="minorHAnsi"/>
          <w:sz w:val="36"/>
          <w:szCs w:val="36"/>
        </w:rPr>
        <w:t>I</w:t>
      </w:r>
      <w:r w:rsidR="00CE4A2C">
        <w:rPr>
          <w:rFonts w:asciiTheme="minorHAnsi" w:hAnsiTheme="minorHAnsi"/>
          <w:sz w:val="36"/>
          <w:szCs w:val="36"/>
        </w:rPr>
        <w:t>nactivated influenza vaccine</w:t>
      </w:r>
      <w:r w:rsidR="008A50F1" w:rsidRPr="002B5596">
        <w:rPr>
          <w:rFonts w:asciiTheme="minorHAnsi" w:hAnsiTheme="minorHAnsi"/>
          <w:sz w:val="36"/>
          <w:szCs w:val="36"/>
        </w:rPr>
        <w:t xml:space="preserve"> </w:t>
      </w:r>
      <w:r>
        <w:rPr>
          <w:rFonts w:asciiTheme="minorHAnsi" w:hAnsiTheme="minorHAnsi"/>
          <w:sz w:val="36"/>
          <w:szCs w:val="36"/>
        </w:rPr>
        <w:t xml:space="preserve">(surface antigen), </w:t>
      </w:r>
      <w:proofErr w:type="spellStart"/>
      <w:r w:rsidR="00635A82">
        <w:rPr>
          <w:rFonts w:asciiTheme="minorHAnsi" w:hAnsiTheme="minorHAnsi"/>
          <w:sz w:val="36"/>
          <w:szCs w:val="36"/>
        </w:rPr>
        <w:t>adjuvanted</w:t>
      </w:r>
      <w:proofErr w:type="spellEnd"/>
      <w:r w:rsidR="00635A82" w:rsidRPr="002B5596">
        <w:rPr>
          <w:rFonts w:asciiTheme="minorHAnsi" w:hAnsiTheme="minorHAnsi"/>
          <w:sz w:val="36"/>
          <w:szCs w:val="36"/>
        </w:rPr>
        <w:t>,</w:t>
      </w:r>
      <w:r w:rsidR="00635A82">
        <w:rPr>
          <w:rFonts w:asciiTheme="minorHAnsi" w:hAnsiTheme="minorHAnsi"/>
          <w:sz w:val="36"/>
          <w:szCs w:val="36"/>
        </w:rPr>
        <w:t xml:space="preserve"> </w:t>
      </w:r>
      <w:r w:rsidR="00CE4A2C">
        <w:rPr>
          <w:rFonts w:asciiTheme="minorHAnsi" w:hAnsiTheme="minorHAnsi"/>
          <w:sz w:val="36"/>
          <w:szCs w:val="36"/>
        </w:rPr>
        <w:t>suspension for injection</w:t>
      </w:r>
      <w:r>
        <w:rPr>
          <w:rFonts w:asciiTheme="minorHAnsi" w:hAnsiTheme="minorHAnsi"/>
          <w:sz w:val="36"/>
          <w:szCs w:val="36"/>
        </w:rPr>
        <w:t xml:space="preserve">, </w:t>
      </w:r>
      <w:r w:rsidR="00CE4A2C">
        <w:rPr>
          <w:rFonts w:asciiTheme="minorHAnsi" w:hAnsiTheme="minorHAnsi"/>
          <w:sz w:val="36"/>
          <w:szCs w:val="36"/>
        </w:rPr>
        <w:t>15mcg in 0.5mL</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proofErr w:type="spellStart"/>
      <w:r w:rsidR="00CE4A2C">
        <w:rPr>
          <w:rFonts w:asciiTheme="minorHAnsi" w:hAnsiTheme="minorHAnsi"/>
          <w:sz w:val="36"/>
          <w:szCs w:val="36"/>
        </w:rPr>
        <w:t>Fluad</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proofErr w:type="spellStart"/>
      <w:r w:rsidR="00CE4A2C">
        <w:rPr>
          <w:rFonts w:asciiTheme="minorHAnsi" w:hAnsiTheme="minorHAnsi"/>
          <w:sz w:val="36"/>
          <w:szCs w:val="36"/>
        </w:rPr>
        <w:t>Seqirus</w:t>
      </w:r>
      <w:proofErr w:type="spellEnd"/>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0771A" w:rsidRPr="00070B49" w:rsidRDefault="00EF44A0" w:rsidP="0060771A">
      <w:pPr>
        <w:pStyle w:val="ListParagraph"/>
        <w:widowControl/>
        <w:numPr>
          <w:ilvl w:val="1"/>
          <w:numId w:val="5"/>
        </w:numPr>
        <w:spacing w:after="120"/>
        <w:contextualSpacing w:val="0"/>
        <w:rPr>
          <w:rFonts w:asciiTheme="minorHAnsi" w:eastAsiaTheme="minorHAnsi" w:hAnsiTheme="minorHAnsi" w:cstheme="minorBidi"/>
          <w:szCs w:val="22"/>
        </w:rPr>
      </w:pPr>
      <w:r w:rsidRPr="00070B49">
        <w:rPr>
          <w:rFonts w:asciiTheme="minorHAnsi" w:eastAsiaTheme="minorHAnsi" w:hAnsiTheme="minorHAnsi" w:cstheme="minorBidi"/>
          <w:snapToGrid/>
          <w:sz w:val="24"/>
          <w:szCs w:val="22"/>
        </w:rPr>
        <w:t>The mi</w:t>
      </w:r>
      <w:r w:rsidR="00FF2801" w:rsidRPr="00070B49">
        <w:rPr>
          <w:rFonts w:asciiTheme="minorHAnsi" w:eastAsiaTheme="minorHAnsi" w:hAnsiTheme="minorHAnsi" w:cstheme="minorBidi"/>
          <w:snapToGrid/>
          <w:sz w:val="24"/>
          <w:szCs w:val="22"/>
        </w:rPr>
        <w:t xml:space="preserve">nor submission sought </w:t>
      </w:r>
      <w:r w:rsidR="006F43B1" w:rsidRPr="00070B49">
        <w:rPr>
          <w:rFonts w:asciiTheme="minorHAnsi" w:eastAsiaTheme="minorHAnsi" w:hAnsiTheme="minorHAnsi" w:cstheme="minorBidi"/>
          <w:snapToGrid/>
          <w:sz w:val="24"/>
          <w:szCs w:val="22"/>
        </w:rPr>
        <w:t>listing on the National Immunisation Program (NIP) for</w:t>
      </w:r>
      <w:r w:rsidR="00CE4A2C" w:rsidRPr="00070B49">
        <w:rPr>
          <w:rFonts w:asciiTheme="minorHAnsi" w:eastAsiaTheme="minorHAnsi" w:hAnsiTheme="minorHAnsi" w:cstheme="minorBidi"/>
          <w:snapToGrid/>
          <w:sz w:val="24"/>
          <w:szCs w:val="22"/>
        </w:rPr>
        <w:t xml:space="preserve"> inactivated </w:t>
      </w:r>
      <w:r w:rsidR="007A58A4" w:rsidRPr="00070B49">
        <w:rPr>
          <w:rFonts w:asciiTheme="minorHAnsi" w:eastAsiaTheme="minorHAnsi" w:hAnsiTheme="minorHAnsi" w:cstheme="minorBidi"/>
          <w:snapToGrid/>
          <w:sz w:val="24"/>
          <w:szCs w:val="22"/>
        </w:rPr>
        <w:t xml:space="preserve">trivalent </w:t>
      </w:r>
      <w:r w:rsidR="00CE4A2C" w:rsidRPr="00070B49">
        <w:rPr>
          <w:rFonts w:asciiTheme="minorHAnsi" w:eastAsiaTheme="minorHAnsi" w:hAnsiTheme="minorHAnsi" w:cstheme="minorBidi"/>
          <w:snapToGrid/>
          <w:sz w:val="24"/>
          <w:szCs w:val="22"/>
        </w:rPr>
        <w:t>influenza vaccine</w:t>
      </w:r>
      <w:r w:rsidR="007A58A4" w:rsidRPr="00070B49">
        <w:rPr>
          <w:rFonts w:asciiTheme="minorHAnsi" w:eastAsiaTheme="minorHAnsi" w:hAnsiTheme="minorHAnsi" w:cstheme="minorBidi"/>
          <w:snapToGrid/>
          <w:sz w:val="24"/>
          <w:szCs w:val="22"/>
        </w:rPr>
        <w:t xml:space="preserve"> </w:t>
      </w:r>
      <w:r w:rsidR="00304D80" w:rsidRPr="00070B49">
        <w:rPr>
          <w:rFonts w:asciiTheme="minorHAnsi" w:eastAsiaTheme="minorHAnsi" w:hAnsiTheme="minorHAnsi" w:cstheme="minorBidi"/>
          <w:snapToGrid/>
          <w:sz w:val="24"/>
          <w:szCs w:val="22"/>
        </w:rPr>
        <w:t xml:space="preserve">(surface antigen), </w:t>
      </w:r>
      <w:proofErr w:type="spellStart"/>
      <w:r w:rsidR="00304D80" w:rsidRPr="00070B49">
        <w:rPr>
          <w:rFonts w:asciiTheme="minorHAnsi" w:eastAsiaTheme="minorHAnsi" w:hAnsiTheme="minorHAnsi" w:cstheme="minorBidi"/>
          <w:snapToGrid/>
          <w:sz w:val="24"/>
          <w:szCs w:val="22"/>
        </w:rPr>
        <w:t>adjuvanted</w:t>
      </w:r>
      <w:proofErr w:type="spellEnd"/>
      <w:r w:rsidR="00304D80" w:rsidRPr="00070B49">
        <w:rPr>
          <w:rFonts w:asciiTheme="minorHAnsi" w:eastAsiaTheme="minorHAnsi" w:hAnsiTheme="minorHAnsi" w:cstheme="minorBidi"/>
          <w:snapToGrid/>
          <w:sz w:val="24"/>
          <w:szCs w:val="22"/>
        </w:rPr>
        <w:t xml:space="preserve"> </w:t>
      </w:r>
      <w:r w:rsidR="007A58A4" w:rsidRPr="00070B49">
        <w:rPr>
          <w:rFonts w:asciiTheme="minorHAnsi" w:eastAsiaTheme="minorHAnsi" w:hAnsiTheme="minorHAnsi" w:cstheme="minorBidi"/>
          <w:snapToGrid/>
          <w:sz w:val="24"/>
          <w:szCs w:val="22"/>
        </w:rPr>
        <w:t>(</w:t>
      </w:r>
      <w:proofErr w:type="spellStart"/>
      <w:r w:rsidR="007A58A4" w:rsidRPr="00070B49">
        <w:rPr>
          <w:rFonts w:asciiTheme="minorHAnsi" w:eastAsiaTheme="minorHAnsi" w:hAnsiTheme="minorHAnsi" w:cstheme="minorBidi"/>
          <w:snapToGrid/>
          <w:sz w:val="24"/>
          <w:szCs w:val="22"/>
        </w:rPr>
        <w:t>aTIV</w:t>
      </w:r>
      <w:proofErr w:type="spellEnd"/>
      <w:r w:rsidR="007A58A4" w:rsidRPr="00070B49">
        <w:rPr>
          <w:rFonts w:asciiTheme="minorHAnsi" w:eastAsiaTheme="minorHAnsi" w:hAnsiTheme="minorHAnsi" w:cstheme="minorBidi"/>
          <w:snapToGrid/>
          <w:sz w:val="24"/>
          <w:szCs w:val="22"/>
        </w:rPr>
        <w:t>)</w:t>
      </w:r>
      <w:r w:rsidR="00CE4A2C" w:rsidRPr="00070B49">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Pr="00F72317"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3604B">
        <w:rPr>
          <w:rFonts w:asciiTheme="minorHAnsi" w:eastAsiaTheme="minorHAnsi" w:hAnsiTheme="minorHAnsi" w:cstheme="minorBidi"/>
          <w:snapToGrid/>
          <w:sz w:val="24"/>
          <w:szCs w:val="22"/>
        </w:rPr>
        <w:t>sought the following addition to Schedule 1 (Designated vaccines and circumstances in which vaccines may be provided) of National Health (Immunisation Program – Designated Vaccines Determination 2014 (No.1)):</w:t>
      </w:r>
    </w:p>
    <w:tbl>
      <w:tblPr>
        <w:tblW w:w="4915" w:type="pct"/>
        <w:tblLook w:val="0000" w:firstRow="0" w:lastRow="0" w:firstColumn="0" w:lastColumn="0" w:noHBand="0" w:noVBand="0"/>
      </w:tblPr>
      <w:tblGrid>
        <w:gridCol w:w="3328"/>
        <w:gridCol w:w="707"/>
        <w:gridCol w:w="859"/>
        <w:gridCol w:w="1597"/>
        <w:gridCol w:w="1094"/>
        <w:gridCol w:w="661"/>
        <w:gridCol w:w="839"/>
      </w:tblGrid>
      <w:tr w:rsidR="00163329" w:rsidRPr="0039782C" w:rsidTr="007D5FDA">
        <w:trPr>
          <w:cantSplit/>
          <w:trHeight w:val="465"/>
        </w:trPr>
        <w:tc>
          <w:tcPr>
            <w:tcW w:w="183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89"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7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79" w:type="pct"/>
            <w:tcBorders>
              <w:bottom w:val="single" w:sz="4" w:space="0" w:color="auto"/>
            </w:tcBorders>
          </w:tcPr>
          <w:p w:rsidR="00826F6D" w:rsidRPr="0039782C" w:rsidRDefault="006552D5" w:rsidP="00EB0B63">
            <w:pPr>
              <w:keepNext/>
              <w:spacing w:before="40" w:after="40"/>
              <w:jc w:val="both"/>
              <w:rPr>
                <w:rFonts w:ascii="Arial Narrow" w:hAnsi="Arial Narrow" w:cs="Arial"/>
                <w:b/>
                <w:sz w:val="20"/>
                <w:szCs w:val="20"/>
              </w:rPr>
            </w:pPr>
            <w:r>
              <w:rPr>
                <w:rFonts w:ascii="Arial Narrow" w:hAnsi="Arial Narrow" w:cs="Arial"/>
                <w:b/>
                <w:sz w:val="20"/>
                <w:szCs w:val="20"/>
              </w:rPr>
              <w:t>Nationally Negotiated Price</w:t>
            </w:r>
          </w:p>
        </w:tc>
        <w:tc>
          <w:tcPr>
            <w:tcW w:w="1428"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7D5FDA">
        <w:trPr>
          <w:cantSplit/>
          <w:trHeight w:val="567"/>
        </w:trPr>
        <w:tc>
          <w:tcPr>
            <w:tcW w:w="1831" w:type="pct"/>
          </w:tcPr>
          <w:p w:rsidR="00826F6D" w:rsidRPr="00260CE3" w:rsidRDefault="00CE4A2C" w:rsidP="00EB0B63">
            <w:pPr>
              <w:keepNext/>
              <w:spacing w:before="40" w:after="40"/>
              <w:jc w:val="both"/>
              <w:rPr>
                <w:rFonts w:ascii="Arial Narrow" w:hAnsi="Arial Narrow" w:cs="Arial"/>
                <w:sz w:val="20"/>
                <w:szCs w:val="20"/>
              </w:rPr>
            </w:pPr>
            <w:r>
              <w:rPr>
                <w:rFonts w:ascii="Arial Narrow" w:hAnsi="Arial Narrow" w:cs="Arial"/>
                <w:smallCaps/>
                <w:sz w:val="20"/>
                <w:szCs w:val="20"/>
              </w:rPr>
              <w:t>INACTIVATED INFLUENZA VACCINE</w:t>
            </w:r>
            <w:r w:rsidR="00635A82">
              <w:rPr>
                <w:rFonts w:ascii="Arial Narrow" w:hAnsi="Arial Narrow" w:cs="Arial"/>
                <w:smallCaps/>
                <w:sz w:val="20"/>
                <w:szCs w:val="20"/>
              </w:rPr>
              <w:t xml:space="preserve"> (SURFACE ANTIGEN), ADJUVANTED</w:t>
            </w:r>
          </w:p>
          <w:p w:rsidR="00826F6D" w:rsidRPr="00260CE3" w:rsidRDefault="00CE4A2C" w:rsidP="00E8391C">
            <w:pPr>
              <w:keepNext/>
              <w:spacing w:before="40" w:after="40"/>
              <w:jc w:val="both"/>
              <w:rPr>
                <w:rFonts w:ascii="Arial Narrow" w:hAnsi="Arial Narrow" w:cs="Arial"/>
                <w:sz w:val="20"/>
                <w:szCs w:val="20"/>
              </w:rPr>
            </w:pPr>
            <w:r>
              <w:rPr>
                <w:rFonts w:ascii="Arial Narrow" w:hAnsi="Arial Narrow" w:cs="Arial"/>
                <w:sz w:val="20"/>
                <w:szCs w:val="20"/>
              </w:rPr>
              <w:t xml:space="preserve">Suspension for </w:t>
            </w:r>
            <w:r w:rsidRPr="009426DA">
              <w:rPr>
                <w:rFonts w:ascii="Arial Narrow" w:hAnsi="Arial Narrow" w:cs="Arial"/>
                <w:sz w:val="20"/>
                <w:szCs w:val="20"/>
              </w:rPr>
              <w:t>injection</w:t>
            </w:r>
            <w:r w:rsidR="00E8391C">
              <w:rPr>
                <w:rFonts w:ascii="Arial Narrow" w:hAnsi="Arial Narrow" w:cs="Arial"/>
                <w:sz w:val="20"/>
                <w:szCs w:val="20"/>
              </w:rPr>
              <w:t>,</w:t>
            </w:r>
            <w:r>
              <w:rPr>
                <w:rFonts w:ascii="Arial Narrow" w:hAnsi="Arial Narrow" w:cs="Arial"/>
                <w:sz w:val="20"/>
                <w:szCs w:val="20"/>
              </w:rPr>
              <w:t>15mcg in 0.5mL</w:t>
            </w:r>
            <w:r w:rsidR="00826F6D" w:rsidRPr="00260CE3">
              <w:rPr>
                <w:rFonts w:ascii="Arial Narrow" w:hAnsi="Arial Narrow" w:cs="Arial"/>
                <w:sz w:val="20"/>
                <w:szCs w:val="20"/>
              </w:rPr>
              <w:t xml:space="preserve"> </w:t>
            </w:r>
          </w:p>
        </w:tc>
        <w:tc>
          <w:tcPr>
            <w:tcW w:w="389"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5E7A7F"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473"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E7304D" w:rsidP="00EB0B63">
            <w:pPr>
              <w:keepNext/>
              <w:spacing w:before="40" w:after="40"/>
              <w:jc w:val="both"/>
              <w:rPr>
                <w:rFonts w:ascii="Arial Narrow" w:hAnsi="Arial Narrow" w:cs="Arial"/>
                <w:sz w:val="20"/>
                <w:szCs w:val="20"/>
              </w:rPr>
            </w:pPr>
            <w:r w:rsidRPr="00D222D8">
              <w:rPr>
                <w:rFonts w:ascii="Arial Narrow" w:hAnsi="Arial Narrow" w:cs="Arial"/>
                <w:sz w:val="20"/>
                <w:szCs w:val="20"/>
              </w:rPr>
              <w:t>0</w:t>
            </w:r>
          </w:p>
        </w:tc>
        <w:tc>
          <w:tcPr>
            <w:tcW w:w="879"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826F6D" w:rsidP="00EB0B63">
            <w:pPr>
              <w:keepNext/>
              <w:spacing w:before="40" w:after="40"/>
              <w:jc w:val="both"/>
              <w:rPr>
                <w:rFonts w:ascii="Arial Narrow" w:hAnsi="Arial Narrow" w:cs="Arial"/>
                <w:sz w:val="20"/>
                <w:szCs w:val="20"/>
              </w:rPr>
            </w:pPr>
            <w:r w:rsidRPr="005E7A7F">
              <w:rPr>
                <w:rFonts w:ascii="Arial Narrow" w:hAnsi="Arial Narrow" w:cs="Arial"/>
                <w:sz w:val="20"/>
                <w:szCs w:val="20"/>
              </w:rPr>
              <w:t>$</w:t>
            </w:r>
            <w:r w:rsidR="00FD1553">
              <w:rPr>
                <w:rFonts w:ascii="Arial Narrow" w:hAnsi="Arial Narrow" w:cs="Arial"/>
                <w:noProof/>
                <w:color w:val="000000"/>
                <w:sz w:val="20"/>
                <w:szCs w:val="20"/>
                <w:highlight w:val="black"/>
              </w:rPr>
              <w:t>''''''''''</w:t>
            </w:r>
          </w:p>
        </w:tc>
        <w:tc>
          <w:tcPr>
            <w:tcW w:w="602" w:type="pct"/>
          </w:tcPr>
          <w:p w:rsidR="00C27B58" w:rsidRDefault="00C27B58" w:rsidP="00EB0B63">
            <w:pPr>
              <w:keepNext/>
              <w:spacing w:before="40" w:after="40"/>
              <w:jc w:val="both"/>
              <w:rPr>
                <w:rFonts w:ascii="Arial Narrow" w:hAnsi="Arial Narrow" w:cs="Arial"/>
                <w:sz w:val="20"/>
                <w:szCs w:val="20"/>
              </w:rPr>
            </w:pPr>
          </w:p>
          <w:p w:rsidR="00826F6D" w:rsidRPr="00260CE3" w:rsidRDefault="00CE4A2C" w:rsidP="00EB0B63">
            <w:pPr>
              <w:keepNext/>
              <w:spacing w:before="40" w:after="40"/>
              <w:jc w:val="both"/>
              <w:rPr>
                <w:rFonts w:ascii="Arial Narrow" w:hAnsi="Arial Narrow" w:cs="Arial"/>
                <w:sz w:val="20"/>
                <w:szCs w:val="20"/>
              </w:rPr>
            </w:pPr>
            <w:proofErr w:type="spellStart"/>
            <w:r>
              <w:rPr>
                <w:rFonts w:ascii="Arial Narrow" w:hAnsi="Arial Narrow" w:cs="Arial"/>
                <w:sz w:val="20"/>
                <w:szCs w:val="20"/>
              </w:rPr>
              <w:t>Fluad</w:t>
            </w:r>
            <w:proofErr w:type="spellEnd"/>
          </w:p>
        </w:tc>
        <w:tc>
          <w:tcPr>
            <w:tcW w:w="826" w:type="pct"/>
            <w:gridSpan w:val="2"/>
          </w:tcPr>
          <w:p w:rsidR="00C27B58" w:rsidRDefault="00C27B58" w:rsidP="00EB0B63">
            <w:pPr>
              <w:keepNext/>
              <w:spacing w:before="40" w:after="40"/>
              <w:jc w:val="both"/>
              <w:rPr>
                <w:rFonts w:ascii="Arial Narrow" w:hAnsi="Arial Narrow" w:cs="Arial"/>
                <w:sz w:val="20"/>
                <w:szCs w:val="20"/>
              </w:rPr>
            </w:pPr>
          </w:p>
          <w:p w:rsidR="00826F6D" w:rsidRPr="00260CE3" w:rsidRDefault="00CE4A2C" w:rsidP="00CE4A2C">
            <w:pPr>
              <w:keepNext/>
              <w:spacing w:before="40" w:after="40"/>
              <w:jc w:val="both"/>
              <w:rPr>
                <w:rFonts w:ascii="Arial Narrow" w:hAnsi="Arial Narrow" w:cs="Arial"/>
                <w:sz w:val="20"/>
                <w:szCs w:val="20"/>
              </w:rPr>
            </w:pPr>
            <w:proofErr w:type="spellStart"/>
            <w:r>
              <w:rPr>
                <w:rFonts w:ascii="Arial Narrow" w:hAnsi="Arial Narrow" w:cs="Arial"/>
                <w:sz w:val="20"/>
                <w:szCs w:val="20"/>
              </w:rPr>
              <w:t>Seqirus</w:t>
            </w:r>
            <w:proofErr w:type="spellEnd"/>
          </w:p>
        </w:tc>
      </w:tr>
      <w:tr w:rsidR="00826F6D" w:rsidRPr="00260CE3" w:rsidTr="007D5FDA">
        <w:trPr>
          <w:gridAfter w:val="1"/>
          <w:wAfter w:w="462" w:type="pct"/>
          <w:cantSplit/>
          <w:trHeight w:val="360"/>
        </w:trPr>
        <w:tc>
          <w:tcPr>
            <w:tcW w:w="4538" w:type="pct"/>
            <w:gridSpan w:val="6"/>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bl>
    <w:p w:rsidR="0060771A" w:rsidRPr="00A9134C" w:rsidRDefault="0060771A" w:rsidP="00A9134C">
      <w:pPr>
        <w:spacing w:after="120"/>
        <w:rPr>
          <w:rFonts w:asciiTheme="minorHAnsi" w:eastAsiaTheme="minorHAnsi" w:hAnsiTheme="minorHAnsi" w:cstheme="minorBidi"/>
          <w:i/>
          <w:szCs w:val="22"/>
        </w:rPr>
      </w:pPr>
      <w:r w:rsidRPr="00D114E8">
        <w:rPr>
          <w:rFonts w:asciiTheme="minorHAnsi" w:eastAsiaTheme="minorHAnsi" w:hAnsiTheme="minorHAnsi" w:cstheme="minorBidi"/>
          <w:i/>
          <w:szCs w:val="22"/>
        </w:rPr>
        <w:t>For more detail on PBAC’s view, see section 7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7A58A4" w:rsidRDefault="007A58A4"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aTIV</w:t>
      </w:r>
      <w:proofErr w:type="spellEnd"/>
      <w:r w:rsidR="00476245" w:rsidRPr="001B2BBC">
        <w:rPr>
          <w:rFonts w:asciiTheme="minorHAnsi" w:eastAsiaTheme="minorHAnsi" w:hAnsiTheme="minorHAnsi" w:cstheme="minorBidi"/>
          <w:snapToGrid/>
          <w:sz w:val="24"/>
          <w:szCs w:val="22"/>
        </w:rPr>
        <w:t xml:space="preserve"> is TGA registered for</w:t>
      </w:r>
      <w:r>
        <w:rPr>
          <w:rFonts w:asciiTheme="minorHAnsi" w:eastAsiaTheme="minorHAnsi" w:hAnsiTheme="minorHAnsi" w:cstheme="minorBidi"/>
          <w:snapToGrid/>
          <w:sz w:val="24"/>
          <w:szCs w:val="22"/>
        </w:rPr>
        <w:t>:</w:t>
      </w:r>
      <w:r w:rsidRPr="006552D5">
        <w:rPr>
          <w:rFonts w:asciiTheme="minorHAnsi" w:eastAsiaTheme="minorHAnsi" w:hAnsiTheme="minorHAnsi" w:cstheme="minorBidi"/>
          <w:snapToGrid/>
          <w:sz w:val="24"/>
          <w:szCs w:val="22"/>
        </w:rPr>
        <w:t xml:space="preserve"> </w:t>
      </w:r>
    </w:p>
    <w:p w:rsidR="007A58A4" w:rsidRPr="006552D5" w:rsidRDefault="007A58A4"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szCs w:val="22"/>
        </w:rPr>
      </w:pPr>
      <w:r w:rsidRPr="006552D5">
        <w:rPr>
          <w:rFonts w:asciiTheme="minorHAnsi" w:eastAsiaTheme="minorHAnsi" w:hAnsiTheme="minorHAnsi" w:cstheme="minorBidi"/>
          <w:snapToGrid/>
          <w:sz w:val="24"/>
          <w:szCs w:val="22"/>
        </w:rPr>
        <w:t>Active immunisation against influenza in the elderly (65 years of age and older), especially those with an increased risk of association complications (i.e. patients affected by underlying chronic diseases including diabetes, cardiovascular and respiratory diseases).</w:t>
      </w:r>
    </w:p>
    <w:p w:rsidR="007A58A4" w:rsidRPr="00D114E8" w:rsidRDefault="007A58A4"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proofErr w:type="gramStart"/>
      <w:r w:rsidRPr="00D114E8">
        <w:rPr>
          <w:rFonts w:asciiTheme="minorHAnsi" w:eastAsiaTheme="minorHAnsi" w:hAnsiTheme="minorHAnsi" w:cstheme="minorBidi"/>
          <w:snapToGrid/>
          <w:sz w:val="24"/>
          <w:szCs w:val="22"/>
        </w:rPr>
        <w:t>aTIV</w:t>
      </w:r>
      <w:proofErr w:type="spellEnd"/>
      <w:proofErr w:type="gramEnd"/>
      <w:r w:rsidRPr="00D114E8">
        <w:rPr>
          <w:rFonts w:asciiTheme="minorHAnsi" w:eastAsiaTheme="minorHAnsi" w:hAnsiTheme="minorHAnsi" w:cstheme="minorBidi"/>
          <w:snapToGrid/>
          <w:sz w:val="24"/>
          <w:szCs w:val="22"/>
        </w:rPr>
        <w:t xml:space="preserve"> was TGA Registered in October 200</w:t>
      </w:r>
      <w:r w:rsidR="008E7DA0" w:rsidRPr="00D114E8">
        <w:rPr>
          <w:rFonts w:asciiTheme="minorHAnsi" w:eastAsiaTheme="minorHAnsi" w:hAnsiTheme="minorHAnsi" w:cstheme="minorBidi"/>
          <w:snapToGrid/>
          <w:sz w:val="24"/>
          <w:szCs w:val="22"/>
        </w:rPr>
        <w:t>2</w:t>
      </w:r>
      <w:r w:rsidRPr="00D114E8">
        <w:rPr>
          <w:rFonts w:asciiTheme="minorHAnsi" w:eastAsiaTheme="minorHAnsi" w:hAnsiTheme="minorHAnsi" w:cstheme="minorBidi"/>
          <w:snapToGrid/>
          <w:sz w:val="24"/>
          <w:szCs w:val="22"/>
        </w:rPr>
        <w:t xml:space="preserve"> but has never been marketed in Australia.  It is currently undergoing updates to its registration including:</w:t>
      </w:r>
    </w:p>
    <w:p w:rsidR="007A58A4" w:rsidRPr="00FD1553" w:rsidRDefault="00FD1553" w:rsidP="00FD1553">
      <w:pPr>
        <w:spacing w:before="120" w:after="160"/>
        <w:ind w:left="1418" w:hanging="720"/>
        <w:rPr>
          <w:rFonts w:cstheme="minorBidi"/>
          <w:highlight w:val="black"/>
        </w:rPr>
      </w:pP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p>
    <w:p w:rsidR="007A58A4" w:rsidRPr="00FD1553" w:rsidRDefault="00FD1553" w:rsidP="00FD1553">
      <w:pPr>
        <w:spacing w:before="120" w:after="160"/>
        <w:ind w:left="1418" w:hanging="720"/>
        <w:rPr>
          <w:rFonts w:cstheme="minorBidi"/>
          <w:highlight w:val="black"/>
        </w:rPr>
      </w:pP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p>
    <w:p w:rsidR="007A58A4" w:rsidRPr="00FD1553" w:rsidRDefault="00FD1553" w:rsidP="00FD1553">
      <w:pPr>
        <w:spacing w:before="120" w:after="160"/>
        <w:ind w:left="1418" w:hanging="720"/>
        <w:rPr>
          <w:rFonts w:asciiTheme="minorHAnsi" w:eastAsiaTheme="minorHAnsi" w:hAnsiTheme="minorHAnsi" w:cstheme="minorBidi"/>
          <w:highlight w:val="black"/>
        </w:rPr>
      </w:pP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p>
    <w:p w:rsidR="007A58A4" w:rsidRPr="00FD1553" w:rsidRDefault="00FD1553" w:rsidP="00FD1553">
      <w:pPr>
        <w:spacing w:before="120" w:after="160"/>
        <w:ind w:left="1418" w:hanging="720"/>
        <w:rPr>
          <w:rFonts w:asciiTheme="minorHAnsi" w:eastAsiaTheme="minorHAnsi" w:hAnsiTheme="minorHAnsi" w:cstheme="minorBidi"/>
          <w:highlight w:val="black"/>
        </w:rPr>
      </w:pP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r>
        <w:rPr>
          <w:rFonts w:ascii="Symbol" w:eastAsiaTheme="minorHAnsi" w:hAnsi="Symbol" w:cstheme="minorBidi"/>
          <w:noProof/>
          <w:snapToGrid w:val="0"/>
          <w:color w:val="000000"/>
          <w:szCs w:val="20"/>
          <w:highlight w:val="black"/>
          <w:lang w:eastAsia="en-US"/>
        </w:rPr>
        <w:t></w:t>
      </w:r>
    </w:p>
    <w:p w:rsidR="007A58A4" w:rsidRPr="00FD1553" w:rsidRDefault="00FD1553" w:rsidP="00FD1553">
      <w:pPr>
        <w:spacing w:before="120" w:after="160"/>
        <w:ind w:left="1418" w:hanging="720"/>
        <w:rPr>
          <w:rFonts w:cstheme="minorBidi"/>
          <w:highlight w:val="black"/>
        </w:rPr>
      </w:pPr>
      <w:r>
        <w:rPr>
          <w:rFonts w:ascii="Symbol" w:hAnsi="Symbol" w:cstheme="minorBidi"/>
          <w:noProof/>
          <w:snapToGrid w:val="0"/>
          <w:color w:val="000000"/>
          <w:szCs w:val="20"/>
          <w:highlight w:val="black"/>
          <w:lang w:eastAsia="en-US"/>
        </w:rPr>
        <w:lastRenderedPageBreak/>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p>
    <w:p w:rsidR="007A58A4" w:rsidRPr="00FD1553" w:rsidRDefault="00FD1553" w:rsidP="00FD1553">
      <w:pPr>
        <w:spacing w:before="120" w:after="160"/>
        <w:ind w:left="1418" w:hanging="720"/>
        <w:rPr>
          <w:rFonts w:cstheme="minorBidi"/>
          <w:highlight w:val="black"/>
        </w:rPr>
      </w:pP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r>
        <w:rPr>
          <w:rFonts w:ascii="Symbol" w:hAnsi="Symbol" w:cstheme="minorBidi"/>
          <w:noProof/>
          <w:snapToGrid w:val="0"/>
          <w:color w:val="000000"/>
          <w:szCs w:val="20"/>
          <w:highlight w:val="black"/>
          <w:lang w:eastAsia="en-US"/>
        </w:rPr>
        <w:t></w:t>
      </w:r>
    </w:p>
    <w:p w:rsidR="007A58A4" w:rsidRPr="006552D5" w:rsidRDefault="00FD1553" w:rsidP="00FC412E">
      <w:pPr>
        <w:pStyle w:val="ListParagraph"/>
        <w:widowControl/>
        <w:numPr>
          <w:ilvl w:val="2"/>
          <w:numId w:val="14"/>
        </w:numPr>
        <w:spacing w:before="120" w:after="160"/>
        <w:ind w:left="1418"/>
        <w:contextualSpacing w:val="0"/>
        <w:rPr>
          <w:rFonts w:asciiTheme="minorHAnsi" w:eastAsiaTheme="minorHAnsi" w:hAnsiTheme="minorHAnsi" w:cstheme="minorBidi"/>
          <w:szCs w:val="22"/>
        </w:rPr>
      </w:pPr>
      <w:r>
        <w:rPr>
          <w:rFonts w:asciiTheme="minorHAnsi" w:eastAsiaTheme="minorHAnsi" w:hAnsiTheme="minorHAnsi" w:cstheme="minorBidi"/>
          <w:noProof/>
          <w:snapToGrid/>
          <w:color w:val="000000"/>
          <w:sz w:val="24"/>
          <w:szCs w:val="22"/>
          <w:highlight w:val="black"/>
        </w:rPr>
        <w:t>''''''''''''' ''''''''''''''' '''''''''''''' '''''''''''' '''''' ''''''''''''''''''''</w:t>
      </w:r>
      <w:r w:rsidR="007A58A4" w:rsidRPr="006552D5">
        <w:rPr>
          <w:rFonts w:asciiTheme="minorHAnsi" w:eastAsiaTheme="minorHAnsi" w:hAnsiTheme="minorHAnsi" w:cstheme="minorBidi"/>
          <w:snapToGrid/>
          <w:sz w:val="24"/>
          <w:szCs w:val="22"/>
        </w:rPr>
        <w:t>).</w:t>
      </w:r>
    </w:p>
    <w:p w:rsidR="007A58A4" w:rsidRPr="006552D5" w:rsidRDefault="007A58A4" w:rsidP="006552D5">
      <w:pPr>
        <w:pStyle w:val="ListParagraph"/>
        <w:widowControl/>
        <w:numPr>
          <w:ilvl w:val="1"/>
          <w:numId w:val="5"/>
        </w:numPr>
        <w:spacing w:before="120" w:after="160"/>
        <w:contextualSpacing w:val="0"/>
        <w:rPr>
          <w:rFonts w:asciiTheme="minorHAnsi" w:eastAsiaTheme="minorHAnsi" w:hAnsiTheme="minorHAnsi" w:cstheme="minorBidi"/>
          <w:szCs w:val="22"/>
        </w:rPr>
      </w:pPr>
      <w:r w:rsidRPr="006552D5">
        <w:rPr>
          <w:rFonts w:asciiTheme="minorHAnsi" w:eastAsiaTheme="minorHAnsi" w:hAnsiTheme="minorHAnsi" w:cstheme="minorBidi"/>
          <w:snapToGrid/>
          <w:sz w:val="24"/>
          <w:szCs w:val="22"/>
        </w:rPr>
        <w:t>The TGA is expected to finalise these changes by February 2018.  A name change and labelling component revision have been completed.</w:t>
      </w:r>
    </w:p>
    <w:p w:rsidR="00EC2B55" w:rsidRPr="006B0C3E" w:rsidRDefault="004D2A5E" w:rsidP="005E2047">
      <w:pPr>
        <w:pStyle w:val="ListParagraph"/>
        <w:widowControl/>
        <w:numPr>
          <w:ilvl w:val="1"/>
          <w:numId w:val="5"/>
        </w:numPr>
        <w:contextualSpacing w:val="0"/>
        <w:rPr>
          <w:sz w:val="18"/>
          <w:szCs w:val="18"/>
        </w:rPr>
      </w:pPr>
      <w:proofErr w:type="spellStart"/>
      <w:proofErr w:type="gramStart"/>
      <w:r w:rsidRPr="006B0C3E">
        <w:rPr>
          <w:rFonts w:asciiTheme="minorHAnsi" w:eastAsiaTheme="minorHAnsi" w:hAnsiTheme="minorHAnsi" w:cstheme="minorBidi"/>
          <w:snapToGrid/>
          <w:sz w:val="24"/>
          <w:szCs w:val="22"/>
        </w:rPr>
        <w:t>a</w:t>
      </w:r>
      <w:r w:rsidR="007A58A4" w:rsidRPr="006B0C3E">
        <w:rPr>
          <w:rFonts w:asciiTheme="minorHAnsi" w:eastAsiaTheme="minorHAnsi" w:hAnsiTheme="minorHAnsi" w:cstheme="minorBidi"/>
          <w:snapToGrid/>
          <w:sz w:val="24"/>
          <w:szCs w:val="22"/>
        </w:rPr>
        <w:t>TIV</w:t>
      </w:r>
      <w:proofErr w:type="spellEnd"/>
      <w:proofErr w:type="gramEnd"/>
      <w:r w:rsidR="007A58A4" w:rsidRPr="006B0C3E">
        <w:rPr>
          <w:rFonts w:asciiTheme="minorHAnsi" w:eastAsiaTheme="minorHAnsi" w:hAnsiTheme="minorHAnsi" w:cstheme="minorBidi"/>
          <w:snapToGrid/>
          <w:sz w:val="24"/>
          <w:szCs w:val="22"/>
        </w:rPr>
        <w:t xml:space="preserve"> has not previously been considered by the PBAC.  Previous influenza vaccine considerations </w:t>
      </w:r>
      <w:r w:rsidR="006D73EB" w:rsidRPr="006B0C3E">
        <w:rPr>
          <w:rFonts w:asciiTheme="minorHAnsi" w:eastAsiaTheme="minorHAnsi" w:hAnsiTheme="minorHAnsi" w:cstheme="minorBidi"/>
          <w:snapToGrid/>
          <w:sz w:val="24"/>
          <w:szCs w:val="22"/>
        </w:rPr>
        <w:t xml:space="preserve">by the PBAC </w:t>
      </w:r>
      <w:r w:rsidR="007A58A4" w:rsidRPr="006B0C3E">
        <w:rPr>
          <w:rFonts w:asciiTheme="minorHAnsi" w:eastAsiaTheme="minorHAnsi" w:hAnsiTheme="minorHAnsi" w:cstheme="minorBidi"/>
          <w:snapToGrid/>
          <w:sz w:val="24"/>
          <w:szCs w:val="22"/>
        </w:rPr>
        <w:t>since 2005 are</w:t>
      </w:r>
      <w:r w:rsidR="006D73EB" w:rsidRPr="006B0C3E">
        <w:rPr>
          <w:rFonts w:asciiTheme="minorHAnsi" w:eastAsiaTheme="minorHAnsi" w:hAnsiTheme="minorHAnsi" w:cstheme="minorBidi"/>
          <w:snapToGrid/>
          <w:sz w:val="24"/>
          <w:szCs w:val="22"/>
        </w:rPr>
        <w:t xml:space="preserve"> summarised below</w:t>
      </w:r>
      <w:r w:rsidR="007A58A4" w:rsidRPr="006B0C3E">
        <w:rPr>
          <w:rFonts w:asciiTheme="minorHAnsi" w:eastAsiaTheme="minorHAnsi" w:hAnsiTheme="minorHAnsi" w:cstheme="minorBidi"/>
          <w:snapToGrid/>
          <w:sz w:val="24"/>
          <w:szCs w:val="22"/>
        </w:rPr>
        <w:t>:</w:t>
      </w:r>
    </w:p>
    <w:p w:rsidR="00995065" w:rsidRPr="005E2047" w:rsidRDefault="00995065" w:rsidP="005E2047">
      <w:pPr>
        <w:pStyle w:val="Caption"/>
        <w:keepNext/>
        <w:spacing w:after="0"/>
        <w:ind w:left="567"/>
        <w:rPr>
          <w:rFonts w:ascii="Arial Narrow" w:hAnsi="Arial Narrow"/>
          <w:color w:val="auto"/>
        </w:rPr>
      </w:pPr>
      <w:proofErr w:type="gramStart"/>
      <w:r w:rsidRPr="005E2047">
        <w:rPr>
          <w:rFonts w:ascii="Arial Narrow" w:hAnsi="Arial Narrow"/>
          <w:color w:val="auto"/>
        </w:rPr>
        <w:t xml:space="preserve">Table </w:t>
      </w:r>
      <w:r w:rsidRPr="005E2047">
        <w:rPr>
          <w:rFonts w:ascii="Arial Narrow" w:hAnsi="Arial Narrow"/>
          <w:noProof/>
          <w:color w:val="auto"/>
        </w:rPr>
        <w:t>1</w:t>
      </w:r>
      <w:r w:rsidRPr="005E2047">
        <w:rPr>
          <w:rFonts w:ascii="Arial Narrow" w:hAnsi="Arial Narrow"/>
          <w:color w:val="auto"/>
        </w:rPr>
        <w:t>.</w:t>
      </w:r>
      <w:proofErr w:type="gramEnd"/>
      <w:r w:rsidRPr="005E2047">
        <w:rPr>
          <w:rFonts w:ascii="Arial Narrow" w:hAnsi="Arial Narrow"/>
          <w:color w:val="auto"/>
        </w:rPr>
        <w:t xml:space="preserve"> PBAC considerations of influenza vaccines</w:t>
      </w:r>
    </w:p>
    <w:tbl>
      <w:tblPr>
        <w:tblStyle w:val="TableGrid"/>
        <w:tblW w:w="0" w:type="auto"/>
        <w:tblInd w:w="720" w:type="dxa"/>
        <w:tblLook w:val="04A0" w:firstRow="1" w:lastRow="0" w:firstColumn="1" w:lastColumn="0" w:noHBand="0" w:noVBand="1"/>
      </w:tblPr>
      <w:tblGrid>
        <w:gridCol w:w="1891"/>
        <w:gridCol w:w="1393"/>
        <w:gridCol w:w="1495"/>
        <w:gridCol w:w="2066"/>
        <w:gridCol w:w="1677"/>
      </w:tblGrid>
      <w:tr w:rsidR="007A58A4" w:rsidRPr="00D222D8" w:rsidTr="00EB2079">
        <w:tc>
          <w:tcPr>
            <w:tcW w:w="1891" w:type="dxa"/>
          </w:tcPr>
          <w:p w:rsidR="007A58A4" w:rsidRPr="00D222D8" w:rsidRDefault="007A58A4" w:rsidP="00EB2079">
            <w:pPr>
              <w:pStyle w:val="ListParagraph"/>
              <w:widowControl/>
              <w:spacing w:before="120" w:after="160"/>
              <w:ind w:left="0"/>
              <w:contextualSpacing w:val="0"/>
              <w:rPr>
                <w:rFonts w:ascii="Arial Narrow" w:eastAsiaTheme="minorHAnsi" w:hAnsi="Arial Narrow" w:cstheme="minorBidi"/>
                <w:b/>
                <w:snapToGrid/>
                <w:sz w:val="20"/>
              </w:rPr>
            </w:pPr>
            <w:r w:rsidRPr="00D222D8">
              <w:rPr>
                <w:rFonts w:ascii="Arial Narrow" w:eastAsiaTheme="minorHAnsi" w:hAnsi="Arial Narrow" w:cstheme="minorBidi"/>
                <w:b/>
                <w:snapToGrid/>
                <w:sz w:val="20"/>
              </w:rPr>
              <w:t>Item considered</w:t>
            </w:r>
          </w:p>
        </w:tc>
        <w:tc>
          <w:tcPr>
            <w:tcW w:w="1393" w:type="dxa"/>
          </w:tcPr>
          <w:p w:rsidR="007A58A4" w:rsidRPr="00D222D8" w:rsidRDefault="007A58A4" w:rsidP="00EB2079">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Date</w:t>
            </w:r>
          </w:p>
        </w:tc>
        <w:tc>
          <w:tcPr>
            <w:tcW w:w="1495" w:type="dxa"/>
          </w:tcPr>
          <w:p w:rsidR="007A58A4" w:rsidRPr="00D222D8" w:rsidRDefault="007A58A4" w:rsidP="00EB2079">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Purpose</w:t>
            </w:r>
          </w:p>
        </w:tc>
        <w:tc>
          <w:tcPr>
            <w:tcW w:w="2066" w:type="dxa"/>
          </w:tcPr>
          <w:p w:rsidR="007A58A4" w:rsidRPr="00D222D8" w:rsidRDefault="007A58A4" w:rsidP="00EB2079">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Outcome</w:t>
            </w:r>
          </w:p>
        </w:tc>
        <w:tc>
          <w:tcPr>
            <w:tcW w:w="1677" w:type="dxa"/>
          </w:tcPr>
          <w:p w:rsidR="007A58A4" w:rsidRPr="00D222D8" w:rsidRDefault="007A58A4" w:rsidP="00EB2079">
            <w:pPr>
              <w:spacing w:before="120" w:after="160"/>
              <w:rPr>
                <w:rFonts w:ascii="Arial Narrow" w:eastAsiaTheme="minorHAnsi" w:hAnsi="Arial Narrow" w:cstheme="minorBidi"/>
                <w:b/>
                <w:sz w:val="20"/>
                <w:szCs w:val="20"/>
              </w:rPr>
            </w:pPr>
            <w:r w:rsidRPr="00D222D8">
              <w:rPr>
                <w:rFonts w:ascii="Arial Narrow" w:eastAsiaTheme="minorHAnsi" w:hAnsi="Arial Narrow" w:cstheme="minorBidi"/>
                <w:b/>
                <w:sz w:val="20"/>
                <w:szCs w:val="20"/>
              </w:rPr>
              <w:t>Model</w:t>
            </w:r>
          </w:p>
        </w:tc>
      </w:tr>
      <w:tr w:rsidR="007A58A4" w:rsidRPr="00D222D8" w:rsidTr="005E2047">
        <w:trPr>
          <w:trHeight w:val="1499"/>
        </w:trPr>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Influenza vaccine (</w:t>
            </w:r>
            <w:proofErr w:type="spellStart"/>
            <w:r w:rsidRPr="00D222D8">
              <w:rPr>
                <w:rFonts w:ascii="Arial Narrow" w:eastAsiaTheme="minorHAnsi" w:hAnsi="Arial Narrow" w:cstheme="minorBidi"/>
                <w:snapToGrid/>
                <w:sz w:val="20"/>
              </w:rPr>
              <w:t>Fluarix</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Flubax</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Influvac</w:t>
            </w:r>
            <w:proofErr w:type="spellEnd"/>
            <w:r w:rsidRPr="00D222D8">
              <w:rPr>
                <w:rFonts w:ascii="Arial Narrow" w:eastAsiaTheme="minorHAnsi" w:hAnsi="Arial Narrow" w:cstheme="minorBidi"/>
                <w:snapToGrid/>
                <w:sz w:val="20"/>
              </w:rPr>
              <w:t xml:space="preserve">, </w:t>
            </w:r>
            <w:proofErr w:type="spellStart"/>
            <w:r w:rsidRPr="00D222D8">
              <w:rPr>
                <w:rFonts w:ascii="Arial Narrow" w:eastAsiaTheme="minorHAnsi" w:hAnsi="Arial Narrow" w:cstheme="minorBidi"/>
                <w:snapToGrid/>
                <w:sz w:val="20"/>
              </w:rPr>
              <w:t>Vaxigrip</w:t>
            </w:r>
            <w:proofErr w:type="spellEnd"/>
            <w:r w:rsidRPr="00D222D8">
              <w:rPr>
                <w:rFonts w:ascii="Arial Narrow" w:eastAsiaTheme="minorHAnsi" w:hAnsi="Arial Narrow" w:cstheme="minorBidi"/>
                <w:snapToGrid/>
                <w:sz w:val="20"/>
              </w:rPr>
              <w:t>)</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November 2007</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NIP listing for all Australians over 50 years of age</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Rejected due to uncertainty of clinical benefits and the results of the modelled </w:t>
            </w:r>
            <w:r w:rsidR="007811D6" w:rsidRPr="00D222D8">
              <w:rPr>
                <w:rFonts w:ascii="Arial Narrow" w:eastAsiaTheme="minorHAnsi" w:hAnsi="Arial Narrow" w:cstheme="minorBidi"/>
                <w:sz w:val="20"/>
                <w:szCs w:val="20"/>
              </w:rPr>
              <w:t>economic</w:t>
            </w:r>
            <w:r w:rsidRPr="00D222D8">
              <w:rPr>
                <w:rFonts w:ascii="Arial Narrow" w:eastAsiaTheme="minorHAnsi" w:hAnsi="Arial Narrow" w:cstheme="minorBidi"/>
                <w:sz w:val="20"/>
                <w:szCs w:val="20"/>
              </w:rPr>
              <w:t xml:space="preserve"> evaluation and outcomes.</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Current influenza vaccination practice in the 50-64 age group</w:t>
            </w:r>
          </w:p>
        </w:tc>
      </w:tr>
      <w:tr w:rsidR="007A58A4" w:rsidRPr="00D222D8" w:rsidTr="00EB2079">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Influenza vaccine (</w:t>
            </w:r>
            <w:proofErr w:type="spellStart"/>
            <w:r w:rsidRPr="00D222D8">
              <w:rPr>
                <w:rFonts w:ascii="Arial Narrow" w:eastAsiaTheme="minorHAnsi" w:hAnsi="Arial Narrow" w:cstheme="minorBidi"/>
                <w:snapToGrid/>
                <w:sz w:val="20"/>
              </w:rPr>
              <w:t>Intanza</w:t>
            </w:r>
            <w:proofErr w:type="spellEnd"/>
            <w:r w:rsidRPr="00D222D8">
              <w:rPr>
                <w:rFonts w:ascii="Arial Narrow" w:eastAsiaTheme="minorHAnsi" w:hAnsi="Arial Narrow" w:cstheme="minorBidi"/>
                <w:snapToGrid/>
                <w:sz w:val="20"/>
              </w:rPr>
              <w:t>)</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2009</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NIP listing for patients aged 65 and older via intradermal route</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current NIP funded vaccines for this age group </w:t>
            </w:r>
            <w:proofErr w:type="spellStart"/>
            <w:r w:rsidRPr="00D222D8">
              <w:rPr>
                <w:rFonts w:ascii="Arial Narrow" w:eastAsiaTheme="minorHAnsi" w:hAnsi="Arial Narrow" w:cstheme="minorBidi"/>
                <w:sz w:val="20"/>
                <w:szCs w:val="20"/>
              </w:rPr>
              <w:t>eg</w:t>
            </w:r>
            <w:proofErr w:type="spellEnd"/>
            <w:r w:rsidRPr="00D222D8">
              <w:rPr>
                <w:rFonts w:ascii="Arial Narrow" w:eastAsiaTheme="minorHAnsi" w:hAnsi="Arial Narrow" w:cstheme="minorBidi"/>
                <w:sz w:val="20"/>
                <w:szCs w:val="20"/>
              </w:rPr>
              <w:t xml:space="preserve"> </w:t>
            </w:r>
            <w:proofErr w:type="spellStart"/>
            <w:r w:rsidRPr="00D222D8">
              <w:rPr>
                <w:rFonts w:ascii="Arial Narrow" w:eastAsiaTheme="minorHAnsi" w:hAnsi="Arial Narrow" w:cstheme="minorBidi"/>
                <w:sz w:val="20"/>
                <w:szCs w:val="20"/>
              </w:rPr>
              <w:t>Vaxigrip</w:t>
            </w:r>
            <w:proofErr w:type="spellEnd"/>
          </w:p>
        </w:tc>
      </w:tr>
      <w:tr w:rsidR="007A58A4" w:rsidRPr="00D222D8" w:rsidTr="00EB2079">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r w:rsidRPr="00D222D8">
              <w:rPr>
                <w:rFonts w:ascii="Arial Narrow" w:eastAsiaTheme="minorHAnsi" w:hAnsi="Arial Narrow" w:cstheme="minorBidi"/>
                <w:snapToGrid/>
                <w:sz w:val="20"/>
              </w:rPr>
              <w:t>Trivalent influenza vaccine</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2014</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Extend NIP schedule to include vaccination for Indigenous children aged 6 months to 5 years of age</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Compared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trivalent </w:t>
            </w:r>
          </w:p>
        </w:tc>
      </w:tr>
      <w:tr w:rsidR="007A58A4" w:rsidRPr="00D222D8" w:rsidTr="00EB2079">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vaccine (</w:t>
            </w:r>
            <w:proofErr w:type="spellStart"/>
            <w:r w:rsidRPr="00D222D8">
              <w:rPr>
                <w:rFonts w:ascii="Arial Narrow" w:eastAsiaTheme="minorHAnsi" w:hAnsi="Arial Narrow" w:cstheme="minorBidi"/>
                <w:snapToGrid/>
                <w:sz w:val="20"/>
              </w:rPr>
              <w:t>Fluarix</w:t>
            </w:r>
            <w:proofErr w:type="spellEnd"/>
            <w:r w:rsidRPr="00D222D8">
              <w:rPr>
                <w:rFonts w:ascii="Arial Narrow" w:eastAsiaTheme="minorHAnsi" w:hAnsi="Arial Narrow" w:cstheme="minorBidi"/>
                <w:snapToGrid/>
                <w:sz w:val="20"/>
              </w:rPr>
              <w:t xml:space="preserve"> Tetra)</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March 2015</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People 3 to 9 years and 9 years and older</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 (did not recommend expanding beyond existing NIP covered population due to lack of evidence)</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trivalent influenza vaccine</w:t>
            </w:r>
          </w:p>
        </w:tc>
      </w:tr>
      <w:tr w:rsidR="007A58A4" w:rsidRPr="00D222D8" w:rsidTr="00EB2079">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vaccine (</w:t>
            </w:r>
            <w:proofErr w:type="spellStart"/>
            <w:r w:rsidRPr="00D222D8">
              <w:rPr>
                <w:rFonts w:ascii="Arial Narrow" w:eastAsiaTheme="minorHAnsi" w:hAnsi="Arial Narrow" w:cstheme="minorBidi"/>
                <w:snapToGrid/>
                <w:sz w:val="20"/>
              </w:rPr>
              <w:t>Quadri</w:t>
            </w:r>
            <w:proofErr w:type="spellEnd"/>
            <w:r w:rsidRPr="00D222D8">
              <w:rPr>
                <w:rFonts w:ascii="Arial Narrow" w:eastAsiaTheme="minorHAnsi" w:hAnsi="Arial Narrow" w:cstheme="minorBidi"/>
                <w:snapToGrid/>
                <w:sz w:val="20"/>
              </w:rPr>
              <w:t xml:space="preserve"> Flu Junior and </w:t>
            </w:r>
            <w:proofErr w:type="spellStart"/>
            <w:r w:rsidRPr="00D222D8">
              <w:rPr>
                <w:rFonts w:ascii="Arial Narrow" w:eastAsiaTheme="minorHAnsi" w:hAnsi="Arial Narrow" w:cstheme="minorBidi"/>
                <w:snapToGrid/>
                <w:sz w:val="20"/>
              </w:rPr>
              <w:t>FluQuadri</w:t>
            </w:r>
            <w:proofErr w:type="spellEnd"/>
            <w:r w:rsidRPr="00D222D8">
              <w:rPr>
                <w:rFonts w:ascii="Arial Narrow" w:eastAsiaTheme="minorHAnsi" w:hAnsi="Arial Narrow" w:cstheme="minorBidi"/>
                <w:snapToGrid/>
                <w:sz w:val="20"/>
              </w:rPr>
              <w:t>)</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July 2015</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NIP listing for children aged 6 months to under 3 years of age, 3 to 9 years and above 9 years </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Tetra (&gt;36 months of age) and Flu </w:t>
            </w:r>
            <w:proofErr w:type="spellStart"/>
            <w:r w:rsidRPr="00D222D8">
              <w:rPr>
                <w:rFonts w:ascii="Arial Narrow" w:eastAsiaTheme="minorHAnsi" w:hAnsi="Arial Narrow" w:cstheme="minorBidi"/>
                <w:sz w:val="20"/>
                <w:szCs w:val="20"/>
              </w:rPr>
              <w:t>Quadri</w:t>
            </w:r>
            <w:proofErr w:type="spellEnd"/>
            <w:r w:rsidRPr="00D222D8">
              <w:rPr>
                <w:rFonts w:ascii="Arial Narrow" w:eastAsiaTheme="minorHAnsi" w:hAnsi="Arial Narrow" w:cstheme="minorBidi"/>
                <w:sz w:val="20"/>
                <w:szCs w:val="20"/>
              </w:rPr>
              <w:t xml:space="preserve"> for 6-&lt;36 months, TIV was appropriate</w:t>
            </w:r>
          </w:p>
        </w:tc>
      </w:tr>
      <w:tr w:rsidR="007A58A4" w:rsidRPr="00D222D8" w:rsidTr="00EB2079">
        <w:tc>
          <w:tcPr>
            <w:tcW w:w="1891" w:type="dxa"/>
          </w:tcPr>
          <w:p w:rsidR="007A58A4" w:rsidRPr="00D222D8" w:rsidRDefault="007A58A4" w:rsidP="00D222D8">
            <w:pPr>
              <w:pStyle w:val="ListParagraph"/>
              <w:widowControl/>
              <w:spacing w:before="120" w:after="160"/>
              <w:ind w:left="0"/>
              <w:contextualSpacing w:val="0"/>
              <w:jc w:val="left"/>
              <w:rPr>
                <w:rFonts w:ascii="Arial Narrow" w:eastAsiaTheme="minorHAnsi" w:hAnsi="Arial Narrow" w:cstheme="minorBidi"/>
                <w:snapToGrid/>
                <w:sz w:val="20"/>
              </w:rPr>
            </w:pPr>
            <w:proofErr w:type="spellStart"/>
            <w:r w:rsidRPr="00D222D8">
              <w:rPr>
                <w:rFonts w:ascii="Arial Narrow" w:eastAsiaTheme="minorHAnsi" w:hAnsi="Arial Narrow" w:cstheme="minorBidi"/>
                <w:snapToGrid/>
                <w:sz w:val="20"/>
              </w:rPr>
              <w:t>Quadrivalent</w:t>
            </w:r>
            <w:proofErr w:type="spellEnd"/>
            <w:r w:rsidRPr="00D222D8">
              <w:rPr>
                <w:rFonts w:ascii="Arial Narrow" w:eastAsiaTheme="minorHAnsi" w:hAnsi="Arial Narrow" w:cstheme="minorBidi"/>
                <w:snapToGrid/>
                <w:sz w:val="20"/>
              </w:rPr>
              <w:t xml:space="preserve"> influenza vaccination (Afluria Quad)</w:t>
            </w:r>
          </w:p>
        </w:tc>
        <w:tc>
          <w:tcPr>
            <w:tcW w:w="1393"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August 2016</w:t>
            </w:r>
          </w:p>
        </w:tc>
        <w:tc>
          <w:tcPr>
            <w:tcW w:w="1495"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Add a new item to the NIP for adults</w:t>
            </w:r>
          </w:p>
        </w:tc>
        <w:tc>
          <w:tcPr>
            <w:tcW w:w="2066"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Recommended</w:t>
            </w:r>
          </w:p>
        </w:tc>
        <w:tc>
          <w:tcPr>
            <w:tcW w:w="1677" w:type="dxa"/>
          </w:tcPr>
          <w:p w:rsidR="007A58A4" w:rsidRPr="00D222D8" w:rsidRDefault="007A58A4" w:rsidP="00EB2079">
            <w:pPr>
              <w:spacing w:before="120" w:after="160"/>
              <w:rPr>
                <w:rFonts w:ascii="Arial Narrow" w:eastAsiaTheme="minorHAnsi" w:hAnsi="Arial Narrow" w:cstheme="minorBidi"/>
                <w:sz w:val="20"/>
                <w:szCs w:val="20"/>
              </w:rPr>
            </w:pPr>
            <w:r w:rsidRPr="00D222D8">
              <w:rPr>
                <w:rFonts w:ascii="Arial Narrow" w:eastAsiaTheme="minorHAnsi" w:hAnsi="Arial Narrow" w:cstheme="minorBidi"/>
                <w:sz w:val="20"/>
                <w:szCs w:val="20"/>
              </w:rPr>
              <w:t xml:space="preserve">CMA to </w:t>
            </w:r>
            <w:proofErr w:type="spellStart"/>
            <w:r w:rsidRPr="00D222D8">
              <w:rPr>
                <w:rFonts w:ascii="Arial Narrow" w:eastAsiaTheme="minorHAnsi" w:hAnsi="Arial Narrow" w:cstheme="minorBidi"/>
                <w:sz w:val="20"/>
                <w:szCs w:val="20"/>
              </w:rPr>
              <w:t>Fluarix</w:t>
            </w:r>
            <w:proofErr w:type="spellEnd"/>
            <w:r w:rsidRPr="00D222D8">
              <w:rPr>
                <w:rFonts w:ascii="Arial Narrow" w:eastAsiaTheme="minorHAnsi" w:hAnsi="Arial Narrow" w:cstheme="minorBidi"/>
                <w:sz w:val="20"/>
                <w:szCs w:val="20"/>
              </w:rPr>
              <w:t xml:space="preserve"> Tetra </w:t>
            </w:r>
          </w:p>
        </w:tc>
      </w:tr>
    </w:tbl>
    <w:p w:rsidR="002D2DFF" w:rsidRPr="002D2DFF" w:rsidRDefault="002D2DFF" w:rsidP="007A58A4">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2D2DFF">
        <w:rPr>
          <w:rFonts w:asciiTheme="minorHAnsi" w:eastAsiaTheme="minorHAnsi" w:hAnsiTheme="minorHAnsi" w:cstheme="minorBidi"/>
          <w:snapToGrid/>
          <w:sz w:val="24"/>
        </w:rPr>
        <w:lastRenderedPageBreak/>
        <w:t xml:space="preserve">The submission was prepared in response to liaison with the company from the Chief Medical Officer following the outcomes of the 2017 influenza season in Australia.  Given the experience of the 2017 influenza season, to contribute to the Government’s response to public health concerns around the 2018 influenza season </w:t>
      </w:r>
      <w:proofErr w:type="spellStart"/>
      <w:r w:rsidRPr="002D2DFF">
        <w:rPr>
          <w:rFonts w:asciiTheme="minorHAnsi" w:eastAsiaTheme="minorHAnsi" w:hAnsiTheme="minorHAnsi" w:cstheme="minorBidi"/>
          <w:snapToGrid/>
          <w:sz w:val="24"/>
        </w:rPr>
        <w:t>Seqirus</w:t>
      </w:r>
      <w:proofErr w:type="spellEnd"/>
      <w:r w:rsidRPr="002D2DFF">
        <w:rPr>
          <w:rFonts w:asciiTheme="minorHAnsi" w:eastAsiaTheme="minorHAnsi" w:hAnsiTheme="minorHAnsi" w:cstheme="minorBidi"/>
          <w:snapToGrid/>
          <w:sz w:val="24"/>
        </w:rPr>
        <w:t xml:space="preserve"> made the submission on a cost-minimisation basis to the current standard of care </w:t>
      </w:r>
      <w:proofErr w:type="spellStart"/>
      <w:r w:rsidRPr="002D2DFF">
        <w:rPr>
          <w:rFonts w:asciiTheme="minorHAnsi" w:eastAsiaTheme="minorHAnsi" w:hAnsiTheme="minorHAnsi" w:cstheme="minorBidi"/>
          <w:snapToGrid/>
          <w:sz w:val="24"/>
        </w:rPr>
        <w:t>quadrivalent</w:t>
      </w:r>
      <w:proofErr w:type="spellEnd"/>
      <w:r w:rsidRPr="002D2DFF">
        <w:rPr>
          <w:rFonts w:asciiTheme="minorHAnsi" w:eastAsiaTheme="minorHAnsi" w:hAnsiTheme="minorHAnsi" w:cstheme="minorBidi"/>
          <w:snapToGrid/>
          <w:sz w:val="24"/>
        </w:rPr>
        <w:t xml:space="preserve"> influenza vaccine (QIV), in the interests of public health</w:t>
      </w:r>
      <w:r w:rsidR="00E63FC3">
        <w:rPr>
          <w:rFonts w:asciiTheme="minorHAnsi" w:eastAsiaTheme="minorHAnsi" w:hAnsiTheme="minorHAnsi" w:cstheme="minorBidi"/>
          <w:snapToGrid/>
          <w:sz w:val="24"/>
        </w:rPr>
        <w:t>.</w:t>
      </w:r>
    </w:p>
    <w:p w:rsidR="0060771A" w:rsidRPr="00A9134C" w:rsidRDefault="0060771A" w:rsidP="00A9134C">
      <w:pPr>
        <w:spacing w:after="120"/>
        <w:rPr>
          <w:rFonts w:asciiTheme="minorHAnsi" w:eastAsiaTheme="minorHAnsi" w:hAnsiTheme="minorHAnsi" w:cstheme="minorBidi"/>
          <w:i/>
          <w:szCs w:val="22"/>
        </w:rPr>
      </w:pPr>
      <w:r w:rsidRPr="00D114E8">
        <w:rPr>
          <w:rFonts w:asciiTheme="minorHAnsi" w:eastAsiaTheme="minorHAnsi" w:hAnsiTheme="minorHAnsi" w:cstheme="minorBidi"/>
          <w:i/>
          <w:szCs w:val="22"/>
        </w:rPr>
        <w:t>For more detail on PBAC’s view, see section 7 PBAC outcome.</w:t>
      </w:r>
    </w:p>
    <w:p w:rsidR="00CE10C4" w:rsidRPr="00FD6D8E" w:rsidRDefault="009159D6" w:rsidP="00D31150">
      <w:pPr>
        <w:pStyle w:val="PBACHeading1"/>
        <w:spacing w:before="240" w:after="120"/>
        <w:ind w:left="709" w:hanging="709"/>
        <w:rPr>
          <w:rFonts w:asciiTheme="minorHAnsi" w:hAnsiTheme="minorHAnsi"/>
          <w:sz w:val="32"/>
          <w:szCs w:val="32"/>
        </w:rPr>
      </w:pPr>
      <w:r>
        <w:rPr>
          <w:rFonts w:asciiTheme="minorHAnsi" w:hAnsiTheme="minorHAnsi"/>
          <w:sz w:val="32"/>
          <w:szCs w:val="32"/>
        </w:rPr>
        <w:t>Current Situation</w:t>
      </w:r>
    </w:p>
    <w:p w:rsidR="008F7878" w:rsidRDefault="00D2037E"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The submission </w:t>
      </w:r>
      <w:r w:rsidR="00617E44" w:rsidRPr="006552D5">
        <w:rPr>
          <w:rFonts w:asciiTheme="minorHAnsi" w:eastAsiaTheme="minorHAnsi" w:hAnsiTheme="minorHAnsi" w:cstheme="minorBidi"/>
          <w:snapToGrid/>
          <w:sz w:val="24"/>
          <w:szCs w:val="22"/>
        </w:rPr>
        <w:t xml:space="preserve">sought </w:t>
      </w:r>
      <w:r w:rsidRPr="006552D5">
        <w:rPr>
          <w:rFonts w:asciiTheme="minorHAnsi" w:eastAsiaTheme="minorHAnsi" w:hAnsiTheme="minorHAnsi" w:cstheme="minorBidi"/>
          <w:snapToGrid/>
          <w:sz w:val="24"/>
          <w:szCs w:val="22"/>
        </w:rPr>
        <w:t xml:space="preserve">listing on the NIP for subsidised provision of </w:t>
      </w:r>
      <w:proofErr w:type="spellStart"/>
      <w:r w:rsidRPr="006552D5">
        <w:rPr>
          <w:rFonts w:asciiTheme="minorHAnsi" w:eastAsiaTheme="minorHAnsi" w:hAnsiTheme="minorHAnsi" w:cstheme="minorBidi"/>
          <w:snapToGrid/>
          <w:sz w:val="24"/>
          <w:szCs w:val="22"/>
        </w:rPr>
        <w:t>aTIV</w:t>
      </w:r>
      <w:proofErr w:type="spellEnd"/>
      <w:r w:rsidR="002345BA" w:rsidRPr="006552D5">
        <w:rPr>
          <w:rFonts w:asciiTheme="minorHAnsi" w:eastAsiaTheme="minorHAnsi" w:hAnsiTheme="minorHAnsi" w:cstheme="minorBidi"/>
          <w:snapToGrid/>
          <w:sz w:val="24"/>
          <w:szCs w:val="22"/>
        </w:rPr>
        <w:t xml:space="preserve"> for those </w:t>
      </w:r>
      <w:r w:rsidR="00617E44" w:rsidRPr="006552D5">
        <w:rPr>
          <w:rFonts w:asciiTheme="minorHAnsi" w:eastAsiaTheme="minorHAnsi" w:hAnsiTheme="minorHAnsi" w:cstheme="minorBidi"/>
          <w:snapToGrid/>
          <w:sz w:val="24"/>
          <w:szCs w:val="22"/>
        </w:rPr>
        <w:t>aged ≥</w:t>
      </w:r>
      <w:r w:rsidR="002345BA" w:rsidRPr="006552D5">
        <w:rPr>
          <w:rFonts w:asciiTheme="minorHAnsi" w:eastAsiaTheme="minorHAnsi" w:hAnsiTheme="minorHAnsi" w:cstheme="minorBidi"/>
          <w:snapToGrid/>
          <w:sz w:val="24"/>
          <w:szCs w:val="22"/>
        </w:rPr>
        <w:t xml:space="preserve">65 </w:t>
      </w:r>
      <w:r w:rsidR="000D712C" w:rsidRPr="006552D5">
        <w:rPr>
          <w:rFonts w:asciiTheme="minorHAnsi" w:eastAsiaTheme="minorHAnsi" w:hAnsiTheme="minorHAnsi" w:cstheme="minorBidi"/>
          <w:snapToGrid/>
          <w:sz w:val="24"/>
          <w:szCs w:val="22"/>
        </w:rPr>
        <w:t>eligible</w:t>
      </w:r>
      <w:r w:rsidR="002345BA" w:rsidRPr="006552D5">
        <w:rPr>
          <w:rFonts w:asciiTheme="minorHAnsi" w:eastAsiaTheme="minorHAnsi" w:hAnsiTheme="minorHAnsi" w:cstheme="minorBidi"/>
          <w:snapToGrid/>
          <w:sz w:val="24"/>
          <w:szCs w:val="22"/>
        </w:rPr>
        <w:t xml:space="preserve"> for free influenza vaccines through the NIP</w:t>
      </w:r>
      <w:r w:rsidR="00617E44" w:rsidRPr="006552D5">
        <w:rPr>
          <w:rFonts w:asciiTheme="minorHAnsi" w:eastAsiaTheme="minorHAnsi" w:hAnsiTheme="minorHAnsi" w:cstheme="minorBidi"/>
          <w:snapToGrid/>
          <w:sz w:val="24"/>
          <w:szCs w:val="22"/>
        </w:rPr>
        <w:t xml:space="preserve"> due to the high rates of cases of influenza in this age group in 2017 and the broadened immune response produced by </w:t>
      </w:r>
      <w:proofErr w:type="spellStart"/>
      <w:r w:rsidR="00617E44" w:rsidRPr="006552D5">
        <w:rPr>
          <w:rFonts w:asciiTheme="minorHAnsi" w:eastAsiaTheme="minorHAnsi" w:hAnsiTheme="minorHAnsi" w:cstheme="minorBidi"/>
          <w:snapToGrid/>
          <w:sz w:val="24"/>
          <w:szCs w:val="22"/>
        </w:rPr>
        <w:t>aTIV</w:t>
      </w:r>
      <w:proofErr w:type="spellEnd"/>
      <w:r w:rsidR="00617E44" w:rsidRPr="006552D5">
        <w:rPr>
          <w:rFonts w:asciiTheme="minorHAnsi" w:eastAsiaTheme="minorHAnsi" w:hAnsiTheme="minorHAnsi" w:cstheme="minorBidi"/>
          <w:snapToGrid/>
          <w:sz w:val="24"/>
          <w:szCs w:val="22"/>
        </w:rPr>
        <w:t xml:space="preserve"> for this age group.</w:t>
      </w:r>
    </w:p>
    <w:p w:rsidR="00907B0C" w:rsidRDefault="000B45FA"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As the submission presented a </w:t>
      </w:r>
      <w:r w:rsidR="007F3F68">
        <w:rPr>
          <w:rFonts w:asciiTheme="minorHAnsi" w:eastAsiaTheme="minorHAnsi" w:hAnsiTheme="minorHAnsi" w:cstheme="minorBidi"/>
          <w:snapToGrid/>
          <w:sz w:val="24"/>
          <w:szCs w:val="22"/>
        </w:rPr>
        <w:t>cost—minimisation analysis (</w:t>
      </w:r>
      <w:r w:rsidRPr="006552D5">
        <w:rPr>
          <w:rFonts w:asciiTheme="minorHAnsi" w:eastAsiaTheme="minorHAnsi" w:hAnsiTheme="minorHAnsi" w:cstheme="minorBidi"/>
          <w:snapToGrid/>
          <w:sz w:val="24"/>
          <w:szCs w:val="22"/>
        </w:rPr>
        <w:t>CMA</w:t>
      </w:r>
      <w:r w:rsidR="007F3F68">
        <w:rPr>
          <w:rFonts w:asciiTheme="minorHAnsi" w:eastAsiaTheme="minorHAnsi" w:hAnsiTheme="minorHAnsi" w:cstheme="minorBidi"/>
          <w:snapToGrid/>
          <w:sz w:val="24"/>
          <w:szCs w:val="22"/>
        </w:rPr>
        <w:t>)</w:t>
      </w:r>
      <w:r w:rsidRPr="006552D5">
        <w:rPr>
          <w:rFonts w:asciiTheme="minorHAnsi" w:eastAsiaTheme="minorHAnsi" w:hAnsiTheme="minorHAnsi" w:cstheme="minorBidi"/>
          <w:snapToGrid/>
          <w:sz w:val="24"/>
          <w:szCs w:val="22"/>
        </w:rPr>
        <w:t xml:space="preserve"> for a seasonal influenza vaccine, the PBAC </w:t>
      </w:r>
      <w:r w:rsidR="006552D5">
        <w:rPr>
          <w:rFonts w:asciiTheme="minorHAnsi" w:eastAsiaTheme="minorHAnsi" w:hAnsiTheme="minorHAnsi" w:cstheme="minorBidi"/>
          <w:snapToGrid/>
          <w:sz w:val="24"/>
          <w:szCs w:val="22"/>
        </w:rPr>
        <w:t xml:space="preserve">consideration </w:t>
      </w:r>
      <w:r w:rsidRPr="006552D5">
        <w:rPr>
          <w:rFonts w:asciiTheme="minorHAnsi" w:eastAsiaTheme="minorHAnsi" w:hAnsiTheme="minorHAnsi" w:cstheme="minorBidi"/>
          <w:snapToGrid/>
          <w:sz w:val="24"/>
          <w:szCs w:val="22"/>
        </w:rPr>
        <w:t xml:space="preserve">will be </w:t>
      </w:r>
      <w:r w:rsidR="006552D5">
        <w:rPr>
          <w:rFonts w:asciiTheme="minorHAnsi" w:eastAsiaTheme="minorHAnsi" w:hAnsiTheme="minorHAnsi" w:cstheme="minorBidi"/>
          <w:snapToGrid/>
          <w:sz w:val="24"/>
          <w:szCs w:val="22"/>
        </w:rPr>
        <w:t>informed</w:t>
      </w:r>
      <w:r w:rsidR="006552D5" w:rsidRPr="006552D5">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 xml:space="preserve">by the advice of </w:t>
      </w:r>
      <w:r w:rsidR="008F7878" w:rsidRPr="006552D5">
        <w:rPr>
          <w:rFonts w:asciiTheme="minorHAnsi" w:eastAsiaTheme="minorHAnsi" w:hAnsiTheme="minorHAnsi" w:cstheme="minorBidi"/>
          <w:snapToGrid/>
          <w:sz w:val="24"/>
          <w:szCs w:val="22"/>
        </w:rPr>
        <w:t>t</w:t>
      </w:r>
      <w:r w:rsidR="00617E44" w:rsidRPr="006552D5">
        <w:rPr>
          <w:rFonts w:asciiTheme="minorHAnsi" w:eastAsiaTheme="minorHAnsi" w:hAnsiTheme="minorHAnsi" w:cstheme="minorBidi"/>
          <w:snapToGrid/>
          <w:sz w:val="24"/>
          <w:szCs w:val="22"/>
        </w:rPr>
        <w:t xml:space="preserve">he </w:t>
      </w:r>
      <w:r w:rsidR="00EE7AAB" w:rsidRPr="006552D5">
        <w:rPr>
          <w:rFonts w:asciiTheme="minorHAnsi" w:eastAsiaTheme="minorHAnsi" w:hAnsiTheme="minorHAnsi" w:cstheme="minorBidi"/>
          <w:snapToGrid/>
          <w:sz w:val="24"/>
          <w:szCs w:val="22"/>
        </w:rPr>
        <w:t>Australian Technical Advisory Group on Immunisation (ATAGI)</w:t>
      </w:r>
      <w:r w:rsidRPr="006552D5">
        <w:rPr>
          <w:rFonts w:asciiTheme="minorHAnsi" w:eastAsiaTheme="minorHAnsi" w:hAnsiTheme="minorHAnsi" w:cstheme="minorBidi"/>
          <w:snapToGrid/>
          <w:sz w:val="24"/>
          <w:szCs w:val="22"/>
        </w:rPr>
        <w:t xml:space="preserve"> which considered the vaccine with regards to comparative cost-</w:t>
      </w:r>
      <w:r w:rsidR="006D73EB" w:rsidRPr="006552D5">
        <w:rPr>
          <w:rFonts w:asciiTheme="minorHAnsi" w:eastAsiaTheme="minorHAnsi" w:hAnsiTheme="minorHAnsi" w:cstheme="minorBidi"/>
          <w:snapToGrid/>
          <w:sz w:val="24"/>
          <w:szCs w:val="22"/>
        </w:rPr>
        <w:t>effectiveness</w:t>
      </w:r>
      <w:r w:rsidR="006D73EB">
        <w:rPr>
          <w:rFonts w:asciiTheme="minorHAnsi" w:eastAsiaTheme="minorHAnsi" w:hAnsiTheme="minorHAnsi" w:cstheme="minorBidi"/>
          <w:snapToGrid/>
          <w:sz w:val="24"/>
          <w:szCs w:val="22"/>
        </w:rPr>
        <w:t xml:space="preserve"> and</w:t>
      </w:r>
      <w:r w:rsidRPr="006552D5">
        <w:rPr>
          <w:rFonts w:asciiTheme="minorHAnsi" w:eastAsiaTheme="minorHAnsi" w:hAnsiTheme="minorHAnsi" w:cstheme="minorBidi"/>
          <w:snapToGrid/>
          <w:sz w:val="24"/>
          <w:szCs w:val="22"/>
        </w:rPr>
        <w:t xml:space="preserve"> safety.  </w:t>
      </w:r>
    </w:p>
    <w:p w:rsidR="008F7878" w:rsidRDefault="000B45FA"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ATAGI </w:t>
      </w:r>
      <w:r w:rsidR="00617E44" w:rsidRPr="006552D5">
        <w:rPr>
          <w:rFonts w:asciiTheme="minorHAnsi" w:eastAsiaTheme="minorHAnsi" w:hAnsiTheme="minorHAnsi" w:cstheme="minorBidi"/>
          <w:snapToGrid/>
          <w:sz w:val="24"/>
          <w:szCs w:val="22"/>
        </w:rPr>
        <w:t xml:space="preserve">supported </w:t>
      </w:r>
      <w:r w:rsidR="00907B0C">
        <w:rPr>
          <w:rFonts w:asciiTheme="minorHAnsi" w:eastAsiaTheme="minorHAnsi" w:hAnsiTheme="minorHAnsi" w:cstheme="minorBidi"/>
          <w:snapToGrid/>
          <w:sz w:val="24"/>
          <w:szCs w:val="22"/>
        </w:rPr>
        <w:t>the</w:t>
      </w:r>
      <w:r w:rsidR="00617E44" w:rsidRPr="006552D5">
        <w:rPr>
          <w:rFonts w:asciiTheme="minorHAnsi" w:eastAsiaTheme="minorHAnsi" w:hAnsiTheme="minorHAnsi" w:cstheme="minorBidi"/>
          <w:snapToGrid/>
          <w:sz w:val="24"/>
          <w:szCs w:val="22"/>
        </w:rPr>
        <w:t xml:space="preserve"> listing</w:t>
      </w:r>
      <w:r w:rsidR="00907B0C">
        <w:rPr>
          <w:rFonts w:asciiTheme="minorHAnsi" w:eastAsiaTheme="minorHAnsi" w:hAnsiTheme="minorHAnsi" w:cstheme="minorBidi"/>
          <w:snapToGrid/>
          <w:sz w:val="24"/>
          <w:szCs w:val="22"/>
        </w:rPr>
        <w:t xml:space="preserve"> of </w:t>
      </w:r>
      <w:proofErr w:type="spellStart"/>
      <w:r w:rsidR="00907B0C">
        <w:rPr>
          <w:rFonts w:asciiTheme="minorHAnsi" w:eastAsiaTheme="minorHAnsi" w:hAnsiTheme="minorHAnsi" w:cstheme="minorBidi"/>
          <w:snapToGrid/>
          <w:sz w:val="24"/>
          <w:szCs w:val="22"/>
        </w:rPr>
        <w:t>aTIV</w:t>
      </w:r>
      <w:proofErr w:type="spellEnd"/>
      <w:r w:rsidR="00617E44" w:rsidRPr="006552D5">
        <w:rPr>
          <w:rFonts w:asciiTheme="minorHAnsi" w:eastAsiaTheme="minorHAnsi" w:hAnsiTheme="minorHAnsi" w:cstheme="minorBidi"/>
          <w:snapToGrid/>
          <w:sz w:val="24"/>
          <w:szCs w:val="22"/>
        </w:rPr>
        <w:t xml:space="preserve"> for the proposed group</w:t>
      </w:r>
      <w:r w:rsidRPr="006552D5">
        <w:rPr>
          <w:rFonts w:asciiTheme="minorHAnsi" w:eastAsiaTheme="minorHAnsi" w:hAnsiTheme="minorHAnsi" w:cstheme="minorBidi"/>
          <w:snapToGrid/>
          <w:sz w:val="24"/>
          <w:szCs w:val="22"/>
        </w:rPr>
        <w:t xml:space="preserve"> based on the claim of non-inferiority.  ATAGI’s advice is summarised below for the purposes of the PBAC assessment.  A full evaluation of the submission has not been undertaken by the PBAC Secretariat. </w:t>
      </w:r>
    </w:p>
    <w:p w:rsidR="000B45FA" w:rsidRDefault="000B45FA"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The proposed price is equal to the nationally </w:t>
      </w:r>
      <w:r w:rsidR="008F7878" w:rsidRPr="006552D5">
        <w:rPr>
          <w:rFonts w:asciiTheme="minorHAnsi" w:eastAsiaTheme="minorHAnsi" w:hAnsiTheme="minorHAnsi" w:cstheme="minorBidi"/>
          <w:snapToGrid/>
          <w:sz w:val="24"/>
          <w:szCs w:val="22"/>
        </w:rPr>
        <w:t>negotiated</w:t>
      </w:r>
      <w:r w:rsidRPr="006552D5">
        <w:rPr>
          <w:rFonts w:asciiTheme="minorHAnsi" w:eastAsiaTheme="minorHAnsi" w:hAnsiTheme="minorHAnsi" w:cstheme="minorBidi"/>
          <w:snapToGrid/>
          <w:sz w:val="24"/>
          <w:szCs w:val="22"/>
        </w:rPr>
        <w:t xml:space="preserve"> price for the </w:t>
      </w:r>
      <w:r w:rsidR="008F7878" w:rsidRPr="008F7878">
        <w:rPr>
          <w:rFonts w:asciiTheme="minorHAnsi" w:eastAsiaTheme="minorHAnsi" w:hAnsiTheme="minorHAnsi" w:cstheme="minorBidi"/>
          <w:snapToGrid/>
          <w:sz w:val="24"/>
          <w:szCs w:val="22"/>
        </w:rPr>
        <w:t>comparator</w:t>
      </w:r>
      <w:r w:rsidRPr="006552D5">
        <w:rPr>
          <w:rFonts w:asciiTheme="minorHAnsi" w:eastAsiaTheme="minorHAnsi" w:hAnsiTheme="minorHAnsi" w:cstheme="minorBidi"/>
          <w:snapToGrid/>
          <w:sz w:val="24"/>
          <w:szCs w:val="22"/>
        </w:rPr>
        <w:t>, noting that the tender price for the comparator may be lower.</w:t>
      </w:r>
    </w:p>
    <w:p w:rsidR="008F7878" w:rsidRDefault="008F7878" w:rsidP="006552D5">
      <w:pPr>
        <w:pStyle w:val="ListParagraph"/>
        <w:widowControl/>
        <w:numPr>
          <w:ilvl w:val="1"/>
          <w:numId w:val="14"/>
        </w:numPr>
        <w:spacing w:before="120" w:after="160"/>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 xml:space="preserve">ATAGI noted a number of points relevant to the implementation of listing of </w:t>
      </w:r>
      <w:proofErr w:type="spellStart"/>
      <w:r>
        <w:rPr>
          <w:rFonts w:asciiTheme="minorHAnsi" w:eastAsiaTheme="minorHAnsi" w:hAnsiTheme="minorHAnsi" w:cstheme="minorBidi"/>
          <w:snapToGrid/>
          <w:sz w:val="24"/>
          <w:szCs w:val="22"/>
        </w:rPr>
        <w:t>aTIV</w:t>
      </w:r>
      <w:proofErr w:type="spellEnd"/>
      <w:r w:rsidR="007F7443">
        <w:rPr>
          <w:rFonts w:asciiTheme="minorHAnsi" w:eastAsiaTheme="minorHAnsi" w:hAnsiTheme="minorHAnsi" w:cstheme="minorBidi"/>
          <w:snapToGrid/>
          <w:sz w:val="24"/>
          <w:szCs w:val="22"/>
        </w:rPr>
        <w:t xml:space="preserve"> (Pre-Submission Advice, P9-11)</w:t>
      </w:r>
      <w:r>
        <w:rPr>
          <w:rFonts w:asciiTheme="minorHAnsi" w:eastAsiaTheme="minorHAnsi" w:hAnsiTheme="minorHAnsi" w:cstheme="minorBidi"/>
          <w:snapToGrid/>
          <w:sz w:val="24"/>
          <w:szCs w:val="22"/>
        </w:rPr>
        <w:t>:</w:t>
      </w:r>
    </w:p>
    <w:p w:rsidR="002C6209" w:rsidRPr="006552D5" w:rsidRDefault="002C6209"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C</w:t>
      </w:r>
      <w:r w:rsidRPr="006552D5">
        <w:rPr>
          <w:rFonts w:asciiTheme="minorHAnsi" w:eastAsiaTheme="minorHAnsi" w:hAnsiTheme="minorHAnsi" w:cstheme="minorBidi"/>
          <w:snapToGrid/>
          <w:sz w:val="24"/>
          <w:szCs w:val="22"/>
        </w:rPr>
        <w:t xml:space="preserve">ontinued availability of QIV as an alternative for use </w:t>
      </w:r>
      <w:r w:rsidR="006D73EB">
        <w:rPr>
          <w:rFonts w:asciiTheme="minorHAnsi" w:eastAsiaTheme="minorHAnsi" w:hAnsiTheme="minorHAnsi" w:cstheme="minorBidi"/>
          <w:snapToGrid/>
          <w:sz w:val="24"/>
          <w:szCs w:val="22"/>
        </w:rPr>
        <w:t>would be</w:t>
      </w:r>
      <w:r w:rsidRPr="006552D5">
        <w:rPr>
          <w:rFonts w:asciiTheme="minorHAnsi" w:eastAsiaTheme="minorHAnsi" w:hAnsiTheme="minorHAnsi" w:cstheme="minorBidi"/>
          <w:snapToGrid/>
          <w:sz w:val="24"/>
          <w:szCs w:val="22"/>
        </w:rPr>
        <w:t xml:space="preserve"> </w:t>
      </w:r>
      <w:proofErr w:type="gramStart"/>
      <w:r w:rsidRPr="006552D5">
        <w:rPr>
          <w:rFonts w:asciiTheme="minorHAnsi" w:eastAsiaTheme="minorHAnsi" w:hAnsiTheme="minorHAnsi" w:cstheme="minorBidi"/>
          <w:snapToGrid/>
          <w:sz w:val="24"/>
          <w:szCs w:val="22"/>
        </w:rPr>
        <w:t>important,</w:t>
      </w:r>
      <w:proofErr w:type="gramEnd"/>
      <w:r w:rsidRPr="006552D5">
        <w:rPr>
          <w:rFonts w:asciiTheme="minorHAnsi" w:eastAsiaTheme="minorHAnsi" w:hAnsiTheme="minorHAnsi" w:cstheme="minorBidi"/>
          <w:snapToGrid/>
          <w:sz w:val="24"/>
          <w:szCs w:val="22"/>
        </w:rPr>
        <w:t xml:space="preserve"> </w:t>
      </w:r>
      <w:r w:rsidR="00907B0C">
        <w:rPr>
          <w:rFonts w:asciiTheme="minorHAnsi" w:eastAsiaTheme="minorHAnsi" w:hAnsiTheme="minorHAnsi" w:cstheme="minorBidi"/>
          <w:snapToGrid/>
          <w:sz w:val="24"/>
          <w:szCs w:val="22"/>
        </w:rPr>
        <w:t>noting that</w:t>
      </w:r>
      <w:r w:rsidRPr="006552D5">
        <w:rPr>
          <w:rFonts w:asciiTheme="minorHAnsi" w:eastAsiaTheme="minorHAnsi" w:hAnsiTheme="minorHAnsi" w:cstheme="minorBidi"/>
          <w:snapToGrid/>
          <w:sz w:val="24"/>
          <w:szCs w:val="22"/>
        </w:rPr>
        <w:t xml:space="preserve"> stocking both vaccines and preventing confusion amo</w:t>
      </w:r>
      <w:r w:rsidR="007F7443" w:rsidRPr="006552D5">
        <w:rPr>
          <w:rFonts w:asciiTheme="minorHAnsi" w:eastAsiaTheme="minorHAnsi" w:hAnsiTheme="minorHAnsi" w:cstheme="minorBidi"/>
          <w:snapToGrid/>
          <w:sz w:val="24"/>
          <w:szCs w:val="22"/>
        </w:rPr>
        <w:t>ngst providers may be difficult</w:t>
      </w:r>
      <w:r w:rsidR="007F7443">
        <w:rPr>
          <w:rFonts w:asciiTheme="minorHAnsi" w:eastAsiaTheme="minorHAnsi" w:hAnsiTheme="minorHAnsi" w:cstheme="minorBidi"/>
          <w:snapToGrid/>
          <w:sz w:val="24"/>
          <w:szCs w:val="22"/>
        </w:rPr>
        <w:t>.</w:t>
      </w:r>
    </w:p>
    <w:p w:rsidR="002C6209" w:rsidRPr="006552D5" w:rsidRDefault="002C6209"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M</w:t>
      </w:r>
      <w:r w:rsidRPr="006552D5">
        <w:rPr>
          <w:rFonts w:asciiTheme="minorHAnsi" w:eastAsiaTheme="minorHAnsi" w:hAnsiTheme="minorHAnsi" w:cstheme="minorBidi"/>
          <w:snapToGrid/>
          <w:sz w:val="24"/>
          <w:szCs w:val="22"/>
        </w:rPr>
        <w:t xml:space="preserve">inor increases in cold chain capacity and storage space requirements </w:t>
      </w:r>
      <w:r w:rsidR="006D73EB">
        <w:rPr>
          <w:rFonts w:asciiTheme="minorHAnsi" w:eastAsiaTheme="minorHAnsi" w:hAnsiTheme="minorHAnsi" w:cstheme="minorBidi"/>
          <w:snapToGrid/>
          <w:sz w:val="24"/>
          <w:szCs w:val="22"/>
        </w:rPr>
        <w:t>would occur due to t</w:t>
      </w:r>
      <w:r w:rsidRPr="006552D5">
        <w:rPr>
          <w:rFonts w:asciiTheme="minorHAnsi" w:eastAsiaTheme="minorHAnsi" w:hAnsiTheme="minorHAnsi" w:cstheme="minorBidi"/>
          <w:snapToGrid/>
          <w:sz w:val="24"/>
          <w:szCs w:val="22"/>
        </w:rPr>
        <w:t>he addition of an alternative vaccine.</w:t>
      </w:r>
    </w:p>
    <w:p w:rsidR="002C6209" w:rsidRPr="006552D5" w:rsidRDefault="00907B0C"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E</w:t>
      </w:r>
      <w:r w:rsidR="002C6209" w:rsidRPr="006552D5">
        <w:rPr>
          <w:rFonts w:asciiTheme="minorHAnsi" w:eastAsiaTheme="minorHAnsi" w:hAnsiTheme="minorHAnsi" w:cstheme="minorBidi"/>
          <w:snapToGrid/>
          <w:sz w:val="24"/>
          <w:szCs w:val="22"/>
        </w:rPr>
        <w:t xml:space="preserve">valuation of the program would be particularly important and that existing surveillance mechanisms </w:t>
      </w:r>
      <w:r w:rsidR="006D73EB">
        <w:rPr>
          <w:rFonts w:asciiTheme="minorHAnsi" w:eastAsiaTheme="minorHAnsi" w:hAnsiTheme="minorHAnsi" w:cstheme="minorBidi"/>
          <w:snapToGrid/>
          <w:sz w:val="24"/>
          <w:szCs w:val="22"/>
        </w:rPr>
        <w:t>we</w:t>
      </w:r>
      <w:r w:rsidR="002C6209" w:rsidRPr="006552D5">
        <w:rPr>
          <w:rFonts w:asciiTheme="minorHAnsi" w:eastAsiaTheme="minorHAnsi" w:hAnsiTheme="minorHAnsi" w:cstheme="minorBidi"/>
          <w:snapToGrid/>
          <w:sz w:val="24"/>
          <w:szCs w:val="22"/>
        </w:rPr>
        <w:t xml:space="preserve">re inadequate to estimate the burden of influenza due to under-reporting.  ATAGI strongly recommended that the impact of </w:t>
      </w:r>
      <w:proofErr w:type="spellStart"/>
      <w:r w:rsidR="00DF74E9">
        <w:rPr>
          <w:rFonts w:asciiTheme="minorHAnsi" w:eastAsiaTheme="minorHAnsi" w:hAnsiTheme="minorHAnsi" w:cstheme="minorBidi"/>
          <w:snapToGrid/>
          <w:sz w:val="24"/>
          <w:szCs w:val="22"/>
        </w:rPr>
        <w:t>aTIV</w:t>
      </w:r>
      <w:proofErr w:type="spellEnd"/>
      <w:r w:rsidR="002C6209" w:rsidRPr="006552D5">
        <w:rPr>
          <w:rFonts w:asciiTheme="minorHAnsi" w:eastAsiaTheme="minorHAnsi" w:hAnsiTheme="minorHAnsi" w:cstheme="minorBidi"/>
          <w:snapToGrid/>
          <w:sz w:val="24"/>
          <w:szCs w:val="22"/>
        </w:rPr>
        <w:t xml:space="preserve"> relative to other available vaccine/s used in the NIP for Australians aged 65 and over be evaluated.  </w:t>
      </w:r>
    </w:p>
    <w:p w:rsidR="002C6209" w:rsidRPr="006552D5" w:rsidRDefault="007F7443"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S</w:t>
      </w:r>
      <w:r w:rsidRPr="006552D5">
        <w:rPr>
          <w:rFonts w:asciiTheme="minorHAnsi" w:eastAsiaTheme="minorHAnsi" w:hAnsiTheme="minorHAnsi" w:cstheme="minorBidi"/>
          <w:snapToGrid/>
          <w:sz w:val="24"/>
          <w:szCs w:val="22"/>
        </w:rPr>
        <w:t>ubstantial</w:t>
      </w:r>
      <w:r w:rsidR="002C6209" w:rsidRPr="006552D5">
        <w:rPr>
          <w:rFonts w:asciiTheme="minorHAnsi" w:eastAsiaTheme="minorHAnsi" w:hAnsiTheme="minorHAnsi" w:cstheme="minorBidi"/>
          <w:snapToGrid/>
          <w:sz w:val="24"/>
          <w:szCs w:val="22"/>
        </w:rPr>
        <w:t xml:space="preserve"> planning and resourcing would be required for communication with and education of general practitioners and other immunisation providers including managing the availability of multiple vaccines types </w:t>
      </w:r>
      <w:r w:rsidR="00B540C7">
        <w:rPr>
          <w:rFonts w:asciiTheme="minorHAnsi" w:eastAsiaTheme="minorHAnsi" w:hAnsiTheme="minorHAnsi" w:cstheme="minorBidi"/>
          <w:snapToGrid/>
          <w:sz w:val="24"/>
          <w:szCs w:val="22"/>
        </w:rPr>
        <w:t>for</w:t>
      </w:r>
      <w:r w:rsidR="00B540C7" w:rsidRPr="006552D5">
        <w:rPr>
          <w:rFonts w:asciiTheme="minorHAnsi" w:eastAsiaTheme="minorHAnsi" w:hAnsiTheme="minorHAnsi" w:cstheme="minorBidi"/>
          <w:snapToGrid/>
          <w:sz w:val="24"/>
          <w:szCs w:val="22"/>
        </w:rPr>
        <w:t xml:space="preserve"> </w:t>
      </w:r>
      <w:r w:rsidR="002C6209" w:rsidRPr="006552D5">
        <w:rPr>
          <w:rFonts w:asciiTheme="minorHAnsi" w:eastAsiaTheme="minorHAnsi" w:hAnsiTheme="minorHAnsi" w:cstheme="minorBidi"/>
          <w:snapToGrid/>
          <w:sz w:val="24"/>
          <w:szCs w:val="22"/>
        </w:rPr>
        <w:lastRenderedPageBreak/>
        <w:t>the same population group and how to counsel patients on which vaccine to receive, which may be a complicated message.</w:t>
      </w:r>
    </w:p>
    <w:p w:rsidR="002C6209" w:rsidRPr="006552D5" w:rsidRDefault="006D73EB"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P</w:t>
      </w:r>
      <w:r w:rsidR="002C6209" w:rsidRPr="006552D5">
        <w:rPr>
          <w:rFonts w:asciiTheme="minorHAnsi" w:eastAsiaTheme="minorHAnsi" w:hAnsiTheme="minorHAnsi" w:cstheme="minorBidi"/>
          <w:snapToGrid/>
          <w:sz w:val="24"/>
          <w:szCs w:val="22"/>
        </w:rPr>
        <w:t xml:space="preserve">roviders </w:t>
      </w:r>
      <w:r w:rsidR="00907B0C">
        <w:rPr>
          <w:rFonts w:asciiTheme="minorHAnsi" w:eastAsiaTheme="minorHAnsi" w:hAnsiTheme="minorHAnsi" w:cstheme="minorBidi"/>
          <w:snapToGrid/>
          <w:sz w:val="24"/>
          <w:szCs w:val="22"/>
        </w:rPr>
        <w:t xml:space="preserve">would </w:t>
      </w:r>
      <w:r w:rsidR="002C6209" w:rsidRPr="006552D5">
        <w:rPr>
          <w:rFonts w:asciiTheme="minorHAnsi" w:eastAsiaTheme="minorHAnsi" w:hAnsiTheme="minorHAnsi" w:cstheme="minorBidi"/>
          <w:snapToGrid/>
          <w:sz w:val="24"/>
          <w:szCs w:val="22"/>
        </w:rPr>
        <w:t xml:space="preserve">need to be aware </w:t>
      </w:r>
      <w:proofErr w:type="spellStart"/>
      <w:r w:rsidR="00DF74E9">
        <w:rPr>
          <w:rFonts w:asciiTheme="minorHAnsi" w:eastAsiaTheme="minorHAnsi" w:hAnsiTheme="minorHAnsi" w:cstheme="minorBidi"/>
          <w:snapToGrid/>
          <w:sz w:val="24"/>
          <w:szCs w:val="22"/>
        </w:rPr>
        <w:t>aTIV</w:t>
      </w:r>
      <w:proofErr w:type="spellEnd"/>
      <w:r w:rsidR="002C6209" w:rsidRPr="006552D5">
        <w:rPr>
          <w:rFonts w:asciiTheme="minorHAnsi" w:eastAsiaTheme="minorHAnsi" w:hAnsiTheme="minorHAnsi" w:cstheme="minorBidi"/>
          <w:snapToGrid/>
          <w:sz w:val="24"/>
          <w:szCs w:val="22"/>
        </w:rPr>
        <w:t xml:space="preserve"> would only be registered for use in adults aged 65 and above and recording the number of inadvertent admin</w:t>
      </w:r>
      <w:r w:rsidRPr="006552D5">
        <w:rPr>
          <w:rFonts w:asciiTheme="minorHAnsi" w:eastAsiaTheme="minorHAnsi" w:hAnsiTheme="minorHAnsi" w:cstheme="minorBidi"/>
          <w:snapToGrid/>
          <w:sz w:val="24"/>
          <w:szCs w:val="22"/>
        </w:rPr>
        <w:t xml:space="preserve">istration to other age groups </w:t>
      </w:r>
      <w:r>
        <w:rPr>
          <w:rFonts w:asciiTheme="minorHAnsi" w:eastAsiaTheme="minorHAnsi" w:hAnsiTheme="minorHAnsi" w:cstheme="minorBidi"/>
          <w:snapToGrid/>
          <w:sz w:val="24"/>
          <w:szCs w:val="22"/>
        </w:rPr>
        <w:t>would be</w:t>
      </w:r>
      <w:r w:rsidR="002C6209" w:rsidRPr="006552D5">
        <w:rPr>
          <w:rFonts w:asciiTheme="minorHAnsi" w:eastAsiaTheme="minorHAnsi" w:hAnsiTheme="minorHAnsi" w:cstheme="minorBidi"/>
          <w:snapToGrid/>
          <w:sz w:val="24"/>
          <w:szCs w:val="22"/>
        </w:rPr>
        <w:t xml:space="preserve"> highly desirable.</w:t>
      </w:r>
    </w:p>
    <w:p w:rsidR="008F7878" w:rsidRPr="0060771A" w:rsidRDefault="006D73EB" w:rsidP="00FC412E">
      <w:pPr>
        <w:pStyle w:val="ListParagraph"/>
        <w:widowControl/>
        <w:numPr>
          <w:ilvl w:val="2"/>
          <w:numId w:val="14"/>
        </w:numPr>
        <w:spacing w:before="120" w:after="160"/>
        <w:ind w:left="1418"/>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D</w:t>
      </w:r>
      <w:r w:rsidR="002C6209" w:rsidRPr="006552D5">
        <w:rPr>
          <w:rFonts w:asciiTheme="minorHAnsi" w:eastAsiaTheme="minorHAnsi" w:hAnsiTheme="minorHAnsi" w:cstheme="minorBidi"/>
          <w:snapToGrid/>
          <w:sz w:val="24"/>
          <w:szCs w:val="22"/>
        </w:rPr>
        <w:t xml:space="preserve">ue to the higher rate of adverse events associated with </w:t>
      </w:r>
      <w:proofErr w:type="spellStart"/>
      <w:r w:rsidR="002C6209" w:rsidRPr="006552D5">
        <w:rPr>
          <w:rFonts w:asciiTheme="minorHAnsi" w:eastAsiaTheme="minorHAnsi" w:hAnsiTheme="minorHAnsi" w:cstheme="minorBidi"/>
          <w:snapToGrid/>
          <w:sz w:val="24"/>
          <w:szCs w:val="22"/>
        </w:rPr>
        <w:t>aTIV</w:t>
      </w:r>
      <w:proofErr w:type="spellEnd"/>
      <w:r w:rsidR="002C6209" w:rsidRPr="006552D5">
        <w:rPr>
          <w:rFonts w:asciiTheme="minorHAnsi" w:eastAsiaTheme="minorHAnsi" w:hAnsiTheme="minorHAnsi" w:cstheme="minorBidi"/>
          <w:snapToGrid/>
          <w:sz w:val="24"/>
          <w:szCs w:val="22"/>
        </w:rPr>
        <w:t xml:space="preserve"> and the limited data on the use of </w:t>
      </w:r>
      <w:proofErr w:type="spellStart"/>
      <w:r w:rsidR="002C6209" w:rsidRPr="006552D5">
        <w:rPr>
          <w:rFonts w:asciiTheme="minorHAnsi" w:eastAsiaTheme="minorHAnsi" w:hAnsiTheme="minorHAnsi" w:cstheme="minorBidi"/>
          <w:snapToGrid/>
          <w:sz w:val="24"/>
          <w:szCs w:val="22"/>
        </w:rPr>
        <w:t>aTIV</w:t>
      </w:r>
      <w:proofErr w:type="spellEnd"/>
      <w:r w:rsidR="002C6209" w:rsidRPr="006552D5">
        <w:rPr>
          <w:rFonts w:asciiTheme="minorHAnsi" w:eastAsiaTheme="minorHAnsi" w:hAnsiTheme="minorHAnsi" w:cstheme="minorBidi"/>
          <w:snapToGrid/>
          <w:sz w:val="24"/>
          <w:szCs w:val="22"/>
        </w:rPr>
        <w:t xml:space="preserve"> in children</w:t>
      </w:r>
      <w:r>
        <w:rPr>
          <w:rFonts w:asciiTheme="minorHAnsi" w:eastAsiaTheme="minorHAnsi" w:hAnsiTheme="minorHAnsi" w:cstheme="minorBidi"/>
          <w:snapToGrid/>
          <w:sz w:val="24"/>
          <w:szCs w:val="22"/>
        </w:rPr>
        <w:t>; that</w:t>
      </w:r>
      <w:r w:rsidR="002C6209" w:rsidRPr="006552D5">
        <w:rPr>
          <w:rFonts w:asciiTheme="minorHAnsi" w:eastAsiaTheme="minorHAnsi" w:hAnsiTheme="minorHAnsi" w:cstheme="minorBidi"/>
          <w:snapToGrid/>
          <w:sz w:val="24"/>
          <w:szCs w:val="22"/>
        </w:rPr>
        <w:t xml:space="preserve"> active surveillance of</w:t>
      </w:r>
      <w:r w:rsidRPr="006552D5">
        <w:rPr>
          <w:rFonts w:asciiTheme="minorHAnsi" w:eastAsiaTheme="minorHAnsi" w:hAnsiTheme="minorHAnsi" w:cstheme="minorBidi"/>
          <w:snapToGrid/>
          <w:sz w:val="24"/>
          <w:szCs w:val="22"/>
        </w:rPr>
        <w:t xml:space="preserve"> children</w:t>
      </w:r>
      <w:r w:rsidR="002C6209" w:rsidRPr="006552D5">
        <w:rPr>
          <w:rFonts w:asciiTheme="minorHAnsi" w:eastAsiaTheme="minorHAnsi" w:hAnsiTheme="minorHAnsi" w:cstheme="minorBidi"/>
          <w:snapToGrid/>
          <w:sz w:val="24"/>
          <w:szCs w:val="22"/>
        </w:rPr>
        <w:t xml:space="preserve"> vaccinated inadvertently </w:t>
      </w:r>
      <w:r>
        <w:rPr>
          <w:rFonts w:asciiTheme="minorHAnsi" w:eastAsiaTheme="minorHAnsi" w:hAnsiTheme="minorHAnsi" w:cstheme="minorBidi"/>
          <w:snapToGrid/>
          <w:sz w:val="24"/>
          <w:szCs w:val="22"/>
        </w:rPr>
        <w:t xml:space="preserve">should </w:t>
      </w:r>
      <w:r w:rsidR="002C6209" w:rsidRPr="006552D5">
        <w:rPr>
          <w:rFonts w:asciiTheme="minorHAnsi" w:eastAsiaTheme="minorHAnsi" w:hAnsiTheme="minorHAnsi" w:cstheme="minorBidi"/>
          <w:snapToGrid/>
          <w:sz w:val="24"/>
          <w:szCs w:val="22"/>
        </w:rPr>
        <w:t>occur.  Implementation should occur in consultation with key stakeholders in</w:t>
      </w:r>
      <w:r w:rsidR="007F7443" w:rsidRPr="006552D5">
        <w:rPr>
          <w:rFonts w:asciiTheme="minorHAnsi" w:eastAsiaTheme="minorHAnsi" w:hAnsiTheme="minorHAnsi" w:cstheme="minorBidi"/>
          <w:snapToGrid/>
          <w:sz w:val="24"/>
          <w:szCs w:val="22"/>
        </w:rPr>
        <w:t>cluding states and territories</w:t>
      </w:r>
      <w:r w:rsidR="007F7443">
        <w:rPr>
          <w:rFonts w:asciiTheme="minorHAnsi" w:eastAsiaTheme="minorHAnsi" w:hAnsiTheme="minorHAnsi" w:cstheme="minorBidi"/>
          <w:snapToGrid/>
          <w:sz w:val="24"/>
          <w:szCs w:val="22"/>
        </w:rPr>
        <w:t>.</w:t>
      </w:r>
    </w:p>
    <w:p w:rsidR="0060771A" w:rsidRPr="006552D5" w:rsidRDefault="0060771A" w:rsidP="005E2047">
      <w:pPr>
        <w:spacing w:after="120"/>
        <w:rPr>
          <w:rFonts w:asciiTheme="minorHAnsi" w:eastAsiaTheme="minorHAnsi" w:hAnsiTheme="minorHAnsi" w:cstheme="minorBidi"/>
        </w:rPr>
      </w:pPr>
      <w:r w:rsidRPr="00D114E8">
        <w:rPr>
          <w:rFonts w:asciiTheme="minorHAnsi" w:eastAsiaTheme="minorHAnsi" w:hAnsiTheme="minorHAnsi" w:cstheme="minorBidi"/>
          <w:i/>
          <w:szCs w:val="22"/>
        </w:rPr>
        <w:t>For more detail on PBAC’s view, see section 7 PBAC outcome.</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83156D" w:rsidRPr="0060771A" w:rsidRDefault="0083156D" w:rsidP="008315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nominated the comparators as the three NIP listed Q</w:t>
      </w:r>
      <w:r w:rsidR="00D228CC">
        <w:rPr>
          <w:rFonts w:asciiTheme="minorHAnsi" w:eastAsiaTheme="minorHAnsi" w:hAnsiTheme="minorHAnsi" w:cstheme="minorBidi"/>
          <w:snapToGrid/>
          <w:sz w:val="24"/>
          <w:szCs w:val="22"/>
        </w:rPr>
        <w:t>IVs for those aged ≥65 years of age</w:t>
      </w:r>
      <w:r w:rsidR="00C4271B">
        <w:rPr>
          <w:rFonts w:asciiTheme="minorHAnsi" w:eastAsiaTheme="minorHAnsi" w:hAnsiTheme="minorHAnsi" w:cstheme="minorBidi"/>
          <w:snapToGrid/>
          <w:sz w:val="24"/>
          <w:szCs w:val="22"/>
        </w:rPr>
        <w:t xml:space="preserve">: QIVs Afluria Quad, </w:t>
      </w:r>
      <w:proofErr w:type="spellStart"/>
      <w:r w:rsidR="00C4271B">
        <w:rPr>
          <w:rFonts w:asciiTheme="minorHAnsi" w:eastAsiaTheme="minorHAnsi" w:hAnsiTheme="minorHAnsi" w:cstheme="minorBidi"/>
          <w:snapToGrid/>
          <w:sz w:val="24"/>
          <w:szCs w:val="22"/>
        </w:rPr>
        <w:t>Flu</w:t>
      </w:r>
      <w:r>
        <w:rPr>
          <w:rFonts w:asciiTheme="minorHAnsi" w:eastAsiaTheme="minorHAnsi" w:hAnsiTheme="minorHAnsi" w:cstheme="minorBidi"/>
          <w:snapToGrid/>
          <w:sz w:val="24"/>
          <w:szCs w:val="22"/>
        </w:rPr>
        <w:t>Quadri</w:t>
      </w:r>
      <w:proofErr w:type="spellEnd"/>
      <w:r>
        <w:rPr>
          <w:rFonts w:asciiTheme="minorHAnsi" w:eastAsiaTheme="minorHAnsi" w:hAnsiTheme="minorHAnsi" w:cstheme="minorBidi"/>
          <w:snapToGrid/>
          <w:sz w:val="24"/>
          <w:szCs w:val="22"/>
        </w:rPr>
        <w:t xml:space="preserve"> and </w:t>
      </w:r>
      <w:proofErr w:type="spellStart"/>
      <w:r>
        <w:rPr>
          <w:rFonts w:asciiTheme="minorHAnsi" w:eastAsiaTheme="minorHAnsi" w:hAnsiTheme="minorHAnsi" w:cstheme="minorBidi"/>
          <w:snapToGrid/>
          <w:sz w:val="24"/>
          <w:szCs w:val="22"/>
        </w:rPr>
        <w:t>Fluarix</w:t>
      </w:r>
      <w:proofErr w:type="spellEnd"/>
      <w:r>
        <w:rPr>
          <w:rFonts w:asciiTheme="minorHAnsi" w:eastAsiaTheme="minorHAnsi" w:hAnsiTheme="minorHAnsi" w:cstheme="minorBidi"/>
          <w:snapToGrid/>
          <w:sz w:val="24"/>
          <w:szCs w:val="22"/>
        </w:rPr>
        <w:t xml:space="preserve"> Tetra (Submission, P14).  ATAGI </w:t>
      </w:r>
      <w:r w:rsidR="00B540C7">
        <w:rPr>
          <w:rFonts w:asciiTheme="minorHAnsi" w:eastAsiaTheme="minorHAnsi" w:hAnsiTheme="minorHAnsi" w:cstheme="minorBidi"/>
          <w:snapToGrid/>
          <w:sz w:val="24"/>
          <w:szCs w:val="22"/>
        </w:rPr>
        <w:t xml:space="preserve">considered </w:t>
      </w:r>
      <w:r w:rsidR="00D50EE4">
        <w:rPr>
          <w:rFonts w:asciiTheme="minorHAnsi" w:eastAsiaTheme="minorHAnsi" w:hAnsiTheme="minorHAnsi" w:cstheme="minorBidi"/>
          <w:snapToGrid/>
          <w:sz w:val="24"/>
          <w:szCs w:val="22"/>
        </w:rPr>
        <w:t xml:space="preserve">the </w:t>
      </w:r>
      <w:r w:rsidR="00D228CC">
        <w:rPr>
          <w:rFonts w:asciiTheme="minorHAnsi" w:eastAsiaTheme="minorHAnsi" w:hAnsiTheme="minorHAnsi" w:cstheme="minorBidi"/>
          <w:snapToGrid/>
          <w:sz w:val="24"/>
          <w:szCs w:val="22"/>
        </w:rPr>
        <w:t xml:space="preserve">proposed </w:t>
      </w:r>
      <w:r w:rsidR="00D50EE4">
        <w:rPr>
          <w:rFonts w:asciiTheme="minorHAnsi" w:eastAsiaTheme="minorHAnsi" w:hAnsiTheme="minorHAnsi" w:cstheme="minorBidi"/>
          <w:snapToGrid/>
          <w:sz w:val="24"/>
          <w:szCs w:val="22"/>
        </w:rPr>
        <w:t>comparator</w:t>
      </w:r>
      <w:r w:rsidR="00B540C7">
        <w:rPr>
          <w:rFonts w:asciiTheme="minorHAnsi" w:eastAsiaTheme="minorHAnsi" w:hAnsiTheme="minorHAnsi" w:cstheme="minorBidi"/>
          <w:snapToGrid/>
          <w:sz w:val="24"/>
          <w:szCs w:val="22"/>
        </w:rPr>
        <w:t>s appropriate</w:t>
      </w:r>
      <w:r w:rsidR="00D50EE4">
        <w:rPr>
          <w:rFonts w:asciiTheme="minorHAnsi" w:eastAsiaTheme="minorHAnsi" w:hAnsiTheme="minorHAnsi" w:cstheme="minorBidi"/>
          <w:snapToGrid/>
          <w:sz w:val="24"/>
          <w:szCs w:val="22"/>
        </w:rPr>
        <w:t xml:space="preserve"> </w:t>
      </w:r>
      <w:r w:rsidR="00D50EE4">
        <w:rPr>
          <w:rFonts w:asciiTheme="minorHAnsi" w:hAnsiTheme="minorHAnsi"/>
          <w:sz w:val="24"/>
          <w:szCs w:val="24"/>
        </w:rPr>
        <w:t>(Pre-Submission PBAC Advice, P3).</w:t>
      </w:r>
    </w:p>
    <w:p w:rsidR="0060771A" w:rsidRPr="0060771A" w:rsidRDefault="0060771A" w:rsidP="005E2047">
      <w:pPr>
        <w:spacing w:after="120"/>
        <w:rPr>
          <w:rFonts w:asciiTheme="minorHAnsi" w:eastAsiaTheme="minorHAnsi" w:hAnsiTheme="minorHAnsi" w:cstheme="minorBidi"/>
          <w:szCs w:val="22"/>
        </w:rPr>
      </w:pPr>
      <w:r w:rsidRPr="00D114E8">
        <w:rPr>
          <w:rFonts w:asciiTheme="minorHAnsi" w:eastAsiaTheme="minorHAnsi" w:hAnsiTheme="minorHAnsi" w:cstheme="minorBidi"/>
          <w:i/>
          <w:szCs w:val="22"/>
        </w:rPr>
        <w:t>For more detail on PBAC’s view, see section 7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60771A" w:rsidRPr="004D28BB" w:rsidRDefault="0060771A" w:rsidP="0060771A">
      <w:pPr>
        <w:widowControl w:val="0"/>
        <w:spacing w:before="240" w:line="276" w:lineRule="auto"/>
        <w:jc w:val="both"/>
        <w:rPr>
          <w:rFonts w:asciiTheme="minorHAnsi" w:hAnsiTheme="minorHAnsi" w:cs="Arial"/>
          <w:b/>
          <w:bCs/>
          <w:i/>
          <w:snapToGrid w:val="0"/>
          <w:sz w:val="28"/>
          <w:szCs w:val="28"/>
        </w:rPr>
      </w:pPr>
      <w:r w:rsidRPr="004D28BB">
        <w:rPr>
          <w:rFonts w:asciiTheme="minorHAnsi" w:hAnsiTheme="minorHAnsi" w:cs="Arial"/>
          <w:b/>
          <w:bCs/>
          <w:i/>
          <w:snapToGrid w:val="0"/>
          <w:sz w:val="28"/>
          <w:szCs w:val="28"/>
        </w:rPr>
        <w:t>Sponsor hearing</w:t>
      </w:r>
    </w:p>
    <w:p w:rsidR="0060771A" w:rsidRPr="004D28BB" w:rsidRDefault="0060771A" w:rsidP="0060771A">
      <w:pPr>
        <w:widowControl w:val="0"/>
        <w:numPr>
          <w:ilvl w:val="1"/>
          <w:numId w:val="5"/>
        </w:numPr>
        <w:spacing w:after="120"/>
        <w:jc w:val="both"/>
        <w:rPr>
          <w:rFonts w:asciiTheme="minorHAnsi" w:hAnsiTheme="minorHAnsi" w:cs="Arial"/>
          <w:bCs/>
          <w:snapToGrid w:val="0"/>
        </w:rPr>
      </w:pPr>
      <w:r w:rsidRPr="004D28BB">
        <w:rPr>
          <w:rFonts w:asciiTheme="minorHAnsi" w:hAnsiTheme="minorHAnsi" w:cs="Arial"/>
          <w:bCs/>
          <w:snapToGrid w:val="0"/>
        </w:rPr>
        <w:t>There was no hearing for this ite</w:t>
      </w:r>
      <w:r w:rsidR="004D28BB" w:rsidRPr="004D28BB">
        <w:rPr>
          <w:rFonts w:asciiTheme="minorHAnsi" w:hAnsiTheme="minorHAnsi" w:cs="Arial"/>
          <w:bCs/>
          <w:snapToGrid w:val="0"/>
        </w:rPr>
        <w:t>m as it was a minor submission.</w:t>
      </w:r>
    </w:p>
    <w:p w:rsidR="0060771A" w:rsidRPr="00D114E8" w:rsidRDefault="0060771A" w:rsidP="0060771A">
      <w:pPr>
        <w:widowControl w:val="0"/>
        <w:spacing w:before="240" w:line="276" w:lineRule="auto"/>
        <w:jc w:val="both"/>
        <w:rPr>
          <w:rFonts w:asciiTheme="minorHAnsi" w:hAnsiTheme="minorHAnsi" w:cs="Arial"/>
          <w:b/>
          <w:bCs/>
          <w:i/>
          <w:snapToGrid w:val="0"/>
          <w:sz w:val="28"/>
          <w:szCs w:val="28"/>
        </w:rPr>
      </w:pPr>
      <w:r w:rsidRPr="00D114E8">
        <w:rPr>
          <w:rFonts w:asciiTheme="minorHAnsi" w:hAnsiTheme="minorHAnsi" w:cs="Arial"/>
          <w:b/>
          <w:bCs/>
          <w:i/>
          <w:snapToGrid w:val="0"/>
          <w:sz w:val="28"/>
          <w:szCs w:val="28"/>
        </w:rPr>
        <w:t>Consumer comments</w:t>
      </w:r>
    </w:p>
    <w:p w:rsidR="0060771A" w:rsidRPr="00D114E8" w:rsidRDefault="0060771A" w:rsidP="0060771A">
      <w:pPr>
        <w:widowControl w:val="0"/>
        <w:numPr>
          <w:ilvl w:val="1"/>
          <w:numId w:val="5"/>
        </w:numPr>
        <w:spacing w:after="120"/>
        <w:jc w:val="both"/>
        <w:rPr>
          <w:rFonts w:asciiTheme="minorHAnsi" w:hAnsiTheme="minorHAnsi" w:cs="Arial"/>
          <w:bCs/>
          <w:snapToGrid w:val="0"/>
        </w:rPr>
      </w:pPr>
      <w:r w:rsidRPr="00D114E8">
        <w:rPr>
          <w:rFonts w:asciiTheme="minorHAnsi" w:hAnsiTheme="minorHAnsi" w:cs="Arial"/>
          <w:bCs/>
          <w:snapToGrid w:val="0"/>
        </w:rPr>
        <w:t>The PBAC noted that no consumer comme</w:t>
      </w:r>
      <w:r w:rsidR="00D114E8" w:rsidRPr="00D114E8">
        <w:rPr>
          <w:rFonts w:asciiTheme="minorHAnsi" w:hAnsiTheme="minorHAnsi" w:cs="Arial"/>
          <w:bCs/>
          <w:snapToGrid w:val="0"/>
        </w:rPr>
        <w:t>nts were received for this item</w:t>
      </w:r>
      <w:r w:rsidRPr="00D114E8">
        <w:rPr>
          <w:rFonts w:asciiTheme="minorHAnsi" w:hAnsiTheme="minorHAnsi" w:cs="Arial"/>
          <w:bCs/>
          <w:snapToGrid w:val="0"/>
        </w:rPr>
        <w:t>.</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A57FE5" w:rsidRPr="00F550CF" w:rsidRDefault="00A57FE5" w:rsidP="00A57FE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As a</w:t>
      </w:r>
      <w:r>
        <w:rPr>
          <w:rFonts w:asciiTheme="minorHAnsi" w:eastAsiaTheme="minorHAnsi" w:hAnsiTheme="minorHAnsi" w:cstheme="minorBidi"/>
          <w:snapToGrid/>
          <w:sz w:val="24"/>
          <w:szCs w:val="22"/>
        </w:rPr>
        <w:t xml:space="preserve"> </w:t>
      </w:r>
      <w:r w:rsidRPr="001B2BBC">
        <w:rPr>
          <w:rFonts w:asciiTheme="minorHAnsi" w:eastAsiaTheme="minorHAnsi" w:hAnsiTheme="minorHAnsi" w:cstheme="minorBidi"/>
          <w:snapToGrid/>
          <w:sz w:val="24"/>
          <w:szCs w:val="22"/>
        </w:rPr>
        <w:t xml:space="preserve">minor submission, no clinical trial </w:t>
      </w:r>
      <w:r w:rsidR="00B540C7">
        <w:rPr>
          <w:rFonts w:asciiTheme="minorHAnsi" w:eastAsiaTheme="minorHAnsi" w:hAnsiTheme="minorHAnsi" w:cstheme="minorBidi"/>
          <w:snapToGrid/>
          <w:sz w:val="24"/>
          <w:szCs w:val="22"/>
        </w:rPr>
        <w:t>evidence was</w:t>
      </w:r>
      <w:r w:rsidRPr="001B2BBC">
        <w:rPr>
          <w:rFonts w:asciiTheme="minorHAnsi" w:eastAsiaTheme="minorHAnsi" w:hAnsiTheme="minorHAnsi" w:cstheme="minorBidi"/>
          <w:snapToGrid/>
          <w:sz w:val="24"/>
          <w:szCs w:val="22"/>
        </w:rPr>
        <w:t xml:space="preserve"> </w:t>
      </w:r>
      <w:r w:rsidR="00B540C7">
        <w:rPr>
          <w:rFonts w:asciiTheme="minorHAnsi" w:eastAsiaTheme="minorHAnsi" w:hAnsiTheme="minorHAnsi" w:cstheme="minorBidi"/>
          <w:snapToGrid/>
          <w:sz w:val="24"/>
          <w:szCs w:val="22"/>
        </w:rPr>
        <w:t>evaluated by the PBAC Secretariat.</w:t>
      </w:r>
      <w:r>
        <w:rPr>
          <w:rFonts w:asciiTheme="minorHAnsi" w:eastAsiaTheme="minorHAnsi" w:hAnsiTheme="minorHAnsi" w:cstheme="minorBidi"/>
          <w:snapToGrid/>
          <w:sz w:val="24"/>
          <w:szCs w:val="22"/>
        </w:rPr>
        <w:t xml:space="preserve"> </w:t>
      </w:r>
      <w:r w:rsidR="00B540C7">
        <w:rPr>
          <w:rFonts w:asciiTheme="minorHAnsi" w:eastAsiaTheme="minorHAnsi" w:hAnsiTheme="minorHAnsi" w:cstheme="minorBidi"/>
          <w:snapToGrid/>
          <w:sz w:val="24"/>
          <w:szCs w:val="22"/>
        </w:rPr>
        <w:t xml:space="preserve">Both </w:t>
      </w:r>
      <w:r>
        <w:rPr>
          <w:rFonts w:asciiTheme="minorHAnsi" w:eastAsiaTheme="minorHAnsi" w:hAnsiTheme="minorHAnsi" w:cstheme="minorBidi"/>
          <w:snapToGrid/>
          <w:sz w:val="24"/>
          <w:szCs w:val="22"/>
        </w:rPr>
        <w:t xml:space="preserve">the Therapeutic Goods Administration (TGA) and </w:t>
      </w:r>
      <w:r w:rsidR="00EE7AAB">
        <w:rPr>
          <w:rFonts w:asciiTheme="minorHAnsi" w:eastAsiaTheme="minorHAnsi" w:hAnsiTheme="minorHAnsi" w:cstheme="minorBidi"/>
          <w:snapToGrid/>
          <w:sz w:val="24"/>
          <w:szCs w:val="22"/>
        </w:rPr>
        <w:t>ATAGI</w:t>
      </w:r>
      <w:r w:rsidR="00B540C7">
        <w:rPr>
          <w:rFonts w:asciiTheme="minorHAnsi" w:eastAsiaTheme="minorHAnsi" w:hAnsiTheme="minorHAnsi" w:cstheme="minorBidi"/>
          <w:snapToGrid/>
          <w:sz w:val="24"/>
          <w:szCs w:val="22"/>
        </w:rPr>
        <w:t xml:space="preserve"> have considered the clinical evidence for </w:t>
      </w:r>
      <w:proofErr w:type="spellStart"/>
      <w:r w:rsidR="00B540C7">
        <w:rPr>
          <w:rFonts w:asciiTheme="minorHAnsi" w:eastAsiaTheme="minorHAnsi" w:hAnsiTheme="minorHAnsi" w:cstheme="minorBidi"/>
          <w:snapToGrid/>
          <w:sz w:val="24"/>
          <w:szCs w:val="22"/>
        </w:rPr>
        <w:t>aTIV</w:t>
      </w:r>
      <w:proofErr w:type="spellEnd"/>
      <w:r w:rsidR="00B540C7">
        <w:rPr>
          <w:rFonts w:asciiTheme="minorHAnsi" w:eastAsiaTheme="minorHAnsi" w:hAnsiTheme="minorHAnsi" w:cstheme="minorBidi"/>
          <w:snapToGrid/>
          <w:sz w:val="24"/>
          <w:szCs w:val="22"/>
        </w:rPr>
        <w:t>.</w:t>
      </w:r>
    </w:p>
    <w:p w:rsidR="00D92DEA" w:rsidRDefault="00D92DEA" w:rsidP="00D92DE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basis of the minor submission’s request was</w:t>
      </w:r>
      <w:r w:rsidR="006D73EB">
        <w:rPr>
          <w:rFonts w:asciiTheme="minorHAnsi" w:eastAsiaTheme="minorHAnsi" w:hAnsiTheme="minorHAnsi" w:cstheme="minorBidi"/>
          <w:snapToGrid/>
          <w:sz w:val="24"/>
          <w:szCs w:val="22"/>
        </w:rPr>
        <w:t xml:space="preserve"> that </w:t>
      </w:r>
      <w:proofErr w:type="spellStart"/>
      <w:r w:rsidR="006D73EB">
        <w:rPr>
          <w:rFonts w:asciiTheme="minorHAnsi" w:eastAsiaTheme="minorHAnsi" w:hAnsiTheme="minorHAnsi" w:cstheme="minorBidi"/>
          <w:snapToGrid/>
          <w:sz w:val="24"/>
          <w:szCs w:val="22"/>
        </w:rPr>
        <w:t>aTIV</w:t>
      </w:r>
      <w:proofErr w:type="spellEnd"/>
      <w:r w:rsidR="006D73EB">
        <w:rPr>
          <w:rFonts w:asciiTheme="minorHAnsi" w:eastAsiaTheme="minorHAnsi" w:hAnsiTheme="minorHAnsi" w:cstheme="minorBidi"/>
          <w:snapToGrid/>
          <w:sz w:val="24"/>
          <w:szCs w:val="22"/>
        </w:rPr>
        <w:t xml:space="preserve"> was</w:t>
      </w:r>
      <w:r>
        <w:rPr>
          <w:rFonts w:asciiTheme="minorHAnsi" w:eastAsiaTheme="minorHAnsi" w:hAnsiTheme="minorHAnsi" w:cstheme="minorBidi"/>
          <w:snapToGrid/>
          <w:sz w:val="24"/>
          <w:szCs w:val="22"/>
        </w:rPr>
        <w:t xml:space="preserve"> non-inferior in efficacy and safety to the comparator.  </w:t>
      </w:r>
    </w:p>
    <w:p w:rsidR="00A57FE5" w:rsidRDefault="00A57FE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evidence </w:t>
      </w:r>
      <w:r w:rsidR="00B540C7">
        <w:rPr>
          <w:rFonts w:asciiTheme="minorHAnsi" w:eastAsiaTheme="minorHAnsi" w:hAnsiTheme="minorHAnsi" w:cstheme="minorBidi"/>
          <w:snapToGrid/>
          <w:sz w:val="24"/>
          <w:szCs w:val="22"/>
        </w:rPr>
        <w:t xml:space="preserve">available for </w:t>
      </w:r>
      <w:proofErr w:type="spellStart"/>
      <w:r w:rsidR="00B540C7">
        <w:rPr>
          <w:rFonts w:asciiTheme="minorHAnsi" w:eastAsiaTheme="minorHAnsi" w:hAnsiTheme="minorHAnsi" w:cstheme="minorBidi"/>
          <w:snapToGrid/>
          <w:sz w:val="24"/>
          <w:szCs w:val="22"/>
        </w:rPr>
        <w:t>aTIV</w:t>
      </w:r>
      <w:proofErr w:type="spellEnd"/>
      <w:r w:rsidR="00B540C7">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included:</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The pivotal study</w:t>
      </w:r>
      <w:r>
        <w:rPr>
          <w:rFonts w:asciiTheme="minorHAnsi" w:eastAsiaTheme="minorHAnsi" w:hAnsiTheme="minorHAnsi" w:cstheme="minorBidi"/>
          <w:snapToGrid/>
          <w:sz w:val="24"/>
          <w:szCs w:val="22"/>
        </w:rPr>
        <w:t>, a phase III</w:t>
      </w:r>
      <w:r w:rsidRPr="006552D5">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RCT </w:t>
      </w:r>
      <w:r w:rsidRPr="006552D5">
        <w:rPr>
          <w:rFonts w:asciiTheme="minorHAnsi" w:eastAsiaTheme="minorHAnsi" w:hAnsiTheme="minorHAnsi" w:cstheme="minorBidi"/>
          <w:snapToGrid/>
          <w:sz w:val="24"/>
          <w:szCs w:val="22"/>
        </w:rPr>
        <w:t xml:space="preserve">V70_27, comparing </w:t>
      </w:r>
      <w:proofErr w:type="spellStart"/>
      <w:r w:rsidR="00F55A2B">
        <w:rPr>
          <w:rFonts w:asciiTheme="minorHAnsi" w:eastAsiaTheme="minorHAnsi" w:hAnsiTheme="minorHAnsi" w:cstheme="minorBidi"/>
          <w:snapToGrid/>
          <w:sz w:val="24"/>
          <w:szCs w:val="22"/>
        </w:rPr>
        <w:t>aTIV</w:t>
      </w:r>
      <w:proofErr w:type="spellEnd"/>
      <w:r w:rsidRPr="006552D5">
        <w:rPr>
          <w:rFonts w:asciiTheme="minorHAnsi" w:eastAsiaTheme="minorHAnsi" w:hAnsiTheme="minorHAnsi" w:cstheme="minorBidi"/>
          <w:snapToGrid/>
          <w:sz w:val="24"/>
          <w:szCs w:val="22"/>
        </w:rPr>
        <w:t xml:space="preserve"> with </w:t>
      </w:r>
      <w:proofErr w:type="spellStart"/>
      <w:r w:rsidRPr="006552D5">
        <w:rPr>
          <w:rFonts w:asciiTheme="minorHAnsi" w:eastAsiaTheme="minorHAnsi" w:hAnsiTheme="minorHAnsi" w:cstheme="minorBidi"/>
          <w:snapToGrid/>
          <w:sz w:val="24"/>
          <w:szCs w:val="22"/>
        </w:rPr>
        <w:t>unadjuvanted</w:t>
      </w:r>
      <w:proofErr w:type="spellEnd"/>
      <w:r w:rsidRPr="006552D5">
        <w:rPr>
          <w:rFonts w:asciiTheme="minorHAnsi" w:eastAsiaTheme="minorHAnsi" w:hAnsiTheme="minorHAnsi" w:cstheme="minorBidi"/>
          <w:snapToGrid/>
          <w:sz w:val="24"/>
          <w:szCs w:val="22"/>
        </w:rPr>
        <w:t xml:space="preserve"> TIV</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Fourteen supplementary RCTs comparing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 xml:space="preserve">with </w:t>
      </w:r>
      <w:proofErr w:type="spellStart"/>
      <w:r w:rsidRPr="006552D5">
        <w:rPr>
          <w:rFonts w:asciiTheme="minorHAnsi" w:eastAsiaTheme="minorHAnsi" w:hAnsiTheme="minorHAnsi" w:cstheme="minorBidi"/>
          <w:snapToGrid/>
          <w:sz w:val="24"/>
          <w:szCs w:val="22"/>
        </w:rPr>
        <w:t>unadjuvanted</w:t>
      </w:r>
      <w:proofErr w:type="spellEnd"/>
      <w:r w:rsidRPr="006552D5">
        <w:rPr>
          <w:rFonts w:asciiTheme="minorHAnsi" w:eastAsiaTheme="minorHAnsi" w:hAnsiTheme="minorHAnsi" w:cstheme="minorBidi"/>
          <w:snapToGrid/>
          <w:sz w:val="24"/>
          <w:szCs w:val="22"/>
        </w:rPr>
        <w:t xml:space="preserve"> TIV</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Four RCTs comparing QIV with TIV (one pivotal study and three supplementary studies)</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lastRenderedPageBreak/>
        <w:t xml:space="preserve">Meta-analysis of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versus TIV and QIV versus TIV for immunogenicity and safety outcomes</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Indirect treatment comparison of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versus QIV via the common comparator TIV using the same study data as the meta-analyses</w:t>
      </w:r>
    </w:p>
    <w:p w:rsidR="00D92DEA" w:rsidRPr="006552D5" w:rsidRDefault="00D92DEA" w:rsidP="00D114E8">
      <w:pPr>
        <w:pStyle w:val="ListParagraph"/>
        <w:widowControl/>
        <w:numPr>
          <w:ilvl w:val="2"/>
          <w:numId w:val="14"/>
        </w:numPr>
        <w:ind w:left="1417"/>
        <w:contextualSpacing w:val="0"/>
        <w:rPr>
          <w:rFonts w:asciiTheme="minorHAnsi" w:eastAsiaTheme="minorHAnsi" w:hAnsiTheme="minorHAnsi" w:cstheme="minorBidi"/>
          <w:snapToGrid/>
          <w:sz w:val="24"/>
        </w:rPr>
      </w:pPr>
      <w:r w:rsidRPr="006552D5">
        <w:rPr>
          <w:rFonts w:asciiTheme="minorHAnsi" w:eastAsiaTheme="minorHAnsi" w:hAnsiTheme="minorHAnsi" w:cstheme="minorBidi"/>
          <w:snapToGrid/>
          <w:sz w:val="24"/>
          <w:szCs w:val="22"/>
        </w:rPr>
        <w:t xml:space="preserve">Extended safety assessment of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 xml:space="preserve">using the most recent Periodic Safety Update Report (PSUR), a published systematic review of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sidRPr="006552D5">
        <w:rPr>
          <w:rFonts w:asciiTheme="minorHAnsi" w:eastAsiaTheme="minorHAnsi" w:hAnsiTheme="minorHAnsi" w:cstheme="minorBidi"/>
          <w:snapToGrid/>
          <w:sz w:val="24"/>
          <w:szCs w:val="22"/>
        </w:rPr>
        <w:t xml:space="preserve">trials and a published systematic review of trials evaluating MF59-adjuvanted seasonal and pandemic influenza vaccines </w:t>
      </w:r>
    </w:p>
    <w:p w:rsidR="00D92DEA" w:rsidRPr="006552D5" w:rsidRDefault="00D92DEA" w:rsidP="00D114E8">
      <w:pPr>
        <w:pStyle w:val="ListParagraph"/>
        <w:widowControl/>
        <w:numPr>
          <w:ilvl w:val="2"/>
          <w:numId w:val="14"/>
        </w:numPr>
        <w:ind w:left="1417"/>
        <w:contextualSpacing w:val="0"/>
        <w:rPr>
          <w:rFonts w:cstheme="minorBidi"/>
          <w:sz w:val="24"/>
        </w:rPr>
      </w:pPr>
      <w:r w:rsidRPr="006552D5">
        <w:rPr>
          <w:rFonts w:asciiTheme="minorHAnsi" w:eastAsiaTheme="minorHAnsi" w:hAnsiTheme="minorHAnsi" w:cstheme="minorBidi"/>
          <w:snapToGrid/>
          <w:sz w:val="24"/>
          <w:szCs w:val="22"/>
        </w:rPr>
        <w:t xml:space="preserve">A review of three published effectiveness studies for </w:t>
      </w:r>
      <w:proofErr w:type="spellStart"/>
      <w:r w:rsidR="00F55A2B">
        <w:rPr>
          <w:rFonts w:asciiTheme="minorHAnsi" w:eastAsiaTheme="minorHAnsi" w:hAnsiTheme="minorHAnsi" w:cstheme="minorBidi"/>
          <w:snapToGrid/>
          <w:sz w:val="24"/>
          <w:szCs w:val="22"/>
        </w:rPr>
        <w:t>aTIV</w:t>
      </w:r>
      <w:proofErr w:type="spellEnd"/>
    </w:p>
    <w:p w:rsidR="00A57FE5" w:rsidRDefault="00A57FE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No direct RCTS of </w:t>
      </w:r>
      <w:proofErr w:type="spellStart"/>
      <w:r>
        <w:rPr>
          <w:rFonts w:asciiTheme="minorHAnsi" w:eastAsiaTheme="minorHAnsi" w:hAnsiTheme="minorHAnsi" w:cstheme="minorBidi"/>
          <w:snapToGrid/>
          <w:sz w:val="24"/>
          <w:szCs w:val="22"/>
        </w:rPr>
        <w:t>aTIV</w:t>
      </w:r>
      <w:proofErr w:type="spellEnd"/>
      <w:r>
        <w:rPr>
          <w:rFonts w:asciiTheme="minorHAnsi" w:eastAsiaTheme="minorHAnsi" w:hAnsiTheme="minorHAnsi" w:cstheme="minorBidi"/>
          <w:snapToGrid/>
          <w:sz w:val="24"/>
          <w:szCs w:val="22"/>
        </w:rPr>
        <w:t xml:space="preserve"> versus QIV were located however literature on QIV versus TIV was identified.  An indirect comparison using TIV as the common comparator was undertaken.</w:t>
      </w:r>
    </w:p>
    <w:p w:rsidR="00D92DEA" w:rsidRDefault="00EE7AAB"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(P14) noted</w:t>
      </w:r>
      <w:r w:rsidR="00D92DEA">
        <w:rPr>
          <w:rFonts w:asciiTheme="minorHAnsi" w:eastAsiaTheme="minorHAnsi" w:hAnsiTheme="minorHAnsi" w:cstheme="minorBidi"/>
          <w:snapToGrid/>
          <w:sz w:val="24"/>
          <w:szCs w:val="22"/>
        </w:rPr>
        <w:t xml:space="preserve"> that QIV was originally listed on the NIP based on non-inferior efficacy and to</w:t>
      </w:r>
      <w:r>
        <w:rPr>
          <w:rFonts w:asciiTheme="minorHAnsi" w:eastAsiaTheme="minorHAnsi" w:hAnsiTheme="minorHAnsi" w:cstheme="minorBidi"/>
          <w:snapToGrid/>
          <w:sz w:val="24"/>
          <w:szCs w:val="22"/>
        </w:rPr>
        <w:t xml:space="preserve">xicity compared to TIV in 2015. </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effectiveness</w:t>
      </w:r>
    </w:p>
    <w:p w:rsidR="00EB2079" w:rsidRPr="006552D5" w:rsidRDefault="00EB2079" w:rsidP="00B73F4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552D5">
        <w:rPr>
          <w:rFonts w:asciiTheme="minorHAnsi" w:eastAsiaTheme="minorHAnsi" w:hAnsiTheme="minorHAnsi" w:cstheme="minorBidi"/>
          <w:snapToGrid/>
          <w:sz w:val="24"/>
          <w:szCs w:val="22"/>
        </w:rPr>
        <w:t xml:space="preserve">ATAGI noted that the main evidence for effectiveness </w:t>
      </w:r>
      <w:r w:rsidR="00EE7AAB" w:rsidRPr="00EE7AAB">
        <w:rPr>
          <w:rFonts w:asciiTheme="minorHAnsi" w:eastAsiaTheme="minorHAnsi" w:hAnsiTheme="minorHAnsi" w:cstheme="minorBidi"/>
          <w:snapToGrid/>
          <w:sz w:val="24"/>
          <w:szCs w:val="22"/>
        </w:rPr>
        <w:t xml:space="preserve">of </w:t>
      </w:r>
      <w:proofErr w:type="spellStart"/>
      <w:r w:rsidR="00EE7AAB" w:rsidRPr="00EE7AAB">
        <w:rPr>
          <w:rFonts w:asciiTheme="minorHAnsi" w:eastAsiaTheme="minorHAnsi" w:hAnsiTheme="minorHAnsi" w:cstheme="minorBidi"/>
          <w:snapToGrid/>
          <w:sz w:val="24"/>
          <w:szCs w:val="22"/>
        </w:rPr>
        <w:t>aTIV</w:t>
      </w:r>
      <w:proofErr w:type="spellEnd"/>
      <w:r w:rsidR="00EE7AAB" w:rsidRPr="00EE7AAB">
        <w:rPr>
          <w:rFonts w:asciiTheme="minorHAnsi" w:eastAsiaTheme="minorHAnsi" w:hAnsiTheme="minorHAnsi" w:cstheme="minorBidi"/>
          <w:snapToGrid/>
          <w:sz w:val="24"/>
          <w:szCs w:val="22"/>
        </w:rPr>
        <w:t xml:space="preserve"> relative to TIV </w:t>
      </w:r>
      <w:r w:rsidR="00EE7AAB">
        <w:rPr>
          <w:rFonts w:asciiTheme="minorHAnsi" w:eastAsiaTheme="minorHAnsi" w:hAnsiTheme="minorHAnsi" w:cstheme="minorBidi"/>
          <w:snapToGrid/>
          <w:sz w:val="24"/>
          <w:szCs w:val="22"/>
        </w:rPr>
        <w:t>was</w:t>
      </w:r>
      <w:r w:rsidRPr="006552D5">
        <w:rPr>
          <w:rFonts w:asciiTheme="minorHAnsi" w:eastAsiaTheme="minorHAnsi" w:hAnsiTheme="minorHAnsi" w:cstheme="minorBidi"/>
          <w:snapToGrid/>
          <w:sz w:val="24"/>
          <w:szCs w:val="22"/>
        </w:rPr>
        <w:t xml:space="preserve"> from two international observational studies, a small test-negative case-control study and a large post-licensure study (Pre-Submission PBAC Advice, P5-6).  </w:t>
      </w:r>
    </w:p>
    <w:p w:rsidR="00B73F46" w:rsidRPr="00EB2079" w:rsidRDefault="00EE7AAB" w:rsidP="00B73F4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With regard to i</w:t>
      </w:r>
      <w:r w:rsidR="00B73F46" w:rsidRPr="00EB2079">
        <w:rPr>
          <w:rFonts w:asciiTheme="minorHAnsi" w:eastAsiaTheme="minorHAnsi" w:hAnsiTheme="minorHAnsi" w:cstheme="minorBidi"/>
          <w:snapToGrid/>
          <w:sz w:val="24"/>
          <w:szCs w:val="22"/>
        </w:rPr>
        <w:t>mmunogenicity</w:t>
      </w:r>
      <w:r>
        <w:rPr>
          <w:rFonts w:asciiTheme="minorHAnsi" w:eastAsiaTheme="minorHAnsi" w:hAnsiTheme="minorHAnsi" w:cstheme="minorBidi"/>
          <w:snapToGrid/>
          <w:sz w:val="24"/>
          <w:szCs w:val="22"/>
        </w:rPr>
        <w:t>,</w:t>
      </w:r>
      <w:r w:rsidR="00B73F46" w:rsidRPr="00EB2079">
        <w:rPr>
          <w:rFonts w:asciiTheme="minorHAnsi" w:eastAsiaTheme="minorHAnsi" w:hAnsiTheme="minorHAnsi" w:cstheme="minorBidi"/>
          <w:snapToGrid/>
          <w:sz w:val="24"/>
          <w:szCs w:val="22"/>
        </w:rPr>
        <w:t xml:space="preserve"> </w:t>
      </w:r>
      <w:r w:rsidR="00EB2079" w:rsidRPr="00EB2079">
        <w:rPr>
          <w:rFonts w:asciiTheme="minorHAnsi" w:eastAsiaTheme="minorHAnsi" w:hAnsiTheme="minorHAnsi" w:cstheme="minorBidi"/>
          <w:snapToGrid/>
          <w:sz w:val="24"/>
          <w:szCs w:val="22"/>
        </w:rPr>
        <w:t>ATAGI noted that immunological findings largely support</w:t>
      </w:r>
      <w:r>
        <w:rPr>
          <w:rFonts w:asciiTheme="minorHAnsi" w:eastAsiaTheme="minorHAnsi" w:hAnsiTheme="minorHAnsi" w:cstheme="minorBidi"/>
          <w:snapToGrid/>
          <w:sz w:val="24"/>
          <w:szCs w:val="22"/>
        </w:rPr>
        <w:t>ed</w:t>
      </w:r>
      <w:r w:rsidR="00EB2079" w:rsidRPr="00EB2079">
        <w:rPr>
          <w:rFonts w:asciiTheme="minorHAnsi" w:eastAsiaTheme="minorHAnsi" w:hAnsiTheme="minorHAnsi" w:cstheme="minorBidi"/>
          <w:snapToGrid/>
          <w:sz w:val="24"/>
          <w:szCs w:val="22"/>
        </w:rPr>
        <w:t xml:space="preserve"> estimates of enhance</w:t>
      </w:r>
      <w:r>
        <w:rPr>
          <w:rFonts w:asciiTheme="minorHAnsi" w:eastAsiaTheme="minorHAnsi" w:hAnsiTheme="minorHAnsi" w:cstheme="minorBidi"/>
          <w:snapToGrid/>
          <w:sz w:val="24"/>
          <w:szCs w:val="22"/>
        </w:rPr>
        <w:t>d</w:t>
      </w:r>
      <w:r w:rsidR="00EB2079" w:rsidRPr="00EB2079">
        <w:rPr>
          <w:rFonts w:asciiTheme="minorHAnsi" w:eastAsiaTheme="minorHAnsi" w:hAnsiTheme="minorHAnsi" w:cstheme="minorBidi"/>
          <w:snapToGrid/>
          <w:sz w:val="24"/>
          <w:szCs w:val="22"/>
        </w:rPr>
        <w:t xml:space="preserve"> efficacy in observational studies and that the</w:t>
      </w:r>
      <w:r>
        <w:rPr>
          <w:rFonts w:asciiTheme="minorHAnsi" w:eastAsiaTheme="minorHAnsi" w:hAnsiTheme="minorHAnsi" w:cstheme="minorBidi"/>
          <w:snapToGrid/>
          <w:sz w:val="24"/>
          <w:szCs w:val="22"/>
        </w:rPr>
        <w:t xml:space="preserve"> evidence from RCTs demonstrated that </w:t>
      </w:r>
      <w:proofErr w:type="spellStart"/>
      <w:r>
        <w:rPr>
          <w:rFonts w:asciiTheme="minorHAnsi" w:eastAsiaTheme="minorHAnsi" w:hAnsiTheme="minorHAnsi" w:cstheme="minorBidi"/>
          <w:snapToGrid/>
          <w:sz w:val="24"/>
          <w:szCs w:val="22"/>
        </w:rPr>
        <w:t>aTIV</w:t>
      </w:r>
      <w:proofErr w:type="spellEnd"/>
      <w:r>
        <w:rPr>
          <w:rFonts w:asciiTheme="minorHAnsi" w:eastAsiaTheme="minorHAnsi" w:hAnsiTheme="minorHAnsi" w:cstheme="minorBidi"/>
          <w:snapToGrid/>
          <w:sz w:val="24"/>
          <w:szCs w:val="22"/>
        </w:rPr>
        <w:t xml:space="preserve"> induced</w:t>
      </w:r>
      <w:r w:rsidR="00EB2079" w:rsidRPr="00EB2079">
        <w:rPr>
          <w:rFonts w:asciiTheme="minorHAnsi" w:eastAsiaTheme="minorHAnsi" w:hAnsiTheme="minorHAnsi" w:cstheme="minorBidi"/>
          <w:snapToGrid/>
          <w:sz w:val="24"/>
          <w:szCs w:val="22"/>
        </w:rPr>
        <w:t xml:space="preserve"> non-inferior immunogenicity and sometimes significantly higher antibody responses compared to TIV against both homologous and heterologous strains </w:t>
      </w:r>
      <w:r>
        <w:rPr>
          <w:rFonts w:asciiTheme="minorHAnsi" w:eastAsiaTheme="minorHAnsi" w:hAnsiTheme="minorHAnsi" w:cstheme="minorBidi"/>
          <w:snapToGrid/>
          <w:sz w:val="24"/>
          <w:szCs w:val="22"/>
        </w:rPr>
        <w:t>(</w:t>
      </w:r>
      <w:r w:rsidR="00EB2079" w:rsidRPr="006552D5">
        <w:rPr>
          <w:rFonts w:asciiTheme="minorHAnsi" w:eastAsiaTheme="minorHAnsi" w:hAnsiTheme="minorHAnsi" w:cstheme="minorBidi"/>
          <w:snapToGrid/>
          <w:sz w:val="24"/>
          <w:szCs w:val="22"/>
        </w:rPr>
        <w:t xml:space="preserve">Pre-Submission PBAC Advice, P6-7).  </w:t>
      </w:r>
    </w:p>
    <w:p w:rsidR="00B73F46" w:rsidRDefault="00EE7AAB" w:rsidP="00B73F4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ATAGI acknowledged that t</w:t>
      </w:r>
      <w:r w:rsidR="00B73F46">
        <w:rPr>
          <w:rFonts w:asciiTheme="minorHAnsi" w:eastAsiaTheme="minorHAnsi" w:hAnsiTheme="minorHAnsi" w:cstheme="minorBidi"/>
          <w:snapToGrid/>
          <w:sz w:val="24"/>
          <w:szCs w:val="22"/>
        </w:rPr>
        <w:t xml:space="preserve">he key issue with assessing effectiveness of </w:t>
      </w:r>
      <w:proofErr w:type="spellStart"/>
      <w:r w:rsidR="00B73F46">
        <w:rPr>
          <w:rFonts w:asciiTheme="minorHAnsi" w:eastAsiaTheme="minorHAnsi" w:hAnsiTheme="minorHAnsi" w:cstheme="minorBidi"/>
          <w:snapToGrid/>
          <w:sz w:val="24"/>
          <w:szCs w:val="22"/>
        </w:rPr>
        <w:t>aTIV</w:t>
      </w:r>
      <w:proofErr w:type="spellEnd"/>
      <w:r w:rsidR="00B73F46">
        <w:rPr>
          <w:rFonts w:asciiTheme="minorHAnsi" w:eastAsiaTheme="minorHAnsi" w:hAnsiTheme="minorHAnsi" w:cstheme="minorBidi"/>
          <w:snapToGrid/>
          <w:sz w:val="24"/>
          <w:szCs w:val="22"/>
        </w:rPr>
        <w:t xml:space="preserve"> against </w:t>
      </w:r>
      <w:r w:rsidR="00984FC5">
        <w:rPr>
          <w:rFonts w:asciiTheme="minorHAnsi" w:eastAsiaTheme="minorHAnsi" w:hAnsiTheme="minorHAnsi" w:cstheme="minorBidi"/>
          <w:snapToGrid/>
          <w:sz w:val="24"/>
          <w:szCs w:val="22"/>
        </w:rPr>
        <w:t>QIV i</w:t>
      </w:r>
      <w:r w:rsidR="00B73F46">
        <w:rPr>
          <w:rFonts w:asciiTheme="minorHAnsi" w:eastAsiaTheme="minorHAnsi" w:hAnsiTheme="minorHAnsi" w:cstheme="minorBidi"/>
          <w:snapToGrid/>
          <w:sz w:val="24"/>
          <w:szCs w:val="22"/>
        </w:rPr>
        <w:t xml:space="preserve">s the magnitude of the loss of protection against the alternative B lineage with the use of </w:t>
      </w:r>
      <w:proofErr w:type="spellStart"/>
      <w:r w:rsidR="00B73F46">
        <w:rPr>
          <w:rFonts w:asciiTheme="minorHAnsi" w:eastAsiaTheme="minorHAnsi" w:hAnsiTheme="minorHAnsi" w:cstheme="minorBidi"/>
          <w:snapToGrid/>
          <w:sz w:val="24"/>
          <w:szCs w:val="22"/>
        </w:rPr>
        <w:t>aTIV</w:t>
      </w:r>
      <w:proofErr w:type="spellEnd"/>
      <w:r w:rsidR="00B73F46">
        <w:rPr>
          <w:rFonts w:asciiTheme="minorHAnsi" w:eastAsiaTheme="minorHAnsi" w:hAnsiTheme="minorHAnsi" w:cstheme="minorBidi"/>
          <w:snapToGrid/>
          <w:sz w:val="24"/>
          <w:szCs w:val="22"/>
        </w:rPr>
        <w:t xml:space="preserve">, which is hard to predict from year to year.  </w:t>
      </w:r>
    </w:p>
    <w:p w:rsidR="00755F01" w:rsidRDefault="00C46A3D" w:rsidP="00755F0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ATAGI acknowledged the superior effectiveness of </w:t>
      </w:r>
      <w:proofErr w:type="spellStart"/>
      <w:r>
        <w:rPr>
          <w:rFonts w:asciiTheme="minorHAnsi" w:eastAsiaTheme="minorHAnsi" w:hAnsiTheme="minorHAnsi" w:cstheme="minorBidi"/>
          <w:snapToGrid/>
          <w:sz w:val="24"/>
          <w:szCs w:val="22"/>
        </w:rPr>
        <w:t>aTIV</w:t>
      </w:r>
      <w:proofErr w:type="spellEnd"/>
      <w:r>
        <w:rPr>
          <w:rFonts w:asciiTheme="minorHAnsi" w:eastAsiaTheme="minorHAnsi" w:hAnsiTheme="minorHAnsi" w:cstheme="minorBidi"/>
          <w:snapToGrid/>
          <w:sz w:val="24"/>
          <w:szCs w:val="22"/>
        </w:rPr>
        <w:t xml:space="preserve"> compared to TIV in certain scenarios and in recipients aged 65 and over.  ATAGI noted substantial uncertainty about the magnitude of incremental effectiveness of </w:t>
      </w:r>
      <w:proofErr w:type="spellStart"/>
      <w:r>
        <w:rPr>
          <w:rFonts w:asciiTheme="minorHAnsi" w:eastAsiaTheme="minorHAnsi" w:hAnsiTheme="minorHAnsi" w:cstheme="minorBidi"/>
          <w:snapToGrid/>
          <w:sz w:val="24"/>
          <w:szCs w:val="22"/>
        </w:rPr>
        <w:t>aTIV</w:t>
      </w:r>
      <w:proofErr w:type="spellEnd"/>
      <w:r>
        <w:rPr>
          <w:rFonts w:asciiTheme="minorHAnsi" w:eastAsiaTheme="minorHAnsi" w:hAnsiTheme="minorHAnsi" w:cstheme="minorBidi"/>
          <w:snapToGrid/>
          <w:sz w:val="24"/>
          <w:szCs w:val="22"/>
        </w:rPr>
        <w:t xml:space="preserve"> relative to TIV, which is can vary each influenza season </w:t>
      </w:r>
      <w:r>
        <w:rPr>
          <w:rFonts w:asciiTheme="minorHAnsi" w:hAnsiTheme="minorHAnsi"/>
          <w:sz w:val="24"/>
          <w:szCs w:val="24"/>
        </w:rPr>
        <w:t>(Pre-Submission PBAC Advice, P1)</w:t>
      </w:r>
      <w:r>
        <w:rPr>
          <w:rFonts w:asciiTheme="minorHAnsi" w:eastAsiaTheme="minorHAnsi" w:hAnsiTheme="minorHAnsi" w:cstheme="minorBidi"/>
          <w:snapToGrid/>
          <w:sz w:val="24"/>
          <w:szCs w:val="22"/>
        </w:rPr>
        <w:t>.</w:t>
      </w:r>
    </w:p>
    <w:p w:rsidR="00EB2079" w:rsidRDefault="00EE7AAB" w:rsidP="00B73F4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 ATAGI recognised there wa</w:t>
      </w:r>
      <w:r w:rsidR="00EB2079">
        <w:rPr>
          <w:rFonts w:asciiTheme="minorHAnsi" w:eastAsiaTheme="minorHAnsi" w:hAnsiTheme="minorHAnsi" w:cstheme="minorBidi"/>
          <w:snapToGrid/>
          <w:sz w:val="24"/>
          <w:szCs w:val="22"/>
        </w:rPr>
        <w:t xml:space="preserve">s no evidence from RCTs on the efficacy of </w:t>
      </w:r>
      <w:proofErr w:type="spellStart"/>
      <w:r w:rsidR="00EB2079">
        <w:rPr>
          <w:rFonts w:asciiTheme="minorHAnsi" w:eastAsiaTheme="minorHAnsi" w:hAnsiTheme="minorHAnsi" w:cstheme="minorBidi"/>
          <w:snapToGrid/>
          <w:sz w:val="24"/>
          <w:szCs w:val="22"/>
        </w:rPr>
        <w:t>aTIV</w:t>
      </w:r>
      <w:proofErr w:type="spellEnd"/>
      <w:r w:rsidR="00EB2079">
        <w:rPr>
          <w:rFonts w:asciiTheme="minorHAnsi" w:eastAsiaTheme="minorHAnsi" w:hAnsiTheme="minorHAnsi" w:cstheme="minorBidi"/>
          <w:snapToGrid/>
          <w:sz w:val="24"/>
          <w:szCs w:val="22"/>
        </w:rPr>
        <w:t xml:space="preserve"> against laboratory confirmed influenza and </w:t>
      </w:r>
      <w:r>
        <w:rPr>
          <w:rFonts w:asciiTheme="minorHAnsi" w:eastAsiaTheme="minorHAnsi" w:hAnsiTheme="minorHAnsi" w:cstheme="minorBidi"/>
          <w:snapToGrid/>
          <w:sz w:val="24"/>
          <w:szCs w:val="22"/>
        </w:rPr>
        <w:t xml:space="preserve">an </w:t>
      </w:r>
      <w:r w:rsidR="00EB2079">
        <w:rPr>
          <w:rFonts w:asciiTheme="minorHAnsi" w:eastAsiaTheme="minorHAnsi" w:hAnsiTheme="minorHAnsi" w:cstheme="minorBidi"/>
          <w:snapToGrid/>
          <w:sz w:val="24"/>
          <w:szCs w:val="22"/>
        </w:rPr>
        <w:t>absence of evidence on strain specific vaccine effectiveness, however ATAGI considered that the studies provided held sufficient evidence of superior relative effectiveness compared to TIV, at least for the A/H3N2 strain.  ATAGI also recognised the absence of RCT evidence demonstrating clinical efficacy relative to TIV (Pre-Submission PBAC Advice, P5)</w:t>
      </w:r>
      <w:r>
        <w:rPr>
          <w:rFonts w:asciiTheme="minorHAnsi" w:eastAsiaTheme="minorHAnsi" w:hAnsiTheme="minorHAnsi" w:cstheme="minorBidi"/>
          <w:snapToGrid/>
          <w:sz w:val="24"/>
          <w:szCs w:val="22"/>
        </w:rPr>
        <w:t>.</w:t>
      </w:r>
      <w:r w:rsidR="00EB2079">
        <w:rPr>
          <w:rFonts w:asciiTheme="minorHAnsi" w:eastAsiaTheme="minorHAnsi" w:hAnsiTheme="minorHAnsi" w:cstheme="minorBidi"/>
          <w:snapToGrid/>
          <w:sz w:val="24"/>
          <w:szCs w:val="22"/>
        </w:rPr>
        <w:t xml:space="preserve"> </w:t>
      </w:r>
    </w:p>
    <w:p w:rsidR="00703BEC" w:rsidRPr="00703BEC" w:rsidRDefault="00EB2079" w:rsidP="00703BE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3BEC">
        <w:rPr>
          <w:rFonts w:asciiTheme="minorHAnsi" w:eastAsiaTheme="minorHAnsi" w:hAnsiTheme="minorHAnsi" w:cstheme="minorBidi"/>
          <w:snapToGrid/>
          <w:sz w:val="24"/>
          <w:szCs w:val="22"/>
        </w:rPr>
        <w:t>ATAGI</w:t>
      </w:r>
      <w:r w:rsidR="00C46A3D" w:rsidRPr="00703BEC">
        <w:rPr>
          <w:rFonts w:asciiTheme="minorHAnsi" w:eastAsiaTheme="minorHAnsi" w:hAnsiTheme="minorHAnsi" w:cstheme="minorBidi"/>
          <w:snapToGrid/>
          <w:sz w:val="24"/>
          <w:szCs w:val="22"/>
        </w:rPr>
        <w:t xml:space="preserve"> noted uncertainty relating to the relative effective</w:t>
      </w:r>
      <w:r w:rsidRPr="00703BEC">
        <w:rPr>
          <w:rFonts w:asciiTheme="minorHAnsi" w:eastAsiaTheme="minorHAnsi" w:hAnsiTheme="minorHAnsi" w:cstheme="minorBidi"/>
          <w:snapToGrid/>
          <w:sz w:val="24"/>
          <w:szCs w:val="22"/>
        </w:rPr>
        <w:t>ne</w:t>
      </w:r>
      <w:r w:rsidR="00C46A3D" w:rsidRPr="00703BEC">
        <w:rPr>
          <w:rFonts w:asciiTheme="minorHAnsi" w:eastAsiaTheme="minorHAnsi" w:hAnsiTheme="minorHAnsi" w:cstheme="minorBidi"/>
          <w:snapToGrid/>
          <w:sz w:val="24"/>
          <w:szCs w:val="22"/>
        </w:rPr>
        <w:t>s</w:t>
      </w:r>
      <w:r w:rsidRPr="00703BEC">
        <w:rPr>
          <w:rFonts w:asciiTheme="minorHAnsi" w:eastAsiaTheme="minorHAnsi" w:hAnsiTheme="minorHAnsi" w:cstheme="minorBidi"/>
          <w:snapToGrid/>
          <w:sz w:val="24"/>
          <w:szCs w:val="22"/>
        </w:rPr>
        <w:t>s</w:t>
      </w:r>
      <w:r w:rsidR="00D50EE4" w:rsidRPr="00703BEC">
        <w:rPr>
          <w:rFonts w:asciiTheme="minorHAnsi" w:eastAsiaTheme="minorHAnsi" w:hAnsiTheme="minorHAnsi" w:cstheme="minorBidi"/>
          <w:snapToGrid/>
          <w:sz w:val="24"/>
          <w:szCs w:val="22"/>
        </w:rPr>
        <w:t xml:space="preserve"> of </w:t>
      </w:r>
      <w:proofErr w:type="spellStart"/>
      <w:r w:rsidR="00D50EE4" w:rsidRPr="00703BEC">
        <w:rPr>
          <w:rFonts w:asciiTheme="minorHAnsi" w:eastAsiaTheme="minorHAnsi" w:hAnsiTheme="minorHAnsi" w:cstheme="minorBidi"/>
          <w:snapToGrid/>
          <w:sz w:val="24"/>
          <w:szCs w:val="22"/>
        </w:rPr>
        <w:t>a</w:t>
      </w:r>
      <w:r w:rsidR="00C46A3D" w:rsidRPr="00703BEC">
        <w:rPr>
          <w:rFonts w:asciiTheme="minorHAnsi" w:eastAsiaTheme="minorHAnsi" w:hAnsiTheme="minorHAnsi" w:cstheme="minorBidi"/>
          <w:snapToGrid/>
          <w:sz w:val="24"/>
          <w:szCs w:val="22"/>
        </w:rPr>
        <w:t>TIV</w:t>
      </w:r>
      <w:proofErr w:type="spellEnd"/>
      <w:r w:rsidR="00C46A3D" w:rsidRPr="00703BEC">
        <w:rPr>
          <w:rFonts w:asciiTheme="minorHAnsi" w:eastAsiaTheme="minorHAnsi" w:hAnsiTheme="minorHAnsi" w:cstheme="minorBidi"/>
          <w:snapToGrid/>
          <w:sz w:val="24"/>
          <w:szCs w:val="22"/>
        </w:rPr>
        <w:t xml:space="preserve"> compared to QIV</w:t>
      </w:r>
      <w:r w:rsidR="00703BEC" w:rsidRPr="00703BEC">
        <w:rPr>
          <w:rFonts w:asciiTheme="minorHAnsi" w:eastAsiaTheme="minorHAnsi" w:hAnsiTheme="minorHAnsi" w:cstheme="minorBidi"/>
          <w:snapToGrid/>
          <w:sz w:val="24"/>
          <w:szCs w:val="22"/>
        </w:rPr>
        <w:t xml:space="preserve"> (</w:t>
      </w:r>
      <w:r w:rsidR="00703BEC" w:rsidRPr="006552D5">
        <w:rPr>
          <w:rFonts w:asciiTheme="minorHAnsi" w:eastAsiaTheme="minorHAnsi" w:hAnsiTheme="minorHAnsi" w:cstheme="minorBidi"/>
          <w:snapToGrid/>
          <w:sz w:val="24"/>
          <w:szCs w:val="22"/>
        </w:rPr>
        <w:t xml:space="preserve">Pre-Submission PBAC Advice, P1).  </w:t>
      </w:r>
    </w:p>
    <w:p w:rsidR="00556EB2" w:rsidRDefault="00556EB2" w:rsidP="00703BE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3BEC">
        <w:rPr>
          <w:rFonts w:asciiTheme="minorHAnsi" w:eastAsiaTheme="minorHAnsi" w:hAnsiTheme="minorHAnsi" w:cstheme="minorBidi"/>
          <w:snapToGrid/>
          <w:sz w:val="24"/>
          <w:szCs w:val="22"/>
        </w:rPr>
        <w:lastRenderedPageBreak/>
        <w:t>The ATAGI advice (P4) identified that among people with previous influenza exposure, the additional protection against the additional B lineage provided by the inclusion of a second B lineage in a QIV was predicted to not be statistically significant and the greatest advantage of QIV was thus in infants and children.</w:t>
      </w:r>
    </w:p>
    <w:p w:rsidR="00EE7AAB" w:rsidRPr="00703BEC" w:rsidRDefault="00EE7AAB" w:rsidP="00703BE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ATAGI considered </w:t>
      </w:r>
      <w:proofErr w:type="spellStart"/>
      <w:r w:rsidR="00F55A2B">
        <w:rPr>
          <w:rFonts w:asciiTheme="minorHAnsi" w:eastAsiaTheme="minorHAnsi" w:hAnsiTheme="minorHAnsi" w:cstheme="minorBidi"/>
          <w:snapToGrid/>
          <w:sz w:val="24"/>
          <w:szCs w:val="22"/>
        </w:rPr>
        <w:t>aTIV</w:t>
      </w:r>
      <w:proofErr w:type="spellEnd"/>
      <w:r w:rsidR="00F55A2B" w:rsidRPr="00C17890">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suitable for listing on the NIP designated vaccines list for the prevention of seasonal influenza in adults aged ≥65 years, subject to TGA updated registration approval, based on non-inferiority overall against QIVs (</w:t>
      </w:r>
      <w:r w:rsidRPr="00C17890">
        <w:rPr>
          <w:rFonts w:asciiTheme="minorHAnsi" w:eastAsiaTheme="minorHAnsi" w:hAnsiTheme="minorHAnsi" w:cstheme="minorBidi"/>
          <w:snapToGrid/>
          <w:sz w:val="24"/>
          <w:szCs w:val="22"/>
        </w:rPr>
        <w:t xml:space="preserve">Pre-Submission PBAC Advice, P1).  </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harms</w:t>
      </w:r>
    </w:p>
    <w:p w:rsidR="00C73FD8" w:rsidRPr="00C73FD8" w:rsidRDefault="00B73F46" w:rsidP="00B540C7">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540C7">
        <w:rPr>
          <w:rFonts w:asciiTheme="minorHAnsi" w:eastAsiaTheme="minorHAnsi" w:hAnsiTheme="minorHAnsi" w:cstheme="minorBidi"/>
          <w:snapToGrid/>
          <w:sz w:val="24"/>
          <w:szCs w:val="22"/>
        </w:rPr>
        <w:t xml:space="preserve">The </w:t>
      </w:r>
      <w:r w:rsidR="00EE7AAB" w:rsidRPr="00B540C7">
        <w:rPr>
          <w:rFonts w:asciiTheme="minorHAnsi" w:eastAsiaTheme="minorHAnsi" w:hAnsiTheme="minorHAnsi" w:cstheme="minorBidi"/>
          <w:snapToGrid/>
          <w:sz w:val="24"/>
          <w:szCs w:val="22"/>
        </w:rPr>
        <w:t>submission claimed</w:t>
      </w:r>
      <w:r w:rsidRPr="00B540C7">
        <w:rPr>
          <w:rFonts w:asciiTheme="minorHAnsi" w:eastAsiaTheme="minorHAnsi" w:hAnsiTheme="minorHAnsi" w:cstheme="minorBidi"/>
          <w:snapToGrid/>
          <w:sz w:val="24"/>
          <w:szCs w:val="22"/>
        </w:rPr>
        <w:t xml:space="preserve"> that that safety data from the </w:t>
      </w:r>
      <w:r w:rsidR="00B540C7" w:rsidRPr="00B540C7">
        <w:rPr>
          <w:rFonts w:asciiTheme="minorHAnsi" w:eastAsiaTheme="minorHAnsi" w:hAnsiTheme="minorHAnsi" w:cstheme="minorBidi"/>
          <w:snapToGrid/>
          <w:sz w:val="24"/>
          <w:szCs w:val="22"/>
        </w:rPr>
        <w:t xml:space="preserve">available </w:t>
      </w:r>
      <w:r w:rsidRPr="00B540C7">
        <w:rPr>
          <w:rFonts w:asciiTheme="minorHAnsi" w:eastAsiaTheme="minorHAnsi" w:hAnsiTheme="minorHAnsi" w:cstheme="minorBidi"/>
          <w:snapToGrid/>
          <w:sz w:val="24"/>
          <w:szCs w:val="22"/>
        </w:rPr>
        <w:t>RCTs and the extend</w:t>
      </w:r>
      <w:r w:rsidR="00EE7AAB" w:rsidRPr="00E7304D">
        <w:rPr>
          <w:rFonts w:asciiTheme="minorHAnsi" w:eastAsiaTheme="minorHAnsi" w:hAnsiTheme="minorHAnsi" w:cstheme="minorBidi"/>
          <w:snapToGrid/>
          <w:sz w:val="24"/>
          <w:szCs w:val="22"/>
        </w:rPr>
        <w:t xml:space="preserve">ed assessment found that </w:t>
      </w:r>
      <w:proofErr w:type="spellStart"/>
      <w:r w:rsidR="00F55A2B" w:rsidRPr="00E7304D">
        <w:rPr>
          <w:rFonts w:asciiTheme="minorHAnsi" w:eastAsiaTheme="minorHAnsi" w:hAnsiTheme="minorHAnsi" w:cstheme="minorBidi"/>
          <w:snapToGrid/>
          <w:sz w:val="24"/>
          <w:szCs w:val="22"/>
        </w:rPr>
        <w:t>aTIV</w:t>
      </w:r>
      <w:proofErr w:type="spellEnd"/>
      <w:r w:rsidR="00F55A2B" w:rsidRPr="00E7304D">
        <w:rPr>
          <w:rFonts w:asciiTheme="minorHAnsi" w:eastAsiaTheme="minorHAnsi" w:hAnsiTheme="minorHAnsi" w:cstheme="minorBidi"/>
          <w:snapToGrid/>
          <w:sz w:val="24"/>
          <w:szCs w:val="22"/>
        </w:rPr>
        <w:t xml:space="preserve"> </w:t>
      </w:r>
      <w:r w:rsidR="00EE7AAB" w:rsidRPr="00E7304D">
        <w:rPr>
          <w:rFonts w:asciiTheme="minorHAnsi" w:eastAsiaTheme="minorHAnsi" w:hAnsiTheme="minorHAnsi" w:cstheme="minorBidi"/>
          <w:snapToGrid/>
          <w:sz w:val="24"/>
          <w:szCs w:val="22"/>
        </w:rPr>
        <w:t>wa</w:t>
      </w:r>
      <w:r w:rsidRPr="00890026">
        <w:rPr>
          <w:rFonts w:asciiTheme="minorHAnsi" w:eastAsiaTheme="minorHAnsi" w:hAnsiTheme="minorHAnsi" w:cstheme="minorBidi"/>
          <w:sz w:val="24"/>
          <w:szCs w:val="24"/>
        </w:rPr>
        <w:t xml:space="preserve">s associated with an increased rate of local reactions (mostly mild) in the first few days following vaccination, but with no differences with TIV in safety outcomes after this time (submission, P17).  </w:t>
      </w:r>
    </w:p>
    <w:p w:rsidR="00B73F46" w:rsidRPr="00A73198" w:rsidRDefault="00B73F46" w:rsidP="00C73FD8">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540C7">
        <w:rPr>
          <w:rFonts w:asciiTheme="minorHAnsi" w:eastAsiaTheme="minorHAnsi" w:hAnsiTheme="minorHAnsi" w:cstheme="minorBidi"/>
          <w:snapToGrid/>
          <w:sz w:val="24"/>
          <w:szCs w:val="22"/>
        </w:rPr>
        <w:t xml:space="preserve">ATAGI </w:t>
      </w:r>
      <w:r w:rsidR="00D50EE4" w:rsidRPr="00B540C7">
        <w:rPr>
          <w:rFonts w:asciiTheme="minorHAnsi" w:eastAsiaTheme="minorHAnsi" w:hAnsiTheme="minorHAnsi" w:cstheme="minorBidi"/>
          <w:snapToGrid/>
          <w:sz w:val="24"/>
          <w:szCs w:val="22"/>
        </w:rPr>
        <w:t xml:space="preserve">did not have major concerns regarding the safety of </w:t>
      </w:r>
      <w:proofErr w:type="spellStart"/>
      <w:r w:rsidR="00D50EE4" w:rsidRPr="00B540C7">
        <w:rPr>
          <w:rFonts w:asciiTheme="minorHAnsi" w:eastAsiaTheme="minorHAnsi" w:hAnsiTheme="minorHAnsi" w:cstheme="minorBidi"/>
          <w:snapToGrid/>
          <w:sz w:val="24"/>
          <w:szCs w:val="22"/>
        </w:rPr>
        <w:t>aTIV</w:t>
      </w:r>
      <w:proofErr w:type="spellEnd"/>
      <w:r w:rsidR="00D50EE4" w:rsidRPr="00B540C7">
        <w:rPr>
          <w:rFonts w:asciiTheme="minorHAnsi" w:eastAsiaTheme="minorHAnsi" w:hAnsiTheme="minorHAnsi" w:cstheme="minorBidi"/>
          <w:snapToGrid/>
          <w:sz w:val="24"/>
          <w:szCs w:val="22"/>
        </w:rPr>
        <w:t xml:space="preserve">.  ATAGI noted that </w:t>
      </w:r>
      <w:proofErr w:type="spellStart"/>
      <w:r w:rsidR="00D50EE4" w:rsidRPr="00B540C7">
        <w:rPr>
          <w:rFonts w:asciiTheme="minorHAnsi" w:eastAsiaTheme="minorHAnsi" w:hAnsiTheme="minorHAnsi" w:cstheme="minorBidi"/>
          <w:snapToGrid/>
          <w:sz w:val="24"/>
          <w:szCs w:val="22"/>
        </w:rPr>
        <w:t>a</w:t>
      </w:r>
      <w:r w:rsidR="00EE7AAB" w:rsidRPr="00B540C7">
        <w:rPr>
          <w:rFonts w:asciiTheme="minorHAnsi" w:eastAsiaTheme="minorHAnsi" w:hAnsiTheme="minorHAnsi" w:cstheme="minorBidi"/>
          <w:snapToGrid/>
          <w:sz w:val="24"/>
          <w:szCs w:val="22"/>
        </w:rPr>
        <w:t>TIV</w:t>
      </w:r>
      <w:proofErr w:type="spellEnd"/>
      <w:r w:rsidR="00EE7AAB" w:rsidRPr="00B540C7">
        <w:rPr>
          <w:rFonts w:asciiTheme="minorHAnsi" w:eastAsiaTheme="minorHAnsi" w:hAnsiTheme="minorHAnsi" w:cstheme="minorBidi"/>
          <w:snapToGrid/>
          <w:sz w:val="24"/>
          <w:szCs w:val="22"/>
        </w:rPr>
        <w:t xml:space="preserve"> appeared</w:t>
      </w:r>
      <w:r w:rsidR="00D50EE4" w:rsidRPr="00B540C7">
        <w:rPr>
          <w:rFonts w:asciiTheme="minorHAnsi" w:eastAsiaTheme="minorHAnsi" w:hAnsiTheme="minorHAnsi" w:cstheme="minorBidi"/>
          <w:snapToGrid/>
          <w:sz w:val="24"/>
          <w:szCs w:val="22"/>
        </w:rPr>
        <w:t xml:space="preserve"> to be more </w:t>
      </w:r>
      <w:proofErr w:type="spellStart"/>
      <w:r w:rsidR="00D50EE4" w:rsidRPr="00B540C7">
        <w:rPr>
          <w:rFonts w:asciiTheme="minorHAnsi" w:eastAsiaTheme="minorHAnsi" w:hAnsiTheme="minorHAnsi" w:cstheme="minorBidi"/>
          <w:snapToGrid/>
          <w:sz w:val="24"/>
          <w:szCs w:val="22"/>
        </w:rPr>
        <w:t>reactogenic</w:t>
      </w:r>
      <w:proofErr w:type="spellEnd"/>
      <w:r w:rsidR="00D50EE4" w:rsidRPr="00B540C7">
        <w:rPr>
          <w:rFonts w:asciiTheme="minorHAnsi" w:eastAsiaTheme="minorHAnsi" w:hAnsiTheme="minorHAnsi" w:cstheme="minorBidi"/>
          <w:snapToGrid/>
          <w:sz w:val="24"/>
          <w:szCs w:val="22"/>
        </w:rPr>
        <w:t xml:space="preserve"> than TIV, however</w:t>
      </w:r>
      <w:r w:rsidR="00EE7AAB" w:rsidRPr="00B540C7">
        <w:rPr>
          <w:rFonts w:asciiTheme="minorHAnsi" w:eastAsiaTheme="minorHAnsi" w:hAnsiTheme="minorHAnsi" w:cstheme="minorBidi"/>
          <w:snapToGrid/>
          <w:sz w:val="24"/>
          <w:szCs w:val="22"/>
        </w:rPr>
        <w:t xml:space="preserve"> the reactions we</w:t>
      </w:r>
      <w:r w:rsidR="00D50EE4" w:rsidRPr="00B540C7">
        <w:rPr>
          <w:rFonts w:asciiTheme="minorHAnsi" w:eastAsiaTheme="minorHAnsi" w:hAnsiTheme="minorHAnsi" w:cstheme="minorBidi"/>
          <w:snapToGrid/>
          <w:sz w:val="24"/>
          <w:szCs w:val="22"/>
        </w:rPr>
        <w:t>re gener</w:t>
      </w:r>
      <w:r w:rsidR="00EE7AAB" w:rsidRPr="00B540C7">
        <w:rPr>
          <w:rFonts w:asciiTheme="minorHAnsi" w:eastAsiaTheme="minorHAnsi" w:hAnsiTheme="minorHAnsi" w:cstheme="minorBidi"/>
          <w:snapToGrid/>
          <w:sz w:val="24"/>
          <w:szCs w:val="22"/>
        </w:rPr>
        <w:t xml:space="preserve">ally well tolerated and there </w:t>
      </w:r>
      <w:r w:rsidR="00EE7AAB" w:rsidRPr="00E7304D">
        <w:rPr>
          <w:rFonts w:asciiTheme="minorHAnsi" w:eastAsiaTheme="minorHAnsi" w:hAnsiTheme="minorHAnsi" w:cstheme="minorBidi"/>
          <w:snapToGrid/>
          <w:sz w:val="24"/>
          <w:szCs w:val="22"/>
        </w:rPr>
        <w:t>was</w:t>
      </w:r>
      <w:r w:rsidR="00D50EE4" w:rsidRPr="00E7304D">
        <w:rPr>
          <w:rFonts w:asciiTheme="minorHAnsi" w:eastAsiaTheme="minorHAnsi" w:hAnsiTheme="minorHAnsi" w:cstheme="minorBidi"/>
          <w:snapToGrid/>
          <w:sz w:val="24"/>
          <w:szCs w:val="22"/>
        </w:rPr>
        <w:t xml:space="preserve"> no increase in serious adverse events </w:t>
      </w:r>
      <w:r w:rsidR="00D50EE4" w:rsidRPr="00E7304D">
        <w:rPr>
          <w:rFonts w:asciiTheme="minorHAnsi" w:hAnsiTheme="minorHAnsi"/>
          <w:sz w:val="24"/>
          <w:szCs w:val="24"/>
        </w:rPr>
        <w:t xml:space="preserve">(Pre-Submission PBAC Advice, </w:t>
      </w:r>
      <w:r w:rsidR="00D50EE4" w:rsidRPr="00B540C7">
        <w:rPr>
          <w:rFonts w:asciiTheme="minorHAnsi" w:hAnsiTheme="minorHAnsi"/>
          <w:sz w:val="24"/>
          <w:szCs w:val="24"/>
        </w:rPr>
        <w:t>P2)</w:t>
      </w:r>
      <w:r w:rsidR="00D50EE4" w:rsidRPr="00B540C7">
        <w:rPr>
          <w:rFonts w:asciiTheme="minorHAnsi" w:eastAsiaTheme="minorHAnsi" w:hAnsiTheme="minorHAnsi" w:cstheme="minorBidi"/>
          <w:snapToGrid/>
          <w:sz w:val="24"/>
          <w:szCs w:val="22"/>
        </w:rPr>
        <w:t>.</w:t>
      </w:r>
      <w:r w:rsidR="00672443" w:rsidRPr="00B540C7">
        <w:rPr>
          <w:rFonts w:asciiTheme="minorHAnsi" w:eastAsiaTheme="minorHAnsi" w:hAnsiTheme="minorHAnsi" w:cstheme="minorBidi"/>
          <w:snapToGrid/>
          <w:sz w:val="24"/>
          <w:szCs w:val="22"/>
        </w:rPr>
        <w:t xml:space="preserve">  ATAGI added that the higher rate of local and systemic reactions would be relevant for communication to immunisation providers and potential recipients Pre-Submission PBAC Advice, P8). </w:t>
      </w:r>
      <w:r w:rsidR="00B540C7">
        <w:rPr>
          <w:rFonts w:asciiTheme="minorHAnsi" w:eastAsiaTheme="minorHAnsi" w:hAnsiTheme="minorHAnsi" w:cstheme="minorBidi"/>
          <w:snapToGrid/>
          <w:sz w:val="24"/>
          <w:szCs w:val="22"/>
        </w:rPr>
        <w:t xml:space="preserve">ATAGI noted a lack of studies on </w:t>
      </w:r>
      <w:proofErr w:type="spellStart"/>
      <w:r w:rsidR="00B540C7">
        <w:rPr>
          <w:rFonts w:asciiTheme="minorHAnsi" w:eastAsiaTheme="minorHAnsi" w:hAnsiTheme="minorHAnsi" w:cstheme="minorBidi"/>
          <w:snapToGrid/>
          <w:sz w:val="24"/>
          <w:szCs w:val="22"/>
        </w:rPr>
        <w:t>coadminstration</w:t>
      </w:r>
      <w:proofErr w:type="spellEnd"/>
      <w:r w:rsidR="00B540C7">
        <w:rPr>
          <w:rFonts w:asciiTheme="minorHAnsi" w:eastAsiaTheme="minorHAnsi" w:hAnsiTheme="minorHAnsi" w:cstheme="minorBidi"/>
          <w:snapToGrid/>
          <w:sz w:val="24"/>
          <w:szCs w:val="22"/>
        </w:rPr>
        <w:t xml:space="preserve"> of </w:t>
      </w:r>
      <w:proofErr w:type="spellStart"/>
      <w:r w:rsidR="00B540C7">
        <w:rPr>
          <w:rFonts w:asciiTheme="minorHAnsi" w:eastAsiaTheme="minorHAnsi" w:hAnsiTheme="minorHAnsi" w:cstheme="minorBidi"/>
          <w:snapToGrid/>
          <w:sz w:val="24"/>
          <w:szCs w:val="22"/>
        </w:rPr>
        <w:t>aTIV</w:t>
      </w:r>
      <w:proofErr w:type="spellEnd"/>
      <w:r w:rsidR="00B540C7">
        <w:rPr>
          <w:rFonts w:asciiTheme="minorHAnsi" w:eastAsiaTheme="minorHAnsi" w:hAnsiTheme="minorHAnsi" w:cstheme="minorBidi"/>
          <w:snapToGrid/>
          <w:sz w:val="24"/>
          <w:szCs w:val="22"/>
        </w:rPr>
        <w:t xml:space="preserve"> with </w:t>
      </w:r>
      <w:proofErr w:type="spellStart"/>
      <w:r w:rsidR="00B540C7" w:rsidRPr="00672443">
        <w:rPr>
          <w:rFonts w:asciiTheme="minorHAnsi" w:eastAsiaTheme="minorHAnsi" w:hAnsiTheme="minorHAnsi" w:cstheme="minorBidi"/>
          <w:snapToGrid/>
          <w:sz w:val="24"/>
          <w:szCs w:val="22"/>
        </w:rPr>
        <w:t>Zostava</w:t>
      </w:r>
      <w:r w:rsidR="00B540C7">
        <w:rPr>
          <w:rFonts w:asciiTheme="minorHAnsi" w:eastAsiaTheme="minorHAnsi" w:hAnsiTheme="minorHAnsi" w:cstheme="minorBidi"/>
          <w:snapToGrid/>
          <w:sz w:val="24"/>
          <w:szCs w:val="22"/>
        </w:rPr>
        <w:t>x</w:t>
      </w:r>
      <w:proofErr w:type="spellEnd"/>
      <w:r w:rsidR="00B540C7" w:rsidRPr="00672443">
        <w:rPr>
          <w:rFonts w:asciiTheme="minorHAnsi" w:eastAsiaTheme="minorHAnsi" w:hAnsiTheme="minorHAnsi" w:cstheme="minorBidi"/>
          <w:snapToGrid/>
          <w:sz w:val="24"/>
          <w:szCs w:val="22"/>
        </w:rPr>
        <w:t xml:space="preserve"> (</w:t>
      </w:r>
      <w:r w:rsidR="00B540C7" w:rsidRPr="006552D5">
        <w:rPr>
          <w:rFonts w:asciiTheme="minorHAnsi" w:eastAsiaTheme="minorHAnsi" w:hAnsiTheme="minorHAnsi" w:cstheme="minorBidi"/>
          <w:snapToGrid/>
          <w:sz w:val="24"/>
          <w:szCs w:val="22"/>
        </w:rPr>
        <w:t xml:space="preserve">Pre-Submission PBAC Advice, P8).  </w:t>
      </w:r>
    </w:p>
    <w:p w:rsidR="009B0F67" w:rsidRPr="006552D5" w:rsidRDefault="00D50EE4" w:rsidP="006552D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Based on evidence from studies in younger age groups ATAGI did not have significant </w:t>
      </w:r>
      <w:r w:rsidRPr="00890026">
        <w:rPr>
          <w:rFonts w:asciiTheme="minorHAnsi" w:eastAsiaTheme="minorHAnsi" w:hAnsiTheme="minorHAnsi" w:cstheme="minorBidi"/>
          <w:snapToGrid/>
          <w:sz w:val="24"/>
          <w:szCs w:val="24"/>
        </w:rPr>
        <w:t xml:space="preserve">concerns regarding possible inadvertent administration to adults </w:t>
      </w:r>
      <w:proofErr w:type="gramStart"/>
      <w:r w:rsidRPr="00890026">
        <w:rPr>
          <w:rFonts w:asciiTheme="minorHAnsi" w:eastAsiaTheme="minorHAnsi" w:hAnsiTheme="minorHAnsi" w:cstheme="minorBidi"/>
          <w:snapToGrid/>
          <w:sz w:val="24"/>
          <w:szCs w:val="24"/>
        </w:rPr>
        <w:t>under</w:t>
      </w:r>
      <w:proofErr w:type="gramEnd"/>
      <w:r w:rsidRPr="00890026">
        <w:rPr>
          <w:rFonts w:asciiTheme="minorHAnsi" w:eastAsiaTheme="minorHAnsi" w:hAnsiTheme="minorHAnsi" w:cstheme="minorBidi"/>
          <w:snapToGrid/>
          <w:sz w:val="24"/>
          <w:szCs w:val="24"/>
        </w:rPr>
        <w:t xml:space="preserve"> 65 years of age (Pre-Submission PBAC Advice, P2)</w:t>
      </w:r>
      <w:r w:rsidR="00EE7AAB" w:rsidRPr="00890026">
        <w:rPr>
          <w:rFonts w:asciiTheme="minorHAnsi" w:eastAsiaTheme="minorHAnsi" w:hAnsiTheme="minorHAnsi" w:cstheme="minorBidi"/>
          <w:snapToGrid/>
          <w:sz w:val="24"/>
          <w:szCs w:val="24"/>
        </w:rPr>
        <w:t xml:space="preserve"> and considered </w:t>
      </w:r>
      <w:proofErr w:type="spellStart"/>
      <w:r w:rsidR="00EE7AAB" w:rsidRPr="00890026">
        <w:rPr>
          <w:rFonts w:asciiTheme="minorHAnsi" w:eastAsiaTheme="minorHAnsi" w:hAnsiTheme="minorHAnsi" w:cstheme="minorBidi"/>
          <w:snapToGrid/>
          <w:sz w:val="24"/>
          <w:szCs w:val="24"/>
        </w:rPr>
        <w:t>aTIV</w:t>
      </w:r>
      <w:proofErr w:type="spellEnd"/>
      <w:r w:rsidR="00EE7AAB" w:rsidRPr="00890026">
        <w:rPr>
          <w:rFonts w:asciiTheme="minorHAnsi" w:eastAsiaTheme="minorHAnsi" w:hAnsiTheme="minorHAnsi" w:cstheme="minorBidi"/>
          <w:snapToGrid/>
          <w:sz w:val="24"/>
          <w:szCs w:val="24"/>
        </w:rPr>
        <w:t xml:space="preserve"> to have an acceptable safety</w:t>
      </w:r>
      <w:r w:rsidR="0018779B" w:rsidRPr="00890026">
        <w:rPr>
          <w:rFonts w:asciiTheme="minorHAnsi" w:eastAsiaTheme="minorHAnsi" w:hAnsiTheme="minorHAnsi" w:cstheme="minorBidi"/>
          <w:snapToGrid/>
          <w:sz w:val="24"/>
          <w:szCs w:val="24"/>
        </w:rPr>
        <w:t xml:space="preserve"> profile</w:t>
      </w:r>
      <w:r w:rsidRPr="00890026">
        <w:rPr>
          <w:rFonts w:asciiTheme="minorHAnsi" w:eastAsiaTheme="minorHAnsi" w:hAnsiTheme="minorHAnsi" w:cstheme="minorBidi"/>
          <w:snapToGrid/>
          <w:sz w:val="24"/>
          <w:szCs w:val="24"/>
        </w:rPr>
        <w:t>.</w:t>
      </w:r>
    </w:p>
    <w:p w:rsidR="003C2FB5" w:rsidRPr="00984FC5" w:rsidRDefault="006436CD">
      <w:pPr>
        <w:pStyle w:val="Heading2"/>
        <w:keepLines/>
        <w:spacing w:before="240" w:after="120"/>
        <w:rPr>
          <w:rFonts w:asciiTheme="minorHAnsi" w:eastAsiaTheme="majorEastAsia" w:hAnsiTheme="minorHAnsi" w:cstheme="majorBidi"/>
          <w:sz w:val="28"/>
          <w:szCs w:val="28"/>
          <w:lang w:eastAsia="en-US"/>
        </w:rPr>
      </w:pPr>
      <w:r w:rsidRPr="00984FC5">
        <w:rPr>
          <w:rFonts w:asciiTheme="minorHAnsi" w:eastAsiaTheme="majorEastAsia" w:hAnsiTheme="minorHAnsi" w:cstheme="majorBidi"/>
          <w:sz w:val="28"/>
          <w:szCs w:val="28"/>
          <w:lang w:eastAsia="en-US"/>
        </w:rPr>
        <w:t>Benefits and harms</w:t>
      </w:r>
    </w:p>
    <w:p w:rsidR="008B3F93" w:rsidRPr="00C17890" w:rsidRDefault="001B2338" w:rsidP="008B3F9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ATAGI noted that u</w:t>
      </w:r>
      <w:r w:rsidR="00441ADA">
        <w:rPr>
          <w:rFonts w:asciiTheme="minorHAnsi" w:eastAsiaTheme="minorHAnsi" w:hAnsiTheme="minorHAnsi" w:cstheme="minorBidi"/>
          <w:snapToGrid/>
          <w:sz w:val="24"/>
          <w:szCs w:val="22"/>
        </w:rPr>
        <w:t xml:space="preserve">se of </w:t>
      </w:r>
      <w:proofErr w:type="spellStart"/>
      <w:r w:rsidR="00441ADA">
        <w:rPr>
          <w:rFonts w:asciiTheme="minorHAnsi" w:eastAsiaTheme="minorHAnsi" w:hAnsiTheme="minorHAnsi" w:cstheme="minorBidi"/>
          <w:snapToGrid/>
          <w:sz w:val="24"/>
          <w:szCs w:val="22"/>
        </w:rPr>
        <w:t>aTIV</w:t>
      </w:r>
      <w:proofErr w:type="spellEnd"/>
      <w:r w:rsidR="008B3F93">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wa</w:t>
      </w:r>
      <w:r w:rsidR="00441ADA" w:rsidRPr="00C0644A">
        <w:rPr>
          <w:rFonts w:asciiTheme="minorHAnsi" w:eastAsiaTheme="minorHAnsi" w:hAnsiTheme="minorHAnsi" w:cstheme="minorBidi"/>
          <w:snapToGrid/>
          <w:sz w:val="24"/>
          <w:szCs w:val="22"/>
        </w:rPr>
        <w:t>s associated with a higher rat</w:t>
      </w:r>
      <w:r w:rsidR="00441ADA">
        <w:rPr>
          <w:rFonts w:asciiTheme="minorHAnsi" w:eastAsiaTheme="minorHAnsi" w:hAnsiTheme="minorHAnsi" w:cstheme="minorBidi"/>
          <w:snapToGrid/>
          <w:sz w:val="24"/>
          <w:szCs w:val="22"/>
        </w:rPr>
        <w:t>e of local reactions than TIV</w:t>
      </w:r>
      <w:r>
        <w:rPr>
          <w:rFonts w:asciiTheme="minorHAnsi" w:eastAsiaTheme="minorHAnsi" w:hAnsiTheme="minorHAnsi" w:cstheme="minorBidi"/>
          <w:snapToGrid/>
          <w:sz w:val="24"/>
          <w:szCs w:val="22"/>
        </w:rPr>
        <w:t xml:space="preserve"> and it did</w:t>
      </w:r>
      <w:r w:rsidR="00441ADA" w:rsidRPr="00C0644A">
        <w:rPr>
          <w:rFonts w:asciiTheme="minorHAnsi" w:eastAsiaTheme="minorHAnsi" w:hAnsiTheme="minorHAnsi" w:cstheme="minorBidi"/>
          <w:snapToGrid/>
          <w:sz w:val="24"/>
          <w:szCs w:val="22"/>
        </w:rPr>
        <w:t xml:space="preserve"> not vaccinate against an additional B </w:t>
      </w:r>
      <w:r w:rsidR="00441ADA">
        <w:rPr>
          <w:rFonts w:asciiTheme="minorHAnsi" w:eastAsiaTheme="minorHAnsi" w:hAnsiTheme="minorHAnsi" w:cstheme="minorBidi"/>
          <w:snapToGrid/>
          <w:sz w:val="24"/>
          <w:szCs w:val="22"/>
        </w:rPr>
        <w:t>lineage</w:t>
      </w:r>
      <w:r w:rsidR="008B3F93">
        <w:rPr>
          <w:rFonts w:asciiTheme="minorHAnsi" w:eastAsiaTheme="minorHAnsi" w:hAnsiTheme="minorHAnsi" w:cstheme="minorBidi"/>
          <w:snapToGrid/>
          <w:sz w:val="24"/>
          <w:szCs w:val="22"/>
        </w:rPr>
        <w:t xml:space="preserve">, however </w:t>
      </w:r>
      <w:r w:rsidR="008B3F93" w:rsidRPr="00C17890">
        <w:rPr>
          <w:rFonts w:asciiTheme="minorHAnsi" w:eastAsiaTheme="minorHAnsi" w:hAnsiTheme="minorHAnsi" w:cstheme="minorBidi"/>
          <w:snapToGrid/>
          <w:sz w:val="24"/>
          <w:szCs w:val="22"/>
        </w:rPr>
        <w:t>that the potential additional protection provided against the strains included in the vaccine was sufficient to offset, if not outweigh, the potential loss of protection against the alternative B lineage not in the vaccine, in most years, for adults aged ≥65 years (Pre-Submission PBAC Advice, P1).</w:t>
      </w:r>
    </w:p>
    <w:p w:rsidR="003C2FB5"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rsidR="00F57A6D" w:rsidRPr="00984FC5" w:rsidRDefault="00FF2801" w:rsidP="006552D5">
      <w:pPr>
        <w:pStyle w:val="ListParagraph"/>
        <w:widowControl/>
        <w:numPr>
          <w:ilvl w:val="1"/>
          <w:numId w:val="14"/>
        </w:numPr>
        <w:spacing w:after="120"/>
        <w:contextualSpacing w:val="0"/>
        <w:rPr>
          <w:rFonts w:asciiTheme="minorHAnsi" w:hAnsiTheme="minorHAnsi"/>
          <w:sz w:val="24"/>
          <w:szCs w:val="24"/>
        </w:rPr>
      </w:pPr>
      <w:r w:rsidRPr="006552D5">
        <w:rPr>
          <w:rFonts w:asciiTheme="minorHAnsi" w:hAnsiTheme="minorHAnsi"/>
          <w:sz w:val="24"/>
          <w:szCs w:val="24"/>
        </w:rPr>
        <w:t xml:space="preserve">The submission </w:t>
      </w:r>
      <w:r w:rsidR="00B73F46" w:rsidRPr="006552D5">
        <w:rPr>
          <w:rFonts w:asciiTheme="minorHAnsi" w:hAnsiTheme="minorHAnsi"/>
          <w:sz w:val="24"/>
          <w:szCs w:val="24"/>
        </w:rPr>
        <w:t xml:space="preserve">presented a </w:t>
      </w:r>
      <w:r w:rsidR="001B2338">
        <w:rPr>
          <w:rFonts w:asciiTheme="minorHAnsi" w:hAnsiTheme="minorHAnsi"/>
          <w:sz w:val="24"/>
          <w:szCs w:val="24"/>
        </w:rPr>
        <w:t xml:space="preserve">clinical claim of </w:t>
      </w:r>
      <w:r w:rsidR="00B73F46" w:rsidRPr="006552D5">
        <w:rPr>
          <w:rFonts w:asciiTheme="minorHAnsi" w:hAnsiTheme="minorHAnsi"/>
          <w:sz w:val="24"/>
          <w:szCs w:val="24"/>
        </w:rPr>
        <w:t xml:space="preserve">non-inferiority </w:t>
      </w:r>
      <w:r w:rsidR="00126D1D">
        <w:rPr>
          <w:rFonts w:asciiTheme="minorHAnsi" w:hAnsiTheme="minorHAnsi"/>
          <w:sz w:val="24"/>
          <w:szCs w:val="24"/>
        </w:rPr>
        <w:t xml:space="preserve">to QIV </w:t>
      </w:r>
      <w:r w:rsidR="00B73F46" w:rsidRPr="006552D5">
        <w:rPr>
          <w:rFonts w:asciiTheme="minorHAnsi" w:hAnsiTheme="minorHAnsi"/>
          <w:sz w:val="24"/>
          <w:szCs w:val="24"/>
        </w:rPr>
        <w:t>for comparative effectiveness</w:t>
      </w:r>
      <w:r w:rsidR="00126D1D">
        <w:rPr>
          <w:rFonts w:asciiTheme="minorHAnsi" w:hAnsiTheme="minorHAnsi"/>
          <w:sz w:val="24"/>
          <w:szCs w:val="24"/>
        </w:rPr>
        <w:t xml:space="preserve"> in immunogenicity measures and effectiveness</w:t>
      </w:r>
      <w:r w:rsidR="00B73F46" w:rsidRPr="006552D5">
        <w:rPr>
          <w:rFonts w:asciiTheme="minorHAnsi" w:hAnsiTheme="minorHAnsi"/>
          <w:sz w:val="24"/>
          <w:szCs w:val="24"/>
        </w:rPr>
        <w:t xml:space="preserve">, </w:t>
      </w:r>
      <w:r w:rsidR="00126D1D">
        <w:rPr>
          <w:rFonts w:asciiTheme="minorHAnsi" w:hAnsiTheme="minorHAnsi"/>
          <w:sz w:val="24"/>
          <w:szCs w:val="24"/>
        </w:rPr>
        <w:t>noting a superiority of effective</w:t>
      </w:r>
      <w:r w:rsidR="00984FC5">
        <w:rPr>
          <w:rFonts w:asciiTheme="minorHAnsi" w:hAnsiTheme="minorHAnsi"/>
          <w:sz w:val="24"/>
          <w:szCs w:val="24"/>
        </w:rPr>
        <w:t>ne</w:t>
      </w:r>
      <w:r w:rsidR="00126D1D">
        <w:rPr>
          <w:rFonts w:asciiTheme="minorHAnsi" w:hAnsiTheme="minorHAnsi"/>
          <w:sz w:val="24"/>
          <w:szCs w:val="24"/>
        </w:rPr>
        <w:t xml:space="preserve">ss </w:t>
      </w:r>
      <w:r w:rsidR="00984FC5">
        <w:rPr>
          <w:rFonts w:asciiTheme="minorHAnsi" w:hAnsiTheme="minorHAnsi"/>
          <w:sz w:val="24"/>
          <w:szCs w:val="24"/>
        </w:rPr>
        <w:t xml:space="preserve">compared </w:t>
      </w:r>
      <w:r w:rsidR="00126D1D">
        <w:rPr>
          <w:rFonts w:asciiTheme="minorHAnsi" w:hAnsiTheme="minorHAnsi"/>
          <w:sz w:val="24"/>
          <w:szCs w:val="24"/>
        </w:rPr>
        <w:t>to non-</w:t>
      </w:r>
      <w:proofErr w:type="spellStart"/>
      <w:r w:rsidR="00126D1D">
        <w:rPr>
          <w:rFonts w:asciiTheme="minorHAnsi" w:hAnsiTheme="minorHAnsi"/>
          <w:sz w:val="24"/>
          <w:szCs w:val="24"/>
        </w:rPr>
        <w:t>adjuvanted</w:t>
      </w:r>
      <w:proofErr w:type="spellEnd"/>
      <w:r w:rsidR="00126D1D">
        <w:rPr>
          <w:rFonts w:asciiTheme="minorHAnsi" w:hAnsiTheme="minorHAnsi"/>
          <w:sz w:val="24"/>
          <w:szCs w:val="24"/>
        </w:rPr>
        <w:t xml:space="preserve"> TIV </w:t>
      </w:r>
      <w:r w:rsidR="00B73F46" w:rsidRPr="006552D5">
        <w:rPr>
          <w:rFonts w:asciiTheme="minorHAnsi" w:hAnsiTheme="minorHAnsi"/>
          <w:sz w:val="24"/>
          <w:szCs w:val="24"/>
        </w:rPr>
        <w:t>(</w:t>
      </w:r>
      <w:r w:rsidR="004D2A5E" w:rsidRPr="00126D1D">
        <w:rPr>
          <w:rFonts w:asciiTheme="minorHAnsi" w:hAnsiTheme="minorHAnsi"/>
          <w:sz w:val="24"/>
          <w:szCs w:val="24"/>
        </w:rPr>
        <w:t>Submission</w:t>
      </w:r>
      <w:r w:rsidR="00126D1D" w:rsidRPr="00126D1D">
        <w:rPr>
          <w:rFonts w:asciiTheme="minorHAnsi" w:hAnsiTheme="minorHAnsi"/>
          <w:sz w:val="24"/>
          <w:szCs w:val="24"/>
        </w:rPr>
        <w:t>, P</w:t>
      </w:r>
      <w:r w:rsidR="00126D1D">
        <w:rPr>
          <w:rFonts w:asciiTheme="minorHAnsi" w:hAnsiTheme="minorHAnsi"/>
          <w:sz w:val="24"/>
          <w:szCs w:val="24"/>
        </w:rPr>
        <w:t>154</w:t>
      </w:r>
      <w:r w:rsidR="00B73F46" w:rsidRPr="006552D5">
        <w:rPr>
          <w:rFonts w:asciiTheme="minorHAnsi" w:hAnsiTheme="minorHAnsi"/>
          <w:sz w:val="24"/>
          <w:szCs w:val="24"/>
        </w:rPr>
        <w:t xml:space="preserve">).  The submission presented a </w:t>
      </w:r>
      <w:r w:rsidR="00B540C7">
        <w:rPr>
          <w:rFonts w:asciiTheme="minorHAnsi" w:hAnsiTheme="minorHAnsi"/>
          <w:sz w:val="24"/>
          <w:szCs w:val="24"/>
        </w:rPr>
        <w:t xml:space="preserve">claim of </w:t>
      </w:r>
      <w:r w:rsidR="00BB7EC3" w:rsidRPr="00126D1D">
        <w:rPr>
          <w:rFonts w:asciiTheme="minorHAnsi" w:hAnsiTheme="minorHAnsi"/>
          <w:sz w:val="24"/>
          <w:szCs w:val="24"/>
        </w:rPr>
        <w:t xml:space="preserve">non-inferior comparative safety </w:t>
      </w:r>
      <w:r w:rsidR="00126D1D" w:rsidRPr="006552D5">
        <w:rPr>
          <w:rFonts w:asciiTheme="minorHAnsi" w:hAnsiTheme="minorHAnsi"/>
          <w:sz w:val="24"/>
          <w:szCs w:val="24"/>
        </w:rPr>
        <w:t>overall, noting inferiority for injection site reactions within the first three days</w:t>
      </w:r>
      <w:r w:rsidR="00952FD4" w:rsidRPr="006552D5">
        <w:rPr>
          <w:rFonts w:asciiTheme="minorHAnsi" w:hAnsiTheme="minorHAnsi"/>
          <w:sz w:val="24"/>
          <w:szCs w:val="24"/>
        </w:rPr>
        <w:t xml:space="preserve"> (Submission, </w:t>
      </w:r>
      <w:r w:rsidR="00126D1D" w:rsidRPr="006552D5">
        <w:rPr>
          <w:rFonts w:asciiTheme="minorHAnsi" w:hAnsiTheme="minorHAnsi"/>
          <w:sz w:val="24"/>
          <w:szCs w:val="24"/>
        </w:rPr>
        <w:t>P154</w:t>
      </w:r>
      <w:r w:rsidR="00952FD4" w:rsidRPr="006552D5">
        <w:rPr>
          <w:rFonts w:asciiTheme="minorHAnsi" w:hAnsiTheme="minorHAnsi"/>
          <w:sz w:val="24"/>
          <w:szCs w:val="24"/>
        </w:rPr>
        <w:t>)</w:t>
      </w:r>
      <w:r w:rsidR="00984FC5" w:rsidRPr="006552D5">
        <w:rPr>
          <w:rFonts w:asciiTheme="minorHAnsi" w:hAnsiTheme="minorHAnsi"/>
          <w:sz w:val="24"/>
          <w:szCs w:val="24"/>
        </w:rPr>
        <w:t>.</w:t>
      </w:r>
    </w:p>
    <w:p w:rsidR="00767604" w:rsidRDefault="00767604" w:rsidP="00767604">
      <w:pPr>
        <w:pStyle w:val="ListParagraph"/>
        <w:widowControl/>
        <w:numPr>
          <w:ilvl w:val="1"/>
          <w:numId w:val="5"/>
        </w:numPr>
        <w:spacing w:after="120"/>
        <w:contextualSpacing w:val="0"/>
        <w:rPr>
          <w:rFonts w:asciiTheme="minorHAnsi" w:hAnsiTheme="minorHAnsi"/>
          <w:sz w:val="24"/>
          <w:szCs w:val="24"/>
        </w:rPr>
      </w:pPr>
      <w:r w:rsidRPr="00C46A3D">
        <w:rPr>
          <w:rFonts w:asciiTheme="minorHAnsi" w:hAnsiTheme="minorHAnsi"/>
          <w:sz w:val="24"/>
          <w:szCs w:val="24"/>
        </w:rPr>
        <w:lastRenderedPageBreak/>
        <w:t xml:space="preserve">ATAGI considered that </w:t>
      </w:r>
      <w:proofErr w:type="spellStart"/>
      <w:r w:rsidRPr="00C46A3D">
        <w:rPr>
          <w:rFonts w:asciiTheme="minorHAnsi" w:hAnsiTheme="minorHAnsi"/>
          <w:sz w:val="24"/>
          <w:szCs w:val="24"/>
        </w:rPr>
        <w:t>aTIV</w:t>
      </w:r>
      <w:proofErr w:type="spellEnd"/>
      <w:r w:rsidRPr="00C46A3D">
        <w:rPr>
          <w:rFonts w:asciiTheme="minorHAnsi" w:eastAsiaTheme="minorHAnsi" w:hAnsiTheme="minorHAnsi" w:cstheme="minorBidi"/>
          <w:snapToGrid/>
          <w:sz w:val="24"/>
          <w:szCs w:val="22"/>
        </w:rPr>
        <w:t xml:space="preserve"> </w:t>
      </w:r>
      <w:r w:rsidR="00731752">
        <w:rPr>
          <w:rFonts w:asciiTheme="minorHAnsi" w:hAnsiTheme="minorHAnsi"/>
          <w:sz w:val="24"/>
          <w:szCs w:val="24"/>
        </w:rPr>
        <w:t>wa</w:t>
      </w:r>
      <w:r w:rsidRPr="00C46A3D">
        <w:rPr>
          <w:rFonts w:asciiTheme="minorHAnsi" w:hAnsiTheme="minorHAnsi"/>
          <w:sz w:val="24"/>
          <w:szCs w:val="24"/>
        </w:rPr>
        <w:t>s suitable for listing based on non-inferiority overall against currently used standard dose QIVs</w:t>
      </w:r>
      <w:r w:rsidR="00D50EE4">
        <w:rPr>
          <w:rFonts w:asciiTheme="minorHAnsi" w:hAnsiTheme="minorHAnsi"/>
          <w:sz w:val="24"/>
          <w:szCs w:val="24"/>
        </w:rPr>
        <w:t xml:space="preserve"> </w:t>
      </w:r>
      <w:r w:rsidR="00C46A3D" w:rsidRPr="00C46A3D">
        <w:rPr>
          <w:rFonts w:asciiTheme="minorHAnsi" w:hAnsiTheme="minorHAnsi"/>
          <w:sz w:val="24"/>
          <w:szCs w:val="24"/>
        </w:rPr>
        <w:t>(Pre-Submission PBAC Advice, P1)</w:t>
      </w:r>
      <w:r w:rsidRPr="00C46A3D">
        <w:rPr>
          <w:rFonts w:asciiTheme="minorHAnsi" w:hAnsiTheme="minorHAnsi"/>
          <w:sz w:val="24"/>
          <w:szCs w:val="24"/>
        </w:rPr>
        <w:t>.</w:t>
      </w:r>
    </w:p>
    <w:p w:rsidR="00D50EE4" w:rsidRPr="00C46A3D" w:rsidRDefault="00672443" w:rsidP="00767604">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AT</w:t>
      </w:r>
      <w:r w:rsidR="00D50EE4">
        <w:rPr>
          <w:rFonts w:asciiTheme="minorHAnsi" w:hAnsiTheme="minorHAnsi"/>
          <w:sz w:val="24"/>
          <w:szCs w:val="24"/>
        </w:rPr>
        <w:t>AGI noted that consideri</w:t>
      </w:r>
      <w:r w:rsidR="00731752">
        <w:rPr>
          <w:rFonts w:asciiTheme="minorHAnsi" w:hAnsiTheme="minorHAnsi"/>
          <w:sz w:val="24"/>
          <w:szCs w:val="24"/>
        </w:rPr>
        <w:t xml:space="preserve">ng the cost-minimisation approach </w:t>
      </w:r>
      <w:r w:rsidR="00D50EE4">
        <w:rPr>
          <w:rFonts w:asciiTheme="minorHAnsi" w:hAnsiTheme="minorHAnsi"/>
          <w:sz w:val="24"/>
          <w:szCs w:val="24"/>
        </w:rPr>
        <w:t xml:space="preserve">and </w:t>
      </w:r>
      <w:r w:rsidR="00731752">
        <w:rPr>
          <w:rFonts w:asciiTheme="minorHAnsi" w:hAnsiTheme="minorHAnsi"/>
          <w:sz w:val="24"/>
          <w:szCs w:val="24"/>
        </w:rPr>
        <w:t xml:space="preserve">the </w:t>
      </w:r>
      <w:r w:rsidR="00D50EE4">
        <w:rPr>
          <w:rFonts w:asciiTheme="minorHAnsi" w:hAnsiTheme="minorHAnsi"/>
          <w:sz w:val="24"/>
          <w:szCs w:val="24"/>
        </w:rPr>
        <w:t>trade-off between enhanced</w:t>
      </w:r>
      <w:r w:rsidR="00731752">
        <w:rPr>
          <w:rFonts w:asciiTheme="minorHAnsi" w:hAnsiTheme="minorHAnsi"/>
          <w:sz w:val="24"/>
          <w:szCs w:val="24"/>
        </w:rPr>
        <w:t xml:space="preserve"> protection against strains commo</w:t>
      </w:r>
      <w:r w:rsidR="00D50EE4">
        <w:rPr>
          <w:rFonts w:asciiTheme="minorHAnsi" w:hAnsiTheme="minorHAnsi"/>
          <w:sz w:val="24"/>
          <w:szCs w:val="24"/>
        </w:rPr>
        <w:t>n betwee</w:t>
      </w:r>
      <w:r w:rsidR="00731752">
        <w:rPr>
          <w:rFonts w:asciiTheme="minorHAnsi" w:hAnsiTheme="minorHAnsi"/>
          <w:sz w:val="24"/>
          <w:szCs w:val="24"/>
        </w:rPr>
        <w:t>n TIV and QIV (particularly A/H3</w:t>
      </w:r>
      <w:r w:rsidR="00D50EE4">
        <w:rPr>
          <w:rFonts w:asciiTheme="minorHAnsi" w:hAnsiTheme="minorHAnsi"/>
          <w:sz w:val="24"/>
          <w:szCs w:val="24"/>
        </w:rPr>
        <w:t xml:space="preserve">) and the potential for reduced protection against the alternative B lineage, that overall </w:t>
      </w:r>
      <w:proofErr w:type="spellStart"/>
      <w:r w:rsidR="00D50EE4">
        <w:rPr>
          <w:rFonts w:asciiTheme="minorHAnsi" w:hAnsiTheme="minorHAnsi"/>
          <w:sz w:val="24"/>
          <w:szCs w:val="24"/>
        </w:rPr>
        <w:t>aTIV</w:t>
      </w:r>
      <w:proofErr w:type="spellEnd"/>
      <w:r w:rsidR="00D50EE4">
        <w:rPr>
          <w:rFonts w:asciiTheme="minorHAnsi" w:hAnsiTheme="minorHAnsi"/>
          <w:sz w:val="24"/>
          <w:szCs w:val="24"/>
        </w:rPr>
        <w:t xml:space="preserve"> was non-inferior to the current QIV available under the NIP for us</w:t>
      </w:r>
      <w:r w:rsidR="008B3F93">
        <w:rPr>
          <w:rFonts w:asciiTheme="minorHAnsi" w:hAnsiTheme="minorHAnsi"/>
          <w:sz w:val="24"/>
          <w:szCs w:val="24"/>
        </w:rPr>
        <w:t>e</w:t>
      </w:r>
      <w:r w:rsidR="00D50EE4">
        <w:rPr>
          <w:rFonts w:asciiTheme="minorHAnsi" w:hAnsiTheme="minorHAnsi"/>
          <w:sz w:val="24"/>
          <w:szCs w:val="24"/>
        </w:rPr>
        <w:t xml:space="preserve"> in adults aged 65 years and above (Pre-Submission PBAC Advice, P2).</w:t>
      </w:r>
    </w:p>
    <w:p w:rsidR="00767604" w:rsidRPr="006552D5" w:rsidRDefault="00767604" w:rsidP="00767604">
      <w:pPr>
        <w:pStyle w:val="ListParagraph"/>
        <w:widowControl/>
        <w:numPr>
          <w:ilvl w:val="1"/>
          <w:numId w:val="5"/>
        </w:numPr>
        <w:spacing w:after="120"/>
        <w:contextualSpacing w:val="0"/>
        <w:rPr>
          <w:rFonts w:asciiTheme="minorHAnsi" w:hAnsiTheme="minorHAnsi"/>
          <w:b/>
          <w:sz w:val="24"/>
          <w:szCs w:val="24"/>
        </w:rPr>
      </w:pPr>
      <w:r w:rsidRPr="00C46A3D">
        <w:rPr>
          <w:rFonts w:asciiTheme="minorHAnsi" w:hAnsiTheme="minorHAnsi"/>
          <w:sz w:val="24"/>
          <w:szCs w:val="24"/>
        </w:rPr>
        <w:t xml:space="preserve">ATAGI considered that the uncertainties of the submission were the incremental effectiveness of </w:t>
      </w:r>
      <w:proofErr w:type="spellStart"/>
      <w:r w:rsidRPr="00C46A3D">
        <w:rPr>
          <w:rFonts w:asciiTheme="minorHAnsi" w:hAnsiTheme="minorHAnsi"/>
          <w:sz w:val="24"/>
          <w:szCs w:val="24"/>
        </w:rPr>
        <w:t>aTIV</w:t>
      </w:r>
      <w:proofErr w:type="spellEnd"/>
      <w:r w:rsidRPr="00C46A3D">
        <w:rPr>
          <w:rFonts w:asciiTheme="minorHAnsi" w:hAnsiTheme="minorHAnsi"/>
          <w:sz w:val="24"/>
          <w:szCs w:val="24"/>
        </w:rPr>
        <w:t xml:space="preserve"> relative to TIV, which is influenced by characteristics of each influenza season, and the relative effectiveness of </w:t>
      </w:r>
      <w:proofErr w:type="spellStart"/>
      <w:r w:rsidRPr="00C46A3D">
        <w:rPr>
          <w:rFonts w:asciiTheme="minorHAnsi" w:hAnsiTheme="minorHAnsi"/>
          <w:sz w:val="24"/>
          <w:szCs w:val="24"/>
        </w:rPr>
        <w:t>aTIV</w:t>
      </w:r>
      <w:proofErr w:type="spellEnd"/>
      <w:r w:rsidRPr="00C46A3D">
        <w:rPr>
          <w:rFonts w:asciiTheme="minorHAnsi" w:hAnsiTheme="minorHAnsi"/>
          <w:sz w:val="24"/>
          <w:szCs w:val="24"/>
        </w:rPr>
        <w:t xml:space="preserve"> compared to QIV, given the loss of </w:t>
      </w:r>
      <w:r w:rsidRPr="006552D5">
        <w:rPr>
          <w:rFonts w:asciiTheme="minorHAnsi" w:hAnsiTheme="minorHAnsi"/>
          <w:sz w:val="24"/>
          <w:szCs w:val="24"/>
        </w:rPr>
        <w:t>protection against the additional alternative B lineage included in the QIV</w:t>
      </w:r>
      <w:r w:rsidRPr="00C46A3D">
        <w:rPr>
          <w:rFonts w:asciiTheme="minorHAnsi" w:hAnsiTheme="minorHAnsi"/>
          <w:sz w:val="24"/>
          <w:szCs w:val="24"/>
        </w:rPr>
        <w:t>.</w:t>
      </w:r>
      <w:r w:rsidR="00731752" w:rsidRPr="00731752">
        <w:rPr>
          <w:rFonts w:asciiTheme="minorHAnsi" w:hAnsiTheme="minorHAnsi"/>
          <w:sz w:val="24"/>
          <w:szCs w:val="24"/>
        </w:rPr>
        <w:t xml:space="preserve"> This </w:t>
      </w:r>
      <w:r w:rsidR="00731752">
        <w:rPr>
          <w:rFonts w:asciiTheme="minorHAnsi" w:hAnsiTheme="minorHAnsi"/>
          <w:sz w:val="24"/>
          <w:szCs w:val="24"/>
        </w:rPr>
        <w:t>wa</w:t>
      </w:r>
      <w:r w:rsidRPr="006552D5">
        <w:rPr>
          <w:rFonts w:asciiTheme="minorHAnsi" w:hAnsiTheme="minorHAnsi"/>
          <w:sz w:val="24"/>
          <w:szCs w:val="24"/>
        </w:rPr>
        <w:t>s complicated by the unpredictability of circulating strains each season and the extent of cross-protection afforded by TIV against this.  These variables mean</w:t>
      </w:r>
      <w:r w:rsidR="00731752">
        <w:rPr>
          <w:rFonts w:asciiTheme="minorHAnsi" w:hAnsiTheme="minorHAnsi"/>
          <w:sz w:val="24"/>
          <w:szCs w:val="24"/>
        </w:rPr>
        <w:t>t</w:t>
      </w:r>
      <w:r w:rsidRPr="006552D5">
        <w:rPr>
          <w:rFonts w:asciiTheme="minorHAnsi" w:hAnsiTheme="minorHAnsi"/>
          <w:sz w:val="24"/>
          <w:szCs w:val="24"/>
        </w:rPr>
        <w:t xml:space="preserve"> the magnitude of relative efficacy and effectiveness </w:t>
      </w:r>
      <w:r w:rsidR="00126D1D">
        <w:rPr>
          <w:rFonts w:asciiTheme="minorHAnsi" w:hAnsiTheme="minorHAnsi"/>
          <w:sz w:val="24"/>
          <w:szCs w:val="24"/>
        </w:rPr>
        <w:t>would</w:t>
      </w:r>
      <w:r w:rsidRPr="006552D5">
        <w:rPr>
          <w:rFonts w:asciiTheme="minorHAnsi" w:hAnsiTheme="minorHAnsi"/>
          <w:sz w:val="24"/>
          <w:szCs w:val="24"/>
        </w:rPr>
        <w:t xml:space="preserve"> likely vary annually</w:t>
      </w:r>
      <w:r w:rsidR="00C46A3D" w:rsidRPr="00C46A3D">
        <w:rPr>
          <w:rFonts w:asciiTheme="minorHAnsi" w:hAnsiTheme="minorHAnsi"/>
          <w:sz w:val="24"/>
          <w:szCs w:val="24"/>
        </w:rPr>
        <w:t xml:space="preserve"> (Pre-Submission PBAC Advice, P2)</w:t>
      </w:r>
      <w:r w:rsidRPr="006552D5">
        <w:rPr>
          <w:rFonts w:asciiTheme="minorHAnsi" w:hAnsiTheme="minorHAnsi"/>
          <w:sz w:val="24"/>
          <w:szCs w:val="24"/>
        </w:rPr>
        <w:t>.</w:t>
      </w:r>
      <w:r w:rsidRPr="006552D5">
        <w:rPr>
          <w:rFonts w:asciiTheme="minorHAnsi" w:hAnsiTheme="minorHAnsi"/>
          <w:b/>
          <w:sz w:val="24"/>
          <w:szCs w:val="24"/>
        </w:rPr>
        <w:t xml:space="preserve">  </w:t>
      </w:r>
    </w:p>
    <w:p w:rsidR="00767604" w:rsidRDefault="00767604" w:rsidP="00767604">
      <w:pPr>
        <w:pStyle w:val="ListParagraph"/>
        <w:widowControl/>
        <w:numPr>
          <w:ilvl w:val="1"/>
          <w:numId w:val="5"/>
        </w:numPr>
        <w:spacing w:after="120"/>
        <w:contextualSpacing w:val="0"/>
        <w:rPr>
          <w:rFonts w:asciiTheme="minorHAnsi" w:hAnsiTheme="minorHAnsi"/>
          <w:sz w:val="24"/>
          <w:szCs w:val="24"/>
        </w:rPr>
      </w:pPr>
      <w:r w:rsidRPr="00C0644A">
        <w:rPr>
          <w:rFonts w:asciiTheme="minorHAnsi" w:hAnsiTheme="minorHAnsi"/>
          <w:sz w:val="24"/>
          <w:szCs w:val="24"/>
        </w:rPr>
        <w:t xml:space="preserve">ATAGI </w:t>
      </w:r>
      <w:r w:rsidR="008B3F93">
        <w:rPr>
          <w:rFonts w:asciiTheme="minorHAnsi" w:hAnsiTheme="minorHAnsi"/>
          <w:sz w:val="24"/>
          <w:szCs w:val="24"/>
        </w:rPr>
        <w:t>considered</w:t>
      </w:r>
      <w:r w:rsidRPr="00C0644A">
        <w:rPr>
          <w:rFonts w:asciiTheme="minorHAnsi" w:hAnsiTheme="minorHAnsi"/>
          <w:sz w:val="24"/>
          <w:szCs w:val="24"/>
        </w:rPr>
        <w:t xml:space="preserve"> that</w:t>
      </w:r>
      <w:r w:rsidR="000D712C">
        <w:rPr>
          <w:rFonts w:asciiTheme="minorHAnsi" w:hAnsiTheme="minorHAnsi"/>
          <w:sz w:val="24"/>
          <w:szCs w:val="24"/>
        </w:rPr>
        <w:t xml:space="preserve"> (Pre-Submission PBAC Advice, P</w:t>
      </w:r>
      <w:r w:rsidR="00E25729">
        <w:rPr>
          <w:rFonts w:asciiTheme="minorHAnsi" w:hAnsiTheme="minorHAnsi"/>
          <w:sz w:val="24"/>
          <w:szCs w:val="24"/>
        </w:rPr>
        <w:t>2</w:t>
      </w:r>
      <w:r w:rsidR="000D712C">
        <w:rPr>
          <w:rFonts w:asciiTheme="minorHAnsi" w:hAnsiTheme="minorHAnsi"/>
          <w:sz w:val="24"/>
          <w:szCs w:val="24"/>
        </w:rPr>
        <w:t>)</w:t>
      </w:r>
      <w:r w:rsidRPr="00C0644A">
        <w:rPr>
          <w:rFonts w:asciiTheme="minorHAnsi" w:hAnsiTheme="minorHAnsi"/>
          <w:sz w:val="24"/>
          <w:szCs w:val="24"/>
        </w:rPr>
        <w:t xml:space="preserve">: </w:t>
      </w:r>
    </w:p>
    <w:p w:rsidR="00767604" w:rsidRDefault="00731752" w:rsidP="00A73198">
      <w:pPr>
        <w:pStyle w:val="ListParagraph"/>
        <w:widowControl/>
        <w:numPr>
          <w:ilvl w:val="2"/>
          <w:numId w:val="17"/>
        </w:numPr>
        <w:spacing w:after="120"/>
        <w:ind w:left="1418"/>
        <w:contextualSpacing w:val="0"/>
        <w:rPr>
          <w:rFonts w:asciiTheme="minorHAnsi" w:hAnsiTheme="minorHAnsi"/>
          <w:sz w:val="24"/>
          <w:szCs w:val="24"/>
        </w:rPr>
      </w:pPr>
      <w:r>
        <w:rPr>
          <w:rFonts w:asciiTheme="minorHAnsi" w:hAnsiTheme="minorHAnsi"/>
          <w:sz w:val="24"/>
          <w:szCs w:val="24"/>
        </w:rPr>
        <w:t>there wa</w:t>
      </w:r>
      <w:r w:rsidR="00767604" w:rsidRPr="00C0644A">
        <w:rPr>
          <w:rFonts w:asciiTheme="minorHAnsi" w:hAnsiTheme="minorHAnsi"/>
          <w:sz w:val="24"/>
          <w:szCs w:val="24"/>
        </w:rPr>
        <w:t xml:space="preserve">s sufficient evidence indicating </w:t>
      </w:r>
      <w:proofErr w:type="spellStart"/>
      <w:r w:rsidR="00DF74E9">
        <w:rPr>
          <w:rFonts w:asciiTheme="minorHAnsi" w:hAnsiTheme="minorHAnsi"/>
          <w:sz w:val="24"/>
          <w:szCs w:val="24"/>
        </w:rPr>
        <w:t>a</w:t>
      </w:r>
      <w:r w:rsidR="00DF74E9">
        <w:rPr>
          <w:rFonts w:asciiTheme="minorHAnsi" w:eastAsiaTheme="minorHAnsi" w:hAnsiTheme="minorHAnsi" w:cstheme="minorBidi"/>
          <w:snapToGrid/>
          <w:sz w:val="24"/>
          <w:szCs w:val="22"/>
        </w:rPr>
        <w:t>TIV</w:t>
      </w:r>
      <w:proofErr w:type="spellEnd"/>
      <w:r w:rsidR="00767604">
        <w:rPr>
          <w:rFonts w:asciiTheme="minorHAnsi" w:eastAsiaTheme="minorHAnsi" w:hAnsiTheme="minorHAnsi" w:cstheme="minorBidi"/>
          <w:snapToGrid/>
          <w:sz w:val="24"/>
          <w:szCs w:val="22"/>
        </w:rPr>
        <w:t xml:space="preserve"> </w:t>
      </w:r>
      <w:r w:rsidR="00126D1D">
        <w:rPr>
          <w:rFonts w:asciiTheme="minorHAnsi" w:hAnsiTheme="minorHAnsi"/>
          <w:sz w:val="24"/>
          <w:szCs w:val="24"/>
        </w:rPr>
        <w:t>was</w:t>
      </w:r>
      <w:r w:rsidR="00767604" w:rsidRPr="00C0644A">
        <w:rPr>
          <w:rFonts w:asciiTheme="minorHAnsi" w:hAnsiTheme="minorHAnsi"/>
          <w:sz w:val="24"/>
          <w:szCs w:val="24"/>
        </w:rPr>
        <w:t xml:space="preserve"> </w:t>
      </w:r>
      <w:r w:rsidR="00767604" w:rsidRPr="00F149F1">
        <w:rPr>
          <w:rFonts w:asciiTheme="minorHAnsi" w:hAnsiTheme="minorHAnsi"/>
          <w:sz w:val="24"/>
          <w:szCs w:val="24"/>
        </w:rPr>
        <w:t>superior in effectiveness to a</w:t>
      </w:r>
      <w:r w:rsidR="00767604">
        <w:rPr>
          <w:rFonts w:asciiTheme="minorHAnsi" w:hAnsiTheme="minorHAnsi"/>
          <w:sz w:val="24"/>
          <w:szCs w:val="24"/>
        </w:rPr>
        <w:t xml:space="preserve"> </w:t>
      </w:r>
      <w:r w:rsidR="00C46A3D">
        <w:rPr>
          <w:rFonts w:asciiTheme="minorHAnsi" w:hAnsiTheme="minorHAnsi"/>
          <w:sz w:val="24"/>
          <w:szCs w:val="24"/>
        </w:rPr>
        <w:t>non-</w:t>
      </w:r>
      <w:proofErr w:type="spellStart"/>
      <w:r w:rsidR="00C46A3D">
        <w:rPr>
          <w:rFonts w:asciiTheme="minorHAnsi" w:hAnsiTheme="minorHAnsi"/>
          <w:sz w:val="24"/>
          <w:szCs w:val="24"/>
        </w:rPr>
        <w:t>adjuvanted</w:t>
      </w:r>
      <w:proofErr w:type="spellEnd"/>
      <w:r w:rsidR="00C46A3D">
        <w:rPr>
          <w:rFonts w:asciiTheme="minorHAnsi" w:hAnsiTheme="minorHAnsi"/>
          <w:sz w:val="24"/>
          <w:szCs w:val="24"/>
        </w:rPr>
        <w:t xml:space="preserve"> TIV in some scenarios, particularly in seasons dominated by influenza A/H3</w:t>
      </w:r>
      <w:r w:rsidR="00767604">
        <w:rPr>
          <w:rFonts w:asciiTheme="minorHAnsi" w:hAnsiTheme="minorHAnsi"/>
          <w:sz w:val="24"/>
          <w:szCs w:val="24"/>
        </w:rPr>
        <w:t>;</w:t>
      </w:r>
    </w:p>
    <w:p w:rsidR="00767604" w:rsidRDefault="00767604" w:rsidP="00A73198">
      <w:pPr>
        <w:pStyle w:val="ListParagraph"/>
        <w:widowControl/>
        <w:numPr>
          <w:ilvl w:val="2"/>
          <w:numId w:val="17"/>
        </w:numPr>
        <w:spacing w:after="120"/>
        <w:ind w:left="1418"/>
        <w:contextualSpacing w:val="0"/>
        <w:rPr>
          <w:rFonts w:asciiTheme="minorHAnsi" w:hAnsiTheme="minorHAnsi"/>
          <w:sz w:val="24"/>
          <w:szCs w:val="24"/>
        </w:rPr>
      </w:pPr>
      <w:r w:rsidRPr="00C0644A">
        <w:rPr>
          <w:rFonts w:asciiTheme="minorHAnsi" w:hAnsiTheme="minorHAnsi"/>
          <w:sz w:val="24"/>
          <w:szCs w:val="24"/>
        </w:rPr>
        <w:t xml:space="preserve">that </w:t>
      </w:r>
      <w:r w:rsidR="00C46A3D">
        <w:rPr>
          <w:rFonts w:asciiTheme="minorHAnsi" w:hAnsiTheme="minorHAnsi"/>
          <w:sz w:val="24"/>
          <w:szCs w:val="24"/>
        </w:rPr>
        <w:t>the</w:t>
      </w:r>
      <w:r w:rsidRPr="00C0644A">
        <w:rPr>
          <w:rFonts w:asciiTheme="minorHAnsi" w:hAnsiTheme="minorHAnsi"/>
          <w:sz w:val="24"/>
          <w:szCs w:val="24"/>
        </w:rPr>
        <w:t xml:space="preserve"> additional protection </w:t>
      </w:r>
      <w:r w:rsidR="00C46A3D">
        <w:rPr>
          <w:rFonts w:asciiTheme="minorHAnsi" w:hAnsiTheme="minorHAnsi"/>
          <w:sz w:val="24"/>
          <w:szCs w:val="24"/>
        </w:rPr>
        <w:t xml:space="preserve">afforded by </w:t>
      </w:r>
      <w:proofErr w:type="spellStart"/>
      <w:r w:rsidR="00C46A3D">
        <w:rPr>
          <w:rFonts w:asciiTheme="minorHAnsi" w:hAnsiTheme="minorHAnsi"/>
          <w:sz w:val="24"/>
          <w:szCs w:val="24"/>
        </w:rPr>
        <w:t>aTIV</w:t>
      </w:r>
      <w:proofErr w:type="spellEnd"/>
      <w:r w:rsidR="00C46A3D">
        <w:rPr>
          <w:rFonts w:asciiTheme="minorHAnsi" w:hAnsiTheme="minorHAnsi"/>
          <w:sz w:val="24"/>
          <w:szCs w:val="24"/>
        </w:rPr>
        <w:t xml:space="preserve"> against the strains in </w:t>
      </w:r>
      <w:r w:rsidR="00731752">
        <w:rPr>
          <w:rFonts w:asciiTheme="minorHAnsi" w:hAnsiTheme="minorHAnsi"/>
          <w:sz w:val="24"/>
          <w:szCs w:val="24"/>
        </w:rPr>
        <w:t>the</w:t>
      </w:r>
      <w:r w:rsidR="00C46A3D">
        <w:rPr>
          <w:rFonts w:asciiTheme="minorHAnsi" w:hAnsiTheme="minorHAnsi"/>
          <w:sz w:val="24"/>
          <w:szCs w:val="24"/>
        </w:rPr>
        <w:t xml:space="preserve"> vaccine </w:t>
      </w:r>
      <w:r w:rsidR="00731752">
        <w:rPr>
          <w:rFonts w:asciiTheme="minorHAnsi" w:hAnsiTheme="minorHAnsi"/>
          <w:sz w:val="24"/>
          <w:szCs w:val="24"/>
        </w:rPr>
        <w:t>were</w:t>
      </w:r>
      <w:r w:rsidRPr="00C0644A">
        <w:rPr>
          <w:rFonts w:asciiTheme="minorHAnsi" w:hAnsiTheme="minorHAnsi"/>
          <w:sz w:val="24"/>
          <w:szCs w:val="24"/>
        </w:rPr>
        <w:t xml:space="preserve"> substantial enough to off</w:t>
      </w:r>
      <w:r w:rsidRPr="00F149F1">
        <w:rPr>
          <w:rFonts w:asciiTheme="minorHAnsi" w:hAnsiTheme="minorHAnsi"/>
          <w:sz w:val="24"/>
          <w:szCs w:val="24"/>
        </w:rPr>
        <w:t>set if not outweigh</w:t>
      </w:r>
      <w:r w:rsidRPr="00C0644A">
        <w:rPr>
          <w:rFonts w:asciiTheme="minorHAnsi" w:hAnsiTheme="minorHAnsi"/>
          <w:sz w:val="24"/>
          <w:szCs w:val="24"/>
        </w:rPr>
        <w:t xml:space="preserve"> the potential loss of protection against the alternative B lineage not in the vaccine, in most years, for adults aged 65 years and above</w:t>
      </w:r>
      <w:r>
        <w:rPr>
          <w:rFonts w:asciiTheme="minorHAnsi" w:hAnsiTheme="minorHAnsi"/>
          <w:sz w:val="24"/>
          <w:szCs w:val="24"/>
        </w:rPr>
        <w:t>; and</w:t>
      </w:r>
    </w:p>
    <w:p w:rsidR="00767604" w:rsidRDefault="00C46A3D" w:rsidP="00A73198">
      <w:pPr>
        <w:pStyle w:val="ListParagraph"/>
        <w:widowControl/>
        <w:numPr>
          <w:ilvl w:val="2"/>
          <w:numId w:val="17"/>
        </w:numPr>
        <w:spacing w:after="120"/>
        <w:ind w:left="1418"/>
        <w:contextualSpacing w:val="0"/>
        <w:rPr>
          <w:rFonts w:asciiTheme="minorHAnsi" w:hAnsiTheme="minorHAnsi"/>
          <w:sz w:val="24"/>
          <w:szCs w:val="24"/>
        </w:rPr>
      </w:pPr>
      <w:proofErr w:type="spellStart"/>
      <w:proofErr w:type="gramStart"/>
      <w:r>
        <w:rPr>
          <w:rFonts w:asciiTheme="minorHAnsi" w:eastAsiaTheme="minorHAnsi" w:hAnsiTheme="minorHAnsi" w:cstheme="minorBidi"/>
          <w:snapToGrid/>
          <w:sz w:val="24"/>
          <w:szCs w:val="22"/>
        </w:rPr>
        <w:t>aTIV</w:t>
      </w:r>
      <w:proofErr w:type="spellEnd"/>
      <w:proofErr w:type="gramEnd"/>
      <w:r w:rsidR="00767604">
        <w:rPr>
          <w:rFonts w:asciiTheme="minorHAnsi" w:eastAsiaTheme="minorHAnsi" w:hAnsiTheme="minorHAnsi" w:cstheme="minorBidi"/>
          <w:snapToGrid/>
          <w:sz w:val="24"/>
          <w:szCs w:val="22"/>
        </w:rPr>
        <w:t xml:space="preserve"> </w:t>
      </w:r>
      <w:r w:rsidR="00731752">
        <w:rPr>
          <w:rFonts w:asciiTheme="minorHAnsi" w:hAnsiTheme="minorHAnsi"/>
          <w:sz w:val="24"/>
          <w:szCs w:val="24"/>
        </w:rPr>
        <w:t>had</w:t>
      </w:r>
      <w:r w:rsidR="00767604">
        <w:rPr>
          <w:rFonts w:asciiTheme="minorHAnsi" w:hAnsiTheme="minorHAnsi"/>
          <w:sz w:val="24"/>
          <w:szCs w:val="24"/>
        </w:rPr>
        <w:t xml:space="preserve"> an acceptable safety profile, (Pre-Submission PBAC Advice, P1).</w:t>
      </w:r>
    </w:p>
    <w:p w:rsidR="00D114E8" w:rsidRPr="00D114E8" w:rsidRDefault="00D114E8" w:rsidP="00D114E8">
      <w:pPr>
        <w:pStyle w:val="ListParagraph"/>
        <w:widowControl/>
        <w:numPr>
          <w:ilvl w:val="1"/>
          <w:numId w:val="5"/>
        </w:numPr>
        <w:spacing w:after="120"/>
        <w:contextualSpacing w:val="0"/>
        <w:rPr>
          <w:rFonts w:asciiTheme="minorHAnsi" w:hAnsiTheme="minorHAnsi"/>
          <w:sz w:val="24"/>
          <w:szCs w:val="24"/>
        </w:rPr>
      </w:pPr>
      <w:r w:rsidRPr="00D114E8">
        <w:rPr>
          <w:rFonts w:asciiTheme="minorHAnsi" w:hAnsiTheme="minorHAnsi"/>
          <w:sz w:val="24"/>
          <w:szCs w:val="24"/>
        </w:rPr>
        <w:t xml:space="preserve">The PBAC accepted the ATAGI advice that </w:t>
      </w:r>
      <w:proofErr w:type="spellStart"/>
      <w:r w:rsidRPr="00D114E8">
        <w:rPr>
          <w:rFonts w:asciiTheme="minorHAnsi" w:hAnsiTheme="minorHAnsi"/>
          <w:sz w:val="24"/>
          <w:szCs w:val="24"/>
        </w:rPr>
        <w:t>aTIV</w:t>
      </w:r>
      <w:proofErr w:type="spellEnd"/>
      <w:r w:rsidRPr="00D114E8">
        <w:rPr>
          <w:rFonts w:asciiTheme="minorHAnsi" w:hAnsiTheme="minorHAnsi"/>
          <w:sz w:val="24"/>
          <w:szCs w:val="24"/>
        </w:rPr>
        <w:t xml:space="preserve"> is non-inferior overall to QIV for the prevention of seasonal influenza in adults aged ≥65 years.</w:t>
      </w:r>
    </w:p>
    <w:p w:rsidR="00D114E8" w:rsidRPr="00D114E8" w:rsidRDefault="00D114E8" w:rsidP="00D114E8">
      <w:pPr>
        <w:pStyle w:val="ListParagraph"/>
        <w:widowControl/>
        <w:numPr>
          <w:ilvl w:val="1"/>
          <w:numId w:val="5"/>
        </w:numPr>
        <w:spacing w:after="120"/>
        <w:contextualSpacing w:val="0"/>
        <w:rPr>
          <w:rFonts w:asciiTheme="minorHAnsi" w:hAnsiTheme="minorHAnsi"/>
          <w:sz w:val="24"/>
          <w:szCs w:val="24"/>
        </w:rPr>
      </w:pPr>
      <w:r w:rsidRPr="00D114E8">
        <w:rPr>
          <w:rFonts w:asciiTheme="minorHAnsi" w:hAnsiTheme="minorHAnsi"/>
          <w:sz w:val="24"/>
          <w:szCs w:val="24"/>
        </w:rPr>
        <w:t>The PBAC agreed with the ATAGI that the eviden</w:t>
      </w:r>
      <w:r w:rsidR="00D433CD">
        <w:rPr>
          <w:rFonts w:asciiTheme="minorHAnsi" w:hAnsiTheme="minorHAnsi"/>
          <w:sz w:val="24"/>
          <w:szCs w:val="24"/>
        </w:rPr>
        <w:t xml:space="preserve">ce supports a claim that </w:t>
      </w:r>
      <w:proofErr w:type="spellStart"/>
      <w:r w:rsidR="00D433CD">
        <w:rPr>
          <w:rFonts w:asciiTheme="minorHAnsi" w:hAnsiTheme="minorHAnsi"/>
          <w:sz w:val="24"/>
          <w:szCs w:val="24"/>
        </w:rPr>
        <w:t>aTIV</w:t>
      </w:r>
      <w:proofErr w:type="spellEnd"/>
      <w:r w:rsidRPr="00D114E8">
        <w:rPr>
          <w:rFonts w:asciiTheme="minorHAnsi" w:hAnsiTheme="minorHAnsi"/>
          <w:sz w:val="24"/>
          <w:szCs w:val="24"/>
        </w:rPr>
        <w:t xml:space="preserve"> has an acceptable safety profile.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4D2A5E" w:rsidRDefault="004D2A5E" w:rsidP="004D2A5E">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The submission sought a price </w:t>
      </w:r>
      <w:r w:rsidR="00FD1553">
        <w:rPr>
          <w:rFonts w:asciiTheme="minorHAnsi" w:hAnsiTheme="minorHAnsi"/>
          <w:noProof/>
          <w:color w:val="000000"/>
          <w:sz w:val="24"/>
          <w:szCs w:val="24"/>
          <w:highlight w:val="black"/>
        </w:rPr>
        <w:t>''''''''''</w:t>
      </w:r>
      <w:r>
        <w:rPr>
          <w:rFonts w:asciiTheme="minorHAnsi" w:hAnsiTheme="minorHAnsi"/>
          <w:sz w:val="24"/>
          <w:szCs w:val="24"/>
        </w:rPr>
        <w:t xml:space="preserve"> to the </w:t>
      </w:r>
      <w:r w:rsidR="00242595">
        <w:rPr>
          <w:rFonts w:asciiTheme="minorHAnsi" w:hAnsiTheme="minorHAnsi"/>
          <w:sz w:val="24"/>
          <w:szCs w:val="24"/>
        </w:rPr>
        <w:t>nationally negotiated</w:t>
      </w:r>
      <w:r w:rsidR="001507E2">
        <w:rPr>
          <w:rFonts w:asciiTheme="minorHAnsi" w:hAnsiTheme="minorHAnsi"/>
          <w:sz w:val="24"/>
          <w:szCs w:val="24"/>
        </w:rPr>
        <w:t xml:space="preserve"> price of the </w:t>
      </w:r>
      <w:r>
        <w:rPr>
          <w:rFonts w:asciiTheme="minorHAnsi" w:hAnsiTheme="minorHAnsi"/>
          <w:sz w:val="24"/>
          <w:szCs w:val="24"/>
        </w:rPr>
        <w:t xml:space="preserve">QIV comparator based on the clinical and safety profile of </w:t>
      </w:r>
      <w:proofErr w:type="spellStart"/>
      <w:r>
        <w:rPr>
          <w:rFonts w:asciiTheme="minorHAnsi" w:hAnsiTheme="minorHAnsi"/>
          <w:sz w:val="24"/>
          <w:szCs w:val="24"/>
        </w:rPr>
        <w:t>aTIV</w:t>
      </w:r>
      <w:proofErr w:type="spellEnd"/>
      <w:r w:rsidR="00984FC5">
        <w:rPr>
          <w:rFonts w:asciiTheme="minorHAnsi" w:hAnsiTheme="minorHAnsi"/>
          <w:sz w:val="24"/>
          <w:szCs w:val="24"/>
        </w:rPr>
        <w:t>.</w:t>
      </w:r>
      <w:r>
        <w:rPr>
          <w:rFonts w:asciiTheme="minorHAnsi" w:hAnsiTheme="minorHAnsi"/>
          <w:sz w:val="24"/>
          <w:szCs w:val="24"/>
        </w:rPr>
        <w:t xml:space="preserve">  </w:t>
      </w:r>
    </w:p>
    <w:p w:rsidR="003C2FB5" w:rsidRPr="008306F3" w:rsidRDefault="00A55FEE"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Drug cost/patient/year: $</w:t>
      </w:r>
      <w:r w:rsidR="00FD1553">
        <w:rPr>
          <w:rFonts w:asciiTheme="minorHAnsi" w:eastAsiaTheme="majorEastAsia" w:hAnsiTheme="minorHAnsi" w:cstheme="majorBidi"/>
          <w:noProof/>
          <w:color w:val="000000"/>
          <w:sz w:val="28"/>
          <w:szCs w:val="28"/>
          <w:highlight w:val="black"/>
          <w:lang w:eastAsia="en-US"/>
        </w:rPr>
        <w:t>''''''''</w:t>
      </w:r>
      <w:r w:rsidRPr="003C2FB5">
        <w:rPr>
          <w:rFonts w:asciiTheme="minorHAnsi" w:eastAsiaTheme="majorEastAsia" w:hAnsiTheme="minorHAnsi" w:cstheme="majorBidi"/>
          <w:sz w:val="28"/>
          <w:szCs w:val="28"/>
          <w:lang w:eastAsia="en-US"/>
        </w:rPr>
        <w:t>.</w:t>
      </w:r>
    </w:p>
    <w:p w:rsidR="003972C4" w:rsidRPr="00C0644A" w:rsidRDefault="003972C4" w:rsidP="003972C4">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149F1">
        <w:rPr>
          <w:rFonts w:asciiTheme="minorHAnsi" w:eastAsiaTheme="minorHAnsi" w:hAnsiTheme="minorHAnsi" w:cstheme="minorBidi"/>
          <w:snapToGrid/>
          <w:sz w:val="24"/>
          <w:szCs w:val="22"/>
        </w:rPr>
        <w:t xml:space="preserve">The drug cost per patient per year </w:t>
      </w:r>
      <w:r w:rsidR="00242595">
        <w:rPr>
          <w:rFonts w:asciiTheme="minorHAnsi" w:eastAsiaTheme="minorHAnsi" w:hAnsiTheme="minorHAnsi" w:cstheme="minorBidi"/>
          <w:snapToGrid/>
          <w:sz w:val="24"/>
          <w:szCs w:val="22"/>
        </w:rPr>
        <w:t>to the NIP wa</w:t>
      </w:r>
      <w:r w:rsidRPr="00F149F1">
        <w:rPr>
          <w:rFonts w:asciiTheme="minorHAnsi" w:eastAsiaTheme="minorHAnsi" w:hAnsiTheme="minorHAnsi" w:cstheme="minorBidi"/>
          <w:snapToGrid/>
          <w:sz w:val="24"/>
          <w:szCs w:val="22"/>
        </w:rPr>
        <w:t xml:space="preserve">s proposed as </w:t>
      </w:r>
      <w:r w:rsidRPr="00C0644A">
        <w:rPr>
          <w:rFonts w:asciiTheme="minorHAnsi" w:eastAsiaTheme="minorHAnsi" w:hAnsiTheme="minorHAnsi" w:cstheme="minorBidi"/>
          <w:snapToGrid/>
          <w:sz w:val="24"/>
          <w:szCs w:val="22"/>
        </w:rPr>
        <w:t>$</w:t>
      </w:r>
      <w:r w:rsidR="00FD1553">
        <w:rPr>
          <w:rFonts w:asciiTheme="minorHAnsi" w:eastAsiaTheme="minorHAnsi" w:hAnsiTheme="minorHAnsi" w:cstheme="minorBidi"/>
          <w:noProof/>
          <w:snapToGrid/>
          <w:color w:val="000000"/>
          <w:sz w:val="24"/>
          <w:szCs w:val="22"/>
          <w:highlight w:val="black"/>
        </w:rPr>
        <w:t>''''''''</w:t>
      </w:r>
      <w:r w:rsidRPr="00C0644A">
        <w:rPr>
          <w:rFonts w:asciiTheme="minorHAnsi" w:eastAsiaTheme="minorHAnsi" w:hAnsiTheme="minorHAnsi" w:cstheme="minorBidi"/>
          <w:snapToGrid/>
          <w:sz w:val="24"/>
          <w:szCs w:val="22"/>
        </w:rPr>
        <w:t xml:space="preserve"> for a single dose</w:t>
      </w:r>
      <w:r w:rsidRPr="00F149F1">
        <w:rPr>
          <w:rFonts w:asciiTheme="minorHAnsi" w:eastAsiaTheme="minorHAnsi" w:hAnsiTheme="minorHAnsi" w:cstheme="minorBidi"/>
          <w:snapToGrid/>
          <w:sz w:val="24"/>
          <w:szCs w:val="22"/>
        </w:rPr>
        <w:t xml:space="preserve"> </w:t>
      </w:r>
      <w:r w:rsidR="002345BA">
        <w:rPr>
          <w:rFonts w:asciiTheme="minorHAnsi" w:eastAsiaTheme="minorHAnsi" w:hAnsiTheme="minorHAnsi" w:cstheme="minorBidi"/>
          <w:snapToGrid/>
          <w:sz w:val="24"/>
          <w:szCs w:val="22"/>
        </w:rPr>
        <w:t xml:space="preserve">ideally </w:t>
      </w:r>
      <w:r w:rsidR="00242595">
        <w:rPr>
          <w:rFonts w:asciiTheme="minorHAnsi" w:eastAsiaTheme="minorHAnsi" w:hAnsiTheme="minorHAnsi" w:cstheme="minorBidi"/>
          <w:snapToGrid/>
          <w:sz w:val="24"/>
          <w:szCs w:val="22"/>
        </w:rPr>
        <w:t xml:space="preserve">administered </w:t>
      </w:r>
      <w:r w:rsidR="002345BA">
        <w:rPr>
          <w:rFonts w:asciiTheme="minorHAnsi" w:eastAsiaTheme="minorHAnsi" w:hAnsiTheme="minorHAnsi" w:cstheme="minorBidi"/>
          <w:snapToGrid/>
          <w:sz w:val="24"/>
          <w:szCs w:val="22"/>
        </w:rPr>
        <w:t>from April</w:t>
      </w:r>
      <w:r w:rsidRPr="00F149F1">
        <w:rPr>
          <w:rFonts w:asciiTheme="minorHAnsi" w:eastAsiaTheme="minorHAnsi" w:hAnsiTheme="minorHAnsi" w:cstheme="minorBidi"/>
          <w:snapToGrid/>
          <w:sz w:val="24"/>
          <w:szCs w:val="22"/>
        </w:rPr>
        <w:t xml:space="preserve"> 2018</w:t>
      </w:r>
      <w:r w:rsidR="002345BA">
        <w:rPr>
          <w:rFonts w:asciiTheme="minorHAnsi" w:eastAsiaTheme="minorHAnsi" w:hAnsiTheme="minorHAnsi" w:cstheme="minorBidi"/>
          <w:snapToGrid/>
          <w:sz w:val="24"/>
          <w:szCs w:val="22"/>
        </w:rPr>
        <w:t xml:space="preserve"> prior to commencement of the i</w:t>
      </w:r>
      <w:r w:rsidRPr="00F149F1">
        <w:rPr>
          <w:rFonts w:asciiTheme="minorHAnsi" w:eastAsiaTheme="minorHAnsi" w:hAnsiTheme="minorHAnsi" w:cstheme="minorBidi"/>
          <w:snapToGrid/>
          <w:sz w:val="24"/>
          <w:szCs w:val="22"/>
        </w:rPr>
        <w:t xml:space="preserve">nfluenza season, the </w:t>
      </w:r>
      <w:r w:rsidR="00FD1553">
        <w:rPr>
          <w:rFonts w:asciiTheme="minorHAnsi" w:eastAsiaTheme="minorHAnsi" w:hAnsiTheme="minorHAnsi" w:cstheme="minorBidi"/>
          <w:noProof/>
          <w:snapToGrid/>
          <w:color w:val="000000"/>
          <w:sz w:val="24"/>
          <w:szCs w:val="22"/>
          <w:highlight w:val="black"/>
        </w:rPr>
        <w:t xml:space="preserve">'''''''''' </w:t>
      </w:r>
      <w:r w:rsidRPr="00F149F1">
        <w:rPr>
          <w:rFonts w:asciiTheme="minorHAnsi" w:eastAsiaTheme="minorHAnsi" w:hAnsiTheme="minorHAnsi" w:cstheme="minorBidi"/>
          <w:snapToGrid/>
          <w:sz w:val="24"/>
          <w:szCs w:val="22"/>
        </w:rPr>
        <w:t>cost</w:t>
      </w:r>
      <w:r w:rsidR="005F6F16">
        <w:rPr>
          <w:rFonts w:asciiTheme="minorHAnsi" w:eastAsiaTheme="minorHAnsi" w:hAnsiTheme="minorHAnsi" w:cstheme="minorBidi"/>
          <w:snapToGrid/>
          <w:sz w:val="24"/>
          <w:szCs w:val="22"/>
        </w:rPr>
        <w:t xml:space="preserve"> that was recommended </w:t>
      </w:r>
      <w:r w:rsidR="002345BA">
        <w:rPr>
          <w:rFonts w:asciiTheme="minorHAnsi" w:eastAsiaTheme="minorHAnsi" w:hAnsiTheme="minorHAnsi" w:cstheme="minorBidi"/>
          <w:snapToGrid/>
          <w:sz w:val="24"/>
          <w:szCs w:val="22"/>
        </w:rPr>
        <w:t xml:space="preserve">by the PBAC </w:t>
      </w:r>
      <w:r w:rsidR="005F6F16">
        <w:rPr>
          <w:rFonts w:asciiTheme="minorHAnsi" w:eastAsiaTheme="minorHAnsi" w:hAnsiTheme="minorHAnsi" w:cstheme="minorBidi"/>
          <w:snapToGrid/>
          <w:sz w:val="24"/>
          <w:szCs w:val="22"/>
        </w:rPr>
        <w:t>for</w:t>
      </w:r>
      <w:r w:rsidRPr="00F149F1">
        <w:rPr>
          <w:rFonts w:asciiTheme="minorHAnsi" w:eastAsiaTheme="minorHAnsi" w:hAnsiTheme="minorHAnsi" w:cstheme="minorBidi"/>
          <w:snapToGrid/>
          <w:sz w:val="24"/>
          <w:szCs w:val="22"/>
        </w:rPr>
        <w:t xml:space="preserve"> QIV </w:t>
      </w:r>
      <w:r w:rsidR="005F6F16">
        <w:rPr>
          <w:rFonts w:asciiTheme="minorHAnsi" w:eastAsiaTheme="minorHAnsi" w:hAnsiTheme="minorHAnsi" w:cstheme="minorBidi"/>
          <w:snapToGrid/>
          <w:sz w:val="24"/>
          <w:szCs w:val="22"/>
        </w:rPr>
        <w:t>Afluria Quad</w:t>
      </w:r>
      <w:r w:rsidRPr="00F149F1">
        <w:rPr>
          <w:rFonts w:asciiTheme="minorHAnsi" w:eastAsiaTheme="minorHAnsi" w:hAnsiTheme="minorHAnsi" w:cstheme="minorBidi"/>
          <w:snapToGrid/>
          <w:sz w:val="24"/>
          <w:szCs w:val="22"/>
        </w:rPr>
        <w:t>.</w:t>
      </w:r>
    </w:p>
    <w:p w:rsidR="005A3173" w:rsidRPr="008306F3" w:rsidRDefault="003972C4" w:rsidP="008306F3">
      <w:pPr>
        <w:pStyle w:val="Heading2"/>
        <w:keepLines/>
        <w:spacing w:before="240" w:after="120"/>
        <w:rPr>
          <w:rFonts w:asciiTheme="minorHAnsi" w:eastAsiaTheme="majorEastAsia" w:hAnsiTheme="minorHAnsi" w:cstheme="majorBidi"/>
          <w:sz w:val="28"/>
          <w:szCs w:val="28"/>
          <w:lang w:eastAsia="en-US"/>
        </w:rPr>
      </w:pPr>
      <w:r w:rsidRPr="001B2BBC" w:rsidDel="003972C4">
        <w:rPr>
          <w:rFonts w:asciiTheme="minorHAnsi" w:eastAsiaTheme="minorHAnsi" w:hAnsiTheme="minorHAnsi" w:cstheme="minorBidi"/>
          <w:sz w:val="24"/>
          <w:szCs w:val="22"/>
        </w:rPr>
        <w:lastRenderedPageBreak/>
        <w:t xml:space="preserve"> </w:t>
      </w:r>
      <w:r w:rsidR="005A3173" w:rsidRPr="003C2FB5">
        <w:rPr>
          <w:rFonts w:asciiTheme="minorHAnsi" w:eastAsiaTheme="majorEastAsia" w:hAnsiTheme="minorHAnsi" w:cstheme="majorBidi"/>
          <w:sz w:val="28"/>
          <w:szCs w:val="28"/>
          <w:lang w:eastAsia="en-US"/>
        </w:rPr>
        <w:t xml:space="preserve">Estimated </w:t>
      </w:r>
      <w:r w:rsidR="00242595">
        <w:rPr>
          <w:rFonts w:asciiTheme="minorHAnsi" w:eastAsiaTheme="majorEastAsia" w:hAnsiTheme="minorHAnsi" w:cstheme="majorBidi"/>
          <w:sz w:val="28"/>
          <w:szCs w:val="28"/>
          <w:lang w:eastAsia="en-US"/>
        </w:rPr>
        <w:t>NIP</w:t>
      </w:r>
      <w:r w:rsidR="00242595" w:rsidRPr="003C2FB5">
        <w:rPr>
          <w:rFonts w:asciiTheme="minorHAnsi" w:eastAsiaTheme="majorEastAsia" w:hAnsiTheme="minorHAnsi" w:cstheme="majorBidi"/>
          <w:sz w:val="28"/>
          <w:szCs w:val="28"/>
          <w:lang w:eastAsia="en-US"/>
        </w:rPr>
        <w:t xml:space="preserve"> </w:t>
      </w:r>
      <w:r w:rsidR="005A3173" w:rsidRPr="003C2FB5">
        <w:rPr>
          <w:rFonts w:asciiTheme="minorHAnsi" w:eastAsiaTheme="majorEastAsia" w:hAnsiTheme="minorHAnsi" w:cstheme="majorBidi"/>
          <w:sz w:val="28"/>
          <w:szCs w:val="28"/>
          <w:lang w:eastAsia="en-US"/>
        </w:rPr>
        <w:t>usage &amp; financial implications</w:t>
      </w:r>
    </w:p>
    <w:p w:rsidR="003972C4" w:rsidRPr="0060771A" w:rsidRDefault="003972C4" w:rsidP="006552D5">
      <w:pPr>
        <w:pStyle w:val="ListParagraph"/>
        <w:widowControl/>
        <w:numPr>
          <w:ilvl w:val="1"/>
          <w:numId w:val="14"/>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4"/>
        </w:rPr>
        <w:t xml:space="preserve">NIP listing is expected to be cost </w:t>
      </w:r>
      <w:r w:rsidR="00FD1553">
        <w:rPr>
          <w:rFonts w:asciiTheme="minorHAnsi" w:eastAsiaTheme="minorHAnsi" w:hAnsiTheme="minorHAnsi" w:cstheme="minorBidi"/>
          <w:noProof/>
          <w:snapToGrid/>
          <w:color w:val="000000"/>
          <w:sz w:val="24"/>
          <w:szCs w:val="24"/>
          <w:highlight w:val="black"/>
        </w:rPr>
        <w:t>''''''''''''' ''''''''' '''''</w:t>
      </w:r>
      <w:r w:rsidRPr="006552D5">
        <w:rPr>
          <w:rFonts w:asciiTheme="minorHAnsi" w:eastAsiaTheme="minorHAnsi" w:hAnsiTheme="minorHAnsi" w:cstheme="minorBidi"/>
          <w:snapToGrid/>
          <w:sz w:val="24"/>
          <w:szCs w:val="24"/>
        </w:rPr>
        <w:t xml:space="preserve"> financial implications to the NIP/changes in NIP usage are anticipated as </w:t>
      </w:r>
      <w:proofErr w:type="spellStart"/>
      <w:r w:rsidRPr="006552D5">
        <w:rPr>
          <w:rFonts w:asciiTheme="minorHAnsi" w:eastAsiaTheme="minorHAnsi" w:hAnsiTheme="minorHAnsi" w:cstheme="minorBidi"/>
          <w:snapToGrid/>
          <w:sz w:val="24"/>
          <w:szCs w:val="24"/>
        </w:rPr>
        <w:t>aTIV</w:t>
      </w:r>
      <w:proofErr w:type="spellEnd"/>
      <w:r w:rsidRPr="006552D5">
        <w:rPr>
          <w:rFonts w:asciiTheme="minorHAnsi" w:eastAsiaTheme="minorHAnsi" w:hAnsiTheme="minorHAnsi" w:cstheme="minorBidi"/>
          <w:snapToGrid/>
          <w:sz w:val="24"/>
          <w:szCs w:val="24"/>
        </w:rPr>
        <w:t xml:space="preserve"> will substitute for QIV and both </w:t>
      </w:r>
      <w:r w:rsidR="00B540C7">
        <w:rPr>
          <w:rFonts w:asciiTheme="minorHAnsi" w:eastAsiaTheme="minorHAnsi" w:hAnsiTheme="minorHAnsi" w:cstheme="minorBidi"/>
          <w:snapToGrid/>
          <w:sz w:val="24"/>
          <w:szCs w:val="24"/>
        </w:rPr>
        <w:t>vaccines</w:t>
      </w:r>
      <w:r w:rsidR="00B540C7" w:rsidRPr="006552D5">
        <w:rPr>
          <w:rFonts w:asciiTheme="minorHAnsi" w:eastAsiaTheme="minorHAnsi" w:hAnsiTheme="minorHAnsi" w:cstheme="minorBidi"/>
          <w:snapToGrid/>
          <w:sz w:val="24"/>
          <w:szCs w:val="24"/>
        </w:rPr>
        <w:t xml:space="preserve"> </w:t>
      </w:r>
      <w:r w:rsidRPr="006552D5">
        <w:rPr>
          <w:rFonts w:asciiTheme="minorHAnsi" w:eastAsiaTheme="minorHAnsi" w:hAnsiTheme="minorHAnsi" w:cstheme="minorBidi"/>
          <w:snapToGrid/>
          <w:sz w:val="24"/>
          <w:szCs w:val="24"/>
        </w:rPr>
        <w:t xml:space="preserve">have the </w:t>
      </w:r>
      <w:r w:rsidR="00FD1553">
        <w:rPr>
          <w:rFonts w:asciiTheme="minorHAnsi" w:eastAsiaTheme="minorHAnsi" w:hAnsiTheme="minorHAnsi" w:cstheme="minorBidi"/>
          <w:noProof/>
          <w:snapToGrid/>
          <w:color w:val="000000"/>
          <w:sz w:val="24"/>
          <w:szCs w:val="24"/>
          <w:highlight w:val="black"/>
        </w:rPr>
        <w:t>''''''''''' ''''''''''</w:t>
      </w:r>
      <w:r>
        <w:rPr>
          <w:rFonts w:asciiTheme="minorHAnsi" w:eastAsiaTheme="minorHAnsi" w:hAnsiTheme="minorHAnsi" w:cstheme="minorBidi"/>
          <w:snapToGrid/>
          <w:sz w:val="24"/>
          <w:szCs w:val="24"/>
        </w:rPr>
        <w:t xml:space="preserve"> (Submission, P20)</w:t>
      </w:r>
      <w:r w:rsidRPr="006552D5">
        <w:rPr>
          <w:rFonts w:asciiTheme="minorHAnsi" w:eastAsiaTheme="minorHAnsi" w:hAnsiTheme="minorHAnsi" w:cstheme="minorBidi"/>
          <w:snapToGrid/>
          <w:sz w:val="24"/>
          <w:szCs w:val="24"/>
        </w:rPr>
        <w:t>.</w:t>
      </w:r>
    </w:p>
    <w:p w:rsidR="0060771A" w:rsidRPr="00D114E8" w:rsidRDefault="0060771A" w:rsidP="00A9134C">
      <w:pPr>
        <w:spacing w:after="120"/>
        <w:rPr>
          <w:rFonts w:asciiTheme="minorHAnsi" w:eastAsiaTheme="minorHAnsi" w:hAnsiTheme="minorHAnsi" w:cstheme="minorBidi"/>
          <w:i/>
          <w:szCs w:val="22"/>
        </w:rPr>
      </w:pPr>
      <w:r w:rsidRPr="00D114E8">
        <w:rPr>
          <w:rFonts w:asciiTheme="minorHAnsi" w:eastAsiaTheme="minorHAnsi" w:hAnsiTheme="minorHAnsi" w:cstheme="minorBidi"/>
          <w:i/>
          <w:szCs w:val="22"/>
        </w:rPr>
        <w:t>For more detail on PBAC’s view, see section 7 PBAC outcome.</w:t>
      </w:r>
    </w:p>
    <w:p w:rsidR="00D114E8" w:rsidRPr="005E2047" w:rsidRDefault="00F20978" w:rsidP="005E2047">
      <w:pPr>
        <w:pStyle w:val="PBACHeading1"/>
        <w:rPr>
          <w:rFonts w:asciiTheme="minorHAnsi" w:hAnsiTheme="minorHAnsi" w:cstheme="minorHAnsi"/>
          <w:bCs/>
          <w:lang w:val="en-GB"/>
        </w:rPr>
      </w:pPr>
      <w:r w:rsidRPr="005E2047">
        <w:rPr>
          <w:rFonts w:asciiTheme="minorHAnsi" w:hAnsiTheme="minorHAnsi"/>
          <w:sz w:val="32"/>
          <w:szCs w:val="32"/>
        </w:rPr>
        <w:t>PBAC Outcome</w:t>
      </w:r>
    </w:p>
    <w:p w:rsidR="00D114E8" w:rsidRPr="00D114E8" w:rsidRDefault="00D114E8" w:rsidP="00D114E8">
      <w:pPr>
        <w:widowControl w:val="0"/>
        <w:numPr>
          <w:ilvl w:val="1"/>
          <w:numId w:val="5"/>
        </w:numPr>
        <w:spacing w:after="120"/>
        <w:jc w:val="both"/>
        <w:rPr>
          <w:rFonts w:asciiTheme="minorHAnsi" w:hAnsiTheme="minorHAnsi" w:cstheme="minorHAnsi"/>
          <w:bCs/>
          <w:lang w:val="en-GB"/>
        </w:rPr>
      </w:pPr>
      <w:r w:rsidRPr="00D114E8">
        <w:rPr>
          <w:rFonts w:asciiTheme="minorHAnsi" w:hAnsiTheme="minorHAnsi" w:cstheme="minorHAnsi"/>
          <w:bCs/>
          <w:lang w:val="en-GB"/>
        </w:rPr>
        <w:t xml:space="preserve">The PBAC recommended that </w:t>
      </w:r>
      <w:r w:rsidRPr="00D114E8">
        <w:rPr>
          <w:rFonts w:asciiTheme="minorHAnsi" w:eastAsiaTheme="minorHAnsi" w:hAnsiTheme="minorHAnsi" w:cstheme="minorBidi"/>
        </w:rPr>
        <w:t xml:space="preserve">inactivated trivalent influenza vaccine (surface antigen), </w:t>
      </w:r>
      <w:proofErr w:type="spellStart"/>
      <w:r w:rsidRPr="00D114E8">
        <w:rPr>
          <w:rFonts w:asciiTheme="minorHAnsi" w:eastAsiaTheme="minorHAnsi" w:hAnsiTheme="minorHAnsi" w:cstheme="minorBidi"/>
        </w:rPr>
        <w:t>adjuvanted</w:t>
      </w:r>
      <w:proofErr w:type="spellEnd"/>
      <w:r w:rsidRPr="00D114E8">
        <w:rPr>
          <w:rFonts w:asciiTheme="minorHAnsi" w:eastAsiaTheme="minorHAnsi" w:hAnsiTheme="minorHAnsi" w:cstheme="minorBidi"/>
        </w:rPr>
        <w:t xml:space="preserve"> (</w:t>
      </w:r>
      <w:proofErr w:type="spellStart"/>
      <w:r w:rsidRPr="00D114E8">
        <w:rPr>
          <w:rFonts w:asciiTheme="minorHAnsi" w:eastAsiaTheme="minorHAnsi" w:hAnsiTheme="minorHAnsi" w:cstheme="minorBidi"/>
        </w:rPr>
        <w:t>aTIV</w:t>
      </w:r>
      <w:proofErr w:type="spellEnd"/>
      <w:r w:rsidRPr="00D114E8">
        <w:rPr>
          <w:rFonts w:asciiTheme="minorHAnsi" w:eastAsiaTheme="minorHAnsi" w:hAnsiTheme="minorHAnsi" w:cstheme="minorBidi"/>
        </w:rPr>
        <w:t xml:space="preserve">) </w:t>
      </w:r>
      <w:r w:rsidRPr="00D114E8">
        <w:rPr>
          <w:rFonts w:asciiTheme="minorHAnsi" w:hAnsiTheme="minorHAnsi" w:cstheme="minorHAnsi"/>
        </w:rPr>
        <w:t xml:space="preserve">vaccine be a designated vaccine for the purposes of the </w:t>
      </w:r>
      <w:r w:rsidRPr="00D114E8">
        <w:rPr>
          <w:rFonts w:asciiTheme="minorHAnsi" w:hAnsiTheme="minorHAnsi" w:cstheme="minorHAnsi"/>
          <w:i/>
        </w:rPr>
        <w:t xml:space="preserve">National Health Act 1953 </w:t>
      </w:r>
      <w:r w:rsidRPr="00D114E8">
        <w:rPr>
          <w:rFonts w:asciiTheme="minorHAnsi" w:hAnsiTheme="minorHAnsi" w:cstheme="minorHAnsi"/>
        </w:rPr>
        <w:t xml:space="preserve"> for active immunisation against influenza in adults aged ≥65 years of age.</w:t>
      </w:r>
    </w:p>
    <w:p w:rsidR="00D114E8" w:rsidRPr="00D114E8" w:rsidRDefault="00D114E8" w:rsidP="00D114E8">
      <w:pPr>
        <w:widowControl w:val="0"/>
        <w:numPr>
          <w:ilvl w:val="1"/>
          <w:numId w:val="5"/>
        </w:numPr>
        <w:spacing w:after="120"/>
        <w:jc w:val="both"/>
        <w:rPr>
          <w:rFonts w:asciiTheme="minorHAnsi" w:hAnsiTheme="minorHAnsi" w:cstheme="minorHAnsi"/>
          <w:bCs/>
          <w:lang w:val="en-GB"/>
        </w:rPr>
      </w:pPr>
      <w:r w:rsidRPr="00D114E8">
        <w:rPr>
          <w:rFonts w:asciiTheme="minorHAnsi" w:hAnsiTheme="minorHAnsi" w:cstheme="minorHAnsi"/>
          <w:bCs/>
          <w:lang w:val="en-GB"/>
        </w:rPr>
        <w:t xml:space="preserve">The PBAC considered the </w:t>
      </w:r>
      <w:proofErr w:type="spellStart"/>
      <w:r w:rsidRPr="00D114E8">
        <w:rPr>
          <w:rFonts w:asciiTheme="minorHAnsi" w:hAnsiTheme="minorHAnsi" w:cstheme="minorHAnsi"/>
          <w:bCs/>
          <w:lang w:val="en-GB"/>
        </w:rPr>
        <w:t>aTIV</w:t>
      </w:r>
      <w:proofErr w:type="spellEnd"/>
      <w:r w:rsidRPr="00D114E8">
        <w:rPr>
          <w:rFonts w:asciiTheme="minorHAnsi" w:hAnsiTheme="minorHAnsi" w:cstheme="minorHAnsi"/>
          <w:bCs/>
          <w:lang w:val="en-GB"/>
        </w:rPr>
        <w:t xml:space="preserve"> vaccine would be acceptably cost-effective if subsidised on a cost-minimisation basis with the currently NIP listed </w:t>
      </w:r>
      <w:proofErr w:type="spellStart"/>
      <w:r w:rsidRPr="00D114E8">
        <w:rPr>
          <w:rFonts w:asciiTheme="minorHAnsi" w:hAnsiTheme="minorHAnsi" w:cstheme="minorHAnsi"/>
          <w:bCs/>
          <w:lang w:val="en-GB"/>
        </w:rPr>
        <w:t>quadrivalent</w:t>
      </w:r>
      <w:proofErr w:type="spellEnd"/>
      <w:r w:rsidRPr="00D114E8">
        <w:rPr>
          <w:rFonts w:asciiTheme="minorHAnsi" w:hAnsiTheme="minorHAnsi" w:cstheme="minorHAnsi"/>
          <w:bCs/>
          <w:lang w:val="en-GB"/>
        </w:rPr>
        <w:t xml:space="preserve"> inactivated vaccines (QIV) for those aged ≥65.</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 xml:space="preserve">The PBAC accepted the ATAGI advice that </w:t>
      </w:r>
      <w:proofErr w:type="spellStart"/>
      <w:r w:rsidRPr="00D114E8">
        <w:rPr>
          <w:rFonts w:asciiTheme="minorHAnsi" w:hAnsiTheme="minorHAnsi" w:cs="Arial"/>
          <w:bCs/>
          <w:snapToGrid w:val="0"/>
          <w:lang w:val="en-GB"/>
        </w:rPr>
        <w:t>aTIV</w:t>
      </w:r>
      <w:proofErr w:type="spellEnd"/>
      <w:r w:rsidRPr="00D114E8">
        <w:rPr>
          <w:rFonts w:asciiTheme="minorHAnsi" w:hAnsiTheme="minorHAnsi" w:cs="Arial"/>
          <w:bCs/>
          <w:snapToGrid w:val="0"/>
          <w:lang w:val="en-GB"/>
        </w:rPr>
        <w:t xml:space="preserve"> is non-inferior overall to QIV for the prevention of seasonal influenza in adults aged ≥65 years.</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 xml:space="preserve">The PBAC agreed with the ATAGI that there is sufficient evidence indicating </w:t>
      </w:r>
      <w:proofErr w:type="spellStart"/>
      <w:r w:rsidRPr="00D114E8">
        <w:rPr>
          <w:rFonts w:asciiTheme="minorHAnsi" w:hAnsiTheme="minorHAnsi" w:cs="Arial"/>
          <w:bCs/>
          <w:snapToGrid w:val="0"/>
          <w:lang w:val="en-GB"/>
        </w:rPr>
        <w:t>aTIV</w:t>
      </w:r>
      <w:proofErr w:type="spellEnd"/>
      <w:r w:rsidRPr="00D114E8">
        <w:rPr>
          <w:rFonts w:asciiTheme="minorHAnsi" w:hAnsiTheme="minorHAnsi" w:cs="Arial"/>
          <w:bCs/>
          <w:snapToGrid w:val="0"/>
          <w:lang w:val="en-GB"/>
        </w:rPr>
        <w:t xml:space="preserve"> is superior in effectiveness to non-</w:t>
      </w:r>
      <w:proofErr w:type="spellStart"/>
      <w:r w:rsidRPr="00D114E8">
        <w:rPr>
          <w:rFonts w:asciiTheme="minorHAnsi" w:hAnsiTheme="minorHAnsi" w:cs="Arial"/>
          <w:bCs/>
          <w:snapToGrid w:val="0"/>
          <w:lang w:val="en-GB"/>
        </w:rPr>
        <w:t>adjuvanted</w:t>
      </w:r>
      <w:proofErr w:type="spellEnd"/>
      <w:r w:rsidRPr="00D114E8">
        <w:rPr>
          <w:rFonts w:asciiTheme="minorHAnsi" w:hAnsiTheme="minorHAnsi" w:cs="Arial"/>
          <w:bCs/>
          <w:snapToGrid w:val="0"/>
          <w:lang w:val="en-GB"/>
        </w:rPr>
        <w:t xml:space="preserve"> trivalent inactivated vaccine (TIV) in some scenarios, particularly in seasons dominated by influenza A/H3 disease which accounts for a substantial burden in this age group.</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 xml:space="preserve">The PBAC agreed with the ATAGI that the potential additional protection afforded by </w:t>
      </w:r>
      <w:proofErr w:type="spellStart"/>
      <w:r w:rsidRPr="00D114E8">
        <w:rPr>
          <w:rFonts w:asciiTheme="minorHAnsi" w:hAnsiTheme="minorHAnsi" w:cs="Arial"/>
          <w:bCs/>
          <w:snapToGrid w:val="0"/>
          <w:lang w:val="en-GB"/>
        </w:rPr>
        <w:t>aTIV</w:t>
      </w:r>
      <w:proofErr w:type="spellEnd"/>
      <w:r w:rsidRPr="00D114E8">
        <w:rPr>
          <w:rFonts w:asciiTheme="minorHAnsi" w:hAnsiTheme="minorHAnsi" w:cs="Arial"/>
          <w:bCs/>
          <w:snapToGrid w:val="0"/>
          <w:lang w:val="en-GB"/>
        </w:rPr>
        <w:t xml:space="preserve"> against the strains included in the vaccine is substantial enough to offset, if not outweigh, the potential loss of protection against the alternative B lineage not in the vaccine, in most years, for adults aged ≥65 years.</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 xml:space="preserve">The PBAC agreed with the ATAGI that the evidence supports </w:t>
      </w:r>
      <w:r w:rsidR="00D433CD">
        <w:rPr>
          <w:rFonts w:asciiTheme="minorHAnsi" w:hAnsiTheme="minorHAnsi" w:cs="Arial"/>
          <w:bCs/>
          <w:snapToGrid w:val="0"/>
          <w:lang w:val="en-GB"/>
        </w:rPr>
        <w:t xml:space="preserve">a claim that </w:t>
      </w:r>
      <w:proofErr w:type="spellStart"/>
      <w:r w:rsidR="00D433CD">
        <w:rPr>
          <w:rFonts w:asciiTheme="minorHAnsi" w:hAnsiTheme="minorHAnsi" w:cs="Arial"/>
          <w:bCs/>
          <w:snapToGrid w:val="0"/>
          <w:lang w:val="en-GB"/>
        </w:rPr>
        <w:t>aTIV</w:t>
      </w:r>
      <w:proofErr w:type="spellEnd"/>
      <w:r w:rsidRPr="00D114E8">
        <w:rPr>
          <w:rFonts w:asciiTheme="minorHAnsi" w:hAnsiTheme="minorHAnsi" w:cs="Arial"/>
          <w:bCs/>
          <w:snapToGrid w:val="0"/>
          <w:lang w:val="en-GB"/>
        </w:rPr>
        <w:t xml:space="preserve"> has an acceptable safety profile.   </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The PBAC also recalled that QIV was originally listed on the NIP after a positive PBAC recommendation in 2015, based on QIV being non-inferior in efficacy and toxicity compared to TIV.</w:t>
      </w:r>
    </w:p>
    <w:p w:rsidR="00D114E8" w:rsidRPr="00D114E8" w:rsidRDefault="00D114E8" w:rsidP="00D114E8">
      <w:pPr>
        <w:widowControl w:val="0"/>
        <w:numPr>
          <w:ilvl w:val="1"/>
          <w:numId w:val="5"/>
        </w:numPr>
        <w:spacing w:after="120"/>
        <w:jc w:val="both"/>
        <w:rPr>
          <w:rFonts w:asciiTheme="minorHAnsi" w:hAnsiTheme="minorHAnsi" w:cs="Arial"/>
          <w:bCs/>
          <w:snapToGrid w:val="0"/>
          <w:lang w:val="en-GB"/>
        </w:rPr>
      </w:pPr>
      <w:r w:rsidRPr="00D114E8">
        <w:rPr>
          <w:rFonts w:asciiTheme="minorHAnsi" w:hAnsiTheme="minorHAnsi" w:cs="Arial"/>
          <w:bCs/>
          <w:snapToGrid w:val="0"/>
          <w:lang w:val="en-GB"/>
        </w:rPr>
        <w:t xml:space="preserve">The PBAC advised that the </w:t>
      </w:r>
      <w:proofErr w:type="spellStart"/>
      <w:r w:rsidRPr="00D114E8">
        <w:rPr>
          <w:rFonts w:asciiTheme="minorHAnsi" w:hAnsiTheme="minorHAnsi" w:cs="Arial"/>
          <w:bCs/>
          <w:snapToGrid w:val="0"/>
          <w:lang w:val="en-GB"/>
        </w:rPr>
        <w:t>equi</w:t>
      </w:r>
      <w:proofErr w:type="spellEnd"/>
      <w:r w:rsidRPr="00D114E8">
        <w:rPr>
          <w:rFonts w:asciiTheme="minorHAnsi" w:hAnsiTheme="minorHAnsi" w:cs="Arial"/>
          <w:bCs/>
          <w:snapToGrid w:val="0"/>
          <w:lang w:val="en-GB"/>
        </w:rPr>
        <w:t xml:space="preserve">-effective doses should be considered to be </w:t>
      </w:r>
      <w:proofErr w:type="spellStart"/>
      <w:r w:rsidRPr="00D114E8">
        <w:rPr>
          <w:rFonts w:asciiTheme="minorHAnsi" w:hAnsiTheme="minorHAnsi" w:cs="Arial"/>
          <w:bCs/>
          <w:snapToGrid w:val="0"/>
          <w:lang w:val="en-GB"/>
        </w:rPr>
        <w:t>aTIV</w:t>
      </w:r>
      <w:proofErr w:type="spellEnd"/>
      <w:r w:rsidRPr="00D114E8">
        <w:rPr>
          <w:rFonts w:asciiTheme="minorHAnsi" w:hAnsiTheme="minorHAnsi" w:cs="Arial"/>
          <w:bCs/>
          <w:snapToGrid w:val="0"/>
          <w:lang w:val="en-GB"/>
        </w:rPr>
        <w:t xml:space="preserve"> 1 x 15 </w:t>
      </w:r>
      <w:proofErr w:type="spellStart"/>
      <w:r w:rsidRPr="00D114E8">
        <w:rPr>
          <w:rFonts w:asciiTheme="minorHAnsi" w:hAnsiTheme="minorHAnsi" w:cs="Arial"/>
          <w:bCs/>
          <w:snapToGrid w:val="0"/>
          <w:lang w:val="en-GB"/>
        </w:rPr>
        <w:t>μg</w:t>
      </w:r>
      <w:proofErr w:type="spellEnd"/>
      <w:r w:rsidRPr="00D114E8">
        <w:rPr>
          <w:rFonts w:asciiTheme="minorHAnsi" w:hAnsiTheme="minorHAnsi" w:cs="Arial"/>
          <w:bCs/>
          <w:snapToGrid w:val="0"/>
          <w:lang w:val="en-GB"/>
        </w:rPr>
        <w:t xml:space="preserve"> </w:t>
      </w:r>
      <w:proofErr w:type="gramStart"/>
      <w:r w:rsidRPr="00D114E8">
        <w:rPr>
          <w:rFonts w:asciiTheme="minorHAnsi" w:hAnsiTheme="minorHAnsi" w:cs="Arial"/>
          <w:bCs/>
          <w:snapToGrid w:val="0"/>
          <w:lang w:val="en-GB"/>
        </w:rPr>
        <w:t>dose</w:t>
      </w:r>
      <w:proofErr w:type="gramEnd"/>
      <w:r w:rsidRPr="00D114E8">
        <w:rPr>
          <w:rFonts w:asciiTheme="minorHAnsi" w:hAnsiTheme="minorHAnsi" w:cs="Arial"/>
          <w:bCs/>
          <w:snapToGrid w:val="0"/>
          <w:lang w:val="en-GB"/>
        </w:rPr>
        <w:t xml:space="preserve"> to QIV 1 dose.</w:t>
      </w:r>
    </w:p>
    <w:p w:rsidR="00D114E8" w:rsidRPr="00D114E8" w:rsidRDefault="00D114E8" w:rsidP="00D114E8">
      <w:pPr>
        <w:pStyle w:val="ListParagraph"/>
        <w:widowControl/>
        <w:numPr>
          <w:ilvl w:val="1"/>
          <w:numId w:val="5"/>
        </w:numPr>
        <w:spacing w:after="120"/>
        <w:rPr>
          <w:rFonts w:asciiTheme="minorHAnsi" w:hAnsiTheme="minorHAnsi" w:cstheme="minorHAnsi"/>
          <w:sz w:val="24"/>
          <w:szCs w:val="24"/>
        </w:rPr>
      </w:pPr>
      <w:r w:rsidRPr="00D114E8">
        <w:rPr>
          <w:rFonts w:asciiTheme="minorHAnsi" w:hAnsiTheme="minorHAnsi" w:cstheme="minorHAnsi"/>
          <w:sz w:val="24"/>
          <w:szCs w:val="24"/>
        </w:rPr>
        <w:t xml:space="preserve">The PBAC further noted that: </w:t>
      </w:r>
    </w:p>
    <w:p w:rsidR="00D114E8" w:rsidRPr="00D114E8" w:rsidRDefault="00D114E8" w:rsidP="00D114E8">
      <w:pPr>
        <w:pStyle w:val="ListParagraph"/>
        <w:widowControl/>
        <w:numPr>
          <w:ilvl w:val="2"/>
          <w:numId w:val="5"/>
        </w:numPr>
        <w:spacing w:after="120"/>
        <w:ind w:left="1418"/>
        <w:rPr>
          <w:rFonts w:asciiTheme="minorHAnsi" w:hAnsiTheme="minorHAnsi" w:cstheme="minorHAnsi"/>
          <w:sz w:val="24"/>
          <w:szCs w:val="24"/>
        </w:rPr>
      </w:pPr>
      <w:proofErr w:type="gramStart"/>
      <w:r w:rsidRPr="00D114E8">
        <w:rPr>
          <w:rFonts w:asciiTheme="minorHAnsi" w:hAnsiTheme="minorHAnsi" w:cstheme="minorHAnsi"/>
          <w:sz w:val="24"/>
          <w:szCs w:val="24"/>
        </w:rPr>
        <w:t>in</w:t>
      </w:r>
      <w:proofErr w:type="gramEnd"/>
      <w:r w:rsidRPr="00D114E8">
        <w:rPr>
          <w:rFonts w:asciiTheme="minorHAnsi" w:hAnsiTheme="minorHAnsi" w:cstheme="minorHAnsi"/>
          <w:sz w:val="24"/>
          <w:szCs w:val="24"/>
        </w:rPr>
        <w:t xml:space="preserve"> progressing listing on the NIP, the Office of Health Protection would need to consider a number of issues raised by ATAGI around logistics associated with the introduction of an additional vaccine, program evaluation, education and communication with health care providers and post-market surveillance measures.</w:t>
      </w:r>
    </w:p>
    <w:p w:rsidR="00D114E8" w:rsidRPr="00D114E8" w:rsidRDefault="00D114E8" w:rsidP="00D114E8">
      <w:pPr>
        <w:pStyle w:val="ListParagraph"/>
        <w:widowControl/>
        <w:numPr>
          <w:ilvl w:val="2"/>
          <w:numId w:val="5"/>
        </w:numPr>
        <w:spacing w:after="120"/>
        <w:ind w:left="1418"/>
        <w:rPr>
          <w:rFonts w:asciiTheme="minorHAnsi" w:hAnsiTheme="minorHAnsi" w:cstheme="minorHAnsi"/>
          <w:sz w:val="24"/>
          <w:szCs w:val="24"/>
        </w:rPr>
      </w:pPr>
      <w:proofErr w:type="spellStart"/>
      <w:proofErr w:type="gramStart"/>
      <w:r w:rsidRPr="00D114E8">
        <w:rPr>
          <w:rFonts w:asciiTheme="minorHAnsi" w:hAnsiTheme="minorHAnsi" w:cstheme="minorHAnsi"/>
          <w:sz w:val="24"/>
          <w:szCs w:val="24"/>
        </w:rPr>
        <w:t>aTIV</w:t>
      </w:r>
      <w:proofErr w:type="spellEnd"/>
      <w:proofErr w:type="gramEnd"/>
      <w:r w:rsidRPr="00D114E8">
        <w:rPr>
          <w:rFonts w:asciiTheme="minorHAnsi" w:hAnsiTheme="minorHAnsi" w:cstheme="minorHAnsi"/>
          <w:sz w:val="24"/>
          <w:szCs w:val="24"/>
        </w:rPr>
        <w:t xml:space="preserve"> was undergoing concurrent changes to its TGA registration, which would need to be finalised prior to it being made available through the NIP.</w:t>
      </w:r>
    </w:p>
    <w:p w:rsidR="00D114E8" w:rsidRPr="00D114E8" w:rsidRDefault="00D114E8" w:rsidP="00D114E8">
      <w:pPr>
        <w:widowControl w:val="0"/>
        <w:numPr>
          <w:ilvl w:val="1"/>
          <w:numId w:val="5"/>
        </w:numPr>
        <w:spacing w:before="120" w:after="120"/>
        <w:jc w:val="both"/>
        <w:rPr>
          <w:rFonts w:asciiTheme="minorHAnsi" w:hAnsiTheme="minorHAnsi" w:cstheme="minorHAnsi"/>
          <w:bCs/>
          <w:i/>
          <w:lang w:val="en-GB"/>
        </w:rPr>
      </w:pPr>
      <w:r w:rsidRPr="00D114E8">
        <w:rPr>
          <w:rFonts w:asciiTheme="minorHAnsi" w:hAnsiTheme="minorHAnsi" w:cstheme="minorHAnsi"/>
          <w:bCs/>
          <w:lang w:val="en-GB"/>
        </w:rPr>
        <w:lastRenderedPageBreak/>
        <w:t>The PBAC noted that this submission is not eligible for independent review as independent review is only relevant to PBS listing.</w:t>
      </w:r>
    </w:p>
    <w:p w:rsidR="00F20978" w:rsidRDefault="00F20978" w:rsidP="006552D5">
      <w:pPr>
        <w:rPr>
          <w:rFonts w:asciiTheme="minorHAnsi" w:hAnsiTheme="minorHAnsi"/>
          <w:sz w:val="22"/>
          <w:szCs w:val="22"/>
        </w:rPr>
      </w:pPr>
    </w:p>
    <w:p w:rsidR="00F20978" w:rsidRPr="008B0B28" w:rsidRDefault="00F20978" w:rsidP="00F20978">
      <w:pPr>
        <w:keepNext/>
        <w:jc w:val="both"/>
        <w:rPr>
          <w:rFonts w:asciiTheme="minorHAnsi" w:hAnsiTheme="minorHAnsi" w:cs="Arial"/>
          <w:b/>
          <w:bCs/>
          <w:snapToGrid w:val="0"/>
          <w:sz w:val="28"/>
          <w:szCs w:val="28"/>
        </w:rPr>
      </w:pPr>
      <w:r w:rsidRPr="008B0B28">
        <w:rPr>
          <w:rFonts w:asciiTheme="minorHAnsi" w:hAnsiTheme="minorHAnsi" w:cs="Arial"/>
          <w:b/>
          <w:bCs/>
          <w:snapToGrid w:val="0"/>
          <w:sz w:val="28"/>
          <w:szCs w:val="28"/>
        </w:rPr>
        <w:t>Outcome:</w:t>
      </w:r>
    </w:p>
    <w:p w:rsidR="00D114E8" w:rsidRDefault="00D114E8" w:rsidP="00D114E8">
      <w:pPr>
        <w:rPr>
          <w:rFonts w:asciiTheme="minorHAnsi" w:hAnsiTheme="minorHAnsi"/>
          <w:bCs/>
          <w:lang w:val="en-GB"/>
        </w:rPr>
      </w:pPr>
      <w:r>
        <w:rPr>
          <w:rFonts w:asciiTheme="minorHAnsi" w:hAnsiTheme="minorHAnsi"/>
          <w:bCs/>
          <w:lang w:val="en-GB"/>
        </w:rPr>
        <w:t>Recommended</w:t>
      </w:r>
    </w:p>
    <w:p w:rsidR="00582C73" w:rsidRDefault="00582C73" w:rsidP="00D114E8">
      <w:pPr>
        <w:rPr>
          <w:rFonts w:asciiTheme="minorHAnsi" w:hAnsiTheme="minorHAnsi"/>
          <w:bCs/>
          <w:lang w:val="en-GB"/>
        </w:rPr>
      </w:pPr>
    </w:p>
    <w:p w:rsidR="00070B49" w:rsidRPr="00070B49" w:rsidRDefault="00070B49" w:rsidP="00070B49">
      <w:pPr>
        <w:pStyle w:val="PBACHeading1"/>
        <w:rPr>
          <w:rFonts w:asciiTheme="minorHAnsi" w:eastAsiaTheme="minorHAnsi" w:hAnsiTheme="minorHAnsi" w:cstheme="minorBidi"/>
          <w:sz w:val="32"/>
        </w:rPr>
      </w:pPr>
      <w:r w:rsidRPr="00070B49">
        <w:rPr>
          <w:rFonts w:asciiTheme="minorHAnsi" w:eastAsiaTheme="minorHAnsi" w:hAnsiTheme="minorHAnsi" w:cstheme="minorBidi"/>
          <w:sz w:val="32"/>
        </w:rPr>
        <w:t>Context for Decision</w:t>
      </w:r>
    </w:p>
    <w:p w:rsidR="00070B49" w:rsidRPr="00070B49" w:rsidRDefault="00070B49" w:rsidP="00070B49">
      <w:pPr>
        <w:spacing w:line="276" w:lineRule="auto"/>
        <w:ind w:left="426"/>
        <w:jc w:val="both"/>
        <w:rPr>
          <w:rFonts w:asciiTheme="minorHAnsi" w:eastAsiaTheme="minorHAnsi" w:hAnsiTheme="minorHAnsi" w:cs="Arial"/>
          <w:szCs w:val="22"/>
          <w:lang w:eastAsia="en-US"/>
        </w:rPr>
      </w:pPr>
      <w:r w:rsidRPr="00070B49">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70B49" w:rsidRPr="00070B49" w:rsidRDefault="00070B49" w:rsidP="00070B49">
      <w:pPr>
        <w:spacing w:after="200" w:line="276" w:lineRule="auto"/>
        <w:ind w:left="426"/>
        <w:jc w:val="both"/>
        <w:rPr>
          <w:rFonts w:ascii="Arial" w:eastAsiaTheme="minorHAnsi" w:hAnsi="Arial" w:cs="Arial"/>
          <w:sz w:val="22"/>
          <w:szCs w:val="22"/>
          <w:lang w:eastAsia="en-US"/>
        </w:rPr>
      </w:pPr>
    </w:p>
    <w:p w:rsidR="00070B49" w:rsidRPr="00070B49" w:rsidRDefault="00070B49" w:rsidP="00070B49">
      <w:pPr>
        <w:pStyle w:val="PBACHeading1"/>
        <w:rPr>
          <w:rFonts w:asciiTheme="minorHAnsi" w:eastAsiaTheme="minorHAnsi" w:hAnsiTheme="minorHAnsi" w:cstheme="minorBidi"/>
          <w:sz w:val="32"/>
        </w:rPr>
      </w:pPr>
      <w:r w:rsidRPr="00070B49">
        <w:rPr>
          <w:rFonts w:asciiTheme="minorHAnsi" w:eastAsiaTheme="minorHAnsi" w:hAnsiTheme="minorHAnsi" w:cstheme="minorBidi"/>
          <w:sz w:val="32"/>
        </w:rPr>
        <w:t>Sponsor’s Comment</w:t>
      </w:r>
    </w:p>
    <w:p w:rsidR="00070B49" w:rsidRPr="00070B49" w:rsidRDefault="00070B49" w:rsidP="00070B49">
      <w:pPr>
        <w:spacing w:after="120" w:line="276" w:lineRule="auto"/>
        <w:ind w:left="426"/>
        <w:jc w:val="both"/>
        <w:rPr>
          <w:rFonts w:asciiTheme="minorHAnsi" w:eastAsiaTheme="minorHAnsi" w:hAnsiTheme="minorHAnsi" w:cs="Arial"/>
          <w:bCs/>
          <w:szCs w:val="22"/>
          <w:lang w:eastAsia="en-US"/>
        </w:rPr>
      </w:pPr>
      <w:r w:rsidRPr="00070B49">
        <w:rPr>
          <w:rFonts w:asciiTheme="minorHAnsi" w:eastAsiaTheme="minorHAnsi" w:hAnsiTheme="minorHAnsi" w:cs="Arial"/>
          <w:bCs/>
          <w:szCs w:val="22"/>
          <w:lang w:eastAsia="en-US"/>
        </w:rPr>
        <w:t>The sponsor had no comment.</w:t>
      </w:r>
    </w:p>
    <w:p w:rsidR="0060771A" w:rsidRPr="0071340B" w:rsidRDefault="0060771A" w:rsidP="00F20978">
      <w:pPr>
        <w:rPr>
          <w:rFonts w:asciiTheme="minorHAnsi" w:hAnsiTheme="minorHAnsi"/>
          <w:sz w:val="22"/>
          <w:szCs w:val="22"/>
        </w:rPr>
      </w:pPr>
    </w:p>
    <w:sectPr w:rsidR="0060771A" w:rsidRPr="0071340B"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53" w:rsidRDefault="00FD1553">
      <w:r>
        <w:separator/>
      </w:r>
    </w:p>
    <w:p w:rsidR="00FD1553" w:rsidRDefault="00FD1553"/>
  </w:endnote>
  <w:endnote w:type="continuationSeparator" w:id="0">
    <w:p w:rsidR="00FD1553" w:rsidRDefault="00FD1553">
      <w:r>
        <w:continuationSeparator/>
      </w:r>
    </w:p>
    <w:p w:rsidR="00FD1553" w:rsidRDefault="00FD1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7AAB" w:rsidTr="005A3173">
      <w:trPr>
        <w:trHeight w:val="151"/>
      </w:trPr>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7AAB" w:rsidRPr="005A3173" w:rsidRDefault="00EE7A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r>
    <w:tr w:rsidR="00EE7AAB" w:rsidTr="005A3173">
      <w:trPr>
        <w:trHeight w:val="150"/>
      </w:trPr>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0" w:type="auto"/>
          <w:vMerge/>
          <w:vAlign w:val="center"/>
          <w:hideMark/>
        </w:tcPr>
        <w:p w:rsidR="00EE7AAB" w:rsidRPr="005A3173" w:rsidRDefault="00EE7A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r>
  </w:tbl>
  <w:p w:rsidR="00EE7AAB" w:rsidRDefault="00EE7AA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7AAB" w:rsidRDefault="00EE7AAB">
    <w:pPr>
      <w:pStyle w:val="Footer"/>
    </w:pPr>
  </w:p>
  <w:p w:rsidR="00EE7AAB" w:rsidRDefault="00EE7A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2476"/>
      <w:docPartObj>
        <w:docPartGallery w:val="Page Numbers (Bottom of Page)"/>
        <w:docPartUnique/>
      </w:docPartObj>
    </w:sdtPr>
    <w:sdtEndPr>
      <w:rPr>
        <w:rFonts w:asciiTheme="minorHAnsi" w:hAnsiTheme="minorHAnsi"/>
        <w:b/>
        <w:noProof/>
      </w:rPr>
    </w:sdtEndPr>
    <w:sdtContent>
      <w:p w:rsidR="00F20978" w:rsidRPr="005E2047" w:rsidRDefault="00F20978">
        <w:pPr>
          <w:pStyle w:val="Footer"/>
          <w:jc w:val="center"/>
          <w:rPr>
            <w:rFonts w:asciiTheme="minorHAnsi" w:hAnsiTheme="minorHAnsi"/>
            <w:b/>
          </w:rPr>
        </w:pPr>
        <w:r w:rsidRPr="005E2047">
          <w:rPr>
            <w:rFonts w:asciiTheme="minorHAnsi" w:hAnsiTheme="minorHAnsi"/>
            <w:b/>
          </w:rPr>
          <w:fldChar w:fldCharType="begin"/>
        </w:r>
        <w:r w:rsidRPr="005E2047">
          <w:rPr>
            <w:rFonts w:asciiTheme="minorHAnsi" w:hAnsiTheme="minorHAnsi"/>
            <w:b/>
          </w:rPr>
          <w:instrText xml:space="preserve"> PAGE   \* MERGEFORMAT </w:instrText>
        </w:r>
        <w:r w:rsidRPr="005E2047">
          <w:rPr>
            <w:rFonts w:asciiTheme="minorHAnsi" w:hAnsiTheme="minorHAnsi"/>
            <w:b/>
          </w:rPr>
          <w:fldChar w:fldCharType="separate"/>
        </w:r>
        <w:r w:rsidR="005E2047">
          <w:rPr>
            <w:rFonts w:asciiTheme="minorHAnsi" w:hAnsiTheme="minorHAnsi"/>
            <w:b/>
            <w:noProof/>
          </w:rPr>
          <w:t>1</w:t>
        </w:r>
        <w:r w:rsidRPr="005E2047">
          <w:rPr>
            <w:rFonts w:asciiTheme="minorHAnsi" w:hAnsiTheme="minorHAnsi"/>
            <w:b/>
            <w:noProof/>
          </w:rPr>
          <w:fldChar w:fldCharType="end"/>
        </w:r>
      </w:p>
    </w:sdtContent>
  </w:sdt>
  <w:p w:rsidR="00EE7AAB" w:rsidRPr="005E1333" w:rsidRDefault="00EE7AAB"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E7AAB" w:rsidTr="005A3173">
      <w:trPr>
        <w:trHeight w:val="151"/>
      </w:trPr>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7AAB" w:rsidRPr="005A3173" w:rsidRDefault="00EE7A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r>
    <w:tr w:rsidR="00EE7AAB" w:rsidTr="005A3173">
      <w:trPr>
        <w:trHeight w:val="150"/>
      </w:trPr>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0" w:type="auto"/>
          <w:vMerge/>
          <w:vAlign w:val="center"/>
          <w:hideMark/>
        </w:tcPr>
        <w:p w:rsidR="00EE7AAB" w:rsidRPr="005A3173" w:rsidRDefault="00EE7A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7AAB" w:rsidTr="005A3173">
      <w:trPr>
        <w:trHeight w:val="151"/>
      </w:trPr>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7AAB" w:rsidRPr="005A3173" w:rsidRDefault="00EE7A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7AAB" w:rsidRPr="005A3173" w:rsidRDefault="00EE7AAB" w:rsidP="005A3173">
          <w:pPr>
            <w:pStyle w:val="Header"/>
            <w:spacing w:line="276" w:lineRule="auto"/>
            <w:rPr>
              <w:rFonts w:ascii="Calibri" w:eastAsia="MS Gothic" w:hAnsi="Calibri"/>
              <w:b/>
              <w:bCs/>
              <w:color w:val="4F81BD"/>
            </w:rPr>
          </w:pPr>
        </w:p>
      </w:tc>
    </w:tr>
    <w:tr w:rsidR="00EE7AAB" w:rsidTr="005A3173">
      <w:trPr>
        <w:trHeight w:val="150"/>
      </w:trPr>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c>
        <w:tcPr>
          <w:tcW w:w="0" w:type="auto"/>
          <w:vMerge/>
          <w:vAlign w:val="center"/>
          <w:hideMark/>
        </w:tcPr>
        <w:p w:rsidR="00EE7AAB" w:rsidRPr="005A3173" w:rsidRDefault="00EE7A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7AAB" w:rsidRPr="005A3173" w:rsidRDefault="00EE7AAB" w:rsidP="005A3173">
          <w:pPr>
            <w:pStyle w:val="Header"/>
            <w:spacing w:line="276" w:lineRule="auto"/>
            <w:rPr>
              <w:rFonts w:ascii="Calibri" w:eastAsia="MS Gothic" w:hAnsi="Calibri"/>
              <w:b/>
              <w:bCs/>
              <w:color w:val="4F81BD"/>
            </w:rPr>
          </w:pPr>
        </w:p>
      </w:tc>
    </w:tr>
  </w:tbl>
  <w:p w:rsidR="00EE7AAB" w:rsidRPr="007C0F57" w:rsidRDefault="00EE7AA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E7AAB" w:rsidRPr="007C0F57" w:rsidRDefault="00EE7AAB" w:rsidP="007C0F57">
    <w:pPr>
      <w:pStyle w:val="Footer"/>
      <w:jc w:val="center"/>
      <w:rPr>
        <w:b/>
        <w:i/>
        <w:sz w:val="20"/>
        <w:szCs w:val="20"/>
      </w:rPr>
    </w:pPr>
    <w:r w:rsidRPr="007C0F57">
      <w:rPr>
        <w:b/>
        <w:i/>
        <w:sz w:val="20"/>
        <w:szCs w:val="20"/>
      </w:rPr>
      <w:t>Commercial-in-Confidence</w:t>
    </w:r>
  </w:p>
  <w:p w:rsidR="00EE7AAB" w:rsidRDefault="00EE7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53" w:rsidRDefault="00FD1553">
      <w:r>
        <w:separator/>
      </w:r>
    </w:p>
    <w:p w:rsidR="00FD1553" w:rsidRDefault="00FD1553"/>
  </w:footnote>
  <w:footnote w:type="continuationSeparator" w:id="0">
    <w:p w:rsidR="00FD1553" w:rsidRDefault="00FD1553">
      <w:r>
        <w:continuationSeparator/>
      </w:r>
    </w:p>
    <w:p w:rsidR="00FD1553" w:rsidRDefault="00FD15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E7AAB" w:rsidRPr="008E0D90" w:rsidTr="00A06225">
      <w:trPr>
        <w:trHeight w:val="151"/>
      </w:trPr>
      <w:tc>
        <w:tcPr>
          <w:tcW w:w="2389" w:type="pct"/>
          <w:tcBorders>
            <w:top w:val="nil"/>
            <w:left w:val="nil"/>
            <w:bottom w:val="single" w:sz="4" w:space="0" w:color="4F81BD"/>
            <w:right w:val="nil"/>
          </w:tcBorders>
        </w:tcPr>
        <w:p w:rsidR="00EE7AAB" w:rsidRPr="00A06225" w:rsidRDefault="00EE7AAB">
          <w:pPr>
            <w:pStyle w:val="Header"/>
            <w:spacing w:line="276" w:lineRule="auto"/>
            <w:rPr>
              <w:rFonts w:ascii="Cambria" w:eastAsia="MS Gothic" w:hAnsi="Cambria"/>
              <w:b/>
              <w:bCs/>
              <w:color w:val="4F81BD"/>
            </w:rPr>
          </w:pPr>
        </w:p>
      </w:tc>
      <w:tc>
        <w:tcPr>
          <w:tcW w:w="333" w:type="pct"/>
          <w:vMerge w:val="restart"/>
          <w:noWrap/>
          <w:vAlign w:val="center"/>
          <w:hideMark/>
        </w:tcPr>
        <w:p w:rsidR="00EE7AAB" w:rsidRPr="00A06225" w:rsidRDefault="00EE7AA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E7AAB" w:rsidRPr="00A06225" w:rsidRDefault="00EE7AAB">
          <w:pPr>
            <w:pStyle w:val="Header"/>
            <w:spacing w:line="276" w:lineRule="auto"/>
            <w:rPr>
              <w:rFonts w:ascii="Cambria" w:eastAsia="MS Gothic" w:hAnsi="Cambria"/>
              <w:b/>
              <w:bCs/>
              <w:color w:val="4F81BD"/>
            </w:rPr>
          </w:pPr>
        </w:p>
      </w:tc>
    </w:tr>
    <w:tr w:rsidR="00EE7AAB" w:rsidRPr="008E0D90" w:rsidTr="00A06225">
      <w:trPr>
        <w:trHeight w:val="150"/>
      </w:trPr>
      <w:tc>
        <w:tcPr>
          <w:tcW w:w="2389" w:type="pct"/>
          <w:tcBorders>
            <w:top w:val="single" w:sz="4" w:space="0" w:color="4F81BD"/>
            <w:left w:val="nil"/>
            <w:bottom w:val="nil"/>
            <w:right w:val="nil"/>
          </w:tcBorders>
        </w:tcPr>
        <w:p w:rsidR="00EE7AAB" w:rsidRPr="00A06225" w:rsidRDefault="00EE7AAB">
          <w:pPr>
            <w:pStyle w:val="Header"/>
            <w:spacing w:line="276" w:lineRule="auto"/>
            <w:rPr>
              <w:rFonts w:ascii="Cambria" w:eastAsia="MS Gothic" w:hAnsi="Cambria"/>
              <w:b/>
              <w:bCs/>
              <w:color w:val="4F81BD"/>
            </w:rPr>
          </w:pPr>
        </w:p>
      </w:tc>
      <w:tc>
        <w:tcPr>
          <w:tcW w:w="0" w:type="auto"/>
          <w:vMerge/>
          <w:vAlign w:val="center"/>
          <w:hideMark/>
        </w:tcPr>
        <w:p w:rsidR="00EE7AAB" w:rsidRPr="00A06225" w:rsidRDefault="00EE7AAB">
          <w:pPr>
            <w:rPr>
              <w:rFonts w:ascii="Cambria" w:hAnsi="Cambria"/>
              <w:color w:val="4F81BD"/>
              <w:sz w:val="22"/>
              <w:szCs w:val="22"/>
            </w:rPr>
          </w:pPr>
        </w:p>
      </w:tc>
      <w:tc>
        <w:tcPr>
          <w:tcW w:w="2278" w:type="pct"/>
          <w:tcBorders>
            <w:top w:val="single" w:sz="4" w:space="0" w:color="4F81BD"/>
            <w:left w:val="nil"/>
            <w:bottom w:val="nil"/>
            <w:right w:val="nil"/>
          </w:tcBorders>
        </w:tcPr>
        <w:p w:rsidR="00EE7AAB" w:rsidRPr="00A06225" w:rsidRDefault="00EE7AAB">
          <w:pPr>
            <w:pStyle w:val="Header"/>
            <w:spacing w:line="276" w:lineRule="auto"/>
            <w:rPr>
              <w:rFonts w:ascii="Cambria" w:eastAsia="MS Gothic" w:hAnsi="Cambria"/>
              <w:b/>
              <w:bCs/>
              <w:color w:val="4F81BD"/>
            </w:rPr>
          </w:pPr>
        </w:p>
      </w:tc>
    </w:tr>
  </w:tbl>
  <w:p w:rsidR="00EE7AAB" w:rsidRDefault="00EE7AAB">
    <w:pPr>
      <w:pStyle w:val="Header"/>
    </w:pPr>
  </w:p>
  <w:p w:rsidR="00EE7AAB" w:rsidRDefault="00EE7A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978" w:rsidRPr="00B755E9" w:rsidRDefault="00070B49" w:rsidP="00F20978">
    <w:pPr>
      <w:pStyle w:val="Header"/>
      <w:jc w:val="center"/>
      <w:rPr>
        <w:rFonts w:asciiTheme="minorHAnsi" w:hAnsiTheme="minorHAnsi" w:cs="Arial"/>
        <w:i/>
      </w:rPr>
    </w:pPr>
    <w:r>
      <w:rPr>
        <w:rFonts w:asciiTheme="minorHAnsi" w:hAnsiTheme="minorHAnsi" w:cs="Arial"/>
        <w:i/>
      </w:rPr>
      <w:t xml:space="preserve">Public Summary Document </w:t>
    </w:r>
    <w:r w:rsidR="00F20978" w:rsidRPr="00B755E9">
      <w:rPr>
        <w:rFonts w:asciiTheme="minorHAnsi" w:hAnsiTheme="minorHAnsi" w:cs="Arial"/>
        <w:i/>
      </w:rPr>
      <w:t xml:space="preserve">– </w:t>
    </w:r>
    <w:r>
      <w:rPr>
        <w:rFonts w:asciiTheme="minorHAnsi" w:hAnsiTheme="minorHAnsi" w:cs="Arial"/>
        <w:i/>
      </w:rPr>
      <w:t>March</w:t>
    </w:r>
    <w:r w:rsidR="00F20978">
      <w:rPr>
        <w:rFonts w:asciiTheme="minorHAnsi" w:hAnsiTheme="minorHAnsi" w:cs="Arial"/>
        <w:i/>
      </w:rPr>
      <w:t xml:space="preserve"> 2018</w:t>
    </w:r>
    <w:r w:rsidR="00F20978" w:rsidRPr="00B755E9">
      <w:rPr>
        <w:rFonts w:asciiTheme="minorHAnsi" w:hAnsiTheme="minorHAnsi" w:cs="Arial"/>
        <w:i/>
      </w:rPr>
      <w:t xml:space="preserve"> PBAC Meeting</w:t>
    </w:r>
  </w:p>
  <w:p w:rsidR="00EE7AAB" w:rsidRDefault="00EE7AAB"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E9A7562"/>
    <w:multiLevelType w:val="hybridMultilevel"/>
    <w:tmpl w:val="1FCC4422"/>
    <w:lvl w:ilvl="0" w:tplc="FBAA53EC">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317E6951"/>
    <w:multiLevelType w:val="hybridMultilevel"/>
    <w:tmpl w:val="10389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6B348F2"/>
    <w:multiLevelType w:val="singleLevel"/>
    <w:tmpl w:val="F8187DD2"/>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5">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tentative="1">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16">
    <w:nsid w:val="673407C8"/>
    <w:multiLevelType w:val="hybridMultilevel"/>
    <w:tmpl w:val="E5DCA876"/>
    <w:lvl w:ilvl="0" w:tplc="382EB15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91051DA"/>
    <w:multiLevelType w:val="hybridMultilevel"/>
    <w:tmpl w:val="4BAA377A"/>
    <w:lvl w:ilvl="0" w:tplc="EEAE08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5D622A"/>
    <w:multiLevelType w:val="multilevel"/>
    <w:tmpl w:val="7B20F3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84D033C"/>
    <w:multiLevelType w:val="multilevel"/>
    <w:tmpl w:val="475863B6"/>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9"/>
  </w:num>
  <w:num w:numId="6">
    <w:abstractNumId w:val="5"/>
  </w:num>
  <w:num w:numId="7">
    <w:abstractNumId w:val="11"/>
  </w:num>
  <w:num w:numId="8">
    <w:abstractNumId w:val="3"/>
  </w:num>
  <w:num w:numId="9">
    <w:abstractNumId w:val="10"/>
  </w:num>
  <w:num w:numId="10">
    <w:abstractNumId w:val="9"/>
  </w:num>
  <w:num w:numId="11">
    <w:abstractNumId w:val="7"/>
  </w:num>
  <w:num w:numId="12">
    <w:abstractNumId w:val="1"/>
  </w:num>
  <w:num w:numId="13">
    <w:abstractNumId w:val="0"/>
  </w:num>
  <w:num w:numId="14">
    <w:abstractNumId w:val="19"/>
  </w:num>
  <w:num w:numId="15">
    <w:abstractNumId w:val="14"/>
  </w:num>
  <w:num w:numId="16">
    <w:abstractNumId w:val="15"/>
  </w:num>
  <w:num w:numId="17">
    <w:abstractNumId w:val="18"/>
  </w:num>
  <w:num w:numId="18">
    <w:abstractNumId w:val="8"/>
  </w:num>
  <w:num w:numId="19">
    <w:abstractNumId w:val="17"/>
  </w:num>
  <w:num w:numId="20">
    <w:abstractNumId w:val="13"/>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6"/>
  </w:num>
  <w:num w:numId="29">
    <w:abstractNumId w:val="19"/>
  </w:num>
  <w:num w:numId="30">
    <w:abstractNumId w:val="19"/>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67D89"/>
    <w:rsid w:val="00070B49"/>
    <w:rsid w:val="00077143"/>
    <w:rsid w:val="00082169"/>
    <w:rsid w:val="00094251"/>
    <w:rsid w:val="000969AD"/>
    <w:rsid w:val="000B45FA"/>
    <w:rsid w:val="000B558D"/>
    <w:rsid w:val="000C6996"/>
    <w:rsid w:val="000D23BA"/>
    <w:rsid w:val="000D712C"/>
    <w:rsid w:val="000E681E"/>
    <w:rsid w:val="000F0003"/>
    <w:rsid w:val="000F4E6A"/>
    <w:rsid w:val="00104227"/>
    <w:rsid w:val="001107BF"/>
    <w:rsid w:val="00114B7D"/>
    <w:rsid w:val="0012417C"/>
    <w:rsid w:val="00126D1D"/>
    <w:rsid w:val="00132A25"/>
    <w:rsid w:val="00142395"/>
    <w:rsid w:val="00142714"/>
    <w:rsid w:val="001452ED"/>
    <w:rsid w:val="001507E2"/>
    <w:rsid w:val="00162F37"/>
    <w:rsid w:val="00163329"/>
    <w:rsid w:val="00164623"/>
    <w:rsid w:val="00165B64"/>
    <w:rsid w:val="001830CE"/>
    <w:rsid w:val="0018643B"/>
    <w:rsid w:val="0018779B"/>
    <w:rsid w:val="00196307"/>
    <w:rsid w:val="001A33EA"/>
    <w:rsid w:val="001B017F"/>
    <w:rsid w:val="001B2338"/>
    <w:rsid w:val="001B2BBC"/>
    <w:rsid w:val="001B5129"/>
    <w:rsid w:val="001C1195"/>
    <w:rsid w:val="001F1850"/>
    <w:rsid w:val="00203FAC"/>
    <w:rsid w:val="00205715"/>
    <w:rsid w:val="00213CFB"/>
    <w:rsid w:val="00217BE1"/>
    <w:rsid w:val="002345BA"/>
    <w:rsid w:val="00242595"/>
    <w:rsid w:val="00271BA1"/>
    <w:rsid w:val="002762FA"/>
    <w:rsid w:val="00277505"/>
    <w:rsid w:val="0029458F"/>
    <w:rsid w:val="002A104C"/>
    <w:rsid w:val="002A4960"/>
    <w:rsid w:val="002B1AE6"/>
    <w:rsid w:val="002B2DE8"/>
    <w:rsid w:val="002B30F8"/>
    <w:rsid w:val="002B5596"/>
    <w:rsid w:val="002C212F"/>
    <w:rsid w:val="002C6209"/>
    <w:rsid w:val="002D2DFF"/>
    <w:rsid w:val="002D4543"/>
    <w:rsid w:val="002E3153"/>
    <w:rsid w:val="002E72CA"/>
    <w:rsid w:val="00300AD6"/>
    <w:rsid w:val="00304D80"/>
    <w:rsid w:val="00317C6C"/>
    <w:rsid w:val="00326E79"/>
    <w:rsid w:val="0033518A"/>
    <w:rsid w:val="003367EF"/>
    <w:rsid w:val="00337078"/>
    <w:rsid w:val="00341AE4"/>
    <w:rsid w:val="003869C2"/>
    <w:rsid w:val="003872CF"/>
    <w:rsid w:val="003972C4"/>
    <w:rsid w:val="0039782C"/>
    <w:rsid w:val="003A5B4A"/>
    <w:rsid w:val="003B23C5"/>
    <w:rsid w:val="003B2A75"/>
    <w:rsid w:val="003B6124"/>
    <w:rsid w:val="003B6C25"/>
    <w:rsid w:val="003C0538"/>
    <w:rsid w:val="003C2FB5"/>
    <w:rsid w:val="003D4AC4"/>
    <w:rsid w:val="003D63B7"/>
    <w:rsid w:val="003E468B"/>
    <w:rsid w:val="003F3228"/>
    <w:rsid w:val="003F5C8C"/>
    <w:rsid w:val="004252EC"/>
    <w:rsid w:val="00441ADA"/>
    <w:rsid w:val="004465BD"/>
    <w:rsid w:val="00466ADA"/>
    <w:rsid w:val="00476245"/>
    <w:rsid w:val="00483035"/>
    <w:rsid w:val="0048346F"/>
    <w:rsid w:val="00485940"/>
    <w:rsid w:val="0049264D"/>
    <w:rsid w:val="00494A8D"/>
    <w:rsid w:val="004A2484"/>
    <w:rsid w:val="004A5A85"/>
    <w:rsid w:val="004A71D1"/>
    <w:rsid w:val="004B5640"/>
    <w:rsid w:val="004C1BD7"/>
    <w:rsid w:val="004C31FE"/>
    <w:rsid w:val="004C691D"/>
    <w:rsid w:val="004C6C07"/>
    <w:rsid w:val="004D28BB"/>
    <w:rsid w:val="004D2A5E"/>
    <w:rsid w:val="004E692D"/>
    <w:rsid w:val="00501554"/>
    <w:rsid w:val="00514CD7"/>
    <w:rsid w:val="005319B2"/>
    <w:rsid w:val="00532402"/>
    <w:rsid w:val="00532C74"/>
    <w:rsid w:val="00534E2E"/>
    <w:rsid w:val="005429C4"/>
    <w:rsid w:val="00544552"/>
    <w:rsid w:val="00556EB2"/>
    <w:rsid w:val="00564E3D"/>
    <w:rsid w:val="00577C4D"/>
    <w:rsid w:val="00581932"/>
    <w:rsid w:val="00582C73"/>
    <w:rsid w:val="005963BB"/>
    <w:rsid w:val="005A3173"/>
    <w:rsid w:val="005A3223"/>
    <w:rsid w:val="005A34F9"/>
    <w:rsid w:val="005A3DA3"/>
    <w:rsid w:val="005A52C4"/>
    <w:rsid w:val="005B10F9"/>
    <w:rsid w:val="005B274C"/>
    <w:rsid w:val="005C1D80"/>
    <w:rsid w:val="005D03AB"/>
    <w:rsid w:val="005D5017"/>
    <w:rsid w:val="005E1333"/>
    <w:rsid w:val="005E2047"/>
    <w:rsid w:val="005E66D0"/>
    <w:rsid w:val="005E7A7F"/>
    <w:rsid w:val="005F6F16"/>
    <w:rsid w:val="00601A91"/>
    <w:rsid w:val="00602BA3"/>
    <w:rsid w:val="0060771A"/>
    <w:rsid w:val="00612E34"/>
    <w:rsid w:val="00614159"/>
    <w:rsid w:val="00617C00"/>
    <w:rsid w:val="00617E44"/>
    <w:rsid w:val="006263BF"/>
    <w:rsid w:val="0062748A"/>
    <w:rsid w:val="00630A2C"/>
    <w:rsid w:val="00635A82"/>
    <w:rsid w:val="0063682E"/>
    <w:rsid w:val="006436CD"/>
    <w:rsid w:val="00651169"/>
    <w:rsid w:val="00653D69"/>
    <w:rsid w:val="006552D5"/>
    <w:rsid w:val="006654AC"/>
    <w:rsid w:val="006670BE"/>
    <w:rsid w:val="00670A76"/>
    <w:rsid w:val="006711AA"/>
    <w:rsid w:val="00672443"/>
    <w:rsid w:val="00672B57"/>
    <w:rsid w:val="00675622"/>
    <w:rsid w:val="00681AC8"/>
    <w:rsid w:val="006906DB"/>
    <w:rsid w:val="00691E6C"/>
    <w:rsid w:val="00696129"/>
    <w:rsid w:val="00697CF2"/>
    <w:rsid w:val="006A12A5"/>
    <w:rsid w:val="006B0C3E"/>
    <w:rsid w:val="006B0D94"/>
    <w:rsid w:val="006B485D"/>
    <w:rsid w:val="006C0BB6"/>
    <w:rsid w:val="006C708E"/>
    <w:rsid w:val="006D6EC7"/>
    <w:rsid w:val="006D73EB"/>
    <w:rsid w:val="006F16CB"/>
    <w:rsid w:val="006F43B1"/>
    <w:rsid w:val="006F5125"/>
    <w:rsid w:val="00702B6F"/>
    <w:rsid w:val="00703BEC"/>
    <w:rsid w:val="0071340B"/>
    <w:rsid w:val="00714EA9"/>
    <w:rsid w:val="007174BB"/>
    <w:rsid w:val="0072025D"/>
    <w:rsid w:val="00731752"/>
    <w:rsid w:val="007353D3"/>
    <w:rsid w:val="00755F01"/>
    <w:rsid w:val="00763784"/>
    <w:rsid w:val="0076420C"/>
    <w:rsid w:val="00767604"/>
    <w:rsid w:val="00774CBF"/>
    <w:rsid w:val="007753C2"/>
    <w:rsid w:val="007811D6"/>
    <w:rsid w:val="007838B8"/>
    <w:rsid w:val="007A58A4"/>
    <w:rsid w:val="007B7AB1"/>
    <w:rsid w:val="007C0F57"/>
    <w:rsid w:val="007C40B6"/>
    <w:rsid w:val="007C729F"/>
    <w:rsid w:val="007D5FDA"/>
    <w:rsid w:val="007E1D28"/>
    <w:rsid w:val="007F2641"/>
    <w:rsid w:val="007F3F68"/>
    <w:rsid w:val="007F7443"/>
    <w:rsid w:val="007F7C36"/>
    <w:rsid w:val="00806796"/>
    <w:rsid w:val="008151D6"/>
    <w:rsid w:val="00824D1A"/>
    <w:rsid w:val="00826F6D"/>
    <w:rsid w:val="008306F3"/>
    <w:rsid w:val="0083156D"/>
    <w:rsid w:val="00843C2C"/>
    <w:rsid w:val="00856DDD"/>
    <w:rsid w:val="00863E68"/>
    <w:rsid w:val="00876C87"/>
    <w:rsid w:val="00881A59"/>
    <w:rsid w:val="00882085"/>
    <w:rsid w:val="00883188"/>
    <w:rsid w:val="00890026"/>
    <w:rsid w:val="00897D58"/>
    <w:rsid w:val="00897F22"/>
    <w:rsid w:val="008A1956"/>
    <w:rsid w:val="008A4937"/>
    <w:rsid w:val="008A50F1"/>
    <w:rsid w:val="008B3F93"/>
    <w:rsid w:val="008D1B5C"/>
    <w:rsid w:val="008D3C82"/>
    <w:rsid w:val="008D447E"/>
    <w:rsid w:val="008D7A41"/>
    <w:rsid w:val="008E3680"/>
    <w:rsid w:val="008E5870"/>
    <w:rsid w:val="008E6E4D"/>
    <w:rsid w:val="008E7DA0"/>
    <w:rsid w:val="008F1434"/>
    <w:rsid w:val="008F7355"/>
    <w:rsid w:val="008F7878"/>
    <w:rsid w:val="00904EA8"/>
    <w:rsid w:val="009067B7"/>
    <w:rsid w:val="00907B0C"/>
    <w:rsid w:val="00907D49"/>
    <w:rsid w:val="009159D6"/>
    <w:rsid w:val="00930937"/>
    <w:rsid w:val="00933E6C"/>
    <w:rsid w:val="00937958"/>
    <w:rsid w:val="00942160"/>
    <w:rsid w:val="009426DA"/>
    <w:rsid w:val="0095146F"/>
    <w:rsid w:val="00952FD4"/>
    <w:rsid w:val="009602C5"/>
    <w:rsid w:val="00962223"/>
    <w:rsid w:val="00966D0D"/>
    <w:rsid w:val="00974C21"/>
    <w:rsid w:val="0097650B"/>
    <w:rsid w:val="009769A7"/>
    <w:rsid w:val="00984FC5"/>
    <w:rsid w:val="00995065"/>
    <w:rsid w:val="009B0F67"/>
    <w:rsid w:val="009C703C"/>
    <w:rsid w:val="009D3CAA"/>
    <w:rsid w:val="009F3DFB"/>
    <w:rsid w:val="009F4E46"/>
    <w:rsid w:val="009F5B65"/>
    <w:rsid w:val="009F5CDE"/>
    <w:rsid w:val="009F5F2E"/>
    <w:rsid w:val="00A06225"/>
    <w:rsid w:val="00A128E6"/>
    <w:rsid w:val="00A34E6C"/>
    <w:rsid w:val="00A37C8D"/>
    <w:rsid w:val="00A5273B"/>
    <w:rsid w:val="00A536DC"/>
    <w:rsid w:val="00A53A9D"/>
    <w:rsid w:val="00A55FEE"/>
    <w:rsid w:val="00A57FE5"/>
    <w:rsid w:val="00A62C1A"/>
    <w:rsid w:val="00A6426D"/>
    <w:rsid w:val="00A665C1"/>
    <w:rsid w:val="00A70622"/>
    <w:rsid w:val="00A70977"/>
    <w:rsid w:val="00A713E3"/>
    <w:rsid w:val="00A73198"/>
    <w:rsid w:val="00A77613"/>
    <w:rsid w:val="00A8390C"/>
    <w:rsid w:val="00A9134C"/>
    <w:rsid w:val="00A928BD"/>
    <w:rsid w:val="00AA4D1C"/>
    <w:rsid w:val="00AC193C"/>
    <w:rsid w:val="00AC5206"/>
    <w:rsid w:val="00AD7A55"/>
    <w:rsid w:val="00AD7EDE"/>
    <w:rsid w:val="00AE11A5"/>
    <w:rsid w:val="00AE13E2"/>
    <w:rsid w:val="00AE22D3"/>
    <w:rsid w:val="00AF62DF"/>
    <w:rsid w:val="00AF68CC"/>
    <w:rsid w:val="00B1059E"/>
    <w:rsid w:val="00B176C8"/>
    <w:rsid w:val="00B205AA"/>
    <w:rsid w:val="00B22E84"/>
    <w:rsid w:val="00B25F75"/>
    <w:rsid w:val="00B26B3F"/>
    <w:rsid w:val="00B43E90"/>
    <w:rsid w:val="00B441C0"/>
    <w:rsid w:val="00B45DB1"/>
    <w:rsid w:val="00B467DC"/>
    <w:rsid w:val="00B540C7"/>
    <w:rsid w:val="00B56118"/>
    <w:rsid w:val="00B6773F"/>
    <w:rsid w:val="00B73F46"/>
    <w:rsid w:val="00B801BA"/>
    <w:rsid w:val="00B84D5C"/>
    <w:rsid w:val="00BB69F5"/>
    <w:rsid w:val="00BB7EC3"/>
    <w:rsid w:val="00BC4B9A"/>
    <w:rsid w:val="00BD784C"/>
    <w:rsid w:val="00BF4CB6"/>
    <w:rsid w:val="00C00DA7"/>
    <w:rsid w:val="00C12768"/>
    <w:rsid w:val="00C22B59"/>
    <w:rsid w:val="00C26DEC"/>
    <w:rsid w:val="00C27B58"/>
    <w:rsid w:val="00C35996"/>
    <w:rsid w:val="00C4271B"/>
    <w:rsid w:val="00C46A3D"/>
    <w:rsid w:val="00C4747E"/>
    <w:rsid w:val="00C5342C"/>
    <w:rsid w:val="00C603D4"/>
    <w:rsid w:val="00C6256A"/>
    <w:rsid w:val="00C73FD8"/>
    <w:rsid w:val="00C77891"/>
    <w:rsid w:val="00C81562"/>
    <w:rsid w:val="00C91449"/>
    <w:rsid w:val="00C92D10"/>
    <w:rsid w:val="00CC3C38"/>
    <w:rsid w:val="00CE10C4"/>
    <w:rsid w:val="00CE27B5"/>
    <w:rsid w:val="00CE4A2C"/>
    <w:rsid w:val="00D0321E"/>
    <w:rsid w:val="00D114E8"/>
    <w:rsid w:val="00D1455A"/>
    <w:rsid w:val="00D2037E"/>
    <w:rsid w:val="00D222D8"/>
    <w:rsid w:val="00D228CC"/>
    <w:rsid w:val="00D26F9A"/>
    <w:rsid w:val="00D31150"/>
    <w:rsid w:val="00D3138B"/>
    <w:rsid w:val="00D3280C"/>
    <w:rsid w:val="00D3406A"/>
    <w:rsid w:val="00D433CD"/>
    <w:rsid w:val="00D4572C"/>
    <w:rsid w:val="00D469B2"/>
    <w:rsid w:val="00D50EE4"/>
    <w:rsid w:val="00D741EB"/>
    <w:rsid w:val="00D83605"/>
    <w:rsid w:val="00D84934"/>
    <w:rsid w:val="00D91271"/>
    <w:rsid w:val="00D92DEA"/>
    <w:rsid w:val="00DA2CB5"/>
    <w:rsid w:val="00DA4BAC"/>
    <w:rsid w:val="00DE6D27"/>
    <w:rsid w:val="00DF217D"/>
    <w:rsid w:val="00DF26A7"/>
    <w:rsid w:val="00DF74E9"/>
    <w:rsid w:val="00E15627"/>
    <w:rsid w:val="00E164B3"/>
    <w:rsid w:val="00E16910"/>
    <w:rsid w:val="00E25729"/>
    <w:rsid w:val="00E42BDB"/>
    <w:rsid w:val="00E57EEB"/>
    <w:rsid w:val="00E62D94"/>
    <w:rsid w:val="00E62F8C"/>
    <w:rsid w:val="00E63FC3"/>
    <w:rsid w:val="00E65E54"/>
    <w:rsid w:val="00E7304D"/>
    <w:rsid w:val="00E80155"/>
    <w:rsid w:val="00E8391C"/>
    <w:rsid w:val="00E848C0"/>
    <w:rsid w:val="00E91B96"/>
    <w:rsid w:val="00E941A1"/>
    <w:rsid w:val="00E95CE3"/>
    <w:rsid w:val="00EA2825"/>
    <w:rsid w:val="00EB0B63"/>
    <w:rsid w:val="00EB2079"/>
    <w:rsid w:val="00EB5088"/>
    <w:rsid w:val="00EC2B55"/>
    <w:rsid w:val="00ED1644"/>
    <w:rsid w:val="00ED2593"/>
    <w:rsid w:val="00ED56A0"/>
    <w:rsid w:val="00ED7D9C"/>
    <w:rsid w:val="00EE7AAB"/>
    <w:rsid w:val="00EF44A0"/>
    <w:rsid w:val="00EF4FED"/>
    <w:rsid w:val="00F050BD"/>
    <w:rsid w:val="00F05657"/>
    <w:rsid w:val="00F15055"/>
    <w:rsid w:val="00F20978"/>
    <w:rsid w:val="00F218E5"/>
    <w:rsid w:val="00F2477F"/>
    <w:rsid w:val="00F25578"/>
    <w:rsid w:val="00F258E5"/>
    <w:rsid w:val="00F300BC"/>
    <w:rsid w:val="00F3334E"/>
    <w:rsid w:val="00F3604B"/>
    <w:rsid w:val="00F36CCB"/>
    <w:rsid w:val="00F374E5"/>
    <w:rsid w:val="00F43AF2"/>
    <w:rsid w:val="00F448EC"/>
    <w:rsid w:val="00F50EC4"/>
    <w:rsid w:val="00F550CF"/>
    <w:rsid w:val="00F55A2B"/>
    <w:rsid w:val="00F57A6D"/>
    <w:rsid w:val="00F638CC"/>
    <w:rsid w:val="00F64CC1"/>
    <w:rsid w:val="00F72317"/>
    <w:rsid w:val="00F72F0C"/>
    <w:rsid w:val="00F80475"/>
    <w:rsid w:val="00F8247A"/>
    <w:rsid w:val="00F861F9"/>
    <w:rsid w:val="00F9629A"/>
    <w:rsid w:val="00F97EFC"/>
    <w:rsid w:val="00FA5883"/>
    <w:rsid w:val="00FA6055"/>
    <w:rsid w:val="00FB322F"/>
    <w:rsid w:val="00FB442F"/>
    <w:rsid w:val="00FC1929"/>
    <w:rsid w:val="00FC412E"/>
    <w:rsid w:val="00FC5B46"/>
    <w:rsid w:val="00FC6400"/>
    <w:rsid w:val="00FD06AF"/>
    <w:rsid w:val="00FD1553"/>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5E7A7F"/>
    <w:rPr>
      <w:sz w:val="24"/>
      <w:szCs w:val="24"/>
    </w:rPr>
  </w:style>
  <w:style w:type="paragraph" w:customStyle="1" w:styleId="bulletlevel1">
    <w:name w:val="bullet level 1"/>
    <w:basedOn w:val="Normal"/>
    <w:link w:val="bulletlevel1Char"/>
    <w:rsid w:val="007A58A4"/>
    <w:pPr>
      <w:numPr>
        <w:numId w:val="15"/>
      </w:numPr>
      <w:tabs>
        <w:tab w:val="clear" w:pos="567"/>
        <w:tab w:val="num" w:pos="426"/>
      </w:tabs>
      <w:ind w:left="426" w:hanging="426"/>
    </w:pPr>
    <w:rPr>
      <w:rFonts w:asciiTheme="minorHAnsi" w:eastAsiaTheme="minorHAnsi" w:hAnsiTheme="minorHAnsi" w:cstheme="minorHAnsi"/>
      <w:sz w:val="22"/>
      <w:szCs w:val="22"/>
      <w:lang w:eastAsia="en-US"/>
    </w:rPr>
  </w:style>
  <w:style w:type="character" w:customStyle="1" w:styleId="bulletlevel1Char">
    <w:name w:val="bullet level 1 Char"/>
    <w:basedOn w:val="DefaultParagraphFont"/>
    <w:link w:val="bulletlevel1"/>
    <w:rsid w:val="007A58A4"/>
    <w:rPr>
      <w:rFonts w:asciiTheme="minorHAnsi" w:eastAsiaTheme="minorHAnsi" w:hAnsiTheme="minorHAnsi" w:cstheme="minorHAnsi"/>
      <w:sz w:val="22"/>
      <w:szCs w:val="22"/>
      <w:lang w:eastAsia="en-US"/>
    </w:rPr>
  </w:style>
  <w:style w:type="paragraph" w:customStyle="1" w:styleId="bulletlevel2">
    <w:name w:val="bullet level 2"/>
    <w:basedOn w:val="Normal"/>
    <w:link w:val="bulletlevel2Char"/>
    <w:rsid w:val="007A58A4"/>
    <w:pPr>
      <w:numPr>
        <w:numId w:val="16"/>
      </w:numPr>
      <w:tabs>
        <w:tab w:val="clear" w:pos="1134"/>
        <w:tab w:val="num" w:pos="851"/>
      </w:tabs>
      <w:ind w:left="851" w:hanging="425"/>
    </w:pPr>
    <w:rPr>
      <w:rFonts w:ascii="Calibri" w:hAnsi="Calibri"/>
      <w:color w:val="000000"/>
      <w:sz w:val="22"/>
      <w:szCs w:val="22"/>
      <w:lang w:val="en-US" w:eastAsia="en-US"/>
    </w:rPr>
  </w:style>
  <w:style w:type="character" w:customStyle="1" w:styleId="bulletlevel2Char">
    <w:name w:val="bullet level 2 Char"/>
    <w:basedOn w:val="DefaultParagraphFont"/>
    <w:link w:val="bulletlevel2"/>
    <w:rsid w:val="007A58A4"/>
    <w:rPr>
      <w:rFonts w:ascii="Calibri" w:hAnsi="Calibri"/>
      <w:color w:val="000000"/>
      <w:sz w:val="22"/>
      <w:szCs w:val="22"/>
      <w:lang w:val="en-US" w:eastAsia="en-US"/>
    </w:rPr>
  </w:style>
  <w:style w:type="paragraph" w:styleId="Caption">
    <w:name w:val="caption"/>
    <w:basedOn w:val="Normal"/>
    <w:next w:val="Normal"/>
    <w:unhideWhenUsed/>
    <w:qFormat/>
    <w:rsid w:val="00995065"/>
    <w:pPr>
      <w:spacing w:after="200"/>
    </w:pPr>
    <w:rPr>
      <w:b/>
      <w:bCs/>
      <w:color w:val="4F81BD" w:themeColor="accent1"/>
      <w:sz w:val="18"/>
      <w:szCs w:val="18"/>
    </w:rPr>
  </w:style>
  <w:style w:type="character" w:customStyle="1" w:styleId="TabletextChar">
    <w:name w:val="Table text Char"/>
    <w:link w:val="Tabletext"/>
    <w:uiPriority w:val="2"/>
    <w:rsid w:val="00582C73"/>
    <w:rPr>
      <w:rFonts w:ascii="Arial" w:hAnsi="Arial"/>
      <w:lang w:eastAsia="en-US"/>
    </w:rPr>
  </w:style>
  <w:style w:type="paragraph" w:customStyle="1" w:styleId="tablecolhead">
    <w:name w:val="tablecolhead"/>
    <w:basedOn w:val="Normal"/>
    <w:rsid w:val="00582C73"/>
    <w:pPr>
      <w:spacing w:before="100" w:beforeAutospacing="1" w:after="100" w:afterAutospacing="1"/>
    </w:pPr>
  </w:style>
  <w:style w:type="paragraph" w:customStyle="1" w:styleId="tabletext0">
    <w:name w:val="tabletext0"/>
    <w:basedOn w:val="Normal"/>
    <w:rsid w:val="00582C7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5E7A7F"/>
    <w:rPr>
      <w:sz w:val="24"/>
      <w:szCs w:val="24"/>
    </w:rPr>
  </w:style>
  <w:style w:type="paragraph" w:customStyle="1" w:styleId="bulletlevel1">
    <w:name w:val="bullet level 1"/>
    <w:basedOn w:val="Normal"/>
    <w:link w:val="bulletlevel1Char"/>
    <w:rsid w:val="007A58A4"/>
    <w:pPr>
      <w:numPr>
        <w:numId w:val="15"/>
      </w:numPr>
      <w:tabs>
        <w:tab w:val="clear" w:pos="567"/>
        <w:tab w:val="num" w:pos="426"/>
      </w:tabs>
      <w:ind w:left="426" w:hanging="426"/>
    </w:pPr>
    <w:rPr>
      <w:rFonts w:asciiTheme="minorHAnsi" w:eastAsiaTheme="minorHAnsi" w:hAnsiTheme="minorHAnsi" w:cstheme="minorHAnsi"/>
      <w:sz w:val="22"/>
      <w:szCs w:val="22"/>
      <w:lang w:eastAsia="en-US"/>
    </w:rPr>
  </w:style>
  <w:style w:type="character" w:customStyle="1" w:styleId="bulletlevel1Char">
    <w:name w:val="bullet level 1 Char"/>
    <w:basedOn w:val="DefaultParagraphFont"/>
    <w:link w:val="bulletlevel1"/>
    <w:rsid w:val="007A58A4"/>
    <w:rPr>
      <w:rFonts w:asciiTheme="minorHAnsi" w:eastAsiaTheme="minorHAnsi" w:hAnsiTheme="minorHAnsi" w:cstheme="minorHAnsi"/>
      <w:sz w:val="22"/>
      <w:szCs w:val="22"/>
      <w:lang w:eastAsia="en-US"/>
    </w:rPr>
  </w:style>
  <w:style w:type="paragraph" w:customStyle="1" w:styleId="bulletlevel2">
    <w:name w:val="bullet level 2"/>
    <w:basedOn w:val="Normal"/>
    <w:link w:val="bulletlevel2Char"/>
    <w:rsid w:val="007A58A4"/>
    <w:pPr>
      <w:numPr>
        <w:numId w:val="16"/>
      </w:numPr>
      <w:tabs>
        <w:tab w:val="clear" w:pos="1134"/>
        <w:tab w:val="num" w:pos="851"/>
      </w:tabs>
      <w:ind w:left="851" w:hanging="425"/>
    </w:pPr>
    <w:rPr>
      <w:rFonts w:ascii="Calibri" w:hAnsi="Calibri"/>
      <w:color w:val="000000"/>
      <w:sz w:val="22"/>
      <w:szCs w:val="22"/>
      <w:lang w:val="en-US" w:eastAsia="en-US"/>
    </w:rPr>
  </w:style>
  <w:style w:type="character" w:customStyle="1" w:styleId="bulletlevel2Char">
    <w:name w:val="bullet level 2 Char"/>
    <w:basedOn w:val="DefaultParagraphFont"/>
    <w:link w:val="bulletlevel2"/>
    <w:rsid w:val="007A58A4"/>
    <w:rPr>
      <w:rFonts w:ascii="Calibri" w:hAnsi="Calibri"/>
      <w:color w:val="000000"/>
      <w:sz w:val="22"/>
      <w:szCs w:val="22"/>
      <w:lang w:val="en-US" w:eastAsia="en-US"/>
    </w:rPr>
  </w:style>
  <w:style w:type="paragraph" w:styleId="Caption">
    <w:name w:val="caption"/>
    <w:basedOn w:val="Normal"/>
    <w:next w:val="Normal"/>
    <w:unhideWhenUsed/>
    <w:qFormat/>
    <w:rsid w:val="00995065"/>
    <w:pPr>
      <w:spacing w:after="200"/>
    </w:pPr>
    <w:rPr>
      <w:b/>
      <w:bCs/>
      <w:color w:val="4F81BD" w:themeColor="accent1"/>
      <w:sz w:val="18"/>
      <w:szCs w:val="18"/>
    </w:rPr>
  </w:style>
  <w:style w:type="character" w:customStyle="1" w:styleId="TabletextChar">
    <w:name w:val="Table text Char"/>
    <w:link w:val="Tabletext"/>
    <w:uiPriority w:val="2"/>
    <w:rsid w:val="00582C73"/>
    <w:rPr>
      <w:rFonts w:ascii="Arial" w:hAnsi="Arial"/>
      <w:lang w:eastAsia="en-US"/>
    </w:rPr>
  </w:style>
  <w:style w:type="paragraph" w:customStyle="1" w:styleId="tablecolhead">
    <w:name w:val="tablecolhead"/>
    <w:basedOn w:val="Normal"/>
    <w:rsid w:val="00582C73"/>
    <w:pPr>
      <w:spacing w:before="100" w:beforeAutospacing="1" w:after="100" w:afterAutospacing="1"/>
    </w:pPr>
  </w:style>
  <w:style w:type="paragraph" w:customStyle="1" w:styleId="tabletext0">
    <w:name w:val="tabletext0"/>
    <w:basedOn w:val="Normal"/>
    <w:rsid w:val="00582C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Sul17</b:Tag>
    <b:SourceType>JournalArticle</b:SourceType>
    <b:Guid>{BC6C55F6-8F69-4715-A0F2-CFADEECB2D80}</b:Guid>
    <b:Title>Low interim influenza vaccine effectiveness, Australia, 1 May to 24 September 2017</b:Title>
    <b:JournalName>Eurosurveillance</b:JournalName>
    <b:Year>2017</b:Year>
    <b:Pages>17-00707</b:Pages>
    <b:Author>
      <b:Author>
        <b:NameList>
          <b:Person>
            <b:Last>Sullivan</b:Last>
            <b:Middle>G</b:Middle>
            <b:First>S</b:First>
          </b:Person>
        </b:NameList>
      </b:Author>
    </b:Author>
    <b:Volume>22</b:Volume>
    <b:Issue>43</b:Issue>
    <b:RefOrder>2</b:RefOrder>
  </b:Source>
</b:Sources>
</file>

<file path=customXml/itemProps1.xml><?xml version="1.0" encoding="utf-8"?>
<ds:datastoreItem xmlns:ds="http://schemas.openxmlformats.org/officeDocument/2006/customXml" ds:itemID="{79E3ED0D-5168-40DB-A17A-A1E608CE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2018-06-20T04:28:00Z</dcterms:created>
  <dcterms:modified xsi:type="dcterms:W3CDTF">2018-06-22T00:41:00Z</dcterms:modified>
</cp:coreProperties>
</file>