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3D2" w:rsidRPr="00A41664" w:rsidRDefault="006E5BB3" w:rsidP="00A41664">
      <w:pPr>
        <w:pStyle w:val="Title"/>
      </w:pPr>
      <w:bookmarkStart w:id="0" w:name="_GoBack"/>
      <w:bookmarkEnd w:id="0"/>
      <w:r w:rsidRPr="00A41664">
        <w:t>4</w:t>
      </w:r>
      <w:r w:rsidR="006D6493" w:rsidRPr="00A41664">
        <w:t>.</w:t>
      </w:r>
      <w:r w:rsidRPr="00A41664">
        <w:t>05</w:t>
      </w:r>
      <w:r w:rsidR="006D6493" w:rsidRPr="00A41664">
        <w:tab/>
      </w:r>
      <w:r w:rsidR="00CE33D2" w:rsidRPr="00A41664">
        <w:t>EVOLOCUMAB,</w:t>
      </w:r>
      <w:r w:rsidR="009F38AB" w:rsidRPr="00A41664">
        <w:br/>
        <w:t xml:space="preserve">Injection </w:t>
      </w:r>
      <w:r w:rsidR="0083537E" w:rsidRPr="00A41664">
        <w:t>4</w:t>
      </w:r>
      <w:r w:rsidR="00CE33D2" w:rsidRPr="00A41664">
        <w:t>20 mg</w:t>
      </w:r>
      <w:r w:rsidR="009F38AB" w:rsidRPr="00A41664">
        <w:t xml:space="preserve"> </w:t>
      </w:r>
      <w:r w:rsidR="00CE33D2" w:rsidRPr="00A41664">
        <w:t>in 3.5 mL s</w:t>
      </w:r>
      <w:r w:rsidR="00B9648E">
        <w:t>ingle use pre-filled cartridge,</w:t>
      </w:r>
      <w:r w:rsidR="00CE33D2" w:rsidRPr="00A41664">
        <w:br/>
        <w:t xml:space="preserve">Injection 140 mg in </w:t>
      </w:r>
      <w:r w:rsidR="00B9648E">
        <w:t>1 mL single use pre-filled pen,</w:t>
      </w:r>
      <w:r w:rsidR="00CE33D2" w:rsidRPr="00A41664">
        <w:br/>
        <w:t>Repatha®, Amgen</w:t>
      </w:r>
    </w:p>
    <w:p w:rsidR="008A50F1" w:rsidRPr="00A41664" w:rsidRDefault="00CE10C4" w:rsidP="003144AC">
      <w:pPr>
        <w:pStyle w:val="Heading1"/>
      </w:pPr>
      <w:r w:rsidRPr="00A41664">
        <w:t xml:space="preserve">Purpose of </w:t>
      </w:r>
      <w:r w:rsidR="0004240E" w:rsidRPr="00A41664">
        <w:t>Application</w:t>
      </w:r>
    </w:p>
    <w:p w:rsidR="00830989" w:rsidRPr="00B15419" w:rsidRDefault="00EF44A0" w:rsidP="004427B3">
      <w:pPr>
        <w:pStyle w:val="ListParagraph"/>
        <w:widowControl/>
        <w:numPr>
          <w:ilvl w:val="1"/>
          <w:numId w:val="21"/>
        </w:numPr>
        <w:spacing w:after="160"/>
        <w:ind w:left="709" w:hanging="709"/>
        <w:contextualSpacing w:val="0"/>
        <w:rPr>
          <w:rFonts w:asciiTheme="minorHAnsi" w:hAnsiTheme="minorHAnsi"/>
          <w:sz w:val="24"/>
          <w:szCs w:val="24"/>
        </w:rPr>
      </w:pPr>
      <w:r w:rsidRPr="00B15419">
        <w:rPr>
          <w:rFonts w:asciiTheme="minorHAnsi" w:hAnsiTheme="minorHAnsi"/>
          <w:sz w:val="24"/>
          <w:szCs w:val="24"/>
        </w:rPr>
        <w:t>The mi</w:t>
      </w:r>
      <w:r w:rsidR="00FF2801" w:rsidRPr="00B15419">
        <w:rPr>
          <w:rFonts w:asciiTheme="minorHAnsi" w:hAnsiTheme="minorHAnsi"/>
          <w:sz w:val="24"/>
          <w:szCs w:val="24"/>
        </w:rPr>
        <w:t xml:space="preserve">nor </w:t>
      </w:r>
      <w:r w:rsidR="00A32EF9" w:rsidRPr="00B15419">
        <w:rPr>
          <w:rFonts w:asciiTheme="minorHAnsi" w:hAnsiTheme="minorHAnsi"/>
          <w:sz w:val="24"/>
          <w:szCs w:val="24"/>
        </w:rPr>
        <w:t>re</w:t>
      </w:r>
      <w:r w:rsidR="00FF2801" w:rsidRPr="00B15419">
        <w:rPr>
          <w:rFonts w:asciiTheme="minorHAnsi" w:hAnsiTheme="minorHAnsi"/>
          <w:sz w:val="24"/>
          <w:szCs w:val="24"/>
        </w:rPr>
        <w:t xml:space="preserve">submission sought </w:t>
      </w:r>
      <w:r w:rsidR="00A32EF9" w:rsidRPr="00B15419">
        <w:rPr>
          <w:rFonts w:asciiTheme="minorHAnsi" w:hAnsiTheme="minorHAnsi"/>
          <w:sz w:val="24"/>
          <w:szCs w:val="24"/>
        </w:rPr>
        <w:t xml:space="preserve">an Authority Required listing for treatment of patients with </w:t>
      </w:r>
      <w:r w:rsidR="0024167F">
        <w:rPr>
          <w:rFonts w:asciiTheme="minorHAnsi" w:hAnsiTheme="minorHAnsi"/>
          <w:sz w:val="24"/>
          <w:szCs w:val="24"/>
        </w:rPr>
        <w:t>F</w:t>
      </w:r>
      <w:r w:rsidR="0024167F" w:rsidRPr="00B15419">
        <w:rPr>
          <w:rFonts w:asciiTheme="minorHAnsi" w:hAnsiTheme="minorHAnsi"/>
          <w:sz w:val="24"/>
          <w:szCs w:val="24"/>
        </w:rPr>
        <w:t xml:space="preserve">amilial </w:t>
      </w:r>
      <w:r w:rsidR="0024167F">
        <w:rPr>
          <w:rFonts w:asciiTheme="minorHAnsi" w:hAnsiTheme="minorHAnsi"/>
          <w:sz w:val="24"/>
          <w:szCs w:val="24"/>
        </w:rPr>
        <w:t>H</w:t>
      </w:r>
      <w:r w:rsidR="0024167F" w:rsidRPr="00B15419">
        <w:rPr>
          <w:rFonts w:asciiTheme="minorHAnsi" w:hAnsiTheme="minorHAnsi"/>
          <w:sz w:val="24"/>
          <w:szCs w:val="24"/>
        </w:rPr>
        <w:t xml:space="preserve">ypercholesterolaemia </w:t>
      </w:r>
      <w:r w:rsidR="00A32EF9" w:rsidRPr="00B15419">
        <w:rPr>
          <w:rFonts w:asciiTheme="minorHAnsi" w:hAnsiTheme="minorHAnsi"/>
          <w:sz w:val="24"/>
          <w:szCs w:val="24"/>
        </w:rPr>
        <w:t xml:space="preserve">(FH) and either </w:t>
      </w:r>
      <w:r w:rsidR="00734A04" w:rsidRPr="00B15419">
        <w:rPr>
          <w:rFonts w:asciiTheme="minorHAnsi" w:hAnsiTheme="minorHAnsi"/>
          <w:sz w:val="24"/>
          <w:szCs w:val="24"/>
        </w:rPr>
        <w:t xml:space="preserve">symptomatic atherosclerotic cardiovascular disease (ASCVD) </w:t>
      </w:r>
      <w:r w:rsidR="00A32EF9" w:rsidRPr="00B15419">
        <w:rPr>
          <w:rFonts w:asciiTheme="minorHAnsi" w:hAnsiTheme="minorHAnsi"/>
          <w:sz w:val="24"/>
          <w:szCs w:val="24"/>
        </w:rPr>
        <w:t xml:space="preserve">or FH </w:t>
      </w:r>
      <w:r w:rsidR="00734A04" w:rsidRPr="00B15419">
        <w:rPr>
          <w:rFonts w:asciiTheme="minorHAnsi" w:hAnsiTheme="minorHAnsi"/>
          <w:sz w:val="24"/>
          <w:szCs w:val="24"/>
        </w:rPr>
        <w:t>with very high LDL-c</w:t>
      </w:r>
      <w:r w:rsidR="00A32EF9" w:rsidRPr="00B15419">
        <w:rPr>
          <w:rFonts w:asciiTheme="minorHAnsi" w:hAnsiTheme="minorHAnsi"/>
          <w:sz w:val="24"/>
          <w:szCs w:val="24"/>
        </w:rPr>
        <w:t>.</w:t>
      </w:r>
      <w:r w:rsidR="00DB51B5">
        <w:rPr>
          <w:rFonts w:asciiTheme="minorHAnsi" w:hAnsiTheme="minorHAnsi"/>
          <w:sz w:val="24"/>
          <w:szCs w:val="24"/>
        </w:rPr>
        <w:t xml:space="preserve"> </w:t>
      </w:r>
      <w:r w:rsidR="004E51A8" w:rsidRPr="00B15419">
        <w:rPr>
          <w:rFonts w:asciiTheme="minorHAnsi" w:hAnsiTheme="minorHAnsi"/>
          <w:sz w:val="24"/>
          <w:szCs w:val="24"/>
        </w:rPr>
        <w:t xml:space="preserve">The following changes </w:t>
      </w:r>
      <w:r w:rsidR="00734A04" w:rsidRPr="00B15419">
        <w:rPr>
          <w:rFonts w:asciiTheme="minorHAnsi" w:hAnsiTheme="minorHAnsi"/>
          <w:sz w:val="24"/>
          <w:szCs w:val="24"/>
        </w:rPr>
        <w:t>we</w:t>
      </w:r>
      <w:r w:rsidR="004E51A8" w:rsidRPr="00B15419">
        <w:rPr>
          <w:rFonts w:asciiTheme="minorHAnsi" w:hAnsiTheme="minorHAnsi"/>
          <w:sz w:val="24"/>
          <w:szCs w:val="24"/>
        </w:rPr>
        <w:t>re i</w:t>
      </w:r>
      <w:r w:rsidR="00830989" w:rsidRPr="00B15419">
        <w:rPr>
          <w:rFonts w:asciiTheme="minorHAnsi" w:hAnsiTheme="minorHAnsi"/>
          <w:sz w:val="24"/>
          <w:szCs w:val="24"/>
        </w:rPr>
        <w:t>ncluded:</w:t>
      </w:r>
    </w:p>
    <w:p w:rsidR="00830989" w:rsidRPr="005512E7" w:rsidRDefault="00830989" w:rsidP="004427B3">
      <w:pPr>
        <w:pStyle w:val="ListParagraph"/>
        <w:widowControl/>
        <w:numPr>
          <w:ilvl w:val="0"/>
          <w:numId w:val="16"/>
        </w:numPr>
        <w:spacing w:after="160" w:line="276" w:lineRule="auto"/>
        <w:rPr>
          <w:rFonts w:asciiTheme="minorHAnsi" w:hAnsiTheme="minorHAnsi"/>
          <w:sz w:val="24"/>
          <w:szCs w:val="24"/>
        </w:rPr>
      </w:pPr>
      <w:r w:rsidRPr="005512E7">
        <w:rPr>
          <w:rFonts w:asciiTheme="minorHAnsi" w:hAnsiTheme="minorHAnsi"/>
          <w:sz w:val="24"/>
          <w:szCs w:val="24"/>
        </w:rPr>
        <w:t>a r</w:t>
      </w:r>
      <w:r w:rsidR="00FE152D">
        <w:rPr>
          <w:rFonts w:asciiTheme="minorHAnsi" w:hAnsiTheme="minorHAnsi"/>
          <w:sz w:val="24"/>
          <w:szCs w:val="24"/>
        </w:rPr>
        <w:t xml:space="preserve">evised economic model for FH with </w:t>
      </w:r>
      <w:r w:rsidRPr="005512E7">
        <w:rPr>
          <w:rFonts w:asciiTheme="minorHAnsi" w:hAnsiTheme="minorHAnsi"/>
          <w:sz w:val="24"/>
          <w:szCs w:val="24"/>
        </w:rPr>
        <w:t xml:space="preserve">ASCVD and FH with very high LDL-c to incorporate a lag in effect of </w:t>
      </w:r>
      <w:r w:rsidR="004E51A8" w:rsidRPr="005512E7">
        <w:rPr>
          <w:rFonts w:asciiTheme="minorHAnsi" w:hAnsiTheme="minorHAnsi"/>
          <w:sz w:val="24"/>
          <w:szCs w:val="24"/>
        </w:rPr>
        <w:t>cardiovascular (</w:t>
      </w:r>
      <w:r w:rsidRPr="005512E7">
        <w:rPr>
          <w:rFonts w:asciiTheme="minorHAnsi" w:hAnsiTheme="minorHAnsi"/>
          <w:sz w:val="24"/>
          <w:szCs w:val="24"/>
        </w:rPr>
        <w:t>CV</w:t>
      </w:r>
      <w:r w:rsidR="004E51A8" w:rsidRPr="005512E7">
        <w:rPr>
          <w:rFonts w:asciiTheme="minorHAnsi" w:hAnsiTheme="minorHAnsi"/>
          <w:sz w:val="24"/>
          <w:szCs w:val="24"/>
        </w:rPr>
        <w:t>)</w:t>
      </w:r>
      <w:r w:rsidRPr="005512E7">
        <w:rPr>
          <w:rFonts w:asciiTheme="minorHAnsi" w:hAnsiTheme="minorHAnsi"/>
          <w:sz w:val="24"/>
          <w:szCs w:val="24"/>
        </w:rPr>
        <w:t xml:space="preserve"> mortality and a price</w:t>
      </w:r>
      <w:r w:rsidR="00734A04">
        <w:rPr>
          <w:rFonts w:asciiTheme="minorHAnsi" w:hAnsiTheme="minorHAnsi"/>
          <w:sz w:val="24"/>
          <w:szCs w:val="24"/>
        </w:rPr>
        <w:t xml:space="preserve"> reduction of approximately </w:t>
      </w:r>
      <w:r w:rsidR="005A614E">
        <w:rPr>
          <w:rFonts w:asciiTheme="minorHAnsi" w:hAnsiTheme="minorHAnsi"/>
          <w:noProof/>
          <w:color w:val="000000"/>
          <w:sz w:val="24"/>
          <w:szCs w:val="24"/>
          <w:highlight w:val="black"/>
        </w:rPr>
        <w:t>''''''</w:t>
      </w:r>
      <w:r w:rsidR="00734A04">
        <w:rPr>
          <w:rFonts w:asciiTheme="minorHAnsi" w:hAnsiTheme="minorHAnsi"/>
          <w:sz w:val="24"/>
          <w:szCs w:val="24"/>
        </w:rPr>
        <w:t>%</w:t>
      </w:r>
    </w:p>
    <w:p w:rsidR="00830989" w:rsidRPr="005512E7" w:rsidRDefault="00830989" w:rsidP="004427B3">
      <w:pPr>
        <w:pStyle w:val="ListParagraph"/>
        <w:numPr>
          <w:ilvl w:val="0"/>
          <w:numId w:val="16"/>
        </w:numPr>
        <w:spacing w:after="160" w:line="276" w:lineRule="auto"/>
        <w:rPr>
          <w:rFonts w:asciiTheme="minorHAnsi" w:hAnsiTheme="minorHAnsi"/>
          <w:sz w:val="24"/>
          <w:szCs w:val="24"/>
        </w:rPr>
      </w:pPr>
      <w:r w:rsidRPr="005512E7">
        <w:rPr>
          <w:rFonts w:asciiTheme="minorHAnsi" w:hAnsiTheme="minorHAnsi"/>
          <w:sz w:val="24"/>
          <w:szCs w:val="24"/>
        </w:rPr>
        <w:t>revised financial estimates incorporating the reduced price offer and remov</w:t>
      </w:r>
      <w:r w:rsidR="00B87A12" w:rsidRPr="005512E7">
        <w:rPr>
          <w:rFonts w:asciiTheme="minorHAnsi" w:hAnsiTheme="minorHAnsi"/>
          <w:sz w:val="24"/>
          <w:szCs w:val="24"/>
        </w:rPr>
        <w:t>al of</w:t>
      </w:r>
      <w:r w:rsidRPr="005512E7">
        <w:rPr>
          <w:rFonts w:asciiTheme="minorHAnsi" w:hAnsiTheme="minorHAnsi"/>
          <w:sz w:val="24"/>
          <w:szCs w:val="24"/>
        </w:rPr>
        <w:t xml:space="preserve"> the cost offs</w:t>
      </w:r>
      <w:r w:rsidR="00B87A12" w:rsidRPr="005512E7">
        <w:rPr>
          <w:rFonts w:asciiTheme="minorHAnsi" w:hAnsiTheme="minorHAnsi"/>
          <w:sz w:val="24"/>
          <w:szCs w:val="24"/>
        </w:rPr>
        <w:t>ets from ezetimibe substitution</w:t>
      </w:r>
    </w:p>
    <w:p w:rsidR="00830989" w:rsidRPr="005512E7" w:rsidRDefault="00830989" w:rsidP="004427B3">
      <w:pPr>
        <w:pStyle w:val="ListParagraph"/>
        <w:widowControl/>
        <w:numPr>
          <w:ilvl w:val="0"/>
          <w:numId w:val="16"/>
        </w:numPr>
        <w:spacing w:after="160" w:line="276" w:lineRule="auto"/>
        <w:rPr>
          <w:rFonts w:asciiTheme="minorHAnsi" w:hAnsiTheme="minorHAnsi"/>
          <w:sz w:val="24"/>
          <w:szCs w:val="24"/>
        </w:rPr>
      </w:pPr>
      <w:r w:rsidRPr="005512E7">
        <w:rPr>
          <w:rFonts w:asciiTheme="minorHAnsi" w:hAnsiTheme="minorHAnsi"/>
          <w:sz w:val="24"/>
          <w:szCs w:val="24"/>
        </w:rPr>
        <w:t xml:space="preserve">a </w:t>
      </w:r>
      <w:r w:rsidR="004E51A8" w:rsidRPr="005512E7">
        <w:rPr>
          <w:rFonts w:asciiTheme="minorHAnsi" w:hAnsiTheme="minorHAnsi"/>
          <w:sz w:val="24"/>
          <w:szCs w:val="24"/>
        </w:rPr>
        <w:t xml:space="preserve">proposal for a </w:t>
      </w:r>
      <w:r w:rsidR="00B87A12" w:rsidRPr="005512E7">
        <w:rPr>
          <w:rFonts w:asciiTheme="minorHAnsi" w:hAnsiTheme="minorHAnsi"/>
          <w:sz w:val="24"/>
          <w:szCs w:val="24"/>
        </w:rPr>
        <w:t>risk-share arrangement with a three tier cap</w:t>
      </w:r>
    </w:p>
    <w:p w:rsidR="00CD223F" w:rsidRPr="00E62EF7" w:rsidRDefault="004E51A8" w:rsidP="004427B3">
      <w:pPr>
        <w:pStyle w:val="ListParagraph"/>
        <w:widowControl/>
        <w:numPr>
          <w:ilvl w:val="0"/>
          <w:numId w:val="16"/>
        </w:numPr>
        <w:spacing w:after="160" w:line="276" w:lineRule="auto"/>
        <w:rPr>
          <w:rFonts w:asciiTheme="minorHAnsi" w:hAnsiTheme="minorHAnsi"/>
          <w:sz w:val="24"/>
          <w:szCs w:val="24"/>
        </w:rPr>
      </w:pPr>
      <w:r w:rsidRPr="005512E7">
        <w:rPr>
          <w:rFonts w:asciiTheme="minorHAnsi" w:hAnsiTheme="minorHAnsi"/>
          <w:sz w:val="24"/>
          <w:szCs w:val="24"/>
        </w:rPr>
        <w:t xml:space="preserve">revised </w:t>
      </w:r>
      <w:r w:rsidR="00830989" w:rsidRPr="005512E7">
        <w:rPr>
          <w:rFonts w:asciiTheme="minorHAnsi" w:hAnsiTheme="minorHAnsi"/>
          <w:sz w:val="24"/>
          <w:szCs w:val="24"/>
        </w:rPr>
        <w:t>restriction wording with respect to demonstration of statin intolerance, and wording relating to use of evolocumab in combination with other lipid lowering therapy</w:t>
      </w:r>
      <w:r w:rsidRPr="005512E7">
        <w:rPr>
          <w:rFonts w:asciiTheme="minorHAnsi" w:hAnsiTheme="minorHAnsi"/>
          <w:sz w:val="24"/>
          <w:szCs w:val="24"/>
        </w:rPr>
        <w:t>.</w:t>
      </w:r>
    </w:p>
    <w:p w:rsidR="008F624A" w:rsidRDefault="008F624A" w:rsidP="003144AC">
      <w:pPr>
        <w:pStyle w:val="PBACHeading1"/>
      </w:pPr>
      <w:r w:rsidRPr="002B5596">
        <w:t>Background</w:t>
      </w:r>
    </w:p>
    <w:p w:rsidR="008F624A" w:rsidRPr="003F6F9D" w:rsidRDefault="008F624A" w:rsidP="00A41664">
      <w:pPr>
        <w:pStyle w:val="Heading2"/>
        <w:rPr>
          <w:rFonts w:eastAsiaTheme="majorEastAsia"/>
          <w:lang w:eastAsia="en-US"/>
        </w:rPr>
      </w:pPr>
      <w:bookmarkStart w:id="1" w:name="_Toc492314251"/>
      <w:r w:rsidRPr="003F6F9D">
        <w:rPr>
          <w:rFonts w:eastAsiaTheme="majorEastAsia"/>
          <w:lang w:eastAsia="en-US"/>
        </w:rPr>
        <w:t>Registration status</w:t>
      </w:r>
      <w:bookmarkEnd w:id="1"/>
    </w:p>
    <w:p w:rsidR="008F624A" w:rsidRPr="00F81E58" w:rsidRDefault="008F624A" w:rsidP="004427B3">
      <w:pPr>
        <w:pStyle w:val="ListParagraph"/>
        <w:numPr>
          <w:ilvl w:val="1"/>
          <w:numId w:val="14"/>
        </w:numPr>
        <w:spacing w:after="160"/>
        <w:rPr>
          <w:rFonts w:asciiTheme="minorHAnsi" w:hAnsiTheme="minorHAnsi"/>
          <w:sz w:val="24"/>
          <w:szCs w:val="24"/>
        </w:rPr>
      </w:pPr>
      <w:r w:rsidRPr="00F81E58">
        <w:rPr>
          <w:rFonts w:asciiTheme="minorHAnsi" w:hAnsiTheme="minorHAnsi"/>
          <w:sz w:val="24"/>
          <w:szCs w:val="24"/>
        </w:rPr>
        <w:t xml:space="preserve">Evolocumab was approved by the TGA on 4 December 2015 for the treatment of: </w:t>
      </w:r>
    </w:p>
    <w:p w:rsidR="008F624A" w:rsidRPr="003F6F9D" w:rsidRDefault="008F624A" w:rsidP="004427B3">
      <w:pPr>
        <w:pStyle w:val="ListParagraph"/>
        <w:widowControl/>
        <w:numPr>
          <w:ilvl w:val="0"/>
          <w:numId w:val="22"/>
        </w:numPr>
        <w:spacing w:after="160"/>
        <w:ind w:left="1077" w:hanging="357"/>
        <w:rPr>
          <w:rFonts w:asciiTheme="minorHAnsi" w:hAnsiTheme="minorHAnsi"/>
          <w:sz w:val="24"/>
          <w:szCs w:val="24"/>
        </w:rPr>
      </w:pPr>
      <w:r w:rsidRPr="003F6F9D">
        <w:rPr>
          <w:rFonts w:asciiTheme="minorHAnsi" w:hAnsiTheme="minorHAnsi"/>
          <w:sz w:val="24"/>
          <w:szCs w:val="24"/>
        </w:rPr>
        <w:t xml:space="preserve">Adults with heterozygous </w:t>
      </w:r>
      <w:r w:rsidR="0024167F">
        <w:rPr>
          <w:rFonts w:asciiTheme="minorHAnsi" w:hAnsiTheme="minorHAnsi"/>
          <w:sz w:val="24"/>
          <w:szCs w:val="24"/>
        </w:rPr>
        <w:t>F</w:t>
      </w:r>
      <w:r w:rsidR="0024167F" w:rsidRPr="003F6F9D">
        <w:rPr>
          <w:rFonts w:asciiTheme="minorHAnsi" w:hAnsiTheme="minorHAnsi"/>
          <w:sz w:val="24"/>
          <w:szCs w:val="24"/>
        </w:rPr>
        <w:t xml:space="preserve">amilial </w:t>
      </w:r>
      <w:r w:rsidR="0024167F">
        <w:rPr>
          <w:rFonts w:asciiTheme="minorHAnsi" w:hAnsiTheme="minorHAnsi"/>
          <w:sz w:val="24"/>
          <w:szCs w:val="24"/>
        </w:rPr>
        <w:t>H</w:t>
      </w:r>
      <w:r w:rsidR="0024167F" w:rsidRPr="003F6F9D">
        <w:rPr>
          <w:rFonts w:asciiTheme="minorHAnsi" w:hAnsiTheme="minorHAnsi"/>
          <w:sz w:val="24"/>
          <w:szCs w:val="24"/>
        </w:rPr>
        <w:t xml:space="preserve">ypercholesterolaemia </w:t>
      </w:r>
      <w:r w:rsidRPr="003F6F9D">
        <w:rPr>
          <w:rFonts w:asciiTheme="minorHAnsi" w:hAnsiTheme="minorHAnsi"/>
          <w:sz w:val="24"/>
          <w:szCs w:val="24"/>
        </w:rPr>
        <w:t>(HeFH) or clinical atherosclerotic cardiovascular disease (CVD):</w:t>
      </w:r>
    </w:p>
    <w:p w:rsidR="008F624A" w:rsidRPr="003F6F9D" w:rsidRDefault="008F624A" w:rsidP="004427B3">
      <w:pPr>
        <w:pStyle w:val="ListParagraph"/>
        <w:widowControl/>
        <w:numPr>
          <w:ilvl w:val="1"/>
          <w:numId w:val="22"/>
        </w:numPr>
        <w:spacing w:after="160"/>
        <w:ind w:left="1434" w:hanging="357"/>
        <w:rPr>
          <w:rFonts w:asciiTheme="minorHAnsi" w:hAnsiTheme="minorHAnsi"/>
          <w:sz w:val="24"/>
          <w:szCs w:val="24"/>
        </w:rPr>
      </w:pPr>
      <w:r w:rsidRPr="003F6F9D">
        <w:rPr>
          <w:rFonts w:asciiTheme="minorHAnsi" w:hAnsiTheme="minorHAnsi"/>
          <w:sz w:val="24"/>
          <w:szCs w:val="24"/>
        </w:rPr>
        <w:t>in combination with a statin or statin with other lipid lowering therapies,</w:t>
      </w:r>
    </w:p>
    <w:p w:rsidR="008F624A" w:rsidRPr="003F6F9D" w:rsidRDefault="008F624A" w:rsidP="004427B3">
      <w:pPr>
        <w:pStyle w:val="ListParagraph"/>
        <w:widowControl/>
        <w:numPr>
          <w:ilvl w:val="1"/>
          <w:numId w:val="22"/>
        </w:numPr>
        <w:spacing w:after="160"/>
        <w:ind w:left="1434" w:hanging="357"/>
        <w:rPr>
          <w:rFonts w:asciiTheme="minorHAnsi" w:hAnsiTheme="minorHAnsi"/>
          <w:sz w:val="24"/>
          <w:szCs w:val="24"/>
        </w:rPr>
      </w:pPr>
      <w:r w:rsidRPr="003F6F9D">
        <w:rPr>
          <w:rFonts w:asciiTheme="minorHAnsi" w:hAnsiTheme="minorHAnsi"/>
          <w:sz w:val="24"/>
          <w:szCs w:val="24"/>
        </w:rPr>
        <w:t>in combination with other lipid-lowering therapies in patients who are statin-intolerant.</w:t>
      </w:r>
    </w:p>
    <w:p w:rsidR="008F624A" w:rsidRPr="003F6F9D" w:rsidRDefault="008F624A" w:rsidP="004427B3">
      <w:pPr>
        <w:pStyle w:val="ListParagraph"/>
        <w:widowControl/>
        <w:numPr>
          <w:ilvl w:val="0"/>
          <w:numId w:val="22"/>
        </w:numPr>
        <w:spacing w:after="160"/>
        <w:ind w:left="1077" w:hanging="357"/>
        <w:rPr>
          <w:rFonts w:asciiTheme="minorHAnsi" w:hAnsiTheme="minorHAnsi"/>
          <w:sz w:val="24"/>
          <w:szCs w:val="24"/>
        </w:rPr>
      </w:pPr>
      <w:r w:rsidRPr="003F6F9D">
        <w:rPr>
          <w:rFonts w:asciiTheme="minorHAnsi" w:hAnsiTheme="minorHAnsi"/>
          <w:sz w:val="24"/>
          <w:szCs w:val="24"/>
        </w:rPr>
        <w:t xml:space="preserve">Homozygous </w:t>
      </w:r>
      <w:r w:rsidR="0024167F">
        <w:rPr>
          <w:rFonts w:asciiTheme="minorHAnsi" w:hAnsiTheme="minorHAnsi"/>
          <w:sz w:val="24"/>
          <w:szCs w:val="24"/>
        </w:rPr>
        <w:t>F</w:t>
      </w:r>
      <w:r w:rsidR="0024167F" w:rsidRPr="003F6F9D">
        <w:rPr>
          <w:rFonts w:asciiTheme="minorHAnsi" w:hAnsiTheme="minorHAnsi"/>
          <w:sz w:val="24"/>
          <w:szCs w:val="24"/>
        </w:rPr>
        <w:t xml:space="preserve">amilial </w:t>
      </w:r>
      <w:r w:rsidR="0024167F">
        <w:rPr>
          <w:rFonts w:asciiTheme="minorHAnsi" w:hAnsiTheme="minorHAnsi"/>
          <w:sz w:val="24"/>
          <w:szCs w:val="24"/>
        </w:rPr>
        <w:t>H</w:t>
      </w:r>
      <w:r w:rsidRPr="003F6F9D">
        <w:rPr>
          <w:rFonts w:asciiTheme="minorHAnsi" w:hAnsiTheme="minorHAnsi"/>
          <w:sz w:val="24"/>
          <w:szCs w:val="24"/>
        </w:rPr>
        <w:t>ypercholesterolaemia (HoFH)</w:t>
      </w:r>
    </w:p>
    <w:p w:rsidR="008F624A" w:rsidRPr="003F6F9D" w:rsidRDefault="008F624A" w:rsidP="004427B3">
      <w:pPr>
        <w:pStyle w:val="ListParagraph"/>
        <w:widowControl/>
        <w:numPr>
          <w:ilvl w:val="1"/>
          <w:numId w:val="22"/>
        </w:numPr>
        <w:spacing w:after="160"/>
        <w:ind w:left="1434" w:hanging="357"/>
        <w:contextualSpacing w:val="0"/>
        <w:rPr>
          <w:rFonts w:asciiTheme="minorHAnsi" w:hAnsiTheme="minorHAnsi"/>
          <w:sz w:val="24"/>
          <w:szCs w:val="24"/>
        </w:rPr>
      </w:pPr>
      <w:r w:rsidRPr="003F6F9D">
        <w:rPr>
          <w:rFonts w:asciiTheme="minorHAnsi" w:hAnsiTheme="minorHAnsi"/>
          <w:sz w:val="24"/>
          <w:szCs w:val="24"/>
        </w:rPr>
        <w:t>in combination with other lipid lowering therapies in adults and adolescents aged 12 years and over.</w:t>
      </w:r>
    </w:p>
    <w:p w:rsidR="008F7238" w:rsidRPr="008F7238" w:rsidRDefault="008F624A" w:rsidP="004427B3">
      <w:pPr>
        <w:pStyle w:val="ListParagraph"/>
        <w:widowControl/>
        <w:numPr>
          <w:ilvl w:val="1"/>
          <w:numId w:val="14"/>
        </w:numPr>
        <w:spacing w:after="160"/>
        <w:contextualSpacing w:val="0"/>
        <w:rPr>
          <w:rFonts w:asciiTheme="minorHAnsi" w:eastAsiaTheme="minorHAnsi" w:hAnsiTheme="minorHAnsi" w:cstheme="minorBidi"/>
          <w:snapToGrid/>
          <w:sz w:val="24"/>
          <w:szCs w:val="22"/>
        </w:rPr>
      </w:pPr>
      <w:r w:rsidRPr="003F6F9D">
        <w:rPr>
          <w:rFonts w:asciiTheme="minorHAnsi" w:eastAsiaTheme="minorHAnsi" w:hAnsiTheme="minorHAnsi" w:cstheme="minorBidi"/>
          <w:snapToGrid/>
          <w:sz w:val="24"/>
          <w:szCs w:val="22"/>
        </w:rPr>
        <w:t>The TGA indication notes that the effect of evolocumab on cardiovascular morbidity and mortality has not yet been determined.</w:t>
      </w:r>
      <w:r w:rsidR="00DB51B5">
        <w:rPr>
          <w:rFonts w:asciiTheme="minorHAnsi" w:eastAsiaTheme="minorHAnsi" w:hAnsiTheme="minorHAnsi" w:cstheme="minorBidi"/>
          <w:snapToGrid/>
          <w:sz w:val="24"/>
          <w:szCs w:val="22"/>
        </w:rPr>
        <w:t xml:space="preserve"> </w:t>
      </w:r>
      <w:r w:rsidRPr="003F6F9D">
        <w:rPr>
          <w:rFonts w:asciiTheme="minorHAnsi" w:eastAsiaTheme="minorHAnsi" w:hAnsiTheme="minorHAnsi" w:cstheme="minorBidi"/>
          <w:snapToGrid/>
          <w:sz w:val="24"/>
          <w:szCs w:val="22"/>
        </w:rPr>
        <w:t xml:space="preserve">A TGA application to broaden the </w:t>
      </w:r>
      <w:r w:rsidRPr="003F6F9D">
        <w:rPr>
          <w:rFonts w:asciiTheme="minorHAnsi" w:eastAsiaTheme="minorHAnsi" w:hAnsiTheme="minorHAnsi" w:cstheme="minorBidi"/>
          <w:snapToGrid/>
          <w:sz w:val="24"/>
          <w:szCs w:val="22"/>
        </w:rPr>
        <w:lastRenderedPageBreak/>
        <w:t>registered indication, on the basis of the results of the FOURIER CV outcomes trial, was lo</w:t>
      </w:r>
      <w:r w:rsidR="00DB51B5">
        <w:rPr>
          <w:rFonts w:asciiTheme="minorHAnsi" w:eastAsiaTheme="minorHAnsi" w:hAnsiTheme="minorHAnsi" w:cstheme="minorBidi"/>
          <w:snapToGrid/>
          <w:sz w:val="24"/>
          <w:szCs w:val="22"/>
        </w:rPr>
        <w:t>dged in June 2017 and approval wa</w:t>
      </w:r>
      <w:r w:rsidR="004427B3">
        <w:rPr>
          <w:rFonts w:asciiTheme="minorHAnsi" w:eastAsiaTheme="minorHAnsi" w:hAnsiTheme="minorHAnsi" w:cstheme="minorBidi"/>
          <w:snapToGrid/>
          <w:sz w:val="24"/>
          <w:szCs w:val="22"/>
        </w:rPr>
        <w:t>s anticipated 31 August 2018.</w:t>
      </w:r>
    </w:p>
    <w:p w:rsidR="008F624A" w:rsidRPr="003F6F9D" w:rsidRDefault="008F624A" w:rsidP="00A41664">
      <w:pPr>
        <w:pStyle w:val="Heading2"/>
        <w:rPr>
          <w:rFonts w:eastAsiaTheme="majorEastAsia"/>
          <w:lang w:eastAsia="en-US"/>
        </w:rPr>
      </w:pPr>
      <w:bookmarkStart w:id="2" w:name="_Toc492314252"/>
      <w:r w:rsidRPr="003F6F9D">
        <w:rPr>
          <w:rFonts w:eastAsiaTheme="majorEastAsia"/>
          <w:lang w:eastAsia="en-US"/>
        </w:rPr>
        <w:t>Previous PBAC consideration</w:t>
      </w:r>
      <w:bookmarkEnd w:id="2"/>
    </w:p>
    <w:p w:rsidR="008F624A" w:rsidRDefault="008F624A" w:rsidP="004427B3">
      <w:pPr>
        <w:pStyle w:val="ListParagraph"/>
        <w:widowControl/>
        <w:numPr>
          <w:ilvl w:val="1"/>
          <w:numId w:val="14"/>
        </w:numPr>
        <w:spacing w:after="160"/>
        <w:contextualSpacing w:val="0"/>
        <w:rPr>
          <w:rFonts w:asciiTheme="minorHAnsi" w:eastAsiaTheme="minorHAnsi" w:hAnsiTheme="minorHAnsi" w:cstheme="minorBidi"/>
          <w:snapToGrid/>
          <w:sz w:val="24"/>
          <w:szCs w:val="22"/>
        </w:rPr>
      </w:pPr>
      <w:r w:rsidRPr="003F6F9D">
        <w:rPr>
          <w:rFonts w:asciiTheme="minorHAnsi" w:eastAsiaTheme="minorHAnsi" w:hAnsiTheme="minorHAnsi" w:cstheme="minorBidi"/>
          <w:snapToGrid/>
          <w:sz w:val="24"/>
          <w:szCs w:val="22"/>
        </w:rPr>
        <w:t xml:space="preserve">Evolocumab was listed on the PBS on 1 December 2016 for HoFH.  </w:t>
      </w:r>
    </w:p>
    <w:p w:rsidR="008F624A" w:rsidRPr="00E642B0" w:rsidRDefault="008F624A" w:rsidP="00E642B0">
      <w:pPr>
        <w:pStyle w:val="ListParagraph"/>
        <w:widowControl/>
        <w:numPr>
          <w:ilvl w:val="1"/>
          <w:numId w:val="14"/>
        </w:numPr>
        <w:spacing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outstanding matters of concerns from the November 2017 meeting are</w:t>
      </w:r>
      <w:r w:rsidR="00E642B0">
        <w:rPr>
          <w:rFonts w:asciiTheme="minorHAnsi" w:eastAsiaTheme="minorHAnsi" w:hAnsiTheme="minorHAnsi" w:cstheme="minorBidi"/>
          <w:snapToGrid/>
          <w:sz w:val="24"/>
          <w:szCs w:val="22"/>
        </w:rPr>
        <w:t xml:space="preserve"> summarised in the table below.</w:t>
      </w:r>
    </w:p>
    <w:p w:rsidR="00E642B0" w:rsidRDefault="00E642B0" w:rsidP="00E642B0">
      <w:pPr>
        <w:pStyle w:val="Caption"/>
        <w:keepNext/>
      </w:pPr>
      <w:r>
        <w:lastRenderedPageBreak/>
        <w:t xml:space="preserve">Table </w:t>
      </w:r>
      <w:r>
        <w:rPr>
          <w:noProof/>
        </w:rPr>
        <w:t>1</w:t>
      </w:r>
      <w:r>
        <w:t>:</w:t>
      </w:r>
      <w:r w:rsidRPr="00E642B0">
        <w:t xml:space="preserve"> </w:t>
      </w:r>
      <w:r>
        <w:t>PBAC matters of concern in previous consideration (November 2017)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937"/>
        <w:gridCol w:w="4134"/>
        <w:gridCol w:w="4011"/>
      </w:tblGrid>
      <w:tr w:rsidR="008F624A" w:rsidRPr="00ED0F04" w:rsidTr="003603D6">
        <w:trPr>
          <w:trHeight w:val="240"/>
        </w:trPr>
        <w:tc>
          <w:tcPr>
            <w:tcW w:w="2792" w:type="pct"/>
            <w:gridSpan w:val="2"/>
            <w:shd w:val="clear" w:color="auto" w:fill="auto"/>
          </w:tcPr>
          <w:p w:rsidR="008F624A" w:rsidRPr="00ED0F04" w:rsidRDefault="008F624A" w:rsidP="003603D6">
            <w:pPr>
              <w:keepNext/>
              <w:spacing w:after="120"/>
              <w:rPr>
                <w:rFonts w:ascii="Arial Narrow" w:hAnsi="Arial Narrow"/>
                <w:b/>
                <w:sz w:val="20"/>
              </w:rPr>
            </w:pPr>
            <w:r w:rsidRPr="00ED0F04">
              <w:rPr>
                <w:rFonts w:ascii="Arial Narrow" w:hAnsi="Arial Narrow"/>
                <w:b/>
                <w:sz w:val="20"/>
              </w:rPr>
              <w:t>Matters of concern</w:t>
            </w:r>
          </w:p>
        </w:tc>
        <w:tc>
          <w:tcPr>
            <w:tcW w:w="2208" w:type="pct"/>
            <w:shd w:val="clear" w:color="auto" w:fill="auto"/>
          </w:tcPr>
          <w:p w:rsidR="008F624A" w:rsidRPr="00ED0F04" w:rsidRDefault="008F624A" w:rsidP="003603D6">
            <w:pPr>
              <w:keepNext/>
              <w:spacing w:after="120"/>
              <w:jc w:val="center"/>
              <w:rPr>
                <w:rFonts w:ascii="Arial Narrow" w:hAnsi="Arial Narrow"/>
                <w:b/>
                <w:sz w:val="20"/>
              </w:rPr>
            </w:pPr>
            <w:r>
              <w:rPr>
                <w:rFonts w:ascii="Arial Narrow" w:hAnsi="Arial Narrow"/>
                <w:b/>
                <w:sz w:val="20"/>
              </w:rPr>
              <w:t>How the re</w:t>
            </w:r>
            <w:r w:rsidRPr="00ED0F04">
              <w:rPr>
                <w:rFonts w:ascii="Arial Narrow" w:hAnsi="Arial Narrow"/>
                <w:b/>
                <w:sz w:val="20"/>
              </w:rPr>
              <w:t>submission addresses it</w:t>
            </w:r>
          </w:p>
        </w:tc>
      </w:tr>
      <w:tr w:rsidR="008F624A" w:rsidRPr="00ED0F04" w:rsidTr="003603D6">
        <w:trPr>
          <w:trHeight w:val="437"/>
        </w:trPr>
        <w:tc>
          <w:tcPr>
            <w:tcW w:w="2792" w:type="pct"/>
            <w:gridSpan w:val="2"/>
            <w:shd w:val="clear" w:color="auto" w:fill="auto"/>
          </w:tcPr>
          <w:p w:rsidR="008F624A" w:rsidRDefault="008F624A" w:rsidP="003603D6">
            <w:pPr>
              <w:keepNext/>
              <w:spacing w:after="120"/>
              <w:rPr>
                <w:rFonts w:ascii="Arial Narrow" w:hAnsi="Arial Narrow"/>
                <w:sz w:val="20"/>
              </w:rPr>
            </w:pPr>
            <w:r>
              <w:rPr>
                <w:rFonts w:ascii="Arial Narrow" w:hAnsi="Arial Narrow"/>
                <w:sz w:val="20"/>
              </w:rPr>
              <w:t xml:space="preserve">(para 7.11) </w:t>
            </w:r>
            <w:r w:rsidRPr="00BF2574">
              <w:rPr>
                <w:rFonts w:ascii="Arial Narrow" w:hAnsi="Arial Narrow"/>
                <w:sz w:val="20"/>
              </w:rPr>
              <w:t xml:space="preserve">The PBAC considered </w:t>
            </w:r>
            <w:r>
              <w:rPr>
                <w:rFonts w:ascii="Arial Narrow" w:hAnsi="Arial Narrow"/>
                <w:sz w:val="20"/>
              </w:rPr>
              <w:t>a</w:t>
            </w:r>
            <w:r w:rsidRPr="00BF2574">
              <w:rPr>
                <w:rFonts w:ascii="Arial Narrow" w:hAnsi="Arial Narrow"/>
                <w:sz w:val="20"/>
              </w:rPr>
              <w:t xml:space="preserve"> resubmission </w:t>
            </w:r>
            <w:r>
              <w:rPr>
                <w:rFonts w:ascii="Arial Narrow" w:hAnsi="Arial Narrow"/>
                <w:sz w:val="20"/>
              </w:rPr>
              <w:t xml:space="preserve">for the FH populations </w:t>
            </w:r>
            <w:r w:rsidRPr="00BF2574">
              <w:rPr>
                <w:rFonts w:ascii="Arial Narrow" w:hAnsi="Arial Narrow"/>
                <w:sz w:val="20"/>
              </w:rPr>
              <w:t>should include the following:</w:t>
            </w:r>
          </w:p>
        </w:tc>
        <w:tc>
          <w:tcPr>
            <w:tcW w:w="2208" w:type="pct"/>
            <w:shd w:val="clear" w:color="auto" w:fill="auto"/>
          </w:tcPr>
          <w:p w:rsidR="008F624A" w:rsidRDefault="008F624A" w:rsidP="003603D6">
            <w:pPr>
              <w:keepNext/>
              <w:spacing w:after="120"/>
              <w:rPr>
                <w:rFonts w:ascii="Arial Narrow" w:hAnsi="Arial Narrow"/>
                <w:sz w:val="20"/>
              </w:rPr>
            </w:pPr>
          </w:p>
        </w:tc>
      </w:tr>
      <w:tr w:rsidR="008F624A" w:rsidRPr="00ED0F04" w:rsidTr="003603D6">
        <w:trPr>
          <w:trHeight w:val="788"/>
        </w:trPr>
        <w:tc>
          <w:tcPr>
            <w:tcW w:w="516" w:type="pct"/>
            <w:shd w:val="clear" w:color="auto" w:fill="auto"/>
          </w:tcPr>
          <w:p w:rsidR="008F624A" w:rsidRPr="00D30236" w:rsidRDefault="008F624A" w:rsidP="003603D6">
            <w:pPr>
              <w:keepNext/>
              <w:spacing w:after="120"/>
              <w:rPr>
                <w:rFonts w:ascii="Arial Narrow" w:hAnsi="Arial Narrow"/>
                <w:sz w:val="20"/>
              </w:rPr>
            </w:pPr>
            <w:r>
              <w:rPr>
                <w:rFonts w:ascii="Arial Narrow" w:hAnsi="Arial Narrow"/>
                <w:sz w:val="20"/>
              </w:rPr>
              <w:t xml:space="preserve">Restriction: </w:t>
            </w:r>
          </w:p>
        </w:tc>
        <w:tc>
          <w:tcPr>
            <w:tcW w:w="2276" w:type="pct"/>
            <w:shd w:val="clear" w:color="auto" w:fill="auto"/>
          </w:tcPr>
          <w:p w:rsidR="008F624A" w:rsidRPr="00D30236" w:rsidRDefault="008F624A" w:rsidP="003603D6">
            <w:pPr>
              <w:keepNext/>
              <w:spacing w:after="120"/>
              <w:rPr>
                <w:rFonts w:ascii="Arial Narrow" w:hAnsi="Arial Narrow"/>
                <w:sz w:val="20"/>
              </w:rPr>
            </w:pPr>
            <w:r>
              <w:rPr>
                <w:rFonts w:ascii="Arial Narrow" w:hAnsi="Arial Narrow"/>
                <w:sz w:val="20"/>
              </w:rPr>
              <w:t>R</w:t>
            </w:r>
            <w:r w:rsidRPr="00BF2574">
              <w:rPr>
                <w:rFonts w:ascii="Arial Narrow" w:hAnsi="Arial Narrow"/>
                <w:sz w:val="20"/>
              </w:rPr>
              <w:t>estriction with more specific definitions of ASCVD and statin intolerance, and clarity that patients are required to be on other lipid lowering therapy/ies to be eligible for evolocumab</w:t>
            </w:r>
          </w:p>
        </w:tc>
        <w:tc>
          <w:tcPr>
            <w:tcW w:w="2208" w:type="pct"/>
            <w:shd w:val="clear" w:color="auto" w:fill="auto"/>
          </w:tcPr>
          <w:p w:rsidR="008F624A" w:rsidRDefault="008F624A" w:rsidP="003603D6">
            <w:pPr>
              <w:keepNext/>
              <w:spacing w:after="120"/>
              <w:rPr>
                <w:rFonts w:ascii="Arial Narrow" w:hAnsi="Arial Narrow"/>
                <w:sz w:val="20"/>
              </w:rPr>
            </w:pPr>
            <w:r>
              <w:rPr>
                <w:rFonts w:ascii="Arial Narrow" w:hAnsi="Arial Narrow"/>
                <w:sz w:val="20"/>
              </w:rPr>
              <w:t>No changes were proposed to the definition of ASCVD.</w:t>
            </w:r>
          </w:p>
          <w:p w:rsidR="008F624A" w:rsidRDefault="008F624A" w:rsidP="003603D6">
            <w:pPr>
              <w:keepNext/>
              <w:spacing w:after="120"/>
              <w:rPr>
                <w:rFonts w:ascii="Arial Narrow" w:hAnsi="Arial Narrow"/>
                <w:sz w:val="20"/>
              </w:rPr>
            </w:pPr>
            <w:r>
              <w:rPr>
                <w:rFonts w:ascii="Arial Narrow" w:hAnsi="Arial Narrow"/>
                <w:sz w:val="20"/>
              </w:rPr>
              <w:t xml:space="preserve">The revised </w:t>
            </w:r>
            <w:r w:rsidRPr="004D0F48">
              <w:rPr>
                <w:rFonts w:ascii="Arial Narrow" w:hAnsi="Arial Narrow"/>
                <w:sz w:val="20"/>
              </w:rPr>
              <w:t>restriction includes wording with respect to demonstration of statin intolerance, and wording relating to use of evolocumab in combination with other lipid lowering therapy</w:t>
            </w:r>
            <w:r>
              <w:rPr>
                <w:rFonts w:ascii="Arial Narrow" w:hAnsi="Arial Narrow"/>
                <w:sz w:val="20"/>
              </w:rPr>
              <w:t xml:space="preserve">. </w:t>
            </w:r>
          </w:p>
          <w:p w:rsidR="008F624A" w:rsidRPr="003603D6" w:rsidRDefault="008F624A" w:rsidP="003603D6">
            <w:pPr>
              <w:keepNext/>
              <w:spacing w:after="120"/>
              <w:rPr>
                <w:rFonts w:ascii="Arial Narrow" w:hAnsi="Arial Narrow"/>
                <w:sz w:val="20"/>
              </w:rPr>
            </w:pPr>
            <w:r w:rsidRPr="003603D6">
              <w:rPr>
                <w:rFonts w:ascii="Arial Narrow" w:hAnsi="Arial Narrow"/>
                <w:sz w:val="20"/>
              </w:rPr>
              <w:t xml:space="preserve">These proposed changes are outlined </w:t>
            </w:r>
            <w:r w:rsidR="00DB51B5">
              <w:rPr>
                <w:rFonts w:ascii="Arial Narrow" w:hAnsi="Arial Narrow"/>
                <w:sz w:val="20"/>
              </w:rPr>
              <w:t>below in Section 3</w:t>
            </w:r>
            <w:r w:rsidRPr="003603D6">
              <w:rPr>
                <w:rFonts w:ascii="Arial Narrow" w:hAnsi="Arial Narrow"/>
                <w:sz w:val="20"/>
              </w:rPr>
              <w:t>.</w:t>
            </w:r>
          </w:p>
          <w:p w:rsidR="008F624A" w:rsidRPr="00D30236" w:rsidRDefault="008F624A" w:rsidP="007A2B33">
            <w:pPr>
              <w:keepNext/>
              <w:spacing w:after="120"/>
              <w:rPr>
                <w:rFonts w:ascii="Arial Narrow" w:hAnsi="Arial Narrow"/>
                <w:sz w:val="20"/>
              </w:rPr>
            </w:pPr>
            <w:r>
              <w:rPr>
                <w:rFonts w:ascii="Arial Narrow" w:hAnsi="Arial Narrow"/>
                <w:sz w:val="20"/>
              </w:rPr>
              <w:t>T</w:t>
            </w:r>
            <w:r w:rsidRPr="00F14DBF">
              <w:rPr>
                <w:rFonts w:ascii="Arial Narrow" w:hAnsi="Arial Narrow"/>
                <w:sz w:val="20"/>
              </w:rPr>
              <w:t xml:space="preserve">he PBAC </w:t>
            </w:r>
            <w:r w:rsidR="009F4B9F">
              <w:rPr>
                <w:rFonts w:ascii="Arial Narrow" w:hAnsi="Arial Narrow"/>
                <w:sz w:val="20"/>
              </w:rPr>
              <w:t>wa</w:t>
            </w:r>
            <w:r>
              <w:rPr>
                <w:rFonts w:ascii="Arial Narrow" w:hAnsi="Arial Narrow"/>
                <w:sz w:val="20"/>
              </w:rPr>
              <w:t>s requested to</w:t>
            </w:r>
            <w:r w:rsidRPr="00F14DBF">
              <w:rPr>
                <w:rFonts w:ascii="Arial Narrow" w:hAnsi="Arial Narrow"/>
                <w:sz w:val="20"/>
              </w:rPr>
              <w:t xml:space="preserve"> consider the status of the TGA submission for the monotherapy </w:t>
            </w:r>
            <w:r w:rsidR="007A2B33">
              <w:rPr>
                <w:rFonts w:ascii="Arial Narrow" w:hAnsi="Arial Narrow"/>
                <w:sz w:val="20"/>
              </w:rPr>
              <w:t>TGA indication</w:t>
            </w:r>
            <w:r w:rsidR="007A2B33" w:rsidRPr="00F14DBF">
              <w:rPr>
                <w:rFonts w:ascii="Arial Narrow" w:hAnsi="Arial Narrow"/>
                <w:sz w:val="20"/>
              </w:rPr>
              <w:t xml:space="preserve"> </w:t>
            </w:r>
            <w:r w:rsidRPr="00F14DBF">
              <w:rPr>
                <w:rFonts w:ascii="Arial Narrow" w:hAnsi="Arial Narrow"/>
                <w:sz w:val="20"/>
              </w:rPr>
              <w:t>expansion</w:t>
            </w:r>
            <w:r>
              <w:rPr>
                <w:rFonts w:ascii="Arial Narrow" w:hAnsi="Arial Narrow"/>
                <w:sz w:val="20"/>
              </w:rPr>
              <w:t xml:space="preserve"> (expected approval in August 2018) and not include the </w:t>
            </w:r>
            <w:r w:rsidRPr="00F14DBF">
              <w:rPr>
                <w:rFonts w:ascii="Arial Narrow" w:hAnsi="Arial Narrow"/>
                <w:sz w:val="20"/>
              </w:rPr>
              <w:t>addition of monotherapy to the PBS restriction</w:t>
            </w:r>
            <w:r>
              <w:rPr>
                <w:rFonts w:ascii="Arial Narrow" w:hAnsi="Arial Narrow"/>
                <w:sz w:val="20"/>
              </w:rPr>
              <w:t xml:space="preserve"> or include a time limited note if PBS listed prior to TGA approval.</w:t>
            </w:r>
            <w:r w:rsidR="007C4812">
              <w:rPr>
                <w:rFonts w:ascii="Arial Narrow" w:hAnsi="Arial Narrow"/>
                <w:sz w:val="20"/>
              </w:rPr>
              <w:t xml:space="preserve"> The PBAC considered th</w:t>
            </w:r>
            <w:r w:rsidR="007A2B33">
              <w:rPr>
                <w:rFonts w:ascii="Arial Narrow" w:hAnsi="Arial Narrow"/>
                <w:sz w:val="20"/>
              </w:rPr>
              <w:t xml:space="preserve">e request to not prohibit monotherapy </w:t>
            </w:r>
            <w:r w:rsidR="007C4812">
              <w:rPr>
                <w:rFonts w:ascii="Arial Narrow" w:hAnsi="Arial Narrow"/>
                <w:sz w:val="20"/>
              </w:rPr>
              <w:t>was reasonable.</w:t>
            </w:r>
          </w:p>
        </w:tc>
      </w:tr>
      <w:tr w:rsidR="008F624A" w:rsidRPr="00ED0F04" w:rsidTr="003603D6">
        <w:trPr>
          <w:trHeight w:val="788"/>
        </w:trPr>
        <w:tc>
          <w:tcPr>
            <w:tcW w:w="516" w:type="pct"/>
            <w:shd w:val="clear" w:color="auto" w:fill="auto"/>
          </w:tcPr>
          <w:p w:rsidR="008F624A" w:rsidRPr="00BB59C1" w:rsidRDefault="008F624A" w:rsidP="003603D6">
            <w:pPr>
              <w:keepNext/>
              <w:spacing w:after="120"/>
              <w:rPr>
                <w:rFonts w:ascii="Arial Narrow" w:hAnsi="Arial Narrow"/>
                <w:sz w:val="20"/>
              </w:rPr>
            </w:pPr>
            <w:r w:rsidRPr="00BB59C1">
              <w:rPr>
                <w:rFonts w:ascii="Arial Narrow" w:hAnsi="Arial Narrow"/>
                <w:sz w:val="20"/>
              </w:rPr>
              <w:t>Alirocumab comparison</w:t>
            </w:r>
          </w:p>
        </w:tc>
        <w:tc>
          <w:tcPr>
            <w:tcW w:w="2276" w:type="pct"/>
            <w:shd w:val="clear" w:color="auto" w:fill="auto"/>
          </w:tcPr>
          <w:p w:rsidR="008F624A" w:rsidRPr="00BF2574" w:rsidRDefault="008F624A" w:rsidP="003603D6">
            <w:pPr>
              <w:keepNext/>
              <w:spacing w:after="120"/>
              <w:rPr>
                <w:rFonts w:ascii="Arial Narrow" w:hAnsi="Arial Narrow"/>
                <w:sz w:val="20"/>
              </w:rPr>
            </w:pPr>
            <w:r w:rsidRPr="00BF2574">
              <w:rPr>
                <w:rFonts w:ascii="Arial Narrow" w:hAnsi="Arial Narrow"/>
                <w:sz w:val="20"/>
              </w:rPr>
              <w:t>Indirect comparison with alirocumab using the FOURIER trial and ODYSSEY OUTCOMES trial data, if available</w:t>
            </w:r>
          </w:p>
        </w:tc>
        <w:tc>
          <w:tcPr>
            <w:tcW w:w="2208" w:type="pct"/>
            <w:shd w:val="clear" w:color="auto" w:fill="auto"/>
          </w:tcPr>
          <w:p w:rsidR="008F624A" w:rsidRPr="00D30236" w:rsidRDefault="008F624A" w:rsidP="003603D6">
            <w:pPr>
              <w:keepNext/>
              <w:spacing w:after="120"/>
              <w:rPr>
                <w:rFonts w:ascii="Arial Narrow" w:hAnsi="Arial Narrow"/>
                <w:sz w:val="20"/>
              </w:rPr>
            </w:pPr>
            <w:r>
              <w:rPr>
                <w:rFonts w:ascii="Arial Narrow" w:hAnsi="Arial Narrow"/>
                <w:sz w:val="20"/>
              </w:rPr>
              <w:t xml:space="preserve">Not addressed in this minor resubmission, but </w:t>
            </w:r>
            <w:r w:rsidRPr="004D0F48">
              <w:rPr>
                <w:rFonts w:ascii="Arial Narrow" w:hAnsi="Arial Narrow"/>
                <w:sz w:val="20"/>
              </w:rPr>
              <w:t>an indirect comparison would be presented in a future submission to the PBAC</w:t>
            </w:r>
            <w:r>
              <w:rPr>
                <w:rFonts w:ascii="Arial Narrow" w:hAnsi="Arial Narrow"/>
                <w:sz w:val="20"/>
              </w:rPr>
              <w:t xml:space="preserve"> when the ODYSSEY OUTCOMES data is available.</w:t>
            </w:r>
          </w:p>
        </w:tc>
      </w:tr>
      <w:tr w:rsidR="008F624A" w:rsidRPr="00BB59C1" w:rsidTr="003603D6">
        <w:trPr>
          <w:trHeight w:val="487"/>
        </w:trPr>
        <w:tc>
          <w:tcPr>
            <w:tcW w:w="516" w:type="pct"/>
            <w:shd w:val="clear" w:color="auto" w:fill="auto"/>
          </w:tcPr>
          <w:p w:rsidR="008F624A" w:rsidRPr="00BB59C1" w:rsidRDefault="008F624A" w:rsidP="003603D6">
            <w:pPr>
              <w:keepNext/>
              <w:spacing w:after="120"/>
              <w:rPr>
                <w:rFonts w:ascii="Arial Narrow" w:hAnsi="Arial Narrow"/>
                <w:sz w:val="20"/>
              </w:rPr>
            </w:pPr>
            <w:r w:rsidRPr="00BB59C1">
              <w:rPr>
                <w:rFonts w:ascii="Arial Narrow" w:hAnsi="Arial Narrow"/>
                <w:sz w:val="20"/>
              </w:rPr>
              <w:t>Model</w:t>
            </w:r>
          </w:p>
        </w:tc>
        <w:tc>
          <w:tcPr>
            <w:tcW w:w="2276" w:type="pct"/>
            <w:shd w:val="clear" w:color="auto" w:fill="auto"/>
          </w:tcPr>
          <w:p w:rsidR="008F624A" w:rsidRPr="00BB59C1" w:rsidRDefault="008F624A" w:rsidP="003603D6">
            <w:pPr>
              <w:keepNext/>
              <w:spacing w:after="120"/>
              <w:rPr>
                <w:rFonts w:ascii="Arial Narrow" w:hAnsi="Arial Narrow"/>
                <w:sz w:val="20"/>
              </w:rPr>
            </w:pPr>
            <w:r w:rsidRPr="00BB59C1">
              <w:rPr>
                <w:rFonts w:ascii="Arial Narrow" w:hAnsi="Arial Narrow"/>
                <w:sz w:val="20"/>
              </w:rPr>
              <w:t xml:space="preserve">Revised base cases for both the FH with ASCVD and FH with very high LDL-c populations incorporating a time lag for CV mortality benefit of </w:t>
            </w:r>
            <w:r w:rsidRPr="006635E2">
              <w:rPr>
                <w:rFonts w:ascii="Arial Narrow" w:hAnsi="Arial Narrow"/>
                <w:sz w:val="20"/>
              </w:rPr>
              <w:t xml:space="preserve">between </w:t>
            </w:r>
            <w:r w:rsidR="005A614E">
              <w:rPr>
                <w:rFonts w:ascii="Arial Narrow" w:hAnsi="Arial Narrow"/>
                <w:noProof/>
                <w:color w:val="000000"/>
                <w:sz w:val="20"/>
                <w:highlight w:val="black"/>
              </w:rPr>
              <w:t>'''''''''''' '''''''''' ''''''''</w:t>
            </w:r>
            <w:r w:rsidRPr="00453CBB">
              <w:rPr>
                <w:rFonts w:ascii="Arial Narrow" w:hAnsi="Arial Narrow"/>
                <w:sz w:val="20"/>
              </w:rPr>
              <w:t xml:space="preserve"> years</w:t>
            </w:r>
            <w:r w:rsidRPr="00BB59C1">
              <w:rPr>
                <w:rFonts w:ascii="Arial Narrow" w:hAnsi="Arial Narrow"/>
                <w:sz w:val="20"/>
              </w:rPr>
              <w:t xml:space="preserve"> and a reduced price to achieve comparable ICERs to those presented in this November 2017 submission  </w:t>
            </w:r>
          </w:p>
        </w:tc>
        <w:tc>
          <w:tcPr>
            <w:tcW w:w="2208" w:type="pct"/>
            <w:shd w:val="clear" w:color="auto" w:fill="auto"/>
          </w:tcPr>
          <w:p w:rsidR="008F624A" w:rsidRPr="00BB59C1" w:rsidRDefault="008F624A" w:rsidP="003603D6">
            <w:pPr>
              <w:spacing w:after="120"/>
              <w:rPr>
                <w:rFonts w:ascii="Arial Narrow" w:hAnsi="Arial Narrow"/>
                <w:iCs/>
                <w:sz w:val="20"/>
                <w:szCs w:val="20"/>
              </w:rPr>
            </w:pPr>
            <w:r w:rsidRPr="00BB59C1">
              <w:rPr>
                <w:rFonts w:ascii="Arial Narrow" w:hAnsi="Arial Narrow"/>
                <w:iCs/>
                <w:sz w:val="20"/>
                <w:szCs w:val="20"/>
              </w:rPr>
              <w:t>Comparable ICERs to those presented in</w:t>
            </w:r>
            <w:r w:rsidR="009F4B9F">
              <w:rPr>
                <w:rFonts w:ascii="Arial Narrow" w:hAnsi="Arial Narrow"/>
                <w:iCs/>
                <w:sz w:val="20"/>
                <w:szCs w:val="20"/>
              </w:rPr>
              <w:t xml:space="preserve"> </w:t>
            </w:r>
            <w:r w:rsidRPr="00BB59C1">
              <w:rPr>
                <w:rFonts w:ascii="Arial Narrow" w:hAnsi="Arial Narrow"/>
                <w:iCs/>
                <w:sz w:val="20"/>
                <w:szCs w:val="20"/>
              </w:rPr>
              <w:t>November 2017 with the revised model, which includes:</w:t>
            </w:r>
          </w:p>
          <w:p w:rsidR="008F624A" w:rsidRPr="00BB59C1" w:rsidRDefault="008F624A" w:rsidP="003603D6">
            <w:pPr>
              <w:pStyle w:val="ListParagraph"/>
              <w:widowControl/>
              <w:numPr>
                <w:ilvl w:val="0"/>
                <w:numId w:val="23"/>
              </w:numPr>
              <w:spacing w:after="120"/>
              <w:ind w:left="181" w:hanging="181"/>
              <w:jc w:val="left"/>
              <w:rPr>
                <w:rFonts w:ascii="Arial Narrow" w:hAnsi="Arial Narrow"/>
                <w:iCs/>
                <w:sz w:val="20"/>
              </w:rPr>
            </w:pPr>
            <w:r w:rsidRPr="00BB59C1">
              <w:rPr>
                <w:rFonts w:ascii="Arial Narrow" w:hAnsi="Arial Narrow"/>
                <w:iCs/>
                <w:sz w:val="20"/>
              </w:rPr>
              <w:t xml:space="preserve">a </w:t>
            </w:r>
            <w:r w:rsidR="005A614E">
              <w:rPr>
                <w:rFonts w:ascii="Arial Narrow" w:hAnsi="Arial Narrow"/>
                <w:iCs/>
                <w:noProof/>
                <w:color w:val="000000"/>
                <w:sz w:val="20"/>
                <w:highlight w:val="black"/>
              </w:rPr>
              <w:t>''''''''</w:t>
            </w:r>
            <w:r w:rsidRPr="00453CBB">
              <w:rPr>
                <w:rFonts w:ascii="Arial Narrow" w:hAnsi="Arial Narrow"/>
                <w:iCs/>
                <w:sz w:val="20"/>
              </w:rPr>
              <w:t xml:space="preserve"> </w:t>
            </w:r>
            <w:r w:rsidRPr="003144AC">
              <w:rPr>
                <w:rFonts w:ascii="Arial Narrow" w:hAnsi="Arial Narrow"/>
                <w:iCs/>
                <w:sz w:val="20"/>
              </w:rPr>
              <w:t>year</w:t>
            </w:r>
            <w:r w:rsidR="006635E2" w:rsidRPr="003144AC">
              <w:rPr>
                <w:rFonts w:ascii="Arial Narrow" w:hAnsi="Arial Narrow"/>
                <w:iCs/>
                <w:sz w:val="20"/>
              </w:rPr>
              <w:t xml:space="preserve"> lag</w:t>
            </w:r>
            <w:r w:rsidR="003144AC">
              <w:rPr>
                <w:rFonts w:ascii="Arial Narrow" w:hAnsi="Arial Narrow"/>
                <w:iCs/>
                <w:sz w:val="20"/>
              </w:rPr>
              <w:t xml:space="preserve"> </w:t>
            </w:r>
            <w:r w:rsidRPr="003144AC">
              <w:rPr>
                <w:rFonts w:ascii="Arial Narrow" w:hAnsi="Arial Narrow"/>
                <w:iCs/>
                <w:sz w:val="20"/>
              </w:rPr>
              <w:t>in</w:t>
            </w:r>
            <w:r w:rsidRPr="00BB59C1">
              <w:rPr>
                <w:rFonts w:ascii="Arial Narrow" w:hAnsi="Arial Narrow"/>
                <w:iCs/>
                <w:sz w:val="20"/>
              </w:rPr>
              <w:t xml:space="preserve"> CV mortality effects </w:t>
            </w:r>
          </w:p>
          <w:p w:rsidR="008F624A" w:rsidRPr="00BB59C1" w:rsidRDefault="008F624A" w:rsidP="003603D6">
            <w:pPr>
              <w:pStyle w:val="ListParagraph"/>
              <w:widowControl/>
              <w:numPr>
                <w:ilvl w:val="0"/>
                <w:numId w:val="23"/>
              </w:numPr>
              <w:spacing w:after="120"/>
              <w:ind w:left="181" w:hanging="181"/>
              <w:jc w:val="left"/>
              <w:rPr>
                <w:rFonts w:ascii="Arial Narrow" w:hAnsi="Arial Narrow"/>
                <w:iCs/>
                <w:sz w:val="20"/>
              </w:rPr>
            </w:pPr>
            <w:r w:rsidRPr="00BB59C1">
              <w:rPr>
                <w:rFonts w:ascii="Arial Narrow" w:hAnsi="Arial Narrow"/>
                <w:iCs/>
                <w:sz w:val="20"/>
              </w:rPr>
              <w:t xml:space="preserve">an approximate </w:t>
            </w:r>
            <w:r w:rsidR="005A614E">
              <w:rPr>
                <w:rFonts w:ascii="Arial Narrow" w:hAnsi="Arial Narrow"/>
                <w:iCs/>
                <w:noProof/>
                <w:color w:val="000000"/>
                <w:sz w:val="20"/>
                <w:highlight w:val="black"/>
              </w:rPr>
              <w:t>''''''</w:t>
            </w:r>
            <w:r w:rsidRPr="00BB59C1">
              <w:rPr>
                <w:rFonts w:ascii="Arial Narrow" w:hAnsi="Arial Narrow"/>
                <w:iCs/>
                <w:sz w:val="20"/>
              </w:rPr>
              <w:t>% price reduction for the effective price</w:t>
            </w:r>
          </w:p>
          <w:p w:rsidR="008F624A" w:rsidRPr="00BB59C1" w:rsidRDefault="008F624A" w:rsidP="003603D6">
            <w:pPr>
              <w:keepNext/>
              <w:spacing w:after="120"/>
              <w:rPr>
                <w:rFonts w:ascii="Arial Narrow" w:hAnsi="Arial Narrow"/>
                <w:sz w:val="20"/>
              </w:rPr>
            </w:pPr>
          </w:p>
        </w:tc>
      </w:tr>
      <w:tr w:rsidR="008F624A" w:rsidRPr="00BB59C1" w:rsidTr="003603D6">
        <w:trPr>
          <w:trHeight w:val="930"/>
        </w:trPr>
        <w:tc>
          <w:tcPr>
            <w:tcW w:w="516" w:type="pct"/>
            <w:shd w:val="clear" w:color="auto" w:fill="auto"/>
          </w:tcPr>
          <w:p w:rsidR="008F624A" w:rsidRPr="00BB59C1" w:rsidRDefault="008F624A" w:rsidP="003603D6">
            <w:pPr>
              <w:keepNext/>
              <w:spacing w:after="120"/>
              <w:rPr>
                <w:rFonts w:ascii="Arial Narrow" w:hAnsi="Arial Narrow"/>
                <w:sz w:val="20"/>
              </w:rPr>
            </w:pPr>
            <w:r w:rsidRPr="00BB59C1">
              <w:rPr>
                <w:rFonts w:ascii="Arial Narrow" w:hAnsi="Arial Narrow"/>
                <w:sz w:val="20"/>
              </w:rPr>
              <w:t>Financial estimates</w:t>
            </w:r>
          </w:p>
        </w:tc>
        <w:tc>
          <w:tcPr>
            <w:tcW w:w="2276" w:type="pct"/>
            <w:shd w:val="clear" w:color="auto" w:fill="auto"/>
          </w:tcPr>
          <w:p w:rsidR="008F624A" w:rsidRPr="00BB59C1" w:rsidRDefault="008F624A" w:rsidP="003603D6">
            <w:pPr>
              <w:keepNext/>
              <w:spacing w:after="120"/>
              <w:rPr>
                <w:rFonts w:ascii="Arial Narrow" w:hAnsi="Arial Narrow"/>
                <w:sz w:val="20"/>
              </w:rPr>
            </w:pPr>
            <w:r w:rsidRPr="00BB59C1">
              <w:rPr>
                <w:rFonts w:ascii="Arial Narrow" w:hAnsi="Arial Narrow"/>
                <w:sz w:val="20"/>
              </w:rPr>
              <w:t xml:space="preserve">Revised financial implications for the FH population only, including a risk-share arrangement with a cap to account for uncertainty on the size and uptake of the eligible FH population and potential use outside the approved FH population into the non-FH population.  </w:t>
            </w:r>
          </w:p>
        </w:tc>
        <w:tc>
          <w:tcPr>
            <w:tcW w:w="2208" w:type="pct"/>
            <w:shd w:val="clear" w:color="auto" w:fill="auto"/>
          </w:tcPr>
          <w:p w:rsidR="008F624A" w:rsidRPr="00BB59C1" w:rsidRDefault="008F624A" w:rsidP="003603D6">
            <w:pPr>
              <w:keepNext/>
              <w:spacing w:after="120"/>
              <w:rPr>
                <w:rFonts w:ascii="Arial Narrow" w:hAnsi="Arial Narrow"/>
                <w:sz w:val="20"/>
                <w:szCs w:val="20"/>
              </w:rPr>
            </w:pPr>
            <w:r w:rsidRPr="00BB59C1">
              <w:rPr>
                <w:rFonts w:ascii="Arial Narrow" w:hAnsi="Arial Narrow"/>
                <w:sz w:val="20"/>
                <w:szCs w:val="20"/>
              </w:rPr>
              <w:t>The revised financial estimates incorporate the reduced price offer and remove the cost offsets from ezetimibe substitution.</w:t>
            </w:r>
          </w:p>
          <w:p w:rsidR="008F624A" w:rsidRPr="00BB59C1" w:rsidRDefault="008F624A" w:rsidP="003603D6">
            <w:pPr>
              <w:keepNext/>
              <w:spacing w:after="120"/>
              <w:rPr>
                <w:rFonts w:ascii="Arial Narrow" w:hAnsi="Arial Narrow"/>
                <w:sz w:val="20"/>
              </w:rPr>
            </w:pPr>
            <w:r w:rsidRPr="00BB59C1">
              <w:rPr>
                <w:rFonts w:ascii="Arial Narrow" w:hAnsi="Arial Narrow"/>
                <w:sz w:val="20"/>
                <w:szCs w:val="20"/>
              </w:rPr>
              <w:t xml:space="preserve">A risk-share arrangement with a three tier cap is proposed. A </w:t>
            </w:r>
            <w:r w:rsidR="005A614E">
              <w:rPr>
                <w:rFonts w:ascii="Arial Narrow" w:hAnsi="Arial Narrow"/>
                <w:noProof/>
                <w:color w:val="000000"/>
                <w:sz w:val="20"/>
                <w:szCs w:val="20"/>
                <w:highlight w:val="black"/>
              </w:rPr>
              <w:t>'''''''</w:t>
            </w:r>
            <w:r w:rsidRPr="00BB59C1">
              <w:rPr>
                <w:rFonts w:ascii="Arial Narrow" w:hAnsi="Arial Narrow"/>
                <w:sz w:val="20"/>
                <w:szCs w:val="20"/>
              </w:rPr>
              <w:t xml:space="preserve">% rebate would apply between Tier 1 </w:t>
            </w:r>
            <w:r w:rsidRPr="003603D6">
              <w:rPr>
                <w:rFonts w:ascii="Arial Narrow" w:hAnsi="Arial Narrow"/>
                <w:sz w:val="20"/>
                <w:szCs w:val="20"/>
              </w:rPr>
              <w:t xml:space="preserve">and Tier 2.  Above Tier 2, a </w:t>
            </w:r>
            <w:r w:rsidR="005A614E">
              <w:rPr>
                <w:rFonts w:ascii="Arial Narrow" w:hAnsi="Arial Narrow"/>
                <w:noProof/>
                <w:color w:val="000000"/>
                <w:sz w:val="20"/>
                <w:szCs w:val="20"/>
                <w:highlight w:val="black"/>
              </w:rPr>
              <w:t>''''''''</w:t>
            </w:r>
            <w:r w:rsidRPr="003603D6">
              <w:rPr>
                <w:rFonts w:ascii="Arial Narrow" w:hAnsi="Arial Narrow"/>
                <w:sz w:val="20"/>
                <w:szCs w:val="20"/>
              </w:rPr>
              <w:t xml:space="preserve">% rebate is proposed. No detail of the rationale for the selected Tier 2 values has been provided. The estimates are approximately </w:t>
            </w:r>
            <w:r w:rsidR="005A614E">
              <w:rPr>
                <w:rFonts w:ascii="Arial Narrow" w:hAnsi="Arial Narrow"/>
                <w:noProof/>
                <w:color w:val="000000"/>
                <w:sz w:val="20"/>
                <w:szCs w:val="20"/>
                <w:highlight w:val="black"/>
              </w:rPr>
              <w:t>''''''</w:t>
            </w:r>
            <w:r w:rsidRPr="003603D6">
              <w:rPr>
                <w:rFonts w:ascii="Arial Narrow" w:hAnsi="Arial Narrow"/>
                <w:sz w:val="20"/>
                <w:szCs w:val="20"/>
              </w:rPr>
              <w:t>% higher than Tier 1.</w:t>
            </w:r>
          </w:p>
        </w:tc>
      </w:tr>
      <w:tr w:rsidR="008F624A" w:rsidRPr="00BB59C1" w:rsidTr="003603D6">
        <w:trPr>
          <w:trHeight w:val="259"/>
        </w:trPr>
        <w:tc>
          <w:tcPr>
            <w:tcW w:w="2792" w:type="pct"/>
            <w:gridSpan w:val="2"/>
            <w:shd w:val="clear" w:color="auto" w:fill="auto"/>
          </w:tcPr>
          <w:p w:rsidR="008F624A" w:rsidRPr="00BB59C1" w:rsidRDefault="008F624A" w:rsidP="003603D6">
            <w:pPr>
              <w:spacing w:after="120"/>
              <w:rPr>
                <w:rFonts w:ascii="Arial Narrow" w:hAnsi="Arial Narrow"/>
                <w:sz w:val="20"/>
              </w:rPr>
            </w:pPr>
            <w:r w:rsidRPr="00BB59C1">
              <w:rPr>
                <w:rFonts w:ascii="Arial Narrow" w:hAnsi="Arial Narrow"/>
                <w:sz w:val="20"/>
              </w:rPr>
              <w:t>(para 7.12)</w:t>
            </w:r>
          </w:p>
          <w:p w:rsidR="008F624A" w:rsidRPr="00BB59C1" w:rsidRDefault="008F624A" w:rsidP="003603D6">
            <w:pPr>
              <w:spacing w:after="120"/>
              <w:rPr>
                <w:rFonts w:ascii="Arial Narrow" w:hAnsi="Arial Narrow"/>
                <w:sz w:val="20"/>
              </w:rPr>
            </w:pPr>
            <w:r w:rsidRPr="00BB59C1">
              <w:rPr>
                <w:rFonts w:ascii="Arial Narrow" w:hAnsi="Arial Narrow"/>
                <w:sz w:val="20"/>
              </w:rPr>
              <w:t>Non-FH with ASCVD population: The PBAC rejected this component of the submission. The PBAC considered the population was inadequately defined. The PBAC advised further modelling could be used to determine the qualifying LDL-c level for the non-FH population with ASCVD, and the proposed PBS restriction would require more specific definitions of ASCVD and statin intolerance.</w:t>
            </w:r>
          </w:p>
        </w:tc>
        <w:tc>
          <w:tcPr>
            <w:tcW w:w="2208" w:type="pct"/>
            <w:shd w:val="clear" w:color="auto" w:fill="auto"/>
          </w:tcPr>
          <w:p w:rsidR="008F624A" w:rsidRPr="00BB59C1" w:rsidRDefault="008F624A" w:rsidP="003603D6">
            <w:pPr>
              <w:spacing w:after="120"/>
              <w:rPr>
                <w:rFonts w:ascii="Arial Narrow" w:hAnsi="Arial Narrow"/>
                <w:sz w:val="20"/>
              </w:rPr>
            </w:pPr>
            <w:r w:rsidRPr="00BB59C1">
              <w:rPr>
                <w:rFonts w:ascii="Arial Narrow" w:hAnsi="Arial Narrow"/>
                <w:sz w:val="20"/>
              </w:rPr>
              <w:t>Not addressed in this minor resubmission.</w:t>
            </w:r>
          </w:p>
        </w:tc>
      </w:tr>
    </w:tbl>
    <w:p w:rsidR="00E11620" w:rsidRDefault="008F624A" w:rsidP="008F624A">
      <w:pPr>
        <w:pStyle w:val="TableFooter"/>
        <w:widowControl/>
        <w:spacing w:after="120"/>
      </w:pPr>
      <w:r w:rsidRPr="00BB59C1">
        <w:t xml:space="preserve">Source: Compiled </w:t>
      </w:r>
      <w:r>
        <w:t>by the Secretariat</w:t>
      </w:r>
      <w:r w:rsidRPr="00BB59C1">
        <w:t>. Paragraph references refer to the November 2017 evolocumab minutes.</w:t>
      </w:r>
    </w:p>
    <w:p w:rsidR="008F624A" w:rsidRPr="00E11620" w:rsidRDefault="00E11620" w:rsidP="00E11620">
      <w:pPr>
        <w:pStyle w:val="ListParagraph"/>
        <w:ind w:left="709"/>
        <w:rPr>
          <w:rFonts w:asciiTheme="minorHAnsi" w:hAnsiTheme="minorHAnsi"/>
          <w:i/>
          <w:sz w:val="24"/>
          <w:szCs w:val="24"/>
        </w:rPr>
      </w:pPr>
      <w:r w:rsidRPr="008C4FE6">
        <w:rPr>
          <w:rFonts w:asciiTheme="minorHAnsi" w:hAnsiTheme="minorHAnsi"/>
          <w:i/>
          <w:sz w:val="24"/>
          <w:szCs w:val="24"/>
        </w:rPr>
        <w:t>For more deta</w:t>
      </w:r>
      <w:r w:rsidR="008C4FE6">
        <w:rPr>
          <w:rFonts w:asciiTheme="minorHAnsi" w:hAnsiTheme="minorHAnsi"/>
          <w:i/>
          <w:sz w:val="24"/>
          <w:szCs w:val="24"/>
        </w:rPr>
        <w:t>il on PBAC’s view, see section 5</w:t>
      </w:r>
      <w:r w:rsidRPr="008C4FE6">
        <w:rPr>
          <w:rFonts w:asciiTheme="minorHAnsi" w:hAnsiTheme="minorHAnsi"/>
          <w:i/>
          <w:sz w:val="24"/>
          <w:szCs w:val="24"/>
        </w:rPr>
        <w:t xml:space="preserve"> PBAC outcome.</w:t>
      </w:r>
    </w:p>
    <w:p w:rsidR="006A12A5" w:rsidRPr="003144AC" w:rsidRDefault="006A12A5" w:rsidP="003144AC">
      <w:pPr>
        <w:pStyle w:val="PBACHeading1"/>
      </w:pPr>
      <w:r w:rsidRPr="003144AC">
        <w:t>Requested listing</w:t>
      </w:r>
    </w:p>
    <w:p w:rsidR="00372AE8" w:rsidRDefault="00EF44A0" w:rsidP="003144AC">
      <w:pPr>
        <w:pStyle w:val="ListParagraph"/>
        <w:widowControl/>
        <w:numPr>
          <w:ilvl w:val="1"/>
          <w:numId w:val="14"/>
        </w:numPr>
        <w:spacing w:after="24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w:t>
      </w:r>
      <w:r w:rsidR="005512E7">
        <w:rPr>
          <w:rFonts w:asciiTheme="minorHAnsi" w:eastAsiaTheme="minorHAnsi" w:hAnsiTheme="minorHAnsi" w:cstheme="minorBidi"/>
          <w:snapToGrid/>
          <w:sz w:val="24"/>
          <w:szCs w:val="22"/>
        </w:rPr>
        <w:t>is</w:t>
      </w:r>
      <w:r w:rsidR="00045F4B">
        <w:rPr>
          <w:rFonts w:asciiTheme="minorHAnsi" w:eastAsiaTheme="minorHAnsi" w:hAnsiTheme="minorHAnsi" w:cstheme="minorBidi"/>
          <w:snapToGrid/>
          <w:sz w:val="24"/>
          <w:szCs w:val="22"/>
        </w:rPr>
        <w:t xml:space="preserve"> </w:t>
      </w:r>
      <w:r w:rsidR="007A4C0F">
        <w:rPr>
          <w:rFonts w:asciiTheme="minorHAnsi" w:eastAsiaTheme="minorHAnsi" w:hAnsiTheme="minorHAnsi" w:cstheme="minorBidi"/>
          <w:snapToGrid/>
          <w:sz w:val="24"/>
          <w:szCs w:val="22"/>
        </w:rPr>
        <w:t>re</w:t>
      </w:r>
      <w:r w:rsidRPr="001B2BBC">
        <w:rPr>
          <w:rFonts w:asciiTheme="minorHAnsi" w:eastAsiaTheme="minorHAnsi" w:hAnsiTheme="minorHAnsi" w:cstheme="minorBidi"/>
          <w:snapToGrid/>
          <w:sz w:val="24"/>
          <w:szCs w:val="22"/>
        </w:rPr>
        <w:t xml:space="preserve">submission </w:t>
      </w:r>
      <w:r w:rsidR="007A4C0F">
        <w:rPr>
          <w:rFonts w:asciiTheme="minorHAnsi" w:eastAsiaTheme="minorHAnsi" w:hAnsiTheme="minorHAnsi" w:cstheme="minorBidi"/>
          <w:snapToGrid/>
          <w:sz w:val="24"/>
          <w:szCs w:val="22"/>
        </w:rPr>
        <w:t>does not include the</w:t>
      </w:r>
      <w:r w:rsidR="007A4C0F" w:rsidRPr="007A4C0F">
        <w:rPr>
          <w:rFonts w:asciiTheme="minorHAnsi" w:eastAsiaTheme="minorHAnsi" w:hAnsiTheme="minorHAnsi" w:cstheme="minorBidi"/>
          <w:snapToGrid/>
          <w:sz w:val="24"/>
          <w:szCs w:val="22"/>
        </w:rPr>
        <w:t xml:space="preserve"> non-FH ASCVD </w:t>
      </w:r>
      <w:r w:rsidR="005512E7">
        <w:rPr>
          <w:rFonts w:asciiTheme="minorHAnsi" w:eastAsiaTheme="minorHAnsi" w:hAnsiTheme="minorHAnsi" w:cstheme="minorBidi"/>
          <w:snapToGrid/>
          <w:sz w:val="24"/>
          <w:szCs w:val="22"/>
        </w:rPr>
        <w:t>population, which was the component of the November 2017 submission rejected by the PBAC.</w:t>
      </w:r>
      <w:r w:rsidR="00045F4B">
        <w:rPr>
          <w:rFonts w:asciiTheme="minorHAnsi" w:eastAsiaTheme="minorHAnsi" w:hAnsiTheme="minorHAnsi" w:cstheme="minorBidi"/>
          <w:snapToGrid/>
          <w:sz w:val="24"/>
          <w:szCs w:val="22"/>
        </w:rPr>
        <w:t xml:space="preserve"> </w:t>
      </w:r>
      <w:r w:rsidR="005512E7">
        <w:rPr>
          <w:rFonts w:asciiTheme="minorHAnsi" w:eastAsiaTheme="minorHAnsi" w:hAnsiTheme="minorHAnsi" w:cstheme="minorBidi"/>
          <w:snapToGrid/>
          <w:sz w:val="24"/>
          <w:szCs w:val="22"/>
        </w:rPr>
        <w:t xml:space="preserve">The </w:t>
      </w:r>
      <w:r w:rsidRPr="001B2BBC">
        <w:rPr>
          <w:rFonts w:asciiTheme="minorHAnsi" w:eastAsiaTheme="minorHAnsi" w:hAnsiTheme="minorHAnsi" w:cstheme="minorBidi"/>
          <w:snapToGrid/>
          <w:sz w:val="24"/>
          <w:szCs w:val="22"/>
        </w:rPr>
        <w:t xml:space="preserve">changes to the </w:t>
      </w:r>
      <w:r w:rsidR="004E51A8">
        <w:rPr>
          <w:rFonts w:asciiTheme="minorHAnsi" w:eastAsiaTheme="minorHAnsi" w:hAnsiTheme="minorHAnsi" w:cstheme="minorBidi"/>
          <w:snapToGrid/>
          <w:sz w:val="24"/>
          <w:szCs w:val="22"/>
        </w:rPr>
        <w:t xml:space="preserve">proposed listing </w:t>
      </w:r>
      <w:r w:rsidR="005512E7">
        <w:rPr>
          <w:rFonts w:asciiTheme="minorHAnsi" w:eastAsiaTheme="minorHAnsi" w:hAnsiTheme="minorHAnsi" w:cstheme="minorBidi"/>
          <w:snapToGrid/>
          <w:sz w:val="24"/>
          <w:szCs w:val="22"/>
        </w:rPr>
        <w:t>for the FH populations are highlighted below in grey</w:t>
      </w:r>
      <w:r w:rsidR="00C3720E">
        <w:rPr>
          <w:rFonts w:asciiTheme="minorHAnsi" w:eastAsiaTheme="minorHAnsi" w:hAnsiTheme="minorHAnsi" w:cstheme="minorBidi"/>
          <w:snapToGrid/>
          <w:sz w:val="24"/>
          <w:szCs w:val="22"/>
        </w:rPr>
        <w:t xml:space="preserve">; these changes relate to </w:t>
      </w:r>
      <w:r w:rsidR="003623D3">
        <w:rPr>
          <w:rFonts w:asciiTheme="minorHAnsi" w:eastAsiaTheme="minorHAnsi" w:hAnsiTheme="minorHAnsi" w:cstheme="minorBidi"/>
          <w:snapToGrid/>
          <w:sz w:val="24"/>
          <w:szCs w:val="22"/>
        </w:rPr>
        <w:t xml:space="preserve">the criteria </w:t>
      </w:r>
      <w:r w:rsidR="00C3720E">
        <w:rPr>
          <w:rFonts w:asciiTheme="minorHAnsi" w:eastAsiaTheme="minorHAnsi" w:hAnsiTheme="minorHAnsi" w:cstheme="minorBidi"/>
          <w:snapToGrid/>
          <w:sz w:val="24"/>
          <w:szCs w:val="22"/>
        </w:rPr>
        <w:t>defining statin intolerance</w:t>
      </w:r>
      <w:r w:rsidR="00372AE8">
        <w:rPr>
          <w:rFonts w:asciiTheme="minorHAnsi" w:eastAsiaTheme="minorHAnsi" w:hAnsiTheme="minorHAnsi" w:cstheme="minorBidi"/>
          <w:snapToGrid/>
          <w:sz w:val="24"/>
          <w:szCs w:val="22"/>
        </w:rPr>
        <w:t>.</w:t>
      </w:r>
    </w:p>
    <w:tbl>
      <w:tblPr>
        <w:tblW w:w="4958" w:type="pct"/>
        <w:tblLook w:val="0000" w:firstRow="0" w:lastRow="0" w:firstColumn="0" w:lastColumn="0" w:noHBand="0" w:noVBand="0"/>
      </w:tblPr>
      <w:tblGrid>
        <w:gridCol w:w="80"/>
        <w:gridCol w:w="3308"/>
        <w:gridCol w:w="70"/>
        <w:gridCol w:w="700"/>
        <w:gridCol w:w="64"/>
        <w:gridCol w:w="860"/>
        <w:gridCol w:w="64"/>
        <w:gridCol w:w="1596"/>
        <w:gridCol w:w="60"/>
        <w:gridCol w:w="1785"/>
        <w:gridCol w:w="497"/>
        <w:gridCol w:w="80"/>
      </w:tblGrid>
      <w:tr w:rsidR="007A4C0F" w:rsidRPr="00743335" w:rsidTr="003144AC">
        <w:trPr>
          <w:gridAfter w:val="1"/>
          <w:wAfter w:w="44" w:type="pct"/>
          <w:cantSplit/>
          <w:trHeight w:val="465"/>
        </w:trPr>
        <w:tc>
          <w:tcPr>
            <w:tcW w:w="1849" w:type="pct"/>
            <w:gridSpan w:val="2"/>
            <w:tcBorders>
              <w:bottom w:val="single" w:sz="4" w:space="0" w:color="auto"/>
            </w:tcBorders>
          </w:tcPr>
          <w:p w:rsidR="007A4C0F" w:rsidRPr="007A4C0F" w:rsidRDefault="007A4C0F" w:rsidP="007A4C0F">
            <w:pPr>
              <w:jc w:val="both"/>
              <w:rPr>
                <w:rFonts w:ascii="Arial Narrow" w:hAnsi="Arial Narrow" w:cs="Arial"/>
                <w:b/>
                <w:sz w:val="20"/>
                <w:szCs w:val="20"/>
              </w:rPr>
            </w:pPr>
            <w:r w:rsidRPr="007A4C0F">
              <w:rPr>
                <w:rFonts w:ascii="Arial Narrow" w:hAnsi="Arial Narrow" w:cs="Arial"/>
                <w:b/>
                <w:sz w:val="20"/>
                <w:szCs w:val="20"/>
              </w:rPr>
              <w:t>Name, Restriction,</w:t>
            </w:r>
          </w:p>
          <w:p w:rsidR="007A4C0F" w:rsidRPr="007A4C0F" w:rsidRDefault="007A4C0F" w:rsidP="007A4C0F">
            <w:pPr>
              <w:jc w:val="both"/>
              <w:rPr>
                <w:rFonts w:ascii="Arial Narrow" w:hAnsi="Arial Narrow" w:cs="Arial"/>
                <w:b/>
                <w:sz w:val="20"/>
                <w:szCs w:val="20"/>
              </w:rPr>
            </w:pPr>
            <w:r w:rsidRPr="007A4C0F">
              <w:rPr>
                <w:rFonts w:ascii="Arial Narrow" w:hAnsi="Arial Narrow" w:cs="Arial"/>
                <w:b/>
                <w:sz w:val="20"/>
                <w:szCs w:val="20"/>
              </w:rPr>
              <w:t>Manner of administration and form</w:t>
            </w:r>
          </w:p>
        </w:tc>
        <w:tc>
          <w:tcPr>
            <w:tcW w:w="420" w:type="pct"/>
            <w:gridSpan w:val="2"/>
            <w:tcBorders>
              <w:bottom w:val="single" w:sz="4" w:space="0" w:color="auto"/>
            </w:tcBorders>
          </w:tcPr>
          <w:p w:rsidR="007A4C0F" w:rsidRPr="007A4C0F" w:rsidRDefault="007A4C0F" w:rsidP="007A4C0F">
            <w:pPr>
              <w:jc w:val="both"/>
              <w:rPr>
                <w:rFonts w:ascii="Arial Narrow" w:hAnsi="Arial Narrow" w:cs="Arial"/>
                <w:b/>
                <w:sz w:val="20"/>
                <w:szCs w:val="20"/>
              </w:rPr>
            </w:pPr>
            <w:r w:rsidRPr="007A4C0F">
              <w:rPr>
                <w:rFonts w:ascii="Arial Narrow" w:hAnsi="Arial Narrow" w:cs="Arial"/>
                <w:b/>
                <w:sz w:val="20"/>
                <w:szCs w:val="20"/>
              </w:rPr>
              <w:t>Max.</w:t>
            </w:r>
          </w:p>
          <w:p w:rsidR="007A4C0F" w:rsidRPr="007A4C0F" w:rsidRDefault="007A4C0F" w:rsidP="007A4C0F">
            <w:pPr>
              <w:jc w:val="both"/>
              <w:rPr>
                <w:rFonts w:ascii="Arial Narrow" w:hAnsi="Arial Narrow" w:cs="Arial"/>
                <w:b/>
                <w:sz w:val="20"/>
                <w:szCs w:val="20"/>
              </w:rPr>
            </w:pPr>
            <w:r w:rsidRPr="007A4C0F">
              <w:rPr>
                <w:rFonts w:ascii="Arial Narrow" w:hAnsi="Arial Narrow" w:cs="Arial"/>
                <w:b/>
                <w:sz w:val="20"/>
                <w:szCs w:val="20"/>
              </w:rPr>
              <w:t>Qty</w:t>
            </w:r>
          </w:p>
        </w:tc>
        <w:tc>
          <w:tcPr>
            <w:tcW w:w="504" w:type="pct"/>
            <w:gridSpan w:val="2"/>
            <w:tcBorders>
              <w:bottom w:val="single" w:sz="4" w:space="0" w:color="auto"/>
            </w:tcBorders>
          </w:tcPr>
          <w:p w:rsidR="007A4C0F" w:rsidRPr="007A4C0F" w:rsidRDefault="007A4C0F" w:rsidP="007A4C0F">
            <w:pPr>
              <w:jc w:val="both"/>
              <w:rPr>
                <w:rFonts w:ascii="Arial Narrow" w:hAnsi="Arial Narrow" w:cs="Arial"/>
                <w:b/>
                <w:sz w:val="20"/>
                <w:szCs w:val="20"/>
              </w:rPr>
            </w:pPr>
            <w:r w:rsidRPr="007A4C0F">
              <w:rPr>
                <w:rFonts w:ascii="Arial Narrow" w:hAnsi="Arial Narrow" w:cs="Arial"/>
                <w:b/>
                <w:sz w:val="20"/>
                <w:szCs w:val="20"/>
              </w:rPr>
              <w:t>№.of</w:t>
            </w:r>
          </w:p>
          <w:p w:rsidR="007A4C0F" w:rsidRPr="007A4C0F" w:rsidRDefault="007A4C0F" w:rsidP="007A4C0F">
            <w:pPr>
              <w:jc w:val="both"/>
              <w:rPr>
                <w:rFonts w:ascii="Arial Narrow" w:hAnsi="Arial Narrow" w:cs="Arial"/>
                <w:b/>
                <w:sz w:val="20"/>
                <w:szCs w:val="20"/>
              </w:rPr>
            </w:pPr>
            <w:r w:rsidRPr="007A4C0F">
              <w:rPr>
                <w:rFonts w:ascii="Arial Narrow" w:hAnsi="Arial Narrow" w:cs="Arial"/>
                <w:b/>
                <w:sz w:val="20"/>
                <w:szCs w:val="20"/>
              </w:rPr>
              <w:t>Rpts</w:t>
            </w:r>
          </w:p>
        </w:tc>
        <w:tc>
          <w:tcPr>
            <w:tcW w:w="906" w:type="pct"/>
            <w:gridSpan w:val="2"/>
            <w:tcBorders>
              <w:bottom w:val="single" w:sz="4" w:space="0" w:color="auto"/>
            </w:tcBorders>
          </w:tcPr>
          <w:p w:rsidR="007A4C0F" w:rsidRPr="007A4C0F" w:rsidRDefault="007A4C0F" w:rsidP="007A4C0F">
            <w:pPr>
              <w:jc w:val="both"/>
              <w:rPr>
                <w:rFonts w:ascii="Arial Narrow" w:hAnsi="Arial Narrow" w:cs="Arial"/>
                <w:b/>
                <w:sz w:val="20"/>
                <w:szCs w:val="20"/>
              </w:rPr>
            </w:pPr>
            <w:r w:rsidRPr="007A4C0F">
              <w:rPr>
                <w:rFonts w:ascii="Arial Narrow" w:hAnsi="Arial Narrow" w:cs="Arial"/>
                <w:b/>
                <w:sz w:val="20"/>
                <w:szCs w:val="20"/>
              </w:rPr>
              <w:t>Published (Effective) Dispensed price for maximum quantity</w:t>
            </w:r>
          </w:p>
        </w:tc>
        <w:tc>
          <w:tcPr>
            <w:tcW w:w="1278" w:type="pct"/>
            <w:gridSpan w:val="3"/>
            <w:tcBorders>
              <w:bottom w:val="single" w:sz="4" w:space="0" w:color="auto"/>
            </w:tcBorders>
          </w:tcPr>
          <w:p w:rsidR="007A4C0F" w:rsidRPr="007A4C0F" w:rsidRDefault="007A4C0F" w:rsidP="007A4C0F">
            <w:pPr>
              <w:jc w:val="both"/>
              <w:rPr>
                <w:rFonts w:ascii="Arial Narrow" w:hAnsi="Arial Narrow" w:cs="Arial"/>
                <w:b/>
                <w:sz w:val="20"/>
                <w:szCs w:val="20"/>
              </w:rPr>
            </w:pPr>
            <w:r w:rsidRPr="007A4C0F">
              <w:rPr>
                <w:rFonts w:ascii="Arial Narrow" w:hAnsi="Arial Narrow" w:cs="Arial"/>
                <w:b/>
                <w:sz w:val="20"/>
                <w:szCs w:val="20"/>
              </w:rPr>
              <w:t>Proprietary Name and Manufacturer</w:t>
            </w:r>
          </w:p>
        </w:tc>
      </w:tr>
      <w:tr w:rsidR="007A4C0F" w:rsidRPr="00743335" w:rsidTr="007A4C0F">
        <w:tblPrEx>
          <w:tblCellMar>
            <w:left w:w="28" w:type="dxa"/>
            <w:right w:w="28" w:type="dxa"/>
          </w:tblCellMar>
        </w:tblPrEx>
        <w:trPr>
          <w:gridBefore w:val="1"/>
          <w:wBefore w:w="44" w:type="pct"/>
          <w:cantSplit/>
          <w:trHeight w:val="567"/>
        </w:trPr>
        <w:tc>
          <w:tcPr>
            <w:tcW w:w="1843" w:type="pct"/>
            <w:gridSpan w:val="2"/>
            <w:vAlign w:val="center"/>
          </w:tcPr>
          <w:p w:rsidR="007A4C0F" w:rsidRPr="00743335" w:rsidRDefault="007A4C0F" w:rsidP="00DF7D1F">
            <w:pPr>
              <w:pStyle w:val="TableText0"/>
            </w:pPr>
            <w:r w:rsidRPr="00743335">
              <w:rPr>
                <w:smallCaps/>
              </w:rPr>
              <w:t>Evolocumab</w:t>
            </w:r>
          </w:p>
          <w:p w:rsidR="007A4C0F" w:rsidRPr="00743335" w:rsidRDefault="007A4C0F" w:rsidP="0083537E">
            <w:pPr>
              <w:pStyle w:val="TableText0"/>
            </w:pPr>
            <w:r w:rsidRPr="00743335">
              <w:t>140 mg injection, 1 mL injection device</w:t>
            </w:r>
          </w:p>
        </w:tc>
        <w:tc>
          <w:tcPr>
            <w:tcW w:w="417" w:type="pct"/>
            <w:gridSpan w:val="2"/>
            <w:vAlign w:val="center"/>
          </w:tcPr>
          <w:p w:rsidR="007A4C0F" w:rsidRPr="00743335" w:rsidRDefault="007A4C0F" w:rsidP="00DF7D1F">
            <w:pPr>
              <w:pStyle w:val="TableText0"/>
              <w:jc w:val="center"/>
            </w:pPr>
          </w:p>
          <w:p w:rsidR="007A4C0F" w:rsidRPr="00743335" w:rsidRDefault="007A4C0F" w:rsidP="00DF7D1F">
            <w:pPr>
              <w:pStyle w:val="TableText0"/>
              <w:jc w:val="center"/>
            </w:pPr>
            <w:r w:rsidRPr="00743335">
              <w:t>2</w:t>
            </w:r>
          </w:p>
        </w:tc>
        <w:tc>
          <w:tcPr>
            <w:tcW w:w="504" w:type="pct"/>
            <w:gridSpan w:val="2"/>
            <w:vAlign w:val="center"/>
          </w:tcPr>
          <w:p w:rsidR="007A4C0F" w:rsidRPr="00743335" w:rsidRDefault="007A4C0F" w:rsidP="00DF7D1F">
            <w:pPr>
              <w:pStyle w:val="TableText0"/>
              <w:jc w:val="center"/>
            </w:pPr>
          </w:p>
          <w:p w:rsidR="007A4C0F" w:rsidRPr="00743335" w:rsidRDefault="007A4C0F" w:rsidP="00DF7D1F">
            <w:pPr>
              <w:pStyle w:val="TableText0"/>
              <w:jc w:val="center"/>
            </w:pPr>
            <w:r w:rsidRPr="00743335">
              <w:t>5</w:t>
            </w:r>
          </w:p>
        </w:tc>
        <w:tc>
          <w:tcPr>
            <w:tcW w:w="904" w:type="pct"/>
            <w:gridSpan w:val="2"/>
            <w:vAlign w:val="center"/>
          </w:tcPr>
          <w:p w:rsidR="007A4C0F" w:rsidRPr="00743335" w:rsidRDefault="007A4C0F" w:rsidP="00DF7D1F">
            <w:pPr>
              <w:pStyle w:val="TableText0"/>
              <w:jc w:val="center"/>
            </w:pPr>
          </w:p>
          <w:p w:rsidR="007A4C0F" w:rsidRPr="00743335" w:rsidRDefault="007A4C0F" w:rsidP="007A4C0F">
            <w:pPr>
              <w:pStyle w:val="TableText0"/>
              <w:spacing w:before="0" w:after="0"/>
            </w:pPr>
            <w:r w:rsidRPr="008B19B9">
              <w:t>$</w:t>
            </w:r>
            <w:r w:rsidR="005A614E">
              <w:rPr>
                <w:noProof/>
                <w:color w:val="000000"/>
                <w:highlight w:val="black"/>
              </w:rPr>
              <w:t>'''''''''''''''</w:t>
            </w:r>
            <w:r w:rsidRPr="008B19B9">
              <w:rPr>
                <w:vertAlign w:val="superscript"/>
              </w:rPr>
              <w:t>a</w:t>
            </w:r>
            <w:r w:rsidRPr="008B19B9">
              <w:t>($</w:t>
            </w:r>
            <w:r w:rsidR="005A614E">
              <w:rPr>
                <w:noProof/>
                <w:color w:val="000000"/>
                <w:highlight w:val="black"/>
              </w:rPr>
              <w:t>''''''''''''''''</w:t>
            </w:r>
            <w:r w:rsidRPr="008B19B9">
              <w:rPr>
                <w:vertAlign w:val="superscript"/>
              </w:rPr>
              <w:t>b</w:t>
            </w:r>
            <w:r w:rsidRPr="008B19B9">
              <w:t>)</w:t>
            </w:r>
          </w:p>
        </w:tc>
        <w:tc>
          <w:tcPr>
            <w:tcW w:w="974" w:type="pct"/>
            <w:vAlign w:val="center"/>
          </w:tcPr>
          <w:p w:rsidR="007A4C0F" w:rsidRPr="00743335" w:rsidRDefault="007A4C0F" w:rsidP="00DF7D1F">
            <w:pPr>
              <w:pStyle w:val="TableText0"/>
            </w:pPr>
          </w:p>
          <w:p w:rsidR="007A4C0F" w:rsidRPr="00743335" w:rsidRDefault="007A4C0F" w:rsidP="00DF7D1F">
            <w:pPr>
              <w:pStyle w:val="TableText0"/>
            </w:pPr>
            <w:r w:rsidRPr="00743335">
              <w:t>Repatha Sureclick</w:t>
            </w:r>
            <w:r w:rsidRPr="00743335">
              <w:rPr>
                <w:vertAlign w:val="superscript"/>
              </w:rPr>
              <w:t>®</w:t>
            </w:r>
          </w:p>
        </w:tc>
        <w:tc>
          <w:tcPr>
            <w:tcW w:w="315" w:type="pct"/>
            <w:gridSpan w:val="2"/>
            <w:vMerge w:val="restart"/>
            <w:vAlign w:val="center"/>
          </w:tcPr>
          <w:p w:rsidR="007A4C0F" w:rsidRPr="00743335" w:rsidRDefault="007A4C0F" w:rsidP="00DF7D1F">
            <w:pPr>
              <w:pStyle w:val="TableText0"/>
            </w:pPr>
          </w:p>
          <w:p w:rsidR="007A4C0F" w:rsidRPr="00743335" w:rsidRDefault="007A4C0F" w:rsidP="00DF7D1F">
            <w:pPr>
              <w:pStyle w:val="TableText0"/>
            </w:pPr>
            <w:r w:rsidRPr="00743335">
              <w:t>Amgen</w:t>
            </w:r>
          </w:p>
        </w:tc>
      </w:tr>
      <w:tr w:rsidR="007A4C0F" w:rsidRPr="00743335" w:rsidTr="007A4C0F">
        <w:tblPrEx>
          <w:tblCellMar>
            <w:left w:w="28" w:type="dxa"/>
            <w:right w:w="28" w:type="dxa"/>
          </w:tblCellMar>
        </w:tblPrEx>
        <w:trPr>
          <w:gridBefore w:val="1"/>
          <w:wBefore w:w="44" w:type="pct"/>
          <w:cantSplit/>
          <w:trHeight w:val="567"/>
        </w:trPr>
        <w:tc>
          <w:tcPr>
            <w:tcW w:w="1843" w:type="pct"/>
            <w:gridSpan w:val="2"/>
            <w:vAlign w:val="center"/>
          </w:tcPr>
          <w:p w:rsidR="007A4C0F" w:rsidRPr="00743335" w:rsidRDefault="0083537E" w:rsidP="0083537E">
            <w:pPr>
              <w:pStyle w:val="TableText0"/>
            </w:pPr>
            <w:r>
              <w:t>4</w:t>
            </w:r>
            <w:r w:rsidR="007A4C0F" w:rsidRPr="00743335">
              <w:t>20 mg injection, 3.5 mL injection device</w:t>
            </w:r>
          </w:p>
        </w:tc>
        <w:tc>
          <w:tcPr>
            <w:tcW w:w="417" w:type="pct"/>
            <w:gridSpan w:val="2"/>
            <w:vAlign w:val="center"/>
          </w:tcPr>
          <w:p w:rsidR="007A4C0F" w:rsidRPr="00743335" w:rsidRDefault="007A4C0F" w:rsidP="00DF7D1F">
            <w:pPr>
              <w:pStyle w:val="TableText0"/>
              <w:jc w:val="center"/>
            </w:pPr>
            <w:r w:rsidRPr="00743335">
              <w:t>1</w:t>
            </w:r>
          </w:p>
        </w:tc>
        <w:tc>
          <w:tcPr>
            <w:tcW w:w="504" w:type="pct"/>
            <w:gridSpan w:val="2"/>
            <w:vAlign w:val="center"/>
          </w:tcPr>
          <w:p w:rsidR="007A4C0F" w:rsidRPr="00743335" w:rsidRDefault="007A4C0F" w:rsidP="00DF7D1F">
            <w:pPr>
              <w:pStyle w:val="TableText0"/>
              <w:jc w:val="center"/>
            </w:pPr>
            <w:r w:rsidRPr="00743335">
              <w:t>5</w:t>
            </w:r>
          </w:p>
        </w:tc>
        <w:tc>
          <w:tcPr>
            <w:tcW w:w="904" w:type="pct"/>
            <w:gridSpan w:val="2"/>
            <w:vAlign w:val="center"/>
          </w:tcPr>
          <w:p w:rsidR="007A4C0F" w:rsidRPr="00743335" w:rsidRDefault="007A4C0F" w:rsidP="00453CBB">
            <w:pPr>
              <w:pStyle w:val="TableText0"/>
              <w:spacing w:before="0" w:after="0"/>
            </w:pPr>
            <w:r w:rsidRPr="008B19B9">
              <w:t>$</w:t>
            </w:r>
            <w:r w:rsidR="005A614E">
              <w:rPr>
                <w:noProof/>
                <w:color w:val="000000"/>
                <w:highlight w:val="black"/>
              </w:rPr>
              <w:t>'''''''''''''''''</w:t>
            </w:r>
            <w:r w:rsidRPr="008B19B9">
              <w:rPr>
                <w:vertAlign w:val="superscript"/>
              </w:rPr>
              <w:t>a</w:t>
            </w:r>
            <w:r w:rsidRPr="008B19B9">
              <w:t>($</w:t>
            </w:r>
            <w:r w:rsidR="005A614E">
              <w:rPr>
                <w:noProof/>
                <w:color w:val="000000"/>
                <w:highlight w:val="black"/>
              </w:rPr>
              <w:t>''''''''''''''''</w:t>
            </w:r>
            <w:r w:rsidRPr="008B19B9">
              <w:rPr>
                <w:vertAlign w:val="superscript"/>
              </w:rPr>
              <w:t>b</w:t>
            </w:r>
            <w:r w:rsidRPr="008B19B9">
              <w:t>)</w:t>
            </w:r>
          </w:p>
        </w:tc>
        <w:tc>
          <w:tcPr>
            <w:tcW w:w="974" w:type="pct"/>
            <w:vAlign w:val="center"/>
          </w:tcPr>
          <w:p w:rsidR="007A4C0F" w:rsidRPr="00743335" w:rsidRDefault="007A4C0F" w:rsidP="00DF7D1F">
            <w:pPr>
              <w:pStyle w:val="TableText0"/>
            </w:pPr>
            <w:r w:rsidRPr="00743335">
              <w:t>Repatha Automated Mini-Doser</w:t>
            </w:r>
            <w:r w:rsidRPr="00743335">
              <w:rPr>
                <w:vertAlign w:val="superscript"/>
              </w:rPr>
              <w:t>®</w:t>
            </w:r>
          </w:p>
        </w:tc>
        <w:tc>
          <w:tcPr>
            <w:tcW w:w="315" w:type="pct"/>
            <w:gridSpan w:val="2"/>
            <w:vMerge/>
            <w:vAlign w:val="center"/>
          </w:tcPr>
          <w:p w:rsidR="007A4C0F" w:rsidRPr="00743335" w:rsidRDefault="007A4C0F" w:rsidP="00DF7D1F">
            <w:pPr>
              <w:pStyle w:val="TableText0"/>
            </w:pPr>
          </w:p>
        </w:tc>
      </w:tr>
    </w:tbl>
    <w:p w:rsidR="007A4C0F" w:rsidRPr="007A4C0F" w:rsidRDefault="007A4C0F" w:rsidP="007A4C0F">
      <w:pPr>
        <w:jc w:val="both"/>
        <w:rPr>
          <w:rFonts w:ascii="Arial Narrow" w:hAnsi="Arial Narrow"/>
          <w:sz w:val="20"/>
          <w:szCs w:val="20"/>
        </w:rPr>
      </w:pPr>
      <w:r w:rsidRPr="007A4C0F">
        <w:rPr>
          <w:rFonts w:ascii="Arial Narrow" w:hAnsi="Arial Narrow"/>
          <w:sz w:val="20"/>
          <w:szCs w:val="20"/>
        </w:rPr>
        <w:t>a. Prices updated to reflect current AHI and dispensing fees.</w:t>
      </w:r>
    </w:p>
    <w:p w:rsidR="007A4C0F" w:rsidRDefault="007A4C0F" w:rsidP="007A4C0F">
      <w:pPr>
        <w:jc w:val="both"/>
        <w:rPr>
          <w:rFonts w:ascii="Arial Narrow" w:hAnsi="Arial Narrow"/>
          <w:sz w:val="20"/>
          <w:szCs w:val="20"/>
        </w:rPr>
      </w:pPr>
      <w:r w:rsidRPr="007A4C0F">
        <w:rPr>
          <w:rFonts w:ascii="Arial Narrow" w:hAnsi="Arial Narrow"/>
          <w:sz w:val="20"/>
          <w:szCs w:val="20"/>
        </w:rPr>
        <w:t xml:space="preserve">b. Proposed effective price based on calculation consistent with that used to derive current effective prices and updated to reflect proposed </w:t>
      </w:r>
      <w:r w:rsidR="005A614E">
        <w:rPr>
          <w:rFonts w:ascii="Arial Narrow" w:hAnsi="Arial Narrow"/>
          <w:noProof/>
          <w:color w:val="000000"/>
          <w:sz w:val="20"/>
          <w:szCs w:val="20"/>
          <w:highlight w:val="black"/>
        </w:rPr>
        <w:t>'''''''</w:t>
      </w:r>
      <w:r w:rsidRPr="007A4C0F">
        <w:rPr>
          <w:rFonts w:ascii="Arial Narrow" w:hAnsi="Arial Narrow"/>
          <w:sz w:val="20"/>
          <w:szCs w:val="20"/>
        </w:rPr>
        <w:t>% rebate</w:t>
      </w:r>
      <w:r>
        <w:rPr>
          <w:rFonts w:ascii="Arial Narrow" w:hAnsi="Arial Narrow"/>
          <w:sz w:val="20"/>
          <w:szCs w:val="20"/>
        </w:rPr>
        <w:t xml:space="preserve"> (previously </w:t>
      </w:r>
      <w:r w:rsidR="005A614E">
        <w:rPr>
          <w:rFonts w:ascii="Arial Narrow" w:hAnsi="Arial Narrow"/>
          <w:noProof/>
          <w:color w:val="000000"/>
          <w:sz w:val="20"/>
          <w:szCs w:val="20"/>
          <w:highlight w:val="black"/>
        </w:rPr>
        <w:t>'''''''''''''''</w:t>
      </w:r>
      <w:r w:rsidRPr="007A4C0F">
        <w:rPr>
          <w:rFonts w:ascii="Arial Narrow" w:hAnsi="Arial Narrow"/>
          <w:sz w:val="20"/>
          <w:szCs w:val="20"/>
        </w:rPr>
        <w:t>%).</w:t>
      </w:r>
    </w:p>
    <w:tbl>
      <w:tblPr>
        <w:tblW w:w="4942" w:type="pct"/>
        <w:tblInd w:w="108" w:type="dxa"/>
        <w:tblLayout w:type="fixed"/>
        <w:tblLook w:val="0000" w:firstRow="0" w:lastRow="0" w:firstColumn="0" w:lastColumn="0" w:noHBand="0" w:noVBand="0"/>
      </w:tblPr>
      <w:tblGrid>
        <w:gridCol w:w="1853"/>
        <w:gridCol w:w="7282"/>
      </w:tblGrid>
      <w:tr w:rsidR="003144AC" w:rsidRPr="007A4C0F" w:rsidTr="003144AC">
        <w:trPr>
          <w:cantSplit/>
          <w:trHeight w:val="360"/>
        </w:trPr>
        <w:tc>
          <w:tcPr>
            <w:tcW w:w="1014" w:type="pct"/>
            <w:tcBorders>
              <w:bottom w:val="single" w:sz="4" w:space="0" w:color="auto"/>
            </w:tcBorders>
          </w:tcPr>
          <w:p w:rsidR="003144AC" w:rsidRPr="007A4C0F" w:rsidRDefault="003144AC" w:rsidP="00DF7D1F">
            <w:pPr>
              <w:rPr>
                <w:rFonts w:ascii="Arial Narrow" w:hAnsi="Arial Narrow"/>
                <w:b/>
                <w:sz w:val="20"/>
                <w:szCs w:val="20"/>
              </w:rPr>
            </w:pPr>
          </w:p>
        </w:tc>
        <w:tc>
          <w:tcPr>
            <w:tcW w:w="3986" w:type="pct"/>
            <w:tcBorders>
              <w:bottom w:val="single" w:sz="4" w:space="0" w:color="auto"/>
            </w:tcBorders>
          </w:tcPr>
          <w:p w:rsidR="003144AC" w:rsidRPr="007A4C0F" w:rsidRDefault="003144AC" w:rsidP="00DF7D1F">
            <w:pPr>
              <w:rPr>
                <w:rFonts w:ascii="Arial Narrow" w:hAnsi="Arial Narrow"/>
                <w:sz w:val="20"/>
                <w:szCs w:val="20"/>
              </w:rPr>
            </w:pPr>
          </w:p>
        </w:tc>
      </w:tr>
      <w:tr w:rsidR="007A4C0F" w:rsidRPr="007A4C0F" w:rsidTr="003144AC">
        <w:trPr>
          <w:cantSplit/>
          <w:trHeight w:val="360"/>
        </w:trPr>
        <w:tc>
          <w:tcPr>
            <w:tcW w:w="1014"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rPr>
                <w:rFonts w:ascii="Arial Narrow" w:hAnsi="Arial Narrow"/>
                <w:b/>
                <w:sz w:val="20"/>
                <w:szCs w:val="20"/>
              </w:rPr>
            </w:pPr>
            <w:r w:rsidRPr="007A4C0F">
              <w:rPr>
                <w:rFonts w:ascii="Arial Narrow" w:hAnsi="Arial Narrow"/>
                <w:b/>
                <w:sz w:val="20"/>
                <w:szCs w:val="20"/>
              </w:rPr>
              <w:t>Category/ Program</w:t>
            </w:r>
          </w:p>
        </w:tc>
        <w:tc>
          <w:tcPr>
            <w:tcW w:w="3986"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rPr>
                <w:rFonts w:ascii="Arial Narrow" w:hAnsi="Arial Narrow"/>
                <w:sz w:val="20"/>
                <w:szCs w:val="20"/>
              </w:rPr>
            </w:pPr>
            <w:r w:rsidRPr="007A4C0F">
              <w:rPr>
                <w:rFonts w:ascii="Arial Narrow" w:hAnsi="Arial Narrow"/>
                <w:sz w:val="20"/>
                <w:szCs w:val="20"/>
              </w:rPr>
              <w:t>GENERAL – General Schedule (Code GE)</w:t>
            </w:r>
          </w:p>
        </w:tc>
      </w:tr>
      <w:tr w:rsidR="007A4C0F" w:rsidRPr="007A4C0F" w:rsidTr="00DF7D1F">
        <w:trPr>
          <w:cantSplit/>
          <w:trHeight w:val="360"/>
        </w:trPr>
        <w:tc>
          <w:tcPr>
            <w:tcW w:w="1014"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rPr>
                <w:rFonts w:ascii="Arial Narrow" w:hAnsi="Arial Narrow"/>
                <w:b/>
                <w:sz w:val="20"/>
                <w:szCs w:val="20"/>
              </w:rPr>
            </w:pPr>
            <w:r w:rsidRPr="007A4C0F">
              <w:rPr>
                <w:rFonts w:ascii="Arial Narrow" w:hAnsi="Arial Narrow"/>
                <w:b/>
                <w:sz w:val="20"/>
                <w:szCs w:val="20"/>
              </w:rPr>
              <w:t>Prescriber type:</w:t>
            </w:r>
          </w:p>
          <w:p w:rsidR="007A4C0F" w:rsidRPr="007A4C0F" w:rsidRDefault="007A4C0F" w:rsidP="00DF7D1F">
            <w:pPr>
              <w:rPr>
                <w:rFonts w:ascii="Arial Narrow" w:hAnsi="Arial Narrow"/>
                <w:b/>
                <w:sz w:val="20"/>
                <w:szCs w:val="20"/>
              </w:rPr>
            </w:pPr>
          </w:p>
        </w:tc>
        <w:tc>
          <w:tcPr>
            <w:tcW w:w="3986" w:type="pct"/>
            <w:tcBorders>
              <w:top w:val="single" w:sz="4" w:space="0" w:color="auto"/>
              <w:left w:val="single" w:sz="4" w:space="0" w:color="auto"/>
              <w:bottom w:val="single" w:sz="4" w:space="0" w:color="auto"/>
              <w:right w:val="single" w:sz="4" w:space="0" w:color="auto"/>
            </w:tcBorders>
          </w:tcPr>
          <w:p w:rsidR="007A4C0F" w:rsidRPr="007A4C0F" w:rsidRDefault="00596949" w:rsidP="00DF7D1F">
            <w:pPr>
              <w:rPr>
                <w:rFonts w:ascii="Arial Narrow" w:hAnsi="Arial Narrow"/>
                <w:sz w:val="20"/>
                <w:szCs w:val="20"/>
              </w:rPr>
            </w:pPr>
            <w:r w:rsidRPr="007A4C0F">
              <w:rPr>
                <w:rFonts w:ascii="Arial Narrow" w:hAnsi="Arial Narrow"/>
                <w:sz w:val="20"/>
                <w:szCs w:val="20"/>
              </w:rPr>
              <w:fldChar w:fldCharType="begin">
                <w:ffData>
                  <w:name w:val="Check1"/>
                  <w:enabled/>
                  <w:calcOnExit w:val="0"/>
                  <w:checkBox>
                    <w:sizeAuto/>
                    <w:default w:val="0"/>
                  </w:checkBox>
                </w:ffData>
              </w:fldChar>
            </w:r>
            <w:r w:rsidR="007A4C0F" w:rsidRPr="007A4C0F">
              <w:rPr>
                <w:rFonts w:ascii="Arial Narrow" w:hAnsi="Arial Narrow"/>
                <w:sz w:val="20"/>
                <w:szCs w:val="20"/>
              </w:rPr>
              <w:instrText xml:space="preserve"> FORMCHECKBOX </w:instrText>
            </w:r>
            <w:r w:rsidR="005A614E">
              <w:rPr>
                <w:rFonts w:ascii="Arial Narrow" w:hAnsi="Arial Narrow"/>
                <w:sz w:val="20"/>
                <w:szCs w:val="20"/>
              </w:rPr>
            </w:r>
            <w:r w:rsidR="005A614E">
              <w:rPr>
                <w:rFonts w:ascii="Arial Narrow" w:hAnsi="Arial Narrow"/>
                <w:sz w:val="20"/>
                <w:szCs w:val="20"/>
              </w:rPr>
              <w:fldChar w:fldCharType="separate"/>
            </w:r>
            <w:r w:rsidRPr="007A4C0F">
              <w:rPr>
                <w:rFonts w:ascii="Arial Narrow" w:hAnsi="Arial Narrow"/>
                <w:sz w:val="20"/>
                <w:szCs w:val="20"/>
              </w:rPr>
              <w:fldChar w:fldCharType="end"/>
            </w:r>
            <w:r w:rsidR="007A4C0F" w:rsidRPr="007A4C0F">
              <w:rPr>
                <w:rFonts w:ascii="Arial Narrow" w:hAnsi="Arial Narrow"/>
                <w:sz w:val="20"/>
                <w:szCs w:val="20"/>
              </w:rPr>
              <w:t xml:space="preserve">Dental  </w:t>
            </w:r>
            <w:r w:rsidRPr="007A4C0F">
              <w:rPr>
                <w:rFonts w:ascii="Arial Narrow" w:hAnsi="Arial Narrow"/>
                <w:sz w:val="20"/>
                <w:szCs w:val="20"/>
              </w:rPr>
              <w:fldChar w:fldCharType="begin">
                <w:ffData>
                  <w:name w:val=""/>
                  <w:enabled/>
                  <w:calcOnExit w:val="0"/>
                  <w:checkBox>
                    <w:sizeAuto/>
                    <w:default w:val="1"/>
                  </w:checkBox>
                </w:ffData>
              </w:fldChar>
            </w:r>
            <w:r w:rsidR="007A4C0F" w:rsidRPr="007A4C0F">
              <w:rPr>
                <w:rFonts w:ascii="Arial Narrow" w:hAnsi="Arial Narrow"/>
                <w:sz w:val="20"/>
                <w:szCs w:val="20"/>
              </w:rPr>
              <w:instrText xml:space="preserve"> FORMCHECKBOX </w:instrText>
            </w:r>
            <w:r w:rsidR="005A614E">
              <w:rPr>
                <w:rFonts w:ascii="Arial Narrow" w:hAnsi="Arial Narrow"/>
                <w:sz w:val="20"/>
                <w:szCs w:val="20"/>
              </w:rPr>
            </w:r>
            <w:r w:rsidR="005A614E">
              <w:rPr>
                <w:rFonts w:ascii="Arial Narrow" w:hAnsi="Arial Narrow"/>
                <w:sz w:val="20"/>
                <w:szCs w:val="20"/>
              </w:rPr>
              <w:fldChar w:fldCharType="separate"/>
            </w:r>
            <w:r w:rsidRPr="007A4C0F">
              <w:rPr>
                <w:rFonts w:ascii="Arial Narrow" w:hAnsi="Arial Narrow"/>
                <w:sz w:val="20"/>
                <w:szCs w:val="20"/>
              </w:rPr>
              <w:fldChar w:fldCharType="end"/>
            </w:r>
            <w:r w:rsidR="007A4C0F" w:rsidRPr="007A4C0F">
              <w:rPr>
                <w:rFonts w:ascii="Arial Narrow" w:hAnsi="Arial Narrow"/>
                <w:sz w:val="20"/>
                <w:szCs w:val="20"/>
              </w:rPr>
              <w:t xml:space="preserve">Medical Practitioners  </w:t>
            </w:r>
            <w:r w:rsidRPr="007A4C0F">
              <w:rPr>
                <w:rFonts w:ascii="Arial Narrow" w:hAnsi="Arial Narrow"/>
                <w:sz w:val="20"/>
                <w:szCs w:val="20"/>
              </w:rPr>
              <w:fldChar w:fldCharType="begin">
                <w:ffData>
                  <w:name w:val="Check3"/>
                  <w:enabled/>
                  <w:calcOnExit w:val="0"/>
                  <w:checkBox>
                    <w:sizeAuto/>
                    <w:default w:val="0"/>
                  </w:checkBox>
                </w:ffData>
              </w:fldChar>
            </w:r>
            <w:r w:rsidR="007A4C0F" w:rsidRPr="007A4C0F">
              <w:rPr>
                <w:rFonts w:ascii="Arial Narrow" w:hAnsi="Arial Narrow"/>
                <w:sz w:val="20"/>
                <w:szCs w:val="20"/>
              </w:rPr>
              <w:instrText xml:space="preserve"> FORMCHECKBOX </w:instrText>
            </w:r>
            <w:r w:rsidR="005A614E">
              <w:rPr>
                <w:rFonts w:ascii="Arial Narrow" w:hAnsi="Arial Narrow"/>
                <w:sz w:val="20"/>
                <w:szCs w:val="20"/>
              </w:rPr>
            </w:r>
            <w:r w:rsidR="005A614E">
              <w:rPr>
                <w:rFonts w:ascii="Arial Narrow" w:hAnsi="Arial Narrow"/>
                <w:sz w:val="20"/>
                <w:szCs w:val="20"/>
              </w:rPr>
              <w:fldChar w:fldCharType="separate"/>
            </w:r>
            <w:r w:rsidRPr="007A4C0F">
              <w:rPr>
                <w:rFonts w:ascii="Arial Narrow" w:hAnsi="Arial Narrow"/>
                <w:sz w:val="20"/>
                <w:szCs w:val="20"/>
              </w:rPr>
              <w:fldChar w:fldCharType="end"/>
            </w:r>
            <w:r w:rsidR="007A4C0F" w:rsidRPr="007A4C0F">
              <w:rPr>
                <w:rFonts w:ascii="Arial Narrow" w:hAnsi="Arial Narrow"/>
                <w:sz w:val="20"/>
                <w:szCs w:val="20"/>
              </w:rPr>
              <w:t xml:space="preserve">Nurse practitioners  </w:t>
            </w:r>
            <w:r w:rsidRPr="007A4C0F">
              <w:rPr>
                <w:rFonts w:ascii="Arial Narrow" w:hAnsi="Arial Narrow"/>
                <w:sz w:val="20"/>
                <w:szCs w:val="20"/>
              </w:rPr>
              <w:fldChar w:fldCharType="begin">
                <w:ffData>
                  <w:name w:val=""/>
                  <w:enabled/>
                  <w:calcOnExit w:val="0"/>
                  <w:checkBox>
                    <w:sizeAuto/>
                    <w:default w:val="0"/>
                  </w:checkBox>
                </w:ffData>
              </w:fldChar>
            </w:r>
            <w:r w:rsidR="007A4C0F" w:rsidRPr="007A4C0F">
              <w:rPr>
                <w:rFonts w:ascii="Arial Narrow" w:hAnsi="Arial Narrow"/>
                <w:sz w:val="20"/>
                <w:szCs w:val="20"/>
              </w:rPr>
              <w:instrText xml:space="preserve"> FORMCHECKBOX </w:instrText>
            </w:r>
            <w:r w:rsidR="005A614E">
              <w:rPr>
                <w:rFonts w:ascii="Arial Narrow" w:hAnsi="Arial Narrow"/>
                <w:sz w:val="20"/>
                <w:szCs w:val="20"/>
              </w:rPr>
            </w:r>
            <w:r w:rsidR="005A614E">
              <w:rPr>
                <w:rFonts w:ascii="Arial Narrow" w:hAnsi="Arial Narrow"/>
                <w:sz w:val="20"/>
                <w:szCs w:val="20"/>
              </w:rPr>
              <w:fldChar w:fldCharType="separate"/>
            </w:r>
            <w:r w:rsidRPr="007A4C0F">
              <w:rPr>
                <w:rFonts w:ascii="Arial Narrow" w:hAnsi="Arial Narrow"/>
                <w:sz w:val="20"/>
                <w:szCs w:val="20"/>
              </w:rPr>
              <w:fldChar w:fldCharType="end"/>
            </w:r>
            <w:r w:rsidR="007A4C0F" w:rsidRPr="007A4C0F">
              <w:rPr>
                <w:rFonts w:ascii="Arial Narrow" w:hAnsi="Arial Narrow"/>
                <w:sz w:val="20"/>
                <w:szCs w:val="20"/>
              </w:rPr>
              <w:t>Optometrists</w:t>
            </w:r>
          </w:p>
          <w:p w:rsidR="007A4C0F" w:rsidRPr="007A4C0F" w:rsidRDefault="00596949" w:rsidP="00DF7D1F">
            <w:pPr>
              <w:rPr>
                <w:rFonts w:ascii="Arial Narrow" w:hAnsi="Arial Narrow"/>
                <w:sz w:val="20"/>
                <w:szCs w:val="20"/>
              </w:rPr>
            </w:pPr>
            <w:r w:rsidRPr="007A4C0F">
              <w:rPr>
                <w:rFonts w:ascii="Arial Narrow" w:hAnsi="Arial Narrow"/>
                <w:sz w:val="20"/>
                <w:szCs w:val="20"/>
              </w:rPr>
              <w:fldChar w:fldCharType="begin">
                <w:ffData>
                  <w:name w:val="Check5"/>
                  <w:enabled/>
                  <w:calcOnExit w:val="0"/>
                  <w:checkBox>
                    <w:sizeAuto/>
                    <w:default w:val="0"/>
                  </w:checkBox>
                </w:ffData>
              </w:fldChar>
            </w:r>
            <w:r w:rsidR="007A4C0F" w:rsidRPr="007A4C0F">
              <w:rPr>
                <w:rFonts w:ascii="Arial Narrow" w:hAnsi="Arial Narrow"/>
                <w:sz w:val="20"/>
                <w:szCs w:val="20"/>
              </w:rPr>
              <w:instrText xml:space="preserve"> FORMCHECKBOX </w:instrText>
            </w:r>
            <w:r w:rsidR="005A614E">
              <w:rPr>
                <w:rFonts w:ascii="Arial Narrow" w:hAnsi="Arial Narrow"/>
                <w:sz w:val="20"/>
                <w:szCs w:val="20"/>
              </w:rPr>
            </w:r>
            <w:r w:rsidR="005A614E">
              <w:rPr>
                <w:rFonts w:ascii="Arial Narrow" w:hAnsi="Arial Narrow"/>
                <w:sz w:val="20"/>
                <w:szCs w:val="20"/>
              </w:rPr>
              <w:fldChar w:fldCharType="separate"/>
            </w:r>
            <w:r w:rsidRPr="007A4C0F">
              <w:rPr>
                <w:rFonts w:ascii="Arial Narrow" w:hAnsi="Arial Narrow"/>
                <w:sz w:val="20"/>
                <w:szCs w:val="20"/>
              </w:rPr>
              <w:fldChar w:fldCharType="end"/>
            </w:r>
            <w:r w:rsidR="007A4C0F" w:rsidRPr="007A4C0F">
              <w:rPr>
                <w:rFonts w:ascii="Arial Narrow" w:hAnsi="Arial Narrow"/>
                <w:sz w:val="20"/>
                <w:szCs w:val="20"/>
              </w:rPr>
              <w:t>Midwives</w:t>
            </w:r>
          </w:p>
        </w:tc>
      </w:tr>
      <w:tr w:rsidR="007A4C0F" w:rsidRPr="007A4C0F" w:rsidTr="00DF7D1F">
        <w:trPr>
          <w:cantSplit/>
          <w:trHeight w:val="156"/>
        </w:trPr>
        <w:tc>
          <w:tcPr>
            <w:tcW w:w="1014"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rPr>
                <w:rFonts w:ascii="Arial Narrow" w:hAnsi="Arial Narrow"/>
                <w:b/>
                <w:sz w:val="20"/>
                <w:szCs w:val="20"/>
              </w:rPr>
            </w:pPr>
            <w:r w:rsidRPr="007A4C0F">
              <w:rPr>
                <w:rFonts w:ascii="Arial Narrow" w:hAnsi="Arial Narrow"/>
                <w:b/>
                <w:sz w:val="20"/>
                <w:szCs w:val="20"/>
              </w:rPr>
              <w:t>Condition:</w:t>
            </w:r>
          </w:p>
        </w:tc>
        <w:tc>
          <w:tcPr>
            <w:tcW w:w="3986"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rPr>
                <w:rFonts w:ascii="Arial Narrow" w:hAnsi="Arial Narrow"/>
                <w:sz w:val="20"/>
                <w:szCs w:val="20"/>
              </w:rPr>
            </w:pPr>
            <w:r w:rsidRPr="007A4C0F">
              <w:rPr>
                <w:rFonts w:ascii="Arial Narrow" w:hAnsi="Arial Narrow"/>
                <w:sz w:val="20"/>
                <w:szCs w:val="20"/>
              </w:rPr>
              <w:t>Familial hypercholesterolaemia</w:t>
            </w:r>
          </w:p>
        </w:tc>
      </w:tr>
      <w:tr w:rsidR="007A4C0F" w:rsidRPr="007A4C0F" w:rsidTr="00DF7D1F">
        <w:trPr>
          <w:cantSplit/>
          <w:trHeight w:val="46"/>
        </w:trPr>
        <w:tc>
          <w:tcPr>
            <w:tcW w:w="1014"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rPr>
                <w:rFonts w:ascii="Arial Narrow" w:hAnsi="Arial Narrow"/>
                <w:b/>
                <w:sz w:val="20"/>
                <w:szCs w:val="20"/>
              </w:rPr>
            </w:pPr>
            <w:r w:rsidRPr="007A4C0F">
              <w:rPr>
                <w:rFonts w:ascii="Arial Narrow" w:hAnsi="Arial Narrow"/>
                <w:b/>
                <w:sz w:val="20"/>
                <w:szCs w:val="20"/>
              </w:rPr>
              <w:t>PBS Indication:</w:t>
            </w:r>
          </w:p>
        </w:tc>
        <w:tc>
          <w:tcPr>
            <w:tcW w:w="3986"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rPr>
                <w:rFonts w:ascii="Arial Narrow" w:hAnsi="Arial Narrow"/>
                <w:sz w:val="20"/>
                <w:szCs w:val="20"/>
              </w:rPr>
            </w:pPr>
            <w:r w:rsidRPr="007A4C0F">
              <w:rPr>
                <w:rFonts w:ascii="Arial Narrow" w:hAnsi="Arial Narrow"/>
                <w:sz w:val="20"/>
                <w:szCs w:val="20"/>
              </w:rPr>
              <w:t>Familial hypercholesterolaemia</w:t>
            </w:r>
          </w:p>
        </w:tc>
      </w:tr>
      <w:tr w:rsidR="007A4C0F" w:rsidRPr="007A4C0F" w:rsidTr="00DF7D1F">
        <w:trPr>
          <w:cantSplit/>
          <w:trHeight w:val="360"/>
        </w:trPr>
        <w:tc>
          <w:tcPr>
            <w:tcW w:w="1014"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rPr>
                <w:rFonts w:ascii="Arial Narrow" w:hAnsi="Arial Narrow"/>
                <w:b/>
                <w:sz w:val="20"/>
                <w:szCs w:val="20"/>
              </w:rPr>
            </w:pPr>
            <w:r w:rsidRPr="007A4C0F">
              <w:rPr>
                <w:rFonts w:ascii="Arial Narrow" w:hAnsi="Arial Narrow"/>
                <w:b/>
                <w:sz w:val="20"/>
                <w:szCs w:val="20"/>
              </w:rPr>
              <w:t>Restriction Level / Method:</w:t>
            </w:r>
          </w:p>
        </w:tc>
        <w:tc>
          <w:tcPr>
            <w:tcW w:w="3986" w:type="pct"/>
            <w:tcBorders>
              <w:top w:val="single" w:sz="4" w:space="0" w:color="auto"/>
              <w:left w:val="single" w:sz="4" w:space="0" w:color="auto"/>
              <w:bottom w:val="single" w:sz="4" w:space="0" w:color="auto"/>
              <w:right w:val="single" w:sz="4" w:space="0" w:color="auto"/>
            </w:tcBorders>
          </w:tcPr>
          <w:p w:rsidR="007A4C0F" w:rsidRPr="007A4C0F" w:rsidRDefault="00596949" w:rsidP="00DF7D1F">
            <w:pPr>
              <w:rPr>
                <w:rFonts w:ascii="Arial Narrow" w:hAnsi="Arial Narrow"/>
                <w:sz w:val="20"/>
                <w:szCs w:val="20"/>
              </w:rPr>
            </w:pPr>
            <w:r w:rsidRPr="007A4C0F">
              <w:rPr>
                <w:rFonts w:ascii="Arial Narrow" w:hAnsi="Arial Narrow"/>
                <w:sz w:val="20"/>
                <w:szCs w:val="20"/>
              </w:rPr>
              <w:fldChar w:fldCharType="begin">
                <w:ffData>
                  <w:name w:val="Check1"/>
                  <w:enabled/>
                  <w:calcOnExit w:val="0"/>
                  <w:checkBox>
                    <w:sizeAuto/>
                    <w:default w:val="0"/>
                  </w:checkBox>
                </w:ffData>
              </w:fldChar>
            </w:r>
            <w:r w:rsidR="007A4C0F" w:rsidRPr="007A4C0F">
              <w:rPr>
                <w:rFonts w:ascii="Arial Narrow" w:hAnsi="Arial Narrow"/>
                <w:sz w:val="20"/>
                <w:szCs w:val="20"/>
              </w:rPr>
              <w:instrText xml:space="preserve"> FORMCHECKBOX </w:instrText>
            </w:r>
            <w:r w:rsidR="005A614E">
              <w:rPr>
                <w:rFonts w:ascii="Arial Narrow" w:hAnsi="Arial Narrow"/>
                <w:sz w:val="20"/>
                <w:szCs w:val="20"/>
              </w:rPr>
            </w:r>
            <w:r w:rsidR="005A614E">
              <w:rPr>
                <w:rFonts w:ascii="Arial Narrow" w:hAnsi="Arial Narrow"/>
                <w:sz w:val="20"/>
                <w:szCs w:val="20"/>
              </w:rPr>
              <w:fldChar w:fldCharType="separate"/>
            </w:r>
            <w:r w:rsidRPr="007A4C0F">
              <w:rPr>
                <w:rFonts w:ascii="Arial Narrow" w:hAnsi="Arial Narrow"/>
                <w:sz w:val="20"/>
                <w:szCs w:val="20"/>
              </w:rPr>
              <w:fldChar w:fldCharType="end"/>
            </w:r>
            <w:r w:rsidR="007A4C0F" w:rsidRPr="007A4C0F">
              <w:rPr>
                <w:rFonts w:ascii="Arial Narrow" w:hAnsi="Arial Narrow"/>
                <w:sz w:val="20"/>
                <w:szCs w:val="20"/>
              </w:rPr>
              <w:t>Restricted benefit</w:t>
            </w:r>
          </w:p>
          <w:p w:rsidR="007A4C0F" w:rsidRPr="007A4C0F" w:rsidRDefault="00596949" w:rsidP="00DF7D1F">
            <w:pPr>
              <w:rPr>
                <w:rFonts w:ascii="Arial Narrow" w:hAnsi="Arial Narrow"/>
                <w:sz w:val="20"/>
                <w:szCs w:val="20"/>
              </w:rPr>
            </w:pPr>
            <w:r w:rsidRPr="007A4C0F">
              <w:rPr>
                <w:rFonts w:ascii="Arial Narrow" w:hAnsi="Arial Narrow"/>
                <w:sz w:val="20"/>
                <w:szCs w:val="20"/>
              </w:rPr>
              <w:fldChar w:fldCharType="begin">
                <w:ffData>
                  <w:name w:val=""/>
                  <w:enabled/>
                  <w:calcOnExit w:val="0"/>
                  <w:checkBox>
                    <w:sizeAuto/>
                    <w:default w:val="1"/>
                  </w:checkBox>
                </w:ffData>
              </w:fldChar>
            </w:r>
            <w:r w:rsidR="007A4C0F" w:rsidRPr="007A4C0F">
              <w:rPr>
                <w:rFonts w:ascii="Arial Narrow" w:hAnsi="Arial Narrow"/>
                <w:sz w:val="20"/>
                <w:szCs w:val="20"/>
              </w:rPr>
              <w:instrText xml:space="preserve"> FORMCHECKBOX </w:instrText>
            </w:r>
            <w:r w:rsidR="005A614E">
              <w:rPr>
                <w:rFonts w:ascii="Arial Narrow" w:hAnsi="Arial Narrow"/>
                <w:sz w:val="20"/>
                <w:szCs w:val="20"/>
              </w:rPr>
            </w:r>
            <w:r w:rsidR="005A614E">
              <w:rPr>
                <w:rFonts w:ascii="Arial Narrow" w:hAnsi="Arial Narrow"/>
                <w:sz w:val="20"/>
                <w:szCs w:val="20"/>
              </w:rPr>
              <w:fldChar w:fldCharType="separate"/>
            </w:r>
            <w:r w:rsidRPr="007A4C0F">
              <w:rPr>
                <w:rFonts w:ascii="Arial Narrow" w:hAnsi="Arial Narrow"/>
                <w:sz w:val="20"/>
                <w:szCs w:val="20"/>
              </w:rPr>
              <w:fldChar w:fldCharType="end"/>
            </w:r>
            <w:r w:rsidR="007A4C0F" w:rsidRPr="007A4C0F">
              <w:rPr>
                <w:rFonts w:ascii="Arial Narrow" w:hAnsi="Arial Narrow"/>
                <w:sz w:val="20"/>
                <w:szCs w:val="20"/>
              </w:rPr>
              <w:t>Authority Required - In Writing</w:t>
            </w:r>
          </w:p>
          <w:p w:rsidR="007A4C0F" w:rsidRPr="007A4C0F" w:rsidRDefault="00596949" w:rsidP="00DF7D1F">
            <w:pPr>
              <w:rPr>
                <w:rFonts w:ascii="Arial Narrow" w:hAnsi="Arial Narrow"/>
                <w:sz w:val="20"/>
                <w:szCs w:val="20"/>
              </w:rPr>
            </w:pPr>
            <w:r w:rsidRPr="007A4C0F">
              <w:rPr>
                <w:rFonts w:ascii="Arial Narrow" w:hAnsi="Arial Narrow"/>
                <w:sz w:val="20"/>
                <w:szCs w:val="20"/>
              </w:rPr>
              <w:fldChar w:fldCharType="begin">
                <w:ffData>
                  <w:name w:val="Check3"/>
                  <w:enabled/>
                  <w:calcOnExit w:val="0"/>
                  <w:checkBox>
                    <w:sizeAuto/>
                    <w:default w:val="0"/>
                  </w:checkBox>
                </w:ffData>
              </w:fldChar>
            </w:r>
            <w:r w:rsidR="007A4C0F" w:rsidRPr="007A4C0F">
              <w:rPr>
                <w:rFonts w:ascii="Arial Narrow" w:hAnsi="Arial Narrow"/>
                <w:sz w:val="20"/>
                <w:szCs w:val="20"/>
              </w:rPr>
              <w:instrText xml:space="preserve"> FORMCHECKBOX </w:instrText>
            </w:r>
            <w:r w:rsidR="005A614E">
              <w:rPr>
                <w:rFonts w:ascii="Arial Narrow" w:hAnsi="Arial Narrow"/>
                <w:sz w:val="20"/>
                <w:szCs w:val="20"/>
              </w:rPr>
            </w:r>
            <w:r w:rsidR="005A614E">
              <w:rPr>
                <w:rFonts w:ascii="Arial Narrow" w:hAnsi="Arial Narrow"/>
                <w:sz w:val="20"/>
                <w:szCs w:val="20"/>
              </w:rPr>
              <w:fldChar w:fldCharType="separate"/>
            </w:r>
            <w:r w:rsidRPr="007A4C0F">
              <w:rPr>
                <w:rFonts w:ascii="Arial Narrow" w:hAnsi="Arial Narrow"/>
                <w:sz w:val="20"/>
                <w:szCs w:val="20"/>
              </w:rPr>
              <w:fldChar w:fldCharType="end"/>
            </w:r>
            <w:r w:rsidR="007A4C0F" w:rsidRPr="007A4C0F">
              <w:rPr>
                <w:rFonts w:ascii="Arial Narrow" w:hAnsi="Arial Narrow"/>
                <w:sz w:val="20"/>
                <w:szCs w:val="20"/>
              </w:rPr>
              <w:t>Authority Required - Telephone</w:t>
            </w:r>
          </w:p>
          <w:p w:rsidR="007A4C0F" w:rsidRPr="007A4C0F" w:rsidRDefault="00596949" w:rsidP="00DF7D1F">
            <w:pPr>
              <w:rPr>
                <w:rFonts w:ascii="Arial Narrow" w:hAnsi="Arial Narrow"/>
                <w:sz w:val="20"/>
                <w:szCs w:val="20"/>
              </w:rPr>
            </w:pPr>
            <w:r w:rsidRPr="007A4C0F">
              <w:rPr>
                <w:rFonts w:ascii="Arial Narrow" w:hAnsi="Arial Narrow"/>
                <w:sz w:val="20"/>
                <w:szCs w:val="20"/>
              </w:rPr>
              <w:fldChar w:fldCharType="begin">
                <w:ffData>
                  <w:name w:val=""/>
                  <w:enabled/>
                  <w:calcOnExit w:val="0"/>
                  <w:checkBox>
                    <w:sizeAuto/>
                    <w:default w:val="0"/>
                  </w:checkBox>
                </w:ffData>
              </w:fldChar>
            </w:r>
            <w:r w:rsidR="007A4C0F" w:rsidRPr="007A4C0F">
              <w:rPr>
                <w:rFonts w:ascii="Arial Narrow" w:hAnsi="Arial Narrow"/>
                <w:sz w:val="20"/>
                <w:szCs w:val="20"/>
              </w:rPr>
              <w:instrText xml:space="preserve"> FORMCHECKBOX </w:instrText>
            </w:r>
            <w:r w:rsidR="005A614E">
              <w:rPr>
                <w:rFonts w:ascii="Arial Narrow" w:hAnsi="Arial Narrow"/>
                <w:sz w:val="20"/>
                <w:szCs w:val="20"/>
              </w:rPr>
            </w:r>
            <w:r w:rsidR="005A614E">
              <w:rPr>
                <w:rFonts w:ascii="Arial Narrow" w:hAnsi="Arial Narrow"/>
                <w:sz w:val="20"/>
                <w:szCs w:val="20"/>
              </w:rPr>
              <w:fldChar w:fldCharType="separate"/>
            </w:r>
            <w:r w:rsidRPr="007A4C0F">
              <w:rPr>
                <w:rFonts w:ascii="Arial Narrow" w:hAnsi="Arial Narrow"/>
                <w:sz w:val="20"/>
                <w:szCs w:val="20"/>
              </w:rPr>
              <w:fldChar w:fldCharType="end"/>
            </w:r>
            <w:r w:rsidR="007A4C0F" w:rsidRPr="007A4C0F">
              <w:rPr>
                <w:rFonts w:ascii="Arial Narrow" w:hAnsi="Arial Narrow"/>
                <w:sz w:val="20"/>
                <w:szCs w:val="20"/>
              </w:rPr>
              <w:t>Authority Required – Emergency</w:t>
            </w:r>
          </w:p>
          <w:p w:rsidR="007A4C0F" w:rsidRPr="007A4C0F" w:rsidRDefault="00596949" w:rsidP="00DF7D1F">
            <w:pPr>
              <w:rPr>
                <w:rFonts w:ascii="Arial Narrow" w:hAnsi="Arial Narrow"/>
                <w:sz w:val="20"/>
                <w:szCs w:val="20"/>
              </w:rPr>
            </w:pPr>
            <w:r w:rsidRPr="007A4C0F">
              <w:rPr>
                <w:rFonts w:ascii="Arial Narrow" w:hAnsi="Arial Narrow"/>
                <w:sz w:val="20"/>
                <w:szCs w:val="20"/>
              </w:rPr>
              <w:fldChar w:fldCharType="begin">
                <w:ffData>
                  <w:name w:val="Check5"/>
                  <w:enabled/>
                  <w:calcOnExit w:val="0"/>
                  <w:checkBox>
                    <w:sizeAuto/>
                    <w:default w:val="0"/>
                  </w:checkBox>
                </w:ffData>
              </w:fldChar>
            </w:r>
            <w:r w:rsidR="007A4C0F" w:rsidRPr="007A4C0F">
              <w:rPr>
                <w:rFonts w:ascii="Arial Narrow" w:hAnsi="Arial Narrow"/>
                <w:sz w:val="20"/>
                <w:szCs w:val="20"/>
              </w:rPr>
              <w:instrText xml:space="preserve"> FORMCHECKBOX </w:instrText>
            </w:r>
            <w:r w:rsidR="005A614E">
              <w:rPr>
                <w:rFonts w:ascii="Arial Narrow" w:hAnsi="Arial Narrow"/>
                <w:sz w:val="20"/>
                <w:szCs w:val="20"/>
              </w:rPr>
            </w:r>
            <w:r w:rsidR="005A614E">
              <w:rPr>
                <w:rFonts w:ascii="Arial Narrow" w:hAnsi="Arial Narrow"/>
                <w:sz w:val="20"/>
                <w:szCs w:val="20"/>
              </w:rPr>
              <w:fldChar w:fldCharType="separate"/>
            </w:r>
            <w:r w:rsidRPr="007A4C0F">
              <w:rPr>
                <w:rFonts w:ascii="Arial Narrow" w:hAnsi="Arial Narrow"/>
                <w:sz w:val="20"/>
                <w:szCs w:val="20"/>
              </w:rPr>
              <w:fldChar w:fldCharType="end"/>
            </w:r>
            <w:r w:rsidR="007A4C0F" w:rsidRPr="007A4C0F">
              <w:rPr>
                <w:rFonts w:ascii="Arial Narrow" w:hAnsi="Arial Narrow"/>
                <w:sz w:val="20"/>
                <w:szCs w:val="20"/>
              </w:rPr>
              <w:t>Authority Required - Electronic</w:t>
            </w:r>
          </w:p>
          <w:p w:rsidR="007A4C0F" w:rsidRPr="007A4C0F" w:rsidRDefault="00596949" w:rsidP="00DF7D1F">
            <w:pPr>
              <w:rPr>
                <w:rFonts w:ascii="Arial Narrow" w:hAnsi="Arial Narrow"/>
                <w:sz w:val="20"/>
                <w:szCs w:val="20"/>
              </w:rPr>
            </w:pPr>
            <w:r w:rsidRPr="007A4C0F">
              <w:rPr>
                <w:rFonts w:ascii="Arial Narrow" w:hAnsi="Arial Narrow"/>
                <w:sz w:val="20"/>
                <w:szCs w:val="20"/>
              </w:rPr>
              <w:fldChar w:fldCharType="begin">
                <w:ffData>
                  <w:name w:val="Check5"/>
                  <w:enabled/>
                  <w:calcOnExit w:val="0"/>
                  <w:checkBox>
                    <w:sizeAuto/>
                    <w:default w:val="0"/>
                  </w:checkBox>
                </w:ffData>
              </w:fldChar>
            </w:r>
            <w:r w:rsidR="007A4C0F" w:rsidRPr="007A4C0F">
              <w:rPr>
                <w:rFonts w:ascii="Arial Narrow" w:hAnsi="Arial Narrow"/>
                <w:sz w:val="20"/>
                <w:szCs w:val="20"/>
              </w:rPr>
              <w:instrText xml:space="preserve"> FORMCHECKBOX </w:instrText>
            </w:r>
            <w:r w:rsidR="005A614E">
              <w:rPr>
                <w:rFonts w:ascii="Arial Narrow" w:hAnsi="Arial Narrow"/>
                <w:sz w:val="20"/>
                <w:szCs w:val="20"/>
              </w:rPr>
            </w:r>
            <w:r w:rsidR="005A614E">
              <w:rPr>
                <w:rFonts w:ascii="Arial Narrow" w:hAnsi="Arial Narrow"/>
                <w:sz w:val="20"/>
                <w:szCs w:val="20"/>
              </w:rPr>
              <w:fldChar w:fldCharType="separate"/>
            </w:r>
            <w:r w:rsidRPr="007A4C0F">
              <w:rPr>
                <w:rFonts w:ascii="Arial Narrow" w:hAnsi="Arial Narrow"/>
                <w:sz w:val="20"/>
                <w:szCs w:val="20"/>
              </w:rPr>
              <w:fldChar w:fldCharType="end"/>
            </w:r>
            <w:r w:rsidR="007A4C0F" w:rsidRPr="007A4C0F">
              <w:rPr>
                <w:rFonts w:ascii="Arial Narrow" w:hAnsi="Arial Narrow"/>
                <w:sz w:val="20"/>
                <w:szCs w:val="20"/>
              </w:rPr>
              <w:t>Streamlined</w:t>
            </w:r>
          </w:p>
        </w:tc>
      </w:tr>
      <w:tr w:rsidR="007A4C0F" w:rsidRPr="007A4C0F" w:rsidTr="00DF7D1F">
        <w:trPr>
          <w:cantSplit/>
          <w:trHeight w:val="99"/>
        </w:trPr>
        <w:tc>
          <w:tcPr>
            <w:tcW w:w="1014"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rPr>
                <w:rFonts w:ascii="Arial Narrow" w:hAnsi="Arial Narrow"/>
                <w:b/>
                <w:sz w:val="20"/>
                <w:szCs w:val="20"/>
              </w:rPr>
            </w:pPr>
            <w:r w:rsidRPr="007A4C0F">
              <w:rPr>
                <w:rFonts w:ascii="Arial Narrow" w:hAnsi="Arial Narrow"/>
                <w:b/>
                <w:sz w:val="20"/>
                <w:szCs w:val="20"/>
              </w:rPr>
              <w:t>Treatment phase</w:t>
            </w:r>
          </w:p>
        </w:tc>
        <w:tc>
          <w:tcPr>
            <w:tcW w:w="3986"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rPr>
                <w:rFonts w:ascii="Arial Narrow" w:hAnsi="Arial Narrow"/>
                <w:sz w:val="20"/>
                <w:szCs w:val="20"/>
              </w:rPr>
            </w:pPr>
            <w:r w:rsidRPr="007A4C0F">
              <w:rPr>
                <w:rFonts w:ascii="Arial Narrow" w:hAnsi="Arial Narrow"/>
                <w:sz w:val="20"/>
                <w:szCs w:val="20"/>
              </w:rPr>
              <w:t>Initial treatment</w:t>
            </w:r>
          </w:p>
        </w:tc>
      </w:tr>
      <w:tr w:rsidR="007A4C0F" w:rsidRPr="007A4C0F" w:rsidTr="00DF7D1F">
        <w:trPr>
          <w:cantSplit/>
          <w:trHeight w:val="360"/>
        </w:trPr>
        <w:tc>
          <w:tcPr>
            <w:tcW w:w="1014"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rPr>
                <w:rFonts w:ascii="Arial Narrow" w:hAnsi="Arial Narrow"/>
                <w:sz w:val="20"/>
                <w:szCs w:val="20"/>
              </w:rPr>
            </w:pPr>
            <w:r w:rsidRPr="007A4C0F">
              <w:rPr>
                <w:rFonts w:ascii="Arial Narrow" w:hAnsi="Arial Narrow"/>
                <w:b/>
                <w:sz w:val="20"/>
                <w:szCs w:val="20"/>
              </w:rPr>
              <w:t>Clinical criteria:</w:t>
            </w:r>
          </w:p>
        </w:tc>
        <w:tc>
          <w:tcPr>
            <w:tcW w:w="3986"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rPr>
                <w:rFonts w:ascii="Arial Narrow" w:hAnsi="Arial Narrow"/>
                <w:sz w:val="20"/>
                <w:szCs w:val="20"/>
              </w:rPr>
            </w:pPr>
            <w:r w:rsidRPr="007A4C0F">
              <w:rPr>
                <w:rFonts w:ascii="Arial Narrow" w:hAnsi="Arial Narrow"/>
                <w:sz w:val="20"/>
                <w:szCs w:val="20"/>
              </w:rPr>
              <w:t>The treatment must be in conjunction with dietary therapy and exercise</w:t>
            </w:r>
            <w:r w:rsidR="005D5256">
              <w:rPr>
                <w:rFonts w:ascii="Arial Narrow" w:hAnsi="Arial Narrow"/>
                <w:sz w:val="20"/>
                <w:szCs w:val="20"/>
              </w:rPr>
              <w:t xml:space="preserve"> </w:t>
            </w:r>
          </w:p>
          <w:p w:rsidR="007A4C0F" w:rsidRPr="007A4C0F" w:rsidRDefault="007A4C0F" w:rsidP="00DF7D1F">
            <w:pPr>
              <w:spacing w:line="120" w:lineRule="auto"/>
              <w:rPr>
                <w:rFonts w:ascii="Arial Narrow" w:hAnsi="Arial Narrow"/>
                <w:sz w:val="20"/>
                <w:szCs w:val="20"/>
              </w:rPr>
            </w:pPr>
          </w:p>
          <w:p w:rsidR="007A4C0F" w:rsidRPr="007A4C0F" w:rsidRDefault="007A4C0F" w:rsidP="00DF7D1F">
            <w:pPr>
              <w:rPr>
                <w:rFonts w:ascii="Arial Narrow" w:hAnsi="Arial Narrow"/>
                <w:sz w:val="20"/>
                <w:szCs w:val="20"/>
              </w:rPr>
            </w:pPr>
            <w:r w:rsidRPr="007A4C0F">
              <w:rPr>
                <w:rFonts w:ascii="Arial Narrow" w:hAnsi="Arial Narrow"/>
                <w:sz w:val="20"/>
                <w:szCs w:val="20"/>
              </w:rPr>
              <w:t>AND</w:t>
            </w:r>
          </w:p>
          <w:p w:rsidR="007A4C0F" w:rsidRPr="007A4C0F" w:rsidRDefault="007A4C0F" w:rsidP="00DF7D1F">
            <w:pPr>
              <w:spacing w:line="120" w:lineRule="auto"/>
              <w:rPr>
                <w:rFonts w:ascii="Arial Narrow" w:hAnsi="Arial Narrow"/>
                <w:sz w:val="20"/>
                <w:szCs w:val="20"/>
              </w:rPr>
            </w:pPr>
          </w:p>
          <w:p w:rsidR="007A4C0F" w:rsidRPr="007A4C0F" w:rsidRDefault="007A4C0F" w:rsidP="00DF7D1F">
            <w:pPr>
              <w:rPr>
                <w:rFonts w:ascii="Arial Narrow" w:hAnsi="Arial Narrow"/>
                <w:sz w:val="20"/>
                <w:szCs w:val="20"/>
              </w:rPr>
            </w:pPr>
            <w:r w:rsidRPr="007A4C0F">
              <w:rPr>
                <w:rFonts w:ascii="Arial Narrow" w:hAnsi="Arial Narrow"/>
                <w:sz w:val="20"/>
                <w:szCs w:val="20"/>
              </w:rPr>
              <w:t>The condition must have been confirmed by genetic testing; OR</w:t>
            </w:r>
          </w:p>
          <w:p w:rsidR="007A4C0F" w:rsidRPr="007A4C0F" w:rsidRDefault="007A4C0F" w:rsidP="00DF7D1F">
            <w:pPr>
              <w:rPr>
                <w:rFonts w:ascii="Arial Narrow" w:hAnsi="Arial Narrow"/>
                <w:sz w:val="20"/>
                <w:szCs w:val="20"/>
              </w:rPr>
            </w:pPr>
            <w:r w:rsidRPr="007A4C0F">
              <w:rPr>
                <w:rFonts w:ascii="Arial Narrow" w:hAnsi="Arial Narrow"/>
                <w:sz w:val="20"/>
                <w:szCs w:val="20"/>
              </w:rPr>
              <w:t>The condition must have been confirmed by a Dutch Lipid Clinic Network Score of at least 6</w:t>
            </w:r>
          </w:p>
          <w:p w:rsidR="007A4C0F" w:rsidRPr="007A4C0F" w:rsidRDefault="007A4C0F" w:rsidP="00DF7D1F">
            <w:pPr>
              <w:spacing w:line="120" w:lineRule="auto"/>
              <w:rPr>
                <w:rFonts w:ascii="Arial Narrow" w:hAnsi="Arial Narrow"/>
                <w:sz w:val="20"/>
                <w:szCs w:val="20"/>
              </w:rPr>
            </w:pPr>
          </w:p>
          <w:p w:rsidR="007A4C0F" w:rsidRPr="007A4C0F" w:rsidRDefault="007A4C0F" w:rsidP="00DF7D1F">
            <w:pPr>
              <w:rPr>
                <w:rFonts w:ascii="Arial Narrow" w:hAnsi="Arial Narrow"/>
                <w:sz w:val="20"/>
                <w:szCs w:val="20"/>
              </w:rPr>
            </w:pPr>
            <w:r w:rsidRPr="007A4C0F">
              <w:rPr>
                <w:rFonts w:ascii="Arial Narrow" w:hAnsi="Arial Narrow"/>
                <w:sz w:val="20"/>
                <w:szCs w:val="20"/>
              </w:rPr>
              <w:t>AND</w:t>
            </w:r>
          </w:p>
          <w:p w:rsidR="007A4C0F" w:rsidRPr="007A4C0F" w:rsidRDefault="007A4C0F" w:rsidP="00DF7D1F">
            <w:pPr>
              <w:spacing w:line="120" w:lineRule="auto"/>
              <w:rPr>
                <w:rFonts w:ascii="Arial Narrow" w:hAnsi="Arial Narrow"/>
                <w:sz w:val="20"/>
                <w:szCs w:val="20"/>
              </w:rPr>
            </w:pPr>
          </w:p>
          <w:p w:rsidR="007A4C0F" w:rsidRPr="007A4C0F" w:rsidRDefault="007A4C0F" w:rsidP="00DF7D1F">
            <w:pPr>
              <w:rPr>
                <w:rFonts w:ascii="Arial Narrow" w:hAnsi="Arial Narrow"/>
                <w:sz w:val="20"/>
                <w:szCs w:val="20"/>
              </w:rPr>
            </w:pPr>
            <w:r w:rsidRPr="007A4C0F">
              <w:rPr>
                <w:rFonts w:ascii="Arial Narrow" w:hAnsi="Arial Narrow"/>
                <w:sz w:val="20"/>
                <w:szCs w:val="20"/>
              </w:rPr>
              <w:t>Patient must have an LDL cholesterol level in excess of 5 millimoles per litre, or 3.3 millimoles per litre in the presence of symptomatic atherosclerotic cardiovascular disease, after at least 3 months of treatment at a maximum tolerated dose of an HMG CoA reductase inhibitor (statin), in conjunction with dietary therapy and exercise; OR</w:t>
            </w:r>
          </w:p>
          <w:p w:rsidR="007A4C0F" w:rsidRPr="007A4C0F" w:rsidRDefault="007A4C0F" w:rsidP="00DF7D1F">
            <w:pPr>
              <w:rPr>
                <w:rFonts w:ascii="Arial Narrow" w:hAnsi="Arial Narrow"/>
                <w:sz w:val="20"/>
                <w:szCs w:val="20"/>
              </w:rPr>
            </w:pPr>
          </w:p>
          <w:p w:rsidR="007A4C0F" w:rsidRPr="007A4C0F" w:rsidRDefault="007A4C0F" w:rsidP="00DF7D1F">
            <w:pPr>
              <w:rPr>
                <w:rFonts w:ascii="Arial Narrow" w:hAnsi="Arial Narrow"/>
                <w:sz w:val="20"/>
                <w:szCs w:val="20"/>
              </w:rPr>
            </w:pPr>
            <w:r w:rsidRPr="007A4C0F">
              <w:rPr>
                <w:rFonts w:ascii="Arial Narrow" w:hAnsi="Arial Narrow"/>
                <w:sz w:val="20"/>
                <w:szCs w:val="20"/>
              </w:rPr>
              <w:t xml:space="preserve">Patient must have an LDL cholesterol level in excess of 5 millimoles per litre, or 3.3 millimoles per litre in the presence of symptomatic atherosclerotic cardiovascular disease, after having developed a clinically important product-related adverse event after </w:t>
            </w:r>
            <w:r w:rsidRPr="007A4C0F">
              <w:rPr>
                <w:rFonts w:ascii="Arial Narrow" w:hAnsi="Arial Narrow"/>
                <w:sz w:val="20"/>
                <w:szCs w:val="20"/>
                <w:highlight w:val="lightGray"/>
              </w:rPr>
              <w:t>a trial of treatment with at least 2 different HMG CoA reductase inhibitors (statins)</w:t>
            </w:r>
            <w:r w:rsidRPr="007A4C0F">
              <w:rPr>
                <w:rFonts w:ascii="Arial Narrow" w:hAnsi="Arial Narrow"/>
                <w:sz w:val="20"/>
                <w:szCs w:val="20"/>
              </w:rPr>
              <w:t xml:space="preserve"> necessitating a withdrawal of statin treatment; OR</w:t>
            </w:r>
          </w:p>
          <w:p w:rsidR="007A4C0F" w:rsidRPr="007A4C0F" w:rsidRDefault="007A4C0F" w:rsidP="00DF7D1F">
            <w:pPr>
              <w:rPr>
                <w:rFonts w:ascii="Arial Narrow" w:hAnsi="Arial Narrow"/>
                <w:sz w:val="20"/>
                <w:szCs w:val="20"/>
              </w:rPr>
            </w:pPr>
          </w:p>
          <w:p w:rsidR="007A4C0F" w:rsidRPr="007A4C0F" w:rsidRDefault="007A4C0F" w:rsidP="00DF7D1F">
            <w:pPr>
              <w:rPr>
                <w:rFonts w:ascii="Arial Narrow" w:hAnsi="Arial Narrow"/>
                <w:sz w:val="20"/>
                <w:szCs w:val="20"/>
              </w:rPr>
            </w:pPr>
            <w:r w:rsidRPr="007A4C0F">
              <w:rPr>
                <w:rFonts w:ascii="Arial Narrow" w:hAnsi="Arial Narrow"/>
                <w:sz w:val="20"/>
                <w:szCs w:val="20"/>
              </w:rPr>
              <w:t xml:space="preserve">Patient must have an LDL cholesterol level in excess of 5 millimoles per litre, or 3.3 millimoles per litre in the presence of symptomatic atherosclerotic cardiovascular disease, and must be one in whom treatment with an HMG CoA reductase inhibitor (statin) is contraindicated. </w:t>
            </w:r>
          </w:p>
        </w:tc>
      </w:tr>
      <w:tr w:rsidR="007A4C0F" w:rsidRPr="007A4C0F" w:rsidTr="00DF7D1F">
        <w:trPr>
          <w:trHeight w:val="360"/>
        </w:trPr>
        <w:tc>
          <w:tcPr>
            <w:tcW w:w="1014"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spacing w:after="240"/>
              <w:rPr>
                <w:rFonts w:ascii="Arial Narrow" w:hAnsi="Arial Narrow"/>
                <w:b/>
                <w:sz w:val="20"/>
                <w:szCs w:val="20"/>
              </w:rPr>
            </w:pPr>
            <w:r w:rsidRPr="007A4C0F">
              <w:rPr>
                <w:rFonts w:ascii="Arial Narrow" w:hAnsi="Arial Narrow"/>
                <w:b/>
                <w:sz w:val="20"/>
                <w:szCs w:val="20"/>
              </w:rPr>
              <w:t>Treatment criteria</w:t>
            </w:r>
            <w:r w:rsidRPr="007A4C0F">
              <w:rPr>
                <w:rFonts w:ascii="Arial Narrow" w:hAnsi="Arial Narrow"/>
                <w:sz w:val="20"/>
                <w:szCs w:val="20"/>
              </w:rPr>
              <w:t>:</w:t>
            </w:r>
          </w:p>
        </w:tc>
        <w:tc>
          <w:tcPr>
            <w:tcW w:w="3986"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autoSpaceDE w:val="0"/>
              <w:autoSpaceDN w:val="0"/>
              <w:adjustRightInd w:val="0"/>
              <w:rPr>
                <w:rFonts w:ascii="Arial Narrow" w:hAnsi="Arial Narrow"/>
                <w:color w:val="000000"/>
                <w:sz w:val="20"/>
                <w:szCs w:val="20"/>
              </w:rPr>
            </w:pPr>
            <w:r w:rsidRPr="007A4C0F">
              <w:rPr>
                <w:rFonts w:ascii="Arial Narrow" w:hAnsi="Arial Narrow"/>
                <w:color w:val="000000"/>
                <w:sz w:val="20"/>
                <w:szCs w:val="20"/>
              </w:rPr>
              <w:t xml:space="preserve">Must be treated by a consultant physician or in consultation with a consultant physician. </w:t>
            </w:r>
          </w:p>
          <w:p w:rsidR="007A4C0F" w:rsidRPr="007A4C0F" w:rsidRDefault="007A4C0F" w:rsidP="00DF7D1F">
            <w:pPr>
              <w:autoSpaceDE w:val="0"/>
              <w:autoSpaceDN w:val="0"/>
              <w:adjustRightInd w:val="0"/>
              <w:rPr>
                <w:rFonts w:ascii="Arial Narrow" w:hAnsi="Arial Narrow"/>
                <w:color w:val="000000"/>
                <w:sz w:val="20"/>
                <w:szCs w:val="20"/>
              </w:rPr>
            </w:pPr>
          </w:p>
          <w:p w:rsidR="007A4C0F" w:rsidRPr="007A4C0F" w:rsidRDefault="007A4C0F" w:rsidP="00DF7D1F">
            <w:pPr>
              <w:autoSpaceDE w:val="0"/>
              <w:autoSpaceDN w:val="0"/>
              <w:adjustRightInd w:val="0"/>
              <w:rPr>
                <w:rFonts w:ascii="Arial Narrow" w:hAnsi="Arial Narrow"/>
                <w:color w:val="000000"/>
                <w:sz w:val="20"/>
                <w:szCs w:val="20"/>
              </w:rPr>
            </w:pPr>
            <w:r w:rsidRPr="007A4C0F">
              <w:rPr>
                <w:rFonts w:ascii="Arial Narrow" w:hAnsi="Arial Narrow"/>
                <w:color w:val="000000"/>
                <w:sz w:val="20"/>
                <w:szCs w:val="20"/>
              </w:rPr>
              <w:t xml:space="preserve">A clinically important product-related adverse event is defined as follows: </w:t>
            </w:r>
          </w:p>
          <w:p w:rsidR="007A4C0F" w:rsidRPr="007A4C0F" w:rsidRDefault="007A4C0F" w:rsidP="00DF7D1F">
            <w:pPr>
              <w:autoSpaceDE w:val="0"/>
              <w:autoSpaceDN w:val="0"/>
              <w:adjustRightInd w:val="0"/>
              <w:rPr>
                <w:rFonts w:ascii="Arial Narrow" w:hAnsi="Arial Narrow"/>
                <w:color w:val="000000"/>
                <w:sz w:val="20"/>
                <w:szCs w:val="20"/>
              </w:rPr>
            </w:pPr>
            <w:r w:rsidRPr="007A4C0F">
              <w:rPr>
                <w:rFonts w:ascii="Arial Narrow" w:hAnsi="Arial Narrow"/>
                <w:color w:val="000000"/>
                <w:sz w:val="20"/>
                <w:szCs w:val="20"/>
              </w:rPr>
              <w:t xml:space="preserve">(i) Severe myalgia (muscle symptoms without creatine kinase elevation) which is proven to be temporally associated with statin treatment; or </w:t>
            </w:r>
          </w:p>
          <w:p w:rsidR="007A4C0F" w:rsidRPr="007A4C0F" w:rsidRDefault="007A4C0F" w:rsidP="00DF7D1F">
            <w:pPr>
              <w:autoSpaceDE w:val="0"/>
              <w:autoSpaceDN w:val="0"/>
              <w:adjustRightInd w:val="0"/>
              <w:rPr>
                <w:rFonts w:ascii="Arial Narrow" w:hAnsi="Arial Narrow"/>
                <w:color w:val="000000"/>
                <w:sz w:val="20"/>
                <w:szCs w:val="20"/>
              </w:rPr>
            </w:pPr>
            <w:r w:rsidRPr="007A4C0F">
              <w:rPr>
                <w:rFonts w:ascii="Arial Narrow" w:hAnsi="Arial Narrow"/>
                <w:color w:val="000000"/>
                <w:sz w:val="20"/>
                <w:szCs w:val="20"/>
              </w:rPr>
              <w:t>(ii) Myositis (clinically important creatine kinase elevation, with or without muscle symptoms) demonstrated by results twice the upper limit of normal on a single reading or a rising pattern on consecutive measurements</w:t>
            </w:r>
            <w:r w:rsidR="005D5256">
              <w:rPr>
                <w:rFonts w:ascii="Arial Narrow" w:hAnsi="Arial Narrow"/>
                <w:color w:val="000000"/>
                <w:sz w:val="20"/>
                <w:szCs w:val="20"/>
              </w:rPr>
              <w:t xml:space="preserve"> </w:t>
            </w:r>
            <w:r w:rsidRPr="007A4C0F">
              <w:rPr>
                <w:rFonts w:ascii="Arial Narrow" w:hAnsi="Arial Narrow"/>
                <w:color w:val="000000"/>
                <w:sz w:val="20"/>
                <w:szCs w:val="20"/>
              </w:rPr>
              <w:t xml:space="preserve">and which is unexplained by other causes; or </w:t>
            </w:r>
          </w:p>
          <w:p w:rsidR="00F17997" w:rsidRPr="009F4B9F" w:rsidRDefault="007A4C0F" w:rsidP="00DF7D1F">
            <w:pPr>
              <w:autoSpaceDE w:val="0"/>
              <w:autoSpaceDN w:val="0"/>
              <w:adjustRightInd w:val="0"/>
              <w:rPr>
                <w:rFonts w:ascii="Arial Narrow" w:hAnsi="Arial Narrow"/>
                <w:color w:val="000000"/>
                <w:sz w:val="20"/>
                <w:szCs w:val="20"/>
              </w:rPr>
            </w:pPr>
            <w:r w:rsidRPr="007A4C0F">
              <w:rPr>
                <w:rFonts w:ascii="Arial Narrow" w:hAnsi="Arial Narrow"/>
                <w:color w:val="000000"/>
                <w:sz w:val="20"/>
                <w:szCs w:val="20"/>
              </w:rPr>
              <w:t xml:space="preserve">(iii) Unexplained, persistent elevations of serum transaminases (greater than 3 times the upper limit of normal) during treatment with a statin. </w:t>
            </w:r>
          </w:p>
          <w:p w:rsidR="007A4C0F" w:rsidRPr="007A4C0F" w:rsidRDefault="007A4C0F" w:rsidP="00DF7D1F">
            <w:pPr>
              <w:autoSpaceDE w:val="0"/>
              <w:autoSpaceDN w:val="0"/>
              <w:adjustRightInd w:val="0"/>
              <w:rPr>
                <w:rFonts w:ascii="Arial Narrow" w:hAnsi="Arial Narrow"/>
                <w:color w:val="000000"/>
                <w:sz w:val="20"/>
                <w:szCs w:val="20"/>
              </w:rPr>
            </w:pPr>
          </w:p>
          <w:p w:rsidR="007A4C0F" w:rsidRPr="007A4C0F" w:rsidRDefault="007A4C0F" w:rsidP="00DF7D1F">
            <w:pPr>
              <w:autoSpaceDE w:val="0"/>
              <w:autoSpaceDN w:val="0"/>
              <w:adjustRightInd w:val="0"/>
              <w:rPr>
                <w:rFonts w:ascii="Arial Narrow" w:hAnsi="Arial Narrow"/>
                <w:color w:val="000000"/>
                <w:sz w:val="20"/>
                <w:szCs w:val="20"/>
              </w:rPr>
            </w:pPr>
            <w:r w:rsidRPr="007A4C0F">
              <w:rPr>
                <w:rFonts w:ascii="Arial Narrow" w:hAnsi="Arial Narrow"/>
                <w:color w:val="000000"/>
                <w:sz w:val="20"/>
                <w:szCs w:val="20"/>
              </w:rPr>
              <w:t xml:space="preserve">The date of the consultation with a consultant physician must be no more than 6 months prior to the application for a PBS authority. The full name of the consultant physician consulted and the date of consultation are to be provided at the time of application. </w:t>
            </w:r>
          </w:p>
          <w:p w:rsidR="007A4C0F" w:rsidRPr="007A4C0F" w:rsidRDefault="007A4C0F" w:rsidP="00DF7D1F">
            <w:pPr>
              <w:autoSpaceDE w:val="0"/>
              <w:autoSpaceDN w:val="0"/>
              <w:adjustRightInd w:val="0"/>
              <w:rPr>
                <w:rFonts w:ascii="Arial Narrow" w:hAnsi="Arial Narrow"/>
                <w:color w:val="000000"/>
                <w:sz w:val="20"/>
                <w:szCs w:val="20"/>
              </w:rPr>
            </w:pPr>
          </w:p>
          <w:p w:rsidR="007A4C0F" w:rsidRPr="007A4C0F" w:rsidRDefault="007A4C0F" w:rsidP="00DF7D1F">
            <w:pPr>
              <w:autoSpaceDE w:val="0"/>
              <w:autoSpaceDN w:val="0"/>
              <w:adjustRightInd w:val="0"/>
              <w:rPr>
                <w:rFonts w:ascii="Arial Narrow" w:hAnsi="Arial Narrow"/>
                <w:color w:val="000000"/>
                <w:sz w:val="20"/>
                <w:szCs w:val="20"/>
              </w:rPr>
            </w:pPr>
            <w:r w:rsidRPr="007A4C0F">
              <w:rPr>
                <w:rFonts w:ascii="Arial Narrow" w:hAnsi="Arial Narrow"/>
                <w:color w:val="000000"/>
                <w:sz w:val="20"/>
                <w:szCs w:val="20"/>
              </w:rPr>
              <w:t xml:space="preserve">The qualifying LDL cholesterol level must be provided at the time of application and must be no more than 2 months old. </w:t>
            </w:r>
            <w:r w:rsidRPr="007A4C0F">
              <w:rPr>
                <w:rFonts w:ascii="Arial Narrow" w:hAnsi="Arial Narrow"/>
                <w:color w:val="000000"/>
                <w:sz w:val="20"/>
                <w:szCs w:val="20"/>
                <w:highlight w:val="lightGray"/>
              </w:rPr>
              <w:t>For patients not on the highest possible statin dose (i.e. 80</w:t>
            </w:r>
            <w:r w:rsidR="00AA012E">
              <w:rPr>
                <w:rFonts w:ascii="Arial Narrow" w:hAnsi="Arial Narrow"/>
                <w:color w:val="000000"/>
                <w:sz w:val="20"/>
                <w:szCs w:val="20"/>
                <w:highlight w:val="lightGray"/>
              </w:rPr>
              <w:t xml:space="preserve"> </w:t>
            </w:r>
            <w:r w:rsidRPr="007A4C0F">
              <w:rPr>
                <w:rFonts w:ascii="Arial Narrow" w:hAnsi="Arial Narrow"/>
                <w:color w:val="000000"/>
                <w:sz w:val="20"/>
                <w:szCs w:val="20"/>
                <w:highlight w:val="lightGray"/>
              </w:rPr>
              <w:t>mg atorvastatin or 40</w:t>
            </w:r>
            <w:r w:rsidR="00AA012E">
              <w:rPr>
                <w:rFonts w:ascii="Arial Narrow" w:hAnsi="Arial Narrow"/>
                <w:color w:val="000000"/>
                <w:sz w:val="20"/>
                <w:szCs w:val="20"/>
                <w:highlight w:val="lightGray"/>
              </w:rPr>
              <w:t xml:space="preserve"> </w:t>
            </w:r>
            <w:r w:rsidRPr="007A4C0F">
              <w:rPr>
                <w:rFonts w:ascii="Arial Narrow" w:hAnsi="Arial Narrow"/>
                <w:color w:val="000000"/>
                <w:sz w:val="20"/>
                <w:szCs w:val="20"/>
                <w:highlight w:val="lightGray"/>
              </w:rPr>
              <w:t>mg rosuvastatin), clinicians must confirm that a higher dose statin has been trialled and not tolerated.  For patients intolerant of statin therapy, the agents, doses and duration of treatment and adverse events experienced with at least 2 statins must be provided at the time of application.  For patients contraindicated to statin therapy, details of the contraindication must be provided at the time of the application.</w:t>
            </w:r>
          </w:p>
          <w:p w:rsidR="007A4C0F" w:rsidRPr="007A4C0F" w:rsidRDefault="007A4C0F" w:rsidP="00DF7D1F">
            <w:pPr>
              <w:autoSpaceDE w:val="0"/>
              <w:autoSpaceDN w:val="0"/>
              <w:adjustRightInd w:val="0"/>
              <w:rPr>
                <w:rFonts w:ascii="Arial Narrow" w:hAnsi="Arial Narrow"/>
                <w:color w:val="000000"/>
                <w:sz w:val="20"/>
                <w:szCs w:val="20"/>
              </w:rPr>
            </w:pPr>
          </w:p>
          <w:p w:rsidR="007A4C0F" w:rsidRPr="007A4C0F" w:rsidRDefault="007A4C0F" w:rsidP="00DF7D1F">
            <w:pPr>
              <w:autoSpaceDE w:val="0"/>
              <w:autoSpaceDN w:val="0"/>
              <w:adjustRightInd w:val="0"/>
              <w:rPr>
                <w:rFonts w:ascii="Arial Narrow" w:hAnsi="Arial Narrow"/>
                <w:color w:val="000000"/>
                <w:sz w:val="20"/>
                <w:szCs w:val="20"/>
              </w:rPr>
            </w:pPr>
            <w:r w:rsidRPr="007A4C0F">
              <w:rPr>
                <w:rFonts w:ascii="Arial Narrow" w:hAnsi="Arial Narrow"/>
                <w:color w:val="000000"/>
                <w:sz w:val="20"/>
                <w:szCs w:val="20"/>
              </w:rPr>
              <w:t xml:space="preserve">The authority application must be made in writing and must include: </w:t>
            </w:r>
          </w:p>
          <w:p w:rsidR="007A4C0F" w:rsidRPr="007A4C0F" w:rsidRDefault="007A4C0F" w:rsidP="00DF7D1F">
            <w:pPr>
              <w:autoSpaceDE w:val="0"/>
              <w:autoSpaceDN w:val="0"/>
              <w:adjustRightInd w:val="0"/>
              <w:rPr>
                <w:rFonts w:ascii="Arial Narrow" w:hAnsi="Arial Narrow"/>
                <w:color w:val="000000"/>
                <w:sz w:val="20"/>
                <w:szCs w:val="20"/>
              </w:rPr>
            </w:pPr>
            <w:r w:rsidRPr="007A4C0F">
              <w:rPr>
                <w:rFonts w:ascii="Arial Narrow" w:hAnsi="Arial Narrow"/>
                <w:color w:val="000000"/>
                <w:sz w:val="20"/>
                <w:szCs w:val="20"/>
              </w:rPr>
              <w:t xml:space="preserve">a) A completed authority prescription form; and </w:t>
            </w:r>
          </w:p>
          <w:p w:rsidR="007A4C0F" w:rsidRPr="007A4C0F" w:rsidRDefault="007A4C0F" w:rsidP="00DF7D1F">
            <w:pPr>
              <w:autoSpaceDE w:val="0"/>
              <w:autoSpaceDN w:val="0"/>
              <w:adjustRightInd w:val="0"/>
              <w:rPr>
                <w:rFonts w:ascii="Arial Narrow" w:hAnsi="Arial Narrow"/>
                <w:color w:val="000000"/>
                <w:sz w:val="20"/>
                <w:szCs w:val="20"/>
              </w:rPr>
            </w:pPr>
            <w:r w:rsidRPr="007A4C0F">
              <w:rPr>
                <w:rFonts w:ascii="Arial Narrow" w:hAnsi="Arial Narrow"/>
                <w:color w:val="000000"/>
                <w:sz w:val="20"/>
                <w:szCs w:val="20"/>
              </w:rPr>
              <w:t xml:space="preserve">b) A completed Familial hypercholesterolaemia Initial PBS Authority Application - Supporting Information Form; and </w:t>
            </w:r>
          </w:p>
          <w:p w:rsidR="007A4C0F" w:rsidRPr="007A4C0F" w:rsidRDefault="007A4C0F" w:rsidP="00DF7D1F">
            <w:pPr>
              <w:autoSpaceDE w:val="0"/>
              <w:autoSpaceDN w:val="0"/>
              <w:adjustRightInd w:val="0"/>
              <w:rPr>
                <w:rFonts w:ascii="Arial Narrow" w:hAnsi="Arial Narrow"/>
                <w:color w:val="000000"/>
                <w:sz w:val="20"/>
                <w:szCs w:val="20"/>
              </w:rPr>
            </w:pPr>
            <w:r w:rsidRPr="007A4C0F">
              <w:rPr>
                <w:rFonts w:ascii="Arial Narrow" w:hAnsi="Arial Narrow"/>
                <w:color w:val="000000"/>
                <w:sz w:val="20"/>
                <w:szCs w:val="20"/>
              </w:rPr>
              <w:t xml:space="preserve">c) The date of consultation and the full name of the consultant physician; and </w:t>
            </w:r>
          </w:p>
          <w:p w:rsidR="007A4C0F" w:rsidRPr="007A4C0F" w:rsidRDefault="007A4C0F" w:rsidP="00DF7D1F">
            <w:pPr>
              <w:autoSpaceDE w:val="0"/>
              <w:autoSpaceDN w:val="0"/>
              <w:adjustRightInd w:val="0"/>
              <w:rPr>
                <w:rFonts w:ascii="Arial Narrow" w:hAnsi="Arial Narrow"/>
                <w:color w:val="000000"/>
                <w:sz w:val="20"/>
                <w:szCs w:val="20"/>
              </w:rPr>
            </w:pPr>
            <w:r w:rsidRPr="007A4C0F">
              <w:rPr>
                <w:rFonts w:ascii="Arial Narrow" w:hAnsi="Arial Narrow"/>
                <w:color w:val="000000"/>
                <w:sz w:val="20"/>
                <w:szCs w:val="20"/>
              </w:rPr>
              <w:t xml:space="preserve">d) A copy of the qualifying Dutch Lipid Clinic Network Score or a copy of the result of genetic testing; and </w:t>
            </w:r>
          </w:p>
          <w:p w:rsidR="007A4C0F" w:rsidRPr="007A4C0F" w:rsidRDefault="007A4C0F" w:rsidP="00DF7D1F">
            <w:pPr>
              <w:rPr>
                <w:rFonts w:ascii="Arial Narrow" w:hAnsi="Arial Narrow"/>
                <w:color w:val="000000"/>
                <w:sz w:val="20"/>
                <w:szCs w:val="20"/>
              </w:rPr>
            </w:pPr>
            <w:r w:rsidRPr="007A4C0F">
              <w:rPr>
                <w:rFonts w:ascii="Arial Narrow" w:hAnsi="Arial Narrow"/>
                <w:color w:val="000000"/>
                <w:sz w:val="20"/>
                <w:szCs w:val="20"/>
              </w:rPr>
              <w:t>e) The result of LDL cholesterol level and one of the following where appropriate: statin treatment details including agent, dose and treatment duration; or details of adverse event or contraindication to treatment with a statin as defined in the TGA-approved Product Information.</w:t>
            </w:r>
          </w:p>
          <w:p w:rsidR="007A4C0F" w:rsidRPr="007A4C0F" w:rsidRDefault="007A4C0F" w:rsidP="00DF7D1F">
            <w:pPr>
              <w:spacing w:after="240"/>
              <w:rPr>
                <w:rFonts w:ascii="Arial Narrow" w:hAnsi="Arial Narrow"/>
                <w:sz w:val="20"/>
                <w:szCs w:val="20"/>
              </w:rPr>
            </w:pPr>
            <w:r w:rsidRPr="007A4C0F">
              <w:rPr>
                <w:rFonts w:ascii="Arial Narrow" w:hAnsi="Arial Narrow"/>
                <w:color w:val="000000"/>
                <w:sz w:val="20"/>
                <w:szCs w:val="20"/>
              </w:rPr>
              <w:t xml:space="preserve">f) Where the qualifying LDL cholesterol level is less than or equal to 5 mmol/L, details of the diagnosis of </w:t>
            </w:r>
            <w:r w:rsidRPr="007A4C0F">
              <w:rPr>
                <w:rFonts w:ascii="Arial Narrow" w:hAnsi="Arial Narrow"/>
                <w:sz w:val="20"/>
                <w:szCs w:val="20"/>
              </w:rPr>
              <w:t>symptomatic atherosclerotic cardiovascular disease</w:t>
            </w:r>
            <w:r w:rsidRPr="007A4C0F">
              <w:rPr>
                <w:rFonts w:ascii="Arial Narrow" w:hAnsi="Arial Narrow"/>
                <w:color w:val="000000"/>
                <w:sz w:val="20"/>
                <w:szCs w:val="20"/>
              </w:rPr>
              <w:t xml:space="preserve"> must be provided.</w:t>
            </w:r>
          </w:p>
        </w:tc>
      </w:tr>
      <w:tr w:rsidR="007A4C0F" w:rsidRPr="007A4C0F" w:rsidTr="00DF7D1F">
        <w:trPr>
          <w:trHeight w:val="360"/>
        </w:trPr>
        <w:tc>
          <w:tcPr>
            <w:tcW w:w="1014" w:type="pct"/>
            <w:tcBorders>
              <w:top w:val="single" w:sz="4" w:space="0" w:color="auto"/>
              <w:left w:val="single" w:sz="4" w:space="0" w:color="auto"/>
              <w:bottom w:val="single" w:sz="4" w:space="0" w:color="auto"/>
              <w:right w:val="single" w:sz="4" w:space="0" w:color="auto"/>
            </w:tcBorders>
          </w:tcPr>
          <w:p w:rsidR="007A4C0F" w:rsidRPr="007A4C0F" w:rsidRDefault="00596949" w:rsidP="00DF7D1F">
            <w:pPr>
              <w:spacing w:after="240"/>
              <w:rPr>
                <w:rFonts w:ascii="Arial Narrow" w:hAnsi="Arial Narrow"/>
                <w:b/>
                <w:sz w:val="20"/>
                <w:szCs w:val="20"/>
              </w:rPr>
            </w:pPr>
            <w:r w:rsidRPr="009F4B9F">
              <w:rPr>
                <w:rFonts w:ascii="Arial Narrow" w:hAnsi="Arial Narrow"/>
                <w:b/>
                <w:sz w:val="20"/>
                <w:szCs w:val="20"/>
              </w:rPr>
              <w:t>Notes</w:t>
            </w:r>
          </w:p>
        </w:tc>
        <w:tc>
          <w:tcPr>
            <w:tcW w:w="3986" w:type="pct"/>
            <w:tcBorders>
              <w:top w:val="single" w:sz="4" w:space="0" w:color="auto"/>
              <w:left w:val="single" w:sz="4" w:space="0" w:color="auto"/>
              <w:bottom w:val="single" w:sz="4" w:space="0" w:color="auto"/>
              <w:right w:val="single" w:sz="4" w:space="0" w:color="auto"/>
            </w:tcBorders>
          </w:tcPr>
          <w:p w:rsidR="007A4C0F" w:rsidRPr="007A4C0F" w:rsidRDefault="007A4C0F" w:rsidP="00DF7D1F">
            <w:pPr>
              <w:rPr>
                <w:rFonts w:ascii="Arial Narrow" w:hAnsi="Arial Narrow"/>
                <w:sz w:val="20"/>
                <w:szCs w:val="20"/>
              </w:rPr>
            </w:pPr>
            <w:r w:rsidRPr="007A4C0F">
              <w:rPr>
                <w:rFonts w:ascii="Arial Narrow" w:hAnsi="Arial Narrow"/>
                <w:sz w:val="20"/>
                <w:szCs w:val="20"/>
              </w:rPr>
              <w:t>Special Pricing Arrangements apply</w:t>
            </w:r>
          </w:p>
          <w:p w:rsidR="007A4C0F" w:rsidRPr="007A4C0F" w:rsidRDefault="007A4C0F" w:rsidP="00DF7D1F">
            <w:pPr>
              <w:rPr>
                <w:rFonts w:ascii="Arial Narrow" w:hAnsi="Arial Narrow"/>
                <w:sz w:val="20"/>
                <w:szCs w:val="20"/>
              </w:rPr>
            </w:pPr>
          </w:p>
          <w:p w:rsidR="007A4C0F" w:rsidRPr="007A4C0F" w:rsidRDefault="007A4C0F" w:rsidP="00DF7D1F">
            <w:pPr>
              <w:rPr>
                <w:rFonts w:ascii="Arial Narrow" w:hAnsi="Arial Narrow"/>
                <w:sz w:val="20"/>
                <w:szCs w:val="20"/>
              </w:rPr>
            </w:pPr>
            <w:r w:rsidRPr="007A4C0F">
              <w:rPr>
                <w:rFonts w:ascii="Arial Narrow" w:hAnsi="Arial Narrow"/>
                <w:sz w:val="20"/>
                <w:szCs w:val="20"/>
              </w:rPr>
              <w:t>Any queries concerning the arrangements to prescribe may be directed to the Department of Human Services on 1800 700 270 (hours of operation 8 a.m. to 5 p.m. EST Monday to Friday).</w:t>
            </w:r>
          </w:p>
          <w:p w:rsidR="007A4C0F" w:rsidRPr="007A4C0F" w:rsidRDefault="007A4C0F" w:rsidP="00DF7D1F">
            <w:pPr>
              <w:rPr>
                <w:rFonts w:ascii="Arial Narrow" w:hAnsi="Arial Narrow"/>
                <w:sz w:val="20"/>
                <w:szCs w:val="20"/>
              </w:rPr>
            </w:pPr>
            <w:r w:rsidRPr="007A4C0F">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7A4C0F" w:rsidRPr="007A4C0F" w:rsidRDefault="007A4C0F" w:rsidP="00DF7D1F">
            <w:pPr>
              <w:rPr>
                <w:rFonts w:ascii="Arial Narrow" w:hAnsi="Arial Narrow"/>
                <w:sz w:val="20"/>
                <w:szCs w:val="20"/>
              </w:rPr>
            </w:pPr>
            <w:r w:rsidRPr="007A4C0F">
              <w:rPr>
                <w:rFonts w:ascii="Arial Narrow" w:hAnsi="Arial Narrow"/>
                <w:sz w:val="20"/>
                <w:szCs w:val="20"/>
              </w:rPr>
              <w:t>Applications for authority to prescribe should be forwarded to:</w:t>
            </w:r>
          </w:p>
          <w:p w:rsidR="007A4C0F" w:rsidRPr="007A4C0F" w:rsidRDefault="007A4C0F" w:rsidP="00DF7D1F">
            <w:pPr>
              <w:rPr>
                <w:rFonts w:ascii="Arial Narrow" w:hAnsi="Arial Narrow"/>
                <w:sz w:val="20"/>
                <w:szCs w:val="20"/>
              </w:rPr>
            </w:pPr>
            <w:r w:rsidRPr="007A4C0F">
              <w:rPr>
                <w:rFonts w:ascii="Arial Narrow" w:hAnsi="Arial Narrow"/>
                <w:sz w:val="20"/>
                <w:szCs w:val="20"/>
              </w:rPr>
              <w:t>Department of Human Services</w:t>
            </w:r>
          </w:p>
          <w:p w:rsidR="007A4C0F" w:rsidRPr="007A4C0F" w:rsidRDefault="007A4C0F" w:rsidP="00DF7D1F">
            <w:pPr>
              <w:rPr>
                <w:rFonts w:ascii="Arial Narrow" w:hAnsi="Arial Narrow"/>
                <w:sz w:val="20"/>
                <w:szCs w:val="20"/>
              </w:rPr>
            </w:pPr>
            <w:r w:rsidRPr="007A4C0F">
              <w:rPr>
                <w:rFonts w:ascii="Arial Narrow" w:hAnsi="Arial Narrow"/>
                <w:sz w:val="20"/>
                <w:szCs w:val="20"/>
              </w:rPr>
              <w:t>Complex Drugs</w:t>
            </w:r>
          </w:p>
          <w:p w:rsidR="007A4C0F" w:rsidRPr="007A4C0F" w:rsidRDefault="007A4C0F" w:rsidP="00DF7D1F">
            <w:pPr>
              <w:rPr>
                <w:rFonts w:ascii="Arial Narrow" w:hAnsi="Arial Narrow"/>
                <w:sz w:val="20"/>
                <w:szCs w:val="20"/>
              </w:rPr>
            </w:pPr>
            <w:r w:rsidRPr="007A4C0F">
              <w:rPr>
                <w:rFonts w:ascii="Arial Narrow" w:hAnsi="Arial Narrow"/>
                <w:sz w:val="20"/>
                <w:szCs w:val="20"/>
              </w:rPr>
              <w:t>Reply Paid 9826</w:t>
            </w:r>
          </w:p>
          <w:p w:rsidR="007A4C0F" w:rsidRPr="007A4C0F" w:rsidRDefault="007A4C0F" w:rsidP="00DF7D1F">
            <w:pPr>
              <w:rPr>
                <w:rFonts w:ascii="Arial Narrow" w:hAnsi="Arial Narrow"/>
                <w:sz w:val="20"/>
                <w:szCs w:val="20"/>
              </w:rPr>
            </w:pPr>
            <w:r w:rsidRPr="007A4C0F">
              <w:rPr>
                <w:rFonts w:ascii="Arial Narrow" w:hAnsi="Arial Narrow"/>
                <w:sz w:val="20"/>
                <w:szCs w:val="20"/>
              </w:rPr>
              <w:t>HOBART TAS 7001</w:t>
            </w:r>
          </w:p>
        </w:tc>
      </w:tr>
    </w:tbl>
    <w:p w:rsidR="00C17981" w:rsidRDefault="00C17981" w:rsidP="003144AC">
      <w:pPr>
        <w:pStyle w:val="ListParagraph"/>
        <w:widowControl/>
        <w:numPr>
          <w:ilvl w:val="1"/>
          <w:numId w:val="14"/>
        </w:numPr>
        <w:spacing w:before="240" w:after="160"/>
        <w:contextualSpacing w:val="0"/>
        <w:rPr>
          <w:rFonts w:asciiTheme="minorHAnsi" w:hAnsiTheme="minorHAnsi"/>
          <w:sz w:val="24"/>
          <w:szCs w:val="24"/>
        </w:rPr>
      </w:pPr>
      <w:r w:rsidRPr="00E11620">
        <w:rPr>
          <w:rFonts w:asciiTheme="minorHAnsi" w:hAnsiTheme="minorHAnsi"/>
          <w:sz w:val="24"/>
          <w:szCs w:val="24"/>
        </w:rPr>
        <w:t>In November 2017, the PBAC considered further treatment criteria to define statin intolerance was required, such as a requirement for rechallenging after a treatment break with a lower dose or alternative statin, as suggested by a number of reviews and guidelines (</w:t>
      </w:r>
      <w:r w:rsidR="001C657A">
        <w:rPr>
          <w:rFonts w:asciiTheme="minorHAnsi" w:hAnsiTheme="minorHAnsi"/>
          <w:sz w:val="24"/>
          <w:szCs w:val="24"/>
        </w:rPr>
        <w:t>Public Summary Document</w:t>
      </w:r>
      <w:r w:rsidRPr="00E11620">
        <w:rPr>
          <w:rFonts w:asciiTheme="minorHAnsi" w:hAnsiTheme="minorHAnsi"/>
          <w:sz w:val="24"/>
          <w:szCs w:val="24"/>
        </w:rPr>
        <w:t>, paragraph 7.3).</w:t>
      </w:r>
    </w:p>
    <w:p w:rsidR="00CD223F" w:rsidRDefault="00A66955" w:rsidP="004427B3">
      <w:pPr>
        <w:pStyle w:val="ListParagraph"/>
        <w:widowControl/>
        <w:numPr>
          <w:ilvl w:val="1"/>
          <w:numId w:val="14"/>
        </w:numPr>
        <w:spacing w:after="160"/>
        <w:contextualSpacing w:val="0"/>
        <w:rPr>
          <w:rFonts w:asciiTheme="minorHAnsi" w:hAnsiTheme="minorHAnsi"/>
          <w:sz w:val="24"/>
          <w:szCs w:val="24"/>
        </w:rPr>
      </w:pPr>
      <w:r>
        <w:rPr>
          <w:rFonts w:asciiTheme="minorHAnsi" w:hAnsiTheme="minorHAnsi"/>
          <w:sz w:val="24"/>
          <w:szCs w:val="24"/>
        </w:rPr>
        <w:t xml:space="preserve">The PBAC </w:t>
      </w:r>
      <w:r w:rsidR="004A2E16">
        <w:rPr>
          <w:rFonts w:asciiTheme="minorHAnsi" w:hAnsiTheme="minorHAnsi"/>
          <w:sz w:val="24"/>
          <w:szCs w:val="24"/>
        </w:rPr>
        <w:t>S</w:t>
      </w:r>
      <w:r>
        <w:rPr>
          <w:rFonts w:asciiTheme="minorHAnsi" w:hAnsiTheme="minorHAnsi"/>
          <w:sz w:val="24"/>
          <w:szCs w:val="24"/>
        </w:rPr>
        <w:t>ecretariat suggested that s</w:t>
      </w:r>
      <w:r w:rsidR="004B4A68" w:rsidRPr="005734C5">
        <w:rPr>
          <w:rFonts w:asciiTheme="minorHAnsi" w:hAnsiTheme="minorHAnsi"/>
          <w:sz w:val="24"/>
          <w:szCs w:val="24"/>
        </w:rPr>
        <w:t>hould the proposed change to the maximum quantity for the 140</w:t>
      </w:r>
      <w:r w:rsidR="00B81714">
        <w:rPr>
          <w:rFonts w:asciiTheme="minorHAnsi" w:hAnsiTheme="minorHAnsi"/>
          <w:sz w:val="24"/>
          <w:szCs w:val="24"/>
        </w:rPr>
        <w:t xml:space="preserve"> </w:t>
      </w:r>
      <w:r w:rsidR="004B4A68" w:rsidRPr="005734C5">
        <w:rPr>
          <w:rFonts w:asciiTheme="minorHAnsi" w:hAnsiTheme="minorHAnsi"/>
          <w:sz w:val="24"/>
          <w:szCs w:val="24"/>
        </w:rPr>
        <w:t xml:space="preserve">mg injection from 3 to 2 be accepted, a note may be included in the </w:t>
      </w:r>
      <w:r w:rsidR="0020483C">
        <w:rPr>
          <w:rFonts w:asciiTheme="minorHAnsi" w:hAnsiTheme="minorHAnsi"/>
          <w:sz w:val="24"/>
          <w:szCs w:val="24"/>
        </w:rPr>
        <w:t>Prescriber Instructions</w:t>
      </w:r>
      <w:r w:rsidR="004B4A68" w:rsidRPr="005734C5">
        <w:rPr>
          <w:rFonts w:asciiTheme="minorHAnsi" w:hAnsiTheme="minorHAnsi"/>
          <w:sz w:val="24"/>
          <w:szCs w:val="24"/>
        </w:rPr>
        <w:t xml:space="preserve"> of the restriction which describes </w:t>
      </w:r>
      <w:r w:rsidR="00C17981">
        <w:rPr>
          <w:rFonts w:asciiTheme="minorHAnsi" w:hAnsiTheme="minorHAnsi"/>
          <w:sz w:val="24"/>
          <w:szCs w:val="24"/>
        </w:rPr>
        <w:t>when the</w:t>
      </w:r>
      <w:r w:rsidR="004B4A68" w:rsidRPr="005734C5">
        <w:rPr>
          <w:rFonts w:asciiTheme="minorHAnsi" w:hAnsiTheme="minorHAnsi"/>
          <w:sz w:val="24"/>
          <w:szCs w:val="24"/>
        </w:rPr>
        <w:t xml:space="preserve"> </w:t>
      </w:r>
      <w:r w:rsidR="00C17981">
        <w:rPr>
          <w:rFonts w:asciiTheme="minorHAnsi" w:hAnsiTheme="minorHAnsi"/>
          <w:sz w:val="24"/>
          <w:szCs w:val="24"/>
        </w:rPr>
        <w:t>maximum quantity may be increased for the homozygous FH patients</w:t>
      </w:r>
      <w:r w:rsidR="004B4A68" w:rsidRPr="005734C5">
        <w:rPr>
          <w:rFonts w:asciiTheme="minorHAnsi" w:hAnsiTheme="minorHAnsi"/>
          <w:sz w:val="24"/>
          <w:szCs w:val="24"/>
        </w:rPr>
        <w:t xml:space="preserve"> (</w:t>
      </w:r>
      <w:r w:rsidR="00F81E58">
        <w:rPr>
          <w:rFonts w:asciiTheme="minorHAnsi" w:hAnsiTheme="minorHAnsi"/>
          <w:sz w:val="24"/>
          <w:szCs w:val="24"/>
        </w:rPr>
        <w:t>i.e.</w:t>
      </w:r>
      <w:r w:rsidR="00C17981">
        <w:rPr>
          <w:rFonts w:asciiTheme="minorHAnsi" w:hAnsiTheme="minorHAnsi"/>
          <w:sz w:val="24"/>
          <w:szCs w:val="24"/>
        </w:rPr>
        <w:t xml:space="preserve"> where the dose increases from </w:t>
      </w:r>
      <w:r w:rsidR="004B4A68" w:rsidRPr="005734C5">
        <w:rPr>
          <w:rFonts w:asciiTheme="minorHAnsi" w:hAnsiTheme="minorHAnsi"/>
          <w:sz w:val="24"/>
          <w:szCs w:val="24"/>
        </w:rPr>
        <w:t>420 mg monthly</w:t>
      </w:r>
      <w:r w:rsidR="00C17981" w:rsidRPr="00C17981">
        <w:rPr>
          <w:rFonts w:asciiTheme="minorHAnsi" w:hAnsiTheme="minorHAnsi"/>
          <w:sz w:val="24"/>
          <w:szCs w:val="24"/>
        </w:rPr>
        <w:t xml:space="preserve"> </w:t>
      </w:r>
      <w:r w:rsidR="00C17981">
        <w:rPr>
          <w:rFonts w:asciiTheme="minorHAnsi" w:hAnsiTheme="minorHAnsi"/>
          <w:sz w:val="24"/>
          <w:szCs w:val="24"/>
        </w:rPr>
        <w:t xml:space="preserve">to </w:t>
      </w:r>
      <w:r w:rsidR="00C17981" w:rsidRPr="005734C5">
        <w:rPr>
          <w:rFonts w:asciiTheme="minorHAnsi" w:hAnsiTheme="minorHAnsi"/>
          <w:sz w:val="24"/>
          <w:szCs w:val="24"/>
        </w:rPr>
        <w:t>fortnightly</w:t>
      </w:r>
      <w:r w:rsidR="004B4A68" w:rsidRPr="005734C5">
        <w:rPr>
          <w:rFonts w:asciiTheme="minorHAnsi" w:hAnsiTheme="minorHAnsi"/>
          <w:sz w:val="24"/>
          <w:szCs w:val="24"/>
        </w:rPr>
        <w:t xml:space="preserve">). Alternatively, separate PBS listings for </w:t>
      </w:r>
      <w:r w:rsidR="004B4A68" w:rsidRPr="005734C5">
        <w:rPr>
          <w:rFonts w:asciiTheme="minorHAnsi" w:hAnsiTheme="minorHAnsi"/>
          <w:color w:val="000000"/>
          <w:sz w:val="24"/>
          <w:szCs w:val="24"/>
        </w:rPr>
        <w:t>homozygous and heterozygous familial hypercholesterolaemia may be considered more appropriate.</w:t>
      </w:r>
      <w:r w:rsidR="005734C5">
        <w:rPr>
          <w:rFonts w:asciiTheme="minorHAnsi" w:hAnsiTheme="minorHAnsi"/>
          <w:sz w:val="24"/>
          <w:szCs w:val="24"/>
        </w:rPr>
        <w:t xml:space="preserve"> </w:t>
      </w:r>
      <w:r w:rsidR="00CD223F" w:rsidRPr="005734C5">
        <w:rPr>
          <w:rFonts w:asciiTheme="minorHAnsi" w:hAnsiTheme="minorHAnsi"/>
          <w:sz w:val="24"/>
          <w:szCs w:val="24"/>
        </w:rPr>
        <w:t xml:space="preserve">The pre-PBAC response stated that </w:t>
      </w:r>
      <w:r w:rsidR="005734C5" w:rsidRPr="005734C5">
        <w:rPr>
          <w:rFonts w:asciiTheme="minorHAnsi" w:hAnsiTheme="minorHAnsi"/>
          <w:sz w:val="24"/>
          <w:szCs w:val="24"/>
        </w:rPr>
        <w:t xml:space="preserve">the sponsor does not believe </w:t>
      </w:r>
      <w:r w:rsidR="00CD223F" w:rsidRPr="005734C5">
        <w:rPr>
          <w:rFonts w:asciiTheme="minorHAnsi" w:hAnsiTheme="minorHAnsi"/>
          <w:sz w:val="24"/>
          <w:szCs w:val="24"/>
        </w:rPr>
        <w:t>separate listing</w:t>
      </w:r>
      <w:r w:rsidR="005734C5" w:rsidRPr="005734C5">
        <w:rPr>
          <w:rFonts w:asciiTheme="minorHAnsi" w:hAnsiTheme="minorHAnsi"/>
          <w:sz w:val="24"/>
          <w:szCs w:val="24"/>
        </w:rPr>
        <w:t>s</w:t>
      </w:r>
      <w:r w:rsidR="00CD223F" w:rsidRPr="005734C5">
        <w:rPr>
          <w:rFonts w:asciiTheme="minorHAnsi" w:hAnsiTheme="minorHAnsi"/>
          <w:sz w:val="24"/>
          <w:szCs w:val="24"/>
        </w:rPr>
        <w:t xml:space="preserve"> for both the homozygous and heterozygous population </w:t>
      </w:r>
      <w:r w:rsidR="005734C5" w:rsidRPr="005734C5">
        <w:rPr>
          <w:rFonts w:asciiTheme="minorHAnsi" w:hAnsiTheme="minorHAnsi"/>
          <w:sz w:val="24"/>
          <w:szCs w:val="24"/>
        </w:rPr>
        <w:t>are needed</w:t>
      </w:r>
      <w:r w:rsidR="00CD223F" w:rsidRPr="005734C5">
        <w:rPr>
          <w:rFonts w:asciiTheme="minorHAnsi" w:hAnsiTheme="minorHAnsi"/>
          <w:sz w:val="24"/>
          <w:szCs w:val="24"/>
        </w:rPr>
        <w:t xml:space="preserve">. </w:t>
      </w:r>
    </w:p>
    <w:p w:rsidR="00E513C8" w:rsidRPr="00E11620" w:rsidRDefault="00E513C8" w:rsidP="004427B3">
      <w:pPr>
        <w:pStyle w:val="ListParagraph"/>
        <w:widowControl/>
        <w:numPr>
          <w:ilvl w:val="1"/>
          <w:numId w:val="14"/>
        </w:numPr>
        <w:spacing w:after="160"/>
        <w:contextualSpacing w:val="0"/>
        <w:rPr>
          <w:rFonts w:asciiTheme="minorHAnsi" w:hAnsiTheme="minorHAnsi"/>
          <w:sz w:val="24"/>
          <w:szCs w:val="24"/>
        </w:rPr>
      </w:pPr>
      <w:r w:rsidRPr="00E11620">
        <w:rPr>
          <w:rFonts w:asciiTheme="minorHAnsi" w:hAnsiTheme="minorHAnsi"/>
          <w:sz w:val="24"/>
          <w:szCs w:val="24"/>
        </w:rPr>
        <w:t xml:space="preserve">The proposed PBS listing would allow monotherapy with evolocumab in patients who are intolerant/contraindicated to statins and this use is currently outside the approved TGA indication. The resubmission stated that following recent FDA approval, TGA approval for monotherapy with evolocumab is anticipated in August 2018. The sponsor requested the PBAC give consideration to the status of the TGA submission for the inclusion of monotherapy in the product information, and consider recommending a time-limited addition of monotherapy to the PBS restriction (if the TGA outcome is pending), or no addition </w:t>
      </w:r>
      <w:r>
        <w:rPr>
          <w:rFonts w:asciiTheme="minorHAnsi" w:hAnsiTheme="minorHAnsi"/>
          <w:sz w:val="24"/>
          <w:szCs w:val="24"/>
        </w:rPr>
        <w:t>(</w:t>
      </w:r>
      <w:r w:rsidRPr="00E11620">
        <w:rPr>
          <w:rFonts w:asciiTheme="minorHAnsi" w:hAnsiTheme="minorHAnsi"/>
          <w:sz w:val="24"/>
          <w:szCs w:val="24"/>
        </w:rPr>
        <w:t>if the TGA outcome is successful</w:t>
      </w:r>
      <w:r>
        <w:rPr>
          <w:rFonts w:asciiTheme="minorHAnsi" w:hAnsiTheme="minorHAnsi"/>
          <w:sz w:val="24"/>
          <w:szCs w:val="24"/>
        </w:rPr>
        <w:t>).</w:t>
      </w:r>
      <w:r w:rsidRPr="00E11620">
        <w:rPr>
          <w:rFonts w:asciiTheme="minorHAnsi" w:hAnsiTheme="minorHAnsi"/>
          <w:sz w:val="24"/>
          <w:szCs w:val="24"/>
        </w:rPr>
        <w:t xml:space="preserve"> </w:t>
      </w:r>
      <w:r w:rsidR="009B6907" w:rsidRPr="009B6907">
        <w:t xml:space="preserve"> </w:t>
      </w:r>
      <w:r w:rsidR="009B6907" w:rsidRPr="009B6907">
        <w:rPr>
          <w:rFonts w:asciiTheme="minorHAnsi" w:hAnsiTheme="minorHAnsi"/>
          <w:sz w:val="24"/>
          <w:szCs w:val="24"/>
        </w:rPr>
        <w:t>Th</w:t>
      </w:r>
      <w:r w:rsidR="009B6907">
        <w:rPr>
          <w:rFonts w:asciiTheme="minorHAnsi" w:hAnsiTheme="minorHAnsi"/>
          <w:sz w:val="24"/>
          <w:szCs w:val="24"/>
        </w:rPr>
        <w:t>e PBAC considered this wa</w:t>
      </w:r>
      <w:r w:rsidR="009B6907" w:rsidRPr="009B6907">
        <w:rPr>
          <w:rFonts w:asciiTheme="minorHAnsi" w:hAnsiTheme="minorHAnsi"/>
          <w:sz w:val="24"/>
          <w:szCs w:val="24"/>
        </w:rPr>
        <w:t xml:space="preserve">s reasonable, </w:t>
      </w:r>
      <w:r w:rsidR="009B6907">
        <w:rPr>
          <w:rFonts w:asciiTheme="minorHAnsi" w:hAnsiTheme="minorHAnsi"/>
          <w:sz w:val="24"/>
          <w:szCs w:val="24"/>
        </w:rPr>
        <w:t>however it was noted that</w:t>
      </w:r>
      <w:r w:rsidR="009B6907" w:rsidRPr="009B6907">
        <w:rPr>
          <w:rFonts w:asciiTheme="minorHAnsi" w:hAnsiTheme="minorHAnsi"/>
          <w:sz w:val="24"/>
          <w:szCs w:val="24"/>
        </w:rPr>
        <w:t xml:space="preserve"> the TGA indication allows combination with non</w:t>
      </w:r>
      <w:r w:rsidR="009B6907">
        <w:rPr>
          <w:rFonts w:asciiTheme="minorHAnsi" w:hAnsiTheme="minorHAnsi"/>
          <w:sz w:val="24"/>
          <w:szCs w:val="24"/>
        </w:rPr>
        <w:t>-</w:t>
      </w:r>
      <w:r w:rsidR="009B6907" w:rsidRPr="009B6907">
        <w:rPr>
          <w:rFonts w:asciiTheme="minorHAnsi" w:hAnsiTheme="minorHAnsi"/>
          <w:sz w:val="24"/>
          <w:szCs w:val="24"/>
        </w:rPr>
        <w:t xml:space="preserve">statin </w:t>
      </w:r>
      <w:r w:rsidR="009B6907">
        <w:rPr>
          <w:rFonts w:asciiTheme="minorHAnsi" w:hAnsiTheme="minorHAnsi"/>
          <w:sz w:val="24"/>
          <w:szCs w:val="24"/>
        </w:rPr>
        <w:t>lipid lowering therapies</w:t>
      </w:r>
      <w:r w:rsidR="009B6907" w:rsidRPr="009B6907">
        <w:rPr>
          <w:rFonts w:asciiTheme="minorHAnsi" w:hAnsiTheme="minorHAnsi"/>
          <w:sz w:val="24"/>
          <w:szCs w:val="24"/>
        </w:rPr>
        <w:t xml:space="preserve"> </w:t>
      </w:r>
      <w:r w:rsidR="009B6907">
        <w:rPr>
          <w:rFonts w:asciiTheme="minorHAnsi" w:hAnsiTheme="minorHAnsi"/>
          <w:sz w:val="24"/>
          <w:szCs w:val="24"/>
        </w:rPr>
        <w:t>such as</w:t>
      </w:r>
      <w:r w:rsidR="009B6907" w:rsidRPr="009B6907">
        <w:rPr>
          <w:rFonts w:asciiTheme="minorHAnsi" w:hAnsiTheme="minorHAnsi"/>
          <w:sz w:val="24"/>
          <w:szCs w:val="24"/>
        </w:rPr>
        <w:t xml:space="preserve"> ezetimibe. If </w:t>
      </w:r>
      <w:r w:rsidR="009B6907">
        <w:rPr>
          <w:rFonts w:asciiTheme="minorHAnsi" w:hAnsiTheme="minorHAnsi"/>
          <w:sz w:val="24"/>
          <w:szCs w:val="24"/>
        </w:rPr>
        <w:t>a</w:t>
      </w:r>
      <w:r w:rsidR="009B6907" w:rsidRPr="009B6907">
        <w:rPr>
          <w:rFonts w:asciiTheme="minorHAnsi" w:hAnsiTheme="minorHAnsi"/>
          <w:sz w:val="24"/>
          <w:szCs w:val="24"/>
        </w:rPr>
        <w:t xml:space="preserve"> patient is statin intolerant, the</w:t>
      </w:r>
      <w:r w:rsidR="009B6907">
        <w:rPr>
          <w:rFonts w:asciiTheme="minorHAnsi" w:hAnsiTheme="minorHAnsi"/>
          <w:sz w:val="24"/>
          <w:szCs w:val="24"/>
        </w:rPr>
        <w:t xml:space="preserve"> PBAC considered</w:t>
      </w:r>
      <w:r w:rsidR="009B6907" w:rsidRPr="009B6907">
        <w:rPr>
          <w:rFonts w:asciiTheme="minorHAnsi" w:hAnsiTheme="minorHAnsi"/>
          <w:sz w:val="24"/>
          <w:szCs w:val="24"/>
        </w:rPr>
        <w:t xml:space="preserve"> </w:t>
      </w:r>
      <w:r w:rsidR="009B6907">
        <w:rPr>
          <w:rFonts w:asciiTheme="minorHAnsi" w:hAnsiTheme="minorHAnsi"/>
          <w:sz w:val="24"/>
          <w:szCs w:val="24"/>
        </w:rPr>
        <w:t xml:space="preserve">it appropriate to </w:t>
      </w:r>
      <w:r w:rsidR="009B6907" w:rsidRPr="009B6907">
        <w:rPr>
          <w:rFonts w:asciiTheme="minorHAnsi" w:hAnsiTheme="minorHAnsi"/>
          <w:sz w:val="24"/>
          <w:szCs w:val="24"/>
        </w:rPr>
        <w:t xml:space="preserve">encourage concomitant use of ezetimibe to maximise lowering of LDL-c, although </w:t>
      </w:r>
      <w:r w:rsidR="009B6907">
        <w:rPr>
          <w:rFonts w:asciiTheme="minorHAnsi" w:hAnsiTheme="minorHAnsi"/>
          <w:sz w:val="24"/>
          <w:szCs w:val="24"/>
        </w:rPr>
        <w:t xml:space="preserve">it was </w:t>
      </w:r>
      <w:r w:rsidR="009B6907" w:rsidRPr="009B6907">
        <w:rPr>
          <w:rFonts w:asciiTheme="minorHAnsi" w:hAnsiTheme="minorHAnsi"/>
          <w:sz w:val="24"/>
          <w:szCs w:val="24"/>
        </w:rPr>
        <w:t>recognis</w:t>
      </w:r>
      <w:r w:rsidR="009B6907">
        <w:rPr>
          <w:rFonts w:asciiTheme="minorHAnsi" w:hAnsiTheme="minorHAnsi"/>
          <w:sz w:val="24"/>
          <w:szCs w:val="24"/>
        </w:rPr>
        <w:t>ed that there is a limited</w:t>
      </w:r>
      <w:r w:rsidR="009B6907" w:rsidRPr="009B6907">
        <w:rPr>
          <w:rFonts w:asciiTheme="minorHAnsi" w:hAnsiTheme="minorHAnsi"/>
          <w:sz w:val="24"/>
          <w:szCs w:val="24"/>
        </w:rPr>
        <w:t xml:space="preserve"> evidence base for this.</w:t>
      </w:r>
    </w:p>
    <w:p w:rsidR="00E11620" w:rsidRDefault="00E11620" w:rsidP="00E11620">
      <w:pPr>
        <w:pStyle w:val="ListParagraph"/>
        <w:ind w:left="709"/>
        <w:rPr>
          <w:rFonts w:asciiTheme="minorHAnsi" w:hAnsiTheme="minorHAnsi"/>
          <w:i/>
          <w:sz w:val="24"/>
          <w:szCs w:val="24"/>
        </w:rPr>
      </w:pPr>
      <w:r w:rsidRPr="00B623F6">
        <w:rPr>
          <w:rFonts w:asciiTheme="minorHAnsi" w:hAnsiTheme="minorHAnsi"/>
          <w:i/>
          <w:sz w:val="24"/>
          <w:szCs w:val="24"/>
        </w:rPr>
        <w:t>For more deta</w:t>
      </w:r>
      <w:r w:rsidR="00B623F6">
        <w:rPr>
          <w:rFonts w:asciiTheme="minorHAnsi" w:hAnsiTheme="minorHAnsi"/>
          <w:i/>
          <w:sz w:val="24"/>
          <w:szCs w:val="24"/>
        </w:rPr>
        <w:t>il on PBAC’s view, see section 5</w:t>
      </w:r>
      <w:r w:rsidRPr="00B623F6">
        <w:rPr>
          <w:rFonts w:asciiTheme="minorHAnsi" w:hAnsiTheme="minorHAnsi"/>
          <w:i/>
          <w:sz w:val="24"/>
          <w:szCs w:val="24"/>
        </w:rPr>
        <w:t xml:space="preserve"> PBAC outcome.</w:t>
      </w:r>
    </w:p>
    <w:p w:rsidR="00A41664" w:rsidRPr="00B623F6" w:rsidRDefault="00A41664" w:rsidP="00E11620">
      <w:pPr>
        <w:pStyle w:val="ListParagraph"/>
        <w:ind w:left="709"/>
        <w:rPr>
          <w:rFonts w:asciiTheme="minorHAnsi" w:hAnsiTheme="minorHAnsi"/>
          <w:i/>
          <w:sz w:val="24"/>
          <w:szCs w:val="24"/>
        </w:rPr>
      </w:pPr>
    </w:p>
    <w:p w:rsidR="00AD131E" w:rsidRPr="00B623F6" w:rsidRDefault="00AD131E" w:rsidP="003144AC">
      <w:pPr>
        <w:pStyle w:val="PBACHeading1"/>
      </w:pPr>
      <w:r w:rsidRPr="00B623F6">
        <w:t>Consideration of the evidence</w:t>
      </w:r>
    </w:p>
    <w:p w:rsidR="00AD131E" w:rsidRPr="00A41664" w:rsidRDefault="00AD131E" w:rsidP="00A41664">
      <w:pPr>
        <w:pStyle w:val="Heading2"/>
      </w:pPr>
      <w:r w:rsidRPr="00A41664">
        <w:t>Sponsor hearing</w:t>
      </w:r>
    </w:p>
    <w:p w:rsidR="00AD131E" w:rsidRPr="00B623F6" w:rsidRDefault="00AD131E" w:rsidP="004427B3">
      <w:pPr>
        <w:widowControl w:val="0"/>
        <w:numPr>
          <w:ilvl w:val="1"/>
          <w:numId w:val="5"/>
        </w:numPr>
        <w:spacing w:after="160"/>
        <w:jc w:val="both"/>
        <w:rPr>
          <w:rFonts w:asciiTheme="minorHAnsi" w:hAnsiTheme="minorHAnsi" w:cs="Arial"/>
          <w:bCs/>
          <w:snapToGrid w:val="0"/>
        </w:rPr>
      </w:pPr>
      <w:r w:rsidRPr="00B623F6">
        <w:rPr>
          <w:rFonts w:asciiTheme="minorHAnsi" w:hAnsiTheme="minorHAnsi" w:cs="Arial"/>
          <w:bCs/>
          <w:snapToGrid w:val="0"/>
        </w:rPr>
        <w:t>There was no hearing for this ite</w:t>
      </w:r>
      <w:r w:rsidR="00B623F6" w:rsidRPr="00B623F6">
        <w:rPr>
          <w:rFonts w:asciiTheme="minorHAnsi" w:hAnsiTheme="minorHAnsi" w:cs="Arial"/>
          <w:bCs/>
          <w:snapToGrid w:val="0"/>
        </w:rPr>
        <w:t>m as it was a minor submission</w:t>
      </w:r>
    </w:p>
    <w:p w:rsidR="00AD131E" w:rsidRPr="00B623F6" w:rsidRDefault="00AD131E" w:rsidP="00A41664">
      <w:pPr>
        <w:pStyle w:val="Heading2"/>
      </w:pPr>
      <w:r w:rsidRPr="00B623F6">
        <w:t>Consumer comments</w:t>
      </w:r>
    </w:p>
    <w:p w:rsidR="00AD131E" w:rsidRPr="00B623F6" w:rsidRDefault="00B623F6" w:rsidP="004427B3">
      <w:pPr>
        <w:widowControl w:val="0"/>
        <w:numPr>
          <w:ilvl w:val="1"/>
          <w:numId w:val="5"/>
        </w:numPr>
        <w:spacing w:after="160"/>
        <w:jc w:val="both"/>
        <w:rPr>
          <w:rFonts w:asciiTheme="minorHAnsi" w:hAnsiTheme="minorHAnsi" w:cs="Arial"/>
          <w:bCs/>
          <w:snapToGrid w:val="0"/>
        </w:rPr>
      </w:pPr>
      <w:r w:rsidRPr="00B623F6">
        <w:rPr>
          <w:rFonts w:asciiTheme="minorHAnsi" w:hAnsiTheme="minorHAnsi" w:cs="Arial"/>
          <w:bCs/>
          <w:snapToGrid w:val="0"/>
        </w:rPr>
        <w:t>T</w:t>
      </w:r>
      <w:r w:rsidR="00AD131E" w:rsidRPr="00B623F6">
        <w:rPr>
          <w:rFonts w:asciiTheme="minorHAnsi" w:hAnsiTheme="minorHAnsi" w:cs="Arial"/>
          <w:bCs/>
          <w:snapToGrid w:val="0"/>
        </w:rPr>
        <w:t>he PBAC noted that no consumer comment</w:t>
      </w:r>
      <w:r w:rsidRPr="00B623F6">
        <w:rPr>
          <w:rFonts w:asciiTheme="minorHAnsi" w:hAnsiTheme="minorHAnsi" w:cs="Arial"/>
          <w:bCs/>
          <w:snapToGrid w:val="0"/>
        </w:rPr>
        <w:t>s were received for this item.</w:t>
      </w:r>
    </w:p>
    <w:p w:rsidR="00AD131E" w:rsidRPr="00B623F6" w:rsidRDefault="00AD131E" w:rsidP="00A41664">
      <w:pPr>
        <w:pStyle w:val="Heading2"/>
        <w:rPr>
          <w:rFonts w:eastAsiaTheme="majorEastAsia"/>
          <w:lang w:eastAsia="en-US"/>
        </w:rPr>
      </w:pPr>
      <w:r w:rsidRPr="00B623F6">
        <w:rPr>
          <w:rFonts w:eastAsiaTheme="majorEastAsia"/>
          <w:lang w:eastAsia="en-US"/>
        </w:rPr>
        <w:t>Clinical trials</w:t>
      </w:r>
    </w:p>
    <w:p w:rsidR="00AD131E" w:rsidRPr="00B623F6" w:rsidRDefault="00AD131E" w:rsidP="004427B3">
      <w:pPr>
        <w:pStyle w:val="ListParagraph"/>
        <w:widowControl/>
        <w:numPr>
          <w:ilvl w:val="1"/>
          <w:numId w:val="5"/>
        </w:numPr>
        <w:spacing w:after="160"/>
        <w:contextualSpacing w:val="0"/>
        <w:rPr>
          <w:rFonts w:asciiTheme="minorHAnsi" w:eastAsiaTheme="minorHAnsi" w:hAnsiTheme="minorHAnsi" w:cstheme="minorBidi"/>
          <w:snapToGrid/>
          <w:sz w:val="24"/>
          <w:szCs w:val="22"/>
        </w:rPr>
      </w:pPr>
      <w:r w:rsidRPr="00B623F6">
        <w:rPr>
          <w:rFonts w:asciiTheme="minorHAnsi" w:eastAsiaTheme="minorHAnsi" w:hAnsiTheme="minorHAnsi" w:cstheme="minorBidi"/>
          <w:snapToGrid/>
          <w:sz w:val="24"/>
          <w:szCs w:val="22"/>
        </w:rPr>
        <w:t>As a minor submission, no clinical trials were presented in the submission.</w:t>
      </w:r>
    </w:p>
    <w:p w:rsidR="005A3173" w:rsidRPr="00AD131E" w:rsidRDefault="005A3173" w:rsidP="00A41664">
      <w:pPr>
        <w:pStyle w:val="Heading2"/>
      </w:pPr>
      <w:r w:rsidRPr="00AD131E">
        <w:t>Economic analysis</w:t>
      </w:r>
    </w:p>
    <w:p w:rsidR="00AF02A7" w:rsidRPr="00AF02A7" w:rsidRDefault="009B0F67" w:rsidP="004427B3">
      <w:pPr>
        <w:pStyle w:val="ListParagraph"/>
        <w:keepLines/>
        <w:numPr>
          <w:ilvl w:val="1"/>
          <w:numId w:val="14"/>
        </w:numPr>
        <w:spacing w:after="160"/>
        <w:rPr>
          <w:rFonts w:asciiTheme="minorHAnsi" w:eastAsiaTheme="minorHAnsi" w:hAnsiTheme="minorHAnsi" w:cstheme="minorBidi"/>
          <w:snapToGrid/>
          <w:sz w:val="24"/>
          <w:szCs w:val="22"/>
        </w:rPr>
      </w:pPr>
      <w:r w:rsidRPr="00AF02A7">
        <w:rPr>
          <w:rFonts w:asciiTheme="minorHAnsi" w:hAnsiTheme="minorHAnsi"/>
          <w:sz w:val="24"/>
          <w:szCs w:val="24"/>
        </w:rPr>
        <w:t xml:space="preserve">In the major submission considered by PBAC in </w:t>
      </w:r>
      <w:r w:rsidR="00AF02A7" w:rsidRPr="00AF02A7">
        <w:rPr>
          <w:rFonts w:asciiTheme="minorHAnsi" w:hAnsiTheme="minorHAnsi"/>
          <w:sz w:val="24"/>
          <w:szCs w:val="24"/>
        </w:rPr>
        <w:t>November 2017</w:t>
      </w:r>
      <w:r w:rsidRPr="00AF02A7">
        <w:rPr>
          <w:rFonts w:asciiTheme="minorHAnsi" w:hAnsiTheme="minorHAnsi"/>
          <w:sz w:val="24"/>
          <w:szCs w:val="24"/>
        </w:rPr>
        <w:t xml:space="preserve">, </w:t>
      </w:r>
      <w:r w:rsidR="00AF02A7" w:rsidRPr="00AF02A7">
        <w:rPr>
          <w:rFonts w:asciiTheme="minorHAnsi" w:eastAsiaTheme="minorHAnsi" w:hAnsiTheme="minorHAnsi" w:cstheme="minorBidi"/>
          <w:snapToGrid/>
          <w:sz w:val="24"/>
          <w:szCs w:val="22"/>
        </w:rPr>
        <w:t>a stepped economic evaluation of evolocumab</w:t>
      </w:r>
      <w:r w:rsidR="002363F7">
        <w:rPr>
          <w:rFonts w:asciiTheme="minorHAnsi" w:eastAsiaTheme="minorHAnsi" w:hAnsiTheme="minorHAnsi" w:cstheme="minorBidi"/>
          <w:snapToGrid/>
          <w:sz w:val="24"/>
          <w:szCs w:val="22"/>
        </w:rPr>
        <w:t xml:space="preserve"> was presented</w:t>
      </w:r>
      <w:r w:rsidR="00AF02A7" w:rsidRPr="00AF02A7">
        <w:rPr>
          <w:rFonts w:asciiTheme="minorHAnsi" w:eastAsiaTheme="minorHAnsi" w:hAnsiTheme="minorHAnsi" w:cstheme="minorBidi"/>
          <w:snapToGrid/>
          <w:sz w:val="24"/>
          <w:szCs w:val="22"/>
        </w:rPr>
        <w:t xml:space="preserve"> for the treatment of:</w:t>
      </w:r>
    </w:p>
    <w:p w:rsidR="00AF02A7" w:rsidRPr="00AF02A7" w:rsidRDefault="00AF02A7" w:rsidP="004427B3">
      <w:pPr>
        <w:pStyle w:val="ListParagraph"/>
        <w:widowControl/>
        <w:numPr>
          <w:ilvl w:val="0"/>
          <w:numId w:val="22"/>
        </w:numPr>
        <w:spacing w:after="160"/>
        <w:ind w:left="1077" w:hanging="357"/>
        <w:rPr>
          <w:rFonts w:asciiTheme="minorHAnsi" w:hAnsiTheme="minorHAnsi"/>
          <w:sz w:val="24"/>
          <w:szCs w:val="24"/>
        </w:rPr>
      </w:pPr>
      <w:r w:rsidRPr="00AF02A7">
        <w:rPr>
          <w:rFonts w:asciiTheme="minorHAnsi" w:hAnsiTheme="minorHAnsi"/>
          <w:sz w:val="24"/>
          <w:szCs w:val="24"/>
        </w:rPr>
        <w:t>FH with ASCVD, with ICERs of $</w:t>
      </w:r>
      <w:r w:rsidR="00E62EF7">
        <w:rPr>
          <w:rFonts w:asciiTheme="minorHAnsi" w:hAnsiTheme="minorHAnsi"/>
          <w:sz w:val="24"/>
          <w:szCs w:val="24"/>
        </w:rPr>
        <w:t>15,000 - $45,000</w:t>
      </w:r>
      <w:r w:rsidRPr="00AF02A7">
        <w:rPr>
          <w:rFonts w:asciiTheme="minorHAnsi" w:hAnsiTheme="minorHAnsi"/>
          <w:sz w:val="24"/>
          <w:szCs w:val="24"/>
        </w:rPr>
        <w:t xml:space="preserve"> per QALY gained vs ezetimibe and $</w:t>
      </w:r>
      <w:r w:rsidR="00E62EF7">
        <w:rPr>
          <w:rFonts w:asciiTheme="minorHAnsi" w:hAnsiTheme="minorHAnsi"/>
          <w:sz w:val="24"/>
          <w:szCs w:val="24"/>
        </w:rPr>
        <w:t>15,000 - $45,000</w:t>
      </w:r>
      <w:r w:rsidRPr="00AF02A7">
        <w:rPr>
          <w:rFonts w:asciiTheme="minorHAnsi" w:hAnsiTheme="minorHAnsi"/>
          <w:sz w:val="24"/>
          <w:szCs w:val="24"/>
        </w:rPr>
        <w:t xml:space="preserve"> vs placebo</w:t>
      </w:r>
    </w:p>
    <w:p w:rsidR="00AF02A7" w:rsidRPr="00AF02A7" w:rsidRDefault="00AF02A7" w:rsidP="004427B3">
      <w:pPr>
        <w:pStyle w:val="ListParagraph"/>
        <w:widowControl/>
        <w:numPr>
          <w:ilvl w:val="0"/>
          <w:numId w:val="22"/>
        </w:numPr>
        <w:spacing w:after="160"/>
        <w:ind w:left="1077" w:hanging="357"/>
        <w:contextualSpacing w:val="0"/>
        <w:rPr>
          <w:rFonts w:asciiTheme="minorHAnsi" w:hAnsiTheme="minorHAnsi"/>
          <w:sz w:val="24"/>
          <w:szCs w:val="24"/>
        </w:rPr>
      </w:pPr>
      <w:r w:rsidRPr="00AF02A7">
        <w:rPr>
          <w:rFonts w:asciiTheme="minorHAnsi" w:hAnsiTheme="minorHAnsi"/>
          <w:sz w:val="24"/>
          <w:szCs w:val="24"/>
        </w:rPr>
        <w:t>FH with very high LDL-c levels, with ICERs of $</w:t>
      </w:r>
      <w:r w:rsidR="00E62EF7">
        <w:rPr>
          <w:rFonts w:asciiTheme="minorHAnsi" w:hAnsiTheme="minorHAnsi"/>
          <w:sz w:val="24"/>
          <w:szCs w:val="24"/>
        </w:rPr>
        <w:t>15,000 - $45,000</w:t>
      </w:r>
      <w:r w:rsidRPr="00AF02A7">
        <w:rPr>
          <w:rFonts w:asciiTheme="minorHAnsi" w:hAnsiTheme="minorHAnsi"/>
          <w:sz w:val="24"/>
          <w:szCs w:val="24"/>
        </w:rPr>
        <w:t xml:space="preserve"> per QALY gained vs ezetim</w:t>
      </w:r>
      <w:r w:rsidR="002363F7">
        <w:rPr>
          <w:rFonts w:asciiTheme="minorHAnsi" w:hAnsiTheme="minorHAnsi"/>
          <w:sz w:val="24"/>
          <w:szCs w:val="24"/>
        </w:rPr>
        <w:t>i</w:t>
      </w:r>
      <w:r w:rsidRPr="00AF02A7">
        <w:rPr>
          <w:rFonts w:asciiTheme="minorHAnsi" w:hAnsiTheme="minorHAnsi"/>
          <w:sz w:val="24"/>
          <w:szCs w:val="24"/>
        </w:rPr>
        <w:t>be and $</w:t>
      </w:r>
      <w:r w:rsidR="00E62EF7">
        <w:rPr>
          <w:rFonts w:asciiTheme="minorHAnsi" w:hAnsiTheme="minorHAnsi"/>
          <w:sz w:val="24"/>
          <w:szCs w:val="24"/>
        </w:rPr>
        <w:t>15,000 – $45,000</w:t>
      </w:r>
      <w:r w:rsidRPr="00AF02A7">
        <w:rPr>
          <w:rFonts w:asciiTheme="minorHAnsi" w:hAnsiTheme="minorHAnsi"/>
          <w:sz w:val="24"/>
          <w:szCs w:val="24"/>
        </w:rPr>
        <w:t xml:space="preserve"> vs placebo</w:t>
      </w:r>
    </w:p>
    <w:p w:rsidR="00AF02A7" w:rsidRPr="00AF02A7" w:rsidRDefault="00AF02A7" w:rsidP="004427B3">
      <w:pPr>
        <w:pStyle w:val="ListParagraph"/>
        <w:keepLines/>
        <w:numPr>
          <w:ilvl w:val="1"/>
          <w:numId w:val="14"/>
        </w:numPr>
        <w:spacing w:after="160"/>
        <w:contextualSpacing w:val="0"/>
        <w:rPr>
          <w:rFonts w:asciiTheme="minorHAnsi" w:eastAsiaTheme="minorHAnsi" w:hAnsiTheme="minorHAnsi" w:cstheme="minorBidi"/>
          <w:i/>
          <w:snapToGrid/>
          <w:sz w:val="24"/>
          <w:szCs w:val="24"/>
        </w:rPr>
      </w:pPr>
      <w:r w:rsidRPr="00AF02A7">
        <w:rPr>
          <w:rFonts w:asciiTheme="minorHAnsi" w:eastAsiaTheme="minorHAnsi" w:hAnsiTheme="minorHAnsi" w:cstheme="minorBidi"/>
          <w:sz w:val="24"/>
          <w:szCs w:val="24"/>
        </w:rPr>
        <w:t xml:space="preserve">The pre-PBAC response </w:t>
      </w:r>
      <w:r>
        <w:rPr>
          <w:rFonts w:asciiTheme="minorHAnsi" w:eastAsiaTheme="minorHAnsi" w:hAnsiTheme="minorHAnsi" w:cstheme="minorBidi"/>
          <w:sz w:val="24"/>
          <w:szCs w:val="24"/>
        </w:rPr>
        <w:t xml:space="preserve">in November 2017 </w:t>
      </w:r>
      <w:r w:rsidRPr="00AF02A7">
        <w:rPr>
          <w:rFonts w:asciiTheme="minorHAnsi" w:eastAsiaTheme="minorHAnsi" w:hAnsiTheme="minorHAnsi" w:cstheme="minorBidi"/>
          <w:sz w:val="24"/>
          <w:szCs w:val="24"/>
        </w:rPr>
        <w:t xml:space="preserve">provided sensitivity analyses incorporating a </w:t>
      </w:r>
      <w:r w:rsidR="005A614E">
        <w:rPr>
          <w:rFonts w:asciiTheme="minorHAnsi" w:eastAsiaTheme="minorHAnsi" w:hAnsiTheme="minorHAnsi" w:cstheme="minorBidi"/>
          <w:noProof/>
          <w:color w:val="000000"/>
          <w:sz w:val="24"/>
          <w:szCs w:val="24"/>
          <w:highlight w:val="black"/>
        </w:rPr>
        <w:t>'''''''' ''''''' ''''''''''</w:t>
      </w:r>
      <w:r w:rsidRPr="00BB7CB3">
        <w:rPr>
          <w:rFonts w:asciiTheme="minorHAnsi" w:eastAsiaTheme="minorHAnsi" w:hAnsiTheme="minorHAnsi" w:cstheme="minorBidi"/>
          <w:sz w:val="24"/>
          <w:szCs w:val="24"/>
        </w:rPr>
        <w:t xml:space="preserve"> year</w:t>
      </w:r>
      <w:r w:rsidRPr="00AF02A7">
        <w:rPr>
          <w:rFonts w:asciiTheme="minorHAnsi" w:eastAsiaTheme="minorHAnsi" w:hAnsiTheme="minorHAnsi" w:cstheme="minorBidi"/>
          <w:sz w:val="24"/>
          <w:szCs w:val="24"/>
        </w:rPr>
        <w:t xml:space="preserve"> time lag in CV mortality benefit for the FH population with ASCVD, with resultant ICERs of $</w:t>
      </w:r>
      <w:r w:rsidR="00E62EF7">
        <w:rPr>
          <w:rFonts w:asciiTheme="minorHAnsi" w:eastAsiaTheme="minorHAnsi" w:hAnsiTheme="minorHAnsi" w:cstheme="minorBidi"/>
          <w:sz w:val="24"/>
          <w:szCs w:val="24"/>
        </w:rPr>
        <w:t>15,000 – $45,000</w:t>
      </w:r>
      <w:r w:rsidRPr="00AF02A7">
        <w:rPr>
          <w:rFonts w:asciiTheme="minorHAnsi" w:eastAsiaTheme="minorHAnsi" w:hAnsiTheme="minorHAnsi" w:cstheme="minorBidi"/>
          <w:sz w:val="24"/>
          <w:szCs w:val="24"/>
        </w:rPr>
        <w:t xml:space="preserve"> and $</w:t>
      </w:r>
      <w:r w:rsidR="00E62EF7">
        <w:rPr>
          <w:rFonts w:asciiTheme="minorHAnsi" w:eastAsiaTheme="minorHAnsi" w:hAnsiTheme="minorHAnsi" w:cstheme="minorBidi"/>
          <w:sz w:val="24"/>
          <w:szCs w:val="24"/>
        </w:rPr>
        <w:t>15,000 – $45,000</w:t>
      </w:r>
      <w:r w:rsidRPr="00AF02A7">
        <w:rPr>
          <w:rFonts w:asciiTheme="minorHAnsi" w:eastAsiaTheme="minorHAnsi" w:hAnsiTheme="minorHAnsi" w:cstheme="minorBidi"/>
          <w:sz w:val="24"/>
          <w:szCs w:val="24"/>
        </w:rPr>
        <w:t xml:space="preserve"> per QALY gained, respectively, up from $</w:t>
      </w:r>
      <w:r w:rsidR="00B72350">
        <w:rPr>
          <w:rFonts w:asciiTheme="minorHAnsi" w:eastAsiaTheme="minorHAnsi" w:hAnsiTheme="minorHAnsi" w:cstheme="minorBidi"/>
          <w:sz w:val="24"/>
          <w:szCs w:val="24"/>
        </w:rPr>
        <w:t>15,000/QALY - $45,000/QALY</w:t>
      </w:r>
      <w:r w:rsidRPr="00AF02A7">
        <w:rPr>
          <w:rFonts w:asciiTheme="minorHAnsi" w:eastAsiaTheme="minorHAnsi" w:hAnsiTheme="minorHAnsi" w:cstheme="minorBidi"/>
          <w:sz w:val="24"/>
          <w:szCs w:val="24"/>
        </w:rPr>
        <w:t xml:space="preserve"> in the base case, in the comparison with ezetimibe. </w:t>
      </w:r>
      <w:r w:rsidR="008F624A" w:rsidRPr="00E11620">
        <w:rPr>
          <w:rFonts w:asciiTheme="minorHAnsi" w:eastAsiaTheme="minorHAnsi" w:hAnsiTheme="minorHAnsi" w:cstheme="minorBidi"/>
          <w:sz w:val="24"/>
          <w:szCs w:val="24"/>
        </w:rPr>
        <w:t>It was</w:t>
      </w:r>
      <w:r w:rsidRPr="00E11620">
        <w:rPr>
          <w:rFonts w:asciiTheme="minorHAnsi" w:eastAsiaTheme="minorHAnsi" w:hAnsiTheme="minorHAnsi" w:cstheme="minorBidi"/>
          <w:sz w:val="24"/>
          <w:szCs w:val="24"/>
        </w:rPr>
        <w:t xml:space="preserve"> noted the pre-PBAC response introduced the time lag as a switch that uses placebo CV mortality rates for the first two years then switches to evolocumab/ezetimibe mortality for subsequent years. However, slightly different rates of MI and stroke are used in the first two years (which appears to be due to the interaction with increasing odds of death with time in model) which results in anomalies in non-fatal events in active treatment arms.</w:t>
      </w:r>
      <w:r w:rsidR="008F624A" w:rsidRPr="00E11620">
        <w:rPr>
          <w:rFonts w:asciiTheme="minorHAnsi" w:eastAsiaTheme="minorHAnsi" w:hAnsiTheme="minorHAnsi" w:cstheme="minorBidi"/>
          <w:sz w:val="24"/>
          <w:szCs w:val="24"/>
        </w:rPr>
        <w:t xml:space="preserve"> This was considered unlikely to have a substantial impact on the</w:t>
      </w:r>
      <w:r w:rsidR="00726817" w:rsidRPr="00E11620">
        <w:rPr>
          <w:rFonts w:asciiTheme="minorHAnsi" w:eastAsiaTheme="minorHAnsi" w:hAnsiTheme="minorHAnsi" w:cstheme="minorBidi"/>
          <w:sz w:val="24"/>
          <w:szCs w:val="24"/>
        </w:rPr>
        <w:t xml:space="preserve"> revised</w:t>
      </w:r>
      <w:r w:rsidR="008F624A" w:rsidRPr="00E11620">
        <w:rPr>
          <w:rFonts w:asciiTheme="minorHAnsi" w:eastAsiaTheme="minorHAnsi" w:hAnsiTheme="minorHAnsi" w:cstheme="minorBidi"/>
          <w:sz w:val="24"/>
          <w:szCs w:val="24"/>
        </w:rPr>
        <w:t xml:space="preserve"> ICERs.</w:t>
      </w:r>
    </w:p>
    <w:p w:rsidR="00F81E58" w:rsidRPr="00C0481B" w:rsidRDefault="00AF02A7" w:rsidP="004427B3">
      <w:pPr>
        <w:pStyle w:val="ListParagraph"/>
        <w:keepLines/>
        <w:numPr>
          <w:ilvl w:val="1"/>
          <w:numId w:val="14"/>
        </w:numPr>
        <w:spacing w:after="160"/>
        <w:contextualSpacing w:val="0"/>
        <w:rPr>
          <w:rFonts w:asciiTheme="minorHAnsi" w:eastAsiaTheme="minorHAnsi" w:hAnsiTheme="minorHAnsi" w:cstheme="minorBidi"/>
          <w:i/>
          <w:snapToGrid/>
          <w:sz w:val="24"/>
          <w:szCs w:val="24"/>
        </w:rPr>
      </w:pPr>
      <w:r w:rsidRPr="00AF02A7">
        <w:rPr>
          <w:rFonts w:asciiTheme="minorHAnsi" w:eastAsiaTheme="minorHAnsi" w:hAnsiTheme="minorHAnsi" w:cstheme="minorBidi"/>
          <w:sz w:val="24"/>
          <w:szCs w:val="24"/>
        </w:rPr>
        <w:t>In November 2017, the PBAC considered the mortality benefit modelled in th</w:t>
      </w:r>
      <w:r w:rsidR="00FE152D">
        <w:rPr>
          <w:rFonts w:asciiTheme="minorHAnsi" w:eastAsiaTheme="minorHAnsi" w:hAnsiTheme="minorHAnsi" w:cstheme="minorBidi"/>
          <w:sz w:val="24"/>
          <w:szCs w:val="24"/>
        </w:rPr>
        <w:t>os</w:t>
      </w:r>
      <w:r w:rsidRPr="00AF02A7">
        <w:rPr>
          <w:rFonts w:asciiTheme="minorHAnsi" w:eastAsiaTheme="minorHAnsi" w:hAnsiTheme="minorHAnsi" w:cstheme="minorBidi"/>
          <w:sz w:val="24"/>
          <w:szCs w:val="24"/>
        </w:rPr>
        <w:t>e sensitivity analyses remain</w:t>
      </w:r>
      <w:r w:rsidR="00FE152D">
        <w:rPr>
          <w:rFonts w:asciiTheme="minorHAnsi" w:eastAsiaTheme="minorHAnsi" w:hAnsiTheme="minorHAnsi" w:cstheme="minorBidi"/>
          <w:sz w:val="24"/>
          <w:szCs w:val="24"/>
        </w:rPr>
        <w:t>s</w:t>
      </w:r>
      <w:r w:rsidRPr="00AF02A7">
        <w:rPr>
          <w:rFonts w:asciiTheme="minorHAnsi" w:eastAsiaTheme="minorHAnsi" w:hAnsiTheme="minorHAnsi" w:cstheme="minorBidi"/>
          <w:sz w:val="24"/>
          <w:szCs w:val="24"/>
        </w:rPr>
        <w:t xml:space="preserve"> optimistic with the </w:t>
      </w:r>
      <w:r w:rsidR="005A614E">
        <w:rPr>
          <w:rFonts w:asciiTheme="minorHAnsi" w:eastAsiaTheme="minorHAnsi" w:hAnsiTheme="minorHAnsi" w:cstheme="minorBidi"/>
          <w:noProof/>
          <w:color w:val="000000"/>
          <w:sz w:val="24"/>
          <w:szCs w:val="24"/>
          <w:highlight w:val="black"/>
        </w:rPr>
        <w:t>''''''''' '''''' ''''''''''</w:t>
      </w:r>
      <w:r w:rsidRPr="00BB7CB3">
        <w:rPr>
          <w:rFonts w:asciiTheme="minorHAnsi" w:eastAsiaTheme="minorHAnsi" w:hAnsiTheme="minorHAnsi" w:cstheme="minorBidi"/>
          <w:sz w:val="24"/>
          <w:szCs w:val="24"/>
        </w:rPr>
        <w:t>-year</w:t>
      </w:r>
      <w:r w:rsidRPr="00AF02A7">
        <w:rPr>
          <w:rFonts w:asciiTheme="minorHAnsi" w:eastAsiaTheme="minorHAnsi" w:hAnsiTheme="minorHAnsi" w:cstheme="minorBidi"/>
          <w:sz w:val="24"/>
          <w:szCs w:val="24"/>
        </w:rPr>
        <w:t xml:space="preserve"> time lags, noting that only a small number of statin trials, which have an early treatment effect, showed mortality benefit at two years. </w:t>
      </w:r>
      <w:r w:rsidR="003623D3">
        <w:rPr>
          <w:rFonts w:asciiTheme="minorHAnsi" w:eastAsiaTheme="minorHAnsi" w:hAnsiTheme="minorHAnsi" w:cstheme="minorBidi"/>
          <w:sz w:val="24"/>
          <w:szCs w:val="24"/>
        </w:rPr>
        <w:t>The Committee further stated a</w:t>
      </w:r>
      <w:r w:rsidRPr="00AF02A7">
        <w:rPr>
          <w:rFonts w:asciiTheme="minorHAnsi" w:eastAsiaTheme="minorHAnsi" w:hAnsiTheme="minorHAnsi" w:cstheme="minorBidi"/>
          <w:sz w:val="24"/>
          <w:szCs w:val="24"/>
        </w:rPr>
        <w:t xml:space="preserve"> resubmission </w:t>
      </w:r>
      <w:r w:rsidR="003623D3">
        <w:rPr>
          <w:rFonts w:asciiTheme="minorHAnsi" w:eastAsiaTheme="minorHAnsi" w:hAnsiTheme="minorHAnsi" w:cstheme="minorBidi"/>
          <w:sz w:val="24"/>
          <w:szCs w:val="24"/>
        </w:rPr>
        <w:t>should</w:t>
      </w:r>
      <w:r w:rsidRPr="00AF02A7">
        <w:rPr>
          <w:rFonts w:asciiTheme="minorHAnsi" w:eastAsiaTheme="minorHAnsi" w:hAnsiTheme="minorHAnsi" w:cstheme="minorBidi"/>
          <w:sz w:val="24"/>
          <w:szCs w:val="24"/>
        </w:rPr>
        <w:t xml:space="preserve"> include revised base cases for both the FH with ASCVD and FH with very high LDL-c populations incorporating a time lag for CV mortality benefit of between </w:t>
      </w:r>
      <w:r w:rsidR="005A614E">
        <w:rPr>
          <w:rFonts w:asciiTheme="minorHAnsi" w:eastAsiaTheme="minorHAnsi" w:hAnsiTheme="minorHAnsi" w:cstheme="minorBidi"/>
          <w:noProof/>
          <w:color w:val="000000"/>
          <w:sz w:val="24"/>
          <w:szCs w:val="24"/>
          <w:highlight w:val="black"/>
        </w:rPr>
        <w:t>''''''''' '''''''' ''''''''</w:t>
      </w:r>
      <w:r w:rsidRPr="00AF02A7">
        <w:rPr>
          <w:rFonts w:asciiTheme="minorHAnsi" w:eastAsiaTheme="minorHAnsi" w:hAnsiTheme="minorHAnsi" w:cstheme="minorBidi"/>
          <w:sz w:val="24"/>
          <w:szCs w:val="24"/>
        </w:rPr>
        <w:t xml:space="preserve"> years and a reduced price to achieve comparable ICERs to those presented in this November 2017 submission.</w:t>
      </w:r>
      <w:r w:rsidR="00FE152D">
        <w:rPr>
          <w:rFonts w:asciiTheme="minorHAnsi" w:eastAsiaTheme="minorHAnsi" w:hAnsiTheme="minorHAnsi" w:cstheme="minorBidi"/>
          <w:sz w:val="24"/>
          <w:szCs w:val="24"/>
        </w:rPr>
        <w:t xml:space="preserve"> (</w:t>
      </w:r>
      <w:r w:rsidR="001C657A">
        <w:rPr>
          <w:rFonts w:asciiTheme="minorHAnsi" w:eastAsiaTheme="minorHAnsi" w:hAnsiTheme="minorHAnsi" w:cstheme="minorBidi"/>
          <w:sz w:val="24"/>
          <w:szCs w:val="24"/>
        </w:rPr>
        <w:t>Public Summary Document</w:t>
      </w:r>
      <w:r w:rsidR="00FE152D">
        <w:rPr>
          <w:rFonts w:asciiTheme="minorHAnsi" w:eastAsiaTheme="minorHAnsi" w:hAnsiTheme="minorHAnsi" w:cstheme="minorBidi"/>
          <w:sz w:val="24"/>
          <w:szCs w:val="24"/>
        </w:rPr>
        <w:t>, paragraphs 7.9 and 7.11).</w:t>
      </w:r>
    </w:p>
    <w:p w:rsidR="00FE152D" w:rsidRPr="00FE152D" w:rsidRDefault="00FE152D" w:rsidP="004427B3">
      <w:pPr>
        <w:pStyle w:val="ListParagraph"/>
        <w:keepLines/>
        <w:numPr>
          <w:ilvl w:val="1"/>
          <w:numId w:val="14"/>
        </w:numPr>
        <w:spacing w:after="160"/>
        <w:rPr>
          <w:rFonts w:asciiTheme="minorHAnsi" w:eastAsiaTheme="minorHAnsi" w:hAnsiTheme="minorHAnsi" w:cstheme="minorBidi"/>
          <w:snapToGrid/>
          <w:sz w:val="24"/>
          <w:szCs w:val="24"/>
        </w:rPr>
      </w:pPr>
      <w:r w:rsidRPr="00FE152D">
        <w:rPr>
          <w:rFonts w:asciiTheme="minorHAnsi" w:eastAsiaTheme="minorHAnsi" w:hAnsiTheme="minorHAnsi" w:cstheme="minorBidi"/>
          <w:snapToGrid/>
          <w:sz w:val="24"/>
          <w:szCs w:val="24"/>
        </w:rPr>
        <w:t xml:space="preserve">The revised model </w:t>
      </w:r>
      <w:r w:rsidR="00DF7D1F">
        <w:rPr>
          <w:rFonts w:asciiTheme="minorHAnsi" w:eastAsiaTheme="minorHAnsi" w:hAnsiTheme="minorHAnsi" w:cstheme="minorBidi"/>
          <w:snapToGrid/>
          <w:sz w:val="24"/>
          <w:szCs w:val="24"/>
        </w:rPr>
        <w:t xml:space="preserve">in this minor resubmission </w:t>
      </w:r>
      <w:r w:rsidRPr="00FE152D">
        <w:rPr>
          <w:rFonts w:asciiTheme="minorHAnsi" w:eastAsiaTheme="minorHAnsi" w:hAnsiTheme="minorHAnsi" w:cstheme="minorBidi"/>
          <w:snapToGrid/>
          <w:sz w:val="24"/>
          <w:szCs w:val="24"/>
        </w:rPr>
        <w:t>includes:</w:t>
      </w:r>
    </w:p>
    <w:p w:rsidR="00FE152D" w:rsidRPr="00FE152D" w:rsidRDefault="00FE152D" w:rsidP="004427B3">
      <w:pPr>
        <w:pStyle w:val="ListParagraph"/>
        <w:widowControl/>
        <w:numPr>
          <w:ilvl w:val="0"/>
          <w:numId w:val="22"/>
        </w:numPr>
        <w:spacing w:after="160"/>
        <w:ind w:left="1077" w:hanging="357"/>
        <w:rPr>
          <w:rFonts w:asciiTheme="minorHAnsi" w:hAnsiTheme="minorHAnsi"/>
          <w:sz w:val="24"/>
          <w:szCs w:val="24"/>
        </w:rPr>
      </w:pPr>
      <w:r w:rsidRPr="00FE152D">
        <w:rPr>
          <w:rFonts w:asciiTheme="minorHAnsi" w:hAnsiTheme="minorHAnsi"/>
          <w:sz w:val="24"/>
          <w:szCs w:val="24"/>
        </w:rPr>
        <w:t xml:space="preserve">a </w:t>
      </w:r>
      <w:r w:rsidR="005A614E">
        <w:rPr>
          <w:rFonts w:asciiTheme="minorHAnsi" w:hAnsiTheme="minorHAnsi"/>
          <w:noProof/>
          <w:color w:val="000000"/>
          <w:sz w:val="24"/>
          <w:szCs w:val="24"/>
          <w:highlight w:val="black"/>
        </w:rPr>
        <w:t>''''''</w:t>
      </w:r>
      <w:r w:rsidRPr="00453CBB">
        <w:rPr>
          <w:rFonts w:asciiTheme="minorHAnsi" w:hAnsiTheme="minorHAnsi"/>
          <w:sz w:val="24"/>
          <w:szCs w:val="24"/>
        </w:rPr>
        <w:t xml:space="preserve"> </w:t>
      </w:r>
      <w:r w:rsidRPr="00FE152D">
        <w:rPr>
          <w:rFonts w:asciiTheme="minorHAnsi" w:hAnsiTheme="minorHAnsi"/>
          <w:sz w:val="24"/>
          <w:szCs w:val="24"/>
        </w:rPr>
        <w:t xml:space="preserve">year lag in CV mortality effects </w:t>
      </w:r>
    </w:p>
    <w:p w:rsidR="00FE152D" w:rsidRPr="00FE152D" w:rsidRDefault="00FE152D" w:rsidP="004427B3">
      <w:pPr>
        <w:pStyle w:val="ListParagraph"/>
        <w:keepLines/>
        <w:widowControl/>
        <w:numPr>
          <w:ilvl w:val="0"/>
          <w:numId w:val="22"/>
        </w:numPr>
        <w:spacing w:after="160"/>
        <w:ind w:left="1077" w:hanging="357"/>
        <w:contextualSpacing w:val="0"/>
        <w:rPr>
          <w:rFonts w:asciiTheme="minorHAnsi" w:eastAsiaTheme="minorHAnsi" w:hAnsiTheme="minorHAnsi" w:cstheme="minorBidi"/>
          <w:sz w:val="24"/>
          <w:szCs w:val="24"/>
        </w:rPr>
      </w:pPr>
      <w:r w:rsidRPr="00FE152D">
        <w:rPr>
          <w:rFonts w:asciiTheme="minorHAnsi" w:hAnsiTheme="minorHAnsi"/>
          <w:sz w:val="24"/>
          <w:szCs w:val="24"/>
        </w:rPr>
        <w:t>an</w:t>
      </w:r>
      <w:r w:rsidRPr="00FE152D">
        <w:rPr>
          <w:rFonts w:asciiTheme="minorHAnsi" w:eastAsiaTheme="minorHAnsi" w:hAnsiTheme="minorHAnsi" w:cstheme="minorBidi"/>
          <w:snapToGrid/>
          <w:sz w:val="24"/>
          <w:szCs w:val="24"/>
        </w:rPr>
        <w:t xml:space="preserve"> approximately </w:t>
      </w:r>
      <w:r w:rsidR="005A614E">
        <w:rPr>
          <w:rFonts w:asciiTheme="minorHAnsi" w:eastAsiaTheme="minorHAnsi" w:hAnsiTheme="minorHAnsi" w:cstheme="minorBidi"/>
          <w:noProof/>
          <w:snapToGrid/>
          <w:color w:val="000000"/>
          <w:sz w:val="24"/>
          <w:szCs w:val="24"/>
          <w:highlight w:val="black"/>
        </w:rPr>
        <w:t>''''''</w:t>
      </w:r>
      <w:r w:rsidRPr="00FE152D">
        <w:rPr>
          <w:rFonts w:asciiTheme="minorHAnsi" w:eastAsiaTheme="minorHAnsi" w:hAnsiTheme="minorHAnsi" w:cstheme="minorBidi"/>
          <w:snapToGrid/>
          <w:sz w:val="24"/>
          <w:szCs w:val="24"/>
        </w:rPr>
        <w:t>% price reduction for the effective price.</w:t>
      </w:r>
    </w:p>
    <w:p w:rsidR="00FE152D" w:rsidRPr="00FE152D" w:rsidRDefault="00FE152D" w:rsidP="004427B3">
      <w:pPr>
        <w:keepLines/>
        <w:spacing w:after="160"/>
        <w:ind w:left="720"/>
        <w:rPr>
          <w:rFonts w:asciiTheme="minorHAnsi" w:eastAsiaTheme="minorHAnsi" w:hAnsiTheme="minorHAnsi" w:cstheme="minorBidi"/>
        </w:rPr>
      </w:pPr>
      <w:r w:rsidRPr="00FE152D">
        <w:rPr>
          <w:rFonts w:asciiTheme="minorHAnsi" w:eastAsiaTheme="minorHAnsi" w:hAnsiTheme="minorHAnsi" w:cstheme="minorBidi"/>
        </w:rPr>
        <w:t xml:space="preserve">No other changes to the model submitted with the pre-PBAC response in November 2017 were made. </w:t>
      </w:r>
    </w:p>
    <w:p w:rsidR="00FE152D" w:rsidRPr="00FE152D" w:rsidRDefault="00FE152D" w:rsidP="004427B3">
      <w:pPr>
        <w:pStyle w:val="ListParagraph"/>
        <w:keepLines/>
        <w:numPr>
          <w:ilvl w:val="1"/>
          <w:numId w:val="14"/>
        </w:numPr>
        <w:spacing w:after="160"/>
        <w:contextualSpacing w:val="0"/>
        <w:rPr>
          <w:rFonts w:asciiTheme="minorHAnsi" w:eastAsiaTheme="minorHAnsi" w:hAnsiTheme="minorHAnsi" w:cstheme="minorBidi"/>
          <w:snapToGrid/>
          <w:sz w:val="24"/>
          <w:szCs w:val="24"/>
        </w:rPr>
      </w:pPr>
      <w:r w:rsidRPr="00FE152D">
        <w:rPr>
          <w:rFonts w:asciiTheme="minorHAnsi" w:eastAsiaTheme="minorHAnsi" w:hAnsiTheme="minorHAnsi" w:cstheme="minorBidi"/>
          <w:sz w:val="24"/>
          <w:szCs w:val="24"/>
        </w:rPr>
        <w:t>The revised price</w:t>
      </w:r>
      <w:r w:rsidRPr="00FE152D">
        <w:rPr>
          <w:rFonts w:asciiTheme="minorHAnsi" w:eastAsiaTheme="minorHAnsi" w:hAnsiTheme="minorHAnsi" w:cstheme="minorBidi"/>
          <w:snapToGrid/>
          <w:sz w:val="24"/>
          <w:szCs w:val="24"/>
        </w:rPr>
        <w:t xml:space="preserve"> proposal with a </w:t>
      </w:r>
      <w:r w:rsidR="005A614E">
        <w:rPr>
          <w:rFonts w:asciiTheme="minorHAnsi" w:eastAsiaTheme="minorHAnsi" w:hAnsiTheme="minorHAnsi" w:cstheme="minorBidi"/>
          <w:noProof/>
          <w:snapToGrid/>
          <w:color w:val="000000"/>
          <w:sz w:val="24"/>
          <w:szCs w:val="24"/>
          <w:highlight w:val="black"/>
        </w:rPr>
        <w:t>''''''</w:t>
      </w:r>
      <w:r w:rsidRPr="00FE152D">
        <w:rPr>
          <w:rFonts w:asciiTheme="minorHAnsi" w:eastAsiaTheme="minorHAnsi" w:hAnsiTheme="minorHAnsi" w:cstheme="minorBidi"/>
          <w:snapToGrid/>
          <w:sz w:val="24"/>
          <w:szCs w:val="24"/>
        </w:rPr>
        <w:t xml:space="preserve"> year lag in the CV mortality benefit maintains ICERs comparable to those in the November 2017 submission:</w:t>
      </w:r>
    </w:p>
    <w:p w:rsidR="00FE152D" w:rsidRPr="00FE152D" w:rsidRDefault="00FE152D" w:rsidP="004427B3">
      <w:pPr>
        <w:pStyle w:val="ListParagraph"/>
        <w:widowControl/>
        <w:numPr>
          <w:ilvl w:val="0"/>
          <w:numId w:val="22"/>
        </w:numPr>
        <w:spacing w:after="160"/>
        <w:ind w:left="1077" w:hanging="357"/>
        <w:rPr>
          <w:rFonts w:asciiTheme="minorHAnsi" w:hAnsiTheme="minorHAnsi"/>
          <w:sz w:val="24"/>
          <w:szCs w:val="24"/>
        </w:rPr>
      </w:pPr>
      <w:r w:rsidRPr="00FE152D">
        <w:rPr>
          <w:rFonts w:asciiTheme="minorHAnsi" w:hAnsiTheme="minorHAnsi"/>
          <w:sz w:val="24"/>
          <w:szCs w:val="24"/>
        </w:rPr>
        <w:t>FH with ASCVD, with ICERs of $</w:t>
      </w:r>
      <w:r w:rsidR="00BB7CB3">
        <w:rPr>
          <w:rFonts w:asciiTheme="minorHAnsi" w:hAnsiTheme="minorHAnsi"/>
          <w:sz w:val="24"/>
          <w:szCs w:val="24"/>
        </w:rPr>
        <w:t>15,000 – 45,000</w:t>
      </w:r>
      <w:r w:rsidRPr="00FE152D">
        <w:rPr>
          <w:rFonts w:asciiTheme="minorHAnsi" w:hAnsiTheme="minorHAnsi"/>
          <w:sz w:val="24"/>
          <w:szCs w:val="24"/>
        </w:rPr>
        <w:t xml:space="preserve"> per QALY gained vs ezetimibe and $</w:t>
      </w:r>
      <w:r w:rsidR="00BB7CB3">
        <w:rPr>
          <w:rFonts w:asciiTheme="minorHAnsi" w:hAnsiTheme="minorHAnsi"/>
          <w:sz w:val="24"/>
          <w:szCs w:val="24"/>
        </w:rPr>
        <w:t>15,000 – 45,000</w:t>
      </w:r>
      <w:r w:rsidRPr="00FE152D">
        <w:rPr>
          <w:rFonts w:asciiTheme="minorHAnsi" w:hAnsiTheme="minorHAnsi"/>
          <w:sz w:val="24"/>
          <w:szCs w:val="24"/>
        </w:rPr>
        <w:t xml:space="preserve"> vs placebo</w:t>
      </w:r>
    </w:p>
    <w:p w:rsidR="00FE152D" w:rsidRPr="00FE152D" w:rsidRDefault="00FE152D" w:rsidP="004427B3">
      <w:pPr>
        <w:pStyle w:val="ListParagraph"/>
        <w:widowControl/>
        <w:numPr>
          <w:ilvl w:val="0"/>
          <w:numId w:val="22"/>
        </w:numPr>
        <w:spacing w:after="160"/>
        <w:ind w:left="1077" w:hanging="357"/>
        <w:contextualSpacing w:val="0"/>
        <w:rPr>
          <w:rFonts w:asciiTheme="minorHAnsi" w:eastAsiaTheme="minorHAnsi" w:hAnsiTheme="minorHAnsi" w:cstheme="minorBidi"/>
          <w:i/>
          <w:snapToGrid/>
          <w:sz w:val="24"/>
          <w:szCs w:val="24"/>
        </w:rPr>
      </w:pPr>
      <w:r w:rsidRPr="00FE152D">
        <w:rPr>
          <w:rFonts w:asciiTheme="minorHAnsi" w:hAnsiTheme="minorHAnsi"/>
          <w:sz w:val="24"/>
          <w:szCs w:val="24"/>
        </w:rPr>
        <w:t>FH with very high LDL-c levels, with ICERs of $</w:t>
      </w:r>
      <w:r w:rsidR="00BB7CB3">
        <w:rPr>
          <w:rFonts w:asciiTheme="minorHAnsi" w:hAnsiTheme="minorHAnsi"/>
          <w:sz w:val="24"/>
          <w:szCs w:val="24"/>
        </w:rPr>
        <w:t>15,000 – 45,000</w:t>
      </w:r>
      <w:r w:rsidRPr="00FE152D">
        <w:rPr>
          <w:rFonts w:asciiTheme="minorHAnsi" w:hAnsiTheme="minorHAnsi"/>
          <w:sz w:val="24"/>
          <w:szCs w:val="24"/>
        </w:rPr>
        <w:t xml:space="preserve"> per QALY gained vs ezetimbe and</w:t>
      </w:r>
      <w:r w:rsidRPr="00FE152D">
        <w:rPr>
          <w:rFonts w:asciiTheme="minorHAnsi" w:eastAsiaTheme="minorHAnsi" w:hAnsiTheme="minorHAnsi" w:cstheme="minorBidi"/>
          <w:snapToGrid/>
          <w:sz w:val="24"/>
          <w:szCs w:val="24"/>
        </w:rPr>
        <w:t xml:space="preserve"> $</w:t>
      </w:r>
      <w:r w:rsidR="00C37C54">
        <w:rPr>
          <w:rFonts w:asciiTheme="minorHAnsi" w:eastAsiaTheme="minorHAnsi" w:hAnsiTheme="minorHAnsi" w:cstheme="minorBidi"/>
          <w:snapToGrid/>
          <w:sz w:val="24"/>
          <w:szCs w:val="24"/>
        </w:rPr>
        <w:t>15,000 – 45,000</w:t>
      </w:r>
      <w:r w:rsidRPr="00FE152D">
        <w:rPr>
          <w:rFonts w:asciiTheme="minorHAnsi" w:eastAsiaTheme="minorHAnsi" w:hAnsiTheme="minorHAnsi" w:cstheme="minorBidi"/>
          <w:snapToGrid/>
          <w:sz w:val="24"/>
          <w:szCs w:val="24"/>
        </w:rPr>
        <w:t xml:space="preserve"> vs placebo.</w:t>
      </w:r>
    </w:p>
    <w:p w:rsidR="003C2FB5" w:rsidRPr="00E11620" w:rsidRDefault="00A55FEE" w:rsidP="00A41664">
      <w:pPr>
        <w:pStyle w:val="Heading2"/>
        <w:rPr>
          <w:rFonts w:eastAsiaTheme="majorEastAsia"/>
          <w:lang w:eastAsia="en-US"/>
        </w:rPr>
      </w:pPr>
      <w:r w:rsidRPr="00E11620">
        <w:rPr>
          <w:rFonts w:eastAsiaTheme="majorEastAsia"/>
          <w:lang w:eastAsia="en-US"/>
        </w:rPr>
        <w:t>Drug cost/patient/year: $</w:t>
      </w:r>
      <w:r w:rsidR="005A614E">
        <w:rPr>
          <w:rFonts w:eastAsiaTheme="majorEastAsia"/>
          <w:noProof/>
          <w:color w:val="000000"/>
          <w:highlight w:val="black"/>
          <w:lang w:eastAsia="en-US"/>
        </w:rPr>
        <w:t>''''''''''</w:t>
      </w:r>
    </w:p>
    <w:p w:rsidR="00985543" w:rsidRPr="00985543" w:rsidRDefault="00985543" w:rsidP="004427B3">
      <w:pPr>
        <w:pStyle w:val="ListParagraph"/>
        <w:widowControl/>
        <w:numPr>
          <w:ilvl w:val="1"/>
          <w:numId w:val="14"/>
        </w:numPr>
        <w:spacing w:after="160"/>
        <w:contextualSpacing w:val="0"/>
        <w:rPr>
          <w:rFonts w:asciiTheme="minorHAnsi" w:eastAsiaTheme="minorHAnsi" w:hAnsiTheme="minorHAnsi" w:cstheme="minorBidi"/>
          <w:snapToGrid/>
          <w:sz w:val="24"/>
          <w:szCs w:val="22"/>
        </w:rPr>
      </w:pPr>
      <w:r w:rsidRPr="00985543">
        <w:rPr>
          <w:rFonts w:asciiTheme="minorHAnsi" w:eastAsiaTheme="minorHAnsi" w:hAnsiTheme="minorHAnsi" w:cstheme="minorBidi"/>
          <w:snapToGrid/>
          <w:sz w:val="24"/>
          <w:szCs w:val="22"/>
        </w:rPr>
        <w:t>The estimated drug cost for evolocumab per patient per year was $</w:t>
      </w:r>
      <w:r w:rsidR="005A614E">
        <w:rPr>
          <w:rFonts w:asciiTheme="minorHAnsi" w:eastAsiaTheme="minorHAnsi" w:hAnsiTheme="minorHAnsi" w:cstheme="minorBidi"/>
          <w:noProof/>
          <w:snapToGrid/>
          <w:color w:val="000000"/>
          <w:sz w:val="24"/>
          <w:szCs w:val="22"/>
          <w:highlight w:val="black"/>
        </w:rPr>
        <w:t>'''''''''''</w:t>
      </w:r>
      <w:r w:rsidRPr="00985543">
        <w:rPr>
          <w:rFonts w:asciiTheme="minorHAnsi" w:eastAsiaTheme="minorHAnsi" w:hAnsiTheme="minorHAnsi" w:cstheme="minorBidi"/>
          <w:snapToGrid/>
          <w:sz w:val="24"/>
          <w:szCs w:val="22"/>
        </w:rPr>
        <w:t xml:space="preserve"> (based on </w:t>
      </w:r>
      <w:r w:rsidR="005A614E">
        <w:rPr>
          <w:rFonts w:asciiTheme="minorHAnsi" w:eastAsiaTheme="minorHAnsi" w:hAnsiTheme="minorHAnsi" w:cstheme="minorBidi"/>
          <w:noProof/>
          <w:snapToGrid/>
          <w:color w:val="000000"/>
          <w:sz w:val="24"/>
          <w:szCs w:val="22"/>
          <w:highlight w:val="black"/>
        </w:rPr>
        <w:t>'''''</w:t>
      </w:r>
      <w:r w:rsidRPr="00985543">
        <w:rPr>
          <w:rFonts w:asciiTheme="minorHAnsi" w:eastAsiaTheme="minorHAnsi" w:hAnsiTheme="minorHAnsi" w:cstheme="minorBidi"/>
          <w:snapToGrid/>
          <w:sz w:val="24"/>
          <w:szCs w:val="22"/>
        </w:rPr>
        <w:t xml:space="preserve"> scripts using the effective DPMQ $</w:t>
      </w:r>
      <w:r w:rsidR="005A614E">
        <w:rPr>
          <w:rFonts w:asciiTheme="minorHAnsi" w:eastAsiaTheme="minorHAnsi" w:hAnsiTheme="minorHAnsi" w:cstheme="minorBidi"/>
          <w:noProof/>
          <w:snapToGrid/>
          <w:color w:val="000000"/>
          <w:sz w:val="24"/>
          <w:szCs w:val="22"/>
          <w:highlight w:val="black"/>
        </w:rPr>
        <w:t>''''''''''''</w:t>
      </w:r>
      <w:r w:rsidRPr="00985543">
        <w:rPr>
          <w:rFonts w:asciiTheme="minorHAnsi" w:eastAsiaTheme="minorHAnsi" w:hAnsiTheme="minorHAnsi" w:cstheme="minorBidi"/>
          <w:snapToGrid/>
          <w:sz w:val="24"/>
          <w:szCs w:val="22"/>
        </w:rPr>
        <w:t xml:space="preserve"> for the 140 mg fortnightly injection).</w:t>
      </w:r>
    </w:p>
    <w:p w:rsidR="00985543" w:rsidRPr="00985543" w:rsidRDefault="00985543" w:rsidP="004427B3">
      <w:pPr>
        <w:pStyle w:val="ListParagraph"/>
        <w:widowControl/>
        <w:numPr>
          <w:ilvl w:val="1"/>
          <w:numId w:val="14"/>
        </w:numPr>
        <w:spacing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In November 2017, t</w:t>
      </w:r>
      <w:r w:rsidRPr="00985543">
        <w:rPr>
          <w:rFonts w:asciiTheme="minorHAnsi" w:eastAsiaTheme="minorHAnsi" w:hAnsiTheme="minorHAnsi" w:cstheme="minorBidi"/>
          <w:snapToGrid/>
          <w:sz w:val="24"/>
          <w:szCs w:val="22"/>
        </w:rPr>
        <w:t>he estimated drug cost for evolocumab per patient per year was $</w:t>
      </w:r>
      <w:r w:rsidR="005A614E">
        <w:rPr>
          <w:rFonts w:asciiTheme="minorHAnsi" w:eastAsiaTheme="minorHAnsi" w:hAnsiTheme="minorHAnsi" w:cstheme="minorBidi"/>
          <w:noProof/>
          <w:snapToGrid/>
          <w:color w:val="000000"/>
          <w:sz w:val="24"/>
          <w:szCs w:val="22"/>
          <w:highlight w:val="black"/>
        </w:rPr>
        <w:t>'''''''''</w:t>
      </w:r>
      <w:r w:rsidRPr="00985543">
        <w:rPr>
          <w:rFonts w:asciiTheme="minorHAnsi" w:eastAsiaTheme="minorHAnsi" w:hAnsiTheme="minorHAnsi" w:cstheme="minorBidi"/>
          <w:snapToGrid/>
          <w:sz w:val="24"/>
          <w:szCs w:val="22"/>
        </w:rPr>
        <w:t xml:space="preserve"> (based on </w:t>
      </w:r>
      <w:r w:rsidR="005A614E">
        <w:rPr>
          <w:rFonts w:asciiTheme="minorHAnsi" w:eastAsiaTheme="minorHAnsi" w:hAnsiTheme="minorHAnsi" w:cstheme="minorBidi"/>
          <w:noProof/>
          <w:snapToGrid/>
          <w:color w:val="000000"/>
          <w:sz w:val="24"/>
          <w:szCs w:val="22"/>
          <w:highlight w:val="black"/>
        </w:rPr>
        <w:t>'''''</w:t>
      </w:r>
      <w:r w:rsidRPr="00985543">
        <w:rPr>
          <w:rFonts w:asciiTheme="minorHAnsi" w:eastAsiaTheme="minorHAnsi" w:hAnsiTheme="minorHAnsi" w:cstheme="minorBidi"/>
          <w:snapToGrid/>
          <w:sz w:val="24"/>
          <w:szCs w:val="22"/>
        </w:rPr>
        <w:t xml:space="preserve"> scripts using the effective DPMQ $</w:t>
      </w:r>
      <w:r w:rsidR="005A614E">
        <w:rPr>
          <w:rFonts w:asciiTheme="minorHAnsi" w:eastAsiaTheme="minorHAnsi" w:hAnsiTheme="minorHAnsi" w:cstheme="minorBidi"/>
          <w:noProof/>
          <w:snapToGrid/>
          <w:color w:val="000000"/>
          <w:sz w:val="24"/>
          <w:szCs w:val="22"/>
          <w:highlight w:val="black"/>
        </w:rPr>
        <w:t>''''''''''''''</w:t>
      </w:r>
      <w:r w:rsidRPr="00985543">
        <w:rPr>
          <w:rFonts w:asciiTheme="minorHAnsi" w:eastAsiaTheme="minorHAnsi" w:hAnsiTheme="minorHAnsi" w:cstheme="minorBidi"/>
          <w:snapToGrid/>
          <w:sz w:val="24"/>
          <w:szCs w:val="22"/>
        </w:rPr>
        <w:t xml:space="preserve"> for the 140 mg fortnightly injection).</w:t>
      </w:r>
    </w:p>
    <w:p w:rsidR="00985543" w:rsidRPr="00985543" w:rsidRDefault="00985543" w:rsidP="004427B3">
      <w:pPr>
        <w:pStyle w:val="ListParagraph"/>
        <w:widowControl/>
        <w:numPr>
          <w:ilvl w:val="1"/>
          <w:numId w:val="14"/>
        </w:numPr>
        <w:spacing w:after="160"/>
        <w:contextualSpacing w:val="0"/>
        <w:rPr>
          <w:rFonts w:asciiTheme="minorHAnsi" w:eastAsiaTheme="minorHAnsi" w:hAnsiTheme="minorHAnsi" w:cstheme="minorBidi"/>
          <w:snapToGrid/>
          <w:sz w:val="24"/>
          <w:szCs w:val="22"/>
        </w:rPr>
      </w:pPr>
      <w:r w:rsidRPr="00985543">
        <w:rPr>
          <w:rFonts w:asciiTheme="minorHAnsi" w:eastAsiaTheme="minorHAnsi" w:hAnsiTheme="minorHAnsi" w:cstheme="minorBidi"/>
          <w:snapToGrid/>
          <w:sz w:val="24"/>
          <w:szCs w:val="22"/>
        </w:rPr>
        <w:t>The estimated drug cost for ezetimibe per patient per year was $</w:t>
      </w:r>
      <w:r w:rsidR="005A614E">
        <w:rPr>
          <w:rFonts w:asciiTheme="minorHAnsi" w:eastAsiaTheme="minorHAnsi" w:hAnsiTheme="minorHAnsi" w:cstheme="minorBidi"/>
          <w:noProof/>
          <w:snapToGrid/>
          <w:color w:val="000000"/>
          <w:sz w:val="24"/>
          <w:szCs w:val="22"/>
          <w:highlight w:val="black"/>
        </w:rPr>
        <w:t>'''''''</w:t>
      </w:r>
      <w:r w:rsidRPr="00985543">
        <w:rPr>
          <w:rFonts w:asciiTheme="minorHAnsi" w:eastAsiaTheme="minorHAnsi" w:hAnsiTheme="minorHAnsi" w:cstheme="minorBidi"/>
          <w:snapToGrid/>
          <w:sz w:val="24"/>
          <w:szCs w:val="22"/>
        </w:rPr>
        <w:t xml:space="preserve"> (based on </w:t>
      </w:r>
      <w:r w:rsidR="005A614E">
        <w:rPr>
          <w:rFonts w:asciiTheme="minorHAnsi" w:eastAsiaTheme="minorHAnsi" w:hAnsiTheme="minorHAnsi" w:cstheme="minorBidi"/>
          <w:noProof/>
          <w:snapToGrid/>
          <w:color w:val="000000"/>
          <w:sz w:val="24"/>
          <w:szCs w:val="22"/>
          <w:highlight w:val="black"/>
        </w:rPr>
        <w:t>'''''</w:t>
      </w:r>
      <w:r w:rsidRPr="00985543">
        <w:rPr>
          <w:rFonts w:asciiTheme="minorHAnsi" w:eastAsiaTheme="minorHAnsi" w:hAnsiTheme="minorHAnsi" w:cstheme="minorBidi"/>
          <w:snapToGrid/>
          <w:sz w:val="24"/>
          <w:szCs w:val="22"/>
        </w:rPr>
        <w:t xml:space="preserve"> scripts, using the current DPMQ $66.84 for ezetimibe 10 mg tablets).</w:t>
      </w:r>
    </w:p>
    <w:p w:rsidR="005A3173" w:rsidRPr="00E11620" w:rsidRDefault="005A3173" w:rsidP="00A41664">
      <w:pPr>
        <w:pStyle w:val="Heading2"/>
        <w:rPr>
          <w:rFonts w:eastAsiaTheme="majorEastAsia"/>
          <w:lang w:eastAsia="en-US"/>
        </w:rPr>
      </w:pPr>
      <w:r w:rsidRPr="00E11620">
        <w:rPr>
          <w:rFonts w:eastAsiaTheme="majorEastAsia"/>
          <w:lang w:eastAsia="en-US"/>
        </w:rPr>
        <w:t>Estimated PBS usage &amp; financial implications</w:t>
      </w:r>
    </w:p>
    <w:p w:rsidR="003623D3" w:rsidRDefault="00FF2801" w:rsidP="004427B3">
      <w:pPr>
        <w:pStyle w:val="ListParagraph"/>
        <w:widowControl/>
        <w:numPr>
          <w:ilvl w:val="1"/>
          <w:numId w:val="14"/>
        </w:numPr>
        <w:spacing w:after="160"/>
        <w:contextualSpacing w:val="0"/>
        <w:rPr>
          <w:rFonts w:asciiTheme="minorHAnsi" w:hAnsiTheme="minorHAnsi"/>
          <w:sz w:val="24"/>
          <w:szCs w:val="24"/>
        </w:rPr>
      </w:pPr>
      <w:r w:rsidRPr="003C2FB5">
        <w:rPr>
          <w:rFonts w:asciiTheme="minorHAnsi" w:hAnsiTheme="minorHAnsi"/>
          <w:sz w:val="24"/>
          <w:szCs w:val="24"/>
        </w:rPr>
        <w:t xml:space="preserve">The minor </w:t>
      </w:r>
      <w:r w:rsidR="00985543">
        <w:rPr>
          <w:rFonts w:asciiTheme="minorHAnsi" w:hAnsiTheme="minorHAnsi"/>
          <w:sz w:val="24"/>
          <w:szCs w:val="24"/>
        </w:rPr>
        <w:t>re</w:t>
      </w:r>
      <w:r w:rsidRPr="003C2FB5">
        <w:rPr>
          <w:rFonts w:asciiTheme="minorHAnsi" w:hAnsiTheme="minorHAnsi"/>
          <w:sz w:val="24"/>
          <w:szCs w:val="24"/>
        </w:rPr>
        <w:t>submission estimated</w:t>
      </w:r>
      <w:r w:rsidR="00C00DA7" w:rsidRPr="003C2FB5">
        <w:rPr>
          <w:rFonts w:asciiTheme="minorHAnsi" w:hAnsiTheme="minorHAnsi"/>
          <w:sz w:val="24"/>
          <w:szCs w:val="24"/>
        </w:rPr>
        <w:t xml:space="preserve"> a net </w:t>
      </w:r>
      <w:r w:rsidR="00067E54">
        <w:rPr>
          <w:rFonts w:asciiTheme="minorHAnsi" w:hAnsiTheme="minorHAnsi"/>
          <w:sz w:val="24"/>
          <w:szCs w:val="24"/>
        </w:rPr>
        <w:t xml:space="preserve">effective </w:t>
      </w:r>
      <w:r w:rsidR="00C00DA7" w:rsidRPr="003C2FB5">
        <w:rPr>
          <w:rFonts w:asciiTheme="minorHAnsi" w:hAnsiTheme="minorHAnsi"/>
          <w:sz w:val="24"/>
          <w:szCs w:val="24"/>
        </w:rPr>
        <w:t xml:space="preserve">cost to the PBS of </w:t>
      </w:r>
      <w:r w:rsidR="00985543" w:rsidRPr="00985543">
        <w:rPr>
          <w:rFonts w:asciiTheme="minorHAnsi" w:hAnsiTheme="minorHAnsi"/>
          <w:sz w:val="24"/>
          <w:szCs w:val="24"/>
        </w:rPr>
        <w:t>$</w:t>
      </w:r>
      <w:r w:rsidR="00B72350">
        <w:rPr>
          <w:rFonts w:asciiTheme="minorHAnsi" w:hAnsiTheme="minorHAnsi"/>
          <w:sz w:val="24"/>
          <w:szCs w:val="24"/>
        </w:rPr>
        <w:t>3</w:t>
      </w:r>
      <w:r w:rsidR="00C46754">
        <w:rPr>
          <w:rFonts w:asciiTheme="minorHAnsi" w:hAnsiTheme="minorHAnsi"/>
          <w:sz w:val="24"/>
          <w:szCs w:val="24"/>
        </w:rPr>
        <w:t>0 - $</w:t>
      </w:r>
      <w:r w:rsidR="00B72350">
        <w:rPr>
          <w:rFonts w:asciiTheme="minorHAnsi" w:hAnsiTheme="minorHAnsi"/>
          <w:sz w:val="24"/>
          <w:szCs w:val="24"/>
        </w:rPr>
        <w:t>6</w:t>
      </w:r>
      <w:r w:rsidR="00C46754">
        <w:rPr>
          <w:rFonts w:asciiTheme="minorHAnsi" w:hAnsiTheme="minorHAnsi"/>
          <w:sz w:val="24"/>
          <w:szCs w:val="24"/>
        </w:rPr>
        <w:t>0 million</w:t>
      </w:r>
      <w:r w:rsidR="00985543" w:rsidRPr="00985543">
        <w:rPr>
          <w:rFonts w:asciiTheme="minorHAnsi" w:hAnsiTheme="minorHAnsi"/>
          <w:sz w:val="24"/>
          <w:szCs w:val="24"/>
        </w:rPr>
        <w:t xml:space="preserve"> in year 6</w:t>
      </w:r>
      <w:r w:rsidR="00803636">
        <w:rPr>
          <w:rFonts w:asciiTheme="minorHAnsi" w:hAnsiTheme="minorHAnsi"/>
          <w:sz w:val="24"/>
          <w:szCs w:val="24"/>
        </w:rPr>
        <w:t xml:space="preserve"> </w:t>
      </w:r>
      <w:r w:rsidR="00985543">
        <w:rPr>
          <w:rFonts w:asciiTheme="minorHAnsi" w:hAnsiTheme="minorHAnsi"/>
          <w:sz w:val="24"/>
          <w:szCs w:val="24"/>
        </w:rPr>
        <w:t>of listing</w:t>
      </w:r>
      <w:r w:rsidR="00C00DA7" w:rsidRPr="003C2FB5">
        <w:rPr>
          <w:rFonts w:asciiTheme="minorHAnsi" w:hAnsiTheme="minorHAnsi"/>
          <w:sz w:val="24"/>
          <w:szCs w:val="24"/>
        </w:rPr>
        <w:t xml:space="preserve">, with a total net </w:t>
      </w:r>
      <w:r w:rsidR="00681F72">
        <w:rPr>
          <w:rFonts w:asciiTheme="minorHAnsi" w:hAnsiTheme="minorHAnsi"/>
          <w:sz w:val="24"/>
          <w:szCs w:val="24"/>
        </w:rPr>
        <w:t xml:space="preserve">effective </w:t>
      </w:r>
      <w:r w:rsidR="00C00DA7" w:rsidRPr="003C2FB5">
        <w:rPr>
          <w:rFonts w:asciiTheme="minorHAnsi" w:hAnsiTheme="minorHAnsi"/>
          <w:sz w:val="24"/>
          <w:szCs w:val="24"/>
        </w:rPr>
        <w:t xml:space="preserve">cost to the PBS of </w:t>
      </w:r>
      <w:r w:rsidR="00C46754">
        <w:rPr>
          <w:rFonts w:asciiTheme="minorHAnsi" w:hAnsiTheme="minorHAnsi"/>
          <w:sz w:val="24"/>
          <w:szCs w:val="24"/>
        </w:rPr>
        <w:t xml:space="preserve">more than </w:t>
      </w:r>
      <w:r w:rsidR="00067E54" w:rsidRPr="00067E54">
        <w:rPr>
          <w:rFonts w:asciiTheme="minorHAnsi" w:hAnsiTheme="minorHAnsi"/>
          <w:sz w:val="24"/>
          <w:szCs w:val="24"/>
        </w:rPr>
        <w:t>$</w:t>
      </w:r>
      <w:r w:rsidR="00C46754">
        <w:rPr>
          <w:rFonts w:asciiTheme="minorHAnsi" w:hAnsiTheme="minorHAnsi"/>
          <w:sz w:val="24"/>
          <w:szCs w:val="24"/>
        </w:rPr>
        <w:t>100 million</w:t>
      </w:r>
      <w:r w:rsidR="00067E54" w:rsidRPr="00067E54">
        <w:rPr>
          <w:rFonts w:asciiTheme="minorHAnsi" w:hAnsiTheme="minorHAnsi"/>
          <w:sz w:val="24"/>
          <w:szCs w:val="24"/>
        </w:rPr>
        <w:t xml:space="preserve"> </w:t>
      </w:r>
      <w:r w:rsidR="00C00DA7" w:rsidRPr="003C2FB5">
        <w:rPr>
          <w:rFonts w:asciiTheme="minorHAnsi" w:hAnsiTheme="minorHAnsi"/>
          <w:sz w:val="24"/>
          <w:szCs w:val="24"/>
        </w:rPr>
        <w:t xml:space="preserve">over the first </w:t>
      </w:r>
      <w:r w:rsidR="00067E54">
        <w:rPr>
          <w:rFonts w:asciiTheme="minorHAnsi" w:hAnsiTheme="minorHAnsi"/>
          <w:sz w:val="24"/>
          <w:szCs w:val="24"/>
        </w:rPr>
        <w:t>6</w:t>
      </w:r>
      <w:r w:rsidR="00C00DA7" w:rsidRPr="003C2FB5">
        <w:rPr>
          <w:rFonts w:asciiTheme="minorHAnsi" w:hAnsiTheme="minorHAnsi"/>
          <w:sz w:val="24"/>
          <w:szCs w:val="24"/>
        </w:rPr>
        <w:t xml:space="preserve"> years of listing. </w:t>
      </w:r>
      <w:r w:rsidR="00DF7D1F" w:rsidRPr="003C2FB5">
        <w:rPr>
          <w:rFonts w:asciiTheme="minorHAnsi" w:hAnsiTheme="minorHAnsi"/>
          <w:sz w:val="24"/>
          <w:szCs w:val="24"/>
        </w:rPr>
        <w:t xml:space="preserve">This is summarised in the table below as well as the expected patient/prescription numbers. </w:t>
      </w:r>
    </w:p>
    <w:p w:rsidR="000F083D" w:rsidRDefault="00DF7D1F" w:rsidP="004427B3">
      <w:pPr>
        <w:pStyle w:val="ListParagraph"/>
        <w:widowControl/>
        <w:numPr>
          <w:ilvl w:val="1"/>
          <w:numId w:val="14"/>
        </w:numPr>
        <w:spacing w:after="160"/>
        <w:contextualSpacing w:val="0"/>
        <w:rPr>
          <w:rFonts w:asciiTheme="minorHAnsi" w:hAnsiTheme="minorHAnsi"/>
          <w:sz w:val="24"/>
          <w:szCs w:val="24"/>
        </w:rPr>
      </w:pPr>
      <w:r>
        <w:rPr>
          <w:rFonts w:asciiTheme="minorHAnsi" w:hAnsiTheme="minorHAnsi"/>
          <w:sz w:val="24"/>
          <w:szCs w:val="24"/>
        </w:rPr>
        <w:t>These estimates are</w:t>
      </w:r>
      <w:r w:rsidR="00C44AD3">
        <w:rPr>
          <w:rFonts w:asciiTheme="minorHAnsi" w:hAnsiTheme="minorHAnsi"/>
          <w:sz w:val="24"/>
          <w:szCs w:val="24"/>
        </w:rPr>
        <w:t xml:space="preserve"> </w:t>
      </w:r>
      <w:r w:rsidR="00F8649E">
        <w:rPr>
          <w:rFonts w:asciiTheme="minorHAnsi" w:hAnsiTheme="minorHAnsi"/>
          <w:sz w:val="24"/>
          <w:szCs w:val="24"/>
        </w:rPr>
        <w:t xml:space="preserve">reduced </w:t>
      </w:r>
      <w:r w:rsidR="008E436C">
        <w:rPr>
          <w:rFonts w:asciiTheme="minorHAnsi" w:hAnsiTheme="minorHAnsi"/>
          <w:sz w:val="24"/>
          <w:szCs w:val="24"/>
        </w:rPr>
        <w:t xml:space="preserve">from </w:t>
      </w:r>
      <w:r w:rsidR="00681F72" w:rsidRPr="00681F72">
        <w:rPr>
          <w:rFonts w:asciiTheme="minorHAnsi" w:hAnsiTheme="minorHAnsi"/>
          <w:sz w:val="24"/>
          <w:szCs w:val="24"/>
        </w:rPr>
        <w:t>$</w:t>
      </w:r>
      <w:r w:rsidR="00C46754">
        <w:rPr>
          <w:rFonts w:asciiTheme="minorHAnsi" w:hAnsiTheme="minorHAnsi"/>
          <w:sz w:val="24"/>
          <w:szCs w:val="24"/>
        </w:rPr>
        <w:t xml:space="preserve">30 - $60 million </w:t>
      </w:r>
      <w:r w:rsidR="00681F72" w:rsidRPr="00681F72">
        <w:rPr>
          <w:rFonts w:asciiTheme="minorHAnsi" w:hAnsiTheme="minorHAnsi"/>
          <w:sz w:val="24"/>
          <w:szCs w:val="24"/>
        </w:rPr>
        <w:t xml:space="preserve"> in year 6, </w:t>
      </w:r>
      <w:r w:rsidR="00681F72">
        <w:rPr>
          <w:rFonts w:asciiTheme="minorHAnsi" w:hAnsiTheme="minorHAnsi"/>
          <w:sz w:val="24"/>
          <w:szCs w:val="24"/>
        </w:rPr>
        <w:t xml:space="preserve">and a total net effective cost of </w:t>
      </w:r>
      <w:r w:rsidR="00C46754">
        <w:rPr>
          <w:rFonts w:asciiTheme="minorHAnsi" w:hAnsiTheme="minorHAnsi"/>
          <w:sz w:val="24"/>
          <w:szCs w:val="24"/>
        </w:rPr>
        <w:t xml:space="preserve">more than </w:t>
      </w:r>
      <w:r w:rsidR="00681F72" w:rsidRPr="00681F72">
        <w:rPr>
          <w:rFonts w:asciiTheme="minorHAnsi" w:hAnsiTheme="minorHAnsi"/>
          <w:sz w:val="24"/>
          <w:szCs w:val="24"/>
        </w:rPr>
        <w:t>$</w:t>
      </w:r>
      <w:r w:rsidR="00C46754">
        <w:rPr>
          <w:rFonts w:asciiTheme="minorHAnsi" w:hAnsiTheme="minorHAnsi"/>
          <w:sz w:val="24"/>
          <w:szCs w:val="24"/>
        </w:rPr>
        <w:t>100 million</w:t>
      </w:r>
      <w:r w:rsidR="00681F72">
        <w:rPr>
          <w:rFonts w:asciiTheme="minorHAnsi" w:hAnsiTheme="minorHAnsi"/>
          <w:sz w:val="24"/>
          <w:szCs w:val="24"/>
        </w:rPr>
        <w:t>,</w:t>
      </w:r>
      <w:r w:rsidR="00C44AD3">
        <w:rPr>
          <w:rFonts w:asciiTheme="minorHAnsi" w:hAnsiTheme="minorHAnsi"/>
          <w:sz w:val="24"/>
          <w:szCs w:val="24"/>
        </w:rPr>
        <w:t xml:space="preserve"> </w:t>
      </w:r>
      <w:r w:rsidR="008F624A" w:rsidRPr="00681F72">
        <w:rPr>
          <w:rFonts w:asciiTheme="minorHAnsi" w:hAnsiTheme="minorHAnsi"/>
          <w:sz w:val="24"/>
          <w:szCs w:val="24"/>
        </w:rPr>
        <w:t>across FH populations</w:t>
      </w:r>
      <w:r w:rsidR="008F624A">
        <w:rPr>
          <w:rFonts w:asciiTheme="minorHAnsi" w:hAnsiTheme="minorHAnsi"/>
          <w:sz w:val="24"/>
          <w:szCs w:val="24"/>
        </w:rPr>
        <w:t xml:space="preserve"> only,</w:t>
      </w:r>
      <w:r w:rsidR="00C44AD3">
        <w:rPr>
          <w:rFonts w:asciiTheme="minorHAnsi" w:hAnsiTheme="minorHAnsi"/>
          <w:sz w:val="24"/>
          <w:szCs w:val="24"/>
        </w:rPr>
        <w:t xml:space="preserve"> </w:t>
      </w:r>
      <w:r w:rsidR="008E436C">
        <w:rPr>
          <w:rFonts w:asciiTheme="minorHAnsi" w:hAnsiTheme="minorHAnsi"/>
          <w:sz w:val="24"/>
          <w:szCs w:val="24"/>
        </w:rPr>
        <w:t>in the November 2017 submission</w:t>
      </w:r>
      <w:r w:rsidR="00681F72">
        <w:rPr>
          <w:rFonts w:asciiTheme="minorHAnsi" w:hAnsiTheme="minorHAnsi"/>
          <w:sz w:val="24"/>
          <w:szCs w:val="24"/>
        </w:rPr>
        <w:t xml:space="preserve">. </w:t>
      </w:r>
      <w:r w:rsidR="00681F72" w:rsidRPr="00681F72">
        <w:rPr>
          <w:rFonts w:asciiTheme="minorHAnsi" w:hAnsiTheme="minorHAnsi"/>
          <w:sz w:val="24"/>
          <w:szCs w:val="24"/>
        </w:rPr>
        <w:t>The revised financial estimates incorporate</w:t>
      </w:r>
      <w:r>
        <w:rPr>
          <w:rFonts w:asciiTheme="minorHAnsi" w:hAnsiTheme="minorHAnsi"/>
          <w:sz w:val="24"/>
          <w:szCs w:val="24"/>
        </w:rPr>
        <w:t>d</w:t>
      </w:r>
      <w:r w:rsidR="00681F72" w:rsidRPr="00681F72">
        <w:rPr>
          <w:rFonts w:asciiTheme="minorHAnsi" w:hAnsiTheme="minorHAnsi"/>
          <w:sz w:val="24"/>
          <w:szCs w:val="24"/>
        </w:rPr>
        <w:t xml:space="preserve"> the reduced price offer and removed the cost offsets from ezetimibe substitution</w:t>
      </w:r>
      <w:r w:rsidR="008F624A">
        <w:rPr>
          <w:rFonts w:asciiTheme="minorHAnsi" w:hAnsiTheme="minorHAnsi"/>
          <w:sz w:val="24"/>
          <w:szCs w:val="24"/>
        </w:rPr>
        <w:t>, as advised by the DUSC for the November 2017 submission</w:t>
      </w:r>
      <w:r w:rsidR="00681F72" w:rsidRPr="00681F72">
        <w:rPr>
          <w:rFonts w:asciiTheme="minorHAnsi" w:hAnsiTheme="minorHAnsi"/>
          <w:sz w:val="24"/>
          <w:szCs w:val="24"/>
        </w:rPr>
        <w:t>.</w:t>
      </w:r>
    </w:p>
    <w:p w:rsidR="00DF7D1F" w:rsidRPr="00743335" w:rsidRDefault="00DF7D1F" w:rsidP="003144AC">
      <w:pPr>
        <w:pStyle w:val="TableHeading0"/>
        <w:jc w:val="both"/>
        <w:rPr>
          <w:snapToGrid w:val="0"/>
        </w:rPr>
      </w:pPr>
      <w:r w:rsidRPr="00743335">
        <w:rPr>
          <w:snapToGrid w:val="0"/>
        </w:rPr>
        <w:t xml:space="preserve">Table </w:t>
      </w:r>
      <w:r w:rsidR="00721129">
        <w:rPr>
          <w:snapToGrid w:val="0"/>
        </w:rPr>
        <w:t>2</w:t>
      </w:r>
      <w:r w:rsidRPr="00743335">
        <w:rPr>
          <w:snapToGrid w:val="0"/>
        </w:rPr>
        <w:t>: Estimated utilisation and cost to the PBS of evolocumab in the first six years of listing (effective price less patient copayments)</w:t>
      </w:r>
    </w:p>
    <w:tbl>
      <w:tblPr>
        <w:tblW w:w="5002"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2"/>
        <w:gridCol w:w="1192"/>
        <w:gridCol w:w="1192"/>
        <w:gridCol w:w="1194"/>
        <w:gridCol w:w="1192"/>
        <w:gridCol w:w="1192"/>
        <w:gridCol w:w="1192"/>
      </w:tblGrid>
      <w:tr w:rsidR="00DF7D1F" w:rsidRPr="00DF7D1F" w:rsidTr="00DF7D1F">
        <w:trPr>
          <w:tblHeader/>
          <w:jc w:val="right"/>
        </w:trPr>
        <w:tc>
          <w:tcPr>
            <w:tcW w:w="1063" w:type="pct"/>
            <w:tcBorders>
              <w:left w:val="single" w:sz="4" w:space="0" w:color="auto"/>
              <w:bottom w:val="single" w:sz="4" w:space="0" w:color="auto"/>
            </w:tcBorders>
            <w:shd w:val="clear" w:color="auto" w:fill="auto"/>
            <w:vAlign w:val="center"/>
          </w:tcPr>
          <w:p w:rsidR="00DF7D1F" w:rsidRPr="00DF7D1F" w:rsidRDefault="00DF7D1F" w:rsidP="003144AC">
            <w:pPr>
              <w:keepNext/>
              <w:widowControl w:val="0"/>
              <w:spacing w:before="40" w:afterLines="40" w:after="96"/>
              <w:rPr>
                <w:rFonts w:ascii="Arial Narrow" w:eastAsia="Calibri" w:hAnsi="Arial Narrow"/>
                <w:sz w:val="20"/>
                <w:szCs w:val="20"/>
              </w:rPr>
            </w:pPr>
          </w:p>
        </w:tc>
        <w:tc>
          <w:tcPr>
            <w:tcW w:w="656" w:type="pct"/>
            <w:tcBorders>
              <w:bottom w:val="single" w:sz="4" w:space="0" w:color="auto"/>
            </w:tcBorders>
            <w:shd w:val="clear" w:color="auto" w:fill="auto"/>
            <w:vAlign w:val="center"/>
          </w:tcPr>
          <w:p w:rsidR="00DF7D1F" w:rsidRPr="00DF7D1F" w:rsidRDefault="00DF7D1F" w:rsidP="003144AC">
            <w:pPr>
              <w:keepNext/>
              <w:widowControl w:val="0"/>
              <w:spacing w:before="40" w:after="40"/>
              <w:jc w:val="center"/>
              <w:rPr>
                <w:rFonts w:ascii="Arial Narrow" w:eastAsia="Calibri" w:hAnsi="Arial Narrow"/>
                <w:b/>
                <w:bCs/>
                <w:sz w:val="20"/>
                <w:szCs w:val="20"/>
              </w:rPr>
            </w:pPr>
            <w:r w:rsidRPr="00DF7D1F">
              <w:rPr>
                <w:rFonts w:ascii="Arial Narrow" w:eastAsia="Calibri" w:hAnsi="Arial Narrow"/>
                <w:b/>
                <w:bCs/>
                <w:sz w:val="20"/>
                <w:szCs w:val="20"/>
              </w:rPr>
              <w:t>Year 1</w:t>
            </w:r>
          </w:p>
          <w:p w:rsidR="00DF7D1F" w:rsidRPr="00DF7D1F" w:rsidRDefault="00DF7D1F" w:rsidP="003144AC">
            <w:pPr>
              <w:keepNext/>
              <w:widowControl w:val="0"/>
              <w:spacing w:before="40" w:after="40"/>
              <w:jc w:val="center"/>
              <w:rPr>
                <w:rFonts w:ascii="Arial Narrow" w:eastAsia="Calibri" w:hAnsi="Arial Narrow"/>
                <w:b/>
                <w:bCs/>
                <w:sz w:val="20"/>
                <w:szCs w:val="20"/>
              </w:rPr>
            </w:pPr>
            <w:r w:rsidRPr="00DF7D1F">
              <w:rPr>
                <w:rFonts w:ascii="Arial Narrow" w:eastAsia="Calibri" w:hAnsi="Arial Narrow"/>
                <w:b/>
                <w:bCs/>
                <w:sz w:val="20"/>
                <w:szCs w:val="20"/>
              </w:rPr>
              <w:t>(2018)</w:t>
            </w:r>
          </w:p>
        </w:tc>
        <w:tc>
          <w:tcPr>
            <w:tcW w:w="656" w:type="pct"/>
            <w:tcBorders>
              <w:bottom w:val="single" w:sz="4" w:space="0" w:color="auto"/>
            </w:tcBorders>
            <w:shd w:val="clear" w:color="auto" w:fill="auto"/>
            <w:vAlign w:val="center"/>
          </w:tcPr>
          <w:p w:rsidR="00DF7D1F" w:rsidRPr="00DF7D1F" w:rsidRDefault="00DF7D1F" w:rsidP="003144AC">
            <w:pPr>
              <w:keepNext/>
              <w:widowControl w:val="0"/>
              <w:spacing w:before="40" w:after="40"/>
              <w:jc w:val="center"/>
              <w:rPr>
                <w:rFonts w:ascii="Arial Narrow" w:eastAsia="Calibri" w:hAnsi="Arial Narrow"/>
                <w:b/>
                <w:bCs/>
                <w:sz w:val="20"/>
                <w:szCs w:val="20"/>
              </w:rPr>
            </w:pPr>
            <w:r w:rsidRPr="00DF7D1F">
              <w:rPr>
                <w:rFonts w:ascii="Arial Narrow" w:eastAsia="Calibri" w:hAnsi="Arial Narrow"/>
                <w:b/>
                <w:bCs/>
                <w:sz w:val="20"/>
                <w:szCs w:val="20"/>
              </w:rPr>
              <w:t>Year 2</w:t>
            </w:r>
          </w:p>
          <w:p w:rsidR="00DF7D1F" w:rsidRPr="00DF7D1F" w:rsidRDefault="00DF7D1F" w:rsidP="003144AC">
            <w:pPr>
              <w:keepNext/>
              <w:widowControl w:val="0"/>
              <w:spacing w:before="40" w:after="40"/>
              <w:jc w:val="center"/>
              <w:rPr>
                <w:rFonts w:ascii="Arial Narrow" w:eastAsia="Calibri" w:hAnsi="Arial Narrow"/>
                <w:b/>
                <w:bCs/>
                <w:sz w:val="20"/>
                <w:szCs w:val="20"/>
              </w:rPr>
            </w:pPr>
            <w:r w:rsidRPr="00DF7D1F">
              <w:rPr>
                <w:rFonts w:ascii="Arial Narrow" w:eastAsia="Calibri" w:hAnsi="Arial Narrow"/>
                <w:b/>
                <w:bCs/>
                <w:sz w:val="20"/>
                <w:szCs w:val="20"/>
              </w:rPr>
              <w:t>(2019)</w:t>
            </w:r>
          </w:p>
        </w:tc>
        <w:tc>
          <w:tcPr>
            <w:tcW w:w="657" w:type="pct"/>
            <w:tcBorders>
              <w:bottom w:val="single" w:sz="4" w:space="0" w:color="auto"/>
            </w:tcBorders>
            <w:shd w:val="clear" w:color="auto" w:fill="auto"/>
            <w:vAlign w:val="center"/>
          </w:tcPr>
          <w:p w:rsidR="00DF7D1F" w:rsidRPr="00DF7D1F" w:rsidRDefault="00DF7D1F" w:rsidP="003144AC">
            <w:pPr>
              <w:keepNext/>
              <w:widowControl w:val="0"/>
              <w:spacing w:before="40" w:after="40"/>
              <w:jc w:val="center"/>
              <w:rPr>
                <w:rFonts w:ascii="Arial Narrow" w:eastAsia="Calibri" w:hAnsi="Arial Narrow"/>
                <w:b/>
                <w:bCs/>
                <w:sz w:val="20"/>
                <w:szCs w:val="20"/>
              </w:rPr>
            </w:pPr>
            <w:r w:rsidRPr="00DF7D1F">
              <w:rPr>
                <w:rFonts w:ascii="Arial Narrow" w:eastAsia="Calibri" w:hAnsi="Arial Narrow"/>
                <w:b/>
                <w:bCs/>
                <w:sz w:val="20"/>
                <w:szCs w:val="20"/>
              </w:rPr>
              <w:t>Year 3</w:t>
            </w:r>
          </w:p>
          <w:p w:rsidR="00DF7D1F" w:rsidRPr="00DF7D1F" w:rsidRDefault="00DF7D1F" w:rsidP="003144AC">
            <w:pPr>
              <w:keepNext/>
              <w:widowControl w:val="0"/>
              <w:spacing w:before="40" w:after="40"/>
              <w:jc w:val="center"/>
              <w:rPr>
                <w:rFonts w:ascii="Arial Narrow" w:eastAsia="Calibri" w:hAnsi="Arial Narrow"/>
                <w:b/>
                <w:bCs/>
                <w:sz w:val="20"/>
                <w:szCs w:val="20"/>
              </w:rPr>
            </w:pPr>
            <w:r w:rsidRPr="00DF7D1F">
              <w:rPr>
                <w:rFonts w:ascii="Arial Narrow" w:eastAsia="Calibri" w:hAnsi="Arial Narrow"/>
                <w:b/>
                <w:bCs/>
                <w:sz w:val="20"/>
                <w:szCs w:val="20"/>
              </w:rPr>
              <w:t>(2020)</w:t>
            </w:r>
          </w:p>
        </w:tc>
        <w:tc>
          <w:tcPr>
            <w:tcW w:w="656" w:type="pct"/>
            <w:tcBorders>
              <w:bottom w:val="single" w:sz="4" w:space="0" w:color="auto"/>
            </w:tcBorders>
            <w:shd w:val="clear" w:color="auto" w:fill="auto"/>
            <w:vAlign w:val="center"/>
          </w:tcPr>
          <w:p w:rsidR="00DF7D1F" w:rsidRPr="00DF7D1F" w:rsidRDefault="00DF7D1F" w:rsidP="003144AC">
            <w:pPr>
              <w:keepNext/>
              <w:widowControl w:val="0"/>
              <w:spacing w:before="40" w:after="40"/>
              <w:jc w:val="center"/>
              <w:rPr>
                <w:rFonts w:ascii="Arial Narrow" w:eastAsia="Calibri" w:hAnsi="Arial Narrow"/>
                <w:b/>
                <w:bCs/>
                <w:sz w:val="20"/>
                <w:szCs w:val="20"/>
              </w:rPr>
            </w:pPr>
            <w:r w:rsidRPr="00DF7D1F">
              <w:rPr>
                <w:rFonts w:ascii="Arial Narrow" w:eastAsia="Calibri" w:hAnsi="Arial Narrow"/>
                <w:b/>
                <w:bCs/>
                <w:sz w:val="20"/>
                <w:szCs w:val="20"/>
              </w:rPr>
              <w:t>Year 4</w:t>
            </w:r>
          </w:p>
          <w:p w:rsidR="00DF7D1F" w:rsidRPr="00DF7D1F" w:rsidRDefault="00DF7D1F" w:rsidP="003144AC">
            <w:pPr>
              <w:keepNext/>
              <w:widowControl w:val="0"/>
              <w:spacing w:before="40" w:after="40"/>
              <w:jc w:val="center"/>
              <w:rPr>
                <w:rFonts w:ascii="Arial Narrow" w:eastAsia="Calibri" w:hAnsi="Arial Narrow"/>
                <w:b/>
                <w:bCs/>
                <w:sz w:val="20"/>
                <w:szCs w:val="20"/>
              </w:rPr>
            </w:pPr>
            <w:r w:rsidRPr="00DF7D1F">
              <w:rPr>
                <w:rFonts w:ascii="Arial Narrow" w:eastAsia="Calibri" w:hAnsi="Arial Narrow"/>
                <w:b/>
                <w:bCs/>
                <w:sz w:val="20"/>
                <w:szCs w:val="20"/>
              </w:rPr>
              <w:t>(2021)</w:t>
            </w:r>
          </w:p>
        </w:tc>
        <w:tc>
          <w:tcPr>
            <w:tcW w:w="656" w:type="pct"/>
            <w:tcBorders>
              <w:bottom w:val="single" w:sz="4" w:space="0" w:color="auto"/>
              <w:right w:val="single" w:sz="4" w:space="0" w:color="auto"/>
            </w:tcBorders>
            <w:shd w:val="clear" w:color="auto" w:fill="auto"/>
            <w:vAlign w:val="center"/>
          </w:tcPr>
          <w:p w:rsidR="00DF7D1F" w:rsidRPr="00DF7D1F" w:rsidRDefault="00DF7D1F" w:rsidP="003144AC">
            <w:pPr>
              <w:keepNext/>
              <w:widowControl w:val="0"/>
              <w:spacing w:before="40" w:after="40"/>
              <w:jc w:val="center"/>
              <w:rPr>
                <w:rFonts w:ascii="Arial Narrow" w:eastAsia="Calibri" w:hAnsi="Arial Narrow"/>
                <w:b/>
                <w:bCs/>
                <w:sz w:val="20"/>
                <w:szCs w:val="20"/>
              </w:rPr>
            </w:pPr>
            <w:r w:rsidRPr="00DF7D1F">
              <w:rPr>
                <w:rFonts w:ascii="Arial Narrow" w:eastAsia="Calibri" w:hAnsi="Arial Narrow"/>
                <w:b/>
                <w:bCs/>
                <w:sz w:val="20"/>
                <w:szCs w:val="20"/>
              </w:rPr>
              <w:t xml:space="preserve">Year 5 </w:t>
            </w:r>
          </w:p>
          <w:p w:rsidR="00DF7D1F" w:rsidRPr="00DF7D1F" w:rsidRDefault="00DF7D1F" w:rsidP="003144AC">
            <w:pPr>
              <w:keepNext/>
              <w:widowControl w:val="0"/>
              <w:spacing w:before="40" w:after="40"/>
              <w:jc w:val="center"/>
              <w:rPr>
                <w:rFonts w:ascii="Arial Narrow" w:eastAsia="Calibri" w:hAnsi="Arial Narrow"/>
                <w:b/>
                <w:bCs/>
                <w:sz w:val="20"/>
                <w:szCs w:val="20"/>
              </w:rPr>
            </w:pPr>
            <w:r w:rsidRPr="00DF7D1F">
              <w:rPr>
                <w:rFonts w:ascii="Arial Narrow" w:eastAsia="Calibri" w:hAnsi="Arial Narrow"/>
                <w:b/>
                <w:bCs/>
                <w:sz w:val="20"/>
                <w:szCs w:val="20"/>
              </w:rPr>
              <w:t>(2022)</w:t>
            </w:r>
          </w:p>
        </w:tc>
        <w:tc>
          <w:tcPr>
            <w:tcW w:w="656" w:type="pct"/>
            <w:tcBorders>
              <w:bottom w:val="single" w:sz="4" w:space="0" w:color="auto"/>
              <w:right w:val="single" w:sz="4" w:space="0" w:color="auto"/>
            </w:tcBorders>
            <w:vAlign w:val="center"/>
          </w:tcPr>
          <w:p w:rsidR="00DF7D1F" w:rsidRPr="00DF7D1F" w:rsidRDefault="00DF7D1F" w:rsidP="003144AC">
            <w:pPr>
              <w:keepNext/>
              <w:widowControl w:val="0"/>
              <w:spacing w:before="40" w:after="40"/>
              <w:jc w:val="center"/>
              <w:rPr>
                <w:rFonts w:ascii="Arial Narrow" w:eastAsia="Calibri" w:hAnsi="Arial Narrow"/>
                <w:b/>
                <w:bCs/>
                <w:sz w:val="20"/>
                <w:szCs w:val="20"/>
              </w:rPr>
            </w:pPr>
            <w:r w:rsidRPr="00DF7D1F">
              <w:rPr>
                <w:rFonts w:ascii="Arial Narrow" w:eastAsia="Calibri" w:hAnsi="Arial Narrow"/>
                <w:b/>
                <w:bCs/>
                <w:sz w:val="20"/>
                <w:szCs w:val="20"/>
              </w:rPr>
              <w:t xml:space="preserve">Year 6 </w:t>
            </w:r>
          </w:p>
          <w:p w:rsidR="00DF7D1F" w:rsidRPr="00DF7D1F" w:rsidRDefault="00DF7D1F" w:rsidP="003144AC">
            <w:pPr>
              <w:keepNext/>
              <w:widowControl w:val="0"/>
              <w:spacing w:before="40" w:after="40"/>
              <w:jc w:val="center"/>
              <w:rPr>
                <w:rFonts w:ascii="Arial Narrow" w:eastAsia="Calibri" w:hAnsi="Arial Narrow"/>
                <w:b/>
                <w:bCs/>
                <w:sz w:val="20"/>
                <w:szCs w:val="20"/>
              </w:rPr>
            </w:pPr>
            <w:r w:rsidRPr="00DF7D1F">
              <w:rPr>
                <w:rFonts w:ascii="Arial Narrow" w:eastAsia="Calibri" w:hAnsi="Arial Narrow"/>
                <w:b/>
                <w:bCs/>
                <w:sz w:val="20"/>
                <w:szCs w:val="20"/>
              </w:rPr>
              <w:t>(2023)</w:t>
            </w:r>
          </w:p>
        </w:tc>
      </w:tr>
      <w:tr w:rsidR="00DF7D1F" w:rsidRPr="00DF7D1F" w:rsidTr="00DF7D1F">
        <w:trPr>
          <w:jc w:val="right"/>
        </w:trPr>
        <w:tc>
          <w:tcPr>
            <w:tcW w:w="5000" w:type="pct"/>
            <w:gridSpan w:val="7"/>
            <w:tcBorders>
              <w:left w:val="single" w:sz="4" w:space="0" w:color="auto"/>
              <w:bottom w:val="single" w:sz="4" w:space="0" w:color="auto"/>
              <w:right w:val="single" w:sz="4" w:space="0" w:color="auto"/>
            </w:tcBorders>
            <w:shd w:val="clear" w:color="auto" w:fill="auto"/>
            <w:vAlign w:val="center"/>
          </w:tcPr>
          <w:p w:rsidR="00DF7D1F" w:rsidRPr="00DF7D1F" w:rsidRDefault="0045744A" w:rsidP="003144AC">
            <w:pPr>
              <w:keepNext/>
              <w:spacing w:before="40" w:after="40"/>
              <w:rPr>
                <w:rFonts w:ascii="Arial Narrow" w:hAnsi="Arial Narrow" w:cs="Arial"/>
                <w:b/>
                <w:sz w:val="20"/>
                <w:szCs w:val="20"/>
              </w:rPr>
            </w:pPr>
            <w:r>
              <w:rPr>
                <w:rFonts w:ascii="Arial Narrow" w:hAnsi="Arial Narrow" w:cs="Arial"/>
                <w:b/>
                <w:sz w:val="20"/>
                <w:szCs w:val="20"/>
              </w:rPr>
              <w:t>F</w:t>
            </w:r>
            <w:r w:rsidR="00DF7D1F" w:rsidRPr="00DF7D1F">
              <w:rPr>
                <w:rFonts w:ascii="Arial Narrow" w:hAnsi="Arial Narrow" w:cs="Arial"/>
                <w:b/>
                <w:sz w:val="20"/>
                <w:szCs w:val="20"/>
              </w:rPr>
              <w:t>amilial hypercholesterolaemia</w:t>
            </w:r>
            <w:r>
              <w:rPr>
                <w:rFonts w:ascii="Arial Narrow" w:hAnsi="Arial Narrow" w:cs="Arial"/>
                <w:b/>
                <w:sz w:val="20"/>
                <w:szCs w:val="20"/>
              </w:rPr>
              <w:t xml:space="preserve"> (FH) </w:t>
            </w:r>
            <w:r w:rsidR="00DF7D1F" w:rsidRPr="00DF7D1F">
              <w:rPr>
                <w:rFonts w:ascii="Arial Narrow" w:hAnsi="Arial Narrow" w:cs="Arial"/>
                <w:b/>
                <w:sz w:val="20"/>
                <w:szCs w:val="20"/>
              </w:rPr>
              <w:t>with atherosclerotic disease</w:t>
            </w:r>
            <w:r w:rsidR="00DF7D1F">
              <w:rPr>
                <w:rFonts w:ascii="Arial Narrow" w:hAnsi="Arial Narrow" w:cs="Arial"/>
                <w:b/>
                <w:sz w:val="20"/>
                <w:szCs w:val="20"/>
              </w:rPr>
              <w:t xml:space="preserve"> and </w:t>
            </w:r>
            <w:r>
              <w:rPr>
                <w:rFonts w:ascii="Arial Narrow" w:hAnsi="Arial Narrow" w:cs="Arial"/>
                <w:b/>
                <w:sz w:val="20"/>
                <w:szCs w:val="20"/>
              </w:rPr>
              <w:t>FH with very high LDL-c</w:t>
            </w:r>
          </w:p>
        </w:tc>
      </w:tr>
      <w:tr w:rsidR="00DF7D1F" w:rsidRPr="00DF7D1F" w:rsidTr="00DF7D1F">
        <w:trPr>
          <w:jc w:val="right"/>
        </w:trPr>
        <w:tc>
          <w:tcPr>
            <w:tcW w:w="1063" w:type="pct"/>
            <w:tcBorders>
              <w:left w:val="single" w:sz="4" w:space="0" w:color="auto"/>
              <w:bottom w:val="single" w:sz="4" w:space="0" w:color="auto"/>
            </w:tcBorders>
            <w:shd w:val="clear" w:color="auto" w:fill="auto"/>
            <w:vAlign w:val="center"/>
          </w:tcPr>
          <w:p w:rsidR="00DF7D1F" w:rsidRPr="00DF7D1F" w:rsidRDefault="00DF7D1F" w:rsidP="003144AC">
            <w:pPr>
              <w:keepNext/>
              <w:widowControl w:val="0"/>
              <w:spacing w:before="40" w:after="40"/>
              <w:rPr>
                <w:rFonts w:ascii="Arial Narrow" w:hAnsi="Arial Narrow" w:cs="Arial"/>
                <w:snapToGrid w:val="0"/>
                <w:sz w:val="20"/>
                <w:szCs w:val="20"/>
              </w:rPr>
            </w:pPr>
            <w:r w:rsidRPr="00DF7D1F">
              <w:rPr>
                <w:rFonts w:ascii="Arial Narrow" w:hAnsi="Arial Narrow" w:cs="Arial"/>
                <w:snapToGrid w:val="0"/>
                <w:sz w:val="20"/>
                <w:szCs w:val="20"/>
              </w:rPr>
              <w:t>Treated patients</w:t>
            </w:r>
          </w:p>
        </w:tc>
        <w:tc>
          <w:tcPr>
            <w:tcW w:w="656" w:type="pct"/>
            <w:shd w:val="clear" w:color="auto" w:fill="auto"/>
          </w:tcPr>
          <w:p w:rsidR="00DF7D1F" w:rsidRPr="005A614E" w:rsidRDefault="005A614E" w:rsidP="003144AC">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656" w:type="pct"/>
            <w:shd w:val="clear" w:color="auto" w:fill="auto"/>
          </w:tcPr>
          <w:p w:rsidR="00DF7D1F" w:rsidRPr="005A614E" w:rsidRDefault="005A614E" w:rsidP="003144AC">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657" w:type="pct"/>
            <w:shd w:val="clear" w:color="auto" w:fill="auto"/>
          </w:tcPr>
          <w:p w:rsidR="00DF7D1F" w:rsidRPr="005A614E" w:rsidRDefault="005A614E" w:rsidP="003144AC">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656" w:type="pct"/>
            <w:shd w:val="clear" w:color="auto" w:fill="auto"/>
          </w:tcPr>
          <w:p w:rsidR="00DF7D1F" w:rsidRPr="005A614E" w:rsidRDefault="005A614E" w:rsidP="003144AC">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656" w:type="pct"/>
            <w:tcBorders>
              <w:right w:val="single" w:sz="4" w:space="0" w:color="auto"/>
            </w:tcBorders>
            <w:shd w:val="clear" w:color="auto" w:fill="auto"/>
          </w:tcPr>
          <w:p w:rsidR="00DF7D1F" w:rsidRPr="005A614E" w:rsidRDefault="005A614E" w:rsidP="003144AC">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c>
          <w:tcPr>
            <w:tcW w:w="656" w:type="pct"/>
            <w:tcBorders>
              <w:right w:val="single" w:sz="4" w:space="0" w:color="auto"/>
            </w:tcBorders>
          </w:tcPr>
          <w:p w:rsidR="00DF7D1F" w:rsidRPr="005A614E" w:rsidRDefault="005A614E" w:rsidP="003144AC">
            <w:pPr>
              <w:keepNext/>
              <w:jc w:val="right"/>
              <w:rPr>
                <w:rFonts w:ascii="Arial Narrow" w:hAnsi="Arial Narrow"/>
                <w:sz w:val="20"/>
                <w:szCs w:val="20"/>
                <w:highlight w:val="black"/>
              </w:rPr>
            </w:pPr>
            <w:r>
              <w:rPr>
                <w:rFonts w:ascii="Arial Narrow" w:hAnsi="Arial Narrow"/>
                <w:noProof/>
                <w:color w:val="000000"/>
                <w:sz w:val="20"/>
                <w:szCs w:val="20"/>
                <w:highlight w:val="black"/>
              </w:rPr>
              <w:t>''''''''''''</w:t>
            </w:r>
          </w:p>
        </w:tc>
      </w:tr>
      <w:tr w:rsidR="00DF7D1F" w:rsidRPr="00DF7D1F" w:rsidTr="00DF7D1F">
        <w:trPr>
          <w:jc w:val="right"/>
        </w:trPr>
        <w:tc>
          <w:tcPr>
            <w:tcW w:w="1063" w:type="pct"/>
            <w:tcBorders>
              <w:left w:val="single" w:sz="4" w:space="0" w:color="auto"/>
              <w:bottom w:val="single" w:sz="4" w:space="0" w:color="auto"/>
            </w:tcBorders>
            <w:shd w:val="clear" w:color="auto" w:fill="auto"/>
            <w:vAlign w:val="center"/>
          </w:tcPr>
          <w:p w:rsidR="00DF7D1F" w:rsidRPr="00DF7D1F" w:rsidRDefault="00DF7D1F" w:rsidP="003144AC">
            <w:pPr>
              <w:keepNext/>
              <w:widowControl w:val="0"/>
              <w:spacing w:before="40" w:after="40"/>
              <w:rPr>
                <w:rFonts w:ascii="Arial Narrow" w:hAnsi="Arial Narrow" w:cs="Arial"/>
                <w:snapToGrid w:val="0"/>
                <w:sz w:val="20"/>
                <w:szCs w:val="20"/>
              </w:rPr>
            </w:pPr>
            <w:r w:rsidRPr="00DF7D1F">
              <w:rPr>
                <w:rFonts w:ascii="Arial Narrow" w:hAnsi="Arial Narrow" w:cs="Arial"/>
                <w:snapToGrid w:val="0"/>
                <w:sz w:val="20"/>
                <w:szCs w:val="20"/>
              </w:rPr>
              <w:t>Estimated 140 mg scripts</w:t>
            </w:r>
          </w:p>
        </w:tc>
        <w:tc>
          <w:tcPr>
            <w:tcW w:w="656" w:type="pct"/>
            <w:shd w:val="clear" w:color="auto" w:fill="auto"/>
            <w:vAlign w:val="center"/>
          </w:tcPr>
          <w:p w:rsidR="00DF7D1F" w:rsidRPr="005A614E" w:rsidRDefault="005A614E" w:rsidP="003144AC">
            <w:pPr>
              <w:pStyle w:val="TableText0"/>
              <w:spacing w:before="0"/>
              <w:jc w:val="right"/>
              <w:rPr>
                <w:szCs w:val="20"/>
                <w:highlight w:val="black"/>
                <w:lang w:eastAsia="en-AU"/>
              </w:rPr>
            </w:pPr>
            <w:r>
              <w:rPr>
                <w:noProof/>
                <w:color w:val="000000"/>
                <w:szCs w:val="20"/>
                <w:highlight w:val="black"/>
                <w:lang w:eastAsia="en-AU"/>
              </w:rPr>
              <w:t>''''''''''''''''''</w:t>
            </w:r>
          </w:p>
        </w:tc>
        <w:tc>
          <w:tcPr>
            <w:tcW w:w="656" w:type="pct"/>
            <w:shd w:val="clear" w:color="auto" w:fill="auto"/>
            <w:vAlign w:val="center"/>
          </w:tcPr>
          <w:p w:rsidR="00DF7D1F" w:rsidRPr="005A614E" w:rsidRDefault="005A614E" w:rsidP="003144AC">
            <w:pPr>
              <w:pStyle w:val="TableText0"/>
              <w:spacing w:before="0"/>
              <w:jc w:val="right"/>
              <w:rPr>
                <w:szCs w:val="20"/>
                <w:highlight w:val="black"/>
                <w:lang w:eastAsia="en-AU"/>
              </w:rPr>
            </w:pPr>
            <w:r>
              <w:rPr>
                <w:noProof/>
                <w:color w:val="000000"/>
                <w:szCs w:val="20"/>
                <w:highlight w:val="black"/>
                <w:lang w:eastAsia="en-AU"/>
              </w:rPr>
              <w:t>'''''''''''''''</w:t>
            </w:r>
          </w:p>
        </w:tc>
        <w:tc>
          <w:tcPr>
            <w:tcW w:w="657" w:type="pct"/>
            <w:shd w:val="clear" w:color="auto" w:fill="auto"/>
            <w:vAlign w:val="center"/>
          </w:tcPr>
          <w:p w:rsidR="00DF7D1F" w:rsidRPr="005A614E" w:rsidRDefault="005A614E" w:rsidP="003144AC">
            <w:pPr>
              <w:pStyle w:val="TableText0"/>
              <w:spacing w:before="0"/>
              <w:jc w:val="right"/>
              <w:rPr>
                <w:szCs w:val="20"/>
                <w:highlight w:val="black"/>
                <w:lang w:eastAsia="en-AU"/>
              </w:rPr>
            </w:pPr>
            <w:r>
              <w:rPr>
                <w:noProof/>
                <w:color w:val="000000"/>
                <w:szCs w:val="20"/>
                <w:highlight w:val="black"/>
                <w:lang w:eastAsia="en-AU"/>
              </w:rPr>
              <w:t>''''''''''''''''</w:t>
            </w:r>
          </w:p>
        </w:tc>
        <w:tc>
          <w:tcPr>
            <w:tcW w:w="656" w:type="pct"/>
            <w:shd w:val="clear" w:color="auto" w:fill="auto"/>
            <w:vAlign w:val="center"/>
          </w:tcPr>
          <w:p w:rsidR="00DF7D1F" w:rsidRPr="005A614E" w:rsidRDefault="005A614E" w:rsidP="003144AC">
            <w:pPr>
              <w:pStyle w:val="TableText0"/>
              <w:spacing w:before="0"/>
              <w:jc w:val="right"/>
              <w:rPr>
                <w:szCs w:val="20"/>
                <w:highlight w:val="black"/>
                <w:lang w:eastAsia="en-AU"/>
              </w:rPr>
            </w:pPr>
            <w:r>
              <w:rPr>
                <w:noProof/>
                <w:color w:val="000000"/>
                <w:szCs w:val="20"/>
                <w:highlight w:val="black"/>
                <w:lang w:eastAsia="en-AU"/>
              </w:rPr>
              <w:t>'''''''''''''''''</w:t>
            </w:r>
          </w:p>
        </w:tc>
        <w:tc>
          <w:tcPr>
            <w:tcW w:w="656" w:type="pct"/>
            <w:tcBorders>
              <w:right w:val="single" w:sz="4" w:space="0" w:color="auto"/>
            </w:tcBorders>
            <w:shd w:val="clear" w:color="auto" w:fill="auto"/>
            <w:vAlign w:val="center"/>
          </w:tcPr>
          <w:p w:rsidR="00DF7D1F" w:rsidRPr="005A614E" w:rsidRDefault="005A614E" w:rsidP="003144AC">
            <w:pPr>
              <w:pStyle w:val="TableText0"/>
              <w:spacing w:before="0"/>
              <w:jc w:val="right"/>
              <w:rPr>
                <w:szCs w:val="20"/>
                <w:highlight w:val="black"/>
                <w:lang w:eastAsia="en-AU"/>
              </w:rPr>
            </w:pPr>
            <w:r>
              <w:rPr>
                <w:noProof/>
                <w:color w:val="000000"/>
                <w:szCs w:val="20"/>
                <w:highlight w:val="black"/>
                <w:lang w:eastAsia="en-AU"/>
              </w:rPr>
              <w:t>'''''''''''''''''</w:t>
            </w:r>
          </w:p>
        </w:tc>
        <w:tc>
          <w:tcPr>
            <w:tcW w:w="656" w:type="pct"/>
            <w:tcBorders>
              <w:right w:val="single" w:sz="4" w:space="0" w:color="auto"/>
            </w:tcBorders>
            <w:vAlign w:val="center"/>
          </w:tcPr>
          <w:p w:rsidR="00DF7D1F" w:rsidRPr="005A614E" w:rsidRDefault="005A614E" w:rsidP="003144AC">
            <w:pPr>
              <w:pStyle w:val="TableText0"/>
              <w:spacing w:before="0"/>
              <w:jc w:val="right"/>
              <w:rPr>
                <w:szCs w:val="20"/>
                <w:highlight w:val="black"/>
                <w:lang w:eastAsia="en-AU"/>
              </w:rPr>
            </w:pPr>
            <w:r>
              <w:rPr>
                <w:noProof/>
                <w:color w:val="000000"/>
                <w:szCs w:val="20"/>
                <w:highlight w:val="black"/>
                <w:lang w:eastAsia="en-AU"/>
              </w:rPr>
              <w:t>'''''''''''''''''</w:t>
            </w:r>
          </w:p>
        </w:tc>
      </w:tr>
      <w:tr w:rsidR="00DF7D1F" w:rsidRPr="00DF7D1F" w:rsidTr="00DF7D1F">
        <w:trPr>
          <w:jc w:val="right"/>
        </w:trPr>
        <w:tc>
          <w:tcPr>
            <w:tcW w:w="1063" w:type="pct"/>
            <w:tcBorders>
              <w:left w:val="single" w:sz="4" w:space="0" w:color="auto"/>
              <w:bottom w:val="single" w:sz="4" w:space="0" w:color="auto"/>
            </w:tcBorders>
            <w:shd w:val="clear" w:color="auto" w:fill="auto"/>
            <w:vAlign w:val="center"/>
          </w:tcPr>
          <w:p w:rsidR="00DF7D1F" w:rsidRPr="00DF7D1F" w:rsidRDefault="00DF7D1F" w:rsidP="003144AC">
            <w:pPr>
              <w:keepNext/>
              <w:widowControl w:val="0"/>
              <w:spacing w:before="40" w:after="40"/>
              <w:rPr>
                <w:rFonts w:ascii="Arial Narrow" w:hAnsi="Arial Narrow" w:cs="Arial"/>
                <w:snapToGrid w:val="0"/>
                <w:sz w:val="20"/>
                <w:szCs w:val="20"/>
              </w:rPr>
            </w:pPr>
            <w:r w:rsidRPr="00DF7D1F">
              <w:rPr>
                <w:rFonts w:ascii="Arial Narrow" w:hAnsi="Arial Narrow" w:cs="Arial"/>
                <w:snapToGrid w:val="0"/>
                <w:sz w:val="20"/>
                <w:szCs w:val="20"/>
              </w:rPr>
              <w:t>Estimated 420 mg scripts</w:t>
            </w:r>
          </w:p>
        </w:tc>
        <w:tc>
          <w:tcPr>
            <w:tcW w:w="656" w:type="pct"/>
            <w:shd w:val="clear" w:color="auto" w:fill="auto"/>
            <w:vAlign w:val="center"/>
          </w:tcPr>
          <w:p w:rsidR="00DF7D1F" w:rsidRPr="005A614E" w:rsidRDefault="005A614E" w:rsidP="003144AC">
            <w:pPr>
              <w:pStyle w:val="TableText0"/>
              <w:spacing w:before="0"/>
              <w:jc w:val="right"/>
              <w:rPr>
                <w:szCs w:val="20"/>
                <w:highlight w:val="black"/>
                <w:lang w:eastAsia="en-AU"/>
              </w:rPr>
            </w:pPr>
            <w:r>
              <w:rPr>
                <w:noProof/>
                <w:color w:val="000000"/>
                <w:szCs w:val="20"/>
                <w:highlight w:val="black"/>
                <w:lang w:eastAsia="en-AU"/>
              </w:rPr>
              <w:t>''''''''''''''</w:t>
            </w:r>
          </w:p>
        </w:tc>
        <w:tc>
          <w:tcPr>
            <w:tcW w:w="656" w:type="pct"/>
            <w:shd w:val="clear" w:color="auto" w:fill="auto"/>
            <w:vAlign w:val="center"/>
          </w:tcPr>
          <w:p w:rsidR="00DF7D1F" w:rsidRPr="005A614E" w:rsidRDefault="005A614E" w:rsidP="003144AC">
            <w:pPr>
              <w:pStyle w:val="TableText0"/>
              <w:spacing w:before="0"/>
              <w:jc w:val="right"/>
              <w:rPr>
                <w:szCs w:val="20"/>
                <w:highlight w:val="black"/>
                <w:lang w:eastAsia="en-AU"/>
              </w:rPr>
            </w:pPr>
            <w:r>
              <w:rPr>
                <w:noProof/>
                <w:color w:val="000000"/>
                <w:szCs w:val="20"/>
                <w:highlight w:val="black"/>
                <w:lang w:eastAsia="en-AU"/>
              </w:rPr>
              <w:t>'''''''''''''</w:t>
            </w:r>
          </w:p>
        </w:tc>
        <w:tc>
          <w:tcPr>
            <w:tcW w:w="657" w:type="pct"/>
            <w:shd w:val="clear" w:color="auto" w:fill="auto"/>
            <w:vAlign w:val="center"/>
          </w:tcPr>
          <w:p w:rsidR="00DF7D1F" w:rsidRPr="005A614E" w:rsidRDefault="005A614E" w:rsidP="003144AC">
            <w:pPr>
              <w:pStyle w:val="TableText0"/>
              <w:spacing w:before="0"/>
              <w:jc w:val="right"/>
              <w:rPr>
                <w:szCs w:val="20"/>
                <w:highlight w:val="black"/>
                <w:lang w:eastAsia="en-AU"/>
              </w:rPr>
            </w:pPr>
            <w:r>
              <w:rPr>
                <w:noProof/>
                <w:color w:val="000000"/>
                <w:szCs w:val="20"/>
                <w:highlight w:val="black"/>
                <w:lang w:eastAsia="en-AU"/>
              </w:rPr>
              <w:t>''''''''''''''''</w:t>
            </w:r>
          </w:p>
        </w:tc>
        <w:tc>
          <w:tcPr>
            <w:tcW w:w="656" w:type="pct"/>
            <w:shd w:val="clear" w:color="auto" w:fill="auto"/>
            <w:vAlign w:val="center"/>
          </w:tcPr>
          <w:p w:rsidR="00DF7D1F" w:rsidRPr="005A614E" w:rsidRDefault="005A614E" w:rsidP="003144AC">
            <w:pPr>
              <w:pStyle w:val="TableText0"/>
              <w:spacing w:before="0"/>
              <w:jc w:val="right"/>
              <w:rPr>
                <w:szCs w:val="20"/>
                <w:highlight w:val="black"/>
                <w:lang w:eastAsia="en-AU"/>
              </w:rPr>
            </w:pPr>
            <w:r>
              <w:rPr>
                <w:noProof/>
                <w:color w:val="000000"/>
                <w:szCs w:val="20"/>
                <w:highlight w:val="black"/>
                <w:lang w:eastAsia="en-AU"/>
              </w:rPr>
              <w:t>'''''''''''''''''</w:t>
            </w:r>
          </w:p>
        </w:tc>
        <w:tc>
          <w:tcPr>
            <w:tcW w:w="656" w:type="pct"/>
            <w:tcBorders>
              <w:right w:val="single" w:sz="4" w:space="0" w:color="auto"/>
            </w:tcBorders>
            <w:shd w:val="clear" w:color="auto" w:fill="auto"/>
            <w:vAlign w:val="center"/>
          </w:tcPr>
          <w:p w:rsidR="00DF7D1F" w:rsidRPr="005A614E" w:rsidRDefault="005A614E" w:rsidP="003144AC">
            <w:pPr>
              <w:pStyle w:val="TableText0"/>
              <w:spacing w:before="0"/>
              <w:jc w:val="right"/>
              <w:rPr>
                <w:szCs w:val="20"/>
                <w:highlight w:val="black"/>
                <w:lang w:eastAsia="en-AU"/>
              </w:rPr>
            </w:pPr>
            <w:r>
              <w:rPr>
                <w:noProof/>
                <w:color w:val="000000"/>
                <w:szCs w:val="20"/>
                <w:highlight w:val="black"/>
                <w:lang w:eastAsia="en-AU"/>
              </w:rPr>
              <w:t>''''''''''''''''''</w:t>
            </w:r>
          </w:p>
        </w:tc>
        <w:tc>
          <w:tcPr>
            <w:tcW w:w="656" w:type="pct"/>
            <w:tcBorders>
              <w:right w:val="single" w:sz="4" w:space="0" w:color="auto"/>
            </w:tcBorders>
            <w:vAlign w:val="center"/>
          </w:tcPr>
          <w:p w:rsidR="00DF7D1F" w:rsidRPr="005A614E" w:rsidRDefault="005A614E" w:rsidP="003144AC">
            <w:pPr>
              <w:pStyle w:val="TableText0"/>
              <w:spacing w:before="0"/>
              <w:jc w:val="right"/>
              <w:rPr>
                <w:szCs w:val="20"/>
                <w:highlight w:val="black"/>
                <w:lang w:eastAsia="en-AU"/>
              </w:rPr>
            </w:pPr>
            <w:r>
              <w:rPr>
                <w:noProof/>
                <w:color w:val="000000"/>
                <w:szCs w:val="20"/>
                <w:highlight w:val="black"/>
                <w:lang w:eastAsia="en-AU"/>
              </w:rPr>
              <w:t>'''''''''''''''</w:t>
            </w:r>
          </w:p>
        </w:tc>
      </w:tr>
      <w:tr w:rsidR="00DF7D1F" w:rsidRPr="00DF7D1F" w:rsidTr="00DF7D1F">
        <w:trPr>
          <w:jc w:val="right"/>
        </w:trPr>
        <w:tc>
          <w:tcPr>
            <w:tcW w:w="1063" w:type="pct"/>
            <w:tcBorders>
              <w:left w:val="single" w:sz="4" w:space="0" w:color="auto"/>
              <w:bottom w:val="single" w:sz="4" w:space="0" w:color="auto"/>
            </w:tcBorders>
            <w:shd w:val="clear" w:color="auto" w:fill="auto"/>
            <w:vAlign w:val="center"/>
          </w:tcPr>
          <w:p w:rsidR="00DF7D1F" w:rsidRPr="00DF7D1F" w:rsidRDefault="00DF7D1F" w:rsidP="003144AC">
            <w:pPr>
              <w:keepNext/>
              <w:widowControl w:val="0"/>
              <w:spacing w:before="40" w:after="40"/>
              <w:rPr>
                <w:rFonts w:ascii="Arial Narrow" w:hAnsi="Arial Narrow" w:cs="Arial"/>
                <w:snapToGrid w:val="0"/>
                <w:sz w:val="20"/>
                <w:szCs w:val="20"/>
              </w:rPr>
            </w:pPr>
            <w:r w:rsidRPr="00DF7D1F">
              <w:rPr>
                <w:rFonts w:ascii="Arial Narrow" w:hAnsi="Arial Narrow" w:cs="Arial"/>
                <w:snapToGrid w:val="0"/>
                <w:sz w:val="20"/>
                <w:szCs w:val="20"/>
              </w:rPr>
              <w:t>Total cost PBS/RPBS</w:t>
            </w:r>
            <w:r w:rsidRPr="00DF7D1F">
              <w:rPr>
                <w:rFonts w:ascii="Arial Narrow" w:hAnsi="Arial Narrow" w:cs="Arial"/>
                <w:snapToGrid w:val="0"/>
                <w:sz w:val="20"/>
                <w:szCs w:val="20"/>
              </w:rPr>
              <w:br/>
              <w:t>(effective price)</w:t>
            </w:r>
          </w:p>
        </w:tc>
        <w:tc>
          <w:tcPr>
            <w:tcW w:w="656" w:type="pct"/>
            <w:shd w:val="clear" w:color="auto" w:fill="auto"/>
          </w:tcPr>
          <w:p w:rsidR="00DF7D1F" w:rsidRPr="00DF7D1F" w:rsidRDefault="00DF7D1F" w:rsidP="003144AC">
            <w:pPr>
              <w:pStyle w:val="TableText0"/>
              <w:keepLines/>
              <w:spacing w:before="0"/>
              <w:jc w:val="right"/>
              <w:rPr>
                <w:rFonts w:eastAsia="Times New Roman" w:cs="Arial"/>
                <w:szCs w:val="20"/>
                <w:lang w:eastAsia="en-AU"/>
              </w:rPr>
            </w:pPr>
            <w:r w:rsidRPr="00DF7D1F">
              <w:rPr>
                <w:szCs w:val="20"/>
              </w:rPr>
              <w:t>$</w:t>
            </w:r>
            <w:r w:rsidR="005A614E">
              <w:rPr>
                <w:noProof/>
                <w:color w:val="000000"/>
                <w:szCs w:val="20"/>
                <w:highlight w:val="black"/>
              </w:rPr>
              <w:t>'''''''''''''''''''''''</w:t>
            </w:r>
          </w:p>
        </w:tc>
        <w:tc>
          <w:tcPr>
            <w:tcW w:w="656" w:type="pct"/>
            <w:shd w:val="clear" w:color="auto" w:fill="auto"/>
          </w:tcPr>
          <w:p w:rsidR="00DF7D1F" w:rsidRPr="00DF7D1F" w:rsidRDefault="00DF7D1F" w:rsidP="003144AC">
            <w:pPr>
              <w:pStyle w:val="TableText0"/>
              <w:keepLines/>
              <w:spacing w:before="0"/>
              <w:jc w:val="right"/>
              <w:rPr>
                <w:rFonts w:eastAsia="Times New Roman" w:cs="Arial"/>
                <w:szCs w:val="20"/>
                <w:lang w:eastAsia="en-AU"/>
              </w:rPr>
            </w:pPr>
            <w:r w:rsidRPr="00DF7D1F">
              <w:rPr>
                <w:szCs w:val="20"/>
              </w:rPr>
              <w:t>$</w:t>
            </w:r>
            <w:r w:rsidR="005A614E">
              <w:rPr>
                <w:noProof/>
                <w:color w:val="000000"/>
                <w:szCs w:val="20"/>
                <w:highlight w:val="black"/>
              </w:rPr>
              <w:t>''''''''''''''''''''''''''</w:t>
            </w:r>
          </w:p>
        </w:tc>
        <w:tc>
          <w:tcPr>
            <w:tcW w:w="657" w:type="pct"/>
            <w:shd w:val="clear" w:color="auto" w:fill="auto"/>
          </w:tcPr>
          <w:p w:rsidR="00DF7D1F" w:rsidRPr="00DF7D1F" w:rsidRDefault="00DF7D1F" w:rsidP="003144AC">
            <w:pPr>
              <w:pStyle w:val="TableText0"/>
              <w:keepLines/>
              <w:spacing w:before="0"/>
              <w:jc w:val="right"/>
              <w:rPr>
                <w:rFonts w:eastAsia="Times New Roman" w:cs="Arial"/>
                <w:szCs w:val="20"/>
                <w:lang w:eastAsia="en-AU"/>
              </w:rPr>
            </w:pPr>
            <w:r w:rsidRPr="00DF7D1F">
              <w:rPr>
                <w:szCs w:val="20"/>
              </w:rPr>
              <w:t>$</w:t>
            </w:r>
            <w:r w:rsidR="005A614E">
              <w:rPr>
                <w:noProof/>
                <w:color w:val="000000"/>
                <w:szCs w:val="20"/>
                <w:highlight w:val="black"/>
              </w:rPr>
              <w:t>''''''''''''''''''''''''</w:t>
            </w:r>
          </w:p>
        </w:tc>
        <w:tc>
          <w:tcPr>
            <w:tcW w:w="656" w:type="pct"/>
            <w:shd w:val="clear" w:color="auto" w:fill="auto"/>
          </w:tcPr>
          <w:p w:rsidR="00DF7D1F" w:rsidRPr="00DF7D1F" w:rsidRDefault="00DF7D1F" w:rsidP="003144AC">
            <w:pPr>
              <w:pStyle w:val="TableText0"/>
              <w:keepLines/>
              <w:spacing w:before="0"/>
              <w:jc w:val="right"/>
              <w:rPr>
                <w:rFonts w:eastAsia="Times New Roman" w:cs="Arial"/>
                <w:szCs w:val="20"/>
                <w:lang w:eastAsia="en-AU"/>
              </w:rPr>
            </w:pPr>
            <w:r w:rsidRPr="00DF7D1F">
              <w:rPr>
                <w:szCs w:val="20"/>
              </w:rPr>
              <w:t>$</w:t>
            </w:r>
            <w:r w:rsidR="005A614E">
              <w:rPr>
                <w:noProof/>
                <w:color w:val="000000"/>
                <w:szCs w:val="20"/>
                <w:highlight w:val="black"/>
              </w:rPr>
              <w:t>'''''''''''''''''''''''''</w:t>
            </w:r>
          </w:p>
        </w:tc>
        <w:tc>
          <w:tcPr>
            <w:tcW w:w="656" w:type="pct"/>
            <w:tcBorders>
              <w:right w:val="single" w:sz="4" w:space="0" w:color="auto"/>
            </w:tcBorders>
            <w:shd w:val="clear" w:color="auto" w:fill="auto"/>
          </w:tcPr>
          <w:p w:rsidR="00DF7D1F" w:rsidRPr="00DF7D1F" w:rsidRDefault="00DF7D1F" w:rsidP="003144AC">
            <w:pPr>
              <w:pStyle w:val="TableText0"/>
              <w:keepLines/>
              <w:spacing w:before="0"/>
              <w:jc w:val="right"/>
              <w:rPr>
                <w:rFonts w:eastAsia="Times New Roman" w:cs="Arial"/>
                <w:szCs w:val="20"/>
                <w:lang w:eastAsia="en-AU"/>
              </w:rPr>
            </w:pPr>
            <w:r w:rsidRPr="00DF7D1F">
              <w:rPr>
                <w:szCs w:val="20"/>
              </w:rPr>
              <w:t>$</w:t>
            </w:r>
            <w:r w:rsidR="005A614E">
              <w:rPr>
                <w:noProof/>
                <w:color w:val="000000"/>
                <w:szCs w:val="20"/>
                <w:highlight w:val="black"/>
              </w:rPr>
              <w:t>''''''''''''''''''''''''''</w:t>
            </w:r>
          </w:p>
        </w:tc>
        <w:tc>
          <w:tcPr>
            <w:tcW w:w="656" w:type="pct"/>
            <w:tcBorders>
              <w:right w:val="single" w:sz="4" w:space="0" w:color="auto"/>
            </w:tcBorders>
          </w:tcPr>
          <w:p w:rsidR="00DF7D1F" w:rsidRPr="00DF7D1F" w:rsidRDefault="00DF7D1F" w:rsidP="003144AC">
            <w:pPr>
              <w:pStyle w:val="TableText0"/>
              <w:keepLines/>
              <w:spacing w:before="0"/>
              <w:jc w:val="right"/>
              <w:rPr>
                <w:rFonts w:eastAsia="Times New Roman" w:cs="Arial"/>
                <w:szCs w:val="20"/>
                <w:lang w:eastAsia="en-AU"/>
              </w:rPr>
            </w:pPr>
            <w:r w:rsidRPr="00DF7D1F">
              <w:rPr>
                <w:szCs w:val="20"/>
              </w:rPr>
              <w:t>$</w:t>
            </w:r>
            <w:r w:rsidR="005A614E">
              <w:rPr>
                <w:noProof/>
                <w:color w:val="000000"/>
                <w:szCs w:val="20"/>
                <w:highlight w:val="black"/>
              </w:rPr>
              <w:t>'''''''''''''''''''''''''''</w:t>
            </w:r>
          </w:p>
        </w:tc>
      </w:tr>
      <w:tr w:rsidR="00DF7D1F" w:rsidRPr="00DF7D1F" w:rsidTr="00DF7D1F">
        <w:trPr>
          <w:jc w:val="right"/>
        </w:trPr>
        <w:tc>
          <w:tcPr>
            <w:tcW w:w="1063" w:type="pct"/>
            <w:tcBorders>
              <w:left w:val="single" w:sz="4" w:space="0" w:color="auto"/>
              <w:bottom w:val="single" w:sz="4" w:space="0" w:color="auto"/>
            </w:tcBorders>
            <w:shd w:val="clear" w:color="auto" w:fill="auto"/>
            <w:vAlign w:val="center"/>
          </w:tcPr>
          <w:p w:rsidR="00DF7D1F" w:rsidRPr="00DF7D1F" w:rsidRDefault="00DF7D1F" w:rsidP="003144AC">
            <w:pPr>
              <w:keepNext/>
              <w:widowControl w:val="0"/>
              <w:spacing w:before="40" w:after="40"/>
              <w:rPr>
                <w:rFonts w:ascii="Arial Narrow" w:hAnsi="Arial Narrow" w:cs="Arial"/>
                <w:snapToGrid w:val="0"/>
                <w:sz w:val="20"/>
                <w:szCs w:val="20"/>
              </w:rPr>
            </w:pPr>
            <w:r w:rsidRPr="00DF7D1F">
              <w:rPr>
                <w:rFonts w:ascii="Arial Narrow" w:hAnsi="Arial Narrow" w:cs="Arial"/>
                <w:snapToGrid w:val="0"/>
                <w:sz w:val="20"/>
                <w:szCs w:val="20"/>
              </w:rPr>
              <w:t>Net cost PBS/RPBS</w:t>
            </w:r>
          </w:p>
          <w:p w:rsidR="00DF7D1F" w:rsidRPr="00DF7D1F" w:rsidRDefault="00DF7D1F" w:rsidP="003144AC">
            <w:pPr>
              <w:keepNext/>
              <w:widowControl w:val="0"/>
              <w:spacing w:before="40" w:after="40"/>
              <w:rPr>
                <w:rFonts w:ascii="Arial Narrow" w:hAnsi="Arial Narrow" w:cs="Arial"/>
                <w:snapToGrid w:val="0"/>
                <w:sz w:val="20"/>
                <w:szCs w:val="20"/>
              </w:rPr>
            </w:pPr>
            <w:r w:rsidRPr="00DF7D1F">
              <w:rPr>
                <w:rFonts w:ascii="Arial Narrow" w:hAnsi="Arial Narrow" w:cs="Arial"/>
                <w:snapToGrid w:val="0"/>
                <w:sz w:val="20"/>
                <w:szCs w:val="20"/>
              </w:rPr>
              <w:t>(effective price less co-payments)</w:t>
            </w:r>
          </w:p>
        </w:tc>
        <w:tc>
          <w:tcPr>
            <w:tcW w:w="656" w:type="pct"/>
            <w:shd w:val="clear" w:color="auto" w:fill="auto"/>
          </w:tcPr>
          <w:p w:rsidR="00DF7D1F" w:rsidRPr="00DF7D1F" w:rsidRDefault="00DF7D1F" w:rsidP="003144AC">
            <w:pPr>
              <w:pStyle w:val="TableText0"/>
              <w:keepLines/>
              <w:spacing w:before="0"/>
              <w:jc w:val="right"/>
              <w:rPr>
                <w:rFonts w:eastAsia="Times New Roman" w:cs="Arial"/>
                <w:szCs w:val="20"/>
                <w:lang w:eastAsia="en-AU"/>
              </w:rPr>
            </w:pPr>
            <w:r w:rsidRPr="00DF7D1F">
              <w:rPr>
                <w:szCs w:val="20"/>
              </w:rPr>
              <w:t>$</w:t>
            </w:r>
            <w:r w:rsidR="005A614E">
              <w:rPr>
                <w:noProof/>
                <w:color w:val="000000"/>
                <w:szCs w:val="20"/>
                <w:highlight w:val="black"/>
              </w:rPr>
              <w:t>''''''''''''''''''''''''''</w:t>
            </w:r>
          </w:p>
        </w:tc>
        <w:tc>
          <w:tcPr>
            <w:tcW w:w="656" w:type="pct"/>
            <w:shd w:val="clear" w:color="auto" w:fill="auto"/>
          </w:tcPr>
          <w:p w:rsidR="00DF7D1F" w:rsidRPr="00DF7D1F" w:rsidRDefault="00DF7D1F" w:rsidP="003144AC">
            <w:pPr>
              <w:pStyle w:val="TableText0"/>
              <w:keepLines/>
              <w:spacing w:before="0"/>
              <w:jc w:val="right"/>
              <w:rPr>
                <w:rFonts w:eastAsia="Times New Roman" w:cs="Arial"/>
                <w:szCs w:val="20"/>
                <w:lang w:eastAsia="en-AU"/>
              </w:rPr>
            </w:pPr>
            <w:r w:rsidRPr="00DF7D1F">
              <w:rPr>
                <w:szCs w:val="20"/>
              </w:rPr>
              <w:t>$</w:t>
            </w:r>
            <w:r w:rsidR="005A614E">
              <w:rPr>
                <w:noProof/>
                <w:color w:val="000000"/>
                <w:szCs w:val="20"/>
                <w:highlight w:val="black"/>
              </w:rPr>
              <w:t>''''''''''''''''''''''''</w:t>
            </w:r>
          </w:p>
        </w:tc>
        <w:tc>
          <w:tcPr>
            <w:tcW w:w="657" w:type="pct"/>
            <w:shd w:val="clear" w:color="auto" w:fill="auto"/>
          </w:tcPr>
          <w:p w:rsidR="00DF7D1F" w:rsidRPr="00DF7D1F" w:rsidRDefault="00DF7D1F" w:rsidP="003144AC">
            <w:pPr>
              <w:pStyle w:val="TableText0"/>
              <w:keepLines/>
              <w:spacing w:before="0"/>
              <w:jc w:val="right"/>
              <w:rPr>
                <w:rFonts w:eastAsia="Times New Roman" w:cs="Arial"/>
                <w:szCs w:val="20"/>
                <w:lang w:eastAsia="en-AU"/>
              </w:rPr>
            </w:pPr>
            <w:r w:rsidRPr="00DF7D1F">
              <w:rPr>
                <w:szCs w:val="20"/>
              </w:rPr>
              <w:t>$</w:t>
            </w:r>
            <w:r w:rsidR="005A614E">
              <w:rPr>
                <w:noProof/>
                <w:color w:val="000000"/>
                <w:szCs w:val="20"/>
                <w:highlight w:val="black"/>
              </w:rPr>
              <w:t>'''''''''''''''''''''''''''</w:t>
            </w:r>
          </w:p>
        </w:tc>
        <w:tc>
          <w:tcPr>
            <w:tcW w:w="656" w:type="pct"/>
            <w:shd w:val="clear" w:color="auto" w:fill="auto"/>
          </w:tcPr>
          <w:p w:rsidR="00DF7D1F" w:rsidRPr="00DF7D1F" w:rsidRDefault="00DF7D1F" w:rsidP="003144AC">
            <w:pPr>
              <w:pStyle w:val="TableText0"/>
              <w:keepLines/>
              <w:spacing w:before="0"/>
              <w:jc w:val="right"/>
              <w:rPr>
                <w:rFonts w:eastAsia="Times New Roman" w:cs="Arial"/>
                <w:szCs w:val="20"/>
                <w:lang w:eastAsia="en-AU"/>
              </w:rPr>
            </w:pPr>
            <w:r w:rsidRPr="00DF7D1F">
              <w:rPr>
                <w:szCs w:val="20"/>
              </w:rPr>
              <w:t>$</w:t>
            </w:r>
            <w:r w:rsidR="005A614E">
              <w:rPr>
                <w:noProof/>
                <w:color w:val="000000"/>
                <w:szCs w:val="20"/>
                <w:highlight w:val="black"/>
              </w:rPr>
              <w:t>'''''''''''''''''''''''''''''</w:t>
            </w:r>
          </w:p>
        </w:tc>
        <w:tc>
          <w:tcPr>
            <w:tcW w:w="656" w:type="pct"/>
            <w:tcBorders>
              <w:right w:val="single" w:sz="4" w:space="0" w:color="auto"/>
            </w:tcBorders>
            <w:shd w:val="clear" w:color="auto" w:fill="auto"/>
          </w:tcPr>
          <w:p w:rsidR="00DF7D1F" w:rsidRPr="00DF7D1F" w:rsidRDefault="00DF7D1F" w:rsidP="003144AC">
            <w:pPr>
              <w:pStyle w:val="TableText0"/>
              <w:keepLines/>
              <w:spacing w:before="0"/>
              <w:jc w:val="right"/>
              <w:rPr>
                <w:rFonts w:eastAsia="Times New Roman" w:cs="Arial"/>
                <w:szCs w:val="20"/>
                <w:lang w:eastAsia="en-AU"/>
              </w:rPr>
            </w:pPr>
            <w:r w:rsidRPr="00DF7D1F">
              <w:rPr>
                <w:szCs w:val="20"/>
              </w:rPr>
              <w:t>$</w:t>
            </w:r>
            <w:r w:rsidR="005A614E">
              <w:rPr>
                <w:noProof/>
                <w:color w:val="000000"/>
                <w:szCs w:val="20"/>
                <w:highlight w:val="black"/>
              </w:rPr>
              <w:t>'''''''''''''''''''''''''''</w:t>
            </w:r>
          </w:p>
        </w:tc>
        <w:tc>
          <w:tcPr>
            <w:tcW w:w="656" w:type="pct"/>
            <w:tcBorders>
              <w:right w:val="single" w:sz="4" w:space="0" w:color="auto"/>
            </w:tcBorders>
          </w:tcPr>
          <w:p w:rsidR="00DF7D1F" w:rsidRPr="00DF7D1F" w:rsidRDefault="00DF7D1F" w:rsidP="003144AC">
            <w:pPr>
              <w:pStyle w:val="TableText0"/>
              <w:keepLines/>
              <w:spacing w:before="0"/>
              <w:jc w:val="right"/>
              <w:rPr>
                <w:rFonts w:eastAsia="Times New Roman" w:cs="Arial"/>
                <w:szCs w:val="20"/>
                <w:lang w:eastAsia="en-AU"/>
              </w:rPr>
            </w:pPr>
            <w:r w:rsidRPr="00DF7D1F">
              <w:rPr>
                <w:szCs w:val="20"/>
              </w:rPr>
              <w:t>$</w:t>
            </w:r>
            <w:r w:rsidR="005A614E">
              <w:rPr>
                <w:noProof/>
                <w:color w:val="000000"/>
                <w:szCs w:val="20"/>
                <w:highlight w:val="black"/>
              </w:rPr>
              <w:t>'''''''''''''''''''''''''''''</w:t>
            </w:r>
          </w:p>
        </w:tc>
      </w:tr>
    </w:tbl>
    <w:p w:rsidR="00DF7D1F" w:rsidRDefault="0045744A" w:rsidP="0045744A">
      <w:pPr>
        <w:pStyle w:val="TableFooter"/>
        <w:widowControl/>
        <w:spacing w:after="120"/>
      </w:pPr>
      <w:r>
        <w:t>Source: summarised from Table 4 of the minor resubmission, p3.</w:t>
      </w:r>
    </w:p>
    <w:p w:rsidR="0045744A" w:rsidRPr="00E11620" w:rsidRDefault="0045744A" w:rsidP="004427B3">
      <w:pPr>
        <w:pStyle w:val="ListParagraph"/>
        <w:widowControl/>
        <w:numPr>
          <w:ilvl w:val="1"/>
          <w:numId w:val="14"/>
        </w:numPr>
        <w:spacing w:after="160"/>
        <w:contextualSpacing w:val="0"/>
        <w:rPr>
          <w:rFonts w:asciiTheme="minorHAnsi" w:hAnsiTheme="minorHAnsi"/>
          <w:sz w:val="24"/>
          <w:szCs w:val="24"/>
        </w:rPr>
      </w:pPr>
      <w:r w:rsidRPr="00E11620">
        <w:rPr>
          <w:rFonts w:asciiTheme="minorHAnsi" w:hAnsiTheme="minorHAnsi"/>
          <w:sz w:val="24"/>
          <w:szCs w:val="24"/>
        </w:rPr>
        <w:t xml:space="preserve">The assumption for FH prevalence of 1:353 is consistent with the DUSC’s advice </w:t>
      </w:r>
      <w:r w:rsidR="009E65F3">
        <w:rPr>
          <w:rFonts w:asciiTheme="minorHAnsi" w:hAnsiTheme="minorHAnsi"/>
          <w:sz w:val="24"/>
          <w:szCs w:val="24"/>
        </w:rPr>
        <w:t>from November 2017</w:t>
      </w:r>
      <w:r w:rsidRPr="00E11620">
        <w:rPr>
          <w:rFonts w:asciiTheme="minorHAnsi" w:hAnsiTheme="minorHAnsi"/>
          <w:sz w:val="24"/>
          <w:szCs w:val="24"/>
        </w:rPr>
        <w:t>. However DUSC considered that the FH prevalence should be applied to the population aged above 25 years (DUSC Advice November 2017) whereas the resubmission has applied the prevalence rate to the whole Australian population.</w:t>
      </w:r>
      <w:r w:rsidR="00045F4B">
        <w:rPr>
          <w:rFonts w:asciiTheme="minorHAnsi" w:hAnsiTheme="minorHAnsi"/>
          <w:sz w:val="24"/>
          <w:szCs w:val="24"/>
        </w:rPr>
        <w:t xml:space="preserve"> </w:t>
      </w:r>
      <w:r w:rsidR="002F4D2E">
        <w:rPr>
          <w:rFonts w:asciiTheme="minorHAnsi" w:hAnsiTheme="minorHAnsi"/>
          <w:sz w:val="24"/>
          <w:szCs w:val="24"/>
        </w:rPr>
        <w:t>The pre-PBAC response</w:t>
      </w:r>
      <w:r w:rsidR="00087DF3">
        <w:rPr>
          <w:rFonts w:asciiTheme="minorHAnsi" w:hAnsiTheme="minorHAnsi"/>
          <w:sz w:val="24"/>
          <w:szCs w:val="24"/>
        </w:rPr>
        <w:t xml:space="preserve"> maintained </w:t>
      </w:r>
      <w:r w:rsidR="002F4D2E">
        <w:rPr>
          <w:rFonts w:asciiTheme="minorHAnsi" w:hAnsiTheme="minorHAnsi"/>
          <w:sz w:val="24"/>
          <w:szCs w:val="24"/>
        </w:rPr>
        <w:t>that evolocumab is indicated in adults and adolescents aged 12 years and over with homozygous FH, and only in adults with h</w:t>
      </w:r>
      <w:r w:rsidR="007A1BF0">
        <w:rPr>
          <w:rFonts w:asciiTheme="minorHAnsi" w:hAnsiTheme="minorHAnsi"/>
          <w:sz w:val="24"/>
          <w:szCs w:val="24"/>
        </w:rPr>
        <w:t xml:space="preserve">eterozygous FH. Given its efficacy in this population, and that FH </w:t>
      </w:r>
      <w:r w:rsidR="002F4D2E">
        <w:rPr>
          <w:rFonts w:asciiTheme="minorHAnsi" w:hAnsiTheme="minorHAnsi"/>
          <w:sz w:val="24"/>
          <w:szCs w:val="24"/>
        </w:rPr>
        <w:t>is also an autosomal inherited disorder present from birth,</w:t>
      </w:r>
      <w:r w:rsidR="007A1BF0">
        <w:rPr>
          <w:rFonts w:asciiTheme="minorHAnsi" w:hAnsiTheme="minorHAnsi"/>
          <w:sz w:val="24"/>
          <w:szCs w:val="24"/>
        </w:rPr>
        <w:t xml:space="preserve"> the sponsor stated that applying prevalence to solely the population aged above 25 would exclude some patients within the eligible population.</w:t>
      </w:r>
      <w:r w:rsidR="00045F4B">
        <w:rPr>
          <w:rFonts w:asciiTheme="minorHAnsi" w:hAnsiTheme="minorHAnsi"/>
          <w:sz w:val="24"/>
          <w:szCs w:val="24"/>
        </w:rPr>
        <w:t xml:space="preserve"> </w:t>
      </w:r>
      <w:r w:rsidR="00803636">
        <w:rPr>
          <w:rFonts w:asciiTheme="minorHAnsi" w:hAnsiTheme="minorHAnsi"/>
          <w:sz w:val="24"/>
          <w:szCs w:val="24"/>
        </w:rPr>
        <w:t xml:space="preserve">The PBAC </w:t>
      </w:r>
      <w:r w:rsidR="00205295">
        <w:rPr>
          <w:rFonts w:asciiTheme="minorHAnsi" w:hAnsiTheme="minorHAnsi"/>
          <w:sz w:val="24"/>
          <w:szCs w:val="24"/>
        </w:rPr>
        <w:t>not</w:t>
      </w:r>
      <w:r w:rsidR="00803636">
        <w:rPr>
          <w:rFonts w:asciiTheme="minorHAnsi" w:hAnsiTheme="minorHAnsi"/>
          <w:sz w:val="24"/>
          <w:szCs w:val="24"/>
        </w:rPr>
        <w:t>ed</w:t>
      </w:r>
      <w:r w:rsidRPr="00E11620">
        <w:rPr>
          <w:rFonts w:asciiTheme="minorHAnsi" w:hAnsiTheme="minorHAnsi"/>
          <w:sz w:val="24"/>
          <w:szCs w:val="24"/>
        </w:rPr>
        <w:t xml:space="preserve"> </w:t>
      </w:r>
      <w:r w:rsidR="00205295">
        <w:rPr>
          <w:rFonts w:asciiTheme="minorHAnsi" w:hAnsiTheme="minorHAnsi"/>
          <w:sz w:val="24"/>
          <w:szCs w:val="24"/>
        </w:rPr>
        <w:t>that</w:t>
      </w:r>
      <w:r w:rsidR="00803636">
        <w:rPr>
          <w:rFonts w:asciiTheme="minorHAnsi" w:hAnsiTheme="minorHAnsi"/>
          <w:sz w:val="24"/>
          <w:szCs w:val="24"/>
        </w:rPr>
        <w:t xml:space="preserve"> includ</w:t>
      </w:r>
      <w:r w:rsidR="00205295">
        <w:rPr>
          <w:rFonts w:asciiTheme="minorHAnsi" w:hAnsiTheme="minorHAnsi"/>
          <w:sz w:val="24"/>
          <w:szCs w:val="24"/>
        </w:rPr>
        <w:t>ing</w:t>
      </w:r>
      <w:r w:rsidRPr="00E11620">
        <w:rPr>
          <w:rFonts w:asciiTheme="minorHAnsi" w:hAnsiTheme="minorHAnsi"/>
          <w:sz w:val="24"/>
          <w:szCs w:val="24"/>
        </w:rPr>
        <w:t xml:space="preserve"> the whole Australian population when estimating the eligible population</w:t>
      </w:r>
      <w:r w:rsidR="00205295">
        <w:rPr>
          <w:rFonts w:asciiTheme="minorHAnsi" w:hAnsiTheme="minorHAnsi"/>
          <w:sz w:val="24"/>
          <w:szCs w:val="24"/>
        </w:rPr>
        <w:t xml:space="preserve"> increased the prevalent pool of patients from </w:t>
      </w:r>
      <w:r w:rsidR="00205295" w:rsidRPr="00205295">
        <w:rPr>
          <w:rFonts w:asciiTheme="minorHAnsi" w:hAnsiTheme="minorHAnsi"/>
          <w:sz w:val="24"/>
          <w:szCs w:val="24"/>
        </w:rPr>
        <w:t xml:space="preserve">48,010 people </w:t>
      </w:r>
      <w:r w:rsidR="00205295">
        <w:rPr>
          <w:rFonts w:asciiTheme="minorHAnsi" w:hAnsiTheme="minorHAnsi"/>
          <w:sz w:val="24"/>
          <w:szCs w:val="24"/>
        </w:rPr>
        <w:t>(</w:t>
      </w:r>
      <w:r w:rsidR="00205295" w:rsidRPr="00205295">
        <w:rPr>
          <w:rFonts w:asciiTheme="minorHAnsi" w:hAnsiTheme="minorHAnsi"/>
          <w:sz w:val="24"/>
          <w:szCs w:val="24"/>
        </w:rPr>
        <w:t>population aged above 25 years, co</w:t>
      </w:r>
      <w:r w:rsidR="00205295">
        <w:rPr>
          <w:rFonts w:asciiTheme="minorHAnsi" w:hAnsiTheme="minorHAnsi"/>
          <w:sz w:val="24"/>
          <w:szCs w:val="24"/>
        </w:rPr>
        <w:t xml:space="preserve">nsistent with the AusDiab study)  to </w:t>
      </w:r>
      <w:r w:rsidR="00205295" w:rsidRPr="00205295">
        <w:rPr>
          <w:rFonts w:asciiTheme="minorHAnsi" w:hAnsiTheme="minorHAnsi"/>
          <w:sz w:val="24"/>
          <w:szCs w:val="24"/>
        </w:rPr>
        <w:t>71,392.</w:t>
      </w:r>
    </w:p>
    <w:p w:rsidR="0045744A" w:rsidRPr="00E11620" w:rsidRDefault="0045744A" w:rsidP="004427B3">
      <w:pPr>
        <w:pStyle w:val="ListParagraph"/>
        <w:widowControl/>
        <w:numPr>
          <w:ilvl w:val="1"/>
          <w:numId w:val="14"/>
        </w:numPr>
        <w:spacing w:after="160"/>
        <w:contextualSpacing w:val="0"/>
        <w:rPr>
          <w:rFonts w:asciiTheme="minorHAnsi" w:hAnsiTheme="minorHAnsi"/>
          <w:sz w:val="24"/>
          <w:szCs w:val="24"/>
        </w:rPr>
      </w:pPr>
      <w:r w:rsidRPr="00E11620">
        <w:rPr>
          <w:rFonts w:asciiTheme="minorHAnsi" w:hAnsiTheme="minorHAnsi"/>
          <w:sz w:val="24"/>
          <w:szCs w:val="24"/>
        </w:rPr>
        <w:t xml:space="preserve">As for the prior submission, detection rates (35% in 2018 rising to 75% in 2023) are applied to the whole prevalent population with FH. This ignores the DUSC’s advice that a proportion of patients with symptomatic FH disease should be removed before applying the detection rates as </w:t>
      </w:r>
      <w:r w:rsidR="003A090D">
        <w:rPr>
          <w:rFonts w:asciiTheme="minorHAnsi" w:hAnsiTheme="minorHAnsi"/>
          <w:sz w:val="24"/>
          <w:szCs w:val="24"/>
        </w:rPr>
        <w:t>they would already be diagnosed</w:t>
      </w:r>
      <w:r w:rsidRPr="00E11620">
        <w:rPr>
          <w:rFonts w:asciiTheme="minorHAnsi" w:hAnsiTheme="minorHAnsi"/>
          <w:sz w:val="24"/>
          <w:szCs w:val="24"/>
        </w:rPr>
        <w:t>.</w:t>
      </w:r>
      <w:r w:rsidR="00F60B45">
        <w:rPr>
          <w:rFonts w:asciiTheme="minorHAnsi" w:hAnsiTheme="minorHAnsi"/>
          <w:sz w:val="24"/>
          <w:szCs w:val="24"/>
        </w:rPr>
        <w:t xml:space="preserve"> </w:t>
      </w:r>
      <w:r w:rsidR="00F26D18">
        <w:rPr>
          <w:rFonts w:asciiTheme="minorHAnsi" w:hAnsiTheme="minorHAnsi"/>
          <w:sz w:val="24"/>
          <w:szCs w:val="24"/>
        </w:rPr>
        <w:t>The pre-PBAC response</w:t>
      </w:r>
      <w:r w:rsidR="00087DF3">
        <w:rPr>
          <w:rFonts w:asciiTheme="minorHAnsi" w:hAnsiTheme="minorHAnsi"/>
          <w:sz w:val="24"/>
          <w:szCs w:val="24"/>
        </w:rPr>
        <w:t xml:space="preserve"> </w:t>
      </w:r>
      <w:r w:rsidR="00F26D18">
        <w:rPr>
          <w:rFonts w:asciiTheme="minorHAnsi" w:hAnsiTheme="minorHAnsi"/>
          <w:sz w:val="24"/>
          <w:szCs w:val="24"/>
        </w:rPr>
        <w:t>argued that</w:t>
      </w:r>
      <w:r w:rsidR="003B3797">
        <w:rPr>
          <w:rFonts w:asciiTheme="minorHAnsi" w:hAnsiTheme="minorHAnsi"/>
          <w:sz w:val="24"/>
          <w:szCs w:val="24"/>
        </w:rPr>
        <w:t xml:space="preserve"> the diagnosis of FH cannot be assumed despite symptomatic disease on the basis that the diagnosis rate of FH with or without ASCVD has not changed and is currently low.</w:t>
      </w:r>
      <w:r w:rsidR="00045F4B">
        <w:rPr>
          <w:rFonts w:asciiTheme="minorHAnsi" w:hAnsiTheme="minorHAnsi"/>
          <w:sz w:val="24"/>
          <w:szCs w:val="24"/>
        </w:rPr>
        <w:t xml:space="preserve"> </w:t>
      </w:r>
      <w:r w:rsidR="003B3797">
        <w:rPr>
          <w:rFonts w:asciiTheme="minorHAnsi" w:hAnsiTheme="minorHAnsi"/>
          <w:sz w:val="24"/>
          <w:szCs w:val="24"/>
        </w:rPr>
        <w:t>It also stated that diagnostic tests can be complicated and costly, and may not have been routinely performed in the past.</w:t>
      </w:r>
    </w:p>
    <w:p w:rsidR="0045744A" w:rsidRPr="00E11620" w:rsidRDefault="0045744A" w:rsidP="004427B3">
      <w:pPr>
        <w:pStyle w:val="ListParagraph"/>
        <w:widowControl/>
        <w:numPr>
          <w:ilvl w:val="1"/>
          <w:numId w:val="14"/>
        </w:numPr>
        <w:spacing w:after="160"/>
        <w:contextualSpacing w:val="0"/>
        <w:rPr>
          <w:rFonts w:asciiTheme="minorHAnsi" w:hAnsiTheme="minorHAnsi"/>
          <w:sz w:val="24"/>
          <w:szCs w:val="24"/>
        </w:rPr>
      </w:pPr>
      <w:r w:rsidRPr="00E11620">
        <w:rPr>
          <w:rFonts w:asciiTheme="minorHAnsi" w:hAnsiTheme="minorHAnsi"/>
          <w:sz w:val="24"/>
          <w:szCs w:val="24"/>
        </w:rPr>
        <w:t>The resubmission based its estimate of the proportion of FH patients with ASCVD (40%) on the AusDiab study. DUSC previously considered that this was an appropriate source for this assumption</w:t>
      </w:r>
      <w:r w:rsidR="00B72350">
        <w:rPr>
          <w:rFonts w:asciiTheme="minorHAnsi" w:hAnsiTheme="minorHAnsi"/>
          <w:sz w:val="24"/>
          <w:szCs w:val="24"/>
        </w:rPr>
        <w:t>.</w:t>
      </w:r>
    </w:p>
    <w:p w:rsidR="0045744A" w:rsidRPr="00E11620" w:rsidRDefault="0045744A" w:rsidP="004427B3">
      <w:pPr>
        <w:pStyle w:val="ListParagraph"/>
        <w:widowControl/>
        <w:numPr>
          <w:ilvl w:val="1"/>
          <w:numId w:val="14"/>
        </w:numPr>
        <w:spacing w:after="160"/>
        <w:contextualSpacing w:val="0"/>
        <w:rPr>
          <w:rFonts w:asciiTheme="minorHAnsi" w:hAnsiTheme="minorHAnsi"/>
          <w:sz w:val="24"/>
          <w:szCs w:val="24"/>
        </w:rPr>
      </w:pPr>
      <w:r w:rsidRPr="00E11620">
        <w:rPr>
          <w:rFonts w:asciiTheme="minorHAnsi" w:hAnsiTheme="minorHAnsi"/>
          <w:sz w:val="24"/>
          <w:szCs w:val="24"/>
        </w:rPr>
        <w:t>The financial estimates are highly sensitive to the assumption for the proportion of patients with LDL-c above the eligibility threshold. These are unchanged from the prior submission and no further justification is provided in the resubmission for their selection. DUSC considered that the assumptions were highly uncertain but noted there was a lack of sources to inform them.</w:t>
      </w:r>
    </w:p>
    <w:p w:rsidR="0045744A" w:rsidRPr="00F26D18" w:rsidRDefault="0045744A" w:rsidP="004427B3">
      <w:pPr>
        <w:pStyle w:val="ListParagraph"/>
        <w:widowControl/>
        <w:numPr>
          <w:ilvl w:val="1"/>
          <w:numId w:val="14"/>
        </w:numPr>
        <w:spacing w:after="160"/>
        <w:contextualSpacing w:val="0"/>
        <w:rPr>
          <w:rFonts w:asciiTheme="minorHAnsi" w:hAnsiTheme="minorHAnsi"/>
          <w:sz w:val="24"/>
          <w:szCs w:val="24"/>
        </w:rPr>
      </w:pPr>
      <w:r w:rsidRPr="00E11620">
        <w:rPr>
          <w:rFonts w:asciiTheme="minorHAnsi" w:hAnsiTheme="minorHAnsi"/>
          <w:sz w:val="24"/>
          <w:szCs w:val="24"/>
        </w:rPr>
        <w:t>The uptake rates for FH ASCVD and FH primary prevention are unchanged from the prior submission. DUSC considered that these assumptions were overestimated noting the uptake of other medicines given by subcutaneous injection were lower.</w:t>
      </w:r>
      <w:r w:rsidR="0074112C">
        <w:rPr>
          <w:rFonts w:asciiTheme="minorHAnsi" w:hAnsiTheme="minorHAnsi"/>
          <w:sz w:val="24"/>
          <w:szCs w:val="24"/>
        </w:rPr>
        <w:t xml:space="preserve"> </w:t>
      </w:r>
      <w:r w:rsidR="00F26D18" w:rsidRPr="00127D04">
        <w:rPr>
          <w:rFonts w:asciiTheme="minorHAnsi" w:hAnsiTheme="minorHAnsi"/>
          <w:sz w:val="24"/>
          <w:szCs w:val="24"/>
        </w:rPr>
        <w:t>The pre-PBAC response</w:t>
      </w:r>
      <w:r w:rsidR="00F20C18">
        <w:rPr>
          <w:rFonts w:asciiTheme="minorHAnsi" w:hAnsiTheme="minorHAnsi"/>
          <w:sz w:val="24"/>
          <w:szCs w:val="24"/>
        </w:rPr>
        <w:t xml:space="preserve"> </w:t>
      </w:r>
      <w:r w:rsidR="00F26D18" w:rsidRPr="00127D04">
        <w:rPr>
          <w:rFonts w:asciiTheme="minorHAnsi" w:hAnsiTheme="minorHAnsi"/>
          <w:sz w:val="24"/>
          <w:szCs w:val="24"/>
        </w:rPr>
        <w:t xml:space="preserve">provided reasoning for the potential estimated uptake of evolocumab and stated that the main contributing factor may be </w:t>
      </w:r>
      <w:r w:rsidR="00D55A00">
        <w:rPr>
          <w:rFonts w:asciiTheme="minorHAnsi" w:hAnsiTheme="minorHAnsi"/>
          <w:sz w:val="24"/>
          <w:szCs w:val="24"/>
        </w:rPr>
        <w:t>the</w:t>
      </w:r>
      <w:r w:rsidR="00F26D18" w:rsidRPr="00127D04">
        <w:rPr>
          <w:rFonts w:asciiTheme="minorHAnsi" w:hAnsiTheme="minorHAnsi"/>
          <w:sz w:val="24"/>
          <w:szCs w:val="24"/>
        </w:rPr>
        <w:t xml:space="preserve"> characteristics </w:t>
      </w:r>
      <w:r w:rsidR="00D55A00">
        <w:rPr>
          <w:rFonts w:asciiTheme="minorHAnsi" w:hAnsiTheme="minorHAnsi"/>
          <w:sz w:val="24"/>
          <w:szCs w:val="24"/>
        </w:rPr>
        <w:t xml:space="preserve">of </w:t>
      </w:r>
      <w:r w:rsidR="00F26D18" w:rsidRPr="00127D04">
        <w:rPr>
          <w:rFonts w:asciiTheme="minorHAnsi" w:hAnsiTheme="minorHAnsi"/>
          <w:sz w:val="24"/>
          <w:szCs w:val="24"/>
        </w:rPr>
        <w:t xml:space="preserve">evolocumab </w:t>
      </w:r>
      <w:r w:rsidR="00D55A00">
        <w:rPr>
          <w:rFonts w:asciiTheme="minorHAnsi" w:hAnsiTheme="minorHAnsi"/>
          <w:sz w:val="24"/>
          <w:szCs w:val="24"/>
        </w:rPr>
        <w:t>therapy relative to alternatives</w:t>
      </w:r>
      <w:r w:rsidR="00F26D18">
        <w:rPr>
          <w:rFonts w:asciiTheme="minorHAnsi" w:hAnsiTheme="minorHAnsi"/>
          <w:sz w:val="24"/>
          <w:szCs w:val="24"/>
        </w:rPr>
        <w:t xml:space="preserve">, </w:t>
      </w:r>
      <w:r w:rsidR="00D55A00">
        <w:rPr>
          <w:rFonts w:asciiTheme="minorHAnsi" w:hAnsiTheme="minorHAnsi"/>
          <w:sz w:val="24"/>
          <w:szCs w:val="24"/>
        </w:rPr>
        <w:t>not that it is</w:t>
      </w:r>
      <w:r w:rsidR="004427B3">
        <w:rPr>
          <w:rFonts w:asciiTheme="minorHAnsi" w:hAnsiTheme="minorHAnsi"/>
          <w:sz w:val="24"/>
          <w:szCs w:val="24"/>
        </w:rPr>
        <w:t xml:space="preserve"> an injectable therapy.</w:t>
      </w:r>
    </w:p>
    <w:p w:rsidR="00734A04" w:rsidRPr="00E11620" w:rsidRDefault="00734A04" w:rsidP="00A41664">
      <w:pPr>
        <w:pStyle w:val="Heading2"/>
        <w:rPr>
          <w:rFonts w:eastAsiaTheme="majorEastAsia"/>
          <w:lang w:eastAsia="en-US"/>
        </w:rPr>
      </w:pPr>
      <w:bookmarkStart w:id="3" w:name="_Toc413139286"/>
      <w:bookmarkStart w:id="4" w:name="_Toc492314265"/>
      <w:r w:rsidRPr="00E11620">
        <w:rPr>
          <w:rFonts w:eastAsiaTheme="majorEastAsia"/>
          <w:lang w:eastAsia="en-US"/>
        </w:rPr>
        <w:t>Financial management – risk sharing arrangements</w:t>
      </w:r>
      <w:bookmarkEnd w:id="3"/>
      <w:bookmarkEnd w:id="4"/>
    </w:p>
    <w:p w:rsidR="00721129" w:rsidRDefault="00721129" w:rsidP="004427B3">
      <w:pPr>
        <w:pStyle w:val="ListParagraph"/>
        <w:keepLines/>
        <w:numPr>
          <w:ilvl w:val="1"/>
          <w:numId w:val="14"/>
        </w:numPr>
        <w:spacing w:after="160"/>
        <w:contextualSpacing w:val="0"/>
        <w:rPr>
          <w:rFonts w:asciiTheme="minorHAnsi" w:hAnsiTheme="minorHAnsi"/>
          <w:sz w:val="24"/>
          <w:szCs w:val="24"/>
        </w:rPr>
      </w:pPr>
      <w:r w:rsidRPr="00721129">
        <w:rPr>
          <w:rFonts w:asciiTheme="minorHAnsi" w:hAnsiTheme="minorHAnsi"/>
          <w:sz w:val="24"/>
          <w:szCs w:val="24"/>
        </w:rPr>
        <w:t>The current listing of evolocumab is subject to a special pricing arrangement (</w:t>
      </w:r>
      <w:r w:rsidR="005A614E">
        <w:rPr>
          <w:rFonts w:asciiTheme="minorHAnsi" w:hAnsiTheme="minorHAnsi"/>
          <w:noProof/>
          <w:color w:val="000000"/>
          <w:sz w:val="24"/>
          <w:szCs w:val="24"/>
          <w:highlight w:val="black"/>
        </w:rPr>
        <w:t>''''''''''</w:t>
      </w:r>
      <w:r w:rsidRPr="00721129">
        <w:rPr>
          <w:rFonts w:asciiTheme="minorHAnsi" w:hAnsiTheme="minorHAnsi"/>
          <w:sz w:val="24"/>
          <w:szCs w:val="24"/>
        </w:rPr>
        <w:t xml:space="preserve">% </w:t>
      </w:r>
      <w:r w:rsidR="007959C7" w:rsidRPr="00721129">
        <w:rPr>
          <w:rFonts w:asciiTheme="minorHAnsi" w:hAnsiTheme="minorHAnsi"/>
          <w:sz w:val="24"/>
          <w:szCs w:val="24"/>
        </w:rPr>
        <w:t>rebates</w:t>
      </w:r>
      <w:r w:rsidRPr="00721129">
        <w:rPr>
          <w:rFonts w:asciiTheme="minorHAnsi" w:hAnsiTheme="minorHAnsi"/>
          <w:sz w:val="24"/>
          <w:szCs w:val="24"/>
        </w:rPr>
        <w:t xml:space="preserve"> on government expenditure). The </w:t>
      </w:r>
      <w:r>
        <w:rPr>
          <w:rFonts w:asciiTheme="minorHAnsi" w:hAnsiTheme="minorHAnsi"/>
          <w:sz w:val="24"/>
          <w:szCs w:val="24"/>
        </w:rPr>
        <w:t xml:space="preserve">minor </w:t>
      </w:r>
      <w:r w:rsidRPr="00721129">
        <w:rPr>
          <w:rFonts w:asciiTheme="minorHAnsi" w:hAnsiTheme="minorHAnsi"/>
          <w:sz w:val="24"/>
          <w:szCs w:val="24"/>
        </w:rPr>
        <w:t>resubmission proposed a revision of the special pricing arrangement to include a further discount for the expanded listing (</w:t>
      </w:r>
      <w:r w:rsidR="005A614E">
        <w:rPr>
          <w:rFonts w:asciiTheme="minorHAnsi" w:hAnsiTheme="minorHAnsi"/>
          <w:noProof/>
          <w:color w:val="000000"/>
          <w:sz w:val="24"/>
          <w:szCs w:val="24"/>
          <w:highlight w:val="black"/>
        </w:rPr>
        <w:t>'''''</w:t>
      </w:r>
      <w:r w:rsidRPr="00721129">
        <w:rPr>
          <w:rFonts w:asciiTheme="minorHAnsi" w:hAnsiTheme="minorHAnsi"/>
          <w:sz w:val="24"/>
          <w:szCs w:val="24"/>
        </w:rPr>
        <w:t>% rebate on government expenditure</w:t>
      </w:r>
      <w:r>
        <w:rPr>
          <w:rFonts w:asciiTheme="minorHAnsi" w:hAnsiTheme="minorHAnsi"/>
          <w:sz w:val="24"/>
          <w:szCs w:val="24"/>
        </w:rPr>
        <w:t xml:space="preserve">; this is </w:t>
      </w:r>
      <w:r w:rsidR="009F6836">
        <w:rPr>
          <w:rFonts w:asciiTheme="minorHAnsi" w:hAnsiTheme="minorHAnsi"/>
          <w:sz w:val="24"/>
          <w:szCs w:val="24"/>
        </w:rPr>
        <w:t xml:space="preserve">increased </w:t>
      </w:r>
      <w:r>
        <w:rPr>
          <w:rFonts w:asciiTheme="minorHAnsi" w:hAnsiTheme="minorHAnsi"/>
          <w:sz w:val="24"/>
          <w:szCs w:val="24"/>
        </w:rPr>
        <w:t xml:space="preserve">from </w:t>
      </w:r>
      <w:r w:rsidR="005A614E">
        <w:rPr>
          <w:rFonts w:asciiTheme="minorHAnsi" w:hAnsiTheme="minorHAnsi"/>
          <w:noProof/>
          <w:color w:val="000000"/>
          <w:sz w:val="24"/>
          <w:szCs w:val="24"/>
          <w:highlight w:val="black"/>
        </w:rPr>
        <w:t>'''''''''''</w:t>
      </w:r>
      <w:r>
        <w:rPr>
          <w:rFonts w:asciiTheme="minorHAnsi" w:hAnsiTheme="minorHAnsi"/>
          <w:sz w:val="24"/>
          <w:szCs w:val="24"/>
        </w:rPr>
        <w:t>% in the November 2017 submission</w:t>
      </w:r>
      <w:r w:rsidRPr="00721129">
        <w:rPr>
          <w:rFonts w:asciiTheme="minorHAnsi" w:hAnsiTheme="minorHAnsi"/>
          <w:sz w:val="24"/>
          <w:szCs w:val="24"/>
        </w:rPr>
        <w:t>).</w:t>
      </w:r>
    </w:p>
    <w:p w:rsidR="00721129" w:rsidRDefault="00721129" w:rsidP="004427B3">
      <w:pPr>
        <w:pStyle w:val="ListParagraph"/>
        <w:keepLines/>
        <w:numPr>
          <w:ilvl w:val="1"/>
          <w:numId w:val="14"/>
        </w:numPr>
        <w:spacing w:after="160"/>
        <w:contextualSpacing w:val="0"/>
        <w:rPr>
          <w:rFonts w:asciiTheme="minorHAnsi" w:hAnsiTheme="minorHAnsi"/>
          <w:sz w:val="24"/>
          <w:szCs w:val="24"/>
        </w:rPr>
      </w:pPr>
      <w:r>
        <w:rPr>
          <w:rFonts w:asciiTheme="minorHAnsi" w:hAnsiTheme="minorHAnsi"/>
          <w:sz w:val="24"/>
          <w:szCs w:val="24"/>
        </w:rPr>
        <w:t>In November 2017, t</w:t>
      </w:r>
      <w:r w:rsidRPr="00721129">
        <w:rPr>
          <w:rFonts w:asciiTheme="minorHAnsi" w:hAnsiTheme="minorHAnsi"/>
          <w:sz w:val="24"/>
          <w:szCs w:val="24"/>
        </w:rPr>
        <w:t>he PBAC considered a new risk-share arrangement would need to incorporate a cap on financial estimates for PCSK9 inhibitors to account for potential use in the non-FH population</w:t>
      </w:r>
      <w:r>
        <w:rPr>
          <w:rFonts w:asciiTheme="minorHAnsi" w:hAnsiTheme="minorHAnsi"/>
          <w:sz w:val="24"/>
          <w:szCs w:val="24"/>
        </w:rPr>
        <w:t xml:space="preserve"> (</w:t>
      </w:r>
      <w:r w:rsidR="009E65F3">
        <w:rPr>
          <w:rFonts w:asciiTheme="minorHAnsi" w:hAnsiTheme="minorHAnsi"/>
          <w:sz w:val="24"/>
          <w:szCs w:val="24"/>
        </w:rPr>
        <w:t>Public Summary Document</w:t>
      </w:r>
      <w:r>
        <w:rPr>
          <w:rFonts w:asciiTheme="minorHAnsi" w:hAnsiTheme="minorHAnsi"/>
          <w:sz w:val="24"/>
          <w:szCs w:val="24"/>
        </w:rPr>
        <w:t>, paragraph 7.10)</w:t>
      </w:r>
      <w:r w:rsidRPr="00721129">
        <w:rPr>
          <w:rFonts w:asciiTheme="minorHAnsi" w:hAnsiTheme="minorHAnsi"/>
          <w:sz w:val="24"/>
          <w:szCs w:val="24"/>
        </w:rPr>
        <w:t>.</w:t>
      </w:r>
    </w:p>
    <w:p w:rsidR="00721129" w:rsidRPr="00721129" w:rsidRDefault="00721129" w:rsidP="004427B3">
      <w:pPr>
        <w:pStyle w:val="ListParagraph"/>
        <w:keepLines/>
        <w:numPr>
          <w:ilvl w:val="1"/>
          <w:numId w:val="14"/>
        </w:numPr>
        <w:spacing w:after="160"/>
        <w:rPr>
          <w:rFonts w:asciiTheme="minorHAnsi" w:hAnsiTheme="minorHAnsi"/>
          <w:sz w:val="24"/>
          <w:szCs w:val="24"/>
        </w:rPr>
      </w:pPr>
      <w:r>
        <w:rPr>
          <w:rFonts w:asciiTheme="minorHAnsi" w:hAnsiTheme="minorHAnsi"/>
          <w:sz w:val="24"/>
          <w:szCs w:val="24"/>
        </w:rPr>
        <w:t>In this minor resubmission, the sponsor has</w:t>
      </w:r>
      <w:r w:rsidRPr="00721129">
        <w:rPr>
          <w:rFonts w:asciiTheme="minorHAnsi" w:hAnsiTheme="minorHAnsi"/>
          <w:sz w:val="24"/>
          <w:szCs w:val="24"/>
        </w:rPr>
        <w:t xml:space="preserve"> proposed a tiered financial cap arrangement to address uncertainty in the extent of use. The Tiers are outlined in </w:t>
      </w:r>
      <w:r>
        <w:rPr>
          <w:rFonts w:asciiTheme="minorHAnsi" w:hAnsiTheme="minorHAnsi"/>
          <w:sz w:val="24"/>
          <w:szCs w:val="24"/>
        </w:rPr>
        <w:t>the table below</w:t>
      </w:r>
      <w:r w:rsidRPr="00721129">
        <w:rPr>
          <w:rFonts w:asciiTheme="minorHAnsi" w:hAnsiTheme="minorHAnsi"/>
          <w:sz w:val="24"/>
          <w:szCs w:val="24"/>
        </w:rPr>
        <w:t xml:space="preserve">. The Tier 1 caps are based on </w:t>
      </w:r>
      <w:r>
        <w:rPr>
          <w:rFonts w:asciiTheme="minorHAnsi" w:hAnsiTheme="minorHAnsi"/>
          <w:sz w:val="24"/>
          <w:szCs w:val="24"/>
        </w:rPr>
        <w:t>the re</w:t>
      </w:r>
      <w:r w:rsidRPr="00721129">
        <w:rPr>
          <w:rFonts w:asciiTheme="minorHAnsi" w:hAnsiTheme="minorHAnsi"/>
          <w:sz w:val="24"/>
          <w:szCs w:val="24"/>
        </w:rPr>
        <w:t xml:space="preserve">submission estimates of the number of eligible patients forecast to receive evolocumab in the base case.  A </w:t>
      </w:r>
      <w:r w:rsidR="005A614E">
        <w:rPr>
          <w:rFonts w:asciiTheme="minorHAnsi" w:hAnsiTheme="minorHAnsi"/>
          <w:noProof/>
          <w:color w:val="000000"/>
          <w:sz w:val="24"/>
          <w:szCs w:val="24"/>
          <w:highlight w:val="black"/>
        </w:rPr>
        <w:t>''''''</w:t>
      </w:r>
      <w:r w:rsidRPr="00721129">
        <w:rPr>
          <w:rFonts w:asciiTheme="minorHAnsi" w:hAnsiTheme="minorHAnsi"/>
          <w:sz w:val="24"/>
          <w:szCs w:val="24"/>
        </w:rPr>
        <w:t>% rebate would apply between Tier 1 and Tier 2</w:t>
      </w:r>
      <w:r w:rsidR="009E18C6">
        <w:rPr>
          <w:rFonts w:asciiTheme="minorHAnsi" w:hAnsiTheme="minorHAnsi"/>
          <w:sz w:val="24"/>
          <w:szCs w:val="24"/>
        </w:rPr>
        <w:t xml:space="preserve">.  Above Tier 2, a </w:t>
      </w:r>
      <w:r w:rsidR="005A614E">
        <w:rPr>
          <w:rFonts w:asciiTheme="minorHAnsi" w:hAnsiTheme="minorHAnsi"/>
          <w:noProof/>
          <w:color w:val="000000"/>
          <w:sz w:val="24"/>
          <w:szCs w:val="24"/>
          <w:highlight w:val="black"/>
        </w:rPr>
        <w:t>'''''''</w:t>
      </w:r>
      <w:r w:rsidR="009E18C6">
        <w:rPr>
          <w:rFonts w:asciiTheme="minorHAnsi" w:hAnsiTheme="minorHAnsi"/>
          <w:sz w:val="24"/>
          <w:szCs w:val="24"/>
        </w:rPr>
        <w:t>% rebate wa</w:t>
      </w:r>
      <w:r w:rsidRPr="00721129">
        <w:rPr>
          <w:rFonts w:asciiTheme="minorHAnsi" w:hAnsiTheme="minorHAnsi"/>
          <w:sz w:val="24"/>
          <w:szCs w:val="24"/>
        </w:rPr>
        <w:t xml:space="preserve">s proposed. </w:t>
      </w:r>
    </w:p>
    <w:p w:rsidR="00721129" w:rsidRPr="00721129" w:rsidRDefault="00721129" w:rsidP="00721129">
      <w:pPr>
        <w:pStyle w:val="TableHeading0"/>
        <w:jc w:val="both"/>
        <w:rPr>
          <w:snapToGrid w:val="0"/>
        </w:rPr>
      </w:pPr>
      <w:bookmarkStart w:id="5" w:name="_Ref501030478"/>
      <w:r w:rsidRPr="00721129">
        <w:rPr>
          <w:snapToGrid w:val="0"/>
        </w:rPr>
        <w:t xml:space="preserve">Table </w:t>
      </w:r>
      <w:bookmarkEnd w:id="5"/>
      <w:r>
        <w:rPr>
          <w:snapToGrid w:val="0"/>
        </w:rPr>
        <w:t>3</w:t>
      </w:r>
      <w:r w:rsidRPr="00721129">
        <w:rPr>
          <w:snapToGrid w:val="0"/>
        </w:rPr>
        <w:t>: Proposed tiered financial caps – Commonwealth Payment</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1996"/>
        <w:gridCol w:w="1270"/>
        <w:gridCol w:w="1270"/>
        <w:gridCol w:w="1270"/>
        <w:gridCol w:w="1270"/>
        <w:gridCol w:w="1270"/>
        <w:gridCol w:w="1270"/>
      </w:tblGrid>
      <w:tr w:rsidR="00721129" w:rsidRPr="00721129" w:rsidTr="00721129">
        <w:trPr>
          <w:trHeight w:val="51"/>
          <w:jc w:val="center"/>
        </w:trPr>
        <w:tc>
          <w:tcPr>
            <w:tcW w:w="1996" w:type="dxa"/>
            <w:shd w:val="clear" w:color="auto" w:fill="auto"/>
            <w:vAlign w:val="center"/>
          </w:tcPr>
          <w:p w:rsidR="00721129" w:rsidRPr="00721129" w:rsidRDefault="00721129" w:rsidP="003144AC">
            <w:pPr>
              <w:pStyle w:val="TableText0"/>
              <w:rPr>
                <w:b/>
              </w:rPr>
            </w:pPr>
            <w:r w:rsidRPr="00721129">
              <w:rPr>
                <w:b/>
              </w:rPr>
              <w:t>DPMQ</w:t>
            </w:r>
            <w:r w:rsidR="003144AC">
              <w:rPr>
                <w:b/>
              </w:rPr>
              <w:t xml:space="preserve"> </w:t>
            </w:r>
            <w:r w:rsidRPr="00721129">
              <w:rPr>
                <w:b/>
              </w:rPr>
              <w:t>copayment</w:t>
            </w:r>
          </w:p>
        </w:tc>
        <w:tc>
          <w:tcPr>
            <w:tcW w:w="1270" w:type="dxa"/>
            <w:shd w:val="clear" w:color="auto" w:fill="auto"/>
            <w:vAlign w:val="center"/>
          </w:tcPr>
          <w:p w:rsidR="00721129" w:rsidRPr="00721129" w:rsidRDefault="00721129" w:rsidP="00575FA8">
            <w:pPr>
              <w:pStyle w:val="TableText0"/>
              <w:rPr>
                <w:b/>
              </w:rPr>
            </w:pPr>
            <w:r w:rsidRPr="00721129">
              <w:rPr>
                <w:b/>
              </w:rPr>
              <w:t>Year 1</w:t>
            </w:r>
          </w:p>
        </w:tc>
        <w:tc>
          <w:tcPr>
            <w:tcW w:w="1270" w:type="dxa"/>
            <w:shd w:val="clear" w:color="auto" w:fill="auto"/>
            <w:vAlign w:val="center"/>
          </w:tcPr>
          <w:p w:rsidR="00721129" w:rsidRPr="00721129" w:rsidRDefault="00721129" w:rsidP="00575FA8">
            <w:pPr>
              <w:pStyle w:val="TableText0"/>
              <w:rPr>
                <w:b/>
              </w:rPr>
            </w:pPr>
            <w:r w:rsidRPr="00721129">
              <w:rPr>
                <w:b/>
              </w:rPr>
              <w:t>Year 2</w:t>
            </w:r>
          </w:p>
        </w:tc>
        <w:tc>
          <w:tcPr>
            <w:tcW w:w="1270" w:type="dxa"/>
            <w:shd w:val="clear" w:color="auto" w:fill="auto"/>
            <w:vAlign w:val="center"/>
          </w:tcPr>
          <w:p w:rsidR="00721129" w:rsidRPr="00721129" w:rsidRDefault="00721129" w:rsidP="00575FA8">
            <w:pPr>
              <w:pStyle w:val="TableText0"/>
              <w:rPr>
                <w:b/>
              </w:rPr>
            </w:pPr>
            <w:r w:rsidRPr="00721129">
              <w:rPr>
                <w:b/>
              </w:rPr>
              <w:t>Year 3</w:t>
            </w:r>
          </w:p>
        </w:tc>
        <w:tc>
          <w:tcPr>
            <w:tcW w:w="1270" w:type="dxa"/>
            <w:shd w:val="clear" w:color="auto" w:fill="auto"/>
            <w:vAlign w:val="center"/>
          </w:tcPr>
          <w:p w:rsidR="00721129" w:rsidRPr="00721129" w:rsidRDefault="00721129" w:rsidP="00575FA8">
            <w:pPr>
              <w:pStyle w:val="TableText0"/>
              <w:rPr>
                <w:b/>
              </w:rPr>
            </w:pPr>
            <w:r w:rsidRPr="00721129">
              <w:rPr>
                <w:b/>
              </w:rPr>
              <w:t>Year 4</w:t>
            </w:r>
          </w:p>
        </w:tc>
        <w:tc>
          <w:tcPr>
            <w:tcW w:w="1270" w:type="dxa"/>
            <w:shd w:val="clear" w:color="auto" w:fill="auto"/>
            <w:vAlign w:val="center"/>
          </w:tcPr>
          <w:p w:rsidR="00721129" w:rsidRPr="00721129" w:rsidRDefault="00721129" w:rsidP="00575FA8">
            <w:pPr>
              <w:pStyle w:val="TableText0"/>
              <w:rPr>
                <w:b/>
              </w:rPr>
            </w:pPr>
            <w:r w:rsidRPr="00721129">
              <w:rPr>
                <w:b/>
              </w:rPr>
              <w:t>Year 5</w:t>
            </w:r>
          </w:p>
        </w:tc>
        <w:tc>
          <w:tcPr>
            <w:tcW w:w="1270" w:type="dxa"/>
            <w:shd w:val="clear" w:color="auto" w:fill="auto"/>
            <w:vAlign w:val="center"/>
          </w:tcPr>
          <w:p w:rsidR="00721129" w:rsidRPr="00721129" w:rsidRDefault="00721129" w:rsidP="00575FA8">
            <w:pPr>
              <w:pStyle w:val="TableText0"/>
              <w:rPr>
                <w:b/>
              </w:rPr>
            </w:pPr>
            <w:r w:rsidRPr="00721129">
              <w:rPr>
                <w:b/>
              </w:rPr>
              <w:t>Year 6</w:t>
            </w:r>
          </w:p>
        </w:tc>
      </w:tr>
      <w:tr w:rsidR="00721129" w:rsidRPr="00721129" w:rsidTr="00721129">
        <w:trPr>
          <w:jc w:val="center"/>
        </w:trPr>
        <w:tc>
          <w:tcPr>
            <w:tcW w:w="1996" w:type="dxa"/>
            <w:shd w:val="clear" w:color="auto" w:fill="auto"/>
            <w:vAlign w:val="center"/>
          </w:tcPr>
          <w:p w:rsidR="00721129" w:rsidRPr="00721129" w:rsidRDefault="00721129" w:rsidP="00575FA8">
            <w:pPr>
              <w:pStyle w:val="TableText0"/>
              <w:rPr>
                <w:b/>
              </w:rPr>
            </w:pPr>
            <w:r w:rsidRPr="00721129">
              <w:rPr>
                <w:b/>
              </w:rPr>
              <w:t>Net cost of evolocumab to the PBS/RPBS (BASE)</w:t>
            </w:r>
          </w:p>
        </w:tc>
        <w:tc>
          <w:tcPr>
            <w:tcW w:w="1270" w:type="dxa"/>
            <w:shd w:val="clear" w:color="auto" w:fill="auto"/>
            <w:vAlign w:val="center"/>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vAlign w:val="center"/>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vAlign w:val="center"/>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vAlign w:val="center"/>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vAlign w:val="center"/>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vAlign w:val="center"/>
          </w:tcPr>
          <w:p w:rsidR="00721129" w:rsidRPr="00721129" w:rsidRDefault="00721129" w:rsidP="00575FA8">
            <w:pPr>
              <w:pStyle w:val="TableText0"/>
            </w:pPr>
            <w:r w:rsidRPr="00721129">
              <w:t>$</w:t>
            </w:r>
            <w:r w:rsidR="005A614E">
              <w:rPr>
                <w:noProof/>
                <w:color w:val="000000"/>
                <w:highlight w:val="black"/>
              </w:rPr>
              <w:t>'''''''''''''''''''''''''</w:t>
            </w:r>
          </w:p>
        </w:tc>
      </w:tr>
      <w:tr w:rsidR="00721129" w:rsidRPr="00721129" w:rsidTr="00721129">
        <w:trPr>
          <w:trHeight w:val="479"/>
          <w:jc w:val="center"/>
        </w:trPr>
        <w:tc>
          <w:tcPr>
            <w:tcW w:w="1996" w:type="dxa"/>
            <w:shd w:val="clear" w:color="auto" w:fill="auto"/>
            <w:vAlign w:val="center"/>
          </w:tcPr>
          <w:p w:rsidR="00721129" w:rsidRPr="00721129" w:rsidRDefault="00721129" w:rsidP="00575FA8">
            <w:pPr>
              <w:pStyle w:val="TableText0"/>
              <w:spacing w:after="0"/>
              <w:rPr>
                <w:b/>
              </w:rPr>
            </w:pPr>
            <w:r w:rsidRPr="00721129">
              <w:rPr>
                <w:b/>
              </w:rPr>
              <w:t>TIER 1</w:t>
            </w:r>
          </w:p>
          <w:p w:rsidR="00721129" w:rsidRPr="00721129" w:rsidRDefault="00721129" w:rsidP="00575FA8">
            <w:pPr>
              <w:pStyle w:val="TableText0"/>
              <w:rPr>
                <w:b/>
              </w:rPr>
            </w:pPr>
            <w:r w:rsidRPr="00721129">
              <w:rPr>
                <w:b/>
              </w:rPr>
              <w:t>Same as above</w:t>
            </w:r>
          </w:p>
        </w:tc>
        <w:tc>
          <w:tcPr>
            <w:tcW w:w="1270" w:type="dxa"/>
            <w:shd w:val="clear" w:color="auto" w:fill="auto"/>
            <w:vAlign w:val="center"/>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vAlign w:val="center"/>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vAlign w:val="center"/>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vAlign w:val="center"/>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vAlign w:val="center"/>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vAlign w:val="center"/>
          </w:tcPr>
          <w:p w:rsidR="00721129" w:rsidRPr="00721129" w:rsidRDefault="00721129" w:rsidP="00575FA8">
            <w:pPr>
              <w:pStyle w:val="TableText0"/>
            </w:pPr>
            <w:r w:rsidRPr="00721129">
              <w:t>$</w:t>
            </w:r>
            <w:r w:rsidR="005A614E">
              <w:rPr>
                <w:noProof/>
                <w:color w:val="000000"/>
                <w:highlight w:val="black"/>
              </w:rPr>
              <w:t>''''''''''''''''''''''''''''</w:t>
            </w:r>
          </w:p>
        </w:tc>
      </w:tr>
      <w:tr w:rsidR="00721129" w:rsidRPr="00721129" w:rsidTr="00721129">
        <w:trPr>
          <w:jc w:val="center"/>
        </w:trPr>
        <w:tc>
          <w:tcPr>
            <w:tcW w:w="1996" w:type="dxa"/>
            <w:shd w:val="clear" w:color="auto" w:fill="auto"/>
            <w:vAlign w:val="center"/>
          </w:tcPr>
          <w:p w:rsidR="00721129" w:rsidRPr="00721129" w:rsidDel="00187293" w:rsidRDefault="00721129" w:rsidP="00575FA8">
            <w:pPr>
              <w:pStyle w:val="TableText0"/>
              <w:rPr>
                <w:b/>
              </w:rPr>
            </w:pPr>
          </w:p>
        </w:tc>
        <w:tc>
          <w:tcPr>
            <w:tcW w:w="7620" w:type="dxa"/>
            <w:gridSpan w:val="6"/>
            <w:shd w:val="clear" w:color="auto" w:fill="auto"/>
            <w:vAlign w:val="center"/>
          </w:tcPr>
          <w:p w:rsidR="00721129" w:rsidRPr="00721129" w:rsidRDefault="005A614E" w:rsidP="00575FA8">
            <w:pPr>
              <w:pStyle w:val="TableText0"/>
            </w:pPr>
            <w:r>
              <w:rPr>
                <w:noProof/>
                <w:color w:val="000000"/>
                <w:highlight w:val="black"/>
              </w:rPr>
              <w:t>''''''</w:t>
            </w:r>
            <w:r w:rsidR="00721129" w:rsidRPr="00721129">
              <w:t>% repayment for Commonwealth payment between Tier 1 and 2</w:t>
            </w:r>
          </w:p>
        </w:tc>
      </w:tr>
      <w:tr w:rsidR="00721129" w:rsidRPr="00721129" w:rsidTr="00721129">
        <w:trPr>
          <w:trHeight w:val="305"/>
          <w:jc w:val="center"/>
        </w:trPr>
        <w:tc>
          <w:tcPr>
            <w:tcW w:w="1996" w:type="dxa"/>
            <w:shd w:val="clear" w:color="auto" w:fill="auto"/>
            <w:vAlign w:val="center"/>
          </w:tcPr>
          <w:p w:rsidR="00721129" w:rsidRPr="00721129" w:rsidRDefault="00721129" w:rsidP="00575FA8">
            <w:pPr>
              <w:pStyle w:val="TableText0"/>
              <w:rPr>
                <w:b/>
              </w:rPr>
            </w:pPr>
            <w:r w:rsidRPr="00721129">
              <w:rPr>
                <w:b/>
              </w:rPr>
              <w:t xml:space="preserve">TIER 2 </w:t>
            </w:r>
          </w:p>
        </w:tc>
        <w:tc>
          <w:tcPr>
            <w:tcW w:w="1270" w:type="dxa"/>
            <w:shd w:val="clear" w:color="auto" w:fill="auto"/>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tcPr>
          <w:p w:rsidR="00721129" w:rsidRPr="00721129" w:rsidRDefault="00721129" w:rsidP="00575FA8">
            <w:pPr>
              <w:pStyle w:val="TableText0"/>
            </w:pPr>
            <w:r w:rsidRPr="00721129">
              <w:t>$</w:t>
            </w:r>
            <w:r w:rsidR="005A614E">
              <w:rPr>
                <w:noProof/>
                <w:color w:val="000000"/>
                <w:highlight w:val="black"/>
              </w:rPr>
              <w:t>''''''''''''''''''''''''</w:t>
            </w:r>
          </w:p>
        </w:tc>
        <w:tc>
          <w:tcPr>
            <w:tcW w:w="1270" w:type="dxa"/>
            <w:shd w:val="clear" w:color="auto" w:fill="auto"/>
          </w:tcPr>
          <w:p w:rsidR="00721129" w:rsidRPr="00721129" w:rsidRDefault="00721129" w:rsidP="00575FA8">
            <w:pPr>
              <w:pStyle w:val="TableText0"/>
            </w:pPr>
            <w:r w:rsidRPr="00721129">
              <w:t>$</w:t>
            </w:r>
            <w:r w:rsidR="005A614E">
              <w:rPr>
                <w:noProof/>
                <w:color w:val="000000"/>
                <w:highlight w:val="black"/>
              </w:rPr>
              <w:t>'''''''''''''''''''''''''''</w:t>
            </w:r>
          </w:p>
        </w:tc>
      </w:tr>
      <w:tr w:rsidR="00721129" w:rsidRPr="00913A21" w:rsidTr="00721129">
        <w:trPr>
          <w:jc w:val="center"/>
        </w:trPr>
        <w:tc>
          <w:tcPr>
            <w:tcW w:w="1996" w:type="dxa"/>
            <w:shd w:val="clear" w:color="auto" w:fill="auto"/>
            <w:vAlign w:val="center"/>
          </w:tcPr>
          <w:p w:rsidR="00721129" w:rsidRPr="00721129" w:rsidRDefault="00721129" w:rsidP="00575FA8">
            <w:pPr>
              <w:pStyle w:val="TableText0"/>
              <w:rPr>
                <w:b/>
              </w:rPr>
            </w:pPr>
          </w:p>
        </w:tc>
        <w:tc>
          <w:tcPr>
            <w:tcW w:w="7620" w:type="dxa"/>
            <w:gridSpan w:val="6"/>
            <w:shd w:val="clear" w:color="auto" w:fill="auto"/>
            <w:vAlign w:val="center"/>
          </w:tcPr>
          <w:p w:rsidR="00721129" w:rsidRPr="00913A21" w:rsidRDefault="005A614E" w:rsidP="00575FA8">
            <w:pPr>
              <w:pStyle w:val="TableText0"/>
            </w:pPr>
            <w:r>
              <w:rPr>
                <w:noProof/>
                <w:color w:val="000000"/>
                <w:highlight w:val="black"/>
              </w:rPr>
              <w:t>''''''''''</w:t>
            </w:r>
            <w:r w:rsidR="00721129" w:rsidRPr="00721129">
              <w:t>% repayment for Commonwealth Payment beyond Tier 2</w:t>
            </w:r>
          </w:p>
        </w:tc>
      </w:tr>
    </w:tbl>
    <w:p w:rsidR="00721129" w:rsidRPr="00721129" w:rsidRDefault="00721129" w:rsidP="00721129">
      <w:pPr>
        <w:pStyle w:val="TableFooter"/>
        <w:widowControl/>
        <w:spacing w:after="120"/>
      </w:pPr>
      <w:r w:rsidRPr="00721129">
        <w:t>Source: Table 6 of the minor resubmission, p7.</w:t>
      </w:r>
    </w:p>
    <w:p w:rsidR="00455349" w:rsidRDefault="00721129" w:rsidP="004427B3">
      <w:pPr>
        <w:pStyle w:val="ListParagraph"/>
        <w:keepLines/>
        <w:numPr>
          <w:ilvl w:val="1"/>
          <w:numId w:val="14"/>
        </w:numPr>
        <w:spacing w:after="160"/>
        <w:contextualSpacing w:val="0"/>
        <w:rPr>
          <w:rFonts w:asciiTheme="minorHAnsi" w:hAnsiTheme="minorHAnsi"/>
          <w:sz w:val="24"/>
          <w:szCs w:val="24"/>
        </w:rPr>
      </w:pPr>
      <w:r w:rsidRPr="00E11620">
        <w:rPr>
          <w:rFonts w:asciiTheme="minorHAnsi" w:hAnsiTheme="minorHAnsi"/>
          <w:sz w:val="24"/>
          <w:szCs w:val="24"/>
        </w:rPr>
        <w:t xml:space="preserve">No detail of the rationale for the selected Tier 2 values has been provided. The estimates are approximately </w:t>
      </w:r>
      <w:r w:rsidR="005A614E">
        <w:rPr>
          <w:rFonts w:asciiTheme="minorHAnsi" w:hAnsiTheme="minorHAnsi"/>
          <w:noProof/>
          <w:color w:val="000000"/>
          <w:sz w:val="24"/>
          <w:szCs w:val="24"/>
          <w:highlight w:val="black"/>
        </w:rPr>
        <w:t>'''''</w:t>
      </w:r>
      <w:r w:rsidRPr="00E11620">
        <w:rPr>
          <w:rFonts w:asciiTheme="minorHAnsi" w:hAnsiTheme="minorHAnsi"/>
          <w:sz w:val="24"/>
          <w:szCs w:val="24"/>
        </w:rPr>
        <w:t>% higher than Tier 1.</w:t>
      </w:r>
      <w:r w:rsidR="00455349">
        <w:rPr>
          <w:rFonts w:asciiTheme="minorHAnsi" w:hAnsiTheme="minorHAnsi"/>
          <w:sz w:val="24"/>
          <w:szCs w:val="24"/>
        </w:rPr>
        <w:t xml:space="preserve"> The pre-PBAC response stated that an approximate </w:t>
      </w:r>
      <w:r w:rsidR="005A614E">
        <w:rPr>
          <w:rFonts w:asciiTheme="minorHAnsi" w:hAnsiTheme="minorHAnsi"/>
          <w:noProof/>
          <w:color w:val="000000"/>
          <w:sz w:val="24"/>
          <w:szCs w:val="24"/>
          <w:highlight w:val="black"/>
        </w:rPr>
        <w:t>'''''</w:t>
      </w:r>
      <w:r w:rsidR="00455349">
        <w:rPr>
          <w:rFonts w:asciiTheme="minorHAnsi" w:hAnsiTheme="minorHAnsi"/>
          <w:sz w:val="24"/>
          <w:szCs w:val="24"/>
        </w:rPr>
        <w:t xml:space="preserve">% increase was included to account for the uncertainty of evolocumab use in the eligible FH population </w:t>
      </w:r>
      <w:r w:rsidR="00D55A00">
        <w:rPr>
          <w:rFonts w:asciiTheme="minorHAnsi" w:hAnsiTheme="minorHAnsi"/>
          <w:sz w:val="24"/>
          <w:szCs w:val="24"/>
        </w:rPr>
        <w:t>as well as the fact people prescribed evolocumab will derive benefit</w:t>
      </w:r>
      <w:r w:rsidR="00455349">
        <w:rPr>
          <w:rFonts w:asciiTheme="minorHAnsi" w:hAnsiTheme="minorHAnsi"/>
          <w:sz w:val="24"/>
          <w:szCs w:val="24"/>
        </w:rPr>
        <w:t>.</w:t>
      </w:r>
      <w:r w:rsidR="0031352C">
        <w:rPr>
          <w:rFonts w:asciiTheme="minorHAnsi" w:hAnsiTheme="minorHAnsi"/>
          <w:sz w:val="24"/>
          <w:szCs w:val="24"/>
        </w:rPr>
        <w:t xml:space="preserve"> The PBAC noted this response did not justify the choice of </w:t>
      </w:r>
      <w:r w:rsidR="005A614E">
        <w:rPr>
          <w:rFonts w:asciiTheme="minorHAnsi" w:hAnsiTheme="minorHAnsi"/>
          <w:noProof/>
          <w:color w:val="000000"/>
          <w:sz w:val="24"/>
          <w:szCs w:val="24"/>
          <w:highlight w:val="black"/>
        </w:rPr>
        <w:t>'''''</w:t>
      </w:r>
      <w:r w:rsidR="0031352C">
        <w:rPr>
          <w:rFonts w:asciiTheme="minorHAnsi" w:hAnsiTheme="minorHAnsi"/>
          <w:sz w:val="24"/>
          <w:szCs w:val="24"/>
        </w:rPr>
        <w:t xml:space="preserve">% as the </w:t>
      </w:r>
      <w:r w:rsidR="007C4812">
        <w:rPr>
          <w:rFonts w:asciiTheme="minorHAnsi" w:hAnsiTheme="minorHAnsi"/>
          <w:sz w:val="24"/>
          <w:szCs w:val="24"/>
        </w:rPr>
        <w:t>estimate</w:t>
      </w:r>
      <w:r w:rsidR="0031352C">
        <w:rPr>
          <w:rFonts w:asciiTheme="minorHAnsi" w:hAnsiTheme="minorHAnsi"/>
          <w:sz w:val="24"/>
          <w:szCs w:val="24"/>
        </w:rPr>
        <w:t xml:space="preserve"> </w:t>
      </w:r>
      <w:r w:rsidR="007C4812">
        <w:rPr>
          <w:rFonts w:asciiTheme="minorHAnsi" w:hAnsiTheme="minorHAnsi"/>
          <w:sz w:val="24"/>
          <w:szCs w:val="24"/>
        </w:rPr>
        <w:t>of</w:t>
      </w:r>
      <w:r w:rsidR="0031352C">
        <w:rPr>
          <w:rFonts w:asciiTheme="minorHAnsi" w:hAnsiTheme="minorHAnsi"/>
          <w:sz w:val="24"/>
          <w:szCs w:val="24"/>
        </w:rPr>
        <w:t xml:space="preserve"> that uncertainty.</w:t>
      </w:r>
    </w:p>
    <w:p w:rsidR="00AD131E" w:rsidRPr="00577B4B" w:rsidRDefault="00E11620" w:rsidP="004427B3">
      <w:pPr>
        <w:pStyle w:val="ListParagraph"/>
        <w:spacing w:after="160"/>
        <w:ind w:left="709"/>
        <w:rPr>
          <w:rFonts w:asciiTheme="minorHAnsi" w:hAnsiTheme="minorHAnsi"/>
          <w:i/>
          <w:sz w:val="24"/>
          <w:szCs w:val="24"/>
        </w:rPr>
      </w:pPr>
      <w:r w:rsidRPr="00723603">
        <w:rPr>
          <w:rFonts w:asciiTheme="minorHAnsi" w:hAnsiTheme="minorHAnsi"/>
          <w:i/>
          <w:sz w:val="24"/>
          <w:szCs w:val="24"/>
        </w:rPr>
        <w:t>For more deta</w:t>
      </w:r>
      <w:r w:rsidR="002575C5">
        <w:rPr>
          <w:rFonts w:asciiTheme="minorHAnsi" w:hAnsiTheme="minorHAnsi"/>
          <w:i/>
          <w:sz w:val="24"/>
          <w:szCs w:val="24"/>
        </w:rPr>
        <w:t>il on PBAC’s view, see section 5</w:t>
      </w:r>
      <w:r w:rsidRPr="00723603">
        <w:rPr>
          <w:rFonts w:asciiTheme="minorHAnsi" w:hAnsiTheme="minorHAnsi"/>
          <w:i/>
          <w:sz w:val="24"/>
          <w:szCs w:val="24"/>
        </w:rPr>
        <w:t xml:space="preserve"> PBAC </w:t>
      </w:r>
      <w:r w:rsidR="003A090D">
        <w:rPr>
          <w:rFonts w:asciiTheme="minorHAnsi" w:hAnsiTheme="minorHAnsi"/>
          <w:i/>
          <w:sz w:val="24"/>
          <w:szCs w:val="24"/>
        </w:rPr>
        <w:t>O</w:t>
      </w:r>
      <w:r w:rsidRPr="00723603">
        <w:rPr>
          <w:rFonts w:asciiTheme="minorHAnsi" w:hAnsiTheme="minorHAnsi"/>
          <w:i/>
          <w:sz w:val="24"/>
          <w:szCs w:val="24"/>
        </w:rPr>
        <w:t>utcome.</w:t>
      </w:r>
    </w:p>
    <w:p w:rsidR="009362ED" w:rsidRPr="00E35849" w:rsidRDefault="009362ED" w:rsidP="003144AC">
      <w:pPr>
        <w:pStyle w:val="Heading1"/>
      </w:pPr>
      <w:r w:rsidRPr="00E35849">
        <w:t>PBAC Outcome</w:t>
      </w:r>
    </w:p>
    <w:p w:rsidR="00403478" w:rsidRPr="00403478" w:rsidRDefault="00403478" w:rsidP="004427B3">
      <w:pPr>
        <w:pStyle w:val="ListParagraph"/>
        <w:widowControl/>
        <w:numPr>
          <w:ilvl w:val="1"/>
          <w:numId w:val="14"/>
        </w:numPr>
        <w:spacing w:after="160"/>
        <w:contextualSpacing w:val="0"/>
        <w:rPr>
          <w:rFonts w:asciiTheme="minorHAnsi" w:hAnsiTheme="minorHAnsi"/>
          <w:sz w:val="24"/>
          <w:szCs w:val="24"/>
        </w:rPr>
      </w:pPr>
      <w:r w:rsidRPr="003F7065">
        <w:rPr>
          <w:rFonts w:asciiTheme="minorHAnsi" w:hAnsiTheme="minorHAnsi"/>
          <w:sz w:val="24"/>
          <w:szCs w:val="24"/>
        </w:rPr>
        <w:t xml:space="preserve">The PBAC recommended an Authority Required listing of evolocumab for the treatment of patients with familial </w:t>
      </w:r>
      <w:r w:rsidRPr="00872CA5">
        <w:rPr>
          <w:rFonts w:asciiTheme="minorHAnsi" w:hAnsiTheme="minorHAnsi"/>
          <w:sz w:val="24"/>
          <w:szCs w:val="24"/>
        </w:rPr>
        <w:t>hypercholesterolaemia (FH)</w:t>
      </w:r>
      <w:r w:rsidR="009F4B9F" w:rsidRPr="00872CA5">
        <w:rPr>
          <w:rFonts w:asciiTheme="minorHAnsi" w:hAnsiTheme="minorHAnsi"/>
          <w:sz w:val="24"/>
          <w:szCs w:val="24"/>
        </w:rPr>
        <w:t xml:space="preserve"> based on the revised economic </w:t>
      </w:r>
      <w:r w:rsidR="009F4B9F" w:rsidRPr="009E65F3">
        <w:rPr>
          <w:rFonts w:asciiTheme="minorHAnsi" w:hAnsiTheme="minorHAnsi"/>
          <w:sz w:val="24"/>
          <w:szCs w:val="24"/>
        </w:rPr>
        <w:t>model and the reduced price proposed, which addressed outstanding issues raised by the PBAC from the November 2017 submission</w:t>
      </w:r>
      <w:r w:rsidRPr="009E65F3">
        <w:rPr>
          <w:rFonts w:asciiTheme="minorHAnsi" w:hAnsiTheme="minorHAnsi"/>
          <w:sz w:val="24"/>
          <w:szCs w:val="24"/>
        </w:rPr>
        <w:t xml:space="preserve">. </w:t>
      </w:r>
      <w:r w:rsidR="007A2B33" w:rsidRPr="009E65F3">
        <w:rPr>
          <w:rFonts w:asciiTheme="minorHAnsi" w:hAnsiTheme="minorHAnsi"/>
          <w:sz w:val="24"/>
          <w:szCs w:val="24"/>
        </w:rPr>
        <w:t>The PBAC recommended that the initial restriction be an Authority Required (in writing) and the continuing restriction be an Authority Required (telephone) restriction. </w:t>
      </w:r>
      <w:r w:rsidRPr="009E65F3">
        <w:rPr>
          <w:rFonts w:asciiTheme="minorHAnsi" w:hAnsiTheme="minorHAnsi"/>
          <w:sz w:val="24"/>
          <w:szCs w:val="24"/>
        </w:rPr>
        <w:t xml:space="preserve">The PBAC accepted that both the heterozygous and homozygous FH populations are high risk, and that the use of evolocumab could </w:t>
      </w:r>
      <w:r w:rsidR="009F4B9F" w:rsidRPr="009E65F3">
        <w:rPr>
          <w:rFonts w:asciiTheme="minorHAnsi" w:hAnsiTheme="minorHAnsi"/>
          <w:sz w:val="24"/>
          <w:szCs w:val="24"/>
        </w:rPr>
        <w:t xml:space="preserve">be </w:t>
      </w:r>
      <w:r w:rsidRPr="009E65F3">
        <w:rPr>
          <w:rFonts w:asciiTheme="minorHAnsi" w:hAnsiTheme="minorHAnsi"/>
          <w:sz w:val="24"/>
          <w:szCs w:val="24"/>
        </w:rPr>
        <w:t>extend</w:t>
      </w:r>
      <w:r w:rsidR="009F4B9F" w:rsidRPr="009E65F3">
        <w:rPr>
          <w:rFonts w:asciiTheme="minorHAnsi" w:hAnsiTheme="minorHAnsi"/>
          <w:sz w:val="24"/>
          <w:szCs w:val="24"/>
        </w:rPr>
        <w:t>ed</w:t>
      </w:r>
      <w:r w:rsidRPr="009E65F3">
        <w:rPr>
          <w:rFonts w:asciiTheme="minorHAnsi" w:hAnsiTheme="minorHAnsi"/>
          <w:sz w:val="24"/>
          <w:szCs w:val="24"/>
        </w:rPr>
        <w:t xml:space="preserve"> to </w:t>
      </w:r>
      <w:r w:rsidR="009F4B9F" w:rsidRPr="009E65F3">
        <w:rPr>
          <w:rFonts w:asciiTheme="minorHAnsi" w:hAnsiTheme="minorHAnsi"/>
          <w:sz w:val="24"/>
          <w:szCs w:val="24"/>
        </w:rPr>
        <w:t xml:space="preserve">include </w:t>
      </w:r>
      <w:r w:rsidRPr="009E65F3">
        <w:rPr>
          <w:rFonts w:asciiTheme="minorHAnsi" w:hAnsiTheme="minorHAnsi"/>
          <w:sz w:val="24"/>
          <w:szCs w:val="24"/>
        </w:rPr>
        <w:t>the heterozygous population as it would be an effective and safe therapy following</w:t>
      </w:r>
      <w:r w:rsidRPr="003F7065">
        <w:rPr>
          <w:rFonts w:asciiTheme="minorHAnsi" w:hAnsiTheme="minorHAnsi"/>
          <w:sz w:val="24"/>
          <w:szCs w:val="24"/>
        </w:rPr>
        <w:t xml:space="preserve"> failed treatment with statins and ezetimibe. The PBAC acknowledged that the financial risk of potential use outside of the approved restriction </w:t>
      </w:r>
      <w:r w:rsidR="009F4B9F">
        <w:rPr>
          <w:rFonts w:asciiTheme="minorHAnsi" w:hAnsiTheme="minorHAnsi"/>
          <w:sz w:val="24"/>
          <w:szCs w:val="24"/>
        </w:rPr>
        <w:t xml:space="preserve">can be </w:t>
      </w:r>
      <w:r w:rsidRPr="003F7065">
        <w:rPr>
          <w:rFonts w:asciiTheme="minorHAnsi" w:hAnsiTheme="minorHAnsi"/>
          <w:sz w:val="24"/>
          <w:szCs w:val="24"/>
        </w:rPr>
        <w:t xml:space="preserve">minimised with the </w:t>
      </w:r>
      <w:r w:rsidR="009F4B9F">
        <w:rPr>
          <w:rFonts w:asciiTheme="minorHAnsi" w:hAnsiTheme="minorHAnsi"/>
          <w:sz w:val="24"/>
          <w:szCs w:val="24"/>
        </w:rPr>
        <w:t xml:space="preserve">hard cap in </w:t>
      </w:r>
      <w:r w:rsidRPr="003F7065">
        <w:rPr>
          <w:rFonts w:asciiTheme="minorHAnsi" w:hAnsiTheme="minorHAnsi"/>
          <w:sz w:val="24"/>
          <w:szCs w:val="24"/>
        </w:rPr>
        <w:t xml:space="preserve">proposed </w:t>
      </w:r>
      <w:r>
        <w:rPr>
          <w:rFonts w:asciiTheme="minorHAnsi" w:hAnsiTheme="minorHAnsi"/>
          <w:sz w:val="24"/>
          <w:szCs w:val="24"/>
        </w:rPr>
        <w:t>risk-share arrangement.</w:t>
      </w:r>
    </w:p>
    <w:p w:rsidR="000A0C1F" w:rsidRDefault="000A0C1F" w:rsidP="004427B3">
      <w:pPr>
        <w:pStyle w:val="ListParagraph"/>
        <w:widowControl/>
        <w:numPr>
          <w:ilvl w:val="1"/>
          <w:numId w:val="14"/>
        </w:numPr>
        <w:spacing w:after="160"/>
        <w:contextualSpacing w:val="0"/>
        <w:rPr>
          <w:rFonts w:asciiTheme="minorHAnsi" w:hAnsiTheme="minorHAnsi"/>
          <w:sz w:val="24"/>
          <w:szCs w:val="24"/>
        </w:rPr>
      </w:pPr>
      <w:r w:rsidRPr="003F7065">
        <w:rPr>
          <w:rFonts w:asciiTheme="minorHAnsi" w:hAnsiTheme="minorHAnsi"/>
          <w:sz w:val="24"/>
          <w:szCs w:val="24"/>
        </w:rPr>
        <w:t xml:space="preserve">The PBAC </w:t>
      </w:r>
      <w:r>
        <w:rPr>
          <w:rFonts w:asciiTheme="minorHAnsi" w:hAnsiTheme="minorHAnsi"/>
          <w:sz w:val="24"/>
          <w:szCs w:val="24"/>
        </w:rPr>
        <w:t>considered</w:t>
      </w:r>
      <w:r w:rsidRPr="003F7065">
        <w:rPr>
          <w:rFonts w:asciiTheme="minorHAnsi" w:hAnsiTheme="minorHAnsi"/>
          <w:sz w:val="24"/>
          <w:szCs w:val="24"/>
        </w:rPr>
        <w:t xml:space="preserve"> the proposed amendments to the definition of statin intolerance </w:t>
      </w:r>
      <w:r>
        <w:rPr>
          <w:rFonts w:asciiTheme="minorHAnsi" w:hAnsiTheme="minorHAnsi"/>
          <w:sz w:val="24"/>
          <w:szCs w:val="24"/>
        </w:rPr>
        <w:t>were helpful. However, the PBAC suggested the revised wording should also inc</w:t>
      </w:r>
      <w:r w:rsidRPr="003F7065">
        <w:rPr>
          <w:rFonts w:asciiTheme="minorHAnsi" w:hAnsiTheme="minorHAnsi"/>
          <w:sz w:val="24"/>
          <w:szCs w:val="24"/>
        </w:rPr>
        <w:t>lud</w:t>
      </w:r>
      <w:r>
        <w:rPr>
          <w:rFonts w:asciiTheme="minorHAnsi" w:hAnsiTheme="minorHAnsi"/>
          <w:sz w:val="24"/>
          <w:szCs w:val="24"/>
        </w:rPr>
        <w:t>e</w:t>
      </w:r>
      <w:r w:rsidRPr="003F7065">
        <w:rPr>
          <w:rFonts w:asciiTheme="minorHAnsi" w:hAnsiTheme="minorHAnsi"/>
          <w:sz w:val="24"/>
          <w:szCs w:val="24"/>
        </w:rPr>
        <w:t xml:space="preserve"> a period of time in which a statin should be re-challenged before the commencement of evolocumab</w:t>
      </w:r>
      <w:r w:rsidR="00DB0EDD">
        <w:rPr>
          <w:rFonts w:asciiTheme="minorHAnsi" w:hAnsiTheme="minorHAnsi"/>
          <w:sz w:val="24"/>
          <w:szCs w:val="24"/>
        </w:rPr>
        <w:t xml:space="preserve"> (at least one week apart)</w:t>
      </w:r>
      <w:r w:rsidRPr="003F7065">
        <w:rPr>
          <w:rFonts w:asciiTheme="minorHAnsi" w:hAnsiTheme="minorHAnsi"/>
          <w:sz w:val="24"/>
          <w:szCs w:val="24"/>
        </w:rPr>
        <w:t xml:space="preserve">. The PBAC advised that </w:t>
      </w:r>
      <w:r w:rsidR="00557CCA">
        <w:rPr>
          <w:rFonts w:asciiTheme="minorHAnsi" w:hAnsiTheme="minorHAnsi"/>
          <w:sz w:val="24"/>
          <w:szCs w:val="24"/>
        </w:rPr>
        <w:t>a trial</w:t>
      </w:r>
      <w:r w:rsidRPr="003F7065">
        <w:rPr>
          <w:rFonts w:asciiTheme="minorHAnsi" w:hAnsiTheme="minorHAnsi"/>
          <w:sz w:val="24"/>
          <w:szCs w:val="24"/>
        </w:rPr>
        <w:t xml:space="preserve"> of ezetimibe </w:t>
      </w:r>
      <w:r>
        <w:rPr>
          <w:rFonts w:asciiTheme="minorHAnsi" w:hAnsiTheme="minorHAnsi"/>
          <w:sz w:val="24"/>
          <w:szCs w:val="24"/>
        </w:rPr>
        <w:t xml:space="preserve">should also </w:t>
      </w:r>
      <w:r w:rsidRPr="003F7065">
        <w:rPr>
          <w:rFonts w:asciiTheme="minorHAnsi" w:hAnsiTheme="minorHAnsi"/>
          <w:sz w:val="24"/>
          <w:szCs w:val="24"/>
        </w:rPr>
        <w:t>be included in the restriction</w:t>
      </w:r>
      <w:r w:rsidR="00557CCA">
        <w:rPr>
          <w:rFonts w:asciiTheme="minorHAnsi" w:hAnsiTheme="minorHAnsi"/>
          <w:sz w:val="24"/>
          <w:szCs w:val="24"/>
        </w:rPr>
        <w:t xml:space="preserve">. </w:t>
      </w:r>
    </w:p>
    <w:p w:rsidR="00DB0EDD" w:rsidRDefault="00403478" w:rsidP="004427B3">
      <w:pPr>
        <w:pStyle w:val="ListParagraph"/>
        <w:widowControl/>
        <w:numPr>
          <w:ilvl w:val="1"/>
          <w:numId w:val="14"/>
        </w:numPr>
        <w:spacing w:after="160"/>
        <w:contextualSpacing w:val="0"/>
        <w:rPr>
          <w:rFonts w:asciiTheme="minorHAnsi" w:hAnsiTheme="minorHAnsi"/>
          <w:sz w:val="24"/>
          <w:szCs w:val="24"/>
        </w:rPr>
      </w:pPr>
      <w:r w:rsidRPr="00C17981">
        <w:rPr>
          <w:rFonts w:asciiTheme="minorHAnsi" w:hAnsiTheme="minorHAnsi"/>
          <w:sz w:val="24"/>
          <w:szCs w:val="24"/>
        </w:rPr>
        <w:t xml:space="preserve">The PBAC </w:t>
      </w:r>
      <w:r w:rsidR="00DB0EDD">
        <w:rPr>
          <w:rFonts w:asciiTheme="minorHAnsi" w:hAnsiTheme="minorHAnsi"/>
          <w:sz w:val="24"/>
          <w:szCs w:val="24"/>
        </w:rPr>
        <w:t>considered a single PBS listing for FH would be appropriate and agreed with the Secretariat’s proposal to include increased maximum quantities in the Prescriber Instructions for the homozygous population, as appropriate.</w:t>
      </w:r>
    </w:p>
    <w:p w:rsidR="005C5A1C" w:rsidRDefault="005C5A1C" w:rsidP="004427B3">
      <w:pPr>
        <w:pStyle w:val="ListParagraph"/>
        <w:widowControl/>
        <w:numPr>
          <w:ilvl w:val="1"/>
          <w:numId w:val="14"/>
        </w:numPr>
        <w:spacing w:after="160"/>
        <w:contextualSpacing w:val="0"/>
        <w:rPr>
          <w:rFonts w:asciiTheme="minorHAnsi" w:hAnsiTheme="minorHAnsi"/>
          <w:sz w:val="24"/>
          <w:szCs w:val="24"/>
        </w:rPr>
      </w:pPr>
      <w:r w:rsidRPr="003F7065">
        <w:rPr>
          <w:rFonts w:asciiTheme="minorHAnsi" w:hAnsiTheme="minorHAnsi"/>
          <w:sz w:val="24"/>
          <w:szCs w:val="24"/>
        </w:rPr>
        <w:t>The PBAC noted the sponsor’s request to consider the status of the TGA submission to allow monotherapy with evolocumab in patients who are intolerant/contraindicated to statins</w:t>
      </w:r>
      <w:r w:rsidR="00E513C8">
        <w:rPr>
          <w:rFonts w:asciiTheme="minorHAnsi" w:hAnsiTheme="minorHAnsi"/>
          <w:sz w:val="24"/>
          <w:szCs w:val="24"/>
        </w:rPr>
        <w:t>. The PBAC</w:t>
      </w:r>
      <w:r w:rsidRPr="003F7065">
        <w:rPr>
          <w:rFonts w:asciiTheme="minorHAnsi" w:hAnsiTheme="minorHAnsi"/>
          <w:sz w:val="24"/>
          <w:szCs w:val="24"/>
        </w:rPr>
        <w:t xml:space="preserve"> </w:t>
      </w:r>
      <w:r w:rsidR="00E513C8">
        <w:rPr>
          <w:rFonts w:asciiTheme="minorHAnsi" w:hAnsiTheme="minorHAnsi"/>
          <w:sz w:val="24"/>
          <w:szCs w:val="24"/>
        </w:rPr>
        <w:t>consider</w:t>
      </w:r>
      <w:r w:rsidR="00E513C8" w:rsidRPr="003F7065">
        <w:rPr>
          <w:rFonts w:asciiTheme="minorHAnsi" w:hAnsiTheme="minorHAnsi"/>
          <w:sz w:val="24"/>
          <w:szCs w:val="24"/>
        </w:rPr>
        <w:t>ed</w:t>
      </w:r>
      <w:r w:rsidRPr="003F7065">
        <w:rPr>
          <w:rFonts w:asciiTheme="minorHAnsi" w:hAnsiTheme="minorHAnsi"/>
          <w:sz w:val="24"/>
          <w:szCs w:val="24"/>
        </w:rPr>
        <w:t xml:space="preserve"> that </w:t>
      </w:r>
      <w:r w:rsidR="00E513C8">
        <w:rPr>
          <w:rFonts w:asciiTheme="minorHAnsi" w:hAnsiTheme="minorHAnsi"/>
          <w:sz w:val="24"/>
          <w:szCs w:val="24"/>
        </w:rPr>
        <w:t xml:space="preserve">while continued use of statin and/or ezetimibe should be encouraged, no additional wording to the proposed restriction preventing </w:t>
      </w:r>
      <w:r w:rsidR="00DB0EDD">
        <w:rPr>
          <w:rFonts w:asciiTheme="minorHAnsi" w:hAnsiTheme="minorHAnsi"/>
          <w:sz w:val="24"/>
          <w:szCs w:val="24"/>
        </w:rPr>
        <w:t xml:space="preserve">use of evolocumab as monotherapy </w:t>
      </w:r>
      <w:r w:rsidR="00E513C8">
        <w:rPr>
          <w:rFonts w:asciiTheme="minorHAnsi" w:hAnsiTheme="minorHAnsi"/>
          <w:sz w:val="24"/>
          <w:szCs w:val="24"/>
        </w:rPr>
        <w:t>was required</w:t>
      </w:r>
      <w:r w:rsidRPr="003F7065">
        <w:rPr>
          <w:rFonts w:asciiTheme="minorHAnsi" w:hAnsiTheme="minorHAnsi"/>
          <w:sz w:val="24"/>
          <w:szCs w:val="24"/>
        </w:rPr>
        <w:t>.</w:t>
      </w:r>
    </w:p>
    <w:p w:rsidR="00754983" w:rsidRDefault="00754983" w:rsidP="004427B3">
      <w:pPr>
        <w:pStyle w:val="ListParagraph"/>
        <w:widowControl/>
        <w:numPr>
          <w:ilvl w:val="1"/>
          <w:numId w:val="14"/>
        </w:numPr>
        <w:spacing w:after="160"/>
        <w:contextualSpacing w:val="0"/>
        <w:rPr>
          <w:rFonts w:asciiTheme="minorHAnsi" w:hAnsiTheme="minorHAnsi"/>
          <w:sz w:val="24"/>
          <w:szCs w:val="24"/>
        </w:rPr>
      </w:pPr>
      <w:r>
        <w:rPr>
          <w:rFonts w:asciiTheme="minorHAnsi" w:hAnsiTheme="minorHAnsi"/>
          <w:sz w:val="24"/>
          <w:szCs w:val="24"/>
        </w:rPr>
        <w:t xml:space="preserve">The PBAC recalled from November 2017 that it had considered the </w:t>
      </w:r>
      <w:r w:rsidR="007A4B13">
        <w:rPr>
          <w:rFonts w:asciiTheme="minorHAnsi" w:hAnsiTheme="minorHAnsi"/>
          <w:sz w:val="24"/>
          <w:szCs w:val="24"/>
        </w:rPr>
        <w:t xml:space="preserve">clinical claims of superior effectiveness and similar safety to both ezetimibe </w:t>
      </w:r>
      <w:r w:rsidR="007A4B13" w:rsidRPr="007A4B13">
        <w:rPr>
          <w:rFonts w:asciiTheme="minorHAnsi" w:hAnsiTheme="minorHAnsi"/>
          <w:sz w:val="24"/>
          <w:szCs w:val="24"/>
        </w:rPr>
        <w:t xml:space="preserve">(based on the lipid trials) </w:t>
      </w:r>
      <w:r w:rsidR="007A4B13">
        <w:rPr>
          <w:rFonts w:asciiTheme="minorHAnsi" w:hAnsiTheme="minorHAnsi"/>
          <w:sz w:val="24"/>
          <w:szCs w:val="24"/>
        </w:rPr>
        <w:t xml:space="preserve">and placebo </w:t>
      </w:r>
      <w:r w:rsidR="007A4B13" w:rsidRPr="007A4B13">
        <w:rPr>
          <w:rFonts w:asciiTheme="minorHAnsi" w:hAnsiTheme="minorHAnsi"/>
          <w:sz w:val="24"/>
          <w:szCs w:val="24"/>
        </w:rPr>
        <w:t xml:space="preserve">(based on the FOURIER trial) </w:t>
      </w:r>
      <w:r w:rsidR="007A4B13">
        <w:rPr>
          <w:rFonts w:asciiTheme="minorHAnsi" w:hAnsiTheme="minorHAnsi"/>
          <w:sz w:val="24"/>
          <w:szCs w:val="24"/>
        </w:rPr>
        <w:t>were reasonable.</w:t>
      </w:r>
    </w:p>
    <w:p w:rsidR="00403478" w:rsidRDefault="00403478" w:rsidP="004427B3">
      <w:pPr>
        <w:pStyle w:val="ListParagraph"/>
        <w:widowControl/>
        <w:numPr>
          <w:ilvl w:val="1"/>
          <w:numId w:val="14"/>
        </w:numPr>
        <w:spacing w:after="160"/>
        <w:contextualSpacing w:val="0"/>
        <w:rPr>
          <w:rFonts w:asciiTheme="minorHAnsi" w:hAnsiTheme="minorHAnsi"/>
          <w:sz w:val="24"/>
          <w:szCs w:val="24"/>
        </w:rPr>
      </w:pPr>
      <w:r>
        <w:rPr>
          <w:rFonts w:asciiTheme="minorHAnsi" w:hAnsiTheme="minorHAnsi"/>
          <w:sz w:val="24"/>
          <w:szCs w:val="24"/>
        </w:rPr>
        <w:t xml:space="preserve">The PBAC </w:t>
      </w:r>
      <w:r w:rsidR="007A4B13">
        <w:rPr>
          <w:rFonts w:asciiTheme="minorHAnsi" w:hAnsiTheme="minorHAnsi"/>
          <w:sz w:val="24"/>
          <w:szCs w:val="24"/>
        </w:rPr>
        <w:t>consid</w:t>
      </w:r>
      <w:r w:rsidR="00754983">
        <w:rPr>
          <w:rFonts w:asciiTheme="minorHAnsi" w:hAnsiTheme="minorHAnsi"/>
          <w:sz w:val="24"/>
          <w:szCs w:val="24"/>
        </w:rPr>
        <w:t>e</w:t>
      </w:r>
      <w:r w:rsidR="007A4B13">
        <w:rPr>
          <w:rFonts w:asciiTheme="minorHAnsi" w:hAnsiTheme="minorHAnsi"/>
          <w:sz w:val="24"/>
          <w:szCs w:val="24"/>
        </w:rPr>
        <w:t>re</w:t>
      </w:r>
      <w:r w:rsidR="00754983">
        <w:rPr>
          <w:rFonts w:asciiTheme="minorHAnsi" w:hAnsiTheme="minorHAnsi"/>
          <w:sz w:val="24"/>
          <w:szCs w:val="24"/>
        </w:rPr>
        <w:t xml:space="preserve">d </w:t>
      </w:r>
      <w:r w:rsidR="007A4B13">
        <w:rPr>
          <w:rFonts w:asciiTheme="minorHAnsi" w:hAnsiTheme="minorHAnsi"/>
          <w:sz w:val="24"/>
          <w:szCs w:val="24"/>
        </w:rPr>
        <w:t>t</w:t>
      </w:r>
      <w:r>
        <w:rPr>
          <w:rFonts w:asciiTheme="minorHAnsi" w:hAnsiTheme="minorHAnsi"/>
          <w:sz w:val="24"/>
          <w:szCs w:val="24"/>
        </w:rPr>
        <w:t>he revised economic model and the price adjustment to reflect the delayed CV mortality benefit</w:t>
      </w:r>
      <w:r w:rsidR="00AD7713">
        <w:rPr>
          <w:rFonts w:asciiTheme="minorHAnsi" w:hAnsiTheme="minorHAnsi"/>
          <w:sz w:val="24"/>
          <w:szCs w:val="24"/>
        </w:rPr>
        <w:t xml:space="preserve"> were acceptable for the</w:t>
      </w:r>
      <w:r w:rsidR="00754983">
        <w:rPr>
          <w:rFonts w:asciiTheme="minorHAnsi" w:hAnsiTheme="minorHAnsi"/>
          <w:sz w:val="24"/>
          <w:szCs w:val="24"/>
        </w:rPr>
        <w:t xml:space="preserve"> heterozygous FH population</w:t>
      </w:r>
      <w:r>
        <w:rPr>
          <w:rFonts w:asciiTheme="minorHAnsi" w:hAnsiTheme="minorHAnsi"/>
          <w:sz w:val="24"/>
          <w:szCs w:val="24"/>
        </w:rPr>
        <w:t xml:space="preserve">. The PBAC noted that the </w:t>
      </w:r>
      <w:r w:rsidR="00754983">
        <w:rPr>
          <w:rFonts w:asciiTheme="minorHAnsi" w:hAnsiTheme="minorHAnsi"/>
          <w:sz w:val="24"/>
          <w:szCs w:val="24"/>
        </w:rPr>
        <w:t xml:space="preserve">resultant </w:t>
      </w:r>
      <w:r>
        <w:rPr>
          <w:rFonts w:asciiTheme="minorHAnsi" w:hAnsiTheme="minorHAnsi"/>
          <w:sz w:val="24"/>
          <w:szCs w:val="24"/>
        </w:rPr>
        <w:t>ICER</w:t>
      </w:r>
      <w:r w:rsidR="00754983">
        <w:rPr>
          <w:rFonts w:asciiTheme="minorHAnsi" w:hAnsiTheme="minorHAnsi"/>
          <w:sz w:val="24"/>
          <w:szCs w:val="24"/>
        </w:rPr>
        <w:t>s</w:t>
      </w:r>
      <w:r>
        <w:rPr>
          <w:rFonts w:asciiTheme="minorHAnsi" w:hAnsiTheme="minorHAnsi"/>
          <w:sz w:val="24"/>
          <w:szCs w:val="24"/>
        </w:rPr>
        <w:t xml:space="preserve"> w</w:t>
      </w:r>
      <w:r w:rsidR="00754983">
        <w:rPr>
          <w:rFonts w:asciiTheme="minorHAnsi" w:hAnsiTheme="minorHAnsi"/>
          <w:sz w:val="24"/>
          <w:szCs w:val="24"/>
        </w:rPr>
        <w:t>ere</w:t>
      </w:r>
      <w:r>
        <w:rPr>
          <w:rFonts w:asciiTheme="minorHAnsi" w:hAnsiTheme="minorHAnsi"/>
          <w:sz w:val="24"/>
          <w:szCs w:val="24"/>
        </w:rPr>
        <w:t xml:space="preserve"> comparable </w:t>
      </w:r>
      <w:r w:rsidR="00754983">
        <w:rPr>
          <w:rFonts w:asciiTheme="minorHAnsi" w:hAnsiTheme="minorHAnsi"/>
          <w:sz w:val="24"/>
          <w:szCs w:val="24"/>
        </w:rPr>
        <w:t>to those considered in the</w:t>
      </w:r>
      <w:r>
        <w:rPr>
          <w:rFonts w:asciiTheme="minorHAnsi" w:hAnsiTheme="minorHAnsi"/>
          <w:sz w:val="24"/>
          <w:szCs w:val="24"/>
        </w:rPr>
        <w:t xml:space="preserve"> November </w:t>
      </w:r>
      <w:r w:rsidR="00754983">
        <w:rPr>
          <w:rFonts w:asciiTheme="minorHAnsi" w:hAnsiTheme="minorHAnsi"/>
          <w:sz w:val="24"/>
          <w:szCs w:val="24"/>
        </w:rPr>
        <w:t xml:space="preserve">2017 </w:t>
      </w:r>
      <w:r>
        <w:rPr>
          <w:rFonts w:asciiTheme="minorHAnsi" w:hAnsiTheme="minorHAnsi"/>
          <w:sz w:val="24"/>
          <w:szCs w:val="24"/>
        </w:rPr>
        <w:t xml:space="preserve">submission. </w:t>
      </w:r>
    </w:p>
    <w:p w:rsidR="00205295" w:rsidRDefault="00205295" w:rsidP="004427B3">
      <w:pPr>
        <w:pStyle w:val="ListParagraph"/>
        <w:widowControl/>
        <w:numPr>
          <w:ilvl w:val="1"/>
          <w:numId w:val="14"/>
        </w:numPr>
        <w:spacing w:after="160"/>
        <w:contextualSpacing w:val="0"/>
        <w:rPr>
          <w:rFonts w:asciiTheme="minorHAnsi" w:hAnsiTheme="minorHAnsi"/>
          <w:sz w:val="24"/>
          <w:szCs w:val="24"/>
        </w:rPr>
      </w:pPr>
      <w:r>
        <w:rPr>
          <w:rFonts w:asciiTheme="minorHAnsi" w:hAnsiTheme="minorHAnsi"/>
          <w:sz w:val="24"/>
          <w:szCs w:val="24"/>
        </w:rPr>
        <w:t>The PBAC noted the revised financial estimates appropriately removed cost-offsets for ezetim</w:t>
      </w:r>
      <w:r w:rsidR="00FD5DB9">
        <w:rPr>
          <w:rFonts w:asciiTheme="minorHAnsi" w:hAnsiTheme="minorHAnsi"/>
          <w:sz w:val="24"/>
          <w:szCs w:val="24"/>
        </w:rPr>
        <w:t>i</w:t>
      </w:r>
      <w:r>
        <w:rPr>
          <w:rFonts w:asciiTheme="minorHAnsi" w:hAnsiTheme="minorHAnsi"/>
          <w:sz w:val="24"/>
          <w:szCs w:val="24"/>
        </w:rPr>
        <w:t xml:space="preserve">be use and incorporated the revised effective price. However, the PBAC noted a number of other issues raised by DUSC in November 2017 were not resolved and considered this contributes to uncertainty in estimating the eligible patient population and uptake. </w:t>
      </w:r>
      <w:r w:rsidR="0061617A">
        <w:rPr>
          <w:rFonts w:asciiTheme="minorHAnsi" w:hAnsiTheme="minorHAnsi"/>
          <w:sz w:val="24"/>
          <w:szCs w:val="24"/>
        </w:rPr>
        <w:t>The PBAC noted the sponsor’s proposal for a</w:t>
      </w:r>
      <w:r w:rsidR="00D55A00">
        <w:rPr>
          <w:rFonts w:asciiTheme="minorHAnsi" w:hAnsiTheme="minorHAnsi"/>
          <w:sz w:val="24"/>
          <w:szCs w:val="24"/>
        </w:rPr>
        <w:t>n</w:t>
      </w:r>
      <w:r w:rsidR="0061617A">
        <w:rPr>
          <w:rFonts w:asciiTheme="minorHAnsi" w:hAnsiTheme="minorHAnsi"/>
          <w:sz w:val="24"/>
          <w:szCs w:val="24"/>
        </w:rPr>
        <w:t xml:space="preserve"> RSA with a tiered cap to account for uncertainty </w:t>
      </w:r>
      <w:r w:rsidR="00E70781">
        <w:rPr>
          <w:rFonts w:asciiTheme="minorHAnsi" w:hAnsiTheme="minorHAnsi"/>
          <w:sz w:val="24"/>
          <w:szCs w:val="24"/>
        </w:rPr>
        <w:t>i</w:t>
      </w:r>
      <w:r w:rsidR="0061617A">
        <w:rPr>
          <w:rFonts w:asciiTheme="minorHAnsi" w:hAnsiTheme="minorHAnsi"/>
          <w:sz w:val="24"/>
          <w:szCs w:val="24"/>
        </w:rPr>
        <w:t xml:space="preserve">n the size and uptake of the eligible FH population, and potential use outside the approved FH population. The PBAC raised concerns regarding the proposed figures </w:t>
      </w:r>
      <w:r w:rsidR="00D55A00">
        <w:rPr>
          <w:rFonts w:asciiTheme="minorHAnsi" w:hAnsiTheme="minorHAnsi"/>
          <w:sz w:val="24"/>
          <w:szCs w:val="24"/>
        </w:rPr>
        <w:t xml:space="preserve">and </w:t>
      </w:r>
      <w:r w:rsidR="005A614E">
        <w:rPr>
          <w:rFonts w:asciiTheme="minorHAnsi" w:hAnsiTheme="minorHAnsi"/>
          <w:noProof/>
          <w:color w:val="000000"/>
          <w:sz w:val="24"/>
          <w:szCs w:val="24"/>
          <w:highlight w:val="black"/>
        </w:rPr>
        <w:t>'''''</w:t>
      </w:r>
      <w:r w:rsidR="00D55A00">
        <w:rPr>
          <w:rFonts w:asciiTheme="minorHAnsi" w:hAnsiTheme="minorHAnsi"/>
          <w:sz w:val="24"/>
          <w:szCs w:val="24"/>
        </w:rPr>
        <w:t xml:space="preserve">% rebate </w:t>
      </w:r>
      <w:r w:rsidR="0061617A">
        <w:rPr>
          <w:rFonts w:asciiTheme="minorHAnsi" w:hAnsiTheme="minorHAnsi"/>
          <w:sz w:val="24"/>
          <w:szCs w:val="24"/>
        </w:rPr>
        <w:t xml:space="preserve">for the Tier 2 cap which were </w:t>
      </w:r>
      <w:r w:rsidR="00D55A00">
        <w:rPr>
          <w:rFonts w:asciiTheme="minorHAnsi" w:hAnsiTheme="minorHAnsi"/>
          <w:sz w:val="24"/>
          <w:szCs w:val="24"/>
        </w:rPr>
        <w:t xml:space="preserve">somewhat arbitrary </w:t>
      </w:r>
      <w:r w:rsidR="0061617A">
        <w:rPr>
          <w:rFonts w:asciiTheme="minorHAnsi" w:hAnsiTheme="minorHAnsi"/>
          <w:sz w:val="24"/>
          <w:szCs w:val="24"/>
        </w:rPr>
        <w:t xml:space="preserve">and </w:t>
      </w:r>
      <w:r w:rsidR="00E537B6">
        <w:rPr>
          <w:rFonts w:asciiTheme="minorHAnsi" w:hAnsiTheme="minorHAnsi"/>
          <w:sz w:val="24"/>
          <w:szCs w:val="24"/>
        </w:rPr>
        <w:t>requires</w:t>
      </w:r>
      <w:r w:rsidR="0061617A">
        <w:rPr>
          <w:rFonts w:asciiTheme="minorHAnsi" w:hAnsiTheme="minorHAnsi"/>
          <w:sz w:val="24"/>
          <w:szCs w:val="24"/>
        </w:rPr>
        <w:t xml:space="preserve"> further revision. The PBAC also noted the estimated expenditure </w:t>
      </w:r>
      <w:r w:rsidR="00F60B45">
        <w:rPr>
          <w:rFonts w:asciiTheme="minorHAnsi" w:hAnsiTheme="minorHAnsi"/>
          <w:sz w:val="24"/>
          <w:szCs w:val="24"/>
        </w:rPr>
        <w:t>in this minor resubmission wa</w:t>
      </w:r>
      <w:r w:rsidR="0061617A">
        <w:rPr>
          <w:rFonts w:asciiTheme="minorHAnsi" w:hAnsiTheme="minorHAnsi"/>
          <w:sz w:val="24"/>
          <w:szCs w:val="24"/>
        </w:rPr>
        <w:t>s for the heterozygous FH population only</w:t>
      </w:r>
      <w:r w:rsidR="00F60B45">
        <w:rPr>
          <w:rFonts w:asciiTheme="minorHAnsi" w:hAnsiTheme="minorHAnsi"/>
          <w:sz w:val="24"/>
          <w:szCs w:val="24"/>
        </w:rPr>
        <w:t>;</w:t>
      </w:r>
      <w:r w:rsidR="0061617A">
        <w:rPr>
          <w:rFonts w:asciiTheme="minorHAnsi" w:hAnsiTheme="minorHAnsi"/>
          <w:sz w:val="24"/>
          <w:szCs w:val="24"/>
        </w:rPr>
        <w:t xml:space="preserve"> </w:t>
      </w:r>
      <w:r w:rsidR="00F60B45">
        <w:rPr>
          <w:rFonts w:asciiTheme="minorHAnsi" w:hAnsiTheme="minorHAnsi"/>
          <w:sz w:val="24"/>
          <w:szCs w:val="24"/>
        </w:rPr>
        <w:t xml:space="preserve">the PBAC considered </w:t>
      </w:r>
      <w:r w:rsidR="0061617A">
        <w:rPr>
          <w:rFonts w:asciiTheme="minorHAnsi" w:hAnsiTheme="minorHAnsi"/>
          <w:sz w:val="24"/>
          <w:szCs w:val="24"/>
        </w:rPr>
        <w:t xml:space="preserve">that the RSA </w:t>
      </w:r>
      <w:r w:rsidR="00F60B45">
        <w:rPr>
          <w:rFonts w:asciiTheme="minorHAnsi" w:hAnsiTheme="minorHAnsi"/>
          <w:sz w:val="24"/>
          <w:szCs w:val="24"/>
        </w:rPr>
        <w:t xml:space="preserve">would need to encompass the homozygous FH population as well and </w:t>
      </w:r>
      <w:r w:rsidR="0061617A">
        <w:rPr>
          <w:rFonts w:asciiTheme="minorHAnsi" w:hAnsiTheme="minorHAnsi"/>
          <w:sz w:val="24"/>
          <w:szCs w:val="24"/>
        </w:rPr>
        <w:t>the hard cap (</w:t>
      </w:r>
      <w:r w:rsidR="005A614E">
        <w:rPr>
          <w:rFonts w:asciiTheme="minorHAnsi" w:hAnsiTheme="minorHAnsi"/>
          <w:noProof/>
          <w:color w:val="000000"/>
          <w:sz w:val="24"/>
          <w:szCs w:val="24"/>
          <w:highlight w:val="black"/>
        </w:rPr>
        <w:t>'''''''</w:t>
      </w:r>
      <w:r w:rsidR="0061617A">
        <w:rPr>
          <w:rFonts w:asciiTheme="minorHAnsi" w:hAnsiTheme="minorHAnsi"/>
          <w:sz w:val="24"/>
          <w:szCs w:val="24"/>
        </w:rPr>
        <w:t xml:space="preserve">% rebate) was </w:t>
      </w:r>
      <w:r w:rsidR="00F60B45">
        <w:rPr>
          <w:rFonts w:asciiTheme="minorHAnsi" w:hAnsiTheme="minorHAnsi"/>
          <w:sz w:val="24"/>
          <w:szCs w:val="24"/>
        </w:rPr>
        <w:t>essential to containing the risk of use beyond the PBS eligible population</w:t>
      </w:r>
      <w:r w:rsidR="0061617A">
        <w:rPr>
          <w:rFonts w:asciiTheme="minorHAnsi" w:hAnsiTheme="minorHAnsi"/>
          <w:sz w:val="24"/>
          <w:szCs w:val="24"/>
        </w:rPr>
        <w:t xml:space="preserve">.  </w:t>
      </w:r>
    </w:p>
    <w:p w:rsidR="005C5A1C" w:rsidRPr="004129E2" w:rsidRDefault="005C5A1C" w:rsidP="004427B3">
      <w:pPr>
        <w:pStyle w:val="ListParagraph"/>
        <w:widowControl/>
        <w:numPr>
          <w:ilvl w:val="1"/>
          <w:numId w:val="14"/>
        </w:numPr>
        <w:spacing w:after="160"/>
        <w:contextualSpacing w:val="0"/>
        <w:rPr>
          <w:rFonts w:asciiTheme="minorHAnsi" w:hAnsiTheme="minorHAnsi"/>
          <w:sz w:val="24"/>
          <w:szCs w:val="24"/>
        </w:rPr>
      </w:pPr>
      <w:r w:rsidRPr="00E11620">
        <w:rPr>
          <w:rFonts w:asciiTheme="minorHAnsi" w:hAnsiTheme="minorHAnsi"/>
          <w:sz w:val="24"/>
          <w:szCs w:val="24"/>
        </w:rPr>
        <w:t xml:space="preserve">Evolocumab is currently not included for prescribing by nurse </w:t>
      </w:r>
      <w:r w:rsidR="006B796A">
        <w:rPr>
          <w:rFonts w:asciiTheme="minorHAnsi" w:hAnsiTheme="minorHAnsi"/>
          <w:sz w:val="24"/>
          <w:szCs w:val="24"/>
        </w:rPr>
        <w:t>practitioners given that it is the</w:t>
      </w:r>
      <w:r w:rsidRPr="00E11620">
        <w:rPr>
          <w:rFonts w:asciiTheme="minorHAnsi" w:hAnsiTheme="minorHAnsi"/>
          <w:sz w:val="24"/>
          <w:szCs w:val="24"/>
        </w:rPr>
        <w:t xml:space="preserve"> first drug in </w:t>
      </w:r>
      <w:r w:rsidR="006B796A">
        <w:rPr>
          <w:rFonts w:asciiTheme="minorHAnsi" w:hAnsiTheme="minorHAnsi"/>
          <w:sz w:val="24"/>
          <w:szCs w:val="24"/>
        </w:rPr>
        <w:t xml:space="preserve">this </w:t>
      </w:r>
      <w:r w:rsidRPr="00E11620">
        <w:rPr>
          <w:rFonts w:asciiTheme="minorHAnsi" w:hAnsiTheme="minorHAnsi"/>
          <w:sz w:val="24"/>
          <w:szCs w:val="24"/>
        </w:rPr>
        <w:t>class.</w:t>
      </w:r>
    </w:p>
    <w:p w:rsidR="005C5A1C" w:rsidRDefault="005C5A1C" w:rsidP="004427B3">
      <w:pPr>
        <w:pStyle w:val="ListParagraph"/>
        <w:widowControl/>
        <w:numPr>
          <w:ilvl w:val="1"/>
          <w:numId w:val="14"/>
        </w:numPr>
        <w:spacing w:after="160"/>
        <w:contextualSpacing w:val="0"/>
        <w:rPr>
          <w:rFonts w:asciiTheme="minorHAnsi" w:hAnsiTheme="minorHAnsi"/>
          <w:sz w:val="24"/>
          <w:szCs w:val="24"/>
        </w:rPr>
      </w:pPr>
      <w:r w:rsidRPr="00E11620">
        <w:rPr>
          <w:rFonts w:asciiTheme="minorHAnsi" w:hAnsiTheme="minorHAnsi"/>
          <w:sz w:val="24"/>
          <w:szCs w:val="24"/>
        </w:rPr>
        <w:t>Evolocumab should not be exe</w:t>
      </w:r>
      <w:r>
        <w:rPr>
          <w:rFonts w:asciiTheme="minorHAnsi" w:hAnsiTheme="minorHAnsi"/>
          <w:sz w:val="24"/>
          <w:szCs w:val="24"/>
        </w:rPr>
        <w:t xml:space="preserve">mpt from the Early Supply Rule, as it </w:t>
      </w:r>
      <w:r w:rsidRPr="00E11620">
        <w:rPr>
          <w:rFonts w:asciiTheme="minorHAnsi" w:hAnsiTheme="minorHAnsi"/>
          <w:sz w:val="24"/>
          <w:szCs w:val="24"/>
        </w:rPr>
        <w:t xml:space="preserve">applies to the current PBS listing for evolocumab. </w:t>
      </w:r>
    </w:p>
    <w:p w:rsidR="005C5A1C" w:rsidRPr="00210C0C" w:rsidRDefault="005C5A1C" w:rsidP="004427B3">
      <w:pPr>
        <w:pStyle w:val="ListParagraph"/>
        <w:widowControl/>
        <w:numPr>
          <w:ilvl w:val="1"/>
          <w:numId w:val="14"/>
        </w:numPr>
        <w:spacing w:after="160"/>
        <w:contextualSpacing w:val="0"/>
        <w:rPr>
          <w:rFonts w:asciiTheme="minorHAnsi" w:hAnsiTheme="minorHAnsi"/>
          <w:sz w:val="24"/>
          <w:szCs w:val="24"/>
        </w:rPr>
      </w:pPr>
      <w:r>
        <w:rPr>
          <w:rFonts w:asciiTheme="minorHAnsi" w:hAnsiTheme="minorHAnsi"/>
          <w:sz w:val="24"/>
          <w:szCs w:val="24"/>
        </w:rPr>
        <w:t>The PBAC advised that this submission would not meet the criteria for an Independent Review as it received a positive recommendation.</w:t>
      </w:r>
    </w:p>
    <w:p w:rsidR="009362ED" w:rsidRPr="00EF5C9A" w:rsidRDefault="009362ED" w:rsidP="009362ED">
      <w:pPr>
        <w:spacing w:before="240"/>
        <w:jc w:val="both"/>
        <w:rPr>
          <w:rFonts w:asciiTheme="minorHAnsi" w:hAnsiTheme="minorHAnsi" w:cs="Arial"/>
          <w:b/>
          <w:bCs/>
          <w:snapToGrid w:val="0"/>
          <w:lang w:val="en-GB"/>
        </w:rPr>
      </w:pPr>
      <w:r w:rsidRPr="00EF5C9A">
        <w:rPr>
          <w:rFonts w:asciiTheme="minorHAnsi" w:hAnsiTheme="minorHAnsi" w:cs="Arial"/>
          <w:b/>
          <w:bCs/>
          <w:snapToGrid w:val="0"/>
          <w:lang w:val="en-GB"/>
        </w:rPr>
        <w:t>Outcome:</w:t>
      </w:r>
    </w:p>
    <w:p w:rsidR="009E65F3" w:rsidRPr="009E65F3" w:rsidRDefault="005C5A1C" w:rsidP="009E65F3">
      <w:pPr>
        <w:jc w:val="both"/>
        <w:rPr>
          <w:rFonts w:asciiTheme="minorHAnsi" w:hAnsiTheme="minorHAnsi" w:cs="Arial"/>
          <w:bCs/>
          <w:snapToGrid w:val="0"/>
          <w:lang w:val="en-GB"/>
        </w:rPr>
      </w:pPr>
      <w:r>
        <w:rPr>
          <w:rFonts w:asciiTheme="minorHAnsi" w:hAnsiTheme="minorHAnsi" w:cs="Arial"/>
          <w:bCs/>
          <w:snapToGrid w:val="0"/>
          <w:lang w:val="en-GB"/>
        </w:rPr>
        <w:t>Recommended</w:t>
      </w:r>
    </w:p>
    <w:p w:rsidR="009362ED" w:rsidRDefault="009362ED" w:rsidP="003144AC">
      <w:pPr>
        <w:pStyle w:val="Heading1"/>
        <w:rPr>
          <w:lang w:val="en-GB"/>
        </w:rPr>
      </w:pPr>
      <w:r w:rsidRPr="00B02E2C">
        <w:rPr>
          <w:lang w:val="en-GB"/>
        </w:rPr>
        <w:t>Recommended listing</w:t>
      </w:r>
    </w:p>
    <w:p w:rsidR="00E62EF7" w:rsidRPr="00E62EF7" w:rsidRDefault="00E62EF7" w:rsidP="00B9648E">
      <w:pPr>
        <w:widowControl w:val="0"/>
        <w:spacing w:after="160"/>
        <w:jc w:val="both"/>
        <w:rPr>
          <w:rFonts w:asciiTheme="minorHAnsi" w:hAnsiTheme="minorHAnsi" w:cs="Arial"/>
          <w:bCs/>
          <w:snapToGrid w:val="0"/>
        </w:rPr>
      </w:pPr>
      <w:r w:rsidRPr="00E62EF7">
        <w:rPr>
          <w:rFonts w:asciiTheme="minorHAnsi" w:hAnsiTheme="minorHAnsi" w:cs="Arial"/>
          <w:bCs/>
          <w:snapToGrid w:val="0"/>
        </w:rPr>
        <w:t xml:space="preserve">Amend existing listing: </w:t>
      </w:r>
      <w:r w:rsidRPr="00E62EF7">
        <w:rPr>
          <w:rFonts w:asciiTheme="minorHAnsi" w:hAnsiTheme="minorHAnsi" w:cs="Arial"/>
          <w:bCs/>
          <w:i/>
          <w:snapToGrid w:val="0"/>
        </w:rPr>
        <w:t>to be finalised.</w:t>
      </w:r>
    </w:p>
    <w:p w:rsidR="00E62EF7" w:rsidRDefault="00E62EF7" w:rsidP="003144AC">
      <w:pPr>
        <w:pStyle w:val="Heading1"/>
        <w:rPr>
          <w:lang w:val="en-GB"/>
        </w:rPr>
      </w:pPr>
      <w:r>
        <w:rPr>
          <w:lang w:val="en-GB"/>
        </w:rPr>
        <w:t>Context for Decision</w:t>
      </w:r>
    </w:p>
    <w:p w:rsidR="00E62EF7" w:rsidRPr="00A41664" w:rsidRDefault="00E62EF7" w:rsidP="00A41664">
      <w:pPr>
        <w:rPr>
          <w:rFonts w:asciiTheme="minorHAnsi" w:eastAsiaTheme="minorHAnsi" w:hAnsiTheme="minorHAnsi"/>
        </w:rPr>
      </w:pPr>
      <w:r w:rsidRPr="00A41664">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62EF7" w:rsidRDefault="00E62EF7" w:rsidP="003144AC">
      <w:pPr>
        <w:pStyle w:val="Heading1"/>
        <w:rPr>
          <w:lang w:val="en-GB"/>
        </w:rPr>
      </w:pPr>
      <w:r>
        <w:rPr>
          <w:lang w:val="en-GB"/>
        </w:rPr>
        <w:t>Sponsor’s Comment</w:t>
      </w:r>
    </w:p>
    <w:p w:rsidR="00E62EF7" w:rsidRDefault="000A3BF1" w:rsidP="004427B3">
      <w:pPr>
        <w:widowControl w:val="0"/>
        <w:spacing w:after="160"/>
        <w:jc w:val="both"/>
        <w:rPr>
          <w:rFonts w:asciiTheme="minorHAnsi" w:hAnsiTheme="minorHAnsi" w:cs="Arial"/>
          <w:bCs/>
          <w:i/>
          <w:snapToGrid w:val="0"/>
        </w:rPr>
      </w:pPr>
      <w:r w:rsidRPr="000A3BF1">
        <w:rPr>
          <w:rFonts w:asciiTheme="minorHAnsi" w:eastAsiaTheme="minorHAnsi" w:hAnsiTheme="minorHAnsi" w:cs="Arial"/>
          <w:szCs w:val="22"/>
          <w:lang w:eastAsia="en-US"/>
        </w:rPr>
        <w:t>Amgen is pleased that the PBAC has recommended evolocumab for all FH patients who are at very high CV risk and require access to effective therapy to achieve reductions in LDL-C to target levels.</w:t>
      </w:r>
    </w:p>
    <w:sectPr w:rsidR="00E62EF7" w:rsidSect="00472423">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757"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EC96BA" w15:done="0"/>
  <w15:commentEx w15:paraId="065F44FA" w15:done="0"/>
  <w15:commentEx w15:paraId="0FE5D169" w15:done="0"/>
  <w15:commentEx w15:paraId="7E9F7186" w15:done="0"/>
  <w15:commentEx w15:paraId="45D30D5A" w15:done="0"/>
  <w15:commentEx w15:paraId="4CB410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EC96BA" w16cid:durableId="1E63D013"/>
  <w16cid:commentId w16cid:paraId="065F44FA" w16cid:durableId="1E63D023"/>
  <w16cid:commentId w16cid:paraId="0FE5D169" w16cid:durableId="1E63D104"/>
  <w16cid:commentId w16cid:paraId="7E9F7186" w16cid:durableId="1E63D204"/>
  <w16cid:commentId w16cid:paraId="45D30D5A" w16cid:durableId="1E63D2FB"/>
  <w16cid:commentId w16cid:paraId="4CB41048" w16cid:durableId="1E63D4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14E" w:rsidRDefault="005A614E">
      <w:r>
        <w:separator/>
      </w:r>
    </w:p>
    <w:p w:rsidR="005A614E" w:rsidRDefault="005A614E"/>
    <w:p w:rsidR="005A614E" w:rsidRDefault="005A614E"/>
    <w:p w:rsidR="005A614E" w:rsidRDefault="005A614E" w:rsidP="00A41664"/>
  </w:endnote>
  <w:endnote w:type="continuationSeparator" w:id="0">
    <w:p w:rsidR="005A614E" w:rsidRDefault="005A614E">
      <w:r>
        <w:continuationSeparator/>
      </w:r>
    </w:p>
    <w:p w:rsidR="005A614E" w:rsidRDefault="005A614E"/>
    <w:p w:rsidR="005A614E" w:rsidRDefault="005A614E"/>
    <w:p w:rsidR="005A614E" w:rsidRDefault="005A614E" w:rsidP="00A41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4464D" w:rsidTr="005A3173">
      <w:trPr>
        <w:trHeight w:val="151"/>
      </w:trPr>
      <w:tc>
        <w:tcPr>
          <w:tcW w:w="2250" w:type="pct"/>
          <w:tcBorders>
            <w:top w:val="nil"/>
            <w:left w:val="nil"/>
            <w:bottom w:val="single" w:sz="4" w:space="0" w:color="4F81BD"/>
            <w:right w:val="nil"/>
          </w:tcBorders>
        </w:tcPr>
        <w:p w:rsidR="0074464D" w:rsidRPr="005A3173" w:rsidRDefault="0074464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4464D" w:rsidRPr="005A3173" w:rsidRDefault="0074464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4464D" w:rsidRPr="005A3173" w:rsidRDefault="0074464D" w:rsidP="005A3173">
          <w:pPr>
            <w:pStyle w:val="Header"/>
            <w:spacing w:line="276" w:lineRule="auto"/>
            <w:rPr>
              <w:rFonts w:ascii="Calibri" w:eastAsia="MS Gothic" w:hAnsi="Calibri"/>
              <w:b/>
              <w:bCs/>
              <w:color w:val="4F81BD"/>
            </w:rPr>
          </w:pPr>
        </w:p>
      </w:tc>
    </w:tr>
    <w:tr w:rsidR="0074464D" w:rsidTr="005A3173">
      <w:trPr>
        <w:trHeight w:val="150"/>
      </w:trPr>
      <w:tc>
        <w:tcPr>
          <w:tcW w:w="2250" w:type="pct"/>
          <w:tcBorders>
            <w:top w:val="single" w:sz="4" w:space="0" w:color="4F81BD"/>
            <w:left w:val="nil"/>
            <w:bottom w:val="nil"/>
            <w:right w:val="nil"/>
          </w:tcBorders>
        </w:tcPr>
        <w:p w:rsidR="0074464D" w:rsidRPr="005A3173" w:rsidRDefault="0074464D" w:rsidP="005A3173">
          <w:pPr>
            <w:pStyle w:val="Header"/>
            <w:spacing w:line="276" w:lineRule="auto"/>
            <w:rPr>
              <w:rFonts w:ascii="Calibri" w:eastAsia="MS Gothic" w:hAnsi="Calibri"/>
              <w:b/>
              <w:bCs/>
              <w:color w:val="4F81BD"/>
            </w:rPr>
          </w:pPr>
        </w:p>
      </w:tc>
      <w:tc>
        <w:tcPr>
          <w:tcW w:w="0" w:type="auto"/>
          <w:vMerge/>
          <w:vAlign w:val="center"/>
          <w:hideMark/>
        </w:tcPr>
        <w:p w:rsidR="0074464D" w:rsidRPr="005A3173" w:rsidRDefault="0074464D" w:rsidP="005A3173">
          <w:pPr>
            <w:rPr>
              <w:rFonts w:ascii="Calibri" w:hAnsi="Calibri"/>
              <w:color w:val="365F91"/>
              <w:sz w:val="22"/>
              <w:szCs w:val="22"/>
            </w:rPr>
          </w:pPr>
        </w:p>
      </w:tc>
      <w:tc>
        <w:tcPr>
          <w:tcW w:w="2250" w:type="pct"/>
          <w:tcBorders>
            <w:top w:val="single" w:sz="4" w:space="0" w:color="4F81BD"/>
            <w:left w:val="nil"/>
            <w:bottom w:val="nil"/>
            <w:right w:val="nil"/>
          </w:tcBorders>
        </w:tcPr>
        <w:p w:rsidR="0074464D" w:rsidRPr="005A3173" w:rsidRDefault="0074464D" w:rsidP="005A3173">
          <w:pPr>
            <w:pStyle w:val="Header"/>
            <w:spacing w:line="276" w:lineRule="auto"/>
            <w:rPr>
              <w:rFonts w:ascii="Calibri" w:eastAsia="MS Gothic" w:hAnsi="Calibri"/>
              <w:b/>
              <w:bCs/>
              <w:color w:val="4F81BD"/>
            </w:rPr>
          </w:pPr>
        </w:p>
      </w:tc>
    </w:tr>
  </w:tbl>
  <w:p w:rsidR="0074464D" w:rsidRDefault="0074464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4464D" w:rsidRDefault="0074464D">
    <w:pPr>
      <w:pStyle w:val="Footer"/>
    </w:pPr>
  </w:p>
  <w:p w:rsidR="0074464D" w:rsidRDefault="0074464D"/>
  <w:p w:rsidR="00226FDD" w:rsidRDefault="00226FDD"/>
  <w:p w:rsidR="00226FDD" w:rsidRDefault="00226FDD" w:rsidP="00A416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438586"/>
      <w:docPartObj>
        <w:docPartGallery w:val="Page Numbers (Bottom of Page)"/>
        <w:docPartUnique/>
      </w:docPartObj>
    </w:sdtPr>
    <w:sdtEndPr>
      <w:rPr>
        <w:b/>
        <w:noProof/>
      </w:rPr>
    </w:sdtEndPr>
    <w:sdtContent>
      <w:p w:rsidR="00226FDD" w:rsidRPr="00324AE8" w:rsidRDefault="0074464D" w:rsidP="00324AE8">
        <w:pPr>
          <w:pStyle w:val="Footer"/>
          <w:jc w:val="center"/>
          <w:rPr>
            <w:b/>
          </w:rPr>
        </w:pPr>
        <w:r w:rsidRPr="00E11620">
          <w:rPr>
            <w:b/>
          </w:rPr>
          <w:fldChar w:fldCharType="begin"/>
        </w:r>
        <w:r w:rsidRPr="00E11620">
          <w:rPr>
            <w:b/>
          </w:rPr>
          <w:instrText xml:space="preserve"> PAGE   \* MERGEFORMAT </w:instrText>
        </w:r>
        <w:r w:rsidRPr="00E11620">
          <w:rPr>
            <w:b/>
          </w:rPr>
          <w:fldChar w:fldCharType="separate"/>
        </w:r>
        <w:r w:rsidR="005A614E">
          <w:rPr>
            <w:b/>
            <w:noProof/>
          </w:rPr>
          <w:t>12</w:t>
        </w:r>
        <w:r w:rsidRPr="00E11620">
          <w:rPr>
            <w:b/>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74464D" w:rsidTr="005A3173">
      <w:trPr>
        <w:trHeight w:val="151"/>
      </w:trPr>
      <w:tc>
        <w:tcPr>
          <w:tcW w:w="2250" w:type="pct"/>
          <w:tcBorders>
            <w:top w:val="nil"/>
            <w:left w:val="nil"/>
            <w:bottom w:val="single" w:sz="4" w:space="0" w:color="4F81BD"/>
            <w:right w:val="nil"/>
          </w:tcBorders>
        </w:tcPr>
        <w:p w:rsidR="0074464D" w:rsidRPr="005A3173" w:rsidRDefault="0074464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4464D" w:rsidRPr="005A3173" w:rsidRDefault="0074464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4464D" w:rsidRPr="005A3173" w:rsidRDefault="0074464D" w:rsidP="005A3173">
          <w:pPr>
            <w:pStyle w:val="Header"/>
            <w:spacing w:line="276" w:lineRule="auto"/>
            <w:rPr>
              <w:rFonts w:ascii="Calibri" w:eastAsia="MS Gothic" w:hAnsi="Calibri"/>
              <w:b/>
              <w:bCs/>
              <w:color w:val="4F81BD"/>
            </w:rPr>
          </w:pPr>
        </w:p>
      </w:tc>
    </w:tr>
    <w:tr w:rsidR="0074464D" w:rsidTr="005A3173">
      <w:trPr>
        <w:trHeight w:val="150"/>
      </w:trPr>
      <w:tc>
        <w:tcPr>
          <w:tcW w:w="2250" w:type="pct"/>
          <w:tcBorders>
            <w:top w:val="single" w:sz="4" w:space="0" w:color="4F81BD"/>
            <w:left w:val="nil"/>
            <w:bottom w:val="nil"/>
            <w:right w:val="nil"/>
          </w:tcBorders>
        </w:tcPr>
        <w:p w:rsidR="0074464D" w:rsidRPr="005A3173" w:rsidRDefault="0074464D" w:rsidP="005A3173">
          <w:pPr>
            <w:pStyle w:val="Header"/>
            <w:spacing w:line="276" w:lineRule="auto"/>
            <w:rPr>
              <w:rFonts w:ascii="Calibri" w:eastAsia="MS Gothic" w:hAnsi="Calibri"/>
              <w:b/>
              <w:bCs/>
              <w:color w:val="4F81BD"/>
            </w:rPr>
          </w:pPr>
        </w:p>
      </w:tc>
      <w:tc>
        <w:tcPr>
          <w:tcW w:w="0" w:type="auto"/>
          <w:vMerge/>
          <w:vAlign w:val="center"/>
          <w:hideMark/>
        </w:tcPr>
        <w:p w:rsidR="0074464D" w:rsidRPr="005A3173" w:rsidRDefault="0074464D" w:rsidP="005A3173">
          <w:pPr>
            <w:rPr>
              <w:rFonts w:ascii="Calibri" w:hAnsi="Calibri"/>
              <w:color w:val="365F91"/>
              <w:sz w:val="22"/>
              <w:szCs w:val="22"/>
            </w:rPr>
          </w:pPr>
        </w:p>
      </w:tc>
      <w:tc>
        <w:tcPr>
          <w:tcW w:w="2250" w:type="pct"/>
          <w:tcBorders>
            <w:top w:val="single" w:sz="4" w:space="0" w:color="4F81BD"/>
            <w:left w:val="nil"/>
            <w:bottom w:val="nil"/>
            <w:right w:val="nil"/>
          </w:tcBorders>
        </w:tcPr>
        <w:p w:rsidR="0074464D" w:rsidRPr="005A3173" w:rsidRDefault="0074464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4464D" w:rsidTr="005A3173">
      <w:trPr>
        <w:trHeight w:val="151"/>
      </w:trPr>
      <w:tc>
        <w:tcPr>
          <w:tcW w:w="2250" w:type="pct"/>
          <w:tcBorders>
            <w:top w:val="nil"/>
            <w:left w:val="nil"/>
            <w:bottom w:val="single" w:sz="4" w:space="0" w:color="4F81BD"/>
            <w:right w:val="nil"/>
          </w:tcBorders>
        </w:tcPr>
        <w:p w:rsidR="0074464D" w:rsidRPr="005A3173" w:rsidRDefault="0074464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4464D" w:rsidRPr="005A3173" w:rsidRDefault="0074464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4464D" w:rsidRPr="005A3173" w:rsidRDefault="0074464D" w:rsidP="005A3173">
          <w:pPr>
            <w:pStyle w:val="Header"/>
            <w:spacing w:line="276" w:lineRule="auto"/>
            <w:rPr>
              <w:rFonts w:ascii="Calibri" w:eastAsia="MS Gothic" w:hAnsi="Calibri"/>
              <w:b/>
              <w:bCs/>
              <w:color w:val="4F81BD"/>
            </w:rPr>
          </w:pPr>
        </w:p>
      </w:tc>
    </w:tr>
    <w:tr w:rsidR="0074464D" w:rsidTr="005A3173">
      <w:trPr>
        <w:trHeight w:val="150"/>
      </w:trPr>
      <w:tc>
        <w:tcPr>
          <w:tcW w:w="2250" w:type="pct"/>
          <w:tcBorders>
            <w:top w:val="single" w:sz="4" w:space="0" w:color="4F81BD"/>
            <w:left w:val="nil"/>
            <w:bottom w:val="nil"/>
            <w:right w:val="nil"/>
          </w:tcBorders>
        </w:tcPr>
        <w:p w:rsidR="0074464D" w:rsidRPr="005A3173" w:rsidRDefault="0074464D" w:rsidP="005A3173">
          <w:pPr>
            <w:pStyle w:val="Header"/>
            <w:spacing w:line="276" w:lineRule="auto"/>
            <w:rPr>
              <w:rFonts w:ascii="Calibri" w:eastAsia="MS Gothic" w:hAnsi="Calibri"/>
              <w:b/>
              <w:bCs/>
              <w:color w:val="4F81BD"/>
            </w:rPr>
          </w:pPr>
        </w:p>
      </w:tc>
      <w:tc>
        <w:tcPr>
          <w:tcW w:w="0" w:type="auto"/>
          <w:vMerge/>
          <w:vAlign w:val="center"/>
          <w:hideMark/>
        </w:tcPr>
        <w:p w:rsidR="0074464D" w:rsidRPr="005A3173" w:rsidRDefault="0074464D" w:rsidP="005A3173">
          <w:pPr>
            <w:rPr>
              <w:rFonts w:ascii="Calibri" w:hAnsi="Calibri"/>
              <w:color w:val="365F91"/>
              <w:sz w:val="22"/>
              <w:szCs w:val="22"/>
            </w:rPr>
          </w:pPr>
        </w:p>
      </w:tc>
      <w:tc>
        <w:tcPr>
          <w:tcW w:w="2250" w:type="pct"/>
          <w:tcBorders>
            <w:top w:val="single" w:sz="4" w:space="0" w:color="4F81BD"/>
            <w:left w:val="nil"/>
            <w:bottom w:val="nil"/>
            <w:right w:val="nil"/>
          </w:tcBorders>
        </w:tcPr>
        <w:p w:rsidR="0074464D" w:rsidRPr="005A3173" w:rsidRDefault="0074464D" w:rsidP="005A3173">
          <w:pPr>
            <w:pStyle w:val="Header"/>
            <w:spacing w:line="276" w:lineRule="auto"/>
            <w:rPr>
              <w:rFonts w:ascii="Calibri" w:eastAsia="MS Gothic" w:hAnsi="Calibri"/>
              <w:b/>
              <w:bCs/>
              <w:color w:val="4F81BD"/>
            </w:rPr>
          </w:pPr>
        </w:p>
      </w:tc>
    </w:tr>
  </w:tbl>
  <w:p w:rsidR="0074464D" w:rsidRPr="007C0F57" w:rsidRDefault="0074464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4464D" w:rsidRPr="007C0F57" w:rsidRDefault="0074464D" w:rsidP="007C0F57">
    <w:pPr>
      <w:pStyle w:val="Footer"/>
      <w:jc w:val="center"/>
      <w:rPr>
        <w:b/>
        <w:i/>
        <w:sz w:val="20"/>
        <w:szCs w:val="20"/>
      </w:rPr>
    </w:pPr>
    <w:r w:rsidRPr="007C0F57">
      <w:rPr>
        <w:b/>
        <w:i/>
        <w:sz w:val="20"/>
        <w:szCs w:val="20"/>
      </w:rPr>
      <w:t>Commercial-in-Confidence</w:t>
    </w:r>
  </w:p>
  <w:p w:rsidR="0074464D" w:rsidRDefault="0074464D"/>
  <w:p w:rsidR="00226FDD" w:rsidRDefault="00226FDD"/>
  <w:p w:rsidR="00226FDD" w:rsidRDefault="00226FDD" w:rsidP="00A416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14E" w:rsidRDefault="005A614E">
      <w:r>
        <w:separator/>
      </w:r>
    </w:p>
    <w:p w:rsidR="005A614E" w:rsidRDefault="005A614E"/>
    <w:p w:rsidR="005A614E" w:rsidRDefault="005A614E"/>
    <w:p w:rsidR="005A614E" w:rsidRDefault="005A614E" w:rsidP="00A41664"/>
  </w:footnote>
  <w:footnote w:type="continuationSeparator" w:id="0">
    <w:p w:rsidR="005A614E" w:rsidRDefault="005A614E">
      <w:r>
        <w:continuationSeparator/>
      </w:r>
    </w:p>
    <w:p w:rsidR="005A614E" w:rsidRDefault="005A614E"/>
    <w:p w:rsidR="005A614E" w:rsidRDefault="005A614E"/>
    <w:p w:rsidR="005A614E" w:rsidRDefault="005A614E" w:rsidP="00A416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4464D" w:rsidRPr="008E0D90" w:rsidTr="00A06225">
      <w:trPr>
        <w:trHeight w:val="151"/>
      </w:trPr>
      <w:tc>
        <w:tcPr>
          <w:tcW w:w="2389" w:type="pct"/>
          <w:tcBorders>
            <w:top w:val="nil"/>
            <w:left w:val="nil"/>
            <w:bottom w:val="single" w:sz="4" w:space="0" w:color="4F81BD"/>
            <w:right w:val="nil"/>
          </w:tcBorders>
        </w:tcPr>
        <w:p w:rsidR="0074464D" w:rsidRPr="00A06225" w:rsidRDefault="0074464D">
          <w:pPr>
            <w:pStyle w:val="Header"/>
            <w:spacing w:line="276" w:lineRule="auto"/>
            <w:rPr>
              <w:rFonts w:ascii="Cambria" w:eastAsia="MS Gothic" w:hAnsi="Cambria"/>
              <w:b/>
              <w:bCs/>
              <w:color w:val="4F81BD"/>
            </w:rPr>
          </w:pPr>
        </w:p>
      </w:tc>
      <w:tc>
        <w:tcPr>
          <w:tcW w:w="333" w:type="pct"/>
          <w:vMerge w:val="restart"/>
          <w:noWrap/>
          <w:vAlign w:val="center"/>
          <w:hideMark/>
        </w:tcPr>
        <w:p w:rsidR="0074464D" w:rsidRPr="00A06225" w:rsidRDefault="0074464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4464D" w:rsidRPr="00A06225" w:rsidRDefault="0074464D">
          <w:pPr>
            <w:pStyle w:val="Header"/>
            <w:spacing w:line="276" w:lineRule="auto"/>
            <w:rPr>
              <w:rFonts w:ascii="Cambria" w:eastAsia="MS Gothic" w:hAnsi="Cambria"/>
              <w:b/>
              <w:bCs/>
              <w:color w:val="4F81BD"/>
            </w:rPr>
          </w:pPr>
        </w:p>
      </w:tc>
    </w:tr>
    <w:tr w:rsidR="0074464D" w:rsidRPr="008E0D90" w:rsidTr="00A06225">
      <w:trPr>
        <w:trHeight w:val="150"/>
      </w:trPr>
      <w:tc>
        <w:tcPr>
          <w:tcW w:w="2389" w:type="pct"/>
          <w:tcBorders>
            <w:top w:val="single" w:sz="4" w:space="0" w:color="4F81BD"/>
            <w:left w:val="nil"/>
            <w:bottom w:val="nil"/>
            <w:right w:val="nil"/>
          </w:tcBorders>
        </w:tcPr>
        <w:p w:rsidR="0074464D" w:rsidRPr="00A06225" w:rsidRDefault="0074464D">
          <w:pPr>
            <w:pStyle w:val="Header"/>
            <w:spacing w:line="276" w:lineRule="auto"/>
            <w:rPr>
              <w:rFonts w:ascii="Cambria" w:eastAsia="MS Gothic" w:hAnsi="Cambria"/>
              <w:b/>
              <w:bCs/>
              <w:color w:val="4F81BD"/>
            </w:rPr>
          </w:pPr>
        </w:p>
      </w:tc>
      <w:tc>
        <w:tcPr>
          <w:tcW w:w="0" w:type="auto"/>
          <w:vMerge/>
          <w:vAlign w:val="center"/>
          <w:hideMark/>
        </w:tcPr>
        <w:p w:rsidR="0074464D" w:rsidRPr="00A06225" w:rsidRDefault="0074464D">
          <w:pPr>
            <w:rPr>
              <w:rFonts w:ascii="Cambria" w:hAnsi="Cambria"/>
              <w:color w:val="4F81BD"/>
              <w:sz w:val="22"/>
              <w:szCs w:val="22"/>
            </w:rPr>
          </w:pPr>
        </w:p>
      </w:tc>
      <w:tc>
        <w:tcPr>
          <w:tcW w:w="2278" w:type="pct"/>
          <w:tcBorders>
            <w:top w:val="single" w:sz="4" w:space="0" w:color="4F81BD"/>
            <w:left w:val="nil"/>
            <w:bottom w:val="nil"/>
            <w:right w:val="nil"/>
          </w:tcBorders>
        </w:tcPr>
        <w:p w:rsidR="0074464D" w:rsidRPr="00A06225" w:rsidRDefault="0074464D">
          <w:pPr>
            <w:pStyle w:val="Header"/>
            <w:spacing w:line="276" w:lineRule="auto"/>
            <w:rPr>
              <w:rFonts w:ascii="Cambria" w:eastAsia="MS Gothic" w:hAnsi="Cambria"/>
              <w:b/>
              <w:bCs/>
              <w:color w:val="4F81BD"/>
            </w:rPr>
          </w:pPr>
        </w:p>
      </w:tc>
    </w:tr>
  </w:tbl>
  <w:p w:rsidR="0074464D" w:rsidRDefault="0074464D">
    <w:pPr>
      <w:pStyle w:val="Header"/>
    </w:pPr>
  </w:p>
  <w:p w:rsidR="0074464D" w:rsidRDefault="0074464D"/>
  <w:p w:rsidR="00226FDD" w:rsidRDefault="00226FDD"/>
  <w:p w:rsidR="00226FDD" w:rsidRDefault="00226FDD" w:rsidP="00A416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FDD" w:rsidRPr="00324AE8" w:rsidRDefault="0074464D" w:rsidP="00472423">
    <w:pPr>
      <w:pStyle w:val="Header"/>
      <w:spacing w:after="480"/>
      <w:ind w:left="360"/>
      <w:jc w:val="center"/>
      <w:rPr>
        <w:rFonts w:asciiTheme="minorHAnsi" w:hAnsiTheme="minorHAnsi" w:cs="Arial"/>
        <w:i/>
        <w:color w:val="808080"/>
        <w:sz w:val="22"/>
      </w:rPr>
    </w:pPr>
    <w:r>
      <w:rPr>
        <w:rFonts w:asciiTheme="minorHAnsi" w:hAnsiTheme="minorHAnsi" w:cs="Arial"/>
        <w:i/>
        <w:color w:val="808080"/>
        <w:sz w:val="22"/>
      </w:rPr>
      <w:t>Public Summary Document</w:t>
    </w:r>
    <w:r w:rsidRPr="00F90A91">
      <w:rPr>
        <w:rFonts w:asciiTheme="minorHAnsi" w:hAnsiTheme="minorHAnsi" w:cs="Arial"/>
        <w:i/>
        <w:color w:val="808080"/>
        <w:sz w:val="22"/>
      </w:rPr>
      <w:t xml:space="preserve"> –</w:t>
    </w:r>
    <w:r>
      <w:rPr>
        <w:rFonts w:asciiTheme="minorHAnsi" w:hAnsiTheme="minorHAnsi" w:cs="Arial"/>
        <w:i/>
        <w:color w:val="808080"/>
        <w:sz w:val="22"/>
      </w:rPr>
      <w:t xml:space="preserve"> March 2018</w:t>
    </w:r>
    <w:r w:rsidRPr="00F90A91">
      <w:rPr>
        <w:rFonts w:asciiTheme="minorHAnsi" w:hAnsiTheme="minorHAnsi" w:cs="Arial"/>
        <w:i/>
        <w:color w:val="808080"/>
        <w:sz w:val="22"/>
      </w:rPr>
      <w:t xml:space="preserve">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4AC" w:rsidRDefault="003144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1A006E7"/>
    <w:multiLevelType w:val="hybridMultilevel"/>
    <w:tmpl w:val="0F72E57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613CA77E">
      <w:numFmt w:val="bullet"/>
      <w:lvlText w:val="-"/>
      <w:lvlJc w:val="left"/>
      <w:pPr>
        <w:ind w:left="2520" w:hanging="360"/>
      </w:pPr>
      <w:rPr>
        <w:rFonts w:ascii="Arial" w:eastAsia="Times New Roman" w:hAnsi="Arial" w:cs="Arial" w:hint="default"/>
        <w:i w:val="0"/>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BAD0F60"/>
    <w:multiLevelType w:val="multilevel"/>
    <w:tmpl w:val="D04C9BB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9">
    <w:nsid w:val="17793767"/>
    <w:multiLevelType w:val="hybridMultilevel"/>
    <w:tmpl w:val="6CC42E58"/>
    <w:lvl w:ilvl="0" w:tplc="8156535A">
      <w:numFmt w:val="bullet"/>
      <w:lvlText w:val="-"/>
      <w:lvlJc w:val="left"/>
      <w:pPr>
        <w:ind w:left="531" w:hanging="360"/>
      </w:pPr>
      <w:rPr>
        <w:rFonts w:ascii="Times New Roman" w:eastAsia="Times New Roman" w:hAnsi="Times New Roman" w:cs="Times New Roman" w:hint="default"/>
      </w:rPr>
    </w:lvl>
    <w:lvl w:ilvl="1" w:tplc="0C090003" w:tentative="1">
      <w:start w:val="1"/>
      <w:numFmt w:val="bullet"/>
      <w:lvlText w:val="o"/>
      <w:lvlJc w:val="left"/>
      <w:pPr>
        <w:ind w:left="1251" w:hanging="360"/>
      </w:pPr>
      <w:rPr>
        <w:rFonts w:ascii="Courier New" w:hAnsi="Courier New" w:cs="Courier New" w:hint="default"/>
      </w:rPr>
    </w:lvl>
    <w:lvl w:ilvl="2" w:tplc="0C090005" w:tentative="1">
      <w:start w:val="1"/>
      <w:numFmt w:val="bullet"/>
      <w:lvlText w:val=""/>
      <w:lvlJc w:val="left"/>
      <w:pPr>
        <w:ind w:left="1971" w:hanging="360"/>
      </w:pPr>
      <w:rPr>
        <w:rFonts w:ascii="Wingdings" w:hAnsi="Wingdings" w:hint="default"/>
      </w:rPr>
    </w:lvl>
    <w:lvl w:ilvl="3" w:tplc="0C090001" w:tentative="1">
      <w:start w:val="1"/>
      <w:numFmt w:val="bullet"/>
      <w:lvlText w:val=""/>
      <w:lvlJc w:val="left"/>
      <w:pPr>
        <w:ind w:left="2691" w:hanging="360"/>
      </w:pPr>
      <w:rPr>
        <w:rFonts w:ascii="Symbol" w:hAnsi="Symbol" w:hint="default"/>
      </w:rPr>
    </w:lvl>
    <w:lvl w:ilvl="4" w:tplc="0C090003" w:tentative="1">
      <w:start w:val="1"/>
      <w:numFmt w:val="bullet"/>
      <w:lvlText w:val="o"/>
      <w:lvlJc w:val="left"/>
      <w:pPr>
        <w:ind w:left="3411" w:hanging="360"/>
      </w:pPr>
      <w:rPr>
        <w:rFonts w:ascii="Courier New" w:hAnsi="Courier New" w:cs="Courier New" w:hint="default"/>
      </w:rPr>
    </w:lvl>
    <w:lvl w:ilvl="5" w:tplc="0C090005" w:tentative="1">
      <w:start w:val="1"/>
      <w:numFmt w:val="bullet"/>
      <w:lvlText w:val=""/>
      <w:lvlJc w:val="left"/>
      <w:pPr>
        <w:ind w:left="4131" w:hanging="360"/>
      </w:pPr>
      <w:rPr>
        <w:rFonts w:ascii="Wingdings" w:hAnsi="Wingdings" w:hint="default"/>
      </w:rPr>
    </w:lvl>
    <w:lvl w:ilvl="6" w:tplc="0C090001" w:tentative="1">
      <w:start w:val="1"/>
      <w:numFmt w:val="bullet"/>
      <w:lvlText w:val=""/>
      <w:lvlJc w:val="left"/>
      <w:pPr>
        <w:ind w:left="4851" w:hanging="360"/>
      </w:pPr>
      <w:rPr>
        <w:rFonts w:ascii="Symbol" w:hAnsi="Symbol" w:hint="default"/>
      </w:rPr>
    </w:lvl>
    <w:lvl w:ilvl="7" w:tplc="0C090003" w:tentative="1">
      <w:start w:val="1"/>
      <w:numFmt w:val="bullet"/>
      <w:lvlText w:val="o"/>
      <w:lvlJc w:val="left"/>
      <w:pPr>
        <w:ind w:left="5571" w:hanging="360"/>
      </w:pPr>
      <w:rPr>
        <w:rFonts w:ascii="Courier New" w:hAnsi="Courier New" w:cs="Courier New" w:hint="default"/>
      </w:rPr>
    </w:lvl>
    <w:lvl w:ilvl="8" w:tplc="0C090005" w:tentative="1">
      <w:start w:val="1"/>
      <w:numFmt w:val="bullet"/>
      <w:lvlText w:val=""/>
      <w:lvlJc w:val="left"/>
      <w:pPr>
        <w:ind w:left="6291" w:hanging="360"/>
      </w:pPr>
      <w:rPr>
        <w:rFonts w:ascii="Wingdings" w:hAnsi="Wingdings" w:hint="default"/>
      </w:r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1F827D71"/>
    <w:multiLevelType w:val="hybridMultilevel"/>
    <w:tmpl w:val="779E7A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0FF0B55"/>
    <w:multiLevelType w:val="hybridMultilevel"/>
    <w:tmpl w:val="F4C02E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1C779FD"/>
    <w:multiLevelType w:val="hybridMultilevel"/>
    <w:tmpl w:val="B28ADD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296C58DC">
      <w:start w:val="4"/>
      <w:numFmt w:val="bullet"/>
      <w:lvlText w:val=""/>
      <w:lvlJc w:val="left"/>
      <w:pPr>
        <w:ind w:left="1800" w:hanging="360"/>
      </w:pPr>
      <w:rPr>
        <w:rFonts w:ascii="Wingdings" w:eastAsia="Times New Roman" w:hAnsi="Wingdings" w:cs="Arial" w:hint="default"/>
      </w:rPr>
    </w:lvl>
    <w:lvl w:ilvl="3" w:tplc="613CA77E">
      <w:numFmt w:val="bullet"/>
      <w:lvlText w:val="-"/>
      <w:lvlJc w:val="left"/>
      <w:pPr>
        <w:ind w:left="2520" w:hanging="360"/>
      </w:pPr>
      <w:rPr>
        <w:rFonts w:ascii="Arial" w:eastAsia="Times New Roman" w:hAnsi="Arial" w:cs="Arial" w:hint="default"/>
        <w:i w:val="0"/>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84E6825"/>
    <w:multiLevelType w:val="multilevel"/>
    <w:tmpl w:val="475E57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nsid w:val="2ED54C72"/>
    <w:multiLevelType w:val="hybridMultilevel"/>
    <w:tmpl w:val="E1A4E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8D45B30"/>
    <w:multiLevelType w:val="hybridMultilevel"/>
    <w:tmpl w:val="F684D9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AD45C01"/>
    <w:multiLevelType w:val="multilevel"/>
    <w:tmpl w:val="D04C9BB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78F5772"/>
    <w:multiLevelType w:val="multilevel"/>
    <w:tmpl w:val="D04C9BB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86111C6"/>
    <w:multiLevelType w:val="hybridMultilevel"/>
    <w:tmpl w:val="2FB83024"/>
    <w:lvl w:ilvl="0" w:tplc="8156535A">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73FC6591"/>
    <w:multiLevelType w:val="hybridMultilevel"/>
    <w:tmpl w:val="08CAA4C8"/>
    <w:lvl w:ilvl="0" w:tplc="04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784D033C"/>
    <w:multiLevelType w:val="multilevel"/>
    <w:tmpl w:val="FEDE3A2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C0B7C8C"/>
    <w:multiLevelType w:val="hybridMultilevel"/>
    <w:tmpl w:val="B108FD3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8"/>
  </w:num>
  <w:num w:numId="4">
    <w:abstractNumId w:val="23"/>
  </w:num>
  <w:num w:numId="5">
    <w:abstractNumId w:val="29"/>
  </w:num>
  <w:num w:numId="6">
    <w:abstractNumId w:val="10"/>
  </w:num>
  <w:num w:numId="7">
    <w:abstractNumId w:val="21"/>
  </w:num>
  <w:num w:numId="8">
    <w:abstractNumId w:val="5"/>
  </w:num>
  <w:num w:numId="9">
    <w:abstractNumId w:val="20"/>
  </w:num>
  <w:num w:numId="10">
    <w:abstractNumId w:val="19"/>
  </w:num>
  <w:num w:numId="11">
    <w:abstractNumId w:val="17"/>
  </w:num>
  <w:num w:numId="12">
    <w:abstractNumId w:val="1"/>
  </w:num>
  <w:num w:numId="13">
    <w:abstractNumId w:val="0"/>
  </w:num>
  <w:num w:numId="14">
    <w:abstractNumId w:val="29"/>
  </w:num>
  <w:num w:numId="15">
    <w:abstractNumId w:val="29"/>
  </w:num>
  <w:num w:numId="16">
    <w:abstractNumId w:val="18"/>
  </w:num>
  <w:num w:numId="17">
    <w:abstractNumId w:val="22"/>
  </w:num>
  <w:num w:numId="18">
    <w:abstractNumId w:val="13"/>
  </w:num>
  <w:num w:numId="19">
    <w:abstractNumId w:val="14"/>
  </w:num>
  <w:num w:numId="20">
    <w:abstractNumId w:val="4"/>
  </w:num>
  <w:num w:numId="21">
    <w:abstractNumId w:val="16"/>
  </w:num>
  <w:num w:numId="22">
    <w:abstractNumId w:val="28"/>
  </w:num>
  <w:num w:numId="23">
    <w:abstractNumId w:val="27"/>
  </w:num>
  <w:num w:numId="24">
    <w:abstractNumId w:val="12"/>
  </w:num>
  <w:num w:numId="25">
    <w:abstractNumId w:val="9"/>
  </w:num>
  <w:num w:numId="26">
    <w:abstractNumId w:val="24"/>
  </w:num>
  <w:num w:numId="27">
    <w:abstractNumId w:val="7"/>
  </w:num>
  <w:num w:numId="28">
    <w:abstractNumId w:val="26"/>
  </w:num>
  <w:num w:numId="29">
    <w:abstractNumId w:val="30"/>
  </w:num>
  <w:num w:numId="30">
    <w:abstractNumId w:val="29"/>
  </w:num>
  <w:num w:numId="31">
    <w:abstractNumId w:val="25"/>
  </w:num>
  <w:num w:numId="32">
    <w:abstractNumId w:val="6"/>
  </w:num>
  <w:num w:numId="33">
    <w:abstractNumId w:val="2"/>
  </w:num>
  <w:num w:numId="3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y Parkin">
    <w15:presenceInfo w15:providerId="Windows Live" w15:userId="989ef9d4eb5f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3106B"/>
    <w:rsid w:val="000421A1"/>
    <w:rsid w:val="0004240E"/>
    <w:rsid w:val="0004256B"/>
    <w:rsid w:val="00045E26"/>
    <w:rsid w:val="00045F4B"/>
    <w:rsid w:val="000514B5"/>
    <w:rsid w:val="00060E64"/>
    <w:rsid w:val="00066755"/>
    <w:rsid w:val="000673AD"/>
    <w:rsid w:val="00067E54"/>
    <w:rsid w:val="0007238B"/>
    <w:rsid w:val="00075383"/>
    <w:rsid w:val="00077143"/>
    <w:rsid w:val="00082169"/>
    <w:rsid w:val="00087DF3"/>
    <w:rsid w:val="000969AD"/>
    <w:rsid w:val="000A0C1F"/>
    <w:rsid w:val="000A3BF1"/>
    <w:rsid w:val="000B558D"/>
    <w:rsid w:val="000C6996"/>
    <w:rsid w:val="000D23BA"/>
    <w:rsid w:val="000E284F"/>
    <w:rsid w:val="000E681E"/>
    <w:rsid w:val="000F0003"/>
    <w:rsid w:val="000F083D"/>
    <w:rsid w:val="000F4E6A"/>
    <w:rsid w:val="00101970"/>
    <w:rsid w:val="001024DA"/>
    <w:rsid w:val="00104227"/>
    <w:rsid w:val="001107BF"/>
    <w:rsid w:val="00114CC3"/>
    <w:rsid w:val="0012417C"/>
    <w:rsid w:val="00125C54"/>
    <w:rsid w:val="00127D04"/>
    <w:rsid w:val="0013269D"/>
    <w:rsid w:val="00142395"/>
    <w:rsid w:val="00142714"/>
    <w:rsid w:val="001452ED"/>
    <w:rsid w:val="0014790C"/>
    <w:rsid w:val="00163329"/>
    <w:rsid w:val="00164623"/>
    <w:rsid w:val="00165B64"/>
    <w:rsid w:val="001830CE"/>
    <w:rsid w:val="0018643B"/>
    <w:rsid w:val="00196307"/>
    <w:rsid w:val="001A33EA"/>
    <w:rsid w:val="001B017F"/>
    <w:rsid w:val="001B0E0F"/>
    <w:rsid w:val="001B2BBC"/>
    <w:rsid w:val="001B5129"/>
    <w:rsid w:val="001C1195"/>
    <w:rsid w:val="001C2645"/>
    <w:rsid w:val="001C657A"/>
    <w:rsid w:val="001D0816"/>
    <w:rsid w:val="001F1850"/>
    <w:rsid w:val="00203FAC"/>
    <w:rsid w:val="0020483C"/>
    <w:rsid w:val="00205295"/>
    <w:rsid w:val="00210C0C"/>
    <w:rsid w:val="00213CFB"/>
    <w:rsid w:val="00217BE1"/>
    <w:rsid w:val="00226FDD"/>
    <w:rsid w:val="002332D0"/>
    <w:rsid w:val="002363F7"/>
    <w:rsid w:val="0024167F"/>
    <w:rsid w:val="002575C5"/>
    <w:rsid w:val="002652EE"/>
    <w:rsid w:val="00271BA1"/>
    <w:rsid w:val="002762FA"/>
    <w:rsid w:val="00277505"/>
    <w:rsid w:val="002779E3"/>
    <w:rsid w:val="0029458F"/>
    <w:rsid w:val="002A104C"/>
    <w:rsid w:val="002A4960"/>
    <w:rsid w:val="002B1AE6"/>
    <w:rsid w:val="002B2DE8"/>
    <w:rsid w:val="002B30F8"/>
    <w:rsid w:val="002B5596"/>
    <w:rsid w:val="002C19DF"/>
    <w:rsid w:val="002C212F"/>
    <w:rsid w:val="002C53B7"/>
    <w:rsid w:val="002C7CF4"/>
    <w:rsid w:val="002D4543"/>
    <w:rsid w:val="002D4C4C"/>
    <w:rsid w:val="002D7093"/>
    <w:rsid w:val="002E3153"/>
    <w:rsid w:val="002E72CA"/>
    <w:rsid w:val="002F2A7B"/>
    <w:rsid w:val="002F3BF7"/>
    <w:rsid w:val="002F4D2E"/>
    <w:rsid w:val="002F67E0"/>
    <w:rsid w:val="00300AD6"/>
    <w:rsid w:val="0030535D"/>
    <w:rsid w:val="003130E2"/>
    <w:rsid w:val="003132BD"/>
    <w:rsid w:val="0031352C"/>
    <w:rsid w:val="003144AC"/>
    <w:rsid w:val="00317C6C"/>
    <w:rsid w:val="00324AE8"/>
    <w:rsid w:val="00326E79"/>
    <w:rsid w:val="0033518A"/>
    <w:rsid w:val="003367EF"/>
    <w:rsid w:val="00341AE4"/>
    <w:rsid w:val="00342A44"/>
    <w:rsid w:val="003603D6"/>
    <w:rsid w:val="003608CB"/>
    <w:rsid w:val="00360E32"/>
    <w:rsid w:val="003623D3"/>
    <w:rsid w:val="00372AE8"/>
    <w:rsid w:val="0037711A"/>
    <w:rsid w:val="003872CF"/>
    <w:rsid w:val="0039782C"/>
    <w:rsid w:val="003A090D"/>
    <w:rsid w:val="003A2B7E"/>
    <w:rsid w:val="003A5B4A"/>
    <w:rsid w:val="003B23C5"/>
    <w:rsid w:val="003B2A75"/>
    <w:rsid w:val="003B3797"/>
    <w:rsid w:val="003B6124"/>
    <w:rsid w:val="003C2FB5"/>
    <w:rsid w:val="003D4AC4"/>
    <w:rsid w:val="003D63B7"/>
    <w:rsid w:val="003E2972"/>
    <w:rsid w:val="003E468B"/>
    <w:rsid w:val="003F3228"/>
    <w:rsid w:val="003F5C8C"/>
    <w:rsid w:val="003F6F9D"/>
    <w:rsid w:val="003F7065"/>
    <w:rsid w:val="004018EA"/>
    <w:rsid w:val="00403478"/>
    <w:rsid w:val="004046C7"/>
    <w:rsid w:val="004129E2"/>
    <w:rsid w:val="00422794"/>
    <w:rsid w:val="004252EC"/>
    <w:rsid w:val="00431011"/>
    <w:rsid w:val="00437814"/>
    <w:rsid w:val="004427B3"/>
    <w:rsid w:val="004465BD"/>
    <w:rsid w:val="0044749F"/>
    <w:rsid w:val="00447F87"/>
    <w:rsid w:val="00453CBB"/>
    <w:rsid w:val="00455349"/>
    <w:rsid w:val="0045744A"/>
    <w:rsid w:val="00466ADA"/>
    <w:rsid w:val="00470429"/>
    <w:rsid w:val="00472423"/>
    <w:rsid w:val="00476245"/>
    <w:rsid w:val="00483035"/>
    <w:rsid w:val="00485940"/>
    <w:rsid w:val="00486FB3"/>
    <w:rsid w:val="004A2484"/>
    <w:rsid w:val="004A2E16"/>
    <w:rsid w:val="004A5A85"/>
    <w:rsid w:val="004A71D1"/>
    <w:rsid w:val="004B4A68"/>
    <w:rsid w:val="004B5640"/>
    <w:rsid w:val="004C1BD7"/>
    <w:rsid w:val="004C31FE"/>
    <w:rsid w:val="004C691D"/>
    <w:rsid w:val="004C6C07"/>
    <w:rsid w:val="004E51A8"/>
    <w:rsid w:val="004E692D"/>
    <w:rsid w:val="00501554"/>
    <w:rsid w:val="00506345"/>
    <w:rsid w:val="00507E8C"/>
    <w:rsid w:val="00514CD7"/>
    <w:rsid w:val="005319B2"/>
    <w:rsid w:val="00532402"/>
    <w:rsid w:val="00532C74"/>
    <w:rsid w:val="00534E2E"/>
    <w:rsid w:val="0054001B"/>
    <w:rsid w:val="00544552"/>
    <w:rsid w:val="005512E7"/>
    <w:rsid w:val="005568FB"/>
    <w:rsid w:val="00557CCA"/>
    <w:rsid w:val="005734C5"/>
    <w:rsid w:val="00575FA8"/>
    <w:rsid w:val="00577B4B"/>
    <w:rsid w:val="00577C4D"/>
    <w:rsid w:val="00581932"/>
    <w:rsid w:val="00584208"/>
    <w:rsid w:val="005963BB"/>
    <w:rsid w:val="00596943"/>
    <w:rsid w:val="00596949"/>
    <w:rsid w:val="005A0617"/>
    <w:rsid w:val="005A3173"/>
    <w:rsid w:val="005A3223"/>
    <w:rsid w:val="005A3DA3"/>
    <w:rsid w:val="005A52C4"/>
    <w:rsid w:val="005A614E"/>
    <w:rsid w:val="005B5905"/>
    <w:rsid w:val="005C00E9"/>
    <w:rsid w:val="005C5A1C"/>
    <w:rsid w:val="005D03AB"/>
    <w:rsid w:val="005D4979"/>
    <w:rsid w:val="005D5017"/>
    <w:rsid w:val="005D5256"/>
    <w:rsid w:val="005E1333"/>
    <w:rsid w:val="005E2A20"/>
    <w:rsid w:val="005E6608"/>
    <w:rsid w:val="005F5ABA"/>
    <w:rsid w:val="005F62D2"/>
    <w:rsid w:val="00601A91"/>
    <w:rsid w:val="00601EB8"/>
    <w:rsid w:val="00602BA3"/>
    <w:rsid w:val="00603871"/>
    <w:rsid w:val="0060397B"/>
    <w:rsid w:val="00606084"/>
    <w:rsid w:val="00612A94"/>
    <w:rsid w:val="00612E34"/>
    <w:rsid w:val="00614159"/>
    <w:rsid w:val="0061617A"/>
    <w:rsid w:val="00617C00"/>
    <w:rsid w:val="006263BF"/>
    <w:rsid w:val="0062748A"/>
    <w:rsid w:val="00630A2C"/>
    <w:rsid w:val="0063682E"/>
    <w:rsid w:val="006436CD"/>
    <w:rsid w:val="00651169"/>
    <w:rsid w:val="006532FB"/>
    <w:rsid w:val="00653D69"/>
    <w:rsid w:val="00657713"/>
    <w:rsid w:val="006635E2"/>
    <w:rsid w:val="006670BE"/>
    <w:rsid w:val="00670A76"/>
    <w:rsid w:val="006711AA"/>
    <w:rsid w:val="00672B57"/>
    <w:rsid w:val="00675622"/>
    <w:rsid w:val="0067747D"/>
    <w:rsid w:val="00681F72"/>
    <w:rsid w:val="00686627"/>
    <w:rsid w:val="006906DB"/>
    <w:rsid w:val="00691E6C"/>
    <w:rsid w:val="00694542"/>
    <w:rsid w:val="00696129"/>
    <w:rsid w:val="00697CF2"/>
    <w:rsid w:val="006A12A5"/>
    <w:rsid w:val="006A2ED2"/>
    <w:rsid w:val="006B0D94"/>
    <w:rsid w:val="006B485D"/>
    <w:rsid w:val="006B6B01"/>
    <w:rsid w:val="006B796A"/>
    <w:rsid w:val="006C0B16"/>
    <w:rsid w:val="006C708E"/>
    <w:rsid w:val="006D6493"/>
    <w:rsid w:val="006D6EC7"/>
    <w:rsid w:val="006E4E64"/>
    <w:rsid w:val="006E5BB3"/>
    <w:rsid w:val="006F4D58"/>
    <w:rsid w:val="006F5125"/>
    <w:rsid w:val="00702B6F"/>
    <w:rsid w:val="007119EE"/>
    <w:rsid w:val="00712505"/>
    <w:rsid w:val="00713072"/>
    <w:rsid w:val="0071340B"/>
    <w:rsid w:val="007174BB"/>
    <w:rsid w:val="0072025D"/>
    <w:rsid w:val="00721129"/>
    <w:rsid w:val="00723603"/>
    <w:rsid w:val="00724EDA"/>
    <w:rsid w:val="00726817"/>
    <w:rsid w:val="00734A04"/>
    <w:rsid w:val="007353D3"/>
    <w:rsid w:val="0074112C"/>
    <w:rsid w:val="0074464D"/>
    <w:rsid w:val="00747CF9"/>
    <w:rsid w:val="007538D0"/>
    <w:rsid w:val="00754983"/>
    <w:rsid w:val="007641B2"/>
    <w:rsid w:val="0076420C"/>
    <w:rsid w:val="007753C2"/>
    <w:rsid w:val="00781047"/>
    <w:rsid w:val="00782E5D"/>
    <w:rsid w:val="007838B8"/>
    <w:rsid w:val="00795363"/>
    <w:rsid w:val="007959C7"/>
    <w:rsid w:val="007A12FA"/>
    <w:rsid w:val="007A1BF0"/>
    <w:rsid w:val="007A2B33"/>
    <w:rsid w:val="007A4B13"/>
    <w:rsid w:val="007A4C0F"/>
    <w:rsid w:val="007C0F57"/>
    <w:rsid w:val="007C40B6"/>
    <w:rsid w:val="007C4812"/>
    <w:rsid w:val="007C729F"/>
    <w:rsid w:val="007D5240"/>
    <w:rsid w:val="007E1D28"/>
    <w:rsid w:val="007F2641"/>
    <w:rsid w:val="007F7C36"/>
    <w:rsid w:val="00803636"/>
    <w:rsid w:val="00806796"/>
    <w:rsid w:val="008151D6"/>
    <w:rsid w:val="00815656"/>
    <w:rsid w:val="00826F6D"/>
    <w:rsid w:val="008306F3"/>
    <w:rsid w:val="00830989"/>
    <w:rsid w:val="0083537E"/>
    <w:rsid w:val="00836719"/>
    <w:rsid w:val="0085178A"/>
    <w:rsid w:val="00853F81"/>
    <w:rsid w:val="00856DDD"/>
    <w:rsid w:val="00863E68"/>
    <w:rsid w:val="008644F7"/>
    <w:rsid w:val="00872CA5"/>
    <w:rsid w:val="00874E3A"/>
    <w:rsid w:val="00882085"/>
    <w:rsid w:val="00883188"/>
    <w:rsid w:val="00897D58"/>
    <w:rsid w:val="00897F22"/>
    <w:rsid w:val="008A1956"/>
    <w:rsid w:val="008A4937"/>
    <w:rsid w:val="008A50F1"/>
    <w:rsid w:val="008B4F7D"/>
    <w:rsid w:val="008B581A"/>
    <w:rsid w:val="008C4FE6"/>
    <w:rsid w:val="008D1B5C"/>
    <w:rsid w:val="008D3C82"/>
    <w:rsid w:val="008D447E"/>
    <w:rsid w:val="008D7A41"/>
    <w:rsid w:val="008E3680"/>
    <w:rsid w:val="008E436C"/>
    <w:rsid w:val="008E5870"/>
    <w:rsid w:val="008F1434"/>
    <w:rsid w:val="008F624A"/>
    <w:rsid w:val="008F7238"/>
    <w:rsid w:val="008F7355"/>
    <w:rsid w:val="00900FBA"/>
    <w:rsid w:val="009067B7"/>
    <w:rsid w:val="00907DF8"/>
    <w:rsid w:val="00930937"/>
    <w:rsid w:val="0093295F"/>
    <w:rsid w:val="00933E6C"/>
    <w:rsid w:val="009362ED"/>
    <w:rsid w:val="00937958"/>
    <w:rsid w:val="00942160"/>
    <w:rsid w:val="0095146F"/>
    <w:rsid w:val="009602C5"/>
    <w:rsid w:val="00962223"/>
    <w:rsid w:val="00966D0D"/>
    <w:rsid w:val="00972498"/>
    <w:rsid w:val="00974C21"/>
    <w:rsid w:val="00985543"/>
    <w:rsid w:val="009B0F67"/>
    <w:rsid w:val="009B2418"/>
    <w:rsid w:val="009B2E76"/>
    <w:rsid w:val="009B6907"/>
    <w:rsid w:val="009C703C"/>
    <w:rsid w:val="009D3CAA"/>
    <w:rsid w:val="009D6809"/>
    <w:rsid w:val="009E18C6"/>
    <w:rsid w:val="009E65F3"/>
    <w:rsid w:val="009F38AB"/>
    <w:rsid w:val="009F4B9F"/>
    <w:rsid w:val="009F4D50"/>
    <w:rsid w:val="009F4E46"/>
    <w:rsid w:val="009F5B65"/>
    <w:rsid w:val="009F5F2E"/>
    <w:rsid w:val="009F6836"/>
    <w:rsid w:val="00A0178D"/>
    <w:rsid w:val="00A06225"/>
    <w:rsid w:val="00A128E6"/>
    <w:rsid w:val="00A1632E"/>
    <w:rsid w:val="00A227B3"/>
    <w:rsid w:val="00A32EF9"/>
    <w:rsid w:val="00A34E6C"/>
    <w:rsid w:val="00A37C8D"/>
    <w:rsid w:val="00A41664"/>
    <w:rsid w:val="00A51076"/>
    <w:rsid w:val="00A5273B"/>
    <w:rsid w:val="00A53A9D"/>
    <w:rsid w:val="00A55FEE"/>
    <w:rsid w:val="00A62C1A"/>
    <w:rsid w:val="00A6426D"/>
    <w:rsid w:val="00A665C1"/>
    <w:rsid w:val="00A66955"/>
    <w:rsid w:val="00A703FB"/>
    <w:rsid w:val="00A70622"/>
    <w:rsid w:val="00A70977"/>
    <w:rsid w:val="00A77613"/>
    <w:rsid w:val="00A8390C"/>
    <w:rsid w:val="00A928BD"/>
    <w:rsid w:val="00AA012E"/>
    <w:rsid w:val="00AA3CFE"/>
    <w:rsid w:val="00AA4D1C"/>
    <w:rsid w:val="00AB2556"/>
    <w:rsid w:val="00AC193C"/>
    <w:rsid w:val="00AC5206"/>
    <w:rsid w:val="00AD131E"/>
    <w:rsid w:val="00AD7713"/>
    <w:rsid w:val="00AE11A5"/>
    <w:rsid w:val="00AE13E2"/>
    <w:rsid w:val="00AE22D3"/>
    <w:rsid w:val="00AF02A7"/>
    <w:rsid w:val="00AF5F68"/>
    <w:rsid w:val="00AF62DF"/>
    <w:rsid w:val="00AF68CC"/>
    <w:rsid w:val="00B02E2C"/>
    <w:rsid w:val="00B1059E"/>
    <w:rsid w:val="00B15419"/>
    <w:rsid w:val="00B176C8"/>
    <w:rsid w:val="00B205AA"/>
    <w:rsid w:val="00B22E84"/>
    <w:rsid w:val="00B25F75"/>
    <w:rsid w:val="00B26B3F"/>
    <w:rsid w:val="00B272BD"/>
    <w:rsid w:val="00B43E90"/>
    <w:rsid w:val="00B467DC"/>
    <w:rsid w:val="00B56118"/>
    <w:rsid w:val="00B623F6"/>
    <w:rsid w:val="00B627DB"/>
    <w:rsid w:val="00B6773F"/>
    <w:rsid w:val="00B72350"/>
    <w:rsid w:val="00B77C8D"/>
    <w:rsid w:val="00B801BA"/>
    <w:rsid w:val="00B802B3"/>
    <w:rsid w:val="00B81714"/>
    <w:rsid w:val="00B84D5C"/>
    <w:rsid w:val="00B87A12"/>
    <w:rsid w:val="00B90C9A"/>
    <w:rsid w:val="00B9648E"/>
    <w:rsid w:val="00BA2CA6"/>
    <w:rsid w:val="00BA6495"/>
    <w:rsid w:val="00BB1B55"/>
    <w:rsid w:val="00BB69F5"/>
    <w:rsid w:val="00BB7CB3"/>
    <w:rsid w:val="00BB7EC3"/>
    <w:rsid w:val="00BC4B9A"/>
    <w:rsid w:val="00BD2754"/>
    <w:rsid w:val="00BD784C"/>
    <w:rsid w:val="00BE5210"/>
    <w:rsid w:val="00BF17ED"/>
    <w:rsid w:val="00BF4CB6"/>
    <w:rsid w:val="00C00B50"/>
    <w:rsid w:val="00C00DA7"/>
    <w:rsid w:val="00C03FBF"/>
    <w:rsid w:val="00C0481B"/>
    <w:rsid w:val="00C12768"/>
    <w:rsid w:val="00C16222"/>
    <w:rsid w:val="00C17981"/>
    <w:rsid w:val="00C27B58"/>
    <w:rsid w:val="00C35996"/>
    <w:rsid w:val="00C3720E"/>
    <w:rsid w:val="00C37C54"/>
    <w:rsid w:val="00C44AD3"/>
    <w:rsid w:val="00C46754"/>
    <w:rsid w:val="00C4747E"/>
    <w:rsid w:val="00C5342C"/>
    <w:rsid w:val="00C603D4"/>
    <w:rsid w:val="00C6256A"/>
    <w:rsid w:val="00C625BF"/>
    <w:rsid w:val="00C77891"/>
    <w:rsid w:val="00C91449"/>
    <w:rsid w:val="00C92D10"/>
    <w:rsid w:val="00CB6405"/>
    <w:rsid w:val="00CB6BE8"/>
    <w:rsid w:val="00CD223F"/>
    <w:rsid w:val="00CE10C4"/>
    <w:rsid w:val="00CE27B5"/>
    <w:rsid w:val="00CE33D2"/>
    <w:rsid w:val="00CF160F"/>
    <w:rsid w:val="00D02DB4"/>
    <w:rsid w:val="00D0321E"/>
    <w:rsid w:val="00D10B3F"/>
    <w:rsid w:val="00D1455A"/>
    <w:rsid w:val="00D31150"/>
    <w:rsid w:val="00D3138B"/>
    <w:rsid w:val="00D3280C"/>
    <w:rsid w:val="00D3406A"/>
    <w:rsid w:val="00D4572C"/>
    <w:rsid w:val="00D469B2"/>
    <w:rsid w:val="00D55A00"/>
    <w:rsid w:val="00D738B5"/>
    <w:rsid w:val="00D741EB"/>
    <w:rsid w:val="00D83605"/>
    <w:rsid w:val="00D84934"/>
    <w:rsid w:val="00D91271"/>
    <w:rsid w:val="00DA2CB5"/>
    <w:rsid w:val="00DA4BAC"/>
    <w:rsid w:val="00DB0EDD"/>
    <w:rsid w:val="00DB2E09"/>
    <w:rsid w:val="00DB51B5"/>
    <w:rsid w:val="00DE6D27"/>
    <w:rsid w:val="00DF217D"/>
    <w:rsid w:val="00DF26A7"/>
    <w:rsid w:val="00DF7D1F"/>
    <w:rsid w:val="00E11620"/>
    <w:rsid w:val="00E15627"/>
    <w:rsid w:val="00E164B3"/>
    <w:rsid w:val="00E16910"/>
    <w:rsid w:val="00E17726"/>
    <w:rsid w:val="00E2033C"/>
    <w:rsid w:val="00E2524F"/>
    <w:rsid w:val="00E35849"/>
    <w:rsid w:val="00E35900"/>
    <w:rsid w:val="00E414EC"/>
    <w:rsid w:val="00E4282D"/>
    <w:rsid w:val="00E42BDB"/>
    <w:rsid w:val="00E513C8"/>
    <w:rsid w:val="00E537B6"/>
    <w:rsid w:val="00E57EEB"/>
    <w:rsid w:val="00E62D94"/>
    <w:rsid w:val="00E62EF7"/>
    <w:rsid w:val="00E642B0"/>
    <w:rsid w:val="00E65E54"/>
    <w:rsid w:val="00E70781"/>
    <w:rsid w:val="00E762CF"/>
    <w:rsid w:val="00E80155"/>
    <w:rsid w:val="00E81F28"/>
    <w:rsid w:val="00E848C0"/>
    <w:rsid w:val="00E91B96"/>
    <w:rsid w:val="00E941A1"/>
    <w:rsid w:val="00E95CE3"/>
    <w:rsid w:val="00EA2825"/>
    <w:rsid w:val="00EB0B63"/>
    <w:rsid w:val="00EB1936"/>
    <w:rsid w:val="00EB3E91"/>
    <w:rsid w:val="00EB5088"/>
    <w:rsid w:val="00EC375D"/>
    <w:rsid w:val="00EC7F44"/>
    <w:rsid w:val="00ED1644"/>
    <w:rsid w:val="00ED1BE2"/>
    <w:rsid w:val="00ED2593"/>
    <w:rsid w:val="00ED7D9C"/>
    <w:rsid w:val="00EE7CF3"/>
    <w:rsid w:val="00EF44A0"/>
    <w:rsid w:val="00EF4FED"/>
    <w:rsid w:val="00EF55A3"/>
    <w:rsid w:val="00EF5C9A"/>
    <w:rsid w:val="00F050BD"/>
    <w:rsid w:val="00F05657"/>
    <w:rsid w:val="00F14DBF"/>
    <w:rsid w:val="00F17997"/>
    <w:rsid w:val="00F20C18"/>
    <w:rsid w:val="00F25578"/>
    <w:rsid w:val="00F258E5"/>
    <w:rsid w:val="00F26D18"/>
    <w:rsid w:val="00F300BC"/>
    <w:rsid w:val="00F3334E"/>
    <w:rsid w:val="00F36CCB"/>
    <w:rsid w:val="00F374E5"/>
    <w:rsid w:val="00F43AF2"/>
    <w:rsid w:val="00F50EC4"/>
    <w:rsid w:val="00F550CF"/>
    <w:rsid w:val="00F57A6D"/>
    <w:rsid w:val="00F60B45"/>
    <w:rsid w:val="00F638CC"/>
    <w:rsid w:val="00F64CC1"/>
    <w:rsid w:val="00F65604"/>
    <w:rsid w:val="00F72317"/>
    <w:rsid w:val="00F754E5"/>
    <w:rsid w:val="00F80475"/>
    <w:rsid w:val="00F80AB1"/>
    <w:rsid w:val="00F81E58"/>
    <w:rsid w:val="00F8247A"/>
    <w:rsid w:val="00F8649E"/>
    <w:rsid w:val="00F9629A"/>
    <w:rsid w:val="00F97EFC"/>
    <w:rsid w:val="00FA5883"/>
    <w:rsid w:val="00FA6055"/>
    <w:rsid w:val="00FB1100"/>
    <w:rsid w:val="00FB322F"/>
    <w:rsid w:val="00FB442F"/>
    <w:rsid w:val="00FB5A10"/>
    <w:rsid w:val="00FC1929"/>
    <w:rsid w:val="00FC1F23"/>
    <w:rsid w:val="00FC5B46"/>
    <w:rsid w:val="00FC633F"/>
    <w:rsid w:val="00FD5DB9"/>
    <w:rsid w:val="00FD6D8E"/>
    <w:rsid w:val="00FE0E94"/>
    <w:rsid w:val="00FE152D"/>
    <w:rsid w:val="00FF00BD"/>
    <w:rsid w:val="00FF1ED4"/>
    <w:rsid w:val="00FF2801"/>
    <w:rsid w:val="00FF36B5"/>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BF0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annotation text" w:uiPriority="99"/>
    <w:lsdException w:name="header" w:uiPriority="99"/>
    <w:lsdException w:name="footer" w:uiPriority="99"/>
    <w:lsdException w:name="caption" w:uiPriority="99"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PBACHeading1"/>
    <w:next w:val="Normal"/>
    <w:link w:val="Heading1Char"/>
    <w:uiPriority w:val="1"/>
    <w:qFormat/>
    <w:rsid w:val="00A41664"/>
  </w:style>
  <w:style w:type="paragraph" w:styleId="Heading2">
    <w:name w:val="heading 2"/>
    <w:basedOn w:val="Normal"/>
    <w:next w:val="Normal"/>
    <w:link w:val="Heading2Char"/>
    <w:uiPriority w:val="1"/>
    <w:qFormat/>
    <w:rsid w:val="00A41664"/>
    <w:pPr>
      <w:widowControl w:val="0"/>
      <w:spacing w:before="240" w:line="276" w:lineRule="auto"/>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3F6F9D"/>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A41664"/>
    <w:pPr>
      <w:spacing w:before="240"/>
      <w:ind w:left="992" w:hanging="992"/>
      <w:outlineLvl w:val="0"/>
    </w:pPr>
    <w:rPr>
      <w:rFonts w:asciiTheme="minorHAnsi" w:hAnsiTheme="minorHAnsi"/>
      <w:b/>
      <w:sz w:val="36"/>
      <w:szCs w:val="36"/>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A41664"/>
    <w:rPr>
      <w:rFonts w:asciiTheme="minorHAnsi" w:hAnsiTheme="minorHAnsi"/>
      <w:b/>
      <w:sz w:val="36"/>
      <w:szCs w:val="36"/>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3144AC"/>
    <w:pPr>
      <w:numPr>
        <w:numId w:val="14"/>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A41664"/>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A41664"/>
    <w:rPr>
      <w:rFonts w:asciiTheme="minorHAnsi" w:hAnsiTheme="minorHAnsi" w:cs="Arial"/>
      <w:b/>
      <w:bCs/>
      <w:i/>
      <w:snapToGrid w:val="0"/>
      <w:sz w:val="28"/>
      <w:szCs w:val="28"/>
    </w:rPr>
  </w:style>
  <w:style w:type="paragraph" w:customStyle="1" w:styleId="TableText0">
    <w:name w:val="Table Text"/>
    <w:basedOn w:val="Normal"/>
    <w:link w:val="TableTextChar"/>
    <w:qFormat/>
    <w:rsid w:val="007A4C0F"/>
    <w:pPr>
      <w:keepNext/>
      <w:spacing w:before="40" w:after="40"/>
    </w:pPr>
    <w:rPr>
      <w:rFonts w:ascii="Arial Narrow" w:eastAsiaTheme="minorHAnsi" w:hAnsi="Arial Narrow" w:cstheme="minorBidi"/>
      <w:sz w:val="20"/>
      <w:szCs w:val="22"/>
      <w:lang w:eastAsia="en-US"/>
    </w:rPr>
  </w:style>
  <w:style w:type="character" w:customStyle="1" w:styleId="TableTextChar">
    <w:name w:val="Table Text Char"/>
    <w:link w:val="TableText0"/>
    <w:locked/>
    <w:rsid w:val="007A4C0F"/>
    <w:rPr>
      <w:rFonts w:ascii="Arial Narrow" w:eastAsiaTheme="minorHAnsi" w:hAnsi="Arial Narrow" w:cstheme="minorBidi"/>
      <w:szCs w:val="22"/>
      <w:lang w:eastAsia="en-US"/>
    </w:rPr>
  </w:style>
  <w:style w:type="character" w:customStyle="1" w:styleId="Heading8Char">
    <w:name w:val="Heading 8 Char"/>
    <w:basedOn w:val="DefaultParagraphFont"/>
    <w:link w:val="Heading8"/>
    <w:uiPriority w:val="7"/>
    <w:rsid w:val="003F6F9D"/>
    <w:rPr>
      <w:rFonts w:asciiTheme="majorHAnsi" w:eastAsiaTheme="majorEastAsia" w:hAnsiTheme="majorHAnsi" w:cstheme="majorBidi"/>
      <w:color w:val="272727" w:themeColor="text1" w:themeTint="D8"/>
      <w:sz w:val="21"/>
      <w:szCs w:val="21"/>
      <w:lang w:eastAsia="en-US"/>
    </w:rPr>
  </w:style>
  <w:style w:type="paragraph" w:customStyle="1" w:styleId="TableFooter">
    <w:name w:val="Table Footer"/>
    <w:basedOn w:val="Normal"/>
    <w:qFormat/>
    <w:rsid w:val="003F6F9D"/>
    <w:pPr>
      <w:widowControl w:val="0"/>
      <w:jc w:val="both"/>
    </w:pPr>
    <w:rPr>
      <w:rFonts w:ascii="Arial Narrow" w:hAnsi="Arial Narrow" w:cs="Arial"/>
      <w:snapToGrid w:val="0"/>
      <w:sz w:val="18"/>
      <w:szCs w:val="20"/>
      <w:lang w:eastAsia="en-US"/>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Normal"/>
    <w:next w:val="Normal"/>
    <w:link w:val="CaptionChar"/>
    <w:uiPriority w:val="99"/>
    <w:unhideWhenUsed/>
    <w:qFormat/>
    <w:rsid w:val="000F083D"/>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uiPriority w:val="99"/>
    <w:rsid w:val="000F083D"/>
    <w:rPr>
      <w:rFonts w:ascii="Arial Narrow" w:hAnsi="Arial Narrow" w:cs="Arial"/>
      <w:b/>
      <w:bCs/>
      <w:snapToGrid w:val="0"/>
      <w:color w:val="000000" w:themeColor="text1"/>
      <w:szCs w:val="18"/>
      <w:lang w:eastAsia="en-US"/>
    </w:rPr>
  </w:style>
  <w:style w:type="paragraph" w:customStyle="1" w:styleId="TableHeading0">
    <w:name w:val="Table Heading"/>
    <w:basedOn w:val="Normal"/>
    <w:qFormat/>
    <w:rsid w:val="00DF7D1F"/>
    <w:pPr>
      <w:keepNext/>
      <w:spacing w:after="60"/>
    </w:pPr>
    <w:rPr>
      <w:rFonts w:ascii="Arial Narrow" w:eastAsiaTheme="minorHAnsi" w:hAnsi="Arial Narrow" w:cstheme="minorBidi"/>
      <w:b/>
      <w:sz w:val="20"/>
      <w:szCs w:val="22"/>
      <w:lang w:eastAsia="en-US"/>
    </w:rPr>
  </w:style>
  <w:style w:type="character" w:styleId="FollowedHyperlink">
    <w:name w:val="FollowedHyperlink"/>
    <w:basedOn w:val="DefaultParagraphFont"/>
    <w:rsid w:val="004129E2"/>
    <w:rPr>
      <w:color w:val="800080" w:themeColor="followedHyperlink"/>
      <w:u w:val="single"/>
    </w:rPr>
  </w:style>
  <w:style w:type="paragraph" w:styleId="Revision">
    <w:name w:val="Revision"/>
    <w:hidden/>
    <w:uiPriority w:val="71"/>
    <w:semiHidden/>
    <w:rsid w:val="009B69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uiPriority="7" w:qFormat="1"/>
    <w:lsdException w:name="heading 9" w:qFormat="1"/>
    <w:lsdException w:name="annotation text" w:uiPriority="99"/>
    <w:lsdException w:name="header" w:uiPriority="99"/>
    <w:lsdException w:name="footer" w:uiPriority="99"/>
    <w:lsdException w:name="caption" w:uiPriority="99"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PBACHeading1"/>
    <w:next w:val="Normal"/>
    <w:link w:val="Heading1Char"/>
    <w:uiPriority w:val="1"/>
    <w:qFormat/>
    <w:rsid w:val="00A41664"/>
  </w:style>
  <w:style w:type="paragraph" w:styleId="Heading2">
    <w:name w:val="heading 2"/>
    <w:basedOn w:val="Normal"/>
    <w:next w:val="Normal"/>
    <w:link w:val="Heading2Char"/>
    <w:uiPriority w:val="1"/>
    <w:qFormat/>
    <w:rsid w:val="00A41664"/>
    <w:pPr>
      <w:widowControl w:val="0"/>
      <w:spacing w:before="240" w:line="276" w:lineRule="auto"/>
      <w:jc w:val="both"/>
      <w:outlineLvl w:val="1"/>
    </w:pPr>
    <w:rPr>
      <w:rFonts w:asciiTheme="minorHAnsi" w:hAnsiTheme="minorHAnsi" w:cs="Arial"/>
      <w:b/>
      <w:bCs/>
      <w:i/>
      <w:snapToGrid w:val="0"/>
      <w:sz w:val="28"/>
      <w:szCs w:val="28"/>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8">
    <w:name w:val="heading 8"/>
    <w:basedOn w:val="Normal"/>
    <w:next w:val="Normal"/>
    <w:link w:val="Heading8Char"/>
    <w:uiPriority w:val="7"/>
    <w:unhideWhenUsed/>
    <w:qFormat/>
    <w:rsid w:val="003F6F9D"/>
    <w:pPr>
      <w:keepNext/>
      <w:keepLines/>
      <w:spacing w:before="40"/>
      <w:ind w:left="1440" w:hanging="1440"/>
      <w:outlineLvl w:val="7"/>
    </w:pPr>
    <w:rPr>
      <w:rFonts w:asciiTheme="majorHAnsi" w:eastAsiaTheme="majorEastAsia" w:hAnsiTheme="majorHAnsi" w:cstheme="majorBidi"/>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A41664"/>
    <w:pPr>
      <w:spacing w:before="240"/>
      <w:ind w:left="992" w:hanging="992"/>
      <w:outlineLvl w:val="0"/>
    </w:pPr>
    <w:rPr>
      <w:rFonts w:asciiTheme="minorHAnsi" w:hAnsiTheme="minorHAnsi"/>
      <w:b/>
      <w:sz w:val="36"/>
      <w:szCs w:val="36"/>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A41664"/>
    <w:rPr>
      <w:rFonts w:asciiTheme="minorHAnsi" w:hAnsiTheme="minorHAnsi"/>
      <w:b/>
      <w:sz w:val="36"/>
      <w:szCs w:val="36"/>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3144AC"/>
    <w:pPr>
      <w:numPr>
        <w:numId w:val="14"/>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A41664"/>
    <w:rPr>
      <w:rFonts w:asciiTheme="minorHAnsi" w:hAnsiTheme="minorHAnsi" w:cs="Arial"/>
      <w:b/>
      <w:snapToGrid w:val="0"/>
      <w:sz w:val="32"/>
      <w:szCs w:val="32"/>
      <w:lang w:eastAsia="en-US"/>
    </w:rPr>
  </w:style>
  <w:style w:type="character" w:customStyle="1" w:styleId="Heading2Char">
    <w:name w:val="Heading 2 Char"/>
    <w:basedOn w:val="DefaultParagraphFont"/>
    <w:link w:val="Heading2"/>
    <w:uiPriority w:val="1"/>
    <w:rsid w:val="00A41664"/>
    <w:rPr>
      <w:rFonts w:asciiTheme="minorHAnsi" w:hAnsiTheme="minorHAnsi" w:cs="Arial"/>
      <w:b/>
      <w:bCs/>
      <w:i/>
      <w:snapToGrid w:val="0"/>
      <w:sz w:val="28"/>
      <w:szCs w:val="28"/>
    </w:rPr>
  </w:style>
  <w:style w:type="paragraph" w:customStyle="1" w:styleId="TableText0">
    <w:name w:val="Table Text"/>
    <w:basedOn w:val="Normal"/>
    <w:link w:val="TableTextChar"/>
    <w:qFormat/>
    <w:rsid w:val="007A4C0F"/>
    <w:pPr>
      <w:keepNext/>
      <w:spacing w:before="40" w:after="40"/>
    </w:pPr>
    <w:rPr>
      <w:rFonts w:ascii="Arial Narrow" w:eastAsiaTheme="minorHAnsi" w:hAnsi="Arial Narrow" w:cstheme="minorBidi"/>
      <w:sz w:val="20"/>
      <w:szCs w:val="22"/>
      <w:lang w:eastAsia="en-US"/>
    </w:rPr>
  </w:style>
  <w:style w:type="character" w:customStyle="1" w:styleId="TableTextChar">
    <w:name w:val="Table Text Char"/>
    <w:link w:val="TableText0"/>
    <w:locked/>
    <w:rsid w:val="007A4C0F"/>
    <w:rPr>
      <w:rFonts w:ascii="Arial Narrow" w:eastAsiaTheme="minorHAnsi" w:hAnsi="Arial Narrow" w:cstheme="minorBidi"/>
      <w:szCs w:val="22"/>
      <w:lang w:eastAsia="en-US"/>
    </w:rPr>
  </w:style>
  <w:style w:type="character" w:customStyle="1" w:styleId="Heading8Char">
    <w:name w:val="Heading 8 Char"/>
    <w:basedOn w:val="DefaultParagraphFont"/>
    <w:link w:val="Heading8"/>
    <w:uiPriority w:val="7"/>
    <w:rsid w:val="003F6F9D"/>
    <w:rPr>
      <w:rFonts w:asciiTheme="majorHAnsi" w:eastAsiaTheme="majorEastAsia" w:hAnsiTheme="majorHAnsi" w:cstheme="majorBidi"/>
      <w:color w:val="272727" w:themeColor="text1" w:themeTint="D8"/>
      <w:sz w:val="21"/>
      <w:szCs w:val="21"/>
      <w:lang w:eastAsia="en-US"/>
    </w:rPr>
  </w:style>
  <w:style w:type="paragraph" w:customStyle="1" w:styleId="TableFooter">
    <w:name w:val="Table Footer"/>
    <w:basedOn w:val="Normal"/>
    <w:qFormat/>
    <w:rsid w:val="003F6F9D"/>
    <w:pPr>
      <w:widowControl w:val="0"/>
      <w:jc w:val="both"/>
    </w:pPr>
    <w:rPr>
      <w:rFonts w:ascii="Arial Narrow" w:hAnsi="Arial Narrow" w:cs="Arial"/>
      <w:snapToGrid w:val="0"/>
      <w:sz w:val="18"/>
      <w:szCs w:val="20"/>
      <w:lang w:eastAsia="en-US"/>
    </w:rPr>
  </w:style>
  <w:style w:type="paragraph" w:styleId="Caption">
    <w:name w:val="caption"/>
    <w:aliases w:val="Figure caption,Figure caption1 Char Char,IB Caption,Medical Caption,Medical Caption Char,Caption Char1 Char Char,Caption Char Char Char Char,Caption Char1 Char,Caption Char Char Char Char Char,Caption Char Char,Caption Char Char Char Char1,..."/>
    <w:basedOn w:val="Normal"/>
    <w:next w:val="Normal"/>
    <w:link w:val="CaptionChar"/>
    <w:uiPriority w:val="99"/>
    <w:unhideWhenUsed/>
    <w:qFormat/>
    <w:rsid w:val="000F083D"/>
    <w:pPr>
      <w:widowControl w:val="0"/>
      <w:jc w:val="both"/>
    </w:pPr>
    <w:rPr>
      <w:rFonts w:ascii="Arial Narrow" w:hAnsi="Arial Narrow" w:cs="Arial"/>
      <w:b/>
      <w:bCs/>
      <w:snapToGrid w:val="0"/>
      <w:color w:val="000000" w:themeColor="text1"/>
      <w:sz w:val="20"/>
      <w:szCs w:val="18"/>
      <w:lang w:eastAsia="en-US"/>
    </w:rPr>
  </w:style>
  <w:style w:type="character" w:customStyle="1" w:styleId="CaptionChar">
    <w:name w:val="Caption Char"/>
    <w:aliases w:val="Figure caption Char,Figure caption1 Char Char Char,IB Caption Char,Medical Caption Char1,Medical Caption Char Char,Caption Char1 Char Char Char,Caption Char Char Char Char Char1,Caption Char1 Char Char1,Caption Char Char Char Char Char Char"/>
    <w:link w:val="Caption"/>
    <w:uiPriority w:val="99"/>
    <w:rsid w:val="000F083D"/>
    <w:rPr>
      <w:rFonts w:ascii="Arial Narrow" w:hAnsi="Arial Narrow" w:cs="Arial"/>
      <w:b/>
      <w:bCs/>
      <w:snapToGrid w:val="0"/>
      <w:color w:val="000000" w:themeColor="text1"/>
      <w:szCs w:val="18"/>
      <w:lang w:eastAsia="en-US"/>
    </w:rPr>
  </w:style>
  <w:style w:type="paragraph" w:customStyle="1" w:styleId="TableHeading0">
    <w:name w:val="Table Heading"/>
    <w:basedOn w:val="Normal"/>
    <w:qFormat/>
    <w:rsid w:val="00DF7D1F"/>
    <w:pPr>
      <w:keepNext/>
      <w:spacing w:after="60"/>
    </w:pPr>
    <w:rPr>
      <w:rFonts w:ascii="Arial Narrow" w:eastAsiaTheme="minorHAnsi" w:hAnsi="Arial Narrow" w:cstheme="minorBidi"/>
      <w:b/>
      <w:sz w:val="20"/>
      <w:szCs w:val="22"/>
      <w:lang w:eastAsia="en-US"/>
    </w:rPr>
  </w:style>
  <w:style w:type="character" w:styleId="FollowedHyperlink">
    <w:name w:val="FollowedHyperlink"/>
    <w:basedOn w:val="DefaultParagraphFont"/>
    <w:rsid w:val="004129E2"/>
    <w:rPr>
      <w:color w:val="800080" w:themeColor="followedHyperlink"/>
      <w:u w:val="single"/>
    </w:rPr>
  </w:style>
  <w:style w:type="paragraph" w:styleId="Revision">
    <w:name w:val="Revision"/>
    <w:hidden/>
    <w:uiPriority w:val="71"/>
    <w:semiHidden/>
    <w:rsid w:val="009B69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691997964">
      <w:bodyDiv w:val="1"/>
      <w:marLeft w:val="0"/>
      <w:marRight w:val="0"/>
      <w:marTop w:val="0"/>
      <w:marBottom w:val="0"/>
      <w:divBdr>
        <w:top w:val="none" w:sz="0" w:space="0" w:color="auto"/>
        <w:left w:val="none" w:sz="0" w:space="0" w:color="auto"/>
        <w:bottom w:val="none" w:sz="0" w:space="0" w:color="auto"/>
        <w:right w:val="none" w:sz="0" w:space="0" w:color="auto"/>
      </w:divBdr>
    </w:div>
    <w:div w:id="76350331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05867938">
      <w:bodyDiv w:val="1"/>
      <w:marLeft w:val="0"/>
      <w:marRight w:val="0"/>
      <w:marTop w:val="0"/>
      <w:marBottom w:val="0"/>
      <w:divBdr>
        <w:top w:val="none" w:sz="0" w:space="0" w:color="auto"/>
        <w:left w:val="none" w:sz="0" w:space="0" w:color="auto"/>
        <w:bottom w:val="none" w:sz="0" w:space="0" w:color="auto"/>
        <w:right w:val="none" w:sz="0" w:space="0" w:color="auto"/>
      </w:divBdr>
    </w:div>
    <w:div w:id="1645892546">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8577901">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0043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D9C26-00B7-40C7-AF98-C33179958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4234</Words>
  <Characters>24080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2018-06-21T03:32:00Z</dcterms:created>
  <dcterms:modified xsi:type="dcterms:W3CDTF">2018-06-21T03:33:00Z</dcterms:modified>
</cp:coreProperties>
</file>