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D6" w:rsidRDefault="00EB4B1C" w:rsidP="0042447A">
      <w:pPr>
        <w:pStyle w:val="Title"/>
        <w:spacing w:before="120" w:after="160"/>
        <w:ind w:left="720" w:hanging="720"/>
        <w:rPr>
          <w:rFonts w:asciiTheme="minorHAnsi" w:hAnsiTheme="minorHAnsi"/>
          <w:sz w:val="36"/>
          <w:szCs w:val="36"/>
        </w:rPr>
      </w:pPr>
      <w:r>
        <w:rPr>
          <w:rFonts w:asciiTheme="minorHAnsi" w:hAnsiTheme="minorHAnsi"/>
          <w:sz w:val="36"/>
          <w:szCs w:val="36"/>
        </w:rPr>
        <w:t>4.04</w:t>
      </w:r>
      <w:r w:rsidR="007C0F57" w:rsidRPr="002B5596">
        <w:rPr>
          <w:rFonts w:asciiTheme="minorHAnsi" w:hAnsiTheme="minorHAnsi"/>
          <w:sz w:val="36"/>
          <w:szCs w:val="36"/>
        </w:rPr>
        <w:tab/>
      </w:r>
      <w:r>
        <w:rPr>
          <w:rFonts w:asciiTheme="minorHAnsi" w:hAnsiTheme="minorHAnsi"/>
          <w:sz w:val="36"/>
          <w:szCs w:val="36"/>
        </w:rPr>
        <w:t>ETANERCEPT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0B7E6E">
        <w:rPr>
          <w:rFonts w:asciiTheme="minorHAnsi" w:hAnsiTheme="minorHAnsi"/>
          <w:sz w:val="36"/>
          <w:szCs w:val="36"/>
        </w:rPr>
        <w:t>Injection 50 mg in 1 mL single use auto-injector, 4,</w:t>
      </w:r>
      <w:r w:rsidR="0042447A">
        <w:rPr>
          <w:rFonts w:asciiTheme="minorHAnsi" w:hAnsiTheme="minorHAnsi"/>
          <w:sz w:val="36"/>
          <w:szCs w:val="36"/>
        </w:rPr>
        <w:t xml:space="preserve"> </w:t>
      </w:r>
      <w:r w:rsidR="000B7E6E">
        <w:rPr>
          <w:rFonts w:asciiTheme="minorHAnsi" w:hAnsiTheme="minorHAnsi"/>
          <w:sz w:val="36"/>
          <w:szCs w:val="36"/>
        </w:rPr>
        <w:t>Injection 50 mg in 1 m</w:t>
      </w:r>
      <w:r w:rsidR="007852F8">
        <w:rPr>
          <w:rFonts w:asciiTheme="minorHAnsi" w:hAnsiTheme="minorHAnsi"/>
          <w:sz w:val="36"/>
          <w:szCs w:val="36"/>
        </w:rPr>
        <w:t>L single use pre-filled syringes, </w:t>
      </w:r>
      <w:r w:rsidR="000B7E6E">
        <w:rPr>
          <w:rFonts w:asciiTheme="minorHAnsi" w:hAnsiTheme="minorHAnsi"/>
          <w:sz w:val="36"/>
          <w:szCs w:val="36"/>
        </w:rPr>
        <w:t>4</w:t>
      </w:r>
      <w:r w:rsidR="00882982">
        <w:rPr>
          <w:rFonts w:asciiTheme="minorHAnsi" w:hAnsiTheme="minorHAnsi"/>
          <w:sz w:val="36"/>
          <w:szCs w:val="36"/>
        </w:rPr>
        <w:t>,</w:t>
      </w:r>
    </w:p>
    <w:p w:rsidR="00C27B58" w:rsidRPr="00577C4D" w:rsidRDefault="00882982" w:rsidP="00DC13D6">
      <w:pPr>
        <w:pStyle w:val="Title"/>
        <w:spacing w:before="120" w:after="160"/>
        <w:ind w:left="720" w:hanging="11"/>
        <w:rPr>
          <w:rFonts w:asciiTheme="minorHAnsi" w:hAnsiTheme="minorHAnsi"/>
          <w:sz w:val="36"/>
          <w:szCs w:val="36"/>
        </w:rPr>
      </w:pPr>
      <w:r>
        <w:rPr>
          <w:rFonts w:asciiTheme="minorHAnsi" w:hAnsiTheme="minorHAnsi"/>
          <w:sz w:val="36"/>
          <w:szCs w:val="36"/>
        </w:rPr>
        <w:t xml:space="preserve"> </w:t>
      </w:r>
      <w:proofErr w:type="spellStart"/>
      <w:r>
        <w:rPr>
          <w:rFonts w:asciiTheme="minorHAnsi" w:hAnsiTheme="minorHAnsi"/>
          <w:sz w:val="36"/>
          <w:szCs w:val="36"/>
        </w:rPr>
        <w:t>Erelzi</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Pr>
          <w:rFonts w:asciiTheme="minorHAnsi" w:hAnsiTheme="minorHAnsi"/>
          <w:sz w:val="36"/>
          <w:szCs w:val="36"/>
        </w:rPr>
        <w:t>Sandoz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sought </w:t>
      </w:r>
      <w:r w:rsidR="00EB4B1C">
        <w:rPr>
          <w:rFonts w:asciiTheme="minorHAnsi" w:eastAsiaTheme="minorHAnsi" w:hAnsiTheme="minorHAnsi" w:cstheme="minorBidi"/>
          <w:snapToGrid/>
          <w:sz w:val="24"/>
          <w:szCs w:val="22"/>
        </w:rPr>
        <w:t xml:space="preserve">listing of a new biosimilar </w:t>
      </w:r>
      <w:r w:rsidR="00433CA7">
        <w:rPr>
          <w:rFonts w:asciiTheme="minorHAnsi" w:eastAsiaTheme="minorHAnsi" w:hAnsiTheme="minorHAnsi" w:cstheme="minorBidi"/>
          <w:snapToGrid/>
          <w:sz w:val="24"/>
          <w:szCs w:val="22"/>
        </w:rPr>
        <w:t xml:space="preserve">brand of </w:t>
      </w:r>
      <w:proofErr w:type="spellStart"/>
      <w:r w:rsidR="00EB4B1C">
        <w:rPr>
          <w:rFonts w:asciiTheme="minorHAnsi" w:eastAsiaTheme="minorHAnsi" w:hAnsiTheme="minorHAnsi" w:cstheme="minorBidi"/>
          <w:snapToGrid/>
          <w:sz w:val="24"/>
          <w:szCs w:val="22"/>
        </w:rPr>
        <w:t>etanercept</w:t>
      </w:r>
      <w:proofErr w:type="spellEnd"/>
      <w:r w:rsidR="00433CA7">
        <w:rPr>
          <w:rFonts w:asciiTheme="minorHAnsi" w:eastAsiaTheme="minorHAnsi" w:hAnsiTheme="minorHAnsi" w:cstheme="minorBidi"/>
          <w:snapToGrid/>
          <w:sz w:val="24"/>
          <w:szCs w:val="22"/>
        </w:rPr>
        <w:t xml:space="preserve"> (</w:t>
      </w:r>
      <w:proofErr w:type="spellStart"/>
      <w:r w:rsidR="00433CA7">
        <w:rPr>
          <w:rFonts w:asciiTheme="minorHAnsi" w:eastAsiaTheme="minorHAnsi" w:hAnsiTheme="minorHAnsi" w:cstheme="minorBidi"/>
          <w:snapToGrid/>
          <w:sz w:val="24"/>
          <w:szCs w:val="22"/>
        </w:rPr>
        <w:t>Erelzi</w:t>
      </w:r>
      <w:proofErr w:type="spellEnd"/>
      <w:r w:rsidR="00433CA7">
        <w:rPr>
          <w:rFonts w:asciiTheme="minorHAnsi" w:eastAsiaTheme="minorHAnsi" w:hAnsiTheme="minorHAnsi" w:cstheme="minorBidi"/>
          <w:snapToGrid/>
          <w:sz w:val="24"/>
          <w:szCs w:val="22"/>
        </w:rPr>
        <w:t>®)</w:t>
      </w:r>
      <w:r w:rsidR="00EB4B1C">
        <w:rPr>
          <w:rFonts w:asciiTheme="minorHAnsi" w:eastAsiaTheme="minorHAnsi" w:hAnsiTheme="minorHAnsi" w:cstheme="minorBidi"/>
          <w:snapToGrid/>
          <w:sz w:val="24"/>
          <w:szCs w:val="22"/>
        </w:rPr>
        <w:t xml:space="preserve"> for all indications for which</w:t>
      </w:r>
      <w:r w:rsidR="00433CA7">
        <w:rPr>
          <w:rFonts w:asciiTheme="minorHAnsi" w:eastAsiaTheme="minorHAnsi" w:hAnsiTheme="minorHAnsi" w:cstheme="minorBidi"/>
          <w:snapToGrid/>
          <w:sz w:val="24"/>
          <w:szCs w:val="22"/>
        </w:rPr>
        <w:t xml:space="preserve"> the reference brand Enbrel®</w:t>
      </w:r>
      <w:r w:rsidR="00EB4B1C">
        <w:rPr>
          <w:rFonts w:asciiTheme="minorHAnsi" w:eastAsiaTheme="minorHAnsi" w:hAnsiTheme="minorHAnsi" w:cstheme="minorBidi"/>
          <w:snapToGrid/>
          <w:sz w:val="24"/>
          <w:szCs w:val="22"/>
        </w:rPr>
        <w:t xml:space="preserve"> is currently PBS listed.</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w:t>
      </w:r>
      <w:r w:rsidR="000B7E6E">
        <w:rPr>
          <w:rFonts w:asciiTheme="minorHAnsi" w:eastAsiaTheme="minorHAnsi" w:hAnsiTheme="minorHAnsi" w:cstheme="minorBidi"/>
          <w:snapToGrid/>
          <w:sz w:val="24"/>
          <w:szCs w:val="22"/>
        </w:rPr>
        <w:t xml:space="preserve">listing for 50 mg pre-filled syringe and 50 mg auto-injector forms of </w:t>
      </w:r>
      <w:proofErr w:type="spellStart"/>
      <w:r w:rsidR="001360FA">
        <w:rPr>
          <w:rFonts w:asciiTheme="minorHAnsi" w:eastAsiaTheme="minorHAnsi" w:hAnsiTheme="minorHAnsi" w:cstheme="minorBidi"/>
          <w:snapToGrid/>
          <w:sz w:val="24"/>
          <w:szCs w:val="22"/>
        </w:rPr>
        <w:t>Erelzi</w:t>
      </w:r>
      <w:proofErr w:type="spellEnd"/>
      <w:r w:rsidR="001360FA">
        <w:rPr>
          <w:rFonts w:asciiTheme="minorHAnsi" w:eastAsiaTheme="minorHAnsi" w:hAnsiTheme="minorHAnsi" w:cstheme="minorBidi"/>
          <w:snapToGrid/>
          <w:sz w:val="24"/>
          <w:szCs w:val="22"/>
        </w:rPr>
        <w:t xml:space="preserve"> </w:t>
      </w:r>
      <w:r w:rsidR="000B7E6E">
        <w:rPr>
          <w:rFonts w:asciiTheme="minorHAnsi" w:eastAsiaTheme="minorHAnsi" w:hAnsiTheme="minorHAnsi" w:cstheme="minorBidi"/>
          <w:snapToGrid/>
          <w:sz w:val="24"/>
          <w:szCs w:val="22"/>
        </w:rPr>
        <w:t>for the following indications for which</w:t>
      </w:r>
      <w:r w:rsidR="00FE2861">
        <w:rPr>
          <w:rFonts w:asciiTheme="minorHAnsi" w:eastAsiaTheme="minorHAnsi" w:hAnsiTheme="minorHAnsi" w:cstheme="minorBidi"/>
          <w:snapToGrid/>
          <w:sz w:val="24"/>
          <w:szCs w:val="22"/>
        </w:rPr>
        <w:t xml:space="preserve"> the reference brand</w:t>
      </w:r>
      <w:r w:rsidR="000B7E6E">
        <w:rPr>
          <w:rFonts w:asciiTheme="minorHAnsi" w:eastAsiaTheme="minorHAnsi" w:hAnsiTheme="minorHAnsi" w:cstheme="minorBidi"/>
          <w:snapToGrid/>
          <w:sz w:val="24"/>
          <w:szCs w:val="22"/>
        </w:rPr>
        <w:t xml:space="preserve"> </w:t>
      </w:r>
      <w:r w:rsidR="001360FA">
        <w:rPr>
          <w:rFonts w:asciiTheme="minorHAnsi" w:eastAsiaTheme="minorHAnsi" w:hAnsiTheme="minorHAnsi" w:cstheme="minorBidi"/>
          <w:snapToGrid/>
          <w:sz w:val="24"/>
          <w:szCs w:val="22"/>
        </w:rPr>
        <w:t>Enbrel</w:t>
      </w:r>
      <w:r w:rsidR="000B7E6E">
        <w:rPr>
          <w:rFonts w:asciiTheme="minorHAnsi" w:eastAsiaTheme="minorHAnsi" w:hAnsiTheme="minorHAnsi" w:cstheme="minorBidi"/>
          <w:snapToGrid/>
          <w:sz w:val="24"/>
          <w:szCs w:val="22"/>
        </w:rPr>
        <w:t xml:space="preserve"> is currently PBS listed:</w:t>
      </w:r>
    </w:p>
    <w:p w:rsidR="000B7E6E" w:rsidRDefault="000B7E6E" w:rsidP="000B7E6E">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Severe active rheumatoid arthritis</w:t>
      </w:r>
      <w:r w:rsidR="00783309">
        <w:rPr>
          <w:rFonts w:asciiTheme="minorHAnsi" w:eastAsiaTheme="minorHAnsi" w:hAnsiTheme="minorHAnsi" w:cstheme="minorBidi"/>
          <w:snapToGrid/>
          <w:sz w:val="24"/>
          <w:szCs w:val="22"/>
        </w:rPr>
        <w:t xml:space="preserve"> – </w:t>
      </w:r>
      <w:r w:rsidR="00792DD5">
        <w:rPr>
          <w:rFonts w:asciiTheme="minorHAnsi" w:eastAsiaTheme="minorHAnsi" w:hAnsiTheme="minorHAnsi" w:cstheme="minorBidi"/>
          <w:snapToGrid/>
          <w:sz w:val="24"/>
          <w:szCs w:val="22"/>
        </w:rPr>
        <w:t>S</w:t>
      </w:r>
      <w:r w:rsidR="005923B3">
        <w:rPr>
          <w:rFonts w:asciiTheme="minorHAnsi" w:eastAsiaTheme="minorHAnsi" w:hAnsiTheme="minorHAnsi" w:cstheme="minorBidi"/>
          <w:snapToGrid/>
          <w:sz w:val="24"/>
          <w:szCs w:val="22"/>
        </w:rPr>
        <w:t xml:space="preserve">85 </w:t>
      </w:r>
      <w:r w:rsidR="00783309">
        <w:rPr>
          <w:rFonts w:asciiTheme="minorHAnsi" w:eastAsiaTheme="minorHAnsi" w:hAnsiTheme="minorHAnsi" w:cstheme="minorBidi"/>
          <w:snapToGrid/>
          <w:sz w:val="24"/>
          <w:szCs w:val="22"/>
        </w:rPr>
        <w:t>General Schedule</w:t>
      </w:r>
    </w:p>
    <w:p w:rsidR="000B7E6E" w:rsidRDefault="000B7E6E" w:rsidP="000B7E6E">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Severe psoriatic arthritis</w:t>
      </w:r>
      <w:r w:rsidR="00783309">
        <w:rPr>
          <w:rFonts w:asciiTheme="minorHAnsi" w:eastAsiaTheme="minorHAnsi" w:hAnsiTheme="minorHAnsi" w:cstheme="minorBidi"/>
          <w:snapToGrid/>
          <w:sz w:val="24"/>
          <w:szCs w:val="22"/>
        </w:rPr>
        <w:t xml:space="preserve"> - </w:t>
      </w:r>
      <w:r w:rsidR="005923B3">
        <w:rPr>
          <w:rFonts w:asciiTheme="minorHAnsi" w:eastAsiaTheme="minorHAnsi" w:hAnsiTheme="minorHAnsi" w:cstheme="minorBidi"/>
          <w:snapToGrid/>
          <w:sz w:val="24"/>
          <w:szCs w:val="22"/>
        </w:rPr>
        <w:t xml:space="preserve">S85 </w:t>
      </w:r>
      <w:r w:rsidR="00783309">
        <w:rPr>
          <w:rFonts w:asciiTheme="minorHAnsi" w:eastAsiaTheme="minorHAnsi" w:hAnsiTheme="minorHAnsi" w:cstheme="minorBidi"/>
          <w:snapToGrid/>
          <w:sz w:val="24"/>
          <w:szCs w:val="22"/>
        </w:rPr>
        <w:t>General Schedule</w:t>
      </w:r>
    </w:p>
    <w:p w:rsidR="000B7E6E" w:rsidRDefault="000B7E6E" w:rsidP="000B7E6E">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Ankylosing spondylitis</w:t>
      </w:r>
      <w:r w:rsidR="00783309">
        <w:rPr>
          <w:rFonts w:asciiTheme="minorHAnsi" w:eastAsiaTheme="minorHAnsi" w:hAnsiTheme="minorHAnsi" w:cstheme="minorBidi"/>
          <w:snapToGrid/>
          <w:sz w:val="24"/>
          <w:szCs w:val="22"/>
        </w:rPr>
        <w:t xml:space="preserve"> - </w:t>
      </w:r>
      <w:r w:rsidR="005923B3">
        <w:rPr>
          <w:rFonts w:asciiTheme="minorHAnsi" w:eastAsiaTheme="minorHAnsi" w:hAnsiTheme="minorHAnsi" w:cstheme="minorBidi"/>
          <w:snapToGrid/>
          <w:sz w:val="24"/>
          <w:szCs w:val="22"/>
        </w:rPr>
        <w:t xml:space="preserve">S85 </w:t>
      </w:r>
      <w:r w:rsidR="00783309">
        <w:rPr>
          <w:rFonts w:asciiTheme="minorHAnsi" w:eastAsiaTheme="minorHAnsi" w:hAnsiTheme="minorHAnsi" w:cstheme="minorBidi"/>
          <w:snapToGrid/>
          <w:sz w:val="24"/>
          <w:szCs w:val="22"/>
        </w:rPr>
        <w:t>General Schedule</w:t>
      </w:r>
    </w:p>
    <w:p w:rsidR="000B7E6E" w:rsidRDefault="000B7E6E" w:rsidP="000B7E6E">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Severe chronic plaque psoriasis</w:t>
      </w:r>
      <w:r w:rsidR="00783309">
        <w:rPr>
          <w:rFonts w:asciiTheme="minorHAnsi" w:eastAsiaTheme="minorHAnsi" w:hAnsiTheme="minorHAnsi" w:cstheme="minorBidi"/>
          <w:snapToGrid/>
          <w:sz w:val="24"/>
          <w:szCs w:val="22"/>
        </w:rPr>
        <w:t xml:space="preserve"> - </w:t>
      </w:r>
      <w:r w:rsidR="005923B3">
        <w:rPr>
          <w:rFonts w:asciiTheme="minorHAnsi" w:eastAsiaTheme="minorHAnsi" w:hAnsiTheme="minorHAnsi" w:cstheme="minorBidi"/>
          <w:snapToGrid/>
          <w:sz w:val="24"/>
          <w:szCs w:val="22"/>
        </w:rPr>
        <w:t xml:space="preserve">S85 </w:t>
      </w:r>
      <w:r w:rsidR="00783309">
        <w:rPr>
          <w:rFonts w:asciiTheme="minorHAnsi" w:eastAsiaTheme="minorHAnsi" w:hAnsiTheme="minorHAnsi" w:cstheme="minorBidi"/>
          <w:snapToGrid/>
          <w:sz w:val="24"/>
          <w:szCs w:val="22"/>
        </w:rPr>
        <w:t>General Schedule</w:t>
      </w:r>
    </w:p>
    <w:p w:rsidR="000B7E6E" w:rsidRPr="005923B3" w:rsidRDefault="000B7E6E" w:rsidP="005923B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Juvenile severe chronic plaque psoriasis</w:t>
      </w:r>
      <w:r w:rsidR="005923B3">
        <w:rPr>
          <w:rFonts w:asciiTheme="minorHAnsi" w:eastAsiaTheme="minorHAnsi" w:hAnsiTheme="minorHAnsi" w:cstheme="minorBidi"/>
          <w:snapToGrid/>
          <w:sz w:val="24"/>
          <w:szCs w:val="22"/>
        </w:rPr>
        <w:t xml:space="preserve"> - S85 General Schedule</w:t>
      </w:r>
    </w:p>
    <w:p w:rsidR="000B7E6E" w:rsidRPr="00F412A0" w:rsidRDefault="000B7E6E" w:rsidP="00F412A0">
      <w:pPr>
        <w:pStyle w:val="ListParagraph"/>
        <w:widowControl/>
        <w:numPr>
          <w:ilvl w:val="0"/>
          <w:numId w:val="15"/>
        </w:numPr>
        <w:spacing w:after="240"/>
        <w:ind w:left="1434"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Severe active juvenile idiopathic arthritis</w:t>
      </w:r>
      <w:r w:rsidR="00783309">
        <w:rPr>
          <w:rFonts w:asciiTheme="minorHAnsi" w:eastAsiaTheme="minorHAnsi" w:hAnsiTheme="minorHAnsi" w:cstheme="minorBidi"/>
          <w:snapToGrid/>
          <w:sz w:val="24"/>
          <w:szCs w:val="22"/>
        </w:rPr>
        <w:t xml:space="preserve"> –</w:t>
      </w:r>
      <w:r w:rsidR="00491D0A">
        <w:rPr>
          <w:rFonts w:asciiTheme="minorHAnsi" w:eastAsiaTheme="minorHAnsi" w:hAnsiTheme="minorHAnsi" w:cstheme="minorBidi"/>
          <w:snapToGrid/>
          <w:sz w:val="24"/>
          <w:szCs w:val="22"/>
        </w:rPr>
        <w:t xml:space="preserve"> S85 General Schedule (patients aged 18 years and over)</w:t>
      </w:r>
      <w:r w:rsidR="005923B3">
        <w:rPr>
          <w:rFonts w:asciiTheme="minorHAnsi" w:eastAsiaTheme="minorHAnsi" w:hAnsiTheme="minorHAnsi" w:cstheme="minorBidi"/>
          <w:snapToGrid/>
          <w:sz w:val="24"/>
          <w:szCs w:val="22"/>
        </w:rPr>
        <w:t xml:space="preserve"> S100 </w:t>
      </w:r>
      <w:r w:rsidR="00783309">
        <w:rPr>
          <w:rFonts w:asciiTheme="minorHAnsi" w:eastAsiaTheme="minorHAnsi" w:hAnsiTheme="minorHAnsi" w:cstheme="minorBidi"/>
          <w:snapToGrid/>
          <w:sz w:val="24"/>
          <w:szCs w:val="22"/>
        </w:rPr>
        <w:t xml:space="preserve">Highly Specialised </w:t>
      </w:r>
      <w:r w:rsidR="005923B3">
        <w:rPr>
          <w:rFonts w:asciiTheme="minorHAnsi" w:eastAsiaTheme="minorHAnsi" w:hAnsiTheme="minorHAnsi" w:cstheme="minorBidi"/>
          <w:snapToGrid/>
          <w:sz w:val="24"/>
          <w:szCs w:val="22"/>
        </w:rPr>
        <w:t>Drugs</w:t>
      </w:r>
      <w:r w:rsidR="00792DD5">
        <w:rPr>
          <w:rFonts w:asciiTheme="minorHAnsi" w:eastAsiaTheme="minorHAnsi" w:hAnsiTheme="minorHAnsi" w:cstheme="minorBidi"/>
          <w:snapToGrid/>
          <w:sz w:val="24"/>
          <w:szCs w:val="22"/>
        </w:rPr>
        <w:t xml:space="preserve"> (HSD)</w:t>
      </w:r>
      <w:r w:rsidR="005923B3">
        <w:rPr>
          <w:rFonts w:asciiTheme="minorHAnsi" w:eastAsiaTheme="minorHAnsi" w:hAnsiTheme="minorHAnsi" w:cstheme="minorBidi"/>
          <w:snapToGrid/>
          <w:sz w:val="24"/>
          <w:szCs w:val="22"/>
        </w:rPr>
        <w:t xml:space="preserve"> Program</w:t>
      </w:r>
      <w:r w:rsidR="00491D0A">
        <w:rPr>
          <w:rFonts w:asciiTheme="minorHAnsi" w:eastAsiaTheme="minorHAnsi" w:hAnsiTheme="minorHAnsi" w:cstheme="minorBidi"/>
          <w:snapToGrid/>
          <w:sz w:val="24"/>
          <w:szCs w:val="22"/>
        </w:rPr>
        <w:t xml:space="preserve"> (patients under 18 years of age)</w:t>
      </w:r>
    </w:p>
    <w:p w:rsidR="00AE5849" w:rsidRPr="00AE5849" w:rsidRDefault="00AE5849" w:rsidP="00CF759E">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 submission requested that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be ‘a’ flagged with Enbrel.</w:t>
      </w:r>
    </w:p>
    <w:p w:rsidR="00CF759E" w:rsidRDefault="00CF759E" w:rsidP="00CF759E">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sidRPr="00CD68F0">
        <w:rPr>
          <w:rFonts w:asciiTheme="minorHAnsi" w:eastAsiaTheme="minorHAnsi" w:hAnsiTheme="minorHAnsi" w:cstheme="minorBidi"/>
          <w:snapToGrid/>
          <w:sz w:val="24"/>
          <w:szCs w:val="22"/>
        </w:rPr>
        <w:t xml:space="preserve">The </w:t>
      </w:r>
      <w:r w:rsidR="00CD68F0">
        <w:rPr>
          <w:rFonts w:asciiTheme="minorHAnsi" w:eastAsiaTheme="minorHAnsi" w:hAnsiTheme="minorHAnsi" w:cstheme="minorBidi"/>
          <w:snapToGrid/>
          <w:sz w:val="24"/>
          <w:szCs w:val="22"/>
        </w:rPr>
        <w:t>submission requested listing</w:t>
      </w:r>
      <w:r w:rsidRPr="00CD68F0">
        <w:rPr>
          <w:rFonts w:asciiTheme="minorHAnsi" w:eastAsiaTheme="minorHAnsi" w:hAnsiTheme="minorHAnsi" w:cstheme="minorBidi"/>
          <w:snapToGrid/>
          <w:sz w:val="24"/>
          <w:szCs w:val="22"/>
        </w:rPr>
        <w:t xml:space="preserve"> under the same conditions as the current listings for the </w:t>
      </w:r>
      <w:proofErr w:type="spellStart"/>
      <w:r w:rsidRPr="00CD68F0">
        <w:rPr>
          <w:rFonts w:asciiTheme="minorHAnsi" w:eastAsiaTheme="minorHAnsi" w:hAnsiTheme="minorHAnsi" w:cstheme="minorBidi"/>
          <w:snapToGrid/>
          <w:sz w:val="24"/>
          <w:szCs w:val="22"/>
        </w:rPr>
        <w:t>Brenzys</w:t>
      </w:r>
      <w:proofErr w:type="spellEnd"/>
      <w:r w:rsidRPr="00CD68F0">
        <w:rPr>
          <w:rFonts w:asciiTheme="minorHAnsi" w:eastAsiaTheme="minorHAnsi" w:hAnsiTheme="minorHAnsi" w:cstheme="minorBidi"/>
          <w:snapToGrid/>
          <w:sz w:val="24"/>
          <w:szCs w:val="22"/>
          <w:vertAlign w:val="superscript"/>
        </w:rPr>
        <w:t>®</w:t>
      </w:r>
      <w:r w:rsidRPr="00CD68F0">
        <w:rPr>
          <w:rFonts w:asciiTheme="minorHAnsi" w:eastAsiaTheme="minorHAnsi" w:hAnsiTheme="minorHAnsi" w:cstheme="minorBidi"/>
          <w:snapToGrid/>
          <w:sz w:val="24"/>
          <w:szCs w:val="22"/>
        </w:rPr>
        <w:t xml:space="preserve"> brand of </w:t>
      </w:r>
      <w:proofErr w:type="spellStart"/>
      <w:r w:rsidRPr="00CD68F0">
        <w:rPr>
          <w:rFonts w:asciiTheme="minorHAnsi" w:eastAsiaTheme="minorHAnsi" w:hAnsiTheme="minorHAnsi" w:cstheme="minorBidi"/>
          <w:snapToGrid/>
          <w:sz w:val="24"/>
          <w:szCs w:val="22"/>
        </w:rPr>
        <w:t>etanercept</w:t>
      </w:r>
      <w:proofErr w:type="spellEnd"/>
      <w:r w:rsidR="00CD68F0">
        <w:rPr>
          <w:rFonts w:asciiTheme="minorHAnsi" w:eastAsiaTheme="minorHAnsi" w:hAnsiTheme="minorHAnsi" w:cstheme="minorBidi"/>
          <w:snapToGrid/>
          <w:sz w:val="24"/>
          <w:szCs w:val="22"/>
        </w:rPr>
        <w:t xml:space="preserve"> for the adult indications</w:t>
      </w:r>
      <w:r w:rsidRPr="00CD68F0">
        <w:rPr>
          <w:rFonts w:asciiTheme="minorHAnsi" w:eastAsiaTheme="minorHAnsi" w:hAnsiTheme="minorHAnsi" w:cstheme="minorBidi"/>
          <w:snapToGrid/>
          <w:sz w:val="24"/>
          <w:szCs w:val="22"/>
        </w:rPr>
        <w:t xml:space="preserve">, </w:t>
      </w:r>
      <w:r w:rsidR="00CD68F0">
        <w:rPr>
          <w:rFonts w:asciiTheme="minorHAnsi" w:eastAsiaTheme="minorHAnsi" w:hAnsiTheme="minorHAnsi" w:cstheme="minorBidi"/>
          <w:snapToGrid/>
          <w:sz w:val="24"/>
          <w:szCs w:val="22"/>
        </w:rPr>
        <w:t>which includes</w:t>
      </w:r>
      <w:r w:rsidRPr="00CD68F0">
        <w:rPr>
          <w:rFonts w:asciiTheme="minorHAnsi" w:eastAsiaTheme="minorHAnsi" w:hAnsiTheme="minorHAnsi" w:cstheme="minorBidi"/>
          <w:snapToGrid/>
          <w:sz w:val="24"/>
          <w:szCs w:val="22"/>
        </w:rPr>
        <w:t xml:space="preserve"> Authority Required (STREAMLINED) listings for subsequent continuing treatment</w:t>
      </w:r>
      <w:r w:rsidR="00CD68F0">
        <w:rPr>
          <w:rFonts w:asciiTheme="minorHAnsi" w:eastAsiaTheme="minorHAnsi" w:hAnsiTheme="minorHAnsi" w:cstheme="minorBidi"/>
          <w:snapToGrid/>
          <w:sz w:val="24"/>
          <w:szCs w:val="22"/>
        </w:rPr>
        <w:t>.</w:t>
      </w:r>
      <w:r w:rsidRPr="00CD68F0">
        <w:rPr>
          <w:rFonts w:asciiTheme="minorHAnsi" w:eastAsiaTheme="minorHAnsi" w:hAnsiTheme="minorHAnsi" w:cstheme="minorBidi"/>
          <w:snapToGrid/>
          <w:sz w:val="24"/>
          <w:szCs w:val="22"/>
        </w:rPr>
        <w:t xml:space="preserve"> </w:t>
      </w:r>
    </w:p>
    <w:p w:rsidR="00CD68F0" w:rsidRDefault="00CD68F0" w:rsidP="00CD68F0">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There </w:t>
      </w:r>
      <w:r w:rsidRPr="00CD68F0">
        <w:rPr>
          <w:rFonts w:asciiTheme="minorHAnsi" w:eastAsiaTheme="minorHAnsi" w:hAnsiTheme="minorHAnsi" w:cstheme="minorBidi"/>
          <w:snapToGrid/>
          <w:sz w:val="24"/>
          <w:szCs w:val="22"/>
        </w:rPr>
        <w:t xml:space="preserve">are currently no biosimilar brands listed for the juvenile indications. The submission requested that for the juvenile indications, </w:t>
      </w:r>
      <w:proofErr w:type="spellStart"/>
      <w:r w:rsidRPr="00CD68F0">
        <w:rPr>
          <w:rFonts w:asciiTheme="minorHAnsi" w:eastAsiaTheme="minorHAnsi" w:hAnsiTheme="minorHAnsi" w:cstheme="minorBidi"/>
          <w:snapToGrid/>
          <w:sz w:val="24"/>
          <w:szCs w:val="22"/>
        </w:rPr>
        <w:t>Erelzi</w:t>
      </w:r>
      <w:proofErr w:type="spellEnd"/>
      <w:r w:rsidRPr="00CD68F0">
        <w:rPr>
          <w:rFonts w:asciiTheme="minorHAnsi" w:eastAsiaTheme="minorHAnsi" w:hAnsiTheme="minorHAnsi" w:cstheme="minorBidi"/>
          <w:snapToGrid/>
          <w:sz w:val="24"/>
          <w:szCs w:val="22"/>
        </w:rPr>
        <w:t xml:space="preserve"> be limited to patients weighing over 62.5kg as </w:t>
      </w:r>
      <w:proofErr w:type="spellStart"/>
      <w:r w:rsidRPr="00CD68F0">
        <w:rPr>
          <w:rFonts w:asciiTheme="minorHAnsi" w:eastAsiaTheme="minorHAnsi" w:hAnsiTheme="minorHAnsi" w:cstheme="minorBidi"/>
          <w:snapToGrid/>
          <w:sz w:val="24"/>
          <w:szCs w:val="22"/>
        </w:rPr>
        <w:t>etanercept</w:t>
      </w:r>
      <w:proofErr w:type="spellEnd"/>
      <w:r w:rsidRPr="00CD68F0">
        <w:rPr>
          <w:rFonts w:asciiTheme="minorHAnsi" w:eastAsiaTheme="minorHAnsi" w:hAnsiTheme="minorHAnsi" w:cstheme="minorBidi"/>
          <w:snapToGrid/>
          <w:sz w:val="24"/>
          <w:szCs w:val="22"/>
        </w:rPr>
        <w:t xml:space="preserve"> requires weight-based dosing for patients under that weight threshold, and </w:t>
      </w:r>
      <w:proofErr w:type="spellStart"/>
      <w:r w:rsidRPr="00CD68F0">
        <w:rPr>
          <w:rFonts w:asciiTheme="minorHAnsi" w:eastAsiaTheme="minorHAnsi" w:hAnsiTheme="minorHAnsi" w:cstheme="minorBidi"/>
          <w:snapToGrid/>
          <w:sz w:val="24"/>
          <w:szCs w:val="22"/>
        </w:rPr>
        <w:t>Erelzi</w:t>
      </w:r>
      <w:proofErr w:type="spellEnd"/>
      <w:r w:rsidRPr="00CD68F0">
        <w:rPr>
          <w:rFonts w:asciiTheme="minorHAnsi" w:eastAsiaTheme="minorHAnsi" w:hAnsiTheme="minorHAnsi" w:cstheme="minorBidi"/>
          <w:snapToGrid/>
          <w:sz w:val="24"/>
          <w:szCs w:val="22"/>
        </w:rPr>
        <w:t xml:space="preserve"> is not available in a suitable dose form for patients weighing less than 62.5kg.</w:t>
      </w:r>
      <w:r>
        <w:rPr>
          <w:rFonts w:asciiTheme="minorHAnsi" w:eastAsiaTheme="minorHAnsi" w:hAnsiTheme="minorHAnsi" w:cstheme="minorBidi"/>
          <w:snapToGrid/>
          <w:sz w:val="24"/>
          <w:szCs w:val="22"/>
        </w:rPr>
        <w:t xml:space="preserve"> </w:t>
      </w:r>
      <w:r w:rsidRPr="00CD68F0">
        <w:rPr>
          <w:rFonts w:asciiTheme="minorHAnsi" w:eastAsiaTheme="minorHAnsi" w:hAnsiTheme="minorHAnsi" w:cstheme="minorBidi"/>
          <w:snapToGrid/>
          <w:sz w:val="24"/>
          <w:szCs w:val="22"/>
        </w:rPr>
        <w:t xml:space="preserve">The submission proposed that biosimilar uptake drivers be applied to listings of </w:t>
      </w:r>
      <w:proofErr w:type="spellStart"/>
      <w:r w:rsidRPr="00CD68F0">
        <w:rPr>
          <w:rFonts w:asciiTheme="minorHAnsi" w:eastAsiaTheme="minorHAnsi" w:hAnsiTheme="minorHAnsi" w:cstheme="minorBidi"/>
          <w:snapToGrid/>
          <w:sz w:val="24"/>
          <w:szCs w:val="22"/>
        </w:rPr>
        <w:t>Erelzi</w:t>
      </w:r>
      <w:proofErr w:type="spellEnd"/>
      <w:r w:rsidRPr="00CD68F0">
        <w:rPr>
          <w:rFonts w:asciiTheme="minorHAnsi" w:eastAsiaTheme="minorHAnsi" w:hAnsiTheme="minorHAnsi" w:cstheme="minorBidi"/>
          <w:snapToGrid/>
          <w:sz w:val="24"/>
          <w:szCs w:val="22"/>
        </w:rPr>
        <w:t xml:space="preserve"> for the juvenile indications. The submission did not propose full restriction wording</w:t>
      </w:r>
      <w:r>
        <w:rPr>
          <w:rFonts w:asciiTheme="minorHAnsi" w:eastAsiaTheme="minorHAnsi" w:hAnsiTheme="minorHAnsi" w:cstheme="minorBidi"/>
          <w:snapToGrid/>
          <w:sz w:val="24"/>
          <w:szCs w:val="22"/>
        </w:rPr>
        <w:t xml:space="preserve"> for these indications</w:t>
      </w:r>
      <w:r w:rsidRPr="00CD68F0">
        <w:rPr>
          <w:rFonts w:asciiTheme="minorHAnsi" w:eastAsiaTheme="minorHAnsi" w:hAnsiTheme="minorHAnsi" w:cstheme="minorBidi"/>
          <w:snapToGrid/>
          <w:sz w:val="24"/>
          <w:szCs w:val="22"/>
        </w:rPr>
        <w:t>.</w:t>
      </w:r>
    </w:p>
    <w:p w:rsidR="00D169EE" w:rsidRPr="007B44EE" w:rsidRDefault="00D169EE" w:rsidP="007B44EE">
      <w:pPr>
        <w:rPr>
          <w:rFonts w:asciiTheme="minorHAnsi" w:hAnsiTheme="minorHAnsi"/>
          <w:i/>
        </w:rPr>
      </w:pPr>
      <w:r w:rsidRPr="007B44EE">
        <w:rPr>
          <w:rFonts w:asciiTheme="minorHAnsi" w:hAnsiTheme="minorHAnsi"/>
          <w:i/>
        </w:rPr>
        <w:lastRenderedPageBreak/>
        <w:t>For more detail on PBAC’s view, see section 7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Pr="00A6469E" w:rsidRDefault="00A75774"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6469E">
        <w:rPr>
          <w:rFonts w:asciiTheme="minorHAnsi" w:eastAsiaTheme="minorHAnsi" w:hAnsiTheme="minorHAnsi" w:cstheme="minorBidi"/>
          <w:snapToGrid/>
          <w:sz w:val="24"/>
          <w:szCs w:val="22"/>
        </w:rPr>
        <w:t xml:space="preserve">The </w:t>
      </w:r>
      <w:proofErr w:type="spellStart"/>
      <w:r w:rsidRPr="00A6469E">
        <w:rPr>
          <w:rFonts w:asciiTheme="minorHAnsi" w:eastAsiaTheme="minorHAnsi" w:hAnsiTheme="minorHAnsi" w:cstheme="minorBidi"/>
          <w:snapToGrid/>
          <w:sz w:val="24"/>
          <w:szCs w:val="22"/>
        </w:rPr>
        <w:t>Erelzi</w:t>
      </w:r>
      <w:proofErr w:type="spellEnd"/>
      <w:r w:rsidRPr="00A6469E">
        <w:rPr>
          <w:rFonts w:asciiTheme="minorHAnsi" w:eastAsiaTheme="minorHAnsi" w:hAnsiTheme="minorHAnsi" w:cstheme="minorBidi"/>
          <w:snapToGrid/>
          <w:sz w:val="24"/>
          <w:szCs w:val="22"/>
        </w:rPr>
        <w:t xml:space="preserve"> brand of </w:t>
      </w:r>
      <w:proofErr w:type="spellStart"/>
      <w:r w:rsidRPr="00A6469E">
        <w:rPr>
          <w:rFonts w:asciiTheme="minorHAnsi" w:eastAsiaTheme="minorHAnsi" w:hAnsiTheme="minorHAnsi" w:cstheme="minorBidi"/>
          <w:snapToGrid/>
          <w:sz w:val="24"/>
          <w:szCs w:val="22"/>
        </w:rPr>
        <w:t>etanercept</w:t>
      </w:r>
      <w:proofErr w:type="spellEnd"/>
      <w:r w:rsidRPr="00A6469E">
        <w:rPr>
          <w:rFonts w:asciiTheme="minorHAnsi" w:eastAsiaTheme="minorHAnsi" w:hAnsiTheme="minorHAnsi" w:cstheme="minorBidi"/>
          <w:snapToGrid/>
          <w:sz w:val="24"/>
          <w:szCs w:val="22"/>
        </w:rPr>
        <w:t xml:space="preserve"> was TGA registered on 30 November 2017. 25 mg and 50 mg</w:t>
      </w:r>
      <w:r w:rsidR="00876B37" w:rsidRPr="00A6469E">
        <w:rPr>
          <w:rFonts w:asciiTheme="minorHAnsi" w:eastAsiaTheme="minorHAnsi" w:hAnsiTheme="minorHAnsi" w:cstheme="minorBidi"/>
          <w:snapToGrid/>
          <w:sz w:val="24"/>
          <w:szCs w:val="22"/>
        </w:rPr>
        <w:t xml:space="preserve"> pre-filled syringe</w:t>
      </w:r>
      <w:r w:rsidRPr="00A6469E">
        <w:rPr>
          <w:rFonts w:asciiTheme="minorHAnsi" w:eastAsiaTheme="minorHAnsi" w:hAnsiTheme="minorHAnsi" w:cstheme="minorBidi"/>
          <w:snapToGrid/>
          <w:sz w:val="24"/>
          <w:szCs w:val="22"/>
        </w:rPr>
        <w:t xml:space="preserve"> forms are available. The sponsor has not requested PBS listing of the 25 mg dose form.</w:t>
      </w:r>
    </w:p>
    <w:p w:rsidR="006A12A5" w:rsidRPr="001B2BBC" w:rsidRDefault="00A75774"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has not previously considered an application for this brand of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w:t>
      </w:r>
    </w:p>
    <w:p w:rsidR="0076103F" w:rsidRDefault="0076103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August 2017 meeting, the PBAC considered an application from the sponsor of another biosimilar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Brenzys</w:t>
      </w:r>
      <w:proofErr w:type="spellEnd"/>
      <w:r>
        <w:rPr>
          <w:rFonts w:asciiTheme="minorHAnsi" w:eastAsiaTheme="minorHAnsi" w:hAnsiTheme="minorHAnsi" w:cstheme="minorBidi"/>
          <w:snapToGrid/>
          <w:sz w:val="24"/>
          <w:szCs w:val="22"/>
        </w:rPr>
        <w:t xml:space="preserve">, which requested a range of biosimilar uptake drivers be applied to the listings for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The PBAC advised that there would not be clinical or other concerns about appropriate use of medicines if a policy decision were made to lower the authority requirement for only the biosimilar brand of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under certain conditions. These conditions included</w:t>
      </w:r>
      <w:r>
        <w:rPr>
          <w:rStyle w:val="FootnoteReference"/>
          <w:rFonts w:asciiTheme="minorHAnsi" w:eastAsiaTheme="minorHAnsi" w:hAnsiTheme="minorHAnsi" w:cstheme="minorBidi"/>
          <w:snapToGrid/>
          <w:sz w:val="24"/>
          <w:szCs w:val="22"/>
        </w:rPr>
        <w:footnoteReference w:id="1"/>
      </w:r>
      <w:r>
        <w:rPr>
          <w:rFonts w:asciiTheme="minorHAnsi" w:eastAsiaTheme="minorHAnsi" w:hAnsiTheme="minorHAnsi" w:cstheme="minorBidi"/>
          <w:snapToGrid/>
          <w:sz w:val="24"/>
          <w:szCs w:val="22"/>
        </w:rPr>
        <w:t>:</w:t>
      </w:r>
    </w:p>
    <w:p w:rsidR="008A1956" w:rsidRDefault="0076103F" w:rsidP="0076103F">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All initial treatment restrictions for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including those for new patients, patients changing treatment and recommencing treatment, should remain Authority Required (in writing) listings;</w:t>
      </w:r>
    </w:p>
    <w:p w:rsidR="0076103F" w:rsidRDefault="0076103F" w:rsidP="0076103F">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Continuing restrictions for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could be split into first continuing and subsequent continuing restrictions, with first continuing restrictions to remain Authority required (in writing), retaining response to treatment criteria that currently exist in continuing restrictions, whilst subsequent continuing restrictions be Authority Required (STREAMLINED) listings;</w:t>
      </w:r>
    </w:p>
    <w:p w:rsidR="0076103F" w:rsidRDefault="0076103F" w:rsidP="0076103F">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recommended that subsequent continuing restrictions for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retain the requirement for patients to be responding to treatment, but noted that being an Authority Required (STREAMLINED) listing, no evidence of response would be provided to the Department of Human Services (DHS) at time of prescribing, rather that ongoing treatment response would be documented in the patient’s medical notes.</w:t>
      </w:r>
    </w:p>
    <w:p w:rsidR="00AC41FF" w:rsidRPr="001845BF" w:rsidRDefault="00AC41FF" w:rsidP="00AC41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These changes to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listings were implemented on 1 December 2017. As an additional biosimilar brand, the PBAC may wish to consider</w:t>
      </w:r>
      <w:r w:rsidR="00F62F34">
        <w:rPr>
          <w:rFonts w:asciiTheme="minorHAnsi" w:eastAsiaTheme="minorHAnsi" w:hAnsiTheme="minorHAnsi" w:cstheme="minorBidi"/>
          <w:snapToGrid/>
          <w:sz w:val="24"/>
          <w:szCs w:val="22"/>
        </w:rPr>
        <w:t xml:space="preserve"> whether there would be clinical or other concerns about appropriate use of medicines if a policy decision were made to lower the authority requirement for only the biosimilar brand(s) of </w:t>
      </w:r>
      <w:proofErr w:type="spellStart"/>
      <w:r w:rsidR="00F62F34">
        <w:rPr>
          <w:rFonts w:asciiTheme="minorHAnsi" w:eastAsiaTheme="minorHAnsi" w:hAnsiTheme="minorHAnsi" w:cstheme="minorBidi"/>
          <w:snapToGrid/>
          <w:sz w:val="24"/>
          <w:szCs w:val="22"/>
        </w:rPr>
        <w:t>etanercept</w:t>
      </w:r>
      <w:proofErr w:type="spellEnd"/>
      <w:r w:rsidR="00F62F34">
        <w:rPr>
          <w:rFonts w:asciiTheme="minorHAnsi" w:eastAsiaTheme="minorHAnsi" w:hAnsiTheme="minorHAnsi" w:cstheme="minorBidi"/>
          <w:snapToGrid/>
          <w:sz w:val="24"/>
          <w:szCs w:val="22"/>
        </w:rPr>
        <w:t xml:space="preserve"> for the juvenile indications.</w:t>
      </w:r>
      <w:r>
        <w:rPr>
          <w:rFonts w:asciiTheme="minorHAnsi" w:eastAsiaTheme="minorHAnsi" w:hAnsiTheme="minorHAnsi" w:cstheme="minorBidi"/>
          <w:snapToGrid/>
          <w:sz w:val="24"/>
          <w:szCs w:val="22"/>
        </w:rPr>
        <w:t xml:space="preserve"> </w:t>
      </w:r>
    </w:p>
    <w:p w:rsidR="007B44EE" w:rsidRDefault="007B44EE" w:rsidP="00AC41FF">
      <w:pPr>
        <w:rPr>
          <w:rFonts w:asciiTheme="minorHAnsi" w:hAnsiTheme="minorHAnsi"/>
          <w:b/>
          <w:szCs w:val="22"/>
        </w:rPr>
      </w:pPr>
    </w:p>
    <w:p w:rsidR="000E3126" w:rsidRDefault="000E3126">
      <w:pPr>
        <w:rPr>
          <w:rFonts w:asciiTheme="minorHAnsi" w:hAnsiTheme="minorHAnsi"/>
          <w:b/>
          <w:szCs w:val="22"/>
        </w:rPr>
      </w:pPr>
      <w:r>
        <w:rPr>
          <w:rFonts w:asciiTheme="minorHAnsi" w:hAnsiTheme="minorHAnsi"/>
          <w:b/>
          <w:szCs w:val="22"/>
        </w:rPr>
        <w:br w:type="page"/>
      </w:r>
    </w:p>
    <w:p w:rsidR="00AC41FF" w:rsidRPr="00A6469E" w:rsidRDefault="00A86E37" w:rsidP="00AC41FF">
      <w:pPr>
        <w:rPr>
          <w:rFonts w:asciiTheme="minorHAnsi" w:hAnsiTheme="minorHAnsi"/>
          <w:b/>
          <w:szCs w:val="22"/>
        </w:rPr>
      </w:pPr>
      <w:bookmarkStart w:id="0" w:name="_GoBack"/>
      <w:bookmarkEnd w:id="0"/>
      <w:r w:rsidRPr="00A6469E">
        <w:rPr>
          <w:rFonts w:asciiTheme="minorHAnsi" w:hAnsiTheme="minorHAnsi"/>
          <w:b/>
          <w:szCs w:val="22"/>
        </w:rPr>
        <w:lastRenderedPageBreak/>
        <w:t>Brand equivalence and brand s</w:t>
      </w:r>
      <w:r w:rsidR="00AC41FF" w:rsidRPr="00A6469E">
        <w:rPr>
          <w:rFonts w:asciiTheme="minorHAnsi" w:hAnsiTheme="minorHAnsi"/>
          <w:b/>
          <w:szCs w:val="22"/>
        </w:rPr>
        <w:t>ubstitution at the pharmacist level (</w:t>
      </w:r>
      <w:r w:rsidR="00CB73FF" w:rsidRPr="00A6469E">
        <w:rPr>
          <w:rFonts w:asciiTheme="minorHAnsi" w:hAnsiTheme="minorHAnsi"/>
          <w:b/>
          <w:szCs w:val="22"/>
        </w:rPr>
        <w:t>‘</w:t>
      </w:r>
      <w:r w:rsidR="00AC41FF" w:rsidRPr="00A6469E">
        <w:rPr>
          <w:rFonts w:asciiTheme="minorHAnsi" w:hAnsiTheme="minorHAnsi"/>
          <w:b/>
          <w:szCs w:val="22"/>
        </w:rPr>
        <w:t>a</w:t>
      </w:r>
      <w:r w:rsidR="00CB73FF" w:rsidRPr="00A6469E">
        <w:rPr>
          <w:rFonts w:asciiTheme="minorHAnsi" w:hAnsiTheme="minorHAnsi"/>
          <w:b/>
          <w:szCs w:val="22"/>
        </w:rPr>
        <w:t>’</w:t>
      </w:r>
      <w:r w:rsidR="00AC41FF" w:rsidRPr="00A6469E">
        <w:rPr>
          <w:rFonts w:asciiTheme="minorHAnsi" w:hAnsiTheme="minorHAnsi"/>
          <w:b/>
          <w:szCs w:val="22"/>
        </w:rPr>
        <w:t xml:space="preserve"> flagging)</w:t>
      </w:r>
    </w:p>
    <w:p w:rsidR="00AC41FF" w:rsidRPr="00682EE4" w:rsidRDefault="00AC41FF" w:rsidP="00AC41FF">
      <w:pPr>
        <w:rPr>
          <w:szCs w:val="22"/>
          <w:u w:val="single"/>
        </w:rPr>
      </w:pPr>
    </w:p>
    <w:p w:rsidR="00444208" w:rsidRPr="00AC41FF" w:rsidRDefault="00444208" w:rsidP="00444208">
      <w:pPr>
        <w:pStyle w:val="ListParagraph"/>
        <w:widowControl/>
        <w:numPr>
          <w:ilvl w:val="1"/>
          <w:numId w:val="5"/>
        </w:numPr>
        <w:rPr>
          <w:rFonts w:asciiTheme="minorHAnsi" w:hAnsiTheme="minorHAnsi"/>
          <w:sz w:val="24"/>
          <w:szCs w:val="24"/>
        </w:rPr>
      </w:pPr>
      <w:r w:rsidRPr="00AC41FF">
        <w:rPr>
          <w:rFonts w:asciiTheme="minorHAnsi" w:hAnsiTheme="minorHAnsi"/>
          <w:sz w:val="24"/>
          <w:szCs w:val="24"/>
        </w:rPr>
        <w:t xml:space="preserve">The Schedule of Pharmaceutical Benefits provide the following definition of brand equivalence: </w:t>
      </w:r>
    </w:p>
    <w:p w:rsidR="00444208" w:rsidRPr="00AC41FF" w:rsidRDefault="00444208" w:rsidP="00444208">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Extract from the Explanatory Notes to the PBS Schedule</w:t>
      </w:r>
      <w:r w:rsidRPr="00AC41FF">
        <w:rPr>
          <w:rFonts w:asciiTheme="minorHAnsi" w:hAnsiTheme="minorHAnsi"/>
          <w:b/>
          <w:szCs w:val="24"/>
          <w:vertAlign w:val="superscript"/>
          <w:lang w:val="en-AU"/>
        </w:rPr>
        <w:footnoteReference w:id="2"/>
      </w:r>
    </w:p>
    <w:p w:rsidR="00444208" w:rsidRPr="00AC41FF" w:rsidRDefault="00444208" w:rsidP="00444208">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C41FF">
        <w:rPr>
          <w:rFonts w:asciiTheme="minorHAnsi" w:hAnsiTheme="minorHAnsi" w:cs="Arial"/>
          <w:b/>
          <w:szCs w:val="24"/>
          <w:lang w:val="en-AU"/>
        </w:rPr>
        <w:t>BRAND EQUIVALENCE</w:t>
      </w:r>
    </w:p>
    <w:p w:rsidR="00444208" w:rsidRPr="00AC41FF" w:rsidRDefault="00444208" w:rsidP="00444208">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szCs w:val="24"/>
          <w:lang w:val="en-AU"/>
        </w:rPr>
      </w:pPr>
      <w:r w:rsidRPr="00AC41FF">
        <w:rPr>
          <w:rFonts w:asciiTheme="minorHAnsi" w:hAnsiTheme="minorHAnsi" w:cs="Arial"/>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444208" w:rsidRDefault="00AC41FF" w:rsidP="005C3E2F">
      <w:pPr>
        <w:pStyle w:val="ListParagraph"/>
        <w:widowControl/>
        <w:numPr>
          <w:ilvl w:val="1"/>
          <w:numId w:val="5"/>
        </w:numPr>
        <w:spacing w:before="120" w:after="160"/>
        <w:contextualSpacing w:val="0"/>
        <w:jc w:val="left"/>
        <w:rPr>
          <w:rFonts w:asciiTheme="minorHAnsi" w:hAnsiTheme="minorHAnsi"/>
          <w:sz w:val="24"/>
          <w:szCs w:val="24"/>
        </w:rPr>
      </w:pPr>
      <w:r w:rsidRPr="00AC41FF">
        <w:rPr>
          <w:rFonts w:asciiTheme="minorHAnsi" w:hAnsiTheme="minorHAnsi"/>
          <w:sz w:val="24"/>
          <w:szCs w:val="24"/>
        </w:rPr>
        <w:t xml:space="preserve">Many medicines are available on the PBS in different brands. The Schedule of Pharmaceutical Benefits indicates where different brands are considered equivalent for the purposes of substitution at the point of dispensing by using “a” flags.  </w:t>
      </w:r>
    </w:p>
    <w:p w:rsidR="00876B37" w:rsidRPr="00876B37" w:rsidRDefault="00444208" w:rsidP="005C3E2F">
      <w:pPr>
        <w:pStyle w:val="ListParagraph"/>
        <w:widowControl/>
        <w:numPr>
          <w:ilvl w:val="1"/>
          <w:numId w:val="5"/>
        </w:numPr>
        <w:spacing w:before="120" w:after="160"/>
        <w:contextualSpacing w:val="0"/>
        <w:jc w:val="left"/>
        <w:rPr>
          <w:rFonts w:asciiTheme="minorHAnsi" w:hAnsiTheme="minorHAnsi"/>
          <w:sz w:val="24"/>
          <w:szCs w:val="24"/>
        </w:rPr>
      </w:pPr>
      <w:r w:rsidRPr="00444208">
        <w:rPr>
          <w:rFonts w:asciiTheme="minorHAnsi" w:hAnsiTheme="minorHAnsi"/>
          <w:sz w:val="24"/>
          <w:szCs w:val="24"/>
        </w:rPr>
        <w:t>The ability for prescribers and pharmacists to substitute generic brands for originator brands is an important part of encouraging use of generics in the marketplace and adds to the sustainability of the PBS.</w:t>
      </w:r>
    </w:p>
    <w:p w:rsidR="00AC41FF" w:rsidRPr="00444208" w:rsidRDefault="00AC41FF" w:rsidP="005C3E2F">
      <w:pPr>
        <w:pStyle w:val="ListParagraph"/>
        <w:widowControl/>
        <w:numPr>
          <w:ilvl w:val="1"/>
          <w:numId w:val="5"/>
        </w:numPr>
        <w:spacing w:before="120" w:after="160"/>
        <w:contextualSpacing w:val="0"/>
        <w:jc w:val="left"/>
        <w:rPr>
          <w:rFonts w:asciiTheme="minorHAnsi" w:hAnsiTheme="minorHAnsi"/>
          <w:sz w:val="24"/>
          <w:szCs w:val="24"/>
        </w:rPr>
      </w:pPr>
      <w:r w:rsidRPr="00444208">
        <w:rPr>
          <w:rFonts w:asciiTheme="minorHAnsi" w:hAnsiTheme="minorHAnsi"/>
          <w:sz w:val="24"/>
          <w:szCs w:val="24"/>
        </w:rPr>
        <w:t>For any individual prescription, a prescriber may choose to not permit brand substitution by indicating ‘substitution not permitted’ on the prescription.  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AC41FF" w:rsidRDefault="00AC41FF" w:rsidP="00AC41FF">
      <w:pPr>
        <w:pStyle w:val="ListParagraph"/>
        <w:widowControl/>
        <w:numPr>
          <w:ilvl w:val="1"/>
          <w:numId w:val="5"/>
        </w:numPr>
        <w:rPr>
          <w:rFonts w:asciiTheme="minorHAnsi" w:hAnsiTheme="minorHAnsi"/>
          <w:sz w:val="24"/>
          <w:szCs w:val="24"/>
        </w:rPr>
      </w:pPr>
      <w:r w:rsidRPr="00AC41FF">
        <w:rPr>
          <w:rFonts w:asciiTheme="minorHAnsi" w:hAnsiTheme="minorHAnsi"/>
          <w:sz w:val="24"/>
          <w:szCs w:val="24"/>
        </w:rPr>
        <w:t xml:space="preserve">The </w:t>
      </w:r>
      <w:r w:rsidRPr="00AC41FF">
        <w:rPr>
          <w:rFonts w:asciiTheme="minorHAnsi" w:hAnsiTheme="minorHAnsi"/>
          <w:i/>
          <w:sz w:val="24"/>
          <w:szCs w:val="24"/>
        </w:rPr>
        <w:t>National Health Act 1953</w:t>
      </w:r>
      <w:r w:rsidRPr="00AC41FF">
        <w:rPr>
          <w:rFonts w:asciiTheme="minorHAnsi" w:hAnsiTheme="minorHAnsi"/>
          <w:sz w:val="24"/>
          <w:szCs w:val="24"/>
        </w:rPr>
        <w:t xml:space="preserve">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1B1214" w:rsidRPr="00AB31DE" w:rsidRDefault="001B1214" w:rsidP="001B1214">
      <w:pPr>
        <w:pStyle w:val="ListParagraph"/>
        <w:widowControl/>
        <w:numPr>
          <w:ilvl w:val="1"/>
          <w:numId w:val="5"/>
        </w:numPr>
        <w:spacing w:before="120" w:after="160"/>
        <w:contextualSpacing w:val="0"/>
        <w:rPr>
          <w:rFonts w:asciiTheme="minorHAnsi" w:hAnsiTheme="minorHAnsi"/>
        </w:rPr>
      </w:pPr>
      <w:r>
        <w:rPr>
          <w:rFonts w:asciiTheme="minorHAnsi" w:eastAsiaTheme="minorHAnsi" w:hAnsiTheme="minorHAnsi" w:cstheme="minorBidi"/>
          <w:snapToGrid/>
          <w:sz w:val="24"/>
          <w:szCs w:val="22"/>
        </w:rPr>
        <w:t xml:space="preserve">At the March 2018 meeting, the PBAC advised that the following revised considerations will be used to make a recommendation on brand equivalence (‘a’ flagged) of </w:t>
      </w:r>
      <w:proofErr w:type="spellStart"/>
      <w:r>
        <w:rPr>
          <w:rFonts w:asciiTheme="minorHAnsi" w:eastAsiaTheme="minorHAnsi" w:hAnsiTheme="minorHAnsi" w:cstheme="minorBidi"/>
          <w:snapToGrid/>
          <w:sz w:val="24"/>
          <w:szCs w:val="22"/>
        </w:rPr>
        <w:t>biosimilars</w:t>
      </w:r>
      <w:proofErr w:type="spellEnd"/>
      <w:r>
        <w:rPr>
          <w:rFonts w:asciiTheme="minorHAnsi" w:eastAsiaTheme="minorHAnsi" w:hAnsiTheme="minorHAnsi" w:cstheme="minorBidi"/>
          <w:snapToGrid/>
          <w:sz w:val="24"/>
          <w:szCs w:val="22"/>
        </w:rPr>
        <w:t xml:space="preserve"> with the reference brand;</w:t>
      </w:r>
    </w:p>
    <w:p w:rsidR="001B1214" w:rsidRPr="00FA2051" w:rsidRDefault="001B1214" w:rsidP="001B1214">
      <w:pPr>
        <w:pStyle w:val="PBACheading10"/>
        <w:numPr>
          <w:ilvl w:val="0"/>
          <w:numId w:val="42"/>
        </w:numPr>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lastRenderedPageBreak/>
        <w:t>The Therapeutic Goods Administration has determined that the product is a biosimilar of the reference medicine as evidenced by ARTG registration documentation;</w:t>
      </w:r>
    </w:p>
    <w:p w:rsidR="001B1214" w:rsidRPr="00FA2051" w:rsidRDefault="001B1214" w:rsidP="001B1214">
      <w:pPr>
        <w:pStyle w:val="PBACheading10"/>
        <w:numPr>
          <w:ilvl w:val="0"/>
          <w:numId w:val="42"/>
        </w:numPr>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1B1214" w:rsidRPr="00FA2051" w:rsidRDefault="001B1214" w:rsidP="001B1214">
      <w:pPr>
        <w:pStyle w:val="PBACheading10"/>
        <w:numPr>
          <w:ilvl w:val="0"/>
          <w:numId w:val="42"/>
        </w:numPr>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1B1214" w:rsidRPr="00AB31DE" w:rsidRDefault="001B1214" w:rsidP="001B1214">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1B1214">
        <w:rPr>
          <w:rFonts w:asciiTheme="minorHAnsi" w:eastAsiaTheme="minorHAnsi" w:hAnsiTheme="minorHAnsi" w:cstheme="minorBidi"/>
          <w:snapToGrid/>
          <w:sz w:val="24"/>
          <w:szCs w:val="22"/>
        </w:rPr>
        <w:t xml:space="preserve">The PBAC considered that where a biosimilar product could not be recommended to be brand equivalent (‘a’ flagged) at the </w:t>
      </w:r>
      <w:r w:rsidRPr="00AB31DE">
        <w:rPr>
          <w:rFonts w:asciiTheme="minorHAnsi" w:eastAsiaTheme="minorHAnsi" w:hAnsiTheme="minorHAnsi" w:cstheme="minorBidi"/>
          <w:snapToGrid/>
          <w:sz w:val="24"/>
          <w:szCs w:val="22"/>
        </w:rPr>
        <w:t xml:space="preserve">time of PBS listing, data should be collected to support </w:t>
      </w:r>
      <w:r>
        <w:rPr>
          <w:rFonts w:asciiTheme="minorHAnsi" w:eastAsiaTheme="minorHAnsi" w:hAnsiTheme="minorHAnsi" w:cstheme="minorBidi"/>
          <w:snapToGrid/>
          <w:sz w:val="24"/>
          <w:szCs w:val="22"/>
        </w:rPr>
        <w:t>this consideration</w:t>
      </w:r>
      <w:r w:rsidRPr="00AB31DE">
        <w:rPr>
          <w:rFonts w:asciiTheme="minorHAnsi" w:eastAsiaTheme="minorHAnsi" w:hAnsiTheme="minorHAnsi" w:cstheme="minorBidi"/>
          <w:snapToGrid/>
          <w:sz w:val="24"/>
          <w:szCs w:val="22"/>
        </w:rPr>
        <w:t xml:space="preserve"> at a later point.</w:t>
      </w:r>
    </w:p>
    <w:p w:rsidR="00444208" w:rsidRPr="005C3E2F" w:rsidRDefault="00444208" w:rsidP="005C3E2F">
      <w:pPr>
        <w:pStyle w:val="ListParagraph"/>
        <w:widowControl/>
        <w:numPr>
          <w:ilvl w:val="1"/>
          <w:numId w:val="5"/>
        </w:numPr>
        <w:jc w:val="left"/>
        <w:rPr>
          <w:rFonts w:asciiTheme="minorHAnsi" w:hAnsiTheme="minorHAnsi"/>
          <w:sz w:val="24"/>
          <w:szCs w:val="24"/>
        </w:rPr>
      </w:pPr>
      <w:r w:rsidRPr="00444208">
        <w:rPr>
          <w:rFonts w:asciiTheme="minorHAnsi" w:hAnsiTheme="minorHAnsi"/>
          <w:sz w:val="24"/>
          <w:szCs w:val="24"/>
        </w:rPr>
        <w:t xml:space="preserve">After the PBAC provides advice, the decision to apply brand equivalence (‘a’ flagging) to listings in the Schedule is made by the Minister for Health (or Delegate). </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8A1956" w:rsidRPr="00D169EE" w:rsidRDefault="00FF2801" w:rsidP="00A75774">
      <w:pPr>
        <w:pStyle w:val="ListParagraph"/>
        <w:widowControl/>
        <w:numPr>
          <w:ilvl w:val="1"/>
          <w:numId w:val="14"/>
        </w:numPr>
        <w:spacing w:before="120" w:after="160"/>
        <w:rPr>
          <w:rFonts w:asciiTheme="minorHAnsi" w:hAnsiTheme="minorHAnsi"/>
          <w:sz w:val="24"/>
          <w:szCs w:val="24"/>
        </w:rPr>
      </w:pPr>
      <w:r w:rsidRPr="001B2BBC">
        <w:rPr>
          <w:rFonts w:asciiTheme="minorHAnsi" w:eastAsiaTheme="minorHAnsi" w:hAnsiTheme="minorHAnsi" w:cstheme="minorBidi"/>
          <w:snapToGrid/>
          <w:sz w:val="24"/>
          <w:szCs w:val="22"/>
        </w:rPr>
        <w:t>The minor submission nominated</w:t>
      </w:r>
      <w:r w:rsidR="00A75774">
        <w:rPr>
          <w:rFonts w:asciiTheme="minorHAnsi" w:eastAsiaTheme="minorHAnsi" w:hAnsiTheme="minorHAnsi" w:cstheme="minorBidi"/>
          <w:snapToGrid/>
          <w:sz w:val="24"/>
          <w:szCs w:val="22"/>
        </w:rPr>
        <w:t xml:space="preserve"> originator brand </w:t>
      </w:r>
      <w:proofErr w:type="spellStart"/>
      <w:r w:rsidR="00A75774">
        <w:rPr>
          <w:rFonts w:asciiTheme="minorHAnsi" w:eastAsiaTheme="minorHAnsi" w:hAnsiTheme="minorHAnsi" w:cstheme="minorBidi"/>
          <w:snapToGrid/>
          <w:sz w:val="24"/>
          <w:szCs w:val="22"/>
        </w:rPr>
        <w:t>etanercept</w:t>
      </w:r>
      <w:proofErr w:type="spellEnd"/>
      <w:r w:rsidR="00A75774">
        <w:rPr>
          <w:rFonts w:asciiTheme="minorHAnsi" w:eastAsiaTheme="minorHAnsi" w:hAnsiTheme="minorHAnsi" w:cstheme="minorBidi"/>
          <w:snapToGrid/>
          <w:sz w:val="24"/>
          <w:szCs w:val="22"/>
        </w:rPr>
        <w:t xml:space="preserve"> (Enbrel) as the com</w:t>
      </w:r>
      <w:r w:rsidR="009E2C7E">
        <w:rPr>
          <w:rFonts w:asciiTheme="minorHAnsi" w:eastAsiaTheme="minorHAnsi" w:hAnsiTheme="minorHAnsi" w:cstheme="minorBidi"/>
          <w:snapToGrid/>
          <w:sz w:val="24"/>
          <w:szCs w:val="22"/>
        </w:rPr>
        <w:t>parator, which was appropriate.</w:t>
      </w:r>
    </w:p>
    <w:p w:rsidR="00D169EE" w:rsidRPr="005C3E2F" w:rsidRDefault="00D169EE" w:rsidP="005C3E2F">
      <w:pPr>
        <w:rPr>
          <w:rFonts w:asciiTheme="minorHAnsi" w:hAnsiTheme="minorHAnsi"/>
          <w:i/>
        </w:rPr>
      </w:pPr>
      <w:r w:rsidRPr="005C3E2F">
        <w:rPr>
          <w:rFonts w:asciiTheme="minorHAnsi" w:hAnsiTheme="minorHAnsi"/>
          <w:i/>
        </w:rPr>
        <w:t>For more detail on PBAC’s view, see section 7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0B59EE" w:rsidRPr="00A65418" w:rsidRDefault="000B59EE" w:rsidP="005C3E2F">
      <w:pPr>
        <w:widowControl w:val="0"/>
        <w:spacing w:before="240"/>
        <w:jc w:val="both"/>
        <w:rPr>
          <w:rFonts w:asciiTheme="minorHAnsi" w:hAnsiTheme="minorHAnsi" w:cs="Arial"/>
          <w:b/>
          <w:bCs/>
          <w:i/>
          <w:snapToGrid w:val="0"/>
          <w:sz w:val="28"/>
          <w:szCs w:val="28"/>
        </w:rPr>
      </w:pPr>
      <w:r w:rsidRPr="00A65418">
        <w:rPr>
          <w:rFonts w:asciiTheme="minorHAnsi" w:hAnsiTheme="minorHAnsi" w:cs="Arial"/>
          <w:b/>
          <w:bCs/>
          <w:i/>
          <w:snapToGrid w:val="0"/>
          <w:sz w:val="28"/>
          <w:szCs w:val="28"/>
        </w:rPr>
        <w:t>Sponsor hearing</w:t>
      </w:r>
    </w:p>
    <w:p w:rsidR="000B59EE" w:rsidRPr="00A65418" w:rsidRDefault="000B59EE" w:rsidP="005C3E2F">
      <w:pPr>
        <w:widowControl w:val="0"/>
        <w:numPr>
          <w:ilvl w:val="1"/>
          <w:numId w:val="5"/>
        </w:numPr>
        <w:spacing w:before="120" w:after="160"/>
        <w:jc w:val="both"/>
        <w:rPr>
          <w:rFonts w:asciiTheme="minorHAnsi" w:hAnsiTheme="minorHAnsi" w:cs="Arial"/>
          <w:bCs/>
          <w:snapToGrid w:val="0"/>
        </w:rPr>
      </w:pPr>
      <w:r w:rsidRPr="00A65418">
        <w:rPr>
          <w:rFonts w:asciiTheme="minorHAnsi" w:hAnsiTheme="minorHAnsi" w:cs="Arial"/>
          <w:bCs/>
          <w:snapToGrid w:val="0"/>
        </w:rPr>
        <w:t>There was no hearing for this item as it was a minor submission.</w:t>
      </w:r>
    </w:p>
    <w:p w:rsidR="000B59EE" w:rsidRPr="00A65418" w:rsidRDefault="000B59EE" w:rsidP="005C3E2F">
      <w:pPr>
        <w:widowControl w:val="0"/>
        <w:spacing w:before="240"/>
        <w:jc w:val="both"/>
        <w:rPr>
          <w:rFonts w:asciiTheme="minorHAnsi" w:hAnsiTheme="minorHAnsi" w:cs="Arial"/>
          <w:b/>
          <w:bCs/>
          <w:i/>
          <w:snapToGrid w:val="0"/>
          <w:sz w:val="28"/>
          <w:szCs w:val="28"/>
        </w:rPr>
      </w:pPr>
      <w:r w:rsidRPr="00A65418">
        <w:rPr>
          <w:rFonts w:asciiTheme="minorHAnsi" w:hAnsiTheme="minorHAnsi" w:cs="Arial"/>
          <w:b/>
          <w:bCs/>
          <w:i/>
          <w:snapToGrid w:val="0"/>
          <w:sz w:val="28"/>
          <w:szCs w:val="28"/>
        </w:rPr>
        <w:t>Consumer comments</w:t>
      </w:r>
    </w:p>
    <w:p w:rsidR="000B59EE" w:rsidRPr="00A65418" w:rsidRDefault="000B59EE" w:rsidP="005C3E2F">
      <w:pPr>
        <w:widowControl w:val="0"/>
        <w:numPr>
          <w:ilvl w:val="1"/>
          <w:numId w:val="5"/>
        </w:numPr>
        <w:spacing w:before="120" w:after="160"/>
        <w:jc w:val="both"/>
        <w:rPr>
          <w:rFonts w:asciiTheme="minorHAnsi" w:hAnsiTheme="minorHAnsi" w:cs="Arial"/>
          <w:bCs/>
          <w:snapToGrid w:val="0"/>
        </w:rPr>
      </w:pPr>
      <w:r w:rsidRPr="00A65418">
        <w:rPr>
          <w:rFonts w:asciiTheme="minorHAnsi" w:hAnsiTheme="minorHAnsi" w:cs="Arial"/>
          <w:bCs/>
          <w:snapToGrid w:val="0"/>
        </w:rPr>
        <w:t>The PBAC noted that no consumer comments were received for this item.</w:t>
      </w:r>
    </w:p>
    <w:p w:rsidR="00D84934" w:rsidRPr="00937958" w:rsidRDefault="00D84934" w:rsidP="005C3E2F">
      <w:pPr>
        <w:pStyle w:val="Heading2"/>
        <w:keepLines/>
        <w:spacing w:before="24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Pr="00A40065" w:rsidRDefault="004773E2" w:rsidP="00A400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D7186D">
        <w:rPr>
          <w:rFonts w:asciiTheme="minorHAnsi" w:eastAsiaTheme="minorHAnsi" w:hAnsiTheme="minorHAnsi" w:cstheme="minorBidi"/>
          <w:snapToGrid/>
          <w:sz w:val="24"/>
          <w:szCs w:val="22"/>
        </w:rPr>
        <w:t xml:space="preserve"> sponsor </w:t>
      </w:r>
      <w:r w:rsidR="00AD4854">
        <w:rPr>
          <w:rFonts w:asciiTheme="minorHAnsi" w:eastAsiaTheme="minorHAnsi" w:hAnsiTheme="minorHAnsi" w:cstheme="minorBidi"/>
          <w:snapToGrid/>
          <w:sz w:val="24"/>
          <w:szCs w:val="22"/>
        </w:rPr>
        <w:t xml:space="preserve">supported </w:t>
      </w:r>
      <w:r w:rsidR="00D7186D">
        <w:rPr>
          <w:rFonts w:asciiTheme="minorHAnsi" w:eastAsiaTheme="minorHAnsi" w:hAnsiTheme="minorHAnsi" w:cstheme="minorBidi"/>
          <w:snapToGrid/>
          <w:sz w:val="24"/>
          <w:szCs w:val="22"/>
        </w:rPr>
        <w:t xml:space="preserve">its </w:t>
      </w:r>
      <w:r w:rsidR="00AD4854">
        <w:rPr>
          <w:rFonts w:asciiTheme="minorHAnsi" w:eastAsiaTheme="minorHAnsi" w:hAnsiTheme="minorHAnsi" w:cstheme="minorBidi"/>
          <w:snapToGrid/>
          <w:sz w:val="24"/>
          <w:szCs w:val="22"/>
        </w:rPr>
        <w:t xml:space="preserve">TGA application with bioequivalence and equivalence studies that compared the </w:t>
      </w:r>
      <w:proofErr w:type="spellStart"/>
      <w:r w:rsidR="00AD4854">
        <w:rPr>
          <w:rFonts w:asciiTheme="minorHAnsi" w:eastAsiaTheme="minorHAnsi" w:hAnsiTheme="minorHAnsi" w:cstheme="minorBidi"/>
          <w:snapToGrid/>
          <w:sz w:val="24"/>
          <w:szCs w:val="22"/>
        </w:rPr>
        <w:t>Erelzi</w:t>
      </w:r>
      <w:proofErr w:type="spellEnd"/>
      <w:r w:rsidR="00AD4854">
        <w:rPr>
          <w:rFonts w:asciiTheme="minorHAnsi" w:eastAsiaTheme="minorHAnsi" w:hAnsiTheme="minorHAnsi" w:cstheme="minorBidi"/>
          <w:snapToGrid/>
          <w:sz w:val="24"/>
          <w:szCs w:val="22"/>
        </w:rPr>
        <w:t xml:space="preserve"> brand to the originator brand, Enbrel. This included four pharmacokinetic studies (in healthy subjects), and</w:t>
      </w:r>
      <w:r>
        <w:rPr>
          <w:rFonts w:asciiTheme="minorHAnsi" w:eastAsiaTheme="minorHAnsi" w:hAnsiTheme="minorHAnsi" w:cstheme="minorBidi"/>
          <w:snapToGrid/>
          <w:sz w:val="24"/>
          <w:szCs w:val="22"/>
        </w:rPr>
        <w:t xml:space="preserve"> one pivotal </w:t>
      </w:r>
      <w:r w:rsidR="00AD4854">
        <w:rPr>
          <w:rFonts w:asciiTheme="minorHAnsi" w:eastAsiaTheme="minorHAnsi" w:hAnsiTheme="minorHAnsi" w:cstheme="minorBidi"/>
          <w:snapToGrid/>
          <w:sz w:val="24"/>
          <w:szCs w:val="22"/>
        </w:rPr>
        <w:t xml:space="preserve">efficacy </w:t>
      </w:r>
      <w:r>
        <w:rPr>
          <w:rFonts w:asciiTheme="minorHAnsi" w:eastAsiaTheme="minorHAnsi" w:hAnsiTheme="minorHAnsi" w:cstheme="minorBidi"/>
          <w:snapToGrid/>
          <w:sz w:val="24"/>
          <w:szCs w:val="22"/>
        </w:rPr>
        <w:t>trial comparing</w:t>
      </w:r>
      <w:r w:rsidR="00AD4854">
        <w:rPr>
          <w:rFonts w:asciiTheme="minorHAnsi" w:eastAsiaTheme="minorHAnsi" w:hAnsiTheme="minorHAnsi" w:cstheme="minorBidi"/>
          <w:snapToGrid/>
          <w:sz w:val="24"/>
          <w:szCs w:val="22"/>
        </w:rPr>
        <w:t xml:space="preserve"> the</w:t>
      </w:r>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and Enbrel brands of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in moderate-to-</w:t>
      </w:r>
      <w:r w:rsidR="005C3E2F">
        <w:rPr>
          <w:rFonts w:asciiTheme="minorHAnsi" w:eastAsiaTheme="minorHAnsi" w:hAnsiTheme="minorHAnsi" w:cstheme="minorBidi"/>
          <w:snapToGrid/>
          <w:sz w:val="24"/>
          <w:szCs w:val="22"/>
        </w:rPr>
        <w:t>severe chronic plaque psoriasis.</w:t>
      </w:r>
    </w:p>
    <w:p w:rsidR="00A40065" w:rsidRDefault="00A40065" w:rsidP="005C3E2F">
      <w:pPr>
        <w:pStyle w:val="Caption"/>
      </w:pPr>
      <w:r>
        <w:lastRenderedPageBreak/>
        <w:t xml:space="preserve">Table </w:t>
      </w:r>
      <w:r>
        <w:rPr>
          <w:noProof/>
        </w:rPr>
        <w:t>1</w:t>
      </w:r>
      <w:r w:rsidRPr="00B16BF2">
        <w:t>: 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5498"/>
        <w:gridCol w:w="2138"/>
      </w:tblGrid>
      <w:tr w:rsidR="0076420C" w:rsidRPr="00F36CCB" w:rsidTr="00D31150">
        <w:trPr>
          <w:cantSplit/>
          <w:trHeight w:val="539"/>
          <w:tblHeader/>
        </w:trPr>
        <w:tc>
          <w:tcPr>
            <w:tcW w:w="796" w:type="pct"/>
          </w:tcPr>
          <w:p w:rsidR="0076420C" w:rsidRPr="00F36CCB" w:rsidRDefault="0076420C" w:rsidP="005C3E2F">
            <w:pPr>
              <w:pStyle w:val="NoSpacing"/>
              <w:keepNext/>
              <w:spacing w:before="40" w:after="40"/>
              <w:jc w:val="left"/>
              <w:rPr>
                <w:rFonts w:ascii="Arial Narrow" w:hAnsi="Arial Narrow"/>
                <w:b/>
                <w:sz w:val="20"/>
              </w:rPr>
            </w:pPr>
            <w:r w:rsidRPr="00F36CCB">
              <w:rPr>
                <w:rFonts w:ascii="Arial Narrow" w:hAnsi="Arial Narrow"/>
                <w:b/>
                <w:sz w:val="20"/>
              </w:rPr>
              <w:t>Trial ID</w:t>
            </w:r>
            <w:r w:rsidR="006670BE">
              <w:rPr>
                <w:rFonts w:ascii="Arial Narrow" w:hAnsi="Arial Narrow"/>
                <w:b/>
                <w:sz w:val="20"/>
              </w:rPr>
              <w:t>/First Author</w:t>
            </w:r>
          </w:p>
        </w:tc>
        <w:tc>
          <w:tcPr>
            <w:tcW w:w="3027" w:type="pct"/>
          </w:tcPr>
          <w:p w:rsidR="0076420C" w:rsidRPr="00F36CCB" w:rsidRDefault="0076420C" w:rsidP="005C3E2F">
            <w:pPr>
              <w:keepNext/>
              <w:spacing w:before="40" w:after="40"/>
              <w:rPr>
                <w:rFonts w:ascii="Arial Narrow" w:hAnsi="Arial Narrow"/>
                <w:b/>
                <w:sz w:val="20"/>
              </w:rPr>
            </w:pPr>
            <w:r w:rsidRPr="00F36CCB">
              <w:rPr>
                <w:rFonts w:ascii="Arial Narrow" w:hAnsi="Arial Narrow"/>
                <w:b/>
                <w:sz w:val="20"/>
              </w:rPr>
              <w:t>Protocol title/ Publication title</w:t>
            </w:r>
          </w:p>
        </w:tc>
        <w:tc>
          <w:tcPr>
            <w:tcW w:w="1177" w:type="pct"/>
          </w:tcPr>
          <w:p w:rsidR="0076420C" w:rsidRPr="00F36CCB" w:rsidRDefault="0076420C" w:rsidP="005C3E2F">
            <w:pPr>
              <w:keepNext/>
              <w:spacing w:before="40" w:after="40"/>
              <w:rPr>
                <w:rFonts w:ascii="Arial Narrow" w:hAnsi="Arial Narrow"/>
                <w:b/>
                <w:sz w:val="20"/>
              </w:rPr>
            </w:pPr>
            <w:r w:rsidRPr="00F36CCB">
              <w:rPr>
                <w:rFonts w:ascii="Arial Narrow" w:hAnsi="Arial Narrow"/>
                <w:b/>
                <w:sz w:val="20"/>
              </w:rPr>
              <w:t>Publication citation</w:t>
            </w:r>
          </w:p>
        </w:tc>
      </w:tr>
      <w:tr w:rsidR="0076420C" w:rsidRPr="00F36CCB" w:rsidTr="00D31150">
        <w:trPr>
          <w:cantSplit/>
          <w:trHeight w:val="317"/>
        </w:trPr>
        <w:tc>
          <w:tcPr>
            <w:tcW w:w="5000" w:type="pct"/>
            <w:gridSpan w:val="3"/>
          </w:tcPr>
          <w:p w:rsidR="0076420C" w:rsidRPr="00F36CCB" w:rsidRDefault="0076420C" w:rsidP="005C3E2F">
            <w:pPr>
              <w:pStyle w:val="NoSpacing"/>
              <w:keepNext/>
              <w:spacing w:before="40" w:after="40"/>
              <w:rPr>
                <w:rFonts w:ascii="Arial Narrow" w:hAnsi="Arial Narrow"/>
                <w:b/>
                <w:sz w:val="20"/>
              </w:rPr>
            </w:pPr>
            <w:r w:rsidRPr="00F36CCB">
              <w:rPr>
                <w:rFonts w:ascii="Arial Narrow" w:hAnsi="Arial Narrow"/>
                <w:b/>
                <w:sz w:val="20"/>
              </w:rPr>
              <w:t>Direct randomised trial</w:t>
            </w:r>
            <w:r w:rsidR="00B176C8">
              <w:rPr>
                <w:rFonts w:ascii="Arial Narrow" w:hAnsi="Arial Narrow"/>
                <w:b/>
                <w:sz w:val="20"/>
              </w:rPr>
              <w:t>(</w:t>
            </w:r>
            <w:r w:rsidRPr="00F36CCB">
              <w:rPr>
                <w:rFonts w:ascii="Arial Narrow" w:hAnsi="Arial Narrow"/>
                <w:b/>
                <w:sz w:val="20"/>
              </w:rPr>
              <w:t>s</w:t>
            </w:r>
            <w:r w:rsidR="00B176C8">
              <w:rPr>
                <w:rFonts w:ascii="Arial Narrow" w:hAnsi="Arial Narrow"/>
                <w:b/>
                <w:sz w:val="20"/>
              </w:rPr>
              <w:t>)</w:t>
            </w:r>
          </w:p>
        </w:tc>
      </w:tr>
      <w:tr w:rsidR="0076420C" w:rsidRPr="00F36CCB" w:rsidTr="00D31150">
        <w:trPr>
          <w:cantSplit/>
          <w:trHeight w:val="317"/>
        </w:trPr>
        <w:tc>
          <w:tcPr>
            <w:tcW w:w="796" w:type="pct"/>
          </w:tcPr>
          <w:p w:rsidR="0076420C" w:rsidRPr="00F36CCB" w:rsidRDefault="004773E2" w:rsidP="005C3E2F">
            <w:pPr>
              <w:pStyle w:val="NoSpacing"/>
              <w:keepNext/>
              <w:rPr>
                <w:rFonts w:ascii="Arial Narrow" w:hAnsi="Arial Narrow"/>
                <w:b/>
                <w:sz w:val="20"/>
              </w:rPr>
            </w:pPr>
            <w:r>
              <w:rPr>
                <w:rFonts w:ascii="Arial Narrow" w:hAnsi="Arial Narrow"/>
                <w:b/>
                <w:sz w:val="20"/>
              </w:rPr>
              <w:t>GP15-302 (EGALITY)</w:t>
            </w:r>
          </w:p>
        </w:tc>
        <w:tc>
          <w:tcPr>
            <w:tcW w:w="3027" w:type="pct"/>
          </w:tcPr>
          <w:p w:rsidR="004773E2" w:rsidRDefault="004773E2" w:rsidP="005C3E2F">
            <w:pPr>
              <w:keepNext/>
              <w:rPr>
                <w:rFonts w:ascii="Arial Narrow" w:hAnsi="Arial Narrow"/>
                <w:sz w:val="20"/>
              </w:rPr>
            </w:pPr>
            <w:r w:rsidRPr="004773E2">
              <w:rPr>
                <w:rFonts w:ascii="Arial Narrow" w:hAnsi="Arial Narrow"/>
                <w:sz w:val="20"/>
              </w:rPr>
              <w:t xml:space="preserve">Study to Demonstrate Equivalent Efficacy and to Compare Safety of Biosimilar </w:t>
            </w:r>
            <w:proofErr w:type="spellStart"/>
            <w:r w:rsidRPr="004773E2">
              <w:rPr>
                <w:rFonts w:ascii="Arial Narrow" w:hAnsi="Arial Narrow"/>
                <w:sz w:val="20"/>
              </w:rPr>
              <w:t>Etanercept</w:t>
            </w:r>
            <w:proofErr w:type="spellEnd"/>
            <w:r w:rsidRPr="004773E2">
              <w:rPr>
                <w:rFonts w:ascii="Arial Narrow" w:hAnsi="Arial Narrow"/>
                <w:sz w:val="20"/>
              </w:rPr>
              <w:t xml:space="preserve"> (GP2015</w:t>
            </w:r>
            <w:r w:rsidR="00CC5703">
              <w:rPr>
                <w:rFonts w:ascii="Arial Narrow" w:hAnsi="Arial Narrow"/>
                <w:sz w:val="20"/>
              </w:rPr>
              <w:t>-302</w:t>
            </w:r>
            <w:r w:rsidRPr="004773E2">
              <w:rPr>
                <w:rFonts w:ascii="Arial Narrow" w:hAnsi="Arial Narrow"/>
                <w:sz w:val="20"/>
              </w:rPr>
              <w:t>) and Enbrel (EGALITY)</w:t>
            </w:r>
          </w:p>
          <w:p w:rsidR="004773E2" w:rsidRDefault="004773E2" w:rsidP="005C3E2F">
            <w:pPr>
              <w:keepNext/>
              <w:rPr>
                <w:rFonts w:ascii="Arial Narrow" w:hAnsi="Arial Narrow"/>
                <w:sz w:val="20"/>
              </w:rPr>
            </w:pPr>
          </w:p>
          <w:p w:rsidR="0076420C" w:rsidRPr="004773E2" w:rsidRDefault="004773E2" w:rsidP="005C3E2F">
            <w:pPr>
              <w:keepNext/>
              <w:rPr>
                <w:rFonts w:ascii="Arial Narrow" w:hAnsi="Arial Narrow"/>
                <w:sz w:val="20"/>
              </w:rPr>
            </w:pPr>
            <w:r w:rsidRPr="004773E2">
              <w:rPr>
                <w:rFonts w:ascii="Arial Narrow" w:hAnsi="Arial Narrow"/>
                <w:sz w:val="20"/>
              </w:rPr>
              <w:t xml:space="preserve">The EGALITY study: a confirmatory, randomized, double-blind study comparing the efficacy, safety and immunogenicity of GP2015, a proposed </w:t>
            </w:r>
            <w:proofErr w:type="spellStart"/>
            <w:r w:rsidRPr="004773E2">
              <w:rPr>
                <w:rFonts w:ascii="Arial Narrow" w:hAnsi="Arial Narrow"/>
                <w:sz w:val="20"/>
              </w:rPr>
              <w:t>etanercept</w:t>
            </w:r>
            <w:proofErr w:type="spellEnd"/>
            <w:r w:rsidRPr="004773E2">
              <w:rPr>
                <w:rFonts w:ascii="Arial Narrow" w:hAnsi="Arial Narrow"/>
                <w:sz w:val="20"/>
              </w:rPr>
              <w:t xml:space="preserve"> biosimilar, vs. the originator product in patients with moderate-to-severe chronic plaque-type psoriasis</w:t>
            </w:r>
          </w:p>
        </w:tc>
        <w:tc>
          <w:tcPr>
            <w:tcW w:w="1177" w:type="pct"/>
          </w:tcPr>
          <w:p w:rsidR="004773E2" w:rsidRDefault="00F72AA7" w:rsidP="005C3E2F">
            <w:pPr>
              <w:keepNext/>
              <w:rPr>
                <w:rFonts w:ascii="Arial Narrow" w:hAnsi="Arial Narrow"/>
                <w:sz w:val="20"/>
              </w:rPr>
            </w:pPr>
            <w:r>
              <w:rPr>
                <w:rFonts w:ascii="Arial Narrow" w:hAnsi="Arial Narrow"/>
                <w:sz w:val="20"/>
              </w:rPr>
              <w:t>British Journal of Dermatology. 1 March 2017</w:t>
            </w:r>
            <w:r w:rsidR="00FF20A7">
              <w:rPr>
                <w:rFonts w:ascii="Arial Narrow" w:hAnsi="Arial Narrow"/>
                <w:sz w:val="20"/>
              </w:rPr>
              <w:t>, pp 928-938</w:t>
            </w:r>
            <w:r>
              <w:rPr>
                <w:rFonts w:ascii="Arial Narrow" w:hAnsi="Arial Narrow"/>
                <w:sz w:val="20"/>
              </w:rPr>
              <w:t xml:space="preserve">. Published Online: </w:t>
            </w:r>
            <w:r w:rsidRPr="00F72AA7">
              <w:rPr>
                <w:rFonts w:ascii="Arial Narrow" w:hAnsi="Arial Narrow"/>
                <w:sz w:val="20"/>
              </w:rPr>
              <w:t xml:space="preserve">Br J </w:t>
            </w:r>
            <w:proofErr w:type="spellStart"/>
            <w:r w:rsidRPr="00F72AA7">
              <w:rPr>
                <w:rFonts w:ascii="Arial Narrow" w:hAnsi="Arial Narrow"/>
                <w:sz w:val="20"/>
              </w:rPr>
              <w:t>Dermatol</w:t>
            </w:r>
            <w:proofErr w:type="spellEnd"/>
          </w:p>
          <w:p w:rsidR="00F72AA7" w:rsidRPr="00F72AA7" w:rsidRDefault="00F72AA7" w:rsidP="005C3E2F">
            <w:pPr>
              <w:keepNext/>
              <w:rPr>
                <w:rFonts w:ascii="Arial Narrow" w:hAnsi="Arial Narrow"/>
                <w:sz w:val="20"/>
              </w:rPr>
            </w:pPr>
            <w:proofErr w:type="spellStart"/>
            <w:r>
              <w:rPr>
                <w:rFonts w:ascii="Arial Narrow" w:hAnsi="Arial Narrow"/>
                <w:sz w:val="20"/>
              </w:rPr>
              <w:t>Doi</w:t>
            </w:r>
            <w:proofErr w:type="spellEnd"/>
            <w:r>
              <w:rPr>
                <w:rFonts w:ascii="Arial Narrow" w:hAnsi="Arial Narrow"/>
                <w:sz w:val="20"/>
              </w:rPr>
              <w:t xml:space="preserve">: </w:t>
            </w:r>
            <w:r w:rsidRPr="00F72AA7">
              <w:rPr>
                <w:rFonts w:ascii="Arial Narrow" w:hAnsi="Arial Narrow"/>
                <w:sz w:val="20"/>
              </w:rPr>
              <w:t>doi:10.1111/bjd.15152</w:t>
            </w:r>
          </w:p>
        </w:tc>
      </w:tr>
    </w:tbl>
    <w:p w:rsidR="00D84934" w:rsidRDefault="0076420C" w:rsidP="001845BF">
      <w:pPr>
        <w:pStyle w:val="tablenotes"/>
        <w:spacing w:after="120"/>
        <w:rPr>
          <w:rFonts w:ascii="Arial Narrow" w:hAnsi="Arial Narrow"/>
          <w:sz w:val="18"/>
          <w:szCs w:val="18"/>
        </w:rPr>
      </w:pPr>
      <w:r w:rsidRPr="00937958">
        <w:rPr>
          <w:rFonts w:ascii="Arial Narrow" w:hAnsi="Arial Narrow"/>
          <w:sz w:val="18"/>
          <w:szCs w:val="18"/>
        </w:rPr>
        <w:t xml:space="preserve">Source: </w:t>
      </w:r>
      <w:r w:rsidR="0087075E">
        <w:rPr>
          <w:rFonts w:ascii="Arial Narrow" w:hAnsi="Arial Narrow"/>
          <w:sz w:val="18"/>
          <w:szCs w:val="18"/>
        </w:rPr>
        <w:t xml:space="preserve">Submission (main body); Publication not included with submission, available online at </w:t>
      </w:r>
      <w:r w:rsidR="0087075E" w:rsidRPr="00AF4F55">
        <w:rPr>
          <w:rFonts w:ascii="Arial Narrow" w:hAnsi="Arial Narrow"/>
          <w:sz w:val="18"/>
          <w:szCs w:val="18"/>
        </w:rPr>
        <w:t>British Journal of Dermatology</w:t>
      </w:r>
      <w:r w:rsidR="0087075E">
        <w:rPr>
          <w:rFonts w:ascii="Arial Narrow" w:hAnsi="Arial Narrow"/>
          <w:sz w:val="18"/>
          <w:szCs w:val="18"/>
        </w:rPr>
        <w:t>.</w:t>
      </w:r>
    </w:p>
    <w:p w:rsidR="0087075E" w:rsidRDefault="0087075E" w:rsidP="00A0075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submission did not present </w:t>
      </w:r>
      <w:r w:rsidR="00CC5703">
        <w:rPr>
          <w:rFonts w:asciiTheme="minorHAnsi" w:eastAsiaTheme="minorHAnsi" w:hAnsiTheme="minorHAnsi" w:cstheme="minorBidi"/>
          <w:snapToGrid/>
          <w:sz w:val="24"/>
          <w:szCs w:val="22"/>
        </w:rPr>
        <w:t xml:space="preserve">the results of the study in a summarised </w:t>
      </w:r>
      <w:r w:rsidR="00A00752">
        <w:rPr>
          <w:rFonts w:asciiTheme="minorHAnsi" w:eastAsiaTheme="minorHAnsi" w:hAnsiTheme="minorHAnsi" w:cstheme="minorBidi"/>
          <w:snapToGrid/>
          <w:sz w:val="24"/>
          <w:szCs w:val="22"/>
        </w:rPr>
        <w:t>form;</w:t>
      </w:r>
      <w:r w:rsidR="00CC5703">
        <w:rPr>
          <w:rFonts w:asciiTheme="minorHAnsi" w:eastAsiaTheme="minorHAnsi" w:hAnsiTheme="minorHAnsi" w:cstheme="minorBidi"/>
          <w:snapToGrid/>
          <w:sz w:val="24"/>
          <w:szCs w:val="22"/>
        </w:rPr>
        <w:t xml:space="preserve"> however summaries of clinical efficacy and safety from the Clinical Study Report (CSR) were included as attachments to the submission.</w:t>
      </w:r>
    </w:p>
    <w:p w:rsidR="00FF20A7" w:rsidRDefault="00FF20A7" w:rsidP="00A0075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w:t>
      </w:r>
      <w:r w:rsidR="00A7430A">
        <w:rPr>
          <w:rFonts w:asciiTheme="minorHAnsi" w:eastAsiaTheme="minorHAnsi" w:hAnsiTheme="minorHAnsi" w:cstheme="minorBidi"/>
          <w:snapToGrid/>
          <w:sz w:val="24"/>
          <w:szCs w:val="22"/>
        </w:rPr>
        <w:t xml:space="preserve"> EGALITY</w:t>
      </w:r>
      <w:r>
        <w:rPr>
          <w:rFonts w:asciiTheme="minorHAnsi" w:eastAsiaTheme="minorHAnsi" w:hAnsiTheme="minorHAnsi" w:cstheme="minorBidi"/>
          <w:snapToGrid/>
          <w:sz w:val="24"/>
          <w:szCs w:val="22"/>
        </w:rPr>
        <w:t xml:space="preserve"> study recruited 531 patients, of which 264 were randomised to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and 267 were randomised to Enbrel. </w:t>
      </w:r>
      <w:r w:rsidR="000C3F0D">
        <w:rPr>
          <w:rFonts w:asciiTheme="minorHAnsi" w:eastAsiaTheme="minorHAnsi" w:hAnsiTheme="minorHAnsi" w:cstheme="minorBidi"/>
          <w:snapToGrid/>
          <w:sz w:val="24"/>
          <w:szCs w:val="22"/>
        </w:rPr>
        <w:t xml:space="preserve">The study included multiple switches between starting and alternative therapy. The first switch occurred at week 12 (following the primary endpoint) with additional switches at weeks 18, 24 and 30 as shown in Figure 1 below. </w:t>
      </w:r>
    </w:p>
    <w:p w:rsidR="00FF20A7" w:rsidRDefault="00FF20A7" w:rsidP="00FF20A7">
      <w:pPr>
        <w:pStyle w:val="Caption"/>
        <w:jc w:val="both"/>
      </w:pPr>
      <w:r>
        <w:t xml:space="preserve">Figure </w:t>
      </w:r>
      <w:r>
        <w:rPr>
          <w:noProof/>
        </w:rPr>
        <w:t>1</w:t>
      </w:r>
      <w:r>
        <w:t xml:space="preserve">: </w:t>
      </w:r>
      <w:r w:rsidRPr="00832A99">
        <w:t xml:space="preserve">Patient allocation and treatment switches over 52 weeks of </w:t>
      </w:r>
      <w:proofErr w:type="spellStart"/>
      <w:r w:rsidRPr="00832A99">
        <w:t>etanercept</w:t>
      </w:r>
      <w:proofErr w:type="spellEnd"/>
      <w:r w:rsidRPr="00832A99">
        <w:t xml:space="preserve"> treatment</w:t>
      </w:r>
    </w:p>
    <w:p w:rsidR="00FF20A7" w:rsidRDefault="00FF20A7" w:rsidP="000E62E7">
      <w:pPr>
        <w:keepNext/>
        <w:spacing w:before="120" w:after="160"/>
      </w:pPr>
      <w:r>
        <w:rPr>
          <w:noProof/>
        </w:rPr>
        <w:drawing>
          <wp:inline distT="0" distB="0" distL="0" distR="0" wp14:anchorId="1A4BDE02" wp14:editId="6B90B2B7">
            <wp:extent cx="5731510" cy="274757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747573"/>
                    </a:xfrm>
                    <a:prstGeom prst="rect">
                      <a:avLst/>
                    </a:prstGeom>
                  </pic:spPr>
                </pic:pic>
              </a:graphicData>
            </a:graphic>
          </wp:inline>
        </w:drawing>
      </w:r>
    </w:p>
    <w:p w:rsidR="000E62E7" w:rsidRPr="005C3E2F" w:rsidRDefault="00FF20A7" w:rsidP="0098761B">
      <w:pPr>
        <w:rPr>
          <w:rFonts w:ascii="Arial Narrow" w:hAnsi="Arial Narrow"/>
          <w:b/>
          <w:i/>
          <w:snapToGrid w:val="0"/>
          <w:sz w:val="18"/>
          <w:szCs w:val="18"/>
          <w:lang w:eastAsia="en-US"/>
        </w:rPr>
      </w:pPr>
      <w:r w:rsidRPr="005C3E2F">
        <w:rPr>
          <w:rFonts w:ascii="Arial Narrow" w:hAnsi="Arial Narrow"/>
          <w:snapToGrid w:val="0"/>
          <w:sz w:val="18"/>
          <w:szCs w:val="18"/>
          <w:lang w:eastAsia="en-US"/>
        </w:rPr>
        <w:t xml:space="preserve">Source: CEM Griffiths, et al. The EGALITY study: a confirmatory, randomized, double-blind study comparing the efficacy, safety and immunogenicity of GP2015, a proposed </w:t>
      </w:r>
      <w:proofErr w:type="spellStart"/>
      <w:r w:rsidRPr="005C3E2F">
        <w:rPr>
          <w:rFonts w:ascii="Arial Narrow" w:hAnsi="Arial Narrow"/>
          <w:snapToGrid w:val="0"/>
          <w:sz w:val="18"/>
          <w:szCs w:val="18"/>
          <w:lang w:eastAsia="en-US"/>
        </w:rPr>
        <w:t>etanercept</w:t>
      </w:r>
      <w:proofErr w:type="spellEnd"/>
      <w:r w:rsidRPr="005C3E2F">
        <w:rPr>
          <w:rFonts w:ascii="Arial Narrow" w:hAnsi="Arial Narrow"/>
          <w:snapToGrid w:val="0"/>
          <w:sz w:val="18"/>
          <w:szCs w:val="18"/>
          <w:lang w:eastAsia="en-US"/>
        </w:rPr>
        <w:t xml:space="preserve"> biosimilar, vs. the originator product in patients with moderate-to-severe chronic plaque-type psoriasis. </w:t>
      </w:r>
      <w:proofErr w:type="gramStart"/>
      <w:r w:rsidRPr="005C3E2F">
        <w:rPr>
          <w:rFonts w:ascii="Arial Narrow" w:hAnsi="Arial Narrow"/>
          <w:snapToGrid w:val="0"/>
          <w:sz w:val="18"/>
          <w:szCs w:val="18"/>
          <w:lang w:eastAsia="en-US"/>
        </w:rPr>
        <w:t>British Journal of Dermatology.</w:t>
      </w:r>
      <w:proofErr w:type="gramEnd"/>
      <w:r w:rsidRPr="005C3E2F">
        <w:rPr>
          <w:rFonts w:ascii="Arial Narrow" w:hAnsi="Arial Narrow"/>
          <w:snapToGrid w:val="0"/>
          <w:sz w:val="18"/>
          <w:szCs w:val="18"/>
          <w:lang w:eastAsia="en-US"/>
        </w:rPr>
        <w:t xml:space="preserve"> </w:t>
      </w:r>
      <w:proofErr w:type="gramStart"/>
      <w:r w:rsidRPr="005C3E2F">
        <w:rPr>
          <w:rFonts w:ascii="Arial Narrow" w:hAnsi="Arial Narrow"/>
          <w:snapToGrid w:val="0"/>
          <w:sz w:val="18"/>
          <w:szCs w:val="18"/>
          <w:lang w:eastAsia="en-US"/>
        </w:rPr>
        <w:t>1 March 2017, p 930.</w:t>
      </w:r>
      <w:proofErr w:type="gramEnd"/>
    </w:p>
    <w:p w:rsidR="005A3173" w:rsidRPr="00937958" w:rsidRDefault="005A3173" w:rsidP="005C3E2F">
      <w:pPr>
        <w:pStyle w:val="Heading2"/>
        <w:keepLines/>
        <w:spacing w:before="24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Comparative effectiveness</w:t>
      </w:r>
    </w:p>
    <w:p w:rsidR="009B0F67" w:rsidRDefault="00CC5703" w:rsidP="005C3E2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C5703">
        <w:rPr>
          <w:rFonts w:asciiTheme="minorHAnsi" w:eastAsiaTheme="minorHAnsi" w:hAnsiTheme="minorHAnsi" w:cstheme="minorBidi"/>
          <w:snapToGrid/>
          <w:sz w:val="24"/>
          <w:szCs w:val="22"/>
        </w:rPr>
        <w:t>The TGA Delegate and ACM</w:t>
      </w:r>
      <w:r w:rsidR="00A00752">
        <w:rPr>
          <w:rFonts w:asciiTheme="minorHAnsi" w:eastAsiaTheme="minorHAnsi" w:hAnsiTheme="minorHAnsi" w:cstheme="minorBidi"/>
          <w:snapToGrid/>
          <w:sz w:val="24"/>
          <w:szCs w:val="22"/>
        </w:rPr>
        <w:t xml:space="preserve"> considered the comparative</w:t>
      </w:r>
      <w:r>
        <w:rPr>
          <w:rFonts w:asciiTheme="minorHAnsi" w:eastAsiaTheme="minorHAnsi" w:hAnsiTheme="minorHAnsi" w:cstheme="minorBidi"/>
          <w:snapToGrid/>
          <w:sz w:val="24"/>
          <w:szCs w:val="22"/>
        </w:rPr>
        <w:t xml:space="preserve"> effectiveness of the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brand of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as part of its application for Australian Registration.</w:t>
      </w:r>
    </w:p>
    <w:p w:rsidR="00CC5703" w:rsidRDefault="00A00752" w:rsidP="005C3E2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With respect to the comparative</w:t>
      </w:r>
      <w:r w:rsidR="00CC5703">
        <w:rPr>
          <w:rFonts w:asciiTheme="minorHAnsi" w:eastAsiaTheme="minorHAnsi" w:hAnsiTheme="minorHAnsi" w:cstheme="minorBidi"/>
          <w:snapToGrid/>
          <w:sz w:val="24"/>
          <w:szCs w:val="22"/>
        </w:rPr>
        <w:t xml:space="preserve"> effectiveness of </w:t>
      </w:r>
      <w:proofErr w:type="spellStart"/>
      <w:r w:rsidR="00CC5703">
        <w:rPr>
          <w:rFonts w:asciiTheme="minorHAnsi" w:eastAsiaTheme="minorHAnsi" w:hAnsiTheme="minorHAnsi" w:cstheme="minorBidi"/>
          <w:snapToGrid/>
          <w:sz w:val="24"/>
          <w:szCs w:val="22"/>
        </w:rPr>
        <w:t>Erelzi</w:t>
      </w:r>
      <w:proofErr w:type="spellEnd"/>
      <w:r w:rsidR="00CC5703">
        <w:rPr>
          <w:rFonts w:asciiTheme="minorHAnsi" w:eastAsiaTheme="minorHAnsi" w:hAnsiTheme="minorHAnsi" w:cstheme="minorBidi"/>
          <w:snapToGrid/>
          <w:sz w:val="24"/>
          <w:szCs w:val="22"/>
        </w:rPr>
        <w:t>, the ACM considered the following</w:t>
      </w:r>
      <w:r w:rsidR="00CC5703">
        <w:rPr>
          <w:rStyle w:val="FootnoteReference"/>
          <w:rFonts w:asciiTheme="minorHAnsi" w:eastAsiaTheme="minorHAnsi" w:hAnsiTheme="minorHAnsi" w:cstheme="minorBidi"/>
          <w:snapToGrid/>
          <w:sz w:val="24"/>
          <w:szCs w:val="22"/>
        </w:rPr>
        <w:footnoteReference w:id="3"/>
      </w:r>
      <w:r w:rsidR="00CC5703">
        <w:rPr>
          <w:rFonts w:asciiTheme="minorHAnsi" w:eastAsiaTheme="minorHAnsi" w:hAnsiTheme="minorHAnsi" w:cstheme="minorBidi"/>
          <w:snapToGrid/>
          <w:sz w:val="24"/>
          <w:szCs w:val="22"/>
        </w:rPr>
        <w:t>:</w:t>
      </w:r>
    </w:p>
    <w:p w:rsidR="00CC5703" w:rsidRPr="00CC5703" w:rsidRDefault="00CC5703" w:rsidP="00CC5703">
      <w:pPr>
        <w:pStyle w:val="ListParagraph"/>
        <w:numPr>
          <w:ilvl w:val="0"/>
          <w:numId w:val="37"/>
        </w:numPr>
        <w:spacing w:after="120"/>
        <w:ind w:left="993" w:hanging="284"/>
        <w:contextualSpacing w:val="0"/>
        <w:rPr>
          <w:rFonts w:asciiTheme="minorHAnsi" w:eastAsiaTheme="minorHAnsi" w:hAnsiTheme="minorHAnsi" w:cstheme="minorBidi"/>
          <w:snapToGrid/>
          <w:szCs w:val="22"/>
        </w:rPr>
      </w:pPr>
      <w:r>
        <w:rPr>
          <w:rFonts w:asciiTheme="minorHAnsi" w:eastAsiaTheme="minorHAnsi" w:hAnsiTheme="minorHAnsi" w:cstheme="minorBidi"/>
          <w:snapToGrid/>
          <w:sz w:val="24"/>
          <w:szCs w:val="24"/>
        </w:rPr>
        <w:t>The ACM noted one Phase 3 Study (GP15-302) in adults wi</w:t>
      </w:r>
      <w:r w:rsidR="00A00752">
        <w:rPr>
          <w:rFonts w:asciiTheme="minorHAnsi" w:eastAsiaTheme="minorHAnsi" w:hAnsiTheme="minorHAnsi" w:cstheme="minorBidi"/>
          <w:snapToGrid/>
          <w:sz w:val="24"/>
          <w:szCs w:val="24"/>
        </w:rPr>
        <w:t>th plaque psoriasis to evaluate</w:t>
      </w:r>
      <w:r>
        <w:rPr>
          <w:rFonts w:asciiTheme="minorHAnsi" w:eastAsiaTheme="minorHAnsi" w:hAnsiTheme="minorHAnsi" w:cstheme="minorBidi"/>
          <w:snapToGrid/>
          <w:sz w:val="24"/>
          <w:szCs w:val="24"/>
        </w:rPr>
        <w:t xml:space="preserve"> the efficacy and safety of </w:t>
      </w:r>
      <w:proofErr w:type="spellStart"/>
      <w:r>
        <w:rPr>
          <w:rFonts w:asciiTheme="minorHAnsi" w:eastAsiaTheme="minorHAnsi" w:hAnsiTheme="minorHAnsi" w:cstheme="minorBidi"/>
          <w:snapToGrid/>
          <w:sz w:val="24"/>
          <w:szCs w:val="24"/>
        </w:rPr>
        <w:t>Erelzi</w:t>
      </w:r>
      <w:proofErr w:type="spellEnd"/>
      <w:r>
        <w:rPr>
          <w:rFonts w:asciiTheme="minorHAnsi" w:eastAsiaTheme="minorHAnsi" w:hAnsiTheme="minorHAnsi" w:cstheme="minorBidi"/>
          <w:snapToGrid/>
          <w:sz w:val="24"/>
          <w:szCs w:val="24"/>
        </w:rPr>
        <w:t xml:space="preserve"> compared with the innovator (Enbrel). Clinical equivalence was demonstrated within the definition of the study including  an equivalence margin of 18% used to test the primary variable (proportion of Psoriasis Area and Severity Index [PASI] responders at Week 12) and a margin of 15% used for the secondary variable (PASI percentage improvement from baseline to Week 12).</w:t>
      </w:r>
    </w:p>
    <w:p w:rsidR="00CC5703" w:rsidRPr="00CC5703" w:rsidRDefault="00CC5703" w:rsidP="00CC5703">
      <w:pPr>
        <w:pStyle w:val="ListParagraph"/>
        <w:numPr>
          <w:ilvl w:val="0"/>
          <w:numId w:val="37"/>
        </w:numPr>
        <w:spacing w:after="120"/>
        <w:ind w:left="993" w:hanging="284"/>
        <w:contextualSpacing w:val="0"/>
        <w:rPr>
          <w:rFonts w:asciiTheme="minorHAnsi" w:eastAsiaTheme="minorHAnsi" w:hAnsiTheme="minorHAnsi" w:cstheme="minorBidi"/>
          <w:snapToGrid/>
          <w:szCs w:val="22"/>
        </w:rPr>
      </w:pPr>
      <w:r>
        <w:rPr>
          <w:rFonts w:asciiTheme="minorHAnsi" w:eastAsiaTheme="minorHAnsi" w:hAnsiTheme="minorHAnsi" w:cstheme="minorBidi"/>
          <w:snapToGrid/>
          <w:sz w:val="24"/>
          <w:szCs w:val="24"/>
        </w:rPr>
        <w:t>The ACM noted the lack of any clinical data from the paediatric population. The ACM also noted previous discussions about the evaluation of biosimilar products and discussed the application of the most recent TGA and EMA guidelines (2015) on biosimilar products to the consideration of this application. The ACM recommended that the indications (</w:t>
      </w:r>
      <w:proofErr w:type="spellStart"/>
      <w:r>
        <w:rPr>
          <w:rFonts w:asciiTheme="minorHAnsi" w:eastAsiaTheme="minorHAnsi" w:hAnsiTheme="minorHAnsi" w:cstheme="minorBidi"/>
          <w:snapToGrid/>
          <w:sz w:val="24"/>
          <w:szCs w:val="24"/>
        </w:rPr>
        <w:t>i</w:t>
      </w:r>
      <w:proofErr w:type="spellEnd"/>
      <w:r>
        <w:rPr>
          <w:rFonts w:asciiTheme="minorHAnsi" w:eastAsiaTheme="minorHAnsi" w:hAnsiTheme="minorHAnsi" w:cstheme="minorBidi"/>
          <w:snapToGrid/>
          <w:sz w:val="24"/>
          <w:szCs w:val="24"/>
        </w:rPr>
        <w:t xml:space="preserve">) </w:t>
      </w:r>
      <w:proofErr w:type="spellStart"/>
      <w:r>
        <w:rPr>
          <w:rFonts w:asciiTheme="minorHAnsi" w:eastAsiaTheme="minorHAnsi" w:hAnsiTheme="minorHAnsi" w:cstheme="minorBidi"/>
          <w:snapToGrid/>
          <w:sz w:val="24"/>
          <w:szCs w:val="24"/>
        </w:rPr>
        <w:t>polyarticular</w:t>
      </w:r>
      <w:proofErr w:type="spellEnd"/>
      <w:r>
        <w:rPr>
          <w:rFonts w:asciiTheme="minorHAnsi" w:eastAsiaTheme="minorHAnsi" w:hAnsiTheme="minorHAnsi" w:cstheme="minorBidi"/>
          <w:snapToGrid/>
          <w:sz w:val="24"/>
          <w:szCs w:val="24"/>
        </w:rPr>
        <w:t xml:space="preserve"> juvenile idiopathic arthritis (children and adolescents 2 to 17 years); and (ii) paediatric plaque psoriasis (children and adolescents 4 to 17 years) be removed.</w:t>
      </w:r>
      <w:r w:rsidR="0072005E">
        <w:rPr>
          <w:rFonts w:asciiTheme="minorHAnsi" w:eastAsiaTheme="minorHAnsi" w:hAnsiTheme="minorHAnsi" w:cstheme="minorBidi"/>
          <w:snapToGrid/>
          <w:sz w:val="24"/>
          <w:szCs w:val="24"/>
        </w:rPr>
        <w:t xml:space="preserve"> This was due, in part, to the lack of a dose form of </w:t>
      </w:r>
      <w:proofErr w:type="spellStart"/>
      <w:r w:rsidR="0072005E">
        <w:rPr>
          <w:rFonts w:asciiTheme="minorHAnsi" w:eastAsiaTheme="minorHAnsi" w:hAnsiTheme="minorHAnsi" w:cstheme="minorBidi"/>
          <w:snapToGrid/>
          <w:sz w:val="24"/>
          <w:szCs w:val="24"/>
        </w:rPr>
        <w:t>Erelzi</w:t>
      </w:r>
      <w:proofErr w:type="spellEnd"/>
      <w:r w:rsidR="0072005E">
        <w:rPr>
          <w:rFonts w:asciiTheme="minorHAnsi" w:eastAsiaTheme="minorHAnsi" w:hAnsiTheme="minorHAnsi" w:cstheme="minorBidi"/>
          <w:snapToGrid/>
          <w:sz w:val="24"/>
          <w:szCs w:val="24"/>
        </w:rPr>
        <w:t xml:space="preserve"> proposed to be made available for patients weighing less than 62.5kg who require weight-based dosing.</w:t>
      </w:r>
    </w:p>
    <w:p w:rsidR="00CC5703" w:rsidRPr="00CC5703" w:rsidRDefault="00CC5703" w:rsidP="00CC5703">
      <w:pPr>
        <w:pStyle w:val="ListParagraph"/>
        <w:numPr>
          <w:ilvl w:val="0"/>
          <w:numId w:val="37"/>
        </w:numPr>
        <w:spacing w:after="120"/>
        <w:ind w:left="993" w:hanging="284"/>
        <w:contextualSpacing w:val="0"/>
        <w:rPr>
          <w:rFonts w:asciiTheme="minorHAnsi" w:eastAsiaTheme="minorHAnsi" w:hAnsiTheme="minorHAnsi" w:cstheme="minorBidi"/>
          <w:snapToGrid/>
          <w:szCs w:val="22"/>
        </w:rPr>
      </w:pPr>
      <w:r>
        <w:rPr>
          <w:rFonts w:asciiTheme="minorHAnsi" w:eastAsiaTheme="minorHAnsi" w:hAnsiTheme="minorHAnsi" w:cstheme="minorBidi"/>
          <w:snapToGrid/>
          <w:sz w:val="24"/>
          <w:szCs w:val="24"/>
        </w:rPr>
        <w:t xml:space="preserve">The ACM agreed that the efficacy for plaque psoriasis had been demonstrated, and noted the trial design was strong and the standard outcome of PASI75 at 12 weeks was not statistically significantly different between the </w:t>
      </w:r>
      <w:r w:rsidR="00796CD1">
        <w:rPr>
          <w:rFonts w:asciiTheme="minorHAnsi" w:eastAsiaTheme="minorHAnsi" w:hAnsiTheme="minorHAnsi" w:cstheme="minorBidi"/>
          <w:snapToGrid/>
          <w:sz w:val="24"/>
          <w:szCs w:val="24"/>
        </w:rPr>
        <w:t xml:space="preserve">two </w:t>
      </w:r>
      <w:r>
        <w:rPr>
          <w:rFonts w:asciiTheme="minorHAnsi" w:eastAsiaTheme="minorHAnsi" w:hAnsiTheme="minorHAnsi" w:cstheme="minorBidi"/>
          <w:snapToGrid/>
          <w:sz w:val="24"/>
          <w:szCs w:val="24"/>
        </w:rPr>
        <w:t xml:space="preserve">arms of the study. The ACM noted that in the context of similar decisions made in relation to </w:t>
      </w:r>
      <w:proofErr w:type="spellStart"/>
      <w:r>
        <w:rPr>
          <w:rFonts w:asciiTheme="minorHAnsi" w:eastAsiaTheme="minorHAnsi" w:hAnsiTheme="minorHAnsi" w:cstheme="minorBidi"/>
          <w:snapToGrid/>
          <w:sz w:val="24"/>
          <w:szCs w:val="24"/>
        </w:rPr>
        <w:t>biosimilars</w:t>
      </w:r>
      <w:proofErr w:type="spellEnd"/>
      <w:r>
        <w:rPr>
          <w:rFonts w:asciiTheme="minorHAnsi" w:eastAsiaTheme="minorHAnsi" w:hAnsiTheme="minorHAnsi" w:cstheme="minorBidi"/>
          <w:snapToGrid/>
          <w:sz w:val="24"/>
          <w:szCs w:val="24"/>
        </w:rPr>
        <w:t xml:space="preserve">, </w:t>
      </w:r>
      <w:proofErr w:type="spellStart"/>
      <w:r>
        <w:rPr>
          <w:rFonts w:asciiTheme="minorHAnsi" w:eastAsiaTheme="minorHAnsi" w:hAnsiTheme="minorHAnsi" w:cstheme="minorBidi"/>
          <w:snapToGrid/>
          <w:sz w:val="24"/>
          <w:szCs w:val="24"/>
        </w:rPr>
        <w:t>Erelzi</w:t>
      </w:r>
      <w:proofErr w:type="spellEnd"/>
      <w:r>
        <w:rPr>
          <w:rFonts w:asciiTheme="minorHAnsi" w:eastAsiaTheme="minorHAnsi" w:hAnsiTheme="minorHAnsi" w:cstheme="minorBidi"/>
          <w:snapToGrid/>
          <w:sz w:val="24"/>
          <w:szCs w:val="24"/>
        </w:rPr>
        <w:t xml:space="preserve"> is non-inferior to Enbrel for the plaque psoriasis indication.</w:t>
      </w:r>
    </w:p>
    <w:p w:rsidR="00CC5703" w:rsidRPr="0072005E" w:rsidRDefault="0072005E" w:rsidP="00CC5703">
      <w:pPr>
        <w:pStyle w:val="ListParagraph"/>
        <w:numPr>
          <w:ilvl w:val="0"/>
          <w:numId w:val="37"/>
        </w:numPr>
        <w:spacing w:after="120"/>
        <w:ind w:left="993" w:hanging="284"/>
        <w:rPr>
          <w:rFonts w:asciiTheme="minorHAnsi" w:eastAsiaTheme="minorHAnsi" w:hAnsiTheme="minorHAnsi" w:cstheme="minorBidi"/>
          <w:snapToGrid/>
          <w:szCs w:val="22"/>
        </w:rPr>
      </w:pPr>
      <w:r>
        <w:rPr>
          <w:rFonts w:asciiTheme="minorHAnsi" w:eastAsiaTheme="minorHAnsi" w:hAnsiTheme="minorHAnsi" w:cstheme="minorBidi"/>
          <w:snapToGrid/>
          <w:sz w:val="24"/>
          <w:szCs w:val="24"/>
        </w:rPr>
        <w:t xml:space="preserve">The ACM considered the principle of extrapolation has been established for other </w:t>
      </w:r>
      <w:proofErr w:type="spellStart"/>
      <w:r>
        <w:rPr>
          <w:rFonts w:asciiTheme="minorHAnsi" w:eastAsiaTheme="minorHAnsi" w:hAnsiTheme="minorHAnsi" w:cstheme="minorBidi"/>
          <w:snapToGrid/>
          <w:sz w:val="24"/>
          <w:szCs w:val="24"/>
        </w:rPr>
        <w:t>biosimilars</w:t>
      </w:r>
      <w:proofErr w:type="spellEnd"/>
      <w:r>
        <w:rPr>
          <w:rFonts w:asciiTheme="minorHAnsi" w:eastAsiaTheme="minorHAnsi" w:hAnsiTheme="minorHAnsi" w:cstheme="minorBidi"/>
          <w:snapToGrid/>
          <w:sz w:val="24"/>
          <w:szCs w:val="24"/>
        </w:rPr>
        <w:t xml:space="preserve"> and that there was sufficient evidence to support extrapolation of the data in patients with plaque psoriasis to the other indications.</w:t>
      </w:r>
    </w:p>
    <w:p w:rsidR="005A3173" w:rsidRPr="00937958" w:rsidRDefault="005A3173" w:rsidP="005C3E2F">
      <w:pPr>
        <w:pStyle w:val="Heading2"/>
        <w:keepLines/>
        <w:spacing w:before="24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Comparative harms</w:t>
      </w:r>
    </w:p>
    <w:p w:rsidR="0072005E" w:rsidRDefault="0072005E" w:rsidP="005C3E2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C5703">
        <w:rPr>
          <w:rFonts w:asciiTheme="minorHAnsi" w:eastAsiaTheme="minorHAnsi" w:hAnsiTheme="minorHAnsi" w:cstheme="minorBidi"/>
          <w:snapToGrid/>
          <w:sz w:val="24"/>
          <w:szCs w:val="22"/>
        </w:rPr>
        <w:t>The TGA Delegate and ACM</w:t>
      </w:r>
      <w:r w:rsidR="00A00752">
        <w:rPr>
          <w:rFonts w:asciiTheme="minorHAnsi" w:eastAsiaTheme="minorHAnsi" w:hAnsiTheme="minorHAnsi" w:cstheme="minorBidi"/>
          <w:snapToGrid/>
          <w:sz w:val="24"/>
          <w:szCs w:val="22"/>
        </w:rPr>
        <w:t xml:space="preserve"> considered the comparative</w:t>
      </w:r>
      <w:r>
        <w:rPr>
          <w:rFonts w:asciiTheme="minorHAnsi" w:eastAsiaTheme="minorHAnsi" w:hAnsiTheme="minorHAnsi" w:cstheme="minorBidi"/>
          <w:snapToGrid/>
          <w:sz w:val="24"/>
          <w:szCs w:val="22"/>
        </w:rPr>
        <w:t xml:space="preserve"> safety of the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brand of </w:t>
      </w:r>
      <w:proofErr w:type="spellStart"/>
      <w:r>
        <w:rPr>
          <w:rFonts w:asciiTheme="minorHAnsi" w:eastAsiaTheme="minorHAnsi" w:hAnsiTheme="minorHAnsi" w:cstheme="minorBidi"/>
          <w:snapToGrid/>
          <w:sz w:val="24"/>
          <w:szCs w:val="22"/>
        </w:rPr>
        <w:t>etanercept</w:t>
      </w:r>
      <w:proofErr w:type="spellEnd"/>
      <w:r>
        <w:rPr>
          <w:rFonts w:asciiTheme="minorHAnsi" w:eastAsiaTheme="minorHAnsi" w:hAnsiTheme="minorHAnsi" w:cstheme="minorBidi"/>
          <w:snapToGrid/>
          <w:sz w:val="24"/>
          <w:szCs w:val="22"/>
        </w:rPr>
        <w:t xml:space="preserve"> as part of its application for Australian Registration.</w:t>
      </w:r>
    </w:p>
    <w:p w:rsidR="0072005E" w:rsidRDefault="0072005E" w:rsidP="005C3E2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With re</w:t>
      </w:r>
      <w:r w:rsidR="00A00752">
        <w:rPr>
          <w:rFonts w:asciiTheme="minorHAnsi" w:eastAsiaTheme="minorHAnsi" w:hAnsiTheme="minorHAnsi" w:cstheme="minorBidi"/>
          <w:snapToGrid/>
          <w:sz w:val="24"/>
          <w:szCs w:val="22"/>
        </w:rPr>
        <w:t>spect to the comparative</w:t>
      </w:r>
      <w:r>
        <w:rPr>
          <w:rFonts w:asciiTheme="minorHAnsi" w:eastAsiaTheme="minorHAnsi" w:hAnsiTheme="minorHAnsi" w:cstheme="minorBidi"/>
          <w:snapToGrid/>
          <w:sz w:val="24"/>
          <w:szCs w:val="22"/>
        </w:rPr>
        <w:t xml:space="preserve"> </w:t>
      </w:r>
      <w:r w:rsidR="00A00752">
        <w:rPr>
          <w:rFonts w:asciiTheme="minorHAnsi" w:eastAsiaTheme="minorHAnsi" w:hAnsiTheme="minorHAnsi" w:cstheme="minorBidi"/>
          <w:snapToGrid/>
          <w:sz w:val="24"/>
          <w:szCs w:val="22"/>
        </w:rPr>
        <w:t>safety</w:t>
      </w:r>
      <w:r>
        <w:rPr>
          <w:rFonts w:asciiTheme="minorHAnsi" w:eastAsiaTheme="minorHAnsi" w:hAnsiTheme="minorHAnsi" w:cstheme="minorBidi"/>
          <w:snapToGrid/>
          <w:sz w:val="24"/>
          <w:szCs w:val="22"/>
        </w:rPr>
        <w:t xml:space="preserve"> of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the ACM considered the following</w:t>
      </w:r>
      <w:r>
        <w:rPr>
          <w:rStyle w:val="FootnoteReference"/>
          <w:rFonts w:asciiTheme="minorHAnsi" w:eastAsiaTheme="minorHAnsi" w:hAnsiTheme="minorHAnsi" w:cstheme="minorBidi"/>
          <w:snapToGrid/>
          <w:sz w:val="24"/>
          <w:szCs w:val="22"/>
        </w:rPr>
        <w:footnoteReference w:id="4"/>
      </w:r>
      <w:r>
        <w:rPr>
          <w:rFonts w:asciiTheme="minorHAnsi" w:eastAsiaTheme="minorHAnsi" w:hAnsiTheme="minorHAnsi" w:cstheme="minorBidi"/>
          <w:snapToGrid/>
          <w:sz w:val="24"/>
          <w:szCs w:val="22"/>
        </w:rPr>
        <w:t>:</w:t>
      </w:r>
    </w:p>
    <w:p w:rsidR="0072005E" w:rsidRPr="009F5008" w:rsidRDefault="0072005E" w:rsidP="00A00752">
      <w:pPr>
        <w:pStyle w:val="ListParagraph"/>
        <w:numPr>
          <w:ilvl w:val="0"/>
          <w:numId w:val="37"/>
        </w:numPr>
        <w:spacing w:after="120"/>
        <w:ind w:left="993" w:hanging="284"/>
        <w:contextualSpacing w:val="0"/>
        <w:rPr>
          <w:rFonts w:asciiTheme="minorHAnsi" w:eastAsiaTheme="minorHAnsi" w:hAnsiTheme="minorHAnsi" w:cstheme="minorBidi"/>
          <w:snapToGrid/>
          <w:szCs w:val="22"/>
        </w:rPr>
      </w:pPr>
      <w:r>
        <w:rPr>
          <w:rFonts w:asciiTheme="minorHAnsi" w:eastAsiaTheme="minorHAnsi" w:hAnsiTheme="minorHAnsi" w:cstheme="minorBidi"/>
          <w:snapToGrid/>
          <w:sz w:val="24"/>
          <w:szCs w:val="24"/>
        </w:rPr>
        <w:lastRenderedPageBreak/>
        <w:t xml:space="preserve">The ACM noted the safety profiles from the Phase 3 study and from other data in the application for adults do not demonstrate any clear toxicity difference between the two products, including the short two-way switching phase in the study. However, the ACM also noted that the overall frequency of adverse effects was higher with </w:t>
      </w:r>
      <w:proofErr w:type="spellStart"/>
      <w:r>
        <w:rPr>
          <w:rFonts w:asciiTheme="minorHAnsi" w:eastAsiaTheme="minorHAnsi" w:hAnsiTheme="minorHAnsi" w:cstheme="minorBidi"/>
          <w:snapToGrid/>
          <w:sz w:val="24"/>
          <w:szCs w:val="24"/>
        </w:rPr>
        <w:t>Erelzi</w:t>
      </w:r>
      <w:proofErr w:type="spellEnd"/>
      <w:r>
        <w:rPr>
          <w:rFonts w:asciiTheme="minorHAnsi" w:eastAsiaTheme="minorHAnsi" w:hAnsiTheme="minorHAnsi" w:cstheme="minorBidi"/>
          <w:snapToGrid/>
          <w:sz w:val="24"/>
          <w:szCs w:val="24"/>
        </w:rPr>
        <w:t xml:space="preserve"> compared to Enbrel and that the pattern of some adverse events appeared slightly different between treatment groups. It was noted, however, that the sample size was small and safety issues in larger numbers and in the longer term are unknown. The ACM also noted the lack of any </w:t>
      </w:r>
      <w:r w:rsidR="00F62F34">
        <w:rPr>
          <w:rFonts w:asciiTheme="minorHAnsi" w:eastAsiaTheme="minorHAnsi" w:hAnsiTheme="minorHAnsi" w:cstheme="minorBidi"/>
          <w:snapToGrid/>
          <w:sz w:val="24"/>
          <w:szCs w:val="24"/>
        </w:rPr>
        <w:t xml:space="preserve">safety </w:t>
      </w:r>
      <w:r>
        <w:rPr>
          <w:rFonts w:asciiTheme="minorHAnsi" w:eastAsiaTheme="minorHAnsi" w:hAnsiTheme="minorHAnsi" w:cstheme="minorBidi"/>
          <w:snapToGrid/>
          <w:sz w:val="24"/>
          <w:szCs w:val="24"/>
        </w:rPr>
        <w:t>data from the paediatric population.</w:t>
      </w:r>
    </w:p>
    <w:p w:rsidR="009F5008" w:rsidRDefault="00EC272E" w:rsidP="005C3E2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Treatment-emergent adverse events (TEAEs), serious adverse events (SAEs), treatment-related TEAEs and discontinuations due to adverse events were similar between the continued and switched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and Enbrel groups were similar as shown</w:t>
      </w:r>
      <w:r w:rsidR="000C3F0D">
        <w:rPr>
          <w:rFonts w:asciiTheme="minorHAnsi" w:eastAsiaTheme="minorHAnsi" w:hAnsiTheme="minorHAnsi" w:cstheme="minorBidi"/>
          <w:snapToGrid/>
          <w:sz w:val="24"/>
          <w:szCs w:val="22"/>
        </w:rPr>
        <w:t xml:space="preserve"> in the table below.</w:t>
      </w:r>
    </w:p>
    <w:p w:rsidR="0098761B" w:rsidRDefault="0098761B" w:rsidP="0098761B">
      <w:pPr>
        <w:pStyle w:val="Caption"/>
      </w:pPr>
      <w:r>
        <w:t xml:space="preserve">Table </w:t>
      </w:r>
      <w:r w:rsidR="00A40065">
        <w:rPr>
          <w:noProof/>
        </w:rPr>
        <w:t>2</w:t>
      </w:r>
      <w:r w:rsidRPr="00612D03">
        <w:t>: Summary of treatment emergent adverse events (TEAE) up to week 52 for continued and switched groups</w:t>
      </w:r>
    </w:p>
    <w:tbl>
      <w:tblPr>
        <w:tblStyle w:val="TableGrid"/>
        <w:tblW w:w="5000" w:type="pct"/>
        <w:tblLook w:val="04A0" w:firstRow="1" w:lastRow="0" w:firstColumn="1" w:lastColumn="0" w:noHBand="0" w:noVBand="1"/>
      </w:tblPr>
      <w:tblGrid>
        <w:gridCol w:w="1910"/>
        <w:gridCol w:w="1841"/>
        <w:gridCol w:w="1841"/>
        <w:gridCol w:w="1826"/>
        <w:gridCol w:w="1824"/>
      </w:tblGrid>
      <w:tr w:rsidR="00EC272E" w:rsidRPr="000E62E7" w:rsidTr="0098761B">
        <w:tc>
          <w:tcPr>
            <w:tcW w:w="1033" w:type="pct"/>
          </w:tcPr>
          <w:p w:rsidR="00EC272E" w:rsidRPr="000E62E7" w:rsidRDefault="00EC272E" w:rsidP="000E62E7">
            <w:pPr>
              <w:pStyle w:val="ListParagraph"/>
              <w:widowControl/>
              <w:spacing w:after="120"/>
              <w:ind w:left="-294" w:firstLine="294"/>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Treatment group</w:t>
            </w:r>
          </w:p>
        </w:tc>
        <w:tc>
          <w:tcPr>
            <w:tcW w:w="996" w:type="pct"/>
          </w:tcPr>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 xml:space="preserve">Continued </w:t>
            </w:r>
            <w:proofErr w:type="spellStart"/>
            <w:r w:rsidRPr="000E62E7">
              <w:rPr>
                <w:rFonts w:ascii="Arial Narrow" w:eastAsiaTheme="minorHAnsi" w:hAnsi="Arial Narrow" w:cstheme="minorBidi"/>
                <w:b/>
                <w:snapToGrid/>
                <w:sz w:val="20"/>
              </w:rPr>
              <w:t>Erelzi</w:t>
            </w:r>
            <w:proofErr w:type="spellEnd"/>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N = 164</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proofErr w:type="gramStart"/>
            <w:r w:rsidRPr="000E62E7">
              <w:rPr>
                <w:rFonts w:ascii="Arial Narrow" w:eastAsiaTheme="minorHAnsi" w:hAnsi="Arial Narrow" w:cstheme="minorBidi"/>
                <w:b/>
                <w:snapToGrid/>
                <w:sz w:val="20"/>
              </w:rPr>
              <w:t>n</w:t>
            </w:r>
            <w:proofErr w:type="gramEnd"/>
            <w:r w:rsidRPr="000E62E7">
              <w:rPr>
                <w:rFonts w:ascii="Arial Narrow" w:eastAsiaTheme="minorHAnsi" w:hAnsi="Arial Narrow" w:cstheme="minorBidi"/>
                <w:b/>
                <w:snapToGrid/>
                <w:sz w:val="20"/>
              </w:rPr>
              <w:t xml:space="preserve"> (%)</w:t>
            </w:r>
          </w:p>
        </w:tc>
        <w:tc>
          <w:tcPr>
            <w:tcW w:w="996" w:type="pct"/>
          </w:tcPr>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Continued Enbrel</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N = 171</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proofErr w:type="gramStart"/>
            <w:r w:rsidRPr="000E62E7">
              <w:rPr>
                <w:rFonts w:ascii="Arial Narrow" w:eastAsiaTheme="minorHAnsi" w:hAnsi="Arial Narrow" w:cstheme="minorBidi"/>
                <w:b/>
                <w:snapToGrid/>
                <w:sz w:val="20"/>
              </w:rPr>
              <w:t>n</w:t>
            </w:r>
            <w:proofErr w:type="gramEnd"/>
            <w:r w:rsidRPr="000E62E7">
              <w:rPr>
                <w:rFonts w:ascii="Arial Narrow" w:eastAsiaTheme="minorHAnsi" w:hAnsi="Arial Narrow" w:cstheme="minorBidi"/>
                <w:b/>
                <w:snapToGrid/>
                <w:sz w:val="20"/>
              </w:rPr>
              <w:t xml:space="preserve"> (%)</w:t>
            </w:r>
          </w:p>
        </w:tc>
        <w:tc>
          <w:tcPr>
            <w:tcW w:w="988" w:type="pct"/>
          </w:tcPr>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 xml:space="preserve">Switched </w:t>
            </w:r>
            <w:proofErr w:type="spellStart"/>
            <w:r w:rsidRPr="000E62E7">
              <w:rPr>
                <w:rFonts w:ascii="Arial Narrow" w:eastAsiaTheme="minorHAnsi" w:hAnsi="Arial Narrow" w:cstheme="minorBidi"/>
                <w:b/>
                <w:snapToGrid/>
                <w:sz w:val="20"/>
              </w:rPr>
              <w:t>Erelzi</w:t>
            </w:r>
            <w:proofErr w:type="spellEnd"/>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N = 100</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proofErr w:type="gramStart"/>
            <w:r w:rsidRPr="000E62E7">
              <w:rPr>
                <w:rFonts w:ascii="Arial Narrow" w:eastAsiaTheme="minorHAnsi" w:hAnsi="Arial Narrow" w:cstheme="minorBidi"/>
                <w:b/>
                <w:snapToGrid/>
                <w:sz w:val="20"/>
              </w:rPr>
              <w:t>n</w:t>
            </w:r>
            <w:proofErr w:type="gramEnd"/>
            <w:r w:rsidRPr="000E62E7">
              <w:rPr>
                <w:rFonts w:ascii="Arial Narrow" w:eastAsiaTheme="minorHAnsi" w:hAnsi="Arial Narrow" w:cstheme="minorBidi"/>
                <w:b/>
                <w:snapToGrid/>
                <w:sz w:val="20"/>
              </w:rPr>
              <w:t xml:space="preserve"> (%)</w:t>
            </w:r>
          </w:p>
        </w:tc>
        <w:tc>
          <w:tcPr>
            <w:tcW w:w="987" w:type="pct"/>
          </w:tcPr>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Switched Enbrel</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r w:rsidRPr="000E62E7">
              <w:rPr>
                <w:rFonts w:ascii="Arial Narrow" w:eastAsiaTheme="minorHAnsi" w:hAnsi="Arial Narrow" w:cstheme="minorBidi"/>
                <w:b/>
                <w:snapToGrid/>
                <w:sz w:val="20"/>
              </w:rPr>
              <w:t>N = 96</w:t>
            </w:r>
          </w:p>
          <w:p w:rsidR="00EC272E" w:rsidRPr="000E62E7" w:rsidRDefault="00EC272E" w:rsidP="000C3F0D">
            <w:pPr>
              <w:pStyle w:val="ListParagraph"/>
              <w:widowControl/>
              <w:spacing w:after="120"/>
              <w:ind w:left="0"/>
              <w:contextualSpacing w:val="0"/>
              <w:rPr>
                <w:rFonts w:ascii="Arial Narrow" w:eastAsiaTheme="minorHAnsi" w:hAnsi="Arial Narrow" w:cstheme="minorBidi"/>
                <w:b/>
                <w:snapToGrid/>
                <w:sz w:val="20"/>
              </w:rPr>
            </w:pPr>
            <w:proofErr w:type="gramStart"/>
            <w:r w:rsidRPr="000E62E7">
              <w:rPr>
                <w:rFonts w:ascii="Arial Narrow" w:eastAsiaTheme="minorHAnsi" w:hAnsi="Arial Narrow" w:cstheme="minorBidi"/>
                <w:b/>
                <w:snapToGrid/>
                <w:sz w:val="20"/>
              </w:rPr>
              <w:t>n</w:t>
            </w:r>
            <w:proofErr w:type="gramEnd"/>
            <w:r w:rsidRPr="000E62E7">
              <w:rPr>
                <w:rFonts w:ascii="Arial Narrow" w:eastAsiaTheme="minorHAnsi" w:hAnsi="Arial Narrow" w:cstheme="minorBidi"/>
                <w:b/>
                <w:snapToGrid/>
                <w:sz w:val="20"/>
              </w:rPr>
              <w:t xml:space="preserve"> (%)</w:t>
            </w:r>
          </w:p>
        </w:tc>
      </w:tr>
      <w:tr w:rsidR="00EC272E" w:rsidRPr="00EC272E" w:rsidTr="0098761B">
        <w:tc>
          <w:tcPr>
            <w:tcW w:w="1033"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Any TEAE</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98 (59.8)</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98 (57.3)</w:t>
            </w:r>
          </w:p>
        </w:tc>
        <w:tc>
          <w:tcPr>
            <w:tcW w:w="988"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61 (61)</w:t>
            </w:r>
          </w:p>
        </w:tc>
        <w:tc>
          <w:tcPr>
            <w:tcW w:w="987"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57 (59.4)</w:t>
            </w:r>
          </w:p>
        </w:tc>
      </w:tr>
      <w:tr w:rsidR="00EC272E" w:rsidRPr="00EC272E" w:rsidTr="0098761B">
        <w:tc>
          <w:tcPr>
            <w:tcW w:w="1033"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Any SAE</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7 (4.3)</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7 (4.1)</w:t>
            </w:r>
          </w:p>
        </w:tc>
        <w:tc>
          <w:tcPr>
            <w:tcW w:w="988"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6 (6.0)</w:t>
            </w:r>
          </w:p>
        </w:tc>
        <w:tc>
          <w:tcPr>
            <w:tcW w:w="987"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6 (6.3)</w:t>
            </w:r>
          </w:p>
        </w:tc>
      </w:tr>
      <w:tr w:rsidR="00EC272E" w:rsidRPr="00EC272E" w:rsidTr="0098761B">
        <w:tc>
          <w:tcPr>
            <w:tcW w:w="1033" w:type="pct"/>
          </w:tcPr>
          <w:p w:rsidR="00EC272E" w:rsidRDefault="00EC272E" w:rsidP="00EC272E">
            <w:pPr>
              <w:pStyle w:val="ListParagraph"/>
              <w:widowControl/>
              <w:spacing w:after="120"/>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Any treatment-related TEAE</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34 (20.7)</w:t>
            </w:r>
          </w:p>
        </w:tc>
        <w:tc>
          <w:tcPr>
            <w:tcW w:w="996"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33 (19.3)</w:t>
            </w:r>
          </w:p>
        </w:tc>
        <w:tc>
          <w:tcPr>
            <w:tcW w:w="988"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22 (22.0)</w:t>
            </w:r>
          </w:p>
        </w:tc>
        <w:tc>
          <w:tcPr>
            <w:tcW w:w="987" w:type="pct"/>
          </w:tcPr>
          <w:p w:rsidR="00EC272E" w:rsidRPr="00EC272E" w:rsidRDefault="00EC272E"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20 (20.8)</w:t>
            </w:r>
          </w:p>
        </w:tc>
      </w:tr>
      <w:tr w:rsidR="00EC272E" w:rsidRPr="00EC272E" w:rsidTr="0098761B">
        <w:tc>
          <w:tcPr>
            <w:tcW w:w="1033" w:type="pct"/>
          </w:tcPr>
          <w:p w:rsidR="00EC272E" w:rsidRDefault="00EC272E" w:rsidP="00EC272E">
            <w:pPr>
              <w:pStyle w:val="ListParagraph"/>
              <w:widowControl/>
              <w:spacing w:after="120"/>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Discontinuation due to TEAE</w:t>
            </w:r>
          </w:p>
        </w:tc>
        <w:tc>
          <w:tcPr>
            <w:tcW w:w="996" w:type="pct"/>
          </w:tcPr>
          <w:p w:rsidR="00EC272E" w:rsidRPr="00EC272E" w:rsidRDefault="008824A9"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11 (6.7)</w:t>
            </w:r>
          </w:p>
        </w:tc>
        <w:tc>
          <w:tcPr>
            <w:tcW w:w="996" w:type="pct"/>
          </w:tcPr>
          <w:p w:rsidR="00EC272E" w:rsidRPr="00EC272E" w:rsidRDefault="008824A9"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8 (4.7)</w:t>
            </w:r>
          </w:p>
        </w:tc>
        <w:tc>
          <w:tcPr>
            <w:tcW w:w="988" w:type="pct"/>
          </w:tcPr>
          <w:p w:rsidR="00EC272E" w:rsidRPr="00EC272E" w:rsidRDefault="008824A9"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2 (2.0)</w:t>
            </w:r>
          </w:p>
        </w:tc>
        <w:tc>
          <w:tcPr>
            <w:tcW w:w="987" w:type="pct"/>
          </w:tcPr>
          <w:p w:rsidR="00EC272E" w:rsidRPr="00EC272E" w:rsidRDefault="008824A9" w:rsidP="000C3F0D">
            <w:pPr>
              <w:pStyle w:val="ListParagraph"/>
              <w:widowControl/>
              <w:spacing w:after="120"/>
              <w:ind w:left="0"/>
              <w:contextualSpacing w:val="0"/>
              <w:rPr>
                <w:rFonts w:ascii="Arial Narrow" w:eastAsiaTheme="minorHAnsi" w:hAnsi="Arial Narrow" w:cstheme="minorBidi"/>
                <w:snapToGrid/>
                <w:sz w:val="20"/>
              </w:rPr>
            </w:pPr>
            <w:r>
              <w:rPr>
                <w:rFonts w:ascii="Arial Narrow" w:eastAsiaTheme="minorHAnsi" w:hAnsi="Arial Narrow" w:cstheme="minorBidi"/>
                <w:snapToGrid/>
                <w:sz w:val="20"/>
              </w:rPr>
              <w:t>5 (5.2)</w:t>
            </w:r>
          </w:p>
        </w:tc>
      </w:tr>
    </w:tbl>
    <w:p w:rsidR="0098761B" w:rsidRPr="00961D6D" w:rsidRDefault="000E62E7" w:rsidP="0098761B">
      <w:pPr>
        <w:rPr>
          <w:rFonts w:ascii="Arial Narrow" w:hAnsi="Arial Narrow"/>
          <w:snapToGrid w:val="0"/>
          <w:sz w:val="18"/>
          <w:szCs w:val="18"/>
          <w:lang w:eastAsia="en-US"/>
        </w:rPr>
      </w:pPr>
      <w:r w:rsidRPr="005C3E2F">
        <w:rPr>
          <w:rFonts w:ascii="Arial Narrow" w:hAnsi="Arial Narrow"/>
          <w:snapToGrid w:val="0"/>
          <w:sz w:val="18"/>
          <w:szCs w:val="18"/>
          <w:lang w:eastAsia="en-US"/>
        </w:rPr>
        <w:t xml:space="preserve">Source: CEM Griffiths, et al. The EGALITY study: a confirmatory, randomized, double-blind study comparing the efficacy, safety and immunogenicity of GP2015, a proposed </w:t>
      </w:r>
      <w:proofErr w:type="spellStart"/>
      <w:r w:rsidRPr="005C3E2F">
        <w:rPr>
          <w:rFonts w:ascii="Arial Narrow" w:hAnsi="Arial Narrow"/>
          <w:snapToGrid w:val="0"/>
          <w:sz w:val="18"/>
          <w:szCs w:val="18"/>
          <w:lang w:eastAsia="en-US"/>
        </w:rPr>
        <w:t>etanercept</w:t>
      </w:r>
      <w:proofErr w:type="spellEnd"/>
      <w:r w:rsidRPr="005C3E2F">
        <w:rPr>
          <w:rFonts w:ascii="Arial Narrow" w:hAnsi="Arial Narrow"/>
          <w:snapToGrid w:val="0"/>
          <w:sz w:val="18"/>
          <w:szCs w:val="18"/>
          <w:lang w:eastAsia="en-US"/>
        </w:rPr>
        <w:t xml:space="preserve"> biosimilar, vs. the originator product in patients with moderate-to-severe chronic plaque-type psoriasis. </w:t>
      </w:r>
      <w:proofErr w:type="gramStart"/>
      <w:r w:rsidRPr="005C3E2F">
        <w:rPr>
          <w:rFonts w:ascii="Arial Narrow" w:hAnsi="Arial Narrow"/>
          <w:snapToGrid w:val="0"/>
          <w:sz w:val="18"/>
          <w:szCs w:val="18"/>
          <w:lang w:eastAsia="en-US"/>
        </w:rPr>
        <w:t xml:space="preserve">British Journal of </w:t>
      </w:r>
      <w:r w:rsidR="007F06F8" w:rsidRPr="005C3E2F">
        <w:rPr>
          <w:rFonts w:ascii="Arial Narrow" w:hAnsi="Arial Narrow"/>
          <w:snapToGrid w:val="0"/>
          <w:sz w:val="18"/>
          <w:szCs w:val="18"/>
          <w:lang w:eastAsia="en-US"/>
        </w:rPr>
        <w:t>Dermatology.</w:t>
      </w:r>
      <w:proofErr w:type="gramEnd"/>
      <w:r w:rsidR="007F06F8" w:rsidRPr="005C3E2F">
        <w:rPr>
          <w:rFonts w:ascii="Arial Narrow" w:hAnsi="Arial Narrow"/>
          <w:snapToGrid w:val="0"/>
          <w:sz w:val="18"/>
          <w:szCs w:val="18"/>
          <w:lang w:eastAsia="en-US"/>
        </w:rPr>
        <w:t xml:space="preserve"> </w:t>
      </w:r>
      <w:proofErr w:type="gramStart"/>
      <w:r w:rsidR="007F06F8" w:rsidRPr="005C3E2F">
        <w:rPr>
          <w:rFonts w:ascii="Arial Narrow" w:hAnsi="Arial Narrow"/>
          <w:snapToGrid w:val="0"/>
          <w:sz w:val="18"/>
          <w:szCs w:val="18"/>
          <w:lang w:eastAsia="en-US"/>
        </w:rPr>
        <w:t>1 March 2017, p 935</w:t>
      </w:r>
      <w:r w:rsidRPr="005C3E2F">
        <w:rPr>
          <w:rFonts w:ascii="Arial Narrow" w:hAnsi="Arial Narrow"/>
          <w:snapToGrid w:val="0"/>
          <w:sz w:val="18"/>
          <w:szCs w:val="18"/>
          <w:lang w:eastAsia="en-US"/>
        </w:rPr>
        <w:t>.</w:t>
      </w:r>
      <w:proofErr w:type="gramEnd"/>
    </w:p>
    <w:p w:rsidR="008824A9" w:rsidRDefault="008824A9" w:rsidP="00961D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study found five patients (1.9) in the Enbrel group had confirmed non-neutralising anti-drug antibodies (ADAs) during the early weeks of the trial, and one patient in the subsequent switched Enbrel group showed confirmed non-neutralising anti-drug antibodies at week 36. No ADAs were found in the </w:t>
      </w:r>
      <w:proofErr w:type="spellStart"/>
      <w:r>
        <w:rPr>
          <w:rFonts w:asciiTheme="minorHAnsi" w:eastAsiaTheme="minorHAnsi" w:hAnsiTheme="minorHAnsi" w:cstheme="minorBidi"/>
          <w:snapToGrid/>
          <w:sz w:val="24"/>
          <w:szCs w:val="22"/>
        </w:rPr>
        <w:t>Erelzi</w:t>
      </w:r>
      <w:proofErr w:type="spellEnd"/>
      <w:r>
        <w:rPr>
          <w:rFonts w:asciiTheme="minorHAnsi" w:eastAsiaTheme="minorHAnsi" w:hAnsiTheme="minorHAnsi" w:cstheme="minorBidi"/>
          <w:snapToGrid/>
          <w:sz w:val="24"/>
          <w:szCs w:val="22"/>
        </w:rPr>
        <w:t xml:space="preserve"> group.</w:t>
      </w:r>
    </w:p>
    <w:p w:rsidR="003C2FB5"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rsidR="009B0F67" w:rsidRPr="00A00752" w:rsidRDefault="00046BB3" w:rsidP="00961D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00752">
        <w:rPr>
          <w:rFonts w:asciiTheme="minorHAnsi" w:eastAsiaTheme="minorHAnsi" w:hAnsiTheme="minorHAnsi" w:cstheme="minorBidi"/>
          <w:snapToGrid/>
          <w:sz w:val="24"/>
          <w:szCs w:val="22"/>
        </w:rPr>
        <w:t xml:space="preserve">The submission described </w:t>
      </w:r>
      <w:proofErr w:type="spellStart"/>
      <w:r w:rsidRPr="00A00752">
        <w:rPr>
          <w:rFonts w:asciiTheme="minorHAnsi" w:eastAsiaTheme="minorHAnsi" w:hAnsiTheme="minorHAnsi" w:cstheme="minorBidi"/>
          <w:snapToGrid/>
          <w:sz w:val="24"/>
          <w:szCs w:val="22"/>
        </w:rPr>
        <w:t>Erelzi</w:t>
      </w:r>
      <w:proofErr w:type="spellEnd"/>
      <w:r w:rsidRPr="00A00752">
        <w:rPr>
          <w:rFonts w:asciiTheme="minorHAnsi" w:eastAsiaTheme="minorHAnsi" w:hAnsiTheme="minorHAnsi" w:cstheme="minorBidi"/>
          <w:snapToGrid/>
          <w:sz w:val="24"/>
          <w:szCs w:val="22"/>
        </w:rPr>
        <w:t xml:space="preserve"> as</w:t>
      </w:r>
      <w:r w:rsidR="00AD4854">
        <w:rPr>
          <w:rFonts w:asciiTheme="minorHAnsi" w:eastAsiaTheme="minorHAnsi" w:hAnsiTheme="minorHAnsi" w:cstheme="minorBidi"/>
          <w:snapToGrid/>
          <w:sz w:val="24"/>
          <w:szCs w:val="22"/>
        </w:rPr>
        <w:t xml:space="preserve"> a biosimilar </w:t>
      </w:r>
      <w:proofErr w:type="spellStart"/>
      <w:r w:rsidR="00AD4854">
        <w:rPr>
          <w:rFonts w:asciiTheme="minorHAnsi" w:eastAsiaTheme="minorHAnsi" w:hAnsiTheme="minorHAnsi" w:cstheme="minorBidi"/>
          <w:snapToGrid/>
          <w:sz w:val="24"/>
          <w:szCs w:val="22"/>
        </w:rPr>
        <w:t>etanercept</w:t>
      </w:r>
      <w:proofErr w:type="spellEnd"/>
      <w:r w:rsidR="00A00752">
        <w:rPr>
          <w:rFonts w:asciiTheme="minorHAnsi" w:eastAsiaTheme="minorHAnsi" w:hAnsiTheme="minorHAnsi" w:cstheme="minorBidi"/>
          <w:snapToGrid/>
          <w:sz w:val="24"/>
          <w:szCs w:val="22"/>
        </w:rPr>
        <w:t>, and</w:t>
      </w:r>
      <w:r w:rsidRPr="00A00752">
        <w:rPr>
          <w:rFonts w:asciiTheme="minorHAnsi" w:eastAsiaTheme="minorHAnsi" w:hAnsiTheme="minorHAnsi" w:cstheme="minorBidi"/>
          <w:snapToGrid/>
          <w:sz w:val="24"/>
          <w:szCs w:val="22"/>
        </w:rPr>
        <w:t xml:space="preserve"> equivalent in terms of comparative effectiveness and equivalent in terms of comparative safety to Enbrel.</w:t>
      </w:r>
    </w:p>
    <w:p w:rsidR="00114FE6" w:rsidRPr="00A00752" w:rsidRDefault="00114FE6" w:rsidP="00961D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00752">
        <w:rPr>
          <w:rFonts w:asciiTheme="minorHAnsi" w:eastAsiaTheme="minorHAnsi" w:hAnsiTheme="minorHAnsi" w:cstheme="minorBidi"/>
          <w:snapToGrid/>
          <w:sz w:val="24"/>
          <w:szCs w:val="22"/>
        </w:rPr>
        <w:lastRenderedPageBreak/>
        <w:t xml:space="preserve">The ACM considered the principle of extrapolation has been established for other </w:t>
      </w:r>
      <w:proofErr w:type="spellStart"/>
      <w:r w:rsidRPr="00A00752">
        <w:rPr>
          <w:rFonts w:asciiTheme="minorHAnsi" w:eastAsiaTheme="minorHAnsi" w:hAnsiTheme="minorHAnsi" w:cstheme="minorBidi"/>
          <w:snapToGrid/>
          <w:sz w:val="24"/>
          <w:szCs w:val="22"/>
        </w:rPr>
        <w:t>biosimilars</w:t>
      </w:r>
      <w:proofErr w:type="spellEnd"/>
      <w:r w:rsidRPr="00A00752">
        <w:rPr>
          <w:rFonts w:asciiTheme="minorHAnsi" w:eastAsiaTheme="minorHAnsi" w:hAnsiTheme="minorHAnsi" w:cstheme="minorBidi"/>
          <w:snapToGrid/>
          <w:sz w:val="24"/>
          <w:szCs w:val="22"/>
        </w:rPr>
        <w:t xml:space="preserve"> and that there was sufficient evidence to support extrapolation of the data in patients with plaque psoriasis to the other adult indications for which </w:t>
      </w:r>
      <w:proofErr w:type="spellStart"/>
      <w:r w:rsidRPr="00A00752">
        <w:rPr>
          <w:rFonts w:asciiTheme="minorHAnsi" w:eastAsiaTheme="minorHAnsi" w:hAnsiTheme="minorHAnsi" w:cstheme="minorBidi"/>
          <w:snapToGrid/>
          <w:sz w:val="24"/>
          <w:szCs w:val="22"/>
        </w:rPr>
        <w:t>Erelzi</w:t>
      </w:r>
      <w:proofErr w:type="spellEnd"/>
      <w:r w:rsidRPr="00A00752">
        <w:rPr>
          <w:rFonts w:asciiTheme="minorHAnsi" w:eastAsiaTheme="minorHAnsi" w:hAnsiTheme="minorHAnsi" w:cstheme="minorBidi"/>
          <w:snapToGrid/>
          <w:sz w:val="24"/>
          <w:szCs w:val="22"/>
        </w:rPr>
        <w:t xml:space="preserve"> was seeking TGA registration, including rheumatoid arthritis, psoriatic arthritis, plaque psoriasis, ankylosing spondylitis and non-radiographic axial </w:t>
      </w:r>
      <w:proofErr w:type="spellStart"/>
      <w:r w:rsidRPr="00A00752">
        <w:rPr>
          <w:rFonts w:asciiTheme="minorHAnsi" w:eastAsiaTheme="minorHAnsi" w:hAnsiTheme="minorHAnsi" w:cstheme="minorBidi"/>
          <w:snapToGrid/>
          <w:sz w:val="24"/>
          <w:szCs w:val="22"/>
        </w:rPr>
        <w:t>spondyloarthritis</w:t>
      </w:r>
      <w:proofErr w:type="spellEnd"/>
      <w:r w:rsidRPr="00A00752">
        <w:rPr>
          <w:rFonts w:asciiTheme="minorHAnsi" w:eastAsiaTheme="minorHAnsi" w:hAnsiTheme="minorHAnsi" w:cstheme="minorBidi"/>
          <w:snapToGrid/>
          <w:sz w:val="24"/>
          <w:szCs w:val="22"/>
        </w:rPr>
        <w:t>.</w:t>
      </w:r>
    </w:p>
    <w:p w:rsidR="00114FE6" w:rsidRDefault="00114FE6" w:rsidP="00961D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00752">
        <w:rPr>
          <w:rFonts w:asciiTheme="minorHAnsi" w:eastAsiaTheme="minorHAnsi" w:hAnsiTheme="minorHAnsi" w:cstheme="minorBidi"/>
          <w:snapToGrid/>
          <w:sz w:val="24"/>
          <w:szCs w:val="22"/>
        </w:rPr>
        <w:t xml:space="preserve">The ACM noted the lack of clinical data from paediatric populations and recommended that </w:t>
      </w:r>
      <w:proofErr w:type="spellStart"/>
      <w:r w:rsidRPr="00A00752">
        <w:rPr>
          <w:rFonts w:asciiTheme="minorHAnsi" w:eastAsiaTheme="minorHAnsi" w:hAnsiTheme="minorHAnsi" w:cstheme="minorBidi"/>
          <w:snapToGrid/>
          <w:sz w:val="24"/>
          <w:szCs w:val="22"/>
        </w:rPr>
        <w:t>Erelzi</w:t>
      </w:r>
      <w:proofErr w:type="spellEnd"/>
      <w:r w:rsidRPr="00A00752">
        <w:rPr>
          <w:rFonts w:asciiTheme="minorHAnsi" w:eastAsiaTheme="minorHAnsi" w:hAnsiTheme="minorHAnsi" w:cstheme="minorBidi"/>
          <w:snapToGrid/>
          <w:sz w:val="24"/>
          <w:szCs w:val="22"/>
        </w:rPr>
        <w:t xml:space="preserve"> not be registered for juvenile idiopathic arthritis or paediatric plaque psoriasis. The Delegate, however, decided to grant registration to </w:t>
      </w:r>
      <w:proofErr w:type="spellStart"/>
      <w:r w:rsidRPr="00A00752">
        <w:rPr>
          <w:rFonts w:asciiTheme="minorHAnsi" w:eastAsiaTheme="minorHAnsi" w:hAnsiTheme="minorHAnsi" w:cstheme="minorBidi"/>
          <w:snapToGrid/>
          <w:sz w:val="24"/>
          <w:szCs w:val="22"/>
        </w:rPr>
        <w:t>Erelzi</w:t>
      </w:r>
      <w:proofErr w:type="spellEnd"/>
      <w:r w:rsidRPr="00A00752">
        <w:rPr>
          <w:rFonts w:asciiTheme="minorHAnsi" w:eastAsiaTheme="minorHAnsi" w:hAnsiTheme="minorHAnsi" w:cstheme="minorBidi"/>
          <w:snapToGrid/>
          <w:sz w:val="24"/>
          <w:szCs w:val="22"/>
        </w:rPr>
        <w:t xml:space="preserve"> for the paediatric indications, with restrictions in the</w:t>
      </w:r>
      <w:r w:rsidR="00A00752">
        <w:rPr>
          <w:rFonts w:asciiTheme="minorHAnsi" w:eastAsiaTheme="minorHAnsi" w:hAnsiTheme="minorHAnsi" w:cstheme="minorBidi"/>
          <w:snapToGrid/>
          <w:sz w:val="24"/>
          <w:szCs w:val="22"/>
        </w:rPr>
        <w:t xml:space="preserve"> approved</w:t>
      </w:r>
      <w:r w:rsidRPr="00A00752">
        <w:rPr>
          <w:rFonts w:asciiTheme="minorHAnsi" w:eastAsiaTheme="minorHAnsi" w:hAnsiTheme="minorHAnsi" w:cstheme="minorBidi"/>
          <w:snapToGrid/>
          <w:sz w:val="24"/>
          <w:szCs w:val="22"/>
        </w:rPr>
        <w:t xml:space="preserve"> PI noting that patients weighing less than 62.5kg should be accurately dosed on </w:t>
      </w:r>
      <w:proofErr w:type="gramStart"/>
      <w:r w:rsidRPr="00A00752">
        <w:rPr>
          <w:rFonts w:asciiTheme="minorHAnsi" w:eastAsiaTheme="minorHAnsi" w:hAnsiTheme="minorHAnsi" w:cstheme="minorBidi"/>
          <w:snapToGrid/>
          <w:sz w:val="24"/>
          <w:szCs w:val="22"/>
        </w:rPr>
        <w:t>a</w:t>
      </w:r>
      <w:proofErr w:type="gramEnd"/>
      <w:r w:rsidRPr="00A00752">
        <w:rPr>
          <w:rFonts w:asciiTheme="minorHAnsi" w:eastAsiaTheme="minorHAnsi" w:hAnsiTheme="minorHAnsi" w:cstheme="minorBidi"/>
          <w:snapToGrid/>
          <w:sz w:val="24"/>
          <w:szCs w:val="22"/>
        </w:rPr>
        <w:t xml:space="preserve"> mg/kg basis with other </w:t>
      </w:r>
      <w:proofErr w:type="spellStart"/>
      <w:r w:rsidRPr="00A00752">
        <w:rPr>
          <w:rFonts w:asciiTheme="minorHAnsi" w:eastAsiaTheme="minorHAnsi" w:hAnsiTheme="minorHAnsi" w:cstheme="minorBidi"/>
          <w:snapToGrid/>
          <w:sz w:val="24"/>
          <w:szCs w:val="22"/>
        </w:rPr>
        <w:t>etanercept</w:t>
      </w:r>
      <w:proofErr w:type="spellEnd"/>
      <w:r w:rsidRPr="00A00752">
        <w:rPr>
          <w:rFonts w:asciiTheme="minorHAnsi" w:eastAsiaTheme="minorHAnsi" w:hAnsiTheme="minorHAnsi" w:cstheme="minorBidi"/>
          <w:snapToGrid/>
          <w:sz w:val="24"/>
          <w:szCs w:val="22"/>
        </w:rPr>
        <w:t xml:space="preserve"> products.</w:t>
      </w:r>
    </w:p>
    <w:p w:rsidR="000B59EE" w:rsidRDefault="00A65418" w:rsidP="00961D6D">
      <w:pPr>
        <w:pStyle w:val="ListParagraph"/>
        <w:widowControl/>
        <w:numPr>
          <w:ilvl w:val="1"/>
          <w:numId w:val="14"/>
        </w:numPr>
        <w:spacing w:before="120" w:after="160"/>
        <w:contextualSpacing w:val="0"/>
        <w:rPr>
          <w:rFonts w:asciiTheme="minorHAnsi" w:hAnsiTheme="minorHAnsi"/>
          <w:sz w:val="24"/>
          <w:szCs w:val="24"/>
        </w:rPr>
      </w:pPr>
      <w:r w:rsidRPr="00A40065">
        <w:rPr>
          <w:rFonts w:asciiTheme="minorHAnsi" w:hAnsiTheme="minorHAnsi"/>
          <w:sz w:val="24"/>
          <w:szCs w:val="24"/>
        </w:rPr>
        <w:t xml:space="preserve">The PBAC noted the ACM had declared the </w:t>
      </w:r>
      <w:proofErr w:type="spellStart"/>
      <w:r w:rsidRPr="00A40065">
        <w:rPr>
          <w:rFonts w:asciiTheme="minorHAnsi" w:hAnsiTheme="minorHAnsi"/>
          <w:sz w:val="24"/>
          <w:szCs w:val="24"/>
        </w:rPr>
        <w:t>Erelzi</w:t>
      </w:r>
      <w:proofErr w:type="spellEnd"/>
      <w:r w:rsidRPr="00A40065">
        <w:rPr>
          <w:rFonts w:asciiTheme="minorHAnsi" w:hAnsiTheme="minorHAnsi"/>
          <w:sz w:val="24"/>
          <w:szCs w:val="24"/>
        </w:rPr>
        <w:t xml:space="preserve"> brand of </w:t>
      </w:r>
      <w:proofErr w:type="spellStart"/>
      <w:r w:rsidRPr="00A40065">
        <w:rPr>
          <w:rFonts w:asciiTheme="minorHAnsi" w:hAnsiTheme="minorHAnsi"/>
          <w:sz w:val="24"/>
          <w:szCs w:val="24"/>
        </w:rPr>
        <w:t>etanercept</w:t>
      </w:r>
      <w:proofErr w:type="spellEnd"/>
      <w:r w:rsidRPr="00A40065">
        <w:rPr>
          <w:rFonts w:asciiTheme="minorHAnsi" w:hAnsiTheme="minorHAnsi"/>
          <w:sz w:val="24"/>
          <w:szCs w:val="24"/>
        </w:rPr>
        <w:t xml:space="preserve"> to be a </w:t>
      </w:r>
      <w:r w:rsidRPr="00961D6D">
        <w:rPr>
          <w:rFonts w:asciiTheme="minorHAnsi" w:eastAsiaTheme="minorHAnsi" w:hAnsiTheme="minorHAnsi" w:cstheme="minorBidi"/>
          <w:snapToGrid/>
          <w:sz w:val="24"/>
          <w:szCs w:val="22"/>
        </w:rPr>
        <w:t>biosimilar</w:t>
      </w:r>
      <w:r w:rsidRPr="00A40065">
        <w:rPr>
          <w:rFonts w:asciiTheme="minorHAnsi" w:hAnsiTheme="minorHAnsi"/>
          <w:sz w:val="24"/>
          <w:szCs w:val="24"/>
        </w:rPr>
        <w:t xml:space="preserve"> of the reference brand, Enbrel, and considered the claim of non-inferior comparative efficacy and safety was therefore adequately supported.</w:t>
      </w:r>
    </w:p>
    <w:p w:rsidR="005A3173" w:rsidRPr="003C3169" w:rsidRDefault="005A3173" w:rsidP="00961D6D">
      <w:pPr>
        <w:pStyle w:val="Heading2"/>
        <w:keepLines/>
        <w:spacing w:before="240"/>
        <w:rPr>
          <w:rFonts w:asciiTheme="minorHAnsi" w:eastAsiaTheme="majorEastAsia" w:hAnsiTheme="minorHAnsi" w:cstheme="majorBidi"/>
          <w:sz w:val="28"/>
          <w:szCs w:val="28"/>
          <w:lang w:eastAsia="en-US"/>
        </w:rPr>
      </w:pPr>
      <w:r w:rsidRPr="003C3169">
        <w:rPr>
          <w:rFonts w:asciiTheme="minorHAnsi" w:eastAsiaTheme="majorEastAsia" w:hAnsiTheme="minorHAnsi" w:cstheme="majorBidi"/>
          <w:sz w:val="28"/>
          <w:szCs w:val="28"/>
          <w:lang w:eastAsia="en-US"/>
        </w:rPr>
        <w:t>Estimated PBS usage &amp; financial implications</w:t>
      </w:r>
    </w:p>
    <w:p w:rsidR="007F4337" w:rsidRDefault="007F4337" w:rsidP="00961D6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61D6D">
        <w:rPr>
          <w:rFonts w:asciiTheme="minorHAnsi" w:hAnsiTheme="minorHAnsi"/>
          <w:sz w:val="24"/>
          <w:szCs w:val="24"/>
        </w:rPr>
        <w:t>As</w:t>
      </w:r>
      <w:r w:rsidRPr="003C3169">
        <w:rPr>
          <w:rFonts w:asciiTheme="minorHAnsi" w:eastAsiaTheme="minorHAnsi" w:hAnsiTheme="minorHAnsi" w:cstheme="minorBidi"/>
          <w:snapToGrid/>
          <w:sz w:val="24"/>
          <w:szCs w:val="22"/>
        </w:rPr>
        <w:t xml:space="preserve"> an additional brand of </w:t>
      </w:r>
      <w:proofErr w:type="spellStart"/>
      <w:r w:rsidRPr="003C3169">
        <w:rPr>
          <w:rFonts w:asciiTheme="minorHAnsi" w:eastAsiaTheme="minorHAnsi" w:hAnsiTheme="minorHAnsi" w:cstheme="minorBidi"/>
          <w:snapToGrid/>
          <w:sz w:val="24"/>
          <w:szCs w:val="22"/>
        </w:rPr>
        <w:t>etanercept</w:t>
      </w:r>
      <w:proofErr w:type="spellEnd"/>
      <w:r w:rsidRPr="003C3169">
        <w:rPr>
          <w:rFonts w:asciiTheme="minorHAnsi" w:eastAsiaTheme="minorHAnsi" w:hAnsiTheme="minorHAnsi" w:cstheme="minorBidi"/>
          <w:snapToGrid/>
          <w:sz w:val="24"/>
          <w:szCs w:val="22"/>
        </w:rPr>
        <w:t xml:space="preserve">, the submission requested </w:t>
      </w:r>
      <w:proofErr w:type="spellStart"/>
      <w:r w:rsidRPr="003C3169">
        <w:rPr>
          <w:rFonts w:asciiTheme="minorHAnsi" w:eastAsiaTheme="minorHAnsi" w:hAnsiTheme="minorHAnsi" w:cstheme="minorBidi"/>
          <w:snapToGrid/>
          <w:sz w:val="24"/>
          <w:szCs w:val="22"/>
        </w:rPr>
        <w:t>Erelzi</w:t>
      </w:r>
      <w:proofErr w:type="spellEnd"/>
      <w:r w:rsidRPr="003C3169">
        <w:rPr>
          <w:rFonts w:asciiTheme="minorHAnsi" w:eastAsiaTheme="minorHAnsi" w:hAnsiTheme="minorHAnsi" w:cstheme="minorBidi"/>
          <w:snapToGrid/>
          <w:sz w:val="24"/>
          <w:szCs w:val="22"/>
        </w:rPr>
        <w:t xml:space="preserve"> be priced at the same amount as existing listings for other brands of </w:t>
      </w:r>
      <w:proofErr w:type="spellStart"/>
      <w:r w:rsidRPr="003C3169">
        <w:rPr>
          <w:rFonts w:asciiTheme="minorHAnsi" w:eastAsiaTheme="minorHAnsi" w:hAnsiTheme="minorHAnsi" w:cstheme="minorBidi"/>
          <w:snapToGrid/>
          <w:sz w:val="24"/>
          <w:szCs w:val="22"/>
        </w:rPr>
        <w:t>etanercept</w:t>
      </w:r>
      <w:proofErr w:type="spellEnd"/>
      <w:r w:rsidRPr="003C3169">
        <w:rPr>
          <w:rFonts w:asciiTheme="minorHAnsi" w:eastAsiaTheme="minorHAnsi" w:hAnsiTheme="minorHAnsi" w:cstheme="minorBidi"/>
          <w:snapToGrid/>
          <w:sz w:val="24"/>
          <w:szCs w:val="22"/>
        </w:rPr>
        <w:t>.</w:t>
      </w:r>
    </w:p>
    <w:p w:rsidR="003C3169" w:rsidRPr="00A40065" w:rsidRDefault="00FF2801" w:rsidP="00961D6D">
      <w:pPr>
        <w:pStyle w:val="ListParagraph"/>
        <w:widowControl/>
        <w:numPr>
          <w:ilvl w:val="1"/>
          <w:numId w:val="14"/>
        </w:numPr>
        <w:spacing w:before="120" w:after="160"/>
        <w:contextualSpacing w:val="0"/>
        <w:rPr>
          <w:rFonts w:asciiTheme="minorHAnsi" w:hAnsiTheme="minorHAnsi"/>
          <w:b/>
          <w:sz w:val="24"/>
          <w:szCs w:val="24"/>
        </w:rPr>
      </w:pPr>
      <w:r w:rsidRPr="003C3169">
        <w:rPr>
          <w:rFonts w:asciiTheme="minorHAnsi" w:hAnsiTheme="minorHAnsi"/>
          <w:sz w:val="24"/>
          <w:szCs w:val="24"/>
        </w:rPr>
        <w:t>The minor submission estimated</w:t>
      </w:r>
      <w:r w:rsidR="00C00DA7" w:rsidRPr="003C3169">
        <w:rPr>
          <w:rFonts w:asciiTheme="minorHAnsi" w:hAnsiTheme="minorHAnsi"/>
          <w:sz w:val="24"/>
          <w:szCs w:val="24"/>
        </w:rPr>
        <w:t xml:space="preserve"> there to be no financial implications to the PBS/changes in PBS usage as the submission expects </w:t>
      </w:r>
      <w:proofErr w:type="spellStart"/>
      <w:r w:rsidR="00401548" w:rsidRPr="003C3169">
        <w:rPr>
          <w:rFonts w:asciiTheme="minorHAnsi" w:hAnsiTheme="minorHAnsi"/>
          <w:sz w:val="24"/>
          <w:szCs w:val="24"/>
        </w:rPr>
        <w:t>Erelzi</w:t>
      </w:r>
      <w:proofErr w:type="spellEnd"/>
      <w:r w:rsidR="00C00DA7" w:rsidRPr="003C3169">
        <w:rPr>
          <w:rFonts w:asciiTheme="minorHAnsi" w:hAnsiTheme="minorHAnsi"/>
          <w:sz w:val="24"/>
          <w:szCs w:val="24"/>
        </w:rPr>
        <w:t xml:space="preserve"> to only substitute for </w:t>
      </w:r>
      <w:r w:rsidR="00401548" w:rsidRPr="003C3169">
        <w:rPr>
          <w:rFonts w:asciiTheme="minorHAnsi" w:hAnsiTheme="minorHAnsi"/>
          <w:sz w:val="24"/>
          <w:szCs w:val="24"/>
        </w:rPr>
        <w:t xml:space="preserve">other brands of </w:t>
      </w:r>
      <w:proofErr w:type="spellStart"/>
      <w:r w:rsidR="00401548" w:rsidRPr="003C3169">
        <w:rPr>
          <w:rFonts w:asciiTheme="minorHAnsi" w:hAnsiTheme="minorHAnsi"/>
          <w:sz w:val="24"/>
          <w:szCs w:val="24"/>
        </w:rPr>
        <w:t>etanercept</w:t>
      </w:r>
      <w:proofErr w:type="spellEnd"/>
      <w:r w:rsidR="00401548" w:rsidRPr="003C3169">
        <w:rPr>
          <w:rFonts w:asciiTheme="minorHAnsi" w:hAnsiTheme="minorHAnsi"/>
          <w:sz w:val="24"/>
          <w:szCs w:val="24"/>
        </w:rPr>
        <w:t>.</w:t>
      </w:r>
      <w:r w:rsidR="00C714FC">
        <w:rPr>
          <w:rFonts w:asciiTheme="minorHAnsi" w:hAnsiTheme="minorHAnsi"/>
          <w:sz w:val="24"/>
          <w:szCs w:val="24"/>
        </w:rPr>
        <w:t xml:space="preserve"> As such, a full breakdown of expected utilisation and financial implications was not included as part of the submission and has not been presented.</w:t>
      </w:r>
      <w:r w:rsidR="00401548" w:rsidRPr="003C3169">
        <w:rPr>
          <w:rFonts w:asciiTheme="minorHAnsi" w:hAnsiTheme="minorHAnsi"/>
          <w:sz w:val="24"/>
          <w:szCs w:val="24"/>
        </w:rPr>
        <w:t xml:space="preserve"> </w:t>
      </w:r>
    </w:p>
    <w:p w:rsidR="00D169EE" w:rsidRPr="00961D6D" w:rsidRDefault="00D169EE" w:rsidP="00961D6D">
      <w:pPr>
        <w:rPr>
          <w:rFonts w:asciiTheme="minorHAnsi" w:hAnsiTheme="minorHAnsi"/>
          <w:i/>
        </w:rPr>
      </w:pPr>
      <w:r w:rsidRPr="00961D6D">
        <w:rPr>
          <w:rFonts w:asciiTheme="minorHAnsi" w:hAnsiTheme="minorHAnsi"/>
          <w:i/>
        </w:rPr>
        <w:t>For more detail on PBAC’s view, see section 7 PBAC outcome.</w:t>
      </w:r>
    </w:p>
    <w:p w:rsidR="000B59EE" w:rsidRPr="009E2C7E" w:rsidRDefault="000B59EE" w:rsidP="00DC2EFA">
      <w:pPr>
        <w:widowControl w:val="0"/>
        <w:numPr>
          <w:ilvl w:val="0"/>
          <w:numId w:val="5"/>
        </w:numPr>
        <w:spacing w:before="240" w:after="120"/>
        <w:jc w:val="both"/>
        <w:outlineLvl w:val="0"/>
        <w:rPr>
          <w:rFonts w:asciiTheme="minorHAnsi" w:hAnsiTheme="minorHAnsi" w:cs="Arial"/>
          <w:b/>
          <w:bCs/>
          <w:snapToGrid w:val="0"/>
          <w:sz w:val="32"/>
        </w:rPr>
      </w:pPr>
      <w:r w:rsidRPr="009E2C7E">
        <w:rPr>
          <w:rFonts w:asciiTheme="minorHAnsi" w:hAnsiTheme="minorHAnsi" w:cs="Arial"/>
          <w:b/>
          <w:bCs/>
          <w:snapToGrid w:val="0"/>
          <w:sz w:val="32"/>
        </w:rPr>
        <w:t>PBAC Outcome</w:t>
      </w:r>
    </w:p>
    <w:p w:rsidR="000B59EE" w:rsidRDefault="00A65418" w:rsidP="00961D6D">
      <w:pPr>
        <w:widowControl w:val="0"/>
        <w:numPr>
          <w:ilvl w:val="1"/>
          <w:numId w:val="5"/>
        </w:numPr>
        <w:spacing w:before="120" w:after="160"/>
        <w:jc w:val="both"/>
        <w:rPr>
          <w:rFonts w:asciiTheme="minorHAnsi" w:hAnsiTheme="minorHAnsi" w:cs="Arial"/>
          <w:bCs/>
          <w:snapToGrid w:val="0"/>
          <w:lang w:val="en-GB"/>
        </w:rPr>
      </w:pPr>
      <w:r w:rsidRPr="009E2C7E">
        <w:rPr>
          <w:rFonts w:asciiTheme="minorHAnsi" w:hAnsiTheme="minorHAnsi" w:cs="Arial"/>
          <w:bCs/>
          <w:snapToGrid w:val="0"/>
          <w:lang w:val="en-GB"/>
        </w:rPr>
        <w:t xml:space="preserve">The PBAC recommended the </w:t>
      </w:r>
      <w:r w:rsidR="009132AB">
        <w:rPr>
          <w:rFonts w:asciiTheme="minorHAnsi" w:hAnsiTheme="minorHAnsi" w:cs="Arial"/>
          <w:bCs/>
          <w:snapToGrid w:val="0"/>
          <w:lang w:val="en-GB"/>
        </w:rPr>
        <w:t xml:space="preserve">listing of the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brand of </w:t>
      </w:r>
      <w:proofErr w:type="spellStart"/>
      <w:r w:rsidRPr="009E2C7E">
        <w:rPr>
          <w:rFonts w:asciiTheme="minorHAnsi" w:hAnsiTheme="minorHAnsi" w:cs="Arial"/>
          <w:bCs/>
          <w:snapToGrid w:val="0"/>
          <w:lang w:val="en-GB"/>
        </w:rPr>
        <w:t>etanercept</w:t>
      </w:r>
      <w:proofErr w:type="spellEnd"/>
      <w:r w:rsidRPr="009E2C7E">
        <w:rPr>
          <w:rFonts w:asciiTheme="minorHAnsi" w:hAnsiTheme="minorHAnsi" w:cs="Arial"/>
          <w:bCs/>
          <w:snapToGrid w:val="0"/>
          <w:lang w:val="en-GB"/>
        </w:rPr>
        <w:t xml:space="preserve"> </w:t>
      </w:r>
      <w:r w:rsidR="009132AB">
        <w:rPr>
          <w:rFonts w:asciiTheme="minorHAnsi" w:hAnsiTheme="minorHAnsi" w:cs="Arial"/>
          <w:bCs/>
          <w:snapToGrid w:val="0"/>
          <w:lang w:val="en-GB"/>
        </w:rPr>
        <w:t xml:space="preserve">for the same indications as the reference brand </w:t>
      </w:r>
      <w:r w:rsidR="009132AB" w:rsidRPr="009E2C7E">
        <w:rPr>
          <w:rFonts w:asciiTheme="minorHAnsi" w:hAnsiTheme="minorHAnsi" w:cs="Arial"/>
          <w:bCs/>
          <w:snapToGrid w:val="0"/>
          <w:lang w:val="en-GB"/>
        </w:rPr>
        <w:t>Enbrel</w:t>
      </w:r>
      <w:r w:rsidR="002E003F" w:rsidRPr="009E2C7E">
        <w:rPr>
          <w:rFonts w:asciiTheme="minorHAnsi" w:hAnsiTheme="minorHAnsi" w:cs="Arial"/>
          <w:bCs/>
          <w:snapToGrid w:val="0"/>
          <w:lang w:val="en-GB"/>
        </w:rPr>
        <w:t>, including juvenile idiopathic arthritis (JIA) and juvenile plaque psoriasis (JPP)</w:t>
      </w:r>
      <w:r w:rsidRPr="009E2C7E">
        <w:rPr>
          <w:rFonts w:asciiTheme="minorHAnsi" w:hAnsiTheme="minorHAnsi" w:cs="Arial"/>
          <w:bCs/>
          <w:snapToGrid w:val="0"/>
          <w:lang w:val="en-GB"/>
        </w:rPr>
        <w:t xml:space="preserve">. In making this recommendation, the PBAC noted the TGA Advisory Committee for Medicines (ACM) has declared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to be a biosimilar of the reference brand, Enbrel.</w:t>
      </w:r>
    </w:p>
    <w:p w:rsidR="001F087B" w:rsidRPr="001F087B" w:rsidRDefault="001F087B" w:rsidP="00961D6D">
      <w:pPr>
        <w:widowControl w:val="0"/>
        <w:numPr>
          <w:ilvl w:val="1"/>
          <w:numId w:val="5"/>
        </w:numPr>
        <w:spacing w:before="120" w:after="160"/>
        <w:jc w:val="both"/>
        <w:rPr>
          <w:rFonts w:asciiTheme="minorHAnsi" w:hAnsiTheme="minorHAnsi" w:cs="Arial"/>
          <w:bCs/>
          <w:snapToGrid w:val="0"/>
          <w:lang w:val="en-GB"/>
        </w:rPr>
      </w:pPr>
      <w:r w:rsidRPr="001F087B">
        <w:rPr>
          <w:rFonts w:asciiTheme="minorHAnsi" w:hAnsiTheme="minorHAnsi" w:cs="Arial"/>
          <w:bCs/>
          <w:snapToGrid w:val="0"/>
          <w:lang w:val="en-GB"/>
        </w:rPr>
        <w:t>The PBAC</w:t>
      </w:r>
      <w:r w:rsidR="003B54D3">
        <w:rPr>
          <w:rFonts w:asciiTheme="minorHAnsi" w:hAnsiTheme="minorHAnsi" w:cs="Arial"/>
          <w:bCs/>
          <w:snapToGrid w:val="0"/>
          <w:lang w:val="en-GB"/>
        </w:rPr>
        <w:t xml:space="preserve"> advised the </w:t>
      </w:r>
      <w:r w:rsidR="009132AB">
        <w:rPr>
          <w:rFonts w:asciiTheme="minorHAnsi" w:hAnsiTheme="minorHAnsi" w:cs="Arial"/>
          <w:bCs/>
          <w:snapToGrid w:val="0"/>
          <w:lang w:val="en-GB"/>
        </w:rPr>
        <w:t xml:space="preserve">Minister </w:t>
      </w:r>
      <w:r w:rsidR="009132AB" w:rsidRPr="001F087B">
        <w:rPr>
          <w:rFonts w:asciiTheme="minorHAnsi" w:hAnsiTheme="minorHAnsi" w:cs="Arial"/>
          <w:bCs/>
          <w:snapToGrid w:val="0"/>
          <w:lang w:val="en-GB"/>
        </w:rPr>
        <w:t>that</w:t>
      </w:r>
      <w:r w:rsidRPr="001F087B">
        <w:rPr>
          <w:rFonts w:asciiTheme="minorHAnsi" w:hAnsiTheme="minorHAnsi" w:cs="Arial"/>
          <w:bCs/>
          <w:snapToGrid w:val="0"/>
          <w:lang w:val="en-GB"/>
        </w:rPr>
        <w:t xml:space="preserve">, under Section 101(4AACD) of the National Health Act, 1953 the </w:t>
      </w:r>
      <w:proofErr w:type="spellStart"/>
      <w:r w:rsidRPr="001F087B">
        <w:rPr>
          <w:rFonts w:asciiTheme="minorHAnsi" w:hAnsiTheme="minorHAnsi" w:cs="Arial"/>
          <w:bCs/>
          <w:snapToGrid w:val="0"/>
          <w:lang w:val="en-GB"/>
        </w:rPr>
        <w:t>Erelzi</w:t>
      </w:r>
      <w:proofErr w:type="spellEnd"/>
      <w:r w:rsidRPr="001F087B">
        <w:rPr>
          <w:rFonts w:asciiTheme="minorHAnsi" w:hAnsiTheme="minorHAnsi" w:cs="Arial"/>
          <w:bCs/>
          <w:snapToGrid w:val="0"/>
          <w:lang w:val="en-GB"/>
        </w:rPr>
        <w:t xml:space="preserve">, </w:t>
      </w:r>
      <w:proofErr w:type="spellStart"/>
      <w:r w:rsidRPr="001F087B">
        <w:rPr>
          <w:rFonts w:asciiTheme="minorHAnsi" w:hAnsiTheme="minorHAnsi" w:cs="Arial"/>
          <w:bCs/>
          <w:snapToGrid w:val="0"/>
          <w:lang w:val="en-GB"/>
        </w:rPr>
        <w:t>Brenzys</w:t>
      </w:r>
      <w:proofErr w:type="spellEnd"/>
      <w:r w:rsidRPr="001F087B">
        <w:rPr>
          <w:rFonts w:asciiTheme="minorHAnsi" w:hAnsiTheme="minorHAnsi" w:cs="Arial"/>
          <w:bCs/>
          <w:snapToGrid w:val="0"/>
          <w:lang w:val="en-GB"/>
        </w:rPr>
        <w:t xml:space="preserve"> and Enbrel brands of </w:t>
      </w:r>
      <w:proofErr w:type="spellStart"/>
      <w:r w:rsidRPr="001F087B">
        <w:rPr>
          <w:rFonts w:asciiTheme="minorHAnsi" w:hAnsiTheme="minorHAnsi" w:cs="Arial"/>
          <w:bCs/>
          <w:snapToGrid w:val="0"/>
          <w:lang w:val="en-GB"/>
        </w:rPr>
        <w:t>etanercept</w:t>
      </w:r>
      <w:proofErr w:type="spellEnd"/>
      <w:r w:rsidRPr="001F087B">
        <w:rPr>
          <w:rFonts w:asciiTheme="minorHAnsi" w:hAnsiTheme="minorHAnsi" w:cs="Arial"/>
          <w:bCs/>
          <w:snapToGrid w:val="0"/>
          <w:lang w:val="en-GB"/>
        </w:rPr>
        <w:t xml:space="preserve"> could be marked as equivalent in the Schedule of Pharmaceutical Benefits. </w:t>
      </w:r>
    </w:p>
    <w:p w:rsidR="00A65418" w:rsidRDefault="00A65418" w:rsidP="00961D6D">
      <w:pPr>
        <w:widowControl w:val="0"/>
        <w:numPr>
          <w:ilvl w:val="1"/>
          <w:numId w:val="5"/>
        </w:numPr>
        <w:spacing w:before="120" w:after="160"/>
        <w:jc w:val="both"/>
        <w:rPr>
          <w:rFonts w:asciiTheme="minorHAnsi" w:hAnsiTheme="minorHAnsi" w:cs="Arial"/>
          <w:bCs/>
          <w:snapToGrid w:val="0"/>
          <w:lang w:val="en-GB"/>
        </w:rPr>
      </w:pPr>
      <w:r w:rsidRPr="009E2C7E">
        <w:rPr>
          <w:rFonts w:asciiTheme="minorHAnsi" w:hAnsiTheme="minorHAnsi" w:cs="Arial"/>
          <w:bCs/>
          <w:snapToGrid w:val="0"/>
          <w:lang w:val="en-GB"/>
        </w:rPr>
        <w:t xml:space="preserve">The PBAC noted the equi-effective doses for the biosimilar and reference brands were 50 mg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 50 mg Enbrel.</w:t>
      </w:r>
    </w:p>
    <w:p w:rsidR="00D91230" w:rsidRPr="009E2C7E" w:rsidRDefault="00D91230" w:rsidP="00961D6D">
      <w:pPr>
        <w:widowControl w:val="0"/>
        <w:numPr>
          <w:ilvl w:val="1"/>
          <w:numId w:val="5"/>
        </w:numPr>
        <w:spacing w:before="120" w:after="160"/>
        <w:jc w:val="both"/>
        <w:rPr>
          <w:rFonts w:asciiTheme="minorHAnsi" w:hAnsiTheme="minorHAnsi" w:cs="Arial"/>
          <w:bCs/>
          <w:snapToGrid w:val="0"/>
          <w:lang w:val="en-GB"/>
        </w:rPr>
      </w:pPr>
      <w:r>
        <w:rPr>
          <w:rFonts w:asciiTheme="minorHAnsi" w:hAnsiTheme="minorHAnsi" w:cs="Arial"/>
          <w:bCs/>
          <w:snapToGrid w:val="0"/>
          <w:lang w:val="en-GB"/>
        </w:rPr>
        <w:t xml:space="preserve">The PBAC was also of a mind </w:t>
      </w:r>
      <w:r w:rsidR="00B350BB">
        <w:rPr>
          <w:rFonts w:asciiTheme="minorHAnsi" w:hAnsiTheme="minorHAnsi" w:cs="Arial"/>
          <w:bCs/>
          <w:snapToGrid w:val="0"/>
          <w:lang w:val="en-GB"/>
        </w:rPr>
        <w:t>to recommend the 25 mg pre-fille</w:t>
      </w:r>
      <w:r w:rsidR="00193E4B">
        <w:rPr>
          <w:rFonts w:asciiTheme="minorHAnsi" w:hAnsiTheme="minorHAnsi" w:cs="Arial"/>
          <w:bCs/>
          <w:snapToGrid w:val="0"/>
          <w:lang w:val="en-GB"/>
        </w:rPr>
        <w:t xml:space="preserve">d syringe form of </w:t>
      </w:r>
      <w:proofErr w:type="spellStart"/>
      <w:r w:rsidR="00193E4B">
        <w:rPr>
          <w:rFonts w:asciiTheme="minorHAnsi" w:hAnsiTheme="minorHAnsi" w:cs="Arial"/>
          <w:bCs/>
          <w:snapToGrid w:val="0"/>
          <w:lang w:val="en-GB"/>
        </w:rPr>
        <w:lastRenderedPageBreak/>
        <w:t>Erelzi</w:t>
      </w:r>
      <w:proofErr w:type="spellEnd"/>
      <w:r w:rsidR="00193E4B">
        <w:rPr>
          <w:rFonts w:asciiTheme="minorHAnsi" w:hAnsiTheme="minorHAnsi" w:cs="Arial"/>
          <w:bCs/>
          <w:snapToGrid w:val="0"/>
          <w:lang w:val="en-GB"/>
        </w:rPr>
        <w:t xml:space="preserve"> had that</w:t>
      </w:r>
      <w:r w:rsidR="00B350BB">
        <w:rPr>
          <w:rFonts w:asciiTheme="minorHAnsi" w:hAnsiTheme="minorHAnsi" w:cs="Arial"/>
          <w:bCs/>
          <w:snapToGrid w:val="0"/>
          <w:lang w:val="en-GB"/>
        </w:rPr>
        <w:t xml:space="preserve"> form been part of the application, and noted that this form was TGA registered and some patients may benefit from the availability of an alternative 25 mg form of </w:t>
      </w:r>
      <w:proofErr w:type="spellStart"/>
      <w:r w:rsidR="00B350BB">
        <w:rPr>
          <w:rFonts w:asciiTheme="minorHAnsi" w:hAnsiTheme="minorHAnsi" w:cs="Arial"/>
          <w:bCs/>
          <w:snapToGrid w:val="0"/>
          <w:lang w:val="en-GB"/>
        </w:rPr>
        <w:t>etanercept</w:t>
      </w:r>
      <w:proofErr w:type="spellEnd"/>
      <w:r w:rsidR="00B350BB">
        <w:rPr>
          <w:rFonts w:asciiTheme="minorHAnsi" w:hAnsiTheme="minorHAnsi" w:cs="Arial"/>
          <w:bCs/>
          <w:snapToGrid w:val="0"/>
          <w:lang w:val="en-GB"/>
        </w:rPr>
        <w:t>, and considered it may be appropriate to explore the potential PBS listing of this form with the sponsor.</w:t>
      </w:r>
    </w:p>
    <w:p w:rsidR="000B59EE" w:rsidRPr="009E2C7E" w:rsidRDefault="00A65418" w:rsidP="00961D6D">
      <w:pPr>
        <w:widowControl w:val="0"/>
        <w:numPr>
          <w:ilvl w:val="1"/>
          <w:numId w:val="5"/>
        </w:numPr>
        <w:spacing w:before="120" w:after="160"/>
        <w:jc w:val="both"/>
        <w:rPr>
          <w:rFonts w:asciiTheme="minorHAnsi" w:hAnsiTheme="minorHAnsi" w:cs="Arial"/>
          <w:bCs/>
          <w:snapToGrid w:val="0"/>
          <w:lang w:val="en-GB"/>
        </w:rPr>
      </w:pPr>
      <w:r w:rsidRPr="009E2C7E">
        <w:rPr>
          <w:rFonts w:asciiTheme="minorHAnsi" w:hAnsiTheme="minorHAnsi" w:cs="Arial"/>
          <w:bCs/>
          <w:snapToGrid w:val="0"/>
          <w:lang w:val="en-GB"/>
        </w:rPr>
        <w:t xml:space="preserve">The PBAC considered it was appropriate for biosimilar uptake drivers to be applied to this brand of </w:t>
      </w:r>
      <w:proofErr w:type="spellStart"/>
      <w:r w:rsidRPr="009E2C7E">
        <w:rPr>
          <w:rFonts w:asciiTheme="minorHAnsi" w:hAnsiTheme="minorHAnsi" w:cs="Arial"/>
          <w:bCs/>
          <w:snapToGrid w:val="0"/>
          <w:lang w:val="en-GB"/>
        </w:rPr>
        <w:t>etanercept</w:t>
      </w:r>
      <w:proofErr w:type="spellEnd"/>
      <w:r w:rsidRPr="009E2C7E">
        <w:rPr>
          <w:rFonts w:asciiTheme="minorHAnsi" w:hAnsiTheme="minorHAnsi" w:cs="Arial"/>
          <w:bCs/>
          <w:snapToGrid w:val="0"/>
          <w:lang w:val="en-GB"/>
        </w:rPr>
        <w:t xml:space="preserve"> and the listings for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should align with the current listings for the </w:t>
      </w:r>
      <w:proofErr w:type="spellStart"/>
      <w:r w:rsidRPr="009E2C7E">
        <w:rPr>
          <w:rFonts w:asciiTheme="minorHAnsi" w:hAnsiTheme="minorHAnsi" w:cs="Arial"/>
          <w:bCs/>
          <w:snapToGrid w:val="0"/>
          <w:lang w:val="en-GB"/>
        </w:rPr>
        <w:t>Brenzys</w:t>
      </w:r>
      <w:proofErr w:type="spellEnd"/>
      <w:r w:rsidRPr="009E2C7E">
        <w:rPr>
          <w:rFonts w:asciiTheme="minorHAnsi" w:hAnsiTheme="minorHAnsi" w:cs="Arial"/>
          <w:bCs/>
          <w:snapToGrid w:val="0"/>
          <w:lang w:val="en-GB"/>
        </w:rPr>
        <w:t xml:space="preserve"> brand of </w:t>
      </w:r>
      <w:proofErr w:type="spellStart"/>
      <w:r w:rsidRPr="009E2C7E">
        <w:rPr>
          <w:rFonts w:asciiTheme="minorHAnsi" w:hAnsiTheme="minorHAnsi" w:cs="Arial"/>
          <w:bCs/>
          <w:snapToGrid w:val="0"/>
          <w:lang w:val="en-GB"/>
        </w:rPr>
        <w:t>etanercept</w:t>
      </w:r>
      <w:proofErr w:type="spellEnd"/>
      <w:r w:rsidRPr="009E2C7E">
        <w:rPr>
          <w:rFonts w:asciiTheme="minorHAnsi" w:hAnsiTheme="minorHAnsi" w:cs="Arial"/>
          <w:bCs/>
          <w:snapToGrid w:val="0"/>
          <w:lang w:val="en-GB"/>
        </w:rPr>
        <w:t xml:space="preserve"> for the adult indications</w:t>
      </w:r>
      <w:r w:rsidR="002E003F" w:rsidRPr="009E2C7E">
        <w:rPr>
          <w:rFonts w:asciiTheme="minorHAnsi" w:hAnsiTheme="minorHAnsi" w:cs="Arial"/>
          <w:bCs/>
          <w:snapToGrid w:val="0"/>
          <w:lang w:val="en-GB"/>
        </w:rPr>
        <w:t xml:space="preserve"> (rheumatoid arthritis, ankylosing spondylitis, psoriatic arthritis and plaque psoriasis)</w:t>
      </w:r>
      <w:r w:rsidRPr="009E2C7E">
        <w:rPr>
          <w:rFonts w:asciiTheme="minorHAnsi" w:hAnsiTheme="minorHAnsi" w:cs="Arial"/>
          <w:bCs/>
          <w:snapToGrid w:val="0"/>
          <w:lang w:val="en-GB"/>
        </w:rPr>
        <w:t>, and include a streamlined authority listing for subsequent continuing prescribing and include a note in the restriction regarding biosimilar uptake.</w:t>
      </w:r>
    </w:p>
    <w:p w:rsidR="002E003F" w:rsidRPr="009E2C7E" w:rsidRDefault="002E003F" w:rsidP="00961D6D">
      <w:pPr>
        <w:widowControl w:val="0"/>
        <w:numPr>
          <w:ilvl w:val="1"/>
          <w:numId w:val="5"/>
        </w:numPr>
        <w:spacing w:before="120" w:after="160"/>
        <w:jc w:val="both"/>
        <w:rPr>
          <w:rFonts w:asciiTheme="minorHAnsi" w:hAnsiTheme="minorHAnsi" w:cs="Arial"/>
          <w:bCs/>
          <w:snapToGrid w:val="0"/>
          <w:lang w:val="en-GB"/>
        </w:rPr>
      </w:pPr>
      <w:r w:rsidRPr="009E2C7E">
        <w:rPr>
          <w:rFonts w:asciiTheme="minorHAnsi" w:hAnsiTheme="minorHAnsi" w:cs="Arial"/>
          <w:bCs/>
          <w:snapToGrid w:val="0"/>
          <w:lang w:val="en-GB"/>
        </w:rPr>
        <w:t xml:space="preserve">With regards to the juvenile indications (JIA and JPP), the PBAC noted the </w:t>
      </w:r>
      <w:proofErr w:type="spellStart"/>
      <w:r w:rsidRPr="009E2C7E">
        <w:rPr>
          <w:rFonts w:asciiTheme="minorHAnsi" w:hAnsiTheme="minorHAnsi" w:cs="Arial"/>
          <w:bCs/>
          <w:snapToGrid w:val="0"/>
          <w:lang w:val="en-GB"/>
        </w:rPr>
        <w:t>Brenzys</w:t>
      </w:r>
      <w:proofErr w:type="spellEnd"/>
      <w:r w:rsidRPr="009E2C7E">
        <w:rPr>
          <w:rFonts w:asciiTheme="minorHAnsi" w:hAnsiTheme="minorHAnsi" w:cs="Arial"/>
          <w:bCs/>
          <w:snapToGrid w:val="0"/>
          <w:lang w:val="en-GB"/>
        </w:rPr>
        <w:t xml:space="preserve"> brand was n</w:t>
      </w:r>
      <w:r w:rsidR="00CD3801">
        <w:rPr>
          <w:rFonts w:asciiTheme="minorHAnsi" w:hAnsiTheme="minorHAnsi" w:cs="Arial"/>
          <w:bCs/>
          <w:snapToGrid w:val="0"/>
          <w:lang w:val="en-GB"/>
        </w:rPr>
        <w:t>ot listed for these indications</w:t>
      </w:r>
      <w:r w:rsidRPr="009E2C7E">
        <w:rPr>
          <w:rFonts w:asciiTheme="minorHAnsi" w:hAnsiTheme="minorHAnsi" w:cs="Arial"/>
          <w:bCs/>
          <w:snapToGrid w:val="0"/>
          <w:lang w:val="en-GB"/>
        </w:rPr>
        <w:t xml:space="preserve">. The PBAC noted the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brand was TGA registered for these indications and recommended that similar to the adult indications, the restrictions for JIA and JPP be remodelled to facilitate the application of biosimilar uptake drivers to </w:t>
      </w:r>
      <w:proofErr w:type="spellStart"/>
      <w:r w:rsidRPr="009E2C7E">
        <w:rPr>
          <w:rFonts w:asciiTheme="minorHAnsi" w:hAnsiTheme="minorHAnsi" w:cs="Arial"/>
          <w:bCs/>
          <w:snapToGrid w:val="0"/>
          <w:lang w:val="en-GB"/>
        </w:rPr>
        <w:t>Erelzi</w:t>
      </w:r>
      <w:proofErr w:type="spellEnd"/>
      <w:r w:rsidRPr="009E2C7E">
        <w:rPr>
          <w:rFonts w:asciiTheme="minorHAnsi" w:hAnsiTheme="minorHAnsi" w:cs="Arial"/>
          <w:bCs/>
          <w:snapToGrid w:val="0"/>
          <w:lang w:val="en-GB"/>
        </w:rPr>
        <w:t xml:space="preserve"> listings for these indications under the following parameters:</w:t>
      </w:r>
    </w:p>
    <w:p w:rsidR="002E003F" w:rsidRPr="00CE2FC3" w:rsidRDefault="002E003F" w:rsidP="00CE2FC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CE2FC3">
        <w:rPr>
          <w:rFonts w:asciiTheme="minorHAnsi" w:eastAsiaTheme="minorHAnsi" w:hAnsiTheme="minorHAnsi" w:cstheme="minorBidi"/>
          <w:snapToGrid/>
          <w:sz w:val="24"/>
          <w:szCs w:val="22"/>
        </w:rPr>
        <w:t xml:space="preserve">For JIA, Authority Required listings for initial and first continuing restrictions, and Authority Required (STREAMLINED) listings for subsequent continuing prescribing, similar to the current structure of </w:t>
      </w:r>
      <w:proofErr w:type="spellStart"/>
      <w:r w:rsidRPr="00CE2FC3">
        <w:rPr>
          <w:rFonts w:asciiTheme="minorHAnsi" w:eastAsiaTheme="minorHAnsi" w:hAnsiTheme="minorHAnsi" w:cstheme="minorBidi"/>
          <w:snapToGrid/>
          <w:sz w:val="24"/>
          <w:szCs w:val="22"/>
        </w:rPr>
        <w:t>etanercept</w:t>
      </w:r>
      <w:proofErr w:type="spellEnd"/>
      <w:r w:rsidRPr="00CE2FC3">
        <w:rPr>
          <w:rFonts w:asciiTheme="minorHAnsi" w:eastAsiaTheme="minorHAnsi" w:hAnsiTheme="minorHAnsi" w:cstheme="minorBidi"/>
          <w:snapToGrid/>
          <w:sz w:val="24"/>
          <w:szCs w:val="22"/>
        </w:rPr>
        <w:t xml:space="preserve"> listings for the adult indications</w:t>
      </w:r>
      <w:r w:rsidR="00DC2EFA" w:rsidRPr="00CE2FC3">
        <w:rPr>
          <w:rFonts w:asciiTheme="minorHAnsi" w:eastAsiaTheme="minorHAnsi" w:hAnsiTheme="minorHAnsi" w:cstheme="minorBidi"/>
          <w:snapToGrid/>
          <w:sz w:val="24"/>
          <w:szCs w:val="22"/>
        </w:rPr>
        <w:t>, including for the JIA listings in Section 100 (Highly Specialised Drugs Program – Public and Private Hospital)</w:t>
      </w:r>
      <w:r w:rsidRPr="00CE2FC3">
        <w:rPr>
          <w:rFonts w:asciiTheme="minorHAnsi" w:eastAsiaTheme="minorHAnsi" w:hAnsiTheme="minorHAnsi" w:cstheme="minorBidi"/>
          <w:snapToGrid/>
          <w:sz w:val="24"/>
          <w:szCs w:val="22"/>
        </w:rPr>
        <w:t>;</w:t>
      </w:r>
    </w:p>
    <w:p w:rsidR="002E003F" w:rsidRPr="00CE2FC3" w:rsidRDefault="002E003F" w:rsidP="00CE2FC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CE2FC3">
        <w:rPr>
          <w:rFonts w:asciiTheme="minorHAnsi" w:eastAsiaTheme="minorHAnsi" w:hAnsiTheme="minorHAnsi" w:cstheme="minorBidi"/>
          <w:snapToGrid/>
          <w:sz w:val="24"/>
          <w:szCs w:val="22"/>
        </w:rPr>
        <w:t>For JPP, the PBAC noted the restrictions are structured differently to the other indications, with no continuing restrictions, and</w:t>
      </w:r>
      <w:r w:rsidR="00A41311">
        <w:rPr>
          <w:rFonts w:asciiTheme="minorHAnsi" w:eastAsiaTheme="minorHAnsi" w:hAnsiTheme="minorHAnsi" w:cstheme="minorBidi"/>
          <w:snapToGrid/>
          <w:sz w:val="24"/>
          <w:szCs w:val="22"/>
        </w:rPr>
        <w:t xml:space="preserve"> patients are able to access an</w:t>
      </w:r>
      <w:r w:rsidRPr="00CE2FC3">
        <w:rPr>
          <w:rFonts w:asciiTheme="minorHAnsi" w:eastAsiaTheme="minorHAnsi" w:hAnsiTheme="minorHAnsi" w:cstheme="minorBidi"/>
          <w:snapToGrid/>
          <w:sz w:val="24"/>
          <w:szCs w:val="22"/>
        </w:rPr>
        <w:t xml:space="preserve"> initial supply for </w:t>
      </w:r>
      <w:proofErr w:type="spellStart"/>
      <w:r w:rsidRPr="00CE2FC3">
        <w:rPr>
          <w:rFonts w:asciiTheme="minorHAnsi" w:eastAsiaTheme="minorHAnsi" w:hAnsiTheme="minorHAnsi" w:cstheme="minorBidi"/>
          <w:snapToGrid/>
          <w:sz w:val="24"/>
          <w:szCs w:val="22"/>
        </w:rPr>
        <w:t>etanercept</w:t>
      </w:r>
      <w:proofErr w:type="spellEnd"/>
      <w:r w:rsidRPr="00CE2FC3">
        <w:rPr>
          <w:rFonts w:asciiTheme="minorHAnsi" w:eastAsiaTheme="minorHAnsi" w:hAnsiTheme="minorHAnsi" w:cstheme="minorBidi"/>
          <w:snapToGrid/>
          <w:sz w:val="24"/>
          <w:szCs w:val="22"/>
        </w:rPr>
        <w:t xml:space="preserve"> for induction of remission, and are later able to access re</w:t>
      </w:r>
      <w:r w:rsidRPr="00CE2FC3">
        <w:rPr>
          <w:rFonts w:asciiTheme="minorHAnsi" w:eastAsiaTheme="minorHAnsi" w:hAnsiTheme="minorHAnsi" w:cstheme="minorBidi"/>
          <w:snapToGrid/>
          <w:sz w:val="24"/>
          <w:szCs w:val="22"/>
        </w:rPr>
        <w:noBreakHyphen/>
        <w:t>treatment cycles as required. Given the difference in restriction structure, the PBAC considered it was appropriate to retain the Authority Required restriction for JPP for initial treatment, and to lower the authority level for re-treatment restrictions to a streamlined</w:t>
      </w:r>
      <w:r w:rsidR="008D0926">
        <w:rPr>
          <w:rFonts w:asciiTheme="minorHAnsi" w:eastAsiaTheme="minorHAnsi" w:hAnsiTheme="minorHAnsi" w:cstheme="minorBidi"/>
          <w:snapToGrid/>
          <w:sz w:val="24"/>
          <w:szCs w:val="22"/>
        </w:rPr>
        <w:t xml:space="preserve"> authority</w:t>
      </w:r>
      <w:r w:rsidRPr="00CE2FC3">
        <w:rPr>
          <w:rFonts w:asciiTheme="minorHAnsi" w:eastAsiaTheme="minorHAnsi" w:hAnsiTheme="minorHAnsi" w:cstheme="minorBidi"/>
          <w:snapToGrid/>
          <w:sz w:val="24"/>
          <w:szCs w:val="22"/>
        </w:rPr>
        <w:t xml:space="preserve"> listing;</w:t>
      </w:r>
    </w:p>
    <w:p w:rsidR="009E2C7E" w:rsidRPr="00CE2FC3" w:rsidRDefault="009E2C7E" w:rsidP="00CE2FC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CE2FC3">
        <w:rPr>
          <w:rFonts w:asciiTheme="minorHAnsi" w:eastAsiaTheme="minorHAnsi" w:hAnsiTheme="minorHAnsi" w:cstheme="minorBidi"/>
          <w:snapToGrid/>
          <w:sz w:val="24"/>
          <w:szCs w:val="22"/>
        </w:rPr>
        <w:t>Similar to existing Enbrel listings for juvenile indications, a note regarding patient weight does not need to be included in the PBS restrictions as weight-based dosing protocols are documented in the approved Product Information (PI).</w:t>
      </w:r>
    </w:p>
    <w:p w:rsidR="002E003F" w:rsidRPr="00CE2FC3" w:rsidRDefault="00DC2EFA" w:rsidP="00CE2FC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CE2FC3">
        <w:rPr>
          <w:rFonts w:asciiTheme="minorHAnsi" w:eastAsiaTheme="minorHAnsi" w:hAnsiTheme="minorHAnsi" w:cstheme="minorBidi"/>
          <w:snapToGrid/>
          <w:sz w:val="24"/>
          <w:szCs w:val="22"/>
        </w:rPr>
        <w:t>The PBAC noted at present there is a difference in the maximum number of repeats between the General Schedule and Section 100 listings for JIA and considered the number of repeats for the Section 100 listings could be aligned with the General Schedule listings;</w:t>
      </w:r>
      <w:r w:rsidR="009E2C7E" w:rsidRPr="00CE2FC3">
        <w:rPr>
          <w:rFonts w:asciiTheme="minorHAnsi" w:eastAsiaTheme="minorHAnsi" w:hAnsiTheme="minorHAnsi" w:cstheme="minorBidi"/>
          <w:snapToGrid/>
          <w:sz w:val="24"/>
          <w:szCs w:val="22"/>
        </w:rPr>
        <w:t xml:space="preserve"> and</w:t>
      </w:r>
    </w:p>
    <w:p w:rsidR="00DC2EFA" w:rsidRPr="00CE2FC3" w:rsidRDefault="00DC2EFA" w:rsidP="00CE2FC3">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CE2FC3">
        <w:rPr>
          <w:rFonts w:asciiTheme="minorHAnsi" w:eastAsiaTheme="minorHAnsi" w:hAnsiTheme="minorHAnsi" w:cstheme="minorBidi"/>
          <w:snapToGrid/>
          <w:sz w:val="24"/>
          <w:szCs w:val="22"/>
        </w:rPr>
        <w:lastRenderedPageBreak/>
        <w:t xml:space="preserve">A note </w:t>
      </w:r>
      <w:r w:rsidR="00A41311">
        <w:rPr>
          <w:rFonts w:asciiTheme="minorHAnsi" w:eastAsiaTheme="minorHAnsi" w:hAnsiTheme="minorHAnsi" w:cstheme="minorBidi"/>
          <w:snapToGrid/>
          <w:sz w:val="24"/>
          <w:szCs w:val="22"/>
        </w:rPr>
        <w:t>encouraging prescribing of the biosimilar to treatment naïve patients</w:t>
      </w:r>
      <w:r w:rsidRPr="00CE2FC3">
        <w:rPr>
          <w:rFonts w:asciiTheme="minorHAnsi" w:eastAsiaTheme="minorHAnsi" w:hAnsiTheme="minorHAnsi" w:cstheme="minorBidi"/>
          <w:snapToGrid/>
          <w:sz w:val="24"/>
          <w:szCs w:val="22"/>
        </w:rPr>
        <w:t xml:space="preserve">, similar to existing </w:t>
      </w:r>
      <w:proofErr w:type="spellStart"/>
      <w:r w:rsidRPr="00CE2FC3">
        <w:rPr>
          <w:rFonts w:asciiTheme="minorHAnsi" w:eastAsiaTheme="minorHAnsi" w:hAnsiTheme="minorHAnsi" w:cstheme="minorBidi"/>
          <w:snapToGrid/>
          <w:sz w:val="24"/>
          <w:szCs w:val="22"/>
        </w:rPr>
        <w:t>Brenzys</w:t>
      </w:r>
      <w:proofErr w:type="spellEnd"/>
      <w:r w:rsidRPr="00CE2FC3">
        <w:rPr>
          <w:rFonts w:asciiTheme="minorHAnsi" w:eastAsiaTheme="minorHAnsi" w:hAnsiTheme="minorHAnsi" w:cstheme="minorBidi"/>
          <w:snapToGrid/>
          <w:sz w:val="24"/>
          <w:szCs w:val="22"/>
        </w:rPr>
        <w:t xml:space="preserve"> </w:t>
      </w:r>
      <w:r w:rsidR="009E2C7E" w:rsidRPr="00CE2FC3">
        <w:rPr>
          <w:rFonts w:asciiTheme="minorHAnsi" w:eastAsiaTheme="minorHAnsi" w:hAnsiTheme="minorHAnsi" w:cstheme="minorBidi"/>
          <w:snapToGrid/>
          <w:sz w:val="24"/>
          <w:szCs w:val="22"/>
        </w:rPr>
        <w:t>listings,</w:t>
      </w:r>
      <w:r w:rsidRPr="00CE2FC3">
        <w:rPr>
          <w:rFonts w:asciiTheme="minorHAnsi" w:eastAsiaTheme="minorHAnsi" w:hAnsiTheme="minorHAnsi" w:cstheme="minorBidi"/>
          <w:snapToGrid/>
          <w:sz w:val="24"/>
          <w:szCs w:val="22"/>
        </w:rPr>
        <w:t xml:space="preserve"> would be appropriate f</w:t>
      </w:r>
      <w:r w:rsidR="009E2C7E" w:rsidRPr="00CE2FC3">
        <w:rPr>
          <w:rFonts w:asciiTheme="minorHAnsi" w:eastAsiaTheme="minorHAnsi" w:hAnsiTheme="minorHAnsi" w:cstheme="minorBidi"/>
          <w:snapToGrid/>
          <w:sz w:val="24"/>
          <w:szCs w:val="22"/>
        </w:rPr>
        <w:t>or the juvenile indications.</w:t>
      </w:r>
    </w:p>
    <w:p w:rsidR="000B59EE" w:rsidRPr="00B350BB" w:rsidRDefault="009E2C7E" w:rsidP="00961D6D">
      <w:pPr>
        <w:widowControl w:val="0"/>
        <w:numPr>
          <w:ilvl w:val="1"/>
          <w:numId w:val="5"/>
        </w:numPr>
        <w:spacing w:before="120" w:after="160"/>
        <w:jc w:val="both"/>
        <w:rPr>
          <w:rFonts w:asciiTheme="minorHAnsi" w:hAnsiTheme="minorHAnsi" w:cs="Arial"/>
          <w:bCs/>
          <w:snapToGrid w:val="0"/>
          <w:lang w:val="en-GB"/>
        </w:rPr>
      </w:pPr>
      <w:r w:rsidRPr="00B350BB">
        <w:rPr>
          <w:rFonts w:asciiTheme="minorHAnsi" w:hAnsiTheme="minorHAnsi" w:cs="Arial"/>
          <w:bCs/>
          <w:snapToGrid w:val="0"/>
          <w:lang w:val="en-GB"/>
        </w:rPr>
        <w:t xml:space="preserve">The PBAC noted the pivotal trial (EGALITY) was a </w:t>
      </w:r>
      <w:r w:rsidR="00CF28FC" w:rsidRPr="00B350BB">
        <w:rPr>
          <w:rFonts w:asciiTheme="minorHAnsi" w:hAnsiTheme="minorHAnsi" w:cs="Arial"/>
          <w:bCs/>
          <w:snapToGrid w:val="0"/>
          <w:lang w:val="en-GB"/>
        </w:rPr>
        <w:t xml:space="preserve">randomised, double-blind trial of 531 patients in moderate-to-severe plaque psoriasis with </w:t>
      </w:r>
      <w:proofErr w:type="gramStart"/>
      <w:r w:rsidR="00CF28FC" w:rsidRPr="00B350BB">
        <w:rPr>
          <w:rFonts w:asciiTheme="minorHAnsi" w:hAnsiTheme="minorHAnsi" w:cs="Arial"/>
          <w:bCs/>
          <w:snapToGrid w:val="0"/>
          <w:lang w:val="en-GB"/>
        </w:rPr>
        <w:t>a 52</w:t>
      </w:r>
      <w:proofErr w:type="gramEnd"/>
      <w:r w:rsidR="00CF28FC" w:rsidRPr="00B350BB">
        <w:rPr>
          <w:rFonts w:asciiTheme="minorHAnsi" w:hAnsiTheme="minorHAnsi" w:cs="Arial"/>
          <w:bCs/>
          <w:snapToGrid w:val="0"/>
          <w:lang w:val="en-GB"/>
        </w:rPr>
        <w:t xml:space="preserve"> week duration and included groups with multiple switches between reference and biosimilar brands. The PBAC noted there were no clear differences in toxicity between </w:t>
      </w:r>
      <w:proofErr w:type="spellStart"/>
      <w:r w:rsidR="00CF28FC" w:rsidRPr="00B350BB">
        <w:rPr>
          <w:rFonts w:asciiTheme="minorHAnsi" w:hAnsiTheme="minorHAnsi" w:cs="Arial"/>
          <w:bCs/>
          <w:snapToGrid w:val="0"/>
          <w:lang w:val="en-GB"/>
        </w:rPr>
        <w:t>Erelzi</w:t>
      </w:r>
      <w:proofErr w:type="spellEnd"/>
      <w:r w:rsidR="00CF28FC" w:rsidRPr="00B350BB">
        <w:rPr>
          <w:rFonts w:asciiTheme="minorHAnsi" w:hAnsiTheme="minorHAnsi" w:cs="Arial"/>
          <w:bCs/>
          <w:snapToGrid w:val="0"/>
          <w:lang w:val="en-GB"/>
        </w:rPr>
        <w:t xml:space="preserve"> and Enbrel, however noted the trial was likely too small to detect large differences in adverse events between groups. The PBAC also noted no safety data from the paediatric population was available.</w:t>
      </w:r>
    </w:p>
    <w:p w:rsidR="000B59EE" w:rsidRPr="00B350BB" w:rsidRDefault="00AE2D57" w:rsidP="00961D6D">
      <w:pPr>
        <w:widowControl w:val="0"/>
        <w:numPr>
          <w:ilvl w:val="1"/>
          <w:numId w:val="5"/>
        </w:numPr>
        <w:spacing w:before="120" w:after="160"/>
        <w:jc w:val="both"/>
        <w:rPr>
          <w:rFonts w:asciiTheme="minorHAnsi" w:hAnsiTheme="minorHAnsi" w:cs="Arial"/>
          <w:bCs/>
          <w:snapToGrid w:val="0"/>
          <w:lang w:val="en-GB"/>
        </w:rPr>
      </w:pPr>
      <w:r w:rsidRPr="00B350BB">
        <w:rPr>
          <w:rFonts w:asciiTheme="minorHAnsi" w:hAnsiTheme="minorHAnsi" w:cs="Arial"/>
          <w:bCs/>
          <w:snapToGrid w:val="0"/>
          <w:lang w:val="en-GB"/>
        </w:rPr>
        <w:t xml:space="preserve">The PBAC </w:t>
      </w:r>
      <w:r w:rsidR="00CD3801">
        <w:rPr>
          <w:rFonts w:asciiTheme="minorHAnsi" w:hAnsiTheme="minorHAnsi" w:cs="Arial"/>
          <w:bCs/>
          <w:snapToGrid w:val="0"/>
          <w:lang w:val="en-GB"/>
        </w:rPr>
        <w:t xml:space="preserve">agreed </w:t>
      </w:r>
      <w:r w:rsidR="00A41311">
        <w:rPr>
          <w:rFonts w:asciiTheme="minorHAnsi" w:hAnsiTheme="minorHAnsi" w:cs="Arial"/>
          <w:bCs/>
          <w:snapToGrid w:val="0"/>
          <w:lang w:val="en-GB"/>
        </w:rPr>
        <w:t xml:space="preserve">with </w:t>
      </w:r>
      <w:r w:rsidR="00CD3801">
        <w:rPr>
          <w:rFonts w:asciiTheme="minorHAnsi" w:hAnsiTheme="minorHAnsi" w:cs="Arial"/>
          <w:bCs/>
          <w:snapToGrid w:val="0"/>
          <w:lang w:val="en-GB"/>
        </w:rPr>
        <w:t xml:space="preserve">the submission claim that </w:t>
      </w:r>
      <w:proofErr w:type="spellStart"/>
      <w:r w:rsidR="00CD3801">
        <w:rPr>
          <w:rFonts w:asciiTheme="minorHAnsi" w:hAnsiTheme="minorHAnsi" w:cs="Arial"/>
          <w:bCs/>
          <w:snapToGrid w:val="0"/>
          <w:lang w:val="en-GB"/>
        </w:rPr>
        <w:t>Erelzi</w:t>
      </w:r>
      <w:proofErr w:type="spellEnd"/>
      <w:r w:rsidR="00CD3801">
        <w:rPr>
          <w:rFonts w:asciiTheme="minorHAnsi" w:hAnsiTheme="minorHAnsi" w:cs="Arial"/>
          <w:bCs/>
          <w:snapToGrid w:val="0"/>
          <w:lang w:val="en-GB"/>
        </w:rPr>
        <w:t xml:space="preserve"> would only substitute for other </w:t>
      </w:r>
      <w:proofErr w:type="spellStart"/>
      <w:r w:rsidR="00CD3801">
        <w:rPr>
          <w:rFonts w:asciiTheme="minorHAnsi" w:hAnsiTheme="minorHAnsi" w:cs="Arial"/>
          <w:bCs/>
          <w:snapToGrid w:val="0"/>
          <w:lang w:val="en-GB"/>
        </w:rPr>
        <w:t>etanercept</w:t>
      </w:r>
      <w:proofErr w:type="spellEnd"/>
      <w:r w:rsidR="00CD3801">
        <w:rPr>
          <w:rFonts w:asciiTheme="minorHAnsi" w:hAnsiTheme="minorHAnsi" w:cs="Arial"/>
          <w:bCs/>
          <w:snapToGrid w:val="0"/>
          <w:lang w:val="en-GB"/>
        </w:rPr>
        <w:t xml:space="preserve"> brands was appropriate and considered the listing of an additional biosimilar would not grow the overall market for </w:t>
      </w:r>
      <w:proofErr w:type="spellStart"/>
      <w:r w:rsidR="00CD3801">
        <w:rPr>
          <w:rFonts w:asciiTheme="minorHAnsi" w:hAnsiTheme="minorHAnsi" w:cs="Arial"/>
          <w:bCs/>
          <w:snapToGrid w:val="0"/>
          <w:lang w:val="en-GB"/>
        </w:rPr>
        <w:t>etanercept</w:t>
      </w:r>
      <w:proofErr w:type="spellEnd"/>
      <w:r w:rsidR="00CD3801">
        <w:rPr>
          <w:rFonts w:asciiTheme="minorHAnsi" w:hAnsiTheme="minorHAnsi" w:cs="Arial"/>
          <w:bCs/>
          <w:snapToGrid w:val="0"/>
          <w:lang w:val="en-GB"/>
        </w:rPr>
        <w:t xml:space="preserve"> or the overall biologic market.</w:t>
      </w:r>
    </w:p>
    <w:p w:rsidR="000B59EE" w:rsidRPr="00B350BB" w:rsidRDefault="000B59EE" w:rsidP="00961D6D">
      <w:pPr>
        <w:widowControl w:val="0"/>
        <w:numPr>
          <w:ilvl w:val="1"/>
          <w:numId w:val="5"/>
        </w:numPr>
        <w:spacing w:before="120" w:after="160"/>
        <w:jc w:val="both"/>
        <w:rPr>
          <w:rFonts w:asciiTheme="minorHAnsi" w:hAnsiTheme="minorHAnsi" w:cs="Arial"/>
          <w:bCs/>
          <w:snapToGrid w:val="0"/>
          <w:lang w:val="en-GB"/>
        </w:rPr>
      </w:pPr>
      <w:r w:rsidRPr="00B350BB">
        <w:rPr>
          <w:rFonts w:asciiTheme="minorHAnsi" w:hAnsiTheme="minorHAnsi" w:cs="Arial"/>
          <w:bCs/>
          <w:snapToGrid w:val="0"/>
          <w:lang w:val="en-GB"/>
        </w:rPr>
        <w:t>The PBAC recommended that the Early Supply Rule should apply</w:t>
      </w:r>
      <w:r w:rsidR="00D91230" w:rsidRPr="00B350BB">
        <w:rPr>
          <w:rFonts w:asciiTheme="minorHAnsi" w:hAnsiTheme="minorHAnsi" w:cs="Arial"/>
          <w:bCs/>
          <w:snapToGrid w:val="0"/>
          <w:lang w:val="en-GB"/>
        </w:rPr>
        <w:t xml:space="preserve">, and considered this should be flowed onto existing </w:t>
      </w:r>
      <w:proofErr w:type="spellStart"/>
      <w:r w:rsidR="00D91230" w:rsidRPr="00B350BB">
        <w:rPr>
          <w:rFonts w:asciiTheme="minorHAnsi" w:hAnsiTheme="minorHAnsi" w:cs="Arial"/>
          <w:bCs/>
          <w:snapToGrid w:val="0"/>
          <w:lang w:val="en-GB"/>
        </w:rPr>
        <w:t>etanercept</w:t>
      </w:r>
      <w:proofErr w:type="spellEnd"/>
      <w:r w:rsidR="00D91230" w:rsidRPr="00B350BB">
        <w:rPr>
          <w:rFonts w:asciiTheme="minorHAnsi" w:hAnsiTheme="minorHAnsi" w:cs="Arial"/>
          <w:bCs/>
          <w:snapToGrid w:val="0"/>
          <w:lang w:val="en-GB"/>
        </w:rPr>
        <w:t xml:space="preserve"> listings for the juvenile indications, including those in Section 100 (Highly Specialised Drugs Program – Public and Private Hospital)</w:t>
      </w:r>
      <w:r w:rsidRPr="00B350BB">
        <w:rPr>
          <w:rFonts w:asciiTheme="minorHAnsi" w:hAnsiTheme="minorHAnsi" w:cs="Arial"/>
          <w:bCs/>
          <w:snapToGrid w:val="0"/>
          <w:lang w:val="en-GB"/>
        </w:rPr>
        <w:t xml:space="preserve">. </w:t>
      </w:r>
    </w:p>
    <w:p w:rsidR="000B59EE" w:rsidRPr="00B350BB" w:rsidRDefault="000B59EE" w:rsidP="00961D6D">
      <w:pPr>
        <w:widowControl w:val="0"/>
        <w:numPr>
          <w:ilvl w:val="1"/>
          <w:numId w:val="5"/>
        </w:numPr>
        <w:spacing w:before="120" w:after="160"/>
        <w:jc w:val="both"/>
        <w:rPr>
          <w:rFonts w:asciiTheme="minorHAnsi" w:hAnsiTheme="minorHAnsi" w:cs="Arial"/>
          <w:bCs/>
          <w:snapToGrid w:val="0"/>
          <w:lang w:val="en-GB"/>
        </w:rPr>
      </w:pPr>
      <w:r w:rsidRPr="00B350BB">
        <w:rPr>
          <w:rFonts w:asciiTheme="minorHAnsi" w:hAnsiTheme="minorHAnsi" w:cs="Arial"/>
          <w:bCs/>
          <w:snapToGrid w:val="0"/>
          <w:lang w:val="en-GB"/>
        </w:rPr>
        <w:t xml:space="preserve">The PBAC noted </w:t>
      </w:r>
      <w:r w:rsidR="00D91230" w:rsidRPr="00B350BB">
        <w:rPr>
          <w:rFonts w:asciiTheme="minorHAnsi" w:hAnsiTheme="minorHAnsi" w:cs="Arial"/>
          <w:bCs/>
          <w:snapToGrid w:val="0"/>
          <w:lang w:val="en-GB"/>
        </w:rPr>
        <w:t>the restrictions for the juvenile indications would require substantial remodelling to facilitate the implementation of biosimilar uptake drivers.</w:t>
      </w:r>
      <w:r w:rsidRPr="00B350BB">
        <w:rPr>
          <w:rFonts w:asciiTheme="minorHAnsi" w:hAnsiTheme="minorHAnsi" w:cs="Arial"/>
          <w:bCs/>
          <w:snapToGrid w:val="0"/>
          <w:lang w:val="en-GB"/>
        </w:rPr>
        <w:t xml:space="preserve"> </w:t>
      </w:r>
    </w:p>
    <w:p w:rsidR="00D91230" w:rsidRPr="00B350BB" w:rsidRDefault="000B59EE" w:rsidP="00961D6D">
      <w:pPr>
        <w:widowControl w:val="0"/>
        <w:numPr>
          <w:ilvl w:val="1"/>
          <w:numId w:val="5"/>
        </w:numPr>
        <w:spacing w:before="120" w:after="160"/>
        <w:jc w:val="both"/>
        <w:rPr>
          <w:rFonts w:asciiTheme="minorHAnsi" w:hAnsiTheme="minorHAnsi" w:cs="Arial"/>
          <w:b/>
          <w:bCs/>
          <w:snapToGrid w:val="0"/>
          <w:lang w:val="en-GB"/>
        </w:rPr>
      </w:pPr>
      <w:r w:rsidRPr="00B350BB">
        <w:rPr>
          <w:rFonts w:asciiTheme="minorHAnsi" w:hAnsiTheme="minorHAnsi" w:cs="Arial"/>
          <w:bCs/>
          <w:snapToGrid w:val="0"/>
          <w:lang w:val="en-GB"/>
        </w:rPr>
        <w:t xml:space="preserve">The PBAC </w:t>
      </w:r>
      <w:r w:rsidR="00D91230" w:rsidRPr="00B350BB">
        <w:rPr>
          <w:rFonts w:asciiTheme="minorHAnsi" w:hAnsiTheme="minorHAnsi" w:cs="Arial"/>
          <w:bCs/>
          <w:snapToGrid w:val="0"/>
          <w:lang w:val="en-GB"/>
        </w:rPr>
        <w:t>noted the submission</w:t>
      </w:r>
      <w:r w:rsidRPr="00B350BB">
        <w:rPr>
          <w:rFonts w:asciiTheme="minorHAnsi" w:hAnsiTheme="minorHAnsi" w:cs="Arial"/>
          <w:bCs/>
          <w:snapToGrid w:val="0"/>
          <w:lang w:val="en-GB"/>
        </w:rPr>
        <w:t xml:space="preserve"> is not eligible for an Independent Review</w:t>
      </w:r>
      <w:r w:rsidR="00D91230" w:rsidRPr="00B350BB">
        <w:rPr>
          <w:rFonts w:asciiTheme="minorHAnsi" w:hAnsiTheme="minorHAnsi" w:cs="Arial"/>
          <w:bCs/>
          <w:snapToGrid w:val="0"/>
          <w:lang w:val="en-GB"/>
        </w:rPr>
        <w:t xml:space="preserve"> as it received a positive recommendation</w:t>
      </w:r>
      <w:r w:rsidRPr="00B350BB">
        <w:rPr>
          <w:rFonts w:asciiTheme="minorHAnsi" w:hAnsiTheme="minorHAnsi" w:cs="Arial"/>
          <w:bCs/>
          <w:snapToGrid w:val="0"/>
          <w:lang w:val="en-GB"/>
        </w:rPr>
        <w:t xml:space="preserve">. </w:t>
      </w:r>
    </w:p>
    <w:p w:rsidR="000B59EE" w:rsidRPr="00B350BB" w:rsidRDefault="000B59EE" w:rsidP="00D91230">
      <w:pPr>
        <w:widowControl w:val="0"/>
        <w:spacing w:after="120"/>
        <w:jc w:val="both"/>
        <w:rPr>
          <w:rFonts w:asciiTheme="minorHAnsi" w:hAnsiTheme="minorHAnsi" w:cs="Arial"/>
          <w:b/>
          <w:bCs/>
          <w:snapToGrid w:val="0"/>
          <w:lang w:val="en-GB"/>
        </w:rPr>
      </w:pPr>
      <w:r w:rsidRPr="00B350BB">
        <w:rPr>
          <w:rFonts w:asciiTheme="minorHAnsi" w:hAnsiTheme="minorHAnsi" w:cs="Arial"/>
          <w:b/>
          <w:bCs/>
          <w:snapToGrid w:val="0"/>
          <w:lang w:val="en-GB"/>
        </w:rPr>
        <w:t>Outcome:</w:t>
      </w:r>
    </w:p>
    <w:p w:rsidR="000B59EE" w:rsidRPr="00961D6D" w:rsidRDefault="000B59EE" w:rsidP="00961D6D">
      <w:pPr>
        <w:jc w:val="both"/>
        <w:rPr>
          <w:rFonts w:asciiTheme="minorHAnsi" w:hAnsiTheme="minorHAnsi" w:cs="Arial"/>
          <w:bCs/>
          <w:snapToGrid w:val="0"/>
          <w:lang w:val="en-GB"/>
        </w:rPr>
      </w:pPr>
      <w:r w:rsidRPr="00B350BB">
        <w:rPr>
          <w:rFonts w:asciiTheme="minorHAnsi" w:hAnsiTheme="minorHAnsi" w:cs="Arial"/>
          <w:bCs/>
          <w:snapToGrid w:val="0"/>
          <w:lang w:val="en-GB"/>
        </w:rPr>
        <w:t xml:space="preserve">Recommended </w:t>
      </w:r>
    </w:p>
    <w:p w:rsidR="00640FF3" w:rsidRPr="009E2C7E" w:rsidRDefault="00640FF3" w:rsidP="00640FF3">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Recommended listing</w:t>
      </w:r>
    </w:p>
    <w:p w:rsidR="000B59EE" w:rsidRPr="00B350BB" w:rsidRDefault="000B59EE" w:rsidP="00B350BB">
      <w:pPr>
        <w:widowControl w:val="0"/>
        <w:numPr>
          <w:ilvl w:val="1"/>
          <w:numId w:val="5"/>
        </w:numPr>
        <w:spacing w:after="120"/>
        <w:jc w:val="both"/>
        <w:rPr>
          <w:rFonts w:asciiTheme="minorHAnsi" w:hAnsiTheme="minorHAnsi" w:cs="Arial"/>
          <w:b/>
          <w:bCs/>
          <w:snapToGrid w:val="0"/>
        </w:rPr>
      </w:pPr>
      <w:r w:rsidRPr="00B350BB">
        <w:rPr>
          <w:rFonts w:asciiTheme="minorHAnsi" w:hAnsiTheme="minorHAnsi" w:cs="Arial"/>
          <w:bCs/>
          <w:snapToGrid w:val="0"/>
        </w:rPr>
        <w:t>Add new item:</w:t>
      </w:r>
    </w:p>
    <w:p w:rsidR="00B350BB" w:rsidRDefault="00B350BB" w:rsidP="00B350BB">
      <w:pPr>
        <w:widowControl w:val="0"/>
        <w:spacing w:after="120"/>
        <w:ind w:left="720"/>
        <w:jc w:val="both"/>
        <w:rPr>
          <w:rFonts w:asciiTheme="minorHAnsi" w:hAnsiTheme="minorHAnsi" w:cs="Arial"/>
          <w:bCs/>
          <w:snapToGrid w:val="0"/>
        </w:rPr>
      </w:pPr>
      <w:proofErr w:type="spellStart"/>
      <w:r w:rsidRPr="00B350BB">
        <w:rPr>
          <w:rFonts w:asciiTheme="minorHAnsi" w:hAnsiTheme="minorHAnsi" w:cs="Arial"/>
          <w:bCs/>
          <w:snapToGrid w:val="0"/>
        </w:rPr>
        <w:t>Etanercept</w:t>
      </w:r>
      <w:proofErr w:type="spellEnd"/>
      <w:r w:rsidRPr="00B350BB">
        <w:rPr>
          <w:rFonts w:asciiTheme="minorHAnsi" w:hAnsiTheme="minorHAnsi" w:cs="Arial"/>
          <w:bCs/>
          <w:snapToGrid w:val="0"/>
        </w:rPr>
        <w:t>, Injection 50 mg in 1</w:t>
      </w:r>
      <w:r>
        <w:rPr>
          <w:rFonts w:asciiTheme="minorHAnsi" w:hAnsiTheme="minorHAnsi" w:cs="Arial"/>
          <w:bCs/>
          <w:snapToGrid w:val="0"/>
        </w:rPr>
        <w:t xml:space="preserve"> mL single use auto-injector, 4;</w:t>
      </w:r>
      <w:r w:rsidRPr="00B350BB">
        <w:rPr>
          <w:rFonts w:asciiTheme="minorHAnsi" w:hAnsiTheme="minorHAnsi" w:cs="Arial"/>
          <w:bCs/>
          <w:snapToGrid w:val="0"/>
        </w:rPr>
        <w:t xml:space="preserve"> Injection 50 mg in 1 mL single use pre-filled syringes, 4</w:t>
      </w:r>
    </w:p>
    <w:p w:rsidR="00B350BB" w:rsidRDefault="00B350BB" w:rsidP="00B350BB">
      <w:pPr>
        <w:widowControl w:val="0"/>
        <w:spacing w:after="120"/>
        <w:ind w:left="720"/>
        <w:jc w:val="both"/>
        <w:rPr>
          <w:rFonts w:asciiTheme="minorHAnsi" w:hAnsiTheme="minorHAnsi" w:cs="Arial"/>
          <w:bCs/>
          <w:snapToGrid w:val="0"/>
        </w:rPr>
      </w:pPr>
      <w:r>
        <w:rPr>
          <w:rFonts w:asciiTheme="minorHAnsi" w:hAnsiTheme="minorHAnsi" w:cs="Arial"/>
          <w:bCs/>
          <w:snapToGrid w:val="0"/>
        </w:rPr>
        <w:t xml:space="preserve">Restrictions same as </w:t>
      </w:r>
      <w:proofErr w:type="spellStart"/>
      <w:r>
        <w:rPr>
          <w:rFonts w:asciiTheme="minorHAnsi" w:hAnsiTheme="minorHAnsi" w:cs="Arial"/>
          <w:bCs/>
          <w:snapToGrid w:val="0"/>
        </w:rPr>
        <w:t>Brenzys</w:t>
      </w:r>
      <w:proofErr w:type="spellEnd"/>
      <w:r>
        <w:rPr>
          <w:rFonts w:asciiTheme="minorHAnsi" w:hAnsiTheme="minorHAnsi" w:cs="Arial"/>
          <w:bCs/>
          <w:snapToGrid w:val="0"/>
        </w:rPr>
        <w:t xml:space="preserve"> brand of </w:t>
      </w:r>
      <w:proofErr w:type="spellStart"/>
      <w:r>
        <w:rPr>
          <w:rFonts w:asciiTheme="minorHAnsi" w:hAnsiTheme="minorHAnsi" w:cs="Arial"/>
          <w:bCs/>
          <w:snapToGrid w:val="0"/>
        </w:rPr>
        <w:t>etanercept</w:t>
      </w:r>
      <w:proofErr w:type="spellEnd"/>
      <w:r>
        <w:rPr>
          <w:rFonts w:asciiTheme="minorHAnsi" w:hAnsiTheme="minorHAnsi" w:cs="Arial"/>
          <w:bCs/>
          <w:snapToGrid w:val="0"/>
        </w:rPr>
        <w:t xml:space="preserve"> for </w:t>
      </w:r>
      <w:r w:rsidR="00A40065">
        <w:rPr>
          <w:rFonts w:asciiTheme="minorHAnsi" w:hAnsiTheme="minorHAnsi" w:cs="Arial"/>
          <w:bCs/>
          <w:snapToGrid w:val="0"/>
        </w:rPr>
        <w:t>adult indications.</w:t>
      </w:r>
    </w:p>
    <w:p w:rsidR="00A40065" w:rsidRPr="00A40065" w:rsidRDefault="00A40065" w:rsidP="00A40065">
      <w:pPr>
        <w:widowControl w:val="0"/>
        <w:spacing w:after="120"/>
        <w:ind w:left="720" w:hanging="720"/>
        <w:jc w:val="both"/>
        <w:rPr>
          <w:rFonts w:asciiTheme="minorHAnsi" w:hAnsiTheme="minorHAnsi" w:cs="Arial"/>
          <w:b/>
          <w:bCs/>
          <w:snapToGrid w:val="0"/>
        </w:rPr>
      </w:pPr>
      <w:r>
        <w:rPr>
          <w:rFonts w:asciiTheme="minorHAnsi" w:hAnsiTheme="minorHAnsi" w:cs="Arial"/>
          <w:b/>
          <w:bCs/>
          <w:snapToGrid w:val="0"/>
        </w:rPr>
        <w:t>Adult indications:</w:t>
      </w:r>
    </w:p>
    <w:p w:rsidR="00B350BB" w:rsidRPr="00B350BB" w:rsidRDefault="00B350BB" w:rsidP="00A40065">
      <w:pPr>
        <w:widowControl w:val="0"/>
        <w:spacing w:after="120"/>
        <w:ind w:left="720" w:hanging="720"/>
        <w:jc w:val="both"/>
        <w:rPr>
          <w:rFonts w:asciiTheme="minorHAnsi" w:hAnsiTheme="minorHAnsi" w:cs="Arial"/>
          <w:bCs/>
          <w:snapToGrid w:val="0"/>
        </w:rPr>
      </w:pPr>
      <w:r w:rsidRPr="00B350BB">
        <w:rPr>
          <w:rFonts w:asciiTheme="minorHAnsi" w:hAnsiTheme="minorHAnsi" w:cs="Arial"/>
          <w:bCs/>
          <w:snapToGrid w:val="0"/>
        </w:rPr>
        <w:t>Severe active rheumatoid arthritis – S85 General Schedule</w:t>
      </w:r>
    </w:p>
    <w:p w:rsidR="00B350BB" w:rsidRPr="00B350BB" w:rsidRDefault="00B350BB" w:rsidP="00A40065">
      <w:pPr>
        <w:widowControl w:val="0"/>
        <w:spacing w:after="120"/>
        <w:ind w:left="720" w:hanging="720"/>
        <w:jc w:val="both"/>
        <w:rPr>
          <w:rFonts w:asciiTheme="minorHAnsi" w:hAnsiTheme="minorHAnsi" w:cs="Arial"/>
          <w:bCs/>
          <w:snapToGrid w:val="0"/>
        </w:rPr>
      </w:pPr>
      <w:r w:rsidRPr="00B350BB">
        <w:rPr>
          <w:rFonts w:asciiTheme="minorHAnsi" w:hAnsiTheme="minorHAnsi" w:cs="Arial"/>
          <w:bCs/>
          <w:snapToGrid w:val="0"/>
        </w:rPr>
        <w:t>Severe psoriatic arthritis - S85 General Schedule</w:t>
      </w:r>
    </w:p>
    <w:p w:rsidR="00B350BB" w:rsidRPr="00B350BB" w:rsidRDefault="00B350BB" w:rsidP="00A40065">
      <w:pPr>
        <w:widowControl w:val="0"/>
        <w:spacing w:after="120"/>
        <w:ind w:left="720" w:hanging="720"/>
        <w:jc w:val="both"/>
        <w:rPr>
          <w:rFonts w:asciiTheme="minorHAnsi" w:hAnsiTheme="minorHAnsi" w:cs="Arial"/>
          <w:bCs/>
          <w:snapToGrid w:val="0"/>
        </w:rPr>
      </w:pPr>
      <w:r w:rsidRPr="00B350BB">
        <w:rPr>
          <w:rFonts w:asciiTheme="minorHAnsi" w:hAnsiTheme="minorHAnsi" w:cs="Arial"/>
          <w:bCs/>
          <w:snapToGrid w:val="0"/>
        </w:rPr>
        <w:t>Ankylosing spondylitis - S85 General Schedule</w:t>
      </w:r>
    </w:p>
    <w:p w:rsidR="00B350BB" w:rsidRDefault="00B350BB" w:rsidP="00A40065">
      <w:pPr>
        <w:widowControl w:val="0"/>
        <w:spacing w:after="120"/>
        <w:ind w:left="720" w:hanging="720"/>
        <w:jc w:val="both"/>
        <w:rPr>
          <w:rFonts w:asciiTheme="minorHAnsi" w:hAnsiTheme="minorHAnsi" w:cs="Arial"/>
          <w:bCs/>
          <w:snapToGrid w:val="0"/>
        </w:rPr>
      </w:pPr>
      <w:r w:rsidRPr="00B350BB">
        <w:rPr>
          <w:rFonts w:asciiTheme="minorHAnsi" w:hAnsiTheme="minorHAnsi" w:cs="Arial"/>
          <w:bCs/>
          <w:snapToGrid w:val="0"/>
        </w:rPr>
        <w:t>Severe chronic plaque psoriasis - S85 General Schedule</w:t>
      </w:r>
    </w:p>
    <w:p w:rsidR="00B350BB" w:rsidRDefault="00A40065" w:rsidP="00A40065">
      <w:pPr>
        <w:widowControl w:val="0"/>
        <w:spacing w:after="120"/>
        <w:ind w:left="720" w:hanging="720"/>
        <w:jc w:val="both"/>
        <w:rPr>
          <w:rFonts w:asciiTheme="minorHAnsi" w:hAnsiTheme="minorHAnsi" w:cs="Arial"/>
          <w:bCs/>
          <w:i/>
          <w:snapToGrid w:val="0"/>
        </w:rPr>
      </w:pPr>
      <w:r>
        <w:rPr>
          <w:rFonts w:asciiTheme="minorHAnsi" w:hAnsiTheme="minorHAnsi" w:cs="Arial"/>
          <w:bCs/>
          <w:i/>
          <w:snapToGrid w:val="0"/>
        </w:rPr>
        <w:lastRenderedPageBreak/>
        <w:t>Amend the note regarding biosimilar policy as below:</w:t>
      </w:r>
    </w:p>
    <w:p w:rsidR="00A40065" w:rsidRPr="00673E05" w:rsidRDefault="00A40065" w:rsidP="00A40065">
      <w:pPr>
        <w:rPr>
          <w:rFonts w:asciiTheme="minorHAnsi" w:hAnsiTheme="minorHAnsi"/>
          <w:sz w:val="22"/>
          <w:szCs w:val="22"/>
        </w:rPr>
      </w:pPr>
      <w:r w:rsidRPr="00673E05">
        <w:rPr>
          <w:rFonts w:asciiTheme="minorHAnsi" w:hAnsiTheme="minorHAnsi" w:cs="Arial"/>
          <w:b/>
          <w:bCs/>
          <w:color w:val="222222"/>
          <w:sz w:val="22"/>
          <w:szCs w:val="22"/>
          <w:u w:val="single"/>
          <w:bdr w:val="none" w:sz="0" w:space="0" w:color="auto" w:frame="1"/>
          <w:shd w:val="clear" w:color="auto" w:fill="FFFFFF"/>
        </w:rPr>
        <w:t>Note</w:t>
      </w:r>
    </w:p>
    <w:p w:rsidR="00A40065" w:rsidRPr="00673E05" w:rsidRDefault="00A40065" w:rsidP="00A40065">
      <w:pPr>
        <w:shd w:val="clear" w:color="auto" w:fill="FFFFFF"/>
        <w:spacing w:after="240" w:line="300" w:lineRule="atLeast"/>
        <w:rPr>
          <w:rFonts w:asciiTheme="minorHAnsi" w:hAnsiTheme="minorHAnsi" w:cs="Arial"/>
          <w:color w:val="222222"/>
          <w:sz w:val="22"/>
          <w:szCs w:val="22"/>
        </w:rPr>
      </w:pPr>
      <w:r w:rsidRPr="00E0500F">
        <w:rPr>
          <w:rFonts w:asciiTheme="minorHAnsi" w:hAnsiTheme="minorHAnsi" w:cs="Arial"/>
          <w:b/>
          <w:bCs/>
          <w:color w:val="222222"/>
          <w:sz w:val="22"/>
          <w:szCs w:val="22"/>
          <w:bdr w:val="none" w:sz="0" w:space="0" w:color="auto" w:frame="1"/>
        </w:rPr>
        <w:t>Biosimilar prescribing policy</w:t>
      </w:r>
      <w:r w:rsidR="007204F2">
        <w:rPr>
          <w:rFonts w:asciiTheme="minorHAnsi" w:hAnsiTheme="minorHAnsi" w:cs="Arial"/>
          <w:b/>
          <w:bCs/>
          <w:color w:val="222222"/>
          <w:sz w:val="22"/>
          <w:szCs w:val="22"/>
          <w:bdr w:val="none" w:sz="0" w:space="0" w:color="auto" w:frame="1"/>
        </w:rPr>
        <w:t>:</w:t>
      </w:r>
      <w:r w:rsidRPr="00E0500F">
        <w:rPr>
          <w:rFonts w:asciiTheme="minorHAnsi" w:hAnsiTheme="minorHAnsi" w:cs="Arial"/>
          <w:color w:val="222222"/>
          <w:sz w:val="22"/>
          <w:szCs w:val="22"/>
        </w:rPr>
        <w:t> Prescribing of the biosimilar brand</w:t>
      </w:r>
      <w:r w:rsidRPr="00E0500F">
        <w:rPr>
          <w:rFonts w:asciiTheme="minorHAnsi" w:hAnsiTheme="minorHAnsi" w:cs="Arial"/>
          <w:i/>
          <w:color w:val="222222"/>
          <w:sz w:val="22"/>
          <w:szCs w:val="22"/>
        </w:rPr>
        <w:t>s</w:t>
      </w:r>
      <w:r w:rsidRPr="00E0500F">
        <w:rPr>
          <w:rFonts w:asciiTheme="minorHAnsi" w:hAnsiTheme="minorHAnsi" w:cs="Arial"/>
          <w:color w:val="222222"/>
          <w:sz w:val="22"/>
          <w:szCs w:val="22"/>
        </w:rPr>
        <w:t xml:space="preserve"> </w:t>
      </w:r>
      <w:proofErr w:type="spellStart"/>
      <w:r w:rsidRPr="00E0500F">
        <w:rPr>
          <w:rFonts w:asciiTheme="minorHAnsi" w:hAnsiTheme="minorHAnsi" w:cs="Arial"/>
          <w:color w:val="222222"/>
          <w:sz w:val="22"/>
          <w:szCs w:val="22"/>
        </w:rPr>
        <w:t>Brenzys</w:t>
      </w:r>
      <w:proofErr w:type="spellEnd"/>
      <w:r w:rsidRPr="00E0500F">
        <w:rPr>
          <w:rFonts w:asciiTheme="minorHAnsi" w:hAnsiTheme="minorHAnsi" w:cs="Arial"/>
          <w:color w:val="222222"/>
          <w:sz w:val="22"/>
          <w:szCs w:val="22"/>
        </w:rPr>
        <w:t xml:space="preserve"> </w:t>
      </w:r>
      <w:r w:rsidRPr="00E0500F">
        <w:rPr>
          <w:rFonts w:asciiTheme="minorHAnsi" w:hAnsiTheme="minorHAnsi" w:cs="Arial"/>
          <w:i/>
          <w:color w:val="222222"/>
          <w:sz w:val="22"/>
          <w:szCs w:val="22"/>
        </w:rPr>
        <w:t xml:space="preserve">or </w:t>
      </w:r>
      <w:proofErr w:type="spellStart"/>
      <w:r w:rsidRPr="00E0500F">
        <w:rPr>
          <w:rFonts w:asciiTheme="minorHAnsi" w:hAnsiTheme="minorHAnsi" w:cs="Arial"/>
          <w:i/>
          <w:color w:val="222222"/>
          <w:sz w:val="22"/>
          <w:szCs w:val="22"/>
        </w:rPr>
        <w:t>Erelzi</w:t>
      </w:r>
      <w:proofErr w:type="spellEnd"/>
      <w:r w:rsidRPr="00E0500F">
        <w:rPr>
          <w:rFonts w:asciiTheme="minorHAnsi" w:hAnsiTheme="minorHAnsi" w:cs="Arial"/>
          <w:color w:val="222222"/>
          <w:sz w:val="22"/>
          <w:szCs w:val="22"/>
        </w:rPr>
        <w:t xml:space="preserve"> </w:t>
      </w:r>
      <w:r w:rsidRPr="00E0500F">
        <w:rPr>
          <w:rFonts w:asciiTheme="minorHAnsi" w:hAnsiTheme="minorHAnsi" w:cs="Arial"/>
          <w:i/>
          <w:color w:val="222222"/>
          <w:sz w:val="22"/>
          <w:szCs w:val="22"/>
        </w:rPr>
        <w:t>are</w:t>
      </w:r>
      <w:r w:rsidRPr="00E0500F">
        <w:rPr>
          <w:rFonts w:asciiTheme="minorHAnsi" w:hAnsiTheme="minorHAnsi" w:cs="Arial"/>
          <w:color w:val="222222"/>
          <w:sz w:val="22"/>
          <w:szCs w:val="22"/>
        </w:rPr>
        <w:t xml:space="preserve"> encouraged</w:t>
      </w:r>
      <w:r w:rsidRPr="00673E05">
        <w:rPr>
          <w:rFonts w:asciiTheme="minorHAnsi" w:hAnsiTheme="minorHAnsi" w:cs="Arial"/>
          <w:color w:val="222222"/>
          <w:sz w:val="22"/>
          <w:szCs w:val="22"/>
        </w:rPr>
        <w:t xml:space="preserve"> for treatment naive patients.</w:t>
      </w:r>
    </w:p>
    <w:p w:rsidR="00A40065" w:rsidRPr="00673E05" w:rsidRDefault="00A40065" w:rsidP="00A40065">
      <w:pPr>
        <w:shd w:val="clear" w:color="auto" w:fill="FFFFFF"/>
        <w:spacing w:after="240" w:line="300" w:lineRule="atLeast"/>
        <w:rPr>
          <w:rFonts w:asciiTheme="minorHAnsi" w:hAnsiTheme="minorHAnsi" w:cs="Arial"/>
          <w:color w:val="222222"/>
          <w:sz w:val="22"/>
          <w:szCs w:val="22"/>
        </w:rPr>
      </w:pPr>
      <w:r w:rsidRPr="00673E05">
        <w:rPr>
          <w:rFonts w:asciiTheme="minorHAnsi" w:hAnsiTheme="minorHAnsi" w:cs="Arial"/>
          <w:color w:val="222222"/>
          <w:sz w:val="22"/>
          <w:szCs w:val="22"/>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p w:rsidR="00A40065" w:rsidRPr="00252BA6" w:rsidRDefault="00A40065" w:rsidP="00A40065">
      <w:pPr>
        <w:widowControl w:val="0"/>
        <w:spacing w:after="120"/>
        <w:ind w:left="720" w:hanging="720"/>
        <w:jc w:val="both"/>
        <w:rPr>
          <w:rFonts w:asciiTheme="minorHAnsi" w:hAnsiTheme="minorHAnsi" w:cs="Arial"/>
          <w:bCs/>
          <w:snapToGrid w:val="0"/>
        </w:rPr>
      </w:pPr>
      <w:r w:rsidRPr="00252BA6">
        <w:rPr>
          <w:rFonts w:asciiTheme="minorHAnsi" w:hAnsiTheme="minorHAnsi" w:cs="Arial"/>
          <w:bCs/>
          <w:snapToGrid w:val="0"/>
        </w:rPr>
        <w:t>Restrictions for juvenile indications</w:t>
      </w:r>
      <w:r w:rsidR="00673E05" w:rsidRPr="00252BA6">
        <w:rPr>
          <w:rFonts w:asciiTheme="minorHAnsi" w:hAnsiTheme="minorHAnsi" w:cs="Arial"/>
          <w:bCs/>
          <w:snapToGrid w:val="0"/>
        </w:rPr>
        <w:t xml:space="preserve"> are</w:t>
      </w:r>
      <w:r w:rsidRPr="00252BA6">
        <w:rPr>
          <w:rFonts w:asciiTheme="minorHAnsi" w:hAnsiTheme="minorHAnsi" w:cs="Arial"/>
          <w:bCs/>
          <w:snapToGrid w:val="0"/>
        </w:rPr>
        <w:t xml:space="preserve"> to be finalised.</w:t>
      </w:r>
    </w:p>
    <w:p w:rsidR="00A40065" w:rsidRPr="00A40065" w:rsidRDefault="00A40065" w:rsidP="00A40065">
      <w:pPr>
        <w:widowControl w:val="0"/>
        <w:spacing w:after="120"/>
        <w:ind w:left="720" w:hanging="720"/>
        <w:jc w:val="both"/>
        <w:rPr>
          <w:rFonts w:asciiTheme="minorHAnsi" w:hAnsiTheme="minorHAnsi" w:cs="Arial"/>
          <w:b/>
          <w:bCs/>
          <w:snapToGrid w:val="0"/>
        </w:rPr>
      </w:pPr>
      <w:r>
        <w:rPr>
          <w:rFonts w:asciiTheme="minorHAnsi" w:hAnsiTheme="minorHAnsi" w:cs="Arial"/>
          <w:b/>
          <w:bCs/>
          <w:snapToGrid w:val="0"/>
        </w:rPr>
        <w:t>Juvenile indications:</w:t>
      </w:r>
    </w:p>
    <w:p w:rsidR="00A40065" w:rsidRPr="00A40065" w:rsidRDefault="00A40065" w:rsidP="00A40065">
      <w:pPr>
        <w:widowControl w:val="0"/>
        <w:spacing w:after="120"/>
        <w:ind w:left="720" w:hanging="720"/>
        <w:jc w:val="both"/>
        <w:rPr>
          <w:rFonts w:asciiTheme="minorHAnsi" w:hAnsiTheme="minorHAnsi" w:cs="Arial"/>
          <w:bCs/>
          <w:snapToGrid w:val="0"/>
        </w:rPr>
      </w:pPr>
      <w:r w:rsidRPr="00A40065">
        <w:rPr>
          <w:rFonts w:asciiTheme="minorHAnsi" w:hAnsiTheme="minorHAnsi" w:cs="Arial"/>
          <w:bCs/>
          <w:snapToGrid w:val="0"/>
        </w:rPr>
        <w:t>Juvenile severe chronic plaque psoriasis - S85 General Schedule</w:t>
      </w:r>
    </w:p>
    <w:p w:rsidR="00A40065" w:rsidRDefault="00A40065" w:rsidP="00A40065">
      <w:pPr>
        <w:widowControl w:val="0"/>
        <w:spacing w:after="120"/>
        <w:jc w:val="both"/>
        <w:rPr>
          <w:rFonts w:asciiTheme="minorHAnsi" w:hAnsiTheme="minorHAnsi" w:cs="Arial"/>
          <w:bCs/>
          <w:snapToGrid w:val="0"/>
        </w:rPr>
      </w:pPr>
      <w:r w:rsidRPr="00A40065">
        <w:rPr>
          <w:rFonts w:asciiTheme="minorHAnsi" w:hAnsiTheme="minorHAnsi" w:cs="Arial"/>
          <w:bCs/>
          <w:snapToGrid w:val="0"/>
        </w:rPr>
        <w:t>Severe active juvenile idiopathic arthritis – S85 General S</w:t>
      </w:r>
      <w:r>
        <w:rPr>
          <w:rFonts w:asciiTheme="minorHAnsi" w:hAnsiTheme="minorHAnsi" w:cs="Arial"/>
          <w:bCs/>
          <w:snapToGrid w:val="0"/>
        </w:rPr>
        <w:t xml:space="preserve">chedule (patients aged 18 years </w:t>
      </w:r>
      <w:r w:rsidRPr="00A40065">
        <w:rPr>
          <w:rFonts w:asciiTheme="minorHAnsi" w:hAnsiTheme="minorHAnsi" w:cs="Arial"/>
          <w:bCs/>
          <w:snapToGrid w:val="0"/>
        </w:rPr>
        <w:t>and over) S100 Highly Specialised Drugs (HSD) Program (patients under 18 years of age)</w:t>
      </w:r>
    </w:p>
    <w:p w:rsidR="001845BF" w:rsidRPr="00673E05" w:rsidRDefault="001845BF" w:rsidP="00252BA6">
      <w:pPr>
        <w:spacing w:before="240" w:after="120"/>
        <w:rPr>
          <w:rFonts w:asciiTheme="minorHAnsi" w:hAnsiTheme="minorHAnsi"/>
          <w:b/>
          <w:sz w:val="28"/>
          <w:szCs w:val="28"/>
        </w:rPr>
      </w:pPr>
      <w:r w:rsidRPr="00673E05">
        <w:rPr>
          <w:rFonts w:asciiTheme="minorHAnsi" w:hAnsiTheme="minorHAnsi"/>
          <w:b/>
          <w:sz w:val="28"/>
          <w:szCs w:val="28"/>
        </w:rPr>
        <w:t>Appendix A: Juvenile Idiopathic Arthritis Secretariat Proposed Restriction</w:t>
      </w:r>
      <w:r w:rsidR="00C75D51" w:rsidRPr="00673E05">
        <w:rPr>
          <w:rFonts w:asciiTheme="minorHAnsi" w:hAnsiTheme="minorHAnsi"/>
          <w:b/>
          <w:sz w:val="28"/>
          <w:szCs w:val="28"/>
        </w:rPr>
        <w:t>s</w:t>
      </w:r>
    </w:p>
    <w:p w:rsidR="001845BF" w:rsidRDefault="001845BF" w:rsidP="001845BF">
      <w:pPr>
        <w:rPr>
          <w:rFonts w:asciiTheme="minorHAnsi" w:hAnsiTheme="minorHAnsi"/>
          <w:lang w:eastAsia="en-US"/>
        </w:rPr>
      </w:pPr>
      <w:r>
        <w:rPr>
          <w:rFonts w:asciiTheme="minorHAnsi" w:hAnsiTheme="minorHAnsi"/>
          <w:lang w:eastAsia="en-US"/>
        </w:rPr>
        <w:t xml:space="preserve">The Secretariat proposes the following remodelled restrictions for juvenile idiopathic arthritis to align the listings for this indication with the recently remodelled adult indications for </w:t>
      </w:r>
      <w:proofErr w:type="spellStart"/>
      <w:r>
        <w:rPr>
          <w:rFonts w:asciiTheme="minorHAnsi" w:hAnsiTheme="minorHAnsi"/>
          <w:lang w:eastAsia="en-US"/>
        </w:rPr>
        <w:t>etanercept</w:t>
      </w:r>
      <w:proofErr w:type="spellEnd"/>
      <w:r>
        <w:rPr>
          <w:rFonts w:asciiTheme="minorHAnsi" w:hAnsiTheme="minorHAnsi"/>
          <w:lang w:eastAsia="en-US"/>
        </w:rPr>
        <w:t>.</w:t>
      </w:r>
    </w:p>
    <w:p w:rsidR="002B559D" w:rsidRDefault="002B559D" w:rsidP="001845BF">
      <w:pPr>
        <w:rPr>
          <w:rFonts w:asciiTheme="minorHAnsi" w:hAnsiTheme="minorHAnsi"/>
          <w:lang w:eastAsia="en-US"/>
        </w:rPr>
      </w:pPr>
    </w:p>
    <w:p w:rsidR="002B559D" w:rsidRPr="002B559D" w:rsidRDefault="002B559D" w:rsidP="002B559D">
      <w:pPr>
        <w:pStyle w:val="Caption"/>
        <w:outlineLvl w:val="1"/>
      </w:pPr>
      <w:r w:rsidRPr="002B559D">
        <w:t xml:space="preserve">Table </w:t>
      </w:r>
      <w:r w:rsidR="00A40065">
        <w:rPr>
          <w:noProof/>
        </w:rPr>
        <w:t>3</w:t>
      </w:r>
      <w:r w:rsidRPr="002B559D">
        <w:t>:</w:t>
      </w:r>
      <w:r>
        <w:t xml:space="preserve"> S85</w:t>
      </w:r>
      <w:r w:rsidRPr="002B559D">
        <w:t xml:space="preserve"> - Initial 1 and 2 Restrictions</w:t>
      </w:r>
    </w:p>
    <w:tbl>
      <w:tblPr>
        <w:tblW w:w="4912" w:type="pct"/>
        <w:tblLook w:val="0000" w:firstRow="0" w:lastRow="0" w:firstColumn="0" w:lastColumn="0" w:noHBand="0" w:noVBand="0"/>
      </w:tblPr>
      <w:tblGrid>
        <w:gridCol w:w="1979"/>
        <w:gridCol w:w="1398"/>
        <w:gridCol w:w="763"/>
        <w:gridCol w:w="915"/>
        <w:gridCol w:w="770"/>
        <w:gridCol w:w="1605"/>
        <w:gridCol w:w="763"/>
        <w:gridCol w:w="886"/>
      </w:tblGrid>
      <w:tr w:rsidR="007204F2" w:rsidRPr="0039782C" w:rsidTr="007204F2">
        <w:trPr>
          <w:gridAfter w:val="2"/>
          <w:wAfter w:w="907" w:type="pct"/>
          <w:cantSplit/>
          <w:trHeight w:val="465"/>
        </w:trPr>
        <w:tc>
          <w:tcPr>
            <w:tcW w:w="1860"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0"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4"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308"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204F2" w:rsidRPr="00260CE3" w:rsidTr="007204F2">
        <w:trPr>
          <w:gridAfter w:val="2"/>
          <w:wAfter w:w="907" w:type="pct"/>
          <w:cantSplit/>
          <w:trHeight w:val="567"/>
        </w:trPr>
        <w:tc>
          <w:tcPr>
            <w:tcW w:w="1860" w:type="pct"/>
            <w:gridSpan w:val="2"/>
          </w:tcPr>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mallCaps/>
                <w:sz w:val="20"/>
                <w:szCs w:val="20"/>
              </w:rPr>
              <w:t>ETANERCEPT</w:t>
            </w: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auto-injector, 4</w:t>
            </w: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pre-filled syringe, 4</w:t>
            </w:r>
          </w:p>
        </w:tc>
        <w:tc>
          <w:tcPr>
            <w:tcW w:w="420"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tc>
        <w:tc>
          <w:tcPr>
            <w:tcW w:w="504"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3</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3</w:t>
            </w:r>
          </w:p>
        </w:tc>
        <w:tc>
          <w:tcPr>
            <w:tcW w:w="424" w:type="pct"/>
          </w:tcPr>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Enbrel</w:t>
            </w:r>
            <w:r>
              <w:rPr>
                <w:rFonts w:ascii="Arial Narrow" w:hAnsi="Arial Narrow" w:cs="Arial"/>
                <w:sz w:val="20"/>
                <w:szCs w:val="20"/>
                <w:vertAlign w:val="superscript"/>
              </w:rPr>
              <w:t>®</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054A37" w:rsidRDefault="007204F2" w:rsidP="00F574A7">
            <w:pPr>
              <w:keepNext/>
              <w:spacing w:before="40" w:after="40"/>
              <w:jc w:val="both"/>
              <w:rPr>
                <w:rFonts w:ascii="Arial Narrow" w:hAnsi="Arial Narrow" w:cs="Arial"/>
                <w:sz w:val="20"/>
                <w:szCs w:val="20"/>
                <w:vertAlign w:val="superscript"/>
              </w:rPr>
            </w:pPr>
            <w:proofErr w:type="spellStart"/>
            <w:r>
              <w:rPr>
                <w:rFonts w:ascii="Arial Narrow" w:hAnsi="Arial Narrow" w:cs="Arial"/>
                <w:sz w:val="20"/>
                <w:szCs w:val="20"/>
              </w:rPr>
              <w:t>Erelzi</w:t>
            </w:r>
            <w:proofErr w:type="spellEnd"/>
            <w:r>
              <w:rPr>
                <w:rFonts w:ascii="Arial Narrow" w:hAnsi="Arial Narrow" w:cs="Arial"/>
                <w:sz w:val="20"/>
                <w:szCs w:val="20"/>
                <w:vertAlign w:val="superscript"/>
              </w:rPr>
              <w:t>®</w:t>
            </w:r>
          </w:p>
        </w:tc>
        <w:tc>
          <w:tcPr>
            <w:tcW w:w="884" w:type="pct"/>
          </w:tcPr>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Pfizer Australia Pty Ltd</w:t>
            </w: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Sandoz Pty Ltd</w:t>
            </w:r>
          </w:p>
        </w:tc>
      </w:tr>
      <w:tr w:rsidR="001845BF" w:rsidRPr="00260CE3" w:rsidTr="007204F2">
        <w:trPr>
          <w:gridAfter w:val="1"/>
          <w:wAfter w:w="488" w:type="pct"/>
          <w:cantSplit/>
          <w:trHeight w:val="360"/>
        </w:trPr>
        <w:tc>
          <w:tcPr>
            <w:tcW w:w="4512" w:type="pct"/>
            <w:gridSpan w:val="7"/>
            <w:tcBorders>
              <w:bottom w:val="single" w:sz="4" w:space="0" w:color="auto"/>
            </w:tcBorders>
          </w:tcPr>
          <w:p w:rsidR="001845BF" w:rsidRPr="00260CE3" w:rsidRDefault="001845BF" w:rsidP="00F574A7">
            <w:pPr>
              <w:spacing w:before="40" w:after="40"/>
              <w:jc w:val="both"/>
              <w:rPr>
                <w:rFonts w:ascii="Arial Narrow" w:hAnsi="Arial Narrow" w:cs="Arial"/>
                <w:sz w:val="20"/>
                <w:szCs w:val="20"/>
              </w:rPr>
            </w:pPr>
          </w:p>
        </w:tc>
      </w:tr>
      <w:tr w:rsidR="001845BF"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845BF" w:rsidRPr="004C6C07" w:rsidRDefault="001845BF" w:rsidP="00F574A7">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1845BF" w:rsidRPr="00260CE3" w:rsidRDefault="001845BF" w:rsidP="00F574A7">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0" w:type="pct"/>
            <w:gridSpan w:val="7"/>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1845BF" w:rsidRPr="00260CE3" w:rsidRDefault="001845BF" w:rsidP="00F574A7">
            <w:pPr>
              <w:spacing w:before="40" w:after="40"/>
              <w:rPr>
                <w:rFonts w:ascii="Arial Narrow" w:hAnsi="Arial Narrow" w:cs="Arial"/>
                <w:sz w:val="20"/>
                <w:szCs w:val="20"/>
              </w:rPr>
            </w:pPr>
          </w:p>
        </w:tc>
      </w:tr>
      <w:tr w:rsidR="001845BF"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0" w:type="pct"/>
            <w:gridSpan w:val="7"/>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1845BF" w:rsidRPr="00260CE3" w:rsidRDefault="001845BF"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1845BF"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0" w:type="pct"/>
            <w:gridSpan w:val="7"/>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rPr>
                <w:rFonts w:ascii="Arial Narrow" w:hAnsi="Arial Narrow" w:cs="Arial"/>
                <w:sz w:val="20"/>
                <w:szCs w:val="20"/>
              </w:rPr>
            </w:pPr>
            <w:r w:rsidRPr="0004601D">
              <w:rPr>
                <w:rFonts w:ascii="Arial Narrow" w:hAnsi="Arial Narrow" w:cs="Arial"/>
                <w:sz w:val="20"/>
                <w:szCs w:val="20"/>
              </w:rPr>
              <w:t>Severe active juvenile idiopathic arthritis</w:t>
            </w:r>
          </w:p>
        </w:tc>
      </w:tr>
      <w:tr w:rsidR="001845BF"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845BF" w:rsidRPr="00260CE3" w:rsidRDefault="001845BF" w:rsidP="00F574A7">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845BF" w:rsidRPr="00260CE3" w:rsidRDefault="001845BF" w:rsidP="00F574A7">
            <w:pPr>
              <w:spacing w:before="40" w:after="40"/>
              <w:rPr>
                <w:rFonts w:ascii="Arial Narrow" w:hAnsi="Arial Narrow" w:cs="Arial"/>
                <w:sz w:val="20"/>
                <w:szCs w:val="20"/>
              </w:rPr>
            </w:pPr>
          </w:p>
        </w:tc>
        <w:tc>
          <w:tcPr>
            <w:tcW w:w="3910" w:type="pct"/>
            <w:gridSpan w:val="7"/>
            <w:tcBorders>
              <w:top w:val="single" w:sz="4" w:space="0" w:color="auto"/>
              <w:left w:val="single" w:sz="4" w:space="0" w:color="auto"/>
              <w:bottom w:val="single" w:sz="4" w:space="0" w:color="auto"/>
              <w:right w:val="single" w:sz="4" w:space="0" w:color="auto"/>
            </w:tcBorders>
          </w:tcPr>
          <w:p w:rsidR="001845BF" w:rsidRPr="00106BCF" w:rsidRDefault="001845BF"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845BF" w:rsidRPr="00106BCF" w:rsidRDefault="001845BF"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845BF" w:rsidRPr="00106BCF" w:rsidRDefault="001845BF"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845BF" w:rsidRPr="00106BCF" w:rsidRDefault="001845BF"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845BF" w:rsidRPr="00106BCF" w:rsidRDefault="001845BF"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845BF" w:rsidRPr="00260CE3" w:rsidRDefault="001845BF"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1845BF" w:rsidRPr="00260CE3" w:rsidTr="007204F2">
        <w:trPr>
          <w:cantSplit/>
          <w:trHeight w:val="360"/>
        </w:trPr>
        <w:tc>
          <w:tcPr>
            <w:tcW w:w="1090" w:type="pct"/>
            <w:tcBorders>
              <w:top w:val="single" w:sz="4" w:space="0" w:color="auto"/>
              <w:left w:val="single" w:sz="4" w:space="0" w:color="auto"/>
              <w:right w:val="single" w:sz="4" w:space="0" w:color="auto"/>
            </w:tcBorders>
          </w:tcPr>
          <w:p w:rsidR="001845BF" w:rsidRPr="00260CE3" w:rsidRDefault="001845BF" w:rsidP="00F574A7">
            <w:pPr>
              <w:spacing w:before="40" w:after="40"/>
              <w:jc w:val="both"/>
              <w:rPr>
                <w:rFonts w:ascii="Arial Narrow" w:hAnsi="Arial Narrow" w:cs="Arial"/>
                <w:b/>
                <w:sz w:val="20"/>
                <w:szCs w:val="20"/>
              </w:rPr>
            </w:pPr>
            <w:r>
              <w:rPr>
                <w:rFonts w:ascii="Arial Narrow" w:hAnsi="Arial Narrow" w:cs="Arial"/>
                <w:b/>
                <w:sz w:val="20"/>
                <w:szCs w:val="20"/>
              </w:rPr>
              <w:t>Administrative Advice</w:t>
            </w:r>
            <w:r w:rsidR="0022377B">
              <w:rPr>
                <w:rFonts w:ascii="Arial Narrow" w:hAnsi="Arial Narrow" w:cs="Arial"/>
                <w:b/>
                <w:sz w:val="20"/>
                <w:szCs w:val="20"/>
              </w:rPr>
              <w:t xml:space="preserve"> (Note)</w:t>
            </w:r>
            <w:r w:rsidR="00AF3B30">
              <w:rPr>
                <w:rFonts w:ascii="Arial Narrow" w:hAnsi="Arial Narrow" w:cs="Arial"/>
                <w:b/>
                <w:sz w:val="20"/>
                <w:szCs w:val="20"/>
              </w:rPr>
              <w:t xml:space="preserve"> (all treatment phases)</w:t>
            </w:r>
            <w:r>
              <w:rPr>
                <w:rFonts w:ascii="Arial Narrow" w:hAnsi="Arial Narrow" w:cs="Arial"/>
                <w:b/>
                <w:sz w:val="20"/>
                <w:szCs w:val="20"/>
              </w:rPr>
              <w:t>:</w:t>
            </w:r>
          </w:p>
        </w:tc>
        <w:tc>
          <w:tcPr>
            <w:tcW w:w="3910" w:type="pct"/>
            <w:gridSpan w:val="7"/>
            <w:tcBorders>
              <w:top w:val="single" w:sz="4" w:space="0" w:color="auto"/>
              <w:left w:val="single" w:sz="4" w:space="0" w:color="auto"/>
              <w:right w:val="single" w:sz="4" w:space="0" w:color="auto"/>
            </w:tcBorders>
          </w:tcPr>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TREATMENT OF ADULT PATIENTS WITH A HISTORY OF JUVENILE IDIOPATHIC ARTHRITIS</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The following information applies to the prescribing under the Pharmaceutical Benefits Scheme (PBS) of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for a patient over 18 years who has a history of juvenile idiopathic arthritis with onset prior to the age of 18 years. Where the term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appears in notes and restrictions, it refers to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only.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is eligible for PBS-subsidised treatment with only 1 of the 3 </w:t>
            </w:r>
            <w:proofErr w:type="spellStart"/>
            <w:r w:rsidRPr="0022377B">
              <w:rPr>
                <w:rFonts w:ascii="Arial Narrow" w:hAnsi="Arial Narrow" w:cs="Arial"/>
                <w:sz w:val="20"/>
                <w:szCs w:val="20"/>
              </w:rPr>
              <w:t>bDMARDs</w:t>
            </w:r>
            <w:proofErr w:type="spellEnd"/>
            <w:r w:rsidRPr="0022377B">
              <w:rPr>
                <w:rFonts w:ascii="Arial Narrow" w:hAnsi="Arial Narrow" w:cs="Arial"/>
                <w:sz w:val="20"/>
                <w:szCs w:val="20"/>
              </w:rPr>
              <w:t xml:space="preserve"> at any one time.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From 1 April 2014, a patient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is considered to be in a treatment cycle where they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experience a disease flare. Under these interchangeability arrangements, within a single treatment cycle, a patient may: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continue to receive long-term treatment with a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while they continue to show a response to therapy; and</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(ii) </w:t>
            </w:r>
            <w:proofErr w:type="gramStart"/>
            <w:r w:rsidRPr="0022377B">
              <w:rPr>
                <w:rFonts w:ascii="Arial Narrow" w:hAnsi="Arial Narrow" w:cs="Arial"/>
                <w:sz w:val="20"/>
                <w:szCs w:val="20"/>
              </w:rPr>
              <w:t>fail</w:t>
            </w:r>
            <w:proofErr w:type="gramEnd"/>
            <w:r w:rsidRPr="0022377B">
              <w:rPr>
                <w:rFonts w:ascii="Arial Narrow" w:hAnsi="Arial Narrow" w:cs="Arial"/>
                <w:sz w:val="20"/>
                <w:szCs w:val="20"/>
              </w:rPr>
              <w:t xml:space="preserve"> to respond or to sustain a response to each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once only.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Once a patient has either failed or ceased to respond to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3 times, they are deemed to have completed a single treatment cycle and they must have, at a minimum, a 5 year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before they are eligible to receive further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The length of a treatment break is measured from the date of the last approval for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in the last treatment cycle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who was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immediately prior to 1 April 2014 is considered to be in their first cycle as of 1 April 2014. A </w:t>
            </w:r>
            <w:proofErr w:type="gramStart"/>
            <w:r w:rsidRPr="0022377B">
              <w:rPr>
                <w:rFonts w:ascii="Arial Narrow" w:hAnsi="Arial Narrow" w:cs="Arial"/>
                <w:sz w:val="20"/>
                <w:szCs w:val="20"/>
              </w:rPr>
              <w:t>patient</w:t>
            </w:r>
            <w:proofErr w:type="gramEnd"/>
            <w:r w:rsidRPr="0022377B">
              <w:rPr>
                <w:rFonts w:ascii="Arial Narrow" w:hAnsi="Arial Narrow" w:cs="Arial"/>
                <w:sz w:val="20"/>
                <w:szCs w:val="20"/>
              </w:rPr>
              <w:t xml:space="preserve"> who has had a break in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of at least 24 months immediately prior to making a new application, on or after 1 April 2014, will commence a new treatment cycle.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less than 24 months may commence a further course of treatment within the same treatment cycle.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more than 24 months must commence a new treatment cycle. The length of the break in therapy is measured from the date the most recent treatment with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was stopped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There is no limit to the number of treatment cycles a patient may undertake.</w:t>
            </w:r>
          </w:p>
          <w:p w:rsidR="001845BF" w:rsidRPr="00106BCF"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(1) How to prescribe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after 1 April 2014.</w:t>
            </w:r>
          </w:p>
        </w:tc>
      </w:tr>
      <w:tr w:rsidR="0022377B" w:rsidRPr="00260CE3" w:rsidTr="007204F2">
        <w:trPr>
          <w:cantSplit/>
          <w:trHeight w:val="360"/>
        </w:trPr>
        <w:tc>
          <w:tcPr>
            <w:tcW w:w="1090" w:type="pct"/>
            <w:tcBorders>
              <w:left w:val="single" w:sz="4" w:space="0" w:color="auto"/>
              <w:right w:val="single" w:sz="4" w:space="0" w:color="auto"/>
            </w:tcBorders>
          </w:tcPr>
          <w:p w:rsidR="0022377B" w:rsidRDefault="0022377B" w:rsidP="00F574A7">
            <w:pPr>
              <w:spacing w:before="40" w:after="40"/>
              <w:jc w:val="both"/>
              <w:rPr>
                <w:rFonts w:ascii="Arial Narrow" w:hAnsi="Arial Narrow" w:cs="Arial"/>
                <w:b/>
                <w:sz w:val="20"/>
                <w:szCs w:val="20"/>
              </w:rPr>
            </w:pPr>
          </w:p>
        </w:tc>
        <w:tc>
          <w:tcPr>
            <w:tcW w:w="3910" w:type="pct"/>
            <w:gridSpan w:val="7"/>
            <w:tcBorders>
              <w:left w:val="single" w:sz="4" w:space="0" w:color="auto"/>
              <w:right w:val="single" w:sz="4" w:space="0" w:color="auto"/>
            </w:tcBorders>
          </w:tcPr>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(a) Initial treatment.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Applications for initial treatment should be made where: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a patient has received no prior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in this treatment cycle and wishes to commence such therapy (Initial 1); or</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(ii) a patient wishes to re-commence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in PBS-subsidised therapy of more than 24 months (Initial 1); or</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(iii) a patient has received prior PBS-subsidised (initial or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and wishes to trial an alternate agent (Initial 2) [further details are under 'Swapping therapy' below]; </w:t>
            </w:r>
            <w:r w:rsidR="00DB2489">
              <w:rPr>
                <w:rFonts w:ascii="Arial Narrow" w:hAnsi="Arial Narrow" w:cs="Arial"/>
                <w:sz w:val="20"/>
                <w:szCs w:val="20"/>
              </w:rPr>
              <w:t>OR</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(iv) </w:t>
            </w:r>
            <w:proofErr w:type="gramStart"/>
            <w:r w:rsidRPr="0022377B">
              <w:rPr>
                <w:rFonts w:ascii="Arial Narrow" w:hAnsi="Arial Narrow" w:cs="Arial"/>
                <w:sz w:val="20"/>
                <w:szCs w:val="20"/>
              </w:rPr>
              <w:t>a</w:t>
            </w:r>
            <w:proofErr w:type="gramEnd"/>
            <w:r w:rsidRPr="0022377B">
              <w:rPr>
                <w:rFonts w:ascii="Arial Narrow" w:hAnsi="Arial Narrow" w:cs="Arial"/>
                <w:sz w:val="20"/>
                <w:szCs w:val="20"/>
              </w:rPr>
              <w:t xml:space="preserve"> patient wishes to re-commence treatment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of less than 24 months in PBS-subsidised therapy with that agent (Initial 2).</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Initial treatment authorisations will be limited to provide for a maximum of 16 weeks of therapy.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A patient must be assessed for response to any course of initial PBS-subsidised treatment following a minimum of 12 weeks of therapy, and this assessment must be submitted to the Department of Human Services no later than 4 weeks from the date that course was ceased.</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For second and subsequent courses of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it is recommended that a patient is reviewed in the 4 weeks prior to completing their current course of treatment and that an application is posted to the Department of Human Services no later than 2 weeks prior to the pat</w:t>
            </w:r>
            <w:r w:rsidR="00DB2489">
              <w:rPr>
                <w:rFonts w:ascii="Arial Narrow" w:hAnsi="Arial Narrow" w:cs="Arial"/>
                <w:sz w:val="20"/>
                <w:szCs w:val="20"/>
              </w:rPr>
              <w:t>i</w:t>
            </w:r>
            <w:r w:rsidRPr="0022377B">
              <w:rPr>
                <w:rFonts w:ascii="Arial Narrow" w:hAnsi="Arial Narrow" w:cs="Arial"/>
                <w:sz w:val="20"/>
                <w:szCs w:val="20"/>
              </w:rPr>
              <w:t>ent completing their current treatment course.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(b) Continuing treatment.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Following the completion of an initial treatment course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a patient may qualify to receive up to 24 weeks of continuing treatment with that drug providing they have demonstrated an adequate response to treatment.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remains eligible to receive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with the same drug in courses of up to 24 weeks providing they continue to sustain the response.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It is recommended that a patient be reviewed in the month prior to completing their current course of treatment to ensure uninterrupted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supply.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Assessments of response to a course of PBS-subsidised therapy must be submitted to the Department of Human Services no later than 4 weeks from the date that course was ceased.</w:t>
            </w:r>
          </w:p>
        </w:tc>
      </w:tr>
      <w:tr w:rsidR="0022377B" w:rsidRPr="00260CE3" w:rsidTr="007204F2">
        <w:trPr>
          <w:cantSplit/>
          <w:trHeight w:val="360"/>
        </w:trPr>
        <w:tc>
          <w:tcPr>
            <w:tcW w:w="1090" w:type="pct"/>
            <w:tcBorders>
              <w:left w:val="single" w:sz="4" w:space="0" w:color="auto"/>
              <w:bottom w:val="single" w:sz="4" w:space="0" w:color="auto"/>
              <w:right w:val="single" w:sz="4" w:space="0" w:color="auto"/>
            </w:tcBorders>
          </w:tcPr>
          <w:p w:rsidR="0022377B" w:rsidRDefault="0022377B" w:rsidP="00F574A7">
            <w:pPr>
              <w:spacing w:before="40" w:after="40"/>
              <w:jc w:val="both"/>
              <w:rPr>
                <w:rFonts w:ascii="Arial Narrow" w:hAnsi="Arial Narrow" w:cs="Arial"/>
                <w:b/>
                <w:sz w:val="20"/>
                <w:szCs w:val="20"/>
              </w:rPr>
            </w:pPr>
          </w:p>
        </w:tc>
        <w:tc>
          <w:tcPr>
            <w:tcW w:w="3910" w:type="pct"/>
            <w:gridSpan w:val="7"/>
            <w:tcBorders>
              <w:left w:val="single" w:sz="4" w:space="0" w:color="auto"/>
              <w:bottom w:val="single" w:sz="4" w:space="0" w:color="auto"/>
              <w:right w:val="single" w:sz="4" w:space="0" w:color="auto"/>
            </w:tcBorders>
          </w:tcPr>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(2) Swapping therapy.</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Once initial treatment with the first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is approved, a patient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requalify with respect to the indices of disease severity (joint count and ESR/CRP) or the prior non-</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requirements, except if the patient has had a break in therapy of more than 24 months.</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may trial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any time, regardless of whether they are receiving therapy (initial or continuing)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the time of the application. However, they cannot swap to a particular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if they have failed to respond to prior treatment with that drug within the current treatment cycle.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To ensure a patient receives the maximum treatment opportunities allowed under the interchangeability arrangements, it is important that they are assessed for response to every course of treatment approved, within the timeframes specified in the relevant restriction.</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To avoid confusion, an application for a patient who wishes to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should be accompanied by the approved authority prescription or remaining repeats for the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 patient is ceasing.</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(3) Baseline measurements to determine response.</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The Department of Human Services will determine whether a response to treatment has been demonstrated based on the baseline measurements of the joint count submitted with the first authority application for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However, prescribers may provide a new baseline measurement any time that an initial treatment authority application is submitted within a treatment cycle and the Department of Human Services will assess response according to the revised baseline measurement.</w:t>
            </w:r>
          </w:p>
          <w:p w:rsidR="0022377B" w:rsidRP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(4) Re-commencement of treatment after a 24 month </w:t>
            </w:r>
            <w:proofErr w:type="gramStart"/>
            <w:r w:rsidRPr="0022377B">
              <w:rPr>
                <w:rFonts w:ascii="Arial Narrow" w:hAnsi="Arial Narrow" w:cs="Arial"/>
                <w:sz w:val="20"/>
                <w:szCs w:val="20"/>
              </w:rPr>
              <w:t>break</w:t>
            </w:r>
            <w:proofErr w:type="gramEnd"/>
            <w:r w:rsidRPr="0022377B">
              <w:rPr>
                <w:rFonts w:ascii="Arial Narrow" w:hAnsi="Arial Narrow" w:cs="Arial"/>
                <w:sz w:val="20"/>
                <w:szCs w:val="20"/>
              </w:rPr>
              <w:t xml:space="preserve"> in PBS-subsidised therapy.</w:t>
            </w:r>
          </w:p>
          <w:p w:rsidR="0022377B" w:rsidRDefault="0022377B" w:rsidP="0022377B">
            <w:pPr>
              <w:spacing w:before="40" w:after="40"/>
              <w:rPr>
                <w:rFonts w:ascii="Arial Narrow" w:hAnsi="Arial Narrow" w:cs="Arial"/>
                <w:sz w:val="20"/>
                <w:szCs w:val="20"/>
              </w:rPr>
            </w:pPr>
            <w:r w:rsidRPr="0022377B">
              <w:rPr>
                <w:rFonts w:ascii="Arial Narrow" w:hAnsi="Arial Narrow" w:cs="Arial"/>
                <w:sz w:val="20"/>
                <w:szCs w:val="20"/>
              </w:rPr>
              <w:t xml:space="preserve">A patient who wishes to start a second or subsequent treatment cycle following a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of at least 24 months, must requalify for treatment under the Initial 1 treatment restriction.</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No increase in the maximum quantity or number of units may be authorised.</w:t>
            </w:r>
          </w:p>
          <w:p w:rsidR="00D81567" w:rsidRPr="0022377B" w:rsidRDefault="00D81567" w:rsidP="00D81567">
            <w:pPr>
              <w:spacing w:before="40" w:after="40"/>
              <w:rPr>
                <w:rFonts w:ascii="Arial Narrow" w:hAnsi="Arial Narrow" w:cs="Arial"/>
                <w:sz w:val="20"/>
                <w:szCs w:val="20"/>
              </w:rPr>
            </w:pPr>
            <w:r w:rsidRPr="00D81567">
              <w:rPr>
                <w:rFonts w:ascii="Arial Narrow" w:hAnsi="Arial Narrow" w:cs="Arial"/>
                <w:sz w:val="20"/>
                <w:szCs w:val="20"/>
              </w:rPr>
              <w:t>No increase in the maximum number of repeats may be authorised.</w:t>
            </w:r>
          </w:p>
        </w:tc>
      </w:tr>
      <w:tr w:rsidR="0022377B"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377B" w:rsidRPr="00200D89" w:rsidRDefault="0022377B" w:rsidP="00F574A7">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22377B" w:rsidRPr="00260CE3" w:rsidRDefault="0022377B" w:rsidP="00F574A7">
            <w:pPr>
              <w:spacing w:before="40" w:after="40"/>
              <w:rPr>
                <w:rFonts w:ascii="Arial Narrow" w:hAnsi="Arial Narrow" w:cs="Arial"/>
                <w:sz w:val="20"/>
                <w:szCs w:val="20"/>
              </w:rPr>
            </w:pPr>
            <w:r>
              <w:rPr>
                <w:rFonts w:ascii="Arial Narrow" w:hAnsi="Arial Narrow" w:cs="Arial"/>
                <w:sz w:val="20"/>
                <w:szCs w:val="20"/>
              </w:rPr>
              <w:t>Initial 1 (</w:t>
            </w:r>
            <w:r w:rsidRPr="0022377B">
              <w:rPr>
                <w:rFonts w:ascii="Arial Narrow" w:hAnsi="Arial Narrow" w:cs="Arial"/>
                <w:sz w:val="20"/>
                <w:szCs w:val="20"/>
              </w:rPr>
              <w:t>new patient or patient recommencing treatment after a break of more than 24 months</w:t>
            </w:r>
            <w:r>
              <w:rPr>
                <w:rFonts w:ascii="Arial Narrow" w:hAnsi="Arial Narrow" w:cs="Arial"/>
                <w:sz w:val="20"/>
                <w:szCs w:val="20"/>
              </w:rPr>
              <w:t>)</w:t>
            </w:r>
          </w:p>
        </w:tc>
      </w:tr>
      <w:tr w:rsidR="0022377B"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377B" w:rsidRPr="00260CE3" w:rsidRDefault="0022377B" w:rsidP="00F574A7">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22377B" w:rsidRDefault="0022377B" w:rsidP="0022377B">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 xml:space="preserve">Must be treated by a rheumatologist; </w:t>
            </w:r>
          </w:p>
          <w:p w:rsidR="0022377B" w:rsidRPr="0022377B" w:rsidRDefault="0022377B" w:rsidP="0022377B">
            <w:pPr>
              <w:spacing w:before="40" w:after="40"/>
              <w:ind w:left="289"/>
              <w:rPr>
                <w:rFonts w:ascii="Arial Narrow" w:hAnsi="Arial Narrow" w:cs="Arial"/>
                <w:sz w:val="20"/>
                <w:szCs w:val="20"/>
              </w:rPr>
            </w:pPr>
            <w:r w:rsidRPr="0022377B">
              <w:rPr>
                <w:rFonts w:ascii="Arial Narrow" w:hAnsi="Arial Narrow" w:cs="Arial"/>
                <w:sz w:val="20"/>
                <w:szCs w:val="20"/>
              </w:rPr>
              <w:t>OR</w:t>
            </w:r>
          </w:p>
          <w:p w:rsidR="0022377B" w:rsidRPr="0022377B" w:rsidRDefault="0022377B" w:rsidP="00F574A7">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Must be treated by a clinical immunologist with expertise in the management of rheumatoid arthritis.</w:t>
            </w:r>
          </w:p>
        </w:tc>
      </w:tr>
      <w:tr w:rsidR="0022377B"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22377B" w:rsidRDefault="0022377B" w:rsidP="00F574A7">
            <w:pPr>
              <w:spacing w:before="40" w:after="40"/>
              <w:jc w:val="both"/>
              <w:rPr>
                <w:rFonts w:ascii="Arial Narrow" w:hAnsi="Arial Narrow" w:cs="Arial"/>
                <w:b/>
                <w:sz w:val="20"/>
                <w:szCs w:val="20"/>
              </w:rPr>
            </w:pPr>
            <w:r>
              <w:rPr>
                <w:rFonts w:ascii="Arial Narrow" w:hAnsi="Arial Narrow" w:cs="Arial"/>
                <w:b/>
                <w:sz w:val="20"/>
                <w:szCs w:val="20"/>
              </w:rPr>
              <w:lastRenderedPageBreak/>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22377B" w:rsidRDefault="0022377B" w:rsidP="0022377B">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have a documented history of severe active juvenile idiopathic arthritis with onset prior to the age of 18 years;</w:t>
            </w:r>
          </w:p>
          <w:p w:rsidR="0022377B" w:rsidRDefault="0022377B" w:rsidP="0022377B">
            <w:pPr>
              <w:spacing w:before="40" w:after="40"/>
              <w:ind w:left="289"/>
              <w:rPr>
                <w:rFonts w:ascii="Arial Narrow" w:hAnsi="Arial Narrow" w:cs="Arial"/>
                <w:sz w:val="20"/>
                <w:szCs w:val="20"/>
              </w:rPr>
            </w:pPr>
            <w:r>
              <w:rPr>
                <w:rFonts w:ascii="Arial Narrow" w:hAnsi="Arial Narrow" w:cs="Arial"/>
                <w:sz w:val="20"/>
                <w:szCs w:val="20"/>
              </w:rPr>
              <w:t>AND</w:t>
            </w:r>
          </w:p>
          <w:p w:rsidR="0022377B" w:rsidRDefault="0022377B" w:rsidP="0022377B">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Patient must have received no PBS-subsidised treatment with a biological disease modifying anti-rheumatic drug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for this condition in the previous 24 months; </w:t>
            </w:r>
          </w:p>
          <w:p w:rsidR="0022377B" w:rsidRPr="0022377B" w:rsidRDefault="0022377B" w:rsidP="0022377B">
            <w:pPr>
              <w:spacing w:before="40" w:after="40"/>
              <w:ind w:left="289"/>
              <w:rPr>
                <w:rFonts w:ascii="Arial Narrow" w:hAnsi="Arial Narrow" w:cs="Arial"/>
                <w:sz w:val="20"/>
                <w:szCs w:val="20"/>
              </w:rPr>
            </w:pPr>
            <w:r w:rsidRPr="0022377B">
              <w:rPr>
                <w:rFonts w:ascii="Arial Narrow" w:hAnsi="Arial Narrow" w:cs="Arial"/>
                <w:sz w:val="20"/>
                <w:szCs w:val="20"/>
              </w:rPr>
              <w:t>OR</w:t>
            </w:r>
          </w:p>
          <w:p w:rsidR="0022377B" w:rsidRDefault="0022377B" w:rsidP="003F0DB9">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 xml:space="preserve">Patient must have received no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for at least 5 years if they failed or ceased to respond to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3 times (once with each agent) in their last treatment cycle</w:t>
            </w:r>
            <w:r w:rsidR="003F0DB9">
              <w:rPr>
                <w:rFonts w:ascii="Arial Narrow" w:hAnsi="Arial Narrow" w:cs="Arial"/>
                <w:sz w:val="20"/>
                <w:szCs w:val="20"/>
              </w:rPr>
              <w:t>;</w:t>
            </w:r>
          </w:p>
          <w:p w:rsidR="003F0DB9" w:rsidRDefault="003F0DB9" w:rsidP="003F0DB9">
            <w:pPr>
              <w:spacing w:before="40" w:after="40"/>
              <w:ind w:left="289"/>
              <w:rPr>
                <w:rFonts w:ascii="Arial Narrow" w:hAnsi="Arial Narrow" w:cs="Arial"/>
                <w:sz w:val="20"/>
                <w:szCs w:val="20"/>
              </w:rPr>
            </w:pPr>
            <w:r>
              <w:rPr>
                <w:rFonts w:ascii="Arial Narrow" w:hAnsi="Arial Narrow" w:cs="Arial"/>
                <w:sz w:val="20"/>
                <w:szCs w:val="20"/>
              </w:rPr>
              <w:t>AND</w:t>
            </w:r>
          </w:p>
          <w:p w:rsidR="003F0DB9" w:rsidRDefault="003F0DB9" w:rsidP="003F0DB9">
            <w:pPr>
              <w:numPr>
                <w:ilvl w:val="0"/>
                <w:numId w:val="18"/>
              </w:numPr>
              <w:tabs>
                <w:tab w:val="clear" w:pos="720"/>
                <w:tab w:val="num" w:pos="289"/>
              </w:tabs>
              <w:spacing w:before="40" w:after="40"/>
              <w:ind w:left="289" w:hanging="283"/>
              <w:rPr>
                <w:rFonts w:ascii="Arial Narrow" w:hAnsi="Arial Narrow" w:cs="Arial"/>
                <w:sz w:val="20"/>
                <w:szCs w:val="20"/>
              </w:rPr>
            </w:pPr>
            <w:r w:rsidRPr="003F0DB9">
              <w:rPr>
                <w:rFonts w:ascii="Arial Narrow" w:hAnsi="Arial Narrow" w:cs="Arial"/>
                <w:sz w:val="20"/>
                <w:szCs w:val="20"/>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proofErr w:type="spellStart"/>
            <w:r w:rsidRPr="003F0DB9">
              <w:rPr>
                <w:rFonts w:ascii="Arial Narrow" w:hAnsi="Arial Narrow" w:cs="Arial"/>
                <w:sz w:val="20"/>
                <w:szCs w:val="20"/>
              </w:rPr>
              <w:t>i</w:t>
            </w:r>
            <w:proofErr w:type="spellEnd"/>
            <w:r w:rsidRPr="003F0DB9">
              <w:rPr>
                <w:rFonts w:ascii="Arial Narrow" w:hAnsi="Arial Narrow" w:cs="Arial"/>
                <w:sz w:val="20"/>
                <w:szCs w:val="20"/>
              </w:rPr>
              <w:t xml:space="preserve">) hydroxychloroquine at a dose of at least 200 mg daily; or (ii) </w:t>
            </w:r>
            <w:proofErr w:type="spellStart"/>
            <w:r w:rsidRPr="003F0DB9">
              <w:rPr>
                <w:rFonts w:ascii="Arial Narrow" w:hAnsi="Arial Narrow" w:cs="Arial"/>
                <w:sz w:val="20"/>
                <w:szCs w:val="20"/>
              </w:rPr>
              <w:t>leflunomide</w:t>
            </w:r>
            <w:proofErr w:type="spellEnd"/>
            <w:r w:rsidRPr="003F0DB9">
              <w:rPr>
                <w:rFonts w:ascii="Arial Narrow" w:hAnsi="Arial Narrow" w:cs="Arial"/>
                <w:sz w:val="20"/>
                <w:szCs w:val="20"/>
              </w:rPr>
              <w:t xml:space="preserve"> at a dose of at least 10 mg daily; or (iii) sulfasalazine at a dose of at least 2 g daily; </w:t>
            </w:r>
          </w:p>
          <w:p w:rsidR="003F0DB9" w:rsidRPr="003F0DB9" w:rsidRDefault="003F0DB9" w:rsidP="003F0DB9">
            <w:pPr>
              <w:spacing w:before="40" w:after="40"/>
              <w:ind w:left="289"/>
              <w:rPr>
                <w:rFonts w:ascii="Arial Narrow" w:hAnsi="Arial Narrow" w:cs="Arial"/>
                <w:sz w:val="20"/>
                <w:szCs w:val="20"/>
              </w:rPr>
            </w:pPr>
            <w:r w:rsidRPr="003F0DB9">
              <w:rPr>
                <w:rFonts w:ascii="Arial Narrow" w:hAnsi="Arial Narrow" w:cs="Arial"/>
                <w:sz w:val="20"/>
                <w:szCs w:val="20"/>
              </w:rPr>
              <w:t>OR</w:t>
            </w:r>
          </w:p>
          <w:p w:rsidR="003F0DB9" w:rsidRDefault="003F0DB9" w:rsidP="003F0DB9">
            <w:pPr>
              <w:numPr>
                <w:ilvl w:val="0"/>
                <w:numId w:val="18"/>
              </w:numPr>
              <w:tabs>
                <w:tab w:val="clear" w:pos="720"/>
                <w:tab w:val="num" w:pos="289"/>
              </w:tabs>
              <w:spacing w:before="40" w:after="40"/>
              <w:ind w:left="289" w:hanging="283"/>
              <w:rPr>
                <w:rFonts w:ascii="Arial Narrow" w:hAnsi="Arial Narrow" w:cs="Arial"/>
                <w:sz w:val="20"/>
                <w:szCs w:val="20"/>
              </w:rPr>
            </w:pPr>
            <w:r w:rsidRPr="003F0DB9">
              <w:rPr>
                <w:rFonts w:ascii="Arial Narrow" w:hAnsi="Arial Narrow" w:cs="Arial"/>
                <w:sz w:val="20"/>
                <w:szCs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proofErr w:type="spellStart"/>
            <w:r w:rsidRPr="003F0DB9">
              <w:rPr>
                <w:rFonts w:ascii="Arial Narrow" w:hAnsi="Arial Narrow" w:cs="Arial"/>
                <w:sz w:val="20"/>
                <w:szCs w:val="20"/>
              </w:rPr>
              <w:t>i</w:t>
            </w:r>
            <w:proofErr w:type="spellEnd"/>
            <w:r w:rsidRPr="003F0DB9">
              <w:rPr>
                <w:rFonts w:ascii="Arial Narrow" w:hAnsi="Arial Narrow" w:cs="Arial"/>
                <w:sz w:val="20"/>
                <w:szCs w:val="20"/>
              </w:rPr>
              <w:t xml:space="preserve">) hydroxychloroquine at a dose of at least 200 mg daily; and/or (ii) </w:t>
            </w:r>
            <w:proofErr w:type="spellStart"/>
            <w:r w:rsidRPr="003F0DB9">
              <w:rPr>
                <w:rFonts w:ascii="Arial Narrow" w:hAnsi="Arial Narrow" w:cs="Arial"/>
                <w:sz w:val="20"/>
                <w:szCs w:val="20"/>
              </w:rPr>
              <w:t>leflunomide</w:t>
            </w:r>
            <w:proofErr w:type="spellEnd"/>
            <w:r w:rsidRPr="003F0DB9">
              <w:rPr>
                <w:rFonts w:ascii="Arial Narrow" w:hAnsi="Arial Narrow" w:cs="Arial"/>
                <w:sz w:val="20"/>
                <w:szCs w:val="20"/>
              </w:rPr>
              <w:t xml:space="preserve"> at a dose of at least 10 mg daily; and/or (iii) sulfasalazine at a dose of at least 2 g daily; </w:t>
            </w:r>
          </w:p>
          <w:p w:rsidR="003F0DB9" w:rsidRPr="003F0DB9" w:rsidRDefault="003F0DB9" w:rsidP="003F0DB9">
            <w:pPr>
              <w:spacing w:before="40" w:after="40"/>
              <w:ind w:left="289"/>
              <w:rPr>
                <w:rFonts w:ascii="Arial Narrow" w:hAnsi="Arial Narrow" w:cs="Arial"/>
                <w:sz w:val="20"/>
                <w:szCs w:val="20"/>
              </w:rPr>
            </w:pPr>
            <w:r w:rsidRPr="003F0DB9">
              <w:rPr>
                <w:rFonts w:ascii="Arial Narrow" w:hAnsi="Arial Narrow" w:cs="Arial"/>
                <w:sz w:val="20"/>
                <w:szCs w:val="20"/>
              </w:rPr>
              <w:t>OR</w:t>
            </w:r>
          </w:p>
          <w:p w:rsidR="003F0DB9" w:rsidRDefault="003F0DB9" w:rsidP="003F0DB9">
            <w:pPr>
              <w:numPr>
                <w:ilvl w:val="0"/>
                <w:numId w:val="18"/>
              </w:numPr>
              <w:tabs>
                <w:tab w:val="clear" w:pos="720"/>
                <w:tab w:val="num" w:pos="289"/>
              </w:tabs>
              <w:spacing w:before="40" w:after="40"/>
              <w:ind w:left="289" w:hanging="283"/>
              <w:rPr>
                <w:rFonts w:ascii="Arial Narrow" w:hAnsi="Arial Narrow" w:cs="Arial"/>
                <w:sz w:val="20"/>
                <w:szCs w:val="20"/>
              </w:rPr>
            </w:pPr>
            <w:r w:rsidRPr="003F0DB9">
              <w:rPr>
                <w:rFonts w:ascii="Arial Narrow" w:hAnsi="Arial Narrow" w:cs="Arial"/>
                <w:sz w:val="20"/>
                <w:szCs w:val="20"/>
              </w:rPr>
              <w:t xml:space="preserve">Patient must have failed, in the 24 months immediately prior to the date of the application, to achieve an adequate response to a trial of at least 6 months of intensive treatment with DMARDs which, if 3 or more of methotrexate, hydroxychloroquine, </w:t>
            </w:r>
            <w:proofErr w:type="spellStart"/>
            <w:r w:rsidRPr="003F0DB9">
              <w:rPr>
                <w:rFonts w:ascii="Arial Narrow" w:hAnsi="Arial Narrow" w:cs="Arial"/>
                <w:sz w:val="20"/>
                <w:szCs w:val="20"/>
              </w:rPr>
              <w:t>leflunomide</w:t>
            </w:r>
            <w:proofErr w:type="spellEnd"/>
            <w:r w:rsidRPr="003F0DB9">
              <w:rPr>
                <w:rFonts w:ascii="Arial Narrow" w:hAnsi="Arial Narrow" w:cs="Arial"/>
                <w:sz w:val="20"/>
                <w:szCs w:val="20"/>
              </w:rPr>
              <w:t xml:space="preserv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w:t>
            </w:r>
            <w:proofErr w:type="spellStart"/>
            <w:r w:rsidRPr="003F0DB9">
              <w:rPr>
                <w:rFonts w:ascii="Arial Narrow" w:hAnsi="Arial Narrow" w:cs="Arial"/>
                <w:sz w:val="20"/>
                <w:szCs w:val="20"/>
              </w:rPr>
              <w:t>i</w:t>
            </w:r>
            <w:proofErr w:type="spellEnd"/>
            <w:r w:rsidRPr="003F0DB9">
              <w:rPr>
                <w:rFonts w:ascii="Arial Narrow" w:hAnsi="Arial Narrow" w:cs="Arial"/>
                <w:sz w:val="20"/>
                <w:szCs w:val="20"/>
              </w:rPr>
              <w:t xml:space="preserve">) azathioprine at a dose of at least 1 mg/kg per day; and/or (ii) </w:t>
            </w:r>
            <w:proofErr w:type="spellStart"/>
            <w:r w:rsidRPr="003F0DB9">
              <w:rPr>
                <w:rFonts w:ascii="Arial Narrow" w:hAnsi="Arial Narrow" w:cs="Arial"/>
                <w:sz w:val="20"/>
                <w:szCs w:val="20"/>
              </w:rPr>
              <w:t>cyclosporin</w:t>
            </w:r>
            <w:proofErr w:type="spellEnd"/>
            <w:r w:rsidRPr="003F0DB9">
              <w:rPr>
                <w:rFonts w:ascii="Arial Narrow" w:hAnsi="Arial Narrow" w:cs="Arial"/>
                <w:sz w:val="20"/>
                <w:szCs w:val="20"/>
              </w:rPr>
              <w:t xml:space="preserve"> at a dose of at least 2 mg/kg/day; and/or (iii) sodium </w:t>
            </w:r>
            <w:proofErr w:type="spellStart"/>
            <w:r w:rsidRPr="003F0DB9">
              <w:rPr>
                <w:rFonts w:ascii="Arial Narrow" w:hAnsi="Arial Narrow" w:cs="Arial"/>
                <w:sz w:val="20"/>
                <w:szCs w:val="20"/>
              </w:rPr>
              <w:t>aurothiom</w:t>
            </w:r>
            <w:r>
              <w:rPr>
                <w:rFonts w:ascii="Arial Narrow" w:hAnsi="Arial Narrow" w:cs="Arial"/>
                <w:sz w:val="20"/>
                <w:szCs w:val="20"/>
              </w:rPr>
              <w:t>alate</w:t>
            </w:r>
            <w:proofErr w:type="spellEnd"/>
            <w:r>
              <w:rPr>
                <w:rFonts w:ascii="Arial Narrow" w:hAnsi="Arial Narrow" w:cs="Arial"/>
                <w:sz w:val="20"/>
                <w:szCs w:val="20"/>
              </w:rPr>
              <w:t xml:space="preserve"> at a dose of 50 mg weekly;</w:t>
            </w:r>
          </w:p>
          <w:p w:rsidR="003F0DB9" w:rsidRPr="003F0DB9" w:rsidRDefault="003F0DB9" w:rsidP="003F0DB9">
            <w:pPr>
              <w:spacing w:before="40" w:after="40"/>
              <w:ind w:left="289"/>
              <w:rPr>
                <w:rFonts w:ascii="Arial Narrow" w:hAnsi="Arial Narrow" w:cs="Arial"/>
                <w:sz w:val="20"/>
                <w:szCs w:val="20"/>
              </w:rPr>
            </w:pPr>
            <w:r>
              <w:rPr>
                <w:rFonts w:ascii="Arial Narrow" w:hAnsi="Arial Narrow" w:cs="Arial"/>
                <w:sz w:val="20"/>
                <w:szCs w:val="20"/>
              </w:rPr>
              <w:t>AND</w:t>
            </w:r>
          </w:p>
          <w:p w:rsidR="003F0DB9" w:rsidRPr="003F0DB9" w:rsidRDefault="003F0DB9" w:rsidP="003F0DB9">
            <w:pPr>
              <w:numPr>
                <w:ilvl w:val="0"/>
                <w:numId w:val="18"/>
              </w:numPr>
              <w:tabs>
                <w:tab w:val="clear" w:pos="720"/>
                <w:tab w:val="num" w:pos="289"/>
              </w:tabs>
              <w:spacing w:before="40" w:after="40"/>
              <w:ind w:left="289" w:hanging="283"/>
              <w:rPr>
                <w:rFonts w:ascii="Arial Narrow" w:hAnsi="Arial Narrow" w:cs="Arial"/>
                <w:sz w:val="20"/>
                <w:szCs w:val="20"/>
              </w:rPr>
            </w:pPr>
            <w:r w:rsidRPr="003F0DB9">
              <w:rPr>
                <w:rFonts w:ascii="Arial Narrow" w:hAnsi="Arial Narrow" w:cs="Arial"/>
                <w:sz w:val="20"/>
                <w:szCs w:val="20"/>
              </w:rPr>
              <w:t>Patient must not receive more than 16 weeks of treatment under this restriction.</w:t>
            </w:r>
          </w:p>
        </w:tc>
      </w:tr>
      <w:tr w:rsidR="003F0DB9"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3F0DB9" w:rsidRDefault="003F0DB9" w:rsidP="00F574A7">
            <w:pPr>
              <w:spacing w:before="40" w:after="40"/>
              <w:jc w:val="both"/>
              <w:rPr>
                <w:rFonts w:ascii="Arial Narrow" w:hAnsi="Arial Narrow" w:cs="Arial"/>
                <w:b/>
                <w:sz w:val="20"/>
                <w:szCs w:val="20"/>
              </w:rPr>
            </w:pPr>
            <w:r>
              <w:rPr>
                <w:rFonts w:ascii="Arial Narrow" w:hAnsi="Arial Narrow" w:cs="Arial"/>
                <w:b/>
                <w:sz w:val="20"/>
                <w:szCs w:val="20"/>
              </w:rPr>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3F0DB9" w:rsidRDefault="003F0DB9" w:rsidP="0022377B">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be aged 18 years or older.</w:t>
            </w:r>
          </w:p>
        </w:tc>
      </w:tr>
      <w:tr w:rsidR="003F0DB9" w:rsidRPr="00260CE3" w:rsidTr="007204F2">
        <w:trPr>
          <w:cantSplit/>
          <w:trHeight w:val="360"/>
        </w:trPr>
        <w:tc>
          <w:tcPr>
            <w:tcW w:w="1090" w:type="pct"/>
            <w:tcBorders>
              <w:top w:val="single" w:sz="4" w:space="0" w:color="auto"/>
              <w:left w:val="single" w:sz="4" w:space="0" w:color="auto"/>
              <w:right w:val="single" w:sz="4" w:space="0" w:color="auto"/>
            </w:tcBorders>
          </w:tcPr>
          <w:p w:rsidR="003F0DB9" w:rsidRDefault="003F0DB9" w:rsidP="00F574A7">
            <w:pPr>
              <w:spacing w:before="40" w:after="40"/>
              <w:jc w:val="both"/>
              <w:rPr>
                <w:rFonts w:ascii="Arial Narrow" w:hAnsi="Arial Narrow" w:cs="Arial"/>
                <w:b/>
                <w:sz w:val="20"/>
                <w:szCs w:val="20"/>
              </w:rPr>
            </w:pPr>
            <w:r>
              <w:rPr>
                <w:rFonts w:ascii="Arial Narrow" w:hAnsi="Arial Narrow" w:cs="Arial"/>
                <w:b/>
                <w:sz w:val="20"/>
                <w:szCs w:val="20"/>
              </w:rPr>
              <w:lastRenderedPageBreak/>
              <w:t>Prescriber Instructions:</w:t>
            </w:r>
          </w:p>
        </w:tc>
        <w:tc>
          <w:tcPr>
            <w:tcW w:w="3910" w:type="pct"/>
            <w:gridSpan w:val="7"/>
            <w:tcBorders>
              <w:top w:val="single" w:sz="4" w:space="0" w:color="auto"/>
              <w:left w:val="single" w:sz="4" w:space="0" w:color="auto"/>
              <w:right w:val="single" w:sz="4" w:space="0" w:color="auto"/>
            </w:tcBorders>
          </w:tcPr>
          <w:p w:rsidR="00AF3B30" w:rsidRDefault="00AF3B30" w:rsidP="003F0DB9">
            <w:pPr>
              <w:spacing w:before="40" w:after="40"/>
              <w:rPr>
                <w:rFonts w:ascii="Arial Narrow" w:hAnsi="Arial Narrow" w:cs="Arial"/>
                <w:sz w:val="20"/>
                <w:szCs w:val="20"/>
              </w:rPr>
            </w:pPr>
            <w:r w:rsidRPr="00AF3B30">
              <w:rPr>
                <w:rFonts w:ascii="Arial Narrow" w:hAnsi="Arial Narrow" w:cs="Arial"/>
                <w:sz w:val="20"/>
                <w:szCs w:val="20"/>
              </w:rPr>
              <w:t>For the purposes of this restriction 'biological disease modifying anti-rheumatic drug' and '</w:t>
            </w:r>
            <w:proofErr w:type="spellStart"/>
            <w:r w:rsidRPr="00AF3B30">
              <w:rPr>
                <w:rFonts w:ascii="Arial Narrow" w:hAnsi="Arial Narrow" w:cs="Arial"/>
                <w:sz w:val="20"/>
                <w:szCs w:val="20"/>
              </w:rPr>
              <w:t>bDMARD</w:t>
            </w:r>
            <w:proofErr w:type="spellEnd"/>
            <w:r w:rsidRPr="00AF3B30">
              <w:rPr>
                <w:rFonts w:ascii="Arial Narrow" w:hAnsi="Arial Narrow" w:cs="Arial"/>
                <w:sz w:val="20"/>
                <w:szCs w:val="20"/>
              </w:rPr>
              <w:t xml:space="preserve">' mean adalimumab, </w:t>
            </w:r>
            <w:proofErr w:type="spellStart"/>
            <w:r w:rsidRPr="00AF3B30">
              <w:rPr>
                <w:rFonts w:ascii="Arial Narrow" w:hAnsi="Arial Narrow" w:cs="Arial"/>
                <w:sz w:val="20"/>
                <w:szCs w:val="20"/>
              </w:rPr>
              <w:t>etanercept</w:t>
            </w:r>
            <w:proofErr w:type="spellEnd"/>
            <w:r w:rsidRPr="00AF3B30">
              <w:rPr>
                <w:rFonts w:ascii="Arial Narrow" w:hAnsi="Arial Narrow" w:cs="Arial"/>
                <w:sz w:val="20"/>
                <w:szCs w:val="20"/>
              </w:rPr>
              <w:t xml:space="preserve"> or tocilizumab.</w:t>
            </w:r>
          </w:p>
          <w:p w:rsid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If methotrexate is contraindicated according to the TGA-approved Product Information or cannot be tolerated at a 20 mg weekly dose, the application must include details of the contraindication or intolerance to methotrexate. The maximum tolerated dose of methotrexate must be documented in the application, if applicable.</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The application must include details of the DMARDs trialled, their doses and duration of treatment, and all relevant contraindications and/or intolerances.</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The requirement to trial at least 2 DMARDs for periods of at least 3 months each can be met using single agents sequentially or by using one or more combinations of DMARDs.</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and dose for each DMARD must be provided in the authority application.</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The following criteria indicate failure to achieve an adequate response and must be demonstrated in all patients at the time of the initial application:</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an elevated erythrocyte sedimentation rate (ESR) greater than 25 mm per hour or a C-reactive protein (CRP) level greater than 15 mg per L; AND either</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(a) an active joint count of at least 20 active (swollen and tender) joints; or</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(b) at least 4 active joints from the following list:</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w:t>
            </w:r>
            <w:proofErr w:type="spellStart"/>
            <w:r w:rsidRPr="00AF3B30">
              <w:rPr>
                <w:rFonts w:ascii="Arial Narrow" w:hAnsi="Arial Narrow" w:cs="Arial"/>
                <w:sz w:val="20"/>
                <w:szCs w:val="20"/>
              </w:rPr>
              <w:t>i</w:t>
            </w:r>
            <w:proofErr w:type="spellEnd"/>
            <w:r w:rsidRPr="00AF3B30">
              <w:rPr>
                <w:rFonts w:ascii="Arial Narrow" w:hAnsi="Arial Narrow" w:cs="Arial"/>
                <w:sz w:val="20"/>
                <w:szCs w:val="20"/>
              </w:rPr>
              <w:t>) elbow, wrist, knee and/or ankle (assessed as swollen and tender); and/or</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 xml:space="preserve">(ii) </w:t>
            </w:r>
            <w:proofErr w:type="gramStart"/>
            <w:r w:rsidRPr="00AF3B30">
              <w:rPr>
                <w:rFonts w:ascii="Arial Narrow" w:hAnsi="Arial Narrow" w:cs="Arial"/>
                <w:sz w:val="20"/>
                <w:szCs w:val="20"/>
              </w:rPr>
              <w:t>shoulder</w:t>
            </w:r>
            <w:proofErr w:type="gramEnd"/>
            <w:r w:rsidRPr="00AF3B30">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The joint count and ESR and/or CRP must be determined at the completion of the 6 month intensive DMARD trial, but prior to ceasing DMARD therapy. All measures must be no more than one month old at the time of initial application.</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If the above requirement to demonstrate an elevated ESR or CRP cannot be met, the application must state the reasons why this criterion cannot be satisfied.</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The authority application must be made in writing and must include:</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(1) a completed authority prescription form; and</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(2) a completed Juvenile Idiopathic Arthritis PBS Authority Application - Supporting Information Form; and</w:t>
            </w:r>
          </w:p>
          <w:p w:rsidR="003F0DB9" w:rsidRDefault="00AF3B30" w:rsidP="003F0DB9">
            <w:pPr>
              <w:spacing w:before="40" w:after="40"/>
              <w:rPr>
                <w:rFonts w:ascii="Arial Narrow" w:hAnsi="Arial Narrow" w:cs="Arial"/>
                <w:sz w:val="20"/>
                <w:szCs w:val="20"/>
              </w:rPr>
            </w:pPr>
            <w:r w:rsidRPr="00AF3B30">
              <w:rPr>
                <w:rFonts w:ascii="Arial Narrow" w:hAnsi="Arial Narrow" w:cs="Arial"/>
                <w:sz w:val="20"/>
                <w:szCs w:val="20"/>
              </w:rPr>
              <w:t xml:space="preserve">(3) </w:t>
            </w:r>
            <w:proofErr w:type="gramStart"/>
            <w:r w:rsidRPr="00AF3B30">
              <w:rPr>
                <w:rFonts w:ascii="Arial Narrow" w:hAnsi="Arial Narrow" w:cs="Arial"/>
                <w:sz w:val="20"/>
                <w:szCs w:val="20"/>
              </w:rPr>
              <w:t>a</w:t>
            </w:r>
            <w:proofErr w:type="gramEnd"/>
            <w:r w:rsidRPr="00AF3B30">
              <w:rPr>
                <w:rFonts w:ascii="Arial Narrow" w:hAnsi="Arial Narrow" w:cs="Arial"/>
                <w:sz w:val="20"/>
                <w:szCs w:val="20"/>
              </w:rPr>
              <w:t xml:space="preserve"> signed patient acknowledgement.</w:t>
            </w:r>
          </w:p>
        </w:tc>
      </w:tr>
      <w:tr w:rsidR="00AF3B30" w:rsidRPr="00260CE3" w:rsidTr="007204F2">
        <w:trPr>
          <w:cantSplit/>
          <w:trHeight w:val="360"/>
        </w:trPr>
        <w:tc>
          <w:tcPr>
            <w:tcW w:w="1090" w:type="pct"/>
            <w:tcBorders>
              <w:left w:val="single" w:sz="4" w:space="0" w:color="auto"/>
              <w:bottom w:val="single" w:sz="4" w:space="0" w:color="auto"/>
              <w:right w:val="single" w:sz="4" w:space="0" w:color="auto"/>
            </w:tcBorders>
          </w:tcPr>
          <w:p w:rsidR="00AF3B30" w:rsidRDefault="00AF3B30" w:rsidP="00F574A7">
            <w:pPr>
              <w:spacing w:before="40" w:after="40"/>
              <w:jc w:val="both"/>
              <w:rPr>
                <w:rFonts w:ascii="Arial Narrow" w:hAnsi="Arial Narrow" w:cs="Arial"/>
                <w:b/>
                <w:sz w:val="20"/>
                <w:szCs w:val="20"/>
              </w:rPr>
            </w:pPr>
          </w:p>
        </w:tc>
        <w:tc>
          <w:tcPr>
            <w:tcW w:w="3910" w:type="pct"/>
            <w:gridSpan w:val="7"/>
            <w:tcBorders>
              <w:left w:val="single" w:sz="4" w:space="0" w:color="auto"/>
              <w:bottom w:val="single" w:sz="4" w:space="0" w:color="auto"/>
              <w:right w:val="single" w:sz="4" w:space="0" w:color="auto"/>
            </w:tcBorders>
          </w:tcPr>
          <w:p w:rsidR="00AF3B30" w:rsidRPr="00AF3B30" w:rsidRDefault="00AF3B30" w:rsidP="003F0DB9">
            <w:pPr>
              <w:spacing w:before="40" w:after="40"/>
              <w:rPr>
                <w:rFonts w:ascii="Arial Narrow" w:hAnsi="Arial Narrow" w:cs="Arial"/>
                <w:sz w:val="20"/>
                <w:szCs w:val="20"/>
              </w:rPr>
            </w:pPr>
            <w:r w:rsidRPr="00AF3B30">
              <w:rPr>
                <w:rFonts w:ascii="Arial Narrow" w:hAnsi="Arial Narrow" w:cs="Arial"/>
                <w:sz w:val="20"/>
                <w:szCs w:val="20"/>
              </w:rPr>
              <w:t xml:space="preserve">If a patient fails to respond to PBS-subsidised </w:t>
            </w:r>
            <w:proofErr w:type="spellStart"/>
            <w:r w:rsidRPr="00AF3B30">
              <w:rPr>
                <w:rFonts w:ascii="Arial Narrow" w:hAnsi="Arial Narrow" w:cs="Arial"/>
                <w:sz w:val="20"/>
                <w:szCs w:val="20"/>
              </w:rPr>
              <w:t>bDMARD</w:t>
            </w:r>
            <w:proofErr w:type="spellEnd"/>
            <w:r w:rsidRPr="00AF3B30">
              <w:rPr>
                <w:rFonts w:ascii="Arial Narrow" w:hAnsi="Arial Narrow" w:cs="Arial"/>
                <w:sz w:val="20"/>
                <w:szCs w:val="20"/>
              </w:rPr>
              <w:t xml:space="preserve"> treatment 3 times (once with each agent) they will not be eligible to receive further PBS-subsidised </w:t>
            </w:r>
            <w:proofErr w:type="spellStart"/>
            <w:r w:rsidRPr="00AF3B30">
              <w:rPr>
                <w:rFonts w:ascii="Arial Narrow" w:hAnsi="Arial Narrow" w:cs="Arial"/>
                <w:sz w:val="20"/>
                <w:szCs w:val="20"/>
              </w:rPr>
              <w:t>bDMARD</w:t>
            </w:r>
            <w:proofErr w:type="spellEnd"/>
            <w:r w:rsidRPr="00AF3B30">
              <w:rPr>
                <w:rFonts w:ascii="Arial Narrow" w:hAnsi="Arial Narrow" w:cs="Arial"/>
                <w:sz w:val="20"/>
                <w:szCs w:val="20"/>
              </w:rPr>
              <w:t xml:space="preserve"> therapy in this treatment cycle. A patient may re-trial </w:t>
            </w:r>
            <w:proofErr w:type="spellStart"/>
            <w:r w:rsidRPr="00AF3B30">
              <w:rPr>
                <w:rFonts w:ascii="Arial Narrow" w:hAnsi="Arial Narrow" w:cs="Arial"/>
                <w:sz w:val="20"/>
                <w:szCs w:val="20"/>
              </w:rPr>
              <w:t>etanercept</w:t>
            </w:r>
            <w:proofErr w:type="spellEnd"/>
            <w:r w:rsidRPr="00AF3B30">
              <w:rPr>
                <w:rFonts w:ascii="Arial Narrow" w:hAnsi="Arial Narrow" w:cs="Arial"/>
                <w:sz w:val="20"/>
                <w:szCs w:val="20"/>
              </w:rPr>
              <w:t xml:space="preserve"> after a minimum of 5 years have elapsed between the date of the last approval for PBS-subsidised </w:t>
            </w:r>
            <w:proofErr w:type="spellStart"/>
            <w:r w:rsidRPr="00AF3B30">
              <w:rPr>
                <w:rFonts w:ascii="Arial Narrow" w:hAnsi="Arial Narrow" w:cs="Arial"/>
                <w:sz w:val="20"/>
                <w:szCs w:val="20"/>
              </w:rPr>
              <w:t>bDMARD</w:t>
            </w:r>
            <w:proofErr w:type="spellEnd"/>
            <w:r w:rsidRPr="00AF3B30">
              <w:rPr>
                <w:rFonts w:ascii="Arial Narrow" w:hAnsi="Arial Narrow" w:cs="Arial"/>
                <w:sz w:val="20"/>
                <w:szCs w:val="20"/>
              </w:rPr>
              <w:t xml:space="preserve"> therapy in the last treatment cycle and the date of the first application under a new treatment cycle</w:t>
            </w:r>
            <w:r>
              <w:rPr>
                <w:rFonts w:ascii="Arial Narrow" w:hAnsi="Arial Narrow" w:cs="Arial"/>
                <w:sz w:val="20"/>
                <w:szCs w:val="20"/>
              </w:rPr>
              <w:t>.</w:t>
            </w:r>
          </w:p>
        </w:tc>
      </w:tr>
      <w:tr w:rsidR="00AF3B30"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AF3B30" w:rsidRDefault="00AF3B30" w:rsidP="00F574A7">
            <w:pPr>
              <w:spacing w:before="40" w:after="40"/>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The Department of Human Services website (www.humanservices.gov.au) has details of the toxicities, including severity, which will be accepted for the following purposes:</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 exempting a patient from the requirement to undertake a minimum 3 month trial of methotrexate at a 20 mg weekly dose;</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(b) substituting azathioprine, </w:t>
            </w:r>
            <w:proofErr w:type="spellStart"/>
            <w:r w:rsidRPr="00ED1CD2">
              <w:rPr>
                <w:rFonts w:ascii="Arial Narrow" w:hAnsi="Arial Narrow" w:cs="Arial"/>
                <w:sz w:val="20"/>
                <w:szCs w:val="20"/>
              </w:rPr>
              <w:t>cyclosporin</w:t>
            </w:r>
            <w:proofErr w:type="spellEnd"/>
            <w:r w:rsidRPr="00ED1CD2">
              <w:rPr>
                <w:rFonts w:ascii="Arial Narrow" w:hAnsi="Arial Narrow" w:cs="Arial"/>
                <w:sz w:val="20"/>
                <w:szCs w:val="20"/>
              </w:rPr>
              <w:t xml:space="preserve"> or sodium </w:t>
            </w:r>
            <w:proofErr w:type="spellStart"/>
            <w:r w:rsidRPr="00ED1CD2">
              <w:rPr>
                <w:rFonts w:ascii="Arial Narrow" w:hAnsi="Arial Narrow" w:cs="Arial"/>
                <w:sz w:val="20"/>
                <w:szCs w:val="20"/>
              </w:rPr>
              <w:t>aurothiomalate</w:t>
            </w:r>
            <w:proofErr w:type="spellEnd"/>
            <w:r w:rsidRPr="00ED1CD2">
              <w:rPr>
                <w:rFonts w:ascii="Arial Narrow" w:hAnsi="Arial Narrow" w:cs="Arial"/>
                <w:sz w:val="20"/>
                <w:szCs w:val="20"/>
              </w:rPr>
              <w:t xml:space="preserve"> for another DMARD as part of the 6 month intensive DMARD trial;</w:t>
            </w:r>
          </w:p>
          <w:p w:rsidR="00AF3B30"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(c) </w:t>
            </w:r>
            <w:proofErr w:type="gramStart"/>
            <w:r w:rsidRPr="00ED1CD2">
              <w:rPr>
                <w:rFonts w:ascii="Arial Narrow" w:hAnsi="Arial Narrow" w:cs="Arial"/>
                <w:sz w:val="20"/>
                <w:szCs w:val="20"/>
              </w:rPr>
              <w:t>exempting</w:t>
            </w:r>
            <w:proofErr w:type="gramEnd"/>
            <w:r w:rsidRPr="00ED1CD2">
              <w:rPr>
                <w:rFonts w:ascii="Arial Narrow" w:hAnsi="Arial Narrow" w:cs="Arial"/>
                <w:sz w:val="20"/>
                <w:szCs w:val="20"/>
              </w:rPr>
              <w:t xml:space="preserve"> a patient from the requirement for a 6 month trial of intensive DMARD therapy.</w:t>
            </w:r>
          </w:p>
          <w:p w:rsidR="00AF3B30" w:rsidRPr="00ED1CD2" w:rsidRDefault="00AF3B30" w:rsidP="00AF3B30">
            <w:pPr>
              <w:spacing w:before="40" w:after="40"/>
              <w:rPr>
                <w:rFonts w:ascii="Arial Narrow" w:hAnsi="Arial Narrow" w:cs="Arial"/>
                <w:i/>
                <w:sz w:val="20"/>
                <w:szCs w:val="20"/>
              </w:rPr>
            </w:pPr>
            <w:r w:rsidRPr="00ED1CD2">
              <w:rPr>
                <w:rFonts w:ascii="Arial Narrow" w:hAnsi="Arial Narrow" w:cs="Arial"/>
                <w:b/>
                <w:i/>
                <w:sz w:val="20"/>
                <w:szCs w:val="20"/>
              </w:rPr>
              <w:t>Biosimilar prescribing policy</w:t>
            </w:r>
            <w:r w:rsidRPr="00ED1CD2">
              <w:rPr>
                <w:rFonts w:ascii="Arial Narrow" w:hAnsi="Arial Narrow" w:cs="Arial"/>
                <w:i/>
                <w:sz w:val="20"/>
                <w:szCs w:val="20"/>
              </w:rPr>
              <w:t xml:space="preserve"> Prescribing of the biosimilar brands </w:t>
            </w:r>
            <w:proofErr w:type="spellStart"/>
            <w:r w:rsidRPr="00ED1CD2">
              <w:rPr>
                <w:rFonts w:ascii="Arial Narrow" w:hAnsi="Arial Narrow" w:cs="Arial"/>
                <w:i/>
                <w:sz w:val="20"/>
                <w:szCs w:val="20"/>
              </w:rPr>
              <w:t>Brenzys</w:t>
            </w:r>
            <w:proofErr w:type="spellEnd"/>
            <w:r w:rsidRPr="00ED1CD2">
              <w:rPr>
                <w:rFonts w:ascii="Arial Narrow" w:hAnsi="Arial Narrow" w:cs="Arial"/>
                <w:i/>
                <w:sz w:val="20"/>
                <w:szCs w:val="20"/>
              </w:rPr>
              <w:t xml:space="preserve"> or </w:t>
            </w:r>
            <w:proofErr w:type="spellStart"/>
            <w:r w:rsidRPr="00ED1CD2">
              <w:rPr>
                <w:rFonts w:ascii="Arial Narrow" w:hAnsi="Arial Narrow" w:cs="Arial"/>
                <w:i/>
                <w:sz w:val="20"/>
                <w:szCs w:val="20"/>
              </w:rPr>
              <w:t>Erelzi</w:t>
            </w:r>
            <w:proofErr w:type="spellEnd"/>
            <w:r w:rsidRPr="00ED1CD2">
              <w:rPr>
                <w:rFonts w:ascii="Arial Narrow" w:hAnsi="Arial Narrow" w:cs="Arial"/>
                <w:i/>
                <w:sz w:val="20"/>
                <w:szCs w:val="20"/>
              </w:rPr>
              <w:t xml:space="preserve"> is encouraged for treatment naive patients.</w:t>
            </w:r>
          </w:p>
          <w:p w:rsidR="00AF3B30" w:rsidRPr="00ED1CD2" w:rsidRDefault="00AF3B30" w:rsidP="00AF3B30">
            <w:pPr>
              <w:spacing w:before="40" w:after="40"/>
              <w:rPr>
                <w:rFonts w:ascii="Arial Narrow" w:hAnsi="Arial Narrow" w:cs="Arial"/>
                <w:i/>
                <w:sz w:val="20"/>
                <w:szCs w:val="20"/>
              </w:rPr>
            </w:pPr>
            <w:r w:rsidRPr="00ED1CD2">
              <w:rPr>
                <w:rFonts w:ascii="Arial Narrow" w:hAnsi="Arial Narrow" w:cs="Arial"/>
                <w:i/>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t>
            </w:r>
            <w:r w:rsidRPr="00AF4F55">
              <w:rPr>
                <w:rFonts w:ascii="Arial Narrow" w:hAnsi="Arial Narrow" w:cs="Arial"/>
                <w:i/>
                <w:sz w:val="20"/>
                <w:szCs w:val="20"/>
              </w:rPr>
              <w:t>www.health.gov.au/biosimilars</w:t>
            </w:r>
            <w:r w:rsidRPr="00ED1CD2">
              <w:rPr>
                <w:rFonts w:ascii="Arial Narrow" w:hAnsi="Arial Narrow" w:cs="Arial"/>
                <w:i/>
                <w:sz w:val="20"/>
                <w:szCs w:val="20"/>
              </w:rPr>
              <w:t>).</w:t>
            </w:r>
          </w:p>
          <w:p w:rsidR="00AF3B30" w:rsidRPr="00ED1CD2" w:rsidRDefault="00AF3B30" w:rsidP="00AF3B30">
            <w:pPr>
              <w:spacing w:before="40" w:after="40"/>
              <w:rPr>
                <w:rFonts w:ascii="Arial Narrow" w:hAnsi="Arial Narrow" w:cs="Arial"/>
                <w:sz w:val="20"/>
                <w:szCs w:val="20"/>
              </w:rPr>
            </w:pPr>
            <w:r w:rsidRPr="00ED1CD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AF3B30" w:rsidRPr="00ED1CD2" w:rsidRDefault="00AF3B30" w:rsidP="00AF3B30">
            <w:pPr>
              <w:spacing w:before="40" w:after="40"/>
              <w:rPr>
                <w:rFonts w:ascii="Arial Narrow" w:hAnsi="Arial Narrow" w:cs="Arial"/>
                <w:sz w:val="20"/>
                <w:szCs w:val="20"/>
              </w:rPr>
            </w:pPr>
            <w:r w:rsidRPr="00ED1CD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Applications for authority to pr</w:t>
            </w:r>
            <w:r>
              <w:rPr>
                <w:rFonts w:ascii="Arial Narrow" w:hAnsi="Arial Narrow" w:cs="Arial"/>
                <w:sz w:val="20"/>
                <w:szCs w:val="20"/>
              </w:rPr>
              <w:t>escribe should be forwarded to:</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Department of Human Services</w:t>
            </w:r>
          </w:p>
          <w:p w:rsidR="00AF3B30" w:rsidRPr="00AF3B30" w:rsidRDefault="00AF3B30" w:rsidP="00AF3B30">
            <w:pPr>
              <w:spacing w:before="40" w:after="40"/>
              <w:rPr>
                <w:rFonts w:ascii="Arial Narrow" w:hAnsi="Arial Narrow" w:cs="Arial"/>
                <w:sz w:val="20"/>
                <w:szCs w:val="20"/>
              </w:rPr>
            </w:pPr>
            <w:r w:rsidRPr="00AF3B30">
              <w:rPr>
                <w:rFonts w:ascii="Arial Narrow" w:hAnsi="Arial Narrow" w:cs="Arial"/>
                <w:sz w:val="20"/>
                <w:szCs w:val="20"/>
              </w:rPr>
              <w:t>Complex Drugs</w:t>
            </w:r>
          </w:p>
          <w:p w:rsidR="00AF3B30" w:rsidRPr="00AF3B30" w:rsidRDefault="00AF3B30" w:rsidP="00AF3B30">
            <w:pPr>
              <w:spacing w:before="40" w:after="40"/>
              <w:rPr>
                <w:rFonts w:ascii="Arial Narrow" w:hAnsi="Arial Narrow" w:cs="Arial"/>
                <w:sz w:val="20"/>
                <w:szCs w:val="20"/>
              </w:rPr>
            </w:pPr>
            <w:r>
              <w:rPr>
                <w:rFonts w:ascii="Arial Narrow" w:hAnsi="Arial Narrow" w:cs="Arial"/>
                <w:sz w:val="20"/>
                <w:szCs w:val="20"/>
              </w:rPr>
              <w:t>Reply Paid 9826</w:t>
            </w:r>
          </w:p>
          <w:p w:rsidR="00AF3B30" w:rsidRPr="003F0DB9" w:rsidRDefault="00AF3B30" w:rsidP="00AF3B30">
            <w:pPr>
              <w:spacing w:before="40" w:after="40"/>
              <w:rPr>
                <w:rFonts w:ascii="Arial Narrow" w:hAnsi="Arial Narrow" w:cs="Arial"/>
                <w:sz w:val="20"/>
                <w:szCs w:val="20"/>
              </w:rPr>
            </w:pPr>
            <w:r w:rsidRPr="00AF3B30">
              <w:rPr>
                <w:rFonts w:ascii="Arial Narrow" w:hAnsi="Arial Narrow" w:cs="Arial"/>
                <w:sz w:val="20"/>
                <w:szCs w:val="20"/>
              </w:rPr>
              <w:t>HOBART TAS 7001</w:t>
            </w:r>
          </w:p>
        </w:tc>
      </w:tr>
      <w:tr w:rsidR="00AF3B30"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F3B30" w:rsidRDefault="00AF3B30" w:rsidP="00F574A7">
            <w:pPr>
              <w:spacing w:before="40" w:after="40"/>
              <w:jc w:val="both"/>
              <w:rPr>
                <w:rFonts w:ascii="Arial Narrow" w:hAnsi="Arial Narrow" w:cs="Arial"/>
                <w:b/>
                <w:sz w:val="20"/>
                <w:szCs w:val="20"/>
              </w:rPr>
            </w:pPr>
          </w:p>
        </w:tc>
        <w:tc>
          <w:tcPr>
            <w:tcW w:w="391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F3B30" w:rsidRPr="00AF3B30" w:rsidRDefault="00AF3B30" w:rsidP="003F0DB9">
            <w:pPr>
              <w:spacing w:before="40" w:after="40"/>
              <w:rPr>
                <w:rFonts w:ascii="Arial Narrow" w:hAnsi="Arial Narrow" w:cs="Arial"/>
                <w:sz w:val="20"/>
                <w:szCs w:val="20"/>
              </w:rPr>
            </w:pPr>
          </w:p>
        </w:tc>
      </w:tr>
      <w:tr w:rsidR="00AF3B30"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AF3B30" w:rsidRPr="00200D89" w:rsidRDefault="00AF3B30" w:rsidP="00F574A7">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AF3B30" w:rsidRPr="00260CE3" w:rsidRDefault="00AF3B30" w:rsidP="00F574A7">
            <w:pPr>
              <w:spacing w:before="40" w:after="40"/>
              <w:rPr>
                <w:rFonts w:ascii="Arial Narrow" w:hAnsi="Arial Narrow" w:cs="Arial"/>
                <w:sz w:val="20"/>
                <w:szCs w:val="20"/>
              </w:rPr>
            </w:pPr>
            <w:r>
              <w:rPr>
                <w:rFonts w:ascii="Arial Narrow" w:hAnsi="Arial Narrow" w:cs="Arial"/>
                <w:sz w:val="20"/>
                <w:szCs w:val="20"/>
              </w:rPr>
              <w:t>Initial 2 (</w:t>
            </w:r>
            <w:r w:rsidR="00ED1CD2" w:rsidRPr="00ED1CD2">
              <w:rPr>
                <w:rFonts w:ascii="Arial Narrow" w:hAnsi="Arial Narrow" w:cs="Arial"/>
                <w:sz w:val="20"/>
                <w:szCs w:val="20"/>
              </w:rPr>
              <w:t>change or recommencement of treatment after break of less than 24 months</w:t>
            </w:r>
            <w:r>
              <w:rPr>
                <w:rFonts w:ascii="Arial Narrow" w:hAnsi="Arial Narrow" w:cs="Arial"/>
                <w:sz w:val="20"/>
                <w:szCs w:val="20"/>
              </w:rPr>
              <w:t>)</w:t>
            </w:r>
          </w:p>
        </w:tc>
      </w:tr>
      <w:tr w:rsidR="00AF3B30"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AF3B30" w:rsidRDefault="00ED1CD2" w:rsidP="00F574A7">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Must be treated by a rheumatologist; </w:t>
            </w:r>
          </w:p>
          <w:p w:rsidR="00ED1CD2" w:rsidRPr="00ED1CD2" w:rsidRDefault="00ED1CD2" w:rsidP="00ED1CD2">
            <w:pPr>
              <w:spacing w:before="40" w:after="40"/>
              <w:ind w:left="289"/>
              <w:rPr>
                <w:rFonts w:ascii="Arial Narrow" w:hAnsi="Arial Narrow" w:cs="Arial"/>
                <w:sz w:val="20"/>
                <w:szCs w:val="20"/>
              </w:rPr>
            </w:pPr>
            <w:r w:rsidRPr="00ED1CD2">
              <w:rPr>
                <w:rFonts w:ascii="Arial Narrow" w:hAnsi="Arial Narrow" w:cs="Arial"/>
                <w:sz w:val="20"/>
                <w:szCs w:val="20"/>
              </w:rPr>
              <w:t>OR</w:t>
            </w:r>
          </w:p>
          <w:p w:rsidR="00AF3B30" w:rsidRPr="00ED1CD2" w:rsidRDefault="00ED1CD2" w:rsidP="003F0DB9">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Must be treated by a clinical immunologist with expertise in the management of rheumatoid arthritis.</w:t>
            </w:r>
          </w:p>
        </w:tc>
      </w:tr>
      <w:tr w:rsidR="00ED1CD2"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ED1CD2" w:rsidRDefault="00ED1CD2" w:rsidP="00F574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Patient must have a documented history of severe active juvenile idiopathic arthritis with onset prior to the age of 18 years,</w:t>
            </w:r>
          </w:p>
          <w:p w:rsidR="00ED1CD2" w:rsidRPr="00ED1CD2" w:rsidRDefault="00ED1CD2" w:rsidP="00ED1CD2">
            <w:pPr>
              <w:spacing w:before="40" w:after="40"/>
              <w:ind w:left="289"/>
              <w:rPr>
                <w:rFonts w:ascii="Arial Narrow" w:hAnsi="Arial Narrow" w:cs="Arial"/>
                <w:bCs/>
                <w:sz w:val="20"/>
                <w:szCs w:val="20"/>
              </w:rPr>
            </w:pPr>
            <w:r w:rsidRPr="00ED1CD2">
              <w:rPr>
                <w:rFonts w:ascii="Arial Narrow" w:hAnsi="Arial Narrow" w:cs="Arial"/>
                <w:bCs/>
                <w:sz w:val="20"/>
                <w:szCs w:val="20"/>
              </w:rPr>
              <w:t>AND</w:t>
            </w:r>
          </w:p>
          <w:p w:rsidR="00ED1CD2" w:rsidRP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Patient must have received prior PBS-subsidised treatment with adalimumab,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or tocilizumab for this condition in this treatment cycle,</w:t>
            </w:r>
          </w:p>
          <w:p w:rsidR="00ED1CD2" w:rsidRPr="00ED1CD2" w:rsidRDefault="00ED1CD2" w:rsidP="00ED1CD2">
            <w:pPr>
              <w:spacing w:before="40" w:after="40"/>
              <w:ind w:left="289"/>
              <w:rPr>
                <w:rFonts w:ascii="Arial Narrow" w:hAnsi="Arial Narrow" w:cs="Arial"/>
                <w:bCs/>
                <w:sz w:val="20"/>
                <w:szCs w:val="20"/>
              </w:rPr>
            </w:pPr>
            <w:r w:rsidRPr="00ED1CD2">
              <w:rPr>
                <w:rFonts w:ascii="Arial Narrow" w:hAnsi="Arial Narrow" w:cs="Arial"/>
                <w:bCs/>
                <w:sz w:val="20"/>
                <w:szCs w:val="20"/>
              </w:rPr>
              <w:t>AND</w:t>
            </w:r>
          </w:p>
          <w:p w:rsidR="00ED1CD2" w:rsidRP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Patient must not have failed PBS-subsidised therapy with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for this condition in the current treatment cycle,</w:t>
            </w:r>
          </w:p>
          <w:p w:rsidR="00ED1CD2" w:rsidRPr="00ED1CD2" w:rsidRDefault="00ED1CD2" w:rsidP="00ED1CD2">
            <w:pPr>
              <w:spacing w:before="40" w:after="40"/>
              <w:ind w:left="289"/>
              <w:rPr>
                <w:rFonts w:ascii="Arial Narrow" w:hAnsi="Arial Narrow" w:cs="Arial"/>
                <w:bCs/>
                <w:sz w:val="20"/>
                <w:szCs w:val="20"/>
              </w:rPr>
            </w:pPr>
            <w:r w:rsidRPr="00ED1CD2">
              <w:rPr>
                <w:rFonts w:ascii="Arial Narrow" w:hAnsi="Arial Narrow" w:cs="Arial"/>
                <w:bCs/>
                <w:sz w:val="20"/>
                <w:szCs w:val="20"/>
              </w:rPr>
              <w:t>AND</w:t>
            </w:r>
          </w:p>
          <w:p w:rsidR="00ED1CD2" w:rsidRP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Patient must not receive more than 16 weeks of treatment under this restriction.</w:t>
            </w:r>
          </w:p>
        </w:tc>
      </w:tr>
      <w:tr w:rsidR="00ED1CD2"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ED1CD2" w:rsidRDefault="00ED1CD2" w:rsidP="00F574A7">
            <w:pPr>
              <w:spacing w:before="40" w:after="40"/>
              <w:jc w:val="both"/>
              <w:rPr>
                <w:rFonts w:ascii="Arial Narrow" w:hAnsi="Arial Narrow" w:cs="Arial"/>
                <w:b/>
                <w:sz w:val="20"/>
                <w:szCs w:val="20"/>
              </w:rPr>
            </w:pPr>
            <w:r>
              <w:rPr>
                <w:rFonts w:ascii="Arial Narrow" w:hAnsi="Arial Narrow" w:cs="Arial"/>
                <w:b/>
                <w:sz w:val="20"/>
                <w:szCs w:val="20"/>
              </w:rPr>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ED1CD2" w:rsidRPr="00ED1CD2" w:rsidRDefault="00ED1CD2" w:rsidP="00ED1CD2">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be aged 18 years or older.</w:t>
            </w:r>
          </w:p>
        </w:tc>
      </w:tr>
      <w:tr w:rsidR="00ED1CD2" w:rsidRPr="00260CE3" w:rsidTr="007204F2">
        <w:trPr>
          <w:cantSplit/>
          <w:trHeight w:val="360"/>
        </w:trPr>
        <w:tc>
          <w:tcPr>
            <w:tcW w:w="1090" w:type="pct"/>
            <w:tcBorders>
              <w:top w:val="single" w:sz="4" w:space="0" w:color="auto"/>
              <w:left w:val="single" w:sz="4" w:space="0" w:color="auto"/>
              <w:right w:val="single" w:sz="4" w:space="0" w:color="auto"/>
            </w:tcBorders>
          </w:tcPr>
          <w:p w:rsidR="00ED1CD2" w:rsidRDefault="00ED1CD2" w:rsidP="00F574A7">
            <w:pPr>
              <w:spacing w:before="40" w:after="40"/>
              <w:jc w:val="both"/>
              <w:rPr>
                <w:rFonts w:ascii="Arial Narrow" w:hAnsi="Arial Narrow" w:cs="Arial"/>
                <w:b/>
                <w:sz w:val="20"/>
                <w:szCs w:val="20"/>
              </w:rPr>
            </w:pPr>
            <w:r>
              <w:rPr>
                <w:rFonts w:ascii="Arial Narrow" w:hAnsi="Arial Narrow" w:cs="Arial"/>
                <w:b/>
                <w:sz w:val="20"/>
                <w:szCs w:val="20"/>
              </w:rPr>
              <w:lastRenderedPageBreak/>
              <w:t>Prescriber Instructions:</w:t>
            </w:r>
          </w:p>
        </w:tc>
        <w:tc>
          <w:tcPr>
            <w:tcW w:w="3910" w:type="pct"/>
            <w:gridSpan w:val="7"/>
            <w:tcBorders>
              <w:top w:val="single" w:sz="4" w:space="0" w:color="auto"/>
              <w:left w:val="single" w:sz="4" w:space="0" w:color="auto"/>
              <w:right w:val="single" w:sz="4" w:space="0" w:color="auto"/>
            </w:tcBorders>
          </w:tcPr>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For the purposes of this restriction 'biological disease modifying anti-rheumatic drug' and '</w:t>
            </w:r>
            <w:proofErr w:type="spellStart"/>
            <w:r w:rsidRPr="00ED1CD2">
              <w:rPr>
                <w:rFonts w:ascii="Arial Narrow" w:hAnsi="Arial Narrow" w:cs="Arial"/>
                <w:sz w:val="20"/>
                <w:szCs w:val="20"/>
              </w:rPr>
              <w:t>bDMARD</w:t>
            </w:r>
            <w:proofErr w:type="spellEnd"/>
            <w:r w:rsidRPr="00ED1CD2">
              <w:rPr>
                <w:rFonts w:ascii="Arial Narrow" w:hAnsi="Arial Narrow" w:cs="Arial"/>
                <w:sz w:val="20"/>
                <w:szCs w:val="20"/>
              </w:rPr>
              <w:t xml:space="preserve">' mean adalimumab,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or tocilizumab.</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The authority application must be made in writing and must include:</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(1) a completed a</w:t>
            </w:r>
            <w:r>
              <w:rPr>
                <w:rFonts w:ascii="Arial Narrow" w:hAnsi="Arial Narrow" w:cs="Arial"/>
                <w:sz w:val="20"/>
                <w:szCs w:val="20"/>
              </w:rPr>
              <w:t>uthority prescription form; and</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(2) </w:t>
            </w:r>
            <w:proofErr w:type="gramStart"/>
            <w:r w:rsidRPr="00ED1CD2">
              <w:rPr>
                <w:rFonts w:ascii="Arial Narrow" w:hAnsi="Arial Narrow" w:cs="Arial"/>
                <w:sz w:val="20"/>
                <w:szCs w:val="20"/>
              </w:rPr>
              <w:t>a</w:t>
            </w:r>
            <w:proofErr w:type="gramEnd"/>
            <w:r w:rsidRPr="00ED1CD2">
              <w:rPr>
                <w:rFonts w:ascii="Arial Narrow" w:hAnsi="Arial Narrow" w:cs="Arial"/>
                <w:sz w:val="20"/>
                <w:szCs w:val="20"/>
              </w:rPr>
              <w:t xml:space="preserve"> completed Juvenile Idiopathic Arthritis PBS Authority Application - Supporting Information Form.</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Applications for a patient who has received PBS-subsidised treatment with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in this treatment cycle and who wishes to recommence therapy with this </w:t>
            </w:r>
            <w:proofErr w:type="gramStart"/>
            <w:r w:rsidRPr="00ED1CD2">
              <w:rPr>
                <w:rFonts w:ascii="Arial Narrow" w:hAnsi="Arial Narrow" w:cs="Arial"/>
                <w:sz w:val="20"/>
                <w:szCs w:val="20"/>
              </w:rPr>
              <w:t>drug,</w:t>
            </w:r>
            <w:proofErr w:type="gramEnd"/>
            <w:r w:rsidRPr="00ED1CD2">
              <w:rPr>
                <w:rFonts w:ascii="Arial Narrow" w:hAnsi="Arial Narrow" w:cs="Arial"/>
                <w:sz w:val="20"/>
                <w:szCs w:val="20"/>
              </w:rPr>
              <w:t xml:space="preserve"> must be accompanied by evidence of a response to the patient's most recent course of PBS-subsidised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treatment, within the timeframes specified below.</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Where the most recent course of PBS-subsidised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treatment was approved under either of the Initial 1 or 2 treatment restrictions, the patient must have been assessed for response following a minimum of 12 weeks of therapy. This assessment must be submitted no later than 4 weeks from the date that course was ceased.</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Where the most recent course of PBS-subsidised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 xml:space="preserve"> treatment was approved under the continuing treatment criteria, the patient must have been assessed for response, and the assessment must be submitted no later than 4 weeks from the date that course was ceased.</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Where a response assessment is not undertaken and submitted within these timeframes, the patient will be deemed to have failed to respond to treatment with </w:t>
            </w:r>
            <w:proofErr w:type="spellStart"/>
            <w:r w:rsidRPr="00ED1CD2">
              <w:rPr>
                <w:rFonts w:ascii="Arial Narrow" w:hAnsi="Arial Narrow" w:cs="Arial"/>
                <w:sz w:val="20"/>
                <w:szCs w:val="20"/>
              </w:rPr>
              <w:t>etanercept</w:t>
            </w:r>
            <w:proofErr w:type="spellEnd"/>
            <w:r w:rsidRPr="00ED1CD2">
              <w:rPr>
                <w:rFonts w:ascii="Arial Narrow" w:hAnsi="Arial Narrow" w:cs="Arial"/>
                <w:sz w:val="20"/>
                <w:szCs w:val="20"/>
              </w:rPr>
              <w:t>.</w:t>
            </w:r>
          </w:p>
          <w:p w:rsid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If a patient fails to respond to PBS-subsidised biological disease modifying anti-rheumatic drug (</w:t>
            </w:r>
            <w:proofErr w:type="spellStart"/>
            <w:r w:rsidRPr="00ED1CD2">
              <w:rPr>
                <w:rFonts w:ascii="Arial Narrow" w:hAnsi="Arial Narrow" w:cs="Arial"/>
                <w:sz w:val="20"/>
                <w:szCs w:val="20"/>
              </w:rPr>
              <w:t>bDMARD</w:t>
            </w:r>
            <w:proofErr w:type="spellEnd"/>
            <w:r w:rsidRPr="00ED1CD2">
              <w:rPr>
                <w:rFonts w:ascii="Arial Narrow" w:hAnsi="Arial Narrow" w:cs="Arial"/>
                <w:sz w:val="20"/>
                <w:szCs w:val="20"/>
              </w:rPr>
              <w:t xml:space="preserve">) treatment 3 times (once with each agent) they will not be eligible to receive further PBS-subsidised </w:t>
            </w:r>
            <w:proofErr w:type="spellStart"/>
            <w:r w:rsidRPr="00ED1CD2">
              <w:rPr>
                <w:rFonts w:ascii="Arial Narrow" w:hAnsi="Arial Narrow" w:cs="Arial"/>
                <w:sz w:val="20"/>
                <w:szCs w:val="20"/>
              </w:rPr>
              <w:t>bDMARD</w:t>
            </w:r>
            <w:proofErr w:type="spellEnd"/>
            <w:r w:rsidRPr="00ED1CD2">
              <w:rPr>
                <w:rFonts w:ascii="Arial Narrow" w:hAnsi="Arial Narrow" w:cs="Arial"/>
                <w:sz w:val="20"/>
                <w:szCs w:val="20"/>
              </w:rPr>
              <w:t xml:space="preserve"> therapy in this treatment cycle.</w:t>
            </w:r>
          </w:p>
        </w:tc>
      </w:tr>
      <w:tr w:rsidR="00ED1CD2" w:rsidRPr="00260CE3" w:rsidTr="007204F2">
        <w:trPr>
          <w:cantSplit/>
          <w:trHeight w:val="360"/>
        </w:trPr>
        <w:tc>
          <w:tcPr>
            <w:tcW w:w="1090" w:type="pct"/>
            <w:tcBorders>
              <w:left w:val="single" w:sz="4" w:space="0" w:color="auto"/>
              <w:bottom w:val="single" w:sz="4" w:space="0" w:color="auto"/>
              <w:right w:val="single" w:sz="4" w:space="0" w:color="auto"/>
            </w:tcBorders>
          </w:tcPr>
          <w:p w:rsidR="00ED1CD2" w:rsidRDefault="00ED1CD2" w:rsidP="00F574A7">
            <w:pPr>
              <w:spacing w:before="40" w:after="40"/>
              <w:jc w:val="both"/>
              <w:rPr>
                <w:rFonts w:ascii="Arial Narrow" w:hAnsi="Arial Narrow" w:cs="Arial"/>
                <w:b/>
                <w:sz w:val="20"/>
                <w:szCs w:val="20"/>
              </w:rPr>
            </w:pPr>
          </w:p>
        </w:tc>
        <w:tc>
          <w:tcPr>
            <w:tcW w:w="3910" w:type="pct"/>
            <w:gridSpan w:val="7"/>
            <w:tcBorders>
              <w:left w:val="single" w:sz="4" w:space="0" w:color="auto"/>
              <w:bottom w:val="single" w:sz="4" w:space="0" w:color="auto"/>
              <w:right w:val="single" w:sz="4" w:space="0" w:color="auto"/>
            </w:tcBorders>
          </w:tcPr>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An adequate response to treatment is defined as:</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an ESR no greater than 25 mm per hour or a CRP level no greater than 15 mg per L or either marker reduced by at least 20% from baseline;</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AND either of the following:</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(a) an active joint count of fewer than 10 active </w:t>
            </w:r>
            <w:r>
              <w:rPr>
                <w:rFonts w:ascii="Arial Narrow" w:hAnsi="Arial Narrow" w:cs="Arial"/>
                <w:sz w:val="20"/>
                <w:szCs w:val="20"/>
              </w:rPr>
              <w:t>(swollen and tender) joints; or</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(b) a reduction in the active (swollen and tender) joint count by at least 50% from baseline; or</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(c) a reduction in the number of the following active joints, fr</w:t>
            </w:r>
            <w:r>
              <w:rPr>
                <w:rFonts w:ascii="Arial Narrow" w:hAnsi="Arial Narrow" w:cs="Arial"/>
                <w:sz w:val="20"/>
                <w:szCs w:val="20"/>
              </w:rPr>
              <w:t>om at least 4, by at least 50%:</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w:t>
            </w:r>
            <w:proofErr w:type="spellStart"/>
            <w:r w:rsidRPr="00ED1CD2">
              <w:rPr>
                <w:rFonts w:ascii="Arial Narrow" w:hAnsi="Arial Narrow" w:cs="Arial"/>
                <w:sz w:val="20"/>
                <w:szCs w:val="20"/>
              </w:rPr>
              <w:t>i</w:t>
            </w:r>
            <w:proofErr w:type="spellEnd"/>
            <w:r w:rsidRPr="00ED1CD2">
              <w:rPr>
                <w:rFonts w:ascii="Arial Narrow" w:hAnsi="Arial Narrow" w:cs="Arial"/>
                <w:sz w:val="20"/>
                <w:szCs w:val="20"/>
              </w:rPr>
              <w:t>) elbow, wrist, knee and/or ankle (assessed as swollen and tender); and/or</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 xml:space="preserve">(ii) </w:t>
            </w:r>
            <w:proofErr w:type="gramStart"/>
            <w:r w:rsidRPr="00ED1CD2">
              <w:rPr>
                <w:rFonts w:ascii="Arial Narrow" w:hAnsi="Arial Narrow" w:cs="Arial"/>
                <w:sz w:val="20"/>
                <w:szCs w:val="20"/>
              </w:rPr>
              <w:t>shoulder</w:t>
            </w:r>
            <w:proofErr w:type="gramEnd"/>
            <w:r w:rsidRPr="00ED1CD2">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tc>
      </w:tr>
      <w:tr w:rsidR="00ED1CD2"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ED1CD2" w:rsidRDefault="00ED1CD2" w:rsidP="00F574A7">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Applications for authority to prescribe should be forwarded to:</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Department of Human Services</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Complex Drugs</w:t>
            </w:r>
          </w:p>
          <w:p w:rsidR="00ED1CD2" w:rsidRP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Reply Paid 9826</w:t>
            </w:r>
          </w:p>
          <w:p w:rsidR="00ED1CD2" w:rsidRDefault="00ED1CD2" w:rsidP="00ED1CD2">
            <w:pPr>
              <w:spacing w:before="40" w:after="40"/>
              <w:rPr>
                <w:rFonts w:ascii="Arial Narrow" w:hAnsi="Arial Narrow" w:cs="Arial"/>
                <w:sz w:val="20"/>
                <w:szCs w:val="20"/>
              </w:rPr>
            </w:pPr>
            <w:r w:rsidRPr="00ED1CD2">
              <w:rPr>
                <w:rFonts w:ascii="Arial Narrow" w:hAnsi="Arial Narrow" w:cs="Arial"/>
                <w:sz w:val="20"/>
                <w:szCs w:val="20"/>
              </w:rPr>
              <w:t>HOBART TAS 7001</w:t>
            </w:r>
          </w:p>
        </w:tc>
      </w:tr>
      <w:tr w:rsidR="00E87A2C" w:rsidRPr="00AF3B30" w:rsidTr="007204F2">
        <w:trPr>
          <w:cantSplit/>
          <w:trHeight w:val="360"/>
        </w:trPr>
        <w:tc>
          <w:tcPr>
            <w:tcW w:w="10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87A2C" w:rsidRDefault="00E87A2C" w:rsidP="00F574A7">
            <w:pPr>
              <w:spacing w:before="40" w:after="40"/>
              <w:jc w:val="both"/>
              <w:rPr>
                <w:rFonts w:ascii="Arial Narrow" w:hAnsi="Arial Narrow" w:cs="Arial"/>
                <w:b/>
                <w:sz w:val="20"/>
                <w:szCs w:val="20"/>
              </w:rPr>
            </w:pPr>
          </w:p>
        </w:tc>
        <w:tc>
          <w:tcPr>
            <w:tcW w:w="391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E87A2C" w:rsidRPr="00AF3B30" w:rsidRDefault="00E87A2C" w:rsidP="00F574A7">
            <w:pPr>
              <w:spacing w:before="40" w:after="40"/>
              <w:rPr>
                <w:rFonts w:ascii="Arial Narrow" w:hAnsi="Arial Narrow" w:cs="Arial"/>
                <w:sz w:val="20"/>
                <w:szCs w:val="20"/>
              </w:rPr>
            </w:pPr>
          </w:p>
        </w:tc>
      </w:tr>
      <w:tr w:rsidR="00E87A2C"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E87A2C" w:rsidRPr="00200D89" w:rsidRDefault="00E87A2C" w:rsidP="00F574A7">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E87A2C" w:rsidRPr="00260CE3" w:rsidRDefault="00E87A2C" w:rsidP="00F574A7">
            <w:pPr>
              <w:spacing w:before="40" w:after="40"/>
              <w:rPr>
                <w:rFonts w:ascii="Arial Narrow" w:hAnsi="Arial Narrow" w:cs="Arial"/>
                <w:sz w:val="20"/>
                <w:szCs w:val="20"/>
              </w:rPr>
            </w:pPr>
            <w:r w:rsidRPr="00E87A2C">
              <w:rPr>
                <w:rFonts w:ascii="Arial Narrow" w:hAnsi="Arial Narrow" w:cs="Arial"/>
                <w:sz w:val="20"/>
                <w:szCs w:val="20"/>
              </w:rPr>
              <w:t>Initial 1 (new patient or patient recommencing treatment after a break of more than 24 months) or Initial 2 (change or recommencement of treatment after break of less than 24 months) – balance of supply</w:t>
            </w:r>
          </w:p>
        </w:tc>
      </w:tr>
      <w:tr w:rsidR="00E87A2C"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E87A2C" w:rsidRPr="00260CE3" w:rsidRDefault="00E87A2C" w:rsidP="00F574A7">
            <w:pPr>
              <w:spacing w:before="40" w:after="40"/>
              <w:jc w:val="both"/>
              <w:rPr>
                <w:rFonts w:ascii="Arial Narrow" w:hAnsi="Arial Narrow" w:cs="Arial"/>
                <w:b/>
                <w:sz w:val="20"/>
                <w:szCs w:val="20"/>
              </w:rPr>
            </w:pPr>
            <w:r>
              <w:rPr>
                <w:rFonts w:ascii="Arial Narrow" w:hAnsi="Arial Narrow" w:cs="Arial"/>
                <w:b/>
                <w:sz w:val="20"/>
                <w:szCs w:val="20"/>
              </w:rPr>
              <w:lastRenderedPageBreak/>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E87A2C" w:rsidRDefault="00E87A2C" w:rsidP="00E87A2C">
            <w:pPr>
              <w:numPr>
                <w:ilvl w:val="0"/>
                <w:numId w:val="18"/>
              </w:numPr>
              <w:tabs>
                <w:tab w:val="clear" w:pos="720"/>
                <w:tab w:val="num" w:pos="289"/>
              </w:tabs>
              <w:spacing w:before="40" w:after="40"/>
              <w:ind w:left="289" w:hanging="283"/>
              <w:rPr>
                <w:rFonts w:ascii="Arial Narrow" w:hAnsi="Arial Narrow" w:cs="Arial"/>
                <w:sz w:val="20"/>
                <w:szCs w:val="20"/>
              </w:rPr>
            </w:pPr>
            <w:r w:rsidRPr="00E87A2C">
              <w:rPr>
                <w:rFonts w:ascii="Arial Narrow" w:hAnsi="Arial Narrow" w:cs="Arial"/>
                <w:sz w:val="20"/>
                <w:szCs w:val="20"/>
              </w:rPr>
              <w:t xml:space="preserve">Must be treated by a rheumatologist; </w:t>
            </w:r>
          </w:p>
          <w:p w:rsidR="00E87A2C" w:rsidRPr="00E87A2C" w:rsidRDefault="00E87A2C" w:rsidP="00E87A2C">
            <w:pPr>
              <w:spacing w:before="40" w:after="40"/>
              <w:ind w:left="289"/>
              <w:rPr>
                <w:rFonts w:ascii="Arial Narrow" w:hAnsi="Arial Narrow" w:cs="Arial"/>
                <w:sz w:val="20"/>
                <w:szCs w:val="20"/>
              </w:rPr>
            </w:pPr>
            <w:r w:rsidRPr="00E87A2C">
              <w:rPr>
                <w:rFonts w:ascii="Arial Narrow" w:hAnsi="Arial Narrow" w:cs="Arial"/>
                <w:sz w:val="20"/>
                <w:szCs w:val="20"/>
              </w:rPr>
              <w:t>OR</w:t>
            </w:r>
          </w:p>
          <w:p w:rsidR="00E87A2C" w:rsidRPr="00E87A2C" w:rsidRDefault="00E87A2C" w:rsidP="00F574A7">
            <w:pPr>
              <w:numPr>
                <w:ilvl w:val="0"/>
                <w:numId w:val="18"/>
              </w:numPr>
              <w:tabs>
                <w:tab w:val="clear" w:pos="720"/>
                <w:tab w:val="num" w:pos="289"/>
              </w:tabs>
              <w:spacing w:before="40" w:after="40"/>
              <w:ind w:left="289" w:hanging="283"/>
              <w:rPr>
                <w:rFonts w:ascii="Arial Narrow" w:hAnsi="Arial Narrow" w:cs="Arial"/>
                <w:sz w:val="20"/>
                <w:szCs w:val="20"/>
              </w:rPr>
            </w:pPr>
            <w:r w:rsidRPr="00E87A2C">
              <w:rPr>
                <w:rFonts w:ascii="Arial Narrow" w:hAnsi="Arial Narrow" w:cs="Arial"/>
                <w:sz w:val="20"/>
                <w:szCs w:val="20"/>
              </w:rPr>
              <w:t>Must be treated by a clinical immunologist with expertise in the management of rheumatoid arthritis.</w:t>
            </w:r>
          </w:p>
        </w:tc>
      </w:tr>
      <w:tr w:rsidR="00E87A2C" w:rsidRPr="00260CE3" w:rsidTr="007204F2">
        <w:trPr>
          <w:cantSplit/>
          <w:trHeight w:val="1964"/>
        </w:trPr>
        <w:tc>
          <w:tcPr>
            <w:tcW w:w="1090" w:type="pct"/>
            <w:tcBorders>
              <w:top w:val="single" w:sz="4" w:space="0" w:color="auto"/>
              <w:left w:val="single" w:sz="4" w:space="0" w:color="auto"/>
              <w:bottom w:val="single" w:sz="4" w:space="0" w:color="auto"/>
              <w:right w:val="single" w:sz="4" w:space="0" w:color="auto"/>
            </w:tcBorders>
          </w:tcPr>
          <w:p w:rsidR="00E87A2C" w:rsidRDefault="00E87A2C" w:rsidP="00F574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E87A2C" w:rsidRDefault="00E87A2C" w:rsidP="00E87A2C">
            <w:pPr>
              <w:numPr>
                <w:ilvl w:val="0"/>
                <w:numId w:val="18"/>
              </w:numPr>
              <w:tabs>
                <w:tab w:val="clear" w:pos="720"/>
                <w:tab w:val="num" w:pos="289"/>
              </w:tabs>
              <w:spacing w:before="40" w:after="40"/>
              <w:ind w:left="289" w:hanging="283"/>
              <w:rPr>
                <w:rFonts w:ascii="Arial Narrow" w:hAnsi="Arial Narrow" w:cs="Arial"/>
                <w:sz w:val="20"/>
                <w:szCs w:val="20"/>
              </w:rPr>
            </w:pPr>
            <w:r w:rsidRPr="00E87A2C">
              <w:rPr>
                <w:rFonts w:ascii="Arial Narrow" w:hAnsi="Arial Narrow" w:cs="Arial"/>
                <w:sz w:val="20"/>
                <w:szCs w:val="20"/>
              </w:rPr>
              <w:t xml:space="preserve">Must be treated by a rheumatologist; </w:t>
            </w:r>
          </w:p>
          <w:p w:rsidR="00E87A2C" w:rsidRPr="00E87A2C" w:rsidRDefault="00E87A2C" w:rsidP="00E87A2C">
            <w:pPr>
              <w:spacing w:before="40" w:after="40"/>
              <w:ind w:left="289"/>
              <w:rPr>
                <w:rFonts w:ascii="Arial Narrow" w:hAnsi="Arial Narrow" w:cs="Arial"/>
                <w:sz w:val="20"/>
                <w:szCs w:val="20"/>
              </w:rPr>
            </w:pPr>
            <w:r w:rsidRPr="00E87A2C">
              <w:rPr>
                <w:rFonts w:ascii="Arial Narrow" w:hAnsi="Arial Narrow" w:cs="Arial"/>
                <w:sz w:val="20"/>
                <w:szCs w:val="20"/>
              </w:rPr>
              <w:t>OR</w:t>
            </w:r>
          </w:p>
          <w:p w:rsidR="00E87A2C" w:rsidRPr="00E87A2C" w:rsidRDefault="00E87A2C" w:rsidP="00E87A2C">
            <w:pPr>
              <w:numPr>
                <w:ilvl w:val="0"/>
                <w:numId w:val="18"/>
              </w:numPr>
              <w:tabs>
                <w:tab w:val="clear" w:pos="720"/>
                <w:tab w:val="num" w:pos="289"/>
              </w:tabs>
              <w:spacing w:before="40" w:after="40"/>
              <w:ind w:left="289" w:hanging="283"/>
              <w:rPr>
                <w:rFonts w:ascii="Arial Narrow" w:hAnsi="Arial Narrow" w:cs="Arial"/>
                <w:sz w:val="20"/>
                <w:szCs w:val="20"/>
              </w:rPr>
            </w:pPr>
            <w:r w:rsidRPr="00E87A2C">
              <w:rPr>
                <w:rFonts w:ascii="Arial Narrow" w:hAnsi="Arial Narrow" w:cs="Arial"/>
                <w:sz w:val="20"/>
                <w:szCs w:val="20"/>
              </w:rPr>
              <w:t>Must be treated by a clinical immunologist with expertise in the management of rheumatoid arthritis.</w:t>
            </w:r>
          </w:p>
          <w:p w:rsidR="00E87A2C" w:rsidRDefault="00E87A2C" w:rsidP="00E87A2C">
            <w:pPr>
              <w:spacing w:before="40" w:after="40"/>
              <w:ind w:left="289"/>
              <w:rPr>
                <w:rFonts w:ascii="Arial Narrow" w:hAnsi="Arial Narrow" w:cs="Arial"/>
                <w:sz w:val="20"/>
                <w:szCs w:val="20"/>
              </w:rPr>
            </w:pPr>
            <w:r>
              <w:rPr>
                <w:rFonts w:ascii="Arial Narrow" w:hAnsi="Arial Narrow" w:cs="Arial"/>
                <w:sz w:val="20"/>
                <w:szCs w:val="20"/>
              </w:rPr>
              <w:t>AND</w:t>
            </w:r>
          </w:p>
          <w:p w:rsidR="00E87A2C" w:rsidRPr="00E87A2C" w:rsidRDefault="00E87A2C" w:rsidP="00E87A2C">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The treatment must provide no more than the balance of up to 16 weeks treatment available under above restrictions.</w:t>
            </w:r>
            <w:r w:rsidRPr="00E87A2C">
              <w:rPr>
                <w:rFonts w:ascii="Arial Narrow" w:hAnsi="Arial Narrow" w:cs="Arial"/>
                <w:sz w:val="20"/>
                <w:szCs w:val="20"/>
              </w:rPr>
              <w:t xml:space="preserve"> </w:t>
            </w:r>
          </w:p>
        </w:tc>
      </w:tr>
      <w:tr w:rsidR="00101EA3" w:rsidRPr="00260CE3" w:rsidTr="007204F2">
        <w:trPr>
          <w:cantSplit/>
          <w:trHeight w:val="1964"/>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101EA3"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Authority approval for sufficient therapy to complete a maximum of 16 weeks of treatment may be requested by telephone by contacting the Department of Human Services on 1800 700 270 (hours of operation 8 a.m. to 5 p.m. EST Monday to Friday).</w:t>
            </w:r>
          </w:p>
          <w:p w:rsidR="00101EA3" w:rsidRPr="00101EA3"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Written application for authority approval for sufficient therapy to complete a maximum of 16 weeks of treatment should be forwarded to:</w:t>
            </w:r>
          </w:p>
          <w:p w:rsidR="00101EA3" w:rsidRPr="00101EA3"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Department of Human Services</w:t>
            </w:r>
          </w:p>
          <w:p w:rsidR="00101EA3" w:rsidRPr="00101EA3"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Complex Drugs</w:t>
            </w:r>
          </w:p>
          <w:p w:rsidR="00101EA3" w:rsidRPr="00101EA3"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Reply Paid 9826</w:t>
            </w:r>
          </w:p>
          <w:p w:rsidR="00101EA3" w:rsidRPr="00E87A2C" w:rsidRDefault="00101EA3" w:rsidP="00101EA3">
            <w:pPr>
              <w:spacing w:before="40" w:after="40"/>
              <w:ind w:left="6"/>
              <w:rPr>
                <w:rFonts w:ascii="Arial Narrow" w:hAnsi="Arial Narrow" w:cs="Arial"/>
                <w:sz w:val="20"/>
                <w:szCs w:val="20"/>
              </w:rPr>
            </w:pPr>
            <w:r w:rsidRPr="00101EA3">
              <w:rPr>
                <w:rFonts w:ascii="Arial Narrow" w:hAnsi="Arial Narrow" w:cs="Arial"/>
                <w:sz w:val="20"/>
                <w:szCs w:val="20"/>
              </w:rPr>
              <w:t>HOBART TAS 7001</w:t>
            </w:r>
          </w:p>
        </w:tc>
      </w:tr>
    </w:tbl>
    <w:p w:rsidR="001845BF" w:rsidRPr="001845BF" w:rsidRDefault="001845BF" w:rsidP="001845BF">
      <w:pPr>
        <w:rPr>
          <w:rFonts w:asciiTheme="minorHAnsi" w:hAnsiTheme="minorHAnsi"/>
          <w:lang w:eastAsia="en-US"/>
        </w:rPr>
      </w:pPr>
    </w:p>
    <w:p w:rsidR="00101EA3" w:rsidRDefault="00101EA3" w:rsidP="00AE22D3">
      <w:pPr>
        <w:rPr>
          <w:rFonts w:asciiTheme="minorHAnsi" w:hAnsiTheme="minorHAnsi"/>
          <w:sz w:val="22"/>
          <w:szCs w:val="22"/>
        </w:rPr>
      </w:pPr>
    </w:p>
    <w:p w:rsidR="002B559D" w:rsidRDefault="002B559D" w:rsidP="002B559D">
      <w:pPr>
        <w:pStyle w:val="Caption"/>
        <w:outlineLvl w:val="1"/>
      </w:pPr>
      <w:r>
        <w:t xml:space="preserve">Table </w:t>
      </w:r>
      <w:r w:rsidR="00A40065">
        <w:rPr>
          <w:noProof/>
        </w:rPr>
        <w:t>4</w:t>
      </w:r>
      <w:r>
        <w:t>: S85 - 1st Continuing Restrictions</w:t>
      </w:r>
    </w:p>
    <w:tbl>
      <w:tblPr>
        <w:tblW w:w="4912" w:type="pct"/>
        <w:tblLook w:val="0000" w:firstRow="0" w:lastRow="0" w:firstColumn="0" w:lastColumn="0" w:noHBand="0" w:noVBand="0"/>
      </w:tblPr>
      <w:tblGrid>
        <w:gridCol w:w="1979"/>
        <w:gridCol w:w="1398"/>
        <w:gridCol w:w="763"/>
        <w:gridCol w:w="915"/>
        <w:gridCol w:w="770"/>
        <w:gridCol w:w="1605"/>
        <w:gridCol w:w="763"/>
        <w:gridCol w:w="886"/>
      </w:tblGrid>
      <w:tr w:rsidR="007204F2" w:rsidRPr="0039782C" w:rsidTr="007204F2">
        <w:trPr>
          <w:gridAfter w:val="2"/>
          <w:wAfter w:w="908" w:type="pct"/>
          <w:cantSplit/>
          <w:trHeight w:val="465"/>
        </w:trPr>
        <w:tc>
          <w:tcPr>
            <w:tcW w:w="1860"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0"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4"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308"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204F2" w:rsidRPr="00260CE3" w:rsidTr="007204F2">
        <w:trPr>
          <w:gridAfter w:val="2"/>
          <w:wAfter w:w="908" w:type="pct"/>
          <w:cantSplit/>
          <w:trHeight w:val="567"/>
        </w:trPr>
        <w:tc>
          <w:tcPr>
            <w:tcW w:w="1860" w:type="pct"/>
            <w:gridSpan w:val="2"/>
          </w:tcPr>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mallCaps/>
                <w:sz w:val="20"/>
                <w:szCs w:val="20"/>
              </w:rPr>
              <w:t>ETANERCEPT</w:t>
            </w: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auto-injector, 4</w:t>
            </w: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pre-filled syringe, 4</w:t>
            </w:r>
          </w:p>
        </w:tc>
        <w:tc>
          <w:tcPr>
            <w:tcW w:w="420"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tc>
        <w:tc>
          <w:tcPr>
            <w:tcW w:w="504"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5</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5</w:t>
            </w:r>
          </w:p>
        </w:tc>
        <w:tc>
          <w:tcPr>
            <w:tcW w:w="424" w:type="pct"/>
          </w:tcPr>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Enbrel</w:t>
            </w:r>
            <w:r>
              <w:rPr>
                <w:rFonts w:ascii="Arial Narrow" w:hAnsi="Arial Narrow" w:cs="Arial"/>
                <w:sz w:val="20"/>
                <w:szCs w:val="20"/>
                <w:vertAlign w:val="superscript"/>
              </w:rPr>
              <w:t>®</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054A37" w:rsidRDefault="007204F2" w:rsidP="00F574A7">
            <w:pPr>
              <w:keepNext/>
              <w:spacing w:before="40" w:after="40"/>
              <w:jc w:val="both"/>
              <w:rPr>
                <w:rFonts w:ascii="Arial Narrow" w:hAnsi="Arial Narrow" w:cs="Arial"/>
                <w:sz w:val="20"/>
                <w:szCs w:val="20"/>
                <w:vertAlign w:val="superscript"/>
              </w:rPr>
            </w:pPr>
            <w:proofErr w:type="spellStart"/>
            <w:r>
              <w:rPr>
                <w:rFonts w:ascii="Arial Narrow" w:hAnsi="Arial Narrow" w:cs="Arial"/>
                <w:sz w:val="20"/>
                <w:szCs w:val="20"/>
              </w:rPr>
              <w:t>Erelzi</w:t>
            </w:r>
            <w:proofErr w:type="spellEnd"/>
            <w:r>
              <w:rPr>
                <w:rFonts w:ascii="Arial Narrow" w:hAnsi="Arial Narrow" w:cs="Arial"/>
                <w:sz w:val="20"/>
                <w:szCs w:val="20"/>
                <w:vertAlign w:val="superscript"/>
              </w:rPr>
              <w:t>®</w:t>
            </w:r>
          </w:p>
        </w:tc>
        <w:tc>
          <w:tcPr>
            <w:tcW w:w="884" w:type="pct"/>
          </w:tcPr>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Pfizer Australia Pty Ltd</w:t>
            </w: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Sandoz Pty Ltd</w:t>
            </w:r>
          </w:p>
        </w:tc>
      </w:tr>
      <w:tr w:rsidR="00101EA3" w:rsidRPr="00260CE3" w:rsidTr="007204F2">
        <w:trPr>
          <w:gridAfter w:val="1"/>
          <w:wAfter w:w="488" w:type="pct"/>
          <w:cantSplit/>
          <w:trHeight w:val="360"/>
        </w:trPr>
        <w:tc>
          <w:tcPr>
            <w:tcW w:w="4512" w:type="pct"/>
            <w:gridSpan w:val="7"/>
            <w:tcBorders>
              <w:bottom w:val="single" w:sz="4" w:space="0" w:color="auto"/>
            </w:tcBorders>
          </w:tcPr>
          <w:p w:rsidR="00101EA3" w:rsidRPr="00260CE3" w:rsidRDefault="00101EA3" w:rsidP="00F574A7">
            <w:pPr>
              <w:spacing w:before="40" w:after="40"/>
              <w:jc w:val="both"/>
              <w:rPr>
                <w:rFonts w:ascii="Arial Narrow" w:hAnsi="Arial Narrow" w:cs="Arial"/>
                <w:sz w:val="20"/>
                <w:szCs w:val="20"/>
              </w:rPr>
            </w:pP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4C6C07" w:rsidRDefault="00101EA3" w:rsidP="00F574A7">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101EA3" w:rsidRPr="00260CE3" w:rsidRDefault="00101EA3" w:rsidP="00F574A7">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101EA3" w:rsidRPr="00260CE3" w:rsidRDefault="00101EA3" w:rsidP="00F574A7">
            <w:pPr>
              <w:spacing w:before="40" w:after="40"/>
              <w:rPr>
                <w:rFonts w:ascii="Arial Narrow" w:hAnsi="Arial Narrow" w:cs="Arial"/>
                <w:sz w:val="20"/>
                <w:szCs w:val="20"/>
              </w:rPr>
            </w:pP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101EA3" w:rsidRPr="00260CE3" w:rsidRDefault="00101EA3"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rPr>
                <w:rFonts w:ascii="Arial Narrow" w:hAnsi="Arial Narrow" w:cs="Arial"/>
                <w:sz w:val="20"/>
                <w:szCs w:val="20"/>
              </w:rPr>
            </w:pPr>
            <w:r w:rsidRPr="0004601D">
              <w:rPr>
                <w:rFonts w:ascii="Arial Narrow" w:hAnsi="Arial Narrow" w:cs="Arial"/>
                <w:sz w:val="20"/>
                <w:szCs w:val="20"/>
              </w:rPr>
              <w:t>Severe active juvenile idiopathic arthritis</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01EA3" w:rsidRPr="00260CE3" w:rsidRDefault="00101EA3" w:rsidP="00F574A7">
            <w:pPr>
              <w:spacing w:before="40" w:after="40"/>
              <w:rPr>
                <w:rFonts w:ascii="Arial Narrow" w:hAnsi="Arial Narrow" w:cs="Arial"/>
                <w:sz w:val="20"/>
                <w:szCs w:val="20"/>
              </w:rPr>
            </w:pPr>
          </w:p>
        </w:tc>
        <w:tc>
          <w:tcPr>
            <w:tcW w:w="3910" w:type="pct"/>
            <w:gridSpan w:val="7"/>
            <w:tcBorders>
              <w:top w:val="single" w:sz="4" w:space="0" w:color="auto"/>
              <w:left w:val="single" w:sz="4" w:space="0" w:color="auto"/>
              <w:bottom w:val="single" w:sz="4" w:space="0" w:color="auto"/>
              <w:right w:val="single" w:sz="4" w:space="0" w:color="auto"/>
            </w:tcBorders>
          </w:tcPr>
          <w:p w:rsidR="00101EA3" w:rsidRPr="00106BCF" w:rsidRDefault="00101EA3"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01EA3" w:rsidRPr="00106BCF" w:rsidRDefault="00101EA3"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01EA3" w:rsidRPr="00106BCF" w:rsidRDefault="00101EA3"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01EA3" w:rsidRPr="00106BCF" w:rsidRDefault="00101EA3"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01EA3" w:rsidRPr="00106BCF" w:rsidRDefault="00101EA3"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01EA3" w:rsidRPr="00260CE3" w:rsidRDefault="00101EA3"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101EA3" w:rsidRPr="00260CE3" w:rsidTr="007204F2">
        <w:trPr>
          <w:cantSplit/>
          <w:trHeight w:val="360"/>
        </w:trPr>
        <w:tc>
          <w:tcPr>
            <w:tcW w:w="1090" w:type="pct"/>
            <w:tcBorders>
              <w:top w:val="single" w:sz="4" w:space="0" w:color="auto"/>
              <w:left w:val="single" w:sz="4" w:space="0" w:color="auto"/>
              <w:right w:val="single" w:sz="4" w:space="0" w:color="auto"/>
            </w:tcBorders>
          </w:tcPr>
          <w:p w:rsidR="00101EA3" w:rsidRPr="00260CE3" w:rsidRDefault="00101EA3" w:rsidP="00F574A7">
            <w:pPr>
              <w:spacing w:before="40" w:after="40"/>
              <w:jc w:val="both"/>
              <w:rPr>
                <w:rFonts w:ascii="Arial Narrow" w:hAnsi="Arial Narrow" w:cs="Arial"/>
                <w:b/>
                <w:sz w:val="20"/>
                <w:szCs w:val="20"/>
              </w:rPr>
            </w:pPr>
            <w:r>
              <w:rPr>
                <w:rFonts w:ascii="Arial Narrow" w:hAnsi="Arial Narrow" w:cs="Arial"/>
                <w:b/>
                <w:sz w:val="20"/>
                <w:szCs w:val="20"/>
              </w:rPr>
              <w:lastRenderedPageBreak/>
              <w:t>Administrative Advice (Note) (all treatment phases):</w:t>
            </w:r>
          </w:p>
        </w:tc>
        <w:tc>
          <w:tcPr>
            <w:tcW w:w="3910" w:type="pct"/>
            <w:gridSpan w:val="7"/>
            <w:tcBorders>
              <w:top w:val="single" w:sz="4" w:space="0" w:color="auto"/>
              <w:left w:val="single" w:sz="4" w:space="0" w:color="auto"/>
              <w:right w:val="single" w:sz="4" w:space="0" w:color="auto"/>
            </w:tcBorders>
          </w:tcPr>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TREATMENT OF ADULT PATIENTS WITH A HISTORY OF JUVENILE IDIOPATHIC ARTHRITIS</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The following information applies to the prescribing under the Pharmaceutical Benefits Scheme (PBS) of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for a patient over 18 years who has a history of juvenile idiopathic arthritis with onset prior to the age of 18 years. Where the term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appears in notes and restrictions, it refers to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only.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is eligible for PBS-subsidised treatment with only 1 of the 3 </w:t>
            </w:r>
            <w:proofErr w:type="spellStart"/>
            <w:r w:rsidRPr="0022377B">
              <w:rPr>
                <w:rFonts w:ascii="Arial Narrow" w:hAnsi="Arial Narrow" w:cs="Arial"/>
                <w:sz w:val="20"/>
                <w:szCs w:val="20"/>
              </w:rPr>
              <w:t>bDMARDs</w:t>
            </w:r>
            <w:proofErr w:type="spellEnd"/>
            <w:r w:rsidRPr="0022377B">
              <w:rPr>
                <w:rFonts w:ascii="Arial Narrow" w:hAnsi="Arial Narrow" w:cs="Arial"/>
                <w:sz w:val="20"/>
                <w:szCs w:val="20"/>
              </w:rPr>
              <w:t xml:space="preserve"> at any one time.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From 1 April 2014, a patient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is considered to be in a treatment cycle where they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experience a disease flare. Under these interchangeability arrangements, within a single treatment cycle, a patient may: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continue to receive long-term treatment with a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while they continue to show a response to therapy; and</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(ii) </w:t>
            </w:r>
            <w:proofErr w:type="gramStart"/>
            <w:r w:rsidRPr="0022377B">
              <w:rPr>
                <w:rFonts w:ascii="Arial Narrow" w:hAnsi="Arial Narrow" w:cs="Arial"/>
                <w:sz w:val="20"/>
                <w:szCs w:val="20"/>
              </w:rPr>
              <w:t>fail</w:t>
            </w:r>
            <w:proofErr w:type="gramEnd"/>
            <w:r w:rsidRPr="0022377B">
              <w:rPr>
                <w:rFonts w:ascii="Arial Narrow" w:hAnsi="Arial Narrow" w:cs="Arial"/>
                <w:sz w:val="20"/>
                <w:szCs w:val="20"/>
              </w:rPr>
              <w:t xml:space="preserve"> to respond or to sustain a response to each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once only.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Once a patient has either failed or ceased to respond to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3 times, they are deemed to have completed a single treatment cycle and they must have, at a minimum, a 5 year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before they are eligible to receive further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The length of a treatment break is measured from the date of the last approval for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in the last treatment cycle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was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immediately prior to 1 April 2014 is considered to be in their first cycle as of 1 April 2014. A </w:t>
            </w:r>
            <w:proofErr w:type="gramStart"/>
            <w:r w:rsidRPr="0022377B">
              <w:rPr>
                <w:rFonts w:ascii="Arial Narrow" w:hAnsi="Arial Narrow" w:cs="Arial"/>
                <w:sz w:val="20"/>
                <w:szCs w:val="20"/>
              </w:rPr>
              <w:t>patient</w:t>
            </w:r>
            <w:proofErr w:type="gramEnd"/>
            <w:r w:rsidRPr="0022377B">
              <w:rPr>
                <w:rFonts w:ascii="Arial Narrow" w:hAnsi="Arial Narrow" w:cs="Arial"/>
                <w:sz w:val="20"/>
                <w:szCs w:val="20"/>
              </w:rPr>
              <w:t xml:space="preserve"> who has had a break in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of at least 24 months immediately prior to making a new application, on or after 1 April 2014, will commence a new treatment cycle.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less than 24 months may commence a further course of treatment within the same treatment cycle.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more than 24 months must commence a new treatment cycle. The length of the break in therapy is measured from the date the most recent treatment with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was stopped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There is no limit to the number of treatment cycles a patient may undertake.</w:t>
            </w:r>
          </w:p>
          <w:p w:rsidR="00101EA3" w:rsidRPr="00106BCF"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(1) How to prescribe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after 1 April 2014.</w:t>
            </w:r>
          </w:p>
        </w:tc>
      </w:tr>
      <w:tr w:rsidR="00101EA3" w:rsidRPr="00260CE3" w:rsidTr="007204F2">
        <w:trPr>
          <w:cantSplit/>
          <w:trHeight w:val="360"/>
        </w:trPr>
        <w:tc>
          <w:tcPr>
            <w:tcW w:w="1090" w:type="pct"/>
            <w:tcBorders>
              <w:left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p>
        </w:tc>
        <w:tc>
          <w:tcPr>
            <w:tcW w:w="3910" w:type="pct"/>
            <w:gridSpan w:val="7"/>
            <w:tcBorders>
              <w:left w:val="single" w:sz="4" w:space="0" w:color="auto"/>
              <w:right w:val="single" w:sz="4" w:space="0" w:color="auto"/>
            </w:tcBorders>
          </w:tcPr>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(a) Initial treatment.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Applications for initial treatment should be made where: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a patient has received no prior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in this treatment cycle and wishes to commence such therapy (Initial 1); or</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(ii) a patient wishes to re-commence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in PBS-subsidised therapy of more than 24 months (Initial 1); or</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(iii) a patient has received prior PBS-subsidised (initial or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and wishes to trial an alternate agent (Initial 2) [further details are under 'Swapping therapy' below]; or</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(iv) </w:t>
            </w:r>
            <w:proofErr w:type="gramStart"/>
            <w:r w:rsidRPr="0022377B">
              <w:rPr>
                <w:rFonts w:ascii="Arial Narrow" w:hAnsi="Arial Narrow" w:cs="Arial"/>
                <w:sz w:val="20"/>
                <w:szCs w:val="20"/>
              </w:rPr>
              <w:t>a</w:t>
            </w:r>
            <w:proofErr w:type="gramEnd"/>
            <w:r w:rsidRPr="0022377B">
              <w:rPr>
                <w:rFonts w:ascii="Arial Narrow" w:hAnsi="Arial Narrow" w:cs="Arial"/>
                <w:sz w:val="20"/>
                <w:szCs w:val="20"/>
              </w:rPr>
              <w:t xml:space="preserve"> patient wishes to re-commence treatment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of less than 24 months in PBS-subsidised therapy with that agent (Initial 2).</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Initial treatment authorisations will be limited to provide for a maximum of 16 weeks of therapy.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A patient must be assessed for response to any course of initial PBS-subsidised treatment following a minimum of 12 weeks of therapy, and this assessment must be submitted to the Department of Human Services no later than 4 weeks from the date that course was ceased.</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For second and subsequent courses of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it is recommended that a patient is reviewed in the 4 weeks prior to completing their current course of treatment and that an application is posted to the Department of Human Services no later than 2 weeks prior to the patient completing their current treatment course.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(b) Continuing treatment.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Following the completion of an initial treatment course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a patient may qualify to receive up to 24 weeks of continuing treatment with that drug providing they have demonstrated an adequate response to treatment.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remains eligible to receive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with the same drug in courses of up to 24 weeks providing they continue to sustain the response.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It is recommended that a patient be reviewed in the month prior to completing their current course of treatment to ensure uninterrupted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supply.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Assessments of response to a course of PBS-subsidised therapy must be submitted to the Department of Human Services no later than 4 weeks from the date that course was ceased.</w:t>
            </w:r>
          </w:p>
        </w:tc>
      </w:tr>
      <w:tr w:rsidR="00101EA3" w:rsidRPr="00260CE3" w:rsidTr="007204F2">
        <w:trPr>
          <w:cantSplit/>
          <w:trHeight w:val="360"/>
        </w:trPr>
        <w:tc>
          <w:tcPr>
            <w:tcW w:w="1090" w:type="pct"/>
            <w:tcBorders>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p>
        </w:tc>
        <w:tc>
          <w:tcPr>
            <w:tcW w:w="3910" w:type="pct"/>
            <w:gridSpan w:val="7"/>
            <w:tcBorders>
              <w:left w:val="single" w:sz="4" w:space="0" w:color="auto"/>
              <w:bottom w:val="single" w:sz="4" w:space="0" w:color="auto"/>
              <w:right w:val="single" w:sz="4" w:space="0" w:color="auto"/>
            </w:tcBorders>
          </w:tcPr>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(2) Swapping therapy.</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Once initial treatment with the first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is approved, a patient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requalify with respect to the indices of disease severity (joint count and ESR/CRP) or the prior non-</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requirements, except if the patient has had a break in therapy of more than 24 months.</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may trial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any time, regardless of whether they are receiving therapy (initial or continuing)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the time of the application. However, they cannot swap to a particular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if they have failed to respond to prior treatment with that drug within the current treatment cycle.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To ensure a patient receives the maximum treatment opportunities allowed under the interchangeability arrangements, it is important that they are assessed for response to every course of treatment approved, within the timeframes specified in the relevant restriction.</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To avoid confusion, an application for a patient who wishes to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should be accompanied by the approved authority prescription or remaining repeats for the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 patient is ceasing.</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(3) Baseline measurements to determine response.</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The Department of Human Services will determine whether a response to treatment has been demonstrated based on the baseline measurements of the joint count submitted with the first authority application for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However, prescribers may provide a new baseline measurement any time that an initial treatment authority application is submitted within a treatment cycle and the Department of Human Services will assess response according to the revised baseline measurement.</w:t>
            </w:r>
          </w:p>
          <w:p w:rsidR="00101EA3" w:rsidRPr="0022377B"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(4) Re-commencement of treatment after a 24 month </w:t>
            </w:r>
            <w:proofErr w:type="gramStart"/>
            <w:r w:rsidRPr="0022377B">
              <w:rPr>
                <w:rFonts w:ascii="Arial Narrow" w:hAnsi="Arial Narrow" w:cs="Arial"/>
                <w:sz w:val="20"/>
                <w:szCs w:val="20"/>
              </w:rPr>
              <w:t>break</w:t>
            </w:r>
            <w:proofErr w:type="gramEnd"/>
            <w:r w:rsidRPr="0022377B">
              <w:rPr>
                <w:rFonts w:ascii="Arial Narrow" w:hAnsi="Arial Narrow" w:cs="Arial"/>
                <w:sz w:val="20"/>
                <w:szCs w:val="20"/>
              </w:rPr>
              <w:t xml:space="preserve"> in PBS-subsidised therapy.</w:t>
            </w:r>
          </w:p>
          <w:p w:rsidR="00101EA3" w:rsidRDefault="00101EA3"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wishes to start a second or subsequent treatment cycle following a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of at least 24 months, must requalify for treatment under the Initial 1 treatment restriction.</w:t>
            </w:r>
          </w:p>
          <w:p w:rsidR="00C75D51" w:rsidRDefault="00C75D51" w:rsidP="00F574A7">
            <w:pPr>
              <w:spacing w:before="40" w:after="40"/>
              <w:rPr>
                <w:rFonts w:ascii="Arial Narrow" w:hAnsi="Arial Narrow" w:cs="Arial"/>
                <w:sz w:val="20"/>
                <w:szCs w:val="20"/>
              </w:rPr>
            </w:pPr>
            <w:r>
              <w:rPr>
                <w:rFonts w:ascii="Arial Narrow" w:hAnsi="Arial Narrow" w:cs="Arial"/>
                <w:sz w:val="20"/>
                <w:szCs w:val="20"/>
              </w:rPr>
              <w:t>No increase in the maximum quantity or number of units may be authorised.</w:t>
            </w:r>
          </w:p>
          <w:p w:rsidR="00C75D51" w:rsidRPr="0022377B" w:rsidRDefault="00C75D51" w:rsidP="00F574A7">
            <w:pPr>
              <w:spacing w:before="40" w:after="40"/>
              <w:rPr>
                <w:rFonts w:ascii="Arial Narrow" w:hAnsi="Arial Narrow" w:cs="Arial"/>
                <w:sz w:val="20"/>
                <w:szCs w:val="20"/>
              </w:rPr>
            </w:pPr>
            <w:r>
              <w:rPr>
                <w:rFonts w:ascii="Arial Narrow" w:hAnsi="Arial Narrow" w:cs="Arial"/>
                <w:sz w:val="20"/>
                <w:szCs w:val="20"/>
              </w:rPr>
              <w:t>No increase in the maximum number of repeats may be authorised.</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00D89" w:rsidRDefault="00101EA3" w:rsidP="00F574A7">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260CE3" w:rsidRDefault="00C75D51" w:rsidP="00F574A7">
            <w:pPr>
              <w:spacing w:before="40" w:after="40"/>
              <w:rPr>
                <w:rFonts w:ascii="Arial Narrow" w:hAnsi="Arial Narrow" w:cs="Arial"/>
                <w:sz w:val="20"/>
                <w:szCs w:val="20"/>
              </w:rPr>
            </w:pPr>
            <w:r>
              <w:rPr>
                <w:rFonts w:ascii="Arial Narrow" w:hAnsi="Arial Narrow" w:cs="Arial"/>
                <w:sz w:val="20"/>
                <w:szCs w:val="20"/>
              </w:rPr>
              <w:t>First c</w:t>
            </w:r>
            <w:r w:rsidR="00101EA3">
              <w:rPr>
                <w:rFonts w:ascii="Arial Narrow" w:hAnsi="Arial Narrow" w:cs="Arial"/>
                <w:sz w:val="20"/>
                <w:szCs w:val="20"/>
              </w:rPr>
              <w:t>ontinuing treatment</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60CE3" w:rsidRDefault="00101EA3" w:rsidP="00F574A7">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101EA3" w:rsidRDefault="00101EA3" w:rsidP="00F574A7">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 xml:space="preserve">Must be treated by a rheumatologist; </w:t>
            </w:r>
          </w:p>
          <w:p w:rsidR="00101EA3" w:rsidRPr="0022377B" w:rsidRDefault="00101EA3" w:rsidP="00F574A7">
            <w:pPr>
              <w:spacing w:before="40" w:after="40"/>
              <w:ind w:left="289"/>
              <w:rPr>
                <w:rFonts w:ascii="Arial Narrow" w:hAnsi="Arial Narrow" w:cs="Arial"/>
                <w:sz w:val="20"/>
                <w:szCs w:val="20"/>
              </w:rPr>
            </w:pPr>
            <w:r w:rsidRPr="0022377B">
              <w:rPr>
                <w:rFonts w:ascii="Arial Narrow" w:hAnsi="Arial Narrow" w:cs="Arial"/>
                <w:sz w:val="20"/>
                <w:szCs w:val="20"/>
              </w:rPr>
              <w:t>OR</w:t>
            </w:r>
          </w:p>
          <w:p w:rsidR="00101EA3" w:rsidRPr="0022377B" w:rsidRDefault="00101EA3" w:rsidP="00F574A7">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Must be treated by a clinical immunologist with expertise in the management of rheumatoid arthritis.</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C75D51"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Patient must have a documented history of severe active juvenile idiopathic arthritis with onset prior to the age of 18 years,</w:t>
            </w:r>
          </w:p>
          <w:p w:rsidR="00C75D51" w:rsidRPr="00C75D51" w:rsidRDefault="00C75D51" w:rsidP="00C75D51">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C75D51"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demonstrated an adequate response to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w:t>
            </w:r>
          </w:p>
          <w:p w:rsidR="00C75D51" w:rsidRPr="00C75D51" w:rsidRDefault="00C75D51" w:rsidP="00C75D51">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C75D51"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received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as their most recent course of PBS-subsidised biological disease modifying anti-rheumatic drug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treatment in this treatment cycle,</w:t>
            </w:r>
          </w:p>
          <w:p w:rsidR="00C75D51" w:rsidRPr="00C75D51" w:rsidRDefault="00C75D51" w:rsidP="00C75D51">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101EA3"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Patient must not receive more than 24 weeks of treatment per continuing treatment course authorised under this restriction.</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lastRenderedPageBreak/>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101EA3" w:rsidRDefault="00101EA3" w:rsidP="00F574A7">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be aged 18 years or older.</w:t>
            </w:r>
          </w:p>
        </w:tc>
      </w:tr>
      <w:tr w:rsidR="00101EA3" w:rsidRPr="00260CE3" w:rsidTr="007204F2">
        <w:trPr>
          <w:cantSplit/>
          <w:trHeight w:val="360"/>
        </w:trPr>
        <w:tc>
          <w:tcPr>
            <w:tcW w:w="1090" w:type="pct"/>
            <w:tcBorders>
              <w:top w:val="single" w:sz="4" w:space="0" w:color="auto"/>
              <w:left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10" w:type="pct"/>
            <w:gridSpan w:val="7"/>
            <w:tcBorders>
              <w:top w:val="single" w:sz="4" w:space="0" w:color="auto"/>
              <w:left w:val="single" w:sz="4" w:space="0" w:color="auto"/>
              <w:right w:val="single" w:sz="4" w:space="0" w:color="auto"/>
            </w:tcBorders>
          </w:tcPr>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For the purposes of this restriction 'biological disease modifying anti-rheumatic drug' and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mean adalimumab,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or tocilizumab.</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An adequate response to treatment is defined as:</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an ESR no greater than 25 mm per hour or a CRP level no greater than 15 mg per L or either marker reduced by at least 20% from baseline;</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AND either of the following:</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(a) an active joint count of fewer than 10 active </w:t>
            </w:r>
            <w:r>
              <w:rPr>
                <w:rFonts w:ascii="Arial Narrow" w:hAnsi="Arial Narrow" w:cs="Arial"/>
                <w:sz w:val="20"/>
                <w:szCs w:val="20"/>
              </w:rPr>
              <w:t>(swollen and tender) joints; or</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(b) a reduction in the active (swollen and tender) joint count by at least 50% from baseline; or</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(c) a reduction in the number of the following active joints, fr</w:t>
            </w:r>
            <w:r>
              <w:rPr>
                <w:rFonts w:ascii="Arial Narrow" w:hAnsi="Arial Narrow" w:cs="Arial"/>
                <w:sz w:val="20"/>
                <w:szCs w:val="20"/>
              </w:rPr>
              <w:t>om at least 4, by at least 50%:</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w:t>
            </w:r>
            <w:proofErr w:type="spellStart"/>
            <w:r w:rsidRPr="00C75D51">
              <w:rPr>
                <w:rFonts w:ascii="Arial Narrow" w:hAnsi="Arial Narrow" w:cs="Arial"/>
                <w:sz w:val="20"/>
                <w:szCs w:val="20"/>
              </w:rPr>
              <w:t>i</w:t>
            </w:r>
            <w:proofErr w:type="spellEnd"/>
            <w:r w:rsidRPr="00C75D51">
              <w:rPr>
                <w:rFonts w:ascii="Arial Narrow" w:hAnsi="Arial Narrow" w:cs="Arial"/>
                <w:sz w:val="20"/>
                <w:szCs w:val="20"/>
              </w:rPr>
              <w:t>) elbow, wrist, knee and/or ankle (assessed as swollen and tender); and/or</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(ii) </w:t>
            </w:r>
            <w:proofErr w:type="gramStart"/>
            <w:r w:rsidRPr="00C75D51">
              <w:rPr>
                <w:rFonts w:ascii="Arial Narrow" w:hAnsi="Arial Narrow" w:cs="Arial"/>
                <w:sz w:val="20"/>
                <w:szCs w:val="20"/>
              </w:rPr>
              <w:t>shoulder</w:t>
            </w:r>
            <w:proofErr w:type="gramEnd"/>
            <w:r w:rsidRPr="00C75D51">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The authority application must be made in writing and must include:</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(1) a completed a</w:t>
            </w:r>
            <w:r>
              <w:rPr>
                <w:rFonts w:ascii="Arial Narrow" w:hAnsi="Arial Narrow" w:cs="Arial"/>
                <w:sz w:val="20"/>
                <w:szCs w:val="20"/>
              </w:rPr>
              <w:t>uthority prescription form; and</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(2) </w:t>
            </w:r>
            <w:proofErr w:type="gramStart"/>
            <w:r w:rsidRPr="00C75D51">
              <w:rPr>
                <w:rFonts w:ascii="Arial Narrow" w:hAnsi="Arial Narrow" w:cs="Arial"/>
                <w:sz w:val="20"/>
                <w:szCs w:val="20"/>
              </w:rPr>
              <w:t>a</w:t>
            </w:r>
            <w:proofErr w:type="gramEnd"/>
            <w:r w:rsidRPr="00C75D51">
              <w:rPr>
                <w:rFonts w:ascii="Arial Narrow" w:hAnsi="Arial Narrow" w:cs="Arial"/>
                <w:sz w:val="20"/>
                <w:szCs w:val="20"/>
              </w:rPr>
              <w:t xml:space="preserve"> completed Juvenile Idiopathic Arthritis PBS Authority Application - Supporting Information Form.</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All applications for continuing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must include a measurement of response to the prior course of therapy. This assessment must be submitted no later than 4 weeks from the cessation of that treatment course. If the application is the first application for continuing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it must be accompanied by an assessment of response to a minimum of 12 weeks of treatment with an initial treatment course.</w:t>
            </w:r>
          </w:p>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Where a response assessment is not undertaken and submitted within these timeframes, the patient will be deemed to have failed to respond to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w:t>
            </w:r>
          </w:p>
          <w:p w:rsidR="00101EA3" w:rsidRDefault="00C75D51" w:rsidP="00C75D51">
            <w:pPr>
              <w:spacing w:before="40" w:after="40"/>
              <w:rPr>
                <w:rFonts w:ascii="Arial Narrow" w:hAnsi="Arial Narrow" w:cs="Arial"/>
                <w:sz w:val="20"/>
                <w:szCs w:val="20"/>
              </w:rPr>
            </w:pPr>
            <w:r w:rsidRPr="00C75D51">
              <w:rPr>
                <w:rFonts w:ascii="Arial Narrow" w:hAnsi="Arial Narrow" w:cs="Arial"/>
                <w:sz w:val="20"/>
                <w:szCs w:val="20"/>
              </w:rPr>
              <w:t xml:space="preserve">If a patient fails to respond to PBS-subsidised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treatment 3 times (once with each agent) they will not be eligible to receive further PBS-subsidised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therapy in this treatment cycle.</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ED1CD2" w:rsidRDefault="00101EA3" w:rsidP="00F574A7">
            <w:pPr>
              <w:spacing w:before="40" w:after="40"/>
              <w:rPr>
                <w:rFonts w:ascii="Arial Narrow" w:hAnsi="Arial Narrow" w:cs="Arial"/>
                <w:sz w:val="20"/>
                <w:szCs w:val="20"/>
              </w:rPr>
            </w:pPr>
            <w:r w:rsidRPr="00ED1CD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101EA3" w:rsidRPr="00ED1CD2" w:rsidRDefault="00101EA3" w:rsidP="00F574A7">
            <w:pPr>
              <w:spacing w:before="40" w:after="40"/>
              <w:rPr>
                <w:rFonts w:ascii="Arial Narrow" w:hAnsi="Arial Narrow" w:cs="Arial"/>
                <w:sz w:val="20"/>
                <w:szCs w:val="20"/>
              </w:rPr>
            </w:pPr>
            <w:r w:rsidRPr="00ED1CD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101EA3" w:rsidRPr="00AF3B30" w:rsidRDefault="00101EA3" w:rsidP="00F574A7">
            <w:pPr>
              <w:spacing w:before="40" w:after="40"/>
              <w:rPr>
                <w:rFonts w:ascii="Arial Narrow" w:hAnsi="Arial Narrow" w:cs="Arial"/>
                <w:sz w:val="20"/>
                <w:szCs w:val="20"/>
              </w:rPr>
            </w:pPr>
            <w:r w:rsidRPr="00AF3B30">
              <w:rPr>
                <w:rFonts w:ascii="Arial Narrow" w:hAnsi="Arial Narrow" w:cs="Arial"/>
                <w:sz w:val="20"/>
                <w:szCs w:val="20"/>
              </w:rPr>
              <w:t>Applications for authority to pr</w:t>
            </w:r>
            <w:r>
              <w:rPr>
                <w:rFonts w:ascii="Arial Narrow" w:hAnsi="Arial Narrow" w:cs="Arial"/>
                <w:sz w:val="20"/>
                <w:szCs w:val="20"/>
              </w:rPr>
              <w:t>escribe should be forwarded to:</w:t>
            </w:r>
          </w:p>
          <w:p w:rsidR="00101EA3" w:rsidRPr="00AF3B30" w:rsidRDefault="00101EA3" w:rsidP="00F574A7">
            <w:pPr>
              <w:spacing w:before="40" w:after="40"/>
              <w:rPr>
                <w:rFonts w:ascii="Arial Narrow" w:hAnsi="Arial Narrow" w:cs="Arial"/>
                <w:sz w:val="20"/>
                <w:szCs w:val="20"/>
              </w:rPr>
            </w:pPr>
            <w:r w:rsidRPr="00AF3B30">
              <w:rPr>
                <w:rFonts w:ascii="Arial Narrow" w:hAnsi="Arial Narrow" w:cs="Arial"/>
                <w:sz w:val="20"/>
                <w:szCs w:val="20"/>
              </w:rPr>
              <w:t>Department of Human Services</w:t>
            </w:r>
          </w:p>
          <w:p w:rsidR="00101EA3" w:rsidRPr="00AF3B30" w:rsidRDefault="00101EA3" w:rsidP="00F574A7">
            <w:pPr>
              <w:spacing w:before="40" w:after="40"/>
              <w:rPr>
                <w:rFonts w:ascii="Arial Narrow" w:hAnsi="Arial Narrow" w:cs="Arial"/>
                <w:sz w:val="20"/>
                <w:szCs w:val="20"/>
              </w:rPr>
            </w:pPr>
            <w:r w:rsidRPr="00AF3B30">
              <w:rPr>
                <w:rFonts w:ascii="Arial Narrow" w:hAnsi="Arial Narrow" w:cs="Arial"/>
                <w:sz w:val="20"/>
                <w:szCs w:val="20"/>
              </w:rPr>
              <w:t>Complex Drugs</w:t>
            </w:r>
          </w:p>
          <w:p w:rsidR="00101EA3" w:rsidRPr="00AF3B30" w:rsidRDefault="00101EA3" w:rsidP="00F574A7">
            <w:pPr>
              <w:spacing w:before="40" w:after="40"/>
              <w:rPr>
                <w:rFonts w:ascii="Arial Narrow" w:hAnsi="Arial Narrow" w:cs="Arial"/>
                <w:sz w:val="20"/>
                <w:szCs w:val="20"/>
              </w:rPr>
            </w:pPr>
            <w:r>
              <w:rPr>
                <w:rFonts w:ascii="Arial Narrow" w:hAnsi="Arial Narrow" w:cs="Arial"/>
                <w:sz w:val="20"/>
                <w:szCs w:val="20"/>
              </w:rPr>
              <w:t>Reply Paid 9826</w:t>
            </w:r>
          </w:p>
          <w:p w:rsidR="00101EA3" w:rsidRPr="003F0DB9" w:rsidRDefault="00101EA3" w:rsidP="00F574A7">
            <w:pPr>
              <w:spacing w:before="40" w:after="40"/>
              <w:rPr>
                <w:rFonts w:ascii="Arial Narrow" w:hAnsi="Arial Narrow" w:cs="Arial"/>
                <w:sz w:val="20"/>
                <w:szCs w:val="20"/>
              </w:rPr>
            </w:pPr>
            <w:r w:rsidRPr="00AF3B30">
              <w:rPr>
                <w:rFonts w:ascii="Arial Narrow" w:hAnsi="Arial Narrow" w:cs="Arial"/>
                <w:sz w:val="20"/>
                <w:szCs w:val="20"/>
              </w:rPr>
              <w:t>HOBART TAS 7001</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01EA3" w:rsidRDefault="00101EA3" w:rsidP="00F574A7">
            <w:pPr>
              <w:spacing w:before="40" w:after="40"/>
              <w:jc w:val="both"/>
              <w:rPr>
                <w:rFonts w:ascii="Arial Narrow" w:hAnsi="Arial Narrow" w:cs="Arial"/>
                <w:b/>
                <w:sz w:val="20"/>
                <w:szCs w:val="20"/>
              </w:rPr>
            </w:pPr>
          </w:p>
        </w:tc>
        <w:tc>
          <w:tcPr>
            <w:tcW w:w="391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101EA3" w:rsidRPr="00AF3B30" w:rsidRDefault="00101EA3" w:rsidP="00F574A7">
            <w:pPr>
              <w:spacing w:before="40" w:after="40"/>
              <w:rPr>
                <w:rFonts w:ascii="Arial Narrow" w:hAnsi="Arial Narrow" w:cs="Arial"/>
                <w:sz w:val="20"/>
                <w:szCs w:val="20"/>
              </w:rPr>
            </w:pP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Pr="00200D89" w:rsidRDefault="00101EA3" w:rsidP="00F574A7">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101EA3" w:rsidRPr="00260CE3" w:rsidRDefault="00C75D51" w:rsidP="00F574A7">
            <w:pPr>
              <w:spacing w:before="40" w:after="40"/>
              <w:rPr>
                <w:rFonts w:ascii="Arial Narrow" w:hAnsi="Arial Narrow" w:cs="Arial"/>
                <w:sz w:val="20"/>
                <w:szCs w:val="20"/>
              </w:rPr>
            </w:pPr>
            <w:r w:rsidRPr="00C75D51">
              <w:rPr>
                <w:rFonts w:ascii="Arial Narrow" w:hAnsi="Arial Narrow" w:cs="Arial"/>
                <w:sz w:val="20"/>
                <w:szCs w:val="20"/>
              </w:rPr>
              <w:t>Continuing treatment – balance of supply</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lastRenderedPageBreak/>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101EA3" w:rsidRDefault="00101EA3" w:rsidP="00F574A7">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Must be treated by a rheumatologist; </w:t>
            </w:r>
          </w:p>
          <w:p w:rsidR="00101EA3" w:rsidRPr="00ED1CD2" w:rsidRDefault="00101EA3" w:rsidP="00F574A7">
            <w:pPr>
              <w:spacing w:before="40" w:after="40"/>
              <w:ind w:left="289"/>
              <w:rPr>
                <w:rFonts w:ascii="Arial Narrow" w:hAnsi="Arial Narrow" w:cs="Arial"/>
                <w:sz w:val="20"/>
                <w:szCs w:val="20"/>
              </w:rPr>
            </w:pPr>
            <w:r w:rsidRPr="00ED1CD2">
              <w:rPr>
                <w:rFonts w:ascii="Arial Narrow" w:hAnsi="Arial Narrow" w:cs="Arial"/>
                <w:sz w:val="20"/>
                <w:szCs w:val="20"/>
              </w:rPr>
              <w:t>OR</w:t>
            </w:r>
          </w:p>
          <w:p w:rsidR="00101EA3" w:rsidRPr="00ED1CD2" w:rsidRDefault="00101EA3" w:rsidP="00F574A7">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Must be treated by a clinical immunologist with expertise in the management of rheumatoid arthritis.</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C75D51"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received insufficient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therapy under the Continuing treatment restriction to complete 24 weeks treatment,</w:t>
            </w:r>
          </w:p>
          <w:p w:rsidR="00C75D51" w:rsidRDefault="00C75D51" w:rsidP="00C75D51">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101EA3"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The treatment must provide no more than the balance of up to 24 weeks treatment available under the above restriction.</w:t>
            </w:r>
          </w:p>
        </w:tc>
      </w:tr>
      <w:tr w:rsidR="00C75D51"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C75D51" w:rsidRDefault="00C75D51" w:rsidP="00F574A7">
            <w:pPr>
              <w:spacing w:before="40" w:after="40"/>
              <w:jc w:val="both"/>
              <w:rPr>
                <w:rFonts w:ascii="Arial Narrow" w:hAnsi="Arial Narrow" w:cs="Arial"/>
                <w:b/>
                <w:sz w:val="20"/>
                <w:szCs w:val="20"/>
              </w:rPr>
            </w:pPr>
            <w:r>
              <w:rPr>
                <w:rFonts w:ascii="Arial Narrow" w:hAnsi="Arial Narrow" w:cs="Arial"/>
                <w:b/>
                <w:sz w:val="20"/>
                <w:szCs w:val="20"/>
              </w:rPr>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C75D51" w:rsidRPr="00C75D51" w:rsidRDefault="00C75D51" w:rsidP="00C75D51">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 xml:space="preserve">Patient must be aged 18 years or </w:t>
            </w:r>
            <w:r w:rsidR="00213E63">
              <w:rPr>
                <w:rFonts w:ascii="Arial Narrow" w:hAnsi="Arial Narrow" w:cs="Arial"/>
                <w:sz w:val="20"/>
                <w:szCs w:val="20"/>
              </w:rPr>
              <w:t>older</w:t>
            </w:r>
            <w:r>
              <w:rPr>
                <w:rFonts w:ascii="Arial Narrow" w:hAnsi="Arial Narrow" w:cs="Arial"/>
                <w:sz w:val="20"/>
                <w:szCs w:val="20"/>
              </w:rPr>
              <w:t>.</w:t>
            </w:r>
          </w:p>
        </w:tc>
      </w:tr>
      <w:tr w:rsidR="00101EA3"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101EA3" w:rsidRDefault="00101EA3" w:rsidP="00F574A7">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C75D51" w:rsidRPr="00C75D51" w:rsidRDefault="00C75D51" w:rsidP="00C75D51">
            <w:pPr>
              <w:spacing w:before="40" w:after="40"/>
              <w:rPr>
                <w:rFonts w:ascii="Arial Narrow" w:hAnsi="Arial Narrow" w:cs="Arial"/>
                <w:sz w:val="20"/>
                <w:szCs w:val="20"/>
              </w:rPr>
            </w:pPr>
            <w:r w:rsidRPr="00C75D51">
              <w:rPr>
                <w:rFonts w:ascii="Arial Narrow" w:hAnsi="Arial Narrow" w:cs="Arial"/>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101EA3" w:rsidRDefault="00C75D51" w:rsidP="00C75D51">
            <w:pPr>
              <w:spacing w:before="40" w:after="40"/>
              <w:rPr>
                <w:rFonts w:ascii="Arial Narrow" w:hAnsi="Arial Narrow" w:cs="Arial"/>
                <w:sz w:val="20"/>
                <w:szCs w:val="20"/>
              </w:rPr>
            </w:pPr>
            <w:r w:rsidRPr="00C75D51">
              <w:rPr>
                <w:rFonts w:ascii="Arial Narrow" w:hAnsi="Arial Narrow" w:cs="Arial"/>
                <w:sz w:val="20"/>
                <w:szCs w:val="20"/>
              </w:rPr>
              <w:t>Written application for authority approval for sufficient therapy to complete a maximum of 24 weeks of treatment should be forwarded to:</w:t>
            </w:r>
          </w:p>
          <w:p w:rsidR="00101EA3" w:rsidRPr="00ED1CD2" w:rsidRDefault="00101EA3" w:rsidP="00F574A7">
            <w:pPr>
              <w:spacing w:before="40" w:after="40"/>
              <w:rPr>
                <w:rFonts w:ascii="Arial Narrow" w:hAnsi="Arial Narrow" w:cs="Arial"/>
                <w:sz w:val="20"/>
                <w:szCs w:val="20"/>
              </w:rPr>
            </w:pPr>
            <w:r w:rsidRPr="00ED1CD2">
              <w:rPr>
                <w:rFonts w:ascii="Arial Narrow" w:hAnsi="Arial Narrow" w:cs="Arial"/>
                <w:sz w:val="20"/>
                <w:szCs w:val="20"/>
              </w:rPr>
              <w:t>Department of Human Services</w:t>
            </w:r>
          </w:p>
          <w:p w:rsidR="00101EA3" w:rsidRPr="00ED1CD2" w:rsidRDefault="00101EA3" w:rsidP="00F574A7">
            <w:pPr>
              <w:spacing w:before="40" w:after="40"/>
              <w:rPr>
                <w:rFonts w:ascii="Arial Narrow" w:hAnsi="Arial Narrow" w:cs="Arial"/>
                <w:sz w:val="20"/>
                <w:szCs w:val="20"/>
              </w:rPr>
            </w:pPr>
            <w:r w:rsidRPr="00ED1CD2">
              <w:rPr>
                <w:rFonts w:ascii="Arial Narrow" w:hAnsi="Arial Narrow" w:cs="Arial"/>
                <w:sz w:val="20"/>
                <w:szCs w:val="20"/>
              </w:rPr>
              <w:t>Complex Drugs</w:t>
            </w:r>
          </w:p>
          <w:p w:rsidR="00101EA3" w:rsidRPr="00ED1CD2" w:rsidRDefault="00101EA3" w:rsidP="00F574A7">
            <w:pPr>
              <w:spacing w:before="40" w:after="40"/>
              <w:rPr>
                <w:rFonts w:ascii="Arial Narrow" w:hAnsi="Arial Narrow" w:cs="Arial"/>
                <w:sz w:val="20"/>
                <w:szCs w:val="20"/>
              </w:rPr>
            </w:pPr>
            <w:r w:rsidRPr="00ED1CD2">
              <w:rPr>
                <w:rFonts w:ascii="Arial Narrow" w:hAnsi="Arial Narrow" w:cs="Arial"/>
                <w:sz w:val="20"/>
                <w:szCs w:val="20"/>
              </w:rPr>
              <w:t>Reply Paid 9826</w:t>
            </w:r>
          </w:p>
          <w:p w:rsidR="00101EA3" w:rsidRDefault="00101EA3" w:rsidP="00F574A7">
            <w:pPr>
              <w:spacing w:before="40" w:after="40"/>
              <w:rPr>
                <w:rFonts w:ascii="Arial Narrow" w:hAnsi="Arial Narrow" w:cs="Arial"/>
                <w:sz w:val="20"/>
                <w:szCs w:val="20"/>
              </w:rPr>
            </w:pPr>
            <w:r w:rsidRPr="00ED1CD2">
              <w:rPr>
                <w:rFonts w:ascii="Arial Narrow" w:hAnsi="Arial Narrow" w:cs="Arial"/>
                <w:sz w:val="20"/>
                <w:szCs w:val="20"/>
              </w:rPr>
              <w:t>HOBART TAS 7001</w:t>
            </w:r>
          </w:p>
        </w:tc>
      </w:tr>
    </w:tbl>
    <w:p w:rsidR="00CE10C4" w:rsidRDefault="003872CF" w:rsidP="00AE22D3">
      <w:pPr>
        <w:rPr>
          <w:rFonts w:asciiTheme="minorHAnsi" w:hAnsiTheme="minorHAnsi"/>
          <w:sz w:val="22"/>
          <w:szCs w:val="22"/>
        </w:rPr>
      </w:pPr>
      <w:r w:rsidRPr="00F36CCB">
        <w:rPr>
          <w:rFonts w:asciiTheme="minorHAnsi" w:hAnsiTheme="minorHAnsi"/>
          <w:sz w:val="22"/>
          <w:szCs w:val="22"/>
        </w:rPr>
        <w:br w:type="page"/>
      </w:r>
    </w:p>
    <w:p w:rsidR="002B559D" w:rsidRDefault="002B559D" w:rsidP="002B559D">
      <w:pPr>
        <w:pStyle w:val="Caption"/>
        <w:outlineLvl w:val="1"/>
      </w:pPr>
      <w:r>
        <w:lastRenderedPageBreak/>
        <w:t xml:space="preserve">Table </w:t>
      </w:r>
      <w:r w:rsidR="00A40065">
        <w:rPr>
          <w:noProof/>
        </w:rPr>
        <w:t>5</w:t>
      </w:r>
      <w:r>
        <w:t>: S85 - Subsequent Continuing Restrictions</w:t>
      </w:r>
    </w:p>
    <w:tbl>
      <w:tblPr>
        <w:tblW w:w="4915" w:type="pct"/>
        <w:tblLook w:val="0000" w:firstRow="0" w:lastRow="0" w:firstColumn="0" w:lastColumn="0" w:noHBand="0" w:noVBand="0"/>
      </w:tblPr>
      <w:tblGrid>
        <w:gridCol w:w="1982"/>
        <w:gridCol w:w="1399"/>
        <w:gridCol w:w="763"/>
        <w:gridCol w:w="916"/>
        <w:gridCol w:w="770"/>
        <w:gridCol w:w="1603"/>
        <w:gridCol w:w="760"/>
        <w:gridCol w:w="892"/>
      </w:tblGrid>
      <w:tr w:rsidR="007204F2" w:rsidRPr="0039782C" w:rsidTr="007204F2">
        <w:trPr>
          <w:gridAfter w:val="2"/>
          <w:wAfter w:w="910" w:type="pct"/>
          <w:cantSplit/>
          <w:trHeight w:val="465"/>
        </w:trPr>
        <w:tc>
          <w:tcPr>
            <w:tcW w:w="1861"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0"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4" w:type="pct"/>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204F2" w:rsidRPr="0039782C" w:rsidRDefault="007204F2" w:rsidP="00F574A7">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305" w:type="pct"/>
            <w:gridSpan w:val="2"/>
            <w:tcBorders>
              <w:bottom w:val="single" w:sz="4" w:space="0" w:color="auto"/>
            </w:tcBorders>
          </w:tcPr>
          <w:p w:rsidR="007204F2" w:rsidRPr="0039782C" w:rsidRDefault="007204F2" w:rsidP="00F574A7">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204F2" w:rsidRPr="00260CE3" w:rsidTr="007204F2">
        <w:trPr>
          <w:gridAfter w:val="2"/>
          <w:wAfter w:w="910" w:type="pct"/>
          <w:cantSplit/>
          <w:trHeight w:val="567"/>
        </w:trPr>
        <w:tc>
          <w:tcPr>
            <w:tcW w:w="1861" w:type="pct"/>
            <w:gridSpan w:val="2"/>
          </w:tcPr>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mallCaps/>
                <w:sz w:val="20"/>
                <w:szCs w:val="20"/>
              </w:rPr>
              <w:t>ETANERCEPT</w:t>
            </w: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auto-injector, 4</w:t>
            </w: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pre-filled syringe, 4</w:t>
            </w:r>
          </w:p>
        </w:tc>
        <w:tc>
          <w:tcPr>
            <w:tcW w:w="420"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1</w:t>
            </w:r>
          </w:p>
        </w:tc>
        <w:tc>
          <w:tcPr>
            <w:tcW w:w="504" w:type="pct"/>
          </w:tcPr>
          <w:p w:rsidR="007204F2" w:rsidRPr="00260CE3"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5</w:t>
            </w:r>
          </w:p>
          <w:p w:rsidR="007204F2" w:rsidRDefault="007204F2" w:rsidP="00F574A7">
            <w:pPr>
              <w:keepNext/>
              <w:spacing w:before="40" w:after="40"/>
              <w:jc w:val="both"/>
              <w:rPr>
                <w:rFonts w:ascii="Arial Narrow" w:hAnsi="Arial Narrow" w:cs="Arial"/>
                <w:sz w:val="20"/>
                <w:szCs w:val="20"/>
              </w:rPr>
            </w:pPr>
          </w:p>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5</w:t>
            </w:r>
          </w:p>
        </w:tc>
        <w:tc>
          <w:tcPr>
            <w:tcW w:w="424" w:type="pct"/>
          </w:tcPr>
          <w:p w:rsidR="007204F2" w:rsidRDefault="007204F2" w:rsidP="00F574A7">
            <w:pPr>
              <w:keepNext/>
              <w:spacing w:before="40" w:after="40"/>
              <w:jc w:val="both"/>
              <w:rPr>
                <w:rFonts w:ascii="Arial Narrow" w:hAnsi="Arial Narrow" w:cs="Arial"/>
                <w:sz w:val="20"/>
                <w:szCs w:val="20"/>
              </w:rPr>
            </w:pPr>
          </w:p>
          <w:p w:rsidR="007204F2" w:rsidRPr="00054A37" w:rsidRDefault="007204F2" w:rsidP="00F574A7">
            <w:pPr>
              <w:keepNext/>
              <w:spacing w:before="40" w:after="40"/>
              <w:jc w:val="both"/>
              <w:rPr>
                <w:rFonts w:ascii="Arial Narrow" w:hAnsi="Arial Narrow" w:cs="Arial"/>
                <w:sz w:val="20"/>
                <w:szCs w:val="20"/>
                <w:vertAlign w:val="superscript"/>
              </w:rPr>
            </w:pPr>
            <w:proofErr w:type="spellStart"/>
            <w:r>
              <w:rPr>
                <w:rFonts w:ascii="Arial Narrow" w:hAnsi="Arial Narrow" w:cs="Arial"/>
                <w:sz w:val="20"/>
                <w:szCs w:val="20"/>
              </w:rPr>
              <w:t>Erelzi</w:t>
            </w:r>
            <w:proofErr w:type="spellEnd"/>
            <w:r>
              <w:rPr>
                <w:rFonts w:ascii="Arial Narrow" w:hAnsi="Arial Narrow" w:cs="Arial"/>
                <w:sz w:val="20"/>
                <w:szCs w:val="20"/>
                <w:vertAlign w:val="superscript"/>
              </w:rPr>
              <w:t>®</w:t>
            </w:r>
          </w:p>
        </w:tc>
        <w:tc>
          <w:tcPr>
            <w:tcW w:w="882" w:type="pct"/>
          </w:tcPr>
          <w:p w:rsidR="007204F2" w:rsidRDefault="007204F2" w:rsidP="00F574A7">
            <w:pPr>
              <w:keepNext/>
              <w:spacing w:before="40" w:after="40"/>
              <w:jc w:val="both"/>
              <w:rPr>
                <w:rFonts w:ascii="Arial Narrow" w:hAnsi="Arial Narrow" w:cs="Arial"/>
                <w:sz w:val="20"/>
                <w:szCs w:val="20"/>
              </w:rPr>
            </w:pPr>
          </w:p>
          <w:p w:rsidR="007204F2" w:rsidRPr="00260CE3" w:rsidRDefault="007204F2" w:rsidP="00F574A7">
            <w:pPr>
              <w:keepNext/>
              <w:spacing w:before="40" w:after="40"/>
              <w:jc w:val="both"/>
              <w:rPr>
                <w:rFonts w:ascii="Arial Narrow" w:hAnsi="Arial Narrow" w:cs="Arial"/>
                <w:sz w:val="20"/>
                <w:szCs w:val="20"/>
              </w:rPr>
            </w:pPr>
            <w:r>
              <w:rPr>
                <w:rFonts w:ascii="Arial Narrow" w:hAnsi="Arial Narrow" w:cs="Arial"/>
                <w:sz w:val="20"/>
                <w:szCs w:val="20"/>
              </w:rPr>
              <w:t>Sandoz Pty Ltd</w:t>
            </w:r>
          </w:p>
        </w:tc>
      </w:tr>
      <w:tr w:rsidR="00D81567" w:rsidRPr="00260CE3" w:rsidTr="00F574A7">
        <w:trPr>
          <w:gridAfter w:val="1"/>
          <w:wAfter w:w="491" w:type="pct"/>
          <w:cantSplit/>
          <w:trHeight w:val="360"/>
        </w:trPr>
        <w:tc>
          <w:tcPr>
            <w:tcW w:w="4509" w:type="pct"/>
            <w:gridSpan w:val="7"/>
            <w:tcBorders>
              <w:bottom w:val="single" w:sz="4" w:space="0" w:color="auto"/>
            </w:tcBorders>
          </w:tcPr>
          <w:p w:rsidR="00D81567" w:rsidRPr="00260CE3" w:rsidRDefault="00D81567" w:rsidP="00F574A7">
            <w:pPr>
              <w:spacing w:before="40" w:after="40"/>
              <w:jc w:val="both"/>
              <w:rPr>
                <w:rFonts w:ascii="Arial Narrow" w:hAnsi="Arial Narrow" w:cs="Arial"/>
                <w:sz w:val="20"/>
                <w:szCs w:val="20"/>
              </w:rPr>
            </w:pPr>
          </w:p>
        </w:tc>
      </w:tr>
      <w:tr w:rsidR="00D81567" w:rsidRPr="00260CE3"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Pr="004C6C07" w:rsidRDefault="00D81567" w:rsidP="00F574A7">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D81567" w:rsidRPr="00260CE3" w:rsidRDefault="00D81567" w:rsidP="00F574A7">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D81567" w:rsidRPr="00260CE3" w:rsidRDefault="00D81567" w:rsidP="00F574A7">
            <w:pPr>
              <w:spacing w:before="40" w:after="40"/>
              <w:rPr>
                <w:rFonts w:ascii="Arial Narrow" w:hAnsi="Arial Narrow" w:cs="Arial"/>
                <w:sz w:val="20"/>
                <w:szCs w:val="20"/>
              </w:rPr>
            </w:pPr>
          </w:p>
        </w:tc>
      </w:tr>
      <w:tr w:rsidR="00D81567" w:rsidRPr="00260CE3"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81567" w:rsidRPr="00260CE3" w:rsidRDefault="00D81567" w:rsidP="00F574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81567" w:rsidRPr="00260CE3"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rPr>
                <w:rFonts w:ascii="Arial Narrow" w:hAnsi="Arial Narrow" w:cs="Arial"/>
                <w:sz w:val="20"/>
                <w:szCs w:val="20"/>
              </w:rPr>
            </w:pPr>
            <w:r w:rsidRPr="0004601D">
              <w:rPr>
                <w:rFonts w:ascii="Arial Narrow" w:hAnsi="Arial Narrow" w:cs="Arial"/>
                <w:sz w:val="20"/>
                <w:szCs w:val="20"/>
              </w:rPr>
              <w:t>Severe active juvenile idiopathic arthritis</w:t>
            </w:r>
          </w:p>
        </w:tc>
      </w:tr>
      <w:tr w:rsidR="00D81567" w:rsidRPr="00260CE3"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Pr="00260CE3" w:rsidRDefault="00D81567" w:rsidP="00F574A7">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81567" w:rsidRPr="00260CE3" w:rsidRDefault="00D81567" w:rsidP="00F574A7">
            <w:pPr>
              <w:spacing w:before="40" w:after="40"/>
              <w:rPr>
                <w:rFonts w:ascii="Arial Narrow" w:hAnsi="Arial Narrow" w:cs="Arial"/>
                <w:sz w:val="20"/>
                <w:szCs w:val="20"/>
              </w:rPr>
            </w:pPr>
          </w:p>
        </w:tc>
        <w:tc>
          <w:tcPr>
            <w:tcW w:w="3909" w:type="pct"/>
            <w:gridSpan w:val="7"/>
            <w:tcBorders>
              <w:top w:val="single" w:sz="4" w:space="0" w:color="auto"/>
              <w:left w:val="single" w:sz="4" w:space="0" w:color="auto"/>
              <w:bottom w:val="single" w:sz="4" w:space="0" w:color="auto"/>
              <w:right w:val="single" w:sz="4" w:space="0" w:color="auto"/>
            </w:tcBorders>
          </w:tcPr>
          <w:p w:rsidR="00D81567" w:rsidRPr="00106BCF" w:rsidRDefault="00D81567"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81567" w:rsidRPr="00106BCF" w:rsidRDefault="00D81567"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D81567" w:rsidRPr="00106BCF" w:rsidRDefault="00D81567"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D81567" w:rsidRPr="00106BCF" w:rsidRDefault="00D81567"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81567" w:rsidRPr="00106BCF" w:rsidRDefault="00D81567" w:rsidP="00F574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81567" w:rsidRPr="00260CE3" w:rsidRDefault="00D81567" w:rsidP="00F574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D81567" w:rsidRPr="00106BCF" w:rsidTr="007204F2">
        <w:trPr>
          <w:cantSplit/>
          <w:trHeight w:val="360"/>
        </w:trPr>
        <w:tc>
          <w:tcPr>
            <w:tcW w:w="1091" w:type="pct"/>
            <w:tcBorders>
              <w:top w:val="single" w:sz="4" w:space="0" w:color="auto"/>
              <w:left w:val="single" w:sz="4" w:space="0" w:color="auto"/>
              <w:right w:val="single" w:sz="4" w:space="0" w:color="auto"/>
            </w:tcBorders>
          </w:tcPr>
          <w:p w:rsidR="00D81567" w:rsidRPr="00260CE3" w:rsidRDefault="00D81567" w:rsidP="00F574A7">
            <w:pPr>
              <w:spacing w:before="40" w:after="40"/>
              <w:jc w:val="both"/>
              <w:rPr>
                <w:rFonts w:ascii="Arial Narrow" w:hAnsi="Arial Narrow" w:cs="Arial"/>
                <w:b/>
                <w:sz w:val="20"/>
                <w:szCs w:val="20"/>
              </w:rPr>
            </w:pPr>
            <w:r>
              <w:rPr>
                <w:rFonts w:ascii="Arial Narrow" w:hAnsi="Arial Narrow" w:cs="Arial"/>
                <w:b/>
                <w:sz w:val="20"/>
                <w:szCs w:val="20"/>
              </w:rPr>
              <w:lastRenderedPageBreak/>
              <w:t>Administrative Advice (Note) (all treatment phases):</w:t>
            </w:r>
          </w:p>
        </w:tc>
        <w:tc>
          <w:tcPr>
            <w:tcW w:w="3909" w:type="pct"/>
            <w:gridSpan w:val="7"/>
            <w:tcBorders>
              <w:top w:val="single" w:sz="4" w:space="0" w:color="auto"/>
              <w:left w:val="single" w:sz="4" w:space="0" w:color="auto"/>
              <w:right w:val="single" w:sz="4" w:space="0" w:color="auto"/>
            </w:tcBorders>
          </w:tcPr>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TREATMENT OF ADULT PATIENTS WITH A HISTORY OF JUVENILE IDIOPATHIC ARTHRITIS</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The following information applies to the prescribing under the Pharmaceutical Benefits Scheme (PBS) of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for a patient over 18 years who has a history of juvenile idiopathic arthritis with onset prior to the age of 18 years. Where the term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appears in notes and restrictions, it refers to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only.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is eligible for PBS-subsidised treatment with only 1 of the 3 </w:t>
            </w:r>
            <w:proofErr w:type="spellStart"/>
            <w:r w:rsidRPr="0022377B">
              <w:rPr>
                <w:rFonts w:ascii="Arial Narrow" w:hAnsi="Arial Narrow" w:cs="Arial"/>
                <w:sz w:val="20"/>
                <w:szCs w:val="20"/>
              </w:rPr>
              <w:t>bDMARDs</w:t>
            </w:r>
            <w:proofErr w:type="spellEnd"/>
            <w:r w:rsidRPr="0022377B">
              <w:rPr>
                <w:rFonts w:ascii="Arial Narrow" w:hAnsi="Arial Narrow" w:cs="Arial"/>
                <w:sz w:val="20"/>
                <w:szCs w:val="20"/>
              </w:rPr>
              <w:t xml:space="preserve"> at any one time.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From 1 April 2014, a patient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is considered to be in a treatment cycle where they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experience a disease flare. Under these interchangeability arrangements, within a single treatment cycle, a patient may: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continue to receive long-term treatment with a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while they continue to show a response to therapy; and</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(ii) </w:t>
            </w:r>
            <w:proofErr w:type="gramStart"/>
            <w:r w:rsidRPr="0022377B">
              <w:rPr>
                <w:rFonts w:ascii="Arial Narrow" w:hAnsi="Arial Narrow" w:cs="Arial"/>
                <w:sz w:val="20"/>
                <w:szCs w:val="20"/>
              </w:rPr>
              <w:t>fail</w:t>
            </w:r>
            <w:proofErr w:type="gramEnd"/>
            <w:r w:rsidRPr="0022377B">
              <w:rPr>
                <w:rFonts w:ascii="Arial Narrow" w:hAnsi="Arial Narrow" w:cs="Arial"/>
                <w:sz w:val="20"/>
                <w:szCs w:val="20"/>
              </w:rPr>
              <w:t xml:space="preserve"> to respond or to sustain a response to each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once only.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Once a patient has either failed or ceased to respond to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3 times, they are deemed to have completed a single treatment cycle and they must have, at a minimum, a 5 year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before they are eligible to receive further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The length of a treatment break is measured from the date of the last approval for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in the last treatment cycle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was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immediately prior to 1 April 2014 is considered to be in their first cycle as of 1 April 2014. A </w:t>
            </w:r>
            <w:proofErr w:type="gramStart"/>
            <w:r w:rsidRPr="0022377B">
              <w:rPr>
                <w:rFonts w:ascii="Arial Narrow" w:hAnsi="Arial Narrow" w:cs="Arial"/>
                <w:sz w:val="20"/>
                <w:szCs w:val="20"/>
              </w:rPr>
              <w:t>patient</w:t>
            </w:r>
            <w:proofErr w:type="gramEnd"/>
            <w:r w:rsidRPr="0022377B">
              <w:rPr>
                <w:rFonts w:ascii="Arial Narrow" w:hAnsi="Arial Narrow" w:cs="Arial"/>
                <w:sz w:val="20"/>
                <w:szCs w:val="20"/>
              </w:rPr>
              <w:t xml:space="preserve"> who has had a break in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of at least 24 months immediately prior to making a new application, on or after 1 April 2014, will commence a new treatment cycle.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less than 24 months may commence a further course of treatment within the same treatment cycle.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more than 24 months must commence a new treatment cycle. The length of the break in therapy is measured from the date the most recent treatment with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was stopped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There is no limit to the number of treatment cycles a patient may undertake.</w:t>
            </w:r>
          </w:p>
          <w:p w:rsidR="00D81567" w:rsidRPr="00106BCF"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(1) How to prescribe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after 1 April 2014.</w:t>
            </w:r>
          </w:p>
        </w:tc>
      </w:tr>
      <w:tr w:rsidR="00D81567" w:rsidRPr="0022377B" w:rsidTr="007204F2">
        <w:trPr>
          <w:cantSplit/>
          <w:trHeight w:val="360"/>
        </w:trPr>
        <w:tc>
          <w:tcPr>
            <w:tcW w:w="1091" w:type="pct"/>
            <w:tcBorders>
              <w:left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p>
        </w:tc>
        <w:tc>
          <w:tcPr>
            <w:tcW w:w="3909" w:type="pct"/>
            <w:gridSpan w:val="7"/>
            <w:tcBorders>
              <w:left w:val="single" w:sz="4" w:space="0" w:color="auto"/>
              <w:right w:val="single" w:sz="4" w:space="0" w:color="auto"/>
            </w:tcBorders>
          </w:tcPr>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(a) Initial treatment.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Applications for initial treatment should be made where: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a patient has received no prior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in this treatment cycle and wishes to commence such therapy (Initial 1); or</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(ii) a patient wishes to re-commence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in PBS-subsidised therapy of more than 24 months (Initial 1); or</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(iii) a patient has received prior PBS-subsidised (initial or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and wishes to trial an alternate agent (Initial 2) [further details are under 'Swapping therapy' below]; or</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(iv) </w:t>
            </w:r>
            <w:proofErr w:type="gramStart"/>
            <w:r w:rsidRPr="0022377B">
              <w:rPr>
                <w:rFonts w:ascii="Arial Narrow" w:hAnsi="Arial Narrow" w:cs="Arial"/>
                <w:sz w:val="20"/>
                <w:szCs w:val="20"/>
              </w:rPr>
              <w:t>a</w:t>
            </w:r>
            <w:proofErr w:type="gramEnd"/>
            <w:r w:rsidRPr="0022377B">
              <w:rPr>
                <w:rFonts w:ascii="Arial Narrow" w:hAnsi="Arial Narrow" w:cs="Arial"/>
                <w:sz w:val="20"/>
                <w:szCs w:val="20"/>
              </w:rPr>
              <w:t xml:space="preserve"> patient wishes to re-commence treatment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of less than 24 months in PBS-subsidised therapy with that agent (Initial 2).</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Initial treatment authorisations will be limited to provide for a maximum of 16 weeks of therapy.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A patient must be assessed for response to any course of initial PBS-subsidised treatment following a minimum of 12 weeks of therapy, and this assessment must be submitted to the Department of Human Services no later than 4 weeks from the date that course was ceased.</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For second and subsequent courses of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it is recommended that a patient is reviewed in the 4 weeks prior to completing their current course of treatment and that an application is posted to the Department of Human Services no later than 2 weeks prior to the patient completing their current treatment course.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(b) Continuing treatment.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Following the completion of an initial treatment course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a patient may qualify to receive up to 24 weeks of continuing treatment with that drug providing they have demonstrated an adequate response to treatment.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remains eligible to receive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with the same drug in courses of up to 24 weeks providing they continue to sustain the response.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It is recommended that a patient be reviewed in the month prior to completing their current course of treatment to ensure uninterrupted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supply.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Assessments of response to a course of PBS-subsidised therapy must be submitted to the Department of Human Services no later than 4 weeks from the date that course was ceased.</w:t>
            </w:r>
          </w:p>
        </w:tc>
      </w:tr>
      <w:tr w:rsidR="00D81567" w:rsidRPr="0022377B" w:rsidTr="007204F2">
        <w:trPr>
          <w:cantSplit/>
          <w:trHeight w:val="360"/>
        </w:trPr>
        <w:tc>
          <w:tcPr>
            <w:tcW w:w="1091" w:type="pct"/>
            <w:tcBorders>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p>
        </w:tc>
        <w:tc>
          <w:tcPr>
            <w:tcW w:w="3909" w:type="pct"/>
            <w:gridSpan w:val="7"/>
            <w:tcBorders>
              <w:left w:val="single" w:sz="4" w:space="0" w:color="auto"/>
              <w:bottom w:val="single" w:sz="4" w:space="0" w:color="auto"/>
              <w:right w:val="single" w:sz="4" w:space="0" w:color="auto"/>
            </w:tcBorders>
          </w:tcPr>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(2) Swapping therapy.</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Once initial treatment with the first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is approved, a patient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requalify with respect to the indices of disease severity (joint count and ESR/CRP) or the prior non-</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requirements, except if the patient has had a break in therapy of more than 24 months.</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may trial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any time, regardless of whether they are receiving therapy (initial or continuing)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the time of the application. However, they cannot swap to a particular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if they have failed to respond to prior treatment with that drug within the current treatment cycle.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To ensure a patient receives the maximum treatment opportunities allowed under the interchangeability arrangements, it is important that they are assessed for response to every course of treatment approved, within the timeframes specified in the relevant restriction.</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To avoid confusion, an application for a patient who wishes to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should be accompanied by the approved authority prescription or remaining repeats for the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 patient is ceasing.</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(3) Baseline measurements to determine response.</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The Department of Human Services will determine whether a response to treatment has been demonstrated based on the baseline measurements of the joint count submitted with the first authority application for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However, prescribers may provide a new baseline measurement any time that an initial treatment authority application is submitted within a treatment cycle and the Department of Human Services will assess response according to the revised baseline measurement.</w:t>
            </w:r>
          </w:p>
          <w:p w:rsidR="00D81567" w:rsidRPr="0022377B"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(4) Re-commencement of treatment after a 24 month </w:t>
            </w:r>
            <w:proofErr w:type="gramStart"/>
            <w:r w:rsidRPr="0022377B">
              <w:rPr>
                <w:rFonts w:ascii="Arial Narrow" w:hAnsi="Arial Narrow" w:cs="Arial"/>
                <w:sz w:val="20"/>
                <w:szCs w:val="20"/>
              </w:rPr>
              <w:t>break</w:t>
            </w:r>
            <w:proofErr w:type="gramEnd"/>
            <w:r w:rsidRPr="0022377B">
              <w:rPr>
                <w:rFonts w:ascii="Arial Narrow" w:hAnsi="Arial Narrow" w:cs="Arial"/>
                <w:sz w:val="20"/>
                <w:szCs w:val="20"/>
              </w:rPr>
              <w:t xml:space="preserve"> in PBS-subsidised therapy.</w:t>
            </w:r>
          </w:p>
          <w:p w:rsidR="00D81567" w:rsidRDefault="00D81567" w:rsidP="00F574A7">
            <w:pPr>
              <w:spacing w:before="40" w:after="40"/>
              <w:rPr>
                <w:rFonts w:ascii="Arial Narrow" w:hAnsi="Arial Narrow" w:cs="Arial"/>
                <w:sz w:val="20"/>
                <w:szCs w:val="20"/>
              </w:rPr>
            </w:pPr>
            <w:r w:rsidRPr="0022377B">
              <w:rPr>
                <w:rFonts w:ascii="Arial Narrow" w:hAnsi="Arial Narrow" w:cs="Arial"/>
                <w:sz w:val="20"/>
                <w:szCs w:val="20"/>
              </w:rPr>
              <w:t xml:space="preserve">A patient who wishes to start a second or subsequent treatment cycle following a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of at least 24 months, must requalify for treatment under the Initial 1 treatment restriction.</w:t>
            </w:r>
          </w:p>
          <w:p w:rsidR="00D81567" w:rsidRDefault="00D81567" w:rsidP="00F574A7">
            <w:pPr>
              <w:spacing w:before="40" w:after="40"/>
              <w:rPr>
                <w:rFonts w:ascii="Arial Narrow" w:hAnsi="Arial Narrow" w:cs="Arial"/>
                <w:sz w:val="20"/>
                <w:szCs w:val="20"/>
              </w:rPr>
            </w:pPr>
            <w:r>
              <w:rPr>
                <w:rFonts w:ascii="Arial Narrow" w:hAnsi="Arial Narrow" w:cs="Arial"/>
                <w:sz w:val="20"/>
                <w:szCs w:val="20"/>
              </w:rPr>
              <w:t>No increase in the maximum quantity or number of units may be authorised.</w:t>
            </w:r>
          </w:p>
          <w:p w:rsidR="00D81567" w:rsidRPr="0022377B" w:rsidRDefault="00D81567" w:rsidP="00F574A7">
            <w:pPr>
              <w:spacing w:before="40" w:after="40"/>
              <w:rPr>
                <w:rFonts w:ascii="Arial Narrow" w:hAnsi="Arial Narrow" w:cs="Arial"/>
                <w:sz w:val="20"/>
                <w:szCs w:val="20"/>
              </w:rPr>
            </w:pPr>
            <w:r>
              <w:rPr>
                <w:rFonts w:ascii="Arial Narrow" w:hAnsi="Arial Narrow" w:cs="Arial"/>
                <w:sz w:val="20"/>
                <w:szCs w:val="20"/>
              </w:rPr>
              <w:t>No increase in the maximum number of repeats may be authorised.</w:t>
            </w:r>
          </w:p>
        </w:tc>
      </w:tr>
      <w:tr w:rsidR="00D81567" w:rsidRPr="0022377B"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r>
              <w:rPr>
                <w:rFonts w:ascii="Arial Narrow" w:hAnsi="Arial Narrow" w:cs="Arial"/>
                <w:b/>
                <w:sz w:val="20"/>
                <w:szCs w:val="20"/>
              </w:rPr>
              <w:t>Treatment phase:</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22377B" w:rsidRDefault="00D81567" w:rsidP="00F574A7">
            <w:pPr>
              <w:spacing w:before="40" w:after="40"/>
              <w:rPr>
                <w:rFonts w:ascii="Arial Narrow" w:hAnsi="Arial Narrow" w:cs="Arial"/>
                <w:sz w:val="20"/>
                <w:szCs w:val="20"/>
              </w:rPr>
            </w:pPr>
            <w:r>
              <w:rPr>
                <w:rFonts w:ascii="Arial Narrow" w:hAnsi="Arial Narrow" w:cs="Arial"/>
                <w:sz w:val="20"/>
                <w:szCs w:val="20"/>
              </w:rPr>
              <w:t>Subsequent continuing treatment</w:t>
            </w:r>
          </w:p>
        </w:tc>
      </w:tr>
      <w:tr w:rsidR="00D81567" w:rsidRPr="0022377B"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09" w:type="pct"/>
            <w:gridSpan w:val="7"/>
            <w:tcBorders>
              <w:top w:val="single" w:sz="4" w:space="0" w:color="auto"/>
              <w:left w:val="single" w:sz="4" w:space="0" w:color="auto"/>
              <w:bottom w:val="single" w:sz="4" w:space="0" w:color="auto"/>
              <w:right w:val="single" w:sz="4" w:space="0" w:color="auto"/>
            </w:tcBorders>
          </w:tcPr>
          <w:p w:rsid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Must be treated by a rheumatologist; </w:t>
            </w:r>
          </w:p>
          <w:p w:rsidR="00D81567" w:rsidRPr="00ED1CD2" w:rsidRDefault="00D81567" w:rsidP="00D81567">
            <w:pPr>
              <w:spacing w:before="40" w:after="40"/>
              <w:ind w:left="289"/>
              <w:rPr>
                <w:rFonts w:ascii="Arial Narrow" w:hAnsi="Arial Narrow" w:cs="Arial"/>
                <w:sz w:val="20"/>
                <w:szCs w:val="20"/>
              </w:rPr>
            </w:pPr>
            <w:r w:rsidRPr="00ED1CD2">
              <w:rPr>
                <w:rFonts w:ascii="Arial Narrow" w:hAnsi="Arial Narrow" w:cs="Arial"/>
                <w:sz w:val="20"/>
                <w:szCs w:val="20"/>
              </w:rPr>
              <w:t>OR</w:t>
            </w:r>
          </w:p>
          <w:p w:rsid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Must be treated by a clinical immunologist with expertise in the management of rheumatoid arthritis.</w:t>
            </w:r>
          </w:p>
        </w:tc>
      </w:tr>
      <w:tr w:rsidR="00D81567" w:rsidRPr="0022377B"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sidRPr="00D81567">
              <w:rPr>
                <w:rFonts w:ascii="Arial Narrow" w:hAnsi="Arial Narrow" w:cs="Arial"/>
                <w:sz w:val="20"/>
                <w:szCs w:val="20"/>
              </w:rPr>
              <w:t>Patient must have received this drug as their most recent course of PBS-subsidised biological agent treatment for this condition in this treatment cycle,</w:t>
            </w:r>
          </w:p>
          <w:p w:rsidR="00D81567" w:rsidRPr="00D81567" w:rsidRDefault="00D81567" w:rsidP="00D81567">
            <w:pPr>
              <w:spacing w:before="40" w:after="40"/>
              <w:ind w:left="289"/>
              <w:rPr>
                <w:rFonts w:ascii="Arial Narrow" w:hAnsi="Arial Narrow" w:cs="Arial"/>
                <w:bCs/>
                <w:sz w:val="20"/>
                <w:szCs w:val="20"/>
              </w:rPr>
            </w:pPr>
            <w:r w:rsidRPr="00D81567">
              <w:rPr>
                <w:rFonts w:ascii="Arial Narrow" w:hAnsi="Arial Narrow" w:cs="Arial"/>
                <w:bCs/>
                <w:sz w:val="20"/>
                <w:szCs w:val="20"/>
              </w:rPr>
              <w:t>AND</w:t>
            </w:r>
          </w:p>
          <w:p w:rsidR="00D81567" w:rsidRP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sidRPr="00D81567">
              <w:rPr>
                <w:rFonts w:ascii="Arial Narrow" w:hAnsi="Arial Narrow" w:cs="Arial"/>
                <w:sz w:val="20"/>
                <w:szCs w:val="20"/>
              </w:rPr>
              <w:t>Patient must have demonstrated an adequate response to treatment with this drug,</w:t>
            </w:r>
          </w:p>
          <w:p w:rsidR="00D81567" w:rsidRPr="00D81567" w:rsidRDefault="00D81567" w:rsidP="00D81567">
            <w:pPr>
              <w:spacing w:before="40" w:after="40"/>
              <w:ind w:left="289"/>
              <w:rPr>
                <w:rFonts w:ascii="Arial Narrow" w:hAnsi="Arial Narrow" w:cs="Arial"/>
                <w:bCs/>
                <w:sz w:val="20"/>
                <w:szCs w:val="20"/>
              </w:rPr>
            </w:pPr>
            <w:r w:rsidRPr="00D81567">
              <w:rPr>
                <w:rFonts w:ascii="Arial Narrow" w:hAnsi="Arial Narrow" w:cs="Arial"/>
                <w:bCs/>
                <w:sz w:val="20"/>
                <w:szCs w:val="20"/>
              </w:rPr>
              <w:t>AND</w:t>
            </w:r>
          </w:p>
          <w:p w:rsidR="00D81567" w:rsidRP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sidRPr="00D81567">
              <w:rPr>
                <w:rFonts w:ascii="Arial Narrow" w:hAnsi="Arial Narrow" w:cs="Arial"/>
                <w:sz w:val="20"/>
                <w:szCs w:val="20"/>
              </w:rPr>
              <w:t>Patient must not receive more than 24 weeks of treatment per continuing treatment course under this restriction</w:t>
            </w:r>
            <w:r>
              <w:rPr>
                <w:rFonts w:ascii="Arial Narrow" w:hAnsi="Arial Narrow" w:cs="Arial"/>
                <w:sz w:val="20"/>
                <w:szCs w:val="20"/>
              </w:rPr>
              <w:t>.</w:t>
            </w:r>
          </w:p>
        </w:tc>
      </w:tr>
      <w:tr w:rsidR="00D81567" w:rsidRPr="0022377B"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r>
              <w:rPr>
                <w:rFonts w:ascii="Arial Narrow" w:hAnsi="Arial Narrow" w:cs="Arial"/>
                <w:b/>
                <w:sz w:val="20"/>
                <w:szCs w:val="20"/>
              </w:rPr>
              <w:t>Population criteria:</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D81567" w:rsidRDefault="00D81567" w:rsidP="00D81567">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be aged 18 years or older.</w:t>
            </w:r>
          </w:p>
        </w:tc>
      </w:tr>
      <w:tr w:rsidR="00D81567" w:rsidRPr="0022377B" w:rsidTr="007204F2">
        <w:trPr>
          <w:cantSplit/>
          <w:trHeight w:val="360"/>
        </w:trPr>
        <w:tc>
          <w:tcPr>
            <w:tcW w:w="1091" w:type="pct"/>
            <w:tcBorders>
              <w:top w:val="single" w:sz="4" w:space="0" w:color="auto"/>
              <w:left w:val="single" w:sz="4" w:space="0" w:color="auto"/>
              <w:bottom w:val="single" w:sz="4" w:space="0" w:color="auto"/>
              <w:right w:val="single" w:sz="4" w:space="0" w:color="auto"/>
            </w:tcBorders>
          </w:tcPr>
          <w:p w:rsidR="00D81567" w:rsidRDefault="00D81567" w:rsidP="00F574A7">
            <w:pPr>
              <w:spacing w:before="40" w:after="40"/>
              <w:jc w:val="both"/>
              <w:rPr>
                <w:rFonts w:ascii="Arial Narrow" w:hAnsi="Arial Narrow" w:cs="Arial"/>
                <w:b/>
                <w:sz w:val="20"/>
                <w:szCs w:val="20"/>
              </w:rPr>
            </w:pPr>
            <w:r>
              <w:rPr>
                <w:rFonts w:ascii="Arial Narrow" w:hAnsi="Arial Narrow" w:cs="Arial"/>
                <w:b/>
                <w:sz w:val="20"/>
                <w:szCs w:val="20"/>
              </w:rPr>
              <w:lastRenderedPageBreak/>
              <w:t>Prescriber Instructions:</w:t>
            </w:r>
          </w:p>
        </w:tc>
        <w:tc>
          <w:tcPr>
            <w:tcW w:w="3909" w:type="pct"/>
            <w:gridSpan w:val="7"/>
            <w:tcBorders>
              <w:top w:val="single" w:sz="4" w:space="0" w:color="auto"/>
              <w:left w:val="single" w:sz="4" w:space="0" w:color="auto"/>
              <w:bottom w:val="single" w:sz="4" w:space="0" w:color="auto"/>
              <w:right w:val="single" w:sz="4" w:space="0" w:color="auto"/>
            </w:tcBorders>
          </w:tcPr>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For the purposes of this restriction 'biological disease modifying anti-rheumatic drug' and '</w:t>
            </w:r>
            <w:proofErr w:type="spellStart"/>
            <w:r w:rsidRPr="00D81567">
              <w:rPr>
                <w:rFonts w:ascii="Arial Narrow" w:hAnsi="Arial Narrow" w:cs="Arial"/>
                <w:sz w:val="20"/>
                <w:szCs w:val="20"/>
              </w:rPr>
              <w:t>bDMARD</w:t>
            </w:r>
            <w:proofErr w:type="spellEnd"/>
            <w:r w:rsidRPr="00D81567">
              <w:rPr>
                <w:rFonts w:ascii="Arial Narrow" w:hAnsi="Arial Narrow" w:cs="Arial"/>
                <w:sz w:val="20"/>
                <w:szCs w:val="20"/>
              </w:rPr>
              <w:t xml:space="preserve">' mean adalimumab, </w:t>
            </w:r>
            <w:proofErr w:type="spellStart"/>
            <w:r w:rsidRPr="00D81567">
              <w:rPr>
                <w:rFonts w:ascii="Arial Narrow" w:hAnsi="Arial Narrow" w:cs="Arial"/>
                <w:sz w:val="20"/>
                <w:szCs w:val="20"/>
              </w:rPr>
              <w:t>etanercept</w:t>
            </w:r>
            <w:proofErr w:type="spellEnd"/>
            <w:r w:rsidRPr="00D81567">
              <w:rPr>
                <w:rFonts w:ascii="Arial Narrow" w:hAnsi="Arial Narrow" w:cs="Arial"/>
                <w:sz w:val="20"/>
                <w:szCs w:val="20"/>
              </w:rPr>
              <w:t xml:space="preserve"> or tocilizumab.</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An adequate response to treatment is defined as:</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an ESR no greater than 25 mm per hour or a CRP level no greater than 15 mg per L or either marker reduced by at least 20% from baseline;</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AND either of the following:</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(a) an active joint count of fewer than 10 active (swollen and tender) joints; or</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(b) a reduction in the active (swollen and tender) joint count by at least 50% from baseline; or</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(c) a reduction in the number of the following active joints, from at least 4, by at least 50%:</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w:t>
            </w:r>
            <w:proofErr w:type="spellStart"/>
            <w:r w:rsidRPr="00D81567">
              <w:rPr>
                <w:rFonts w:ascii="Arial Narrow" w:hAnsi="Arial Narrow" w:cs="Arial"/>
                <w:sz w:val="20"/>
                <w:szCs w:val="20"/>
              </w:rPr>
              <w:t>i</w:t>
            </w:r>
            <w:proofErr w:type="spellEnd"/>
            <w:r w:rsidRPr="00D81567">
              <w:rPr>
                <w:rFonts w:ascii="Arial Narrow" w:hAnsi="Arial Narrow" w:cs="Arial"/>
                <w:sz w:val="20"/>
                <w:szCs w:val="20"/>
              </w:rPr>
              <w:t>) elbow, wrist, knee and/or ankle (assessed as swollen and tender); and/or</w:t>
            </w:r>
          </w:p>
          <w:p w:rsidR="00D81567" w:rsidRP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 xml:space="preserve">(ii) </w:t>
            </w:r>
            <w:proofErr w:type="gramStart"/>
            <w:r w:rsidRPr="00D81567">
              <w:rPr>
                <w:rFonts w:ascii="Arial Narrow" w:hAnsi="Arial Narrow" w:cs="Arial"/>
                <w:sz w:val="20"/>
                <w:szCs w:val="20"/>
              </w:rPr>
              <w:t>shoulder</w:t>
            </w:r>
            <w:proofErr w:type="gramEnd"/>
            <w:r w:rsidRPr="00D81567">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D81567" w:rsidRDefault="00D81567" w:rsidP="00D81567">
            <w:pPr>
              <w:spacing w:before="40" w:after="40"/>
              <w:rPr>
                <w:rFonts w:ascii="Arial Narrow" w:hAnsi="Arial Narrow" w:cs="Arial"/>
                <w:sz w:val="20"/>
                <w:szCs w:val="20"/>
              </w:rPr>
            </w:pPr>
            <w:r w:rsidRPr="00D81567">
              <w:rPr>
                <w:rFonts w:ascii="Arial Narrow" w:hAnsi="Arial Narrow" w:cs="Arial"/>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D81567" w:rsidRDefault="00D81567" w:rsidP="00D81567">
            <w:pPr>
              <w:spacing w:before="40" w:after="40"/>
              <w:rPr>
                <w:rFonts w:ascii="Arial Narrow" w:hAnsi="Arial Narrow" w:cs="Arial"/>
                <w:i/>
                <w:sz w:val="20"/>
                <w:szCs w:val="20"/>
              </w:rPr>
            </w:pPr>
            <w:r>
              <w:rPr>
                <w:rFonts w:ascii="Arial Narrow" w:hAnsi="Arial Narrow" w:cs="Arial"/>
                <w:i/>
                <w:sz w:val="20"/>
                <w:szCs w:val="20"/>
              </w:rPr>
              <w:t>The measurement of response to the prior course of therapy must be documented in the patient’s medical notes.</w:t>
            </w:r>
          </w:p>
          <w:p w:rsidR="00D81567" w:rsidRPr="00D81567" w:rsidRDefault="00D81567" w:rsidP="00D81567">
            <w:pPr>
              <w:spacing w:before="40" w:after="40"/>
              <w:rPr>
                <w:rFonts w:ascii="Arial Narrow" w:hAnsi="Arial Narrow" w:cs="Arial"/>
                <w:i/>
                <w:sz w:val="20"/>
                <w:szCs w:val="20"/>
              </w:rPr>
            </w:pPr>
            <w:r>
              <w:rPr>
                <w:rFonts w:ascii="Arial Narrow" w:hAnsi="Arial Narrow" w:cs="Arial"/>
                <w:i/>
                <w:sz w:val="20"/>
                <w:szCs w:val="20"/>
              </w:rPr>
              <w:t>Patients who fail to demonstrate a response to treatment with this drug under this restriction will not be eligible to receive further PBS-subsidised treatment with this drug in this treatment cycle. Patients may re-trial this drug after a minimum 24 months have elapsed between the date the last prescription for a PBS-subsidised biological agent was issued in this cycle and the date of the first application under a new cycle.</w:t>
            </w:r>
          </w:p>
        </w:tc>
      </w:tr>
    </w:tbl>
    <w:p w:rsidR="00C75D51" w:rsidRDefault="00C75D51" w:rsidP="00AE22D3">
      <w:pPr>
        <w:rPr>
          <w:rFonts w:asciiTheme="minorHAnsi" w:hAnsiTheme="minorHAnsi"/>
          <w:sz w:val="22"/>
          <w:szCs w:val="22"/>
        </w:rPr>
      </w:pPr>
    </w:p>
    <w:p w:rsidR="00C75D51" w:rsidRDefault="00C75D51" w:rsidP="00AE22D3">
      <w:pPr>
        <w:rPr>
          <w:rFonts w:asciiTheme="minorHAnsi" w:hAnsiTheme="minorHAnsi"/>
          <w:sz w:val="22"/>
          <w:szCs w:val="22"/>
        </w:rPr>
      </w:pPr>
    </w:p>
    <w:p w:rsidR="0087075E" w:rsidRDefault="0087075E" w:rsidP="0087075E">
      <w:pPr>
        <w:pStyle w:val="Caption"/>
        <w:outlineLvl w:val="1"/>
      </w:pPr>
      <w:r>
        <w:t xml:space="preserve">Table </w:t>
      </w:r>
      <w:r w:rsidR="00A40065">
        <w:rPr>
          <w:noProof/>
        </w:rPr>
        <w:t>6</w:t>
      </w:r>
      <w:r>
        <w:t>: S85 - Subsequent continuing restrictions (Enbrel)</w:t>
      </w:r>
    </w:p>
    <w:tbl>
      <w:tblPr>
        <w:tblW w:w="4912" w:type="pct"/>
        <w:tblLook w:val="0000" w:firstRow="0" w:lastRow="0" w:firstColumn="0" w:lastColumn="0" w:noHBand="0" w:noVBand="0"/>
      </w:tblPr>
      <w:tblGrid>
        <w:gridCol w:w="1979"/>
        <w:gridCol w:w="1398"/>
        <w:gridCol w:w="763"/>
        <w:gridCol w:w="915"/>
        <w:gridCol w:w="770"/>
        <w:gridCol w:w="1605"/>
        <w:gridCol w:w="763"/>
        <w:gridCol w:w="886"/>
      </w:tblGrid>
      <w:tr w:rsidR="007204F2" w:rsidRPr="0039782C" w:rsidTr="007204F2">
        <w:trPr>
          <w:gridAfter w:val="2"/>
          <w:wAfter w:w="908" w:type="pct"/>
          <w:cantSplit/>
          <w:trHeight w:val="465"/>
        </w:trPr>
        <w:tc>
          <w:tcPr>
            <w:tcW w:w="1860" w:type="pct"/>
            <w:gridSpan w:val="2"/>
            <w:tcBorders>
              <w:bottom w:val="single" w:sz="4" w:space="0" w:color="auto"/>
            </w:tcBorders>
          </w:tcPr>
          <w:p w:rsidR="007204F2" w:rsidRPr="0039782C" w:rsidRDefault="007204F2" w:rsidP="0072005E">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204F2" w:rsidRPr="0039782C" w:rsidRDefault="007204F2" w:rsidP="0072005E">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0" w:type="pct"/>
            <w:tcBorders>
              <w:bottom w:val="single" w:sz="4" w:space="0" w:color="auto"/>
            </w:tcBorders>
          </w:tcPr>
          <w:p w:rsidR="007204F2" w:rsidRPr="0039782C" w:rsidRDefault="007204F2" w:rsidP="0072005E">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204F2" w:rsidRPr="0039782C" w:rsidRDefault="007204F2" w:rsidP="0072005E">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04" w:type="pct"/>
            <w:tcBorders>
              <w:bottom w:val="single" w:sz="4" w:space="0" w:color="auto"/>
            </w:tcBorders>
          </w:tcPr>
          <w:p w:rsidR="007204F2" w:rsidRPr="0039782C" w:rsidRDefault="007204F2" w:rsidP="0072005E">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204F2" w:rsidRPr="0039782C" w:rsidRDefault="007204F2" w:rsidP="0072005E">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308" w:type="pct"/>
            <w:gridSpan w:val="2"/>
            <w:tcBorders>
              <w:bottom w:val="single" w:sz="4" w:space="0" w:color="auto"/>
            </w:tcBorders>
          </w:tcPr>
          <w:p w:rsidR="007204F2" w:rsidRPr="0039782C" w:rsidRDefault="007204F2" w:rsidP="0072005E">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204F2" w:rsidRPr="00260CE3" w:rsidTr="007204F2">
        <w:trPr>
          <w:gridAfter w:val="2"/>
          <w:wAfter w:w="908" w:type="pct"/>
          <w:cantSplit/>
          <w:trHeight w:val="567"/>
        </w:trPr>
        <w:tc>
          <w:tcPr>
            <w:tcW w:w="1860" w:type="pct"/>
            <w:gridSpan w:val="2"/>
          </w:tcPr>
          <w:p w:rsidR="007204F2" w:rsidRPr="00260CE3" w:rsidRDefault="007204F2" w:rsidP="0072005E">
            <w:pPr>
              <w:keepNext/>
              <w:spacing w:before="40" w:after="40"/>
              <w:jc w:val="both"/>
              <w:rPr>
                <w:rFonts w:ascii="Arial Narrow" w:hAnsi="Arial Narrow" w:cs="Arial"/>
                <w:sz w:val="20"/>
                <w:szCs w:val="20"/>
              </w:rPr>
            </w:pPr>
            <w:r>
              <w:rPr>
                <w:rFonts w:ascii="Arial Narrow" w:hAnsi="Arial Narrow" w:cs="Arial"/>
                <w:smallCaps/>
                <w:sz w:val="20"/>
                <w:szCs w:val="20"/>
              </w:rPr>
              <w:t>ETANERCEPT</w:t>
            </w:r>
          </w:p>
          <w:p w:rsidR="007204F2"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auto-injector, 4</w:t>
            </w:r>
          </w:p>
          <w:p w:rsidR="007204F2" w:rsidRPr="00260CE3"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Injection 50 mg in 1 mL single use pre-filled syringe, 4</w:t>
            </w:r>
          </w:p>
        </w:tc>
        <w:tc>
          <w:tcPr>
            <w:tcW w:w="420" w:type="pct"/>
          </w:tcPr>
          <w:p w:rsidR="007204F2" w:rsidRPr="00260CE3"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1</w:t>
            </w:r>
          </w:p>
          <w:p w:rsidR="007204F2"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p>
          <w:p w:rsidR="007204F2" w:rsidRPr="00260CE3"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1</w:t>
            </w:r>
          </w:p>
        </w:tc>
        <w:tc>
          <w:tcPr>
            <w:tcW w:w="504" w:type="pct"/>
          </w:tcPr>
          <w:p w:rsidR="007204F2" w:rsidRPr="00260CE3"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5</w:t>
            </w:r>
          </w:p>
          <w:p w:rsidR="007204F2"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p>
          <w:p w:rsidR="007204F2" w:rsidRPr="00260CE3"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5</w:t>
            </w:r>
          </w:p>
        </w:tc>
        <w:tc>
          <w:tcPr>
            <w:tcW w:w="424" w:type="pct"/>
          </w:tcPr>
          <w:p w:rsidR="007204F2"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Enbrel</w:t>
            </w:r>
            <w:r>
              <w:rPr>
                <w:rFonts w:ascii="Arial Narrow" w:hAnsi="Arial Narrow" w:cs="Arial"/>
                <w:sz w:val="20"/>
                <w:szCs w:val="20"/>
                <w:vertAlign w:val="superscript"/>
              </w:rPr>
              <w:t>®</w:t>
            </w:r>
          </w:p>
          <w:p w:rsidR="007204F2"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p>
          <w:p w:rsidR="007204F2" w:rsidRPr="00054A37" w:rsidRDefault="007204F2" w:rsidP="0072005E">
            <w:pPr>
              <w:keepNext/>
              <w:spacing w:before="40" w:after="40"/>
              <w:jc w:val="both"/>
              <w:rPr>
                <w:rFonts w:ascii="Arial Narrow" w:hAnsi="Arial Narrow" w:cs="Arial"/>
                <w:sz w:val="20"/>
                <w:szCs w:val="20"/>
                <w:vertAlign w:val="superscript"/>
              </w:rPr>
            </w:pPr>
          </w:p>
        </w:tc>
        <w:tc>
          <w:tcPr>
            <w:tcW w:w="884" w:type="pct"/>
          </w:tcPr>
          <w:p w:rsidR="007204F2" w:rsidRDefault="007204F2" w:rsidP="0072005E">
            <w:pPr>
              <w:keepNext/>
              <w:spacing w:before="40" w:after="40"/>
              <w:jc w:val="both"/>
              <w:rPr>
                <w:rFonts w:ascii="Arial Narrow" w:hAnsi="Arial Narrow" w:cs="Arial"/>
                <w:sz w:val="20"/>
                <w:szCs w:val="20"/>
              </w:rPr>
            </w:pPr>
          </w:p>
          <w:p w:rsidR="007204F2" w:rsidRDefault="007204F2" w:rsidP="0072005E">
            <w:pPr>
              <w:keepNext/>
              <w:spacing w:before="40" w:after="40"/>
              <w:jc w:val="both"/>
              <w:rPr>
                <w:rFonts w:ascii="Arial Narrow" w:hAnsi="Arial Narrow" w:cs="Arial"/>
                <w:sz w:val="20"/>
                <w:szCs w:val="20"/>
              </w:rPr>
            </w:pPr>
            <w:r>
              <w:rPr>
                <w:rFonts w:ascii="Arial Narrow" w:hAnsi="Arial Narrow" w:cs="Arial"/>
                <w:sz w:val="20"/>
                <w:szCs w:val="20"/>
              </w:rPr>
              <w:t>Pfizer Australia Pty Ltd</w:t>
            </w:r>
          </w:p>
          <w:p w:rsidR="007204F2" w:rsidRDefault="007204F2" w:rsidP="0072005E">
            <w:pPr>
              <w:keepNext/>
              <w:spacing w:before="40" w:after="40"/>
              <w:jc w:val="both"/>
              <w:rPr>
                <w:rFonts w:ascii="Arial Narrow" w:hAnsi="Arial Narrow" w:cs="Arial"/>
                <w:sz w:val="20"/>
                <w:szCs w:val="20"/>
              </w:rPr>
            </w:pPr>
          </w:p>
          <w:p w:rsidR="007204F2" w:rsidRPr="00260CE3" w:rsidRDefault="007204F2" w:rsidP="0072005E">
            <w:pPr>
              <w:keepNext/>
              <w:spacing w:before="40" w:after="40"/>
              <w:jc w:val="both"/>
              <w:rPr>
                <w:rFonts w:ascii="Arial Narrow" w:hAnsi="Arial Narrow" w:cs="Arial"/>
                <w:sz w:val="20"/>
                <w:szCs w:val="20"/>
              </w:rPr>
            </w:pPr>
          </w:p>
        </w:tc>
      </w:tr>
      <w:tr w:rsidR="0087075E" w:rsidRPr="00260CE3" w:rsidTr="007204F2">
        <w:trPr>
          <w:gridAfter w:val="1"/>
          <w:wAfter w:w="488" w:type="pct"/>
          <w:cantSplit/>
          <w:trHeight w:val="360"/>
        </w:trPr>
        <w:tc>
          <w:tcPr>
            <w:tcW w:w="4512" w:type="pct"/>
            <w:gridSpan w:val="7"/>
            <w:tcBorders>
              <w:bottom w:val="single" w:sz="4" w:space="0" w:color="auto"/>
            </w:tcBorders>
          </w:tcPr>
          <w:p w:rsidR="0087075E" w:rsidRPr="00260CE3" w:rsidRDefault="0087075E" w:rsidP="0072005E">
            <w:pPr>
              <w:spacing w:before="40" w:after="40"/>
              <w:jc w:val="both"/>
              <w:rPr>
                <w:rFonts w:ascii="Arial Narrow" w:hAnsi="Arial Narrow" w:cs="Arial"/>
                <w:sz w:val="20"/>
                <w:szCs w:val="20"/>
              </w:rPr>
            </w:pP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4C6C07" w:rsidRDefault="0087075E" w:rsidP="0072005E">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7075E" w:rsidRPr="00260CE3" w:rsidRDefault="0087075E" w:rsidP="0072005E">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7075E" w:rsidRPr="00260CE3" w:rsidRDefault="0087075E" w:rsidP="0072005E">
            <w:pPr>
              <w:spacing w:before="40" w:after="40"/>
              <w:rPr>
                <w:rFonts w:ascii="Arial Narrow" w:hAnsi="Arial Narrow" w:cs="Arial"/>
                <w:sz w:val="20"/>
                <w:szCs w:val="20"/>
              </w:rPr>
            </w:pP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7075E" w:rsidRPr="00260CE3" w:rsidRDefault="0087075E" w:rsidP="0072005E">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rPr>
                <w:rFonts w:ascii="Arial Narrow" w:hAnsi="Arial Narrow" w:cs="Arial"/>
                <w:sz w:val="20"/>
                <w:szCs w:val="20"/>
              </w:rPr>
            </w:pPr>
            <w:r w:rsidRPr="0004601D">
              <w:rPr>
                <w:rFonts w:ascii="Arial Narrow" w:hAnsi="Arial Narrow" w:cs="Arial"/>
                <w:sz w:val="20"/>
                <w:szCs w:val="20"/>
              </w:rPr>
              <w:t>Severe active juvenile idiopathic arthritis</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7075E" w:rsidRPr="00260CE3" w:rsidRDefault="0087075E" w:rsidP="0072005E">
            <w:pPr>
              <w:spacing w:before="40" w:after="40"/>
              <w:rPr>
                <w:rFonts w:ascii="Arial Narrow" w:hAnsi="Arial Narrow" w:cs="Arial"/>
                <w:sz w:val="20"/>
                <w:szCs w:val="20"/>
              </w:rPr>
            </w:pPr>
          </w:p>
        </w:tc>
        <w:tc>
          <w:tcPr>
            <w:tcW w:w="3910" w:type="pct"/>
            <w:gridSpan w:val="7"/>
            <w:tcBorders>
              <w:top w:val="single" w:sz="4" w:space="0" w:color="auto"/>
              <w:left w:val="single" w:sz="4" w:space="0" w:color="auto"/>
              <w:bottom w:val="single" w:sz="4" w:space="0" w:color="auto"/>
              <w:right w:val="single" w:sz="4" w:space="0" w:color="auto"/>
            </w:tcBorders>
          </w:tcPr>
          <w:p w:rsidR="0087075E" w:rsidRPr="00106BCF" w:rsidRDefault="0087075E" w:rsidP="0072005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7075E" w:rsidRPr="00106BCF" w:rsidRDefault="0087075E" w:rsidP="0072005E">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7075E" w:rsidRPr="00106BCF" w:rsidRDefault="0087075E" w:rsidP="0072005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7075E" w:rsidRPr="00106BCF" w:rsidRDefault="0087075E" w:rsidP="0072005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7075E" w:rsidRPr="00106BCF" w:rsidRDefault="0087075E" w:rsidP="0072005E">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7075E" w:rsidRPr="00260CE3" w:rsidRDefault="0087075E" w:rsidP="0072005E">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0E3126">
              <w:rPr>
                <w:rFonts w:ascii="Arial Narrow" w:hAnsi="Arial Narrow" w:cs="Arial"/>
                <w:sz w:val="20"/>
                <w:szCs w:val="20"/>
              </w:rPr>
            </w:r>
            <w:r w:rsidR="000E312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7075E" w:rsidRPr="00260CE3" w:rsidTr="007204F2">
        <w:trPr>
          <w:cantSplit/>
          <w:trHeight w:val="360"/>
        </w:trPr>
        <w:tc>
          <w:tcPr>
            <w:tcW w:w="1090" w:type="pct"/>
            <w:tcBorders>
              <w:top w:val="single" w:sz="4" w:space="0" w:color="auto"/>
              <w:left w:val="single" w:sz="4" w:space="0" w:color="auto"/>
              <w:right w:val="single" w:sz="4" w:space="0" w:color="auto"/>
            </w:tcBorders>
          </w:tcPr>
          <w:p w:rsidR="0087075E" w:rsidRPr="00260CE3" w:rsidRDefault="0087075E" w:rsidP="0072005E">
            <w:pPr>
              <w:spacing w:before="40" w:after="40"/>
              <w:jc w:val="both"/>
              <w:rPr>
                <w:rFonts w:ascii="Arial Narrow" w:hAnsi="Arial Narrow" w:cs="Arial"/>
                <w:b/>
                <w:sz w:val="20"/>
                <w:szCs w:val="20"/>
              </w:rPr>
            </w:pPr>
            <w:r>
              <w:rPr>
                <w:rFonts w:ascii="Arial Narrow" w:hAnsi="Arial Narrow" w:cs="Arial"/>
                <w:b/>
                <w:sz w:val="20"/>
                <w:szCs w:val="20"/>
              </w:rPr>
              <w:t>Administrative Advice (Note) (all treatment phases):</w:t>
            </w:r>
          </w:p>
        </w:tc>
        <w:tc>
          <w:tcPr>
            <w:tcW w:w="3910" w:type="pct"/>
            <w:gridSpan w:val="7"/>
            <w:tcBorders>
              <w:top w:val="single" w:sz="4" w:space="0" w:color="auto"/>
              <w:left w:val="single" w:sz="4" w:space="0" w:color="auto"/>
              <w:right w:val="single" w:sz="4" w:space="0" w:color="auto"/>
            </w:tcBorders>
          </w:tcPr>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TREATMENT OF ADULT PATIENTS WITH A HISTORY OF JUVENILE IDIOPATHIC ARTHRITIS</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The following information applies to the prescribing under the Pharmaceutical Benefits Scheme (PBS) of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for a patient over 18 years who has a history of juvenile idiopathic arthritis with onset prior to the age of 18 years. Where the term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appears in notes and restrictions, it refers to adalimumab, </w:t>
            </w:r>
            <w:proofErr w:type="spellStart"/>
            <w:r w:rsidRPr="0022377B">
              <w:rPr>
                <w:rFonts w:ascii="Arial Narrow" w:hAnsi="Arial Narrow" w:cs="Arial"/>
                <w:sz w:val="20"/>
                <w:szCs w:val="20"/>
              </w:rPr>
              <w:t>etanercept</w:t>
            </w:r>
            <w:proofErr w:type="spellEnd"/>
            <w:r w:rsidRPr="0022377B">
              <w:rPr>
                <w:rFonts w:ascii="Arial Narrow" w:hAnsi="Arial Narrow" w:cs="Arial"/>
                <w:sz w:val="20"/>
                <w:szCs w:val="20"/>
              </w:rPr>
              <w:t xml:space="preserve"> and tocilizumab only.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is eligible for PBS-subsidised treatment with only 1 of the 3 </w:t>
            </w:r>
            <w:proofErr w:type="spellStart"/>
            <w:r w:rsidRPr="0022377B">
              <w:rPr>
                <w:rFonts w:ascii="Arial Narrow" w:hAnsi="Arial Narrow" w:cs="Arial"/>
                <w:sz w:val="20"/>
                <w:szCs w:val="20"/>
              </w:rPr>
              <w:t>bDMARDs</w:t>
            </w:r>
            <w:proofErr w:type="spellEnd"/>
            <w:r w:rsidRPr="0022377B">
              <w:rPr>
                <w:rFonts w:ascii="Arial Narrow" w:hAnsi="Arial Narrow" w:cs="Arial"/>
                <w:sz w:val="20"/>
                <w:szCs w:val="20"/>
              </w:rPr>
              <w:t xml:space="preserve"> at any one time.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From 1 April 2014, a patient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is considered to be in a treatment cycle where they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experience a disease flare. Under these interchangeability arrangements, within a single treatment cycle, a patient may: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continue to receive long-term treatment with a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while they continue to show a response to therapy; and</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(ii) </w:t>
            </w:r>
            <w:proofErr w:type="gramStart"/>
            <w:r w:rsidRPr="0022377B">
              <w:rPr>
                <w:rFonts w:ascii="Arial Narrow" w:hAnsi="Arial Narrow" w:cs="Arial"/>
                <w:sz w:val="20"/>
                <w:szCs w:val="20"/>
              </w:rPr>
              <w:t>fail</w:t>
            </w:r>
            <w:proofErr w:type="gramEnd"/>
            <w:r w:rsidRPr="0022377B">
              <w:rPr>
                <w:rFonts w:ascii="Arial Narrow" w:hAnsi="Arial Narrow" w:cs="Arial"/>
                <w:sz w:val="20"/>
                <w:szCs w:val="20"/>
              </w:rPr>
              <w:t xml:space="preserve"> to respond or to sustain a response to each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once only.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Once a patient has either failed or ceased to respond to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3 times, they are deemed to have completed a single treatment cycle and they must have, at a minimum, a 5 year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before they are eligible to receive further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The length of a treatment break is measured from the date of the last approval for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in the last treatment cycle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who was receiving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immediately prior to 1 April 2014 is considered to be in their first cycle as of 1 April 2014. A </w:t>
            </w:r>
            <w:proofErr w:type="gramStart"/>
            <w:r w:rsidRPr="0022377B">
              <w:rPr>
                <w:rFonts w:ascii="Arial Narrow" w:hAnsi="Arial Narrow" w:cs="Arial"/>
                <w:sz w:val="20"/>
                <w:szCs w:val="20"/>
              </w:rPr>
              <w:t>patient</w:t>
            </w:r>
            <w:proofErr w:type="gramEnd"/>
            <w:r w:rsidRPr="0022377B">
              <w:rPr>
                <w:rFonts w:ascii="Arial Narrow" w:hAnsi="Arial Narrow" w:cs="Arial"/>
                <w:sz w:val="20"/>
                <w:szCs w:val="20"/>
              </w:rPr>
              <w:t xml:space="preserve"> who has had a break in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of at least 24 months immediately prior to making a new application, on or after 1 April 2014, will commence a new treatment cycle.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less than 24 months may commence a further course of treatment within the same treatment cycle.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who has failed fewer than 3 trials of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in a treatment cycle and who has a break in therapy of more than 24 months must commence a new treatment cycle. The length of the break in therapy is measured from the date the most recent treatment with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was stopped to the date of the first application for initial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under the new treatment cycle.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There is no limit to the number of treatment cycles a patient may undertake.</w:t>
            </w:r>
          </w:p>
          <w:p w:rsidR="0087075E" w:rsidRPr="00106BCF"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(1) How to prescribe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after 1 April 2014.</w:t>
            </w:r>
          </w:p>
        </w:tc>
      </w:tr>
      <w:tr w:rsidR="0087075E" w:rsidRPr="00260CE3" w:rsidTr="007204F2">
        <w:trPr>
          <w:cantSplit/>
          <w:trHeight w:val="360"/>
        </w:trPr>
        <w:tc>
          <w:tcPr>
            <w:tcW w:w="1090" w:type="pct"/>
            <w:tcBorders>
              <w:left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p>
        </w:tc>
        <w:tc>
          <w:tcPr>
            <w:tcW w:w="3910" w:type="pct"/>
            <w:gridSpan w:val="7"/>
            <w:tcBorders>
              <w:left w:val="single" w:sz="4" w:space="0" w:color="auto"/>
              <w:right w:val="single" w:sz="4" w:space="0" w:color="auto"/>
            </w:tcBorders>
          </w:tcPr>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(a) Initial treatment.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Applications for initial treatment should be made where: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w:t>
            </w:r>
            <w:proofErr w:type="spellStart"/>
            <w:r w:rsidRPr="0022377B">
              <w:rPr>
                <w:rFonts w:ascii="Arial Narrow" w:hAnsi="Arial Narrow" w:cs="Arial"/>
                <w:sz w:val="20"/>
                <w:szCs w:val="20"/>
              </w:rPr>
              <w:t>i</w:t>
            </w:r>
            <w:proofErr w:type="spellEnd"/>
            <w:r w:rsidRPr="0022377B">
              <w:rPr>
                <w:rFonts w:ascii="Arial Narrow" w:hAnsi="Arial Narrow" w:cs="Arial"/>
                <w:sz w:val="20"/>
                <w:szCs w:val="20"/>
              </w:rPr>
              <w:t xml:space="preserve">) a patient has received no prior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in this treatment cycle and wishes to commence such therapy (Initial 1); or</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(ii) a patient wishes to re-commence treatment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in PBS-subsidised therapy of more than 24 months (Initial 1); or</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(iii) a patient has received prior PBS-subsidised (initial or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and wishes to trial an alternate agent (Initial 2) [further details are under 'Swapping therapy' below]; or</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(iv) </w:t>
            </w:r>
            <w:proofErr w:type="gramStart"/>
            <w:r w:rsidRPr="0022377B">
              <w:rPr>
                <w:rFonts w:ascii="Arial Narrow" w:hAnsi="Arial Narrow" w:cs="Arial"/>
                <w:sz w:val="20"/>
                <w:szCs w:val="20"/>
              </w:rPr>
              <w:t>a</w:t>
            </w:r>
            <w:proofErr w:type="gramEnd"/>
            <w:r w:rsidRPr="0022377B">
              <w:rPr>
                <w:rFonts w:ascii="Arial Narrow" w:hAnsi="Arial Narrow" w:cs="Arial"/>
                <w:sz w:val="20"/>
                <w:szCs w:val="20"/>
              </w:rPr>
              <w:t xml:space="preserve"> patient wishes to re-commence treatment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following a break of less than 24 months in PBS-subsidised therapy with that agent (Initial 2).</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Initial treatment authorisations will be limited to provide for a maximum of 16 weeks of therapy.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A patient must be assessed for response to any course of initial PBS-subsidised treatment following a minimum of 12 weeks of therapy, and this assessment must be submitted to the Department of Human Services no later than 4 weeks from the date that course was ceased.</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For second and subsequent courses of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it is recommended that a patient is reviewed in the 4 weeks prior to completing their current course of treatment and that an application is posted to the Department of Human Services no later than 2 weeks prior to the patient completing their current treatment course.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(b) Continuing treatment.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Following the completion of an initial treatment course with a specific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a patient may qualify to receive up to 24 weeks of continuing treatment with that drug providing they have demonstrated an adequate response to treatment.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remains eligible to receive continuing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treatment with the same drug in courses of up to 24 weeks providing they continue to sustain the response.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It is recommended that a patient be reviewed in the month prior to completing their current course of treatment to ensure uninterrupted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supply.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Assessments of response to a course of PBS-subsidised therapy must be submitted to the Department of Human Services no later than 4 weeks from the date that course was ceased.</w:t>
            </w:r>
          </w:p>
        </w:tc>
      </w:tr>
      <w:tr w:rsidR="0087075E" w:rsidRPr="00260CE3" w:rsidTr="007204F2">
        <w:trPr>
          <w:cantSplit/>
          <w:trHeight w:val="360"/>
        </w:trPr>
        <w:tc>
          <w:tcPr>
            <w:tcW w:w="1090" w:type="pct"/>
            <w:tcBorders>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p>
        </w:tc>
        <w:tc>
          <w:tcPr>
            <w:tcW w:w="3910" w:type="pct"/>
            <w:gridSpan w:val="7"/>
            <w:tcBorders>
              <w:left w:val="single" w:sz="4" w:space="0" w:color="auto"/>
              <w:bottom w:val="single" w:sz="4" w:space="0" w:color="auto"/>
              <w:right w:val="single" w:sz="4" w:space="0" w:color="auto"/>
            </w:tcBorders>
          </w:tcPr>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(2) Swapping therapy.</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Once initial treatment with the first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is approved, a patient may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without having to requalify with respect to the indices of disease severity (joint count and ESR/CRP) or the prior non-</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requirements, except if the patient has had a break in therapy of more than 24 months.</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may trial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any time, regardless of whether they are receiving therapy (initial or continuing) with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at the time of the application. However, they cannot swap to a particular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if they have failed to respond to prior treatment with that drug within the current treatment cycle.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To ensure a patient receives the maximum treatment opportunities allowed under the interchangeability arrangements, it is important that they are assessed for response to every course of treatment approved, within the timeframes specified in the relevant restriction.</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To avoid confusion, an application for a patient who wishes to swap to an alternate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should be accompanied by the approved authority prescription or remaining repeats for the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 patient is ceasing.</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(3) Baseline measurements to determine response.</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The Department of Human Services will determine whether a response to treatment has been demonstrated based on the baseline measurements of the joint count submitted with the first authority application for a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However, prescribers may provide a new baseline measurement any time that an initial treatment authority application is submitted within a treatment cycle and the Department of Human Services will assess response according to the revised baseline measurement.</w:t>
            </w:r>
          </w:p>
          <w:p w:rsidR="0087075E" w:rsidRPr="0022377B"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(4) Re-commencement of treatment after a 24 month </w:t>
            </w:r>
            <w:proofErr w:type="gramStart"/>
            <w:r w:rsidRPr="0022377B">
              <w:rPr>
                <w:rFonts w:ascii="Arial Narrow" w:hAnsi="Arial Narrow" w:cs="Arial"/>
                <w:sz w:val="20"/>
                <w:szCs w:val="20"/>
              </w:rPr>
              <w:t>break</w:t>
            </w:r>
            <w:proofErr w:type="gramEnd"/>
            <w:r w:rsidRPr="0022377B">
              <w:rPr>
                <w:rFonts w:ascii="Arial Narrow" w:hAnsi="Arial Narrow" w:cs="Arial"/>
                <w:sz w:val="20"/>
                <w:szCs w:val="20"/>
              </w:rPr>
              <w:t xml:space="preserve"> in PBS-subsidised therapy.</w:t>
            </w:r>
          </w:p>
          <w:p w:rsidR="0087075E" w:rsidRDefault="0087075E" w:rsidP="0072005E">
            <w:pPr>
              <w:spacing w:before="40" w:after="40"/>
              <w:rPr>
                <w:rFonts w:ascii="Arial Narrow" w:hAnsi="Arial Narrow" w:cs="Arial"/>
                <w:sz w:val="20"/>
                <w:szCs w:val="20"/>
              </w:rPr>
            </w:pPr>
            <w:r w:rsidRPr="0022377B">
              <w:rPr>
                <w:rFonts w:ascii="Arial Narrow" w:hAnsi="Arial Narrow" w:cs="Arial"/>
                <w:sz w:val="20"/>
                <w:szCs w:val="20"/>
              </w:rPr>
              <w:t xml:space="preserve">A patient who wishes to start a second or subsequent treatment cycle following a break in PBS-subsidised </w:t>
            </w:r>
            <w:proofErr w:type="spellStart"/>
            <w:r w:rsidRPr="0022377B">
              <w:rPr>
                <w:rFonts w:ascii="Arial Narrow" w:hAnsi="Arial Narrow" w:cs="Arial"/>
                <w:sz w:val="20"/>
                <w:szCs w:val="20"/>
              </w:rPr>
              <w:t>bDMARD</w:t>
            </w:r>
            <w:proofErr w:type="spellEnd"/>
            <w:r w:rsidRPr="0022377B">
              <w:rPr>
                <w:rFonts w:ascii="Arial Narrow" w:hAnsi="Arial Narrow" w:cs="Arial"/>
                <w:sz w:val="20"/>
                <w:szCs w:val="20"/>
              </w:rPr>
              <w:t xml:space="preserve"> therapy of at least 24 months, must requalify for treatment under the Initial 1 treatment restriction.</w:t>
            </w:r>
          </w:p>
          <w:p w:rsidR="0087075E" w:rsidRDefault="0087075E" w:rsidP="0072005E">
            <w:pPr>
              <w:spacing w:before="40" w:after="40"/>
              <w:rPr>
                <w:rFonts w:ascii="Arial Narrow" w:hAnsi="Arial Narrow" w:cs="Arial"/>
                <w:sz w:val="20"/>
                <w:szCs w:val="20"/>
              </w:rPr>
            </w:pPr>
            <w:r>
              <w:rPr>
                <w:rFonts w:ascii="Arial Narrow" w:hAnsi="Arial Narrow" w:cs="Arial"/>
                <w:sz w:val="20"/>
                <w:szCs w:val="20"/>
              </w:rPr>
              <w:t>No increase in the maximum quantity or number of units may be authorised.</w:t>
            </w:r>
          </w:p>
          <w:p w:rsidR="0087075E" w:rsidRPr="0022377B" w:rsidRDefault="0087075E" w:rsidP="0072005E">
            <w:pPr>
              <w:spacing w:before="40" w:after="40"/>
              <w:rPr>
                <w:rFonts w:ascii="Arial Narrow" w:hAnsi="Arial Narrow" w:cs="Arial"/>
                <w:sz w:val="20"/>
                <w:szCs w:val="20"/>
              </w:rPr>
            </w:pPr>
            <w:r>
              <w:rPr>
                <w:rFonts w:ascii="Arial Narrow" w:hAnsi="Arial Narrow" w:cs="Arial"/>
                <w:sz w:val="20"/>
                <w:szCs w:val="20"/>
              </w:rPr>
              <w:t>No increase in the maximum number of repeats may be authorised.</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00D89" w:rsidRDefault="0087075E" w:rsidP="0072005E">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rPr>
                <w:rFonts w:ascii="Arial Narrow" w:hAnsi="Arial Narrow" w:cs="Arial"/>
                <w:sz w:val="20"/>
                <w:szCs w:val="20"/>
              </w:rPr>
            </w:pPr>
            <w:r>
              <w:rPr>
                <w:rFonts w:ascii="Arial Narrow" w:hAnsi="Arial Narrow" w:cs="Arial"/>
                <w:sz w:val="20"/>
                <w:szCs w:val="20"/>
              </w:rPr>
              <w:t>Subsequent continuing treatment</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 xml:space="preserve">Must be treated by a rheumatologist; </w:t>
            </w:r>
          </w:p>
          <w:p w:rsidR="0087075E" w:rsidRPr="0022377B" w:rsidRDefault="0087075E" w:rsidP="0072005E">
            <w:pPr>
              <w:spacing w:before="40" w:after="40"/>
              <w:ind w:left="289"/>
              <w:rPr>
                <w:rFonts w:ascii="Arial Narrow" w:hAnsi="Arial Narrow" w:cs="Arial"/>
                <w:sz w:val="20"/>
                <w:szCs w:val="20"/>
              </w:rPr>
            </w:pPr>
            <w:r w:rsidRPr="0022377B">
              <w:rPr>
                <w:rFonts w:ascii="Arial Narrow" w:hAnsi="Arial Narrow" w:cs="Arial"/>
                <w:sz w:val="20"/>
                <w:szCs w:val="20"/>
              </w:rPr>
              <w:t>OR</w:t>
            </w:r>
          </w:p>
          <w:p w:rsidR="0087075E" w:rsidRPr="0022377B"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22377B">
              <w:rPr>
                <w:rFonts w:ascii="Arial Narrow" w:hAnsi="Arial Narrow" w:cs="Arial"/>
                <w:sz w:val="20"/>
                <w:szCs w:val="20"/>
              </w:rPr>
              <w:t>Must be treated by a clinical immunologist with expertise in the management of rheumatoid arthritis.</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Patient must have a documented history of severe active juvenile idiopathic arthritis with onset prior to the age of 18 years,</w:t>
            </w:r>
          </w:p>
          <w:p w:rsidR="0087075E" w:rsidRPr="00C75D51" w:rsidRDefault="0087075E" w:rsidP="0072005E">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demonstrated an adequate response to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w:t>
            </w:r>
          </w:p>
          <w:p w:rsidR="0087075E" w:rsidRPr="00C75D51" w:rsidRDefault="0087075E" w:rsidP="0072005E">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received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as their most recent course of PBS-subsidised biological disease modifying anti-rheumatic drug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treatment in this treatment cycle,</w:t>
            </w:r>
          </w:p>
          <w:p w:rsidR="0087075E" w:rsidRPr="00C75D51" w:rsidRDefault="0087075E" w:rsidP="0072005E">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Patient must not receive more than 24 weeks of treatment per continuing treatment course authorised under this restriction.</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lastRenderedPageBreak/>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Patient must be aged 18 years or older.</w:t>
            </w:r>
          </w:p>
        </w:tc>
      </w:tr>
      <w:tr w:rsidR="0087075E" w:rsidRPr="00260CE3" w:rsidTr="007204F2">
        <w:trPr>
          <w:cantSplit/>
          <w:trHeight w:val="360"/>
        </w:trPr>
        <w:tc>
          <w:tcPr>
            <w:tcW w:w="1090" w:type="pct"/>
            <w:tcBorders>
              <w:top w:val="single" w:sz="4" w:space="0" w:color="auto"/>
              <w:left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3910" w:type="pct"/>
            <w:gridSpan w:val="7"/>
            <w:tcBorders>
              <w:top w:val="single" w:sz="4" w:space="0" w:color="auto"/>
              <w:left w:val="single" w:sz="4" w:space="0" w:color="auto"/>
              <w:right w:val="single" w:sz="4" w:space="0" w:color="auto"/>
            </w:tcBorders>
          </w:tcPr>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For the purposes of this restriction 'biological disease modifying anti-rheumatic drug' and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mean adalimumab,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or tocilizumab.</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An adequate response to treatment is defined as:</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an ESR no greater than 25 mm per hour or a CRP level no greater than 15 mg per L or either marker reduced by at least 20% from baseline;</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AND either of the following:</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(a) an active joint count of fewer than 10 active </w:t>
            </w:r>
            <w:r>
              <w:rPr>
                <w:rFonts w:ascii="Arial Narrow" w:hAnsi="Arial Narrow" w:cs="Arial"/>
                <w:sz w:val="20"/>
                <w:szCs w:val="20"/>
              </w:rPr>
              <w:t>(swollen and tender) joints; or</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(b) a reduction in the active (swollen and tender) joint count by at least 50% from baseline; or</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(c) a reduction in the number of the following active joints, fr</w:t>
            </w:r>
            <w:r>
              <w:rPr>
                <w:rFonts w:ascii="Arial Narrow" w:hAnsi="Arial Narrow" w:cs="Arial"/>
                <w:sz w:val="20"/>
                <w:szCs w:val="20"/>
              </w:rPr>
              <w:t>om at least 4, by at least 50%:</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w:t>
            </w:r>
            <w:proofErr w:type="spellStart"/>
            <w:r w:rsidRPr="00C75D51">
              <w:rPr>
                <w:rFonts w:ascii="Arial Narrow" w:hAnsi="Arial Narrow" w:cs="Arial"/>
                <w:sz w:val="20"/>
                <w:szCs w:val="20"/>
              </w:rPr>
              <w:t>i</w:t>
            </w:r>
            <w:proofErr w:type="spellEnd"/>
            <w:r w:rsidRPr="00C75D51">
              <w:rPr>
                <w:rFonts w:ascii="Arial Narrow" w:hAnsi="Arial Narrow" w:cs="Arial"/>
                <w:sz w:val="20"/>
                <w:szCs w:val="20"/>
              </w:rPr>
              <w:t>) elbow, wrist, knee and/or ankle (assessed as swollen and tender); and/or</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(ii) </w:t>
            </w:r>
            <w:proofErr w:type="gramStart"/>
            <w:r w:rsidRPr="00C75D51">
              <w:rPr>
                <w:rFonts w:ascii="Arial Narrow" w:hAnsi="Arial Narrow" w:cs="Arial"/>
                <w:sz w:val="20"/>
                <w:szCs w:val="20"/>
              </w:rPr>
              <w:t>shoulder</w:t>
            </w:r>
            <w:proofErr w:type="gramEnd"/>
            <w:r w:rsidRPr="00C75D51">
              <w:rPr>
                <w:rFonts w:ascii="Arial Narrow" w:hAnsi="Arial Narrow" w:cs="Arial"/>
                <w:sz w:val="20"/>
                <w:szCs w:val="20"/>
              </w:rPr>
              <w:t>, cervical spine and/or hip (assessed as pain in passive movement and restriction of passive movement, where pain and limitation of movement are due to active disease and not irreversible damage such as joint destruction or bony overgrowth).</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The authority application must be made in writing and must include:</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(1) a completed a</w:t>
            </w:r>
            <w:r>
              <w:rPr>
                <w:rFonts w:ascii="Arial Narrow" w:hAnsi="Arial Narrow" w:cs="Arial"/>
                <w:sz w:val="20"/>
                <w:szCs w:val="20"/>
              </w:rPr>
              <w:t>uthority prescription form; and</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(2) </w:t>
            </w:r>
            <w:proofErr w:type="gramStart"/>
            <w:r w:rsidRPr="00C75D51">
              <w:rPr>
                <w:rFonts w:ascii="Arial Narrow" w:hAnsi="Arial Narrow" w:cs="Arial"/>
                <w:sz w:val="20"/>
                <w:szCs w:val="20"/>
              </w:rPr>
              <w:t>a</w:t>
            </w:r>
            <w:proofErr w:type="gramEnd"/>
            <w:r w:rsidRPr="00C75D51">
              <w:rPr>
                <w:rFonts w:ascii="Arial Narrow" w:hAnsi="Arial Narrow" w:cs="Arial"/>
                <w:sz w:val="20"/>
                <w:szCs w:val="20"/>
              </w:rPr>
              <w:t xml:space="preserve"> completed Juvenile Idiopathic Arthritis PBS Authority Application - Supporting Information Form.</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All applications for continuing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must include a measurement of response to the prior course of therapy. This assessment must be submitted no later than 4 weeks from the cessation of that treatment course. If the application is the first application for continuing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it must be accompanied by an assessment of response to a minimum of 12 weeks of treatment with an initial treatment course.</w:t>
            </w:r>
          </w:p>
          <w:p w:rsidR="0087075E" w:rsidRPr="00C75D51"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Where a response assessment is not undertaken and submitted within these timeframes, the patient will be deemed to have failed to respond to treatment with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w:t>
            </w:r>
          </w:p>
          <w:p w:rsidR="0087075E" w:rsidRDefault="0087075E" w:rsidP="00252BA6">
            <w:pPr>
              <w:spacing w:before="40" w:after="40"/>
              <w:rPr>
                <w:rFonts w:ascii="Arial Narrow" w:hAnsi="Arial Narrow" w:cs="Arial"/>
                <w:sz w:val="20"/>
                <w:szCs w:val="20"/>
              </w:rPr>
            </w:pPr>
            <w:r w:rsidRPr="00C75D51">
              <w:rPr>
                <w:rFonts w:ascii="Arial Narrow" w:hAnsi="Arial Narrow" w:cs="Arial"/>
                <w:sz w:val="20"/>
                <w:szCs w:val="20"/>
              </w:rPr>
              <w:t xml:space="preserve">If a patient fails to respond to PBS-subsidised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treatment 3 times (once with each agent) they will not be eligible to receive further PBS-subsidised </w:t>
            </w:r>
            <w:proofErr w:type="spellStart"/>
            <w:r w:rsidRPr="00C75D51">
              <w:rPr>
                <w:rFonts w:ascii="Arial Narrow" w:hAnsi="Arial Narrow" w:cs="Arial"/>
                <w:sz w:val="20"/>
                <w:szCs w:val="20"/>
              </w:rPr>
              <w:t>bDMARD</w:t>
            </w:r>
            <w:proofErr w:type="spellEnd"/>
            <w:r w:rsidRPr="00C75D51">
              <w:rPr>
                <w:rFonts w:ascii="Arial Narrow" w:hAnsi="Arial Narrow" w:cs="Arial"/>
                <w:sz w:val="20"/>
                <w:szCs w:val="20"/>
              </w:rPr>
              <w:t xml:space="preserve"> therapy in this treatment cycle.</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ED1CD2" w:rsidRDefault="0087075E" w:rsidP="0072005E">
            <w:pPr>
              <w:spacing w:before="40" w:after="40"/>
              <w:rPr>
                <w:rFonts w:ascii="Arial Narrow" w:hAnsi="Arial Narrow" w:cs="Arial"/>
                <w:sz w:val="20"/>
                <w:szCs w:val="20"/>
              </w:rPr>
            </w:pPr>
            <w:r w:rsidRPr="00ED1CD2">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87075E" w:rsidRPr="00ED1CD2" w:rsidRDefault="0087075E" w:rsidP="0072005E">
            <w:pPr>
              <w:spacing w:before="40" w:after="40"/>
              <w:rPr>
                <w:rFonts w:ascii="Arial Narrow" w:hAnsi="Arial Narrow" w:cs="Arial"/>
                <w:sz w:val="20"/>
                <w:szCs w:val="20"/>
              </w:rPr>
            </w:pPr>
            <w:r w:rsidRPr="00ED1CD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87075E" w:rsidRPr="00AF3B30" w:rsidRDefault="0087075E" w:rsidP="0072005E">
            <w:pPr>
              <w:spacing w:before="40" w:after="40"/>
              <w:rPr>
                <w:rFonts w:ascii="Arial Narrow" w:hAnsi="Arial Narrow" w:cs="Arial"/>
                <w:sz w:val="20"/>
                <w:szCs w:val="20"/>
              </w:rPr>
            </w:pPr>
            <w:r w:rsidRPr="00AF3B30">
              <w:rPr>
                <w:rFonts w:ascii="Arial Narrow" w:hAnsi="Arial Narrow" w:cs="Arial"/>
                <w:sz w:val="20"/>
                <w:szCs w:val="20"/>
              </w:rPr>
              <w:t>Applications for authority to pr</w:t>
            </w:r>
            <w:r>
              <w:rPr>
                <w:rFonts w:ascii="Arial Narrow" w:hAnsi="Arial Narrow" w:cs="Arial"/>
                <w:sz w:val="20"/>
                <w:szCs w:val="20"/>
              </w:rPr>
              <w:t>escribe should be forwarded to:</w:t>
            </w:r>
          </w:p>
          <w:p w:rsidR="0087075E" w:rsidRPr="00AF3B30" w:rsidRDefault="0087075E" w:rsidP="0072005E">
            <w:pPr>
              <w:spacing w:before="40" w:after="40"/>
              <w:rPr>
                <w:rFonts w:ascii="Arial Narrow" w:hAnsi="Arial Narrow" w:cs="Arial"/>
                <w:sz w:val="20"/>
                <w:szCs w:val="20"/>
              </w:rPr>
            </w:pPr>
            <w:r w:rsidRPr="00AF3B30">
              <w:rPr>
                <w:rFonts w:ascii="Arial Narrow" w:hAnsi="Arial Narrow" w:cs="Arial"/>
                <w:sz w:val="20"/>
                <w:szCs w:val="20"/>
              </w:rPr>
              <w:t>Department of Human Services</w:t>
            </w:r>
          </w:p>
          <w:p w:rsidR="0087075E" w:rsidRPr="00AF3B30" w:rsidRDefault="0087075E" w:rsidP="0072005E">
            <w:pPr>
              <w:spacing w:before="40" w:after="40"/>
              <w:rPr>
                <w:rFonts w:ascii="Arial Narrow" w:hAnsi="Arial Narrow" w:cs="Arial"/>
                <w:sz w:val="20"/>
                <w:szCs w:val="20"/>
              </w:rPr>
            </w:pPr>
            <w:r w:rsidRPr="00AF3B30">
              <w:rPr>
                <w:rFonts w:ascii="Arial Narrow" w:hAnsi="Arial Narrow" w:cs="Arial"/>
                <w:sz w:val="20"/>
                <w:szCs w:val="20"/>
              </w:rPr>
              <w:t>Complex Drugs</w:t>
            </w:r>
          </w:p>
          <w:p w:rsidR="0087075E" w:rsidRPr="00AF3B30" w:rsidRDefault="0087075E" w:rsidP="0072005E">
            <w:pPr>
              <w:spacing w:before="40" w:after="40"/>
              <w:rPr>
                <w:rFonts w:ascii="Arial Narrow" w:hAnsi="Arial Narrow" w:cs="Arial"/>
                <w:sz w:val="20"/>
                <w:szCs w:val="20"/>
              </w:rPr>
            </w:pPr>
            <w:r>
              <w:rPr>
                <w:rFonts w:ascii="Arial Narrow" w:hAnsi="Arial Narrow" w:cs="Arial"/>
                <w:sz w:val="20"/>
                <w:szCs w:val="20"/>
              </w:rPr>
              <w:t>Reply Paid 9826</w:t>
            </w:r>
          </w:p>
          <w:p w:rsidR="0087075E" w:rsidRPr="003F0DB9" w:rsidRDefault="0087075E" w:rsidP="0072005E">
            <w:pPr>
              <w:spacing w:before="40" w:after="40"/>
              <w:rPr>
                <w:rFonts w:ascii="Arial Narrow" w:hAnsi="Arial Narrow" w:cs="Arial"/>
                <w:sz w:val="20"/>
                <w:szCs w:val="20"/>
              </w:rPr>
            </w:pPr>
            <w:r w:rsidRPr="00AF3B30">
              <w:rPr>
                <w:rFonts w:ascii="Arial Narrow" w:hAnsi="Arial Narrow" w:cs="Arial"/>
                <w:sz w:val="20"/>
                <w:szCs w:val="20"/>
              </w:rPr>
              <w:t>HOBART TAS 7001</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Pr="00200D89" w:rsidRDefault="0087075E" w:rsidP="0072005E">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260CE3" w:rsidRDefault="0087075E" w:rsidP="0072005E">
            <w:pPr>
              <w:spacing w:before="40" w:after="40"/>
              <w:rPr>
                <w:rFonts w:ascii="Arial Narrow" w:hAnsi="Arial Narrow" w:cs="Arial"/>
                <w:sz w:val="20"/>
                <w:szCs w:val="20"/>
              </w:rPr>
            </w:pPr>
            <w:r w:rsidRPr="00C75D51">
              <w:rPr>
                <w:rFonts w:ascii="Arial Narrow" w:hAnsi="Arial Narrow" w:cs="Arial"/>
                <w:sz w:val="20"/>
                <w:szCs w:val="20"/>
              </w:rPr>
              <w:t>Continuing treatment – balance of supply</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lastRenderedPageBreak/>
              <w:t>Treatment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 xml:space="preserve">Must be treated by a rheumatologist; </w:t>
            </w:r>
          </w:p>
          <w:p w:rsidR="0087075E" w:rsidRPr="00ED1CD2" w:rsidRDefault="0087075E" w:rsidP="0072005E">
            <w:pPr>
              <w:spacing w:before="40" w:after="40"/>
              <w:ind w:left="289"/>
              <w:rPr>
                <w:rFonts w:ascii="Arial Narrow" w:hAnsi="Arial Narrow" w:cs="Arial"/>
                <w:sz w:val="20"/>
                <w:szCs w:val="20"/>
              </w:rPr>
            </w:pPr>
            <w:r w:rsidRPr="00ED1CD2">
              <w:rPr>
                <w:rFonts w:ascii="Arial Narrow" w:hAnsi="Arial Narrow" w:cs="Arial"/>
                <w:sz w:val="20"/>
                <w:szCs w:val="20"/>
              </w:rPr>
              <w:t>OR</w:t>
            </w:r>
          </w:p>
          <w:p w:rsidR="0087075E" w:rsidRPr="00ED1CD2"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ED1CD2">
              <w:rPr>
                <w:rFonts w:ascii="Arial Narrow" w:hAnsi="Arial Narrow" w:cs="Arial"/>
                <w:sz w:val="20"/>
                <w:szCs w:val="20"/>
              </w:rPr>
              <w:t>Must be treated by a clinical immunologist with expertise in the management of rheumatoid arthritis.</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 xml:space="preserve">Patient must have received insufficient </w:t>
            </w:r>
            <w:proofErr w:type="spellStart"/>
            <w:r w:rsidRPr="00C75D51">
              <w:rPr>
                <w:rFonts w:ascii="Arial Narrow" w:hAnsi="Arial Narrow" w:cs="Arial"/>
                <w:sz w:val="20"/>
                <w:szCs w:val="20"/>
              </w:rPr>
              <w:t>etanercept</w:t>
            </w:r>
            <w:proofErr w:type="spellEnd"/>
            <w:r w:rsidRPr="00C75D51">
              <w:rPr>
                <w:rFonts w:ascii="Arial Narrow" w:hAnsi="Arial Narrow" w:cs="Arial"/>
                <w:sz w:val="20"/>
                <w:szCs w:val="20"/>
              </w:rPr>
              <w:t xml:space="preserve"> therapy under the Continuing treatment restriction to complete 24 weeks treatment,</w:t>
            </w:r>
          </w:p>
          <w:p w:rsidR="0087075E" w:rsidRDefault="0087075E" w:rsidP="0072005E">
            <w:pPr>
              <w:spacing w:before="40" w:after="40"/>
              <w:ind w:left="289"/>
              <w:rPr>
                <w:rFonts w:ascii="Arial Narrow" w:hAnsi="Arial Narrow" w:cs="Arial"/>
                <w:bCs/>
                <w:sz w:val="20"/>
                <w:szCs w:val="20"/>
              </w:rPr>
            </w:pPr>
            <w:r w:rsidRPr="00C75D51">
              <w:rPr>
                <w:rFonts w:ascii="Arial Narrow" w:hAnsi="Arial Narrow" w:cs="Arial"/>
                <w:bCs/>
                <w:sz w:val="20"/>
                <w:szCs w:val="20"/>
              </w:rPr>
              <w:t>AND</w:t>
            </w:r>
          </w:p>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sidRPr="00C75D51">
              <w:rPr>
                <w:rFonts w:ascii="Arial Narrow" w:hAnsi="Arial Narrow" w:cs="Arial"/>
                <w:sz w:val="20"/>
                <w:szCs w:val="20"/>
              </w:rPr>
              <w:t>The treatment must provide no more than the balance of up to 24 weeks treatment available under the above restriction.</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Population criteria</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C75D51" w:rsidRDefault="0087075E" w:rsidP="0072005E">
            <w:pPr>
              <w:numPr>
                <w:ilvl w:val="0"/>
                <w:numId w:val="18"/>
              </w:numPr>
              <w:tabs>
                <w:tab w:val="clear" w:pos="720"/>
                <w:tab w:val="num" w:pos="289"/>
              </w:tabs>
              <w:spacing w:before="40" w:after="40"/>
              <w:ind w:left="289" w:hanging="283"/>
              <w:rPr>
                <w:rFonts w:ascii="Arial Narrow" w:hAnsi="Arial Narrow" w:cs="Arial"/>
                <w:sz w:val="20"/>
                <w:szCs w:val="20"/>
              </w:rPr>
            </w:pPr>
            <w:r>
              <w:rPr>
                <w:rFonts w:ascii="Arial Narrow" w:hAnsi="Arial Narrow" w:cs="Arial"/>
                <w:sz w:val="20"/>
                <w:szCs w:val="20"/>
              </w:rPr>
              <w:t xml:space="preserve">Patient must be aged 18 years or </w:t>
            </w:r>
            <w:r w:rsidR="00213E63">
              <w:rPr>
                <w:rFonts w:ascii="Arial Narrow" w:hAnsi="Arial Narrow" w:cs="Arial"/>
                <w:sz w:val="20"/>
                <w:szCs w:val="20"/>
              </w:rPr>
              <w:t>older</w:t>
            </w:r>
            <w:r>
              <w:rPr>
                <w:rFonts w:ascii="Arial Narrow" w:hAnsi="Arial Narrow" w:cs="Arial"/>
                <w:sz w:val="20"/>
                <w:szCs w:val="20"/>
              </w:rPr>
              <w:t>.</w:t>
            </w:r>
          </w:p>
        </w:tc>
      </w:tr>
      <w:tr w:rsidR="0087075E" w:rsidRPr="00260CE3" w:rsidTr="007204F2">
        <w:trPr>
          <w:cantSplit/>
          <w:trHeight w:val="360"/>
        </w:trPr>
        <w:tc>
          <w:tcPr>
            <w:tcW w:w="1090" w:type="pct"/>
            <w:tcBorders>
              <w:top w:val="single" w:sz="4" w:space="0" w:color="auto"/>
              <w:left w:val="single" w:sz="4" w:space="0" w:color="auto"/>
              <w:bottom w:val="single" w:sz="4" w:space="0" w:color="auto"/>
              <w:right w:val="single" w:sz="4" w:space="0" w:color="auto"/>
            </w:tcBorders>
          </w:tcPr>
          <w:p w:rsidR="0087075E" w:rsidRDefault="0087075E" w:rsidP="0072005E">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10" w:type="pct"/>
            <w:gridSpan w:val="7"/>
            <w:tcBorders>
              <w:top w:val="single" w:sz="4" w:space="0" w:color="auto"/>
              <w:left w:val="single" w:sz="4" w:space="0" w:color="auto"/>
              <w:bottom w:val="single" w:sz="4" w:space="0" w:color="auto"/>
              <w:right w:val="single" w:sz="4" w:space="0" w:color="auto"/>
            </w:tcBorders>
          </w:tcPr>
          <w:p w:rsidR="0087075E" w:rsidRPr="00C75D51" w:rsidRDefault="0087075E" w:rsidP="0072005E">
            <w:pPr>
              <w:spacing w:before="40" w:after="40"/>
              <w:rPr>
                <w:rFonts w:ascii="Arial Narrow" w:hAnsi="Arial Narrow" w:cs="Arial"/>
                <w:sz w:val="20"/>
                <w:szCs w:val="20"/>
              </w:rPr>
            </w:pPr>
            <w:r w:rsidRPr="00C75D51">
              <w:rPr>
                <w:rFonts w:ascii="Arial Narrow" w:hAnsi="Arial Narrow" w:cs="Arial"/>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87075E" w:rsidRDefault="0087075E" w:rsidP="0072005E">
            <w:pPr>
              <w:spacing w:before="40" w:after="40"/>
              <w:rPr>
                <w:rFonts w:ascii="Arial Narrow" w:hAnsi="Arial Narrow" w:cs="Arial"/>
                <w:sz w:val="20"/>
                <w:szCs w:val="20"/>
              </w:rPr>
            </w:pPr>
            <w:r w:rsidRPr="00C75D51">
              <w:rPr>
                <w:rFonts w:ascii="Arial Narrow" w:hAnsi="Arial Narrow" w:cs="Arial"/>
                <w:sz w:val="20"/>
                <w:szCs w:val="20"/>
              </w:rPr>
              <w:t>Written application for authority approval for sufficient therapy to complete a maximum of 24 weeks of treatment should be forwarded to:</w:t>
            </w:r>
          </w:p>
          <w:p w:rsidR="0087075E" w:rsidRPr="00ED1CD2" w:rsidRDefault="0087075E" w:rsidP="0072005E">
            <w:pPr>
              <w:spacing w:before="40" w:after="40"/>
              <w:rPr>
                <w:rFonts w:ascii="Arial Narrow" w:hAnsi="Arial Narrow" w:cs="Arial"/>
                <w:sz w:val="20"/>
                <w:szCs w:val="20"/>
              </w:rPr>
            </w:pPr>
            <w:r w:rsidRPr="00ED1CD2">
              <w:rPr>
                <w:rFonts w:ascii="Arial Narrow" w:hAnsi="Arial Narrow" w:cs="Arial"/>
                <w:sz w:val="20"/>
                <w:szCs w:val="20"/>
              </w:rPr>
              <w:t>Department of Human Services</w:t>
            </w:r>
          </w:p>
          <w:p w:rsidR="0087075E" w:rsidRPr="00ED1CD2" w:rsidRDefault="0087075E" w:rsidP="0072005E">
            <w:pPr>
              <w:spacing w:before="40" w:after="40"/>
              <w:rPr>
                <w:rFonts w:ascii="Arial Narrow" w:hAnsi="Arial Narrow" w:cs="Arial"/>
                <w:sz w:val="20"/>
                <w:szCs w:val="20"/>
              </w:rPr>
            </w:pPr>
            <w:r w:rsidRPr="00ED1CD2">
              <w:rPr>
                <w:rFonts w:ascii="Arial Narrow" w:hAnsi="Arial Narrow" w:cs="Arial"/>
                <w:sz w:val="20"/>
                <w:szCs w:val="20"/>
              </w:rPr>
              <w:t>Complex Drugs</w:t>
            </w:r>
          </w:p>
          <w:p w:rsidR="0087075E" w:rsidRPr="00ED1CD2" w:rsidRDefault="0087075E" w:rsidP="0072005E">
            <w:pPr>
              <w:spacing w:before="40" w:after="40"/>
              <w:rPr>
                <w:rFonts w:ascii="Arial Narrow" w:hAnsi="Arial Narrow" w:cs="Arial"/>
                <w:sz w:val="20"/>
                <w:szCs w:val="20"/>
              </w:rPr>
            </w:pPr>
            <w:r w:rsidRPr="00ED1CD2">
              <w:rPr>
                <w:rFonts w:ascii="Arial Narrow" w:hAnsi="Arial Narrow" w:cs="Arial"/>
                <w:sz w:val="20"/>
                <w:szCs w:val="20"/>
              </w:rPr>
              <w:t>Reply Paid 9826</w:t>
            </w:r>
          </w:p>
          <w:p w:rsidR="0087075E" w:rsidRDefault="0087075E" w:rsidP="0072005E">
            <w:pPr>
              <w:spacing w:before="40" w:after="40"/>
              <w:rPr>
                <w:rFonts w:ascii="Arial Narrow" w:hAnsi="Arial Narrow" w:cs="Arial"/>
                <w:sz w:val="20"/>
                <w:szCs w:val="20"/>
              </w:rPr>
            </w:pPr>
            <w:r w:rsidRPr="00ED1CD2">
              <w:rPr>
                <w:rFonts w:ascii="Arial Narrow" w:hAnsi="Arial Narrow" w:cs="Arial"/>
                <w:sz w:val="20"/>
                <w:szCs w:val="20"/>
              </w:rPr>
              <w:t>HOBART TAS 7001</w:t>
            </w:r>
          </w:p>
        </w:tc>
      </w:tr>
    </w:tbl>
    <w:p w:rsidR="00FB440B" w:rsidRPr="00D3527F" w:rsidRDefault="00FB440B" w:rsidP="007F023D">
      <w:pPr>
        <w:widowControl w:val="0"/>
        <w:numPr>
          <w:ilvl w:val="0"/>
          <w:numId w:val="5"/>
        </w:numPr>
        <w:spacing w:before="240" w:after="120"/>
        <w:jc w:val="both"/>
        <w:outlineLvl w:val="0"/>
        <w:rPr>
          <w:rFonts w:asciiTheme="minorHAnsi" w:hAnsiTheme="minorHAnsi"/>
          <w:b/>
          <w:sz w:val="32"/>
        </w:rPr>
      </w:pPr>
      <w:r w:rsidRPr="00D3527F">
        <w:rPr>
          <w:rFonts w:asciiTheme="minorHAnsi" w:hAnsiTheme="minorHAnsi"/>
          <w:b/>
          <w:bCs/>
          <w:sz w:val="32"/>
        </w:rPr>
        <w:t>Context</w:t>
      </w:r>
      <w:r w:rsidRPr="00D3527F">
        <w:rPr>
          <w:rFonts w:asciiTheme="minorHAnsi" w:hAnsiTheme="minorHAnsi"/>
          <w:b/>
          <w:sz w:val="32"/>
        </w:rPr>
        <w:t xml:space="preserve"> for Decision</w:t>
      </w:r>
    </w:p>
    <w:p w:rsidR="00FB440B" w:rsidRPr="00C07617" w:rsidRDefault="00FB440B" w:rsidP="00FB440B">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440B" w:rsidRPr="00C07617" w:rsidRDefault="00FB440B" w:rsidP="00FB440B">
      <w:pPr>
        <w:pStyle w:val="Heading1"/>
        <w:keepNext/>
        <w:keepLines/>
        <w:widowControl/>
        <w:numPr>
          <w:ilvl w:val="0"/>
          <w:numId w:val="5"/>
        </w:numPr>
        <w:spacing w:before="120" w:after="160"/>
        <w:ind w:left="709" w:hanging="709"/>
        <w:contextualSpacing w:val="0"/>
        <w:jc w:val="left"/>
        <w:rPr>
          <w:rFonts w:asciiTheme="minorHAnsi" w:hAnsiTheme="minorHAnsi"/>
          <w:b w:val="0"/>
          <w:sz w:val="32"/>
        </w:rPr>
      </w:pPr>
      <w:r w:rsidRPr="00C07617">
        <w:rPr>
          <w:rFonts w:asciiTheme="minorHAnsi" w:hAnsiTheme="minorHAnsi"/>
          <w:sz w:val="32"/>
        </w:rPr>
        <w:t xml:space="preserve"> </w:t>
      </w:r>
      <w:r>
        <w:rPr>
          <w:rFonts w:asciiTheme="minorHAnsi" w:hAnsiTheme="minorHAnsi"/>
          <w:sz w:val="32"/>
        </w:rPr>
        <w:t>Sponsor’s Comment</w:t>
      </w:r>
    </w:p>
    <w:p w:rsidR="00FB440B" w:rsidRPr="00525B39" w:rsidRDefault="00FB440B" w:rsidP="00FB440B">
      <w:pPr>
        <w:widowControl w:val="0"/>
        <w:jc w:val="both"/>
        <w:rPr>
          <w:rFonts w:asciiTheme="minorHAnsi" w:hAnsiTheme="minorHAnsi" w:cs="Arial"/>
          <w:bCs/>
          <w:snapToGrid w:val="0"/>
        </w:rPr>
      </w:pPr>
      <w:r w:rsidRPr="00A872B1">
        <w:rPr>
          <w:rFonts w:asciiTheme="minorHAnsi" w:hAnsiTheme="minorHAnsi" w:cs="Arial"/>
          <w:bCs/>
          <w:snapToGrid w:val="0"/>
        </w:rPr>
        <w:t>The sponsor had no comment.</w:t>
      </w:r>
    </w:p>
    <w:sectPr w:rsidR="00FB440B" w:rsidRPr="00525B39"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89" w:rsidRDefault="00DB2489">
      <w:r>
        <w:separator/>
      </w:r>
    </w:p>
    <w:p w:rsidR="00DB2489" w:rsidRDefault="00DB2489"/>
    <w:p w:rsidR="00DB2489" w:rsidRDefault="00DB2489"/>
  </w:endnote>
  <w:endnote w:type="continuationSeparator" w:id="0">
    <w:p w:rsidR="00DB2489" w:rsidRDefault="00DB2489">
      <w:r>
        <w:continuationSeparator/>
      </w:r>
    </w:p>
    <w:p w:rsidR="00DB2489" w:rsidRDefault="00DB2489"/>
    <w:p w:rsidR="00DB2489" w:rsidRDefault="00DB2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B2489" w:rsidTr="005A3173">
      <w:trPr>
        <w:trHeight w:val="151"/>
      </w:trPr>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B2489" w:rsidRPr="005A3173" w:rsidRDefault="00DB24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r>
    <w:tr w:rsidR="00DB2489" w:rsidTr="005A3173">
      <w:trPr>
        <w:trHeight w:val="150"/>
      </w:trPr>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0" w:type="auto"/>
          <w:vMerge/>
          <w:vAlign w:val="center"/>
          <w:hideMark/>
        </w:tcPr>
        <w:p w:rsidR="00DB2489" w:rsidRPr="005A3173" w:rsidRDefault="00DB24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r>
  </w:tbl>
  <w:p w:rsidR="00DB2489" w:rsidRDefault="00DB248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2489" w:rsidRDefault="00DB2489">
    <w:pPr>
      <w:pStyle w:val="Footer"/>
    </w:pPr>
  </w:p>
  <w:p w:rsidR="00DB2489" w:rsidRDefault="00DB2489"/>
  <w:p w:rsidR="00DB2489" w:rsidRDefault="00DB24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89" w:rsidRDefault="00DB2489" w:rsidP="00EF44A0">
    <w:pPr>
      <w:pStyle w:val="Footer"/>
      <w:jc w:val="center"/>
      <w:rPr>
        <w:rFonts w:ascii="Arial" w:hAnsi="Arial" w:cs="Arial"/>
        <w:b/>
        <w:sz w:val="20"/>
        <w:szCs w:val="20"/>
      </w:rPr>
    </w:pPr>
  </w:p>
  <w:p w:rsidR="00DB2489" w:rsidRPr="00D169EE" w:rsidRDefault="00DB2489" w:rsidP="00D169EE">
    <w:pPr>
      <w:pStyle w:val="Footer"/>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0E3126">
      <w:rPr>
        <w:rFonts w:asciiTheme="minorHAnsi" w:hAnsiTheme="minorHAnsi" w:cs="Arial"/>
        <w:noProof/>
      </w:rPr>
      <w:t>3</w:t>
    </w:r>
    <w:r w:rsidRPr="00D169EE">
      <w:rPr>
        <w:rFonts w:asciiTheme="minorHAnsi" w:hAnsiTheme="minorHAnsi" w:cs="Arial"/>
        <w:noProof/>
      </w:rPr>
      <w:fldChar w:fldCharType="end"/>
    </w:r>
  </w:p>
  <w:p w:rsidR="00DB2489" w:rsidRDefault="00DB24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B2489" w:rsidTr="005A3173">
      <w:trPr>
        <w:trHeight w:val="151"/>
      </w:trPr>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B2489" w:rsidRPr="005A3173" w:rsidRDefault="00DB24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r>
    <w:tr w:rsidR="00DB2489" w:rsidTr="005A3173">
      <w:trPr>
        <w:trHeight w:val="150"/>
      </w:trPr>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0" w:type="auto"/>
          <w:vMerge/>
          <w:vAlign w:val="center"/>
          <w:hideMark/>
        </w:tcPr>
        <w:p w:rsidR="00DB2489" w:rsidRPr="005A3173" w:rsidRDefault="00DB24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B2489" w:rsidTr="005A3173">
      <w:trPr>
        <w:trHeight w:val="151"/>
      </w:trPr>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B2489" w:rsidRPr="005A3173" w:rsidRDefault="00DB24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B2489" w:rsidRPr="005A3173" w:rsidRDefault="00DB2489" w:rsidP="005A3173">
          <w:pPr>
            <w:pStyle w:val="Header"/>
            <w:spacing w:line="276" w:lineRule="auto"/>
            <w:rPr>
              <w:rFonts w:ascii="Calibri" w:eastAsia="MS Gothic" w:hAnsi="Calibri"/>
              <w:b/>
              <w:bCs/>
              <w:color w:val="4F81BD"/>
            </w:rPr>
          </w:pPr>
        </w:p>
      </w:tc>
    </w:tr>
    <w:tr w:rsidR="00DB2489" w:rsidTr="005A3173">
      <w:trPr>
        <w:trHeight w:val="150"/>
      </w:trPr>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c>
        <w:tcPr>
          <w:tcW w:w="0" w:type="auto"/>
          <w:vMerge/>
          <w:vAlign w:val="center"/>
          <w:hideMark/>
        </w:tcPr>
        <w:p w:rsidR="00DB2489" w:rsidRPr="005A3173" w:rsidRDefault="00DB24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B2489" w:rsidRPr="005A3173" w:rsidRDefault="00DB2489" w:rsidP="005A3173">
          <w:pPr>
            <w:pStyle w:val="Header"/>
            <w:spacing w:line="276" w:lineRule="auto"/>
            <w:rPr>
              <w:rFonts w:ascii="Calibri" w:eastAsia="MS Gothic" w:hAnsi="Calibri"/>
              <w:b/>
              <w:bCs/>
              <w:color w:val="4F81BD"/>
            </w:rPr>
          </w:pPr>
        </w:p>
      </w:tc>
    </w:tr>
  </w:tbl>
  <w:p w:rsidR="00DB2489" w:rsidRPr="007C0F57" w:rsidRDefault="00DB248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B2489" w:rsidRPr="007C0F57" w:rsidRDefault="00DB2489" w:rsidP="007C0F57">
    <w:pPr>
      <w:pStyle w:val="Footer"/>
      <w:jc w:val="center"/>
      <w:rPr>
        <w:b/>
        <w:i/>
        <w:sz w:val="20"/>
        <w:szCs w:val="20"/>
      </w:rPr>
    </w:pPr>
    <w:r w:rsidRPr="007C0F57">
      <w:rPr>
        <w:b/>
        <w:i/>
        <w:sz w:val="20"/>
        <w:szCs w:val="20"/>
      </w:rPr>
      <w:t>Commercial-in-Confidence</w:t>
    </w:r>
  </w:p>
  <w:p w:rsidR="00DB2489" w:rsidRDefault="00DB2489"/>
  <w:p w:rsidR="00DB2489" w:rsidRDefault="00DB24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89" w:rsidRDefault="00DB2489">
      <w:r>
        <w:separator/>
      </w:r>
    </w:p>
    <w:p w:rsidR="00DB2489" w:rsidRDefault="00DB2489"/>
    <w:p w:rsidR="00DB2489" w:rsidRDefault="00DB2489"/>
  </w:footnote>
  <w:footnote w:type="continuationSeparator" w:id="0">
    <w:p w:rsidR="00DB2489" w:rsidRDefault="00DB2489">
      <w:r>
        <w:continuationSeparator/>
      </w:r>
    </w:p>
    <w:p w:rsidR="00DB2489" w:rsidRDefault="00DB2489"/>
    <w:p w:rsidR="00DB2489" w:rsidRDefault="00DB2489"/>
  </w:footnote>
  <w:footnote w:id="1">
    <w:p w:rsidR="00DB2489" w:rsidRPr="002D3E76" w:rsidRDefault="00DB2489">
      <w:pPr>
        <w:pStyle w:val="FootnoteText"/>
        <w:rPr>
          <w:rFonts w:asciiTheme="minorHAnsi" w:hAnsiTheme="minorHAnsi"/>
          <w:sz w:val="16"/>
          <w:szCs w:val="16"/>
        </w:rPr>
      </w:pPr>
      <w:r w:rsidRPr="002D3E76">
        <w:rPr>
          <w:rStyle w:val="FootnoteReference"/>
          <w:rFonts w:asciiTheme="minorHAnsi" w:hAnsiTheme="minorHAnsi"/>
          <w:sz w:val="16"/>
          <w:szCs w:val="16"/>
        </w:rPr>
        <w:footnoteRef/>
      </w:r>
      <w:r w:rsidRPr="002D3E76">
        <w:rPr>
          <w:rFonts w:asciiTheme="minorHAnsi" w:hAnsiTheme="minorHAnsi"/>
          <w:sz w:val="16"/>
          <w:szCs w:val="16"/>
        </w:rPr>
        <w:t xml:space="preserve"> </w:t>
      </w:r>
      <w:proofErr w:type="gramStart"/>
      <w:r w:rsidRPr="002D3E76">
        <w:rPr>
          <w:rFonts w:asciiTheme="minorHAnsi" w:hAnsiTheme="minorHAnsi"/>
          <w:sz w:val="16"/>
          <w:szCs w:val="16"/>
        </w:rPr>
        <w:t xml:space="preserve">August 2017 PBAC, </w:t>
      </w:r>
      <w:proofErr w:type="spellStart"/>
      <w:r w:rsidRPr="002D3E76">
        <w:rPr>
          <w:rFonts w:asciiTheme="minorHAnsi" w:hAnsiTheme="minorHAnsi"/>
          <w:sz w:val="16"/>
          <w:szCs w:val="16"/>
        </w:rPr>
        <w:t>Etanercept</w:t>
      </w:r>
      <w:proofErr w:type="spellEnd"/>
      <w:r w:rsidRPr="002D3E76">
        <w:rPr>
          <w:rFonts w:asciiTheme="minorHAnsi" w:hAnsiTheme="minorHAnsi"/>
          <w:sz w:val="16"/>
          <w:szCs w:val="16"/>
        </w:rPr>
        <w:t xml:space="preserve"> (</w:t>
      </w:r>
      <w:proofErr w:type="spellStart"/>
      <w:r w:rsidRPr="002D3E76">
        <w:rPr>
          <w:rFonts w:asciiTheme="minorHAnsi" w:hAnsiTheme="minorHAnsi"/>
          <w:sz w:val="16"/>
          <w:szCs w:val="16"/>
        </w:rPr>
        <w:t>Brenzys</w:t>
      </w:r>
      <w:proofErr w:type="spellEnd"/>
      <w:r w:rsidRPr="002D3E76">
        <w:rPr>
          <w:rFonts w:asciiTheme="minorHAnsi" w:hAnsiTheme="minorHAnsi"/>
          <w:sz w:val="16"/>
          <w:szCs w:val="16"/>
        </w:rPr>
        <w:t>) Public Summary Document.</w:t>
      </w:r>
      <w:proofErr w:type="gramEnd"/>
      <w:r w:rsidRPr="002D3E76">
        <w:rPr>
          <w:rFonts w:asciiTheme="minorHAnsi" w:hAnsiTheme="minorHAnsi"/>
          <w:sz w:val="16"/>
          <w:szCs w:val="16"/>
        </w:rPr>
        <w:t xml:space="preserve"> Available at </w:t>
      </w:r>
      <w:hyperlink r:id="rId1" w:history="1">
        <w:r w:rsidRPr="002D3E76">
          <w:rPr>
            <w:rStyle w:val="Hyperlink"/>
            <w:rFonts w:asciiTheme="minorHAnsi" w:hAnsiTheme="minorHAnsi"/>
            <w:sz w:val="16"/>
            <w:szCs w:val="16"/>
          </w:rPr>
          <w:t>PBAC PSD website</w:t>
        </w:r>
      </w:hyperlink>
    </w:p>
  </w:footnote>
  <w:footnote w:id="2">
    <w:p w:rsidR="00DB2489" w:rsidRPr="002D3E76" w:rsidRDefault="00DB2489" w:rsidP="00444208">
      <w:pPr>
        <w:pStyle w:val="FootnoteText"/>
        <w:rPr>
          <w:rFonts w:asciiTheme="minorHAnsi" w:hAnsiTheme="minorHAnsi" w:cs="Arial"/>
          <w:sz w:val="16"/>
          <w:szCs w:val="16"/>
        </w:rPr>
      </w:pPr>
      <w:r w:rsidRPr="002D3E76">
        <w:rPr>
          <w:rStyle w:val="FootnoteReference"/>
          <w:rFonts w:asciiTheme="minorHAnsi" w:hAnsiTheme="minorHAnsi" w:cs="Arial"/>
          <w:sz w:val="16"/>
          <w:szCs w:val="16"/>
        </w:rPr>
        <w:footnoteRef/>
      </w:r>
      <w:r w:rsidRPr="002D3E76">
        <w:rPr>
          <w:rFonts w:asciiTheme="minorHAnsi" w:hAnsiTheme="minorHAnsi" w:cs="Arial"/>
          <w:sz w:val="16"/>
          <w:szCs w:val="16"/>
        </w:rPr>
        <w:t xml:space="preserve"> Symbols used in the Schedule</w:t>
      </w:r>
      <w:hyperlink r:id="rId2" w:history="1"/>
      <w:r w:rsidRPr="002D3E76">
        <w:rPr>
          <w:rFonts w:asciiTheme="minorHAnsi" w:hAnsiTheme="minorHAnsi" w:cs="Arial"/>
          <w:sz w:val="16"/>
          <w:szCs w:val="16"/>
        </w:rPr>
        <w:t xml:space="preserve"> - http://www.pbs.gov.au/info/healthpro/explanatory-notes/section2/section-2-symbols</w:t>
      </w:r>
    </w:p>
  </w:footnote>
  <w:footnote w:id="3">
    <w:p w:rsidR="00DB2489" w:rsidRPr="002D3E76" w:rsidRDefault="00DB2489">
      <w:pPr>
        <w:pStyle w:val="FootnoteText"/>
        <w:rPr>
          <w:rFonts w:asciiTheme="minorHAnsi" w:hAnsiTheme="minorHAnsi"/>
          <w:sz w:val="16"/>
          <w:szCs w:val="16"/>
        </w:rPr>
      </w:pPr>
      <w:r w:rsidRPr="002D3E76">
        <w:rPr>
          <w:rStyle w:val="FootnoteReference"/>
          <w:rFonts w:asciiTheme="minorHAnsi" w:hAnsiTheme="minorHAnsi"/>
          <w:sz w:val="16"/>
          <w:szCs w:val="16"/>
        </w:rPr>
        <w:footnoteRef/>
      </w:r>
      <w:r w:rsidRPr="002D3E76">
        <w:rPr>
          <w:rFonts w:asciiTheme="minorHAnsi" w:hAnsiTheme="minorHAnsi"/>
          <w:sz w:val="16"/>
          <w:szCs w:val="16"/>
        </w:rPr>
        <w:t xml:space="preserve"> </w:t>
      </w:r>
      <w:proofErr w:type="gramStart"/>
      <w:r w:rsidRPr="002D3E76">
        <w:rPr>
          <w:rFonts w:asciiTheme="minorHAnsi" w:hAnsiTheme="minorHAnsi"/>
          <w:sz w:val="16"/>
          <w:szCs w:val="16"/>
        </w:rPr>
        <w:t>Therapeutic Goods Administration (2017).</w:t>
      </w:r>
      <w:proofErr w:type="gramEnd"/>
      <w:r w:rsidRPr="002D3E76">
        <w:rPr>
          <w:rFonts w:asciiTheme="minorHAnsi" w:hAnsiTheme="minorHAnsi"/>
          <w:sz w:val="16"/>
          <w:szCs w:val="16"/>
        </w:rPr>
        <w:t xml:space="preserve"> Advisory Committee on Medicines (ACM) Ratified minute of meeting 5, 5-6 October 2017 (unpublished).</w:t>
      </w:r>
    </w:p>
  </w:footnote>
  <w:footnote w:id="4">
    <w:p w:rsidR="00DB2489" w:rsidRPr="002D3E76" w:rsidRDefault="00DB2489" w:rsidP="0072005E">
      <w:pPr>
        <w:pStyle w:val="FootnoteText"/>
        <w:rPr>
          <w:rFonts w:asciiTheme="minorHAnsi" w:hAnsiTheme="minorHAnsi"/>
          <w:sz w:val="16"/>
          <w:szCs w:val="16"/>
        </w:rPr>
      </w:pPr>
      <w:r w:rsidRPr="002D3E76">
        <w:rPr>
          <w:rStyle w:val="FootnoteReference"/>
          <w:rFonts w:asciiTheme="minorHAnsi" w:hAnsiTheme="minorHAnsi"/>
          <w:sz w:val="16"/>
          <w:szCs w:val="16"/>
        </w:rPr>
        <w:footnoteRef/>
      </w:r>
      <w:r w:rsidRPr="002D3E76">
        <w:rPr>
          <w:rFonts w:asciiTheme="minorHAnsi" w:hAnsiTheme="minorHAnsi"/>
          <w:sz w:val="16"/>
          <w:szCs w:val="16"/>
        </w:rPr>
        <w:t xml:space="preserve"> </w:t>
      </w:r>
      <w:proofErr w:type="gramStart"/>
      <w:r w:rsidRPr="002D3E76">
        <w:rPr>
          <w:rFonts w:asciiTheme="minorHAnsi" w:hAnsiTheme="minorHAnsi"/>
          <w:sz w:val="16"/>
          <w:szCs w:val="16"/>
        </w:rPr>
        <w:t>Therapeutic Goods Administration (2017).</w:t>
      </w:r>
      <w:proofErr w:type="gramEnd"/>
      <w:r w:rsidRPr="002D3E76">
        <w:rPr>
          <w:rFonts w:asciiTheme="minorHAnsi" w:hAnsiTheme="minorHAnsi"/>
          <w:sz w:val="16"/>
          <w:szCs w:val="16"/>
        </w:rPr>
        <w:t xml:space="preserve"> Advisory Committee on Medicines (ACM) Ratified minute of meeting 5, 5-6 October 2017 (unpublished)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B2489" w:rsidRPr="008E0D90" w:rsidTr="00A06225">
      <w:trPr>
        <w:trHeight w:val="151"/>
      </w:trPr>
      <w:tc>
        <w:tcPr>
          <w:tcW w:w="2389" w:type="pct"/>
          <w:tcBorders>
            <w:top w:val="nil"/>
            <w:left w:val="nil"/>
            <w:bottom w:val="single" w:sz="4" w:space="0" w:color="4F81BD"/>
            <w:right w:val="nil"/>
          </w:tcBorders>
        </w:tcPr>
        <w:p w:rsidR="00DB2489" w:rsidRPr="00A06225" w:rsidRDefault="00DB2489">
          <w:pPr>
            <w:pStyle w:val="Header"/>
            <w:spacing w:line="276" w:lineRule="auto"/>
            <w:rPr>
              <w:rFonts w:ascii="Cambria" w:eastAsia="MS Gothic" w:hAnsi="Cambria"/>
              <w:b/>
              <w:bCs/>
              <w:color w:val="4F81BD"/>
            </w:rPr>
          </w:pPr>
        </w:p>
      </w:tc>
      <w:tc>
        <w:tcPr>
          <w:tcW w:w="333" w:type="pct"/>
          <w:vMerge w:val="restart"/>
          <w:noWrap/>
          <w:vAlign w:val="center"/>
          <w:hideMark/>
        </w:tcPr>
        <w:p w:rsidR="00DB2489" w:rsidRPr="00A06225" w:rsidRDefault="00DB248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B2489" w:rsidRPr="00A06225" w:rsidRDefault="00DB2489">
          <w:pPr>
            <w:pStyle w:val="Header"/>
            <w:spacing w:line="276" w:lineRule="auto"/>
            <w:rPr>
              <w:rFonts w:ascii="Cambria" w:eastAsia="MS Gothic" w:hAnsi="Cambria"/>
              <w:b/>
              <w:bCs/>
              <w:color w:val="4F81BD"/>
            </w:rPr>
          </w:pPr>
        </w:p>
      </w:tc>
    </w:tr>
    <w:tr w:rsidR="00DB2489" w:rsidRPr="008E0D90" w:rsidTr="00A06225">
      <w:trPr>
        <w:trHeight w:val="150"/>
      </w:trPr>
      <w:tc>
        <w:tcPr>
          <w:tcW w:w="2389" w:type="pct"/>
          <w:tcBorders>
            <w:top w:val="single" w:sz="4" w:space="0" w:color="4F81BD"/>
            <w:left w:val="nil"/>
            <w:bottom w:val="nil"/>
            <w:right w:val="nil"/>
          </w:tcBorders>
        </w:tcPr>
        <w:p w:rsidR="00DB2489" w:rsidRPr="00A06225" w:rsidRDefault="00DB2489">
          <w:pPr>
            <w:pStyle w:val="Header"/>
            <w:spacing w:line="276" w:lineRule="auto"/>
            <w:rPr>
              <w:rFonts w:ascii="Cambria" w:eastAsia="MS Gothic" w:hAnsi="Cambria"/>
              <w:b/>
              <w:bCs/>
              <w:color w:val="4F81BD"/>
            </w:rPr>
          </w:pPr>
        </w:p>
      </w:tc>
      <w:tc>
        <w:tcPr>
          <w:tcW w:w="0" w:type="auto"/>
          <w:vMerge/>
          <w:vAlign w:val="center"/>
          <w:hideMark/>
        </w:tcPr>
        <w:p w:rsidR="00DB2489" w:rsidRPr="00A06225" w:rsidRDefault="00DB2489">
          <w:pPr>
            <w:rPr>
              <w:rFonts w:ascii="Cambria" w:hAnsi="Cambria"/>
              <w:color w:val="4F81BD"/>
              <w:sz w:val="22"/>
              <w:szCs w:val="22"/>
            </w:rPr>
          </w:pPr>
        </w:p>
      </w:tc>
      <w:tc>
        <w:tcPr>
          <w:tcW w:w="2278" w:type="pct"/>
          <w:tcBorders>
            <w:top w:val="single" w:sz="4" w:space="0" w:color="4F81BD"/>
            <w:left w:val="nil"/>
            <w:bottom w:val="nil"/>
            <w:right w:val="nil"/>
          </w:tcBorders>
        </w:tcPr>
        <w:p w:rsidR="00DB2489" w:rsidRPr="00A06225" w:rsidRDefault="00DB2489">
          <w:pPr>
            <w:pStyle w:val="Header"/>
            <w:spacing w:line="276" w:lineRule="auto"/>
            <w:rPr>
              <w:rFonts w:ascii="Cambria" w:eastAsia="MS Gothic" w:hAnsi="Cambria"/>
              <w:b/>
              <w:bCs/>
              <w:color w:val="4F81BD"/>
            </w:rPr>
          </w:pPr>
        </w:p>
      </w:tc>
    </w:tr>
  </w:tbl>
  <w:p w:rsidR="00DB2489" w:rsidRDefault="00DB2489">
    <w:pPr>
      <w:pStyle w:val="Header"/>
    </w:pPr>
  </w:p>
  <w:p w:rsidR="00DB2489" w:rsidRDefault="00DB2489"/>
  <w:p w:rsidR="00DB2489" w:rsidRDefault="00DB24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89" w:rsidRPr="00F90A91" w:rsidRDefault="00DB2489" w:rsidP="00D169EE">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p w:rsidR="00DB2489" w:rsidRDefault="00DB2489" w:rsidP="00A128E6">
    <w:pPr>
      <w:pStyle w:val="NoSpacing"/>
    </w:pPr>
  </w:p>
  <w:p w:rsidR="00DB2489" w:rsidRDefault="00DB24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705C35"/>
    <w:multiLevelType w:val="multilevel"/>
    <w:tmpl w:val="32D0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5650958"/>
    <w:multiLevelType w:val="hybridMultilevel"/>
    <w:tmpl w:val="94B09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790643"/>
    <w:multiLevelType w:val="multilevel"/>
    <w:tmpl w:val="BB2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9C5064"/>
    <w:multiLevelType w:val="multilevel"/>
    <w:tmpl w:val="926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A0569C"/>
    <w:multiLevelType w:val="multilevel"/>
    <w:tmpl w:val="AEC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277796"/>
    <w:multiLevelType w:val="multilevel"/>
    <w:tmpl w:val="FE1A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6">
    <w:nsid w:val="20495226"/>
    <w:multiLevelType w:val="multilevel"/>
    <w:tmpl w:val="A56A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D73CF"/>
    <w:multiLevelType w:val="multilevel"/>
    <w:tmpl w:val="5BB8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2FEF2EAE"/>
    <w:multiLevelType w:val="multilevel"/>
    <w:tmpl w:val="23D8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E750E8"/>
    <w:multiLevelType w:val="multilevel"/>
    <w:tmpl w:val="503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AE213E"/>
    <w:multiLevelType w:val="multilevel"/>
    <w:tmpl w:val="FE54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0778FB"/>
    <w:multiLevelType w:val="multilevel"/>
    <w:tmpl w:val="FA8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786886"/>
    <w:multiLevelType w:val="multilevel"/>
    <w:tmpl w:val="345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015A73"/>
    <w:multiLevelType w:val="hybridMultilevel"/>
    <w:tmpl w:val="4EE4E432"/>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30">
    <w:nsid w:val="516C5823"/>
    <w:multiLevelType w:val="multilevel"/>
    <w:tmpl w:val="EE9C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8E51C0E"/>
    <w:multiLevelType w:val="hybridMultilevel"/>
    <w:tmpl w:val="E8525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5DE31AE4"/>
    <w:multiLevelType w:val="multilevel"/>
    <w:tmpl w:val="B31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7F4517"/>
    <w:multiLevelType w:val="multilevel"/>
    <w:tmpl w:val="748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892D5E"/>
    <w:multiLevelType w:val="multilevel"/>
    <w:tmpl w:val="40FA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36413B4"/>
    <w:multiLevelType w:val="hybridMultilevel"/>
    <w:tmpl w:val="1E6E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B23941"/>
    <w:multiLevelType w:val="multilevel"/>
    <w:tmpl w:val="620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8A0561"/>
    <w:multiLevelType w:val="multilevel"/>
    <w:tmpl w:val="32A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4D033C"/>
    <w:multiLevelType w:val="multilevel"/>
    <w:tmpl w:val="107242F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7"/>
  </w:num>
  <w:num w:numId="4">
    <w:abstractNumId w:val="25"/>
  </w:num>
  <w:num w:numId="5">
    <w:abstractNumId w:val="40"/>
  </w:num>
  <w:num w:numId="6">
    <w:abstractNumId w:val="12"/>
  </w:num>
  <w:num w:numId="7">
    <w:abstractNumId w:val="24"/>
  </w:num>
  <w:num w:numId="8">
    <w:abstractNumId w:val="4"/>
  </w:num>
  <w:num w:numId="9">
    <w:abstractNumId w:val="23"/>
  </w:num>
  <w:num w:numId="10">
    <w:abstractNumId w:val="22"/>
  </w:num>
  <w:num w:numId="11">
    <w:abstractNumId w:val="19"/>
  </w:num>
  <w:num w:numId="12">
    <w:abstractNumId w:val="1"/>
  </w:num>
  <w:num w:numId="13">
    <w:abstractNumId w:val="0"/>
  </w:num>
  <w:num w:numId="14">
    <w:abstractNumId w:val="40"/>
  </w:num>
  <w:num w:numId="15">
    <w:abstractNumId w:val="32"/>
  </w:num>
  <w:num w:numId="16">
    <w:abstractNumId w:val="29"/>
  </w:num>
  <w:num w:numId="17">
    <w:abstractNumId w:val="8"/>
  </w:num>
  <w:num w:numId="18">
    <w:abstractNumId w:val="20"/>
  </w:num>
  <w:num w:numId="19">
    <w:abstractNumId w:val="27"/>
  </w:num>
  <w:num w:numId="20">
    <w:abstractNumId w:val="21"/>
  </w:num>
  <w:num w:numId="21">
    <w:abstractNumId w:val="33"/>
  </w:num>
  <w:num w:numId="22">
    <w:abstractNumId w:val="14"/>
  </w:num>
  <w:num w:numId="23">
    <w:abstractNumId w:val="35"/>
  </w:num>
  <w:num w:numId="24">
    <w:abstractNumId w:val="30"/>
  </w:num>
  <w:num w:numId="25">
    <w:abstractNumId w:val="16"/>
  </w:num>
  <w:num w:numId="26">
    <w:abstractNumId w:val="38"/>
  </w:num>
  <w:num w:numId="27">
    <w:abstractNumId w:val="6"/>
  </w:num>
  <w:num w:numId="28">
    <w:abstractNumId w:val="26"/>
  </w:num>
  <w:num w:numId="29">
    <w:abstractNumId w:val="39"/>
  </w:num>
  <w:num w:numId="30">
    <w:abstractNumId w:val="13"/>
  </w:num>
  <w:num w:numId="31">
    <w:abstractNumId w:val="28"/>
  </w:num>
  <w:num w:numId="32">
    <w:abstractNumId w:val="10"/>
  </w:num>
  <w:num w:numId="33">
    <w:abstractNumId w:val="11"/>
  </w:num>
  <w:num w:numId="34">
    <w:abstractNumId w:val="17"/>
  </w:num>
  <w:num w:numId="35">
    <w:abstractNumId w:val="34"/>
  </w:num>
  <w:num w:numId="36">
    <w:abstractNumId w:val="37"/>
  </w:num>
  <w:num w:numId="37">
    <w:abstractNumId w:val="9"/>
  </w:num>
  <w:num w:numId="38">
    <w:abstractNumId w:val="31"/>
  </w:num>
  <w:num w:numId="39">
    <w:abstractNumId w:val="5"/>
  </w:num>
  <w:num w:numId="40">
    <w:abstractNumId w:val="2"/>
  </w:num>
  <w:num w:numId="41">
    <w:abstractNumId w:val="18"/>
  </w:num>
  <w:num w:numId="4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3140"/>
    <w:rsid w:val="0002464A"/>
    <w:rsid w:val="0003106B"/>
    <w:rsid w:val="00037E6B"/>
    <w:rsid w:val="000421A1"/>
    <w:rsid w:val="0004240E"/>
    <w:rsid w:val="00045E26"/>
    <w:rsid w:val="0004601D"/>
    <w:rsid w:val="00046BB3"/>
    <w:rsid w:val="000514B5"/>
    <w:rsid w:val="00054A37"/>
    <w:rsid w:val="00060E64"/>
    <w:rsid w:val="00066755"/>
    <w:rsid w:val="00077143"/>
    <w:rsid w:val="00082169"/>
    <w:rsid w:val="000969AD"/>
    <w:rsid w:val="00096AE4"/>
    <w:rsid w:val="000B558D"/>
    <w:rsid w:val="000B59EE"/>
    <w:rsid w:val="000B7E6E"/>
    <w:rsid w:val="000C3E1C"/>
    <w:rsid w:val="000C3F0D"/>
    <w:rsid w:val="000C6996"/>
    <w:rsid w:val="000D23BA"/>
    <w:rsid w:val="000E3126"/>
    <w:rsid w:val="000E55AF"/>
    <w:rsid w:val="000E62E7"/>
    <w:rsid w:val="000E681E"/>
    <w:rsid w:val="000F0003"/>
    <w:rsid w:val="000F4E6A"/>
    <w:rsid w:val="00101EA3"/>
    <w:rsid w:val="00104227"/>
    <w:rsid w:val="001107BF"/>
    <w:rsid w:val="00114FE6"/>
    <w:rsid w:val="00117036"/>
    <w:rsid w:val="0012417C"/>
    <w:rsid w:val="001360FA"/>
    <w:rsid w:val="00142346"/>
    <w:rsid w:val="00142395"/>
    <w:rsid w:val="00142714"/>
    <w:rsid w:val="00143FA8"/>
    <w:rsid w:val="001452ED"/>
    <w:rsid w:val="001568CC"/>
    <w:rsid w:val="00163329"/>
    <w:rsid w:val="00164623"/>
    <w:rsid w:val="00165B64"/>
    <w:rsid w:val="001830CE"/>
    <w:rsid w:val="001845BF"/>
    <w:rsid w:val="0018643B"/>
    <w:rsid w:val="00193E4B"/>
    <w:rsid w:val="00196307"/>
    <w:rsid w:val="001979B6"/>
    <w:rsid w:val="001A33EA"/>
    <w:rsid w:val="001B017F"/>
    <w:rsid w:val="001B1214"/>
    <w:rsid w:val="001B2BBC"/>
    <w:rsid w:val="001B5129"/>
    <w:rsid w:val="001C1195"/>
    <w:rsid w:val="001C7793"/>
    <w:rsid w:val="001F087B"/>
    <w:rsid w:val="001F1850"/>
    <w:rsid w:val="00200D89"/>
    <w:rsid w:val="00203FAC"/>
    <w:rsid w:val="00213CFB"/>
    <w:rsid w:val="00213E63"/>
    <w:rsid w:val="00217BE1"/>
    <w:rsid w:val="0022153D"/>
    <w:rsid w:val="00221AF7"/>
    <w:rsid w:val="0022377B"/>
    <w:rsid w:val="00252BA6"/>
    <w:rsid w:val="00271BA1"/>
    <w:rsid w:val="002762FA"/>
    <w:rsid w:val="00277505"/>
    <w:rsid w:val="00285959"/>
    <w:rsid w:val="0029458F"/>
    <w:rsid w:val="002A104C"/>
    <w:rsid w:val="002A4960"/>
    <w:rsid w:val="002B15B1"/>
    <w:rsid w:val="002B1AE6"/>
    <w:rsid w:val="002B2DE8"/>
    <w:rsid w:val="002B30F8"/>
    <w:rsid w:val="002B5596"/>
    <w:rsid w:val="002B559D"/>
    <w:rsid w:val="002C212F"/>
    <w:rsid w:val="002D3E76"/>
    <w:rsid w:val="002D4543"/>
    <w:rsid w:val="002D6F08"/>
    <w:rsid w:val="002E003F"/>
    <w:rsid w:val="002E2719"/>
    <w:rsid w:val="002E3153"/>
    <w:rsid w:val="002E72CA"/>
    <w:rsid w:val="00300AD6"/>
    <w:rsid w:val="00307EE0"/>
    <w:rsid w:val="00317C6C"/>
    <w:rsid w:val="00326E79"/>
    <w:rsid w:val="0033518A"/>
    <w:rsid w:val="003367EF"/>
    <w:rsid w:val="00341AE4"/>
    <w:rsid w:val="00360214"/>
    <w:rsid w:val="00384E2A"/>
    <w:rsid w:val="003872CF"/>
    <w:rsid w:val="0039782C"/>
    <w:rsid w:val="00397841"/>
    <w:rsid w:val="003A5B4A"/>
    <w:rsid w:val="003B23C5"/>
    <w:rsid w:val="003B2A75"/>
    <w:rsid w:val="003B54D3"/>
    <w:rsid w:val="003B6124"/>
    <w:rsid w:val="003C2FB5"/>
    <w:rsid w:val="003C3169"/>
    <w:rsid w:val="003D4AC4"/>
    <w:rsid w:val="003D63B7"/>
    <w:rsid w:val="003E468B"/>
    <w:rsid w:val="003F0DB9"/>
    <w:rsid w:val="003F3228"/>
    <w:rsid w:val="003F5C8C"/>
    <w:rsid w:val="00401548"/>
    <w:rsid w:val="0042447A"/>
    <w:rsid w:val="004252EC"/>
    <w:rsid w:val="00433CA7"/>
    <w:rsid w:val="00444208"/>
    <w:rsid w:val="004465BD"/>
    <w:rsid w:val="00466ADA"/>
    <w:rsid w:val="00476245"/>
    <w:rsid w:val="004773E2"/>
    <w:rsid w:val="00483035"/>
    <w:rsid w:val="00485940"/>
    <w:rsid w:val="00491D0A"/>
    <w:rsid w:val="004A2484"/>
    <w:rsid w:val="004A5A85"/>
    <w:rsid w:val="004A71D1"/>
    <w:rsid w:val="004B5640"/>
    <w:rsid w:val="004C1BD7"/>
    <w:rsid w:val="004C31FE"/>
    <w:rsid w:val="004C691D"/>
    <w:rsid w:val="004C6C07"/>
    <w:rsid w:val="004E390B"/>
    <w:rsid w:val="004E692D"/>
    <w:rsid w:val="00501554"/>
    <w:rsid w:val="00514CD7"/>
    <w:rsid w:val="00514DB2"/>
    <w:rsid w:val="005319B2"/>
    <w:rsid w:val="00532402"/>
    <w:rsid w:val="00532C74"/>
    <w:rsid w:val="00534E2E"/>
    <w:rsid w:val="00544552"/>
    <w:rsid w:val="0056334D"/>
    <w:rsid w:val="00567D12"/>
    <w:rsid w:val="00577C4D"/>
    <w:rsid w:val="00581932"/>
    <w:rsid w:val="00583E24"/>
    <w:rsid w:val="005923B3"/>
    <w:rsid w:val="005963BB"/>
    <w:rsid w:val="005A3173"/>
    <w:rsid w:val="005A3223"/>
    <w:rsid w:val="005A3DA3"/>
    <w:rsid w:val="005A52C4"/>
    <w:rsid w:val="005C3E2F"/>
    <w:rsid w:val="005C5DC7"/>
    <w:rsid w:val="005D03AB"/>
    <w:rsid w:val="005D5017"/>
    <w:rsid w:val="005E1333"/>
    <w:rsid w:val="00601A91"/>
    <w:rsid w:val="00602BA3"/>
    <w:rsid w:val="00612E34"/>
    <w:rsid w:val="00614159"/>
    <w:rsid w:val="00615985"/>
    <w:rsid w:val="00617C00"/>
    <w:rsid w:val="006263BF"/>
    <w:rsid w:val="0062748A"/>
    <w:rsid w:val="00630A2C"/>
    <w:rsid w:val="0063682E"/>
    <w:rsid w:val="00640FF3"/>
    <w:rsid w:val="006436CD"/>
    <w:rsid w:val="00651169"/>
    <w:rsid w:val="00653D69"/>
    <w:rsid w:val="0065663E"/>
    <w:rsid w:val="006650BD"/>
    <w:rsid w:val="006670BE"/>
    <w:rsid w:val="00670A76"/>
    <w:rsid w:val="006711AA"/>
    <w:rsid w:val="00672B57"/>
    <w:rsid w:val="00673E05"/>
    <w:rsid w:val="00675622"/>
    <w:rsid w:val="006906DB"/>
    <w:rsid w:val="00691E6C"/>
    <w:rsid w:val="00696129"/>
    <w:rsid w:val="00697CF2"/>
    <w:rsid w:val="006A12A5"/>
    <w:rsid w:val="006B0D94"/>
    <w:rsid w:val="006B46AC"/>
    <w:rsid w:val="006B485D"/>
    <w:rsid w:val="006C708E"/>
    <w:rsid w:val="006D6EC7"/>
    <w:rsid w:val="006E770E"/>
    <w:rsid w:val="006F5125"/>
    <w:rsid w:val="00702B6F"/>
    <w:rsid w:val="00703AA6"/>
    <w:rsid w:val="00707FB5"/>
    <w:rsid w:val="0071340B"/>
    <w:rsid w:val="007174BB"/>
    <w:rsid w:val="0072005E"/>
    <w:rsid w:val="0072025D"/>
    <w:rsid w:val="007204F2"/>
    <w:rsid w:val="00724E57"/>
    <w:rsid w:val="007307CD"/>
    <w:rsid w:val="00731B7D"/>
    <w:rsid w:val="007353D3"/>
    <w:rsid w:val="0076103F"/>
    <w:rsid w:val="0076420C"/>
    <w:rsid w:val="007753C2"/>
    <w:rsid w:val="00781BF8"/>
    <w:rsid w:val="00783309"/>
    <w:rsid w:val="007838B8"/>
    <w:rsid w:val="007852F8"/>
    <w:rsid w:val="007912FA"/>
    <w:rsid w:val="00792DD5"/>
    <w:rsid w:val="00796CD1"/>
    <w:rsid w:val="007B44EE"/>
    <w:rsid w:val="007C0F57"/>
    <w:rsid w:val="007C40B6"/>
    <w:rsid w:val="007C729F"/>
    <w:rsid w:val="007E1D28"/>
    <w:rsid w:val="007F023D"/>
    <w:rsid w:val="007F06F8"/>
    <w:rsid w:val="007F2641"/>
    <w:rsid w:val="007F4337"/>
    <w:rsid w:val="007F7C36"/>
    <w:rsid w:val="00806796"/>
    <w:rsid w:val="008151D6"/>
    <w:rsid w:val="00826F6D"/>
    <w:rsid w:val="008306F3"/>
    <w:rsid w:val="00852F01"/>
    <w:rsid w:val="00856DDD"/>
    <w:rsid w:val="00863E68"/>
    <w:rsid w:val="0087075E"/>
    <w:rsid w:val="00876B37"/>
    <w:rsid w:val="00882085"/>
    <w:rsid w:val="008824A9"/>
    <w:rsid w:val="00882982"/>
    <w:rsid w:val="00883188"/>
    <w:rsid w:val="00897D58"/>
    <w:rsid w:val="00897F22"/>
    <w:rsid w:val="008A1956"/>
    <w:rsid w:val="008A4937"/>
    <w:rsid w:val="008A50F1"/>
    <w:rsid w:val="008D0926"/>
    <w:rsid w:val="008D1B5C"/>
    <w:rsid w:val="008D3C82"/>
    <w:rsid w:val="008D447E"/>
    <w:rsid w:val="008D7A41"/>
    <w:rsid w:val="008E3680"/>
    <w:rsid w:val="008E5870"/>
    <w:rsid w:val="008E6C3F"/>
    <w:rsid w:val="008F1434"/>
    <w:rsid w:val="008F7355"/>
    <w:rsid w:val="009067B7"/>
    <w:rsid w:val="009132AB"/>
    <w:rsid w:val="00930937"/>
    <w:rsid w:val="00933E6C"/>
    <w:rsid w:val="00936AF2"/>
    <w:rsid w:val="00937958"/>
    <w:rsid w:val="00942160"/>
    <w:rsid w:val="0095146F"/>
    <w:rsid w:val="00954614"/>
    <w:rsid w:val="009602C5"/>
    <w:rsid w:val="00961D6D"/>
    <w:rsid w:val="00962223"/>
    <w:rsid w:val="00966D0D"/>
    <w:rsid w:val="00974C21"/>
    <w:rsid w:val="0098761B"/>
    <w:rsid w:val="009A335D"/>
    <w:rsid w:val="009A3E27"/>
    <w:rsid w:val="009B0F67"/>
    <w:rsid w:val="009B12BF"/>
    <w:rsid w:val="009C703C"/>
    <w:rsid w:val="009D3CAA"/>
    <w:rsid w:val="009D6578"/>
    <w:rsid w:val="009E10C2"/>
    <w:rsid w:val="009E2C7E"/>
    <w:rsid w:val="009F4E46"/>
    <w:rsid w:val="009F5008"/>
    <w:rsid w:val="009F5B65"/>
    <w:rsid w:val="009F5F2E"/>
    <w:rsid w:val="009F647F"/>
    <w:rsid w:val="00A00752"/>
    <w:rsid w:val="00A01F1A"/>
    <w:rsid w:val="00A06225"/>
    <w:rsid w:val="00A128E6"/>
    <w:rsid w:val="00A239C2"/>
    <w:rsid w:val="00A33234"/>
    <w:rsid w:val="00A34E6C"/>
    <w:rsid w:val="00A37C8D"/>
    <w:rsid w:val="00A40065"/>
    <w:rsid w:val="00A41311"/>
    <w:rsid w:val="00A5273B"/>
    <w:rsid w:val="00A53A9D"/>
    <w:rsid w:val="00A53B57"/>
    <w:rsid w:val="00A55FEE"/>
    <w:rsid w:val="00A62C1A"/>
    <w:rsid w:val="00A6426D"/>
    <w:rsid w:val="00A6469E"/>
    <w:rsid w:val="00A65418"/>
    <w:rsid w:val="00A665C1"/>
    <w:rsid w:val="00A70622"/>
    <w:rsid w:val="00A70977"/>
    <w:rsid w:val="00A7430A"/>
    <w:rsid w:val="00A75774"/>
    <w:rsid w:val="00A775A7"/>
    <w:rsid w:val="00A77613"/>
    <w:rsid w:val="00A8390C"/>
    <w:rsid w:val="00A86E37"/>
    <w:rsid w:val="00A872B1"/>
    <w:rsid w:val="00A928BD"/>
    <w:rsid w:val="00AA4D1C"/>
    <w:rsid w:val="00AC193C"/>
    <w:rsid w:val="00AC41FF"/>
    <w:rsid w:val="00AC5206"/>
    <w:rsid w:val="00AC70E3"/>
    <w:rsid w:val="00AD4854"/>
    <w:rsid w:val="00AE11A5"/>
    <w:rsid w:val="00AE13E2"/>
    <w:rsid w:val="00AE22D3"/>
    <w:rsid w:val="00AE2D57"/>
    <w:rsid w:val="00AE5849"/>
    <w:rsid w:val="00AF3B30"/>
    <w:rsid w:val="00AF4F55"/>
    <w:rsid w:val="00AF62DF"/>
    <w:rsid w:val="00AF68CC"/>
    <w:rsid w:val="00B028C2"/>
    <w:rsid w:val="00B049B6"/>
    <w:rsid w:val="00B1059E"/>
    <w:rsid w:val="00B1412D"/>
    <w:rsid w:val="00B176C8"/>
    <w:rsid w:val="00B205AA"/>
    <w:rsid w:val="00B22E84"/>
    <w:rsid w:val="00B25F75"/>
    <w:rsid w:val="00B26424"/>
    <w:rsid w:val="00B26B3F"/>
    <w:rsid w:val="00B275FE"/>
    <w:rsid w:val="00B350BB"/>
    <w:rsid w:val="00B43E90"/>
    <w:rsid w:val="00B467DC"/>
    <w:rsid w:val="00B5447E"/>
    <w:rsid w:val="00B56118"/>
    <w:rsid w:val="00B6773F"/>
    <w:rsid w:val="00B801BA"/>
    <w:rsid w:val="00B84D5C"/>
    <w:rsid w:val="00BB69F5"/>
    <w:rsid w:val="00BB7EC3"/>
    <w:rsid w:val="00BC33A7"/>
    <w:rsid w:val="00BC3AF5"/>
    <w:rsid w:val="00BC4B9A"/>
    <w:rsid w:val="00BC64B7"/>
    <w:rsid w:val="00BD1F71"/>
    <w:rsid w:val="00BD784C"/>
    <w:rsid w:val="00BF4CB6"/>
    <w:rsid w:val="00C00DA7"/>
    <w:rsid w:val="00C03689"/>
    <w:rsid w:val="00C12768"/>
    <w:rsid w:val="00C27B58"/>
    <w:rsid w:val="00C35996"/>
    <w:rsid w:val="00C4747E"/>
    <w:rsid w:val="00C51B82"/>
    <w:rsid w:val="00C5342C"/>
    <w:rsid w:val="00C53BA4"/>
    <w:rsid w:val="00C603D4"/>
    <w:rsid w:val="00C6256A"/>
    <w:rsid w:val="00C714FC"/>
    <w:rsid w:val="00C71B2B"/>
    <w:rsid w:val="00C75D51"/>
    <w:rsid w:val="00C77891"/>
    <w:rsid w:val="00C91449"/>
    <w:rsid w:val="00C92D10"/>
    <w:rsid w:val="00C93FE7"/>
    <w:rsid w:val="00CA2360"/>
    <w:rsid w:val="00CB479F"/>
    <w:rsid w:val="00CB73FF"/>
    <w:rsid w:val="00CC5703"/>
    <w:rsid w:val="00CD3801"/>
    <w:rsid w:val="00CD68F0"/>
    <w:rsid w:val="00CE10C4"/>
    <w:rsid w:val="00CE21F1"/>
    <w:rsid w:val="00CE27B5"/>
    <w:rsid w:val="00CE2FC3"/>
    <w:rsid w:val="00CF28FC"/>
    <w:rsid w:val="00CF759E"/>
    <w:rsid w:val="00D01C0D"/>
    <w:rsid w:val="00D0321E"/>
    <w:rsid w:val="00D035F7"/>
    <w:rsid w:val="00D1243F"/>
    <w:rsid w:val="00D1455A"/>
    <w:rsid w:val="00D169EE"/>
    <w:rsid w:val="00D31150"/>
    <w:rsid w:val="00D3138B"/>
    <w:rsid w:val="00D3280C"/>
    <w:rsid w:val="00D3406A"/>
    <w:rsid w:val="00D3527F"/>
    <w:rsid w:val="00D4572C"/>
    <w:rsid w:val="00D469B2"/>
    <w:rsid w:val="00D7186D"/>
    <w:rsid w:val="00D741EB"/>
    <w:rsid w:val="00D81567"/>
    <w:rsid w:val="00D83605"/>
    <w:rsid w:val="00D84934"/>
    <w:rsid w:val="00D91230"/>
    <w:rsid w:val="00D91271"/>
    <w:rsid w:val="00D91DBB"/>
    <w:rsid w:val="00DA2CB5"/>
    <w:rsid w:val="00DA4BAC"/>
    <w:rsid w:val="00DB2489"/>
    <w:rsid w:val="00DB43AC"/>
    <w:rsid w:val="00DC13D6"/>
    <w:rsid w:val="00DC2EFA"/>
    <w:rsid w:val="00DE6D27"/>
    <w:rsid w:val="00DF217D"/>
    <w:rsid w:val="00DF26A7"/>
    <w:rsid w:val="00DF42CA"/>
    <w:rsid w:val="00E0500F"/>
    <w:rsid w:val="00E15627"/>
    <w:rsid w:val="00E164B3"/>
    <w:rsid w:val="00E16910"/>
    <w:rsid w:val="00E36418"/>
    <w:rsid w:val="00E42BDB"/>
    <w:rsid w:val="00E471BA"/>
    <w:rsid w:val="00E57EEB"/>
    <w:rsid w:val="00E62D94"/>
    <w:rsid w:val="00E65E54"/>
    <w:rsid w:val="00E80155"/>
    <w:rsid w:val="00E848C0"/>
    <w:rsid w:val="00E869D1"/>
    <w:rsid w:val="00E87A2C"/>
    <w:rsid w:val="00E91B96"/>
    <w:rsid w:val="00E941A1"/>
    <w:rsid w:val="00E95CE3"/>
    <w:rsid w:val="00EA2825"/>
    <w:rsid w:val="00EA4111"/>
    <w:rsid w:val="00EB0B63"/>
    <w:rsid w:val="00EB1936"/>
    <w:rsid w:val="00EB4B1C"/>
    <w:rsid w:val="00EB5088"/>
    <w:rsid w:val="00EC272E"/>
    <w:rsid w:val="00ED1644"/>
    <w:rsid w:val="00ED1CD2"/>
    <w:rsid w:val="00ED2593"/>
    <w:rsid w:val="00ED7D9C"/>
    <w:rsid w:val="00EE1395"/>
    <w:rsid w:val="00EF44A0"/>
    <w:rsid w:val="00EF4FED"/>
    <w:rsid w:val="00F050BD"/>
    <w:rsid w:val="00F05657"/>
    <w:rsid w:val="00F25578"/>
    <w:rsid w:val="00F258E5"/>
    <w:rsid w:val="00F300BC"/>
    <w:rsid w:val="00F3334E"/>
    <w:rsid w:val="00F36CCB"/>
    <w:rsid w:val="00F374E5"/>
    <w:rsid w:val="00F412A0"/>
    <w:rsid w:val="00F43AF2"/>
    <w:rsid w:val="00F50EC4"/>
    <w:rsid w:val="00F550CF"/>
    <w:rsid w:val="00F574A7"/>
    <w:rsid w:val="00F57A6D"/>
    <w:rsid w:val="00F6105D"/>
    <w:rsid w:val="00F62F34"/>
    <w:rsid w:val="00F638CC"/>
    <w:rsid w:val="00F64CC1"/>
    <w:rsid w:val="00F72317"/>
    <w:rsid w:val="00F72AA7"/>
    <w:rsid w:val="00F80475"/>
    <w:rsid w:val="00F8247A"/>
    <w:rsid w:val="00F8269C"/>
    <w:rsid w:val="00F9629A"/>
    <w:rsid w:val="00F97EFC"/>
    <w:rsid w:val="00FA5883"/>
    <w:rsid w:val="00FA6055"/>
    <w:rsid w:val="00FB2C48"/>
    <w:rsid w:val="00FB322F"/>
    <w:rsid w:val="00FB440B"/>
    <w:rsid w:val="00FB442F"/>
    <w:rsid w:val="00FC1929"/>
    <w:rsid w:val="00FC5B46"/>
    <w:rsid w:val="00FD6D8E"/>
    <w:rsid w:val="00FE0E94"/>
    <w:rsid w:val="00FE2861"/>
    <w:rsid w:val="00FF00BD"/>
    <w:rsid w:val="00FF1ED4"/>
    <w:rsid w:val="00FF20A7"/>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24E57"/>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76103F"/>
    <w:rPr>
      <w:sz w:val="20"/>
      <w:szCs w:val="20"/>
    </w:rPr>
  </w:style>
  <w:style w:type="character" w:customStyle="1" w:styleId="FootnoteTextChar">
    <w:name w:val="Footnote Text Char"/>
    <w:basedOn w:val="DefaultParagraphFont"/>
    <w:link w:val="FootnoteText"/>
    <w:rsid w:val="0076103F"/>
  </w:style>
  <w:style w:type="character" w:styleId="FootnoteReference">
    <w:name w:val="footnote reference"/>
    <w:basedOn w:val="DefaultParagraphFont"/>
    <w:rsid w:val="0076103F"/>
    <w:rPr>
      <w:vertAlign w:val="superscript"/>
    </w:rPr>
  </w:style>
  <w:style w:type="paragraph" w:styleId="NormalWeb">
    <w:name w:val="Normal (Web)"/>
    <w:basedOn w:val="Normal"/>
    <w:uiPriority w:val="99"/>
    <w:rsid w:val="00AC41FF"/>
    <w:pPr>
      <w:spacing w:before="100" w:after="100"/>
    </w:pPr>
    <w:rPr>
      <w:szCs w:val="20"/>
      <w:lang w:val="en-GB" w:eastAsia="en-US"/>
    </w:rPr>
  </w:style>
  <w:style w:type="paragraph" w:styleId="Caption">
    <w:name w:val="caption"/>
    <w:basedOn w:val="Normal"/>
    <w:next w:val="Normal"/>
    <w:unhideWhenUsed/>
    <w:qFormat/>
    <w:rsid w:val="002B559D"/>
    <w:pPr>
      <w:keepNext/>
    </w:pPr>
    <w:rPr>
      <w:rFonts w:ascii="Arial Narrow" w:hAnsi="Arial Narrow"/>
      <w:b/>
      <w:bCs/>
      <w:sz w:val="20"/>
      <w:szCs w:val="20"/>
    </w:rPr>
  </w:style>
  <w:style w:type="character" w:customStyle="1" w:styleId="label-note-id">
    <w:name w:val="label-note-id"/>
    <w:basedOn w:val="DefaultParagraphFont"/>
    <w:rsid w:val="00A40065"/>
  </w:style>
  <w:style w:type="paragraph" w:customStyle="1" w:styleId="PBACheading10">
    <w:name w:val="PBAC heading 1"/>
    <w:qFormat/>
    <w:rsid w:val="001B1214"/>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24E57"/>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76103F"/>
    <w:rPr>
      <w:sz w:val="20"/>
      <w:szCs w:val="20"/>
    </w:rPr>
  </w:style>
  <w:style w:type="character" w:customStyle="1" w:styleId="FootnoteTextChar">
    <w:name w:val="Footnote Text Char"/>
    <w:basedOn w:val="DefaultParagraphFont"/>
    <w:link w:val="FootnoteText"/>
    <w:rsid w:val="0076103F"/>
  </w:style>
  <w:style w:type="character" w:styleId="FootnoteReference">
    <w:name w:val="footnote reference"/>
    <w:basedOn w:val="DefaultParagraphFont"/>
    <w:rsid w:val="0076103F"/>
    <w:rPr>
      <w:vertAlign w:val="superscript"/>
    </w:rPr>
  </w:style>
  <w:style w:type="paragraph" w:styleId="NormalWeb">
    <w:name w:val="Normal (Web)"/>
    <w:basedOn w:val="Normal"/>
    <w:uiPriority w:val="99"/>
    <w:rsid w:val="00AC41FF"/>
    <w:pPr>
      <w:spacing w:before="100" w:after="100"/>
    </w:pPr>
    <w:rPr>
      <w:szCs w:val="20"/>
      <w:lang w:val="en-GB" w:eastAsia="en-US"/>
    </w:rPr>
  </w:style>
  <w:style w:type="paragraph" w:styleId="Caption">
    <w:name w:val="caption"/>
    <w:basedOn w:val="Normal"/>
    <w:next w:val="Normal"/>
    <w:unhideWhenUsed/>
    <w:qFormat/>
    <w:rsid w:val="002B559D"/>
    <w:pPr>
      <w:keepNext/>
    </w:pPr>
    <w:rPr>
      <w:rFonts w:ascii="Arial Narrow" w:hAnsi="Arial Narrow"/>
      <w:b/>
      <w:bCs/>
      <w:sz w:val="20"/>
      <w:szCs w:val="20"/>
    </w:rPr>
  </w:style>
  <w:style w:type="character" w:customStyle="1" w:styleId="label-note-id">
    <w:name w:val="label-note-id"/>
    <w:basedOn w:val="DefaultParagraphFont"/>
    <w:rsid w:val="00A40065"/>
  </w:style>
  <w:style w:type="paragraph" w:customStyle="1" w:styleId="PBACheading10">
    <w:name w:val="PBAC heading 1"/>
    <w:qFormat/>
    <w:rsid w:val="001B1214"/>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72321256">
      <w:bodyDiv w:val="1"/>
      <w:marLeft w:val="0"/>
      <w:marRight w:val="0"/>
      <w:marTop w:val="0"/>
      <w:marBottom w:val="0"/>
      <w:divBdr>
        <w:top w:val="none" w:sz="0" w:space="0" w:color="auto"/>
        <w:left w:val="none" w:sz="0" w:space="0" w:color="auto"/>
        <w:bottom w:val="none" w:sz="0" w:space="0" w:color="auto"/>
        <w:right w:val="none" w:sz="0" w:space="0" w:color="auto"/>
      </w:divBdr>
    </w:div>
    <w:div w:id="375273575">
      <w:bodyDiv w:val="1"/>
      <w:marLeft w:val="0"/>
      <w:marRight w:val="0"/>
      <w:marTop w:val="0"/>
      <w:marBottom w:val="0"/>
      <w:divBdr>
        <w:top w:val="none" w:sz="0" w:space="0" w:color="auto"/>
        <w:left w:val="none" w:sz="0" w:space="0" w:color="auto"/>
        <w:bottom w:val="none" w:sz="0" w:space="0" w:color="auto"/>
        <w:right w:val="none" w:sz="0" w:space="0" w:color="auto"/>
      </w:divBdr>
    </w:div>
    <w:div w:id="61691128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10260840">
      <w:bodyDiv w:val="1"/>
      <w:marLeft w:val="0"/>
      <w:marRight w:val="0"/>
      <w:marTop w:val="0"/>
      <w:marBottom w:val="0"/>
      <w:divBdr>
        <w:top w:val="none" w:sz="0" w:space="0" w:color="auto"/>
        <w:left w:val="none" w:sz="0" w:space="0" w:color="auto"/>
        <w:bottom w:val="none" w:sz="0" w:space="0" w:color="auto"/>
        <w:right w:val="none" w:sz="0" w:space="0" w:color="auto"/>
      </w:divBdr>
    </w:div>
    <w:div w:id="1102186688">
      <w:bodyDiv w:val="1"/>
      <w:marLeft w:val="0"/>
      <w:marRight w:val="0"/>
      <w:marTop w:val="0"/>
      <w:marBottom w:val="0"/>
      <w:divBdr>
        <w:top w:val="none" w:sz="0" w:space="0" w:color="auto"/>
        <w:left w:val="none" w:sz="0" w:space="0" w:color="auto"/>
        <w:bottom w:val="none" w:sz="0" w:space="0" w:color="auto"/>
        <w:right w:val="none" w:sz="0" w:space="0" w:color="auto"/>
      </w:divBdr>
    </w:div>
    <w:div w:id="1131247412">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
    <w:div w:id="160210884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8528328">
      <w:bodyDiv w:val="1"/>
      <w:marLeft w:val="0"/>
      <w:marRight w:val="0"/>
      <w:marTop w:val="0"/>
      <w:marBottom w:val="0"/>
      <w:divBdr>
        <w:top w:val="none" w:sz="0" w:space="0" w:color="auto"/>
        <w:left w:val="none" w:sz="0" w:space="0" w:color="auto"/>
        <w:bottom w:val="none" w:sz="0" w:space="0" w:color="auto"/>
        <w:right w:val="none" w:sz="0" w:space="0" w:color="auto"/>
      </w:divBdr>
    </w:div>
    <w:div w:id="1823428097">
      <w:bodyDiv w:val="1"/>
      <w:marLeft w:val="0"/>
      <w:marRight w:val="0"/>
      <w:marTop w:val="0"/>
      <w:marBottom w:val="0"/>
      <w:divBdr>
        <w:top w:val="none" w:sz="0" w:space="0" w:color="auto"/>
        <w:left w:val="none" w:sz="0" w:space="0" w:color="auto"/>
        <w:bottom w:val="none" w:sz="0" w:space="0" w:color="auto"/>
        <w:right w:val="none" w:sz="0" w:space="0" w:color="auto"/>
      </w:divBdr>
    </w:div>
    <w:div w:id="187211332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901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healthpro/explanatory-notes/section2/section-2-symbols" TargetMode="External"/><Relationship Id="rId1" Type="http://schemas.openxmlformats.org/officeDocument/2006/relationships/hyperlink" Target="http://www.pbs.gov.au/info/industry/listing/elements/pbac-meetings/psd/2017-08/etanercept-brenzys-psd-august-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156B-60C7-4623-804E-0E88F229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12647</Words>
  <Characters>68918</Characters>
  <Application>Microsoft Office Word</Application>
  <DocSecurity>0</DocSecurity>
  <Lines>574</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2018-06-18T06:24:00Z</dcterms:created>
  <dcterms:modified xsi:type="dcterms:W3CDTF">2018-06-22T00:22:00Z</dcterms:modified>
</cp:coreProperties>
</file>