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851" w:rsidRDefault="00547E64" w:rsidP="003708B4">
      <w:pPr>
        <w:pStyle w:val="Title"/>
        <w:spacing w:before="120" w:after="160"/>
        <w:ind w:left="720" w:hanging="720"/>
        <w:rPr>
          <w:rFonts w:asciiTheme="minorHAnsi" w:hAnsiTheme="minorHAnsi"/>
          <w:sz w:val="36"/>
          <w:szCs w:val="36"/>
        </w:rPr>
      </w:pPr>
      <w:bookmarkStart w:id="0" w:name="_GoBack"/>
      <w:bookmarkEnd w:id="0"/>
      <w:r w:rsidRPr="00B176CF">
        <w:rPr>
          <w:rFonts w:asciiTheme="minorHAnsi" w:hAnsiTheme="minorHAnsi"/>
          <w:sz w:val="36"/>
          <w:szCs w:val="36"/>
        </w:rPr>
        <w:t>7.09</w:t>
      </w:r>
      <w:r w:rsidR="007C0F57" w:rsidRPr="00B176CF">
        <w:rPr>
          <w:rFonts w:asciiTheme="minorHAnsi" w:hAnsiTheme="minorHAnsi"/>
          <w:sz w:val="36"/>
          <w:szCs w:val="36"/>
        </w:rPr>
        <w:tab/>
      </w:r>
      <w:r w:rsidRPr="00B176CF">
        <w:rPr>
          <w:rFonts w:asciiTheme="minorHAnsi" w:hAnsiTheme="minorHAnsi"/>
          <w:sz w:val="36"/>
          <w:szCs w:val="36"/>
        </w:rPr>
        <w:t>ECULIZUMAB</w:t>
      </w:r>
      <w:r w:rsidR="008A50F1" w:rsidRPr="00B176CF">
        <w:rPr>
          <w:rFonts w:asciiTheme="minorHAnsi" w:hAnsiTheme="minorHAnsi"/>
          <w:sz w:val="36"/>
          <w:szCs w:val="36"/>
        </w:rPr>
        <w:t xml:space="preserve"> </w:t>
      </w:r>
      <w:r w:rsidR="008A50F1" w:rsidRPr="00B176CF">
        <w:rPr>
          <w:rFonts w:asciiTheme="minorHAnsi" w:hAnsiTheme="minorHAnsi"/>
          <w:sz w:val="36"/>
          <w:szCs w:val="36"/>
        </w:rPr>
        <w:br/>
      </w:r>
      <w:r w:rsidR="00811AB6" w:rsidRPr="00B176CF">
        <w:rPr>
          <w:rFonts w:asciiTheme="minorHAnsi" w:hAnsiTheme="minorHAnsi"/>
          <w:sz w:val="36"/>
          <w:szCs w:val="36"/>
        </w:rPr>
        <w:t>Solution concentrate</w:t>
      </w:r>
      <w:r w:rsidR="004507D2">
        <w:rPr>
          <w:rFonts w:asciiTheme="minorHAnsi" w:hAnsiTheme="minorHAnsi"/>
          <w:sz w:val="36"/>
          <w:szCs w:val="36"/>
        </w:rPr>
        <w:t xml:space="preserve"> for I.V. infusion </w:t>
      </w:r>
    </w:p>
    <w:p w:rsidR="00811AB6" w:rsidRPr="00B176CF" w:rsidRDefault="004507D2" w:rsidP="003708B4">
      <w:pPr>
        <w:pStyle w:val="Title"/>
        <w:spacing w:before="120" w:after="160"/>
        <w:ind w:left="720" w:hanging="11"/>
        <w:outlineLvl w:val="9"/>
        <w:rPr>
          <w:rFonts w:asciiTheme="minorHAnsi" w:hAnsiTheme="minorHAnsi"/>
          <w:sz w:val="36"/>
          <w:szCs w:val="36"/>
        </w:rPr>
      </w:pPr>
      <w:r>
        <w:rPr>
          <w:rFonts w:asciiTheme="minorHAnsi" w:hAnsiTheme="minorHAnsi"/>
          <w:sz w:val="36"/>
          <w:szCs w:val="36"/>
        </w:rPr>
        <w:t xml:space="preserve">300 mg in 30 </w:t>
      </w:r>
      <w:r w:rsidR="00811AB6" w:rsidRPr="00B176CF">
        <w:rPr>
          <w:rFonts w:asciiTheme="minorHAnsi" w:hAnsiTheme="minorHAnsi"/>
          <w:sz w:val="36"/>
          <w:szCs w:val="36"/>
        </w:rPr>
        <w:t>mL,</w:t>
      </w:r>
    </w:p>
    <w:p w:rsidR="00C27B58" w:rsidRPr="00B176CF" w:rsidRDefault="00811AB6" w:rsidP="003708B4">
      <w:pPr>
        <w:pStyle w:val="Title"/>
        <w:spacing w:before="120" w:after="160"/>
        <w:ind w:left="720" w:hanging="11"/>
        <w:outlineLvl w:val="9"/>
        <w:rPr>
          <w:rFonts w:asciiTheme="minorHAnsi" w:hAnsiTheme="minorHAnsi"/>
          <w:sz w:val="36"/>
          <w:szCs w:val="36"/>
        </w:rPr>
      </w:pPr>
      <w:proofErr w:type="spellStart"/>
      <w:proofErr w:type="gramStart"/>
      <w:r w:rsidRPr="00B176CF">
        <w:rPr>
          <w:rFonts w:asciiTheme="minorHAnsi" w:hAnsiTheme="minorHAnsi"/>
          <w:sz w:val="36"/>
          <w:szCs w:val="36"/>
        </w:rPr>
        <w:t>Soliris</w:t>
      </w:r>
      <w:proofErr w:type="spellEnd"/>
      <w:r w:rsidRPr="00B176CF">
        <w:rPr>
          <w:rFonts w:asciiTheme="minorHAnsi" w:hAnsiTheme="minorHAnsi"/>
          <w:sz w:val="36"/>
          <w:szCs w:val="36"/>
        </w:rPr>
        <w:t>®, Alexion Pharmaceutical Australia Pty Ltd.</w:t>
      </w:r>
      <w:proofErr w:type="gramEnd"/>
    </w:p>
    <w:p w:rsidR="008A50F1" w:rsidRPr="00B176CF" w:rsidRDefault="00CE10C4" w:rsidP="00FF1457">
      <w:pPr>
        <w:pStyle w:val="PBACHeading1"/>
        <w:spacing w:before="240" w:after="120"/>
        <w:ind w:left="709" w:hanging="709"/>
        <w:rPr>
          <w:rFonts w:asciiTheme="minorHAnsi" w:hAnsiTheme="minorHAnsi"/>
          <w:sz w:val="32"/>
          <w:szCs w:val="32"/>
        </w:rPr>
      </w:pPr>
      <w:r w:rsidRPr="00B176CF">
        <w:rPr>
          <w:rFonts w:asciiTheme="minorHAnsi" w:hAnsiTheme="minorHAnsi"/>
          <w:sz w:val="32"/>
          <w:szCs w:val="32"/>
        </w:rPr>
        <w:t xml:space="preserve">Purpose of </w:t>
      </w:r>
      <w:r w:rsidR="0004240E" w:rsidRPr="00B176CF">
        <w:rPr>
          <w:rFonts w:asciiTheme="minorHAnsi" w:hAnsiTheme="minorHAnsi"/>
          <w:sz w:val="32"/>
          <w:szCs w:val="32"/>
        </w:rPr>
        <w:t>Application</w:t>
      </w:r>
    </w:p>
    <w:p w:rsidR="00210B6A" w:rsidRPr="00B176CF" w:rsidRDefault="00210B6A" w:rsidP="00FF1457">
      <w:pPr>
        <w:widowControl w:val="0"/>
        <w:numPr>
          <w:ilvl w:val="1"/>
          <w:numId w:val="5"/>
        </w:numPr>
        <w:spacing w:after="120"/>
        <w:ind w:left="709"/>
        <w:jc w:val="both"/>
        <w:rPr>
          <w:rFonts w:asciiTheme="minorHAnsi" w:eastAsiaTheme="minorHAnsi" w:hAnsiTheme="minorHAnsi" w:cstheme="minorBidi"/>
          <w:szCs w:val="22"/>
        </w:rPr>
      </w:pPr>
      <w:r w:rsidRPr="00B176CF">
        <w:rPr>
          <w:rFonts w:asciiTheme="minorHAnsi" w:eastAsiaTheme="minorHAnsi" w:hAnsiTheme="minorHAnsi" w:cstheme="minorBidi"/>
          <w:szCs w:val="22"/>
        </w:rPr>
        <w:t xml:space="preserve">The minor resubmission requested </w:t>
      </w:r>
      <w:r w:rsidR="00C262A0" w:rsidRPr="00B176CF">
        <w:rPr>
          <w:rFonts w:asciiTheme="minorHAnsi" w:eastAsiaTheme="minorHAnsi" w:hAnsiTheme="minorHAnsi" w:cstheme="minorBidi"/>
          <w:szCs w:val="22"/>
        </w:rPr>
        <w:t xml:space="preserve">the PBAC to reconsider its July 2017 recommendation of </w:t>
      </w:r>
      <w:r w:rsidRPr="00B176CF">
        <w:rPr>
          <w:rFonts w:asciiTheme="minorHAnsi" w:eastAsiaTheme="minorHAnsi" w:hAnsiTheme="minorHAnsi" w:cstheme="minorBidi"/>
          <w:szCs w:val="22"/>
        </w:rPr>
        <w:t xml:space="preserve">an extension of the current Authority Required Section 100 (Highly Specialised Drugs Program) listing for </w:t>
      </w:r>
      <w:proofErr w:type="spellStart"/>
      <w:r w:rsidRPr="00B176CF">
        <w:rPr>
          <w:rFonts w:asciiTheme="minorHAnsi" w:eastAsiaTheme="minorHAnsi" w:hAnsiTheme="minorHAnsi" w:cstheme="minorBidi"/>
          <w:szCs w:val="22"/>
        </w:rPr>
        <w:t>eculizumab</w:t>
      </w:r>
      <w:proofErr w:type="spellEnd"/>
      <w:r w:rsidRPr="00B176CF">
        <w:rPr>
          <w:rFonts w:asciiTheme="minorHAnsi" w:eastAsiaTheme="minorHAnsi" w:hAnsiTheme="minorHAnsi" w:cstheme="minorBidi"/>
          <w:szCs w:val="22"/>
        </w:rPr>
        <w:t xml:space="preserve"> to extend the treatment duration for patients with atypical haemolytic uraemic syndrome (</w:t>
      </w:r>
      <w:proofErr w:type="spellStart"/>
      <w:r w:rsidRPr="00B176CF">
        <w:rPr>
          <w:rFonts w:asciiTheme="minorHAnsi" w:eastAsiaTheme="minorHAnsi" w:hAnsiTheme="minorHAnsi" w:cstheme="minorBidi"/>
          <w:szCs w:val="22"/>
        </w:rPr>
        <w:t>aHUS</w:t>
      </w:r>
      <w:proofErr w:type="spellEnd"/>
      <w:r w:rsidRPr="00B176CF">
        <w:rPr>
          <w:rFonts w:asciiTheme="minorHAnsi" w:eastAsiaTheme="minorHAnsi" w:hAnsiTheme="minorHAnsi" w:cstheme="minorBidi"/>
          <w:szCs w:val="22"/>
        </w:rPr>
        <w:t>) in end stage renal disease (ESRD) who are eligible for a renal transplant.</w:t>
      </w:r>
    </w:p>
    <w:p w:rsidR="006A12A5" w:rsidRPr="00B176CF" w:rsidRDefault="006A12A5" w:rsidP="00EB0B63">
      <w:pPr>
        <w:pStyle w:val="PBACHeading1"/>
        <w:spacing w:before="240" w:after="120"/>
        <w:ind w:left="709" w:hanging="709"/>
        <w:rPr>
          <w:rFonts w:asciiTheme="minorHAnsi" w:hAnsiTheme="minorHAnsi"/>
          <w:sz w:val="32"/>
          <w:szCs w:val="32"/>
        </w:rPr>
      </w:pPr>
      <w:r w:rsidRPr="00B176CF">
        <w:rPr>
          <w:rFonts w:asciiTheme="minorHAnsi" w:hAnsiTheme="minorHAnsi"/>
          <w:sz w:val="32"/>
          <w:szCs w:val="32"/>
        </w:rPr>
        <w:t>Requested listing</w:t>
      </w:r>
    </w:p>
    <w:p w:rsidR="00710D04" w:rsidRPr="00B176CF" w:rsidRDefault="00710D04" w:rsidP="00710D04">
      <w:pPr>
        <w:widowControl w:val="0"/>
        <w:numPr>
          <w:ilvl w:val="1"/>
          <w:numId w:val="5"/>
        </w:numPr>
        <w:spacing w:after="120"/>
        <w:ind w:left="709"/>
        <w:jc w:val="both"/>
        <w:rPr>
          <w:rFonts w:asciiTheme="minorHAnsi" w:eastAsiaTheme="minorHAnsi" w:hAnsiTheme="minorHAnsi" w:cstheme="minorBidi"/>
        </w:rPr>
      </w:pPr>
      <w:r w:rsidRPr="00B176CF">
        <w:rPr>
          <w:rFonts w:asciiTheme="minorHAnsi" w:eastAsiaTheme="minorHAnsi" w:hAnsiTheme="minorHAnsi" w:cstheme="minorBidi"/>
        </w:rPr>
        <w:t xml:space="preserve">The resubmission sought an increase in </w:t>
      </w:r>
      <w:r w:rsidR="0030270D" w:rsidRPr="00B176CF">
        <w:rPr>
          <w:rFonts w:asciiTheme="minorHAnsi" w:eastAsiaTheme="minorHAnsi" w:hAnsiTheme="minorHAnsi" w:cstheme="minorBidi"/>
        </w:rPr>
        <w:t xml:space="preserve">the PBS-subsidised </w:t>
      </w:r>
      <w:r w:rsidRPr="00B176CF">
        <w:rPr>
          <w:rFonts w:asciiTheme="minorHAnsi" w:eastAsiaTheme="minorHAnsi" w:hAnsiTheme="minorHAnsi" w:cstheme="minorBidi"/>
        </w:rPr>
        <w:t xml:space="preserve">treatment duration in this setting from a maximum of three months (ten weeks of which would be PBS-subsidised), as recommended by the PBAC in July 2017, to a </w:t>
      </w:r>
      <w:r w:rsidR="00A35B99">
        <w:rPr>
          <w:rFonts w:asciiTheme="minorHAnsi" w:eastAsiaTheme="minorHAnsi" w:hAnsiTheme="minorHAnsi" w:cstheme="minorBidi"/>
        </w:rPr>
        <w:t xml:space="preserve">treatment duration </w:t>
      </w:r>
      <w:r w:rsidRPr="00B176CF">
        <w:rPr>
          <w:rFonts w:asciiTheme="minorHAnsi" w:eastAsiaTheme="minorHAnsi" w:hAnsiTheme="minorHAnsi" w:cstheme="minorBidi"/>
        </w:rPr>
        <w:t>of 12 months.</w:t>
      </w:r>
    </w:p>
    <w:p w:rsidR="00710D04" w:rsidRDefault="00710D04" w:rsidP="002828E4">
      <w:pPr>
        <w:widowControl w:val="0"/>
        <w:numPr>
          <w:ilvl w:val="1"/>
          <w:numId w:val="5"/>
        </w:numPr>
        <w:spacing w:after="120"/>
        <w:ind w:left="709"/>
        <w:jc w:val="both"/>
        <w:rPr>
          <w:rFonts w:asciiTheme="minorHAnsi" w:eastAsiaTheme="minorHAnsi" w:hAnsiTheme="minorHAnsi" w:cstheme="minorBidi"/>
        </w:rPr>
      </w:pPr>
      <w:r w:rsidRPr="00B176CF">
        <w:rPr>
          <w:rFonts w:asciiTheme="minorHAnsi" w:eastAsiaTheme="minorHAnsi" w:hAnsiTheme="minorHAnsi" w:cstheme="minorBidi"/>
        </w:rPr>
        <w:t xml:space="preserve">The resubmission also </w:t>
      </w:r>
      <w:r w:rsidR="00AF7786" w:rsidRPr="00B176CF">
        <w:rPr>
          <w:rFonts w:asciiTheme="minorHAnsi" w:eastAsiaTheme="minorHAnsi" w:hAnsiTheme="minorHAnsi" w:cstheme="minorBidi"/>
        </w:rPr>
        <w:t xml:space="preserve">requested that </w:t>
      </w:r>
      <w:r w:rsidRPr="00B176CF">
        <w:rPr>
          <w:rFonts w:asciiTheme="minorHAnsi" w:eastAsiaTheme="minorHAnsi" w:hAnsiTheme="minorHAnsi" w:cstheme="minorBidi"/>
        </w:rPr>
        <w:t xml:space="preserve">public hospital inpatient treatment </w:t>
      </w:r>
      <w:r w:rsidR="00AF7786" w:rsidRPr="00B176CF">
        <w:rPr>
          <w:rFonts w:asciiTheme="minorHAnsi" w:eastAsiaTheme="minorHAnsi" w:hAnsiTheme="minorHAnsi" w:cstheme="minorBidi"/>
        </w:rPr>
        <w:t xml:space="preserve">be funded by the </w:t>
      </w:r>
      <w:r w:rsidRPr="00B176CF">
        <w:rPr>
          <w:rFonts w:asciiTheme="minorHAnsi" w:eastAsiaTheme="minorHAnsi" w:hAnsiTheme="minorHAnsi" w:cstheme="minorBidi"/>
        </w:rPr>
        <w:t>PBS. The resubmission proposed a Risk Shar</w:t>
      </w:r>
      <w:r w:rsidR="00C262A0" w:rsidRPr="00B176CF">
        <w:rPr>
          <w:rFonts w:asciiTheme="minorHAnsi" w:eastAsiaTheme="minorHAnsi" w:hAnsiTheme="minorHAnsi" w:cstheme="minorBidi"/>
        </w:rPr>
        <w:t>ing</w:t>
      </w:r>
      <w:r w:rsidRPr="00B176CF">
        <w:rPr>
          <w:rFonts w:asciiTheme="minorHAnsi" w:eastAsiaTheme="minorHAnsi" w:hAnsiTheme="minorHAnsi" w:cstheme="minorBidi"/>
        </w:rPr>
        <w:t xml:space="preserve"> Arrangement (RSA) whereby the sponsor would rebate </w:t>
      </w:r>
      <w:r w:rsidR="00D14DDF">
        <w:rPr>
          <w:rFonts w:asciiTheme="minorHAnsi" w:eastAsiaTheme="minorHAnsi" w:hAnsiTheme="minorHAnsi" w:cstheme="minorBidi"/>
          <w:noProof/>
          <w:color w:val="000000"/>
          <w:highlight w:val="black"/>
        </w:rPr>
        <w:t>''''''' ''''''' '''''''' '''''''''''' '''' '''''''''''''''''''' ''''' ''''' '''''''''''''' ''''''''</w:t>
      </w:r>
      <w:r w:rsidRPr="005F3214">
        <w:rPr>
          <w:rFonts w:asciiTheme="minorHAnsi" w:eastAsiaTheme="minorHAnsi" w:hAnsiTheme="minorHAnsi" w:cstheme="minorBidi"/>
        </w:rPr>
        <w:t xml:space="preserve"> </w:t>
      </w:r>
      <w:r w:rsidR="00D14DDF">
        <w:rPr>
          <w:rFonts w:asciiTheme="minorHAnsi" w:eastAsiaTheme="minorHAnsi" w:hAnsiTheme="minorHAnsi" w:cstheme="minorBidi"/>
          <w:noProof/>
          <w:color w:val="000000"/>
          <w:highlight w:val="black"/>
        </w:rPr>
        <w:t>''''''''''''''''' ''''' '''''''''''''' '''' ''''''''''''''''</w:t>
      </w:r>
      <w:r w:rsidR="00AF7786" w:rsidRPr="00B176CF">
        <w:rPr>
          <w:rFonts w:asciiTheme="minorHAnsi" w:eastAsiaTheme="minorHAnsi" w:hAnsiTheme="minorHAnsi" w:cstheme="minorBidi"/>
        </w:rPr>
        <w:t xml:space="preserve"> under this restriction</w:t>
      </w:r>
      <w:r w:rsidRPr="00B176CF">
        <w:rPr>
          <w:rFonts w:asciiTheme="minorHAnsi" w:eastAsiaTheme="minorHAnsi" w:hAnsiTheme="minorHAnsi" w:cstheme="minorBidi"/>
        </w:rPr>
        <w:t>. The resubmission stated that this would “</w:t>
      </w:r>
      <w:r w:rsidR="00D14DDF">
        <w:rPr>
          <w:rFonts w:asciiTheme="minorHAnsi" w:eastAsiaTheme="minorHAnsi" w:hAnsiTheme="minorHAnsi" w:cstheme="minorBidi"/>
          <w:noProof/>
          <w:color w:val="000000"/>
          <w:highlight w:val="black"/>
        </w:rPr>
        <w:t>'''''' ''''' ''''''''''''''' ''''''''''' '''''' '''''' ''''''''''''''''''' ''''''''''''''' ''''''''''</w:t>
      </w:r>
      <w:r w:rsidRPr="00B176CF">
        <w:rPr>
          <w:rFonts w:asciiTheme="minorHAnsi" w:eastAsiaTheme="minorHAnsi" w:hAnsiTheme="minorHAnsi" w:cstheme="minorBidi"/>
        </w:rPr>
        <w:t>”.</w:t>
      </w:r>
      <w:r w:rsidR="00C262A0" w:rsidRPr="00B176CF">
        <w:rPr>
          <w:rFonts w:asciiTheme="minorHAnsi" w:eastAsiaTheme="minorHAnsi" w:hAnsiTheme="minorHAnsi" w:cstheme="minorBidi"/>
        </w:rPr>
        <w:t xml:space="preserve"> </w:t>
      </w:r>
    </w:p>
    <w:p w:rsidR="00750094" w:rsidRPr="00B176CF" w:rsidRDefault="005F3214" w:rsidP="005F3214">
      <w:pPr>
        <w:widowControl w:val="0"/>
        <w:numPr>
          <w:ilvl w:val="1"/>
          <w:numId w:val="5"/>
        </w:numPr>
        <w:spacing w:after="120"/>
        <w:ind w:left="709"/>
        <w:jc w:val="both"/>
        <w:rPr>
          <w:rFonts w:asciiTheme="minorHAnsi" w:eastAsiaTheme="minorHAnsi" w:hAnsiTheme="minorHAnsi" w:cstheme="minorBidi"/>
        </w:rPr>
      </w:pPr>
      <w:r>
        <w:rPr>
          <w:rFonts w:asciiTheme="minorHAnsi" w:eastAsiaTheme="minorHAnsi" w:hAnsiTheme="minorHAnsi" w:cstheme="minorBidi"/>
        </w:rPr>
        <w:t>The pre-PBAC response revised the proposal such that the rebate (</w:t>
      </w:r>
      <w:r w:rsidR="00D14DDF">
        <w:rPr>
          <w:rFonts w:asciiTheme="minorHAnsi" w:eastAsiaTheme="minorHAnsi" w:hAnsiTheme="minorHAnsi" w:cstheme="minorBidi"/>
          <w:noProof/>
          <w:color w:val="000000"/>
          <w:highlight w:val="black"/>
        </w:rPr>
        <w:t>''''' '''''''' '''''''''''</w:t>
      </w:r>
      <w:r>
        <w:rPr>
          <w:rFonts w:asciiTheme="minorHAnsi" w:eastAsiaTheme="minorHAnsi" w:hAnsiTheme="minorHAnsi" w:cstheme="minorBidi"/>
        </w:rPr>
        <w:t xml:space="preserve">) would apply to </w:t>
      </w:r>
      <w:r w:rsidRPr="005F3214">
        <w:rPr>
          <w:rFonts w:asciiTheme="minorHAnsi" w:eastAsiaTheme="minorHAnsi" w:hAnsiTheme="minorHAnsi" w:cstheme="minorBidi"/>
        </w:rPr>
        <w:t xml:space="preserve">patients who </w:t>
      </w:r>
      <w:r w:rsidR="00D14DDF">
        <w:rPr>
          <w:rFonts w:asciiTheme="minorHAnsi" w:eastAsiaTheme="minorHAnsi" w:hAnsiTheme="minorHAnsi" w:cstheme="minorBidi"/>
          <w:noProof/>
          <w:color w:val="000000"/>
          <w:highlight w:val="black"/>
        </w:rPr>
        <w:t>''''''''''''''''''' ''''' '''''''''''''''' '''' ''''''''''''''''</w:t>
      </w:r>
      <w:r w:rsidRPr="005F3214">
        <w:rPr>
          <w:rFonts w:asciiTheme="minorHAnsi" w:eastAsiaTheme="minorHAnsi" w:hAnsiTheme="minorHAnsi" w:cstheme="minorBidi"/>
        </w:rPr>
        <w:t xml:space="preserve"> under this restriction</w:t>
      </w:r>
      <w:r>
        <w:rPr>
          <w:rFonts w:asciiTheme="minorHAnsi" w:eastAsiaTheme="minorHAnsi" w:hAnsiTheme="minorHAnsi" w:cstheme="minorBidi"/>
        </w:rPr>
        <w:t xml:space="preserve">, </w:t>
      </w:r>
      <w:r w:rsidR="00D14DDF">
        <w:rPr>
          <w:rFonts w:asciiTheme="minorHAnsi" w:eastAsiaTheme="minorHAnsi" w:hAnsiTheme="minorHAnsi" w:cstheme="minorBidi"/>
          <w:noProof/>
          <w:color w:val="000000"/>
          <w:highlight w:val="black"/>
        </w:rPr>
        <w:t>''''''''''' ''''''''' ''''' ''''''''''''''</w:t>
      </w:r>
      <w:r>
        <w:rPr>
          <w:rFonts w:asciiTheme="minorHAnsi" w:eastAsiaTheme="minorHAnsi" w:hAnsiTheme="minorHAnsi" w:cstheme="minorBidi"/>
        </w:rPr>
        <w:t>.</w:t>
      </w:r>
      <w:r w:rsidRPr="00B176CF">
        <w:rPr>
          <w:rFonts w:asciiTheme="minorHAnsi" w:eastAsiaTheme="minorHAnsi" w:hAnsiTheme="minorHAnsi" w:cstheme="minorBidi"/>
        </w:rPr>
        <w:t xml:space="preserve"> </w:t>
      </w:r>
    </w:p>
    <w:p w:rsidR="00826F6D" w:rsidRDefault="0029125D" w:rsidP="00210B80">
      <w:pPr>
        <w:widowControl w:val="0"/>
        <w:numPr>
          <w:ilvl w:val="1"/>
          <w:numId w:val="5"/>
        </w:numPr>
        <w:spacing w:after="120"/>
        <w:ind w:left="709"/>
        <w:jc w:val="both"/>
        <w:rPr>
          <w:rFonts w:asciiTheme="minorHAnsi" w:eastAsiaTheme="minorHAnsi" w:hAnsiTheme="minorHAnsi" w:cstheme="minorBidi"/>
          <w:szCs w:val="22"/>
        </w:rPr>
      </w:pPr>
      <w:r>
        <w:rPr>
          <w:rFonts w:asciiTheme="minorHAnsi" w:eastAsiaTheme="minorHAnsi" w:hAnsiTheme="minorHAnsi" w:cstheme="minorBidi"/>
          <w:szCs w:val="22"/>
        </w:rPr>
        <w:t>T</w:t>
      </w:r>
      <w:r w:rsidR="00EF44A0" w:rsidRPr="00B176CF">
        <w:rPr>
          <w:rFonts w:asciiTheme="minorHAnsi" w:eastAsiaTheme="minorHAnsi" w:hAnsiTheme="minorHAnsi" w:cstheme="minorBidi"/>
          <w:szCs w:val="22"/>
        </w:rPr>
        <w:t xml:space="preserve">he </w:t>
      </w:r>
      <w:r w:rsidR="003E5ABE" w:rsidRPr="00B176CF">
        <w:rPr>
          <w:rFonts w:asciiTheme="minorHAnsi" w:eastAsiaTheme="minorHAnsi" w:hAnsiTheme="minorHAnsi" w:cstheme="minorBidi"/>
          <w:szCs w:val="22"/>
        </w:rPr>
        <w:t>minor re</w:t>
      </w:r>
      <w:r w:rsidR="00EF44A0" w:rsidRPr="00B176CF">
        <w:rPr>
          <w:rFonts w:asciiTheme="minorHAnsi" w:eastAsiaTheme="minorHAnsi" w:hAnsiTheme="minorHAnsi" w:cstheme="minorBidi"/>
          <w:szCs w:val="22"/>
        </w:rPr>
        <w:t xml:space="preserve">submission </w:t>
      </w:r>
      <w:r w:rsidR="00FF2801" w:rsidRPr="00B176CF">
        <w:rPr>
          <w:rFonts w:asciiTheme="minorHAnsi" w:eastAsiaTheme="minorHAnsi" w:hAnsiTheme="minorHAnsi" w:cstheme="minorBidi"/>
          <w:szCs w:val="22"/>
        </w:rPr>
        <w:t>requested</w:t>
      </w:r>
      <w:r w:rsidR="00EF44A0" w:rsidRPr="00B176CF">
        <w:rPr>
          <w:rFonts w:asciiTheme="minorHAnsi" w:eastAsiaTheme="minorHAnsi" w:hAnsiTheme="minorHAnsi" w:cstheme="minorBidi"/>
          <w:szCs w:val="22"/>
        </w:rPr>
        <w:t xml:space="preserve"> </w:t>
      </w:r>
      <w:r w:rsidR="00E151D7" w:rsidRPr="00B176CF">
        <w:rPr>
          <w:rFonts w:asciiTheme="minorHAnsi" w:eastAsiaTheme="minorHAnsi" w:hAnsiTheme="minorHAnsi" w:cstheme="minorBidi"/>
          <w:szCs w:val="22"/>
        </w:rPr>
        <w:t xml:space="preserve">that the </w:t>
      </w:r>
      <w:r w:rsidR="003E5ABE" w:rsidRPr="00B176CF">
        <w:rPr>
          <w:rFonts w:asciiTheme="minorHAnsi" w:eastAsiaTheme="minorHAnsi" w:hAnsiTheme="minorHAnsi" w:cstheme="minorBidi"/>
          <w:szCs w:val="22"/>
        </w:rPr>
        <w:t>restriction</w:t>
      </w:r>
      <w:r w:rsidR="00AE6104" w:rsidRPr="00B176CF">
        <w:rPr>
          <w:rFonts w:asciiTheme="minorHAnsi" w:eastAsiaTheme="minorHAnsi" w:hAnsiTheme="minorHAnsi" w:cstheme="minorBidi"/>
          <w:szCs w:val="22"/>
        </w:rPr>
        <w:t xml:space="preserve"> </w:t>
      </w:r>
      <w:r w:rsidR="003E5ABE" w:rsidRPr="00B176CF">
        <w:rPr>
          <w:rFonts w:asciiTheme="minorHAnsi" w:eastAsiaTheme="minorHAnsi" w:hAnsiTheme="minorHAnsi" w:cstheme="minorBidi"/>
          <w:szCs w:val="22"/>
        </w:rPr>
        <w:t>recommended</w:t>
      </w:r>
      <w:r w:rsidR="00C262A0" w:rsidRPr="00B176CF">
        <w:rPr>
          <w:rFonts w:asciiTheme="minorHAnsi" w:eastAsiaTheme="minorHAnsi" w:hAnsiTheme="minorHAnsi" w:cstheme="minorBidi"/>
          <w:szCs w:val="22"/>
        </w:rPr>
        <w:t xml:space="preserve"> by the PBAC</w:t>
      </w:r>
      <w:r w:rsidR="003E5ABE" w:rsidRPr="00B176CF">
        <w:rPr>
          <w:rFonts w:asciiTheme="minorHAnsi" w:eastAsiaTheme="minorHAnsi" w:hAnsiTheme="minorHAnsi" w:cstheme="minorBidi"/>
          <w:szCs w:val="22"/>
        </w:rPr>
        <w:t xml:space="preserve"> in July 2017</w:t>
      </w:r>
      <w:r w:rsidR="00AE6104" w:rsidRPr="00B176CF">
        <w:rPr>
          <w:rFonts w:asciiTheme="minorHAnsi" w:eastAsiaTheme="minorHAnsi" w:hAnsiTheme="minorHAnsi" w:cstheme="minorBidi"/>
          <w:szCs w:val="22"/>
        </w:rPr>
        <w:t xml:space="preserve"> (</w:t>
      </w:r>
      <w:r w:rsidR="00E151D7" w:rsidRPr="00B176CF">
        <w:rPr>
          <w:rFonts w:asciiTheme="minorHAnsi" w:eastAsiaTheme="minorHAnsi" w:hAnsiTheme="minorHAnsi" w:cstheme="minorBidi"/>
          <w:szCs w:val="22"/>
        </w:rPr>
        <w:t xml:space="preserve">for </w:t>
      </w:r>
      <w:proofErr w:type="spellStart"/>
      <w:r w:rsidR="00E151D7" w:rsidRPr="00B176CF">
        <w:rPr>
          <w:rFonts w:asciiTheme="minorHAnsi" w:eastAsiaTheme="minorHAnsi" w:hAnsiTheme="minorHAnsi" w:cstheme="minorBidi"/>
          <w:szCs w:val="22"/>
        </w:rPr>
        <w:t>eculizumab</w:t>
      </w:r>
      <w:proofErr w:type="spellEnd"/>
      <w:r w:rsidR="00E151D7" w:rsidRPr="00B176CF">
        <w:rPr>
          <w:rFonts w:asciiTheme="minorHAnsi" w:eastAsiaTheme="minorHAnsi" w:hAnsiTheme="minorHAnsi" w:cstheme="minorBidi"/>
          <w:szCs w:val="22"/>
        </w:rPr>
        <w:t xml:space="preserve"> in </w:t>
      </w:r>
      <w:r w:rsidR="00F305CE">
        <w:rPr>
          <w:rFonts w:asciiTheme="minorHAnsi" w:eastAsiaTheme="minorHAnsi" w:hAnsiTheme="minorHAnsi" w:cstheme="minorBidi"/>
          <w:szCs w:val="22"/>
        </w:rPr>
        <w:t xml:space="preserve">patients with </w:t>
      </w:r>
      <w:r w:rsidR="00E151D7" w:rsidRPr="00B176CF">
        <w:rPr>
          <w:rFonts w:asciiTheme="minorHAnsi" w:eastAsiaTheme="minorHAnsi" w:hAnsiTheme="minorHAnsi" w:cstheme="minorBidi"/>
          <w:szCs w:val="22"/>
        </w:rPr>
        <w:t xml:space="preserve">ESRD </w:t>
      </w:r>
      <w:r w:rsidR="00F305CE">
        <w:rPr>
          <w:rFonts w:asciiTheme="minorHAnsi" w:eastAsiaTheme="minorHAnsi" w:hAnsiTheme="minorHAnsi" w:cstheme="minorBidi"/>
          <w:szCs w:val="22"/>
        </w:rPr>
        <w:t xml:space="preserve">due to </w:t>
      </w:r>
      <w:proofErr w:type="spellStart"/>
      <w:r w:rsidR="00F305CE">
        <w:rPr>
          <w:rFonts w:asciiTheme="minorHAnsi" w:eastAsiaTheme="minorHAnsi" w:hAnsiTheme="minorHAnsi" w:cstheme="minorBidi"/>
          <w:szCs w:val="22"/>
        </w:rPr>
        <w:t>aHUS</w:t>
      </w:r>
      <w:proofErr w:type="spellEnd"/>
      <w:r w:rsidR="00F305CE">
        <w:rPr>
          <w:rFonts w:asciiTheme="minorHAnsi" w:eastAsiaTheme="minorHAnsi" w:hAnsiTheme="minorHAnsi" w:cstheme="minorBidi"/>
          <w:szCs w:val="22"/>
        </w:rPr>
        <w:t xml:space="preserve"> </w:t>
      </w:r>
      <w:r w:rsidR="00E151D7" w:rsidRPr="00B176CF">
        <w:rPr>
          <w:rFonts w:asciiTheme="minorHAnsi" w:eastAsiaTheme="minorHAnsi" w:hAnsiTheme="minorHAnsi" w:cstheme="minorBidi"/>
          <w:szCs w:val="22"/>
        </w:rPr>
        <w:t xml:space="preserve">in </w:t>
      </w:r>
      <w:r w:rsidR="00F305CE">
        <w:rPr>
          <w:rFonts w:asciiTheme="minorHAnsi" w:eastAsiaTheme="minorHAnsi" w:hAnsiTheme="minorHAnsi" w:cstheme="minorBidi"/>
          <w:szCs w:val="22"/>
        </w:rPr>
        <w:t>the</w:t>
      </w:r>
      <w:r w:rsidR="00E151D7" w:rsidRPr="00B176CF">
        <w:rPr>
          <w:rFonts w:asciiTheme="minorHAnsi" w:eastAsiaTheme="minorHAnsi" w:hAnsiTheme="minorHAnsi" w:cstheme="minorBidi"/>
          <w:szCs w:val="22"/>
        </w:rPr>
        <w:t xml:space="preserve"> renal transplant</w:t>
      </w:r>
      <w:r w:rsidR="00F305CE">
        <w:rPr>
          <w:rFonts w:asciiTheme="minorHAnsi" w:eastAsiaTheme="minorHAnsi" w:hAnsiTheme="minorHAnsi" w:cstheme="minorBidi"/>
          <w:szCs w:val="22"/>
        </w:rPr>
        <w:t xml:space="preserve"> period</w:t>
      </w:r>
      <w:r w:rsidR="00AE6104" w:rsidRPr="00B176CF">
        <w:rPr>
          <w:rFonts w:asciiTheme="minorHAnsi" w:eastAsiaTheme="minorHAnsi" w:hAnsiTheme="minorHAnsi" w:cstheme="minorBidi"/>
          <w:szCs w:val="22"/>
        </w:rPr>
        <w:t>)</w:t>
      </w:r>
      <w:r w:rsidR="00E151D7" w:rsidRPr="00B176CF">
        <w:rPr>
          <w:rFonts w:asciiTheme="minorHAnsi" w:eastAsiaTheme="minorHAnsi" w:hAnsiTheme="minorHAnsi" w:cstheme="minorBidi"/>
          <w:szCs w:val="22"/>
        </w:rPr>
        <w:t xml:space="preserve"> be </w:t>
      </w:r>
      <w:r w:rsidR="000D6883">
        <w:rPr>
          <w:rFonts w:asciiTheme="minorHAnsi" w:eastAsiaTheme="minorHAnsi" w:hAnsiTheme="minorHAnsi" w:cstheme="minorBidi"/>
          <w:szCs w:val="22"/>
        </w:rPr>
        <w:t>chang</w:t>
      </w:r>
      <w:r w:rsidR="00E151D7" w:rsidRPr="00B176CF">
        <w:rPr>
          <w:rFonts w:asciiTheme="minorHAnsi" w:eastAsiaTheme="minorHAnsi" w:hAnsiTheme="minorHAnsi" w:cstheme="minorBidi"/>
          <w:szCs w:val="22"/>
        </w:rPr>
        <w:t>ed, per the listing below. The amendments proposed by the resubmission are marked in italics and strikethrough.</w:t>
      </w:r>
      <w:r w:rsidR="003E5ABE" w:rsidRPr="00B176CF">
        <w:rPr>
          <w:rFonts w:asciiTheme="minorHAnsi" w:eastAsiaTheme="minorHAnsi" w:hAnsiTheme="minorHAnsi" w:cstheme="minorBidi"/>
          <w:szCs w:val="22"/>
        </w:rPr>
        <w:t xml:space="preserve"> </w:t>
      </w:r>
    </w:p>
    <w:p w:rsidR="00507F44" w:rsidRPr="00B176CF" w:rsidRDefault="00507F44" w:rsidP="00507F44">
      <w:pPr>
        <w:widowControl w:val="0"/>
        <w:spacing w:after="120"/>
        <w:ind w:left="-11"/>
        <w:jc w:val="both"/>
        <w:rPr>
          <w:rFonts w:asciiTheme="minorHAnsi" w:eastAsiaTheme="minorHAnsi" w:hAnsiTheme="minorHAnsi" w:cstheme="minorBidi"/>
          <w:szCs w:val="22"/>
        </w:rPr>
      </w:pPr>
    </w:p>
    <w:tbl>
      <w:tblPr>
        <w:tblW w:w="5000" w:type="pct"/>
        <w:tblLook w:val="0000" w:firstRow="0" w:lastRow="0" w:firstColumn="0" w:lastColumn="0" w:noHBand="0" w:noVBand="0"/>
      </w:tblPr>
      <w:tblGrid>
        <w:gridCol w:w="1633"/>
        <w:gridCol w:w="885"/>
        <w:gridCol w:w="567"/>
        <w:gridCol w:w="567"/>
        <w:gridCol w:w="1619"/>
        <w:gridCol w:w="967"/>
        <w:gridCol w:w="3004"/>
      </w:tblGrid>
      <w:tr w:rsidR="003E5ABE" w:rsidRPr="00B176CF" w:rsidTr="004B580E">
        <w:trPr>
          <w:cantSplit/>
          <w:trHeight w:val="463"/>
        </w:trPr>
        <w:tc>
          <w:tcPr>
            <w:tcW w:w="1362" w:type="pct"/>
            <w:gridSpan w:val="2"/>
            <w:tcBorders>
              <w:bottom w:val="single" w:sz="4" w:space="0" w:color="auto"/>
            </w:tcBorders>
          </w:tcPr>
          <w:p w:rsidR="003E5ABE" w:rsidRPr="00B176CF" w:rsidRDefault="003E5ABE" w:rsidP="00BE4C7E">
            <w:pPr>
              <w:keepNext/>
              <w:keepLines/>
              <w:ind w:left="-108"/>
              <w:jc w:val="both"/>
              <w:rPr>
                <w:rFonts w:ascii="Arial Narrow" w:hAnsi="Arial Narrow"/>
                <w:b/>
                <w:sz w:val="20"/>
              </w:rPr>
            </w:pPr>
            <w:r w:rsidRPr="00B176CF">
              <w:rPr>
                <w:rFonts w:ascii="Arial Narrow" w:hAnsi="Arial Narrow"/>
                <w:b/>
                <w:sz w:val="20"/>
              </w:rPr>
              <w:lastRenderedPageBreak/>
              <w:t>Name, Restriction,</w:t>
            </w:r>
          </w:p>
          <w:p w:rsidR="003E5ABE" w:rsidRPr="00B176CF" w:rsidRDefault="003E5ABE" w:rsidP="00BE4C7E">
            <w:pPr>
              <w:keepNext/>
              <w:keepLines/>
              <w:ind w:left="-108"/>
              <w:jc w:val="both"/>
              <w:rPr>
                <w:rFonts w:ascii="Arial Narrow" w:hAnsi="Arial Narrow"/>
                <w:b/>
                <w:sz w:val="20"/>
              </w:rPr>
            </w:pPr>
            <w:r w:rsidRPr="00B176CF">
              <w:rPr>
                <w:rFonts w:ascii="Arial Narrow" w:hAnsi="Arial Narrow"/>
                <w:b/>
                <w:sz w:val="20"/>
              </w:rPr>
              <w:t>Manner of administration and form</w:t>
            </w:r>
          </w:p>
        </w:tc>
        <w:tc>
          <w:tcPr>
            <w:tcW w:w="307" w:type="pct"/>
            <w:tcBorders>
              <w:bottom w:val="single" w:sz="4" w:space="0" w:color="auto"/>
            </w:tcBorders>
          </w:tcPr>
          <w:p w:rsidR="003E5ABE" w:rsidRPr="00B176CF" w:rsidRDefault="003E5ABE" w:rsidP="00BE4C7E">
            <w:pPr>
              <w:keepNext/>
              <w:keepLines/>
              <w:ind w:left="-108"/>
              <w:jc w:val="both"/>
              <w:rPr>
                <w:rFonts w:ascii="Arial Narrow" w:hAnsi="Arial Narrow"/>
                <w:b/>
                <w:sz w:val="20"/>
              </w:rPr>
            </w:pPr>
            <w:r w:rsidRPr="00B176CF">
              <w:rPr>
                <w:rFonts w:ascii="Arial Narrow" w:hAnsi="Arial Narrow"/>
                <w:b/>
                <w:sz w:val="20"/>
              </w:rPr>
              <w:t>Max.</w:t>
            </w:r>
          </w:p>
          <w:p w:rsidR="003E5ABE" w:rsidRPr="00B176CF" w:rsidRDefault="003E5ABE" w:rsidP="00BE4C7E">
            <w:pPr>
              <w:keepNext/>
              <w:keepLines/>
              <w:ind w:left="-108"/>
              <w:jc w:val="both"/>
              <w:rPr>
                <w:rFonts w:ascii="Arial Narrow" w:hAnsi="Arial Narrow"/>
                <w:b/>
                <w:sz w:val="20"/>
              </w:rPr>
            </w:pPr>
            <w:proofErr w:type="spellStart"/>
            <w:r w:rsidRPr="00B176CF">
              <w:rPr>
                <w:rFonts w:ascii="Arial Narrow" w:hAnsi="Arial Narrow"/>
                <w:b/>
                <w:sz w:val="20"/>
              </w:rPr>
              <w:t>Qty</w:t>
            </w:r>
            <w:proofErr w:type="spellEnd"/>
          </w:p>
        </w:tc>
        <w:tc>
          <w:tcPr>
            <w:tcW w:w="307" w:type="pct"/>
            <w:tcBorders>
              <w:bottom w:val="single" w:sz="4" w:space="0" w:color="auto"/>
            </w:tcBorders>
          </w:tcPr>
          <w:p w:rsidR="003E5ABE" w:rsidRPr="00B176CF" w:rsidRDefault="003E5ABE" w:rsidP="00BE4C7E">
            <w:pPr>
              <w:keepNext/>
              <w:keepLines/>
              <w:ind w:left="-108"/>
              <w:jc w:val="both"/>
              <w:rPr>
                <w:rFonts w:ascii="Arial Narrow" w:hAnsi="Arial Narrow"/>
                <w:b/>
                <w:sz w:val="20"/>
              </w:rPr>
            </w:pPr>
            <w:r w:rsidRPr="00B176CF">
              <w:rPr>
                <w:rFonts w:ascii="Arial Narrow" w:hAnsi="Arial Narrow"/>
                <w:b/>
                <w:sz w:val="20"/>
              </w:rPr>
              <w:t>№.of</w:t>
            </w:r>
          </w:p>
          <w:p w:rsidR="003E5ABE" w:rsidRPr="00B176CF" w:rsidRDefault="003E5ABE" w:rsidP="00BE4C7E">
            <w:pPr>
              <w:keepNext/>
              <w:keepLines/>
              <w:ind w:left="-108"/>
              <w:jc w:val="both"/>
              <w:rPr>
                <w:rFonts w:ascii="Arial Narrow" w:hAnsi="Arial Narrow"/>
                <w:b/>
                <w:sz w:val="20"/>
              </w:rPr>
            </w:pPr>
            <w:proofErr w:type="spellStart"/>
            <w:r w:rsidRPr="00B176CF">
              <w:rPr>
                <w:rFonts w:ascii="Arial Narrow" w:hAnsi="Arial Narrow"/>
                <w:b/>
                <w:sz w:val="20"/>
              </w:rPr>
              <w:t>Rpts</w:t>
            </w:r>
            <w:proofErr w:type="spellEnd"/>
          </w:p>
        </w:tc>
        <w:tc>
          <w:tcPr>
            <w:tcW w:w="876" w:type="pct"/>
            <w:tcBorders>
              <w:bottom w:val="single" w:sz="4" w:space="0" w:color="auto"/>
            </w:tcBorders>
          </w:tcPr>
          <w:p w:rsidR="003E5ABE" w:rsidRPr="00B176CF" w:rsidRDefault="003E5ABE" w:rsidP="00BE4C7E">
            <w:pPr>
              <w:keepNext/>
              <w:keepLines/>
              <w:ind w:left="-108"/>
              <w:jc w:val="both"/>
              <w:rPr>
                <w:rFonts w:ascii="Arial Narrow" w:hAnsi="Arial Narrow"/>
                <w:b/>
                <w:sz w:val="20"/>
              </w:rPr>
            </w:pPr>
            <w:r w:rsidRPr="00B176CF">
              <w:rPr>
                <w:rFonts w:ascii="Arial Narrow" w:hAnsi="Arial Narrow"/>
                <w:b/>
                <w:sz w:val="20"/>
              </w:rPr>
              <w:t xml:space="preserve">Dispensed Price for Max. </w:t>
            </w:r>
            <w:proofErr w:type="spellStart"/>
            <w:r w:rsidRPr="00B176CF">
              <w:rPr>
                <w:rFonts w:ascii="Arial Narrow" w:hAnsi="Arial Narrow"/>
                <w:b/>
                <w:sz w:val="20"/>
              </w:rPr>
              <w:t>Qty</w:t>
            </w:r>
            <w:proofErr w:type="spellEnd"/>
          </w:p>
        </w:tc>
        <w:tc>
          <w:tcPr>
            <w:tcW w:w="2148" w:type="pct"/>
            <w:gridSpan w:val="2"/>
            <w:tcBorders>
              <w:bottom w:val="single" w:sz="4" w:space="0" w:color="auto"/>
            </w:tcBorders>
          </w:tcPr>
          <w:p w:rsidR="003E5ABE" w:rsidRPr="00B176CF" w:rsidRDefault="003E5ABE" w:rsidP="00BE4C7E">
            <w:pPr>
              <w:keepNext/>
              <w:keepLines/>
              <w:jc w:val="both"/>
              <w:rPr>
                <w:rFonts w:ascii="Arial Narrow" w:hAnsi="Arial Narrow"/>
                <w:b/>
                <w:sz w:val="20"/>
              </w:rPr>
            </w:pPr>
            <w:r w:rsidRPr="00B176CF">
              <w:rPr>
                <w:rFonts w:ascii="Arial Narrow" w:hAnsi="Arial Narrow"/>
                <w:b/>
                <w:sz w:val="20"/>
              </w:rPr>
              <w:t>Proprietary Name and Manufacturer</w:t>
            </w:r>
          </w:p>
        </w:tc>
      </w:tr>
      <w:tr w:rsidR="003E5ABE" w:rsidRPr="00B176CF" w:rsidTr="004B580E">
        <w:trPr>
          <w:cantSplit/>
          <w:trHeight w:val="567"/>
        </w:trPr>
        <w:tc>
          <w:tcPr>
            <w:tcW w:w="1362" w:type="pct"/>
            <w:gridSpan w:val="2"/>
          </w:tcPr>
          <w:p w:rsidR="003E5ABE" w:rsidRPr="00B176CF" w:rsidRDefault="003E5ABE" w:rsidP="00BE4C7E">
            <w:pPr>
              <w:keepNext/>
              <w:keepLines/>
              <w:ind w:left="-108"/>
              <w:jc w:val="both"/>
              <w:rPr>
                <w:rFonts w:ascii="Arial Narrow" w:hAnsi="Arial Narrow"/>
                <w:sz w:val="20"/>
              </w:rPr>
            </w:pPr>
            <w:r w:rsidRPr="00B176CF">
              <w:rPr>
                <w:rFonts w:ascii="Arial Narrow" w:hAnsi="Arial Narrow"/>
                <w:smallCaps/>
                <w:sz w:val="20"/>
              </w:rPr>
              <w:t>ECULIZUMAB</w:t>
            </w:r>
          </w:p>
          <w:p w:rsidR="004B580E" w:rsidRPr="00B176CF" w:rsidRDefault="003E5ABE" w:rsidP="00BE4C7E">
            <w:pPr>
              <w:keepNext/>
              <w:keepLines/>
              <w:ind w:left="-108"/>
              <w:jc w:val="both"/>
              <w:rPr>
                <w:rFonts w:ascii="Arial Narrow" w:hAnsi="Arial Narrow"/>
                <w:sz w:val="20"/>
              </w:rPr>
            </w:pPr>
            <w:r w:rsidRPr="00B176CF">
              <w:rPr>
                <w:rFonts w:ascii="Arial Narrow" w:hAnsi="Arial Narrow"/>
                <w:sz w:val="20"/>
              </w:rPr>
              <w:t xml:space="preserve">300 mg/30 mL injection, </w:t>
            </w:r>
          </w:p>
          <w:p w:rsidR="003E5ABE" w:rsidRPr="00B176CF" w:rsidRDefault="003E5ABE" w:rsidP="00BE4C7E">
            <w:pPr>
              <w:keepNext/>
              <w:keepLines/>
              <w:ind w:left="-108"/>
              <w:jc w:val="both"/>
              <w:rPr>
                <w:rFonts w:ascii="Arial Narrow" w:hAnsi="Arial Narrow"/>
                <w:sz w:val="20"/>
              </w:rPr>
            </w:pPr>
            <w:r w:rsidRPr="00B176CF">
              <w:rPr>
                <w:rFonts w:ascii="Arial Narrow" w:hAnsi="Arial Narrow"/>
                <w:sz w:val="20"/>
              </w:rPr>
              <w:t>30 mL vial</w:t>
            </w:r>
          </w:p>
        </w:tc>
        <w:tc>
          <w:tcPr>
            <w:tcW w:w="307" w:type="pct"/>
          </w:tcPr>
          <w:p w:rsidR="003E5ABE" w:rsidRPr="00B176CF" w:rsidRDefault="003E5ABE" w:rsidP="00BE4C7E">
            <w:pPr>
              <w:keepNext/>
              <w:keepLines/>
              <w:ind w:left="-108"/>
              <w:jc w:val="both"/>
              <w:rPr>
                <w:rFonts w:ascii="Arial Narrow" w:hAnsi="Arial Narrow"/>
                <w:sz w:val="20"/>
              </w:rPr>
            </w:pPr>
          </w:p>
          <w:p w:rsidR="003E5ABE" w:rsidRPr="00B176CF" w:rsidRDefault="003E5ABE" w:rsidP="00BE4C7E">
            <w:pPr>
              <w:keepNext/>
              <w:keepLines/>
              <w:ind w:left="-108"/>
              <w:jc w:val="both"/>
              <w:rPr>
                <w:rFonts w:ascii="Arial Narrow" w:hAnsi="Arial Narrow"/>
                <w:sz w:val="20"/>
              </w:rPr>
            </w:pPr>
            <w:r w:rsidRPr="00B176CF">
              <w:rPr>
                <w:rFonts w:ascii="Arial Narrow" w:hAnsi="Arial Narrow"/>
                <w:sz w:val="20"/>
              </w:rPr>
              <w:t>1</w:t>
            </w:r>
          </w:p>
        </w:tc>
        <w:tc>
          <w:tcPr>
            <w:tcW w:w="307" w:type="pct"/>
          </w:tcPr>
          <w:p w:rsidR="003E5ABE" w:rsidRPr="00B176CF" w:rsidRDefault="003E5ABE" w:rsidP="00BE4C7E">
            <w:pPr>
              <w:keepNext/>
              <w:keepLines/>
              <w:ind w:left="-108"/>
              <w:jc w:val="both"/>
              <w:rPr>
                <w:rFonts w:ascii="Arial Narrow" w:hAnsi="Arial Narrow"/>
                <w:sz w:val="20"/>
              </w:rPr>
            </w:pPr>
          </w:p>
          <w:p w:rsidR="003E5ABE" w:rsidRPr="00B176CF" w:rsidRDefault="003E5ABE" w:rsidP="00BE4C7E">
            <w:pPr>
              <w:keepNext/>
              <w:keepLines/>
              <w:ind w:left="-108"/>
              <w:jc w:val="both"/>
              <w:rPr>
                <w:rFonts w:ascii="Arial Narrow" w:hAnsi="Arial Narrow"/>
                <w:sz w:val="20"/>
              </w:rPr>
            </w:pPr>
            <w:r w:rsidRPr="00B176CF">
              <w:rPr>
                <w:rFonts w:ascii="Arial Narrow" w:hAnsi="Arial Narrow"/>
                <w:sz w:val="20"/>
              </w:rPr>
              <w:t>0</w:t>
            </w:r>
          </w:p>
        </w:tc>
        <w:tc>
          <w:tcPr>
            <w:tcW w:w="876" w:type="pct"/>
          </w:tcPr>
          <w:p w:rsidR="003E5ABE" w:rsidRPr="00B176CF" w:rsidRDefault="003E5ABE" w:rsidP="00BE4C7E">
            <w:pPr>
              <w:keepNext/>
              <w:keepLines/>
              <w:ind w:left="-108"/>
              <w:jc w:val="both"/>
              <w:rPr>
                <w:rFonts w:ascii="Arial Narrow" w:hAnsi="Arial Narrow"/>
                <w:sz w:val="20"/>
              </w:rPr>
            </w:pPr>
          </w:p>
          <w:p w:rsidR="00195AF2" w:rsidRPr="00B176CF" w:rsidRDefault="00195AF2" w:rsidP="00BE4C7E">
            <w:pPr>
              <w:keepNext/>
              <w:keepLines/>
              <w:ind w:left="-108"/>
              <w:jc w:val="both"/>
              <w:rPr>
                <w:rFonts w:ascii="Arial Narrow" w:hAnsi="Arial Narrow"/>
                <w:sz w:val="20"/>
              </w:rPr>
            </w:pPr>
            <w:r w:rsidRPr="00B176CF">
              <w:rPr>
                <w:rFonts w:ascii="Arial Narrow" w:hAnsi="Arial Narrow"/>
                <w:sz w:val="20"/>
              </w:rPr>
              <w:t>$5,937.50 (public)</w:t>
            </w:r>
          </w:p>
          <w:p w:rsidR="00C90F8F" w:rsidRPr="00B176CF" w:rsidRDefault="00C90F8F" w:rsidP="00BE4C7E">
            <w:pPr>
              <w:keepNext/>
              <w:keepLines/>
              <w:ind w:left="-108"/>
              <w:jc w:val="both"/>
              <w:rPr>
                <w:rFonts w:ascii="Arial Narrow" w:hAnsi="Arial Narrow"/>
                <w:sz w:val="20"/>
              </w:rPr>
            </w:pPr>
            <w:r w:rsidRPr="00B176CF">
              <w:rPr>
                <w:rFonts w:ascii="Arial Narrow" w:hAnsi="Arial Narrow"/>
                <w:sz w:val="20"/>
              </w:rPr>
              <w:t>$5</w:t>
            </w:r>
            <w:r w:rsidR="00195AF2" w:rsidRPr="00B176CF">
              <w:rPr>
                <w:rFonts w:ascii="Arial Narrow" w:hAnsi="Arial Narrow"/>
                <w:sz w:val="20"/>
              </w:rPr>
              <w:t>,</w:t>
            </w:r>
            <w:r w:rsidRPr="00B176CF">
              <w:rPr>
                <w:rFonts w:ascii="Arial Narrow" w:hAnsi="Arial Narrow"/>
                <w:sz w:val="20"/>
              </w:rPr>
              <w:t>984.65</w:t>
            </w:r>
            <w:r w:rsidR="00195AF2" w:rsidRPr="00B176CF">
              <w:rPr>
                <w:rFonts w:ascii="Arial Narrow" w:hAnsi="Arial Narrow"/>
                <w:sz w:val="20"/>
              </w:rPr>
              <w:t xml:space="preserve"> (private)</w:t>
            </w:r>
          </w:p>
        </w:tc>
        <w:tc>
          <w:tcPr>
            <w:tcW w:w="523" w:type="pct"/>
          </w:tcPr>
          <w:p w:rsidR="003E5ABE" w:rsidRPr="00B176CF" w:rsidRDefault="003E5ABE" w:rsidP="00BE4C7E">
            <w:pPr>
              <w:keepNext/>
              <w:keepLines/>
              <w:jc w:val="both"/>
              <w:rPr>
                <w:rFonts w:ascii="Arial Narrow" w:hAnsi="Arial Narrow"/>
                <w:sz w:val="20"/>
              </w:rPr>
            </w:pPr>
          </w:p>
          <w:p w:rsidR="003E5ABE" w:rsidRPr="00B176CF" w:rsidRDefault="003E5ABE" w:rsidP="00BE4C7E">
            <w:pPr>
              <w:keepNext/>
              <w:keepLines/>
              <w:jc w:val="both"/>
              <w:rPr>
                <w:rFonts w:ascii="Arial Narrow" w:hAnsi="Arial Narrow"/>
                <w:sz w:val="20"/>
              </w:rPr>
            </w:pPr>
            <w:proofErr w:type="spellStart"/>
            <w:r w:rsidRPr="00B176CF">
              <w:rPr>
                <w:rFonts w:ascii="Arial Narrow" w:hAnsi="Arial Narrow"/>
                <w:sz w:val="20"/>
              </w:rPr>
              <w:t>Soliris</w:t>
            </w:r>
            <w:proofErr w:type="spellEnd"/>
            <w:r w:rsidRPr="00B176CF">
              <w:rPr>
                <w:rFonts w:ascii="Arial Narrow" w:hAnsi="Arial Narrow"/>
                <w:sz w:val="20"/>
              </w:rPr>
              <w:t>®</w:t>
            </w:r>
          </w:p>
        </w:tc>
        <w:tc>
          <w:tcPr>
            <w:tcW w:w="1625" w:type="pct"/>
          </w:tcPr>
          <w:p w:rsidR="003E5ABE" w:rsidRPr="00B176CF" w:rsidRDefault="003E5ABE" w:rsidP="00BE4C7E">
            <w:pPr>
              <w:keepNext/>
              <w:keepLines/>
              <w:rPr>
                <w:rFonts w:ascii="Arial Narrow" w:hAnsi="Arial Narrow"/>
                <w:sz w:val="20"/>
              </w:rPr>
            </w:pPr>
            <w:r w:rsidRPr="00B176CF">
              <w:rPr>
                <w:rFonts w:ascii="Arial Narrow" w:hAnsi="Arial Narrow"/>
                <w:sz w:val="20"/>
              </w:rPr>
              <w:t>Alexion Pharmaceutical Australia Pty Ltd.</w:t>
            </w:r>
          </w:p>
        </w:tc>
      </w:tr>
      <w:tr w:rsidR="003E5ABE" w:rsidRPr="00B176CF" w:rsidTr="003E5ABE">
        <w:trPr>
          <w:cantSplit/>
          <w:trHeight w:val="414"/>
        </w:trPr>
        <w:tc>
          <w:tcPr>
            <w:tcW w:w="5000" w:type="pct"/>
            <w:gridSpan w:val="7"/>
            <w:tcBorders>
              <w:bottom w:val="single" w:sz="4" w:space="0" w:color="auto"/>
            </w:tcBorders>
          </w:tcPr>
          <w:p w:rsidR="003E5ABE" w:rsidRPr="00B176CF" w:rsidRDefault="003E5ABE" w:rsidP="00BE4C7E">
            <w:pPr>
              <w:keepNext/>
              <w:keepLines/>
              <w:jc w:val="both"/>
              <w:rPr>
                <w:rFonts w:ascii="Arial Narrow" w:hAnsi="Arial Narrow"/>
                <w:sz w:val="20"/>
              </w:rPr>
            </w:pPr>
          </w:p>
        </w:tc>
      </w:tr>
      <w:tr w:rsidR="00BE4C7E" w:rsidRPr="00B176CF" w:rsidTr="00BE4C7E">
        <w:trPr>
          <w:cantSplit/>
          <w:trHeight w:val="354"/>
        </w:trPr>
        <w:tc>
          <w:tcPr>
            <w:tcW w:w="5000" w:type="pct"/>
            <w:gridSpan w:val="7"/>
            <w:tcBorders>
              <w:top w:val="single" w:sz="4" w:space="0" w:color="auto"/>
              <w:left w:val="single" w:sz="4" w:space="0" w:color="auto"/>
              <w:bottom w:val="single" w:sz="4" w:space="0" w:color="auto"/>
              <w:right w:val="single" w:sz="4" w:space="0" w:color="auto"/>
            </w:tcBorders>
          </w:tcPr>
          <w:p w:rsidR="00BE4C7E" w:rsidRPr="00B176CF" w:rsidRDefault="00BE4C7E" w:rsidP="00BE4C7E">
            <w:pPr>
              <w:pStyle w:val="tablenotes"/>
              <w:keepNext/>
              <w:keepLines/>
            </w:pPr>
            <w:r w:rsidRPr="00B176CF">
              <w:rPr>
                <w:rFonts w:eastAsiaTheme="minorHAnsi"/>
                <w:b/>
                <w:snapToGrid/>
              </w:rPr>
              <w:t xml:space="preserve">Abridged requested listing </w:t>
            </w:r>
            <w:r w:rsidRPr="00B176CF">
              <w:rPr>
                <w:rFonts w:eastAsiaTheme="minorHAnsi"/>
                <w:b/>
                <w:snapToGrid/>
                <w:vertAlign w:val="superscript"/>
              </w:rPr>
              <w:t>a</w:t>
            </w:r>
            <w:r w:rsidRPr="00B176CF">
              <w:rPr>
                <w:rFonts w:eastAsiaTheme="minorHAnsi"/>
                <w:b/>
                <w:snapToGrid/>
              </w:rPr>
              <w:t xml:space="preserve"> </w:t>
            </w:r>
          </w:p>
        </w:tc>
      </w:tr>
      <w:tr w:rsidR="003E5ABE" w:rsidRPr="00B176CF" w:rsidTr="003E5ABE">
        <w:trPr>
          <w:cantSplit/>
          <w:trHeight w:val="354"/>
        </w:trPr>
        <w:tc>
          <w:tcPr>
            <w:tcW w:w="883" w:type="pct"/>
            <w:tcBorders>
              <w:top w:val="single" w:sz="4" w:space="0" w:color="auto"/>
              <w:left w:val="single" w:sz="4" w:space="0" w:color="auto"/>
              <w:bottom w:val="single" w:sz="4" w:space="0" w:color="auto"/>
              <w:right w:val="single" w:sz="4" w:space="0" w:color="auto"/>
            </w:tcBorders>
          </w:tcPr>
          <w:p w:rsidR="003E5ABE" w:rsidRPr="00B176CF" w:rsidRDefault="003E5ABE" w:rsidP="00BE4C7E">
            <w:pPr>
              <w:keepNext/>
              <w:keepLines/>
              <w:jc w:val="both"/>
              <w:rPr>
                <w:rFonts w:ascii="Arial Narrow" w:hAnsi="Arial Narrow"/>
                <w:b/>
                <w:sz w:val="20"/>
              </w:rPr>
            </w:pPr>
            <w:r w:rsidRPr="00B176CF">
              <w:rPr>
                <w:rFonts w:ascii="Arial Narrow" w:hAnsi="Arial Narrow"/>
                <w:b/>
                <w:sz w:val="20"/>
              </w:rPr>
              <w:t>Category/ Program</w:t>
            </w:r>
          </w:p>
        </w:tc>
        <w:tc>
          <w:tcPr>
            <w:tcW w:w="4117" w:type="pct"/>
            <w:gridSpan w:val="6"/>
            <w:tcBorders>
              <w:top w:val="single" w:sz="4" w:space="0" w:color="auto"/>
              <w:left w:val="single" w:sz="4" w:space="0" w:color="auto"/>
              <w:bottom w:val="single" w:sz="4" w:space="0" w:color="auto"/>
              <w:right w:val="single" w:sz="4" w:space="0" w:color="auto"/>
            </w:tcBorders>
          </w:tcPr>
          <w:p w:rsidR="003E5ABE" w:rsidRPr="00B176CF" w:rsidRDefault="003E5ABE" w:rsidP="00BE4C7E">
            <w:pPr>
              <w:keepNext/>
              <w:keepLines/>
              <w:rPr>
                <w:rFonts w:ascii="Arial Narrow" w:hAnsi="Arial Narrow"/>
                <w:sz w:val="20"/>
              </w:rPr>
            </w:pPr>
            <w:r w:rsidRPr="00B176CF">
              <w:rPr>
                <w:rFonts w:ascii="Arial Narrow" w:hAnsi="Arial Narrow"/>
                <w:sz w:val="20"/>
              </w:rPr>
              <w:t>Section 100 – Highly Specialised Drugs Program</w:t>
            </w:r>
          </w:p>
        </w:tc>
      </w:tr>
      <w:tr w:rsidR="003E5ABE" w:rsidRPr="00B176CF" w:rsidTr="003E5ABE">
        <w:trPr>
          <w:cantSplit/>
          <w:trHeight w:val="408"/>
        </w:trPr>
        <w:tc>
          <w:tcPr>
            <w:tcW w:w="883" w:type="pct"/>
            <w:tcBorders>
              <w:top w:val="single" w:sz="4" w:space="0" w:color="auto"/>
              <w:left w:val="single" w:sz="4" w:space="0" w:color="auto"/>
              <w:bottom w:val="single" w:sz="4" w:space="0" w:color="auto"/>
              <w:right w:val="single" w:sz="4" w:space="0" w:color="auto"/>
            </w:tcBorders>
          </w:tcPr>
          <w:p w:rsidR="003E5ABE" w:rsidRPr="00B176CF" w:rsidRDefault="003E5ABE" w:rsidP="00BE4C7E">
            <w:pPr>
              <w:keepNext/>
              <w:keepLines/>
              <w:jc w:val="both"/>
              <w:rPr>
                <w:rFonts w:ascii="Arial Narrow" w:hAnsi="Arial Narrow"/>
                <w:b/>
                <w:sz w:val="20"/>
              </w:rPr>
            </w:pPr>
            <w:r w:rsidRPr="00B176CF">
              <w:rPr>
                <w:rFonts w:ascii="Arial Narrow" w:hAnsi="Arial Narrow"/>
                <w:b/>
                <w:sz w:val="20"/>
              </w:rPr>
              <w:t>Condition:</w:t>
            </w:r>
          </w:p>
        </w:tc>
        <w:tc>
          <w:tcPr>
            <w:tcW w:w="4117" w:type="pct"/>
            <w:gridSpan w:val="6"/>
            <w:tcBorders>
              <w:top w:val="single" w:sz="4" w:space="0" w:color="auto"/>
              <w:left w:val="single" w:sz="4" w:space="0" w:color="auto"/>
              <w:bottom w:val="single" w:sz="4" w:space="0" w:color="auto"/>
              <w:right w:val="single" w:sz="4" w:space="0" w:color="auto"/>
            </w:tcBorders>
          </w:tcPr>
          <w:p w:rsidR="003E5ABE" w:rsidRPr="00B176CF" w:rsidRDefault="003E5ABE" w:rsidP="00BE4C7E">
            <w:pPr>
              <w:keepNext/>
              <w:keepLines/>
              <w:rPr>
                <w:rFonts w:ascii="Arial Narrow" w:hAnsi="Arial Narrow"/>
                <w:sz w:val="20"/>
              </w:rPr>
            </w:pPr>
            <w:r w:rsidRPr="00B176CF">
              <w:rPr>
                <w:rFonts w:ascii="Arial Narrow" w:hAnsi="Arial Narrow"/>
                <w:sz w:val="20"/>
              </w:rPr>
              <w:t>Atypical haemolytic uraemic syndrome (</w:t>
            </w:r>
            <w:proofErr w:type="spellStart"/>
            <w:r w:rsidRPr="00B176CF">
              <w:rPr>
                <w:rFonts w:ascii="Arial Narrow" w:hAnsi="Arial Narrow"/>
                <w:sz w:val="20"/>
              </w:rPr>
              <w:t>aHUS</w:t>
            </w:r>
            <w:proofErr w:type="spellEnd"/>
            <w:r w:rsidRPr="00B176CF">
              <w:rPr>
                <w:rFonts w:ascii="Arial Narrow" w:hAnsi="Arial Narrow"/>
                <w:sz w:val="20"/>
              </w:rPr>
              <w:t>)</w:t>
            </w:r>
          </w:p>
        </w:tc>
      </w:tr>
      <w:tr w:rsidR="003E5ABE" w:rsidRPr="00B176CF" w:rsidTr="003E5ABE">
        <w:trPr>
          <w:cantSplit/>
          <w:trHeight w:val="354"/>
        </w:trPr>
        <w:tc>
          <w:tcPr>
            <w:tcW w:w="883" w:type="pct"/>
            <w:tcBorders>
              <w:top w:val="single" w:sz="4" w:space="0" w:color="auto"/>
              <w:left w:val="single" w:sz="4" w:space="0" w:color="auto"/>
              <w:bottom w:val="single" w:sz="4" w:space="0" w:color="auto"/>
              <w:right w:val="single" w:sz="4" w:space="0" w:color="auto"/>
            </w:tcBorders>
          </w:tcPr>
          <w:p w:rsidR="003E5ABE" w:rsidRPr="00B176CF" w:rsidRDefault="003E5ABE" w:rsidP="00BE4C7E">
            <w:pPr>
              <w:keepNext/>
              <w:keepLines/>
              <w:jc w:val="both"/>
              <w:rPr>
                <w:rFonts w:ascii="Arial Narrow" w:hAnsi="Arial Narrow"/>
                <w:b/>
                <w:sz w:val="20"/>
              </w:rPr>
            </w:pPr>
            <w:r w:rsidRPr="00B176CF">
              <w:rPr>
                <w:rFonts w:ascii="Arial Narrow" w:hAnsi="Arial Narrow"/>
                <w:b/>
                <w:sz w:val="20"/>
              </w:rPr>
              <w:t>PBS Indication:</w:t>
            </w:r>
          </w:p>
        </w:tc>
        <w:tc>
          <w:tcPr>
            <w:tcW w:w="4117" w:type="pct"/>
            <w:gridSpan w:val="6"/>
            <w:tcBorders>
              <w:top w:val="single" w:sz="4" w:space="0" w:color="auto"/>
              <w:left w:val="single" w:sz="4" w:space="0" w:color="auto"/>
              <w:bottom w:val="single" w:sz="4" w:space="0" w:color="auto"/>
              <w:right w:val="single" w:sz="4" w:space="0" w:color="auto"/>
            </w:tcBorders>
          </w:tcPr>
          <w:p w:rsidR="003E5ABE" w:rsidRPr="00B176CF" w:rsidRDefault="003E5ABE" w:rsidP="00BE4C7E">
            <w:pPr>
              <w:keepNext/>
              <w:keepLines/>
              <w:rPr>
                <w:rFonts w:ascii="Arial Narrow" w:hAnsi="Arial Narrow"/>
                <w:sz w:val="20"/>
              </w:rPr>
            </w:pPr>
            <w:r w:rsidRPr="00B176CF">
              <w:rPr>
                <w:rFonts w:ascii="Arial Narrow" w:hAnsi="Arial Narrow"/>
                <w:sz w:val="20"/>
              </w:rPr>
              <w:t>Atypical haemolytic uraemic syndrome (</w:t>
            </w:r>
            <w:proofErr w:type="spellStart"/>
            <w:r w:rsidRPr="00B176CF">
              <w:rPr>
                <w:rFonts w:ascii="Arial Narrow" w:hAnsi="Arial Narrow"/>
                <w:sz w:val="20"/>
              </w:rPr>
              <w:t>aHUS</w:t>
            </w:r>
            <w:proofErr w:type="spellEnd"/>
            <w:r w:rsidRPr="00B176CF">
              <w:rPr>
                <w:rFonts w:ascii="Arial Narrow" w:hAnsi="Arial Narrow"/>
                <w:sz w:val="20"/>
              </w:rPr>
              <w:t>)</w:t>
            </w:r>
          </w:p>
        </w:tc>
      </w:tr>
      <w:tr w:rsidR="003E5ABE" w:rsidRPr="00B176CF" w:rsidTr="003E5ABE">
        <w:trPr>
          <w:cantSplit/>
          <w:trHeight w:val="341"/>
        </w:trPr>
        <w:tc>
          <w:tcPr>
            <w:tcW w:w="883" w:type="pct"/>
            <w:tcBorders>
              <w:top w:val="single" w:sz="4" w:space="0" w:color="auto"/>
              <w:left w:val="single" w:sz="4" w:space="0" w:color="auto"/>
              <w:bottom w:val="single" w:sz="4" w:space="0" w:color="auto"/>
              <w:right w:val="single" w:sz="4" w:space="0" w:color="auto"/>
            </w:tcBorders>
          </w:tcPr>
          <w:p w:rsidR="003E5ABE" w:rsidRPr="00B176CF" w:rsidRDefault="003E5ABE" w:rsidP="00BE4C7E">
            <w:pPr>
              <w:keepNext/>
              <w:keepLines/>
              <w:rPr>
                <w:rFonts w:ascii="Arial Narrow" w:hAnsi="Arial Narrow"/>
                <w:b/>
                <w:sz w:val="20"/>
              </w:rPr>
            </w:pPr>
            <w:r w:rsidRPr="00B176CF">
              <w:rPr>
                <w:rFonts w:ascii="Arial Narrow" w:hAnsi="Arial Narrow"/>
                <w:b/>
                <w:sz w:val="20"/>
              </w:rPr>
              <w:t>Restriction level:</w:t>
            </w:r>
          </w:p>
        </w:tc>
        <w:tc>
          <w:tcPr>
            <w:tcW w:w="4117" w:type="pct"/>
            <w:gridSpan w:val="6"/>
            <w:tcBorders>
              <w:top w:val="single" w:sz="4" w:space="0" w:color="auto"/>
              <w:left w:val="single" w:sz="4" w:space="0" w:color="auto"/>
              <w:bottom w:val="single" w:sz="4" w:space="0" w:color="auto"/>
              <w:right w:val="single" w:sz="4" w:space="0" w:color="auto"/>
            </w:tcBorders>
          </w:tcPr>
          <w:p w:rsidR="003E5ABE" w:rsidRPr="00B176CF" w:rsidRDefault="003E5ABE" w:rsidP="00BE4C7E">
            <w:pPr>
              <w:keepNext/>
              <w:keepLines/>
              <w:rPr>
                <w:rFonts w:ascii="Arial Narrow" w:hAnsi="Arial Narrow"/>
                <w:sz w:val="20"/>
              </w:rPr>
            </w:pPr>
            <w:r w:rsidRPr="00B176CF">
              <w:rPr>
                <w:rFonts w:ascii="Arial Narrow" w:hAnsi="Arial Narrow" w:cs="Arial"/>
                <w:sz w:val="20"/>
              </w:rPr>
              <w:fldChar w:fldCharType="begin">
                <w:ffData>
                  <w:name w:val=""/>
                  <w:enabled/>
                  <w:calcOnExit w:val="0"/>
                  <w:checkBox>
                    <w:sizeAuto/>
                    <w:default w:val="1"/>
                  </w:checkBox>
                </w:ffData>
              </w:fldChar>
            </w:r>
            <w:r w:rsidRPr="00B176CF">
              <w:rPr>
                <w:rFonts w:ascii="Arial Narrow" w:hAnsi="Arial Narrow" w:cs="Arial"/>
                <w:sz w:val="20"/>
              </w:rPr>
              <w:instrText xml:space="preserve"> FORMCHECKBOX </w:instrText>
            </w:r>
            <w:r w:rsidR="000D2D39">
              <w:rPr>
                <w:rFonts w:ascii="Arial Narrow" w:hAnsi="Arial Narrow" w:cs="Arial"/>
                <w:sz w:val="20"/>
              </w:rPr>
            </w:r>
            <w:r w:rsidR="000D2D39">
              <w:rPr>
                <w:rFonts w:ascii="Arial Narrow" w:hAnsi="Arial Narrow" w:cs="Arial"/>
                <w:sz w:val="20"/>
              </w:rPr>
              <w:fldChar w:fldCharType="separate"/>
            </w:r>
            <w:r w:rsidRPr="00B176CF">
              <w:rPr>
                <w:rFonts w:ascii="Arial Narrow" w:hAnsi="Arial Narrow" w:cs="Arial"/>
                <w:sz w:val="20"/>
              </w:rPr>
              <w:fldChar w:fldCharType="end"/>
            </w:r>
            <w:r w:rsidRPr="00B176CF">
              <w:rPr>
                <w:rFonts w:ascii="Arial Narrow" w:hAnsi="Arial Narrow" w:cs="Arial"/>
                <w:sz w:val="20"/>
              </w:rPr>
              <w:t>Authority Required - In Writing</w:t>
            </w:r>
          </w:p>
        </w:tc>
      </w:tr>
      <w:tr w:rsidR="003E5ABE" w:rsidRPr="00B176CF" w:rsidTr="003E5ABE">
        <w:trPr>
          <w:cantSplit/>
          <w:trHeight w:val="341"/>
        </w:trPr>
        <w:tc>
          <w:tcPr>
            <w:tcW w:w="883" w:type="pct"/>
            <w:tcBorders>
              <w:top w:val="single" w:sz="4" w:space="0" w:color="auto"/>
              <w:left w:val="single" w:sz="4" w:space="0" w:color="auto"/>
              <w:bottom w:val="single" w:sz="4" w:space="0" w:color="auto"/>
              <w:right w:val="single" w:sz="4" w:space="0" w:color="auto"/>
            </w:tcBorders>
          </w:tcPr>
          <w:p w:rsidR="003E5ABE" w:rsidRPr="00B176CF" w:rsidRDefault="003E5ABE" w:rsidP="00BE4C7E">
            <w:pPr>
              <w:keepNext/>
              <w:keepLines/>
              <w:rPr>
                <w:rFonts w:ascii="Arial Narrow" w:hAnsi="Arial Narrow"/>
                <w:sz w:val="20"/>
              </w:rPr>
            </w:pPr>
            <w:r w:rsidRPr="00B176CF">
              <w:rPr>
                <w:rFonts w:ascii="Arial Narrow" w:hAnsi="Arial Narrow"/>
                <w:b/>
                <w:sz w:val="20"/>
              </w:rPr>
              <w:t>Treatment criteria:</w:t>
            </w:r>
          </w:p>
        </w:tc>
        <w:tc>
          <w:tcPr>
            <w:tcW w:w="4117" w:type="pct"/>
            <w:gridSpan w:val="6"/>
            <w:tcBorders>
              <w:top w:val="single" w:sz="4" w:space="0" w:color="auto"/>
              <w:left w:val="single" w:sz="4" w:space="0" w:color="auto"/>
              <w:bottom w:val="single" w:sz="4" w:space="0" w:color="auto"/>
              <w:right w:val="single" w:sz="4" w:space="0" w:color="auto"/>
            </w:tcBorders>
          </w:tcPr>
          <w:p w:rsidR="003E5ABE" w:rsidRPr="00B176CF" w:rsidRDefault="003E5ABE" w:rsidP="00BE4C7E">
            <w:pPr>
              <w:keepNext/>
              <w:keepLines/>
              <w:rPr>
                <w:rFonts w:ascii="Arial Narrow" w:hAnsi="Arial Narrow"/>
                <w:sz w:val="20"/>
              </w:rPr>
            </w:pPr>
            <w:r w:rsidRPr="00B176CF">
              <w:rPr>
                <w:rFonts w:ascii="Arial Narrow" w:hAnsi="Arial Narrow"/>
                <w:sz w:val="20"/>
              </w:rPr>
              <w:t>Must be treated by a paediatric nephrologist  OR</w:t>
            </w:r>
          </w:p>
          <w:p w:rsidR="003E5ABE" w:rsidRPr="00B176CF" w:rsidRDefault="003E5ABE" w:rsidP="00BE4C7E">
            <w:pPr>
              <w:keepNext/>
              <w:keepLines/>
              <w:rPr>
                <w:rFonts w:ascii="Arial Narrow" w:hAnsi="Arial Narrow"/>
                <w:sz w:val="20"/>
              </w:rPr>
            </w:pPr>
            <w:r w:rsidRPr="00B176CF">
              <w:rPr>
                <w:rFonts w:ascii="Arial Narrow" w:hAnsi="Arial Narrow"/>
                <w:sz w:val="20"/>
              </w:rPr>
              <w:t>Must be treated by a nephrologist</w:t>
            </w:r>
          </w:p>
          <w:p w:rsidR="003E5ABE" w:rsidRPr="00B176CF" w:rsidRDefault="003E5ABE" w:rsidP="00BE4C7E">
            <w:pPr>
              <w:keepNext/>
              <w:keepLines/>
              <w:rPr>
                <w:rFonts w:ascii="Arial Narrow" w:hAnsi="Arial Narrow"/>
                <w:sz w:val="20"/>
              </w:rPr>
            </w:pPr>
            <w:r w:rsidRPr="00B176CF">
              <w:rPr>
                <w:rFonts w:ascii="Arial Narrow" w:hAnsi="Arial Narrow"/>
                <w:sz w:val="20"/>
              </w:rPr>
              <w:t xml:space="preserve">AND </w:t>
            </w:r>
          </w:p>
          <w:p w:rsidR="003E5ABE" w:rsidRPr="00B176CF" w:rsidRDefault="003E5ABE" w:rsidP="00BE4C7E">
            <w:pPr>
              <w:keepNext/>
              <w:keepLines/>
              <w:rPr>
                <w:rFonts w:ascii="Arial Narrow" w:hAnsi="Arial Narrow"/>
                <w:sz w:val="20"/>
              </w:rPr>
            </w:pPr>
            <w:r w:rsidRPr="00B176CF">
              <w:rPr>
                <w:rFonts w:ascii="Arial Narrow" w:hAnsi="Arial Narrow"/>
                <w:sz w:val="20"/>
              </w:rPr>
              <w:t>Must be treated in a transplant unit.</w:t>
            </w:r>
          </w:p>
        </w:tc>
      </w:tr>
      <w:tr w:rsidR="003E5ABE" w:rsidRPr="00B176CF" w:rsidTr="003E5ABE">
        <w:trPr>
          <w:trHeight w:val="354"/>
        </w:trPr>
        <w:tc>
          <w:tcPr>
            <w:tcW w:w="883" w:type="pct"/>
            <w:tcBorders>
              <w:top w:val="single" w:sz="4" w:space="0" w:color="auto"/>
              <w:left w:val="single" w:sz="4" w:space="0" w:color="auto"/>
              <w:bottom w:val="single" w:sz="4" w:space="0" w:color="auto"/>
              <w:right w:val="single" w:sz="4" w:space="0" w:color="auto"/>
            </w:tcBorders>
          </w:tcPr>
          <w:p w:rsidR="003E5ABE" w:rsidRPr="00B176CF" w:rsidRDefault="003E5ABE" w:rsidP="00BE4C7E">
            <w:pPr>
              <w:keepNext/>
              <w:keepLines/>
              <w:jc w:val="both"/>
              <w:rPr>
                <w:rFonts w:ascii="Arial Narrow" w:hAnsi="Arial Narrow"/>
                <w:b/>
                <w:sz w:val="20"/>
              </w:rPr>
            </w:pPr>
            <w:r w:rsidRPr="00B176CF">
              <w:rPr>
                <w:rFonts w:ascii="Arial Narrow" w:hAnsi="Arial Narrow"/>
                <w:b/>
                <w:sz w:val="20"/>
              </w:rPr>
              <w:t>Clinical criteria:</w:t>
            </w:r>
          </w:p>
        </w:tc>
        <w:tc>
          <w:tcPr>
            <w:tcW w:w="4117" w:type="pct"/>
            <w:gridSpan w:val="6"/>
            <w:tcBorders>
              <w:top w:val="single" w:sz="4" w:space="0" w:color="auto"/>
              <w:left w:val="single" w:sz="4" w:space="0" w:color="auto"/>
              <w:bottom w:val="single" w:sz="4" w:space="0" w:color="auto"/>
              <w:right w:val="single" w:sz="4" w:space="0" w:color="auto"/>
            </w:tcBorders>
          </w:tcPr>
          <w:p w:rsidR="003E5ABE" w:rsidRPr="00B176CF" w:rsidRDefault="003E5ABE" w:rsidP="00BE4C7E">
            <w:pPr>
              <w:keepNext/>
              <w:keepLines/>
              <w:rPr>
                <w:rFonts w:ascii="Arial Narrow" w:hAnsi="Arial Narrow"/>
                <w:sz w:val="20"/>
              </w:rPr>
            </w:pPr>
            <w:r w:rsidRPr="00B176CF">
              <w:rPr>
                <w:rFonts w:ascii="Arial Narrow" w:hAnsi="Arial Narrow"/>
                <w:sz w:val="20"/>
              </w:rPr>
              <w:t xml:space="preserve">Patient must have had end stage renal disease caused by </w:t>
            </w:r>
            <w:proofErr w:type="spellStart"/>
            <w:r w:rsidRPr="00B176CF">
              <w:rPr>
                <w:rFonts w:ascii="Arial Narrow" w:hAnsi="Arial Narrow"/>
                <w:sz w:val="20"/>
              </w:rPr>
              <w:t>aHUS</w:t>
            </w:r>
            <w:proofErr w:type="spellEnd"/>
          </w:p>
          <w:p w:rsidR="003E5ABE" w:rsidRPr="00B176CF" w:rsidRDefault="003E5ABE" w:rsidP="00BE4C7E">
            <w:pPr>
              <w:keepNext/>
              <w:keepLines/>
              <w:rPr>
                <w:rFonts w:ascii="Arial Narrow" w:hAnsi="Arial Narrow"/>
                <w:sz w:val="20"/>
              </w:rPr>
            </w:pPr>
            <w:r w:rsidRPr="00B176CF">
              <w:rPr>
                <w:rFonts w:ascii="Arial Narrow" w:hAnsi="Arial Narrow"/>
                <w:sz w:val="20"/>
              </w:rPr>
              <w:t xml:space="preserve">AND </w:t>
            </w:r>
          </w:p>
          <w:p w:rsidR="003E5ABE" w:rsidRPr="00B176CF" w:rsidRDefault="003E5ABE" w:rsidP="00BE4C7E">
            <w:pPr>
              <w:keepNext/>
              <w:keepLines/>
              <w:rPr>
                <w:rFonts w:ascii="Arial Narrow" w:hAnsi="Arial Narrow"/>
                <w:sz w:val="20"/>
              </w:rPr>
            </w:pPr>
            <w:r w:rsidRPr="00B176CF">
              <w:rPr>
                <w:rFonts w:ascii="Arial Narrow" w:hAnsi="Arial Narrow"/>
                <w:sz w:val="20"/>
              </w:rPr>
              <w:t>Patient must have undergone a renal allograft</w:t>
            </w:r>
          </w:p>
          <w:p w:rsidR="003E5ABE" w:rsidRPr="00B176CF" w:rsidRDefault="003E5ABE" w:rsidP="00BE4C7E">
            <w:pPr>
              <w:keepNext/>
              <w:keepLines/>
              <w:rPr>
                <w:rFonts w:ascii="Arial Narrow" w:hAnsi="Arial Narrow"/>
                <w:sz w:val="20"/>
              </w:rPr>
            </w:pPr>
            <w:r w:rsidRPr="00B176CF">
              <w:rPr>
                <w:rFonts w:ascii="Arial Narrow" w:hAnsi="Arial Narrow"/>
                <w:sz w:val="20"/>
              </w:rPr>
              <w:t>AND</w:t>
            </w:r>
          </w:p>
          <w:p w:rsidR="003E5ABE" w:rsidRPr="00B176CF" w:rsidRDefault="003E5ABE" w:rsidP="00BE4C7E">
            <w:pPr>
              <w:keepNext/>
              <w:keepLines/>
              <w:rPr>
                <w:rFonts w:ascii="Arial Narrow" w:hAnsi="Arial Narrow"/>
                <w:sz w:val="20"/>
              </w:rPr>
            </w:pPr>
            <w:r w:rsidRPr="00B176CF">
              <w:rPr>
                <w:rFonts w:ascii="Arial Narrow" w:hAnsi="Arial Narrow"/>
                <w:sz w:val="20"/>
              </w:rPr>
              <w:t xml:space="preserve">Patient must have a medium to high risk of recurrent </w:t>
            </w:r>
            <w:proofErr w:type="spellStart"/>
            <w:r w:rsidRPr="00B176CF">
              <w:rPr>
                <w:rFonts w:ascii="Arial Narrow" w:hAnsi="Arial Narrow"/>
                <w:sz w:val="20"/>
              </w:rPr>
              <w:t>aHUS</w:t>
            </w:r>
            <w:proofErr w:type="spellEnd"/>
            <w:r w:rsidRPr="00B176CF">
              <w:rPr>
                <w:rFonts w:ascii="Arial Narrow" w:hAnsi="Arial Narrow"/>
                <w:sz w:val="20"/>
              </w:rPr>
              <w:t xml:space="preserve"> in the allograft</w:t>
            </w:r>
          </w:p>
          <w:p w:rsidR="003E5ABE" w:rsidRPr="00B176CF" w:rsidRDefault="003E5ABE" w:rsidP="00BE4C7E">
            <w:pPr>
              <w:keepNext/>
              <w:keepLines/>
              <w:rPr>
                <w:rFonts w:ascii="Arial Narrow" w:hAnsi="Arial Narrow"/>
                <w:sz w:val="20"/>
              </w:rPr>
            </w:pPr>
            <w:r w:rsidRPr="00B176CF">
              <w:rPr>
                <w:rFonts w:ascii="Arial Narrow" w:hAnsi="Arial Narrow"/>
                <w:sz w:val="20"/>
              </w:rPr>
              <w:t>AND</w:t>
            </w:r>
          </w:p>
          <w:p w:rsidR="003E5ABE" w:rsidRPr="00B176CF" w:rsidRDefault="003E5ABE" w:rsidP="00BE4C7E">
            <w:pPr>
              <w:keepNext/>
              <w:keepLines/>
              <w:rPr>
                <w:rFonts w:ascii="Arial Narrow" w:hAnsi="Arial Narrow"/>
                <w:sz w:val="20"/>
              </w:rPr>
            </w:pPr>
            <w:r w:rsidRPr="00B176CF">
              <w:rPr>
                <w:rFonts w:ascii="Arial Narrow" w:hAnsi="Arial Narrow"/>
                <w:sz w:val="20"/>
              </w:rPr>
              <w:t xml:space="preserve">The treatment must be limited to a maximum duration of </w:t>
            </w:r>
            <w:r w:rsidR="00C90F8F" w:rsidRPr="00B176CF">
              <w:rPr>
                <w:rFonts w:ascii="Arial Narrow" w:hAnsi="Arial Narrow"/>
                <w:strike/>
                <w:sz w:val="20"/>
              </w:rPr>
              <w:t>10 weeks</w:t>
            </w:r>
            <w:r w:rsidRPr="00E013EC">
              <w:rPr>
                <w:rFonts w:ascii="Arial Narrow" w:hAnsi="Arial Narrow"/>
                <w:i/>
                <w:sz w:val="20"/>
              </w:rPr>
              <w:t>12 months</w:t>
            </w:r>
            <w:r w:rsidRPr="00B176CF">
              <w:rPr>
                <w:rFonts w:ascii="Arial Narrow" w:hAnsi="Arial Narrow"/>
                <w:sz w:val="20"/>
              </w:rPr>
              <w:t>.</w:t>
            </w:r>
          </w:p>
        </w:tc>
      </w:tr>
      <w:tr w:rsidR="003E5ABE" w:rsidRPr="00B176CF" w:rsidTr="003E5ABE">
        <w:trPr>
          <w:trHeight w:val="354"/>
        </w:trPr>
        <w:tc>
          <w:tcPr>
            <w:tcW w:w="883" w:type="pct"/>
            <w:tcBorders>
              <w:top w:val="single" w:sz="4" w:space="0" w:color="auto"/>
              <w:left w:val="single" w:sz="4" w:space="0" w:color="auto"/>
              <w:bottom w:val="single" w:sz="4" w:space="0" w:color="auto"/>
              <w:right w:val="single" w:sz="4" w:space="0" w:color="auto"/>
            </w:tcBorders>
          </w:tcPr>
          <w:p w:rsidR="003E5ABE" w:rsidRPr="00B176CF" w:rsidRDefault="003E5ABE" w:rsidP="00BE4C7E">
            <w:pPr>
              <w:keepNext/>
              <w:keepLines/>
              <w:jc w:val="both"/>
              <w:rPr>
                <w:rFonts w:ascii="Arial Narrow" w:hAnsi="Arial Narrow"/>
                <w:b/>
                <w:sz w:val="20"/>
              </w:rPr>
            </w:pPr>
            <w:r w:rsidRPr="00B176CF">
              <w:rPr>
                <w:rFonts w:ascii="Arial Narrow" w:hAnsi="Arial Narrow"/>
                <w:b/>
                <w:sz w:val="20"/>
              </w:rPr>
              <w:t>Administrative Advice</w:t>
            </w:r>
          </w:p>
          <w:p w:rsidR="003E5ABE" w:rsidRPr="00B176CF" w:rsidRDefault="003E5ABE" w:rsidP="00BE4C7E">
            <w:pPr>
              <w:keepNext/>
              <w:keepLines/>
              <w:jc w:val="both"/>
              <w:rPr>
                <w:rFonts w:ascii="Arial Narrow" w:hAnsi="Arial Narrow"/>
                <w:sz w:val="20"/>
              </w:rPr>
            </w:pPr>
          </w:p>
        </w:tc>
        <w:tc>
          <w:tcPr>
            <w:tcW w:w="4117" w:type="pct"/>
            <w:gridSpan w:val="6"/>
            <w:tcBorders>
              <w:top w:val="single" w:sz="4" w:space="0" w:color="auto"/>
              <w:left w:val="single" w:sz="4" w:space="0" w:color="auto"/>
              <w:bottom w:val="single" w:sz="4" w:space="0" w:color="auto"/>
              <w:right w:val="single" w:sz="4" w:space="0" w:color="auto"/>
            </w:tcBorders>
          </w:tcPr>
          <w:p w:rsidR="003E5ABE" w:rsidRPr="00B176CF" w:rsidRDefault="003E5ABE" w:rsidP="00BE4C7E">
            <w:pPr>
              <w:keepNext/>
              <w:keepLines/>
              <w:rPr>
                <w:rFonts w:ascii="Arial Narrow" w:hAnsi="Arial Narrow"/>
                <w:strike/>
                <w:sz w:val="20"/>
              </w:rPr>
            </w:pPr>
            <w:r w:rsidRPr="00B176CF">
              <w:rPr>
                <w:rFonts w:ascii="Arial Narrow" w:hAnsi="Arial Narrow"/>
                <w:sz w:val="20"/>
              </w:rPr>
              <w:t xml:space="preserve">At the time of authority application, medical practitioners must request the appropriate number of vials to provide sufficient drug for up to </w:t>
            </w:r>
            <w:r w:rsidR="00C90F8F" w:rsidRPr="00B176CF">
              <w:rPr>
                <w:rFonts w:ascii="Arial Narrow" w:hAnsi="Arial Narrow"/>
                <w:strike/>
                <w:sz w:val="20"/>
              </w:rPr>
              <w:t>10 weeks</w:t>
            </w:r>
            <w:r w:rsidRPr="00E013EC">
              <w:rPr>
                <w:rFonts w:ascii="Arial Narrow" w:hAnsi="Arial Narrow"/>
                <w:i/>
                <w:sz w:val="20"/>
              </w:rPr>
              <w:t>12 months</w:t>
            </w:r>
            <w:r w:rsidRPr="00B176CF">
              <w:rPr>
                <w:rFonts w:ascii="Arial Narrow" w:hAnsi="Arial Narrow"/>
                <w:sz w:val="20"/>
              </w:rPr>
              <w:t xml:space="preserve">, according to the specified dosage in the approved Product Information (PI).  </w:t>
            </w:r>
            <w:r w:rsidRPr="00B176CF">
              <w:rPr>
                <w:rFonts w:ascii="Arial Narrow" w:hAnsi="Arial Narrow"/>
                <w:strike/>
                <w:sz w:val="20"/>
              </w:rPr>
              <w:t>The first prescription will provide for up to two weeks’ treatment with no repeats.  The second prescription will provide for up to four weeks’ treatment with one repeat providing for eight weeks’ treatment.</w:t>
            </w:r>
          </w:p>
        </w:tc>
      </w:tr>
    </w:tbl>
    <w:p w:rsidR="00BE4C7E" w:rsidRDefault="00BE4C7E" w:rsidP="00BE4C7E">
      <w:pPr>
        <w:pStyle w:val="TableFooter"/>
        <w:rPr>
          <w:rFonts w:eastAsiaTheme="minorHAnsi"/>
          <w:snapToGrid/>
        </w:rPr>
      </w:pPr>
      <w:proofErr w:type="spellStart"/>
      <w:proofErr w:type="gramStart"/>
      <w:r w:rsidRPr="00B176CF">
        <w:rPr>
          <w:rFonts w:eastAsiaTheme="majorEastAsia"/>
          <w:vertAlign w:val="superscript"/>
        </w:rPr>
        <w:t>a</w:t>
      </w:r>
      <w:proofErr w:type="spellEnd"/>
      <w:proofErr w:type="gramEnd"/>
      <w:r w:rsidRPr="00B176CF">
        <w:rPr>
          <w:rFonts w:eastAsiaTheme="majorEastAsia"/>
        </w:rPr>
        <w:t xml:space="preserve"> </w:t>
      </w:r>
      <w:r w:rsidRPr="00B176CF">
        <w:rPr>
          <w:rFonts w:eastAsiaTheme="minorHAnsi"/>
          <w:snapToGrid/>
        </w:rPr>
        <w:t>The prescriber instructions and remainder of the administrative advice were unchanged</w:t>
      </w:r>
      <w:r w:rsidR="00E2504A" w:rsidRPr="00B176CF">
        <w:rPr>
          <w:rFonts w:eastAsiaTheme="minorHAnsi"/>
          <w:snapToGrid/>
        </w:rPr>
        <w:t xml:space="preserve"> from the restriction recommended by the PBAC in July 2017.</w:t>
      </w:r>
    </w:p>
    <w:p w:rsidR="0033255E" w:rsidRDefault="0033255E" w:rsidP="00BE4C7E">
      <w:pPr>
        <w:pStyle w:val="TableFooter"/>
        <w:rPr>
          <w:rFonts w:eastAsiaTheme="minorHAnsi"/>
          <w:snapToGrid/>
        </w:rPr>
      </w:pPr>
    </w:p>
    <w:p w:rsidR="001A56B5" w:rsidRPr="00B176CF" w:rsidRDefault="00D974FF" w:rsidP="00210B80">
      <w:pPr>
        <w:widowControl w:val="0"/>
        <w:numPr>
          <w:ilvl w:val="1"/>
          <w:numId w:val="5"/>
        </w:numPr>
        <w:spacing w:after="120"/>
        <w:ind w:left="709"/>
        <w:jc w:val="both"/>
        <w:rPr>
          <w:rFonts w:asciiTheme="minorHAnsi" w:eastAsiaTheme="minorHAnsi" w:hAnsiTheme="minorHAnsi" w:cstheme="minorBidi"/>
          <w:szCs w:val="22"/>
        </w:rPr>
      </w:pPr>
      <w:r>
        <w:rPr>
          <w:rFonts w:asciiTheme="minorHAnsi" w:eastAsiaTheme="minorHAnsi" w:hAnsiTheme="minorHAnsi" w:cstheme="minorBidi"/>
          <w:szCs w:val="22"/>
        </w:rPr>
        <w:t xml:space="preserve">The </w:t>
      </w:r>
      <w:r w:rsidR="0029125D">
        <w:rPr>
          <w:rFonts w:asciiTheme="minorHAnsi" w:eastAsiaTheme="minorHAnsi" w:hAnsiTheme="minorHAnsi" w:cstheme="minorBidi"/>
          <w:szCs w:val="22"/>
        </w:rPr>
        <w:t>p</w:t>
      </w:r>
      <w:r>
        <w:rPr>
          <w:rFonts w:asciiTheme="minorHAnsi" w:eastAsiaTheme="minorHAnsi" w:hAnsiTheme="minorHAnsi" w:cstheme="minorBidi"/>
          <w:szCs w:val="22"/>
        </w:rPr>
        <w:t>re-PBAC response revised the restriction</w:t>
      </w:r>
      <w:r w:rsidR="0029125D">
        <w:rPr>
          <w:rFonts w:asciiTheme="minorHAnsi" w:eastAsiaTheme="minorHAnsi" w:hAnsiTheme="minorHAnsi" w:cstheme="minorBidi"/>
          <w:szCs w:val="22"/>
        </w:rPr>
        <w:t>. The key changes were to</w:t>
      </w:r>
      <w:r>
        <w:rPr>
          <w:rFonts w:asciiTheme="minorHAnsi" w:eastAsiaTheme="minorHAnsi" w:hAnsiTheme="minorHAnsi" w:cstheme="minorBidi"/>
          <w:szCs w:val="22"/>
        </w:rPr>
        <w:t xml:space="preserve">: </w:t>
      </w:r>
    </w:p>
    <w:p w:rsidR="00E2504A" w:rsidRPr="00E013EC" w:rsidRDefault="009372DC" w:rsidP="00E013EC">
      <w:pPr>
        <w:pStyle w:val="ListParagraph"/>
        <w:numPr>
          <w:ilvl w:val="0"/>
          <w:numId w:val="18"/>
        </w:numPr>
        <w:spacing w:after="120"/>
        <w:ind w:left="993" w:hanging="284"/>
        <w:contextualSpacing w:val="0"/>
        <w:rPr>
          <w:rFonts w:asciiTheme="minorHAnsi" w:hAnsiTheme="minorHAnsi" w:cs="Times New Roman"/>
          <w:snapToGrid/>
          <w:sz w:val="24"/>
          <w:szCs w:val="24"/>
          <w:lang w:eastAsia="en-AU"/>
        </w:rPr>
      </w:pPr>
      <w:r w:rsidRPr="00E013EC">
        <w:rPr>
          <w:rFonts w:asciiTheme="minorHAnsi" w:hAnsiTheme="minorHAnsi" w:cs="Times New Roman"/>
          <w:snapToGrid/>
          <w:sz w:val="24"/>
          <w:szCs w:val="24"/>
          <w:lang w:eastAsia="en-AU"/>
        </w:rPr>
        <w:t xml:space="preserve">facilitate use in the </w:t>
      </w:r>
      <w:r w:rsidR="00E2504A" w:rsidRPr="00E013EC">
        <w:rPr>
          <w:rFonts w:asciiTheme="minorHAnsi" w:hAnsiTheme="minorHAnsi" w:cs="Times New Roman"/>
          <w:snapToGrid/>
          <w:sz w:val="24"/>
          <w:szCs w:val="24"/>
          <w:lang w:eastAsia="en-AU"/>
        </w:rPr>
        <w:t>peri-transplant</w:t>
      </w:r>
      <w:r w:rsidRPr="00E013EC">
        <w:rPr>
          <w:rFonts w:asciiTheme="minorHAnsi" w:hAnsiTheme="minorHAnsi" w:cs="Times New Roman"/>
          <w:snapToGrid/>
          <w:sz w:val="24"/>
          <w:szCs w:val="24"/>
          <w:lang w:eastAsia="en-AU"/>
        </w:rPr>
        <w:t xml:space="preserve"> setting; </w:t>
      </w:r>
    </w:p>
    <w:p w:rsidR="009372DC" w:rsidRPr="00E013EC" w:rsidRDefault="0029125D" w:rsidP="00E013EC">
      <w:pPr>
        <w:pStyle w:val="ListParagraph"/>
        <w:numPr>
          <w:ilvl w:val="0"/>
          <w:numId w:val="18"/>
        </w:numPr>
        <w:spacing w:after="120"/>
        <w:ind w:left="993" w:hanging="284"/>
        <w:contextualSpacing w:val="0"/>
        <w:rPr>
          <w:rFonts w:asciiTheme="minorHAnsi" w:hAnsiTheme="minorHAnsi" w:cs="Times New Roman"/>
          <w:snapToGrid/>
          <w:sz w:val="24"/>
          <w:szCs w:val="24"/>
          <w:lang w:eastAsia="en-AU"/>
        </w:rPr>
      </w:pPr>
      <w:r w:rsidRPr="00E013EC">
        <w:rPr>
          <w:rFonts w:asciiTheme="minorHAnsi" w:hAnsiTheme="minorHAnsi" w:cs="Times New Roman"/>
          <w:snapToGrid/>
          <w:sz w:val="24"/>
          <w:szCs w:val="24"/>
          <w:lang w:eastAsia="en-AU"/>
        </w:rPr>
        <w:t>p</w:t>
      </w:r>
      <w:r w:rsidR="009372DC" w:rsidRPr="00E013EC">
        <w:rPr>
          <w:rFonts w:asciiTheme="minorHAnsi" w:hAnsiTheme="minorHAnsi" w:cs="Times New Roman"/>
          <w:snapToGrid/>
          <w:sz w:val="24"/>
          <w:szCs w:val="24"/>
          <w:lang w:eastAsia="en-AU"/>
        </w:rPr>
        <w:t>rovide separate initiating and continuing restrictions</w:t>
      </w:r>
      <w:r w:rsidRPr="00E013EC">
        <w:rPr>
          <w:rFonts w:asciiTheme="minorHAnsi" w:hAnsiTheme="minorHAnsi" w:cs="Times New Roman"/>
          <w:snapToGrid/>
          <w:sz w:val="24"/>
          <w:szCs w:val="24"/>
          <w:lang w:eastAsia="en-AU"/>
        </w:rPr>
        <w:t>; and</w:t>
      </w:r>
      <w:r w:rsidR="009372DC" w:rsidRPr="00E013EC">
        <w:rPr>
          <w:rFonts w:asciiTheme="minorHAnsi" w:hAnsiTheme="minorHAnsi" w:cs="Times New Roman"/>
          <w:snapToGrid/>
          <w:sz w:val="24"/>
          <w:szCs w:val="24"/>
          <w:lang w:eastAsia="en-AU"/>
        </w:rPr>
        <w:t xml:space="preserve"> </w:t>
      </w:r>
    </w:p>
    <w:p w:rsidR="009372DC" w:rsidRPr="00B176CF" w:rsidRDefault="0029125D" w:rsidP="00E013EC">
      <w:pPr>
        <w:pStyle w:val="ListParagraph"/>
        <w:numPr>
          <w:ilvl w:val="0"/>
          <w:numId w:val="18"/>
        </w:numPr>
        <w:spacing w:after="120"/>
        <w:ind w:left="993" w:hanging="284"/>
        <w:contextualSpacing w:val="0"/>
        <w:rPr>
          <w:rFonts w:asciiTheme="minorHAnsi" w:hAnsiTheme="minorHAnsi"/>
          <w:sz w:val="24"/>
          <w:szCs w:val="24"/>
        </w:rPr>
      </w:pPr>
      <w:proofErr w:type="gramStart"/>
      <w:r w:rsidRPr="00E013EC">
        <w:rPr>
          <w:rFonts w:asciiTheme="minorHAnsi" w:hAnsiTheme="minorHAnsi" w:cs="Times New Roman"/>
          <w:snapToGrid/>
          <w:sz w:val="24"/>
          <w:szCs w:val="24"/>
          <w:lang w:eastAsia="en-AU"/>
        </w:rPr>
        <w:t>o</w:t>
      </w:r>
      <w:r w:rsidR="009372DC" w:rsidRPr="00E013EC">
        <w:rPr>
          <w:rFonts w:asciiTheme="minorHAnsi" w:hAnsiTheme="minorHAnsi" w:cs="Times New Roman"/>
          <w:snapToGrid/>
          <w:sz w:val="24"/>
          <w:szCs w:val="24"/>
          <w:lang w:eastAsia="en-AU"/>
        </w:rPr>
        <w:t>utline</w:t>
      </w:r>
      <w:proofErr w:type="gramEnd"/>
      <w:r w:rsidR="009372DC" w:rsidRPr="00E013EC">
        <w:rPr>
          <w:rFonts w:asciiTheme="minorHAnsi" w:hAnsiTheme="minorHAnsi" w:cs="Times New Roman"/>
          <w:snapToGrid/>
          <w:sz w:val="24"/>
          <w:szCs w:val="24"/>
          <w:lang w:eastAsia="en-AU"/>
        </w:rPr>
        <w:t xml:space="preserve"> the duration of treatment </w:t>
      </w:r>
      <w:r w:rsidRPr="00E013EC">
        <w:rPr>
          <w:rFonts w:asciiTheme="minorHAnsi" w:hAnsiTheme="minorHAnsi" w:cs="Times New Roman"/>
          <w:snapToGrid/>
          <w:sz w:val="24"/>
          <w:szCs w:val="24"/>
          <w:lang w:eastAsia="en-AU"/>
        </w:rPr>
        <w:t>and the number of repeats intended to</w:t>
      </w:r>
      <w:r w:rsidR="009372DC" w:rsidRPr="00E013EC">
        <w:rPr>
          <w:rFonts w:asciiTheme="minorHAnsi" w:hAnsiTheme="minorHAnsi" w:cs="Times New Roman"/>
          <w:snapToGrid/>
          <w:sz w:val="24"/>
          <w:szCs w:val="24"/>
          <w:lang w:eastAsia="en-AU"/>
        </w:rPr>
        <w:t xml:space="preserve"> be provided with each prescription (four weeks treatment with each prescription,</w:t>
      </w:r>
      <w:r w:rsidR="009372DC">
        <w:rPr>
          <w:rFonts w:asciiTheme="minorHAnsi" w:hAnsiTheme="minorHAnsi"/>
          <w:sz w:val="24"/>
          <w:szCs w:val="24"/>
        </w:rPr>
        <w:t xml:space="preserve"> with no repeats under the initial restriction and 11 repeats under the continuing restriction)</w:t>
      </w:r>
      <w:r>
        <w:rPr>
          <w:rFonts w:asciiTheme="minorHAnsi" w:hAnsiTheme="minorHAnsi"/>
          <w:sz w:val="24"/>
          <w:szCs w:val="24"/>
        </w:rPr>
        <w:t>.</w:t>
      </w:r>
    </w:p>
    <w:p w:rsidR="00C603D4" w:rsidRPr="00B176CF" w:rsidRDefault="00CE10C4" w:rsidP="00696129">
      <w:pPr>
        <w:pStyle w:val="PBACHeading1"/>
        <w:spacing w:before="240" w:after="120"/>
        <w:ind w:left="709" w:hanging="709"/>
        <w:rPr>
          <w:rFonts w:asciiTheme="minorHAnsi" w:hAnsiTheme="minorHAnsi"/>
          <w:sz w:val="32"/>
          <w:szCs w:val="32"/>
        </w:rPr>
      </w:pPr>
      <w:r w:rsidRPr="00B176CF">
        <w:rPr>
          <w:rFonts w:asciiTheme="minorHAnsi" w:hAnsiTheme="minorHAnsi"/>
          <w:sz w:val="32"/>
          <w:szCs w:val="32"/>
        </w:rPr>
        <w:t>Background</w:t>
      </w:r>
    </w:p>
    <w:p w:rsidR="00E151D7" w:rsidRPr="00B176CF" w:rsidRDefault="00E151D7" w:rsidP="00210B80">
      <w:pPr>
        <w:widowControl w:val="0"/>
        <w:numPr>
          <w:ilvl w:val="1"/>
          <w:numId w:val="5"/>
        </w:numPr>
        <w:spacing w:after="120"/>
        <w:ind w:left="709"/>
        <w:jc w:val="both"/>
        <w:rPr>
          <w:rFonts w:asciiTheme="minorHAnsi" w:eastAsiaTheme="minorHAnsi" w:hAnsiTheme="minorHAnsi" w:cstheme="minorBidi"/>
          <w:szCs w:val="22"/>
        </w:rPr>
      </w:pPr>
      <w:proofErr w:type="spellStart"/>
      <w:r w:rsidRPr="00B176CF">
        <w:rPr>
          <w:rFonts w:asciiTheme="minorHAnsi" w:eastAsiaTheme="minorHAnsi" w:hAnsiTheme="minorHAnsi" w:cstheme="minorBidi"/>
          <w:szCs w:val="22"/>
        </w:rPr>
        <w:t>Eculizumab</w:t>
      </w:r>
      <w:proofErr w:type="spellEnd"/>
      <w:r w:rsidRPr="00B176CF">
        <w:rPr>
          <w:rFonts w:asciiTheme="minorHAnsi" w:eastAsiaTheme="minorHAnsi" w:hAnsiTheme="minorHAnsi" w:cstheme="minorBidi"/>
          <w:szCs w:val="22"/>
        </w:rPr>
        <w:t xml:space="preserve"> was TGA registered on the 20 March 2009 for the treatment of patients with paroxysmal nocturnal haemoglobinuria to reduce haemolysis, and was approved for TGA registration for treatment of patients with </w:t>
      </w:r>
      <w:proofErr w:type="spellStart"/>
      <w:r w:rsidRPr="00B176CF">
        <w:rPr>
          <w:rFonts w:asciiTheme="minorHAnsi" w:eastAsiaTheme="minorHAnsi" w:hAnsiTheme="minorHAnsi" w:cstheme="minorBidi"/>
          <w:szCs w:val="22"/>
        </w:rPr>
        <w:t>aHUS</w:t>
      </w:r>
      <w:proofErr w:type="spellEnd"/>
      <w:r w:rsidRPr="00B176CF">
        <w:rPr>
          <w:rFonts w:asciiTheme="minorHAnsi" w:eastAsiaTheme="minorHAnsi" w:hAnsiTheme="minorHAnsi" w:cstheme="minorBidi"/>
          <w:szCs w:val="22"/>
        </w:rPr>
        <w:t xml:space="preserve"> on 3 October 2012. </w:t>
      </w:r>
    </w:p>
    <w:p w:rsidR="00E151D7" w:rsidRPr="00B176CF" w:rsidRDefault="00E151D7" w:rsidP="00210B80">
      <w:pPr>
        <w:widowControl w:val="0"/>
        <w:numPr>
          <w:ilvl w:val="1"/>
          <w:numId w:val="5"/>
        </w:numPr>
        <w:spacing w:after="120"/>
        <w:ind w:left="709"/>
        <w:jc w:val="both"/>
        <w:rPr>
          <w:rFonts w:asciiTheme="minorHAnsi" w:eastAsiaTheme="minorHAnsi" w:hAnsiTheme="minorHAnsi" w:cstheme="minorBidi"/>
          <w:szCs w:val="22"/>
        </w:rPr>
      </w:pPr>
      <w:r w:rsidRPr="00B176CF">
        <w:rPr>
          <w:rFonts w:asciiTheme="minorHAnsi" w:eastAsiaTheme="minorHAnsi" w:hAnsiTheme="minorHAnsi" w:cstheme="minorBidi"/>
          <w:szCs w:val="22"/>
        </w:rPr>
        <w:lastRenderedPageBreak/>
        <w:t xml:space="preserve">This is the fifth submission for </w:t>
      </w:r>
      <w:proofErr w:type="spellStart"/>
      <w:r w:rsidRPr="00B176CF">
        <w:rPr>
          <w:rFonts w:asciiTheme="minorHAnsi" w:eastAsiaTheme="minorHAnsi" w:hAnsiTheme="minorHAnsi" w:cstheme="minorBidi"/>
          <w:szCs w:val="22"/>
        </w:rPr>
        <w:t>eculizumab</w:t>
      </w:r>
      <w:proofErr w:type="spellEnd"/>
      <w:r w:rsidRPr="00B176CF">
        <w:rPr>
          <w:rFonts w:asciiTheme="minorHAnsi" w:eastAsiaTheme="minorHAnsi" w:hAnsiTheme="minorHAnsi" w:cstheme="minorBidi"/>
          <w:szCs w:val="22"/>
        </w:rPr>
        <w:t xml:space="preserve"> to the PBAC for the treatment of </w:t>
      </w:r>
      <w:proofErr w:type="spellStart"/>
      <w:r w:rsidRPr="00B176CF">
        <w:rPr>
          <w:rFonts w:asciiTheme="minorHAnsi" w:eastAsiaTheme="minorHAnsi" w:hAnsiTheme="minorHAnsi" w:cstheme="minorBidi"/>
          <w:szCs w:val="22"/>
        </w:rPr>
        <w:t>aHUS</w:t>
      </w:r>
      <w:proofErr w:type="spellEnd"/>
      <w:r w:rsidRPr="00B176CF">
        <w:rPr>
          <w:rFonts w:asciiTheme="minorHAnsi" w:eastAsiaTheme="minorHAnsi" w:hAnsiTheme="minorHAnsi" w:cstheme="minorBidi"/>
          <w:szCs w:val="22"/>
        </w:rPr>
        <w:t>.</w:t>
      </w:r>
    </w:p>
    <w:p w:rsidR="000566DB" w:rsidRPr="00B176CF" w:rsidRDefault="00267251" w:rsidP="00FF1457">
      <w:pPr>
        <w:spacing w:before="240" w:after="120"/>
        <w:rPr>
          <w:rFonts w:asciiTheme="minorHAnsi" w:hAnsiTheme="minorHAnsi"/>
          <w:b/>
          <w:bCs/>
          <w:iCs/>
        </w:rPr>
      </w:pPr>
      <w:r w:rsidRPr="00B176CF">
        <w:rPr>
          <w:rFonts w:asciiTheme="minorHAnsi" w:hAnsiTheme="minorHAnsi"/>
          <w:b/>
          <w:bCs/>
          <w:iCs/>
        </w:rPr>
        <w:t xml:space="preserve">July 2017 PBAC </w:t>
      </w:r>
      <w:r w:rsidR="00210B80" w:rsidRPr="00B176CF">
        <w:rPr>
          <w:rFonts w:asciiTheme="minorHAnsi" w:hAnsiTheme="minorHAnsi"/>
          <w:b/>
          <w:bCs/>
          <w:iCs/>
        </w:rPr>
        <w:t>consider</w:t>
      </w:r>
      <w:r w:rsidRPr="00B176CF">
        <w:rPr>
          <w:rFonts w:asciiTheme="minorHAnsi" w:hAnsiTheme="minorHAnsi"/>
          <w:b/>
          <w:bCs/>
          <w:iCs/>
        </w:rPr>
        <w:t>ation</w:t>
      </w:r>
    </w:p>
    <w:p w:rsidR="000566DB" w:rsidRPr="00B176CF" w:rsidRDefault="00E151D7" w:rsidP="00210B80">
      <w:pPr>
        <w:widowControl w:val="0"/>
        <w:numPr>
          <w:ilvl w:val="1"/>
          <w:numId w:val="5"/>
        </w:numPr>
        <w:spacing w:after="120"/>
        <w:ind w:left="709"/>
        <w:jc w:val="both"/>
        <w:rPr>
          <w:rFonts w:asciiTheme="minorHAnsi" w:eastAsiaTheme="minorHAnsi" w:hAnsiTheme="minorHAnsi" w:cstheme="minorBidi"/>
          <w:szCs w:val="22"/>
        </w:rPr>
      </w:pPr>
      <w:r w:rsidRPr="00B176CF">
        <w:rPr>
          <w:rFonts w:asciiTheme="minorHAnsi" w:eastAsiaTheme="minorHAnsi" w:hAnsiTheme="minorHAnsi" w:cstheme="minorBidi"/>
          <w:szCs w:val="22"/>
        </w:rPr>
        <w:t xml:space="preserve">The </w:t>
      </w:r>
      <w:r w:rsidR="00267251" w:rsidRPr="00B176CF">
        <w:rPr>
          <w:rFonts w:asciiTheme="minorHAnsi" w:eastAsiaTheme="minorHAnsi" w:hAnsiTheme="minorHAnsi" w:cstheme="minorBidi"/>
          <w:szCs w:val="22"/>
        </w:rPr>
        <w:t>most recent previous submission was considered in July 2017. The</w:t>
      </w:r>
      <w:r w:rsidRPr="00B176CF">
        <w:rPr>
          <w:rFonts w:asciiTheme="minorHAnsi" w:eastAsiaTheme="minorHAnsi" w:hAnsiTheme="minorHAnsi" w:cstheme="minorBidi"/>
          <w:szCs w:val="22"/>
        </w:rPr>
        <w:t xml:space="preserve"> submission </w:t>
      </w:r>
      <w:r w:rsidR="000566DB" w:rsidRPr="00B176CF">
        <w:rPr>
          <w:rFonts w:asciiTheme="minorHAnsi" w:eastAsiaTheme="minorHAnsi" w:hAnsiTheme="minorHAnsi" w:cstheme="minorBidi"/>
          <w:szCs w:val="22"/>
        </w:rPr>
        <w:t xml:space="preserve">requested access to </w:t>
      </w:r>
      <w:proofErr w:type="spellStart"/>
      <w:r w:rsidR="000566DB" w:rsidRPr="00B176CF">
        <w:rPr>
          <w:rFonts w:asciiTheme="minorHAnsi" w:eastAsiaTheme="minorHAnsi" w:hAnsiTheme="minorHAnsi" w:cstheme="minorBidi"/>
          <w:szCs w:val="22"/>
        </w:rPr>
        <w:t>eculizumab</w:t>
      </w:r>
      <w:proofErr w:type="spellEnd"/>
      <w:r w:rsidR="000566DB" w:rsidRPr="00B176CF">
        <w:rPr>
          <w:rFonts w:asciiTheme="minorHAnsi" w:eastAsiaTheme="minorHAnsi" w:hAnsiTheme="minorHAnsi" w:cstheme="minorBidi"/>
          <w:szCs w:val="22"/>
        </w:rPr>
        <w:t xml:space="preserve"> for patients with </w:t>
      </w:r>
      <w:proofErr w:type="spellStart"/>
      <w:r w:rsidR="000566DB" w:rsidRPr="00B176CF">
        <w:rPr>
          <w:rFonts w:asciiTheme="minorHAnsi" w:eastAsiaTheme="minorHAnsi" w:hAnsiTheme="minorHAnsi" w:cstheme="minorBidi"/>
          <w:szCs w:val="22"/>
        </w:rPr>
        <w:t>aHUS</w:t>
      </w:r>
      <w:proofErr w:type="spellEnd"/>
      <w:r w:rsidR="000566DB" w:rsidRPr="00B176CF">
        <w:rPr>
          <w:rFonts w:asciiTheme="minorHAnsi" w:eastAsiaTheme="minorHAnsi" w:hAnsiTheme="minorHAnsi" w:cstheme="minorBidi"/>
          <w:szCs w:val="22"/>
        </w:rPr>
        <w:t xml:space="preserve"> in ESRD on chronic dialysis who are suitable for renal transplantation, and have a medium to high risk of subsequent thrombotic </w:t>
      </w:r>
      <w:proofErr w:type="spellStart"/>
      <w:r w:rsidR="000566DB" w:rsidRPr="00B176CF">
        <w:rPr>
          <w:rFonts w:asciiTheme="minorHAnsi" w:eastAsiaTheme="minorHAnsi" w:hAnsiTheme="minorHAnsi" w:cstheme="minorBidi"/>
          <w:szCs w:val="22"/>
        </w:rPr>
        <w:t>microangiopathy</w:t>
      </w:r>
      <w:proofErr w:type="spellEnd"/>
      <w:r w:rsidR="000566DB" w:rsidRPr="00B176CF">
        <w:rPr>
          <w:rFonts w:asciiTheme="minorHAnsi" w:eastAsiaTheme="minorHAnsi" w:hAnsiTheme="minorHAnsi" w:cstheme="minorBidi"/>
          <w:szCs w:val="22"/>
        </w:rPr>
        <w:t xml:space="preserve"> (TMA), without the requirement for evidence of active, progressive TMA, to prevent recurrence of TMA and graft loss. </w:t>
      </w:r>
    </w:p>
    <w:p w:rsidR="00210B80" w:rsidRPr="00B176CF" w:rsidRDefault="00210B80" w:rsidP="00210B80">
      <w:pPr>
        <w:widowControl w:val="0"/>
        <w:numPr>
          <w:ilvl w:val="1"/>
          <w:numId w:val="5"/>
        </w:numPr>
        <w:spacing w:after="120"/>
        <w:ind w:left="709"/>
        <w:jc w:val="both"/>
        <w:rPr>
          <w:rFonts w:asciiTheme="minorHAnsi" w:eastAsiaTheme="minorHAnsi" w:hAnsiTheme="minorHAnsi" w:cstheme="minorBidi"/>
          <w:szCs w:val="22"/>
        </w:rPr>
      </w:pPr>
      <w:r w:rsidRPr="00B176CF">
        <w:rPr>
          <w:rFonts w:asciiTheme="minorHAnsi" w:eastAsiaTheme="minorHAnsi" w:hAnsiTheme="minorHAnsi" w:cstheme="minorBidi"/>
          <w:szCs w:val="22"/>
        </w:rPr>
        <w:t xml:space="preserve">Specifically, the submission requested initiation of </w:t>
      </w:r>
      <w:proofErr w:type="spellStart"/>
      <w:r w:rsidRPr="00B176CF">
        <w:rPr>
          <w:rFonts w:asciiTheme="minorHAnsi" w:eastAsiaTheme="minorHAnsi" w:hAnsiTheme="minorHAnsi" w:cstheme="minorBidi"/>
          <w:szCs w:val="22"/>
        </w:rPr>
        <w:t>eculizumab</w:t>
      </w:r>
      <w:proofErr w:type="spellEnd"/>
      <w:r w:rsidRPr="00B176CF">
        <w:rPr>
          <w:rFonts w:asciiTheme="minorHAnsi" w:eastAsiaTheme="minorHAnsi" w:hAnsiTheme="minorHAnsi" w:cstheme="minorBidi"/>
          <w:szCs w:val="22"/>
        </w:rPr>
        <w:t xml:space="preserve"> at the time of renal transplantation (peri-transplantation), and sustained access to </w:t>
      </w:r>
      <w:proofErr w:type="spellStart"/>
      <w:r w:rsidRPr="00B176CF">
        <w:rPr>
          <w:rFonts w:asciiTheme="minorHAnsi" w:eastAsiaTheme="minorHAnsi" w:hAnsiTheme="minorHAnsi" w:cstheme="minorBidi"/>
          <w:szCs w:val="22"/>
        </w:rPr>
        <w:t>eculizumab</w:t>
      </w:r>
      <w:proofErr w:type="spellEnd"/>
      <w:r w:rsidRPr="00B176CF">
        <w:rPr>
          <w:rFonts w:asciiTheme="minorHAnsi" w:eastAsiaTheme="minorHAnsi" w:hAnsiTheme="minorHAnsi" w:cstheme="minorBidi"/>
          <w:szCs w:val="22"/>
        </w:rPr>
        <w:t xml:space="preserve"> post-transplantation to protect the renal allograft. Further, the submission’s proposed restriction did not exclude patients who have previously failed </w:t>
      </w:r>
      <w:proofErr w:type="spellStart"/>
      <w:r w:rsidRPr="00B176CF">
        <w:rPr>
          <w:rFonts w:asciiTheme="minorHAnsi" w:eastAsiaTheme="minorHAnsi" w:hAnsiTheme="minorHAnsi" w:cstheme="minorBidi"/>
          <w:szCs w:val="22"/>
        </w:rPr>
        <w:t>eculizumab</w:t>
      </w:r>
      <w:proofErr w:type="spellEnd"/>
      <w:r w:rsidRPr="00B176CF">
        <w:rPr>
          <w:rFonts w:asciiTheme="minorHAnsi" w:eastAsiaTheme="minorHAnsi" w:hAnsiTheme="minorHAnsi" w:cstheme="minorBidi"/>
          <w:szCs w:val="22"/>
        </w:rPr>
        <w:t>.</w:t>
      </w:r>
    </w:p>
    <w:p w:rsidR="00267251" w:rsidRPr="00B176CF" w:rsidRDefault="00210B80" w:rsidP="00210B80">
      <w:pPr>
        <w:widowControl w:val="0"/>
        <w:numPr>
          <w:ilvl w:val="1"/>
          <w:numId w:val="5"/>
        </w:numPr>
        <w:spacing w:after="120"/>
        <w:ind w:left="709"/>
        <w:jc w:val="both"/>
        <w:rPr>
          <w:rFonts w:asciiTheme="minorHAnsi" w:hAnsiTheme="minorHAnsi"/>
        </w:rPr>
      </w:pPr>
      <w:r w:rsidRPr="00B176CF">
        <w:rPr>
          <w:rFonts w:asciiTheme="minorHAnsi" w:hAnsiTheme="minorHAnsi"/>
        </w:rPr>
        <w:t>In its consideration of that submission</w:t>
      </w:r>
      <w:r w:rsidR="00267251" w:rsidRPr="00B176CF">
        <w:rPr>
          <w:rFonts w:asciiTheme="minorHAnsi" w:hAnsiTheme="minorHAnsi"/>
        </w:rPr>
        <w:t xml:space="preserve">, the PBAC recommended extending the listing of </w:t>
      </w:r>
      <w:proofErr w:type="spellStart"/>
      <w:r w:rsidR="00267251" w:rsidRPr="00B176CF">
        <w:rPr>
          <w:rFonts w:asciiTheme="minorHAnsi" w:hAnsiTheme="minorHAnsi"/>
        </w:rPr>
        <w:t>eculizumab</w:t>
      </w:r>
      <w:proofErr w:type="spellEnd"/>
      <w:r w:rsidR="00267251" w:rsidRPr="00B176CF">
        <w:rPr>
          <w:rFonts w:asciiTheme="minorHAnsi" w:hAnsiTheme="minorHAnsi"/>
        </w:rPr>
        <w:t xml:space="preserve"> to include prevention of </w:t>
      </w:r>
      <w:proofErr w:type="spellStart"/>
      <w:r w:rsidR="00267251" w:rsidRPr="00B176CF">
        <w:rPr>
          <w:rFonts w:asciiTheme="minorHAnsi" w:hAnsiTheme="minorHAnsi"/>
        </w:rPr>
        <w:t>aHUS</w:t>
      </w:r>
      <w:proofErr w:type="spellEnd"/>
      <w:r w:rsidR="00267251" w:rsidRPr="00B176CF">
        <w:rPr>
          <w:rFonts w:asciiTheme="minorHAnsi" w:hAnsiTheme="minorHAnsi"/>
        </w:rPr>
        <w:t xml:space="preserve"> in patients at moderate-high risk of recurrence who have received a renal allograft for ESRD due to </w:t>
      </w:r>
      <w:proofErr w:type="spellStart"/>
      <w:r w:rsidR="00267251" w:rsidRPr="00B176CF">
        <w:rPr>
          <w:rFonts w:asciiTheme="minorHAnsi" w:hAnsiTheme="minorHAnsi"/>
        </w:rPr>
        <w:t>aHUS</w:t>
      </w:r>
      <w:proofErr w:type="spellEnd"/>
      <w:r w:rsidR="00267251" w:rsidRPr="00B176CF">
        <w:rPr>
          <w:rFonts w:asciiTheme="minorHAnsi" w:hAnsiTheme="minorHAnsi"/>
        </w:rPr>
        <w:t xml:space="preserve">, irrespective of whether they have previously been successfully treated with </w:t>
      </w:r>
      <w:proofErr w:type="spellStart"/>
      <w:r w:rsidR="00267251" w:rsidRPr="00B176CF">
        <w:rPr>
          <w:rFonts w:asciiTheme="minorHAnsi" w:hAnsiTheme="minorHAnsi"/>
        </w:rPr>
        <w:t>eculizumab</w:t>
      </w:r>
      <w:proofErr w:type="spellEnd"/>
      <w:r w:rsidR="00267251" w:rsidRPr="00B176CF">
        <w:rPr>
          <w:rFonts w:asciiTheme="minorHAnsi" w:hAnsiTheme="minorHAnsi"/>
        </w:rPr>
        <w:t xml:space="preserve"> for </w:t>
      </w:r>
      <w:proofErr w:type="spellStart"/>
      <w:r w:rsidR="00267251" w:rsidRPr="00B176CF">
        <w:rPr>
          <w:rFonts w:asciiTheme="minorHAnsi" w:hAnsiTheme="minorHAnsi"/>
        </w:rPr>
        <w:t>aHUS</w:t>
      </w:r>
      <w:proofErr w:type="spellEnd"/>
      <w:r w:rsidR="00267251" w:rsidRPr="00B176CF">
        <w:rPr>
          <w:rFonts w:asciiTheme="minorHAnsi" w:hAnsiTheme="minorHAnsi"/>
        </w:rPr>
        <w:t xml:space="preserve"> (</w:t>
      </w:r>
      <w:r w:rsidR="00057AD4" w:rsidRPr="00B176CF">
        <w:rPr>
          <w:rFonts w:asciiTheme="minorHAnsi" w:hAnsiTheme="minorHAnsi"/>
        </w:rPr>
        <w:t xml:space="preserve">July 2017 PBAC </w:t>
      </w:r>
      <w:r w:rsidR="00B55D26">
        <w:rPr>
          <w:rFonts w:asciiTheme="minorHAnsi" w:hAnsiTheme="minorHAnsi"/>
        </w:rPr>
        <w:t>Public Summary Document</w:t>
      </w:r>
      <w:r w:rsidR="00057AD4" w:rsidRPr="00B176CF">
        <w:rPr>
          <w:rFonts w:asciiTheme="minorHAnsi" w:hAnsiTheme="minorHAnsi"/>
        </w:rPr>
        <w:t>, para 7.1)</w:t>
      </w:r>
      <w:r w:rsidR="00267251" w:rsidRPr="00B176CF">
        <w:rPr>
          <w:rFonts w:asciiTheme="minorHAnsi" w:hAnsiTheme="minorHAnsi"/>
        </w:rPr>
        <w:t xml:space="preserve">. </w:t>
      </w:r>
    </w:p>
    <w:p w:rsidR="009A77F4" w:rsidRPr="00B176CF" w:rsidRDefault="009A77F4" w:rsidP="00210B80">
      <w:pPr>
        <w:spacing w:after="120"/>
        <w:rPr>
          <w:rFonts w:asciiTheme="minorHAnsi" w:hAnsiTheme="minorHAnsi"/>
          <w:u w:val="single"/>
        </w:rPr>
      </w:pPr>
      <w:r w:rsidRPr="00B176CF">
        <w:rPr>
          <w:rFonts w:asciiTheme="minorHAnsi" w:hAnsiTheme="minorHAnsi"/>
          <w:u w:val="single"/>
        </w:rPr>
        <w:t>Treatment duration following renal transplant (in patients without active, progressive TMA)</w:t>
      </w:r>
    </w:p>
    <w:p w:rsidR="00530EB0" w:rsidRPr="00B176CF" w:rsidRDefault="00530EB0" w:rsidP="000F4DA8">
      <w:pPr>
        <w:widowControl w:val="0"/>
        <w:numPr>
          <w:ilvl w:val="1"/>
          <w:numId w:val="5"/>
        </w:numPr>
        <w:spacing w:after="120"/>
        <w:ind w:left="709"/>
        <w:jc w:val="both"/>
        <w:rPr>
          <w:rFonts w:asciiTheme="minorHAnsi" w:hAnsiTheme="minorHAnsi"/>
        </w:rPr>
      </w:pPr>
      <w:r w:rsidRPr="00B176CF">
        <w:rPr>
          <w:rFonts w:asciiTheme="minorHAnsi" w:hAnsiTheme="minorHAnsi"/>
        </w:rPr>
        <w:t>The PBAC considered that initial treatment in this</w:t>
      </w:r>
      <w:r w:rsidR="00057AD4" w:rsidRPr="00B176CF">
        <w:rPr>
          <w:rFonts w:asciiTheme="minorHAnsi" w:hAnsiTheme="minorHAnsi"/>
        </w:rPr>
        <w:t xml:space="preserve"> setting should be limited to 3 </w:t>
      </w:r>
      <w:r w:rsidRPr="00B176CF">
        <w:rPr>
          <w:rFonts w:asciiTheme="minorHAnsi" w:hAnsiTheme="minorHAnsi"/>
        </w:rPr>
        <w:t>months of treatment post</w:t>
      </w:r>
      <w:r w:rsidR="00F31AA5">
        <w:rPr>
          <w:rFonts w:asciiTheme="minorHAnsi" w:hAnsiTheme="minorHAnsi"/>
        </w:rPr>
        <w:t>-</w:t>
      </w:r>
      <w:r w:rsidRPr="00B176CF">
        <w:rPr>
          <w:rFonts w:asciiTheme="minorHAnsi" w:hAnsiTheme="minorHAnsi"/>
        </w:rPr>
        <w:t xml:space="preserve">transplant (comprising the period of inpatient treatment plus 10 weeks of treatment under the PBS) as this is the highest risk period for </w:t>
      </w:r>
      <w:r w:rsidR="00F31AA5">
        <w:rPr>
          <w:rFonts w:asciiTheme="minorHAnsi" w:hAnsiTheme="minorHAnsi"/>
        </w:rPr>
        <w:t xml:space="preserve">recurrence of </w:t>
      </w:r>
      <w:proofErr w:type="spellStart"/>
      <w:r w:rsidR="00F31AA5">
        <w:rPr>
          <w:rFonts w:asciiTheme="minorHAnsi" w:hAnsiTheme="minorHAnsi"/>
        </w:rPr>
        <w:t>aHU</w:t>
      </w:r>
      <w:r w:rsidRPr="00B176CF">
        <w:rPr>
          <w:rFonts w:asciiTheme="minorHAnsi" w:hAnsiTheme="minorHAnsi"/>
        </w:rPr>
        <w:t>S</w:t>
      </w:r>
      <w:proofErr w:type="spellEnd"/>
      <w:r w:rsidRPr="00B176CF">
        <w:rPr>
          <w:rFonts w:asciiTheme="minorHAnsi" w:hAnsiTheme="minorHAnsi"/>
        </w:rPr>
        <w:t xml:space="preserve">. The PBAC noted that patients with recurrence of </w:t>
      </w:r>
      <w:proofErr w:type="spellStart"/>
      <w:r w:rsidRPr="00B176CF">
        <w:rPr>
          <w:rFonts w:asciiTheme="minorHAnsi" w:hAnsiTheme="minorHAnsi"/>
        </w:rPr>
        <w:t>aHUS</w:t>
      </w:r>
      <w:proofErr w:type="spellEnd"/>
      <w:r w:rsidRPr="00B176CF">
        <w:rPr>
          <w:rFonts w:asciiTheme="minorHAnsi" w:hAnsiTheme="minorHAnsi"/>
        </w:rPr>
        <w:t xml:space="preserve"> after this time would be eligible for </w:t>
      </w:r>
      <w:proofErr w:type="spellStart"/>
      <w:r w:rsidRPr="00B176CF">
        <w:rPr>
          <w:rFonts w:asciiTheme="minorHAnsi" w:hAnsiTheme="minorHAnsi"/>
        </w:rPr>
        <w:t>eculizumab</w:t>
      </w:r>
      <w:proofErr w:type="spellEnd"/>
      <w:r w:rsidRPr="00B176CF">
        <w:rPr>
          <w:rFonts w:asciiTheme="minorHAnsi" w:hAnsiTheme="minorHAnsi"/>
        </w:rPr>
        <w:t xml:space="preserve"> under the current listing (</w:t>
      </w:r>
      <w:r w:rsidR="00057AD4" w:rsidRPr="00B176CF">
        <w:rPr>
          <w:rFonts w:asciiTheme="minorHAnsi" w:hAnsiTheme="minorHAnsi"/>
        </w:rPr>
        <w:t xml:space="preserve">July 2017 PBAC </w:t>
      </w:r>
      <w:r w:rsidR="00B55D26">
        <w:rPr>
          <w:rFonts w:asciiTheme="minorHAnsi" w:hAnsiTheme="minorHAnsi"/>
        </w:rPr>
        <w:t>Public Summary Document</w:t>
      </w:r>
      <w:r w:rsidR="00057AD4" w:rsidRPr="00B176CF">
        <w:rPr>
          <w:rFonts w:asciiTheme="minorHAnsi" w:hAnsiTheme="minorHAnsi"/>
        </w:rPr>
        <w:t>, paras 7.</w:t>
      </w:r>
      <w:r w:rsidRPr="00B176CF">
        <w:rPr>
          <w:rFonts w:asciiTheme="minorHAnsi" w:hAnsiTheme="minorHAnsi"/>
        </w:rPr>
        <w:t>3 and 7.4</w:t>
      </w:r>
      <w:r w:rsidR="00057AD4" w:rsidRPr="00B176CF">
        <w:rPr>
          <w:rFonts w:asciiTheme="minorHAnsi" w:hAnsiTheme="minorHAnsi"/>
        </w:rPr>
        <w:t xml:space="preserve">). </w:t>
      </w:r>
    </w:p>
    <w:p w:rsidR="00EC4BC2" w:rsidRPr="00B176CF" w:rsidRDefault="00EC4BC2" w:rsidP="00057AD4">
      <w:pPr>
        <w:widowControl w:val="0"/>
        <w:numPr>
          <w:ilvl w:val="1"/>
          <w:numId w:val="5"/>
        </w:numPr>
        <w:spacing w:after="120"/>
        <w:ind w:left="709"/>
        <w:jc w:val="both"/>
        <w:rPr>
          <w:rFonts w:asciiTheme="minorHAnsi" w:hAnsiTheme="minorHAnsi"/>
        </w:rPr>
      </w:pPr>
      <w:r w:rsidRPr="00B176CF">
        <w:rPr>
          <w:rFonts w:asciiTheme="minorHAnsi" w:hAnsiTheme="minorHAnsi"/>
        </w:rPr>
        <w:t xml:space="preserve">The PBAC considered that while the data presented to support listing were not particularly robust, consisting of registry data, case series and international guidelines, it was satisfied that prophylactic treatment with </w:t>
      </w:r>
      <w:proofErr w:type="spellStart"/>
      <w:r w:rsidRPr="00B176CF">
        <w:rPr>
          <w:rFonts w:asciiTheme="minorHAnsi" w:hAnsiTheme="minorHAnsi"/>
        </w:rPr>
        <w:t>eculizumab</w:t>
      </w:r>
      <w:proofErr w:type="spellEnd"/>
      <w:r w:rsidRPr="00B176CF">
        <w:rPr>
          <w:rFonts w:asciiTheme="minorHAnsi" w:hAnsiTheme="minorHAnsi"/>
        </w:rPr>
        <w:t xml:space="preserve"> reduced the risk of recurrence of </w:t>
      </w:r>
      <w:proofErr w:type="spellStart"/>
      <w:r w:rsidRPr="00B176CF">
        <w:rPr>
          <w:rFonts w:asciiTheme="minorHAnsi" w:hAnsiTheme="minorHAnsi"/>
        </w:rPr>
        <w:t>aHUS</w:t>
      </w:r>
      <w:proofErr w:type="spellEnd"/>
      <w:r w:rsidRPr="00B176CF">
        <w:rPr>
          <w:rFonts w:asciiTheme="minorHAnsi" w:hAnsiTheme="minorHAnsi"/>
        </w:rPr>
        <w:t xml:space="preserve">, while noting that it was difficult to quantify the level of risk reduction. The PBAC acknowledged that the clinical community as well as the general public was supportive of a listing for this patient group. (July 2017 PBAC </w:t>
      </w:r>
      <w:r w:rsidR="00B55D26">
        <w:rPr>
          <w:rFonts w:asciiTheme="minorHAnsi" w:hAnsiTheme="minorHAnsi"/>
        </w:rPr>
        <w:t>Public Summary Document</w:t>
      </w:r>
      <w:r w:rsidRPr="00B176CF">
        <w:rPr>
          <w:rFonts w:asciiTheme="minorHAnsi" w:hAnsiTheme="minorHAnsi"/>
        </w:rPr>
        <w:t xml:space="preserve">, para 7.5) </w:t>
      </w:r>
    </w:p>
    <w:p w:rsidR="009A77F4" w:rsidRPr="00B176CF" w:rsidRDefault="009A77F4" w:rsidP="00057AD4">
      <w:pPr>
        <w:widowControl w:val="0"/>
        <w:numPr>
          <w:ilvl w:val="1"/>
          <w:numId w:val="5"/>
        </w:numPr>
        <w:spacing w:after="120"/>
        <w:ind w:left="709"/>
        <w:jc w:val="both"/>
        <w:rPr>
          <w:rFonts w:asciiTheme="minorHAnsi" w:hAnsiTheme="minorHAnsi"/>
        </w:rPr>
      </w:pPr>
      <w:r w:rsidRPr="00B176CF">
        <w:rPr>
          <w:rFonts w:asciiTheme="minorHAnsi" w:hAnsiTheme="minorHAnsi"/>
        </w:rPr>
        <w:t xml:space="preserve">As part of its July 2017 consideration, the PBAC recalled the agreed outcomes of </w:t>
      </w:r>
      <w:r w:rsidR="00057AD4" w:rsidRPr="00B176CF">
        <w:rPr>
          <w:rFonts w:asciiTheme="minorHAnsi" w:hAnsiTheme="minorHAnsi"/>
        </w:rPr>
        <w:t xml:space="preserve">a clinical advice meeting that had been held on 12 February 2016 to discuss the place of </w:t>
      </w:r>
      <w:proofErr w:type="spellStart"/>
      <w:r w:rsidR="00057AD4" w:rsidRPr="00B176CF">
        <w:rPr>
          <w:rFonts w:asciiTheme="minorHAnsi" w:hAnsiTheme="minorHAnsi"/>
        </w:rPr>
        <w:t>eculizumab</w:t>
      </w:r>
      <w:proofErr w:type="spellEnd"/>
      <w:r w:rsidR="00057AD4" w:rsidRPr="00B176CF">
        <w:rPr>
          <w:rFonts w:asciiTheme="minorHAnsi" w:hAnsiTheme="minorHAnsi"/>
        </w:rPr>
        <w:t xml:space="preserve"> for the treatment of </w:t>
      </w:r>
      <w:proofErr w:type="spellStart"/>
      <w:r w:rsidR="00057AD4" w:rsidRPr="00B176CF">
        <w:rPr>
          <w:rFonts w:asciiTheme="minorHAnsi" w:hAnsiTheme="minorHAnsi"/>
        </w:rPr>
        <w:t>aHUS</w:t>
      </w:r>
      <w:proofErr w:type="spellEnd"/>
      <w:r w:rsidR="00057AD4" w:rsidRPr="00B176CF">
        <w:rPr>
          <w:rFonts w:asciiTheme="minorHAnsi" w:hAnsiTheme="minorHAnsi"/>
        </w:rPr>
        <w:t xml:space="preserve">. </w:t>
      </w:r>
      <w:r w:rsidRPr="00B176CF">
        <w:rPr>
          <w:rFonts w:asciiTheme="minorHAnsi" w:hAnsiTheme="minorHAnsi"/>
        </w:rPr>
        <w:t xml:space="preserve">These included the following points about ongoing </w:t>
      </w:r>
      <w:proofErr w:type="spellStart"/>
      <w:r w:rsidRPr="00B176CF">
        <w:rPr>
          <w:rFonts w:asciiTheme="minorHAnsi" w:hAnsiTheme="minorHAnsi"/>
        </w:rPr>
        <w:t>eculizumab</w:t>
      </w:r>
      <w:proofErr w:type="spellEnd"/>
      <w:r w:rsidRPr="00B176CF">
        <w:rPr>
          <w:rFonts w:asciiTheme="minorHAnsi" w:hAnsiTheme="minorHAnsi"/>
        </w:rPr>
        <w:t xml:space="preserve"> following renal transplantation:</w:t>
      </w:r>
    </w:p>
    <w:p w:rsidR="004C51D5" w:rsidRPr="00B176CF" w:rsidRDefault="004C51D5" w:rsidP="00057AD4">
      <w:pPr>
        <w:pStyle w:val="ListParagraph"/>
        <w:numPr>
          <w:ilvl w:val="0"/>
          <w:numId w:val="18"/>
        </w:numPr>
        <w:spacing w:after="120"/>
        <w:ind w:left="993" w:hanging="284"/>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 xml:space="preserve">There was no clear consensus among the clinicians regarding the use of ongoing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as a prophylactic measure. Some clinicians would prefer to continue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indefinitely until the triggers of </w:t>
      </w:r>
      <w:proofErr w:type="spellStart"/>
      <w:r w:rsidRPr="00B176CF">
        <w:rPr>
          <w:rFonts w:asciiTheme="minorHAnsi" w:hAnsiTheme="minorHAnsi" w:cs="Times New Roman"/>
          <w:snapToGrid/>
          <w:sz w:val="24"/>
          <w:szCs w:val="24"/>
          <w:lang w:eastAsia="en-AU"/>
        </w:rPr>
        <w:t>aHUS</w:t>
      </w:r>
      <w:proofErr w:type="spellEnd"/>
      <w:r w:rsidRPr="00B176CF">
        <w:rPr>
          <w:rFonts w:asciiTheme="minorHAnsi" w:hAnsiTheme="minorHAnsi" w:cs="Times New Roman"/>
          <w:snapToGrid/>
          <w:sz w:val="24"/>
          <w:szCs w:val="24"/>
          <w:lang w:eastAsia="en-AU"/>
        </w:rPr>
        <w:t xml:space="preserve"> are better understood through further research. Others have developed experience with managing patients who have discontinued the drug and opted to monitor closely for any re-emergence of </w:t>
      </w:r>
      <w:r w:rsidRPr="00B176CF">
        <w:rPr>
          <w:rFonts w:asciiTheme="minorHAnsi" w:hAnsiTheme="minorHAnsi" w:cs="Times New Roman"/>
          <w:snapToGrid/>
          <w:sz w:val="24"/>
          <w:szCs w:val="24"/>
          <w:lang w:eastAsia="en-AU"/>
        </w:rPr>
        <w:lastRenderedPageBreak/>
        <w:t xml:space="preserve">the condition (by platelet count, haemoglobin, dipstick, </w:t>
      </w:r>
      <w:proofErr w:type="spellStart"/>
      <w:r w:rsidRPr="00B176CF">
        <w:rPr>
          <w:rFonts w:asciiTheme="minorHAnsi" w:hAnsiTheme="minorHAnsi" w:cs="Times New Roman"/>
          <w:snapToGrid/>
          <w:sz w:val="24"/>
          <w:szCs w:val="24"/>
          <w:lang w:eastAsia="en-AU"/>
        </w:rPr>
        <w:t>etc</w:t>
      </w:r>
      <w:proofErr w:type="spellEnd"/>
      <w:r w:rsidRPr="00B176CF">
        <w:rPr>
          <w:rFonts w:asciiTheme="minorHAnsi" w:hAnsiTheme="minorHAnsi" w:cs="Times New Roman"/>
          <w:snapToGrid/>
          <w:sz w:val="24"/>
          <w:szCs w:val="24"/>
          <w:lang w:eastAsia="en-AU"/>
        </w:rPr>
        <w:t>).</w:t>
      </w:r>
    </w:p>
    <w:p w:rsidR="004C51D5" w:rsidRPr="00B176CF" w:rsidRDefault="004C51D5" w:rsidP="00057AD4">
      <w:pPr>
        <w:pStyle w:val="ListParagraph"/>
        <w:numPr>
          <w:ilvl w:val="0"/>
          <w:numId w:val="18"/>
        </w:numPr>
        <w:spacing w:after="120"/>
        <w:ind w:left="993" w:hanging="284"/>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 xml:space="preserve">It was considered that clinical decisions about withdrawal of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may, in the future, be guided by high quality testing of complement function and increased understanding of the genetic basis for the disease. It was noted that complement function tests are not widely available at present, but genotyping was increasingly available.</w:t>
      </w:r>
    </w:p>
    <w:p w:rsidR="004C51D5" w:rsidRPr="00B176CF" w:rsidRDefault="004C51D5" w:rsidP="00057AD4">
      <w:pPr>
        <w:pStyle w:val="ListParagraph"/>
        <w:numPr>
          <w:ilvl w:val="0"/>
          <w:numId w:val="18"/>
        </w:numPr>
        <w:spacing w:after="120"/>
        <w:ind w:left="993" w:hanging="284"/>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 xml:space="preserve">It was noted that during the first three months following renal transplantation, patients are exposed to numerous potential triggers for complement activation and </w:t>
      </w:r>
      <w:proofErr w:type="spellStart"/>
      <w:r w:rsidRPr="00B176CF">
        <w:rPr>
          <w:rFonts w:asciiTheme="minorHAnsi" w:hAnsiTheme="minorHAnsi" w:cs="Times New Roman"/>
          <w:snapToGrid/>
          <w:sz w:val="24"/>
          <w:szCs w:val="24"/>
          <w:lang w:eastAsia="en-AU"/>
        </w:rPr>
        <w:t>aHUS</w:t>
      </w:r>
      <w:proofErr w:type="spellEnd"/>
      <w:r w:rsidRPr="00B176CF">
        <w:rPr>
          <w:rFonts w:asciiTheme="minorHAnsi" w:hAnsiTheme="minorHAnsi" w:cs="Times New Roman"/>
          <w:snapToGrid/>
          <w:sz w:val="24"/>
          <w:szCs w:val="24"/>
          <w:lang w:eastAsia="en-AU"/>
        </w:rPr>
        <w:t xml:space="preserve"> recurrence in the post-surgery phase, including </w:t>
      </w:r>
      <w:proofErr w:type="spellStart"/>
      <w:r w:rsidRPr="00B176CF">
        <w:rPr>
          <w:rFonts w:asciiTheme="minorHAnsi" w:hAnsiTheme="minorHAnsi" w:cs="Times New Roman"/>
          <w:snapToGrid/>
          <w:sz w:val="24"/>
          <w:szCs w:val="24"/>
          <w:lang w:eastAsia="en-AU"/>
        </w:rPr>
        <w:t>ischaemia</w:t>
      </w:r>
      <w:proofErr w:type="spellEnd"/>
      <w:r w:rsidRPr="00B176CF">
        <w:rPr>
          <w:rFonts w:asciiTheme="minorHAnsi" w:hAnsiTheme="minorHAnsi" w:cs="Times New Roman"/>
          <w:snapToGrid/>
          <w:sz w:val="24"/>
          <w:szCs w:val="24"/>
          <w:lang w:eastAsia="en-AU"/>
        </w:rPr>
        <w:t xml:space="preserve">-reperfusion injury and the use of </w:t>
      </w:r>
      <w:proofErr w:type="spellStart"/>
      <w:r w:rsidRPr="00B176CF">
        <w:rPr>
          <w:rFonts w:asciiTheme="minorHAnsi" w:hAnsiTheme="minorHAnsi" w:cs="Times New Roman"/>
          <w:snapToGrid/>
          <w:sz w:val="24"/>
          <w:szCs w:val="24"/>
          <w:lang w:eastAsia="en-AU"/>
        </w:rPr>
        <w:t>calcineurin</w:t>
      </w:r>
      <w:proofErr w:type="spellEnd"/>
      <w:r w:rsidRPr="00B176CF">
        <w:rPr>
          <w:rFonts w:asciiTheme="minorHAnsi" w:hAnsiTheme="minorHAnsi" w:cs="Times New Roman"/>
          <w:snapToGrid/>
          <w:sz w:val="24"/>
          <w:szCs w:val="24"/>
          <w:lang w:eastAsia="en-AU"/>
        </w:rPr>
        <w:t xml:space="preserve"> inhibitors. Patient management then changes from three months post-transplant, with a reduction in potential triggers encountered.</w:t>
      </w:r>
    </w:p>
    <w:p w:rsidR="004C51D5" w:rsidRPr="00B176CF" w:rsidRDefault="004C51D5" w:rsidP="00057AD4">
      <w:pPr>
        <w:pStyle w:val="ListParagraph"/>
        <w:numPr>
          <w:ilvl w:val="0"/>
          <w:numId w:val="18"/>
        </w:numPr>
        <w:spacing w:after="120"/>
        <w:ind w:left="993" w:hanging="284"/>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 xml:space="preserve">The issue of alternative diagnosis for TMA in the post-transplant setting was discussed. It was noted that it can be challenging to distinguish </w:t>
      </w:r>
      <w:proofErr w:type="spellStart"/>
      <w:r w:rsidRPr="00B176CF">
        <w:rPr>
          <w:rFonts w:asciiTheme="minorHAnsi" w:hAnsiTheme="minorHAnsi" w:cs="Times New Roman"/>
          <w:snapToGrid/>
          <w:sz w:val="24"/>
          <w:szCs w:val="24"/>
          <w:lang w:eastAsia="en-AU"/>
        </w:rPr>
        <w:t>aHUS</w:t>
      </w:r>
      <w:proofErr w:type="spellEnd"/>
      <w:r w:rsidRPr="00B176CF">
        <w:rPr>
          <w:rFonts w:asciiTheme="minorHAnsi" w:hAnsiTheme="minorHAnsi" w:cs="Times New Roman"/>
          <w:snapToGrid/>
          <w:sz w:val="24"/>
          <w:szCs w:val="24"/>
          <w:lang w:eastAsia="en-AU"/>
        </w:rPr>
        <w:t xml:space="preserve"> from other differential diagnoses. For example antibody-mediated rejection may be present in a patient with thrombocytopenia and a kidney biopsy showing TMA. Complications of </w:t>
      </w:r>
      <w:proofErr w:type="spellStart"/>
      <w:r w:rsidRPr="00B176CF">
        <w:rPr>
          <w:rFonts w:asciiTheme="minorHAnsi" w:hAnsiTheme="minorHAnsi" w:cs="Times New Roman"/>
          <w:snapToGrid/>
          <w:sz w:val="24"/>
          <w:szCs w:val="24"/>
          <w:lang w:eastAsia="en-AU"/>
        </w:rPr>
        <w:t>calcineurin</w:t>
      </w:r>
      <w:proofErr w:type="spellEnd"/>
      <w:r w:rsidRPr="00B176CF">
        <w:rPr>
          <w:rFonts w:asciiTheme="minorHAnsi" w:hAnsiTheme="minorHAnsi" w:cs="Times New Roman"/>
          <w:snapToGrid/>
          <w:sz w:val="24"/>
          <w:szCs w:val="24"/>
          <w:lang w:eastAsia="en-AU"/>
        </w:rPr>
        <w:t xml:space="preserve"> inhibitor (CNI) treatment may also present a challenge to establishing an accurate diagnosis. It was conjectured that some transplant teams may choose to commence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treatment under such circumstances. </w:t>
      </w:r>
    </w:p>
    <w:p w:rsidR="004C51D5" w:rsidRPr="00B176CF" w:rsidRDefault="004C51D5" w:rsidP="00057AD4">
      <w:pPr>
        <w:pStyle w:val="ListParagraph"/>
        <w:numPr>
          <w:ilvl w:val="0"/>
          <w:numId w:val="18"/>
        </w:numPr>
        <w:spacing w:after="120"/>
        <w:ind w:left="993" w:hanging="284"/>
        <w:contextualSpacing w:val="0"/>
        <w:rPr>
          <w:rFonts w:asciiTheme="minorHAnsi" w:hAnsiTheme="minorHAnsi" w:cs="Times New Roman"/>
          <w:snapToGrid/>
          <w:sz w:val="24"/>
          <w:szCs w:val="24"/>
          <w:lang w:eastAsia="en-AU"/>
        </w:rPr>
      </w:pP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would be administered as three further weekly doses of 900mg, with an increase to 1,200mg in the fifth week following transplant and ongoing dosing of 1,200mg every 14 days thereafter. </w:t>
      </w:r>
    </w:p>
    <w:p w:rsidR="004C51D5" w:rsidRPr="00B176CF" w:rsidRDefault="004C51D5" w:rsidP="00057AD4">
      <w:pPr>
        <w:pStyle w:val="ListParagraph"/>
        <w:numPr>
          <w:ilvl w:val="0"/>
          <w:numId w:val="18"/>
        </w:numPr>
        <w:spacing w:after="120"/>
        <w:ind w:left="993" w:hanging="284"/>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 xml:space="preserve">It was noted that the dosing strategy for prophylaxis is the same as for acute management of </w:t>
      </w:r>
      <w:proofErr w:type="spellStart"/>
      <w:r w:rsidRPr="00B176CF">
        <w:rPr>
          <w:rFonts w:asciiTheme="minorHAnsi" w:hAnsiTheme="minorHAnsi" w:cs="Times New Roman"/>
          <w:snapToGrid/>
          <w:sz w:val="24"/>
          <w:szCs w:val="24"/>
          <w:lang w:eastAsia="en-AU"/>
        </w:rPr>
        <w:t>aHUS</w:t>
      </w:r>
      <w:proofErr w:type="spellEnd"/>
      <w:r w:rsidRPr="00B176CF">
        <w:rPr>
          <w:rFonts w:asciiTheme="minorHAnsi" w:hAnsiTheme="minorHAnsi" w:cs="Times New Roman"/>
          <w:snapToGrid/>
          <w:sz w:val="24"/>
          <w:szCs w:val="24"/>
          <w:lang w:eastAsia="en-AU"/>
        </w:rPr>
        <w:t xml:space="preserve">, based on the expectation that the potential TMA triggers encountered post-transplant represent a comparable level of risk to an acute episode. The approved Product Information (PI) provides no specific direction on dosing in peri- or post-transplant settings. Since the TGA registration of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for </w:t>
      </w:r>
      <w:proofErr w:type="spellStart"/>
      <w:r w:rsidRPr="00B176CF">
        <w:rPr>
          <w:rFonts w:asciiTheme="minorHAnsi" w:hAnsiTheme="minorHAnsi" w:cs="Times New Roman"/>
          <w:snapToGrid/>
          <w:sz w:val="24"/>
          <w:szCs w:val="24"/>
          <w:lang w:eastAsia="en-AU"/>
        </w:rPr>
        <w:t>aHUS</w:t>
      </w:r>
      <w:proofErr w:type="spellEnd"/>
      <w:r w:rsidRPr="00B176CF">
        <w:rPr>
          <w:rFonts w:asciiTheme="minorHAnsi" w:hAnsiTheme="minorHAnsi" w:cs="Times New Roman"/>
          <w:snapToGrid/>
          <w:sz w:val="24"/>
          <w:szCs w:val="24"/>
          <w:lang w:eastAsia="en-AU"/>
        </w:rPr>
        <w:t xml:space="preserve"> in October 2012, there have been no published updates on the drug’s pharmacokinetic or </w:t>
      </w:r>
      <w:proofErr w:type="spellStart"/>
      <w:r w:rsidRPr="00B176CF">
        <w:rPr>
          <w:rFonts w:asciiTheme="minorHAnsi" w:hAnsiTheme="minorHAnsi" w:cs="Times New Roman"/>
          <w:snapToGrid/>
          <w:sz w:val="24"/>
          <w:szCs w:val="24"/>
          <w:lang w:eastAsia="en-AU"/>
        </w:rPr>
        <w:t>pharmacodynamic</w:t>
      </w:r>
      <w:proofErr w:type="spellEnd"/>
      <w:r w:rsidRPr="00B176CF">
        <w:rPr>
          <w:rFonts w:asciiTheme="minorHAnsi" w:hAnsiTheme="minorHAnsi" w:cs="Times New Roman"/>
          <w:snapToGrid/>
          <w:sz w:val="24"/>
          <w:szCs w:val="24"/>
          <w:lang w:eastAsia="en-AU"/>
        </w:rPr>
        <w:t xml:space="preserve"> parameters. The absence of recent data to support dose, treatment frequency and treatment duration means that clinicians are forced to develop dosing strategies in the absence of robust evidence. </w:t>
      </w:r>
    </w:p>
    <w:p w:rsidR="002574FB" w:rsidRPr="00507F44" w:rsidRDefault="002574FB" w:rsidP="00507F44">
      <w:pPr>
        <w:widowControl w:val="0"/>
        <w:numPr>
          <w:ilvl w:val="1"/>
          <w:numId w:val="5"/>
        </w:numPr>
        <w:spacing w:after="120"/>
        <w:ind w:left="709"/>
        <w:jc w:val="both"/>
        <w:rPr>
          <w:rFonts w:asciiTheme="minorHAnsi" w:hAnsiTheme="minorHAnsi"/>
        </w:rPr>
      </w:pPr>
      <w:r w:rsidRPr="00B176CF">
        <w:rPr>
          <w:rFonts w:asciiTheme="minorHAnsi" w:hAnsiTheme="minorHAnsi"/>
        </w:rPr>
        <w:t xml:space="preserve">In July 2017, the new evidence that had been provided to support post-transplant and sustained use of </w:t>
      </w:r>
      <w:proofErr w:type="spellStart"/>
      <w:r w:rsidRPr="00B176CF">
        <w:rPr>
          <w:rFonts w:asciiTheme="minorHAnsi" w:hAnsiTheme="minorHAnsi"/>
        </w:rPr>
        <w:t>eculizumab</w:t>
      </w:r>
      <w:proofErr w:type="spellEnd"/>
      <w:r w:rsidRPr="00B176CF">
        <w:rPr>
          <w:rFonts w:asciiTheme="minorHAnsi" w:hAnsiTheme="minorHAnsi"/>
        </w:rPr>
        <w:t xml:space="preserve"> in patients after renal transplantation comprised data from 39 patients, reported in </w:t>
      </w:r>
      <w:proofErr w:type="spellStart"/>
      <w:r w:rsidRPr="00B176CF">
        <w:rPr>
          <w:rFonts w:asciiTheme="minorHAnsi" w:hAnsiTheme="minorHAnsi"/>
        </w:rPr>
        <w:t>Siedlecki</w:t>
      </w:r>
      <w:proofErr w:type="spellEnd"/>
      <w:r w:rsidRPr="00B176CF">
        <w:rPr>
          <w:rFonts w:asciiTheme="minorHAnsi" w:hAnsiTheme="minorHAnsi"/>
        </w:rPr>
        <w:t xml:space="preserve"> et al 2016 (global </w:t>
      </w:r>
      <w:proofErr w:type="spellStart"/>
      <w:r w:rsidRPr="00B176CF">
        <w:rPr>
          <w:rFonts w:asciiTheme="minorHAnsi" w:hAnsiTheme="minorHAnsi"/>
        </w:rPr>
        <w:t>aHUS</w:t>
      </w:r>
      <w:proofErr w:type="spellEnd"/>
      <w:r w:rsidRPr="00B176CF">
        <w:rPr>
          <w:rFonts w:asciiTheme="minorHAnsi" w:hAnsiTheme="minorHAnsi"/>
        </w:rPr>
        <w:t xml:space="preserve"> registry data) and Andrade 2016. In relation to this data, the July 2017 PBAC </w:t>
      </w:r>
      <w:r w:rsidR="00484671">
        <w:rPr>
          <w:rFonts w:asciiTheme="minorHAnsi" w:hAnsiTheme="minorHAnsi"/>
        </w:rPr>
        <w:t>Public Summary Document</w:t>
      </w:r>
      <w:r w:rsidRPr="00B176CF">
        <w:rPr>
          <w:rFonts w:asciiTheme="minorHAnsi" w:hAnsiTheme="minorHAnsi"/>
        </w:rPr>
        <w:t xml:space="preserve"> noted that “the timing of initiation of post-transplant treatment was not reported in </w:t>
      </w:r>
      <w:proofErr w:type="spellStart"/>
      <w:r w:rsidRPr="00B176CF">
        <w:rPr>
          <w:rFonts w:asciiTheme="minorHAnsi" w:hAnsiTheme="minorHAnsi"/>
        </w:rPr>
        <w:t>Siedlecki</w:t>
      </w:r>
      <w:proofErr w:type="spellEnd"/>
      <w:r w:rsidRPr="00B176CF">
        <w:rPr>
          <w:rFonts w:asciiTheme="minorHAnsi" w:hAnsiTheme="minorHAnsi"/>
        </w:rPr>
        <w:t xml:space="preserve"> et al. 2016. It was also not reported if treatment was initiated prophylactically or after reoccurrence of </w:t>
      </w:r>
      <w:proofErr w:type="spellStart"/>
      <w:r w:rsidR="00F31AA5">
        <w:rPr>
          <w:rFonts w:asciiTheme="minorHAnsi" w:hAnsiTheme="minorHAnsi"/>
        </w:rPr>
        <w:t>aHUS</w:t>
      </w:r>
      <w:proofErr w:type="spellEnd"/>
      <w:r w:rsidRPr="00B176CF">
        <w:rPr>
          <w:rFonts w:asciiTheme="minorHAnsi" w:hAnsiTheme="minorHAnsi"/>
        </w:rPr>
        <w:t xml:space="preserve">. This along with a lack of detailed </w:t>
      </w:r>
      <w:r w:rsidRPr="00B176CF">
        <w:rPr>
          <w:rFonts w:asciiTheme="minorHAnsi" w:hAnsiTheme="minorHAnsi"/>
        </w:rPr>
        <w:lastRenderedPageBreak/>
        <w:t>information to allow for a more comprehensive comparison to the patients initiated peri-transplant reduced the value that can be placed on this data.</w:t>
      </w:r>
      <w:r w:rsidR="00C84A86" w:rsidRPr="00B176CF">
        <w:rPr>
          <w:rFonts w:asciiTheme="minorHAnsi" w:hAnsiTheme="minorHAnsi"/>
        </w:rPr>
        <w:t xml:space="preserve">” (July 2017 PBAC </w:t>
      </w:r>
      <w:r w:rsidR="00B55D26">
        <w:rPr>
          <w:rFonts w:asciiTheme="minorHAnsi" w:hAnsiTheme="minorHAnsi"/>
        </w:rPr>
        <w:t>Public Summary Document</w:t>
      </w:r>
      <w:r w:rsidR="00C84A86" w:rsidRPr="00B176CF">
        <w:rPr>
          <w:rFonts w:asciiTheme="minorHAnsi" w:hAnsiTheme="minorHAnsi"/>
        </w:rPr>
        <w:t xml:space="preserve">, para 6.37) </w:t>
      </w:r>
    </w:p>
    <w:p w:rsidR="00530EB0" w:rsidRPr="00B176CF" w:rsidRDefault="00530EB0" w:rsidP="00057AD4">
      <w:pPr>
        <w:spacing w:after="120"/>
        <w:rPr>
          <w:rFonts w:asciiTheme="minorHAnsi" w:hAnsiTheme="minorHAnsi"/>
          <w:u w:val="single"/>
        </w:rPr>
      </w:pPr>
      <w:r w:rsidRPr="00B176CF">
        <w:rPr>
          <w:rFonts w:asciiTheme="minorHAnsi" w:hAnsiTheme="minorHAnsi"/>
          <w:u w:val="single"/>
        </w:rPr>
        <w:t>Inpatient funding</w:t>
      </w:r>
    </w:p>
    <w:p w:rsidR="00267251" w:rsidRPr="00B176CF" w:rsidRDefault="00267251" w:rsidP="004B580E">
      <w:pPr>
        <w:widowControl w:val="0"/>
        <w:numPr>
          <w:ilvl w:val="1"/>
          <w:numId w:val="5"/>
        </w:numPr>
        <w:spacing w:after="120"/>
        <w:ind w:left="709"/>
        <w:jc w:val="both"/>
        <w:rPr>
          <w:rFonts w:asciiTheme="minorHAnsi" w:hAnsiTheme="minorHAnsi"/>
        </w:rPr>
      </w:pPr>
      <w:r w:rsidRPr="00B176CF">
        <w:rPr>
          <w:rFonts w:asciiTheme="minorHAnsi" w:hAnsiTheme="minorHAnsi"/>
        </w:rPr>
        <w:t xml:space="preserve">The July 2017 submission </w:t>
      </w:r>
      <w:r w:rsidR="00EE66B5" w:rsidRPr="00B176CF">
        <w:rPr>
          <w:rFonts w:asciiTheme="minorHAnsi" w:hAnsiTheme="minorHAnsi"/>
        </w:rPr>
        <w:t xml:space="preserve">had </w:t>
      </w:r>
      <w:r w:rsidRPr="00B176CF">
        <w:rPr>
          <w:rFonts w:asciiTheme="minorHAnsi" w:hAnsiTheme="minorHAnsi"/>
        </w:rPr>
        <w:t xml:space="preserve">assumed that PBS subsidised treatment would be initiated as an inpatient and argued that, due to the need for timely access to </w:t>
      </w:r>
      <w:proofErr w:type="spellStart"/>
      <w:r w:rsidRPr="00B176CF">
        <w:rPr>
          <w:rFonts w:asciiTheme="minorHAnsi" w:hAnsiTheme="minorHAnsi"/>
        </w:rPr>
        <w:t>eculizumab</w:t>
      </w:r>
      <w:proofErr w:type="spellEnd"/>
      <w:r w:rsidRPr="00B176CF">
        <w:rPr>
          <w:rFonts w:asciiTheme="minorHAnsi" w:hAnsiTheme="minorHAnsi"/>
        </w:rPr>
        <w:t xml:space="preserve"> when a donor graft becomes available, pre-approval would be needed at the time the patient is activated on the deceased kidney donor list or once a living kidney donor transplantation is scheduled. This would enable drug delivery in advance of the transplant procedure (July 2017 PBAC </w:t>
      </w:r>
      <w:r w:rsidR="00B55D26">
        <w:rPr>
          <w:rFonts w:asciiTheme="minorHAnsi" w:hAnsiTheme="minorHAnsi"/>
        </w:rPr>
        <w:t>Public Summary Document</w:t>
      </w:r>
      <w:r w:rsidRPr="00B176CF">
        <w:rPr>
          <w:rFonts w:asciiTheme="minorHAnsi" w:hAnsiTheme="minorHAnsi"/>
        </w:rPr>
        <w:t>, para 2.3).</w:t>
      </w:r>
    </w:p>
    <w:p w:rsidR="0037378B" w:rsidRPr="00B176CF" w:rsidRDefault="00EC4BC2" w:rsidP="004B580E">
      <w:pPr>
        <w:widowControl w:val="0"/>
        <w:numPr>
          <w:ilvl w:val="1"/>
          <w:numId w:val="5"/>
        </w:numPr>
        <w:spacing w:after="120"/>
        <w:ind w:left="709"/>
        <w:jc w:val="both"/>
        <w:rPr>
          <w:rFonts w:asciiTheme="minorHAnsi" w:hAnsiTheme="minorHAnsi"/>
        </w:rPr>
      </w:pPr>
      <w:r w:rsidRPr="00B176CF">
        <w:rPr>
          <w:rFonts w:asciiTheme="minorHAnsi" w:hAnsiTheme="minorHAnsi"/>
        </w:rPr>
        <w:t xml:space="preserve">In its </w:t>
      </w:r>
      <w:r w:rsidR="0037378B" w:rsidRPr="00B176CF">
        <w:rPr>
          <w:rFonts w:asciiTheme="minorHAnsi" w:hAnsiTheme="minorHAnsi"/>
        </w:rPr>
        <w:t>July 2017</w:t>
      </w:r>
      <w:r w:rsidRPr="00B176CF">
        <w:rPr>
          <w:rFonts w:asciiTheme="minorHAnsi" w:hAnsiTheme="minorHAnsi"/>
        </w:rPr>
        <w:t xml:space="preserve"> consideration, the</w:t>
      </w:r>
      <w:r w:rsidR="0037378B" w:rsidRPr="00B176CF">
        <w:rPr>
          <w:rFonts w:asciiTheme="minorHAnsi" w:hAnsiTheme="minorHAnsi"/>
        </w:rPr>
        <w:t xml:space="preserve"> PBAC “considered that inpatient treatment should not be subsidised by the PBS” (July 2017 PBAC </w:t>
      </w:r>
      <w:r w:rsidR="00B55D26">
        <w:rPr>
          <w:rFonts w:asciiTheme="minorHAnsi" w:hAnsiTheme="minorHAnsi"/>
        </w:rPr>
        <w:t>Public Summary Document</w:t>
      </w:r>
      <w:r w:rsidR="0037378B" w:rsidRPr="00B176CF">
        <w:rPr>
          <w:rFonts w:asciiTheme="minorHAnsi" w:hAnsiTheme="minorHAnsi"/>
        </w:rPr>
        <w:t xml:space="preserve">, para 7.3).  </w:t>
      </w:r>
    </w:p>
    <w:p w:rsidR="00EE66B5" w:rsidRPr="00B176CF" w:rsidRDefault="00EE66B5" w:rsidP="00057AD4">
      <w:pPr>
        <w:widowControl w:val="0"/>
        <w:numPr>
          <w:ilvl w:val="1"/>
          <w:numId w:val="5"/>
        </w:numPr>
        <w:spacing w:after="120"/>
        <w:ind w:left="709"/>
        <w:jc w:val="both"/>
        <w:rPr>
          <w:rFonts w:asciiTheme="minorHAnsi" w:hAnsiTheme="minorHAnsi"/>
        </w:rPr>
      </w:pPr>
      <w:r w:rsidRPr="00B176CF">
        <w:rPr>
          <w:rFonts w:asciiTheme="minorHAnsi" w:hAnsiTheme="minorHAnsi"/>
        </w:rPr>
        <w:t xml:space="preserve">In July 2016, the PBAC noted the report and conclusions of the </w:t>
      </w:r>
      <w:proofErr w:type="spellStart"/>
      <w:r w:rsidRPr="00B176CF">
        <w:rPr>
          <w:rFonts w:asciiTheme="minorHAnsi" w:hAnsiTheme="minorHAnsi"/>
        </w:rPr>
        <w:t>Eculizumab</w:t>
      </w:r>
      <w:proofErr w:type="spellEnd"/>
      <w:r w:rsidRPr="00B176CF">
        <w:rPr>
          <w:rFonts w:asciiTheme="minorHAnsi" w:hAnsiTheme="minorHAnsi"/>
        </w:rPr>
        <w:t xml:space="preserve"> Reference Group into the use of </w:t>
      </w:r>
      <w:proofErr w:type="spellStart"/>
      <w:r w:rsidRPr="00B176CF">
        <w:rPr>
          <w:rFonts w:asciiTheme="minorHAnsi" w:hAnsiTheme="minorHAnsi"/>
        </w:rPr>
        <w:t>eculizumab</w:t>
      </w:r>
      <w:proofErr w:type="spellEnd"/>
      <w:r w:rsidRPr="00B176CF">
        <w:rPr>
          <w:rFonts w:asciiTheme="minorHAnsi" w:hAnsiTheme="minorHAnsi"/>
        </w:rPr>
        <w:t xml:space="preserve"> in the first 12 months of the PBS </w:t>
      </w:r>
      <w:proofErr w:type="spellStart"/>
      <w:r w:rsidRPr="00B176CF">
        <w:rPr>
          <w:rFonts w:asciiTheme="minorHAnsi" w:hAnsiTheme="minorHAnsi"/>
        </w:rPr>
        <w:t>aHUS</w:t>
      </w:r>
      <w:proofErr w:type="spellEnd"/>
      <w:r w:rsidRPr="00B176CF">
        <w:rPr>
          <w:rFonts w:asciiTheme="minorHAnsi" w:hAnsiTheme="minorHAnsi"/>
        </w:rPr>
        <w:t xml:space="preserve"> listing. Amongst other matters, the PBAC considered that:</w:t>
      </w:r>
    </w:p>
    <w:p w:rsidR="00EE66B5" w:rsidRPr="00B176CF" w:rsidRDefault="00EE66B5" w:rsidP="00FF1457">
      <w:pPr>
        <w:pStyle w:val="ListParagraph"/>
        <w:numPr>
          <w:ilvl w:val="0"/>
          <w:numId w:val="18"/>
        </w:numPr>
        <w:spacing w:after="120"/>
        <w:ind w:left="993" w:hanging="284"/>
        <w:contextualSpacing w:val="0"/>
      </w:pPr>
      <w:proofErr w:type="gramStart"/>
      <w:r w:rsidRPr="00B176CF">
        <w:rPr>
          <w:rFonts w:asciiTheme="minorHAnsi" w:hAnsiTheme="minorHAnsi" w:cs="Times New Roman"/>
          <w:snapToGrid/>
          <w:sz w:val="24"/>
          <w:szCs w:val="24"/>
          <w:lang w:eastAsia="en-AU"/>
        </w:rPr>
        <w:t>utilisation</w:t>
      </w:r>
      <w:proofErr w:type="gramEnd"/>
      <w:r w:rsidRPr="00B176CF">
        <w:rPr>
          <w:rFonts w:asciiTheme="minorHAnsi" w:hAnsiTheme="minorHAnsi"/>
          <w:sz w:val="24"/>
          <w:szCs w:val="24"/>
        </w:rPr>
        <w:t xml:space="preserve"> of </w:t>
      </w:r>
      <w:proofErr w:type="spellStart"/>
      <w:r w:rsidRPr="00B176CF">
        <w:rPr>
          <w:rFonts w:asciiTheme="minorHAnsi" w:hAnsiTheme="minorHAnsi"/>
          <w:sz w:val="24"/>
          <w:szCs w:val="24"/>
        </w:rPr>
        <w:t>eculizumab</w:t>
      </w:r>
      <w:proofErr w:type="spellEnd"/>
      <w:r w:rsidRPr="00B176CF">
        <w:rPr>
          <w:rFonts w:asciiTheme="minorHAnsi" w:hAnsiTheme="minorHAnsi"/>
          <w:sz w:val="24"/>
          <w:szCs w:val="24"/>
        </w:rPr>
        <w:t xml:space="preserve"> was inconsistent with the intent of the Committee’s recommendations for the drug.</w:t>
      </w:r>
      <w:r w:rsidRPr="00B176CF">
        <w:t xml:space="preserve"> </w:t>
      </w:r>
    </w:p>
    <w:p w:rsidR="00EE66B5" w:rsidRPr="00B176CF" w:rsidRDefault="00EE66B5" w:rsidP="00FF1457">
      <w:pPr>
        <w:pStyle w:val="ListParagraph"/>
        <w:numPr>
          <w:ilvl w:val="0"/>
          <w:numId w:val="18"/>
        </w:numPr>
        <w:spacing w:after="120"/>
        <w:ind w:left="993" w:hanging="284"/>
        <w:contextualSpacing w:val="0"/>
        <w:rPr>
          <w:rFonts w:asciiTheme="minorHAnsi" w:hAnsiTheme="minorHAnsi"/>
          <w:sz w:val="24"/>
          <w:szCs w:val="24"/>
        </w:rPr>
      </w:pPr>
      <w:r w:rsidRPr="00B176CF">
        <w:rPr>
          <w:rFonts w:asciiTheme="minorHAnsi" w:hAnsiTheme="minorHAnsi"/>
          <w:sz w:val="24"/>
          <w:szCs w:val="24"/>
        </w:rPr>
        <w:t>the larger than expected number of patients (</w:t>
      </w:r>
      <w:r w:rsidR="002D34FC" w:rsidRPr="005271B7">
        <w:rPr>
          <w:rFonts w:asciiTheme="minorHAnsi" w:hAnsiTheme="minorHAnsi"/>
        </w:rPr>
        <w:t>73</w:t>
      </w:r>
      <w:r w:rsidR="002D34FC" w:rsidRPr="00794C02">
        <w:rPr>
          <w:rFonts w:asciiTheme="minorHAnsi" w:hAnsiTheme="minorHAnsi"/>
        </w:rPr>
        <w:t xml:space="preserve"> vs </w:t>
      </w:r>
      <w:r w:rsidR="00D14DDF">
        <w:rPr>
          <w:rFonts w:asciiTheme="minorHAnsi" w:hAnsiTheme="minorHAnsi"/>
          <w:noProof/>
          <w:color w:val="000000"/>
          <w:highlight w:val="black"/>
        </w:rPr>
        <w:t>''''''</w:t>
      </w:r>
      <w:r w:rsidR="002D34FC" w:rsidRPr="00794C02">
        <w:rPr>
          <w:rFonts w:asciiTheme="minorHAnsi" w:hAnsiTheme="minorHAnsi"/>
        </w:rPr>
        <w:t>)</w:t>
      </w:r>
      <w:r w:rsidR="002D34FC" w:rsidRPr="00B176CF">
        <w:rPr>
          <w:rFonts w:asciiTheme="minorHAnsi" w:hAnsiTheme="minorHAnsi"/>
          <w:sz w:val="24"/>
          <w:szCs w:val="24"/>
        </w:rPr>
        <w:t xml:space="preserve"> </w:t>
      </w:r>
      <w:r w:rsidRPr="00B176CF">
        <w:rPr>
          <w:rFonts w:asciiTheme="minorHAnsi" w:hAnsiTheme="minorHAnsi"/>
          <w:sz w:val="24"/>
          <w:szCs w:val="24"/>
        </w:rPr>
        <w:t xml:space="preserve">did not reflect a genuine excess of </w:t>
      </w:r>
      <w:proofErr w:type="spellStart"/>
      <w:r w:rsidRPr="00B176CF">
        <w:rPr>
          <w:rFonts w:asciiTheme="minorHAnsi" w:hAnsiTheme="minorHAnsi"/>
          <w:sz w:val="24"/>
          <w:szCs w:val="24"/>
        </w:rPr>
        <w:t>aHUS</w:t>
      </w:r>
      <w:proofErr w:type="spellEnd"/>
      <w:r w:rsidRPr="00B176CF">
        <w:rPr>
          <w:rFonts w:asciiTheme="minorHAnsi" w:hAnsiTheme="minorHAnsi"/>
          <w:sz w:val="24"/>
          <w:szCs w:val="24"/>
        </w:rPr>
        <w:t xml:space="preserve"> patients, noting the Reference Group’s conclusion that numerous patients who received </w:t>
      </w:r>
      <w:proofErr w:type="spellStart"/>
      <w:r w:rsidRPr="00B176CF">
        <w:rPr>
          <w:rFonts w:asciiTheme="minorHAnsi" w:hAnsiTheme="minorHAnsi"/>
          <w:sz w:val="24"/>
          <w:szCs w:val="24"/>
        </w:rPr>
        <w:t>eculizumab</w:t>
      </w:r>
      <w:proofErr w:type="spellEnd"/>
      <w:r w:rsidRPr="00B176CF">
        <w:rPr>
          <w:rFonts w:asciiTheme="minorHAnsi" w:hAnsiTheme="minorHAnsi"/>
          <w:sz w:val="24"/>
          <w:szCs w:val="24"/>
        </w:rPr>
        <w:t xml:space="preserve"> appear to have had TMA secondary to causes other than </w:t>
      </w:r>
      <w:proofErr w:type="spellStart"/>
      <w:r w:rsidRPr="00B176CF">
        <w:rPr>
          <w:rFonts w:asciiTheme="minorHAnsi" w:hAnsiTheme="minorHAnsi"/>
          <w:sz w:val="24"/>
          <w:szCs w:val="24"/>
        </w:rPr>
        <w:t>aHUS</w:t>
      </w:r>
      <w:proofErr w:type="spellEnd"/>
      <w:r w:rsidRPr="00B176CF">
        <w:rPr>
          <w:rFonts w:asciiTheme="minorHAnsi" w:hAnsiTheme="minorHAnsi"/>
          <w:sz w:val="24"/>
          <w:szCs w:val="24"/>
        </w:rPr>
        <w:t>.</w:t>
      </w:r>
    </w:p>
    <w:p w:rsidR="00B53D46" w:rsidRPr="006B6120" w:rsidRDefault="00B53D46" w:rsidP="00FF1457">
      <w:pPr>
        <w:pStyle w:val="ListParagraph"/>
        <w:numPr>
          <w:ilvl w:val="0"/>
          <w:numId w:val="18"/>
        </w:numPr>
        <w:spacing w:after="120"/>
        <w:ind w:left="993" w:hanging="284"/>
        <w:contextualSpacing w:val="0"/>
        <w:rPr>
          <w:rFonts w:asciiTheme="minorHAnsi" w:hAnsiTheme="minorHAnsi"/>
          <w:sz w:val="24"/>
          <w:szCs w:val="24"/>
        </w:rPr>
      </w:pPr>
      <w:proofErr w:type="gramStart"/>
      <w:r w:rsidRPr="00B176CF">
        <w:rPr>
          <w:rFonts w:asciiTheme="minorHAnsi" w:hAnsiTheme="minorHAnsi"/>
          <w:sz w:val="24"/>
          <w:szCs w:val="24"/>
        </w:rPr>
        <w:t>the</w:t>
      </w:r>
      <w:proofErr w:type="gramEnd"/>
      <w:r w:rsidRPr="00B176CF">
        <w:rPr>
          <w:rFonts w:asciiTheme="minorHAnsi" w:hAnsiTheme="minorHAnsi"/>
          <w:sz w:val="24"/>
          <w:szCs w:val="24"/>
        </w:rPr>
        <w:t xml:space="preserve"> potential for PBS subsidy of </w:t>
      </w:r>
      <w:proofErr w:type="spellStart"/>
      <w:r w:rsidRPr="00B176CF">
        <w:rPr>
          <w:rFonts w:asciiTheme="minorHAnsi" w:hAnsiTheme="minorHAnsi"/>
          <w:sz w:val="24"/>
          <w:szCs w:val="24"/>
        </w:rPr>
        <w:t>eculizumab</w:t>
      </w:r>
      <w:proofErr w:type="spellEnd"/>
      <w:r w:rsidRPr="00B176CF">
        <w:rPr>
          <w:rFonts w:asciiTheme="minorHAnsi" w:hAnsiTheme="minorHAnsi"/>
          <w:sz w:val="24"/>
          <w:szCs w:val="24"/>
        </w:rPr>
        <w:t xml:space="preserve"> for inpatients in public hospital was a contributing factor to the use of the drug in clinical scenarios beyond those recommended by PBAC based on clinical trial data.  The PBAC considered that it would be reasonable for acute inpatient treatment to be initiated and funded by the public hospital, with PBS subsidy to commence once a PBS-eligible patient is ambulatory and has been discharged. (July 2016 </w:t>
      </w:r>
      <w:r w:rsidRPr="006B6120">
        <w:rPr>
          <w:rFonts w:asciiTheme="minorHAnsi" w:hAnsiTheme="minorHAnsi"/>
          <w:sz w:val="24"/>
          <w:szCs w:val="24"/>
        </w:rPr>
        <w:t xml:space="preserve">PBAC </w:t>
      </w:r>
      <w:r w:rsidR="00B55D26" w:rsidRPr="006B6120">
        <w:rPr>
          <w:rFonts w:asciiTheme="minorHAnsi" w:hAnsiTheme="minorHAnsi"/>
          <w:sz w:val="24"/>
          <w:szCs w:val="24"/>
        </w:rPr>
        <w:t>Public Summary Document</w:t>
      </w:r>
      <w:r w:rsidRPr="006B6120">
        <w:rPr>
          <w:rFonts w:asciiTheme="minorHAnsi" w:hAnsiTheme="minorHAnsi"/>
          <w:sz w:val="24"/>
          <w:szCs w:val="24"/>
        </w:rPr>
        <w:t>, para</w:t>
      </w:r>
      <w:r w:rsidR="00EE66B5" w:rsidRPr="006B6120">
        <w:rPr>
          <w:rFonts w:asciiTheme="minorHAnsi" w:hAnsiTheme="minorHAnsi"/>
          <w:sz w:val="24"/>
          <w:szCs w:val="24"/>
        </w:rPr>
        <w:t>s</w:t>
      </w:r>
      <w:r w:rsidRPr="006B6120">
        <w:rPr>
          <w:rFonts w:asciiTheme="minorHAnsi" w:hAnsiTheme="minorHAnsi"/>
          <w:sz w:val="24"/>
          <w:szCs w:val="24"/>
        </w:rPr>
        <w:t xml:space="preserve"> </w:t>
      </w:r>
      <w:r w:rsidR="00EE66B5" w:rsidRPr="006B6120">
        <w:rPr>
          <w:rFonts w:asciiTheme="minorHAnsi" w:hAnsiTheme="minorHAnsi"/>
          <w:sz w:val="24"/>
          <w:szCs w:val="24"/>
        </w:rPr>
        <w:t xml:space="preserve">7.1, 7.2 and </w:t>
      </w:r>
      <w:r w:rsidRPr="006B6120">
        <w:rPr>
          <w:rFonts w:asciiTheme="minorHAnsi" w:hAnsiTheme="minorHAnsi"/>
          <w:sz w:val="24"/>
          <w:szCs w:val="24"/>
        </w:rPr>
        <w:t xml:space="preserve">7.7)  </w:t>
      </w:r>
    </w:p>
    <w:p w:rsidR="00D56B50" w:rsidRDefault="00A73B29" w:rsidP="00D56B50">
      <w:pPr>
        <w:widowControl w:val="0"/>
        <w:numPr>
          <w:ilvl w:val="1"/>
          <w:numId w:val="5"/>
        </w:numPr>
        <w:spacing w:after="120"/>
        <w:ind w:left="709"/>
        <w:jc w:val="both"/>
        <w:rPr>
          <w:rFonts w:asciiTheme="minorHAnsi" w:hAnsiTheme="minorHAnsi"/>
        </w:rPr>
      </w:pPr>
      <w:r w:rsidRPr="00B176CF">
        <w:rPr>
          <w:rFonts w:asciiTheme="minorHAnsi" w:hAnsiTheme="minorHAnsi"/>
        </w:rPr>
        <w:t>Th</w:t>
      </w:r>
      <w:r w:rsidR="00B53D46" w:rsidRPr="00B176CF">
        <w:rPr>
          <w:rFonts w:asciiTheme="minorHAnsi" w:hAnsiTheme="minorHAnsi"/>
        </w:rPr>
        <w:t>e</w:t>
      </w:r>
      <w:r w:rsidR="00CD0A6C" w:rsidRPr="00B176CF">
        <w:rPr>
          <w:rFonts w:asciiTheme="minorHAnsi" w:hAnsiTheme="minorHAnsi"/>
        </w:rPr>
        <w:t xml:space="preserve"> July 2016 and July 2017 </w:t>
      </w:r>
      <w:r w:rsidR="00B53D46" w:rsidRPr="00B176CF">
        <w:rPr>
          <w:rFonts w:asciiTheme="minorHAnsi" w:hAnsiTheme="minorHAnsi"/>
        </w:rPr>
        <w:t xml:space="preserve">considerations </w:t>
      </w:r>
      <w:r w:rsidRPr="00B176CF">
        <w:rPr>
          <w:rFonts w:asciiTheme="minorHAnsi" w:hAnsiTheme="minorHAnsi"/>
        </w:rPr>
        <w:t>aligned with the PBAC’s</w:t>
      </w:r>
      <w:r w:rsidR="000566DB" w:rsidRPr="00B176CF">
        <w:rPr>
          <w:rFonts w:asciiTheme="minorHAnsi" w:hAnsiTheme="minorHAnsi"/>
        </w:rPr>
        <w:t xml:space="preserve"> March 2016 consideration “that responsibility for subsidising </w:t>
      </w:r>
      <w:proofErr w:type="spellStart"/>
      <w:r w:rsidR="000566DB" w:rsidRPr="00B176CF">
        <w:rPr>
          <w:rFonts w:asciiTheme="minorHAnsi" w:hAnsiTheme="minorHAnsi"/>
        </w:rPr>
        <w:t>eculizumab</w:t>
      </w:r>
      <w:proofErr w:type="spellEnd"/>
      <w:r w:rsidR="000566DB" w:rsidRPr="00B176CF">
        <w:rPr>
          <w:rFonts w:asciiTheme="minorHAnsi" w:hAnsiTheme="minorHAnsi"/>
        </w:rPr>
        <w:t xml:space="preserve"> during hospital inpatient treatment would be a matter for the treating hospital.  The PBAC noted that PBS subsidy would commence once a patient is discharged from hospital and once PBS eligibility is established as defined by the restriction criteria.” (March 2016 </w:t>
      </w:r>
      <w:r w:rsidR="00C739F3" w:rsidRPr="00B176CF">
        <w:rPr>
          <w:rFonts w:asciiTheme="minorHAnsi" w:hAnsiTheme="minorHAnsi"/>
        </w:rPr>
        <w:t xml:space="preserve">PBAC </w:t>
      </w:r>
      <w:r w:rsidR="00BF4627">
        <w:rPr>
          <w:rFonts w:asciiTheme="minorHAnsi" w:hAnsiTheme="minorHAnsi"/>
        </w:rPr>
        <w:t>Public Summary Document</w:t>
      </w:r>
      <w:r w:rsidR="000566DB" w:rsidRPr="00B176CF">
        <w:rPr>
          <w:rFonts w:asciiTheme="minorHAnsi" w:hAnsiTheme="minorHAnsi"/>
        </w:rPr>
        <w:t xml:space="preserve">, para 7.10). </w:t>
      </w:r>
    </w:p>
    <w:p w:rsidR="00D56B50" w:rsidRPr="00D56B50" w:rsidRDefault="00D56B50" w:rsidP="00E013EC">
      <w:pPr>
        <w:widowControl w:val="0"/>
        <w:spacing w:after="120"/>
        <w:jc w:val="both"/>
        <w:rPr>
          <w:rFonts w:asciiTheme="minorHAnsi" w:hAnsiTheme="minorHAnsi"/>
        </w:rPr>
      </w:pPr>
      <w:r w:rsidRPr="00E013EC">
        <w:rPr>
          <w:rFonts w:asciiTheme="minorHAnsi" w:hAnsiTheme="minorHAnsi"/>
          <w:b/>
          <w:bCs/>
          <w:iCs/>
        </w:rPr>
        <w:t>December 2015</w:t>
      </w:r>
      <w:r>
        <w:rPr>
          <w:rFonts w:asciiTheme="minorHAnsi" w:hAnsiTheme="minorHAnsi"/>
          <w:b/>
          <w:bCs/>
          <w:iCs/>
        </w:rPr>
        <w:t xml:space="preserve"> PBAC consideration</w:t>
      </w:r>
    </w:p>
    <w:p w:rsidR="00D56B50" w:rsidRDefault="00D56B50" w:rsidP="00E013EC">
      <w:pPr>
        <w:widowControl w:val="0"/>
        <w:numPr>
          <w:ilvl w:val="1"/>
          <w:numId w:val="5"/>
        </w:numPr>
        <w:spacing w:after="120"/>
        <w:ind w:left="709"/>
        <w:jc w:val="both"/>
        <w:rPr>
          <w:rFonts w:asciiTheme="minorHAnsi" w:hAnsiTheme="minorHAnsi"/>
        </w:rPr>
      </w:pPr>
      <w:r>
        <w:rPr>
          <w:rFonts w:asciiTheme="minorHAnsi" w:hAnsiTheme="minorHAnsi"/>
        </w:rPr>
        <w:t xml:space="preserve">The PBAC recalled its December 2015 consideration of </w:t>
      </w:r>
      <w:proofErr w:type="spellStart"/>
      <w:r>
        <w:rPr>
          <w:rFonts w:asciiTheme="minorHAnsi" w:hAnsiTheme="minorHAnsi"/>
        </w:rPr>
        <w:t>eculizumab</w:t>
      </w:r>
      <w:proofErr w:type="spellEnd"/>
      <w:r>
        <w:rPr>
          <w:rFonts w:asciiTheme="minorHAnsi" w:hAnsiTheme="minorHAnsi"/>
        </w:rPr>
        <w:t xml:space="preserve"> for </w:t>
      </w:r>
      <w:r w:rsidR="000D6883">
        <w:rPr>
          <w:rFonts w:asciiTheme="minorHAnsi" w:hAnsiTheme="minorHAnsi"/>
        </w:rPr>
        <w:t xml:space="preserve">the treatment of </w:t>
      </w:r>
      <w:r w:rsidR="000D6883" w:rsidRPr="000D6883">
        <w:rPr>
          <w:rFonts w:asciiTheme="minorHAnsi" w:hAnsiTheme="minorHAnsi"/>
        </w:rPr>
        <w:t xml:space="preserve">active TMA in patients with </w:t>
      </w:r>
      <w:proofErr w:type="spellStart"/>
      <w:r w:rsidR="000D6883" w:rsidRPr="000D6883">
        <w:rPr>
          <w:rFonts w:asciiTheme="minorHAnsi" w:hAnsiTheme="minorHAnsi"/>
        </w:rPr>
        <w:t>aHUS</w:t>
      </w:r>
      <w:proofErr w:type="spellEnd"/>
      <w:r w:rsidR="001F5E13">
        <w:rPr>
          <w:rFonts w:asciiTheme="minorHAnsi" w:hAnsiTheme="minorHAnsi"/>
        </w:rPr>
        <w:t xml:space="preserve">, </w:t>
      </w:r>
      <w:r>
        <w:rPr>
          <w:rFonts w:asciiTheme="minorHAnsi" w:hAnsiTheme="minorHAnsi"/>
        </w:rPr>
        <w:t>in which it recommended increasing</w:t>
      </w:r>
      <w:r w:rsidR="00013556">
        <w:rPr>
          <w:rFonts w:asciiTheme="minorHAnsi" w:hAnsiTheme="minorHAnsi"/>
        </w:rPr>
        <w:t xml:space="preserve"> the duration of treatment</w:t>
      </w:r>
      <w:r>
        <w:rPr>
          <w:rFonts w:asciiTheme="minorHAnsi" w:hAnsiTheme="minorHAnsi"/>
        </w:rPr>
        <w:t xml:space="preserve"> from 12 months to 24 months. </w:t>
      </w:r>
      <w:r w:rsidR="00013556">
        <w:rPr>
          <w:rFonts w:asciiTheme="minorHAnsi" w:hAnsiTheme="minorHAnsi"/>
        </w:rPr>
        <w:t xml:space="preserve">Amongst other matters the </w:t>
      </w:r>
      <w:r w:rsidR="00013556">
        <w:rPr>
          <w:rFonts w:asciiTheme="minorHAnsi" w:hAnsiTheme="minorHAnsi"/>
        </w:rPr>
        <w:lastRenderedPageBreak/>
        <w:t>PBAC considered:</w:t>
      </w:r>
    </w:p>
    <w:p w:rsidR="00361D45" w:rsidRPr="006B6120" w:rsidRDefault="00361D45" w:rsidP="00E013EC">
      <w:pPr>
        <w:pStyle w:val="ListParagraph"/>
        <w:numPr>
          <w:ilvl w:val="0"/>
          <w:numId w:val="18"/>
        </w:numPr>
        <w:spacing w:after="120"/>
        <w:ind w:left="993" w:hanging="284"/>
        <w:contextualSpacing w:val="0"/>
        <w:rPr>
          <w:rFonts w:asciiTheme="minorHAnsi" w:hAnsiTheme="minorHAnsi"/>
          <w:sz w:val="24"/>
          <w:szCs w:val="24"/>
        </w:rPr>
      </w:pPr>
      <w:r>
        <w:rPr>
          <w:rFonts w:asciiTheme="minorHAnsi" w:hAnsiTheme="minorHAnsi"/>
          <w:sz w:val="24"/>
          <w:szCs w:val="24"/>
        </w:rPr>
        <w:t>“</w:t>
      </w:r>
      <w:r w:rsidRPr="00E013EC">
        <w:rPr>
          <w:rFonts w:asciiTheme="minorHAnsi" w:hAnsiTheme="minorHAnsi"/>
          <w:sz w:val="24"/>
          <w:szCs w:val="24"/>
        </w:rPr>
        <w:t xml:space="preserve">The PBAC recalled that the evidence provided by the sponsor in 2014 showed that the vast majority of the benefit occurs in the first 6 months of </w:t>
      </w:r>
      <w:proofErr w:type="spellStart"/>
      <w:r w:rsidRPr="00E013EC">
        <w:rPr>
          <w:rFonts w:asciiTheme="minorHAnsi" w:hAnsiTheme="minorHAnsi"/>
          <w:sz w:val="24"/>
          <w:szCs w:val="24"/>
        </w:rPr>
        <w:t>eculizumab</w:t>
      </w:r>
      <w:proofErr w:type="spellEnd"/>
      <w:r w:rsidRPr="00E013EC">
        <w:rPr>
          <w:rFonts w:asciiTheme="minorHAnsi" w:hAnsiTheme="minorHAnsi"/>
          <w:sz w:val="24"/>
          <w:szCs w:val="24"/>
        </w:rPr>
        <w:t xml:space="preserve"> treatment, with some continuing improvement in the 6 to 12 month period. The two year follow-</w:t>
      </w:r>
      <w:r w:rsidRPr="006B6120">
        <w:rPr>
          <w:rFonts w:asciiTheme="minorHAnsi" w:hAnsiTheme="minorHAnsi"/>
          <w:sz w:val="24"/>
          <w:szCs w:val="24"/>
        </w:rPr>
        <w:t xml:space="preserve">up data available at that time showed that there was no consistent improvement across all parameters in the 12 to 24 month period” (December 2015 PBAC </w:t>
      </w:r>
      <w:r w:rsidR="00BF4627" w:rsidRPr="006B6120">
        <w:rPr>
          <w:rFonts w:asciiTheme="minorHAnsi" w:hAnsiTheme="minorHAnsi"/>
          <w:sz w:val="24"/>
          <w:szCs w:val="24"/>
        </w:rPr>
        <w:t>Public Summary Document</w:t>
      </w:r>
      <w:r w:rsidRPr="006B6120">
        <w:rPr>
          <w:rFonts w:asciiTheme="minorHAnsi" w:hAnsiTheme="minorHAnsi"/>
          <w:sz w:val="24"/>
          <w:szCs w:val="24"/>
        </w:rPr>
        <w:t xml:space="preserve">, para 5.5).  </w:t>
      </w:r>
    </w:p>
    <w:p w:rsidR="000616E2" w:rsidRPr="006B6120" w:rsidRDefault="000616E2" w:rsidP="00E013EC">
      <w:pPr>
        <w:pStyle w:val="ListParagraph"/>
        <w:numPr>
          <w:ilvl w:val="0"/>
          <w:numId w:val="18"/>
        </w:numPr>
        <w:spacing w:after="120"/>
        <w:ind w:left="993" w:hanging="284"/>
        <w:contextualSpacing w:val="0"/>
        <w:rPr>
          <w:rFonts w:asciiTheme="minorHAnsi" w:hAnsiTheme="minorHAnsi"/>
          <w:sz w:val="24"/>
          <w:szCs w:val="24"/>
        </w:rPr>
      </w:pPr>
      <w:r w:rsidRPr="006B6120">
        <w:rPr>
          <w:rFonts w:asciiTheme="minorHAnsi" w:hAnsiTheme="minorHAnsi"/>
          <w:sz w:val="24"/>
          <w:szCs w:val="24"/>
        </w:rPr>
        <w:t xml:space="preserve">“However, at the time PBAC also noted that it was not known whether any on-going clinical improvement was due to the continued administration of </w:t>
      </w:r>
      <w:proofErr w:type="spellStart"/>
      <w:r w:rsidRPr="006B6120">
        <w:rPr>
          <w:rFonts w:asciiTheme="minorHAnsi" w:hAnsiTheme="minorHAnsi"/>
          <w:sz w:val="24"/>
          <w:szCs w:val="24"/>
        </w:rPr>
        <w:t>eculizumab</w:t>
      </w:r>
      <w:proofErr w:type="spellEnd"/>
      <w:r w:rsidRPr="006B6120">
        <w:rPr>
          <w:rFonts w:asciiTheme="minorHAnsi" w:hAnsiTheme="minorHAnsi"/>
          <w:sz w:val="24"/>
          <w:szCs w:val="24"/>
        </w:rPr>
        <w:t xml:space="preserve"> for two years, or represented the benefits of the drug within the first 6 to 12 months. For example, improvement could reflect the time elapsed since exposure to the trigger and resolution of the active TMA. Registry data available at that time showed that the risk of relapse was highest in the first 12 months following </w:t>
      </w:r>
      <w:proofErr w:type="spellStart"/>
      <w:r w:rsidRPr="006B6120">
        <w:rPr>
          <w:rFonts w:asciiTheme="minorHAnsi" w:hAnsiTheme="minorHAnsi"/>
          <w:sz w:val="24"/>
          <w:szCs w:val="24"/>
        </w:rPr>
        <w:t>aHUS</w:t>
      </w:r>
      <w:proofErr w:type="spellEnd"/>
      <w:r w:rsidRPr="006B6120">
        <w:rPr>
          <w:rFonts w:asciiTheme="minorHAnsi" w:hAnsiTheme="minorHAnsi"/>
          <w:sz w:val="24"/>
          <w:szCs w:val="24"/>
        </w:rPr>
        <w:t xml:space="preserve"> onset, but that patients have respond well to therapy when re-initiated” (December 2015 PBAC </w:t>
      </w:r>
      <w:r w:rsidR="00BF4627" w:rsidRPr="006B6120">
        <w:rPr>
          <w:rFonts w:asciiTheme="minorHAnsi" w:hAnsiTheme="minorHAnsi"/>
          <w:sz w:val="24"/>
          <w:szCs w:val="24"/>
        </w:rPr>
        <w:t>Public Summary Document</w:t>
      </w:r>
      <w:r w:rsidRPr="006B6120">
        <w:rPr>
          <w:rFonts w:asciiTheme="minorHAnsi" w:hAnsiTheme="minorHAnsi"/>
          <w:sz w:val="24"/>
          <w:szCs w:val="24"/>
        </w:rPr>
        <w:t>, para 5.6).</w:t>
      </w:r>
    </w:p>
    <w:p w:rsidR="00D56B50" w:rsidRPr="006B6120" w:rsidRDefault="00013556" w:rsidP="00E013EC">
      <w:pPr>
        <w:pStyle w:val="ListParagraph"/>
        <w:numPr>
          <w:ilvl w:val="0"/>
          <w:numId w:val="18"/>
        </w:numPr>
        <w:spacing w:after="120"/>
        <w:ind w:left="993" w:hanging="284"/>
        <w:contextualSpacing w:val="0"/>
        <w:rPr>
          <w:rFonts w:asciiTheme="minorHAnsi" w:hAnsiTheme="minorHAnsi"/>
          <w:sz w:val="24"/>
          <w:szCs w:val="24"/>
        </w:rPr>
      </w:pPr>
      <w:r w:rsidRPr="006B6120">
        <w:rPr>
          <w:rFonts w:asciiTheme="minorHAnsi" w:hAnsiTheme="minorHAnsi"/>
          <w:sz w:val="24"/>
          <w:szCs w:val="24"/>
        </w:rPr>
        <w:t>“</w:t>
      </w:r>
      <w:r w:rsidR="00D56B50" w:rsidRPr="006B6120">
        <w:rPr>
          <w:rFonts w:asciiTheme="minorHAnsi" w:hAnsiTheme="minorHAnsi"/>
          <w:sz w:val="24"/>
          <w:szCs w:val="24"/>
        </w:rPr>
        <w:t>Given that additional evidence was becoming available and had not been considered at the time the restrictions were specified, the PBAC recognised that the entry and continuation criteria warranted review. The PBAC therefore recommended that the PBS-subsidy arrangements be extended for a further 12-months period, to 24-months, to enable this review to occur</w:t>
      </w:r>
      <w:r w:rsidRPr="006B6120">
        <w:rPr>
          <w:rFonts w:asciiTheme="minorHAnsi" w:hAnsiTheme="minorHAnsi"/>
          <w:sz w:val="24"/>
          <w:szCs w:val="24"/>
        </w:rPr>
        <w:t>”</w:t>
      </w:r>
      <w:r w:rsidR="000A202A" w:rsidRPr="006B6120">
        <w:rPr>
          <w:rFonts w:asciiTheme="minorHAnsi" w:hAnsiTheme="minorHAnsi"/>
          <w:sz w:val="24"/>
          <w:szCs w:val="24"/>
        </w:rPr>
        <w:t xml:space="preserve"> (December 2015 PBAC </w:t>
      </w:r>
      <w:r w:rsidR="00BF4627" w:rsidRPr="006B6120">
        <w:rPr>
          <w:rFonts w:asciiTheme="minorHAnsi" w:hAnsiTheme="minorHAnsi"/>
          <w:sz w:val="24"/>
          <w:szCs w:val="24"/>
        </w:rPr>
        <w:t>Public Summary Document</w:t>
      </w:r>
      <w:r w:rsidR="000A202A" w:rsidRPr="006B6120">
        <w:rPr>
          <w:rFonts w:asciiTheme="minorHAnsi" w:hAnsiTheme="minorHAnsi"/>
          <w:sz w:val="24"/>
          <w:szCs w:val="24"/>
        </w:rPr>
        <w:t xml:space="preserve">, para 5.7).  </w:t>
      </w:r>
    </w:p>
    <w:p w:rsidR="000566DB" w:rsidRPr="00B176CF" w:rsidRDefault="00D606E2" w:rsidP="00FF1457">
      <w:pPr>
        <w:spacing w:before="240" w:after="120"/>
        <w:rPr>
          <w:rFonts w:asciiTheme="minorHAnsi" w:hAnsiTheme="minorHAnsi"/>
          <w:b/>
          <w:bCs/>
          <w:iCs/>
        </w:rPr>
      </w:pPr>
      <w:r w:rsidRPr="00B176CF">
        <w:rPr>
          <w:rFonts w:asciiTheme="minorHAnsi" w:hAnsiTheme="minorHAnsi"/>
          <w:b/>
          <w:bCs/>
          <w:iCs/>
        </w:rPr>
        <w:t>Summary of changes</w:t>
      </w:r>
    </w:p>
    <w:p w:rsidR="00E4071C" w:rsidRPr="00B176CF" w:rsidRDefault="00E4071C" w:rsidP="0001708F">
      <w:pPr>
        <w:widowControl w:val="0"/>
        <w:numPr>
          <w:ilvl w:val="1"/>
          <w:numId w:val="5"/>
        </w:numPr>
        <w:spacing w:after="120"/>
        <w:ind w:left="709"/>
        <w:jc w:val="both"/>
        <w:rPr>
          <w:rFonts w:asciiTheme="minorHAnsi" w:eastAsiaTheme="minorHAnsi" w:hAnsiTheme="minorHAnsi" w:cstheme="minorBidi"/>
        </w:rPr>
      </w:pPr>
      <w:r w:rsidRPr="00B176CF">
        <w:rPr>
          <w:rFonts w:asciiTheme="minorHAnsi" w:eastAsiaTheme="minorHAnsi" w:hAnsiTheme="minorHAnsi" w:cstheme="minorBidi"/>
        </w:rPr>
        <w:t xml:space="preserve">Relevant details of the other previous submissions are outlined in the ‘Background’ of the previous </w:t>
      </w:r>
      <w:r w:rsidR="006B6120">
        <w:rPr>
          <w:rFonts w:asciiTheme="minorHAnsi" w:eastAsiaTheme="minorHAnsi" w:hAnsiTheme="minorHAnsi" w:cstheme="minorBidi"/>
        </w:rPr>
        <w:t>Public Summary Document</w:t>
      </w:r>
      <w:r w:rsidRPr="00B176CF">
        <w:rPr>
          <w:rFonts w:asciiTheme="minorHAnsi" w:eastAsiaTheme="minorHAnsi" w:hAnsiTheme="minorHAnsi" w:cstheme="minorBidi"/>
        </w:rPr>
        <w:t xml:space="preserve"> (</w:t>
      </w:r>
      <w:r w:rsidR="00C739F3" w:rsidRPr="00B176CF">
        <w:rPr>
          <w:rFonts w:asciiTheme="minorHAnsi" w:eastAsiaTheme="minorHAnsi" w:hAnsiTheme="minorHAnsi" w:cstheme="minorBidi"/>
        </w:rPr>
        <w:t xml:space="preserve">July 2017, </w:t>
      </w:r>
      <w:r w:rsidRPr="00B176CF">
        <w:rPr>
          <w:rFonts w:asciiTheme="minorHAnsi" w:eastAsiaTheme="minorHAnsi" w:hAnsiTheme="minorHAnsi" w:cstheme="minorBidi"/>
        </w:rPr>
        <w:t xml:space="preserve">PBAC </w:t>
      </w:r>
      <w:r w:rsidR="00BF4627">
        <w:rPr>
          <w:rFonts w:asciiTheme="minorHAnsi" w:hAnsiTheme="minorHAnsi"/>
        </w:rPr>
        <w:t>Public Summary Document</w:t>
      </w:r>
      <w:r w:rsidRPr="00B176CF">
        <w:rPr>
          <w:rFonts w:asciiTheme="minorHAnsi" w:eastAsiaTheme="minorHAnsi" w:hAnsiTheme="minorHAnsi" w:cstheme="minorBidi"/>
        </w:rPr>
        <w:t xml:space="preserve">, </w:t>
      </w:r>
      <w:r w:rsidR="00C739F3" w:rsidRPr="00B176CF">
        <w:rPr>
          <w:rFonts w:asciiTheme="minorHAnsi" w:eastAsiaTheme="minorHAnsi" w:hAnsiTheme="minorHAnsi" w:cstheme="minorBidi"/>
        </w:rPr>
        <w:t>Paragraphs 3.3 to 3.9</w:t>
      </w:r>
      <w:r w:rsidRPr="00B176CF">
        <w:rPr>
          <w:rFonts w:asciiTheme="minorHAnsi" w:eastAsiaTheme="minorHAnsi" w:hAnsiTheme="minorHAnsi" w:cstheme="minorBidi"/>
        </w:rPr>
        <w:t>).</w:t>
      </w:r>
    </w:p>
    <w:p w:rsidR="009A47C9" w:rsidRPr="00B176CF" w:rsidRDefault="00E4071C" w:rsidP="009A47C9">
      <w:pPr>
        <w:widowControl w:val="0"/>
        <w:numPr>
          <w:ilvl w:val="1"/>
          <w:numId w:val="5"/>
        </w:numPr>
        <w:spacing w:after="120"/>
        <w:ind w:left="709"/>
        <w:jc w:val="both"/>
        <w:rPr>
          <w:rFonts w:asciiTheme="minorHAnsi" w:eastAsiaTheme="minorHAnsi" w:hAnsiTheme="minorHAnsi" w:cstheme="minorBidi"/>
        </w:rPr>
      </w:pPr>
      <w:r w:rsidRPr="00B176CF">
        <w:rPr>
          <w:rFonts w:asciiTheme="minorHAnsi" w:eastAsiaTheme="minorHAnsi" w:hAnsiTheme="minorHAnsi" w:cstheme="minorBidi"/>
        </w:rPr>
        <w:t xml:space="preserve">The </w:t>
      </w:r>
      <w:r w:rsidR="00406C6B" w:rsidRPr="00B176CF">
        <w:rPr>
          <w:rFonts w:asciiTheme="minorHAnsi" w:eastAsiaTheme="minorHAnsi" w:hAnsiTheme="minorHAnsi" w:cstheme="minorBidi"/>
        </w:rPr>
        <w:t xml:space="preserve">new </w:t>
      </w:r>
      <w:r w:rsidR="009A47C9" w:rsidRPr="00B176CF">
        <w:rPr>
          <w:rFonts w:asciiTheme="minorHAnsi" w:eastAsiaTheme="minorHAnsi" w:hAnsiTheme="minorHAnsi" w:cstheme="minorBidi"/>
        </w:rPr>
        <w:t>studies</w:t>
      </w:r>
      <w:r w:rsidR="00406C6B" w:rsidRPr="00B176CF">
        <w:rPr>
          <w:rFonts w:asciiTheme="minorHAnsi" w:eastAsiaTheme="minorHAnsi" w:hAnsiTheme="minorHAnsi" w:cstheme="minorBidi"/>
        </w:rPr>
        <w:t xml:space="preserve"> presented in the </w:t>
      </w:r>
      <w:r w:rsidRPr="00B176CF">
        <w:rPr>
          <w:rFonts w:asciiTheme="minorHAnsi" w:eastAsiaTheme="minorHAnsi" w:hAnsiTheme="minorHAnsi" w:cstheme="minorBidi"/>
        </w:rPr>
        <w:t xml:space="preserve">current </w:t>
      </w:r>
      <w:r w:rsidR="00406C6B" w:rsidRPr="00B176CF">
        <w:rPr>
          <w:rFonts w:asciiTheme="minorHAnsi" w:eastAsiaTheme="minorHAnsi" w:hAnsiTheme="minorHAnsi" w:cstheme="minorBidi"/>
        </w:rPr>
        <w:t>re</w:t>
      </w:r>
      <w:r w:rsidRPr="00B176CF">
        <w:rPr>
          <w:rFonts w:asciiTheme="minorHAnsi" w:eastAsiaTheme="minorHAnsi" w:hAnsiTheme="minorHAnsi" w:cstheme="minorBidi"/>
        </w:rPr>
        <w:t xml:space="preserve">submission </w:t>
      </w:r>
      <w:r w:rsidR="009A47C9" w:rsidRPr="00B176CF">
        <w:rPr>
          <w:rFonts w:asciiTheme="minorHAnsi" w:eastAsiaTheme="minorHAnsi" w:hAnsiTheme="minorHAnsi" w:cstheme="minorBidi"/>
        </w:rPr>
        <w:t xml:space="preserve">which outline sustained, long-term use of </w:t>
      </w:r>
      <w:proofErr w:type="spellStart"/>
      <w:r w:rsidR="009A47C9" w:rsidRPr="00B176CF">
        <w:rPr>
          <w:rFonts w:asciiTheme="minorHAnsi" w:eastAsiaTheme="minorHAnsi" w:hAnsiTheme="minorHAnsi" w:cstheme="minorBidi"/>
        </w:rPr>
        <w:t>eculizumab</w:t>
      </w:r>
      <w:proofErr w:type="spellEnd"/>
      <w:r w:rsidR="009A47C9" w:rsidRPr="00B176CF">
        <w:rPr>
          <w:rFonts w:asciiTheme="minorHAnsi" w:eastAsiaTheme="minorHAnsi" w:hAnsiTheme="minorHAnsi" w:cstheme="minorBidi"/>
        </w:rPr>
        <w:t xml:space="preserve"> post renal transplant were: two retrospective case series; and two case reports. The resubmission also presented further data from the </w:t>
      </w:r>
      <w:proofErr w:type="spellStart"/>
      <w:r w:rsidR="009A47C9" w:rsidRPr="00B176CF">
        <w:rPr>
          <w:rFonts w:asciiTheme="minorHAnsi" w:eastAsiaTheme="minorHAnsi" w:hAnsiTheme="minorHAnsi" w:cstheme="minorBidi"/>
        </w:rPr>
        <w:t>aHUS</w:t>
      </w:r>
      <w:proofErr w:type="spellEnd"/>
      <w:r w:rsidR="009A47C9" w:rsidRPr="00B176CF">
        <w:rPr>
          <w:rFonts w:asciiTheme="minorHAnsi" w:eastAsiaTheme="minorHAnsi" w:hAnsiTheme="minorHAnsi" w:cstheme="minorBidi"/>
        </w:rPr>
        <w:t xml:space="preserve"> registry.  </w:t>
      </w:r>
    </w:p>
    <w:p w:rsidR="00E4071C" w:rsidRPr="00B176CF" w:rsidRDefault="00E4071C" w:rsidP="009A47C9">
      <w:pPr>
        <w:widowControl w:val="0"/>
        <w:numPr>
          <w:ilvl w:val="1"/>
          <w:numId w:val="5"/>
        </w:numPr>
        <w:spacing w:after="120"/>
        <w:ind w:left="709"/>
        <w:jc w:val="both"/>
        <w:rPr>
          <w:rFonts w:asciiTheme="minorHAnsi" w:eastAsiaTheme="minorHAnsi" w:hAnsiTheme="minorHAnsi" w:cstheme="minorBidi"/>
        </w:rPr>
      </w:pPr>
      <w:r w:rsidRPr="00B176CF">
        <w:rPr>
          <w:rFonts w:asciiTheme="minorHAnsi" w:eastAsiaTheme="minorHAnsi" w:hAnsiTheme="minorHAnsi" w:cstheme="minorBidi"/>
        </w:rPr>
        <w:t>A summary of changes made between the July 2017 submission and the current re-submission is presented in Table 1.</w:t>
      </w:r>
    </w:p>
    <w:p w:rsidR="00902AAD" w:rsidRPr="00B176CF" w:rsidRDefault="00902AAD" w:rsidP="00902AAD">
      <w:pPr>
        <w:pStyle w:val="NoSpacing"/>
        <w:keepNext/>
        <w:keepLines/>
        <w:rPr>
          <w:rFonts w:ascii="Arial Narrow" w:hAnsi="Arial Narrow" w:cs="Arial"/>
          <w:b/>
          <w:sz w:val="20"/>
          <w:szCs w:val="20"/>
        </w:rPr>
      </w:pPr>
      <w:r w:rsidRPr="00B176CF">
        <w:rPr>
          <w:rFonts w:ascii="Arial Narrow" w:hAnsi="Arial Narrow" w:cs="Arial"/>
          <w:b/>
          <w:sz w:val="20"/>
          <w:szCs w:val="20"/>
        </w:rPr>
        <w:lastRenderedPageBreak/>
        <w:t>Table 1: Comparison table between July 2017 submission and the current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8"/>
        <w:gridCol w:w="4776"/>
        <w:gridCol w:w="2898"/>
      </w:tblGrid>
      <w:tr w:rsidR="00902AAD" w:rsidRPr="00B176CF" w:rsidTr="00D97156">
        <w:trPr>
          <w:cantSplit/>
          <w:tblHeader/>
        </w:trPr>
        <w:tc>
          <w:tcPr>
            <w:tcW w:w="848" w:type="pct"/>
          </w:tcPr>
          <w:p w:rsidR="00902AAD" w:rsidRPr="00B176CF" w:rsidRDefault="00902AAD" w:rsidP="00D97156">
            <w:pPr>
              <w:pStyle w:val="NoSpacing"/>
              <w:keepNext/>
              <w:keepLines/>
              <w:rPr>
                <w:rFonts w:ascii="Arial Narrow" w:hAnsi="Arial Narrow" w:cs="Arial"/>
                <w:b/>
                <w:sz w:val="20"/>
                <w:szCs w:val="20"/>
              </w:rPr>
            </w:pPr>
          </w:p>
        </w:tc>
        <w:tc>
          <w:tcPr>
            <w:tcW w:w="2584" w:type="pct"/>
          </w:tcPr>
          <w:p w:rsidR="00902AAD" w:rsidRPr="00B176CF" w:rsidRDefault="00902AAD" w:rsidP="00902AAD">
            <w:pPr>
              <w:keepNext/>
              <w:keepLines/>
              <w:jc w:val="center"/>
              <w:rPr>
                <w:rFonts w:ascii="Arial Narrow" w:hAnsi="Arial Narrow" w:cs="Arial"/>
                <w:b/>
                <w:sz w:val="20"/>
                <w:szCs w:val="20"/>
              </w:rPr>
            </w:pPr>
            <w:r w:rsidRPr="00B176CF">
              <w:rPr>
                <w:rFonts w:ascii="Arial Narrow" w:hAnsi="Arial Narrow" w:cs="Arial"/>
                <w:b/>
                <w:sz w:val="20"/>
                <w:szCs w:val="20"/>
              </w:rPr>
              <w:t>July 2017 submission</w:t>
            </w:r>
          </w:p>
        </w:tc>
        <w:tc>
          <w:tcPr>
            <w:tcW w:w="1568" w:type="pct"/>
          </w:tcPr>
          <w:p w:rsidR="00902AAD" w:rsidRPr="00B176CF" w:rsidRDefault="00902AAD" w:rsidP="00902AAD">
            <w:pPr>
              <w:keepNext/>
              <w:keepLines/>
              <w:jc w:val="center"/>
              <w:rPr>
                <w:rFonts w:ascii="Arial Narrow" w:hAnsi="Arial Narrow" w:cs="Arial"/>
                <w:b/>
                <w:sz w:val="20"/>
                <w:szCs w:val="20"/>
              </w:rPr>
            </w:pPr>
            <w:r w:rsidRPr="00B176CF">
              <w:rPr>
                <w:rFonts w:ascii="Arial Narrow" w:hAnsi="Arial Narrow" w:cs="Arial"/>
                <w:b/>
                <w:sz w:val="20"/>
                <w:szCs w:val="20"/>
              </w:rPr>
              <w:t>Current resubmission</w:t>
            </w:r>
          </w:p>
        </w:tc>
      </w:tr>
      <w:tr w:rsidR="00902AAD" w:rsidRPr="00B176CF" w:rsidTr="00D97156">
        <w:trPr>
          <w:cantSplit/>
        </w:trPr>
        <w:tc>
          <w:tcPr>
            <w:tcW w:w="848" w:type="pct"/>
            <w:shd w:val="clear" w:color="auto" w:fill="FFFFFF" w:themeFill="background1"/>
          </w:tcPr>
          <w:p w:rsidR="00902AAD" w:rsidRPr="00B176CF" w:rsidRDefault="00D97156" w:rsidP="00D97156">
            <w:pPr>
              <w:pStyle w:val="NoSpacing"/>
              <w:keepNext/>
              <w:keepLines/>
              <w:jc w:val="left"/>
              <w:rPr>
                <w:rFonts w:ascii="Arial Narrow" w:hAnsi="Arial Narrow" w:cs="Arial"/>
                <w:sz w:val="20"/>
                <w:szCs w:val="20"/>
              </w:rPr>
            </w:pPr>
            <w:r w:rsidRPr="00B176CF">
              <w:rPr>
                <w:rFonts w:ascii="Arial Narrow" w:hAnsi="Arial Narrow"/>
                <w:sz w:val="20"/>
                <w:szCs w:val="20"/>
              </w:rPr>
              <w:t>Requested PBS listing</w:t>
            </w:r>
          </w:p>
        </w:tc>
        <w:tc>
          <w:tcPr>
            <w:tcW w:w="2584" w:type="pct"/>
            <w:shd w:val="clear" w:color="auto" w:fill="FFFFFF" w:themeFill="background1"/>
          </w:tcPr>
          <w:p w:rsidR="00902AAD" w:rsidRPr="00B176CF" w:rsidRDefault="00D97156" w:rsidP="00D97156">
            <w:pPr>
              <w:keepNext/>
              <w:keepLines/>
              <w:rPr>
                <w:rFonts w:ascii="Arial Narrow" w:hAnsi="Arial Narrow" w:cs="Arial"/>
                <w:sz w:val="20"/>
                <w:szCs w:val="20"/>
              </w:rPr>
            </w:pPr>
            <w:r w:rsidRPr="00B176CF">
              <w:rPr>
                <w:rFonts w:ascii="Arial Narrow" w:hAnsi="Arial Narrow" w:cs="Arial"/>
                <w:sz w:val="20"/>
                <w:szCs w:val="20"/>
              </w:rPr>
              <w:t xml:space="preserve">Patients with </w:t>
            </w:r>
            <w:proofErr w:type="spellStart"/>
            <w:r w:rsidRPr="00B176CF">
              <w:rPr>
                <w:rFonts w:ascii="Arial Narrow" w:hAnsi="Arial Narrow" w:cs="Arial"/>
                <w:sz w:val="20"/>
                <w:szCs w:val="20"/>
              </w:rPr>
              <w:t>aHUS</w:t>
            </w:r>
            <w:proofErr w:type="spellEnd"/>
            <w:r w:rsidRPr="00B176CF">
              <w:rPr>
                <w:rFonts w:ascii="Arial Narrow" w:hAnsi="Arial Narrow" w:cs="Arial"/>
                <w:sz w:val="20"/>
                <w:szCs w:val="20"/>
              </w:rPr>
              <w:t xml:space="preserve"> in ESRD on chronic dialysis who are suitable for renal transplantation, and have a medium to high risk of subsequent TMA, without the requirement for evidence of active, progressive TMA, to prevent recurrence of TMA and graft loss.</w:t>
            </w:r>
          </w:p>
          <w:p w:rsidR="00D97156" w:rsidRPr="00B176CF" w:rsidRDefault="00D97156" w:rsidP="0024647D">
            <w:pPr>
              <w:keepNext/>
              <w:keepLines/>
              <w:rPr>
                <w:rFonts w:ascii="Arial Narrow" w:hAnsi="Arial Narrow" w:cs="Arial"/>
                <w:sz w:val="20"/>
                <w:szCs w:val="20"/>
              </w:rPr>
            </w:pPr>
            <w:r w:rsidRPr="00B176CF">
              <w:rPr>
                <w:rFonts w:ascii="Arial Narrow" w:hAnsi="Arial Narrow" w:cs="Arial"/>
                <w:b/>
                <w:sz w:val="20"/>
                <w:szCs w:val="20"/>
              </w:rPr>
              <w:t>PBAC</w:t>
            </w:r>
            <w:r w:rsidR="002E031C" w:rsidRPr="00B176CF">
              <w:rPr>
                <w:rFonts w:ascii="Arial Narrow" w:hAnsi="Arial Narrow" w:cs="Arial"/>
                <w:sz w:val="20"/>
                <w:szCs w:val="20"/>
              </w:rPr>
              <w:t>:</w:t>
            </w:r>
            <w:r w:rsidRPr="00B176CF">
              <w:rPr>
                <w:rFonts w:ascii="Arial Narrow" w:hAnsi="Arial Narrow" w:cs="Arial"/>
                <w:sz w:val="20"/>
                <w:szCs w:val="20"/>
              </w:rPr>
              <w:t xml:space="preserve"> recommended 3 months of therapy in this setting</w:t>
            </w:r>
            <w:r w:rsidR="002E031C" w:rsidRPr="00B176CF">
              <w:rPr>
                <w:rFonts w:ascii="Arial Narrow" w:hAnsi="Arial Narrow" w:cs="Arial"/>
                <w:sz w:val="20"/>
                <w:szCs w:val="20"/>
              </w:rPr>
              <w:t>; inpatient funding should not be subsidised by PBS</w:t>
            </w:r>
          </w:p>
        </w:tc>
        <w:tc>
          <w:tcPr>
            <w:tcW w:w="1568" w:type="pct"/>
            <w:shd w:val="clear" w:color="auto" w:fill="FFFFFF" w:themeFill="background1"/>
          </w:tcPr>
          <w:p w:rsidR="002E031C" w:rsidRPr="00B176CF" w:rsidRDefault="002E031C" w:rsidP="002E031C">
            <w:pPr>
              <w:widowControl w:val="0"/>
              <w:spacing w:after="120"/>
              <w:jc w:val="both"/>
              <w:rPr>
                <w:rFonts w:ascii="Arial Narrow" w:hAnsi="Arial Narrow" w:cs="Arial"/>
                <w:sz w:val="20"/>
                <w:szCs w:val="20"/>
              </w:rPr>
            </w:pPr>
            <w:r w:rsidRPr="00B176CF">
              <w:rPr>
                <w:rFonts w:ascii="Arial Narrow" w:hAnsi="Arial Narrow" w:cs="Arial"/>
                <w:sz w:val="20"/>
                <w:szCs w:val="20"/>
              </w:rPr>
              <w:t>Requested a m</w:t>
            </w:r>
            <w:r w:rsidR="00DE3571">
              <w:rPr>
                <w:rFonts w:ascii="Arial Narrow" w:hAnsi="Arial Narrow" w:cs="Arial"/>
                <w:sz w:val="20"/>
                <w:szCs w:val="20"/>
              </w:rPr>
              <w:t>aximum</w:t>
            </w:r>
            <w:r w:rsidRPr="00B176CF">
              <w:rPr>
                <w:rFonts w:ascii="Arial Narrow" w:hAnsi="Arial Narrow" w:cs="Arial"/>
                <w:sz w:val="20"/>
                <w:szCs w:val="20"/>
              </w:rPr>
              <w:t xml:space="preserve"> of 12months treatment in this setting.</w:t>
            </w:r>
          </w:p>
          <w:p w:rsidR="00902AAD" w:rsidRPr="00B176CF" w:rsidRDefault="002E031C" w:rsidP="00C27B17">
            <w:pPr>
              <w:widowControl w:val="0"/>
              <w:spacing w:after="120"/>
              <w:jc w:val="both"/>
              <w:rPr>
                <w:rFonts w:ascii="Arial Narrow" w:hAnsi="Arial Narrow" w:cs="Arial"/>
                <w:sz w:val="20"/>
                <w:szCs w:val="20"/>
              </w:rPr>
            </w:pPr>
            <w:r w:rsidRPr="00B176CF">
              <w:rPr>
                <w:rFonts w:ascii="Arial Narrow" w:hAnsi="Arial Narrow" w:cs="Arial"/>
                <w:sz w:val="20"/>
                <w:szCs w:val="20"/>
              </w:rPr>
              <w:t>Requested PBS funding o</w:t>
            </w:r>
            <w:r w:rsidR="00C27B17" w:rsidRPr="00B176CF">
              <w:rPr>
                <w:rFonts w:ascii="Arial Narrow" w:hAnsi="Arial Narrow" w:cs="Arial"/>
                <w:sz w:val="20"/>
                <w:szCs w:val="20"/>
              </w:rPr>
              <w:t>f</w:t>
            </w:r>
            <w:r w:rsidRPr="00B176CF">
              <w:rPr>
                <w:rFonts w:ascii="Arial Narrow" w:hAnsi="Arial Narrow" w:cs="Arial"/>
                <w:sz w:val="20"/>
                <w:szCs w:val="20"/>
              </w:rPr>
              <w:t xml:space="preserve"> inpatient use.</w:t>
            </w:r>
          </w:p>
        </w:tc>
      </w:tr>
      <w:tr w:rsidR="00343838" w:rsidRPr="00B176CF" w:rsidTr="00D97156">
        <w:trPr>
          <w:cantSplit/>
        </w:trPr>
        <w:tc>
          <w:tcPr>
            <w:tcW w:w="848" w:type="pct"/>
            <w:shd w:val="clear" w:color="auto" w:fill="FFFFFF" w:themeFill="background1"/>
          </w:tcPr>
          <w:p w:rsidR="00343838" w:rsidRPr="00B176CF" w:rsidRDefault="00343838" w:rsidP="00343838">
            <w:pPr>
              <w:rPr>
                <w:rFonts w:ascii="Arial Narrow" w:hAnsi="Arial Narrow"/>
                <w:sz w:val="20"/>
                <w:szCs w:val="20"/>
              </w:rPr>
            </w:pPr>
            <w:r w:rsidRPr="00B176CF">
              <w:rPr>
                <w:rFonts w:ascii="Arial Narrow" w:hAnsi="Arial Narrow"/>
                <w:sz w:val="20"/>
                <w:szCs w:val="20"/>
              </w:rPr>
              <w:t>Requested effective DPMQ</w:t>
            </w:r>
          </w:p>
        </w:tc>
        <w:tc>
          <w:tcPr>
            <w:tcW w:w="2584" w:type="pct"/>
            <w:shd w:val="clear" w:color="auto" w:fill="FFFFFF" w:themeFill="background1"/>
          </w:tcPr>
          <w:p w:rsidR="00343838" w:rsidRPr="00B176CF" w:rsidRDefault="00343838" w:rsidP="00343838">
            <w:pPr>
              <w:numPr>
                <w:ilvl w:val="0"/>
                <w:numId w:val="23"/>
              </w:numPr>
              <w:ind w:left="114" w:hanging="114"/>
              <w:contextualSpacing/>
              <w:rPr>
                <w:rFonts w:ascii="Arial Narrow" w:hAnsi="Arial Narrow"/>
                <w:sz w:val="20"/>
              </w:rPr>
            </w:pPr>
            <w:r w:rsidRPr="000A47F9">
              <w:rPr>
                <w:rFonts w:ascii="Arial Narrow" w:hAnsi="Arial Narrow"/>
                <w:sz w:val="20"/>
              </w:rPr>
              <w:t>$</w:t>
            </w:r>
            <w:r w:rsidR="005271B7" w:rsidRPr="000A47F9">
              <w:rPr>
                <w:rFonts w:ascii="Arial Narrow" w:hAnsi="Arial Narrow"/>
                <w:sz w:val="20"/>
              </w:rPr>
              <w:t xml:space="preserve">5,937.50 </w:t>
            </w:r>
            <w:r w:rsidRPr="000A47F9">
              <w:rPr>
                <w:rFonts w:ascii="Arial Narrow" w:hAnsi="Arial Narrow"/>
                <w:sz w:val="20"/>
              </w:rPr>
              <w:t>(Public</w:t>
            </w:r>
            <w:r w:rsidRPr="00B176CF">
              <w:rPr>
                <w:rFonts w:ascii="Arial Narrow" w:hAnsi="Arial Narrow"/>
                <w:sz w:val="20"/>
              </w:rPr>
              <w:t>)</w:t>
            </w:r>
          </w:p>
        </w:tc>
        <w:tc>
          <w:tcPr>
            <w:tcW w:w="1568" w:type="pct"/>
            <w:shd w:val="clear" w:color="auto" w:fill="FFFFFF" w:themeFill="background1"/>
          </w:tcPr>
          <w:p w:rsidR="00343838" w:rsidRPr="00B176CF" w:rsidRDefault="00343838" w:rsidP="00343838">
            <w:pPr>
              <w:numPr>
                <w:ilvl w:val="0"/>
                <w:numId w:val="23"/>
              </w:numPr>
              <w:ind w:left="114" w:hanging="114"/>
              <w:contextualSpacing/>
              <w:rPr>
                <w:rFonts w:ascii="Arial Narrow" w:hAnsi="Arial Narrow"/>
                <w:sz w:val="20"/>
              </w:rPr>
            </w:pPr>
            <w:r w:rsidRPr="00B176CF">
              <w:rPr>
                <w:rFonts w:ascii="Arial Narrow" w:hAnsi="Arial Narrow"/>
                <w:sz w:val="20"/>
              </w:rPr>
              <w:t>Same as previous.</w:t>
            </w:r>
          </w:p>
        </w:tc>
      </w:tr>
      <w:tr w:rsidR="00902AAD" w:rsidRPr="00B176CF" w:rsidTr="00D97156">
        <w:trPr>
          <w:cantSplit/>
        </w:trPr>
        <w:tc>
          <w:tcPr>
            <w:tcW w:w="848" w:type="pct"/>
            <w:shd w:val="clear" w:color="auto" w:fill="FFFFFF" w:themeFill="background1"/>
          </w:tcPr>
          <w:p w:rsidR="00902AAD" w:rsidRPr="00B176CF" w:rsidRDefault="00D97156" w:rsidP="00D97156">
            <w:pPr>
              <w:pStyle w:val="NoSpacing"/>
              <w:keepNext/>
              <w:keepLines/>
              <w:jc w:val="left"/>
              <w:rPr>
                <w:rFonts w:ascii="Arial Narrow" w:hAnsi="Arial Narrow" w:cs="Arial"/>
                <w:sz w:val="20"/>
                <w:szCs w:val="20"/>
              </w:rPr>
            </w:pPr>
            <w:r w:rsidRPr="00B176CF">
              <w:rPr>
                <w:rFonts w:ascii="Arial Narrow" w:hAnsi="Arial Narrow" w:cs="Arial"/>
                <w:sz w:val="20"/>
                <w:szCs w:val="20"/>
              </w:rPr>
              <w:t>Comparator</w:t>
            </w:r>
          </w:p>
        </w:tc>
        <w:tc>
          <w:tcPr>
            <w:tcW w:w="2584" w:type="pct"/>
            <w:shd w:val="clear" w:color="auto" w:fill="FFFFFF" w:themeFill="background1"/>
          </w:tcPr>
          <w:p w:rsidR="00D97156" w:rsidRPr="00B176CF" w:rsidRDefault="00D97156" w:rsidP="00D97156">
            <w:pPr>
              <w:contextualSpacing/>
              <w:rPr>
                <w:rFonts w:ascii="Arial Narrow" w:hAnsi="Arial Narrow"/>
                <w:sz w:val="20"/>
              </w:rPr>
            </w:pPr>
            <w:r w:rsidRPr="00B176CF">
              <w:rPr>
                <w:rFonts w:ascii="Arial Narrow" w:hAnsi="Arial Narrow"/>
                <w:sz w:val="20"/>
              </w:rPr>
              <w:t>Resubmission claimed there was no PBS comparator.</w:t>
            </w:r>
          </w:p>
          <w:p w:rsidR="00902AAD" w:rsidRPr="00B176CF" w:rsidRDefault="00D97156" w:rsidP="00D97156">
            <w:pPr>
              <w:keepNext/>
              <w:keepLines/>
              <w:rPr>
                <w:rFonts w:ascii="Arial Narrow" w:hAnsi="Arial Narrow" w:cs="Arial"/>
                <w:sz w:val="20"/>
                <w:szCs w:val="20"/>
              </w:rPr>
            </w:pPr>
            <w:r w:rsidRPr="00B176CF">
              <w:rPr>
                <w:rFonts w:ascii="Arial Narrow" w:hAnsi="Arial Narrow"/>
                <w:sz w:val="20"/>
              </w:rPr>
              <w:t xml:space="preserve">Included comparisons between PBACs suggested comparators of </w:t>
            </w:r>
            <w:r w:rsidRPr="00B176CF">
              <w:rPr>
                <w:rFonts w:ascii="Arial Narrow" w:hAnsi="Arial Narrow"/>
                <w:sz w:val="20"/>
                <w:szCs w:val="20"/>
              </w:rPr>
              <w:t>long-term dialysis, renal transplantation with prophylactic plasma exchange/infusion and treatment initiation at recurrence of active TMA post-transplantation.</w:t>
            </w:r>
          </w:p>
        </w:tc>
        <w:tc>
          <w:tcPr>
            <w:tcW w:w="1568" w:type="pct"/>
            <w:shd w:val="clear" w:color="auto" w:fill="FFFFFF" w:themeFill="background1"/>
          </w:tcPr>
          <w:p w:rsidR="00902AAD" w:rsidRPr="00B176CF" w:rsidRDefault="00D97156" w:rsidP="00D97156">
            <w:pPr>
              <w:keepNext/>
              <w:keepLines/>
              <w:rPr>
                <w:rFonts w:ascii="Arial Narrow" w:hAnsi="Arial Narrow" w:cs="Arial"/>
                <w:sz w:val="20"/>
                <w:szCs w:val="20"/>
              </w:rPr>
            </w:pPr>
            <w:r w:rsidRPr="00B176CF">
              <w:rPr>
                <w:rFonts w:ascii="Arial Narrow" w:hAnsi="Arial Narrow" w:cs="Arial"/>
                <w:sz w:val="20"/>
                <w:szCs w:val="20"/>
              </w:rPr>
              <w:t>No comparator stated.</w:t>
            </w:r>
          </w:p>
          <w:p w:rsidR="00D97156" w:rsidRPr="00B176CF" w:rsidRDefault="009A47C9" w:rsidP="009A47C9">
            <w:pPr>
              <w:keepNext/>
              <w:keepLines/>
              <w:rPr>
                <w:rFonts w:ascii="Arial Narrow" w:hAnsi="Arial Narrow" w:cs="Arial"/>
                <w:sz w:val="20"/>
                <w:szCs w:val="20"/>
              </w:rPr>
            </w:pPr>
            <w:r w:rsidRPr="00B176CF">
              <w:rPr>
                <w:rFonts w:ascii="Arial Narrow" w:hAnsi="Arial Narrow" w:cs="Arial"/>
                <w:sz w:val="20"/>
                <w:szCs w:val="20"/>
              </w:rPr>
              <w:t>Presented</w:t>
            </w:r>
            <w:r w:rsidR="00D97156" w:rsidRPr="00B176CF">
              <w:rPr>
                <w:rFonts w:ascii="Arial Narrow" w:hAnsi="Arial Narrow" w:cs="Arial"/>
                <w:sz w:val="20"/>
                <w:szCs w:val="20"/>
              </w:rPr>
              <w:t xml:space="preserve"> </w:t>
            </w:r>
            <w:r w:rsidRPr="00B176CF">
              <w:rPr>
                <w:rFonts w:ascii="Arial Narrow" w:hAnsi="Arial Narrow" w:cs="Arial"/>
                <w:sz w:val="20"/>
                <w:szCs w:val="20"/>
              </w:rPr>
              <w:t xml:space="preserve">data for patients who discontinued </w:t>
            </w:r>
            <w:proofErr w:type="spellStart"/>
            <w:r w:rsidRPr="00B176CF">
              <w:rPr>
                <w:rFonts w:ascii="Arial Narrow" w:hAnsi="Arial Narrow" w:cs="Arial"/>
                <w:sz w:val="20"/>
                <w:szCs w:val="20"/>
              </w:rPr>
              <w:t>ecu</w:t>
            </w:r>
            <w:r w:rsidR="0052660C" w:rsidRPr="00B176CF">
              <w:rPr>
                <w:rFonts w:ascii="Arial Narrow" w:hAnsi="Arial Narrow" w:cs="Arial"/>
                <w:sz w:val="20"/>
                <w:szCs w:val="20"/>
              </w:rPr>
              <w:t>lizumab</w:t>
            </w:r>
            <w:proofErr w:type="spellEnd"/>
            <w:r w:rsidRPr="00B176CF">
              <w:rPr>
                <w:rFonts w:ascii="Arial Narrow" w:hAnsi="Arial Narrow" w:cs="Arial"/>
                <w:sz w:val="20"/>
                <w:szCs w:val="20"/>
              </w:rPr>
              <w:t xml:space="preserve"> post-transplant and historical outcomes (natural history) for patients with </w:t>
            </w:r>
            <w:proofErr w:type="spellStart"/>
            <w:r w:rsidRPr="00B176CF">
              <w:rPr>
                <w:rFonts w:ascii="Arial Narrow" w:hAnsi="Arial Narrow" w:cs="Arial"/>
                <w:sz w:val="20"/>
                <w:szCs w:val="20"/>
              </w:rPr>
              <w:t>aHUS</w:t>
            </w:r>
            <w:proofErr w:type="spellEnd"/>
            <w:r w:rsidRPr="00B176CF">
              <w:rPr>
                <w:rFonts w:ascii="Arial Narrow" w:hAnsi="Arial Narrow" w:cs="Arial"/>
                <w:sz w:val="20"/>
                <w:szCs w:val="20"/>
              </w:rPr>
              <w:t xml:space="preserve"> who underwent renal transplantation.</w:t>
            </w:r>
          </w:p>
        </w:tc>
      </w:tr>
      <w:tr w:rsidR="00902AAD" w:rsidRPr="00B176CF" w:rsidTr="00D97156">
        <w:trPr>
          <w:cantSplit/>
        </w:trPr>
        <w:tc>
          <w:tcPr>
            <w:tcW w:w="848" w:type="pct"/>
            <w:shd w:val="clear" w:color="auto" w:fill="FFFFFF" w:themeFill="background1"/>
          </w:tcPr>
          <w:p w:rsidR="00902AAD" w:rsidRPr="00B176CF" w:rsidRDefault="002E031C" w:rsidP="00D97156">
            <w:pPr>
              <w:pStyle w:val="NoSpacing"/>
              <w:keepNext/>
              <w:keepLines/>
              <w:jc w:val="left"/>
              <w:rPr>
                <w:rFonts w:ascii="Arial Narrow" w:hAnsi="Arial Narrow" w:cs="Arial"/>
                <w:sz w:val="20"/>
                <w:szCs w:val="20"/>
              </w:rPr>
            </w:pPr>
            <w:r w:rsidRPr="00B176CF">
              <w:rPr>
                <w:rFonts w:ascii="Arial Narrow" w:hAnsi="Arial Narrow"/>
                <w:sz w:val="20"/>
                <w:szCs w:val="20"/>
              </w:rPr>
              <w:t>Clinical evidence</w:t>
            </w:r>
          </w:p>
        </w:tc>
        <w:tc>
          <w:tcPr>
            <w:tcW w:w="2584" w:type="pct"/>
            <w:shd w:val="clear" w:color="auto" w:fill="FFFFFF" w:themeFill="background1"/>
          </w:tcPr>
          <w:p w:rsidR="002E031C" w:rsidRPr="00B176CF" w:rsidRDefault="002E031C" w:rsidP="002E031C">
            <w:pPr>
              <w:keepNext/>
              <w:keepLines/>
              <w:rPr>
                <w:rFonts w:ascii="Arial Narrow" w:hAnsi="Arial Narrow" w:cs="Arial"/>
                <w:sz w:val="20"/>
                <w:szCs w:val="20"/>
              </w:rPr>
            </w:pPr>
            <w:r w:rsidRPr="00B176CF">
              <w:rPr>
                <w:rFonts w:ascii="Arial Narrow" w:hAnsi="Arial Narrow" w:cs="Arial"/>
                <w:sz w:val="20"/>
                <w:szCs w:val="20"/>
              </w:rPr>
              <w:t xml:space="preserve">New studies submitted which include the use of </w:t>
            </w:r>
            <w:proofErr w:type="spellStart"/>
            <w:r w:rsidRPr="00B176CF">
              <w:rPr>
                <w:rFonts w:ascii="Arial Narrow" w:hAnsi="Arial Narrow" w:cs="Arial"/>
                <w:sz w:val="20"/>
                <w:szCs w:val="20"/>
              </w:rPr>
              <w:t>eculizumab</w:t>
            </w:r>
            <w:proofErr w:type="spellEnd"/>
            <w:r w:rsidRPr="00B176CF">
              <w:rPr>
                <w:rFonts w:ascii="Arial Narrow" w:hAnsi="Arial Narrow" w:cs="Arial"/>
                <w:sz w:val="20"/>
                <w:szCs w:val="20"/>
              </w:rPr>
              <w:t xml:space="preserve"> in patients with </w:t>
            </w:r>
            <w:proofErr w:type="spellStart"/>
            <w:r w:rsidRPr="00B176CF">
              <w:rPr>
                <w:rFonts w:ascii="Arial Narrow" w:hAnsi="Arial Narrow" w:cs="Arial"/>
                <w:sz w:val="20"/>
                <w:szCs w:val="20"/>
              </w:rPr>
              <w:t>aHUS</w:t>
            </w:r>
            <w:proofErr w:type="spellEnd"/>
            <w:r w:rsidRPr="00B176CF">
              <w:rPr>
                <w:rFonts w:ascii="Arial Narrow" w:hAnsi="Arial Narrow" w:cs="Arial"/>
                <w:sz w:val="20"/>
                <w:szCs w:val="20"/>
              </w:rPr>
              <w:t xml:space="preserve"> peri-transplant and long-term use after kidney transplantation:</w:t>
            </w:r>
          </w:p>
          <w:p w:rsidR="002E031C" w:rsidRPr="00B176CF" w:rsidRDefault="002E031C" w:rsidP="002E031C">
            <w:pPr>
              <w:keepNext/>
              <w:keepLines/>
              <w:rPr>
                <w:rFonts w:ascii="Arial Narrow" w:hAnsi="Arial Narrow" w:cs="Arial"/>
                <w:sz w:val="20"/>
                <w:szCs w:val="20"/>
              </w:rPr>
            </w:pPr>
            <w:r w:rsidRPr="00B176CF">
              <w:rPr>
                <w:rFonts w:ascii="Arial Narrow" w:hAnsi="Arial Narrow" w:cs="Arial"/>
                <w:sz w:val="20"/>
                <w:szCs w:val="20"/>
              </w:rPr>
              <w:t>•Four new retrospective case series;</w:t>
            </w:r>
          </w:p>
          <w:p w:rsidR="002E031C" w:rsidRPr="00B176CF" w:rsidRDefault="002E031C" w:rsidP="002E031C">
            <w:pPr>
              <w:keepNext/>
              <w:keepLines/>
              <w:rPr>
                <w:rFonts w:ascii="Arial Narrow" w:hAnsi="Arial Narrow" w:cs="Arial"/>
                <w:sz w:val="20"/>
                <w:szCs w:val="20"/>
              </w:rPr>
            </w:pPr>
            <w:r w:rsidRPr="00B176CF">
              <w:rPr>
                <w:rFonts w:ascii="Arial Narrow" w:hAnsi="Arial Narrow" w:cs="Arial"/>
                <w:sz w:val="20"/>
                <w:szCs w:val="20"/>
              </w:rPr>
              <w:t xml:space="preserve">•Data from the </w:t>
            </w:r>
            <w:proofErr w:type="spellStart"/>
            <w:r w:rsidRPr="00B176CF">
              <w:rPr>
                <w:rFonts w:ascii="Arial Narrow" w:hAnsi="Arial Narrow" w:cs="Arial"/>
                <w:sz w:val="20"/>
                <w:szCs w:val="20"/>
              </w:rPr>
              <w:t>aHUS</w:t>
            </w:r>
            <w:proofErr w:type="spellEnd"/>
            <w:r w:rsidRPr="00B176CF">
              <w:rPr>
                <w:rFonts w:ascii="Arial Narrow" w:hAnsi="Arial Narrow" w:cs="Arial"/>
                <w:sz w:val="20"/>
                <w:szCs w:val="20"/>
              </w:rPr>
              <w:t xml:space="preserve"> registry; </w:t>
            </w:r>
          </w:p>
          <w:p w:rsidR="00902AAD" w:rsidRPr="00B176CF" w:rsidRDefault="002E031C" w:rsidP="002E031C">
            <w:pPr>
              <w:keepNext/>
              <w:keepLines/>
              <w:rPr>
                <w:rFonts w:ascii="Arial Narrow" w:hAnsi="Arial Narrow" w:cs="Arial"/>
                <w:sz w:val="20"/>
                <w:szCs w:val="20"/>
              </w:rPr>
            </w:pPr>
            <w:r w:rsidRPr="00B176CF">
              <w:rPr>
                <w:rFonts w:ascii="Arial Narrow" w:hAnsi="Arial Narrow" w:cs="Arial"/>
                <w:sz w:val="20"/>
                <w:szCs w:val="20"/>
              </w:rPr>
              <w:t>•4 new individual case reports.</w:t>
            </w:r>
          </w:p>
          <w:p w:rsidR="002E031C" w:rsidRPr="00B176CF" w:rsidRDefault="002E031C" w:rsidP="002E031C">
            <w:pPr>
              <w:keepNext/>
              <w:keepLines/>
              <w:rPr>
                <w:rFonts w:ascii="Arial Narrow" w:hAnsi="Arial Narrow" w:cs="Arial"/>
                <w:b/>
                <w:sz w:val="20"/>
                <w:szCs w:val="20"/>
              </w:rPr>
            </w:pPr>
            <w:r w:rsidRPr="00B176CF">
              <w:rPr>
                <w:rFonts w:ascii="Arial Narrow" w:hAnsi="Arial Narrow" w:cs="Arial"/>
                <w:b/>
                <w:sz w:val="20"/>
                <w:szCs w:val="20"/>
              </w:rPr>
              <w:t>PBAC:</w:t>
            </w:r>
            <w:r w:rsidRPr="00B176CF">
              <w:t xml:space="preserve"> </w:t>
            </w:r>
            <w:r w:rsidRPr="00B176CF">
              <w:rPr>
                <w:rFonts w:ascii="Arial Narrow" w:hAnsi="Arial Narrow" w:cs="Arial"/>
                <w:sz w:val="20"/>
                <w:szCs w:val="20"/>
              </w:rPr>
              <w:t>data presented to support listing were not particularly robust (para 7.5)</w:t>
            </w:r>
          </w:p>
        </w:tc>
        <w:tc>
          <w:tcPr>
            <w:tcW w:w="1568" w:type="pct"/>
            <w:shd w:val="clear" w:color="auto" w:fill="FFFFFF" w:themeFill="background1"/>
          </w:tcPr>
          <w:p w:rsidR="009A47C9" w:rsidRPr="00B176CF" w:rsidRDefault="009A47C9" w:rsidP="009A47C9">
            <w:pPr>
              <w:keepNext/>
              <w:keepLines/>
              <w:rPr>
                <w:rFonts w:ascii="Arial Narrow" w:hAnsi="Arial Narrow" w:cs="Arial"/>
                <w:sz w:val="20"/>
                <w:szCs w:val="20"/>
              </w:rPr>
            </w:pPr>
            <w:r w:rsidRPr="00B176CF">
              <w:rPr>
                <w:rFonts w:ascii="Arial Narrow" w:hAnsi="Arial Narrow" w:cs="Arial"/>
                <w:sz w:val="20"/>
                <w:szCs w:val="20"/>
              </w:rPr>
              <w:t xml:space="preserve">New studies submitted which include long-term use of </w:t>
            </w:r>
            <w:proofErr w:type="spellStart"/>
            <w:r w:rsidRPr="00B176CF">
              <w:rPr>
                <w:rFonts w:ascii="Arial Narrow" w:hAnsi="Arial Narrow" w:cs="Arial"/>
                <w:sz w:val="20"/>
                <w:szCs w:val="20"/>
              </w:rPr>
              <w:t>ecu</w:t>
            </w:r>
            <w:r w:rsidR="0052660C" w:rsidRPr="00B176CF">
              <w:rPr>
                <w:rFonts w:ascii="Arial Narrow" w:hAnsi="Arial Narrow" w:cs="Arial"/>
                <w:sz w:val="20"/>
                <w:szCs w:val="20"/>
              </w:rPr>
              <w:t>lizumab</w:t>
            </w:r>
            <w:proofErr w:type="spellEnd"/>
            <w:r w:rsidRPr="00B176CF">
              <w:rPr>
                <w:rFonts w:ascii="Arial Narrow" w:hAnsi="Arial Narrow" w:cs="Arial"/>
                <w:sz w:val="20"/>
                <w:szCs w:val="20"/>
              </w:rPr>
              <w:t xml:space="preserve"> post renal transplant: </w:t>
            </w:r>
          </w:p>
          <w:p w:rsidR="009A47C9" w:rsidRPr="00B176CF" w:rsidRDefault="009A47C9" w:rsidP="009A47C9">
            <w:pPr>
              <w:keepNext/>
              <w:keepLines/>
              <w:rPr>
                <w:rFonts w:ascii="Arial Narrow" w:hAnsi="Arial Narrow" w:cs="Arial"/>
                <w:sz w:val="20"/>
                <w:szCs w:val="20"/>
              </w:rPr>
            </w:pPr>
            <w:r w:rsidRPr="00B176CF">
              <w:rPr>
                <w:rFonts w:ascii="Arial Narrow" w:hAnsi="Arial Narrow" w:cs="Arial"/>
                <w:sz w:val="20"/>
                <w:szCs w:val="20"/>
              </w:rPr>
              <w:t xml:space="preserve">•Further data from the </w:t>
            </w:r>
            <w:proofErr w:type="spellStart"/>
            <w:r w:rsidRPr="00B176CF">
              <w:rPr>
                <w:rFonts w:ascii="Arial Narrow" w:hAnsi="Arial Narrow" w:cs="Arial"/>
                <w:sz w:val="20"/>
                <w:szCs w:val="20"/>
              </w:rPr>
              <w:t>aHUS</w:t>
            </w:r>
            <w:proofErr w:type="spellEnd"/>
            <w:r w:rsidRPr="00B176CF">
              <w:rPr>
                <w:rFonts w:ascii="Arial Narrow" w:hAnsi="Arial Narrow" w:cs="Arial"/>
                <w:sz w:val="20"/>
                <w:szCs w:val="20"/>
              </w:rPr>
              <w:t xml:space="preserve"> registry; </w:t>
            </w:r>
          </w:p>
          <w:p w:rsidR="009A47C9" w:rsidRPr="00B176CF" w:rsidRDefault="009A47C9" w:rsidP="009A47C9">
            <w:pPr>
              <w:keepNext/>
              <w:keepLines/>
              <w:rPr>
                <w:rFonts w:ascii="Arial Narrow" w:hAnsi="Arial Narrow" w:cs="Arial"/>
                <w:sz w:val="20"/>
                <w:szCs w:val="20"/>
              </w:rPr>
            </w:pPr>
            <w:r w:rsidRPr="00B176CF">
              <w:rPr>
                <w:rFonts w:ascii="Arial Narrow" w:hAnsi="Arial Narrow" w:cs="Arial"/>
                <w:sz w:val="20"/>
                <w:szCs w:val="20"/>
              </w:rPr>
              <w:t>• 2 retrospective case series; and</w:t>
            </w:r>
          </w:p>
          <w:p w:rsidR="00902AAD" w:rsidRPr="00B176CF" w:rsidRDefault="009A47C9" w:rsidP="009A47C9">
            <w:pPr>
              <w:keepNext/>
              <w:keepLines/>
              <w:rPr>
                <w:rFonts w:ascii="Arial Narrow" w:hAnsi="Arial Narrow" w:cs="Arial"/>
                <w:sz w:val="20"/>
                <w:szCs w:val="20"/>
              </w:rPr>
            </w:pPr>
            <w:r w:rsidRPr="00B176CF">
              <w:rPr>
                <w:rFonts w:ascii="Arial Narrow" w:hAnsi="Arial Narrow" w:cs="Arial"/>
                <w:sz w:val="20"/>
                <w:szCs w:val="20"/>
              </w:rPr>
              <w:t xml:space="preserve">• 2 case reports </w:t>
            </w:r>
          </w:p>
        </w:tc>
      </w:tr>
      <w:tr w:rsidR="00902AAD" w:rsidRPr="00B176CF" w:rsidTr="00D97156">
        <w:trPr>
          <w:cantSplit/>
        </w:trPr>
        <w:tc>
          <w:tcPr>
            <w:tcW w:w="848" w:type="pct"/>
            <w:shd w:val="clear" w:color="auto" w:fill="FFFFFF" w:themeFill="background1"/>
          </w:tcPr>
          <w:p w:rsidR="00902AAD" w:rsidRPr="00B176CF" w:rsidRDefault="002E031C" w:rsidP="00D97156">
            <w:pPr>
              <w:pStyle w:val="NoSpacing"/>
              <w:keepNext/>
              <w:keepLines/>
              <w:jc w:val="left"/>
              <w:rPr>
                <w:rFonts w:ascii="Arial Narrow" w:hAnsi="Arial Narrow" w:cs="Arial"/>
                <w:sz w:val="20"/>
                <w:szCs w:val="20"/>
              </w:rPr>
            </w:pPr>
            <w:r w:rsidRPr="00B176CF">
              <w:rPr>
                <w:rFonts w:ascii="Arial Narrow" w:hAnsi="Arial Narrow" w:cs="Arial"/>
                <w:sz w:val="20"/>
                <w:szCs w:val="20"/>
              </w:rPr>
              <w:t>Key effectiveness data</w:t>
            </w:r>
          </w:p>
        </w:tc>
        <w:tc>
          <w:tcPr>
            <w:tcW w:w="2584" w:type="pct"/>
            <w:shd w:val="clear" w:color="auto" w:fill="FFFFFF" w:themeFill="background1"/>
          </w:tcPr>
          <w:p w:rsidR="002E031C" w:rsidRPr="00B176CF" w:rsidRDefault="002E031C" w:rsidP="002E031C">
            <w:pPr>
              <w:keepNext/>
              <w:keepLines/>
              <w:rPr>
                <w:rFonts w:ascii="Arial Narrow" w:hAnsi="Arial Narrow" w:cs="Arial"/>
                <w:sz w:val="20"/>
                <w:szCs w:val="20"/>
              </w:rPr>
            </w:pPr>
            <w:r w:rsidRPr="00B176CF">
              <w:rPr>
                <w:rFonts w:ascii="Arial Narrow" w:hAnsi="Arial Narrow" w:cs="Arial"/>
                <w:sz w:val="20"/>
                <w:szCs w:val="20"/>
              </w:rPr>
              <w:t xml:space="preserve">New evidence was provided for 98 who patients initiated </w:t>
            </w:r>
            <w:proofErr w:type="spellStart"/>
            <w:r w:rsidRPr="00B176CF">
              <w:rPr>
                <w:rFonts w:ascii="Arial Narrow" w:hAnsi="Arial Narrow" w:cs="Arial"/>
                <w:sz w:val="20"/>
                <w:szCs w:val="20"/>
              </w:rPr>
              <w:t>eculizumab</w:t>
            </w:r>
            <w:proofErr w:type="spellEnd"/>
            <w:r w:rsidRPr="00B176CF">
              <w:rPr>
                <w:rFonts w:ascii="Arial Narrow" w:hAnsi="Arial Narrow" w:cs="Arial"/>
                <w:sz w:val="20"/>
                <w:szCs w:val="20"/>
              </w:rPr>
              <w:t xml:space="preserve"> peri-transplant with a satisfactory allograft function maintained in 97% and with a TMA recurrence rate of 6%. </w:t>
            </w:r>
          </w:p>
          <w:p w:rsidR="00902AAD" w:rsidRPr="00B176CF" w:rsidRDefault="002E031C" w:rsidP="002E031C">
            <w:pPr>
              <w:keepNext/>
              <w:keepLines/>
              <w:rPr>
                <w:rFonts w:ascii="Arial Narrow" w:hAnsi="Arial Narrow" w:cs="Arial"/>
                <w:sz w:val="20"/>
                <w:szCs w:val="20"/>
              </w:rPr>
            </w:pPr>
            <w:r w:rsidRPr="00B176CF">
              <w:rPr>
                <w:rFonts w:ascii="Arial Narrow" w:hAnsi="Arial Narrow" w:cs="Arial"/>
                <w:sz w:val="20"/>
                <w:szCs w:val="20"/>
              </w:rPr>
              <w:t xml:space="preserve">Of 39 new patients initiated on </w:t>
            </w:r>
            <w:proofErr w:type="spellStart"/>
            <w:r w:rsidRPr="00B176CF">
              <w:rPr>
                <w:rFonts w:ascii="Arial Narrow" w:hAnsi="Arial Narrow" w:cs="Arial"/>
                <w:sz w:val="20"/>
                <w:szCs w:val="20"/>
              </w:rPr>
              <w:t>eculizumab</w:t>
            </w:r>
            <w:proofErr w:type="spellEnd"/>
            <w:r w:rsidRPr="00B176CF">
              <w:rPr>
                <w:rFonts w:ascii="Arial Narrow" w:hAnsi="Arial Narrow" w:cs="Arial"/>
                <w:sz w:val="20"/>
                <w:szCs w:val="20"/>
              </w:rPr>
              <w:t xml:space="preserve"> post-transplant 61% maintained satisfactory allograft function with a TMA recurrence rate of 42%.</w:t>
            </w:r>
          </w:p>
          <w:p w:rsidR="009A47C9" w:rsidRPr="00B176CF" w:rsidRDefault="009A47C9" w:rsidP="002E031C">
            <w:pPr>
              <w:keepNext/>
              <w:keepLines/>
              <w:rPr>
                <w:rFonts w:ascii="Arial Narrow" w:hAnsi="Arial Narrow" w:cs="Arial"/>
                <w:sz w:val="20"/>
                <w:szCs w:val="20"/>
              </w:rPr>
            </w:pPr>
            <w:r w:rsidRPr="00B176CF">
              <w:rPr>
                <w:rFonts w:ascii="Arial Narrow" w:hAnsi="Arial Narrow" w:cs="Arial"/>
                <w:b/>
                <w:sz w:val="20"/>
                <w:szCs w:val="20"/>
              </w:rPr>
              <w:t>PBAC:</w:t>
            </w:r>
            <w:r w:rsidRPr="00B176CF">
              <w:t xml:space="preserve"> </w:t>
            </w:r>
            <w:r w:rsidRPr="00B176CF">
              <w:rPr>
                <w:rFonts w:ascii="Arial Narrow" w:hAnsi="Arial Narrow" w:cs="Arial"/>
                <w:sz w:val="20"/>
                <w:szCs w:val="20"/>
              </w:rPr>
              <w:t>data presented to support listing were not particularly robust (para 7.</w:t>
            </w:r>
            <w:r w:rsidR="004B580E" w:rsidRPr="00B176CF">
              <w:rPr>
                <w:rFonts w:ascii="Arial Narrow" w:hAnsi="Arial Narrow" w:cs="Arial"/>
                <w:sz w:val="20"/>
                <w:szCs w:val="20"/>
              </w:rPr>
              <w:t>5)</w:t>
            </w:r>
          </w:p>
        </w:tc>
        <w:tc>
          <w:tcPr>
            <w:tcW w:w="1568" w:type="pct"/>
            <w:shd w:val="clear" w:color="auto" w:fill="FFFFFF" w:themeFill="background1"/>
          </w:tcPr>
          <w:p w:rsidR="00902AAD" w:rsidRPr="00B176CF" w:rsidRDefault="009A47C9" w:rsidP="009A47C9">
            <w:pPr>
              <w:keepNext/>
              <w:keepLines/>
              <w:rPr>
                <w:rFonts w:ascii="Arial Narrow" w:hAnsi="Arial Narrow" w:cs="Arial"/>
                <w:sz w:val="20"/>
                <w:szCs w:val="20"/>
              </w:rPr>
            </w:pPr>
            <w:r w:rsidRPr="00B176CF">
              <w:rPr>
                <w:rFonts w:ascii="Arial Narrow" w:hAnsi="Arial Narrow" w:cs="Arial"/>
                <w:sz w:val="20"/>
                <w:szCs w:val="20"/>
              </w:rPr>
              <w:t>The resubmission did not present aggregated outcomes from these data.</w:t>
            </w:r>
          </w:p>
        </w:tc>
      </w:tr>
      <w:tr w:rsidR="002E031C" w:rsidRPr="00B176CF" w:rsidTr="00D97156">
        <w:trPr>
          <w:cantSplit/>
        </w:trPr>
        <w:tc>
          <w:tcPr>
            <w:tcW w:w="848" w:type="pct"/>
            <w:shd w:val="clear" w:color="auto" w:fill="FFFFFF" w:themeFill="background1"/>
          </w:tcPr>
          <w:p w:rsidR="002E031C" w:rsidRPr="00B176CF" w:rsidRDefault="002E031C" w:rsidP="00C262A0">
            <w:pPr>
              <w:rPr>
                <w:rFonts w:ascii="Arial Narrow" w:hAnsi="Arial Narrow"/>
                <w:sz w:val="20"/>
                <w:szCs w:val="20"/>
              </w:rPr>
            </w:pPr>
            <w:r w:rsidRPr="00B176CF">
              <w:rPr>
                <w:rFonts w:ascii="Arial Narrow" w:hAnsi="Arial Narrow"/>
                <w:sz w:val="20"/>
                <w:szCs w:val="20"/>
              </w:rPr>
              <w:t>Clinical claim</w:t>
            </w:r>
          </w:p>
        </w:tc>
        <w:tc>
          <w:tcPr>
            <w:tcW w:w="2584" w:type="pct"/>
            <w:shd w:val="clear" w:color="auto" w:fill="FFFFFF" w:themeFill="background1"/>
          </w:tcPr>
          <w:p w:rsidR="002E031C" w:rsidRPr="00B176CF" w:rsidRDefault="002E031C" w:rsidP="002E031C">
            <w:pPr>
              <w:keepNext/>
              <w:keepLines/>
              <w:rPr>
                <w:rFonts w:ascii="Arial Narrow" w:hAnsi="Arial Narrow" w:cs="Arial"/>
                <w:sz w:val="20"/>
                <w:szCs w:val="20"/>
              </w:rPr>
            </w:pPr>
            <w:r w:rsidRPr="00B176CF">
              <w:rPr>
                <w:rFonts w:ascii="Arial Narrow" w:hAnsi="Arial Narrow" w:cs="Arial"/>
                <w:sz w:val="20"/>
                <w:szCs w:val="20"/>
              </w:rPr>
              <w:t xml:space="preserve">Not explicitly stated. Assumed to be that </w:t>
            </w:r>
            <w:proofErr w:type="spellStart"/>
            <w:r w:rsidRPr="00B176CF">
              <w:rPr>
                <w:rFonts w:ascii="Arial Narrow" w:hAnsi="Arial Narrow" w:cs="Arial"/>
                <w:sz w:val="20"/>
                <w:szCs w:val="20"/>
              </w:rPr>
              <w:t>eculizumab</w:t>
            </w:r>
            <w:proofErr w:type="spellEnd"/>
            <w:r w:rsidRPr="00B176CF">
              <w:rPr>
                <w:rFonts w:ascii="Arial Narrow" w:hAnsi="Arial Narrow" w:cs="Arial"/>
                <w:sz w:val="20"/>
                <w:szCs w:val="20"/>
              </w:rPr>
              <w:t xml:space="preserve"> is effective in preventing post-transplantation recurrence of TMA and graft loss.</w:t>
            </w:r>
          </w:p>
        </w:tc>
        <w:tc>
          <w:tcPr>
            <w:tcW w:w="1568" w:type="pct"/>
            <w:shd w:val="clear" w:color="auto" w:fill="FFFFFF" w:themeFill="background1"/>
          </w:tcPr>
          <w:p w:rsidR="002E031C" w:rsidRPr="00B176CF" w:rsidRDefault="0024647D" w:rsidP="0052660C">
            <w:pPr>
              <w:keepNext/>
              <w:keepLines/>
              <w:rPr>
                <w:rFonts w:ascii="Arial Narrow" w:hAnsi="Arial Narrow" w:cs="Arial"/>
                <w:sz w:val="20"/>
                <w:szCs w:val="20"/>
              </w:rPr>
            </w:pPr>
            <w:r w:rsidRPr="00B176CF">
              <w:rPr>
                <w:rFonts w:ascii="Arial Narrow" w:hAnsi="Arial Narrow" w:cs="Arial"/>
                <w:sz w:val="20"/>
                <w:szCs w:val="20"/>
              </w:rPr>
              <w:t xml:space="preserve">12 months of prophylactic </w:t>
            </w:r>
            <w:proofErr w:type="spellStart"/>
            <w:r w:rsidRPr="00B176CF">
              <w:rPr>
                <w:rFonts w:ascii="Arial Narrow" w:hAnsi="Arial Narrow" w:cs="Arial"/>
                <w:sz w:val="20"/>
                <w:szCs w:val="20"/>
              </w:rPr>
              <w:t>ecu</w:t>
            </w:r>
            <w:r w:rsidR="0052660C" w:rsidRPr="00B176CF">
              <w:rPr>
                <w:rFonts w:ascii="Arial Narrow" w:hAnsi="Arial Narrow" w:cs="Arial"/>
                <w:sz w:val="20"/>
                <w:szCs w:val="20"/>
              </w:rPr>
              <w:t>lizumab</w:t>
            </w:r>
            <w:proofErr w:type="spellEnd"/>
            <w:r w:rsidR="00ED4C77" w:rsidRPr="00B176CF">
              <w:rPr>
                <w:rFonts w:ascii="Arial Narrow" w:hAnsi="Arial Narrow" w:cs="Arial"/>
                <w:sz w:val="20"/>
                <w:szCs w:val="20"/>
              </w:rPr>
              <w:t xml:space="preserve"> </w:t>
            </w:r>
            <w:r w:rsidRPr="00B176CF">
              <w:rPr>
                <w:rFonts w:ascii="Arial Narrow" w:hAnsi="Arial Narrow" w:cs="Arial"/>
                <w:sz w:val="20"/>
                <w:szCs w:val="20"/>
              </w:rPr>
              <w:t xml:space="preserve">post-transplant was superior to </w:t>
            </w:r>
            <w:r w:rsidR="00ED4C77" w:rsidRPr="00B176CF">
              <w:rPr>
                <w:rFonts w:ascii="Arial Narrow" w:hAnsi="Arial Narrow" w:cs="Arial"/>
                <w:sz w:val="20"/>
                <w:szCs w:val="20"/>
              </w:rPr>
              <w:t>3</w:t>
            </w:r>
            <w:r w:rsidRPr="00B176CF">
              <w:rPr>
                <w:rFonts w:ascii="Arial Narrow" w:hAnsi="Arial Narrow" w:cs="Arial"/>
                <w:sz w:val="20"/>
                <w:szCs w:val="20"/>
              </w:rPr>
              <w:t xml:space="preserve"> months followed by monitoring </w:t>
            </w:r>
          </w:p>
        </w:tc>
      </w:tr>
      <w:tr w:rsidR="002E031C" w:rsidRPr="00B176CF" w:rsidTr="00D97156">
        <w:trPr>
          <w:cantSplit/>
        </w:trPr>
        <w:tc>
          <w:tcPr>
            <w:tcW w:w="848" w:type="pct"/>
            <w:shd w:val="clear" w:color="auto" w:fill="FFFFFF" w:themeFill="background1"/>
          </w:tcPr>
          <w:p w:rsidR="002E031C" w:rsidRPr="00B176CF" w:rsidRDefault="002E031C" w:rsidP="00C262A0">
            <w:pPr>
              <w:rPr>
                <w:rFonts w:ascii="Arial Narrow" w:hAnsi="Arial Narrow"/>
                <w:sz w:val="20"/>
                <w:szCs w:val="20"/>
                <w:highlight w:val="yellow"/>
              </w:rPr>
            </w:pPr>
            <w:r w:rsidRPr="00B176CF">
              <w:rPr>
                <w:rFonts w:ascii="Arial Narrow" w:hAnsi="Arial Narrow"/>
                <w:sz w:val="20"/>
                <w:szCs w:val="20"/>
              </w:rPr>
              <w:t>Economic evaluation</w:t>
            </w:r>
          </w:p>
        </w:tc>
        <w:tc>
          <w:tcPr>
            <w:tcW w:w="2584" w:type="pct"/>
            <w:shd w:val="clear" w:color="auto" w:fill="FFFFFF" w:themeFill="background1"/>
          </w:tcPr>
          <w:p w:rsidR="002E031C" w:rsidRPr="00B176CF" w:rsidRDefault="002E031C" w:rsidP="00C262A0">
            <w:pPr>
              <w:rPr>
                <w:rFonts w:ascii="Arial Narrow" w:hAnsi="Arial Narrow"/>
                <w:sz w:val="20"/>
                <w:szCs w:val="20"/>
              </w:rPr>
            </w:pPr>
            <w:r w:rsidRPr="00B176CF">
              <w:rPr>
                <w:rFonts w:ascii="Arial Narrow" w:hAnsi="Arial Narrow"/>
                <w:sz w:val="20"/>
                <w:szCs w:val="20"/>
              </w:rPr>
              <w:t xml:space="preserve">None presented. </w:t>
            </w:r>
          </w:p>
        </w:tc>
        <w:tc>
          <w:tcPr>
            <w:tcW w:w="1568" w:type="pct"/>
            <w:shd w:val="clear" w:color="auto" w:fill="FFFFFF" w:themeFill="background1"/>
          </w:tcPr>
          <w:p w:rsidR="002E031C" w:rsidRPr="00B176CF" w:rsidRDefault="002E031C" w:rsidP="00C262A0">
            <w:pPr>
              <w:rPr>
                <w:rFonts w:ascii="Arial Narrow" w:hAnsi="Arial Narrow"/>
                <w:sz w:val="20"/>
                <w:szCs w:val="20"/>
              </w:rPr>
            </w:pPr>
            <w:r w:rsidRPr="00B176CF">
              <w:rPr>
                <w:rFonts w:ascii="Arial Narrow" w:hAnsi="Arial Narrow"/>
                <w:sz w:val="20"/>
                <w:szCs w:val="20"/>
              </w:rPr>
              <w:t>Same as previous.</w:t>
            </w:r>
          </w:p>
        </w:tc>
      </w:tr>
      <w:tr w:rsidR="002E031C" w:rsidRPr="00B176CF" w:rsidTr="00D97156">
        <w:trPr>
          <w:cantSplit/>
        </w:trPr>
        <w:tc>
          <w:tcPr>
            <w:tcW w:w="848" w:type="pct"/>
            <w:shd w:val="clear" w:color="auto" w:fill="FFFFFF" w:themeFill="background1"/>
          </w:tcPr>
          <w:p w:rsidR="002E031C" w:rsidRPr="00B176CF" w:rsidRDefault="002E031C" w:rsidP="0024647D">
            <w:pPr>
              <w:rPr>
                <w:rFonts w:ascii="Arial Narrow" w:hAnsi="Arial Narrow"/>
                <w:sz w:val="20"/>
                <w:szCs w:val="20"/>
                <w:highlight w:val="yellow"/>
              </w:rPr>
            </w:pPr>
            <w:r w:rsidRPr="00B176CF">
              <w:rPr>
                <w:rFonts w:ascii="Arial Narrow" w:hAnsi="Arial Narrow"/>
                <w:sz w:val="20"/>
                <w:szCs w:val="20"/>
              </w:rPr>
              <w:t>N</w:t>
            </w:r>
            <w:r w:rsidR="0024647D" w:rsidRPr="00B176CF">
              <w:rPr>
                <w:rFonts w:ascii="Arial Narrow" w:hAnsi="Arial Narrow"/>
                <w:sz w:val="20"/>
                <w:szCs w:val="20"/>
              </w:rPr>
              <w:t xml:space="preserve">o. </w:t>
            </w:r>
            <w:r w:rsidRPr="00B176CF">
              <w:rPr>
                <w:rFonts w:ascii="Arial Narrow" w:hAnsi="Arial Narrow"/>
                <w:sz w:val="20"/>
                <w:szCs w:val="20"/>
              </w:rPr>
              <w:t>of patients</w:t>
            </w:r>
          </w:p>
        </w:tc>
        <w:tc>
          <w:tcPr>
            <w:tcW w:w="2584" w:type="pct"/>
            <w:shd w:val="clear" w:color="auto" w:fill="FFFFFF" w:themeFill="background1"/>
          </w:tcPr>
          <w:p w:rsidR="002E031C" w:rsidRPr="00B176CF" w:rsidRDefault="00FB6BAB" w:rsidP="0024647D">
            <w:pPr>
              <w:keepNext/>
              <w:keepLines/>
              <w:rPr>
                <w:rFonts w:ascii="Arial Narrow" w:hAnsi="Arial Narrow" w:cs="Arial"/>
                <w:sz w:val="20"/>
                <w:szCs w:val="20"/>
              </w:rPr>
            </w:pPr>
            <w:r>
              <w:rPr>
                <w:rFonts w:ascii="Arial Narrow" w:hAnsi="Arial Narrow" w:cs="Arial"/>
                <w:sz w:val="20"/>
                <w:szCs w:val="20"/>
              </w:rPr>
              <w:t>Less than 10,000</w:t>
            </w:r>
            <w:r w:rsidR="002E031C" w:rsidRPr="00B176CF">
              <w:rPr>
                <w:rFonts w:ascii="Arial Narrow" w:hAnsi="Arial Narrow" w:cs="Arial"/>
                <w:sz w:val="20"/>
                <w:szCs w:val="20"/>
              </w:rPr>
              <w:t xml:space="preserve"> patient</w:t>
            </w:r>
            <w:r>
              <w:rPr>
                <w:rFonts w:ascii="Arial Narrow" w:hAnsi="Arial Narrow" w:cs="Arial"/>
                <w:sz w:val="20"/>
                <w:szCs w:val="20"/>
              </w:rPr>
              <w:t>s</w:t>
            </w:r>
            <w:r w:rsidR="002E031C" w:rsidRPr="00B176CF">
              <w:rPr>
                <w:rFonts w:ascii="Arial Narrow" w:hAnsi="Arial Narrow" w:cs="Arial"/>
                <w:sz w:val="20"/>
                <w:szCs w:val="20"/>
              </w:rPr>
              <w:t xml:space="preserve"> in the first year decreasing to </w:t>
            </w:r>
            <w:r>
              <w:rPr>
                <w:rFonts w:ascii="Arial Narrow" w:hAnsi="Arial Narrow" w:cs="Arial"/>
                <w:sz w:val="20"/>
                <w:szCs w:val="20"/>
              </w:rPr>
              <w:t>less than 10,000</w:t>
            </w:r>
            <w:r w:rsidR="002E031C" w:rsidRPr="00B176CF">
              <w:rPr>
                <w:rFonts w:ascii="Arial Narrow" w:hAnsi="Arial Narrow" w:cs="Arial"/>
                <w:sz w:val="20"/>
                <w:szCs w:val="20"/>
              </w:rPr>
              <w:t xml:space="preserve"> per year from year 3</w:t>
            </w:r>
          </w:p>
        </w:tc>
        <w:tc>
          <w:tcPr>
            <w:tcW w:w="1568" w:type="pct"/>
            <w:shd w:val="clear" w:color="auto" w:fill="FFFFFF" w:themeFill="background1"/>
          </w:tcPr>
          <w:p w:rsidR="002E031C" w:rsidRPr="00B176CF" w:rsidRDefault="0024647D" w:rsidP="00D97156">
            <w:pPr>
              <w:keepNext/>
              <w:keepLines/>
              <w:rPr>
                <w:rFonts w:ascii="Arial Narrow" w:hAnsi="Arial Narrow" w:cs="Arial"/>
                <w:sz w:val="20"/>
                <w:szCs w:val="20"/>
              </w:rPr>
            </w:pPr>
            <w:r w:rsidRPr="00B176CF">
              <w:rPr>
                <w:rFonts w:ascii="Arial Narrow" w:hAnsi="Arial Narrow"/>
                <w:sz w:val="20"/>
                <w:szCs w:val="20"/>
              </w:rPr>
              <w:t>Same as previous.</w:t>
            </w:r>
          </w:p>
        </w:tc>
      </w:tr>
      <w:tr w:rsidR="002E031C" w:rsidRPr="00B176CF" w:rsidTr="00D97156">
        <w:trPr>
          <w:cantSplit/>
        </w:trPr>
        <w:tc>
          <w:tcPr>
            <w:tcW w:w="848" w:type="pct"/>
            <w:shd w:val="clear" w:color="auto" w:fill="FFFFFF" w:themeFill="background1"/>
          </w:tcPr>
          <w:p w:rsidR="002E031C" w:rsidRPr="00B176CF" w:rsidRDefault="002E031C" w:rsidP="0024647D">
            <w:pPr>
              <w:rPr>
                <w:rFonts w:ascii="Arial Narrow" w:hAnsi="Arial Narrow"/>
                <w:sz w:val="20"/>
                <w:szCs w:val="20"/>
              </w:rPr>
            </w:pPr>
            <w:r w:rsidRPr="00B176CF">
              <w:rPr>
                <w:rFonts w:ascii="Arial Narrow" w:hAnsi="Arial Narrow"/>
                <w:sz w:val="20"/>
                <w:szCs w:val="20"/>
              </w:rPr>
              <w:t>N</w:t>
            </w:r>
            <w:r w:rsidR="0024647D" w:rsidRPr="00B176CF">
              <w:rPr>
                <w:rFonts w:ascii="Arial Narrow" w:hAnsi="Arial Narrow"/>
                <w:sz w:val="20"/>
                <w:szCs w:val="20"/>
              </w:rPr>
              <w:t xml:space="preserve">o. </w:t>
            </w:r>
            <w:r w:rsidRPr="00B176CF">
              <w:rPr>
                <w:rFonts w:ascii="Arial Narrow" w:hAnsi="Arial Narrow"/>
                <w:sz w:val="20"/>
                <w:szCs w:val="20"/>
              </w:rPr>
              <w:t xml:space="preserve">of vials per patient </w:t>
            </w:r>
          </w:p>
        </w:tc>
        <w:tc>
          <w:tcPr>
            <w:tcW w:w="2584" w:type="pct"/>
            <w:shd w:val="clear" w:color="auto" w:fill="FFFFFF" w:themeFill="background1"/>
          </w:tcPr>
          <w:p w:rsidR="002E031C" w:rsidRPr="00B176CF" w:rsidRDefault="00FB6BAB" w:rsidP="00D97156">
            <w:pPr>
              <w:keepNext/>
              <w:keepLines/>
              <w:rPr>
                <w:rFonts w:ascii="Arial Narrow" w:hAnsi="Arial Narrow" w:cs="Arial"/>
                <w:sz w:val="20"/>
                <w:szCs w:val="20"/>
              </w:rPr>
            </w:pPr>
            <w:r>
              <w:rPr>
                <w:rFonts w:ascii="Arial Narrow" w:hAnsi="Arial Narrow" w:cs="Arial"/>
                <w:sz w:val="20"/>
                <w:szCs w:val="20"/>
              </w:rPr>
              <w:t>Less than 10,000</w:t>
            </w:r>
            <w:r w:rsidR="002E031C" w:rsidRPr="00B176CF">
              <w:rPr>
                <w:rFonts w:ascii="Arial Narrow" w:hAnsi="Arial Narrow" w:cs="Arial"/>
                <w:sz w:val="20"/>
                <w:szCs w:val="20"/>
              </w:rPr>
              <w:t xml:space="preserve"> per year</w:t>
            </w:r>
            <w:r w:rsidR="0024647D" w:rsidRPr="00B176CF">
              <w:rPr>
                <w:rFonts w:ascii="Arial Narrow" w:hAnsi="Arial Narrow" w:cs="Arial"/>
                <w:sz w:val="20"/>
                <w:szCs w:val="20"/>
              </w:rPr>
              <w:t xml:space="preserve"> (weighted average dosing)</w:t>
            </w:r>
          </w:p>
        </w:tc>
        <w:tc>
          <w:tcPr>
            <w:tcW w:w="1568" w:type="pct"/>
            <w:shd w:val="clear" w:color="auto" w:fill="FFFFFF" w:themeFill="background1"/>
          </w:tcPr>
          <w:p w:rsidR="002E031C" w:rsidRPr="00B176CF" w:rsidRDefault="00FB6BAB" w:rsidP="00D97156">
            <w:pPr>
              <w:keepNext/>
              <w:keepLines/>
              <w:rPr>
                <w:rFonts w:ascii="Arial Narrow" w:hAnsi="Arial Narrow" w:cs="Arial"/>
                <w:sz w:val="20"/>
                <w:szCs w:val="20"/>
              </w:rPr>
            </w:pPr>
            <w:r>
              <w:rPr>
                <w:rFonts w:ascii="Arial Narrow" w:hAnsi="Arial Narrow" w:cs="Arial"/>
                <w:sz w:val="20"/>
                <w:szCs w:val="20"/>
              </w:rPr>
              <w:t>Less than 10,000</w:t>
            </w:r>
            <w:r w:rsidR="002E031C" w:rsidRPr="00B176CF">
              <w:rPr>
                <w:rFonts w:ascii="Arial Narrow" w:hAnsi="Arial Narrow" w:cs="Arial"/>
                <w:sz w:val="20"/>
                <w:szCs w:val="20"/>
              </w:rPr>
              <w:t xml:space="preserve"> per year</w:t>
            </w:r>
            <w:r w:rsidR="0024647D" w:rsidRPr="00B176CF">
              <w:rPr>
                <w:rFonts w:ascii="Arial Narrow" w:hAnsi="Arial Narrow" w:cs="Arial"/>
                <w:sz w:val="20"/>
                <w:szCs w:val="20"/>
              </w:rPr>
              <w:t xml:space="preserve"> (full adult dosing)</w:t>
            </w:r>
          </w:p>
        </w:tc>
      </w:tr>
      <w:tr w:rsidR="002E031C" w:rsidRPr="00B176CF" w:rsidTr="00D97156">
        <w:trPr>
          <w:cantSplit/>
        </w:trPr>
        <w:tc>
          <w:tcPr>
            <w:tcW w:w="848" w:type="pct"/>
            <w:shd w:val="clear" w:color="auto" w:fill="FFFFFF" w:themeFill="background1"/>
          </w:tcPr>
          <w:p w:rsidR="002E031C" w:rsidRPr="00B176CF" w:rsidRDefault="004B580E" w:rsidP="004B580E">
            <w:pPr>
              <w:rPr>
                <w:rFonts w:ascii="Arial Narrow" w:hAnsi="Arial Narrow"/>
                <w:sz w:val="20"/>
                <w:szCs w:val="20"/>
              </w:rPr>
            </w:pPr>
            <w:r w:rsidRPr="00B176CF">
              <w:rPr>
                <w:rFonts w:ascii="Arial Narrow" w:hAnsi="Arial Narrow"/>
                <w:sz w:val="20"/>
                <w:szCs w:val="20"/>
              </w:rPr>
              <w:t xml:space="preserve">Duration of  </w:t>
            </w:r>
            <w:proofErr w:type="spellStart"/>
            <w:r w:rsidRPr="00B176CF">
              <w:rPr>
                <w:rFonts w:ascii="Arial Narrow" w:hAnsi="Arial Narrow"/>
                <w:sz w:val="20"/>
                <w:szCs w:val="20"/>
              </w:rPr>
              <w:t>eculizumab</w:t>
            </w:r>
            <w:proofErr w:type="spellEnd"/>
            <w:r w:rsidRPr="00B176CF">
              <w:rPr>
                <w:rFonts w:ascii="Arial Narrow" w:hAnsi="Arial Narrow"/>
                <w:sz w:val="20"/>
                <w:szCs w:val="20"/>
              </w:rPr>
              <w:t xml:space="preserve"> </w:t>
            </w:r>
            <w:r w:rsidR="002E031C" w:rsidRPr="00B176CF">
              <w:rPr>
                <w:rFonts w:ascii="Arial Narrow" w:hAnsi="Arial Narrow"/>
                <w:sz w:val="20"/>
                <w:szCs w:val="20"/>
              </w:rPr>
              <w:t>use</w:t>
            </w:r>
          </w:p>
        </w:tc>
        <w:tc>
          <w:tcPr>
            <w:tcW w:w="2584" w:type="pct"/>
            <w:shd w:val="clear" w:color="auto" w:fill="FFFFFF" w:themeFill="background1"/>
          </w:tcPr>
          <w:p w:rsidR="002E031C" w:rsidRPr="00B176CF" w:rsidRDefault="0024647D" w:rsidP="00D97156">
            <w:pPr>
              <w:keepNext/>
              <w:keepLines/>
              <w:rPr>
                <w:rFonts w:ascii="Arial Narrow" w:hAnsi="Arial Narrow" w:cs="Arial"/>
                <w:sz w:val="20"/>
                <w:szCs w:val="20"/>
              </w:rPr>
            </w:pPr>
            <w:r w:rsidRPr="00B176CF">
              <w:rPr>
                <w:rFonts w:ascii="Arial Narrow" w:hAnsi="Arial Narrow" w:cs="Arial"/>
                <w:sz w:val="20"/>
                <w:szCs w:val="20"/>
              </w:rPr>
              <w:t>Assumed all patients would continue for the full forward estimates period</w:t>
            </w:r>
          </w:p>
          <w:p w:rsidR="0024647D" w:rsidRPr="00B176CF" w:rsidRDefault="0024647D" w:rsidP="00D97156">
            <w:pPr>
              <w:keepNext/>
              <w:keepLines/>
              <w:rPr>
                <w:rFonts w:ascii="Arial Narrow" w:hAnsi="Arial Narrow" w:cs="Arial"/>
                <w:sz w:val="20"/>
                <w:szCs w:val="20"/>
              </w:rPr>
            </w:pPr>
            <w:r w:rsidRPr="00B176CF">
              <w:rPr>
                <w:rFonts w:ascii="Arial Narrow" w:hAnsi="Arial Narrow" w:cs="Arial"/>
                <w:b/>
                <w:sz w:val="20"/>
                <w:szCs w:val="20"/>
              </w:rPr>
              <w:t xml:space="preserve">PBAC: </w:t>
            </w:r>
            <w:r w:rsidRPr="00B176CF">
              <w:rPr>
                <w:rFonts w:ascii="Arial Narrow" w:hAnsi="Arial Narrow" w:cs="Arial"/>
                <w:sz w:val="20"/>
                <w:szCs w:val="20"/>
              </w:rPr>
              <w:t xml:space="preserve">3 months recommended </w:t>
            </w:r>
          </w:p>
        </w:tc>
        <w:tc>
          <w:tcPr>
            <w:tcW w:w="1568" w:type="pct"/>
            <w:shd w:val="clear" w:color="auto" w:fill="FFFFFF" w:themeFill="background1"/>
          </w:tcPr>
          <w:p w:rsidR="002E031C" w:rsidRPr="00B176CF" w:rsidRDefault="0024647D" w:rsidP="00D97156">
            <w:pPr>
              <w:keepNext/>
              <w:keepLines/>
              <w:rPr>
                <w:rFonts w:ascii="Arial Narrow" w:hAnsi="Arial Narrow" w:cs="Arial"/>
                <w:sz w:val="20"/>
                <w:szCs w:val="20"/>
              </w:rPr>
            </w:pPr>
            <w:r w:rsidRPr="00B176CF">
              <w:rPr>
                <w:rFonts w:ascii="Arial Narrow" w:hAnsi="Arial Narrow" w:cs="Arial"/>
                <w:sz w:val="20"/>
                <w:szCs w:val="20"/>
              </w:rPr>
              <w:t>12 months</w:t>
            </w:r>
          </w:p>
        </w:tc>
      </w:tr>
      <w:tr w:rsidR="002E031C" w:rsidRPr="00B176CF" w:rsidTr="00D97156">
        <w:trPr>
          <w:cantSplit/>
        </w:trPr>
        <w:tc>
          <w:tcPr>
            <w:tcW w:w="848" w:type="pct"/>
            <w:shd w:val="clear" w:color="auto" w:fill="FFFFFF" w:themeFill="background1"/>
          </w:tcPr>
          <w:p w:rsidR="002E031C" w:rsidRPr="00B176CF" w:rsidRDefault="002E031C" w:rsidP="00C262A0">
            <w:pPr>
              <w:rPr>
                <w:rFonts w:ascii="Arial Narrow" w:hAnsi="Arial Narrow"/>
                <w:sz w:val="20"/>
                <w:szCs w:val="20"/>
                <w:highlight w:val="yellow"/>
              </w:rPr>
            </w:pPr>
            <w:r w:rsidRPr="00B176CF">
              <w:rPr>
                <w:rFonts w:ascii="Arial Narrow" w:hAnsi="Arial Narrow"/>
                <w:sz w:val="20"/>
                <w:szCs w:val="20"/>
              </w:rPr>
              <w:t>Estimated net cost to PBS</w:t>
            </w:r>
          </w:p>
        </w:tc>
        <w:tc>
          <w:tcPr>
            <w:tcW w:w="2584" w:type="pct"/>
            <w:shd w:val="clear" w:color="auto" w:fill="FFFFFF" w:themeFill="background1"/>
          </w:tcPr>
          <w:p w:rsidR="002E031C" w:rsidRPr="00B176CF" w:rsidRDefault="003F23EA" w:rsidP="00D97156">
            <w:pPr>
              <w:keepNext/>
              <w:keepLines/>
              <w:rPr>
                <w:rFonts w:ascii="Arial Narrow" w:hAnsi="Arial Narrow" w:cs="Arial"/>
                <w:sz w:val="20"/>
                <w:szCs w:val="20"/>
              </w:rPr>
            </w:pPr>
            <w:r>
              <w:rPr>
                <w:rFonts w:ascii="Arial Narrow" w:hAnsi="Arial Narrow" w:cs="Arial"/>
                <w:sz w:val="20"/>
                <w:szCs w:val="20"/>
              </w:rPr>
              <w:t>Less than $10</w:t>
            </w:r>
            <w:r w:rsidR="002E031C" w:rsidRPr="00B176CF">
              <w:rPr>
                <w:rFonts w:ascii="Arial Narrow" w:hAnsi="Arial Narrow" w:cs="Arial"/>
                <w:sz w:val="20"/>
                <w:szCs w:val="20"/>
              </w:rPr>
              <w:t xml:space="preserve"> million in Year 1 increasing to</w:t>
            </w:r>
            <w:r>
              <w:rPr>
                <w:rFonts w:ascii="Arial Narrow" w:hAnsi="Arial Narrow" w:cs="Arial"/>
                <w:sz w:val="20"/>
                <w:szCs w:val="20"/>
              </w:rPr>
              <w:t xml:space="preserve"> less than $10</w:t>
            </w:r>
            <w:r w:rsidR="002E031C" w:rsidRPr="00B176CF">
              <w:rPr>
                <w:rFonts w:ascii="Arial Narrow" w:hAnsi="Arial Narrow" w:cs="Arial"/>
                <w:sz w:val="20"/>
                <w:szCs w:val="20"/>
              </w:rPr>
              <w:t xml:space="preserve"> million in Year 5 for a total of $</w:t>
            </w:r>
            <w:r>
              <w:rPr>
                <w:rFonts w:ascii="Arial Narrow" w:hAnsi="Arial Narrow" w:cs="Arial"/>
                <w:sz w:val="20"/>
                <w:szCs w:val="20"/>
              </w:rPr>
              <w:t xml:space="preserve">20 - $30 </w:t>
            </w:r>
            <w:r w:rsidR="002E031C" w:rsidRPr="00B176CF">
              <w:rPr>
                <w:rFonts w:ascii="Arial Narrow" w:hAnsi="Arial Narrow" w:cs="Arial"/>
                <w:sz w:val="20"/>
                <w:szCs w:val="20"/>
              </w:rPr>
              <w:t>million over the first 5 years of listing (assuming continued treatment).</w:t>
            </w:r>
          </w:p>
          <w:p w:rsidR="002E031C" w:rsidRPr="00B176CF" w:rsidRDefault="002E031C" w:rsidP="00D97156">
            <w:pPr>
              <w:keepNext/>
              <w:keepLines/>
              <w:rPr>
                <w:rFonts w:ascii="Arial Narrow" w:hAnsi="Arial Narrow" w:cs="Arial"/>
                <w:sz w:val="20"/>
                <w:szCs w:val="20"/>
              </w:rPr>
            </w:pPr>
            <w:r w:rsidRPr="00B176CF">
              <w:rPr>
                <w:rFonts w:ascii="Arial Narrow" w:hAnsi="Arial Narrow" w:cs="Arial"/>
                <w:b/>
                <w:sz w:val="20"/>
                <w:szCs w:val="20"/>
              </w:rPr>
              <w:t>PBAC comment:</w:t>
            </w:r>
            <w:r w:rsidR="0024647D" w:rsidRPr="00B176CF">
              <w:rPr>
                <w:rFonts w:ascii="Arial Narrow" w:hAnsi="Arial Narrow" w:cs="Arial"/>
                <w:sz w:val="20"/>
                <w:szCs w:val="20"/>
              </w:rPr>
              <w:t xml:space="preserve"> (Para 7.6) Not informative as they included continuing treatment beyond 10 weeks.</w:t>
            </w:r>
          </w:p>
        </w:tc>
        <w:tc>
          <w:tcPr>
            <w:tcW w:w="1568" w:type="pct"/>
            <w:shd w:val="clear" w:color="auto" w:fill="FFFFFF" w:themeFill="background1"/>
          </w:tcPr>
          <w:p w:rsidR="002E031C" w:rsidRPr="00B176CF" w:rsidRDefault="003F23EA" w:rsidP="00D97156">
            <w:pPr>
              <w:keepNext/>
              <w:keepLines/>
              <w:rPr>
                <w:rFonts w:ascii="Arial Narrow" w:hAnsi="Arial Narrow" w:cs="Arial"/>
                <w:sz w:val="20"/>
                <w:szCs w:val="20"/>
              </w:rPr>
            </w:pPr>
            <w:r>
              <w:rPr>
                <w:rFonts w:ascii="Arial Narrow" w:hAnsi="Arial Narrow" w:cs="Arial"/>
                <w:sz w:val="20"/>
                <w:szCs w:val="20"/>
              </w:rPr>
              <w:t>Less than $10</w:t>
            </w:r>
            <w:r w:rsidR="0024647D" w:rsidRPr="00B176CF">
              <w:rPr>
                <w:rFonts w:ascii="Arial Narrow" w:hAnsi="Arial Narrow" w:cs="Arial"/>
                <w:sz w:val="20"/>
                <w:szCs w:val="20"/>
              </w:rPr>
              <w:t xml:space="preserve"> million in Year 1 decreasing to </w:t>
            </w:r>
            <w:r>
              <w:rPr>
                <w:rFonts w:ascii="Arial Narrow" w:hAnsi="Arial Narrow" w:cs="Arial"/>
                <w:sz w:val="20"/>
                <w:szCs w:val="20"/>
              </w:rPr>
              <w:t>less than $10</w:t>
            </w:r>
            <w:r w:rsidR="0024647D" w:rsidRPr="00B176CF">
              <w:rPr>
                <w:rFonts w:ascii="Arial Narrow" w:hAnsi="Arial Narrow" w:cs="Arial"/>
                <w:sz w:val="20"/>
                <w:szCs w:val="20"/>
              </w:rPr>
              <w:t xml:space="preserve"> million in Year 5 for a total of $10</w:t>
            </w:r>
            <w:r>
              <w:rPr>
                <w:rFonts w:ascii="Arial Narrow" w:hAnsi="Arial Narrow" w:cs="Arial"/>
                <w:sz w:val="20"/>
                <w:szCs w:val="20"/>
              </w:rPr>
              <w:t xml:space="preserve"> - $20</w:t>
            </w:r>
            <w:r w:rsidR="0024647D" w:rsidRPr="00B176CF">
              <w:rPr>
                <w:rFonts w:ascii="Arial Narrow" w:hAnsi="Arial Narrow" w:cs="Arial"/>
                <w:sz w:val="20"/>
                <w:szCs w:val="20"/>
              </w:rPr>
              <w:t xml:space="preserve"> million over the first 5 years of listing. Proposed RSA would lower the cost to $</w:t>
            </w:r>
            <w:r>
              <w:rPr>
                <w:rFonts w:ascii="Arial Narrow" w:hAnsi="Arial Narrow" w:cs="Arial"/>
                <w:sz w:val="20"/>
                <w:szCs w:val="20"/>
              </w:rPr>
              <w:t>10 - $20</w:t>
            </w:r>
            <w:r w:rsidR="0024647D" w:rsidRPr="00B176CF">
              <w:rPr>
                <w:rFonts w:ascii="Arial Narrow" w:hAnsi="Arial Narrow" w:cs="Arial"/>
                <w:sz w:val="20"/>
                <w:szCs w:val="20"/>
              </w:rPr>
              <w:t xml:space="preserve"> million over 5 years.</w:t>
            </w:r>
          </w:p>
        </w:tc>
      </w:tr>
      <w:tr w:rsidR="002E031C" w:rsidRPr="00B176CF" w:rsidTr="00D97156">
        <w:trPr>
          <w:cantSplit/>
        </w:trPr>
        <w:tc>
          <w:tcPr>
            <w:tcW w:w="848" w:type="pct"/>
            <w:shd w:val="clear" w:color="auto" w:fill="FFFFFF" w:themeFill="background1"/>
          </w:tcPr>
          <w:p w:rsidR="002E031C" w:rsidRPr="00B176CF" w:rsidRDefault="002E031C" w:rsidP="00C262A0">
            <w:pPr>
              <w:rPr>
                <w:rFonts w:ascii="Arial Narrow" w:hAnsi="Arial Narrow"/>
                <w:sz w:val="20"/>
                <w:szCs w:val="20"/>
              </w:rPr>
            </w:pPr>
            <w:r w:rsidRPr="00B176CF">
              <w:rPr>
                <w:rFonts w:ascii="Arial Narrow" w:hAnsi="Arial Narrow"/>
                <w:sz w:val="20"/>
                <w:szCs w:val="20"/>
              </w:rPr>
              <w:lastRenderedPageBreak/>
              <w:t>Risk sharing arrangement</w:t>
            </w:r>
          </w:p>
        </w:tc>
        <w:tc>
          <w:tcPr>
            <w:tcW w:w="2584" w:type="pct"/>
            <w:shd w:val="clear" w:color="auto" w:fill="FFFFFF" w:themeFill="background1"/>
          </w:tcPr>
          <w:p w:rsidR="002E031C" w:rsidRPr="00B176CF" w:rsidRDefault="0024647D" w:rsidP="00D97156">
            <w:pPr>
              <w:keepNext/>
              <w:keepLines/>
              <w:rPr>
                <w:rFonts w:ascii="Arial Narrow" w:hAnsi="Arial Narrow" w:cs="Arial"/>
                <w:sz w:val="20"/>
                <w:szCs w:val="20"/>
              </w:rPr>
            </w:pPr>
            <w:r w:rsidRPr="00B176CF">
              <w:rPr>
                <w:rFonts w:ascii="Arial Narrow" w:hAnsi="Arial Narrow" w:cs="Arial"/>
                <w:sz w:val="20"/>
                <w:szCs w:val="20"/>
              </w:rPr>
              <w:t>Annual subsidisation cap proposed in Pre-PBAC response</w:t>
            </w:r>
          </w:p>
          <w:p w:rsidR="0024647D" w:rsidRPr="00B176CF" w:rsidRDefault="0024647D" w:rsidP="00D97156">
            <w:pPr>
              <w:keepNext/>
              <w:keepLines/>
              <w:rPr>
                <w:rFonts w:ascii="Arial Narrow" w:hAnsi="Arial Narrow" w:cs="Arial"/>
                <w:sz w:val="20"/>
                <w:szCs w:val="20"/>
              </w:rPr>
            </w:pPr>
            <w:r w:rsidRPr="00B176CF">
              <w:rPr>
                <w:rFonts w:ascii="Arial Narrow" w:hAnsi="Arial Narrow" w:cs="Arial"/>
                <w:b/>
                <w:sz w:val="20"/>
                <w:szCs w:val="20"/>
              </w:rPr>
              <w:t>PBAC comment:</w:t>
            </w:r>
            <w:r w:rsidRPr="00B176CF">
              <w:rPr>
                <w:rFonts w:ascii="Arial Narrow" w:hAnsi="Arial Narrow" w:cs="Arial"/>
                <w:sz w:val="20"/>
                <w:szCs w:val="20"/>
              </w:rPr>
              <w:t xml:space="preserve"> (Para 7.6) RSA with hard cap would be appropriate (based on revised estimates with 10 weeks of treatment)</w:t>
            </w:r>
          </w:p>
        </w:tc>
        <w:tc>
          <w:tcPr>
            <w:tcW w:w="1568" w:type="pct"/>
            <w:shd w:val="clear" w:color="auto" w:fill="FFFFFF" w:themeFill="background1"/>
          </w:tcPr>
          <w:p w:rsidR="002E031C" w:rsidRPr="00B176CF" w:rsidRDefault="0024647D" w:rsidP="00D97156">
            <w:pPr>
              <w:keepNext/>
              <w:keepLines/>
              <w:rPr>
                <w:rFonts w:ascii="Arial Narrow" w:hAnsi="Arial Narrow" w:cs="Arial"/>
                <w:sz w:val="20"/>
                <w:szCs w:val="20"/>
              </w:rPr>
            </w:pPr>
            <w:r w:rsidRPr="00B176CF">
              <w:rPr>
                <w:rFonts w:ascii="Arial Narrow" w:hAnsi="Arial Narrow" w:cs="Arial"/>
                <w:sz w:val="20"/>
                <w:szCs w:val="20"/>
              </w:rPr>
              <w:t>Annual subsidisation cap based on financial estimates provided.</w:t>
            </w:r>
          </w:p>
          <w:p w:rsidR="0024647D" w:rsidRPr="00B176CF" w:rsidRDefault="0024647D" w:rsidP="0024647D">
            <w:pPr>
              <w:keepNext/>
              <w:keepLines/>
              <w:rPr>
                <w:rFonts w:ascii="Arial Narrow" w:hAnsi="Arial Narrow" w:cs="Arial"/>
                <w:sz w:val="20"/>
                <w:szCs w:val="20"/>
              </w:rPr>
            </w:pPr>
            <w:r w:rsidRPr="00B176CF">
              <w:rPr>
                <w:rFonts w:ascii="Arial Narrow" w:hAnsi="Arial Narrow" w:cs="Arial"/>
                <w:sz w:val="20"/>
                <w:szCs w:val="20"/>
              </w:rPr>
              <w:t xml:space="preserve">Rebate </w:t>
            </w:r>
            <w:r w:rsidR="00D14DDF">
              <w:rPr>
                <w:rFonts w:ascii="Arial Narrow" w:hAnsi="Arial Narrow" w:cs="Arial"/>
                <w:noProof/>
                <w:color w:val="000000"/>
                <w:sz w:val="20"/>
                <w:szCs w:val="20"/>
                <w:highlight w:val="black"/>
              </w:rPr>
              <w:t>'''''' '''' ''''''''''''' ''''''' ''''''''''''''''' ''''''''''' '''''''''''''''''' '''''' ''''''''''''''''''''''''''''' '''''' ''' ''''''' ''''''' ''''''''''''''''''' ''''''''''''''''''''''' ''''' ''' ''''''''''''''''''' ''''' '''''''' ''''''''''''''''''''''''' '''''''''''''''''''''''</w:t>
            </w:r>
            <w:r w:rsidRPr="00B176CF">
              <w:rPr>
                <w:rFonts w:ascii="Arial Narrow" w:hAnsi="Arial Narrow" w:cs="Arial"/>
                <w:sz w:val="20"/>
                <w:szCs w:val="20"/>
              </w:rPr>
              <w:t>.</w:t>
            </w:r>
          </w:p>
        </w:tc>
      </w:tr>
    </w:tbl>
    <w:p w:rsidR="0024647D" w:rsidRPr="00B176CF" w:rsidRDefault="0024647D" w:rsidP="00D97156">
      <w:pPr>
        <w:pStyle w:val="tablenotes"/>
      </w:pPr>
      <w:r w:rsidRPr="00B176CF">
        <w:t>Source: Table 1, July 2017 P</w:t>
      </w:r>
      <w:r w:rsidR="00BF4627">
        <w:t>ublic Summary Document</w:t>
      </w:r>
      <w:r w:rsidR="006C1735" w:rsidRPr="00B176CF">
        <w:t xml:space="preserve">; text of the resubmission </w:t>
      </w:r>
    </w:p>
    <w:p w:rsidR="00D97156" w:rsidRPr="00B176CF" w:rsidRDefault="0024647D" w:rsidP="00D97156">
      <w:pPr>
        <w:pStyle w:val="tablenotes"/>
      </w:pPr>
      <w:r w:rsidRPr="00B176CF">
        <w:t xml:space="preserve">RSA = Risk sharing arrangement; TMA = </w:t>
      </w:r>
      <w:r w:rsidR="00D97156" w:rsidRPr="00B176CF">
        <w:t xml:space="preserve">thrombotic </w:t>
      </w:r>
      <w:proofErr w:type="spellStart"/>
      <w:r w:rsidR="00D97156" w:rsidRPr="00B176CF">
        <w:t>microangiopathy</w:t>
      </w:r>
      <w:proofErr w:type="spellEnd"/>
    </w:p>
    <w:p w:rsidR="0032061E" w:rsidRPr="00B176CF" w:rsidRDefault="0032061E" w:rsidP="00FF1457">
      <w:pPr>
        <w:pStyle w:val="PBACHeading1"/>
        <w:spacing w:before="240" w:after="120"/>
        <w:rPr>
          <w:rFonts w:asciiTheme="minorHAnsi" w:hAnsiTheme="minorHAnsi"/>
          <w:sz w:val="32"/>
          <w:szCs w:val="32"/>
        </w:rPr>
      </w:pPr>
      <w:r w:rsidRPr="00B176CF">
        <w:rPr>
          <w:rFonts w:asciiTheme="minorHAnsi" w:hAnsiTheme="minorHAnsi"/>
          <w:sz w:val="32"/>
          <w:szCs w:val="32"/>
        </w:rPr>
        <w:t>Clinical place for the proposed therapy</w:t>
      </w:r>
    </w:p>
    <w:p w:rsidR="0032061E" w:rsidRPr="00B176CF" w:rsidRDefault="0032061E" w:rsidP="0032061E">
      <w:pPr>
        <w:widowControl w:val="0"/>
        <w:numPr>
          <w:ilvl w:val="1"/>
          <w:numId w:val="5"/>
        </w:numPr>
        <w:spacing w:after="120"/>
        <w:ind w:left="709"/>
        <w:jc w:val="both"/>
        <w:rPr>
          <w:rFonts w:asciiTheme="minorHAnsi" w:hAnsiTheme="minorHAnsi"/>
        </w:rPr>
      </w:pPr>
      <w:r w:rsidRPr="00B176CF">
        <w:rPr>
          <w:rFonts w:asciiTheme="minorHAnsi" w:hAnsiTheme="minorHAnsi"/>
        </w:rPr>
        <w:t xml:space="preserve">The PBAC’s July 2017 recommendation would </w:t>
      </w:r>
      <w:r w:rsidR="00872E59" w:rsidRPr="00B176CF">
        <w:rPr>
          <w:rFonts w:asciiTheme="minorHAnsi" w:hAnsiTheme="minorHAnsi"/>
        </w:rPr>
        <w:t xml:space="preserve">enable patients with </w:t>
      </w:r>
      <w:proofErr w:type="spellStart"/>
      <w:r w:rsidR="00872E59" w:rsidRPr="00B176CF">
        <w:rPr>
          <w:rFonts w:asciiTheme="minorHAnsi" w:hAnsiTheme="minorHAnsi"/>
        </w:rPr>
        <w:t>aHUS</w:t>
      </w:r>
      <w:proofErr w:type="spellEnd"/>
      <w:r w:rsidR="00872E59" w:rsidRPr="00B176CF">
        <w:rPr>
          <w:rFonts w:asciiTheme="minorHAnsi" w:hAnsiTheme="minorHAnsi"/>
        </w:rPr>
        <w:t xml:space="preserve"> at medium to high risk of recurrence to receive three months of treatment post-transplant (comprising the period of inpatient treatment plus ten weeks of treatment under the PBS). Patients with recurrence of </w:t>
      </w:r>
      <w:proofErr w:type="spellStart"/>
      <w:r w:rsidR="00872E59" w:rsidRPr="00B176CF">
        <w:rPr>
          <w:rFonts w:asciiTheme="minorHAnsi" w:hAnsiTheme="minorHAnsi"/>
        </w:rPr>
        <w:t>aHUS</w:t>
      </w:r>
      <w:proofErr w:type="spellEnd"/>
      <w:r w:rsidR="00872E59" w:rsidRPr="00B176CF">
        <w:rPr>
          <w:rFonts w:asciiTheme="minorHAnsi" w:hAnsiTheme="minorHAnsi"/>
        </w:rPr>
        <w:t xml:space="preserve"> after this time would be eligible for </w:t>
      </w:r>
      <w:proofErr w:type="spellStart"/>
      <w:r w:rsidR="00872E59" w:rsidRPr="00B176CF">
        <w:rPr>
          <w:rFonts w:asciiTheme="minorHAnsi" w:hAnsiTheme="minorHAnsi"/>
        </w:rPr>
        <w:t>eculizumab</w:t>
      </w:r>
      <w:proofErr w:type="spellEnd"/>
      <w:r w:rsidR="00872E59" w:rsidRPr="00B176CF">
        <w:rPr>
          <w:rFonts w:asciiTheme="minorHAnsi" w:hAnsiTheme="minorHAnsi"/>
        </w:rPr>
        <w:t xml:space="preserve"> under the pre-existing listing.</w:t>
      </w:r>
    </w:p>
    <w:p w:rsidR="007C1A6B" w:rsidRPr="00507F44" w:rsidRDefault="00872E59" w:rsidP="00507F44">
      <w:pPr>
        <w:widowControl w:val="0"/>
        <w:numPr>
          <w:ilvl w:val="1"/>
          <w:numId w:val="5"/>
        </w:numPr>
        <w:spacing w:after="120"/>
        <w:ind w:left="709"/>
        <w:jc w:val="both"/>
        <w:rPr>
          <w:rFonts w:asciiTheme="minorHAnsi" w:hAnsiTheme="minorHAnsi"/>
        </w:rPr>
      </w:pPr>
      <w:r w:rsidRPr="00B176CF">
        <w:rPr>
          <w:rFonts w:asciiTheme="minorHAnsi" w:hAnsiTheme="minorHAnsi"/>
        </w:rPr>
        <w:t xml:space="preserve">The current resubmission proposed to extend the duration of prophylactic therapy to </w:t>
      </w:r>
      <w:r w:rsidR="00DE3571">
        <w:rPr>
          <w:rFonts w:asciiTheme="minorHAnsi" w:hAnsiTheme="minorHAnsi"/>
        </w:rPr>
        <w:t>a maximum of</w:t>
      </w:r>
      <w:r w:rsidR="0052660C" w:rsidRPr="00B176CF">
        <w:rPr>
          <w:rFonts w:asciiTheme="minorHAnsi" w:hAnsiTheme="minorHAnsi"/>
        </w:rPr>
        <w:t xml:space="preserve"> </w:t>
      </w:r>
      <w:r w:rsidRPr="00B176CF">
        <w:rPr>
          <w:rFonts w:asciiTheme="minorHAnsi" w:hAnsiTheme="minorHAnsi"/>
        </w:rPr>
        <w:t>12 months post-transplant.</w:t>
      </w:r>
    </w:p>
    <w:p w:rsidR="007C1A6B" w:rsidRPr="00507F44" w:rsidRDefault="007C1A6B" w:rsidP="00507F44">
      <w:pPr>
        <w:pStyle w:val="ListParagraph"/>
        <w:rPr>
          <w:rFonts w:asciiTheme="minorHAnsi" w:eastAsiaTheme="minorHAnsi" w:hAnsiTheme="minorHAnsi" w:cstheme="minorBidi"/>
          <w:i/>
          <w:sz w:val="24"/>
          <w:szCs w:val="22"/>
        </w:rPr>
      </w:pPr>
      <w:r w:rsidRPr="00E013EC">
        <w:rPr>
          <w:rFonts w:asciiTheme="minorHAnsi" w:eastAsiaTheme="minorHAnsi" w:hAnsiTheme="minorHAnsi" w:cstheme="minorBidi"/>
          <w:i/>
          <w:sz w:val="24"/>
          <w:szCs w:val="22"/>
        </w:rPr>
        <w:t>For more detail on PBAC’s view, see section 7 PBAC outcome</w:t>
      </w:r>
    </w:p>
    <w:p w:rsidR="00AD3DEF" w:rsidRPr="00B176CF" w:rsidRDefault="00AD3DEF" w:rsidP="00FF1457">
      <w:pPr>
        <w:pStyle w:val="PBACHeading1"/>
        <w:spacing w:before="240" w:after="120"/>
        <w:rPr>
          <w:rFonts w:asciiTheme="minorHAnsi" w:hAnsiTheme="minorHAnsi"/>
          <w:sz w:val="32"/>
          <w:szCs w:val="32"/>
        </w:rPr>
      </w:pPr>
      <w:r w:rsidRPr="00B176CF">
        <w:rPr>
          <w:rFonts w:asciiTheme="minorHAnsi" w:hAnsiTheme="minorHAnsi"/>
          <w:sz w:val="32"/>
          <w:szCs w:val="32"/>
        </w:rPr>
        <w:t>Comparator</w:t>
      </w:r>
    </w:p>
    <w:p w:rsidR="007C1A6B" w:rsidRPr="00507F44" w:rsidRDefault="00AD3DEF" w:rsidP="00507F44">
      <w:pPr>
        <w:widowControl w:val="0"/>
        <w:numPr>
          <w:ilvl w:val="1"/>
          <w:numId w:val="5"/>
        </w:numPr>
        <w:spacing w:after="120"/>
        <w:ind w:left="709"/>
        <w:jc w:val="both"/>
        <w:rPr>
          <w:rFonts w:asciiTheme="minorHAnsi" w:hAnsiTheme="minorHAnsi"/>
        </w:rPr>
      </w:pPr>
      <w:r w:rsidRPr="00B176CF">
        <w:rPr>
          <w:rFonts w:asciiTheme="minorHAnsi" w:hAnsiTheme="minorHAnsi"/>
        </w:rPr>
        <w:t xml:space="preserve">The minor resubmission did not nominate a comparator. </w:t>
      </w:r>
      <w:r w:rsidR="00872E59" w:rsidRPr="00B176CF">
        <w:rPr>
          <w:rFonts w:asciiTheme="minorHAnsi" w:hAnsiTheme="minorHAnsi"/>
        </w:rPr>
        <w:t xml:space="preserve">Based on the PBAC’s July 2017 recommendation, the treatment that would be replaced is three months of </w:t>
      </w:r>
      <w:proofErr w:type="spellStart"/>
      <w:r w:rsidR="00872E59" w:rsidRPr="00B176CF">
        <w:rPr>
          <w:rFonts w:asciiTheme="minorHAnsi" w:hAnsiTheme="minorHAnsi"/>
        </w:rPr>
        <w:t>eculizumab</w:t>
      </w:r>
      <w:proofErr w:type="spellEnd"/>
      <w:r w:rsidR="00872E59" w:rsidRPr="00B176CF">
        <w:rPr>
          <w:rFonts w:asciiTheme="minorHAnsi" w:hAnsiTheme="minorHAnsi"/>
        </w:rPr>
        <w:t xml:space="preserve"> </w:t>
      </w:r>
      <w:r w:rsidR="00FF1457" w:rsidRPr="00B176CF">
        <w:rPr>
          <w:rFonts w:asciiTheme="minorHAnsi" w:hAnsiTheme="minorHAnsi"/>
        </w:rPr>
        <w:t xml:space="preserve">therapy </w:t>
      </w:r>
      <w:r w:rsidR="00872E59" w:rsidRPr="00B176CF">
        <w:rPr>
          <w:rFonts w:asciiTheme="minorHAnsi" w:hAnsiTheme="minorHAnsi"/>
        </w:rPr>
        <w:t xml:space="preserve">post-transplant followed by re-initiation of </w:t>
      </w:r>
      <w:proofErr w:type="spellStart"/>
      <w:r w:rsidR="00872E59" w:rsidRPr="00B176CF">
        <w:rPr>
          <w:rFonts w:asciiTheme="minorHAnsi" w:hAnsiTheme="minorHAnsi"/>
        </w:rPr>
        <w:t>eculizumab</w:t>
      </w:r>
      <w:proofErr w:type="spellEnd"/>
      <w:r w:rsidR="00872E59" w:rsidRPr="00B176CF">
        <w:rPr>
          <w:rFonts w:asciiTheme="minorHAnsi" w:hAnsiTheme="minorHAnsi"/>
        </w:rPr>
        <w:t xml:space="preserve"> in the event of recurrence of </w:t>
      </w:r>
      <w:proofErr w:type="spellStart"/>
      <w:r w:rsidR="00872E59" w:rsidRPr="00B176CF">
        <w:rPr>
          <w:rFonts w:asciiTheme="minorHAnsi" w:hAnsiTheme="minorHAnsi"/>
        </w:rPr>
        <w:t>aHUS</w:t>
      </w:r>
      <w:proofErr w:type="spellEnd"/>
      <w:r w:rsidR="00872E59" w:rsidRPr="00B176CF">
        <w:rPr>
          <w:rFonts w:asciiTheme="minorHAnsi" w:hAnsiTheme="minorHAnsi"/>
        </w:rPr>
        <w:t>.</w:t>
      </w:r>
    </w:p>
    <w:p w:rsidR="000B558D" w:rsidRPr="00B176CF" w:rsidRDefault="008D7A41" w:rsidP="00FF1457">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B176CF">
        <w:rPr>
          <w:rFonts w:asciiTheme="minorHAnsi" w:hAnsiTheme="minorHAnsi"/>
          <w:sz w:val="32"/>
          <w:szCs w:val="32"/>
        </w:rPr>
        <w:t>C</w:t>
      </w:r>
      <w:r w:rsidR="00D84934" w:rsidRPr="00B176CF">
        <w:rPr>
          <w:rFonts w:asciiTheme="minorHAnsi" w:hAnsiTheme="minorHAnsi"/>
          <w:sz w:val="32"/>
          <w:szCs w:val="32"/>
        </w:rPr>
        <w:t>onsideration of the evidence</w:t>
      </w:r>
    </w:p>
    <w:p w:rsidR="00677057" w:rsidRPr="00B176CF" w:rsidRDefault="00677057" w:rsidP="00677057">
      <w:pPr>
        <w:pStyle w:val="Heading2"/>
        <w:rPr>
          <w:i w:val="0"/>
        </w:rPr>
      </w:pPr>
      <w:r w:rsidRPr="00B176CF">
        <w:rPr>
          <w:i w:val="0"/>
        </w:rPr>
        <w:t>Sponsor hearing</w:t>
      </w:r>
    </w:p>
    <w:p w:rsidR="00677057" w:rsidRPr="00677057" w:rsidRDefault="00677057" w:rsidP="00677057">
      <w:pPr>
        <w:widowControl w:val="0"/>
        <w:numPr>
          <w:ilvl w:val="1"/>
          <w:numId w:val="5"/>
        </w:numPr>
        <w:spacing w:after="120"/>
        <w:ind w:left="709"/>
        <w:jc w:val="both"/>
        <w:rPr>
          <w:rFonts w:asciiTheme="minorHAnsi" w:hAnsiTheme="minorHAnsi"/>
        </w:rPr>
      </w:pPr>
      <w:r w:rsidRPr="00677057">
        <w:rPr>
          <w:rFonts w:asciiTheme="minorHAnsi" w:hAnsiTheme="minorHAnsi"/>
        </w:rPr>
        <w:t>There was no hearing for this item as it was a minor submission.</w:t>
      </w:r>
    </w:p>
    <w:p w:rsidR="00677057" w:rsidRPr="00B176CF" w:rsidRDefault="00677057" w:rsidP="00677057">
      <w:pPr>
        <w:pStyle w:val="Heading2"/>
        <w:rPr>
          <w:i w:val="0"/>
        </w:rPr>
      </w:pPr>
      <w:r w:rsidRPr="00B176CF">
        <w:rPr>
          <w:i w:val="0"/>
        </w:rPr>
        <w:t>Consumer comments</w:t>
      </w:r>
    </w:p>
    <w:p w:rsidR="00677057" w:rsidRPr="00677057" w:rsidRDefault="00677057" w:rsidP="00677057">
      <w:pPr>
        <w:widowControl w:val="0"/>
        <w:numPr>
          <w:ilvl w:val="1"/>
          <w:numId w:val="5"/>
        </w:numPr>
        <w:spacing w:after="120"/>
        <w:ind w:left="709"/>
        <w:jc w:val="both"/>
        <w:rPr>
          <w:rFonts w:asciiTheme="minorHAnsi" w:hAnsiTheme="minorHAnsi"/>
        </w:rPr>
      </w:pPr>
      <w:r w:rsidRPr="00677057">
        <w:rPr>
          <w:rFonts w:asciiTheme="minorHAnsi" w:hAnsiTheme="minorHAnsi"/>
        </w:rPr>
        <w:t xml:space="preserve">The PBAC noted and welcomed the input from health care professionals (2) and organisations (1) via the Consumer Comments facility on the PBS website. The comments outlined the risk of recurrence of </w:t>
      </w:r>
      <w:proofErr w:type="spellStart"/>
      <w:r w:rsidRPr="00677057">
        <w:rPr>
          <w:rFonts w:asciiTheme="minorHAnsi" w:hAnsiTheme="minorHAnsi"/>
        </w:rPr>
        <w:t>aHUS</w:t>
      </w:r>
      <w:proofErr w:type="spellEnd"/>
      <w:r w:rsidRPr="00677057">
        <w:rPr>
          <w:rFonts w:asciiTheme="minorHAnsi" w:hAnsiTheme="minorHAnsi"/>
        </w:rPr>
        <w:t xml:space="preserve"> following a renal transplant and the need to optimise post-transplant outcomes. </w:t>
      </w:r>
    </w:p>
    <w:p w:rsidR="00D84934" w:rsidRPr="00B176CF" w:rsidRDefault="00D84934" w:rsidP="00750094">
      <w:pPr>
        <w:pStyle w:val="Heading2"/>
        <w:rPr>
          <w:i w:val="0"/>
        </w:rPr>
      </w:pPr>
      <w:r w:rsidRPr="00B176CF">
        <w:rPr>
          <w:i w:val="0"/>
        </w:rPr>
        <w:t xml:space="preserve">Clinical </w:t>
      </w:r>
      <w:r w:rsidR="00F55D75" w:rsidRPr="00B176CF">
        <w:rPr>
          <w:i w:val="0"/>
        </w:rPr>
        <w:t>evidence</w:t>
      </w:r>
    </w:p>
    <w:p w:rsidR="00837F05" w:rsidRPr="00677057" w:rsidRDefault="00837F05" w:rsidP="00837F05">
      <w:pPr>
        <w:widowControl w:val="0"/>
        <w:numPr>
          <w:ilvl w:val="1"/>
          <w:numId w:val="5"/>
        </w:numPr>
        <w:spacing w:after="120"/>
        <w:ind w:left="709"/>
        <w:jc w:val="both"/>
        <w:rPr>
          <w:rFonts w:asciiTheme="minorHAnsi" w:hAnsiTheme="minorHAnsi"/>
        </w:rPr>
      </w:pPr>
      <w:r w:rsidRPr="00677057">
        <w:rPr>
          <w:rFonts w:asciiTheme="minorHAnsi" w:hAnsiTheme="minorHAnsi"/>
        </w:rPr>
        <w:t xml:space="preserve">The minor resubmission provided </w:t>
      </w:r>
      <w:r w:rsidR="00677057" w:rsidRPr="00677057">
        <w:rPr>
          <w:rFonts w:asciiTheme="minorHAnsi" w:hAnsiTheme="minorHAnsi"/>
        </w:rPr>
        <w:t xml:space="preserve">information relating to </w:t>
      </w:r>
      <w:r w:rsidRPr="00677057">
        <w:rPr>
          <w:rFonts w:asciiTheme="minorHAnsi" w:hAnsiTheme="minorHAnsi"/>
        </w:rPr>
        <w:t xml:space="preserve">three </w:t>
      </w:r>
      <w:r w:rsidR="00677057" w:rsidRPr="00677057">
        <w:rPr>
          <w:rFonts w:asciiTheme="minorHAnsi" w:hAnsiTheme="minorHAnsi"/>
        </w:rPr>
        <w:t xml:space="preserve">circumstances: </w:t>
      </w:r>
    </w:p>
    <w:p w:rsidR="00837F05" w:rsidRPr="00E013EC" w:rsidRDefault="00837F05" w:rsidP="00837F05">
      <w:pPr>
        <w:pStyle w:val="ListParagraph"/>
        <w:numPr>
          <w:ilvl w:val="0"/>
          <w:numId w:val="18"/>
        </w:numPr>
        <w:spacing w:after="120"/>
        <w:ind w:left="993" w:hanging="284"/>
        <w:contextualSpacing w:val="0"/>
        <w:rPr>
          <w:rFonts w:asciiTheme="minorHAnsi" w:hAnsiTheme="minorHAnsi"/>
          <w:sz w:val="24"/>
          <w:szCs w:val="24"/>
        </w:rPr>
      </w:pPr>
      <w:r w:rsidRPr="00E013EC">
        <w:rPr>
          <w:rFonts w:asciiTheme="minorHAnsi" w:hAnsiTheme="minorHAnsi"/>
          <w:sz w:val="24"/>
          <w:szCs w:val="24"/>
        </w:rPr>
        <w:t xml:space="preserve">sustained use of </w:t>
      </w:r>
      <w:proofErr w:type="spellStart"/>
      <w:r w:rsidRPr="00E013EC">
        <w:rPr>
          <w:rFonts w:asciiTheme="minorHAnsi" w:hAnsiTheme="minorHAnsi"/>
          <w:sz w:val="24"/>
          <w:szCs w:val="24"/>
        </w:rPr>
        <w:t>eculizumab</w:t>
      </w:r>
      <w:proofErr w:type="spellEnd"/>
      <w:r w:rsidRPr="00E013EC">
        <w:rPr>
          <w:rFonts w:asciiTheme="minorHAnsi" w:hAnsiTheme="minorHAnsi"/>
          <w:sz w:val="24"/>
          <w:szCs w:val="24"/>
        </w:rPr>
        <w:t xml:space="preserve"> post-transplant</w:t>
      </w:r>
      <w:r w:rsidR="00677057" w:rsidRPr="00E013EC">
        <w:rPr>
          <w:rFonts w:asciiTheme="minorHAnsi" w:hAnsiTheme="minorHAnsi"/>
          <w:sz w:val="24"/>
          <w:szCs w:val="24"/>
        </w:rPr>
        <w:t xml:space="preserve"> (registry data, case series and case studies)</w:t>
      </w:r>
      <w:r w:rsidRPr="00E013EC">
        <w:rPr>
          <w:rFonts w:asciiTheme="minorHAnsi" w:hAnsiTheme="minorHAnsi"/>
          <w:sz w:val="24"/>
          <w:szCs w:val="24"/>
        </w:rPr>
        <w:t>;</w:t>
      </w:r>
    </w:p>
    <w:p w:rsidR="00837F05" w:rsidRPr="00677057" w:rsidRDefault="00837F05" w:rsidP="00837F05">
      <w:pPr>
        <w:pStyle w:val="ListParagraph"/>
        <w:numPr>
          <w:ilvl w:val="0"/>
          <w:numId w:val="18"/>
        </w:numPr>
        <w:spacing w:after="120"/>
        <w:ind w:left="993" w:hanging="284"/>
        <w:contextualSpacing w:val="0"/>
        <w:rPr>
          <w:rFonts w:asciiTheme="minorHAnsi" w:hAnsiTheme="minorHAnsi"/>
          <w:sz w:val="24"/>
          <w:szCs w:val="24"/>
        </w:rPr>
      </w:pPr>
      <w:r w:rsidRPr="00677057">
        <w:rPr>
          <w:rFonts w:asciiTheme="minorHAnsi" w:hAnsiTheme="minorHAnsi"/>
          <w:sz w:val="24"/>
          <w:szCs w:val="24"/>
        </w:rPr>
        <w:lastRenderedPageBreak/>
        <w:t xml:space="preserve">renal transplant patients who discontinued </w:t>
      </w:r>
      <w:proofErr w:type="spellStart"/>
      <w:r w:rsidRPr="00677057">
        <w:rPr>
          <w:rFonts w:asciiTheme="minorHAnsi" w:hAnsiTheme="minorHAnsi"/>
          <w:sz w:val="24"/>
          <w:szCs w:val="24"/>
        </w:rPr>
        <w:t>eculizumab</w:t>
      </w:r>
      <w:proofErr w:type="spellEnd"/>
      <w:r w:rsidRPr="00677057">
        <w:rPr>
          <w:rFonts w:asciiTheme="minorHAnsi" w:hAnsiTheme="minorHAnsi"/>
          <w:sz w:val="24"/>
          <w:szCs w:val="24"/>
        </w:rPr>
        <w:t xml:space="preserve"> after at least ten weeks of treatment</w:t>
      </w:r>
      <w:r w:rsidR="00677057" w:rsidRPr="00677057">
        <w:rPr>
          <w:rFonts w:asciiTheme="minorHAnsi" w:hAnsiTheme="minorHAnsi"/>
          <w:sz w:val="24"/>
          <w:szCs w:val="24"/>
        </w:rPr>
        <w:t xml:space="preserve"> (case studies)</w:t>
      </w:r>
      <w:r w:rsidRPr="00E013EC">
        <w:rPr>
          <w:rFonts w:asciiTheme="minorHAnsi" w:hAnsiTheme="minorHAnsi"/>
          <w:sz w:val="24"/>
          <w:szCs w:val="24"/>
        </w:rPr>
        <w:t xml:space="preserve">; and </w:t>
      </w:r>
    </w:p>
    <w:p w:rsidR="00837F05" w:rsidRPr="00B176CF" w:rsidRDefault="00837F05" w:rsidP="00837F05">
      <w:pPr>
        <w:pStyle w:val="ListParagraph"/>
        <w:numPr>
          <w:ilvl w:val="0"/>
          <w:numId w:val="18"/>
        </w:numPr>
        <w:spacing w:after="120"/>
        <w:ind w:left="993" w:hanging="284"/>
        <w:contextualSpacing w:val="0"/>
        <w:rPr>
          <w:rFonts w:asciiTheme="minorHAnsi" w:hAnsiTheme="minorHAnsi"/>
          <w:sz w:val="24"/>
          <w:szCs w:val="24"/>
        </w:rPr>
      </w:pPr>
      <w:proofErr w:type="gramStart"/>
      <w:r w:rsidRPr="00B176CF">
        <w:rPr>
          <w:rFonts w:asciiTheme="minorHAnsi" w:hAnsiTheme="minorHAnsi"/>
          <w:sz w:val="24"/>
          <w:szCs w:val="24"/>
        </w:rPr>
        <w:t>historical</w:t>
      </w:r>
      <w:proofErr w:type="gramEnd"/>
      <w:r w:rsidRPr="00B176CF">
        <w:rPr>
          <w:rFonts w:asciiTheme="minorHAnsi" w:hAnsiTheme="minorHAnsi"/>
          <w:sz w:val="24"/>
          <w:szCs w:val="24"/>
        </w:rPr>
        <w:t xml:space="preserve"> outcomes of renal transplantation in patients with </w:t>
      </w:r>
      <w:proofErr w:type="spellStart"/>
      <w:r w:rsidRPr="00B176CF">
        <w:rPr>
          <w:rFonts w:asciiTheme="minorHAnsi" w:hAnsiTheme="minorHAnsi"/>
          <w:sz w:val="24"/>
          <w:szCs w:val="24"/>
        </w:rPr>
        <w:t>aHUS</w:t>
      </w:r>
      <w:proofErr w:type="spellEnd"/>
      <w:r w:rsidRPr="00B176CF">
        <w:rPr>
          <w:rFonts w:asciiTheme="minorHAnsi" w:hAnsiTheme="minorHAnsi"/>
          <w:sz w:val="24"/>
          <w:szCs w:val="24"/>
        </w:rPr>
        <w:t xml:space="preserve">. The interventions received by these patients were not stated, but were broader than prophylactic plasma exchange/infusion, which had been used as one of the comparators in the July 2017 submission. </w:t>
      </w:r>
    </w:p>
    <w:p w:rsidR="00E4071C" w:rsidRPr="00B176CF" w:rsidRDefault="00E4071C" w:rsidP="009A371E">
      <w:pPr>
        <w:widowControl w:val="0"/>
        <w:numPr>
          <w:ilvl w:val="1"/>
          <w:numId w:val="5"/>
        </w:numPr>
        <w:spacing w:after="120"/>
        <w:ind w:left="709"/>
        <w:jc w:val="both"/>
        <w:rPr>
          <w:rFonts w:asciiTheme="minorHAnsi" w:hAnsiTheme="minorHAnsi"/>
        </w:rPr>
      </w:pPr>
      <w:r w:rsidRPr="00B176CF">
        <w:rPr>
          <w:rFonts w:asciiTheme="minorHAnsi" w:hAnsiTheme="minorHAnsi"/>
        </w:rPr>
        <w:t>The resubmission relied in part on studies</w:t>
      </w:r>
      <w:r w:rsidR="009A371E" w:rsidRPr="00B176CF">
        <w:rPr>
          <w:rFonts w:asciiTheme="minorHAnsi" w:hAnsiTheme="minorHAnsi"/>
        </w:rPr>
        <w:t xml:space="preserve"> and reports that had </w:t>
      </w:r>
      <w:r w:rsidRPr="00B176CF">
        <w:rPr>
          <w:rFonts w:asciiTheme="minorHAnsi" w:hAnsiTheme="minorHAnsi"/>
        </w:rPr>
        <w:t xml:space="preserve">previously </w:t>
      </w:r>
      <w:r w:rsidR="009A371E" w:rsidRPr="00B176CF">
        <w:rPr>
          <w:rFonts w:asciiTheme="minorHAnsi" w:hAnsiTheme="minorHAnsi"/>
        </w:rPr>
        <w:t xml:space="preserve">been </w:t>
      </w:r>
      <w:r w:rsidRPr="00B176CF">
        <w:rPr>
          <w:rFonts w:asciiTheme="minorHAnsi" w:hAnsiTheme="minorHAnsi"/>
        </w:rPr>
        <w:t>presented in the March 2014, March 2016 and/or July 2017 submissions</w:t>
      </w:r>
      <w:r w:rsidR="009A371E" w:rsidRPr="00B176CF">
        <w:rPr>
          <w:rFonts w:asciiTheme="minorHAnsi" w:hAnsiTheme="minorHAnsi"/>
        </w:rPr>
        <w:t>.</w:t>
      </w:r>
      <w:r w:rsidRPr="00B176CF">
        <w:rPr>
          <w:rFonts w:asciiTheme="minorHAnsi" w:hAnsiTheme="minorHAnsi"/>
        </w:rPr>
        <w:t xml:space="preserve"> Evidence that had not been previously assessed by the PBAC </w:t>
      </w:r>
      <w:r w:rsidR="00406C6B" w:rsidRPr="00B176CF">
        <w:rPr>
          <w:rFonts w:asciiTheme="minorHAnsi" w:hAnsiTheme="minorHAnsi"/>
        </w:rPr>
        <w:t>that</w:t>
      </w:r>
      <w:r w:rsidRPr="00B176CF">
        <w:rPr>
          <w:rFonts w:asciiTheme="minorHAnsi" w:hAnsiTheme="minorHAnsi"/>
        </w:rPr>
        <w:t xml:space="preserve"> was presented in the current </w:t>
      </w:r>
      <w:r w:rsidR="00406C6B" w:rsidRPr="00B176CF">
        <w:rPr>
          <w:rFonts w:asciiTheme="minorHAnsi" w:hAnsiTheme="minorHAnsi"/>
        </w:rPr>
        <w:t>re</w:t>
      </w:r>
      <w:r w:rsidRPr="00B176CF">
        <w:rPr>
          <w:rFonts w:asciiTheme="minorHAnsi" w:hAnsiTheme="minorHAnsi"/>
        </w:rPr>
        <w:t>submission included:</w:t>
      </w:r>
    </w:p>
    <w:p w:rsidR="00E4071C" w:rsidRPr="00B176CF" w:rsidRDefault="00E4071C" w:rsidP="00FF1457">
      <w:pPr>
        <w:pStyle w:val="ListParagraph"/>
        <w:numPr>
          <w:ilvl w:val="0"/>
          <w:numId w:val="18"/>
        </w:numPr>
        <w:spacing w:after="120"/>
        <w:ind w:left="993" w:hanging="284"/>
        <w:contextualSpacing w:val="0"/>
        <w:rPr>
          <w:rFonts w:asciiTheme="minorHAnsi" w:hAnsiTheme="minorHAnsi" w:cs="Times New Roman"/>
          <w:snapToGrid/>
          <w:sz w:val="24"/>
          <w:szCs w:val="24"/>
          <w:lang w:eastAsia="en-AU"/>
        </w:rPr>
      </w:pPr>
      <w:r w:rsidRPr="00B176CF">
        <w:rPr>
          <w:rFonts w:asciiTheme="minorHAnsi" w:hAnsiTheme="minorHAnsi"/>
          <w:sz w:val="24"/>
          <w:szCs w:val="24"/>
        </w:rPr>
        <w:t xml:space="preserve">Global </w:t>
      </w:r>
      <w:proofErr w:type="spellStart"/>
      <w:r w:rsidRPr="00B176CF">
        <w:rPr>
          <w:rFonts w:asciiTheme="minorHAnsi" w:hAnsiTheme="minorHAnsi"/>
          <w:sz w:val="24"/>
          <w:szCs w:val="24"/>
        </w:rPr>
        <w:t>aHUS</w:t>
      </w:r>
      <w:proofErr w:type="spellEnd"/>
      <w:r w:rsidRPr="00B176CF">
        <w:rPr>
          <w:rFonts w:asciiTheme="minorHAnsi" w:hAnsiTheme="minorHAnsi"/>
          <w:sz w:val="24"/>
          <w:szCs w:val="24"/>
        </w:rPr>
        <w:t xml:space="preserve"> Registry data (</w:t>
      </w:r>
      <w:proofErr w:type="spellStart"/>
      <w:r w:rsidR="002B68A6" w:rsidRPr="00B176CF">
        <w:rPr>
          <w:rFonts w:asciiTheme="minorHAnsi" w:hAnsiTheme="minorHAnsi"/>
          <w:sz w:val="24"/>
          <w:szCs w:val="24"/>
        </w:rPr>
        <w:t>Vande</w:t>
      </w:r>
      <w:proofErr w:type="spellEnd"/>
      <w:r w:rsidR="002B68A6" w:rsidRPr="00B176CF">
        <w:rPr>
          <w:rFonts w:asciiTheme="minorHAnsi" w:hAnsiTheme="minorHAnsi"/>
          <w:sz w:val="24"/>
          <w:szCs w:val="24"/>
        </w:rPr>
        <w:t xml:space="preserve"> </w:t>
      </w:r>
      <w:proofErr w:type="spellStart"/>
      <w:r w:rsidR="002B68A6" w:rsidRPr="00B176CF">
        <w:rPr>
          <w:rFonts w:asciiTheme="minorHAnsi" w:hAnsiTheme="minorHAnsi"/>
          <w:sz w:val="24"/>
          <w:szCs w:val="24"/>
        </w:rPr>
        <w:t>Walle</w:t>
      </w:r>
      <w:proofErr w:type="spellEnd"/>
      <w:r w:rsidR="002B68A6" w:rsidRPr="00B176CF">
        <w:rPr>
          <w:rFonts w:asciiTheme="minorHAnsi" w:hAnsiTheme="minorHAnsi"/>
          <w:sz w:val="24"/>
          <w:szCs w:val="24"/>
        </w:rPr>
        <w:t xml:space="preserve"> 2017</w:t>
      </w:r>
      <w:r w:rsidRPr="00B176CF">
        <w:rPr>
          <w:rFonts w:asciiTheme="minorHAnsi" w:hAnsiTheme="minorHAnsi"/>
          <w:sz w:val="24"/>
          <w:szCs w:val="24"/>
        </w:rPr>
        <w:t>)</w:t>
      </w:r>
      <w:r w:rsidR="00D17980" w:rsidRPr="00B176CF">
        <w:rPr>
          <w:rFonts w:asciiTheme="minorHAnsi" w:hAnsiTheme="minorHAnsi"/>
          <w:sz w:val="24"/>
          <w:szCs w:val="24"/>
        </w:rPr>
        <w:t>, which</w:t>
      </w:r>
      <w:r w:rsidR="00071EE9" w:rsidRPr="00B176CF">
        <w:rPr>
          <w:rFonts w:asciiTheme="minorHAnsi" w:hAnsiTheme="minorHAnsi"/>
          <w:sz w:val="24"/>
          <w:szCs w:val="24"/>
        </w:rPr>
        <w:t xml:space="preserve"> </w:t>
      </w:r>
      <w:r w:rsidR="0001315B" w:rsidRPr="00B176CF">
        <w:rPr>
          <w:rFonts w:asciiTheme="minorHAnsi" w:hAnsiTheme="minorHAnsi"/>
          <w:sz w:val="24"/>
          <w:szCs w:val="24"/>
        </w:rPr>
        <w:t>comprised conference presentation slides</w:t>
      </w:r>
      <w:r w:rsidR="00D17980" w:rsidRPr="00B176CF">
        <w:rPr>
          <w:rFonts w:asciiTheme="minorHAnsi" w:hAnsiTheme="minorHAnsi"/>
          <w:sz w:val="24"/>
          <w:szCs w:val="24"/>
        </w:rPr>
        <w:t>. Information from the same data-cut had been provided in a conference abstract discussed</w:t>
      </w:r>
      <w:r w:rsidR="0001315B" w:rsidRPr="00B176CF">
        <w:rPr>
          <w:rFonts w:asciiTheme="minorHAnsi" w:hAnsiTheme="minorHAnsi"/>
          <w:sz w:val="24"/>
          <w:szCs w:val="24"/>
        </w:rPr>
        <w:t xml:space="preserve"> in the July 2017 Pre-PBAC respons</w:t>
      </w:r>
      <w:r w:rsidR="00D17980" w:rsidRPr="00B176CF">
        <w:rPr>
          <w:rFonts w:asciiTheme="minorHAnsi" w:hAnsiTheme="minorHAnsi"/>
          <w:sz w:val="24"/>
          <w:szCs w:val="24"/>
        </w:rPr>
        <w:t>e</w:t>
      </w:r>
      <w:r w:rsidR="00823037" w:rsidRPr="00B176CF">
        <w:rPr>
          <w:rFonts w:asciiTheme="minorHAnsi" w:hAnsiTheme="minorHAnsi"/>
          <w:sz w:val="24"/>
          <w:szCs w:val="24"/>
        </w:rPr>
        <w:t>;</w:t>
      </w:r>
      <w:r w:rsidR="0001315B" w:rsidRPr="00B176CF">
        <w:rPr>
          <w:rFonts w:asciiTheme="minorHAnsi" w:hAnsiTheme="minorHAnsi"/>
          <w:sz w:val="24"/>
          <w:szCs w:val="24"/>
        </w:rPr>
        <w:t xml:space="preserve"> </w:t>
      </w:r>
    </w:p>
    <w:p w:rsidR="00406C6B" w:rsidRPr="00B176CF" w:rsidRDefault="00406C6B" w:rsidP="00406C6B">
      <w:pPr>
        <w:pStyle w:val="ListParagraph"/>
        <w:numPr>
          <w:ilvl w:val="0"/>
          <w:numId w:val="18"/>
        </w:numPr>
        <w:spacing w:after="120"/>
        <w:ind w:left="993" w:hanging="284"/>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 xml:space="preserve">a pooled analysis (Legendre 2017) of four prospective clinical trials of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w:t>
      </w:r>
      <w:r w:rsidR="00823037" w:rsidRPr="00B176CF">
        <w:rPr>
          <w:rFonts w:asciiTheme="minorHAnsi" w:hAnsiTheme="minorHAnsi" w:cs="Times New Roman"/>
          <w:snapToGrid/>
          <w:sz w:val="24"/>
          <w:szCs w:val="24"/>
          <w:lang w:eastAsia="en-AU"/>
        </w:rPr>
        <w:t>all of which</w:t>
      </w:r>
      <w:r w:rsidRPr="00B176CF">
        <w:rPr>
          <w:rFonts w:asciiTheme="minorHAnsi" w:hAnsiTheme="minorHAnsi" w:cs="Times New Roman"/>
          <w:snapToGrid/>
          <w:sz w:val="24"/>
          <w:szCs w:val="24"/>
          <w:lang w:eastAsia="en-AU"/>
        </w:rPr>
        <w:t xml:space="preserve"> have previously been assessed by the PBAC; </w:t>
      </w:r>
    </w:p>
    <w:p w:rsidR="00406C6B" w:rsidRPr="00B176CF" w:rsidRDefault="00406C6B" w:rsidP="00406C6B">
      <w:pPr>
        <w:pStyle w:val="ListParagraph"/>
        <w:numPr>
          <w:ilvl w:val="0"/>
          <w:numId w:val="18"/>
        </w:numPr>
        <w:spacing w:after="120"/>
        <w:ind w:left="993" w:hanging="284"/>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 xml:space="preserve">two retrospective case series studies of sustained use of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post-transplant (Zuber 2017 and Levi 2017); </w:t>
      </w:r>
    </w:p>
    <w:p w:rsidR="00406C6B" w:rsidRPr="00B176CF" w:rsidRDefault="00406C6B" w:rsidP="00823037">
      <w:pPr>
        <w:pStyle w:val="ListParagraph"/>
        <w:numPr>
          <w:ilvl w:val="0"/>
          <w:numId w:val="18"/>
        </w:numPr>
        <w:spacing w:after="120"/>
        <w:ind w:left="993" w:hanging="284"/>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 xml:space="preserve">four case reports: two outlined sustained use of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post-transplant</w:t>
      </w:r>
      <w:r w:rsidR="00823037" w:rsidRPr="00B176CF">
        <w:rPr>
          <w:rFonts w:asciiTheme="minorHAnsi" w:hAnsiTheme="minorHAnsi" w:cs="Times New Roman"/>
          <w:snapToGrid/>
          <w:sz w:val="24"/>
          <w:szCs w:val="24"/>
          <w:lang w:eastAsia="en-AU"/>
        </w:rPr>
        <w:t xml:space="preserve"> (</w:t>
      </w:r>
      <w:r w:rsidR="00823037" w:rsidRPr="00B176CF">
        <w:rPr>
          <w:rFonts w:asciiTheme="minorHAnsi" w:hAnsiTheme="minorHAnsi"/>
          <w:sz w:val="24"/>
          <w:szCs w:val="24"/>
        </w:rPr>
        <w:t>de </w:t>
      </w:r>
      <w:r w:rsidR="00823037" w:rsidRPr="00B176CF">
        <w:rPr>
          <w:rFonts w:asciiTheme="minorHAnsi" w:hAnsiTheme="minorHAnsi"/>
          <w:sz w:val="24"/>
          <w:szCs w:val="24"/>
          <w:lang w:eastAsia="en-AU"/>
        </w:rPr>
        <w:t>Andrade</w:t>
      </w:r>
      <w:r w:rsidR="00823037" w:rsidRPr="00B176CF">
        <w:rPr>
          <w:rFonts w:asciiTheme="minorHAnsi" w:hAnsiTheme="minorHAnsi" w:cs="Times New Roman"/>
          <w:snapToGrid/>
          <w:sz w:val="24"/>
          <w:szCs w:val="24"/>
          <w:lang w:eastAsia="en-AU"/>
        </w:rPr>
        <w:t xml:space="preserve"> 2017 and </w:t>
      </w:r>
      <w:proofErr w:type="spellStart"/>
      <w:r w:rsidR="00823037" w:rsidRPr="00B176CF">
        <w:rPr>
          <w:rFonts w:asciiTheme="minorHAnsi" w:hAnsiTheme="minorHAnsi" w:cs="Times New Roman"/>
          <w:snapToGrid/>
          <w:sz w:val="24"/>
          <w:szCs w:val="24"/>
          <w:lang w:eastAsia="en-AU"/>
        </w:rPr>
        <w:t>Brocklebank</w:t>
      </w:r>
      <w:proofErr w:type="spellEnd"/>
      <w:r w:rsidR="00823037" w:rsidRPr="00B176CF">
        <w:rPr>
          <w:rFonts w:asciiTheme="minorHAnsi" w:hAnsiTheme="minorHAnsi" w:cs="Times New Roman"/>
          <w:snapToGrid/>
          <w:sz w:val="24"/>
          <w:szCs w:val="24"/>
          <w:lang w:eastAsia="en-AU"/>
        </w:rPr>
        <w:t xml:space="preserve"> 2017);</w:t>
      </w:r>
      <w:r w:rsidRPr="00B176CF">
        <w:rPr>
          <w:rFonts w:asciiTheme="minorHAnsi" w:hAnsiTheme="minorHAnsi" w:cs="Times New Roman"/>
          <w:snapToGrid/>
          <w:sz w:val="24"/>
          <w:szCs w:val="24"/>
          <w:lang w:eastAsia="en-AU"/>
        </w:rPr>
        <w:t xml:space="preserve"> and </w:t>
      </w:r>
      <w:r w:rsidR="00823037" w:rsidRPr="00B176CF">
        <w:rPr>
          <w:rFonts w:asciiTheme="minorHAnsi" w:hAnsiTheme="minorHAnsi" w:cs="Times New Roman"/>
          <w:snapToGrid/>
          <w:sz w:val="24"/>
          <w:szCs w:val="24"/>
          <w:lang w:eastAsia="en-AU"/>
        </w:rPr>
        <w:t xml:space="preserve">two outlined discontinuation of </w:t>
      </w:r>
      <w:proofErr w:type="spellStart"/>
      <w:r w:rsidR="00823037" w:rsidRPr="00B176CF">
        <w:rPr>
          <w:rFonts w:asciiTheme="minorHAnsi" w:hAnsiTheme="minorHAnsi" w:cs="Times New Roman"/>
          <w:snapToGrid/>
          <w:sz w:val="24"/>
          <w:szCs w:val="24"/>
          <w:lang w:eastAsia="en-AU"/>
        </w:rPr>
        <w:t>eculizumab</w:t>
      </w:r>
      <w:proofErr w:type="spellEnd"/>
      <w:r w:rsidR="00823037" w:rsidRPr="00B176CF">
        <w:rPr>
          <w:rFonts w:asciiTheme="minorHAnsi" w:hAnsiTheme="minorHAnsi" w:cs="Times New Roman"/>
          <w:snapToGrid/>
          <w:sz w:val="24"/>
          <w:szCs w:val="24"/>
          <w:lang w:eastAsia="en-AU"/>
        </w:rPr>
        <w:t xml:space="preserve"> post-transplant (Krishnan 2017 and Levi 2017, the latter was also included in the case series studies);</w:t>
      </w:r>
      <w:r w:rsidRPr="00B176CF">
        <w:rPr>
          <w:rFonts w:asciiTheme="minorHAnsi" w:hAnsiTheme="minorHAnsi" w:cs="Times New Roman"/>
          <w:snapToGrid/>
          <w:sz w:val="24"/>
          <w:szCs w:val="24"/>
          <w:lang w:eastAsia="en-AU"/>
        </w:rPr>
        <w:t xml:space="preserve">  </w:t>
      </w:r>
    </w:p>
    <w:p w:rsidR="00406C6B" w:rsidRPr="00B176CF" w:rsidRDefault="00406C6B" w:rsidP="00406C6B">
      <w:pPr>
        <w:pStyle w:val="ListParagraph"/>
        <w:numPr>
          <w:ilvl w:val="0"/>
          <w:numId w:val="18"/>
        </w:numPr>
        <w:spacing w:after="120"/>
        <w:ind w:left="993" w:hanging="284"/>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 xml:space="preserve">two new publications of historical outcomes in patents with </w:t>
      </w:r>
      <w:proofErr w:type="spellStart"/>
      <w:r w:rsidRPr="00B176CF">
        <w:rPr>
          <w:rFonts w:asciiTheme="minorHAnsi" w:hAnsiTheme="minorHAnsi" w:cs="Times New Roman"/>
          <w:snapToGrid/>
          <w:sz w:val="24"/>
          <w:szCs w:val="24"/>
          <w:lang w:eastAsia="en-AU"/>
        </w:rPr>
        <w:t>aHUS</w:t>
      </w:r>
      <w:proofErr w:type="spellEnd"/>
      <w:r w:rsidRPr="00B176CF">
        <w:rPr>
          <w:rFonts w:asciiTheme="minorHAnsi" w:hAnsiTheme="minorHAnsi" w:cs="Times New Roman"/>
          <w:snapToGrid/>
          <w:sz w:val="24"/>
          <w:szCs w:val="24"/>
          <w:lang w:eastAsia="en-AU"/>
        </w:rPr>
        <w:t xml:space="preserve"> who underwent kidney transplantation</w:t>
      </w:r>
      <w:r w:rsidR="008D4FF6" w:rsidRPr="00B176CF">
        <w:rPr>
          <w:rFonts w:asciiTheme="minorHAnsi" w:hAnsiTheme="minorHAnsi" w:cs="Times New Roman"/>
          <w:snapToGrid/>
          <w:sz w:val="24"/>
          <w:szCs w:val="24"/>
          <w:lang w:eastAsia="en-AU"/>
        </w:rPr>
        <w:t xml:space="preserve"> (</w:t>
      </w:r>
      <w:proofErr w:type="spellStart"/>
      <w:r w:rsidR="008D4FF6" w:rsidRPr="00B176CF">
        <w:rPr>
          <w:rFonts w:asciiTheme="minorHAnsi" w:hAnsiTheme="minorHAnsi" w:cs="Times New Roman"/>
          <w:snapToGrid/>
          <w:sz w:val="24"/>
          <w:szCs w:val="24"/>
          <w:lang w:eastAsia="en-AU"/>
        </w:rPr>
        <w:t>Bresin</w:t>
      </w:r>
      <w:proofErr w:type="spellEnd"/>
      <w:r w:rsidR="008D4FF6" w:rsidRPr="00B176CF">
        <w:rPr>
          <w:rFonts w:asciiTheme="minorHAnsi" w:hAnsiTheme="minorHAnsi" w:cs="Times New Roman"/>
          <w:snapToGrid/>
          <w:sz w:val="24"/>
          <w:szCs w:val="24"/>
          <w:lang w:eastAsia="en-AU"/>
        </w:rPr>
        <w:t xml:space="preserve"> 20016 and </w:t>
      </w:r>
      <w:proofErr w:type="spellStart"/>
      <w:r w:rsidR="008D4FF6" w:rsidRPr="00B176CF">
        <w:rPr>
          <w:rFonts w:asciiTheme="minorHAnsi" w:hAnsiTheme="minorHAnsi" w:cs="Times New Roman"/>
          <w:snapToGrid/>
          <w:sz w:val="24"/>
          <w:szCs w:val="24"/>
          <w:lang w:eastAsia="en-AU"/>
        </w:rPr>
        <w:t>Noris</w:t>
      </w:r>
      <w:proofErr w:type="spellEnd"/>
      <w:r w:rsidR="008D4FF6" w:rsidRPr="00B176CF">
        <w:rPr>
          <w:rFonts w:asciiTheme="minorHAnsi" w:hAnsiTheme="minorHAnsi" w:cs="Times New Roman"/>
          <w:snapToGrid/>
          <w:sz w:val="24"/>
          <w:szCs w:val="24"/>
          <w:lang w:eastAsia="en-AU"/>
        </w:rPr>
        <w:t xml:space="preserve"> 2013)</w:t>
      </w:r>
      <w:r w:rsidR="00823037" w:rsidRPr="00B176CF">
        <w:rPr>
          <w:rFonts w:asciiTheme="minorHAnsi" w:hAnsiTheme="minorHAnsi" w:cs="Times New Roman"/>
          <w:snapToGrid/>
          <w:sz w:val="24"/>
          <w:szCs w:val="24"/>
          <w:lang w:eastAsia="en-AU"/>
        </w:rPr>
        <w:t>;</w:t>
      </w:r>
      <w:r w:rsidR="008D4FF6" w:rsidRPr="00B176CF">
        <w:rPr>
          <w:rFonts w:asciiTheme="minorHAnsi" w:hAnsiTheme="minorHAnsi" w:cs="Times New Roman"/>
          <w:snapToGrid/>
          <w:sz w:val="24"/>
          <w:szCs w:val="24"/>
          <w:lang w:eastAsia="en-AU"/>
        </w:rPr>
        <w:t xml:space="preserve"> and</w:t>
      </w:r>
    </w:p>
    <w:p w:rsidR="005C044C" w:rsidRPr="00B176CF" w:rsidRDefault="005C044C" w:rsidP="00FF1457">
      <w:pPr>
        <w:pStyle w:val="ListParagraph"/>
        <w:numPr>
          <w:ilvl w:val="0"/>
          <w:numId w:val="18"/>
        </w:numPr>
        <w:spacing w:after="120"/>
        <w:ind w:left="993" w:hanging="284"/>
        <w:contextualSpacing w:val="0"/>
        <w:rPr>
          <w:rFonts w:asciiTheme="minorHAnsi" w:hAnsiTheme="minorHAnsi"/>
          <w:sz w:val="24"/>
          <w:szCs w:val="24"/>
        </w:rPr>
      </w:pPr>
      <w:proofErr w:type="gramStart"/>
      <w:r w:rsidRPr="00B176CF">
        <w:rPr>
          <w:rFonts w:asciiTheme="minorHAnsi" w:hAnsiTheme="minorHAnsi"/>
          <w:sz w:val="24"/>
          <w:szCs w:val="24"/>
        </w:rPr>
        <w:t>five</w:t>
      </w:r>
      <w:proofErr w:type="gramEnd"/>
      <w:r w:rsidRPr="00B176CF">
        <w:rPr>
          <w:rFonts w:asciiTheme="minorHAnsi" w:hAnsiTheme="minorHAnsi"/>
          <w:sz w:val="24"/>
          <w:szCs w:val="24"/>
        </w:rPr>
        <w:t xml:space="preserve"> position statements, consensus documents or review articles</w:t>
      </w:r>
      <w:r w:rsidR="00872E59" w:rsidRPr="00B176CF">
        <w:rPr>
          <w:rFonts w:asciiTheme="minorHAnsi" w:hAnsiTheme="minorHAnsi"/>
          <w:sz w:val="24"/>
          <w:szCs w:val="24"/>
        </w:rPr>
        <w:t xml:space="preserve"> (four of which were referenced in the July 2017 Pre-PBAC response)</w:t>
      </w:r>
      <w:r w:rsidR="004A3DFB" w:rsidRPr="00B176CF">
        <w:rPr>
          <w:rFonts w:asciiTheme="minorHAnsi" w:hAnsiTheme="minorHAnsi"/>
          <w:sz w:val="24"/>
          <w:szCs w:val="24"/>
        </w:rPr>
        <w:t>.</w:t>
      </w:r>
    </w:p>
    <w:p w:rsidR="00494192" w:rsidRPr="00B176CF" w:rsidRDefault="00494192" w:rsidP="009A371E">
      <w:pPr>
        <w:widowControl w:val="0"/>
        <w:numPr>
          <w:ilvl w:val="1"/>
          <w:numId w:val="5"/>
        </w:numPr>
        <w:spacing w:after="120"/>
        <w:ind w:left="709"/>
        <w:jc w:val="both"/>
        <w:rPr>
          <w:rFonts w:asciiTheme="minorHAnsi" w:hAnsiTheme="minorHAnsi"/>
        </w:rPr>
      </w:pPr>
      <w:r w:rsidRPr="00B176CF">
        <w:rPr>
          <w:rFonts w:asciiTheme="minorHAnsi" w:hAnsiTheme="minorHAnsi"/>
        </w:rPr>
        <w:t xml:space="preserve">Details of the </w:t>
      </w:r>
      <w:r w:rsidR="008D4FF6" w:rsidRPr="00B176CF">
        <w:rPr>
          <w:rFonts w:asciiTheme="minorHAnsi" w:hAnsiTheme="minorHAnsi"/>
        </w:rPr>
        <w:t xml:space="preserve">studies and case </w:t>
      </w:r>
      <w:r w:rsidRPr="00B176CF">
        <w:rPr>
          <w:rFonts w:asciiTheme="minorHAnsi" w:hAnsiTheme="minorHAnsi"/>
        </w:rPr>
        <w:t>reports presented in the</w:t>
      </w:r>
      <w:r w:rsidR="004A3DFB" w:rsidRPr="00B176CF">
        <w:rPr>
          <w:rFonts w:asciiTheme="minorHAnsi" w:hAnsiTheme="minorHAnsi"/>
        </w:rPr>
        <w:t xml:space="preserve"> minor re</w:t>
      </w:r>
      <w:r w:rsidRPr="00B176CF">
        <w:rPr>
          <w:rFonts w:asciiTheme="minorHAnsi" w:hAnsiTheme="minorHAnsi"/>
        </w:rPr>
        <w:t>submission</w:t>
      </w:r>
      <w:r w:rsidR="00507F44">
        <w:rPr>
          <w:rFonts w:asciiTheme="minorHAnsi" w:hAnsiTheme="minorHAnsi"/>
        </w:rPr>
        <w:t xml:space="preserve"> are provided in Table 2</w:t>
      </w:r>
      <w:r w:rsidRPr="00B176CF">
        <w:rPr>
          <w:rFonts w:asciiTheme="minorHAnsi" w:hAnsiTheme="minorHAnsi"/>
        </w:rPr>
        <w:t xml:space="preserve">. </w:t>
      </w:r>
      <w:r w:rsidR="004A3DFB" w:rsidRPr="00B176CF">
        <w:rPr>
          <w:rFonts w:asciiTheme="minorHAnsi" w:hAnsiTheme="minorHAnsi"/>
        </w:rPr>
        <w:t xml:space="preserve">The </w:t>
      </w:r>
      <w:r w:rsidR="009A371E" w:rsidRPr="00B176CF">
        <w:rPr>
          <w:rFonts w:asciiTheme="minorHAnsi" w:hAnsiTheme="minorHAnsi"/>
        </w:rPr>
        <w:t>grey-</w:t>
      </w:r>
      <w:r w:rsidR="004A3DFB" w:rsidRPr="00B176CF">
        <w:rPr>
          <w:rFonts w:asciiTheme="minorHAnsi" w:hAnsiTheme="minorHAnsi"/>
        </w:rPr>
        <w:t xml:space="preserve">shaded reports </w:t>
      </w:r>
      <w:r w:rsidR="009A371E" w:rsidRPr="00B176CF">
        <w:rPr>
          <w:rFonts w:asciiTheme="minorHAnsi" w:hAnsiTheme="minorHAnsi"/>
        </w:rPr>
        <w:t>indicate those that have been seen by the PBAC previously.</w:t>
      </w:r>
      <w:r w:rsidR="004A3DFB" w:rsidRPr="00B176CF">
        <w:rPr>
          <w:rFonts w:asciiTheme="minorHAnsi" w:hAnsiTheme="minorHAnsi"/>
        </w:rPr>
        <w:t xml:space="preserve"> </w:t>
      </w:r>
    </w:p>
    <w:p w:rsidR="00494192" w:rsidRPr="00B176CF" w:rsidRDefault="00494192" w:rsidP="00872E59">
      <w:pPr>
        <w:keepNext/>
        <w:keepLines/>
        <w:rPr>
          <w:rFonts w:ascii="Arial Narrow" w:hAnsi="Arial Narrow"/>
          <w:sz w:val="20"/>
        </w:rPr>
      </w:pPr>
      <w:proofErr w:type="gramStart"/>
      <w:r w:rsidRPr="00B176CF">
        <w:rPr>
          <w:rFonts w:ascii="Arial Narrow" w:hAnsi="Arial Narrow"/>
          <w:b/>
          <w:sz w:val="20"/>
        </w:rPr>
        <w:t xml:space="preserve">Table </w:t>
      </w:r>
      <w:r w:rsidRPr="00B176CF">
        <w:rPr>
          <w:rFonts w:ascii="Arial Narrow" w:hAnsi="Arial Narrow"/>
          <w:b/>
          <w:noProof/>
          <w:sz w:val="20"/>
        </w:rPr>
        <w:t>2</w:t>
      </w:r>
      <w:r w:rsidRPr="00B176CF">
        <w:rPr>
          <w:rFonts w:ascii="Arial Narrow" w:hAnsi="Arial Narrow"/>
          <w:b/>
          <w:sz w:val="20"/>
        </w:rPr>
        <w:t>.</w:t>
      </w:r>
      <w:proofErr w:type="gramEnd"/>
      <w:r w:rsidRPr="00B176CF">
        <w:rPr>
          <w:rFonts w:ascii="Arial Narrow" w:hAnsi="Arial Narrow"/>
          <w:b/>
          <w:sz w:val="20"/>
        </w:rPr>
        <w:t xml:space="preserve"> Studies, case series and case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8"/>
        <w:gridCol w:w="4776"/>
        <w:gridCol w:w="2898"/>
      </w:tblGrid>
      <w:tr w:rsidR="00494192" w:rsidRPr="00B176CF" w:rsidTr="00647F3A">
        <w:trPr>
          <w:cantSplit/>
          <w:tblHeader/>
        </w:trPr>
        <w:tc>
          <w:tcPr>
            <w:tcW w:w="848" w:type="pct"/>
          </w:tcPr>
          <w:p w:rsidR="00494192" w:rsidRPr="00B176CF" w:rsidRDefault="00494192" w:rsidP="00872E59">
            <w:pPr>
              <w:pStyle w:val="NoSpacing"/>
              <w:keepNext/>
              <w:keepLines/>
              <w:rPr>
                <w:rFonts w:ascii="Arial Narrow" w:hAnsi="Arial Narrow" w:cs="Arial"/>
                <w:b/>
                <w:sz w:val="20"/>
                <w:szCs w:val="20"/>
              </w:rPr>
            </w:pPr>
            <w:r w:rsidRPr="00B176CF">
              <w:rPr>
                <w:rFonts w:ascii="Arial Narrow" w:hAnsi="Arial Narrow" w:cs="Arial"/>
                <w:b/>
                <w:sz w:val="20"/>
                <w:szCs w:val="20"/>
              </w:rPr>
              <w:t>Trial ID</w:t>
            </w:r>
          </w:p>
        </w:tc>
        <w:tc>
          <w:tcPr>
            <w:tcW w:w="2584" w:type="pct"/>
          </w:tcPr>
          <w:p w:rsidR="00494192" w:rsidRPr="00B176CF" w:rsidRDefault="00494192" w:rsidP="00872E59">
            <w:pPr>
              <w:keepNext/>
              <w:keepLines/>
              <w:jc w:val="center"/>
              <w:rPr>
                <w:rFonts w:ascii="Arial Narrow" w:hAnsi="Arial Narrow" w:cs="Arial"/>
                <w:b/>
                <w:sz w:val="20"/>
                <w:szCs w:val="20"/>
              </w:rPr>
            </w:pPr>
            <w:r w:rsidRPr="00B176CF">
              <w:rPr>
                <w:rFonts w:ascii="Arial Narrow" w:hAnsi="Arial Narrow" w:cs="Arial"/>
                <w:b/>
                <w:sz w:val="20"/>
                <w:szCs w:val="20"/>
              </w:rPr>
              <w:t>Protocol title/ Publication title</w:t>
            </w:r>
          </w:p>
        </w:tc>
        <w:tc>
          <w:tcPr>
            <w:tcW w:w="1568" w:type="pct"/>
          </w:tcPr>
          <w:p w:rsidR="00494192" w:rsidRPr="00B176CF" w:rsidRDefault="00494192" w:rsidP="00872E59">
            <w:pPr>
              <w:keepNext/>
              <w:keepLines/>
              <w:rPr>
                <w:rFonts w:ascii="Arial Narrow" w:hAnsi="Arial Narrow" w:cs="Arial"/>
                <w:b/>
                <w:sz w:val="20"/>
                <w:szCs w:val="20"/>
              </w:rPr>
            </w:pPr>
            <w:r w:rsidRPr="00B176CF">
              <w:rPr>
                <w:rFonts w:ascii="Arial Narrow" w:hAnsi="Arial Narrow" w:cs="Arial"/>
                <w:b/>
                <w:sz w:val="20"/>
                <w:szCs w:val="20"/>
              </w:rPr>
              <w:t>Publication citation</w:t>
            </w:r>
          </w:p>
        </w:tc>
      </w:tr>
      <w:tr w:rsidR="00AA0E3C" w:rsidRPr="00B176CF" w:rsidTr="009A371E">
        <w:trPr>
          <w:cantSplit/>
        </w:trPr>
        <w:tc>
          <w:tcPr>
            <w:tcW w:w="5000" w:type="pct"/>
            <w:gridSpan w:val="3"/>
          </w:tcPr>
          <w:p w:rsidR="00AA0E3C" w:rsidRPr="00B176CF" w:rsidRDefault="00AA0E3C" w:rsidP="00872E59">
            <w:pPr>
              <w:pStyle w:val="NoSpacing"/>
              <w:keepNext/>
              <w:keepLines/>
              <w:rPr>
                <w:rFonts w:ascii="Arial Narrow" w:hAnsi="Arial Narrow" w:cs="Arial"/>
                <w:b/>
                <w:sz w:val="20"/>
                <w:szCs w:val="20"/>
              </w:rPr>
            </w:pPr>
            <w:r w:rsidRPr="00B176CF">
              <w:rPr>
                <w:rFonts w:ascii="Arial Narrow" w:hAnsi="Arial Narrow" w:cs="Arial"/>
                <w:b/>
                <w:sz w:val="20"/>
                <w:szCs w:val="20"/>
              </w:rPr>
              <w:t xml:space="preserve">Patients treated with </w:t>
            </w:r>
            <w:proofErr w:type="spellStart"/>
            <w:r w:rsidRPr="00B176CF">
              <w:rPr>
                <w:rFonts w:ascii="Arial Narrow" w:hAnsi="Arial Narrow" w:cs="Arial"/>
                <w:b/>
                <w:sz w:val="20"/>
                <w:szCs w:val="20"/>
              </w:rPr>
              <w:t>eculizumab</w:t>
            </w:r>
            <w:proofErr w:type="spellEnd"/>
            <w:r w:rsidRPr="00B176CF">
              <w:rPr>
                <w:rFonts w:ascii="Arial Narrow" w:hAnsi="Arial Narrow" w:cs="Arial"/>
                <w:b/>
                <w:sz w:val="20"/>
                <w:szCs w:val="20"/>
              </w:rPr>
              <w:t xml:space="preserve"> </w:t>
            </w:r>
          </w:p>
        </w:tc>
      </w:tr>
      <w:tr w:rsidR="00494192" w:rsidRPr="00B176CF" w:rsidTr="009A371E">
        <w:trPr>
          <w:cantSplit/>
        </w:trPr>
        <w:tc>
          <w:tcPr>
            <w:tcW w:w="5000" w:type="pct"/>
            <w:gridSpan w:val="3"/>
          </w:tcPr>
          <w:p w:rsidR="00494192" w:rsidRPr="00B176CF" w:rsidRDefault="00494192" w:rsidP="00872E59">
            <w:pPr>
              <w:pStyle w:val="NoSpacing"/>
              <w:keepNext/>
              <w:keepLines/>
              <w:rPr>
                <w:rFonts w:ascii="Arial Narrow" w:hAnsi="Arial Narrow" w:cs="Arial"/>
                <w:b/>
                <w:sz w:val="20"/>
                <w:szCs w:val="20"/>
              </w:rPr>
            </w:pPr>
            <w:r w:rsidRPr="00B176CF">
              <w:rPr>
                <w:rFonts w:ascii="Arial Narrow" w:hAnsi="Arial Narrow" w:cs="Arial"/>
                <w:b/>
                <w:sz w:val="20"/>
                <w:szCs w:val="20"/>
              </w:rPr>
              <w:t xml:space="preserve">Global </w:t>
            </w:r>
            <w:proofErr w:type="spellStart"/>
            <w:r w:rsidRPr="00B176CF">
              <w:rPr>
                <w:rFonts w:ascii="Arial Narrow" w:hAnsi="Arial Narrow" w:cs="Arial"/>
                <w:b/>
                <w:sz w:val="20"/>
                <w:szCs w:val="20"/>
              </w:rPr>
              <w:t>aHUS</w:t>
            </w:r>
            <w:proofErr w:type="spellEnd"/>
            <w:r w:rsidRPr="00B176CF">
              <w:rPr>
                <w:rFonts w:ascii="Arial Narrow" w:hAnsi="Arial Narrow" w:cs="Arial"/>
                <w:b/>
                <w:sz w:val="20"/>
                <w:szCs w:val="20"/>
              </w:rPr>
              <w:t xml:space="preserve"> Registry Data</w:t>
            </w:r>
          </w:p>
        </w:tc>
      </w:tr>
      <w:tr w:rsidR="00AA0E3C" w:rsidRPr="00B176CF" w:rsidTr="00647F3A">
        <w:trPr>
          <w:cantSplit/>
        </w:trPr>
        <w:tc>
          <w:tcPr>
            <w:tcW w:w="848" w:type="pct"/>
            <w:shd w:val="clear" w:color="auto" w:fill="FFFFFF" w:themeFill="background1"/>
          </w:tcPr>
          <w:p w:rsidR="00AA0E3C" w:rsidRPr="00B176CF" w:rsidRDefault="00AA0E3C" w:rsidP="00872E59">
            <w:pPr>
              <w:pStyle w:val="NoSpacing"/>
              <w:keepNext/>
              <w:keepLines/>
              <w:jc w:val="left"/>
              <w:rPr>
                <w:rFonts w:ascii="Arial Narrow" w:hAnsi="Arial Narrow" w:cs="Arial"/>
                <w:sz w:val="20"/>
                <w:szCs w:val="20"/>
              </w:rPr>
            </w:pPr>
            <w:proofErr w:type="spellStart"/>
            <w:r w:rsidRPr="00B176CF">
              <w:rPr>
                <w:rFonts w:ascii="Arial Narrow" w:hAnsi="Arial Narrow" w:cs="Arial"/>
                <w:sz w:val="20"/>
                <w:szCs w:val="20"/>
              </w:rPr>
              <w:t>Vande</w:t>
            </w:r>
            <w:proofErr w:type="spellEnd"/>
            <w:r w:rsidRPr="00B176CF">
              <w:rPr>
                <w:rFonts w:ascii="Arial Narrow" w:hAnsi="Arial Narrow" w:cs="Arial"/>
                <w:sz w:val="20"/>
                <w:szCs w:val="20"/>
              </w:rPr>
              <w:t xml:space="preserve"> </w:t>
            </w:r>
            <w:proofErr w:type="spellStart"/>
            <w:r w:rsidRPr="00B176CF">
              <w:rPr>
                <w:rFonts w:ascii="Arial Narrow" w:hAnsi="Arial Narrow" w:cs="Arial"/>
                <w:sz w:val="20"/>
                <w:szCs w:val="20"/>
              </w:rPr>
              <w:t>Walle</w:t>
            </w:r>
            <w:proofErr w:type="spellEnd"/>
            <w:r w:rsidR="00066160" w:rsidRPr="00B176CF">
              <w:rPr>
                <w:rFonts w:ascii="Arial Narrow" w:hAnsi="Arial Narrow" w:cs="Arial"/>
                <w:sz w:val="20"/>
                <w:szCs w:val="20"/>
              </w:rPr>
              <w:t xml:space="preserve"> </w:t>
            </w:r>
            <w:r w:rsidRPr="00B176CF">
              <w:rPr>
                <w:rFonts w:ascii="Arial Narrow" w:hAnsi="Arial Narrow" w:cs="Arial"/>
                <w:sz w:val="20"/>
                <w:szCs w:val="20"/>
              </w:rPr>
              <w:t>2017</w:t>
            </w:r>
          </w:p>
        </w:tc>
        <w:tc>
          <w:tcPr>
            <w:tcW w:w="2584" w:type="pct"/>
            <w:shd w:val="clear" w:color="auto" w:fill="FFFFFF" w:themeFill="background1"/>
          </w:tcPr>
          <w:p w:rsidR="00AA0E3C" w:rsidRPr="00B176CF" w:rsidRDefault="00AA0E3C" w:rsidP="00872E59">
            <w:pPr>
              <w:keepNext/>
              <w:keepLines/>
              <w:rPr>
                <w:rFonts w:ascii="Arial Narrow" w:hAnsi="Arial Narrow" w:cs="Arial"/>
                <w:sz w:val="20"/>
                <w:szCs w:val="20"/>
              </w:rPr>
            </w:pPr>
            <w:r w:rsidRPr="00B176CF">
              <w:rPr>
                <w:rFonts w:ascii="Arial Narrow" w:hAnsi="Arial Narrow" w:cs="Arial"/>
                <w:sz w:val="20"/>
                <w:szCs w:val="20"/>
              </w:rPr>
              <w:t xml:space="preserve">Van de </w:t>
            </w:r>
            <w:proofErr w:type="spellStart"/>
            <w:r w:rsidRPr="00B176CF">
              <w:rPr>
                <w:rFonts w:ascii="Arial Narrow" w:hAnsi="Arial Narrow" w:cs="Arial"/>
                <w:sz w:val="20"/>
                <w:szCs w:val="20"/>
              </w:rPr>
              <w:t>Walle</w:t>
            </w:r>
            <w:proofErr w:type="spellEnd"/>
            <w:r w:rsidRPr="00B176CF">
              <w:rPr>
                <w:rFonts w:ascii="Arial Narrow" w:hAnsi="Arial Narrow" w:cs="Arial"/>
                <w:sz w:val="20"/>
                <w:szCs w:val="20"/>
              </w:rPr>
              <w:t xml:space="preserve"> J, </w:t>
            </w:r>
            <w:proofErr w:type="spellStart"/>
            <w:r w:rsidRPr="00B176CF">
              <w:rPr>
                <w:rFonts w:ascii="Arial Narrow" w:hAnsi="Arial Narrow" w:cs="Arial"/>
                <w:sz w:val="20"/>
                <w:szCs w:val="20"/>
              </w:rPr>
              <w:t>Siedlecki</w:t>
            </w:r>
            <w:proofErr w:type="spellEnd"/>
            <w:r w:rsidRPr="00B176CF">
              <w:rPr>
                <w:rFonts w:ascii="Arial Narrow" w:hAnsi="Arial Narrow" w:cs="Arial"/>
                <w:sz w:val="20"/>
                <w:szCs w:val="20"/>
              </w:rPr>
              <w:t xml:space="preserve"> A</w:t>
            </w:r>
            <w:r w:rsidR="004A3DFB" w:rsidRPr="00B176CF">
              <w:rPr>
                <w:rFonts w:ascii="Arial Narrow" w:hAnsi="Arial Narrow" w:cs="Arial"/>
                <w:sz w:val="20"/>
                <w:szCs w:val="20"/>
              </w:rPr>
              <w:t>,</w:t>
            </w:r>
            <w:r w:rsidRPr="00B176CF">
              <w:rPr>
                <w:rFonts w:ascii="Arial Narrow" w:hAnsi="Arial Narrow" w:cs="Arial"/>
                <w:sz w:val="20"/>
                <w:szCs w:val="20"/>
              </w:rPr>
              <w:t xml:space="preserve"> </w:t>
            </w:r>
            <w:proofErr w:type="spellStart"/>
            <w:r w:rsidRPr="00B176CF">
              <w:rPr>
                <w:rFonts w:ascii="Arial Narrow" w:hAnsi="Arial Narrow" w:cs="Arial"/>
                <w:sz w:val="20"/>
                <w:szCs w:val="20"/>
              </w:rPr>
              <w:t>Isbel</w:t>
            </w:r>
            <w:proofErr w:type="spellEnd"/>
            <w:r w:rsidR="004A3DFB" w:rsidRPr="00B176CF">
              <w:rPr>
                <w:rFonts w:ascii="Arial Narrow" w:hAnsi="Arial Narrow" w:cs="Arial"/>
                <w:sz w:val="20"/>
                <w:szCs w:val="20"/>
              </w:rPr>
              <w:t xml:space="preserve"> N</w:t>
            </w:r>
            <w:r w:rsidRPr="00B176CF">
              <w:rPr>
                <w:rFonts w:ascii="Arial Narrow" w:hAnsi="Arial Narrow" w:cs="Arial"/>
                <w:sz w:val="20"/>
                <w:szCs w:val="20"/>
              </w:rPr>
              <w:t xml:space="preserve">, </w:t>
            </w:r>
            <w:r w:rsidR="004A3DFB" w:rsidRPr="00B176CF">
              <w:rPr>
                <w:rFonts w:ascii="Arial Narrow" w:hAnsi="Arial Narrow" w:cs="Arial"/>
                <w:sz w:val="20"/>
                <w:szCs w:val="20"/>
              </w:rPr>
              <w:t>et al</w:t>
            </w:r>
            <w:r w:rsidRPr="00B176CF">
              <w:rPr>
                <w:rFonts w:ascii="Arial Narrow" w:hAnsi="Arial Narrow" w:cs="Arial"/>
                <w:sz w:val="20"/>
                <w:szCs w:val="20"/>
              </w:rPr>
              <w:t xml:space="preserve">. Timing of </w:t>
            </w:r>
            <w:proofErr w:type="spellStart"/>
            <w:r w:rsidRPr="00B176CF">
              <w:rPr>
                <w:rFonts w:ascii="Arial Narrow" w:hAnsi="Arial Narrow" w:cs="Arial"/>
                <w:sz w:val="20"/>
                <w:szCs w:val="20"/>
              </w:rPr>
              <w:t>eculizumab</w:t>
            </w:r>
            <w:proofErr w:type="spellEnd"/>
            <w:r w:rsidRPr="00B176CF">
              <w:rPr>
                <w:rFonts w:ascii="Arial Narrow" w:hAnsi="Arial Narrow" w:cs="Arial"/>
                <w:sz w:val="20"/>
                <w:szCs w:val="20"/>
              </w:rPr>
              <w:t xml:space="preserve"> treatment and the need for dialysis in patients with </w:t>
            </w:r>
            <w:proofErr w:type="spellStart"/>
            <w:r w:rsidRPr="00B176CF">
              <w:rPr>
                <w:rFonts w:ascii="Arial Narrow" w:hAnsi="Arial Narrow" w:cs="Arial"/>
                <w:sz w:val="20"/>
                <w:szCs w:val="20"/>
              </w:rPr>
              <w:t>aHUS</w:t>
            </w:r>
            <w:proofErr w:type="spellEnd"/>
            <w:r w:rsidRPr="00B176CF">
              <w:rPr>
                <w:rFonts w:ascii="Arial Narrow" w:hAnsi="Arial Narrow" w:cs="Arial"/>
                <w:sz w:val="20"/>
                <w:szCs w:val="20"/>
              </w:rPr>
              <w:t xml:space="preserve"> undergoing kidney transplantation.</w:t>
            </w:r>
          </w:p>
        </w:tc>
        <w:tc>
          <w:tcPr>
            <w:tcW w:w="1568" w:type="pct"/>
            <w:shd w:val="clear" w:color="auto" w:fill="FFFFFF" w:themeFill="background1"/>
          </w:tcPr>
          <w:p w:rsidR="00AA0E3C" w:rsidRPr="00B176CF" w:rsidRDefault="00AA0E3C" w:rsidP="00872E59">
            <w:pPr>
              <w:keepNext/>
              <w:keepLines/>
              <w:rPr>
                <w:rFonts w:ascii="Arial Narrow" w:hAnsi="Arial Narrow" w:cs="Arial"/>
                <w:sz w:val="20"/>
                <w:szCs w:val="20"/>
              </w:rPr>
            </w:pPr>
            <w:r w:rsidRPr="00B176CF">
              <w:rPr>
                <w:rFonts w:ascii="Arial Narrow" w:hAnsi="Arial Narrow" w:cs="Arial"/>
                <w:sz w:val="20"/>
                <w:szCs w:val="20"/>
              </w:rPr>
              <w:t>European Renal Association [17-A-1822]</w:t>
            </w:r>
          </w:p>
        </w:tc>
      </w:tr>
      <w:tr w:rsidR="00B83962" w:rsidRPr="00B176CF" w:rsidTr="009A371E">
        <w:trPr>
          <w:cantSplit/>
        </w:trPr>
        <w:tc>
          <w:tcPr>
            <w:tcW w:w="5000" w:type="pct"/>
            <w:gridSpan w:val="3"/>
            <w:shd w:val="clear" w:color="auto" w:fill="FFFFFF" w:themeFill="background1"/>
          </w:tcPr>
          <w:p w:rsidR="00B83962" w:rsidRPr="00B176CF" w:rsidRDefault="00B83962" w:rsidP="00872E59">
            <w:pPr>
              <w:keepNext/>
              <w:keepLines/>
              <w:rPr>
                <w:rFonts w:ascii="Arial Narrow" w:hAnsi="Arial Narrow" w:cs="Arial"/>
                <w:b/>
                <w:sz w:val="20"/>
                <w:szCs w:val="20"/>
              </w:rPr>
            </w:pPr>
            <w:r w:rsidRPr="00B176CF">
              <w:rPr>
                <w:rFonts w:ascii="Arial Narrow" w:hAnsi="Arial Narrow" w:cs="Arial"/>
                <w:b/>
                <w:sz w:val="20"/>
                <w:szCs w:val="20"/>
              </w:rPr>
              <w:t>Pooled analysis of studies</w:t>
            </w:r>
          </w:p>
        </w:tc>
      </w:tr>
      <w:tr w:rsidR="00B83962" w:rsidRPr="00B176CF" w:rsidTr="00647F3A">
        <w:trPr>
          <w:cantSplit/>
        </w:trPr>
        <w:tc>
          <w:tcPr>
            <w:tcW w:w="848" w:type="pct"/>
            <w:shd w:val="clear" w:color="auto" w:fill="FFFFFF" w:themeFill="background1"/>
          </w:tcPr>
          <w:p w:rsidR="00B83962" w:rsidRPr="00B176CF" w:rsidRDefault="00497B2C" w:rsidP="00497B2C">
            <w:pPr>
              <w:pStyle w:val="NoSpacing"/>
              <w:keepNext/>
              <w:keepLines/>
              <w:jc w:val="left"/>
              <w:rPr>
                <w:rFonts w:ascii="Arial Narrow" w:hAnsi="Arial Narrow" w:cs="Arial"/>
                <w:sz w:val="20"/>
                <w:szCs w:val="20"/>
              </w:rPr>
            </w:pPr>
            <w:r w:rsidRPr="00B176CF">
              <w:rPr>
                <w:rFonts w:ascii="Arial Narrow" w:hAnsi="Arial Narrow" w:cs="Arial"/>
                <w:sz w:val="20"/>
                <w:szCs w:val="20"/>
              </w:rPr>
              <w:t>Legendre 2017</w:t>
            </w:r>
          </w:p>
        </w:tc>
        <w:tc>
          <w:tcPr>
            <w:tcW w:w="2584" w:type="pct"/>
            <w:shd w:val="clear" w:color="auto" w:fill="FFFFFF" w:themeFill="background1"/>
          </w:tcPr>
          <w:p w:rsidR="00B83962" w:rsidRPr="00B176CF" w:rsidRDefault="00497B2C" w:rsidP="00497B2C">
            <w:pPr>
              <w:keepNext/>
              <w:keepLines/>
              <w:rPr>
                <w:rFonts w:ascii="Arial Narrow" w:hAnsi="Arial Narrow" w:cs="Arial"/>
                <w:sz w:val="20"/>
                <w:szCs w:val="20"/>
              </w:rPr>
            </w:pPr>
            <w:r w:rsidRPr="00B176CF">
              <w:rPr>
                <w:rFonts w:ascii="Arial Narrow" w:hAnsi="Arial Narrow" w:cs="Arial"/>
                <w:sz w:val="20"/>
                <w:szCs w:val="20"/>
              </w:rPr>
              <w:t xml:space="preserve">Legendre C, </w:t>
            </w:r>
            <w:proofErr w:type="spellStart"/>
            <w:r w:rsidRPr="00B176CF">
              <w:rPr>
                <w:rFonts w:ascii="Arial Narrow" w:hAnsi="Arial Narrow" w:cs="Arial"/>
                <w:sz w:val="20"/>
                <w:szCs w:val="20"/>
              </w:rPr>
              <w:t>Campistol</w:t>
            </w:r>
            <w:proofErr w:type="spellEnd"/>
            <w:r w:rsidRPr="00B176CF">
              <w:rPr>
                <w:rFonts w:ascii="Arial Narrow" w:hAnsi="Arial Narrow" w:cs="Arial"/>
                <w:sz w:val="20"/>
                <w:szCs w:val="20"/>
              </w:rPr>
              <w:t xml:space="preserve"> J, </w:t>
            </w:r>
            <w:proofErr w:type="spellStart"/>
            <w:r w:rsidRPr="00B176CF">
              <w:rPr>
                <w:rFonts w:ascii="Arial Narrow" w:hAnsi="Arial Narrow" w:cs="Arial"/>
                <w:sz w:val="20"/>
                <w:szCs w:val="20"/>
              </w:rPr>
              <w:t>Feldkamp</w:t>
            </w:r>
            <w:proofErr w:type="spellEnd"/>
            <w:r w:rsidRPr="00B176CF">
              <w:rPr>
                <w:rFonts w:ascii="Arial Narrow" w:hAnsi="Arial Narrow" w:cs="Arial"/>
                <w:sz w:val="20"/>
                <w:szCs w:val="20"/>
              </w:rPr>
              <w:t xml:space="preserve"> T et al. </w:t>
            </w:r>
            <w:r w:rsidR="00B83962" w:rsidRPr="00B176CF">
              <w:rPr>
                <w:rFonts w:ascii="Arial Narrow" w:hAnsi="Arial Narrow" w:cs="Arial"/>
                <w:sz w:val="20"/>
                <w:szCs w:val="20"/>
              </w:rPr>
              <w:t xml:space="preserve">Outcomes of patients with atypical haemolytic uraemic syndrome with native and transplanted kidneys treated with </w:t>
            </w:r>
            <w:proofErr w:type="spellStart"/>
            <w:r w:rsidR="00B83962" w:rsidRPr="00B176CF">
              <w:rPr>
                <w:rFonts w:ascii="Arial Narrow" w:hAnsi="Arial Narrow" w:cs="Arial"/>
                <w:sz w:val="20"/>
                <w:szCs w:val="20"/>
              </w:rPr>
              <w:t>eculizumab</w:t>
            </w:r>
            <w:proofErr w:type="spellEnd"/>
            <w:r w:rsidR="00B83962" w:rsidRPr="00B176CF">
              <w:rPr>
                <w:rFonts w:ascii="Arial Narrow" w:hAnsi="Arial Narrow" w:cs="Arial"/>
                <w:sz w:val="20"/>
                <w:szCs w:val="20"/>
              </w:rPr>
              <w:t>: a pooled post hoc analysis</w:t>
            </w:r>
          </w:p>
        </w:tc>
        <w:tc>
          <w:tcPr>
            <w:tcW w:w="1568" w:type="pct"/>
            <w:shd w:val="clear" w:color="auto" w:fill="FFFFFF" w:themeFill="background1"/>
          </w:tcPr>
          <w:p w:rsidR="00B83962" w:rsidRPr="00B176CF" w:rsidRDefault="00497B2C" w:rsidP="002B68A6">
            <w:pPr>
              <w:keepNext/>
              <w:keepLines/>
              <w:rPr>
                <w:rFonts w:ascii="Arial Narrow" w:hAnsi="Arial Narrow" w:cs="Arial"/>
                <w:sz w:val="20"/>
                <w:szCs w:val="20"/>
              </w:rPr>
            </w:pPr>
            <w:r w:rsidRPr="00B176CF">
              <w:rPr>
                <w:rFonts w:ascii="Arial Narrow" w:hAnsi="Arial Narrow" w:cs="Arial"/>
                <w:sz w:val="20"/>
                <w:szCs w:val="20"/>
              </w:rPr>
              <w:t>Transplant International 2017; 30: 1275–1283</w:t>
            </w:r>
          </w:p>
        </w:tc>
      </w:tr>
      <w:tr w:rsidR="00494192" w:rsidRPr="00B176CF" w:rsidTr="009A371E">
        <w:trPr>
          <w:cantSplit/>
        </w:trPr>
        <w:tc>
          <w:tcPr>
            <w:tcW w:w="5000" w:type="pct"/>
            <w:gridSpan w:val="3"/>
            <w:shd w:val="clear" w:color="auto" w:fill="FFFFFF" w:themeFill="background1"/>
          </w:tcPr>
          <w:p w:rsidR="00494192" w:rsidRPr="00B176CF" w:rsidRDefault="00494192" w:rsidP="002B68A6">
            <w:pPr>
              <w:pStyle w:val="NoSpacing"/>
              <w:rPr>
                <w:rFonts w:ascii="Arial Narrow" w:hAnsi="Arial Narrow" w:cs="Arial"/>
                <w:b/>
                <w:sz w:val="20"/>
                <w:szCs w:val="20"/>
              </w:rPr>
            </w:pPr>
            <w:r w:rsidRPr="00B176CF">
              <w:rPr>
                <w:rFonts w:ascii="Arial Narrow" w:hAnsi="Arial Narrow" w:cs="Arial"/>
                <w:b/>
                <w:sz w:val="20"/>
                <w:szCs w:val="20"/>
              </w:rPr>
              <w:t>Case series</w:t>
            </w:r>
          </w:p>
        </w:tc>
      </w:tr>
      <w:tr w:rsidR="00AA0E3C" w:rsidRPr="00B176CF" w:rsidTr="00647F3A">
        <w:trPr>
          <w:cantSplit/>
        </w:trPr>
        <w:tc>
          <w:tcPr>
            <w:tcW w:w="848" w:type="pct"/>
            <w:shd w:val="clear" w:color="auto" w:fill="FFFFFF" w:themeFill="background1"/>
          </w:tcPr>
          <w:p w:rsidR="00AA0E3C" w:rsidRPr="00B176CF" w:rsidRDefault="00AA0E3C" w:rsidP="002B68A6">
            <w:pPr>
              <w:pStyle w:val="NoSpacing"/>
              <w:keepNext/>
              <w:keepLines/>
              <w:jc w:val="left"/>
              <w:rPr>
                <w:rFonts w:ascii="Arial Narrow" w:hAnsi="Arial Narrow" w:cs="Arial"/>
                <w:sz w:val="20"/>
                <w:szCs w:val="20"/>
              </w:rPr>
            </w:pPr>
            <w:r w:rsidRPr="00B176CF">
              <w:rPr>
                <w:rFonts w:ascii="Arial Narrow" w:hAnsi="Arial Narrow" w:cs="Arial"/>
                <w:sz w:val="20"/>
                <w:szCs w:val="20"/>
              </w:rPr>
              <w:lastRenderedPageBreak/>
              <w:t>Zuber 2017</w:t>
            </w:r>
          </w:p>
        </w:tc>
        <w:tc>
          <w:tcPr>
            <w:tcW w:w="2584" w:type="pct"/>
            <w:shd w:val="clear" w:color="auto" w:fill="FFFFFF" w:themeFill="background1"/>
          </w:tcPr>
          <w:p w:rsidR="00AA0E3C" w:rsidRPr="00B176CF" w:rsidRDefault="00AA0E3C" w:rsidP="002B68A6">
            <w:pPr>
              <w:keepNext/>
              <w:keepLines/>
              <w:rPr>
                <w:rFonts w:ascii="Arial Narrow" w:hAnsi="Arial Narrow" w:cs="Arial"/>
                <w:sz w:val="20"/>
                <w:szCs w:val="20"/>
              </w:rPr>
            </w:pPr>
            <w:r w:rsidRPr="00B176CF">
              <w:rPr>
                <w:rFonts w:ascii="Arial Narrow" w:hAnsi="Arial Narrow" w:cs="Arial"/>
                <w:sz w:val="20"/>
                <w:szCs w:val="20"/>
              </w:rPr>
              <w:t>Zuber</w:t>
            </w:r>
            <w:r w:rsidR="004A3DFB" w:rsidRPr="00B176CF">
              <w:rPr>
                <w:rFonts w:ascii="Arial Narrow" w:hAnsi="Arial Narrow" w:cs="Arial"/>
                <w:sz w:val="20"/>
                <w:szCs w:val="20"/>
              </w:rPr>
              <w:t xml:space="preserve"> J</w:t>
            </w:r>
            <w:r w:rsidRPr="00B176CF">
              <w:rPr>
                <w:rFonts w:ascii="Arial Narrow" w:hAnsi="Arial Narrow" w:cs="Arial"/>
                <w:sz w:val="20"/>
                <w:szCs w:val="20"/>
              </w:rPr>
              <w:t xml:space="preserve">, </w:t>
            </w:r>
            <w:proofErr w:type="spellStart"/>
            <w:r w:rsidRPr="00B176CF">
              <w:rPr>
                <w:rFonts w:ascii="Arial Narrow" w:hAnsi="Arial Narrow" w:cs="Arial"/>
                <w:sz w:val="20"/>
                <w:szCs w:val="20"/>
              </w:rPr>
              <w:t>Kamar</w:t>
            </w:r>
            <w:proofErr w:type="spellEnd"/>
            <w:r w:rsidR="004A3DFB" w:rsidRPr="00B176CF">
              <w:rPr>
                <w:rFonts w:ascii="Arial Narrow" w:hAnsi="Arial Narrow" w:cs="Arial"/>
                <w:sz w:val="20"/>
                <w:szCs w:val="20"/>
              </w:rPr>
              <w:t xml:space="preserve"> N</w:t>
            </w:r>
            <w:r w:rsidRPr="00B176CF">
              <w:rPr>
                <w:rFonts w:ascii="Arial Narrow" w:hAnsi="Arial Narrow" w:cs="Arial"/>
                <w:sz w:val="20"/>
                <w:szCs w:val="20"/>
              </w:rPr>
              <w:t xml:space="preserve">, </w:t>
            </w:r>
            <w:proofErr w:type="spellStart"/>
            <w:r w:rsidRPr="00B176CF">
              <w:rPr>
                <w:rFonts w:ascii="Arial Narrow" w:hAnsi="Arial Narrow" w:cs="Arial"/>
                <w:sz w:val="20"/>
                <w:szCs w:val="20"/>
              </w:rPr>
              <w:t>Frimat</w:t>
            </w:r>
            <w:proofErr w:type="spellEnd"/>
            <w:r w:rsidR="004A3DFB" w:rsidRPr="00B176CF">
              <w:rPr>
                <w:rFonts w:ascii="Arial Narrow" w:hAnsi="Arial Narrow" w:cs="Arial"/>
                <w:sz w:val="20"/>
                <w:szCs w:val="20"/>
              </w:rPr>
              <w:t xml:space="preserve"> M</w:t>
            </w:r>
            <w:r w:rsidRPr="00B176CF">
              <w:rPr>
                <w:rFonts w:ascii="Arial Narrow" w:hAnsi="Arial Narrow" w:cs="Arial"/>
                <w:sz w:val="20"/>
                <w:szCs w:val="20"/>
              </w:rPr>
              <w:t xml:space="preserve">, </w:t>
            </w:r>
            <w:r w:rsidR="004A3DFB" w:rsidRPr="00B176CF">
              <w:rPr>
                <w:rFonts w:ascii="Arial Narrow" w:hAnsi="Arial Narrow" w:cs="Arial"/>
                <w:sz w:val="20"/>
                <w:szCs w:val="20"/>
              </w:rPr>
              <w:t>et al</w:t>
            </w:r>
            <w:r w:rsidR="00066160" w:rsidRPr="00B176CF">
              <w:rPr>
                <w:rFonts w:ascii="Arial Narrow" w:hAnsi="Arial Narrow" w:cs="Arial"/>
                <w:sz w:val="20"/>
                <w:szCs w:val="20"/>
              </w:rPr>
              <w:t xml:space="preserve">. </w:t>
            </w:r>
            <w:r w:rsidRPr="00B176CF">
              <w:rPr>
                <w:rFonts w:ascii="Arial Narrow" w:hAnsi="Arial Narrow" w:cs="Arial"/>
                <w:sz w:val="20"/>
                <w:szCs w:val="20"/>
              </w:rPr>
              <w:t xml:space="preserve">Breakthrough in the Management of atypical </w:t>
            </w:r>
            <w:proofErr w:type="spellStart"/>
            <w:r w:rsidRPr="00B176CF">
              <w:rPr>
                <w:rFonts w:ascii="Arial Narrow" w:hAnsi="Arial Narrow" w:cs="Arial"/>
                <w:sz w:val="20"/>
                <w:szCs w:val="20"/>
              </w:rPr>
              <w:t>Hemolytic</w:t>
            </w:r>
            <w:proofErr w:type="spellEnd"/>
            <w:r w:rsidRPr="00B176CF">
              <w:rPr>
                <w:rFonts w:ascii="Arial Narrow" w:hAnsi="Arial Narrow" w:cs="Arial"/>
                <w:sz w:val="20"/>
                <w:szCs w:val="20"/>
              </w:rPr>
              <w:t xml:space="preserve"> Uremic Syndrome after Kidney Transplantation: A Nationwide Study</w:t>
            </w:r>
          </w:p>
        </w:tc>
        <w:tc>
          <w:tcPr>
            <w:tcW w:w="1568" w:type="pct"/>
            <w:shd w:val="clear" w:color="auto" w:fill="FFFFFF" w:themeFill="background1"/>
          </w:tcPr>
          <w:p w:rsidR="00AA0E3C" w:rsidRPr="00B176CF" w:rsidRDefault="00AA0E3C" w:rsidP="002B68A6">
            <w:pPr>
              <w:keepNext/>
              <w:keepLines/>
              <w:rPr>
                <w:rFonts w:ascii="Arial Narrow" w:hAnsi="Arial Narrow" w:cs="Arial"/>
                <w:sz w:val="20"/>
                <w:szCs w:val="20"/>
              </w:rPr>
            </w:pPr>
            <w:r w:rsidRPr="00B176CF">
              <w:rPr>
                <w:rFonts w:ascii="Arial Narrow" w:hAnsi="Arial Narrow" w:cs="Arial"/>
                <w:sz w:val="20"/>
                <w:szCs w:val="20"/>
              </w:rPr>
              <w:t>European Society for Organ Transplantation (ESOT) Abstract OS271</w:t>
            </w:r>
          </w:p>
        </w:tc>
      </w:tr>
      <w:tr w:rsidR="00FB0A0F" w:rsidRPr="00B176CF" w:rsidTr="00FB0A0F">
        <w:trPr>
          <w:cantSplit/>
        </w:trPr>
        <w:tc>
          <w:tcPr>
            <w:tcW w:w="848" w:type="pct"/>
            <w:shd w:val="clear" w:color="auto" w:fill="FFFFFF" w:themeFill="background1"/>
          </w:tcPr>
          <w:p w:rsidR="00FB0A0F" w:rsidRPr="00B176CF" w:rsidRDefault="00FB0A0F" w:rsidP="00D97156">
            <w:pPr>
              <w:pStyle w:val="NoSpacing"/>
              <w:keepNext/>
              <w:keepLines/>
              <w:jc w:val="left"/>
              <w:rPr>
                <w:rFonts w:ascii="Arial Narrow" w:hAnsi="Arial Narrow" w:cs="Arial"/>
                <w:sz w:val="20"/>
                <w:szCs w:val="20"/>
              </w:rPr>
            </w:pPr>
            <w:r w:rsidRPr="00B176CF">
              <w:rPr>
                <w:rFonts w:ascii="Arial Narrow" w:hAnsi="Arial Narrow" w:cs="Arial"/>
                <w:sz w:val="20"/>
                <w:szCs w:val="20"/>
              </w:rPr>
              <w:t>Levi 2017</w:t>
            </w:r>
          </w:p>
        </w:tc>
        <w:tc>
          <w:tcPr>
            <w:tcW w:w="2584" w:type="pct"/>
            <w:shd w:val="clear" w:color="auto" w:fill="FFFFFF" w:themeFill="background1"/>
          </w:tcPr>
          <w:p w:rsidR="00FB0A0F" w:rsidRPr="00B176CF" w:rsidRDefault="00FB0A0F" w:rsidP="00D97156">
            <w:pPr>
              <w:keepNext/>
              <w:keepLines/>
              <w:rPr>
                <w:rFonts w:ascii="Arial Narrow" w:hAnsi="Arial Narrow" w:cs="Arial"/>
                <w:sz w:val="20"/>
                <w:szCs w:val="20"/>
              </w:rPr>
            </w:pPr>
            <w:r w:rsidRPr="00B176CF">
              <w:rPr>
                <w:rFonts w:ascii="Arial Narrow" w:hAnsi="Arial Narrow" w:cs="Arial"/>
                <w:sz w:val="20"/>
                <w:szCs w:val="20"/>
                <w:lang w:val="fr-CH"/>
              </w:rPr>
              <w:t xml:space="preserve">Levi C, </w:t>
            </w:r>
            <w:proofErr w:type="spellStart"/>
            <w:r w:rsidRPr="00B176CF">
              <w:rPr>
                <w:rFonts w:ascii="Arial Narrow" w:hAnsi="Arial Narrow" w:cs="Arial"/>
                <w:sz w:val="20"/>
                <w:szCs w:val="20"/>
                <w:lang w:val="fr-CH"/>
              </w:rPr>
              <w:t>Fremeaux-Bacchi</w:t>
            </w:r>
            <w:proofErr w:type="spellEnd"/>
            <w:r w:rsidRPr="00B176CF">
              <w:rPr>
                <w:rFonts w:ascii="Arial Narrow" w:hAnsi="Arial Narrow" w:cs="Arial"/>
                <w:sz w:val="20"/>
                <w:szCs w:val="20"/>
                <w:lang w:val="fr-CH"/>
              </w:rPr>
              <w:t xml:space="preserve"> C, </w:t>
            </w:r>
            <w:proofErr w:type="spellStart"/>
            <w:r w:rsidRPr="00B176CF">
              <w:rPr>
                <w:rFonts w:ascii="Arial Narrow" w:hAnsi="Arial Narrow" w:cs="Arial"/>
                <w:sz w:val="20"/>
                <w:szCs w:val="20"/>
                <w:lang w:val="fr-CH"/>
              </w:rPr>
              <w:t>Zuber</w:t>
            </w:r>
            <w:proofErr w:type="spellEnd"/>
            <w:r w:rsidRPr="00B176CF">
              <w:rPr>
                <w:rFonts w:ascii="Arial Narrow" w:hAnsi="Arial Narrow" w:cs="Arial"/>
                <w:sz w:val="20"/>
                <w:szCs w:val="20"/>
                <w:lang w:val="fr-CH"/>
              </w:rPr>
              <w:t xml:space="preserve"> J, et al. </w:t>
            </w:r>
            <w:r w:rsidRPr="00B176CF">
              <w:rPr>
                <w:rFonts w:ascii="Arial Narrow" w:hAnsi="Arial Narrow" w:cs="Arial"/>
                <w:sz w:val="20"/>
                <w:szCs w:val="20"/>
              </w:rPr>
              <w:t xml:space="preserve">Midterm Outcomes of 12 Renal Transplant Recipients Treated with </w:t>
            </w:r>
            <w:proofErr w:type="spellStart"/>
            <w:r w:rsidRPr="00B176CF">
              <w:rPr>
                <w:rFonts w:ascii="Arial Narrow" w:hAnsi="Arial Narrow" w:cs="Arial"/>
                <w:sz w:val="20"/>
                <w:szCs w:val="20"/>
              </w:rPr>
              <w:t>Eculizumab</w:t>
            </w:r>
            <w:proofErr w:type="spellEnd"/>
            <w:r w:rsidRPr="00B176CF">
              <w:rPr>
                <w:rFonts w:ascii="Arial Narrow" w:hAnsi="Arial Narrow" w:cs="Arial"/>
                <w:sz w:val="20"/>
                <w:szCs w:val="20"/>
              </w:rPr>
              <w:t xml:space="preserve"> to Prevent Atypical </w:t>
            </w:r>
            <w:proofErr w:type="spellStart"/>
            <w:r w:rsidRPr="00B176CF">
              <w:rPr>
                <w:rFonts w:ascii="Arial Narrow" w:hAnsi="Arial Narrow" w:cs="Arial"/>
                <w:sz w:val="20"/>
                <w:szCs w:val="20"/>
              </w:rPr>
              <w:t>Hemolytic</w:t>
            </w:r>
            <w:proofErr w:type="spellEnd"/>
            <w:r w:rsidRPr="00B176CF">
              <w:rPr>
                <w:rFonts w:ascii="Arial Narrow" w:hAnsi="Arial Narrow" w:cs="Arial"/>
                <w:sz w:val="20"/>
                <w:szCs w:val="20"/>
              </w:rPr>
              <w:t xml:space="preserve"> Uremic Syndrome Recurrence</w:t>
            </w:r>
          </w:p>
        </w:tc>
        <w:tc>
          <w:tcPr>
            <w:tcW w:w="1568" w:type="pct"/>
            <w:shd w:val="clear" w:color="auto" w:fill="FFFFFF" w:themeFill="background1"/>
          </w:tcPr>
          <w:p w:rsidR="00FB0A0F" w:rsidRPr="00B176CF" w:rsidRDefault="00FB0A0F" w:rsidP="00D97156">
            <w:pPr>
              <w:keepNext/>
              <w:keepLines/>
              <w:rPr>
                <w:rFonts w:ascii="Arial Narrow" w:hAnsi="Arial Narrow" w:cs="Arial"/>
                <w:sz w:val="20"/>
                <w:szCs w:val="20"/>
              </w:rPr>
            </w:pPr>
            <w:r w:rsidRPr="00B176CF">
              <w:rPr>
                <w:rFonts w:ascii="Arial Narrow" w:hAnsi="Arial Narrow" w:cs="Arial"/>
                <w:sz w:val="20"/>
                <w:szCs w:val="20"/>
              </w:rPr>
              <w:t>Transplantation 2017 (DOI: 10.1097/TP.0000000000001909)</w:t>
            </w:r>
          </w:p>
        </w:tc>
      </w:tr>
      <w:tr w:rsidR="00FB0A0F" w:rsidRPr="00B176CF" w:rsidTr="00647F3A">
        <w:trPr>
          <w:cantSplit/>
        </w:trPr>
        <w:tc>
          <w:tcPr>
            <w:tcW w:w="848" w:type="pct"/>
            <w:shd w:val="clear" w:color="auto" w:fill="D9D9D9" w:themeFill="background1" w:themeFillShade="D9"/>
          </w:tcPr>
          <w:p w:rsidR="00FB0A0F" w:rsidRPr="00B176CF" w:rsidRDefault="00FB0A0F" w:rsidP="002B68A6">
            <w:pPr>
              <w:pStyle w:val="NoSpacing"/>
              <w:rPr>
                <w:rFonts w:ascii="Arial Narrow" w:hAnsi="Arial Narrow" w:cs="Arial"/>
                <w:sz w:val="20"/>
                <w:szCs w:val="20"/>
              </w:rPr>
            </w:pPr>
            <w:r w:rsidRPr="00B176CF">
              <w:rPr>
                <w:rFonts w:ascii="Arial Narrow" w:hAnsi="Arial Narrow" w:cs="Arial"/>
                <w:sz w:val="20"/>
                <w:szCs w:val="20"/>
              </w:rPr>
              <w:t>Andrade 2016</w:t>
            </w:r>
          </w:p>
        </w:tc>
        <w:tc>
          <w:tcPr>
            <w:tcW w:w="2584" w:type="pct"/>
            <w:shd w:val="clear" w:color="auto" w:fill="D9D9D9" w:themeFill="background1" w:themeFillShade="D9"/>
          </w:tcPr>
          <w:p w:rsidR="00FB0A0F" w:rsidRPr="00B176CF" w:rsidRDefault="00FB0A0F" w:rsidP="002B68A6">
            <w:pPr>
              <w:keepNext/>
              <w:rPr>
                <w:rFonts w:ascii="Arial Narrow" w:hAnsi="Arial Narrow" w:cs="Arial"/>
                <w:sz w:val="20"/>
                <w:szCs w:val="20"/>
              </w:rPr>
            </w:pPr>
            <w:r w:rsidRPr="00B176CF">
              <w:rPr>
                <w:rFonts w:ascii="Arial Narrow" w:hAnsi="Arial Narrow" w:cs="Arial"/>
                <w:sz w:val="20"/>
                <w:szCs w:val="20"/>
              </w:rPr>
              <w:t xml:space="preserve">Andrade, A. V., Machado, D., Souza, P. S., et al. Use of </w:t>
            </w:r>
            <w:proofErr w:type="spellStart"/>
            <w:r w:rsidRPr="00B176CF">
              <w:rPr>
                <w:rFonts w:ascii="Arial Narrow" w:hAnsi="Arial Narrow" w:cs="Arial"/>
                <w:sz w:val="20"/>
                <w:szCs w:val="20"/>
              </w:rPr>
              <w:t>eculizumab</w:t>
            </w:r>
            <w:proofErr w:type="spellEnd"/>
            <w:r w:rsidRPr="00B176CF">
              <w:rPr>
                <w:rFonts w:ascii="Arial Narrow" w:hAnsi="Arial Narrow" w:cs="Arial"/>
                <w:sz w:val="20"/>
                <w:szCs w:val="20"/>
              </w:rPr>
              <w:t xml:space="preserve"> for atypical haemolytic uremic syndrome in kidney transplantation - single centre experience in Brazil. </w:t>
            </w:r>
          </w:p>
        </w:tc>
        <w:tc>
          <w:tcPr>
            <w:tcW w:w="1568" w:type="pct"/>
            <w:shd w:val="clear" w:color="auto" w:fill="D9D9D9" w:themeFill="background1" w:themeFillShade="D9"/>
          </w:tcPr>
          <w:p w:rsidR="00FB0A0F" w:rsidRPr="00B176CF" w:rsidRDefault="00FB0A0F" w:rsidP="002B68A6">
            <w:pPr>
              <w:keepNext/>
              <w:rPr>
                <w:rFonts w:ascii="Arial Narrow" w:hAnsi="Arial Narrow" w:cs="Arial"/>
                <w:sz w:val="20"/>
                <w:szCs w:val="20"/>
              </w:rPr>
            </w:pPr>
            <w:r w:rsidRPr="00B176CF">
              <w:rPr>
                <w:rFonts w:ascii="Arial Narrow" w:hAnsi="Arial Narrow" w:cs="Arial"/>
                <w:sz w:val="20"/>
                <w:szCs w:val="20"/>
              </w:rPr>
              <w:t>American Society of Nephrology (ASN) Kidney Week (PUB749)</w:t>
            </w:r>
          </w:p>
        </w:tc>
      </w:tr>
      <w:tr w:rsidR="00FB0A0F" w:rsidRPr="00B176CF" w:rsidTr="00647F3A">
        <w:trPr>
          <w:cantSplit/>
        </w:trPr>
        <w:tc>
          <w:tcPr>
            <w:tcW w:w="848" w:type="pct"/>
            <w:shd w:val="clear" w:color="auto" w:fill="D9D9D9" w:themeFill="background1" w:themeFillShade="D9"/>
          </w:tcPr>
          <w:p w:rsidR="00FB0A0F" w:rsidRPr="00B176CF" w:rsidRDefault="00FB0A0F" w:rsidP="002B68A6">
            <w:pPr>
              <w:pStyle w:val="NoSpacing"/>
              <w:rPr>
                <w:rFonts w:ascii="Arial Narrow" w:hAnsi="Arial Narrow" w:cs="Arial"/>
                <w:sz w:val="20"/>
                <w:szCs w:val="20"/>
              </w:rPr>
            </w:pPr>
            <w:proofErr w:type="spellStart"/>
            <w:r w:rsidRPr="00B176CF">
              <w:rPr>
                <w:rFonts w:ascii="Arial Narrow" w:hAnsi="Arial Narrow" w:cs="Arial"/>
                <w:sz w:val="20"/>
                <w:szCs w:val="20"/>
              </w:rPr>
              <w:t>Ardissino</w:t>
            </w:r>
            <w:proofErr w:type="spellEnd"/>
            <w:r w:rsidRPr="00B176CF">
              <w:rPr>
                <w:rFonts w:ascii="Arial Narrow" w:hAnsi="Arial Narrow" w:cs="Arial"/>
                <w:sz w:val="20"/>
                <w:szCs w:val="20"/>
              </w:rPr>
              <w:t xml:space="preserve"> 2016</w:t>
            </w:r>
          </w:p>
        </w:tc>
        <w:tc>
          <w:tcPr>
            <w:tcW w:w="2584" w:type="pct"/>
            <w:shd w:val="clear" w:color="auto" w:fill="D9D9D9" w:themeFill="background1" w:themeFillShade="D9"/>
          </w:tcPr>
          <w:p w:rsidR="00FB0A0F" w:rsidRPr="00B176CF" w:rsidRDefault="00FB0A0F" w:rsidP="002B68A6">
            <w:pPr>
              <w:keepNext/>
              <w:rPr>
                <w:rFonts w:ascii="Arial Narrow" w:hAnsi="Arial Narrow" w:cs="Arial"/>
                <w:sz w:val="20"/>
                <w:szCs w:val="20"/>
              </w:rPr>
            </w:pPr>
            <w:proofErr w:type="spellStart"/>
            <w:r w:rsidRPr="00B176CF">
              <w:rPr>
                <w:rFonts w:ascii="Arial Narrow" w:hAnsi="Arial Narrow" w:cs="Arial"/>
                <w:sz w:val="20"/>
                <w:szCs w:val="20"/>
              </w:rPr>
              <w:t>Ardissino</w:t>
            </w:r>
            <w:proofErr w:type="spellEnd"/>
            <w:r w:rsidRPr="00B176CF">
              <w:rPr>
                <w:rFonts w:ascii="Arial Narrow" w:hAnsi="Arial Narrow" w:cs="Arial"/>
                <w:sz w:val="20"/>
                <w:szCs w:val="20"/>
              </w:rPr>
              <w:t xml:space="preserve"> G, </w:t>
            </w:r>
            <w:proofErr w:type="spellStart"/>
            <w:r w:rsidRPr="00B176CF">
              <w:rPr>
                <w:rFonts w:ascii="Arial Narrow" w:hAnsi="Arial Narrow" w:cs="Arial"/>
                <w:sz w:val="20"/>
                <w:szCs w:val="20"/>
              </w:rPr>
              <w:t>Cresseri</w:t>
            </w:r>
            <w:proofErr w:type="spellEnd"/>
            <w:r w:rsidRPr="00B176CF">
              <w:rPr>
                <w:rFonts w:ascii="Arial Narrow" w:hAnsi="Arial Narrow" w:cs="Arial"/>
                <w:sz w:val="20"/>
                <w:szCs w:val="20"/>
              </w:rPr>
              <w:t xml:space="preserve"> D, Giussani A, et al.  Kidney Transplant in Atypical HUS: A Single </w:t>
            </w:r>
            <w:proofErr w:type="spellStart"/>
            <w:r w:rsidRPr="00B176CF">
              <w:rPr>
                <w:rFonts w:ascii="Arial Narrow" w:hAnsi="Arial Narrow" w:cs="Arial"/>
                <w:sz w:val="20"/>
                <w:szCs w:val="20"/>
              </w:rPr>
              <w:t>Center</w:t>
            </w:r>
            <w:proofErr w:type="spellEnd"/>
            <w:r w:rsidRPr="00B176CF">
              <w:rPr>
                <w:rFonts w:ascii="Arial Narrow" w:hAnsi="Arial Narrow" w:cs="Arial"/>
                <w:sz w:val="20"/>
                <w:szCs w:val="20"/>
              </w:rPr>
              <w:t xml:space="preserve"> Experience</w:t>
            </w:r>
          </w:p>
        </w:tc>
        <w:tc>
          <w:tcPr>
            <w:tcW w:w="1568" w:type="pct"/>
            <w:shd w:val="clear" w:color="auto" w:fill="D9D9D9" w:themeFill="background1" w:themeFillShade="D9"/>
          </w:tcPr>
          <w:p w:rsidR="00FB0A0F" w:rsidRPr="00B176CF" w:rsidRDefault="00FB0A0F" w:rsidP="002B68A6">
            <w:pPr>
              <w:keepNext/>
              <w:rPr>
                <w:rFonts w:ascii="Arial Narrow" w:hAnsi="Arial Narrow" w:cs="Arial"/>
                <w:sz w:val="20"/>
                <w:szCs w:val="20"/>
              </w:rPr>
            </w:pPr>
            <w:r w:rsidRPr="00B176CF">
              <w:rPr>
                <w:rFonts w:ascii="Arial Narrow" w:hAnsi="Arial Narrow" w:cs="Arial"/>
                <w:sz w:val="20"/>
                <w:szCs w:val="20"/>
              </w:rPr>
              <w:t xml:space="preserve">American Society of Nephrology (ASN) Kidney Week SA-PO365 </w:t>
            </w:r>
          </w:p>
        </w:tc>
      </w:tr>
      <w:tr w:rsidR="00FB0A0F" w:rsidRPr="00B176CF" w:rsidTr="00647F3A">
        <w:trPr>
          <w:cantSplit/>
        </w:trPr>
        <w:tc>
          <w:tcPr>
            <w:tcW w:w="848" w:type="pct"/>
            <w:shd w:val="clear" w:color="auto" w:fill="D9D9D9" w:themeFill="background1" w:themeFillShade="D9"/>
          </w:tcPr>
          <w:p w:rsidR="00FB0A0F" w:rsidRPr="00B176CF" w:rsidRDefault="00FB0A0F" w:rsidP="002B68A6">
            <w:pPr>
              <w:pStyle w:val="NoSpacing"/>
              <w:rPr>
                <w:rFonts w:ascii="Arial Narrow" w:hAnsi="Arial Narrow" w:cs="Arial"/>
                <w:sz w:val="20"/>
                <w:szCs w:val="20"/>
              </w:rPr>
            </w:pPr>
            <w:r w:rsidRPr="00B176CF">
              <w:rPr>
                <w:rFonts w:ascii="Arial Narrow" w:hAnsi="Arial Narrow" w:cs="Arial"/>
                <w:sz w:val="20"/>
                <w:szCs w:val="20"/>
              </w:rPr>
              <w:t>Kumar 2016</w:t>
            </w:r>
          </w:p>
        </w:tc>
        <w:tc>
          <w:tcPr>
            <w:tcW w:w="2584" w:type="pct"/>
            <w:shd w:val="clear" w:color="auto" w:fill="D9D9D9" w:themeFill="background1" w:themeFillShade="D9"/>
          </w:tcPr>
          <w:p w:rsidR="00FB0A0F" w:rsidRPr="00B176CF" w:rsidRDefault="00FB0A0F" w:rsidP="002B68A6">
            <w:pPr>
              <w:keepNext/>
              <w:rPr>
                <w:rFonts w:ascii="Arial Narrow" w:hAnsi="Arial Narrow" w:cs="Arial"/>
                <w:sz w:val="20"/>
                <w:szCs w:val="20"/>
              </w:rPr>
            </w:pPr>
            <w:r w:rsidRPr="00B176CF">
              <w:rPr>
                <w:rFonts w:ascii="Arial Narrow" w:hAnsi="Arial Narrow" w:cs="Arial"/>
                <w:sz w:val="20"/>
                <w:szCs w:val="20"/>
              </w:rPr>
              <w:t xml:space="preserve">Kumar A, Stewart Z, Reed A, et al. Successful prophylactic use of </w:t>
            </w:r>
            <w:proofErr w:type="spellStart"/>
            <w:r w:rsidRPr="00B176CF">
              <w:rPr>
                <w:rFonts w:ascii="Arial Narrow" w:hAnsi="Arial Narrow" w:cs="Arial"/>
                <w:sz w:val="20"/>
                <w:szCs w:val="20"/>
              </w:rPr>
              <w:t>eculizumab</w:t>
            </w:r>
            <w:proofErr w:type="spellEnd"/>
            <w:r w:rsidRPr="00B176CF">
              <w:rPr>
                <w:rFonts w:ascii="Arial Narrow" w:hAnsi="Arial Narrow" w:cs="Arial"/>
                <w:sz w:val="20"/>
                <w:szCs w:val="20"/>
              </w:rPr>
              <w:t xml:space="preserve"> in </w:t>
            </w:r>
            <w:proofErr w:type="spellStart"/>
            <w:r w:rsidRPr="00B176CF">
              <w:rPr>
                <w:rFonts w:ascii="Arial Narrow" w:hAnsi="Arial Narrow" w:cs="Arial"/>
                <w:sz w:val="20"/>
                <w:szCs w:val="20"/>
              </w:rPr>
              <w:t>aHUS</w:t>
            </w:r>
            <w:proofErr w:type="spellEnd"/>
            <w:r w:rsidRPr="00B176CF">
              <w:rPr>
                <w:rFonts w:ascii="Arial Narrow" w:hAnsi="Arial Narrow" w:cs="Arial"/>
                <w:sz w:val="20"/>
                <w:szCs w:val="20"/>
              </w:rPr>
              <w:t xml:space="preserve"> kidney transplant patients: a report of 9 cases.</w:t>
            </w:r>
          </w:p>
        </w:tc>
        <w:tc>
          <w:tcPr>
            <w:tcW w:w="1568" w:type="pct"/>
            <w:shd w:val="clear" w:color="auto" w:fill="D9D9D9" w:themeFill="background1" w:themeFillShade="D9"/>
          </w:tcPr>
          <w:p w:rsidR="00FB0A0F" w:rsidRPr="00B176CF" w:rsidRDefault="00FB0A0F" w:rsidP="002B68A6">
            <w:pPr>
              <w:keepNext/>
              <w:rPr>
                <w:rFonts w:ascii="Arial Narrow" w:hAnsi="Arial Narrow" w:cs="Arial"/>
                <w:sz w:val="20"/>
                <w:szCs w:val="20"/>
              </w:rPr>
            </w:pPr>
            <w:r w:rsidRPr="00B176CF">
              <w:rPr>
                <w:rFonts w:ascii="Arial Narrow" w:hAnsi="Arial Narrow" w:cs="Arial"/>
                <w:sz w:val="20"/>
                <w:szCs w:val="20"/>
              </w:rPr>
              <w:t>American Journal of Transplant, 16 (</w:t>
            </w:r>
            <w:proofErr w:type="spellStart"/>
            <w:r w:rsidRPr="00B176CF">
              <w:rPr>
                <w:rFonts w:ascii="Arial Narrow" w:hAnsi="Arial Narrow" w:cs="Arial"/>
                <w:sz w:val="20"/>
                <w:szCs w:val="20"/>
              </w:rPr>
              <w:t>Suppl</w:t>
            </w:r>
            <w:proofErr w:type="spellEnd"/>
            <w:r w:rsidRPr="00B176CF">
              <w:rPr>
                <w:rFonts w:ascii="Arial Narrow" w:hAnsi="Arial Narrow" w:cs="Arial"/>
                <w:sz w:val="20"/>
                <w:szCs w:val="20"/>
              </w:rPr>
              <w:t xml:space="preserve"> 3).</w:t>
            </w:r>
          </w:p>
        </w:tc>
      </w:tr>
      <w:tr w:rsidR="00FB0A0F" w:rsidRPr="00B176CF" w:rsidTr="00647F3A">
        <w:trPr>
          <w:cantSplit/>
        </w:trPr>
        <w:tc>
          <w:tcPr>
            <w:tcW w:w="848" w:type="pct"/>
            <w:shd w:val="clear" w:color="auto" w:fill="D9D9D9" w:themeFill="background1" w:themeFillShade="D9"/>
          </w:tcPr>
          <w:p w:rsidR="00FB0A0F" w:rsidRPr="00B176CF" w:rsidRDefault="00FB0A0F" w:rsidP="002B68A6">
            <w:pPr>
              <w:pStyle w:val="NoSpacing"/>
              <w:keepNext/>
              <w:keepLines/>
              <w:jc w:val="left"/>
              <w:rPr>
                <w:rFonts w:ascii="Arial Narrow" w:hAnsi="Arial Narrow" w:cs="Arial"/>
                <w:sz w:val="20"/>
                <w:szCs w:val="20"/>
              </w:rPr>
            </w:pPr>
            <w:r w:rsidRPr="00B176CF">
              <w:rPr>
                <w:rFonts w:ascii="Arial Narrow" w:hAnsi="Arial Narrow" w:cs="Arial"/>
                <w:sz w:val="20"/>
                <w:szCs w:val="20"/>
              </w:rPr>
              <w:t>Sheerin 2016</w:t>
            </w:r>
          </w:p>
        </w:tc>
        <w:tc>
          <w:tcPr>
            <w:tcW w:w="2584" w:type="pct"/>
            <w:shd w:val="clear" w:color="auto" w:fill="D9D9D9" w:themeFill="background1" w:themeFillShade="D9"/>
          </w:tcPr>
          <w:p w:rsidR="00FB0A0F" w:rsidRPr="00B176CF" w:rsidRDefault="00FB0A0F" w:rsidP="002B68A6">
            <w:pPr>
              <w:keepNext/>
              <w:keepLines/>
              <w:rPr>
                <w:rFonts w:ascii="Arial Narrow" w:hAnsi="Arial Narrow" w:cs="Arial"/>
                <w:sz w:val="20"/>
                <w:szCs w:val="20"/>
              </w:rPr>
            </w:pPr>
            <w:proofErr w:type="spellStart"/>
            <w:r w:rsidRPr="00B176CF">
              <w:rPr>
                <w:rFonts w:ascii="Arial Narrow" w:hAnsi="Arial Narrow" w:cs="Arial"/>
                <w:sz w:val="20"/>
                <w:szCs w:val="20"/>
              </w:rPr>
              <w:t>SheerinN</w:t>
            </w:r>
            <w:proofErr w:type="spellEnd"/>
            <w:r w:rsidRPr="00B176CF">
              <w:rPr>
                <w:rFonts w:ascii="Arial Narrow" w:hAnsi="Arial Narrow" w:cs="Arial"/>
                <w:sz w:val="20"/>
                <w:szCs w:val="20"/>
              </w:rPr>
              <w:t>, Kavanagh D, et al. A national specialized service in England for atypical haemolytic uraemic syndrome—the first years’ experience</w:t>
            </w:r>
          </w:p>
        </w:tc>
        <w:tc>
          <w:tcPr>
            <w:tcW w:w="1568" w:type="pct"/>
            <w:shd w:val="clear" w:color="auto" w:fill="D9D9D9" w:themeFill="background1" w:themeFillShade="D9"/>
          </w:tcPr>
          <w:p w:rsidR="00FB0A0F" w:rsidRPr="00B176CF" w:rsidRDefault="00FB0A0F" w:rsidP="002B68A6">
            <w:pPr>
              <w:keepNext/>
              <w:keepLines/>
              <w:rPr>
                <w:rFonts w:ascii="Arial Narrow" w:hAnsi="Arial Narrow" w:cs="Arial"/>
                <w:sz w:val="20"/>
                <w:szCs w:val="20"/>
              </w:rPr>
            </w:pPr>
            <w:r w:rsidRPr="00B176CF">
              <w:rPr>
                <w:rFonts w:ascii="Arial Narrow" w:hAnsi="Arial Narrow" w:cs="Arial"/>
                <w:iCs/>
                <w:sz w:val="20"/>
                <w:szCs w:val="20"/>
              </w:rPr>
              <w:t>International Journal of Medicine</w:t>
            </w:r>
            <w:r w:rsidRPr="00B176CF">
              <w:rPr>
                <w:rFonts w:ascii="Arial Narrow" w:hAnsi="Arial Narrow" w:cs="Arial"/>
                <w:sz w:val="20"/>
                <w:szCs w:val="20"/>
              </w:rPr>
              <w:t>, Volume 109, Issue 1, 1 January 2016, Pages 27–33</w:t>
            </w:r>
          </w:p>
        </w:tc>
      </w:tr>
      <w:tr w:rsidR="00FB0A0F" w:rsidRPr="00B176CF" w:rsidTr="00FB0A0F">
        <w:trPr>
          <w:cantSplit/>
        </w:trPr>
        <w:tc>
          <w:tcPr>
            <w:tcW w:w="848" w:type="pct"/>
            <w:shd w:val="clear" w:color="auto" w:fill="D9D9D9" w:themeFill="background1" w:themeFillShade="D9"/>
          </w:tcPr>
          <w:p w:rsidR="00FB0A0F" w:rsidRPr="00B176CF" w:rsidRDefault="00FB0A0F" w:rsidP="002B68A6">
            <w:pPr>
              <w:pStyle w:val="NoSpacing"/>
              <w:keepNext/>
              <w:keepLines/>
              <w:jc w:val="left"/>
              <w:rPr>
                <w:rFonts w:ascii="Arial Narrow" w:hAnsi="Arial Narrow" w:cs="Arial"/>
                <w:sz w:val="20"/>
                <w:szCs w:val="20"/>
              </w:rPr>
            </w:pPr>
            <w:proofErr w:type="spellStart"/>
            <w:r w:rsidRPr="00B176CF">
              <w:rPr>
                <w:rFonts w:ascii="Arial Narrow" w:hAnsi="Arial Narrow" w:cs="Arial"/>
                <w:sz w:val="20"/>
                <w:szCs w:val="20"/>
              </w:rPr>
              <w:t>Matar</w:t>
            </w:r>
            <w:proofErr w:type="spellEnd"/>
            <w:r w:rsidRPr="00B176CF">
              <w:rPr>
                <w:rFonts w:ascii="Arial Narrow" w:hAnsi="Arial Narrow" w:cs="Arial"/>
                <w:sz w:val="20"/>
                <w:szCs w:val="20"/>
              </w:rPr>
              <w:t xml:space="preserve"> 2014 </w:t>
            </w:r>
          </w:p>
        </w:tc>
        <w:tc>
          <w:tcPr>
            <w:tcW w:w="2584" w:type="pct"/>
            <w:shd w:val="clear" w:color="auto" w:fill="D9D9D9" w:themeFill="background1" w:themeFillShade="D9"/>
          </w:tcPr>
          <w:p w:rsidR="00FB0A0F" w:rsidRPr="00B176CF" w:rsidRDefault="00FB0A0F" w:rsidP="002B68A6">
            <w:pPr>
              <w:keepNext/>
              <w:keepLines/>
              <w:rPr>
                <w:rFonts w:ascii="Arial Narrow" w:hAnsi="Arial Narrow" w:cs="Arial"/>
                <w:sz w:val="20"/>
                <w:szCs w:val="20"/>
              </w:rPr>
            </w:pPr>
            <w:proofErr w:type="spellStart"/>
            <w:r w:rsidRPr="00B176CF">
              <w:rPr>
                <w:rFonts w:ascii="Arial Narrow" w:hAnsi="Arial Narrow" w:cs="Arial"/>
                <w:sz w:val="20"/>
                <w:szCs w:val="20"/>
              </w:rPr>
              <w:t>Matar</w:t>
            </w:r>
            <w:proofErr w:type="spellEnd"/>
            <w:r w:rsidRPr="00B176CF">
              <w:rPr>
                <w:rFonts w:ascii="Arial Narrow" w:hAnsi="Arial Narrow" w:cs="Arial"/>
                <w:sz w:val="20"/>
                <w:szCs w:val="20"/>
              </w:rPr>
              <w:t xml:space="preserve">, D. et al. Atypical </w:t>
            </w:r>
            <w:proofErr w:type="spellStart"/>
            <w:r w:rsidRPr="00B176CF">
              <w:rPr>
                <w:rFonts w:ascii="Arial Narrow" w:hAnsi="Arial Narrow" w:cs="Arial"/>
                <w:sz w:val="20"/>
                <w:szCs w:val="20"/>
              </w:rPr>
              <w:t>Hemolytic</w:t>
            </w:r>
            <w:proofErr w:type="spellEnd"/>
            <w:r w:rsidRPr="00B176CF">
              <w:rPr>
                <w:rFonts w:ascii="Arial Narrow" w:hAnsi="Arial Narrow" w:cs="Arial"/>
                <w:sz w:val="20"/>
                <w:szCs w:val="20"/>
              </w:rPr>
              <w:t xml:space="preserve"> Uremic Syndrome Recurrence After Kidney Transplantation</w:t>
            </w:r>
          </w:p>
        </w:tc>
        <w:tc>
          <w:tcPr>
            <w:tcW w:w="1568" w:type="pct"/>
            <w:shd w:val="clear" w:color="auto" w:fill="D9D9D9" w:themeFill="background1" w:themeFillShade="D9"/>
          </w:tcPr>
          <w:p w:rsidR="00FB0A0F" w:rsidRPr="00B176CF" w:rsidRDefault="00FB0A0F" w:rsidP="002B68A6">
            <w:pPr>
              <w:keepNext/>
              <w:keepLines/>
              <w:rPr>
                <w:rFonts w:ascii="Arial Narrow" w:hAnsi="Arial Narrow" w:cs="Arial"/>
                <w:sz w:val="20"/>
                <w:szCs w:val="20"/>
              </w:rPr>
            </w:pPr>
            <w:r w:rsidRPr="00B176CF">
              <w:rPr>
                <w:rFonts w:ascii="Arial Narrow" w:hAnsi="Arial Narrow" w:cs="Arial"/>
                <w:sz w:val="20"/>
                <w:szCs w:val="20"/>
              </w:rPr>
              <w:t>Transplantation 98, 1205–1212 (2014).</w:t>
            </w:r>
          </w:p>
        </w:tc>
      </w:tr>
      <w:tr w:rsidR="00FB0A0F" w:rsidRPr="00B176CF" w:rsidTr="00FB0A0F">
        <w:trPr>
          <w:cantSplit/>
        </w:trPr>
        <w:tc>
          <w:tcPr>
            <w:tcW w:w="848" w:type="pct"/>
            <w:shd w:val="clear" w:color="auto" w:fill="D9D9D9" w:themeFill="background1" w:themeFillShade="D9"/>
          </w:tcPr>
          <w:p w:rsidR="00FB0A0F" w:rsidRPr="00B176CF" w:rsidRDefault="00FB0A0F" w:rsidP="002B68A6">
            <w:pPr>
              <w:pStyle w:val="NoSpacing"/>
              <w:keepNext/>
              <w:keepLines/>
              <w:jc w:val="left"/>
              <w:rPr>
                <w:rFonts w:ascii="Arial Narrow" w:hAnsi="Arial Narrow" w:cs="Arial"/>
                <w:sz w:val="20"/>
                <w:szCs w:val="20"/>
              </w:rPr>
            </w:pPr>
            <w:r w:rsidRPr="00B176CF">
              <w:rPr>
                <w:rFonts w:ascii="Arial Narrow" w:hAnsi="Arial Narrow" w:cs="Arial"/>
                <w:sz w:val="20"/>
                <w:szCs w:val="20"/>
              </w:rPr>
              <w:t>Zuber 2012</w:t>
            </w:r>
          </w:p>
        </w:tc>
        <w:tc>
          <w:tcPr>
            <w:tcW w:w="2584" w:type="pct"/>
            <w:shd w:val="clear" w:color="auto" w:fill="D9D9D9" w:themeFill="background1" w:themeFillShade="D9"/>
          </w:tcPr>
          <w:p w:rsidR="00FB0A0F" w:rsidRPr="00B176CF" w:rsidRDefault="00FB0A0F" w:rsidP="002B68A6">
            <w:pPr>
              <w:keepNext/>
              <w:keepLines/>
              <w:rPr>
                <w:rFonts w:ascii="Arial Narrow" w:hAnsi="Arial Narrow" w:cs="Arial"/>
                <w:sz w:val="20"/>
                <w:szCs w:val="20"/>
              </w:rPr>
            </w:pPr>
            <w:r w:rsidRPr="00B176CF">
              <w:rPr>
                <w:rFonts w:ascii="Arial Narrow" w:hAnsi="Arial Narrow" w:cs="Arial"/>
                <w:sz w:val="20"/>
                <w:szCs w:val="20"/>
              </w:rPr>
              <w:t xml:space="preserve">Zuber, J. et al. </w:t>
            </w:r>
            <w:proofErr w:type="spellStart"/>
            <w:r w:rsidRPr="00B176CF">
              <w:rPr>
                <w:rFonts w:ascii="Arial Narrow" w:hAnsi="Arial Narrow" w:cs="Arial"/>
                <w:sz w:val="20"/>
                <w:szCs w:val="20"/>
              </w:rPr>
              <w:t>Eculizumab</w:t>
            </w:r>
            <w:proofErr w:type="spellEnd"/>
            <w:r w:rsidRPr="00B176CF">
              <w:rPr>
                <w:rFonts w:ascii="Arial Narrow" w:hAnsi="Arial Narrow" w:cs="Arial"/>
                <w:sz w:val="20"/>
                <w:szCs w:val="20"/>
              </w:rPr>
              <w:t xml:space="preserve"> for atypical </w:t>
            </w:r>
            <w:proofErr w:type="spellStart"/>
            <w:r w:rsidRPr="00B176CF">
              <w:rPr>
                <w:rFonts w:ascii="Arial Narrow" w:hAnsi="Arial Narrow" w:cs="Arial"/>
                <w:sz w:val="20"/>
                <w:szCs w:val="20"/>
              </w:rPr>
              <w:t>hemolytic</w:t>
            </w:r>
            <w:proofErr w:type="spellEnd"/>
            <w:r w:rsidRPr="00B176CF">
              <w:rPr>
                <w:rFonts w:ascii="Arial Narrow" w:hAnsi="Arial Narrow" w:cs="Arial"/>
                <w:sz w:val="20"/>
                <w:szCs w:val="20"/>
              </w:rPr>
              <w:t xml:space="preserve"> uremic syndrome recurrence in renal transplantation. </w:t>
            </w:r>
          </w:p>
        </w:tc>
        <w:tc>
          <w:tcPr>
            <w:tcW w:w="1568" w:type="pct"/>
            <w:shd w:val="clear" w:color="auto" w:fill="D9D9D9" w:themeFill="background1" w:themeFillShade="D9"/>
          </w:tcPr>
          <w:p w:rsidR="00FB0A0F" w:rsidRPr="00B176CF" w:rsidRDefault="00FB0A0F" w:rsidP="002B68A6">
            <w:pPr>
              <w:keepNext/>
              <w:keepLines/>
              <w:rPr>
                <w:rFonts w:ascii="Arial Narrow" w:hAnsi="Arial Narrow" w:cs="Arial"/>
                <w:sz w:val="20"/>
                <w:szCs w:val="20"/>
              </w:rPr>
            </w:pPr>
            <w:r w:rsidRPr="00B176CF">
              <w:rPr>
                <w:rFonts w:ascii="Arial Narrow" w:hAnsi="Arial Narrow" w:cs="Arial"/>
                <w:sz w:val="20"/>
                <w:szCs w:val="20"/>
              </w:rPr>
              <w:t>Am. J. Transplant. 12, 3337–3354 (2012).</w:t>
            </w:r>
          </w:p>
        </w:tc>
      </w:tr>
      <w:tr w:rsidR="00FB0A0F" w:rsidRPr="00B176CF" w:rsidTr="009A371E">
        <w:trPr>
          <w:cantSplit/>
        </w:trPr>
        <w:tc>
          <w:tcPr>
            <w:tcW w:w="5000" w:type="pct"/>
            <w:gridSpan w:val="3"/>
          </w:tcPr>
          <w:p w:rsidR="00FB0A0F" w:rsidRPr="00B176CF" w:rsidRDefault="00FB0A0F" w:rsidP="002B68A6">
            <w:pPr>
              <w:pStyle w:val="NoSpacing"/>
              <w:rPr>
                <w:rFonts w:ascii="Arial Narrow" w:hAnsi="Arial Narrow" w:cs="Arial"/>
                <w:b/>
                <w:sz w:val="20"/>
                <w:szCs w:val="20"/>
              </w:rPr>
            </w:pPr>
            <w:r w:rsidRPr="00B176CF">
              <w:rPr>
                <w:rFonts w:ascii="Arial Narrow" w:hAnsi="Arial Narrow" w:cs="Arial"/>
                <w:b/>
                <w:sz w:val="20"/>
                <w:szCs w:val="20"/>
              </w:rPr>
              <w:t>Case reports</w:t>
            </w:r>
          </w:p>
        </w:tc>
      </w:tr>
      <w:tr w:rsidR="00FB0A0F" w:rsidRPr="00B176CF" w:rsidTr="00647F3A">
        <w:trPr>
          <w:cantSplit/>
        </w:trPr>
        <w:tc>
          <w:tcPr>
            <w:tcW w:w="848" w:type="pct"/>
            <w:shd w:val="clear" w:color="auto" w:fill="FFFFFF" w:themeFill="background1"/>
          </w:tcPr>
          <w:p w:rsidR="00FB0A0F" w:rsidRPr="00B176CF" w:rsidRDefault="00FB0A0F" w:rsidP="00A2612B">
            <w:pPr>
              <w:pStyle w:val="NoSpacing"/>
              <w:keepNext/>
              <w:keepLines/>
              <w:jc w:val="left"/>
              <w:rPr>
                <w:rFonts w:ascii="Arial Narrow" w:hAnsi="Arial Narrow" w:cs="Arial"/>
                <w:sz w:val="20"/>
                <w:szCs w:val="20"/>
              </w:rPr>
            </w:pPr>
            <w:r w:rsidRPr="00B176CF">
              <w:rPr>
                <w:rFonts w:ascii="Arial Narrow" w:hAnsi="Arial Narrow" w:cs="Arial"/>
                <w:sz w:val="20"/>
                <w:szCs w:val="20"/>
              </w:rPr>
              <w:t>de Andrade 2017</w:t>
            </w:r>
          </w:p>
        </w:tc>
        <w:tc>
          <w:tcPr>
            <w:tcW w:w="2584" w:type="pct"/>
            <w:shd w:val="clear" w:color="auto" w:fill="FFFFFF" w:themeFill="background1"/>
            <w:vAlign w:val="center"/>
          </w:tcPr>
          <w:p w:rsidR="00FB0A0F" w:rsidRPr="00B176CF" w:rsidRDefault="00FB0A0F" w:rsidP="002B68A6">
            <w:pPr>
              <w:keepNext/>
              <w:keepLines/>
              <w:rPr>
                <w:rFonts w:ascii="Arial Narrow" w:hAnsi="Arial Narrow" w:cs="Arial"/>
                <w:sz w:val="20"/>
                <w:szCs w:val="20"/>
              </w:rPr>
            </w:pPr>
            <w:r w:rsidRPr="00B176CF">
              <w:rPr>
                <w:rFonts w:ascii="Arial Narrow" w:hAnsi="Arial Narrow" w:cs="Arial"/>
                <w:sz w:val="20"/>
                <w:szCs w:val="20"/>
              </w:rPr>
              <w:t xml:space="preserve">de Andrade et al. Long-term outcomes of the Atypical </w:t>
            </w:r>
            <w:proofErr w:type="spellStart"/>
            <w:r w:rsidRPr="00B176CF">
              <w:rPr>
                <w:rFonts w:ascii="Arial Narrow" w:hAnsi="Arial Narrow" w:cs="Arial"/>
                <w:sz w:val="20"/>
                <w:szCs w:val="20"/>
              </w:rPr>
              <w:t>Hemolytic</w:t>
            </w:r>
            <w:proofErr w:type="spellEnd"/>
            <w:r w:rsidRPr="00B176CF">
              <w:rPr>
                <w:rFonts w:ascii="Arial Narrow" w:hAnsi="Arial Narrow" w:cs="Arial"/>
                <w:sz w:val="20"/>
                <w:szCs w:val="20"/>
              </w:rPr>
              <w:t xml:space="preserve"> Uremic Syndrome after kidney transplantation treated with </w:t>
            </w:r>
            <w:proofErr w:type="spellStart"/>
            <w:r w:rsidRPr="00B176CF">
              <w:rPr>
                <w:rFonts w:ascii="Arial Narrow" w:hAnsi="Arial Narrow" w:cs="Arial"/>
                <w:sz w:val="20"/>
                <w:szCs w:val="20"/>
              </w:rPr>
              <w:t>eculizumab</w:t>
            </w:r>
            <w:proofErr w:type="spellEnd"/>
            <w:r w:rsidRPr="00B176CF">
              <w:rPr>
                <w:rFonts w:ascii="Arial Narrow" w:hAnsi="Arial Narrow" w:cs="Arial"/>
                <w:sz w:val="20"/>
                <w:szCs w:val="20"/>
              </w:rPr>
              <w:t xml:space="preserve"> as first choice</w:t>
            </w:r>
          </w:p>
        </w:tc>
        <w:tc>
          <w:tcPr>
            <w:tcW w:w="1568" w:type="pct"/>
            <w:shd w:val="clear" w:color="auto" w:fill="FFFFFF" w:themeFill="background1"/>
            <w:vAlign w:val="center"/>
          </w:tcPr>
          <w:p w:rsidR="00FB0A0F" w:rsidRPr="00B176CF" w:rsidRDefault="00FB0A0F" w:rsidP="002B68A6">
            <w:pPr>
              <w:autoSpaceDE w:val="0"/>
              <w:autoSpaceDN w:val="0"/>
              <w:adjustRightInd w:val="0"/>
              <w:rPr>
                <w:rFonts w:ascii="Arial Narrow" w:hAnsi="Arial Narrow" w:cs="Arial"/>
                <w:sz w:val="20"/>
                <w:szCs w:val="20"/>
              </w:rPr>
            </w:pPr>
            <w:proofErr w:type="spellStart"/>
            <w:r w:rsidRPr="00B176CF">
              <w:rPr>
                <w:rFonts w:ascii="Arial Narrow" w:hAnsi="Arial Narrow" w:cs="Arial"/>
                <w:sz w:val="20"/>
                <w:szCs w:val="20"/>
              </w:rPr>
              <w:t>PLoS</w:t>
            </w:r>
            <w:proofErr w:type="spellEnd"/>
            <w:r w:rsidRPr="00B176CF">
              <w:rPr>
                <w:rFonts w:ascii="Arial Narrow" w:hAnsi="Arial Narrow" w:cs="Arial"/>
                <w:sz w:val="20"/>
                <w:szCs w:val="20"/>
              </w:rPr>
              <w:t xml:space="preserve"> ONE 12(11): e0188155.</w:t>
            </w:r>
          </w:p>
        </w:tc>
      </w:tr>
      <w:tr w:rsidR="00FB0A0F" w:rsidRPr="00B176CF" w:rsidTr="00647F3A">
        <w:trPr>
          <w:cantSplit/>
        </w:trPr>
        <w:tc>
          <w:tcPr>
            <w:tcW w:w="848" w:type="pct"/>
            <w:shd w:val="clear" w:color="auto" w:fill="FFFFFF" w:themeFill="background1"/>
          </w:tcPr>
          <w:p w:rsidR="00FB0A0F" w:rsidRPr="00B176CF" w:rsidRDefault="00FB0A0F" w:rsidP="002B68A6">
            <w:pPr>
              <w:pStyle w:val="NoSpacing"/>
              <w:keepNext/>
              <w:keepLines/>
              <w:jc w:val="left"/>
              <w:rPr>
                <w:rFonts w:ascii="Arial Narrow" w:hAnsi="Arial Narrow" w:cs="Arial"/>
                <w:sz w:val="20"/>
                <w:szCs w:val="20"/>
              </w:rPr>
            </w:pPr>
            <w:proofErr w:type="spellStart"/>
            <w:r w:rsidRPr="00B176CF">
              <w:rPr>
                <w:rFonts w:ascii="Arial Narrow" w:hAnsi="Arial Narrow" w:cs="Arial"/>
                <w:sz w:val="20"/>
                <w:szCs w:val="20"/>
              </w:rPr>
              <w:t>Brocklebank</w:t>
            </w:r>
            <w:proofErr w:type="spellEnd"/>
            <w:r w:rsidRPr="00B176CF">
              <w:rPr>
                <w:rFonts w:ascii="Arial Narrow" w:hAnsi="Arial Narrow" w:cs="Arial"/>
                <w:sz w:val="20"/>
                <w:szCs w:val="20"/>
              </w:rPr>
              <w:t xml:space="preserve"> 2017</w:t>
            </w:r>
          </w:p>
        </w:tc>
        <w:tc>
          <w:tcPr>
            <w:tcW w:w="2584" w:type="pct"/>
            <w:shd w:val="clear" w:color="auto" w:fill="FFFFFF" w:themeFill="background1"/>
          </w:tcPr>
          <w:p w:rsidR="00FB0A0F" w:rsidRPr="00B176CF" w:rsidRDefault="00FB0A0F" w:rsidP="002B68A6">
            <w:pPr>
              <w:keepNext/>
              <w:keepLines/>
              <w:rPr>
                <w:rFonts w:ascii="Arial Narrow" w:hAnsi="Arial Narrow" w:cs="Arial"/>
                <w:sz w:val="20"/>
                <w:szCs w:val="20"/>
              </w:rPr>
            </w:pPr>
            <w:proofErr w:type="spellStart"/>
            <w:r w:rsidRPr="00B176CF">
              <w:rPr>
                <w:rFonts w:ascii="Arial Narrow" w:hAnsi="Arial Narrow" w:cs="Arial"/>
                <w:sz w:val="20"/>
                <w:szCs w:val="20"/>
              </w:rPr>
              <w:t>Brocklebank</w:t>
            </w:r>
            <w:proofErr w:type="spellEnd"/>
            <w:r w:rsidRPr="00B176CF">
              <w:rPr>
                <w:rFonts w:ascii="Arial Narrow" w:hAnsi="Arial Narrow" w:cs="Arial"/>
                <w:sz w:val="20"/>
                <w:szCs w:val="20"/>
              </w:rPr>
              <w:t xml:space="preserve"> et al. Factor H autoantibody is associated with atypical </w:t>
            </w:r>
            <w:proofErr w:type="spellStart"/>
            <w:r w:rsidRPr="00B176CF">
              <w:rPr>
                <w:rFonts w:ascii="Arial Narrow" w:hAnsi="Arial Narrow" w:cs="Arial"/>
                <w:sz w:val="20"/>
                <w:szCs w:val="20"/>
              </w:rPr>
              <w:t>hemolytic</w:t>
            </w:r>
            <w:proofErr w:type="spellEnd"/>
            <w:r w:rsidRPr="00B176CF">
              <w:rPr>
                <w:rFonts w:ascii="Arial Narrow" w:hAnsi="Arial Narrow" w:cs="Arial"/>
                <w:sz w:val="20"/>
                <w:szCs w:val="20"/>
              </w:rPr>
              <w:t xml:space="preserve"> uremic syndrome in the United Kingdom and Ireland</w:t>
            </w:r>
          </w:p>
        </w:tc>
        <w:tc>
          <w:tcPr>
            <w:tcW w:w="1568" w:type="pct"/>
            <w:shd w:val="clear" w:color="auto" w:fill="FFFFFF" w:themeFill="background1"/>
          </w:tcPr>
          <w:p w:rsidR="00FB0A0F" w:rsidRPr="00B176CF" w:rsidRDefault="00FB0A0F" w:rsidP="002B68A6">
            <w:pPr>
              <w:keepNext/>
              <w:keepLines/>
              <w:rPr>
                <w:rFonts w:ascii="Arial Narrow" w:hAnsi="Arial Narrow" w:cs="Arial"/>
                <w:sz w:val="20"/>
                <w:szCs w:val="20"/>
              </w:rPr>
            </w:pPr>
            <w:r w:rsidRPr="00B176CF">
              <w:rPr>
                <w:rFonts w:ascii="Arial Narrow" w:hAnsi="Arial Narrow" w:cs="Arial"/>
                <w:sz w:val="20"/>
                <w:szCs w:val="20"/>
              </w:rPr>
              <w:t>Kidney International (2017 ) 92, 1261–1271</w:t>
            </w:r>
          </w:p>
        </w:tc>
      </w:tr>
      <w:tr w:rsidR="00FB0A0F" w:rsidRPr="00B176CF" w:rsidTr="00F242E9">
        <w:trPr>
          <w:cantSplit/>
        </w:trPr>
        <w:tc>
          <w:tcPr>
            <w:tcW w:w="848" w:type="pct"/>
            <w:shd w:val="clear" w:color="auto" w:fill="D9D9D9" w:themeFill="background1" w:themeFillShade="D9"/>
          </w:tcPr>
          <w:p w:rsidR="00FB0A0F" w:rsidRPr="00B176CF" w:rsidRDefault="00FB0A0F" w:rsidP="00D97156">
            <w:pPr>
              <w:pStyle w:val="NoSpacing"/>
              <w:keepNext/>
              <w:keepLines/>
              <w:jc w:val="left"/>
              <w:rPr>
                <w:rFonts w:ascii="Arial Narrow" w:hAnsi="Arial Narrow" w:cs="Arial"/>
                <w:sz w:val="20"/>
                <w:szCs w:val="20"/>
              </w:rPr>
            </w:pPr>
            <w:proofErr w:type="spellStart"/>
            <w:r w:rsidRPr="00B176CF">
              <w:rPr>
                <w:rFonts w:ascii="Arial Narrow" w:eastAsia="Calibri" w:hAnsi="Arial Narrow" w:cs="Arial"/>
                <w:sz w:val="20"/>
                <w:szCs w:val="20"/>
              </w:rPr>
              <w:t>Akchurin</w:t>
            </w:r>
            <w:proofErr w:type="spellEnd"/>
            <w:r w:rsidRPr="00B176CF">
              <w:rPr>
                <w:rFonts w:ascii="Arial Narrow" w:eastAsia="Calibri" w:hAnsi="Arial Narrow" w:cs="Arial"/>
                <w:sz w:val="20"/>
                <w:szCs w:val="20"/>
              </w:rPr>
              <w:t xml:space="preserve"> 2015</w:t>
            </w:r>
          </w:p>
        </w:tc>
        <w:tc>
          <w:tcPr>
            <w:tcW w:w="2584" w:type="pct"/>
            <w:shd w:val="clear" w:color="auto" w:fill="D9D9D9" w:themeFill="background1" w:themeFillShade="D9"/>
          </w:tcPr>
          <w:p w:rsidR="00FB0A0F" w:rsidRPr="00B176CF" w:rsidRDefault="00FB0A0F" w:rsidP="00D97156">
            <w:pPr>
              <w:keepNext/>
              <w:keepLines/>
              <w:rPr>
                <w:rFonts w:ascii="Arial Narrow" w:hAnsi="Arial Narrow" w:cs="Arial"/>
                <w:sz w:val="20"/>
                <w:szCs w:val="20"/>
              </w:rPr>
            </w:pPr>
            <w:proofErr w:type="spellStart"/>
            <w:r w:rsidRPr="00B176CF">
              <w:rPr>
                <w:rFonts w:ascii="Arial Narrow" w:hAnsi="Arial Narrow" w:cs="Arial"/>
                <w:sz w:val="20"/>
                <w:szCs w:val="20"/>
              </w:rPr>
              <w:t>Akchurin</w:t>
            </w:r>
            <w:proofErr w:type="spellEnd"/>
            <w:r w:rsidRPr="00B176CF">
              <w:rPr>
                <w:rFonts w:ascii="Arial Narrow" w:hAnsi="Arial Narrow" w:cs="Arial"/>
                <w:sz w:val="20"/>
                <w:szCs w:val="20"/>
              </w:rPr>
              <w:t xml:space="preserve"> et al. </w:t>
            </w:r>
            <w:proofErr w:type="spellStart"/>
            <w:r w:rsidRPr="00B176CF">
              <w:rPr>
                <w:rFonts w:ascii="Arial Narrow" w:hAnsi="Arial Narrow" w:cs="Arial"/>
                <w:sz w:val="20"/>
                <w:szCs w:val="20"/>
              </w:rPr>
              <w:t>Preemptive</w:t>
            </w:r>
            <w:proofErr w:type="spellEnd"/>
            <w:r w:rsidRPr="00B176CF">
              <w:rPr>
                <w:rFonts w:ascii="Arial Narrow" w:hAnsi="Arial Narrow" w:cs="Arial"/>
                <w:sz w:val="20"/>
                <w:szCs w:val="20"/>
              </w:rPr>
              <w:t xml:space="preserve"> use of </w:t>
            </w:r>
            <w:proofErr w:type="spellStart"/>
            <w:r w:rsidRPr="00B176CF">
              <w:rPr>
                <w:rFonts w:ascii="Arial Narrow" w:hAnsi="Arial Narrow" w:cs="Arial"/>
                <w:sz w:val="20"/>
                <w:szCs w:val="20"/>
              </w:rPr>
              <w:t>eculizumab</w:t>
            </w:r>
            <w:proofErr w:type="spellEnd"/>
            <w:r w:rsidRPr="00B176CF">
              <w:rPr>
                <w:rFonts w:ascii="Arial Narrow" w:hAnsi="Arial Narrow" w:cs="Arial"/>
                <w:sz w:val="20"/>
                <w:szCs w:val="20"/>
              </w:rPr>
              <w:t xml:space="preserve"> for living-donor kidney transplantation in a child with atypical </w:t>
            </w:r>
            <w:proofErr w:type="spellStart"/>
            <w:r w:rsidRPr="00B176CF">
              <w:rPr>
                <w:rFonts w:ascii="Arial Narrow" w:hAnsi="Arial Narrow" w:cs="Arial"/>
                <w:sz w:val="20"/>
                <w:szCs w:val="20"/>
              </w:rPr>
              <w:t>hemolytic</w:t>
            </w:r>
            <w:proofErr w:type="spellEnd"/>
            <w:r w:rsidRPr="00B176CF">
              <w:rPr>
                <w:rFonts w:ascii="Arial Narrow" w:hAnsi="Arial Narrow" w:cs="Arial"/>
                <w:sz w:val="20"/>
                <w:szCs w:val="20"/>
              </w:rPr>
              <w:t xml:space="preserve"> uremic syndrome</w:t>
            </w:r>
          </w:p>
        </w:tc>
        <w:tc>
          <w:tcPr>
            <w:tcW w:w="1568" w:type="pct"/>
            <w:shd w:val="clear" w:color="auto" w:fill="D9D9D9" w:themeFill="background1" w:themeFillShade="D9"/>
          </w:tcPr>
          <w:p w:rsidR="00FB0A0F" w:rsidRPr="00B176CF" w:rsidRDefault="00FB0A0F" w:rsidP="00D97156">
            <w:pPr>
              <w:keepNext/>
              <w:keepLines/>
              <w:rPr>
                <w:rFonts w:ascii="Arial Narrow" w:hAnsi="Arial Narrow" w:cs="Arial"/>
                <w:sz w:val="20"/>
                <w:szCs w:val="20"/>
              </w:rPr>
            </w:pPr>
            <w:r w:rsidRPr="00B176CF">
              <w:rPr>
                <w:rFonts w:ascii="Arial Narrow" w:hAnsi="Arial Narrow" w:cs="Arial"/>
                <w:sz w:val="20"/>
                <w:szCs w:val="20"/>
              </w:rPr>
              <w:t>Einstein J. Biol. Med. (2015) 30:22-25</w:t>
            </w:r>
          </w:p>
        </w:tc>
      </w:tr>
      <w:tr w:rsidR="00FB0A0F" w:rsidRPr="00B176CF" w:rsidTr="00647F3A">
        <w:trPr>
          <w:cantSplit/>
        </w:trPr>
        <w:tc>
          <w:tcPr>
            <w:tcW w:w="848" w:type="pct"/>
            <w:shd w:val="clear" w:color="auto" w:fill="D9D9D9" w:themeFill="background1" w:themeFillShade="D9"/>
          </w:tcPr>
          <w:p w:rsidR="00FB0A0F" w:rsidRPr="00B176CF" w:rsidRDefault="00FB0A0F" w:rsidP="002B68A6">
            <w:pPr>
              <w:pStyle w:val="NoSpacing"/>
              <w:rPr>
                <w:rFonts w:ascii="Arial Narrow" w:hAnsi="Arial Narrow" w:cs="Arial"/>
                <w:sz w:val="20"/>
                <w:szCs w:val="20"/>
              </w:rPr>
            </w:pPr>
            <w:r w:rsidRPr="00B176CF">
              <w:rPr>
                <w:rFonts w:ascii="Arial Narrow" w:hAnsi="Arial Narrow" w:cs="Arial"/>
                <w:sz w:val="20"/>
                <w:szCs w:val="20"/>
              </w:rPr>
              <w:t>Riddell 2016</w:t>
            </w:r>
          </w:p>
        </w:tc>
        <w:tc>
          <w:tcPr>
            <w:tcW w:w="2584" w:type="pct"/>
            <w:shd w:val="clear" w:color="auto" w:fill="D9D9D9" w:themeFill="background1" w:themeFillShade="D9"/>
          </w:tcPr>
          <w:p w:rsidR="00FB0A0F" w:rsidRPr="00B176CF" w:rsidRDefault="00FB0A0F" w:rsidP="002B68A6">
            <w:pPr>
              <w:keepNext/>
              <w:rPr>
                <w:rFonts w:ascii="Arial Narrow" w:hAnsi="Arial Narrow" w:cs="Arial"/>
                <w:sz w:val="20"/>
                <w:szCs w:val="20"/>
              </w:rPr>
            </w:pPr>
            <w:r w:rsidRPr="00B176CF">
              <w:rPr>
                <w:rFonts w:ascii="Arial Narrow" w:hAnsi="Arial Narrow" w:cs="Arial"/>
                <w:sz w:val="20"/>
                <w:szCs w:val="20"/>
              </w:rPr>
              <w:t xml:space="preserve">Riddell A., </w:t>
            </w:r>
            <w:proofErr w:type="spellStart"/>
            <w:r w:rsidRPr="00B176CF">
              <w:rPr>
                <w:rFonts w:ascii="Arial Narrow" w:hAnsi="Arial Narrow" w:cs="Arial"/>
                <w:sz w:val="20"/>
                <w:szCs w:val="20"/>
              </w:rPr>
              <w:t>Goodship</w:t>
            </w:r>
            <w:proofErr w:type="spellEnd"/>
            <w:r w:rsidRPr="00B176CF">
              <w:rPr>
                <w:rFonts w:ascii="Arial Narrow" w:hAnsi="Arial Narrow" w:cs="Arial"/>
                <w:sz w:val="20"/>
                <w:szCs w:val="20"/>
              </w:rPr>
              <w:t xml:space="preserve"> T, Bingham C. Prevention of recurrence of </w:t>
            </w:r>
            <w:proofErr w:type="spellStart"/>
            <w:r w:rsidRPr="00B176CF">
              <w:rPr>
                <w:rFonts w:ascii="Arial Narrow" w:hAnsi="Arial Narrow" w:cs="Arial"/>
                <w:sz w:val="20"/>
                <w:szCs w:val="20"/>
              </w:rPr>
              <w:t>aHUS</w:t>
            </w:r>
            <w:proofErr w:type="spellEnd"/>
            <w:r w:rsidRPr="00B176CF">
              <w:rPr>
                <w:rFonts w:ascii="Arial Narrow" w:hAnsi="Arial Narrow" w:cs="Arial"/>
                <w:sz w:val="20"/>
                <w:szCs w:val="20"/>
              </w:rPr>
              <w:t xml:space="preserve"> post renal </w:t>
            </w:r>
            <w:proofErr w:type="spellStart"/>
            <w:r w:rsidRPr="00B176CF">
              <w:rPr>
                <w:rFonts w:ascii="Arial Narrow" w:hAnsi="Arial Narrow" w:cs="Arial"/>
                <w:sz w:val="20"/>
                <w:szCs w:val="20"/>
              </w:rPr>
              <w:t>trasplant</w:t>
            </w:r>
            <w:proofErr w:type="spellEnd"/>
            <w:r w:rsidRPr="00B176CF">
              <w:rPr>
                <w:rFonts w:ascii="Arial Narrow" w:hAnsi="Arial Narrow" w:cs="Arial"/>
                <w:sz w:val="20"/>
                <w:szCs w:val="20"/>
              </w:rPr>
              <w:t xml:space="preserve"> with the use of higher-dose </w:t>
            </w:r>
            <w:proofErr w:type="spellStart"/>
            <w:r w:rsidRPr="00B176CF">
              <w:rPr>
                <w:rFonts w:ascii="Arial Narrow" w:hAnsi="Arial Narrow" w:cs="Arial"/>
                <w:sz w:val="20"/>
                <w:szCs w:val="20"/>
              </w:rPr>
              <w:t>eculizumab</w:t>
            </w:r>
            <w:proofErr w:type="spellEnd"/>
            <w:r w:rsidRPr="00B176CF">
              <w:rPr>
                <w:rFonts w:ascii="Arial Narrow" w:hAnsi="Arial Narrow" w:cs="Arial"/>
                <w:sz w:val="20"/>
                <w:szCs w:val="20"/>
              </w:rPr>
              <w:t xml:space="preserve">. </w:t>
            </w:r>
          </w:p>
        </w:tc>
        <w:tc>
          <w:tcPr>
            <w:tcW w:w="1568" w:type="pct"/>
            <w:shd w:val="clear" w:color="auto" w:fill="D9D9D9" w:themeFill="background1" w:themeFillShade="D9"/>
          </w:tcPr>
          <w:p w:rsidR="00FB0A0F" w:rsidRPr="00B176CF" w:rsidRDefault="00FB0A0F" w:rsidP="002B68A6">
            <w:pPr>
              <w:keepNext/>
              <w:rPr>
                <w:rFonts w:ascii="Arial Narrow" w:hAnsi="Arial Narrow" w:cs="Arial"/>
                <w:sz w:val="20"/>
                <w:szCs w:val="20"/>
              </w:rPr>
            </w:pPr>
            <w:proofErr w:type="spellStart"/>
            <w:r w:rsidRPr="00B176CF">
              <w:rPr>
                <w:rFonts w:ascii="Arial Narrow" w:hAnsi="Arial Narrow" w:cs="Arial"/>
                <w:sz w:val="20"/>
                <w:szCs w:val="20"/>
              </w:rPr>
              <w:t>Clin</w:t>
            </w:r>
            <w:proofErr w:type="spellEnd"/>
            <w:r w:rsidRPr="00B176CF">
              <w:rPr>
                <w:rFonts w:ascii="Arial Narrow" w:hAnsi="Arial Narrow" w:cs="Arial"/>
                <w:sz w:val="20"/>
                <w:szCs w:val="20"/>
              </w:rPr>
              <w:t xml:space="preserve">. </w:t>
            </w:r>
            <w:proofErr w:type="spellStart"/>
            <w:r w:rsidRPr="00B176CF">
              <w:rPr>
                <w:rFonts w:ascii="Arial Narrow" w:hAnsi="Arial Narrow" w:cs="Arial"/>
                <w:sz w:val="20"/>
                <w:szCs w:val="20"/>
              </w:rPr>
              <w:t>Nephrol</w:t>
            </w:r>
            <w:proofErr w:type="spellEnd"/>
            <w:r w:rsidRPr="00B176CF">
              <w:rPr>
                <w:rFonts w:ascii="Arial Narrow" w:hAnsi="Arial Narrow" w:cs="Arial"/>
                <w:sz w:val="20"/>
                <w:szCs w:val="20"/>
              </w:rPr>
              <w:t>. 86, 200–202</w:t>
            </w:r>
          </w:p>
        </w:tc>
      </w:tr>
      <w:tr w:rsidR="00FB0A0F" w:rsidRPr="00B176CF" w:rsidTr="00647F3A">
        <w:trPr>
          <w:cantSplit/>
        </w:trPr>
        <w:tc>
          <w:tcPr>
            <w:tcW w:w="848" w:type="pct"/>
            <w:shd w:val="clear" w:color="auto" w:fill="D9D9D9" w:themeFill="background1" w:themeFillShade="D9"/>
          </w:tcPr>
          <w:p w:rsidR="00FB0A0F" w:rsidRPr="00B176CF" w:rsidRDefault="00FB0A0F" w:rsidP="002B68A6">
            <w:pPr>
              <w:pStyle w:val="NoSpacing"/>
              <w:keepNext/>
              <w:keepLines/>
              <w:jc w:val="left"/>
              <w:rPr>
                <w:rFonts w:ascii="Arial Narrow" w:hAnsi="Arial Narrow" w:cs="Arial"/>
                <w:sz w:val="20"/>
                <w:szCs w:val="20"/>
              </w:rPr>
            </w:pPr>
            <w:proofErr w:type="spellStart"/>
            <w:r w:rsidRPr="00B176CF">
              <w:rPr>
                <w:rFonts w:ascii="Arial Narrow" w:eastAsia="Calibri" w:hAnsi="Arial Narrow" w:cs="Arial"/>
                <w:sz w:val="20"/>
                <w:szCs w:val="20"/>
              </w:rPr>
              <w:t>Bouatou</w:t>
            </w:r>
            <w:proofErr w:type="spellEnd"/>
            <w:r w:rsidRPr="00B176CF">
              <w:rPr>
                <w:rFonts w:ascii="Arial Narrow" w:eastAsia="Calibri" w:hAnsi="Arial Narrow" w:cs="Arial"/>
                <w:sz w:val="20"/>
                <w:szCs w:val="20"/>
              </w:rPr>
              <w:t xml:space="preserve"> 2015 </w:t>
            </w:r>
            <w:r w:rsidRPr="00B176CF">
              <w:rPr>
                <w:rFonts w:ascii="Arial Narrow" w:eastAsia="Calibri" w:hAnsi="Arial Narrow" w:cs="Arial"/>
                <w:sz w:val="20"/>
                <w:szCs w:val="20"/>
                <w:vertAlign w:val="superscript"/>
              </w:rPr>
              <w:t>a</w:t>
            </w:r>
          </w:p>
        </w:tc>
        <w:tc>
          <w:tcPr>
            <w:tcW w:w="2584" w:type="pct"/>
            <w:shd w:val="clear" w:color="auto" w:fill="D9D9D9" w:themeFill="background1" w:themeFillShade="D9"/>
          </w:tcPr>
          <w:p w:rsidR="00FB0A0F" w:rsidRPr="00B176CF" w:rsidRDefault="00FB0A0F" w:rsidP="002B68A6">
            <w:pPr>
              <w:keepNext/>
              <w:keepLines/>
              <w:rPr>
                <w:rFonts w:ascii="Arial Narrow" w:hAnsi="Arial Narrow" w:cs="Arial"/>
                <w:sz w:val="20"/>
                <w:szCs w:val="20"/>
              </w:rPr>
            </w:pPr>
            <w:proofErr w:type="spellStart"/>
            <w:r w:rsidRPr="00B176CF">
              <w:rPr>
                <w:rFonts w:ascii="Arial Narrow" w:hAnsi="Arial Narrow" w:cs="Arial"/>
                <w:sz w:val="20"/>
                <w:szCs w:val="20"/>
              </w:rPr>
              <w:t>Bouatou</w:t>
            </w:r>
            <w:proofErr w:type="spellEnd"/>
            <w:r w:rsidRPr="00B176CF">
              <w:rPr>
                <w:rFonts w:ascii="Arial Narrow" w:hAnsi="Arial Narrow" w:cs="Arial"/>
                <w:sz w:val="20"/>
                <w:szCs w:val="20"/>
              </w:rPr>
              <w:t xml:space="preserve"> at al. Atypical </w:t>
            </w:r>
            <w:proofErr w:type="spellStart"/>
            <w:r w:rsidRPr="00B176CF">
              <w:rPr>
                <w:rFonts w:ascii="Arial Narrow" w:hAnsi="Arial Narrow" w:cs="Arial"/>
                <w:sz w:val="20"/>
                <w:szCs w:val="20"/>
              </w:rPr>
              <w:t>Hemolytic</w:t>
            </w:r>
            <w:proofErr w:type="spellEnd"/>
            <w:r w:rsidRPr="00B176CF">
              <w:rPr>
                <w:rFonts w:ascii="Arial Narrow" w:hAnsi="Arial Narrow" w:cs="Arial"/>
                <w:sz w:val="20"/>
                <w:szCs w:val="20"/>
              </w:rPr>
              <w:t xml:space="preserve"> Uremic Syndrome recurrence after renal transplantation</w:t>
            </w:r>
          </w:p>
        </w:tc>
        <w:tc>
          <w:tcPr>
            <w:tcW w:w="1568" w:type="pct"/>
            <w:shd w:val="clear" w:color="auto" w:fill="D9D9D9" w:themeFill="background1" w:themeFillShade="D9"/>
          </w:tcPr>
          <w:p w:rsidR="00FB0A0F" w:rsidRPr="00B176CF" w:rsidRDefault="00FB0A0F" w:rsidP="002B68A6">
            <w:pPr>
              <w:keepNext/>
              <w:keepLines/>
              <w:rPr>
                <w:rFonts w:ascii="Arial Narrow" w:hAnsi="Arial Narrow" w:cs="Arial"/>
                <w:sz w:val="20"/>
                <w:szCs w:val="20"/>
              </w:rPr>
            </w:pPr>
            <w:r w:rsidRPr="00B176CF">
              <w:rPr>
                <w:rFonts w:ascii="Arial Narrow" w:hAnsi="Arial Narrow" w:cs="Arial"/>
                <w:sz w:val="20"/>
                <w:szCs w:val="20"/>
              </w:rPr>
              <w:t>Transplantation Direct 2015; 1 (2):1-4.</w:t>
            </w:r>
          </w:p>
        </w:tc>
      </w:tr>
      <w:tr w:rsidR="00FB0A0F" w:rsidRPr="00B176CF" w:rsidTr="00647F3A">
        <w:trPr>
          <w:cantSplit/>
        </w:trPr>
        <w:tc>
          <w:tcPr>
            <w:tcW w:w="848" w:type="pct"/>
            <w:shd w:val="clear" w:color="auto" w:fill="D9D9D9" w:themeFill="background1" w:themeFillShade="D9"/>
          </w:tcPr>
          <w:p w:rsidR="00FB0A0F" w:rsidRPr="00B176CF" w:rsidRDefault="00FB0A0F" w:rsidP="002B68A6">
            <w:pPr>
              <w:pStyle w:val="NoSpacing"/>
              <w:keepNext/>
              <w:keepLines/>
              <w:jc w:val="left"/>
              <w:rPr>
                <w:rFonts w:ascii="Arial Narrow" w:hAnsi="Arial Narrow" w:cs="Arial"/>
                <w:sz w:val="20"/>
                <w:szCs w:val="20"/>
                <w:vertAlign w:val="superscript"/>
              </w:rPr>
            </w:pPr>
            <w:proofErr w:type="spellStart"/>
            <w:r w:rsidRPr="00B176CF">
              <w:rPr>
                <w:rFonts w:ascii="Arial Narrow" w:hAnsi="Arial Narrow" w:cs="Arial"/>
                <w:sz w:val="20"/>
                <w:szCs w:val="20"/>
              </w:rPr>
              <w:t>Coppo</w:t>
            </w:r>
            <w:proofErr w:type="spellEnd"/>
            <w:r w:rsidRPr="00B176CF">
              <w:rPr>
                <w:rFonts w:ascii="Arial Narrow" w:hAnsi="Arial Narrow" w:cs="Arial"/>
                <w:sz w:val="20"/>
                <w:szCs w:val="20"/>
              </w:rPr>
              <w:t xml:space="preserve"> 2016 </w:t>
            </w:r>
            <w:r w:rsidRPr="00B176CF">
              <w:rPr>
                <w:rFonts w:ascii="Arial Narrow" w:hAnsi="Arial Narrow" w:cs="Arial"/>
                <w:sz w:val="20"/>
                <w:szCs w:val="20"/>
                <w:vertAlign w:val="superscript"/>
              </w:rPr>
              <w:t>a</w:t>
            </w:r>
          </w:p>
        </w:tc>
        <w:tc>
          <w:tcPr>
            <w:tcW w:w="2584" w:type="pct"/>
            <w:shd w:val="clear" w:color="auto" w:fill="D9D9D9" w:themeFill="background1" w:themeFillShade="D9"/>
          </w:tcPr>
          <w:p w:rsidR="00FB0A0F" w:rsidRPr="00B176CF" w:rsidRDefault="00FB0A0F" w:rsidP="002B68A6">
            <w:pPr>
              <w:keepNext/>
              <w:keepLines/>
              <w:rPr>
                <w:rFonts w:ascii="Arial Narrow" w:hAnsi="Arial Narrow" w:cs="Arial"/>
                <w:sz w:val="20"/>
                <w:szCs w:val="20"/>
              </w:rPr>
            </w:pPr>
            <w:proofErr w:type="spellStart"/>
            <w:r w:rsidRPr="00B176CF">
              <w:rPr>
                <w:rFonts w:ascii="Arial Narrow" w:hAnsi="Arial Narrow" w:cs="Arial"/>
                <w:sz w:val="20"/>
                <w:szCs w:val="20"/>
              </w:rPr>
              <w:t>Coppo</w:t>
            </w:r>
            <w:proofErr w:type="spellEnd"/>
            <w:r w:rsidRPr="00B176CF">
              <w:rPr>
                <w:rFonts w:ascii="Arial Narrow" w:hAnsi="Arial Narrow" w:cs="Arial"/>
                <w:sz w:val="20"/>
                <w:szCs w:val="20"/>
              </w:rPr>
              <w:t xml:space="preserve"> et al. Liver transplantation for </w:t>
            </w:r>
            <w:proofErr w:type="spellStart"/>
            <w:r w:rsidRPr="00B176CF">
              <w:rPr>
                <w:rFonts w:ascii="Arial Narrow" w:hAnsi="Arial Narrow" w:cs="Arial"/>
                <w:sz w:val="20"/>
                <w:szCs w:val="20"/>
              </w:rPr>
              <w:t>aHUS</w:t>
            </w:r>
            <w:proofErr w:type="spellEnd"/>
            <w:r w:rsidRPr="00B176CF">
              <w:rPr>
                <w:rFonts w:ascii="Arial Narrow" w:hAnsi="Arial Narrow" w:cs="Arial"/>
                <w:sz w:val="20"/>
                <w:szCs w:val="20"/>
              </w:rPr>
              <w:t xml:space="preserve">: still needed in the </w:t>
            </w:r>
            <w:proofErr w:type="spellStart"/>
            <w:r w:rsidRPr="00B176CF">
              <w:rPr>
                <w:rFonts w:ascii="Arial Narrow" w:hAnsi="Arial Narrow" w:cs="Arial"/>
                <w:sz w:val="20"/>
                <w:szCs w:val="20"/>
              </w:rPr>
              <w:t>eculizumab</w:t>
            </w:r>
            <w:proofErr w:type="spellEnd"/>
            <w:r w:rsidRPr="00B176CF">
              <w:rPr>
                <w:rFonts w:ascii="Arial Narrow" w:hAnsi="Arial Narrow" w:cs="Arial"/>
                <w:sz w:val="20"/>
                <w:szCs w:val="20"/>
              </w:rPr>
              <w:t xml:space="preserve"> era?</w:t>
            </w:r>
          </w:p>
        </w:tc>
        <w:tc>
          <w:tcPr>
            <w:tcW w:w="1568" w:type="pct"/>
            <w:shd w:val="clear" w:color="auto" w:fill="D9D9D9" w:themeFill="background1" w:themeFillShade="D9"/>
          </w:tcPr>
          <w:p w:rsidR="00FB0A0F" w:rsidRPr="00B176CF" w:rsidRDefault="00FB0A0F" w:rsidP="002B68A6">
            <w:pPr>
              <w:keepNext/>
              <w:keepLines/>
              <w:rPr>
                <w:rFonts w:ascii="Arial Narrow" w:hAnsi="Arial Narrow" w:cs="Arial"/>
                <w:sz w:val="20"/>
                <w:szCs w:val="20"/>
              </w:rPr>
            </w:pPr>
            <w:proofErr w:type="spellStart"/>
            <w:r w:rsidRPr="00B176CF">
              <w:rPr>
                <w:rFonts w:ascii="Arial Narrow" w:hAnsi="Arial Narrow" w:cs="Arial"/>
                <w:sz w:val="20"/>
                <w:szCs w:val="20"/>
              </w:rPr>
              <w:t>Pediatr</w:t>
            </w:r>
            <w:proofErr w:type="spellEnd"/>
            <w:r w:rsidRPr="00B176CF">
              <w:rPr>
                <w:rFonts w:ascii="Arial Narrow" w:hAnsi="Arial Narrow" w:cs="Arial"/>
                <w:sz w:val="20"/>
                <w:szCs w:val="20"/>
              </w:rPr>
              <w:t xml:space="preserve"> </w:t>
            </w:r>
            <w:proofErr w:type="spellStart"/>
            <w:r w:rsidRPr="00B176CF">
              <w:rPr>
                <w:rFonts w:ascii="Arial Narrow" w:hAnsi="Arial Narrow" w:cs="Arial"/>
                <w:sz w:val="20"/>
                <w:szCs w:val="20"/>
              </w:rPr>
              <w:t>Nephrol</w:t>
            </w:r>
            <w:proofErr w:type="spellEnd"/>
            <w:r w:rsidRPr="00B176CF">
              <w:rPr>
                <w:rFonts w:ascii="Arial Narrow" w:hAnsi="Arial Narrow" w:cs="Arial"/>
                <w:sz w:val="20"/>
                <w:szCs w:val="20"/>
              </w:rPr>
              <w:t xml:space="preserve"> (2016) 31, 759–768</w:t>
            </w:r>
          </w:p>
        </w:tc>
      </w:tr>
      <w:tr w:rsidR="00FB0A0F" w:rsidRPr="00B176CF" w:rsidTr="00647F3A">
        <w:trPr>
          <w:cantSplit/>
        </w:trPr>
        <w:tc>
          <w:tcPr>
            <w:tcW w:w="848" w:type="pct"/>
            <w:shd w:val="clear" w:color="auto" w:fill="D9D9D9" w:themeFill="background1" w:themeFillShade="D9"/>
          </w:tcPr>
          <w:p w:rsidR="00FB0A0F" w:rsidRPr="00B176CF" w:rsidRDefault="00FB0A0F" w:rsidP="002B68A6">
            <w:pPr>
              <w:rPr>
                <w:rFonts w:ascii="Arial Narrow" w:hAnsi="Arial Narrow"/>
                <w:sz w:val="20"/>
                <w:szCs w:val="20"/>
              </w:rPr>
            </w:pPr>
            <w:r w:rsidRPr="00B176CF">
              <w:rPr>
                <w:rFonts w:ascii="Arial Narrow" w:hAnsi="Arial Narrow"/>
                <w:sz w:val="20"/>
                <w:szCs w:val="20"/>
              </w:rPr>
              <w:t>Mallet 2015</w:t>
            </w:r>
          </w:p>
        </w:tc>
        <w:tc>
          <w:tcPr>
            <w:tcW w:w="2584" w:type="pct"/>
            <w:shd w:val="clear" w:color="auto" w:fill="D9D9D9" w:themeFill="background1" w:themeFillShade="D9"/>
          </w:tcPr>
          <w:p w:rsidR="00FB0A0F" w:rsidRPr="00B176CF" w:rsidRDefault="00FB0A0F" w:rsidP="002B68A6">
            <w:pPr>
              <w:rPr>
                <w:rFonts w:ascii="Arial Narrow" w:hAnsi="Arial Narrow"/>
                <w:sz w:val="20"/>
                <w:szCs w:val="20"/>
              </w:rPr>
            </w:pPr>
            <w:proofErr w:type="spellStart"/>
            <w:r w:rsidRPr="00B176CF">
              <w:rPr>
                <w:rFonts w:ascii="Arial Narrow" w:hAnsi="Arial Narrow"/>
                <w:sz w:val="20"/>
                <w:szCs w:val="20"/>
              </w:rPr>
              <w:t>Mallett</w:t>
            </w:r>
            <w:proofErr w:type="spellEnd"/>
            <w:r w:rsidRPr="00B176CF">
              <w:rPr>
                <w:rFonts w:ascii="Arial Narrow" w:hAnsi="Arial Narrow"/>
                <w:sz w:val="20"/>
                <w:szCs w:val="20"/>
              </w:rPr>
              <w:t xml:space="preserve"> A, Hughes P, et al. Atypical haemolytic uraemic syndrome treated with the complement inhibitor </w:t>
            </w:r>
            <w:proofErr w:type="spellStart"/>
            <w:r w:rsidRPr="00B176CF">
              <w:rPr>
                <w:rFonts w:ascii="Arial Narrow" w:hAnsi="Arial Narrow"/>
                <w:sz w:val="20"/>
                <w:szCs w:val="20"/>
              </w:rPr>
              <w:t>eculizumab</w:t>
            </w:r>
            <w:proofErr w:type="spellEnd"/>
            <w:r w:rsidRPr="00B176CF">
              <w:rPr>
                <w:rFonts w:ascii="Arial Narrow" w:hAnsi="Arial Narrow"/>
                <w:sz w:val="20"/>
                <w:szCs w:val="20"/>
              </w:rPr>
              <w:t>: the experience of the Australian compassionate access cohort.</w:t>
            </w:r>
          </w:p>
        </w:tc>
        <w:tc>
          <w:tcPr>
            <w:tcW w:w="1568" w:type="pct"/>
            <w:shd w:val="clear" w:color="auto" w:fill="D9D9D9" w:themeFill="background1" w:themeFillShade="D9"/>
          </w:tcPr>
          <w:p w:rsidR="00FB0A0F" w:rsidRPr="00B176CF" w:rsidRDefault="00FB0A0F" w:rsidP="002B68A6">
            <w:pPr>
              <w:rPr>
                <w:rFonts w:ascii="Arial Narrow" w:hAnsi="Arial Narrow"/>
                <w:sz w:val="20"/>
                <w:szCs w:val="20"/>
              </w:rPr>
            </w:pPr>
            <w:r w:rsidRPr="00B176CF">
              <w:rPr>
                <w:rFonts w:ascii="Arial Narrow" w:hAnsi="Arial Narrow"/>
                <w:sz w:val="20"/>
                <w:szCs w:val="20"/>
              </w:rPr>
              <w:t>Intern. Med. J. 2015; 45 (10):1054-65.</w:t>
            </w:r>
          </w:p>
        </w:tc>
      </w:tr>
      <w:tr w:rsidR="00FB0A0F" w:rsidRPr="00B176CF" w:rsidTr="00647F3A">
        <w:trPr>
          <w:cantSplit/>
        </w:trPr>
        <w:tc>
          <w:tcPr>
            <w:tcW w:w="848" w:type="pct"/>
            <w:shd w:val="clear" w:color="auto" w:fill="D9D9D9" w:themeFill="background1" w:themeFillShade="D9"/>
          </w:tcPr>
          <w:p w:rsidR="00FB0A0F" w:rsidRPr="00B176CF" w:rsidRDefault="00FB0A0F" w:rsidP="002B68A6">
            <w:pPr>
              <w:pStyle w:val="NoSpacing"/>
              <w:rPr>
                <w:rFonts w:ascii="Arial Narrow" w:hAnsi="Arial Narrow" w:cs="Arial"/>
                <w:sz w:val="20"/>
                <w:szCs w:val="20"/>
              </w:rPr>
            </w:pPr>
            <w:proofErr w:type="spellStart"/>
            <w:r w:rsidRPr="00B176CF">
              <w:rPr>
                <w:rFonts w:ascii="Arial Narrow" w:hAnsi="Arial Narrow" w:cs="Arial"/>
                <w:sz w:val="20"/>
                <w:szCs w:val="20"/>
              </w:rPr>
              <w:t>Masengu</w:t>
            </w:r>
            <w:proofErr w:type="spellEnd"/>
            <w:r w:rsidRPr="00B176CF">
              <w:rPr>
                <w:rFonts w:ascii="Arial Narrow" w:hAnsi="Arial Narrow" w:cs="Arial"/>
                <w:sz w:val="20"/>
                <w:szCs w:val="20"/>
              </w:rPr>
              <w:t xml:space="preserve"> 2015</w:t>
            </w:r>
          </w:p>
        </w:tc>
        <w:tc>
          <w:tcPr>
            <w:tcW w:w="2584" w:type="pct"/>
            <w:shd w:val="clear" w:color="auto" w:fill="D9D9D9" w:themeFill="background1" w:themeFillShade="D9"/>
          </w:tcPr>
          <w:p w:rsidR="00FB0A0F" w:rsidRPr="00B176CF" w:rsidRDefault="00FB0A0F" w:rsidP="002B68A6">
            <w:pPr>
              <w:keepNext/>
              <w:rPr>
                <w:rFonts w:ascii="Arial Narrow" w:hAnsi="Arial Narrow" w:cs="Arial"/>
                <w:sz w:val="20"/>
                <w:szCs w:val="20"/>
              </w:rPr>
            </w:pPr>
            <w:proofErr w:type="spellStart"/>
            <w:r w:rsidRPr="00B176CF">
              <w:rPr>
                <w:rFonts w:ascii="Arial Narrow" w:hAnsi="Arial Narrow" w:cs="Arial"/>
                <w:sz w:val="20"/>
                <w:szCs w:val="20"/>
              </w:rPr>
              <w:t>Masengu</w:t>
            </w:r>
            <w:proofErr w:type="spellEnd"/>
            <w:r w:rsidRPr="00B176CF">
              <w:rPr>
                <w:rFonts w:ascii="Arial Narrow" w:hAnsi="Arial Narrow" w:cs="Arial"/>
                <w:sz w:val="20"/>
                <w:szCs w:val="20"/>
              </w:rPr>
              <w:t xml:space="preserve"> A, Courtney A. </w:t>
            </w:r>
            <w:proofErr w:type="spellStart"/>
            <w:r w:rsidRPr="00B176CF">
              <w:rPr>
                <w:rFonts w:ascii="Arial Narrow" w:hAnsi="Arial Narrow" w:cs="Arial"/>
                <w:sz w:val="20"/>
                <w:szCs w:val="20"/>
              </w:rPr>
              <w:t>Eculizumab</w:t>
            </w:r>
            <w:proofErr w:type="spellEnd"/>
            <w:r w:rsidRPr="00B176CF">
              <w:rPr>
                <w:rFonts w:ascii="Arial Narrow" w:hAnsi="Arial Narrow" w:cs="Arial"/>
                <w:sz w:val="20"/>
                <w:szCs w:val="20"/>
              </w:rPr>
              <w:t xml:space="preserve"> for </w:t>
            </w:r>
            <w:proofErr w:type="spellStart"/>
            <w:r w:rsidRPr="00B176CF">
              <w:rPr>
                <w:rFonts w:ascii="Arial Narrow" w:hAnsi="Arial Narrow" w:cs="Arial"/>
                <w:sz w:val="20"/>
                <w:szCs w:val="20"/>
              </w:rPr>
              <w:t>aHUS</w:t>
            </w:r>
            <w:proofErr w:type="spellEnd"/>
            <w:r w:rsidRPr="00B176CF">
              <w:rPr>
                <w:rFonts w:ascii="Arial Narrow" w:hAnsi="Arial Narrow" w:cs="Arial"/>
                <w:sz w:val="20"/>
                <w:szCs w:val="20"/>
              </w:rPr>
              <w:t xml:space="preserve"> post transplantation: when and how to stop a good thing? </w:t>
            </w:r>
          </w:p>
        </w:tc>
        <w:tc>
          <w:tcPr>
            <w:tcW w:w="1568" w:type="pct"/>
            <w:shd w:val="clear" w:color="auto" w:fill="D9D9D9" w:themeFill="background1" w:themeFillShade="D9"/>
          </w:tcPr>
          <w:p w:rsidR="00FB0A0F" w:rsidRPr="00B176CF" w:rsidRDefault="00FB0A0F" w:rsidP="002B68A6">
            <w:pPr>
              <w:keepNext/>
              <w:rPr>
                <w:rFonts w:ascii="Arial Narrow" w:hAnsi="Arial Narrow" w:cs="Arial"/>
                <w:sz w:val="20"/>
                <w:szCs w:val="20"/>
              </w:rPr>
            </w:pPr>
            <w:proofErr w:type="spellStart"/>
            <w:r w:rsidRPr="00B176CF">
              <w:rPr>
                <w:rFonts w:ascii="Arial Narrow" w:hAnsi="Arial Narrow" w:cs="Arial"/>
                <w:sz w:val="20"/>
                <w:szCs w:val="20"/>
              </w:rPr>
              <w:t>Transpl</w:t>
            </w:r>
            <w:proofErr w:type="spellEnd"/>
            <w:r w:rsidRPr="00B176CF">
              <w:rPr>
                <w:rFonts w:ascii="Arial Narrow" w:hAnsi="Arial Narrow" w:cs="Arial"/>
                <w:sz w:val="20"/>
                <w:szCs w:val="20"/>
              </w:rPr>
              <w:t>. Int. (2015). doi:10.1111/tri.12566</w:t>
            </w:r>
          </w:p>
        </w:tc>
      </w:tr>
      <w:tr w:rsidR="00FB0A0F" w:rsidRPr="00B176CF" w:rsidTr="00647F3A">
        <w:trPr>
          <w:cantSplit/>
          <w:trHeight w:val="493"/>
        </w:trPr>
        <w:tc>
          <w:tcPr>
            <w:tcW w:w="848" w:type="pct"/>
            <w:shd w:val="clear" w:color="auto" w:fill="D9D9D9" w:themeFill="background1" w:themeFillShade="D9"/>
          </w:tcPr>
          <w:p w:rsidR="00FB0A0F" w:rsidRPr="00B176CF" w:rsidRDefault="00FB0A0F" w:rsidP="002B68A6">
            <w:pPr>
              <w:pStyle w:val="NoSpacing"/>
              <w:keepNext/>
              <w:keepLines/>
              <w:jc w:val="left"/>
              <w:rPr>
                <w:rFonts w:ascii="Arial Narrow" w:hAnsi="Arial Narrow" w:cs="Arial"/>
                <w:sz w:val="20"/>
                <w:szCs w:val="20"/>
              </w:rPr>
            </w:pPr>
            <w:proofErr w:type="spellStart"/>
            <w:r w:rsidRPr="00B176CF">
              <w:rPr>
                <w:rFonts w:ascii="Arial Narrow" w:eastAsia="Calibri" w:hAnsi="Arial Narrow" w:cs="Arial"/>
                <w:sz w:val="20"/>
                <w:szCs w:val="20"/>
              </w:rPr>
              <w:t>Parikova</w:t>
            </w:r>
            <w:proofErr w:type="spellEnd"/>
            <w:r w:rsidRPr="00B176CF">
              <w:rPr>
                <w:rFonts w:ascii="Arial Narrow" w:eastAsia="Calibri" w:hAnsi="Arial Narrow" w:cs="Arial"/>
                <w:sz w:val="20"/>
                <w:szCs w:val="20"/>
              </w:rPr>
              <w:t xml:space="preserve"> 2015</w:t>
            </w:r>
          </w:p>
        </w:tc>
        <w:tc>
          <w:tcPr>
            <w:tcW w:w="2584" w:type="pct"/>
            <w:shd w:val="clear" w:color="auto" w:fill="D9D9D9" w:themeFill="background1" w:themeFillShade="D9"/>
          </w:tcPr>
          <w:p w:rsidR="00FB0A0F" w:rsidRPr="00B176CF" w:rsidRDefault="00FB0A0F" w:rsidP="002B68A6">
            <w:pPr>
              <w:keepNext/>
              <w:keepLines/>
              <w:rPr>
                <w:rFonts w:ascii="Arial Narrow" w:hAnsi="Arial Narrow" w:cs="Arial"/>
                <w:sz w:val="20"/>
                <w:szCs w:val="20"/>
              </w:rPr>
            </w:pPr>
            <w:proofErr w:type="spellStart"/>
            <w:r w:rsidRPr="00B176CF">
              <w:rPr>
                <w:rFonts w:ascii="Arial Narrow" w:hAnsi="Arial Narrow" w:cs="Arial"/>
                <w:sz w:val="20"/>
                <w:szCs w:val="20"/>
              </w:rPr>
              <w:t>Parikova</w:t>
            </w:r>
            <w:proofErr w:type="spellEnd"/>
            <w:r w:rsidRPr="00B176CF">
              <w:rPr>
                <w:rFonts w:ascii="Arial Narrow" w:hAnsi="Arial Narrow" w:cs="Arial"/>
                <w:sz w:val="20"/>
                <w:szCs w:val="20"/>
              </w:rPr>
              <w:t xml:space="preserve"> et al. Living-donor kidney transplantation for atypical haemolytic uraemic syndrome with pre-emptive </w:t>
            </w:r>
            <w:proofErr w:type="spellStart"/>
            <w:r w:rsidRPr="00B176CF">
              <w:rPr>
                <w:rFonts w:ascii="Arial Narrow" w:hAnsi="Arial Narrow" w:cs="Arial"/>
                <w:sz w:val="20"/>
                <w:szCs w:val="20"/>
              </w:rPr>
              <w:t>eculizumab</w:t>
            </w:r>
            <w:proofErr w:type="spellEnd"/>
            <w:r w:rsidRPr="00B176CF">
              <w:rPr>
                <w:rFonts w:ascii="Arial Narrow" w:hAnsi="Arial Narrow" w:cs="Arial"/>
                <w:sz w:val="20"/>
                <w:szCs w:val="20"/>
              </w:rPr>
              <w:t xml:space="preserve"> use</w:t>
            </w:r>
          </w:p>
        </w:tc>
        <w:tc>
          <w:tcPr>
            <w:tcW w:w="1568" w:type="pct"/>
            <w:shd w:val="clear" w:color="auto" w:fill="D9D9D9" w:themeFill="background1" w:themeFillShade="D9"/>
          </w:tcPr>
          <w:p w:rsidR="00FB0A0F" w:rsidRPr="00B176CF" w:rsidRDefault="00FB0A0F" w:rsidP="002B68A6">
            <w:pPr>
              <w:keepNext/>
              <w:keepLines/>
              <w:rPr>
                <w:rFonts w:ascii="Arial Narrow" w:hAnsi="Arial Narrow" w:cs="Arial"/>
                <w:sz w:val="20"/>
                <w:szCs w:val="20"/>
              </w:rPr>
            </w:pPr>
            <w:r w:rsidRPr="00B176CF">
              <w:rPr>
                <w:rFonts w:ascii="Arial Narrow" w:hAnsi="Arial Narrow" w:cs="Arial"/>
                <w:sz w:val="20"/>
                <w:szCs w:val="20"/>
              </w:rPr>
              <w:t>Transplant International (2015) 28: 366-369</w:t>
            </w:r>
          </w:p>
        </w:tc>
      </w:tr>
      <w:tr w:rsidR="00FB0A0F" w:rsidRPr="00B176CF" w:rsidTr="00647F3A">
        <w:trPr>
          <w:cantSplit/>
        </w:trPr>
        <w:tc>
          <w:tcPr>
            <w:tcW w:w="848" w:type="pct"/>
            <w:shd w:val="clear" w:color="auto" w:fill="D9D9D9" w:themeFill="background1" w:themeFillShade="D9"/>
          </w:tcPr>
          <w:p w:rsidR="00FB0A0F" w:rsidRPr="00B176CF" w:rsidRDefault="00FB0A0F" w:rsidP="002B68A6">
            <w:pPr>
              <w:rPr>
                <w:rFonts w:ascii="Arial Narrow" w:hAnsi="Arial Narrow"/>
                <w:sz w:val="20"/>
                <w:szCs w:val="20"/>
              </w:rPr>
            </w:pPr>
            <w:proofErr w:type="spellStart"/>
            <w:r w:rsidRPr="00B176CF">
              <w:rPr>
                <w:rFonts w:ascii="Arial Narrow" w:hAnsi="Arial Narrow"/>
                <w:sz w:val="20"/>
                <w:szCs w:val="20"/>
              </w:rPr>
              <w:t>Alasfar</w:t>
            </w:r>
            <w:proofErr w:type="spellEnd"/>
            <w:r w:rsidRPr="00B176CF">
              <w:rPr>
                <w:rFonts w:ascii="Arial Narrow" w:hAnsi="Arial Narrow"/>
                <w:sz w:val="20"/>
                <w:szCs w:val="20"/>
              </w:rPr>
              <w:t xml:space="preserve"> 2014</w:t>
            </w:r>
          </w:p>
        </w:tc>
        <w:tc>
          <w:tcPr>
            <w:tcW w:w="2584" w:type="pct"/>
            <w:shd w:val="clear" w:color="auto" w:fill="D9D9D9" w:themeFill="background1" w:themeFillShade="D9"/>
          </w:tcPr>
          <w:p w:rsidR="00FB0A0F" w:rsidRPr="00B176CF" w:rsidRDefault="00FB0A0F" w:rsidP="002B68A6">
            <w:pPr>
              <w:rPr>
                <w:rFonts w:ascii="Arial Narrow" w:hAnsi="Arial Narrow"/>
                <w:sz w:val="20"/>
                <w:szCs w:val="20"/>
              </w:rPr>
            </w:pPr>
            <w:proofErr w:type="spellStart"/>
            <w:r w:rsidRPr="00B176CF">
              <w:rPr>
                <w:rFonts w:ascii="Arial Narrow" w:hAnsi="Arial Narrow"/>
                <w:sz w:val="20"/>
                <w:szCs w:val="20"/>
              </w:rPr>
              <w:t>Alasfar</w:t>
            </w:r>
            <w:proofErr w:type="spellEnd"/>
            <w:r w:rsidRPr="00B176CF">
              <w:rPr>
                <w:rFonts w:ascii="Arial Narrow" w:hAnsi="Arial Narrow"/>
                <w:sz w:val="20"/>
                <w:szCs w:val="20"/>
              </w:rPr>
              <w:t xml:space="preserve"> S, </w:t>
            </w:r>
            <w:proofErr w:type="spellStart"/>
            <w:r w:rsidRPr="00B176CF">
              <w:rPr>
                <w:rFonts w:ascii="Arial Narrow" w:hAnsi="Arial Narrow"/>
                <w:sz w:val="20"/>
                <w:szCs w:val="20"/>
              </w:rPr>
              <w:t>Alachkar</w:t>
            </w:r>
            <w:proofErr w:type="spellEnd"/>
            <w:r w:rsidRPr="00B176CF">
              <w:rPr>
                <w:rFonts w:ascii="Arial Narrow" w:hAnsi="Arial Narrow"/>
                <w:sz w:val="20"/>
                <w:szCs w:val="20"/>
              </w:rPr>
              <w:t xml:space="preserve"> N. Atypical haemolytic uremic syndrome post-kidney transplantation: two case reports and review of the literature.</w:t>
            </w:r>
          </w:p>
        </w:tc>
        <w:tc>
          <w:tcPr>
            <w:tcW w:w="1568" w:type="pct"/>
            <w:shd w:val="clear" w:color="auto" w:fill="D9D9D9" w:themeFill="background1" w:themeFillShade="D9"/>
          </w:tcPr>
          <w:p w:rsidR="00FB0A0F" w:rsidRPr="00B176CF" w:rsidRDefault="00FB0A0F" w:rsidP="002B68A6">
            <w:pPr>
              <w:rPr>
                <w:rFonts w:ascii="Arial Narrow" w:hAnsi="Arial Narrow"/>
                <w:sz w:val="20"/>
                <w:szCs w:val="20"/>
              </w:rPr>
            </w:pPr>
            <w:r w:rsidRPr="00B176CF">
              <w:rPr>
                <w:rFonts w:ascii="Arial Narrow" w:hAnsi="Arial Narrow"/>
                <w:sz w:val="20"/>
                <w:szCs w:val="20"/>
              </w:rPr>
              <w:t>Frontiers in Medicine 2014; 1:52</w:t>
            </w:r>
          </w:p>
        </w:tc>
      </w:tr>
      <w:tr w:rsidR="00FB0A0F" w:rsidRPr="00B176CF" w:rsidTr="00647F3A">
        <w:trPr>
          <w:cantSplit/>
        </w:trPr>
        <w:tc>
          <w:tcPr>
            <w:tcW w:w="848" w:type="pct"/>
            <w:shd w:val="clear" w:color="auto" w:fill="D9D9D9" w:themeFill="background1" w:themeFillShade="D9"/>
          </w:tcPr>
          <w:p w:rsidR="00FB0A0F" w:rsidRPr="00B176CF" w:rsidRDefault="00FB0A0F" w:rsidP="002B68A6">
            <w:pPr>
              <w:pStyle w:val="NoSpacing"/>
              <w:keepNext/>
              <w:keepLines/>
              <w:jc w:val="left"/>
              <w:rPr>
                <w:rFonts w:ascii="Arial Narrow" w:eastAsia="Calibri" w:hAnsi="Arial Narrow" w:cs="Arial"/>
                <w:sz w:val="20"/>
                <w:szCs w:val="20"/>
              </w:rPr>
            </w:pPr>
            <w:r w:rsidRPr="00B176CF">
              <w:rPr>
                <w:rFonts w:ascii="Arial Narrow" w:hAnsi="Arial Narrow" w:cs="Arial"/>
                <w:noProof/>
                <w:sz w:val="20"/>
                <w:szCs w:val="20"/>
              </w:rPr>
              <w:lastRenderedPageBreak/>
              <w:t>Ažukaitis</w:t>
            </w:r>
            <w:r w:rsidRPr="00B176CF">
              <w:rPr>
                <w:rFonts w:ascii="Arial Narrow" w:eastAsia="Calibri" w:hAnsi="Arial Narrow" w:cs="Arial"/>
                <w:sz w:val="20"/>
                <w:szCs w:val="20"/>
              </w:rPr>
              <w:t xml:space="preserve"> 2014</w:t>
            </w:r>
          </w:p>
        </w:tc>
        <w:tc>
          <w:tcPr>
            <w:tcW w:w="2584" w:type="pct"/>
            <w:shd w:val="clear" w:color="auto" w:fill="D9D9D9" w:themeFill="background1" w:themeFillShade="D9"/>
          </w:tcPr>
          <w:p w:rsidR="00FB0A0F" w:rsidRPr="00B176CF" w:rsidRDefault="00FB0A0F" w:rsidP="002B68A6">
            <w:pPr>
              <w:keepNext/>
              <w:keepLines/>
              <w:rPr>
                <w:rFonts w:ascii="Arial Narrow" w:hAnsi="Arial Narrow" w:cs="Arial"/>
                <w:sz w:val="20"/>
                <w:szCs w:val="20"/>
              </w:rPr>
            </w:pPr>
            <w:proofErr w:type="spellStart"/>
            <w:r w:rsidRPr="00B176CF">
              <w:rPr>
                <w:rFonts w:ascii="Arial Narrow" w:hAnsi="Arial Narrow" w:cs="Arial"/>
                <w:sz w:val="20"/>
                <w:szCs w:val="20"/>
              </w:rPr>
              <w:t>Azukaitis</w:t>
            </w:r>
            <w:proofErr w:type="spellEnd"/>
            <w:r w:rsidRPr="00B176CF">
              <w:rPr>
                <w:rFonts w:ascii="Arial Narrow" w:hAnsi="Arial Narrow" w:cs="Arial"/>
                <w:sz w:val="20"/>
                <w:szCs w:val="20"/>
              </w:rPr>
              <w:t xml:space="preserve"> et al. Macrovascular involvement in a child with atypical </w:t>
            </w:r>
            <w:proofErr w:type="spellStart"/>
            <w:r w:rsidRPr="00B176CF">
              <w:rPr>
                <w:rFonts w:ascii="Arial Narrow" w:hAnsi="Arial Narrow" w:cs="Arial"/>
                <w:sz w:val="20"/>
                <w:szCs w:val="20"/>
              </w:rPr>
              <w:t>hemolytic</w:t>
            </w:r>
            <w:proofErr w:type="spellEnd"/>
            <w:r w:rsidRPr="00B176CF">
              <w:rPr>
                <w:rFonts w:ascii="Arial Narrow" w:hAnsi="Arial Narrow" w:cs="Arial"/>
                <w:sz w:val="20"/>
                <w:szCs w:val="20"/>
              </w:rPr>
              <w:t xml:space="preserve"> uremic syndrome</w:t>
            </w:r>
          </w:p>
        </w:tc>
        <w:tc>
          <w:tcPr>
            <w:tcW w:w="1568" w:type="pct"/>
            <w:shd w:val="clear" w:color="auto" w:fill="D9D9D9" w:themeFill="background1" w:themeFillShade="D9"/>
          </w:tcPr>
          <w:p w:rsidR="00FB0A0F" w:rsidRPr="00B176CF" w:rsidRDefault="00FB0A0F" w:rsidP="002B68A6">
            <w:pPr>
              <w:keepNext/>
              <w:keepLines/>
              <w:rPr>
                <w:rFonts w:ascii="Arial Narrow" w:hAnsi="Arial Narrow" w:cs="Arial"/>
                <w:sz w:val="20"/>
                <w:szCs w:val="20"/>
              </w:rPr>
            </w:pPr>
            <w:proofErr w:type="spellStart"/>
            <w:r w:rsidRPr="00B176CF">
              <w:rPr>
                <w:rFonts w:ascii="Arial Narrow" w:hAnsi="Arial Narrow" w:cs="Arial"/>
                <w:sz w:val="20"/>
                <w:szCs w:val="20"/>
              </w:rPr>
              <w:t>Pediatr</w:t>
            </w:r>
            <w:proofErr w:type="spellEnd"/>
            <w:r w:rsidRPr="00B176CF">
              <w:rPr>
                <w:rFonts w:ascii="Arial Narrow" w:hAnsi="Arial Narrow" w:cs="Arial"/>
                <w:sz w:val="20"/>
                <w:szCs w:val="20"/>
              </w:rPr>
              <w:t xml:space="preserve"> </w:t>
            </w:r>
            <w:proofErr w:type="spellStart"/>
            <w:r w:rsidRPr="00B176CF">
              <w:rPr>
                <w:rFonts w:ascii="Arial Narrow" w:hAnsi="Arial Narrow" w:cs="Arial"/>
                <w:sz w:val="20"/>
                <w:szCs w:val="20"/>
              </w:rPr>
              <w:t>Nephrol</w:t>
            </w:r>
            <w:proofErr w:type="spellEnd"/>
            <w:r w:rsidRPr="00B176CF">
              <w:rPr>
                <w:rFonts w:ascii="Arial Narrow" w:hAnsi="Arial Narrow" w:cs="Arial"/>
                <w:sz w:val="20"/>
                <w:szCs w:val="20"/>
              </w:rPr>
              <w:t xml:space="preserve"> (2014) 29:1273-1277</w:t>
            </w:r>
          </w:p>
        </w:tc>
      </w:tr>
      <w:tr w:rsidR="00FB0A0F" w:rsidRPr="00B176CF" w:rsidTr="00647F3A">
        <w:trPr>
          <w:cantSplit/>
        </w:trPr>
        <w:tc>
          <w:tcPr>
            <w:tcW w:w="848" w:type="pct"/>
            <w:shd w:val="clear" w:color="auto" w:fill="D9D9D9" w:themeFill="background1" w:themeFillShade="D9"/>
          </w:tcPr>
          <w:p w:rsidR="00FB0A0F" w:rsidRPr="00B176CF" w:rsidRDefault="00FB0A0F" w:rsidP="002B68A6">
            <w:pPr>
              <w:rPr>
                <w:rFonts w:ascii="Arial Narrow" w:hAnsi="Arial Narrow"/>
                <w:sz w:val="20"/>
                <w:szCs w:val="20"/>
              </w:rPr>
            </w:pPr>
            <w:proofErr w:type="spellStart"/>
            <w:r w:rsidRPr="00B176CF">
              <w:rPr>
                <w:rFonts w:ascii="Arial Narrow" w:hAnsi="Arial Narrow"/>
                <w:sz w:val="20"/>
                <w:szCs w:val="20"/>
              </w:rPr>
              <w:t>Fehrman-Erkolm</w:t>
            </w:r>
            <w:proofErr w:type="spellEnd"/>
            <w:r w:rsidRPr="00B176CF">
              <w:rPr>
                <w:rFonts w:ascii="Arial Narrow" w:hAnsi="Arial Narrow"/>
                <w:sz w:val="20"/>
                <w:szCs w:val="20"/>
              </w:rPr>
              <w:t xml:space="preserve"> 2014</w:t>
            </w:r>
          </w:p>
        </w:tc>
        <w:tc>
          <w:tcPr>
            <w:tcW w:w="2584" w:type="pct"/>
            <w:shd w:val="clear" w:color="auto" w:fill="D9D9D9" w:themeFill="background1" w:themeFillShade="D9"/>
          </w:tcPr>
          <w:p w:rsidR="00FB0A0F" w:rsidRPr="00B176CF" w:rsidRDefault="00FB0A0F" w:rsidP="002B68A6">
            <w:pPr>
              <w:rPr>
                <w:rFonts w:ascii="Arial Narrow" w:hAnsi="Arial Narrow"/>
                <w:sz w:val="20"/>
                <w:szCs w:val="20"/>
              </w:rPr>
            </w:pPr>
            <w:proofErr w:type="spellStart"/>
            <w:r w:rsidRPr="00B176CF">
              <w:rPr>
                <w:rFonts w:ascii="Arial Narrow" w:hAnsi="Arial Narrow"/>
                <w:sz w:val="20"/>
                <w:szCs w:val="20"/>
              </w:rPr>
              <w:t>Fehrman-Ekholm</w:t>
            </w:r>
            <w:proofErr w:type="spellEnd"/>
            <w:r w:rsidRPr="00B176CF">
              <w:rPr>
                <w:rFonts w:ascii="Arial Narrow" w:hAnsi="Arial Narrow"/>
                <w:sz w:val="20"/>
                <w:szCs w:val="20"/>
              </w:rPr>
              <w:t xml:space="preserve"> I, </w:t>
            </w:r>
            <w:proofErr w:type="spellStart"/>
            <w:r w:rsidRPr="00B176CF">
              <w:rPr>
                <w:rFonts w:ascii="Arial Narrow" w:hAnsi="Arial Narrow"/>
                <w:sz w:val="20"/>
                <w:szCs w:val="20"/>
              </w:rPr>
              <w:t>Wadstrom</w:t>
            </w:r>
            <w:proofErr w:type="spellEnd"/>
            <w:r w:rsidRPr="00B176CF">
              <w:rPr>
                <w:rFonts w:ascii="Arial Narrow" w:hAnsi="Arial Narrow"/>
                <w:sz w:val="20"/>
                <w:szCs w:val="20"/>
              </w:rPr>
              <w:t xml:space="preserve"> J, et al. </w:t>
            </w:r>
            <w:proofErr w:type="spellStart"/>
            <w:r w:rsidRPr="00B176CF">
              <w:rPr>
                <w:rFonts w:ascii="Arial Narrow" w:hAnsi="Arial Narrow"/>
                <w:sz w:val="20"/>
                <w:szCs w:val="20"/>
              </w:rPr>
              <w:t>Eculizumab</w:t>
            </w:r>
            <w:proofErr w:type="spellEnd"/>
            <w:r w:rsidRPr="00B176CF">
              <w:rPr>
                <w:rFonts w:ascii="Arial Narrow" w:hAnsi="Arial Narrow"/>
                <w:sz w:val="20"/>
                <w:szCs w:val="20"/>
              </w:rPr>
              <w:t xml:space="preserve"> prevented recurrence of atypical haemolytic uremic syndrome in a kidney donor after </w:t>
            </w:r>
            <w:proofErr w:type="gramStart"/>
            <w:r w:rsidRPr="00B176CF">
              <w:rPr>
                <w:rFonts w:ascii="Arial Narrow" w:hAnsi="Arial Narrow"/>
                <w:sz w:val="20"/>
                <w:szCs w:val="20"/>
              </w:rPr>
              <w:t>a third</w:t>
            </w:r>
            <w:proofErr w:type="gramEnd"/>
            <w:r w:rsidRPr="00B176CF">
              <w:rPr>
                <w:rFonts w:ascii="Arial Narrow" w:hAnsi="Arial Narrow"/>
                <w:sz w:val="20"/>
                <w:szCs w:val="20"/>
              </w:rPr>
              <w:t xml:space="preserve"> kidney transplantation.</w:t>
            </w:r>
          </w:p>
        </w:tc>
        <w:tc>
          <w:tcPr>
            <w:tcW w:w="1568" w:type="pct"/>
            <w:shd w:val="clear" w:color="auto" w:fill="D9D9D9" w:themeFill="background1" w:themeFillShade="D9"/>
          </w:tcPr>
          <w:p w:rsidR="00FB0A0F" w:rsidRPr="00B176CF" w:rsidRDefault="00FB0A0F" w:rsidP="002B68A6">
            <w:pPr>
              <w:rPr>
                <w:rFonts w:ascii="Arial Narrow" w:hAnsi="Arial Narrow"/>
                <w:sz w:val="20"/>
                <w:szCs w:val="20"/>
              </w:rPr>
            </w:pPr>
            <w:r w:rsidRPr="00B176CF">
              <w:rPr>
                <w:rFonts w:ascii="Arial Narrow" w:hAnsi="Arial Narrow"/>
                <w:sz w:val="20"/>
                <w:szCs w:val="20"/>
              </w:rPr>
              <w:t>Austin Journal of nephrology and Hypertension 2014; 1 (4); 1019-21.</w:t>
            </w:r>
          </w:p>
        </w:tc>
      </w:tr>
      <w:tr w:rsidR="00FB0A0F" w:rsidRPr="00B176CF" w:rsidTr="00647F3A">
        <w:trPr>
          <w:cantSplit/>
        </w:trPr>
        <w:tc>
          <w:tcPr>
            <w:tcW w:w="848" w:type="pct"/>
            <w:shd w:val="clear" w:color="auto" w:fill="D9D9D9" w:themeFill="background1" w:themeFillShade="D9"/>
          </w:tcPr>
          <w:p w:rsidR="00FB0A0F" w:rsidRPr="00B176CF" w:rsidRDefault="00FB0A0F" w:rsidP="002B68A6">
            <w:pPr>
              <w:rPr>
                <w:rFonts w:ascii="Arial Narrow" w:hAnsi="Arial Narrow"/>
                <w:sz w:val="20"/>
                <w:szCs w:val="20"/>
              </w:rPr>
            </w:pPr>
            <w:r w:rsidRPr="00B176CF">
              <w:rPr>
                <w:rFonts w:ascii="Arial Narrow" w:hAnsi="Arial Narrow"/>
                <w:sz w:val="20"/>
                <w:szCs w:val="20"/>
              </w:rPr>
              <w:t>Ranch 2014</w:t>
            </w:r>
          </w:p>
        </w:tc>
        <w:tc>
          <w:tcPr>
            <w:tcW w:w="2584" w:type="pct"/>
            <w:shd w:val="clear" w:color="auto" w:fill="D9D9D9" w:themeFill="background1" w:themeFillShade="D9"/>
          </w:tcPr>
          <w:p w:rsidR="00FB0A0F" w:rsidRPr="00B176CF" w:rsidRDefault="00FB0A0F" w:rsidP="002B68A6">
            <w:pPr>
              <w:rPr>
                <w:rFonts w:ascii="Arial Narrow" w:hAnsi="Arial Narrow"/>
                <w:sz w:val="20"/>
                <w:szCs w:val="20"/>
              </w:rPr>
            </w:pPr>
            <w:r w:rsidRPr="00B176CF">
              <w:rPr>
                <w:rFonts w:ascii="Arial Narrow" w:hAnsi="Arial Narrow"/>
                <w:sz w:val="20"/>
                <w:szCs w:val="20"/>
              </w:rPr>
              <w:t xml:space="preserve">Ranch D, Crowther B, et al. Prophylactic </w:t>
            </w:r>
            <w:proofErr w:type="spellStart"/>
            <w:r w:rsidRPr="00B176CF">
              <w:rPr>
                <w:rFonts w:ascii="Arial Narrow" w:hAnsi="Arial Narrow"/>
                <w:sz w:val="20"/>
                <w:szCs w:val="20"/>
              </w:rPr>
              <w:t>eculizumab</w:t>
            </w:r>
            <w:proofErr w:type="spellEnd"/>
            <w:r w:rsidRPr="00B176CF">
              <w:rPr>
                <w:rFonts w:ascii="Arial Narrow" w:hAnsi="Arial Narrow"/>
                <w:sz w:val="20"/>
                <w:szCs w:val="20"/>
              </w:rPr>
              <w:t xml:space="preserve"> for kidney transplantation in a child with atypical haemolytic syndrome due to complement factor H mutation.</w:t>
            </w:r>
          </w:p>
        </w:tc>
        <w:tc>
          <w:tcPr>
            <w:tcW w:w="1568" w:type="pct"/>
            <w:shd w:val="clear" w:color="auto" w:fill="D9D9D9" w:themeFill="background1" w:themeFillShade="D9"/>
          </w:tcPr>
          <w:p w:rsidR="00FB0A0F" w:rsidRPr="00B176CF" w:rsidRDefault="00FB0A0F" w:rsidP="002B68A6">
            <w:pPr>
              <w:rPr>
                <w:rFonts w:ascii="Arial Narrow" w:hAnsi="Arial Narrow"/>
                <w:sz w:val="20"/>
                <w:szCs w:val="20"/>
              </w:rPr>
            </w:pPr>
            <w:proofErr w:type="spellStart"/>
            <w:r w:rsidRPr="00B176CF">
              <w:rPr>
                <w:rFonts w:ascii="Arial Narrow" w:hAnsi="Arial Narrow"/>
                <w:sz w:val="20"/>
                <w:szCs w:val="20"/>
              </w:rPr>
              <w:t>Pediatr</w:t>
            </w:r>
            <w:proofErr w:type="spellEnd"/>
            <w:r w:rsidRPr="00B176CF">
              <w:rPr>
                <w:rFonts w:ascii="Arial Narrow" w:hAnsi="Arial Narrow"/>
                <w:sz w:val="20"/>
                <w:szCs w:val="20"/>
              </w:rPr>
              <w:t xml:space="preserve"> Transplantation 2014; 18 (6):E189-9.</w:t>
            </w:r>
          </w:p>
        </w:tc>
      </w:tr>
      <w:tr w:rsidR="00FB0A0F" w:rsidRPr="00B176CF" w:rsidTr="00647F3A">
        <w:trPr>
          <w:cantSplit/>
        </w:trPr>
        <w:tc>
          <w:tcPr>
            <w:tcW w:w="848" w:type="pct"/>
            <w:shd w:val="clear" w:color="auto" w:fill="D9D9D9" w:themeFill="background1" w:themeFillShade="D9"/>
          </w:tcPr>
          <w:p w:rsidR="00FB0A0F" w:rsidRPr="00B176CF" w:rsidRDefault="00FB0A0F" w:rsidP="002B68A6">
            <w:pPr>
              <w:rPr>
                <w:rFonts w:ascii="Arial Narrow" w:hAnsi="Arial Narrow"/>
                <w:sz w:val="20"/>
                <w:szCs w:val="20"/>
              </w:rPr>
            </w:pPr>
            <w:proofErr w:type="spellStart"/>
            <w:r w:rsidRPr="00B176CF">
              <w:rPr>
                <w:rFonts w:ascii="Arial Narrow" w:hAnsi="Arial Narrow"/>
                <w:sz w:val="20"/>
                <w:szCs w:val="20"/>
              </w:rPr>
              <w:t>Bekassy</w:t>
            </w:r>
            <w:proofErr w:type="spellEnd"/>
            <w:r w:rsidRPr="00B176CF">
              <w:rPr>
                <w:rFonts w:ascii="Arial Narrow" w:hAnsi="Arial Narrow"/>
                <w:sz w:val="20"/>
                <w:szCs w:val="20"/>
              </w:rPr>
              <w:t xml:space="preserve"> 2013</w:t>
            </w:r>
          </w:p>
        </w:tc>
        <w:tc>
          <w:tcPr>
            <w:tcW w:w="2584" w:type="pct"/>
            <w:shd w:val="clear" w:color="auto" w:fill="D9D9D9" w:themeFill="background1" w:themeFillShade="D9"/>
          </w:tcPr>
          <w:p w:rsidR="00FB0A0F" w:rsidRPr="00B176CF" w:rsidRDefault="00FB0A0F" w:rsidP="002B68A6">
            <w:pPr>
              <w:rPr>
                <w:rFonts w:ascii="Arial Narrow" w:hAnsi="Arial Narrow"/>
                <w:sz w:val="20"/>
                <w:szCs w:val="20"/>
              </w:rPr>
            </w:pPr>
            <w:proofErr w:type="spellStart"/>
            <w:r w:rsidRPr="00B176CF">
              <w:rPr>
                <w:rFonts w:ascii="Arial Narrow" w:hAnsi="Arial Narrow"/>
                <w:sz w:val="20"/>
                <w:szCs w:val="20"/>
              </w:rPr>
              <w:t>Bekassy</w:t>
            </w:r>
            <w:proofErr w:type="spellEnd"/>
            <w:r w:rsidRPr="00B176CF">
              <w:rPr>
                <w:rFonts w:ascii="Arial Narrow" w:hAnsi="Arial Narrow"/>
                <w:sz w:val="20"/>
                <w:szCs w:val="20"/>
              </w:rPr>
              <w:t xml:space="preserve"> Z, </w:t>
            </w:r>
            <w:proofErr w:type="spellStart"/>
            <w:r w:rsidRPr="00B176CF">
              <w:rPr>
                <w:rFonts w:ascii="Arial Narrow" w:hAnsi="Arial Narrow"/>
                <w:sz w:val="20"/>
                <w:szCs w:val="20"/>
              </w:rPr>
              <w:t>Kristoffersson</w:t>
            </w:r>
            <w:proofErr w:type="spellEnd"/>
            <w:r w:rsidRPr="00B176CF">
              <w:rPr>
                <w:rFonts w:ascii="Arial Narrow" w:hAnsi="Arial Narrow"/>
                <w:sz w:val="20"/>
                <w:szCs w:val="20"/>
              </w:rPr>
              <w:t xml:space="preserve"> A, et al. </w:t>
            </w:r>
            <w:proofErr w:type="spellStart"/>
            <w:r w:rsidRPr="00B176CF">
              <w:rPr>
                <w:rFonts w:ascii="Arial Narrow" w:hAnsi="Arial Narrow"/>
                <w:sz w:val="20"/>
                <w:szCs w:val="20"/>
              </w:rPr>
              <w:t>Eculizumab</w:t>
            </w:r>
            <w:proofErr w:type="spellEnd"/>
            <w:r w:rsidRPr="00B176CF">
              <w:rPr>
                <w:rFonts w:ascii="Arial Narrow" w:hAnsi="Arial Narrow"/>
                <w:sz w:val="20"/>
                <w:szCs w:val="20"/>
              </w:rPr>
              <w:t xml:space="preserve"> in an </w:t>
            </w:r>
            <w:proofErr w:type="spellStart"/>
            <w:r w:rsidRPr="00B176CF">
              <w:rPr>
                <w:rFonts w:ascii="Arial Narrow" w:hAnsi="Arial Narrow"/>
                <w:sz w:val="20"/>
                <w:szCs w:val="20"/>
              </w:rPr>
              <w:t>anephric</w:t>
            </w:r>
            <w:proofErr w:type="spellEnd"/>
            <w:r w:rsidRPr="00B176CF">
              <w:rPr>
                <w:rFonts w:ascii="Arial Narrow" w:hAnsi="Arial Narrow"/>
                <w:sz w:val="20"/>
                <w:szCs w:val="20"/>
              </w:rPr>
              <w:t xml:space="preserve"> patient with atypical haemolytic uraemic syndrome and advanced vascular lesions.</w:t>
            </w:r>
          </w:p>
        </w:tc>
        <w:tc>
          <w:tcPr>
            <w:tcW w:w="1568" w:type="pct"/>
            <w:shd w:val="clear" w:color="auto" w:fill="D9D9D9" w:themeFill="background1" w:themeFillShade="D9"/>
          </w:tcPr>
          <w:p w:rsidR="00FB0A0F" w:rsidRPr="00B176CF" w:rsidRDefault="00FB0A0F" w:rsidP="002B68A6">
            <w:pPr>
              <w:rPr>
                <w:rFonts w:ascii="Arial Narrow" w:hAnsi="Arial Narrow"/>
                <w:sz w:val="20"/>
                <w:szCs w:val="20"/>
              </w:rPr>
            </w:pPr>
            <w:proofErr w:type="spellStart"/>
            <w:r w:rsidRPr="00B176CF">
              <w:rPr>
                <w:rFonts w:ascii="Arial Narrow" w:hAnsi="Arial Narrow"/>
                <w:sz w:val="20"/>
                <w:szCs w:val="20"/>
              </w:rPr>
              <w:t>Nephrol</w:t>
            </w:r>
            <w:proofErr w:type="spellEnd"/>
            <w:r w:rsidRPr="00B176CF">
              <w:rPr>
                <w:rFonts w:ascii="Arial Narrow" w:hAnsi="Arial Narrow"/>
                <w:sz w:val="20"/>
                <w:szCs w:val="20"/>
              </w:rPr>
              <w:t xml:space="preserve"> Dial Transplant I2013; 28: 2899-2907.</w:t>
            </w:r>
          </w:p>
        </w:tc>
      </w:tr>
      <w:tr w:rsidR="00FB0A0F" w:rsidRPr="00B176CF" w:rsidTr="00647F3A">
        <w:trPr>
          <w:cantSplit/>
        </w:trPr>
        <w:tc>
          <w:tcPr>
            <w:tcW w:w="848" w:type="pct"/>
            <w:shd w:val="clear" w:color="auto" w:fill="D9D9D9" w:themeFill="background1" w:themeFillShade="D9"/>
          </w:tcPr>
          <w:p w:rsidR="00FB0A0F" w:rsidRPr="00B176CF" w:rsidRDefault="00FB0A0F" w:rsidP="002B68A6">
            <w:pPr>
              <w:rPr>
                <w:rFonts w:ascii="Arial Narrow" w:hAnsi="Arial Narrow"/>
                <w:sz w:val="20"/>
                <w:szCs w:val="20"/>
              </w:rPr>
            </w:pPr>
            <w:proofErr w:type="spellStart"/>
            <w:r w:rsidRPr="00B176CF">
              <w:rPr>
                <w:rFonts w:ascii="Arial Narrow" w:hAnsi="Arial Narrow"/>
                <w:sz w:val="20"/>
                <w:szCs w:val="20"/>
              </w:rPr>
              <w:t>Pelicano</w:t>
            </w:r>
            <w:proofErr w:type="spellEnd"/>
            <w:r w:rsidRPr="00B176CF">
              <w:rPr>
                <w:rFonts w:ascii="Arial Narrow" w:hAnsi="Arial Narrow"/>
                <w:sz w:val="20"/>
                <w:szCs w:val="20"/>
              </w:rPr>
              <w:t xml:space="preserve"> 2013</w:t>
            </w:r>
          </w:p>
        </w:tc>
        <w:tc>
          <w:tcPr>
            <w:tcW w:w="2584" w:type="pct"/>
            <w:shd w:val="clear" w:color="auto" w:fill="D9D9D9" w:themeFill="background1" w:themeFillShade="D9"/>
          </w:tcPr>
          <w:p w:rsidR="00FB0A0F" w:rsidRPr="00B176CF" w:rsidRDefault="00FB0A0F" w:rsidP="002B68A6">
            <w:pPr>
              <w:rPr>
                <w:rFonts w:ascii="Arial Narrow" w:hAnsi="Arial Narrow"/>
                <w:sz w:val="20"/>
                <w:szCs w:val="20"/>
              </w:rPr>
            </w:pPr>
            <w:proofErr w:type="spellStart"/>
            <w:r w:rsidRPr="00B176CF">
              <w:rPr>
                <w:rFonts w:ascii="Arial Narrow" w:hAnsi="Arial Narrow"/>
                <w:sz w:val="20"/>
                <w:szCs w:val="20"/>
              </w:rPr>
              <w:t>Pelicano</w:t>
            </w:r>
            <w:proofErr w:type="spellEnd"/>
            <w:r w:rsidRPr="00B176CF">
              <w:rPr>
                <w:rFonts w:ascii="Arial Narrow" w:hAnsi="Arial Narrow"/>
                <w:sz w:val="20"/>
                <w:szCs w:val="20"/>
              </w:rPr>
              <w:t xml:space="preserve"> M, de Cordoba S, et al. Anti-C5 as prophylactic therapy in atypical haemolytic uremic syndrome in living-related kidney transplantation.</w:t>
            </w:r>
          </w:p>
        </w:tc>
        <w:tc>
          <w:tcPr>
            <w:tcW w:w="1568" w:type="pct"/>
            <w:shd w:val="clear" w:color="auto" w:fill="D9D9D9" w:themeFill="background1" w:themeFillShade="D9"/>
          </w:tcPr>
          <w:p w:rsidR="00FB0A0F" w:rsidRPr="00B176CF" w:rsidRDefault="00FB0A0F" w:rsidP="002B68A6">
            <w:pPr>
              <w:rPr>
                <w:rFonts w:ascii="Arial Narrow" w:hAnsi="Arial Narrow"/>
                <w:sz w:val="20"/>
                <w:szCs w:val="20"/>
              </w:rPr>
            </w:pPr>
            <w:r w:rsidRPr="00B176CF">
              <w:rPr>
                <w:rFonts w:ascii="Arial Narrow" w:hAnsi="Arial Narrow"/>
                <w:sz w:val="20"/>
                <w:szCs w:val="20"/>
              </w:rPr>
              <w:t>Transplantation 2013; 96 (4): e26-e29.</w:t>
            </w:r>
          </w:p>
        </w:tc>
      </w:tr>
      <w:tr w:rsidR="00FB0A0F" w:rsidRPr="00B176CF" w:rsidTr="00647F3A">
        <w:trPr>
          <w:cantSplit/>
        </w:trPr>
        <w:tc>
          <w:tcPr>
            <w:tcW w:w="848" w:type="pct"/>
            <w:shd w:val="clear" w:color="auto" w:fill="D9D9D9" w:themeFill="background1" w:themeFillShade="D9"/>
          </w:tcPr>
          <w:p w:rsidR="00FB0A0F" w:rsidRPr="00B176CF" w:rsidRDefault="00FB0A0F" w:rsidP="002B68A6">
            <w:pPr>
              <w:pStyle w:val="NoSpacing"/>
              <w:keepNext/>
              <w:keepLines/>
              <w:jc w:val="left"/>
              <w:rPr>
                <w:rFonts w:ascii="Arial Narrow" w:eastAsia="Calibri" w:hAnsi="Arial Narrow" w:cs="Arial"/>
                <w:sz w:val="20"/>
                <w:szCs w:val="20"/>
                <w:vertAlign w:val="superscript"/>
              </w:rPr>
            </w:pPr>
            <w:r w:rsidRPr="00B176CF">
              <w:rPr>
                <w:rFonts w:ascii="Arial Narrow" w:eastAsia="Calibri" w:hAnsi="Arial Narrow" w:cs="Arial"/>
                <w:sz w:val="20"/>
                <w:szCs w:val="20"/>
              </w:rPr>
              <w:t xml:space="preserve">Roman-Ortiz 2014 </w:t>
            </w:r>
            <w:r w:rsidRPr="00B176CF">
              <w:rPr>
                <w:rFonts w:ascii="Arial Narrow" w:eastAsia="Calibri" w:hAnsi="Arial Narrow" w:cs="Arial"/>
                <w:sz w:val="20"/>
                <w:szCs w:val="20"/>
                <w:vertAlign w:val="superscript"/>
              </w:rPr>
              <w:t>a</w:t>
            </w:r>
          </w:p>
        </w:tc>
        <w:tc>
          <w:tcPr>
            <w:tcW w:w="2584" w:type="pct"/>
            <w:shd w:val="clear" w:color="auto" w:fill="D9D9D9" w:themeFill="background1" w:themeFillShade="D9"/>
          </w:tcPr>
          <w:p w:rsidR="00FB0A0F" w:rsidRPr="00B176CF" w:rsidRDefault="00FB0A0F" w:rsidP="002B68A6">
            <w:pPr>
              <w:keepNext/>
              <w:keepLines/>
              <w:rPr>
                <w:rFonts w:ascii="Arial Narrow" w:hAnsi="Arial Narrow" w:cs="Arial"/>
                <w:sz w:val="20"/>
                <w:szCs w:val="20"/>
              </w:rPr>
            </w:pPr>
            <w:r w:rsidRPr="00B176CF">
              <w:rPr>
                <w:rFonts w:ascii="Arial Narrow" w:eastAsia="Calibri" w:hAnsi="Arial Narrow" w:cs="Arial"/>
                <w:sz w:val="20"/>
                <w:szCs w:val="20"/>
              </w:rPr>
              <w:t xml:space="preserve">Roman-Ortiz et al. </w:t>
            </w:r>
            <w:proofErr w:type="spellStart"/>
            <w:r w:rsidRPr="00B176CF">
              <w:rPr>
                <w:rFonts w:ascii="Arial Narrow" w:eastAsia="Calibri" w:hAnsi="Arial Narrow" w:cs="Arial"/>
                <w:sz w:val="20"/>
                <w:szCs w:val="20"/>
              </w:rPr>
              <w:t>Eculizumab</w:t>
            </w:r>
            <w:proofErr w:type="spellEnd"/>
            <w:r w:rsidRPr="00B176CF">
              <w:rPr>
                <w:rFonts w:ascii="Arial Narrow" w:eastAsia="Calibri" w:hAnsi="Arial Narrow" w:cs="Arial"/>
                <w:sz w:val="20"/>
                <w:szCs w:val="20"/>
              </w:rPr>
              <w:t xml:space="preserve"> long term therapy for </w:t>
            </w:r>
            <w:proofErr w:type="spellStart"/>
            <w:r w:rsidRPr="00B176CF">
              <w:rPr>
                <w:rFonts w:ascii="Arial Narrow" w:eastAsia="Calibri" w:hAnsi="Arial Narrow" w:cs="Arial"/>
                <w:sz w:val="20"/>
                <w:szCs w:val="20"/>
              </w:rPr>
              <w:t>pediatric</w:t>
            </w:r>
            <w:proofErr w:type="spellEnd"/>
            <w:r w:rsidRPr="00B176CF">
              <w:rPr>
                <w:rFonts w:ascii="Arial Narrow" w:eastAsia="Calibri" w:hAnsi="Arial Narrow" w:cs="Arial"/>
                <w:sz w:val="20"/>
                <w:szCs w:val="20"/>
              </w:rPr>
              <w:t xml:space="preserve"> renal transplant in </w:t>
            </w:r>
            <w:proofErr w:type="spellStart"/>
            <w:r w:rsidRPr="00B176CF">
              <w:rPr>
                <w:rFonts w:ascii="Arial Narrow" w:eastAsia="Calibri" w:hAnsi="Arial Narrow" w:cs="Arial"/>
                <w:sz w:val="20"/>
                <w:szCs w:val="20"/>
              </w:rPr>
              <w:t>aHUS</w:t>
            </w:r>
            <w:proofErr w:type="spellEnd"/>
            <w:r w:rsidRPr="00B176CF">
              <w:rPr>
                <w:rFonts w:ascii="Arial Narrow" w:eastAsia="Calibri" w:hAnsi="Arial Narrow" w:cs="Arial"/>
                <w:sz w:val="20"/>
                <w:szCs w:val="20"/>
              </w:rPr>
              <w:t xml:space="preserve"> with CFH/CFHR1 hybrid gene</w:t>
            </w:r>
          </w:p>
        </w:tc>
        <w:tc>
          <w:tcPr>
            <w:tcW w:w="1568" w:type="pct"/>
            <w:shd w:val="clear" w:color="auto" w:fill="D9D9D9" w:themeFill="background1" w:themeFillShade="D9"/>
          </w:tcPr>
          <w:p w:rsidR="00FB0A0F" w:rsidRPr="00B176CF" w:rsidRDefault="00FB0A0F" w:rsidP="002B68A6">
            <w:pPr>
              <w:keepNext/>
              <w:keepLines/>
              <w:rPr>
                <w:rFonts w:ascii="Arial Narrow" w:hAnsi="Arial Narrow" w:cs="Arial"/>
                <w:sz w:val="20"/>
                <w:szCs w:val="20"/>
              </w:rPr>
            </w:pPr>
            <w:proofErr w:type="spellStart"/>
            <w:r w:rsidRPr="00B176CF">
              <w:rPr>
                <w:rFonts w:ascii="Arial Narrow" w:hAnsi="Arial Narrow" w:cs="Arial"/>
                <w:sz w:val="20"/>
                <w:szCs w:val="20"/>
              </w:rPr>
              <w:t>Pediatr</w:t>
            </w:r>
            <w:proofErr w:type="spellEnd"/>
            <w:r w:rsidRPr="00B176CF">
              <w:rPr>
                <w:rFonts w:ascii="Arial Narrow" w:hAnsi="Arial Narrow" w:cs="Arial"/>
                <w:sz w:val="20"/>
                <w:szCs w:val="20"/>
              </w:rPr>
              <w:t xml:space="preserve">. </w:t>
            </w:r>
            <w:proofErr w:type="spellStart"/>
            <w:r w:rsidRPr="00B176CF">
              <w:rPr>
                <w:rFonts w:ascii="Arial Narrow" w:hAnsi="Arial Narrow" w:cs="Arial"/>
                <w:sz w:val="20"/>
                <w:szCs w:val="20"/>
              </w:rPr>
              <w:t>Nephrol</w:t>
            </w:r>
            <w:proofErr w:type="spellEnd"/>
            <w:r w:rsidRPr="00B176CF">
              <w:rPr>
                <w:rFonts w:ascii="Arial Narrow" w:hAnsi="Arial Narrow" w:cs="Arial"/>
                <w:sz w:val="20"/>
                <w:szCs w:val="20"/>
              </w:rPr>
              <w:t>. 2014; 29:149-153.</w:t>
            </w:r>
          </w:p>
        </w:tc>
      </w:tr>
      <w:tr w:rsidR="00FB0A0F" w:rsidRPr="00B176CF" w:rsidTr="00647F3A">
        <w:trPr>
          <w:cantSplit/>
        </w:trPr>
        <w:tc>
          <w:tcPr>
            <w:tcW w:w="848" w:type="pct"/>
            <w:shd w:val="clear" w:color="auto" w:fill="D9D9D9" w:themeFill="background1" w:themeFillShade="D9"/>
          </w:tcPr>
          <w:p w:rsidR="00FB0A0F" w:rsidRPr="00B176CF" w:rsidRDefault="00FB0A0F" w:rsidP="002B68A6">
            <w:pPr>
              <w:rPr>
                <w:rFonts w:ascii="Arial Narrow" w:hAnsi="Arial Narrow"/>
                <w:sz w:val="20"/>
                <w:szCs w:val="20"/>
              </w:rPr>
            </w:pPr>
            <w:r w:rsidRPr="00B176CF">
              <w:rPr>
                <w:rFonts w:ascii="Arial Narrow" w:hAnsi="Arial Narrow"/>
                <w:sz w:val="20"/>
                <w:szCs w:val="20"/>
              </w:rPr>
              <w:t>Tran 2013</w:t>
            </w:r>
          </w:p>
        </w:tc>
        <w:tc>
          <w:tcPr>
            <w:tcW w:w="2584" w:type="pct"/>
            <w:shd w:val="clear" w:color="auto" w:fill="D9D9D9" w:themeFill="background1" w:themeFillShade="D9"/>
          </w:tcPr>
          <w:p w:rsidR="00FB0A0F" w:rsidRPr="00B176CF" w:rsidRDefault="00FB0A0F" w:rsidP="002B68A6">
            <w:pPr>
              <w:rPr>
                <w:rFonts w:ascii="Arial Narrow" w:hAnsi="Arial Narrow"/>
                <w:sz w:val="20"/>
                <w:szCs w:val="20"/>
              </w:rPr>
            </w:pPr>
            <w:r w:rsidRPr="00B176CF">
              <w:rPr>
                <w:rFonts w:ascii="Arial Narrow" w:hAnsi="Arial Narrow"/>
                <w:sz w:val="20"/>
                <w:szCs w:val="20"/>
              </w:rPr>
              <w:t xml:space="preserve">Use of </w:t>
            </w:r>
            <w:proofErr w:type="spellStart"/>
            <w:r w:rsidRPr="00B176CF">
              <w:rPr>
                <w:rFonts w:ascii="Arial Narrow" w:hAnsi="Arial Narrow"/>
                <w:sz w:val="20"/>
                <w:szCs w:val="20"/>
              </w:rPr>
              <w:t>eculizumab</w:t>
            </w:r>
            <w:proofErr w:type="spellEnd"/>
            <w:r w:rsidRPr="00B176CF">
              <w:rPr>
                <w:rFonts w:ascii="Arial Narrow" w:hAnsi="Arial Narrow"/>
                <w:sz w:val="20"/>
                <w:szCs w:val="20"/>
              </w:rPr>
              <w:t xml:space="preserve"> and plasma exchange in successful combined liver-kidney transplantation in a case of atypical HUS associated with complement H mutation.</w:t>
            </w:r>
          </w:p>
        </w:tc>
        <w:tc>
          <w:tcPr>
            <w:tcW w:w="1568" w:type="pct"/>
            <w:shd w:val="clear" w:color="auto" w:fill="D9D9D9" w:themeFill="background1" w:themeFillShade="D9"/>
          </w:tcPr>
          <w:p w:rsidR="00FB0A0F" w:rsidRPr="00B176CF" w:rsidRDefault="00FB0A0F" w:rsidP="002B68A6">
            <w:pPr>
              <w:rPr>
                <w:rFonts w:ascii="Arial Narrow" w:hAnsi="Arial Narrow"/>
                <w:sz w:val="20"/>
                <w:szCs w:val="20"/>
              </w:rPr>
            </w:pPr>
            <w:proofErr w:type="spellStart"/>
            <w:r w:rsidRPr="00B176CF">
              <w:rPr>
                <w:rFonts w:ascii="Arial Narrow" w:hAnsi="Arial Narrow"/>
                <w:sz w:val="20"/>
                <w:szCs w:val="20"/>
              </w:rPr>
              <w:t>Pediatr</w:t>
            </w:r>
            <w:proofErr w:type="spellEnd"/>
            <w:r w:rsidRPr="00B176CF">
              <w:rPr>
                <w:rFonts w:ascii="Arial Narrow" w:hAnsi="Arial Narrow"/>
                <w:sz w:val="20"/>
                <w:szCs w:val="20"/>
              </w:rPr>
              <w:t xml:space="preserve">. </w:t>
            </w:r>
            <w:proofErr w:type="spellStart"/>
            <w:r w:rsidRPr="00B176CF">
              <w:rPr>
                <w:rFonts w:ascii="Arial Narrow" w:hAnsi="Arial Narrow"/>
                <w:sz w:val="20"/>
                <w:szCs w:val="20"/>
              </w:rPr>
              <w:t>Nephrol</w:t>
            </w:r>
            <w:proofErr w:type="spellEnd"/>
            <w:r w:rsidRPr="00B176CF">
              <w:rPr>
                <w:rFonts w:ascii="Arial Narrow" w:hAnsi="Arial Narrow"/>
                <w:sz w:val="20"/>
                <w:szCs w:val="20"/>
              </w:rPr>
              <w:t>. 2013; 29 (3):477-80.</w:t>
            </w:r>
          </w:p>
        </w:tc>
      </w:tr>
      <w:tr w:rsidR="00FB0A0F" w:rsidRPr="00B176CF" w:rsidTr="00647F3A">
        <w:trPr>
          <w:cantSplit/>
        </w:trPr>
        <w:tc>
          <w:tcPr>
            <w:tcW w:w="848" w:type="pct"/>
            <w:shd w:val="clear" w:color="auto" w:fill="D9D9D9" w:themeFill="background1" w:themeFillShade="D9"/>
          </w:tcPr>
          <w:p w:rsidR="00FB0A0F" w:rsidRPr="00B176CF" w:rsidRDefault="00FB0A0F" w:rsidP="002B68A6">
            <w:pPr>
              <w:pStyle w:val="NoSpacing"/>
              <w:keepNext/>
              <w:keepLines/>
              <w:jc w:val="left"/>
              <w:rPr>
                <w:rFonts w:ascii="Arial Narrow" w:hAnsi="Arial Narrow" w:cs="Arial"/>
                <w:sz w:val="20"/>
                <w:szCs w:val="20"/>
              </w:rPr>
            </w:pPr>
            <w:proofErr w:type="spellStart"/>
            <w:r w:rsidRPr="00B176CF">
              <w:rPr>
                <w:rFonts w:ascii="Arial Narrow" w:eastAsia="Calibri" w:hAnsi="Arial Narrow" w:cs="Arial"/>
                <w:sz w:val="20"/>
                <w:szCs w:val="20"/>
              </w:rPr>
              <w:t>Xie</w:t>
            </w:r>
            <w:proofErr w:type="spellEnd"/>
            <w:r w:rsidRPr="00B176CF">
              <w:rPr>
                <w:rFonts w:ascii="Arial Narrow" w:eastAsia="Calibri" w:hAnsi="Arial Narrow" w:cs="Arial"/>
                <w:sz w:val="20"/>
                <w:szCs w:val="20"/>
              </w:rPr>
              <w:t xml:space="preserve"> 2012</w:t>
            </w:r>
          </w:p>
        </w:tc>
        <w:tc>
          <w:tcPr>
            <w:tcW w:w="2584" w:type="pct"/>
            <w:shd w:val="clear" w:color="auto" w:fill="D9D9D9" w:themeFill="background1" w:themeFillShade="D9"/>
          </w:tcPr>
          <w:p w:rsidR="00FB0A0F" w:rsidRPr="00B176CF" w:rsidRDefault="00FB0A0F" w:rsidP="002B68A6">
            <w:pPr>
              <w:keepNext/>
              <w:keepLines/>
              <w:rPr>
                <w:rFonts w:ascii="Arial Narrow" w:hAnsi="Arial Narrow" w:cs="Arial"/>
                <w:sz w:val="20"/>
                <w:szCs w:val="20"/>
              </w:rPr>
            </w:pPr>
            <w:proofErr w:type="spellStart"/>
            <w:r w:rsidRPr="00B176CF">
              <w:rPr>
                <w:rFonts w:ascii="Arial Narrow" w:hAnsi="Arial Narrow" w:cs="Arial"/>
                <w:sz w:val="20"/>
                <w:szCs w:val="20"/>
              </w:rPr>
              <w:t>Xie</w:t>
            </w:r>
            <w:proofErr w:type="spellEnd"/>
            <w:r w:rsidRPr="00B176CF">
              <w:rPr>
                <w:rFonts w:ascii="Arial Narrow" w:hAnsi="Arial Narrow" w:cs="Arial"/>
                <w:sz w:val="20"/>
                <w:szCs w:val="20"/>
              </w:rPr>
              <w:t xml:space="preserve"> et al. Tailored </w:t>
            </w:r>
            <w:proofErr w:type="spellStart"/>
            <w:r w:rsidRPr="00B176CF">
              <w:rPr>
                <w:rFonts w:ascii="Arial Narrow" w:hAnsi="Arial Narrow" w:cs="Arial"/>
                <w:sz w:val="20"/>
                <w:szCs w:val="20"/>
              </w:rPr>
              <w:t>eculizumab</w:t>
            </w:r>
            <w:proofErr w:type="spellEnd"/>
            <w:r w:rsidRPr="00B176CF">
              <w:rPr>
                <w:rFonts w:ascii="Arial Narrow" w:hAnsi="Arial Narrow" w:cs="Arial"/>
                <w:sz w:val="20"/>
                <w:szCs w:val="20"/>
              </w:rPr>
              <w:t xml:space="preserve"> therapy in the management of complement factor H-mediated atypical </w:t>
            </w:r>
            <w:proofErr w:type="spellStart"/>
            <w:r w:rsidRPr="00B176CF">
              <w:rPr>
                <w:rFonts w:ascii="Arial Narrow" w:hAnsi="Arial Narrow" w:cs="Arial"/>
                <w:sz w:val="20"/>
                <w:szCs w:val="20"/>
              </w:rPr>
              <w:t>hemolytic</w:t>
            </w:r>
            <w:proofErr w:type="spellEnd"/>
            <w:r w:rsidRPr="00B176CF">
              <w:rPr>
                <w:rFonts w:ascii="Arial Narrow" w:hAnsi="Arial Narrow" w:cs="Arial"/>
                <w:sz w:val="20"/>
                <w:szCs w:val="20"/>
              </w:rPr>
              <w:t xml:space="preserve"> uremic syndrome in an adult kidney transplant recipient: A case report</w:t>
            </w:r>
          </w:p>
        </w:tc>
        <w:tc>
          <w:tcPr>
            <w:tcW w:w="1568" w:type="pct"/>
            <w:shd w:val="clear" w:color="auto" w:fill="D9D9D9" w:themeFill="background1" w:themeFillShade="D9"/>
          </w:tcPr>
          <w:p w:rsidR="00FB0A0F" w:rsidRPr="00B176CF" w:rsidRDefault="00FB0A0F" w:rsidP="002B68A6">
            <w:pPr>
              <w:keepNext/>
              <w:keepLines/>
              <w:rPr>
                <w:rFonts w:ascii="Arial Narrow" w:hAnsi="Arial Narrow" w:cs="Arial"/>
                <w:sz w:val="20"/>
                <w:szCs w:val="20"/>
              </w:rPr>
            </w:pPr>
            <w:r w:rsidRPr="00B176CF">
              <w:rPr>
                <w:rFonts w:ascii="Arial Narrow" w:hAnsi="Arial Narrow" w:cs="Arial"/>
                <w:sz w:val="20"/>
                <w:szCs w:val="20"/>
              </w:rPr>
              <w:t>Transplantation Proceedings (2012) 44:3037-3040</w:t>
            </w:r>
          </w:p>
        </w:tc>
      </w:tr>
      <w:tr w:rsidR="00FB0A0F" w:rsidRPr="00B176CF" w:rsidTr="00647F3A">
        <w:trPr>
          <w:cantSplit/>
        </w:trPr>
        <w:tc>
          <w:tcPr>
            <w:tcW w:w="5000" w:type="pct"/>
            <w:gridSpan w:val="3"/>
            <w:shd w:val="clear" w:color="auto" w:fill="FFFFFF" w:themeFill="background1"/>
          </w:tcPr>
          <w:p w:rsidR="00FB0A0F" w:rsidRPr="00B176CF" w:rsidRDefault="00FB0A0F" w:rsidP="002B68A6">
            <w:pPr>
              <w:keepNext/>
              <w:keepLines/>
              <w:rPr>
                <w:rFonts w:ascii="Arial Narrow" w:hAnsi="Arial Narrow" w:cs="Arial"/>
                <w:b/>
                <w:sz w:val="20"/>
                <w:szCs w:val="20"/>
              </w:rPr>
            </w:pPr>
            <w:r w:rsidRPr="00B176CF">
              <w:rPr>
                <w:rFonts w:ascii="Arial Narrow" w:hAnsi="Arial Narrow" w:cs="Arial"/>
                <w:b/>
                <w:sz w:val="20"/>
                <w:szCs w:val="20"/>
              </w:rPr>
              <w:t xml:space="preserve">Patients who discontinue </w:t>
            </w:r>
            <w:proofErr w:type="spellStart"/>
            <w:r w:rsidRPr="00B176CF">
              <w:rPr>
                <w:rFonts w:ascii="Arial Narrow" w:hAnsi="Arial Narrow" w:cs="Arial"/>
                <w:b/>
                <w:sz w:val="20"/>
                <w:szCs w:val="20"/>
              </w:rPr>
              <w:t>eculizumab</w:t>
            </w:r>
            <w:proofErr w:type="spellEnd"/>
            <w:r w:rsidRPr="00B176CF">
              <w:rPr>
                <w:rFonts w:ascii="Arial Narrow" w:hAnsi="Arial Narrow" w:cs="Arial"/>
                <w:b/>
                <w:sz w:val="20"/>
                <w:szCs w:val="20"/>
              </w:rPr>
              <w:t xml:space="preserve"> post-transplant</w:t>
            </w:r>
            <w:r w:rsidR="008D4FF6" w:rsidRPr="00B176CF">
              <w:rPr>
                <w:rFonts w:ascii="Arial Narrow" w:hAnsi="Arial Narrow" w:cs="Arial"/>
                <w:b/>
                <w:sz w:val="20"/>
                <w:szCs w:val="20"/>
              </w:rPr>
              <w:t>: Case studies</w:t>
            </w:r>
          </w:p>
        </w:tc>
      </w:tr>
      <w:tr w:rsidR="008D4FF6" w:rsidRPr="00B176CF" w:rsidTr="008D4FF6">
        <w:trPr>
          <w:cantSplit/>
        </w:trPr>
        <w:tc>
          <w:tcPr>
            <w:tcW w:w="848" w:type="pct"/>
            <w:shd w:val="clear" w:color="auto" w:fill="FFFFFF" w:themeFill="background1"/>
          </w:tcPr>
          <w:p w:rsidR="008D4FF6" w:rsidRPr="00B176CF" w:rsidRDefault="008D4FF6" w:rsidP="00C262A0">
            <w:pPr>
              <w:pStyle w:val="NoSpacing"/>
              <w:keepNext/>
              <w:keepLines/>
              <w:jc w:val="left"/>
              <w:rPr>
                <w:rFonts w:ascii="Arial Narrow" w:hAnsi="Arial Narrow" w:cs="Arial"/>
                <w:sz w:val="20"/>
                <w:szCs w:val="20"/>
              </w:rPr>
            </w:pPr>
            <w:r w:rsidRPr="00B176CF">
              <w:rPr>
                <w:rFonts w:ascii="Arial Narrow" w:hAnsi="Arial Narrow" w:cs="Arial"/>
                <w:sz w:val="20"/>
                <w:szCs w:val="20"/>
              </w:rPr>
              <w:t>Krishnan 2017</w:t>
            </w:r>
          </w:p>
        </w:tc>
        <w:tc>
          <w:tcPr>
            <w:tcW w:w="2584" w:type="pct"/>
            <w:shd w:val="clear" w:color="auto" w:fill="FFFFFF" w:themeFill="background1"/>
          </w:tcPr>
          <w:p w:rsidR="008D4FF6" w:rsidRPr="00B176CF" w:rsidRDefault="008D4FF6" w:rsidP="00C262A0">
            <w:pPr>
              <w:keepNext/>
              <w:keepLines/>
              <w:rPr>
                <w:rFonts w:ascii="Arial Narrow" w:hAnsi="Arial Narrow" w:cs="Arial"/>
                <w:sz w:val="20"/>
                <w:szCs w:val="20"/>
              </w:rPr>
            </w:pPr>
            <w:r w:rsidRPr="00B176CF">
              <w:rPr>
                <w:rFonts w:ascii="Arial Narrow" w:hAnsi="Arial Narrow" w:cs="Arial"/>
                <w:sz w:val="20"/>
                <w:szCs w:val="20"/>
              </w:rPr>
              <w:t xml:space="preserve">Krishnan et al. Absence of </w:t>
            </w:r>
            <w:proofErr w:type="spellStart"/>
            <w:r w:rsidRPr="00B176CF">
              <w:rPr>
                <w:rFonts w:ascii="Arial Narrow" w:hAnsi="Arial Narrow" w:cs="Arial"/>
                <w:sz w:val="20"/>
                <w:szCs w:val="20"/>
              </w:rPr>
              <w:t>thrombocytopaenia</w:t>
            </w:r>
            <w:proofErr w:type="spellEnd"/>
            <w:r w:rsidRPr="00B176CF">
              <w:rPr>
                <w:rFonts w:ascii="Arial Narrow" w:hAnsi="Arial Narrow" w:cs="Arial"/>
                <w:sz w:val="20"/>
                <w:szCs w:val="20"/>
              </w:rPr>
              <w:t xml:space="preserve"> and/or </w:t>
            </w:r>
            <w:proofErr w:type="spellStart"/>
            <w:r w:rsidRPr="00B176CF">
              <w:rPr>
                <w:rFonts w:ascii="Arial Narrow" w:hAnsi="Arial Narrow" w:cs="Arial"/>
                <w:sz w:val="20"/>
                <w:szCs w:val="20"/>
              </w:rPr>
              <w:t>microangiopathic</w:t>
            </w:r>
            <w:proofErr w:type="spellEnd"/>
            <w:r w:rsidRPr="00B176CF">
              <w:rPr>
                <w:rFonts w:ascii="Arial Narrow" w:hAnsi="Arial Narrow" w:cs="Arial"/>
                <w:sz w:val="20"/>
                <w:szCs w:val="20"/>
              </w:rPr>
              <w:t xml:space="preserve"> haemolytic anaemia does not reliably exclude recurrence of atypical haemolytic uraemic syndrome after kidney transplantation</w:t>
            </w:r>
          </w:p>
        </w:tc>
        <w:tc>
          <w:tcPr>
            <w:tcW w:w="1568" w:type="pct"/>
            <w:shd w:val="clear" w:color="auto" w:fill="FFFFFF" w:themeFill="background1"/>
          </w:tcPr>
          <w:p w:rsidR="008D4FF6" w:rsidRPr="00B176CF" w:rsidRDefault="008D4FF6" w:rsidP="00C262A0">
            <w:pPr>
              <w:keepNext/>
              <w:keepLines/>
              <w:rPr>
                <w:rFonts w:ascii="Arial Narrow" w:hAnsi="Arial Narrow" w:cs="Arial"/>
                <w:sz w:val="20"/>
                <w:szCs w:val="20"/>
              </w:rPr>
            </w:pPr>
            <w:r w:rsidRPr="00B176CF">
              <w:rPr>
                <w:rFonts w:ascii="Arial Narrow" w:hAnsi="Arial Narrow" w:cs="Arial"/>
                <w:sz w:val="20"/>
                <w:szCs w:val="20"/>
              </w:rPr>
              <w:t>Nephrology (2017) 10.1111/nep.12937</w:t>
            </w:r>
          </w:p>
        </w:tc>
      </w:tr>
      <w:tr w:rsidR="00FB0A0F" w:rsidRPr="00B176CF" w:rsidTr="008D4FF6">
        <w:trPr>
          <w:cantSplit/>
        </w:trPr>
        <w:tc>
          <w:tcPr>
            <w:tcW w:w="848" w:type="pct"/>
            <w:shd w:val="clear" w:color="auto" w:fill="D9D9D9" w:themeFill="background1" w:themeFillShade="D9"/>
          </w:tcPr>
          <w:p w:rsidR="00FB0A0F" w:rsidRPr="00B176CF" w:rsidRDefault="00FB0A0F" w:rsidP="00647F3A">
            <w:pPr>
              <w:rPr>
                <w:rFonts w:ascii="Arial Narrow" w:hAnsi="Arial Narrow" w:cs="Arial"/>
                <w:sz w:val="20"/>
                <w:szCs w:val="20"/>
              </w:rPr>
            </w:pPr>
            <w:proofErr w:type="spellStart"/>
            <w:r w:rsidRPr="00B176CF">
              <w:rPr>
                <w:rFonts w:ascii="Arial Narrow" w:hAnsi="Arial Narrow" w:cs="Arial"/>
                <w:sz w:val="20"/>
                <w:szCs w:val="20"/>
              </w:rPr>
              <w:t>Kasapoglu</w:t>
            </w:r>
            <w:proofErr w:type="spellEnd"/>
            <w:r w:rsidRPr="00B176CF">
              <w:rPr>
                <w:rFonts w:ascii="Arial Narrow" w:hAnsi="Arial Narrow" w:cs="Arial"/>
                <w:sz w:val="20"/>
                <w:szCs w:val="20"/>
              </w:rPr>
              <w:t xml:space="preserve"> 2015</w:t>
            </w:r>
          </w:p>
        </w:tc>
        <w:tc>
          <w:tcPr>
            <w:tcW w:w="2584" w:type="pct"/>
            <w:shd w:val="clear" w:color="auto" w:fill="D9D9D9" w:themeFill="background1" w:themeFillShade="D9"/>
          </w:tcPr>
          <w:p w:rsidR="00FB0A0F" w:rsidRPr="00B176CF" w:rsidRDefault="00FB0A0F" w:rsidP="00647F3A">
            <w:pPr>
              <w:rPr>
                <w:rFonts w:ascii="Arial Narrow" w:hAnsi="Arial Narrow" w:cs="Arial"/>
                <w:sz w:val="20"/>
                <w:szCs w:val="20"/>
              </w:rPr>
            </w:pPr>
            <w:proofErr w:type="spellStart"/>
            <w:r w:rsidRPr="00B176CF">
              <w:rPr>
                <w:rFonts w:ascii="Arial Narrow" w:hAnsi="Arial Narrow" w:cs="Arial"/>
                <w:sz w:val="20"/>
                <w:szCs w:val="20"/>
              </w:rPr>
              <w:t>Kasapoglu</w:t>
            </w:r>
            <w:proofErr w:type="spellEnd"/>
            <w:r w:rsidRPr="00B176CF">
              <w:rPr>
                <w:rFonts w:ascii="Arial Narrow" w:hAnsi="Arial Narrow" w:cs="Arial"/>
                <w:sz w:val="20"/>
                <w:szCs w:val="20"/>
              </w:rPr>
              <w:t xml:space="preserve"> et al. Prophylactic </w:t>
            </w:r>
            <w:proofErr w:type="spellStart"/>
            <w:r w:rsidRPr="00B176CF">
              <w:rPr>
                <w:rFonts w:ascii="Arial Narrow" w:hAnsi="Arial Narrow" w:cs="Arial"/>
                <w:sz w:val="20"/>
                <w:szCs w:val="20"/>
              </w:rPr>
              <w:t>eculizumab</w:t>
            </w:r>
            <w:proofErr w:type="spellEnd"/>
            <w:r w:rsidRPr="00B176CF">
              <w:rPr>
                <w:rFonts w:ascii="Arial Narrow" w:hAnsi="Arial Narrow" w:cs="Arial"/>
                <w:sz w:val="20"/>
                <w:szCs w:val="20"/>
              </w:rPr>
              <w:t xml:space="preserve"> use in kidney transplantation: A review of the literature and report of a case with atypical </w:t>
            </w:r>
            <w:proofErr w:type="spellStart"/>
            <w:r w:rsidRPr="00B176CF">
              <w:rPr>
                <w:rFonts w:ascii="Arial Narrow" w:hAnsi="Arial Narrow" w:cs="Arial"/>
                <w:sz w:val="20"/>
                <w:szCs w:val="20"/>
              </w:rPr>
              <w:t>Hemolytic</w:t>
            </w:r>
            <w:proofErr w:type="spellEnd"/>
            <w:r w:rsidRPr="00B176CF">
              <w:rPr>
                <w:rFonts w:ascii="Arial Narrow" w:hAnsi="Arial Narrow" w:cs="Arial"/>
                <w:sz w:val="20"/>
                <w:szCs w:val="20"/>
              </w:rPr>
              <w:t xml:space="preserve"> Uremic Syndrome</w:t>
            </w:r>
          </w:p>
        </w:tc>
        <w:tc>
          <w:tcPr>
            <w:tcW w:w="1568" w:type="pct"/>
            <w:shd w:val="clear" w:color="auto" w:fill="D9D9D9" w:themeFill="background1" w:themeFillShade="D9"/>
          </w:tcPr>
          <w:p w:rsidR="00FB0A0F" w:rsidRPr="00B176CF" w:rsidRDefault="00FB0A0F" w:rsidP="00D97156">
            <w:pPr>
              <w:rPr>
                <w:rFonts w:ascii="Arial Narrow" w:hAnsi="Arial Narrow" w:cs="Arial"/>
                <w:sz w:val="20"/>
                <w:szCs w:val="20"/>
              </w:rPr>
            </w:pPr>
            <w:r w:rsidRPr="00B176CF">
              <w:rPr>
                <w:rFonts w:ascii="Arial Narrow" w:hAnsi="Arial Narrow" w:cs="Arial"/>
                <w:sz w:val="20"/>
                <w:szCs w:val="20"/>
              </w:rPr>
              <w:t>Ann Transplant, 2015; 20: 714-719</w:t>
            </w:r>
          </w:p>
        </w:tc>
      </w:tr>
      <w:tr w:rsidR="00FB0A0F" w:rsidRPr="00B176CF" w:rsidTr="00B15B84">
        <w:trPr>
          <w:cantSplit/>
        </w:trPr>
        <w:tc>
          <w:tcPr>
            <w:tcW w:w="5000" w:type="pct"/>
            <w:gridSpan w:val="3"/>
            <w:shd w:val="clear" w:color="auto" w:fill="FFFFFF" w:themeFill="background1"/>
          </w:tcPr>
          <w:p w:rsidR="00FB0A0F" w:rsidRPr="00B176CF" w:rsidRDefault="00FB0A0F" w:rsidP="002B68A6">
            <w:pPr>
              <w:keepNext/>
              <w:keepLines/>
              <w:rPr>
                <w:rFonts w:ascii="Arial Narrow" w:hAnsi="Arial Narrow" w:cs="Arial"/>
                <w:b/>
                <w:sz w:val="20"/>
                <w:szCs w:val="20"/>
              </w:rPr>
            </w:pPr>
            <w:r w:rsidRPr="00B176CF">
              <w:rPr>
                <w:rFonts w:ascii="Arial Narrow" w:hAnsi="Arial Narrow" w:cs="Arial"/>
                <w:b/>
                <w:sz w:val="20"/>
                <w:szCs w:val="20"/>
              </w:rPr>
              <w:t>Historical outcomes pre-</w:t>
            </w:r>
            <w:proofErr w:type="spellStart"/>
            <w:r w:rsidRPr="00B176CF">
              <w:rPr>
                <w:rFonts w:ascii="Arial Narrow" w:hAnsi="Arial Narrow" w:cs="Arial"/>
                <w:b/>
                <w:sz w:val="20"/>
                <w:szCs w:val="20"/>
              </w:rPr>
              <w:t>eculizumab</w:t>
            </w:r>
            <w:proofErr w:type="spellEnd"/>
            <w:r w:rsidR="00406C6B" w:rsidRPr="00B176CF">
              <w:rPr>
                <w:rFonts w:ascii="Arial Narrow" w:hAnsi="Arial Narrow" w:cs="Arial"/>
                <w:b/>
                <w:sz w:val="20"/>
                <w:szCs w:val="20"/>
              </w:rPr>
              <w:t xml:space="preserve"> in patients with </w:t>
            </w:r>
            <w:proofErr w:type="spellStart"/>
            <w:r w:rsidR="00406C6B" w:rsidRPr="00B176CF">
              <w:rPr>
                <w:rFonts w:ascii="Arial Narrow" w:hAnsi="Arial Narrow" w:cs="Arial"/>
                <w:b/>
                <w:sz w:val="20"/>
                <w:szCs w:val="20"/>
              </w:rPr>
              <w:t>aHUS</w:t>
            </w:r>
            <w:proofErr w:type="spellEnd"/>
            <w:r w:rsidR="00406C6B" w:rsidRPr="00B176CF">
              <w:rPr>
                <w:rFonts w:ascii="Arial Narrow" w:hAnsi="Arial Narrow" w:cs="Arial"/>
                <w:b/>
                <w:sz w:val="20"/>
                <w:szCs w:val="20"/>
              </w:rPr>
              <w:t xml:space="preserve"> who underwent kidney transplantation</w:t>
            </w:r>
          </w:p>
        </w:tc>
      </w:tr>
      <w:tr w:rsidR="00FB0A0F" w:rsidRPr="00B176CF" w:rsidTr="00647F3A">
        <w:trPr>
          <w:cantSplit/>
        </w:trPr>
        <w:tc>
          <w:tcPr>
            <w:tcW w:w="848" w:type="pct"/>
            <w:shd w:val="clear" w:color="auto" w:fill="FFFFFF" w:themeFill="background1"/>
          </w:tcPr>
          <w:p w:rsidR="00FB0A0F" w:rsidRPr="00B176CF" w:rsidRDefault="00FB0A0F" w:rsidP="00B15B84">
            <w:pPr>
              <w:pStyle w:val="NoSpacing"/>
              <w:keepNext/>
              <w:keepLines/>
              <w:rPr>
                <w:rFonts w:ascii="Arial Narrow" w:eastAsia="Calibri" w:hAnsi="Arial Narrow" w:cs="Arial"/>
                <w:sz w:val="20"/>
                <w:szCs w:val="20"/>
              </w:rPr>
            </w:pPr>
            <w:proofErr w:type="spellStart"/>
            <w:r w:rsidRPr="00B176CF">
              <w:rPr>
                <w:rFonts w:ascii="Arial Narrow" w:eastAsia="Calibri" w:hAnsi="Arial Narrow" w:cs="Arial"/>
                <w:sz w:val="20"/>
                <w:szCs w:val="20"/>
              </w:rPr>
              <w:t>Bresin</w:t>
            </w:r>
            <w:proofErr w:type="spellEnd"/>
            <w:r w:rsidRPr="00B176CF">
              <w:rPr>
                <w:rFonts w:ascii="Arial Narrow" w:eastAsia="Calibri" w:hAnsi="Arial Narrow" w:cs="Arial"/>
                <w:sz w:val="20"/>
                <w:szCs w:val="20"/>
              </w:rPr>
              <w:t xml:space="preserve"> 2006 </w:t>
            </w:r>
          </w:p>
        </w:tc>
        <w:tc>
          <w:tcPr>
            <w:tcW w:w="2584" w:type="pct"/>
            <w:shd w:val="clear" w:color="auto" w:fill="FFFFFF" w:themeFill="background1"/>
          </w:tcPr>
          <w:p w:rsidR="00FB0A0F" w:rsidRPr="00B176CF" w:rsidRDefault="00FB0A0F" w:rsidP="00B15B84">
            <w:pPr>
              <w:keepNext/>
              <w:keepLines/>
              <w:rPr>
                <w:rFonts w:ascii="Arial Narrow" w:hAnsi="Arial Narrow" w:cs="Arial"/>
                <w:sz w:val="20"/>
                <w:szCs w:val="20"/>
              </w:rPr>
            </w:pPr>
            <w:proofErr w:type="spellStart"/>
            <w:r w:rsidRPr="00B176CF">
              <w:rPr>
                <w:rFonts w:ascii="Arial Narrow" w:eastAsia="Calibri" w:hAnsi="Arial Narrow" w:cs="Arial"/>
                <w:sz w:val="20"/>
                <w:szCs w:val="20"/>
              </w:rPr>
              <w:t>Bresin</w:t>
            </w:r>
            <w:proofErr w:type="spellEnd"/>
            <w:r w:rsidRPr="00B176CF">
              <w:rPr>
                <w:rFonts w:ascii="Arial Narrow" w:eastAsia="Calibri" w:hAnsi="Arial Narrow" w:cs="Arial"/>
                <w:sz w:val="20"/>
                <w:szCs w:val="20"/>
              </w:rPr>
              <w:t xml:space="preserve">, E. et al. Outcome of renal transplantation in patients with non-Shiga toxin-associated </w:t>
            </w:r>
            <w:proofErr w:type="spellStart"/>
            <w:r w:rsidRPr="00B176CF">
              <w:rPr>
                <w:rFonts w:ascii="Arial Narrow" w:eastAsia="Calibri" w:hAnsi="Arial Narrow" w:cs="Arial"/>
                <w:sz w:val="20"/>
                <w:szCs w:val="20"/>
              </w:rPr>
              <w:t>hemolytic</w:t>
            </w:r>
            <w:proofErr w:type="spellEnd"/>
            <w:r w:rsidRPr="00B176CF">
              <w:rPr>
                <w:rFonts w:ascii="Arial Narrow" w:eastAsia="Calibri" w:hAnsi="Arial Narrow" w:cs="Arial"/>
                <w:sz w:val="20"/>
                <w:szCs w:val="20"/>
              </w:rPr>
              <w:t xml:space="preserve"> uremic syndrome: prognostic significance of genetic background. </w:t>
            </w:r>
          </w:p>
        </w:tc>
        <w:tc>
          <w:tcPr>
            <w:tcW w:w="1568" w:type="pct"/>
            <w:shd w:val="clear" w:color="auto" w:fill="FFFFFF" w:themeFill="background1"/>
          </w:tcPr>
          <w:p w:rsidR="00FB0A0F" w:rsidRPr="00B176CF" w:rsidRDefault="00FB0A0F" w:rsidP="002B68A6">
            <w:pPr>
              <w:keepNext/>
              <w:keepLines/>
              <w:rPr>
                <w:rFonts w:ascii="Arial Narrow" w:hAnsi="Arial Narrow" w:cs="Arial"/>
                <w:sz w:val="20"/>
                <w:szCs w:val="20"/>
              </w:rPr>
            </w:pPr>
            <w:proofErr w:type="spellStart"/>
            <w:r w:rsidRPr="00B176CF">
              <w:rPr>
                <w:rFonts w:ascii="Arial Narrow" w:eastAsia="Calibri" w:hAnsi="Arial Narrow" w:cs="Arial"/>
                <w:sz w:val="20"/>
                <w:szCs w:val="20"/>
              </w:rPr>
              <w:t>Clin</w:t>
            </w:r>
            <w:proofErr w:type="spellEnd"/>
            <w:r w:rsidRPr="00B176CF">
              <w:rPr>
                <w:rFonts w:ascii="Arial Narrow" w:eastAsia="Calibri" w:hAnsi="Arial Narrow" w:cs="Arial"/>
                <w:sz w:val="20"/>
                <w:szCs w:val="20"/>
              </w:rPr>
              <w:t xml:space="preserve">. J. Am. Soc. </w:t>
            </w:r>
            <w:proofErr w:type="spellStart"/>
            <w:r w:rsidRPr="00B176CF">
              <w:rPr>
                <w:rFonts w:ascii="Arial Narrow" w:eastAsia="Calibri" w:hAnsi="Arial Narrow" w:cs="Arial"/>
                <w:sz w:val="20"/>
                <w:szCs w:val="20"/>
              </w:rPr>
              <w:t>Nephrol</w:t>
            </w:r>
            <w:proofErr w:type="spellEnd"/>
            <w:r w:rsidRPr="00B176CF">
              <w:rPr>
                <w:rFonts w:ascii="Arial Narrow" w:eastAsia="Calibri" w:hAnsi="Arial Narrow" w:cs="Arial"/>
                <w:sz w:val="20"/>
                <w:szCs w:val="20"/>
              </w:rPr>
              <w:t>. 1, 88–99 (2006).</w:t>
            </w:r>
          </w:p>
        </w:tc>
      </w:tr>
      <w:tr w:rsidR="00FB0A0F" w:rsidRPr="00B176CF" w:rsidTr="00647F3A">
        <w:trPr>
          <w:cantSplit/>
        </w:trPr>
        <w:tc>
          <w:tcPr>
            <w:tcW w:w="848" w:type="pct"/>
            <w:shd w:val="clear" w:color="auto" w:fill="FFFFFF" w:themeFill="background1"/>
          </w:tcPr>
          <w:p w:rsidR="00FB0A0F" w:rsidRPr="00B176CF" w:rsidRDefault="00FB0A0F" w:rsidP="00D97156">
            <w:pPr>
              <w:pStyle w:val="NoSpacing"/>
              <w:keepNext/>
              <w:keepLines/>
              <w:jc w:val="left"/>
              <w:rPr>
                <w:rFonts w:ascii="Arial Narrow" w:eastAsia="Calibri" w:hAnsi="Arial Narrow" w:cs="Arial"/>
                <w:sz w:val="20"/>
                <w:szCs w:val="20"/>
              </w:rPr>
            </w:pPr>
            <w:proofErr w:type="spellStart"/>
            <w:r w:rsidRPr="00B176CF">
              <w:rPr>
                <w:rFonts w:ascii="Arial Narrow" w:eastAsia="Calibri" w:hAnsi="Arial Narrow" w:cs="Arial"/>
                <w:sz w:val="20"/>
                <w:szCs w:val="20"/>
              </w:rPr>
              <w:t>Noris</w:t>
            </w:r>
            <w:proofErr w:type="spellEnd"/>
            <w:r w:rsidRPr="00B176CF">
              <w:rPr>
                <w:rFonts w:ascii="Arial Narrow" w:eastAsia="Calibri" w:hAnsi="Arial Narrow" w:cs="Arial"/>
                <w:sz w:val="20"/>
                <w:szCs w:val="20"/>
              </w:rPr>
              <w:t xml:space="preserve"> 2013 </w:t>
            </w:r>
          </w:p>
        </w:tc>
        <w:tc>
          <w:tcPr>
            <w:tcW w:w="2584" w:type="pct"/>
            <w:shd w:val="clear" w:color="auto" w:fill="FFFFFF" w:themeFill="background1"/>
          </w:tcPr>
          <w:p w:rsidR="00FB0A0F" w:rsidRPr="00B176CF" w:rsidRDefault="00FB0A0F" w:rsidP="00D97156">
            <w:pPr>
              <w:keepNext/>
              <w:keepLines/>
              <w:rPr>
                <w:rFonts w:ascii="Arial Narrow" w:hAnsi="Arial Narrow" w:cs="Arial"/>
                <w:sz w:val="20"/>
                <w:szCs w:val="20"/>
              </w:rPr>
            </w:pPr>
            <w:proofErr w:type="spellStart"/>
            <w:r w:rsidRPr="00B176CF">
              <w:rPr>
                <w:rFonts w:ascii="Arial Narrow" w:eastAsia="Calibri" w:hAnsi="Arial Narrow" w:cs="Arial"/>
                <w:sz w:val="20"/>
                <w:szCs w:val="20"/>
              </w:rPr>
              <w:t>Noris</w:t>
            </w:r>
            <w:proofErr w:type="spellEnd"/>
            <w:r w:rsidRPr="00B176CF">
              <w:rPr>
                <w:rFonts w:ascii="Arial Narrow" w:eastAsia="Calibri" w:hAnsi="Arial Narrow" w:cs="Arial"/>
                <w:sz w:val="20"/>
                <w:szCs w:val="20"/>
              </w:rPr>
              <w:t xml:space="preserve">, M. &amp; </w:t>
            </w:r>
            <w:proofErr w:type="spellStart"/>
            <w:r w:rsidRPr="00B176CF">
              <w:rPr>
                <w:rFonts w:ascii="Arial Narrow" w:eastAsia="Calibri" w:hAnsi="Arial Narrow" w:cs="Arial"/>
                <w:sz w:val="20"/>
                <w:szCs w:val="20"/>
              </w:rPr>
              <w:t>Remuzzi</w:t>
            </w:r>
            <w:proofErr w:type="spellEnd"/>
            <w:r w:rsidRPr="00B176CF">
              <w:rPr>
                <w:rFonts w:ascii="Arial Narrow" w:eastAsia="Calibri" w:hAnsi="Arial Narrow" w:cs="Arial"/>
                <w:sz w:val="20"/>
                <w:szCs w:val="20"/>
              </w:rPr>
              <w:t xml:space="preserve">, G. Managing and preventing atypical </w:t>
            </w:r>
            <w:proofErr w:type="spellStart"/>
            <w:r w:rsidRPr="00B176CF">
              <w:rPr>
                <w:rFonts w:ascii="Arial Narrow" w:eastAsia="Calibri" w:hAnsi="Arial Narrow" w:cs="Arial"/>
                <w:sz w:val="20"/>
                <w:szCs w:val="20"/>
              </w:rPr>
              <w:t>hemolytic</w:t>
            </w:r>
            <w:proofErr w:type="spellEnd"/>
            <w:r w:rsidRPr="00B176CF">
              <w:rPr>
                <w:rFonts w:ascii="Arial Narrow" w:eastAsia="Calibri" w:hAnsi="Arial Narrow" w:cs="Arial"/>
                <w:sz w:val="20"/>
                <w:szCs w:val="20"/>
              </w:rPr>
              <w:t xml:space="preserve"> uremic syndrome recurrence after kidney transplantation.</w:t>
            </w:r>
          </w:p>
        </w:tc>
        <w:tc>
          <w:tcPr>
            <w:tcW w:w="1568" w:type="pct"/>
            <w:shd w:val="clear" w:color="auto" w:fill="FFFFFF" w:themeFill="background1"/>
          </w:tcPr>
          <w:p w:rsidR="00FB0A0F" w:rsidRPr="00B176CF" w:rsidRDefault="00FB0A0F" w:rsidP="00D97156">
            <w:pPr>
              <w:keepNext/>
              <w:keepLines/>
              <w:rPr>
                <w:rFonts w:ascii="Arial Narrow" w:hAnsi="Arial Narrow" w:cs="Arial"/>
                <w:sz w:val="20"/>
                <w:szCs w:val="20"/>
              </w:rPr>
            </w:pPr>
            <w:proofErr w:type="spellStart"/>
            <w:r w:rsidRPr="00B176CF">
              <w:rPr>
                <w:rFonts w:ascii="Arial Narrow" w:eastAsia="Calibri" w:hAnsi="Arial Narrow" w:cs="Arial"/>
                <w:sz w:val="20"/>
                <w:szCs w:val="20"/>
              </w:rPr>
              <w:t>Curr</w:t>
            </w:r>
            <w:proofErr w:type="spellEnd"/>
            <w:r w:rsidRPr="00B176CF">
              <w:rPr>
                <w:rFonts w:ascii="Arial Narrow" w:eastAsia="Calibri" w:hAnsi="Arial Narrow" w:cs="Arial"/>
                <w:sz w:val="20"/>
                <w:szCs w:val="20"/>
              </w:rPr>
              <w:t xml:space="preserve">. </w:t>
            </w:r>
            <w:proofErr w:type="spellStart"/>
            <w:r w:rsidRPr="00B176CF">
              <w:rPr>
                <w:rFonts w:ascii="Arial Narrow" w:eastAsia="Calibri" w:hAnsi="Arial Narrow" w:cs="Arial"/>
                <w:sz w:val="20"/>
                <w:szCs w:val="20"/>
              </w:rPr>
              <w:t>Opin</w:t>
            </w:r>
            <w:proofErr w:type="spellEnd"/>
            <w:r w:rsidRPr="00B176CF">
              <w:rPr>
                <w:rFonts w:ascii="Arial Narrow" w:eastAsia="Calibri" w:hAnsi="Arial Narrow" w:cs="Arial"/>
                <w:sz w:val="20"/>
                <w:szCs w:val="20"/>
              </w:rPr>
              <w:t xml:space="preserve">. </w:t>
            </w:r>
            <w:proofErr w:type="spellStart"/>
            <w:r w:rsidRPr="00B176CF">
              <w:rPr>
                <w:rFonts w:ascii="Arial Narrow" w:eastAsia="Calibri" w:hAnsi="Arial Narrow" w:cs="Arial"/>
                <w:sz w:val="20"/>
                <w:szCs w:val="20"/>
              </w:rPr>
              <w:t>Nephrol</w:t>
            </w:r>
            <w:proofErr w:type="spellEnd"/>
            <w:r w:rsidRPr="00B176CF">
              <w:rPr>
                <w:rFonts w:ascii="Arial Narrow" w:eastAsia="Calibri" w:hAnsi="Arial Narrow" w:cs="Arial"/>
                <w:sz w:val="20"/>
                <w:szCs w:val="20"/>
              </w:rPr>
              <w:t xml:space="preserve">. </w:t>
            </w:r>
            <w:proofErr w:type="spellStart"/>
            <w:r w:rsidRPr="00B176CF">
              <w:rPr>
                <w:rFonts w:ascii="Arial Narrow" w:eastAsia="Calibri" w:hAnsi="Arial Narrow" w:cs="Arial"/>
                <w:sz w:val="20"/>
                <w:szCs w:val="20"/>
              </w:rPr>
              <w:t>Hypertens</w:t>
            </w:r>
            <w:proofErr w:type="spellEnd"/>
            <w:r w:rsidRPr="00B176CF">
              <w:rPr>
                <w:rFonts w:ascii="Arial Narrow" w:eastAsia="Calibri" w:hAnsi="Arial Narrow" w:cs="Arial"/>
                <w:sz w:val="20"/>
                <w:szCs w:val="20"/>
              </w:rPr>
              <w:t>. 22, 704–12 (2013).</w:t>
            </w:r>
          </w:p>
        </w:tc>
      </w:tr>
      <w:tr w:rsidR="00FB0A0F" w:rsidRPr="00B176CF" w:rsidTr="00B15B84">
        <w:trPr>
          <w:cantSplit/>
        </w:trPr>
        <w:tc>
          <w:tcPr>
            <w:tcW w:w="848" w:type="pct"/>
            <w:shd w:val="clear" w:color="auto" w:fill="D9D9D9" w:themeFill="background1" w:themeFillShade="D9"/>
          </w:tcPr>
          <w:p w:rsidR="00FB0A0F" w:rsidRPr="00B176CF" w:rsidRDefault="00FB0A0F" w:rsidP="00B15B84">
            <w:pPr>
              <w:pStyle w:val="NoSpacing"/>
              <w:keepNext/>
              <w:keepLines/>
              <w:jc w:val="left"/>
              <w:rPr>
                <w:rFonts w:ascii="Arial Narrow" w:eastAsia="Calibri" w:hAnsi="Arial Narrow" w:cs="Arial"/>
                <w:sz w:val="20"/>
                <w:szCs w:val="20"/>
              </w:rPr>
            </w:pPr>
            <w:r w:rsidRPr="00B176CF">
              <w:rPr>
                <w:rFonts w:ascii="Arial Narrow" w:eastAsia="Calibri" w:hAnsi="Arial Narrow" w:cs="Arial"/>
                <w:sz w:val="20"/>
                <w:szCs w:val="20"/>
              </w:rPr>
              <w:t xml:space="preserve">Le </w:t>
            </w:r>
            <w:proofErr w:type="spellStart"/>
            <w:r w:rsidRPr="00B176CF">
              <w:rPr>
                <w:rFonts w:ascii="Arial Narrow" w:eastAsia="Calibri" w:hAnsi="Arial Narrow" w:cs="Arial"/>
                <w:sz w:val="20"/>
                <w:szCs w:val="20"/>
              </w:rPr>
              <w:t>Quintrec</w:t>
            </w:r>
            <w:proofErr w:type="spellEnd"/>
            <w:r w:rsidRPr="00B176CF">
              <w:rPr>
                <w:rFonts w:ascii="Arial Narrow" w:eastAsia="Calibri" w:hAnsi="Arial Narrow" w:cs="Arial"/>
                <w:sz w:val="20"/>
                <w:szCs w:val="20"/>
              </w:rPr>
              <w:t xml:space="preserve"> 2013 </w:t>
            </w:r>
          </w:p>
        </w:tc>
        <w:tc>
          <w:tcPr>
            <w:tcW w:w="2584" w:type="pct"/>
            <w:shd w:val="clear" w:color="auto" w:fill="D9D9D9" w:themeFill="background1" w:themeFillShade="D9"/>
          </w:tcPr>
          <w:p w:rsidR="00FB0A0F" w:rsidRPr="00B176CF" w:rsidRDefault="00FB0A0F" w:rsidP="00B15B84">
            <w:pPr>
              <w:keepNext/>
              <w:keepLines/>
              <w:rPr>
                <w:rFonts w:ascii="Arial Narrow" w:hAnsi="Arial Narrow" w:cs="Arial"/>
                <w:sz w:val="20"/>
                <w:szCs w:val="20"/>
              </w:rPr>
            </w:pPr>
            <w:r w:rsidRPr="00B176CF">
              <w:rPr>
                <w:rFonts w:ascii="Arial Narrow" w:eastAsia="Calibri" w:hAnsi="Arial Narrow" w:cs="Arial"/>
                <w:sz w:val="20"/>
                <w:szCs w:val="20"/>
              </w:rPr>
              <w:t xml:space="preserve">Le </w:t>
            </w:r>
            <w:proofErr w:type="spellStart"/>
            <w:r w:rsidRPr="00B176CF">
              <w:rPr>
                <w:rFonts w:ascii="Arial Narrow" w:eastAsia="Calibri" w:hAnsi="Arial Narrow" w:cs="Arial"/>
                <w:sz w:val="20"/>
                <w:szCs w:val="20"/>
              </w:rPr>
              <w:t>Quintrec</w:t>
            </w:r>
            <w:proofErr w:type="spellEnd"/>
            <w:r w:rsidRPr="00B176CF">
              <w:rPr>
                <w:rFonts w:ascii="Arial Narrow" w:eastAsia="Calibri" w:hAnsi="Arial Narrow" w:cs="Arial"/>
                <w:sz w:val="20"/>
                <w:szCs w:val="20"/>
              </w:rPr>
              <w:t xml:space="preserve">, M. et al. Complement Genes Strongly Predict Recurrence and Graft Outcomes in Adult Renal Transplant Recipients with Atypical </w:t>
            </w:r>
            <w:proofErr w:type="spellStart"/>
            <w:r w:rsidRPr="00B176CF">
              <w:rPr>
                <w:rFonts w:ascii="Arial Narrow" w:eastAsia="Calibri" w:hAnsi="Arial Narrow" w:cs="Arial"/>
                <w:sz w:val="20"/>
                <w:szCs w:val="20"/>
              </w:rPr>
              <w:t>Hemolytic</w:t>
            </w:r>
            <w:proofErr w:type="spellEnd"/>
            <w:r w:rsidRPr="00B176CF">
              <w:rPr>
                <w:rFonts w:ascii="Arial Narrow" w:eastAsia="Calibri" w:hAnsi="Arial Narrow" w:cs="Arial"/>
                <w:sz w:val="20"/>
                <w:szCs w:val="20"/>
              </w:rPr>
              <w:t xml:space="preserve"> and Uremic Syndrome. </w:t>
            </w:r>
          </w:p>
        </w:tc>
        <w:tc>
          <w:tcPr>
            <w:tcW w:w="1568" w:type="pct"/>
            <w:shd w:val="clear" w:color="auto" w:fill="D9D9D9" w:themeFill="background1" w:themeFillShade="D9"/>
          </w:tcPr>
          <w:p w:rsidR="00FB0A0F" w:rsidRPr="00B176CF" w:rsidRDefault="00FB0A0F" w:rsidP="002B68A6">
            <w:pPr>
              <w:keepNext/>
              <w:keepLines/>
              <w:rPr>
                <w:rFonts w:ascii="Arial Narrow" w:hAnsi="Arial Narrow" w:cs="Arial"/>
                <w:sz w:val="20"/>
                <w:szCs w:val="20"/>
              </w:rPr>
            </w:pPr>
            <w:r w:rsidRPr="00B176CF">
              <w:rPr>
                <w:rFonts w:ascii="Arial Narrow" w:eastAsia="Calibri" w:hAnsi="Arial Narrow" w:cs="Arial"/>
                <w:sz w:val="20"/>
                <w:szCs w:val="20"/>
              </w:rPr>
              <w:t>Am. J. Transplant. 13, 663–675 (2013).</w:t>
            </w:r>
          </w:p>
        </w:tc>
      </w:tr>
    </w:tbl>
    <w:p w:rsidR="00494192" w:rsidRPr="00B176CF" w:rsidRDefault="00494192" w:rsidP="009A371E">
      <w:pPr>
        <w:pStyle w:val="tablenotes"/>
        <w:rPr>
          <w:rFonts w:cs="Arial"/>
          <w:szCs w:val="18"/>
        </w:rPr>
      </w:pPr>
      <w:proofErr w:type="spellStart"/>
      <w:proofErr w:type="gramStart"/>
      <w:r w:rsidRPr="00B176CF">
        <w:rPr>
          <w:rFonts w:cs="Arial"/>
          <w:szCs w:val="18"/>
        </w:rPr>
        <w:t>aHUS</w:t>
      </w:r>
      <w:proofErr w:type="spellEnd"/>
      <w:proofErr w:type="gramEnd"/>
      <w:r w:rsidRPr="00B176CF">
        <w:rPr>
          <w:rFonts w:cs="Arial"/>
          <w:szCs w:val="18"/>
        </w:rPr>
        <w:t xml:space="preserve"> = atypical haemolytic uraemic syndrome</w:t>
      </w:r>
    </w:p>
    <w:p w:rsidR="00494192" w:rsidRPr="00B176CF" w:rsidRDefault="00494192" w:rsidP="009A371E">
      <w:pPr>
        <w:pStyle w:val="tablenotes"/>
        <w:rPr>
          <w:rFonts w:cs="Arial"/>
          <w:szCs w:val="18"/>
        </w:rPr>
      </w:pPr>
      <w:r w:rsidRPr="00B176CF">
        <w:rPr>
          <w:rFonts w:cs="Arial"/>
          <w:szCs w:val="18"/>
        </w:rPr>
        <w:t xml:space="preserve">Source: Compiled from information provided </w:t>
      </w:r>
      <w:r w:rsidR="00F82D87" w:rsidRPr="00B176CF">
        <w:rPr>
          <w:rFonts w:cs="Arial"/>
          <w:szCs w:val="18"/>
        </w:rPr>
        <w:t>in Table 4, pp27 -31</w:t>
      </w:r>
    </w:p>
    <w:p w:rsidR="00066160" w:rsidRPr="00B176CF" w:rsidRDefault="00066160" w:rsidP="009A371E">
      <w:pPr>
        <w:pStyle w:val="tablenotes"/>
        <w:rPr>
          <w:rFonts w:cs="Arial"/>
          <w:szCs w:val="18"/>
        </w:rPr>
      </w:pPr>
      <w:proofErr w:type="spellStart"/>
      <w:proofErr w:type="gramStart"/>
      <w:r w:rsidRPr="00B176CF">
        <w:rPr>
          <w:rFonts w:cs="Arial"/>
          <w:szCs w:val="18"/>
          <w:vertAlign w:val="superscript"/>
        </w:rPr>
        <w:t>a</w:t>
      </w:r>
      <w:proofErr w:type="spellEnd"/>
      <w:proofErr w:type="gramEnd"/>
      <w:r w:rsidRPr="00B176CF">
        <w:rPr>
          <w:rFonts w:cs="Arial"/>
          <w:szCs w:val="18"/>
          <w:vertAlign w:val="superscript"/>
        </w:rPr>
        <w:t xml:space="preserve"> </w:t>
      </w:r>
      <w:r w:rsidRPr="00B176CF">
        <w:rPr>
          <w:rFonts w:cs="Arial"/>
          <w:szCs w:val="18"/>
        </w:rPr>
        <w:t xml:space="preserve">Incorrectly referenced in minor resubmission, or referenced to a </w:t>
      </w:r>
      <w:r w:rsidR="00EC50D8" w:rsidRPr="00B176CF">
        <w:rPr>
          <w:rFonts w:cs="Arial"/>
          <w:szCs w:val="18"/>
        </w:rPr>
        <w:t>pre-publication version</w:t>
      </w:r>
      <w:r w:rsidRPr="00B176CF">
        <w:rPr>
          <w:rFonts w:cs="Arial"/>
          <w:szCs w:val="18"/>
        </w:rPr>
        <w:t xml:space="preserve"> </w:t>
      </w:r>
      <w:r w:rsidR="009A371E" w:rsidRPr="00B176CF">
        <w:rPr>
          <w:rFonts w:cs="Arial"/>
          <w:szCs w:val="18"/>
        </w:rPr>
        <w:t>while a publication version had previously been referenced.</w:t>
      </w:r>
    </w:p>
    <w:p w:rsidR="00E445E2" w:rsidRPr="00A35B99" w:rsidRDefault="000F2B61" w:rsidP="00E013EC">
      <w:pPr>
        <w:pStyle w:val="ListParagraph"/>
        <w:widowControl/>
        <w:numPr>
          <w:ilvl w:val="1"/>
          <w:numId w:val="5"/>
        </w:numPr>
        <w:spacing w:after="120"/>
        <w:ind w:left="709"/>
        <w:contextualSpacing w:val="0"/>
        <w:rPr>
          <w:sz w:val="24"/>
          <w:szCs w:val="24"/>
        </w:rPr>
      </w:pPr>
      <w:r>
        <w:rPr>
          <w:rFonts w:asciiTheme="minorHAnsi" w:hAnsiTheme="minorHAnsi"/>
          <w:sz w:val="24"/>
          <w:szCs w:val="24"/>
        </w:rPr>
        <w:t xml:space="preserve">The </w:t>
      </w:r>
      <w:r w:rsidR="00E445E2" w:rsidRPr="00E013EC">
        <w:rPr>
          <w:rFonts w:asciiTheme="minorHAnsi" w:hAnsiTheme="minorHAnsi"/>
          <w:sz w:val="24"/>
          <w:szCs w:val="24"/>
        </w:rPr>
        <w:t xml:space="preserve">PBAC also identified a </w:t>
      </w:r>
      <w:r w:rsidR="00E445E2">
        <w:rPr>
          <w:rFonts w:asciiTheme="minorHAnsi" w:hAnsiTheme="minorHAnsi"/>
          <w:sz w:val="24"/>
          <w:szCs w:val="24"/>
        </w:rPr>
        <w:t xml:space="preserve">case-series of patients </w:t>
      </w:r>
      <w:r w:rsidR="0091731A">
        <w:rPr>
          <w:rFonts w:asciiTheme="minorHAnsi" w:hAnsiTheme="minorHAnsi"/>
          <w:sz w:val="24"/>
          <w:szCs w:val="24"/>
        </w:rPr>
        <w:t xml:space="preserve">with </w:t>
      </w:r>
      <w:proofErr w:type="spellStart"/>
      <w:r w:rsidR="0091731A">
        <w:rPr>
          <w:rFonts w:asciiTheme="minorHAnsi" w:hAnsiTheme="minorHAnsi"/>
          <w:sz w:val="24"/>
          <w:szCs w:val="24"/>
        </w:rPr>
        <w:t>aHUS</w:t>
      </w:r>
      <w:proofErr w:type="spellEnd"/>
      <w:r w:rsidR="0091731A">
        <w:rPr>
          <w:rFonts w:asciiTheme="minorHAnsi" w:hAnsiTheme="minorHAnsi"/>
          <w:sz w:val="24"/>
          <w:szCs w:val="24"/>
        </w:rPr>
        <w:t xml:space="preserve"> </w:t>
      </w:r>
      <w:r>
        <w:rPr>
          <w:rFonts w:asciiTheme="minorHAnsi" w:hAnsiTheme="minorHAnsi"/>
          <w:sz w:val="24"/>
          <w:szCs w:val="24"/>
        </w:rPr>
        <w:t>who underwent</w:t>
      </w:r>
      <w:r w:rsidR="00E445E2">
        <w:rPr>
          <w:rFonts w:asciiTheme="minorHAnsi" w:hAnsiTheme="minorHAnsi"/>
          <w:sz w:val="24"/>
          <w:szCs w:val="24"/>
        </w:rPr>
        <w:t xml:space="preserve"> renal transplant</w:t>
      </w:r>
      <w:r w:rsidR="00A35B99">
        <w:rPr>
          <w:rFonts w:asciiTheme="minorHAnsi" w:hAnsiTheme="minorHAnsi"/>
          <w:sz w:val="24"/>
          <w:szCs w:val="24"/>
        </w:rPr>
        <w:t>ation</w:t>
      </w:r>
      <w:r w:rsidR="00E445E2">
        <w:rPr>
          <w:rFonts w:asciiTheme="minorHAnsi" w:hAnsiTheme="minorHAnsi"/>
          <w:sz w:val="24"/>
          <w:szCs w:val="24"/>
        </w:rPr>
        <w:t xml:space="preserve"> </w:t>
      </w:r>
      <w:r>
        <w:rPr>
          <w:rFonts w:asciiTheme="minorHAnsi" w:hAnsiTheme="minorHAnsi"/>
          <w:sz w:val="24"/>
          <w:szCs w:val="24"/>
        </w:rPr>
        <w:t>and</w:t>
      </w:r>
      <w:r w:rsidR="00E445E2">
        <w:rPr>
          <w:rFonts w:asciiTheme="minorHAnsi" w:hAnsiTheme="minorHAnsi"/>
          <w:sz w:val="24"/>
          <w:szCs w:val="24"/>
        </w:rPr>
        <w:t xml:space="preserve"> did not receive prophylactic </w:t>
      </w:r>
      <w:proofErr w:type="spellStart"/>
      <w:r w:rsidR="0091731A">
        <w:rPr>
          <w:rFonts w:asciiTheme="minorHAnsi" w:hAnsiTheme="minorHAnsi"/>
          <w:sz w:val="24"/>
          <w:szCs w:val="24"/>
        </w:rPr>
        <w:t>e</w:t>
      </w:r>
      <w:r w:rsidR="00E445E2">
        <w:rPr>
          <w:rFonts w:asciiTheme="minorHAnsi" w:hAnsiTheme="minorHAnsi"/>
          <w:sz w:val="24"/>
          <w:szCs w:val="24"/>
        </w:rPr>
        <w:t>culizumab</w:t>
      </w:r>
      <w:proofErr w:type="spellEnd"/>
      <w:r w:rsidR="00E445E2">
        <w:rPr>
          <w:rFonts w:asciiTheme="minorHAnsi" w:hAnsiTheme="minorHAnsi"/>
          <w:sz w:val="24"/>
          <w:szCs w:val="24"/>
        </w:rPr>
        <w:t xml:space="preserve"> </w:t>
      </w:r>
      <w:r w:rsidR="0091731A">
        <w:rPr>
          <w:rFonts w:asciiTheme="minorHAnsi" w:hAnsiTheme="minorHAnsi"/>
          <w:sz w:val="24"/>
          <w:szCs w:val="24"/>
        </w:rPr>
        <w:t xml:space="preserve">therapy </w:t>
      </w:r>
      <w:r w:rsidR="00E445E2">
        <w:rPr>
          <w:rFonts w:asciiTheme="minorHAnsi" w:hAnsiTheme="minorHAnsi"/>
          <w:sz w:val="24"/>
          <w:szCs w:val="24"/>
        </w:rPr>
        <w:t>but</w:t>
      </w:r>
      <w:r>
        <w:rPr>
          <w:rFonts w:asciiTheme="minorHAnsi" w:hAnsiTheme="minorHAnsi"/>
          <w:sz w:val="24"/>
          <w:szCs w:val="24"/>
        </w:rPr>
        <w:t xml:space="preserve"> instead</w:t>
      </w:r>
      <w:r w:rsidR="00E445E2">
        <w:rPr>
          <w:rFonts w:asciiTheme="minorHAnsi" w:hAnsiTheme="minorHAnsi"/>
          <w:sz w:val="24"/>
          <w:szCs w:val="24"/>
        </w:rPr>
        <w:t xml:space="preserve"> had </w:t>
      </w:r>
      <w:r w:rsidR="0091731A">
        <w:rPr>
          <w:rFonts w:asciiTheme="minorHAnsi" w:hAnsiTheme="minorHAnsi"/>
          <w:sz w:val="24"/>
          <w:szCs w:val="24"/>
        </w:rPr>
        <w:t>‘</w:t>
      </w:r>
      <w:r w:rsidR="00E445E2">
        <w:rPr>
          <w:rFonts w:asciiTheme="minorHAnsi" w:hAnsiTheme="minorHAnsi"/>
          <w:sz w:val="24"/>
          <w:szCs w:val="24"/>
        </w:rPr>
        <w:t>rescue</w:t>
      </w:r>
      <w:r w:rsidR="0091731A">
        <w:rPr>
          <w:rFonts w:asciiTheme="minorHAnsi" w:hAnsiTheme="minorHAnsi"/>
          <w:sz w:val="24"/>
          <w:szCs w:val="24"/>
        </w:rPr>
        <w:t>’</w:t>
      </w:r>
      <w:r w:rsidR="00E445E2">
        <w:rPr>
          <w:rFonts w:asciiTheme="minorHAnsi" w:hAnsiTheme="minorHAnsi"/>
          <w:sz w:val="24"/>
          <w:szCs w:val="24"/>
        </w:rPr>
        <w:t xml:space="preserve"> treatment available</w:t>
      </w:r>
      <w:r w:rsidR="00B05A39">
        <w:rPr>
          <w:rFonts w:asciiTheme="minorHAnsi" w:hAnsiTheme="minorHAnsi"/>
          <w:sz w:val="24"/>
          <w:szCs w:val="24"/>
        </w:rPr>
        <w:t>.</w:t>
      </w:r>
      <w:r w:rsidR="00A35B99">
        <w:rPr>
          <w:rStyle w:val="FootnoteReference"/>
          <w:rFonts w:asciiTheme="minorHAnsi" w:hAnsiTheme="minorHAnsi"/>
          <w:sz w:val="24"/>
          <w:szCs w:val="24"/>
        </w:rPr>
        <w:footnoteReference w:id="1"/>
      </w:r>
      <w:r w:rsidR="00B05A39">
        <w:rPr>
          <w:rFonts w:asciiTheme="minorHAnsi" w:hAnsiTheme="minorHAnsi"/>
          <w:sz w:val="24"/>
          <w:szCs w:val="24"/>
        </w:rPr>
        <w:t xml:space="preserve"> Th</w:t>
      </w:r>
      <w:r>
        <w:rPr>
          <w:rFonts w:asciiTheme="minorHAnsi" w:hAnsiTheme="minorHAnsi"/>
          <w:sz w:val="24"/>
          <w:szCs w:val="24"/>
        </w:rPr>
        <w:t>at is,</w:t>
      </w:r>
      <w:r w:rsidRPr="000F2B61">
        <w:rPr>
          <w:rFonts w:asciiTheme="minorHAnsi" w:hAnsiTheme="minorHAnsi"/>
          <w:sz w:val="24"/>
          <w:szCs w:val="24"/>
        </w:rPr>
        <w:t xml:space="preserve"> </w:t>
      </w:r>
      <w:r w:rsidR="00DF14D1">
        <w:rPr>
          <w:rFonts w:asciiTheme="minorHAnsi" w:hAnsiTheme="minorHAnsi"/>
          <w:sz w:val="24"/>
          <w:szCs w:val="24"/>
        </w:rPr>
        <w:t xml:space="preserve">patients were followed up with </w:t>
      </w:r>
      <w:r w:rsidRPr="0091731A">
        <w:rPr>
          <w:rFonts w:asciiTheme="minorHAnsi" w:hAnsiTheme="minorHAnsi"/>
          <w:sz w:val="24"/>
          <w:szCs w:val="24"/>
        </w:rPr>
        <w:t xml:space="preserve">a protocol </w:t>
      </w:r>
      <w:r w:rsidR="00DF14D1">
        <w:rPr>
          <w:rFonts w:asciiTheme="minorHAnsi" w:hAnsiTheme="minorHAnsi"/>
          <w:sz w:val="24"/>
          <w:szCs w:val="24"/>
        </w:rPr>
        <w:t xml:space="preserve">that </w:t>
      </w:r>
      <w:r w:rsidR="00DF14D1">
        <w:rPr>
          <w:rFonts w:asciiTheme="minorHAnsi" w:hAnsiTheme="minorHAnsi"/>
          <w:sz w:val="24"/>
          <w:szCs w:val="24"/>
        </w:rPr>
        <w:lastRenderedPageBreak/>
        <w:t>limited</w:t>
      </w:r>
      <w:r w:rsidRPr="0091731A">
        <w:rPr>
          <w:rFonts w:asciiTheme="minorHAnsi" w:hAnsiTheme="minorHAnsi"/>
          <w:sz w:val="24"/>
          <w:szCs w:val="24"/>
        </w:rPr>
        <w:t xml:space="preserve"> </w:t>
      </w:r>
      <w:proofErr w:type="spellStart"/>
      <w:r w:rsidRPr="0091731A">
        <w:rPr>
          <w:rFonts w:asciiTheme="minorHAnsi" w:hAnsiTheme="minorHAnsi"/>
          <w:sz w:val="24"/>
          <w:szCs w:val="24"/>
        </w:rPr>
        <w:t>eculizumab</w:t>
      </w:r>
      <w:proofErr w:type="spellEnd"/>
      <w:r w:rsidRPr="0091731A">
        <w:rPr>
          <w:rFonts w:asciiTheme="minorHAnsi" w:hAnsiTheme="minorHAnsi"/>
          <w:sz w:val="24"/>
          <w:szCs w:val="24"/>
        </w:rPr>
        <w:t xml:space="preserve"> therapy to only </w:t>
      </w:r>
      <w:r w:rsidR="00DF14D1">
        <w:rPr>
          <w:rFonts w:asciiTheme="minorHAnsi" w:hAnsiTheme="minorHAnsi"/>
          <w:sz w:val="24"/>
          <w:szCs w:val="24"/>
        </w:rPr>
        <w:t xml:space="preserve">those </w:t>
      </w:r>
      <w:r w:rsidRPr="0091731A">
        <w:rPr>
          <w:rFonts w:asciiTheme="minorHAnsi" w:hAnsiTheme="minorHAnsi"/>
          <w:sz w:val="24"/>
          <w:szCs w:val="24"/>
        </w:rPr>
        <w:t>recipients with documented post</w:t>
      </w:r>
      <w:r w:rsidR="00DF14D1">
        <w:rPr>
          <w:rFonts w:asciiTheme="minorHAnsi" w:hAnsiTheme="minorHAnsi"/>
          <w:sz w:val="24"/>
          <w:szCs w:val="24"/>
        </w:rPr>
        <w:t>-</w:t>
      </w:r>
      <w:r w:rsidRPr="0091731A">
        <w:rPr>
          <w:rFonts w:asciiTheme="minorHAnsi" w:hAnsiTheme="minorHAnsi"/>
          <w:sz w:val="24"/>
          <w:szCs w:val="24"/>
        </w:rPr>
        <w:t>transplantation recurren</w:t>
      </w:r>
      <w:r w:rsidR="00F31AA5">
        <w:rPr>
          <w:rFonts w:asciiTheme="minorHAnsi" w:hAnsiTheme="minorHAnsi"/>
          <w:sz w:val="24"/>
          <w:szCs w:val="24"/>
        </w:rPr>
        <w:t xml:space="preserve">ce of </w:t>
      </w:r>
      <w:proofErr w:type="spellStart"/>
      <w:r w:rsidR="00F31AA5">
        <w:rPr>
          <w:rFonts w:asciiTheme="minorHAnsi" w:hAnsiTheme="minorHAnsi"/>
          <w:sz w:val="24"/>
          <w:szCs w:val="24"/>
        </w:rPr>
        <w:t>aHUS</w:t>
      </w:r>
      <w:proofErr w:type="spellEnd"/>
      <w:r w:rsidR="00E445E2">
        <w:rPr>
          <w:rFonts w:asciiTheme="minorHAnsi" w:hAnsiTheme="minorHAnsi"/>
          <w:sz w:val="24"/>
          <w:szCs w:val="24"/>
        </w:rPr>
        <w:t>.</w:t>
      </w:r>
      <w:r w:rsidR="0091731A">
        <w:rPr>
          <w:rFonts w:asciiTheme="minorHAnsi" w:hAnsiTheme="minorHAnsi"/>
          <w:sz w:val="24"/>
          <w:szCs w:val="24"/>
        </w:rPr>
        <w:t xml:space="preserve"> </w:t>
      </w:r>
      <w:r w:rsidR="00DF14D1">
        <w:rPr>
          <w:rFonts w:asciiTheme="minorHAnsi" w:hAnsiTheme="minorHAnsi"/>
          <w:sz w:val="24"/>
          <w:szCs w:val="24"/>
        </w:rPr>
        <w:t>A total of</w:t>
      </w:r>
      <w:r w:rsidR="00DD5EAD">
        <w:rPr>
          <w:rFonts w:asciiTheme="minorHAnsi" w:hAnsiTheme="minorHAnsi"/>
          <w:sz w:val="24"/>
          <w:szCs w:val="24"/>
        </w:rPr>
        <w:t xml:space="preserve"> 1</w:t>
      </w:r>
      <w:r w:rsidR="001401C2">
        <w:rPr>
          <w:rFonts w:asciiTheme="minorHAnsi" w:hAnsiTheme="minorHAnsi"/>
          <w:sz w:val="24"/>
          <w:szCs w:val="24"/>
        </w:rPr>
        <w:t>7</w:t>
      </w:r>
      <w:r w:rsidR="00DD5EAD">
        <w:rPr>
          <w:rFonts w:asciiTheme="minorHAnsi" w:hAnsiTheme="minorHAnsi"/>
          <w:sz w:val="24"/>
          <w:szCs w:val="24"/>
        </w:rPr>
        <w:t xml:space="preserve"> patients</w:t>
      </w:r>
      <w:r w:rsidR="00DF14D1">
        <w:rPr>
          <w:rFonts w:asciiTheme="minorHAnsi" w:hAnsiTheme="minorHAnsi"/>
          <w:sz w:val="24"/>
          <w:szCs w:val="24"/>
        </w:rPr>
        <w:t xml:space="preserve"> at high</w:t>
      </w:r>
      <w:r w:rsidR="00F305CE">
        <w:rPr>
          <w:rFonts w:asciiTheme="minorHAnsi" w:hAnsiTheme="minorHAnsi"/>
          <w:sz w:val="24"/>
          <w:szCs w:val="24"/>
        </w:rPr>
        <w:t xml:space="preserve"> </w:t>
      </w:r>
      <w:r w:rsidR="001401C2">
        <w:rPr>
          <w:rFonts w:asciiTheme="minorHAnsi" w:hAnsiTheme="minorHAnsi"/>
          <w:sz w:val="24"/>
          <w:szCs w:val="24"/>
        </w:rPr>
        <w:t>(16)</w:t>
      </w:r>
      <w:r w:rsidR="00F305CE">
        <w:rPr>
          <w:rFonts w:asciiTheme="minorHAnsi" w:hAnsiTheme="minorHAnsi"/>
          <w:sz w:val="24"/>
          <w:szCs w:val="24"/>
        </w:rPr>
        <w:t xml:space="preserve"> or </w:t>
      </w:r>
      <w:r w:rsidR="001401C2">
        <w:rPr>
          <w:rFonts w:asciiTheme="minorHAnsi" w:hAnsiTheme="minorHAnsi"/>
          <w:sz w:val="24"/>
          <w:szCs w:val="24"/>
        </w:rPr>
        <w:t>medium</w:t>
      </w:r>
      <w:r w:rsidR="00F305CE">
        <w:rPr>
          <w:rFonts w:asciiTheme="minorHAnsi" w:hAnsiTheme="minorHAnsi"/>
          <w:sz w:val="24"/>
          <w:szCs w:val="24"/>
        </w:rPr>
        <w:t xml:space="preserve"> </w:t>
      </w:r>
      <w:r w:rsidR="001401C2">
        <w:rPr>
          <w:rFonts w:asciiTheme="minorHAnsi" w:hAnsiTheme="minorHAnsi"/>
          <w:sz w:val="24"/>
          <w:szCs w:val="24"/>
        </w:rPr>
        <w:t>(1)</w:t>
      </w:r>
      <w:r w:rsidR="00DF14D1">
        <w:rPr>
          <w:rFonts w:asciiTheme="minorHAnsi" w:hAnsiTheme="minorHAnsi"/>
          <w:sz w:val="24"/>
          <w:szCs w:val="24"/>
        </w:rPr>
        <w:t xml:space="preserve"> </w:t>
      </w:r>
      <w:proofErr w:type="gramStart"/>
      <w:r w:rsidR="00DF14D1">
        <w:rPr>
          <w:rFonts w:asciiTheme="minorHAnsi" w:hAnsiTheme="minorHAnsi"/>
          <w:sz w:val="24"/>
          <w:szCs w:val="24"/>
        </w:rPr>
        <w:t>risk of recurrence (due to genetic mutations) were</w:t>
      </w:r>
      <w:proofErr w:type="gramEnd"/>
      <w:r w:rsidR="00DD5EAD">
        <w:rPr>
          <w:rFonts w:asciiTheme="minorHAnsi" w:hAnsiTheme="minorHAnsi"/>
          <w:sz w:val="24"/>
          <w:szCs w:val="24"/>
        </w:rPr>
        <w:t xml:space="preserve"> followed-up for a median of 25 months (range 7 to 68 months)</w:t>
      </w:r>
      <w:r w:rsidR="00DF14D1">
        <w:rPr>
          <w:rFonts w:asciiTheme="minorHAnsi" w:hAnsiTheme="minorHAnsi"/>
          <w:sz w:val="24"/>
          <w:szCs w:val="24"/>
        </w:rPr>
        <w:t>. O</w:t>
      </w:r>
      <w:r w:rsidR="00DD5EAD">
        <w:rPr>
          <w:rFonts w:asciiTheme="minorHAnsi" w:hAnsiTheme="minorHAnsi"/>
          <w:sz w:val="24"/>
          <w:szCs w:val="24"/>
        </w:rPr>
        <w:t xml:space="preserve">nly one patient had a recurrence of </w:t>
      </w:r>
      <w:proofErr w:type="spellStart"/>
      <w:r w:rsidR="00DD5EAD">
        <w:rPr>
          <w:rFonts w:asciiTheme="minorHAnsi" w:hAnsiTheme="minorHAnsi"/>
          <w:sz w:val="24"/>
          <w:szCs w:val="24"/>
        </w:rPr>
        <w:t>aHUS</w:t>
      </w:r>
      <w:proofErr w:type="spellEnd"/>
      <w:r w:rsidR="00DD5EAD">
        <w:rPr>
          <w:rFonts w:asciiTheme="minorHAnsi" w:hAnsiTheme="minorHAnsi"/>
          <w:sz w:val="24"/>
          <w:szCs w:val="24"/>
        </w:rPr>
        <w:t xml:space="preserve">. The </w:t>
      </w:r>
      <w:r w:rsidR="00DD5EAD" w:rsidRPr="00DD5EAD">
        <w:rPr>
          <w:rFonts w:asciiTheme="minorHAnsi" w:hAnsiTheme="minorHAnsi"/>
          <w:sz w:val="24"/>
          <w:szCs w:val="24"/>
        </w:rPr>
        <w:t>recurrence</w:t>
      </w:r>
      <w:r w:rsidR="00DD5EAD">
        <w:rPr>
          <w:rFonts w:asciiTheme="minorHAnsi" w:hAnsiTheme="minorHAnsi"/>
          <w:sz w:val="24"/>
          <w:szCs w:val="24"/>
        </w:rPr>
        <w:t xml:space="preserve"> occurred </w:t>
      </w:r>
      <w:r w:rsidR="00DD5EAD" w:rsidRPr="00DD5EAD">
        <w:rPr>
          <w:rFonts w:asciiTheme="minorHAnsi" w:hAnsiTheme="minorHAnsi"/>
          <w:sz w:val="24"/>
          <w:szCs w:val="24"/>
        </w:rPr>
        <w:t>68 days after transplantation</w:t>
      </w:r>
      <w:r w:rsidR="00DF14D1">
        <w:rPr>
          <w:rFonts w:asciiTheme="minorHAnsi" w:hAnsiTheme="minorHAnsi"/>
          <w:sz w:val="24"/>
          <w:szCs w:val="24"/>
        </w:rPr>
        <w:t xml:space="preserve"> and</w:t>
      </w:r>
      <w:r w:rsidR="00DD5EAD" w:rsidRPr="00DD5EAD">
        <w:rPr>
          <w:rFonts w:asciiTheme="minorHAnsi" w:hAnsiTheme="minorHAnsi"/>
          <w:sz w:val="24"/>
          <w:szCs w:val="24"/>
        </w:rPr>
        <w:t xml:space="preserve"> was successfully treated with </w:t>
      </w:r>
      <w:proofErr w:type="spellStart"/>
      <w:r w:rsidR="00DD5EAD" w:rsidRPr="00DD5EAD">
        <w:rPr>
          <w:rFonts w:asciiTheme="minorHAnsi" w:hAnsiTheme="minorHAnsi"/>
          <w:sz w:val="24"/>
          <w:szCs w:val="24"/>
        </w:rPr>
        <w:t>eculizumab</w:t>
      </w:r>
      <w:proofErr w:type="spellEnd"/>
      <w:r w:rsidR="00DD5EAD">
        <w:rPr>
          <w:rFonts w:asciiTheme="minorHAnsi" w:hAnsiTheme="minorHAnsi"/>
          <w:sz w:val="24"/>
          <w:szCs w:val="24"/>
        </w:rPr>
        <w:t>.</w:t>
      </w:r>
      <w:r w:rsidR="00DF14D1" w:rsidRPr="00DF14D1">
        <w:rPr>
          <w:rFonts w:asciiTheme="minorHAnsi" w:hAnsiTheme="minorHAnsi"/>
          <w:sz w:val="24"/>
          <w:szCs w:val="24"/>
        </w:rPr>
        <w:t xml:space="preserve"> </w:t>
      </w:r>
      <w:r w:rsidR="00DF14D1">
        <w:rPr>
          <w:rFonts w:asciiTheme="minorHAnsi" w:hAnsiTheme="minorHAnsi"/>
          <w:sz w:val="24"/>
          <w:szCs w:val="24"/>
        </w:rPr>
        <w:t>The PBAC noted that a potential limitation of the analysis</w:t>
      </w:r>
      <w:r w:rsidR="00FE2F74">
        <w:rPr>
          <w:rFonts w:asciiTheme="minorHAnsi" w:hAnsiTheme="minorHAnsi"/>
          <w:sz w:val="24"/>
          <w:szCs w:val="24"/>
        </w:rPr>
        <w:t xml:space="preserve"> was that all patients </w:t>
      </w:r>
      <w:r w:rsidR="00DF14D1" w:rsidRPr="0091731A">
        <w:rPr>
          <w:rFonts w:asciiTheme="minorHAnsi" w:hAnsiTheme="minorHAnsi"/>
          <w:sz w:val="24"/>
          <w:szCs w:val="24"/>
        </w:rPr>
        <w:t>underwent living donor transplant</w:t>
      </w:r>
      <w:r w:rsidR="0049615C">
        <w:rPr>
          <w:rFonts w:asciiTheme="minorHAnsi" w:hAnsiTheme="minorHAnsi"/>
          <w:sz w:val="24"/>
          <w:szCs w:val="24"/>
        </w:rPr>
        <w:t>ation</w:t>
      </w:r>
      <w:r w:rsidR="00FE2F74">
        <w:rPr>
          <w:rFonts w:asciiTheme="minorHAnsi" w:hAnsiTheme="minorHAnsi"/>
          <w:sz w:val="24"/>
          <w:szCs w:val="24"/>
        </w:rPr>
        <w:t xml:space="preserve">. </w:t>
      </w:r>
    </w:p>
    <w:p w:rsidR="00A35B99" w:rsidRDefault="00A16E55" w:rsidP="00E013EC">
      <w:pPr>
        <w:pStyle w:val="ListParagraph"/>
        <w:widowControl/>
        <w:numPr>
          <w:ilvl w:val="1"/>
          <w:numId w:val="5"/>
        </w:numPr>
        <w:spacing w:after="120"/>
        <w:ind w:left="709"/>
        <w:contextualSpacing w:val="0"/>
        <w:rPr>
          <w:sz w:val="24"/>
          <w:szCs w:val="24"/>
        </w:rPr>
      </w:pPr>
      <w:r>
        <w:rPr>
          <w:rFonts w:asciiTheme="minorHAnsi" w:hAnsiTheme="minorHAnsi"/>
          <w:sz w:val="24"/>
          <w:szCs w:val="24"/>
        </w:rPr>
        <w:t xml:space="preserve">The PBAC also noted data from </w:t>
      </w:r>
      <w:r w:rsidR="00BB66D8">
        <w:rPr>
          <w:rFonts w:asciiTheme="minorHAnsi" w:hAnsiTheme="minorHAnsi"/>
          <w:sz w:val="24"/>
          <w:szCs w:val="24"/>
        </w:rPr>
        <w:t xml:space="preserve">the Australia and New Zealand Dialysis and Transplant Registry that showed that </w:t>
      </w:r>
      <w:r w:rsidR="00C62745">
        <w:rPr>
          <w:rFonts w:asciiTheme="minorHAnsi" w:hAnsiTheme="minorHAnsi"/>
          <w:sz w:val="24"/>
          <w:szCs w:val="24"/>
        </w:rPr>
        <w:t xml:space="preserve">clinicians perform renal transplantation on </w:t>
      </w:r>
      <w:r w:rsidR="00BB66D8">
        <w:rPr>
          <w:rFonts w:asciiTheme="minorHAnsi" w:hAnsiTheme="minorHAnsi"/>
          <w:sz w:val="24"/>
          <w:szCs w:val="24"/>
        </w:rPr>
        <w:t xml:space="preserve">patients with </w:t>
      </w:r>
      <w:r w:rsidR="00BB66D8" w:rsidRPr="00BB66D8">
        <w:rPr>
          <w:rFonts w:asciiTheme="minorHAnsi" w:hAnsiTheme="minorHAnsi"/>
          <w:sz w:val="24"/>
          <w:szCs w:val="24"/>
        </w:rPr>
        <w:t>haemolytic uraemic syndrome (HUS)</w:t>
      </w:r>
      <w:r w:rsidR="00BB66D8">
        <w:rPr>
          <w:rFonts w:asciiTheme="minorHAnsi" w:hAnsiTheme="minorHAnsi"/>
          <w:sz w:val="24"/>
          <w:szCs w:val="24"/>
        </w:rPr>
        <w:t xml:space="preserve"> despite </w:t>
      </w:r>
      <w:proofErr w:type="spellStart"/>
      <w:r w:rsidR="00BB66D8">
        <w:rPr>
          <w:rFonts w:asciiTheme="minorHAnsi" w:hAnsiTheme="minorHAnsi"/>
          <w:sz w:val="24"/>
          <w:szCs w:val="24"/>
        </w:rPr>
        <w:t>eculizumab</w:t>
      </w:r>
      <w:proofErr w:type="spellEnd"/>
      <w:r w:rsidR="00BB66D8">
        <w:rPr>
          <w:rFonts w:asciiTheme="minorHAnsi" w:hAnsiTheme="minorHAnsi"/>
          <w:sz w:val="24"/>
          <w:szCs w:val="24"/>
        </w:rPr>
        <w:t xml:space="preserve"> not being available for prophylactic use post-tran</w:t>
      </w:r>
      <w:r w:rsidR="00AB51E3">
        <w:rPr>
          <w:rFonts w:asciiTheme="minorHAnsi" w:hAnsiTheme="minorHAnsi"/>
          <w:sz w:val="24"/>
          <w:szCs w:val="24"/>
        </w:rPr>
        <w:t>s</w:t>
      </w:r>
      <w:r w:rsidR="00BB66D8">
        <w:rPr>
          <w:rFonts w:asciiTheme="minorHAnsi" w:hAnsiTheme="minorHAnsi"/>
          <w:sz w:val="24"/>
          <w:szCs w:val="24"/>
        </w:rPr>
        <w:t>plant</w:t>
      </w:r>
      <w:r w:rsidR="00BB66D8" w:rsidRPr="00BB66D8">
        <w:rPr>
          <w:rFonts w:asciiTheme="minorHAnsi" w:hAnsiTheme="minorHAnsi"/>
          <w:sz w:val="24"/>
          <w:szCs w:val="24"/>
        </w:rPr>
        <w:t>.</w:t>
      </w:r>
      <w:r w:rsidR="00BB66D8">
        <w:rPr>
          <w:rFonts w:asciiTheme="minorHAnsi" w:hAnsiTheme="minorHAnsi"/>
          <w:sz w:val="24"/>
          <w:szCs w:val="24"/>
        </w:rPr>
        <w:t xml:space="preserve"> For example, </w:t>
      </w:r>
      <w:r w:rsidR="000A4B85">
        <w:rPr>
          <w:rFonts w:asciiTheme="minorHAnsi" w:hAnsiTheme="minorHAnsi"/>
          <w:sz w:val="24"/>
          <w:szCs w:val="24"/>
        </w:rPr>
        <w:t>the PBAC noted</w:t>
      </w:r>
      <w:r w:rsidR="00BB66D8">
        <w:rPr>
          <w:rFonts w:asciiTheme="minorHAnsi" w:hAnsiTheme="minorHAnsi"/>
          <w:sz w:val="24"/>
          <w:szCs w:val="24"/>
        </w:rPr>
        <w:t xml:space="preserve"> an analysis of 241 consecutive patients </w:t>
      </w:r>
      <w:r w:rsidR="00BB66D8" w:rsidRPr="00BB66D8">
        <w:rPr>
          <w:rFonts w:asciiTheme="minorHAnsi" w:hAnsiTheme="minorHAnsi"/>
          <w:sz w:val="24"/>
          <w:szCs w:val="24"/>
        </w:rPr>
        <w:t xml:space="preserve">with </w:t>
      </w:r>
      <w:r w:rsidR="00BB66D8">
        <w:rPr>
          <w:rFonts w:asciiTheme="minorHAnsi" w:hAnsiTheme="minorHAnsi"/>
          <w:sz w:val="24"/>
          <w:szCs w:val="24"/>
        </w:rPr>
        <w:t>end stage kidney disease</w:t>
      </w:r>
      <w:r w:rsidR="00BB66D8" w:rsidRPr="00BB66D8">
        <w:rPr>
          <w:rFonts w:asciiTheme="minorHAnsi" w:hAnsiTheme="minorHAnsi"/>
          <w:sz w:val="24"/>
          <w:szCs w:val="24"/>
        </w:rPr>
        <w:t xml:space="preserve"> </w:t>
      </w:r>
      <w:r w:rsidR="000A4B85">
        <w:rPr>
          <w:rFonts w:asciiTheme="minorHAnsi" w:hAnsiTheme="minorHAnsi"/>
          <w:sz w:val="24"/>
          <w:szCs w:val="24"/>
        </w:rPr>
        <w:t xml:space="preserve">secondary to HUS </w:t>
      </w:r>
      <w:r w:rsidR="00BB66D8" w:rsidRPr="00BB66D8">
        <w:rPr>
          <w:rFonts w:asciiTheme="minorHAnsi" w:hAnsiTheme="minorHAnsi"/>
          <w:sz w:val="24"/>
          <w:szCs w:val="24"/>
        </w:rPr>
        <w:t>who commenced renal replacement therapy between 1963 and 2010</w:t>
      </w:r>
      <w:r w:rsidR="00C62745">
        <w:rPr>
          <w:rFonts w:asciiTheme="minorHAnsi" w:hAnsiTheme="minorHAnsi"/>
          <w:sz w:val="24"/>
          <w:szCs w:val="24"/>
        </w:rPr>
        <w:t>.</w:t>
      </w:r>
      <w:r w:rsidR="00C62745">
        <w:rPr>
          <w:rStyle w:val="FootnoteReference"/>
          <w:rFonts w:asciiTheme="minorHAnsi" w:hAnsiTheme="minorHAnsi"/>
          <w:sz w:val="24"/>
          <w:szCs w:val="24"/>
        </w:rPr>
        <w:footnoteReference w:id="2"/>
      </w:r>
      <w:r w:rsidR="00C62745">
        <w:rPr>
          <w:rFonts w:asciiTheme="minorHAnsi" w:hAnsiTheme="minorHAnsi"/>
          <w:sz w:val="24"/>
          <w:szCs w:val="24"/>
        </w:rPr>
        <w:t xml:space="preserve"> </w:t>
      </w:r>
      <w:r w:rsidR="000A4B85">
        <w:rPr>
          <w:rFonts w:asciiTheme="minorHAnsi" w:hAnsiTheme="minorHAnsi"/>
          <w:sz w:val="24"/>
          <w:szCs w:val="24"/>
        </w:rPr>
        <w:t>Of the 241 patients with HUS, 130 (54%) received one or more renal transplants.</w:t>
      </w:r>
      <w:r w:rsidR="00230AAB">
        <w:rPr>
          <w:rFonts w:asciiTheme="minorHAnsi" w:hAnsiTheme="minorHAnsi"/>
          <w:sz w:val="24"/>
          <w:szCs w:val="24"/>
        </w:rPr>
        <w:t xml:space="preserve"> </w:t>
      </w:r>
      <w:r w:rsidR="00C62745">
        <w:rPr>
          <w:rFonts w:asciiTheme="minorHAnsi" w:hAnsiTheme="minorHAnsi"/>
          <w:sz w:val="24"/>
          <w:szCs w:val="24"/>
        </w:rPr>
        <w:t>Of the</w:t>
      </w:r>
      <w:r w:rsidR="00AB51E3">
        <w:rPr>
          <w:rFonts w:asciiTheme="minorHAnsi" w:hAnsiTheme="minorHAnsi"/>
          <w:sz w:val="24"/>
          <w:szCs w:val="24"/>
        </w:rPr>
        <w:t>se,</w:t>
      </w:r>
      <w:r w:rsidR="00C62745">
        <w:rPr>
          <w:rFonts w:asciiTheme="minorHAnsi" w:hAnsiTheme="minorHAnsi"/>
          <w:sz w:val="24"/>
          <w:szCs w:val="24"/>
        </w:rPr>
        <w:t xml:space="preserve"> </w:t>
      </w:r>
      <w:r w:rsidR="002649CD">
        <w:rPr>
          <w:rFonts w:asciiTheme="minorHAnsi" w:hAnsiTheme="minorHAnsi"/>
          <w:sz w:val="24"/>
          <w:szCs w:val="24"/>
        </w:rPr>
        <w:t xml:space="preserve">55% (72/130) </w:t>
      </w:r>
      <w:r w:rsidR="00AB51E3">
        <w:rPr>
          <w:rFonts w:asciiTheme="minorHAnsi" w:hAnsiTheme="minorHAnsi"/>
          <w:sz w:val="24"/>
          <w:szCs w:val="24"/>
        </w:rPr>
        <w:t xml:space="preserve">received transplants </w:t>
      </w:r>
      <w:r w:rsidR="00C62745">
        <w:rPr>
          <w:rFonts w:asciiTheme="minorHAnsi" w:hAnsiTheme="minorHAnsi"/>
          <w:sz w:val="24"/>
          <w:szCs w:val="24"/>
        </w:rPr>
        <w:t>from</w:t>
      </w:r>
      <w:r w:rsidR="002649CD">
        <w:rPr>
          <w:rFonts w:asciiTheme="minorHAnsi" w:hAnsiTheme="minorHAnsi"/>
          <w:sz w:val="24"/>
          <w:szCs w:val="24"/>
        </w:rPr>
        <w:t xml:space="preserve"> </w:t>
      </w:r>
      <w:r w:rsidR="00C62745">
        <w:rPr>
          <w:rFonts w:asciiTheme="minorHAnsi" w:hAnsiTheme="minorHAnsi"/>
          <w:sz w:val="24"/>
          <w:szCs w:val="24"/>
        </w:rPr>
        <w:t>deceased donor</w:t>
      </w:r>
      <w:r w:rsidR="002649CD">
        <w:rPr>
          <w:rFonts w:asciiTheme="minorHAnsi" w:hAnsiTheme="minorHAnsi"/>
          <w:sz w:val="24"/>
          <w:szCs w:val="24"/>
        </w:rPr>
        <w:t xml:space="preserve">s. </w:t>
      </w:r>
      <w:r w:rsidR="00230AAB">
        <w:rPr>
          <w:rFonts w:asciiTheme="minorHAnsi" w:hAnsiTheme="minorHAnsi"/>
          <w:sz w:val="24"/>
          <w:szCs w:val="24"/>
        </w:rPr>
        <w:t xml:space="preserve">The PBAC noted the limitations of this </w:t>
      </w:r>
      <w:r w:rsidR="00C61848">
        <w:rPr>
          <w:rFonts w:asciiTheme="minorHAnsi" w:hAnsiTheme="minorHAnsi"/>
          <w:sz w:val="24"/>
          <w:szCs w:val="24"/>
        </w:rPr>
        <w:t>study</w:t>
      </w:r>
      <w:r w:rsidR="00230AAB">
        <w:rPr>
          <w:rFonts w:asciiTheme="minorHAnsi" w:hAnsiTheme="minorHAnsi"/>
          <w:sz w:val="24"/>
          <w:szCs w:val="24"/>
        </w:rPr>
        <w:t xml:space="preserve"> includ</w:t>
      </w:r>
      <w:r w:rsidR="00C61848">
        <w:rPr>
          <w:rFonts w:asciiTheme="minorHAnsi" w:hAnsiTheme="minorHAnsi"/>
          <w:sz w:val="24"/>
          <w:szCs w:val="24"/>
        </w:rPr>
        <w:t>ing</w:t>
      </w:r>
      <w:r w:rsidR="00230AAB">
        <w:rPr>
          <w:rFonts w:asciiTheme="minorHAnsi" w:hAnsiTheme="minorHAnsi"/>
          <w:sz w:val="24"/>
          <w:szCs w:val="24"/>
        </w:rPr>
        <w:t xml:space="preserve"> that it did not distinguish between typical and atypical HUS. </w:t>
      </w:r>
      <w:r w:rsidR="00C340B4">
        <w:rPr>
          <w:rFonts w:asciiTheme="minorHAnsi" w:hAnsiTheme="minorHAnsi"/>
          <w:sz w:val="24"/>
          <w:szCs w:val="24"/>
        </w:rPr>
        <w:t>The PBAC also noted that data from over 50 years ago</w:t>
      </w:r>
      <w:r w:rsidR="00C61848">
        <w:rPr>
          <w:rFonts w:asciiTheme="minorHAnsi" w:hAnsiTheme="minorHAnsi"/>
          <w:sz w:val="24"/>
          <w:szCs w:val="24"/>
        </w:rPr>
        <w:t xml:space="preserve"> were included</w:t>
      </w:r>
      <w:r w:rsidR="00C340B4">
        <w:rPr>
          <w:rFonts w:asciiTheme="minorHAnsi" w:hAnsiTheme="minorHAnsi"/>
          <w:sz w:val="24"/>
          <w:szCs w:val="24"/>
        </w:rPr>
        <w:t xml:space="preserve">, and transplantation </w:t>
      </w:r>
      <w:r w:rsidR="00B67B42">
        <w:rPr>
          <w:rFonts w:asciiTheme="minorHAnsi" w:hAnsiTheme="minorHAnsi"/>
          <w:sz w:val="24"/>
          <w:szCs w:val="24"/>
        </w:rPr>
        <w:t>is</w:t>
      </w:r>
      <w:r w:rsidR="00C340B4">
        <w:rPr>
          <w:rFonts w:asciiTheme="minorHAnsi" w:hAnsiTheme="minorHAnsi"/>
          <w:sz w:val="24"/>
          <w:szCs w:val="24"/>
        </w:rPr>
        <w:t xml:space="preserve"> more common in recent years.</w:t>
      </w:r>
    </w:p>
    <w:p w:rsidR="009A371E" w:rsidRPr="00B176CF" w:rsidRDefault="009A371E" w:rsidP="00750094">
      <w:pPr>
        <w:pStyle w:val="Heading2"/>
        <w:rPr>
          <w:i w:val="0"/>
        </w:rPr>
      </w:pPr>
      <w:r w:rsidRPr="00B176CF">
        <w:rPr>
          <w:i w:val="0"/>
        </w:rPr>
        <w:t>Comparative effectiveness</w:t>
      </w:r>
    </w:p>
    <w:p w:rsidR="008D4FF6" w:rsidRPr="00B176CF" w:rsidRDefault="009A371E" w:rsidP="008D4FF6">
      <w:pPr>
        <w:pStyle w:val="ListParagraph"/>
        <w:widowControl/>
        <w:numPr>
          <w:ilvl w:val="1"/>
          <w:numId w:val="5"/>
        </w:numPr>
        <w:spacing w:after="120"/>
        <w:ind w:left="709"/>
        <w:contextualSpacing w:val="0"/>
        <w:rPr>
          <w:rFonts w:asciiTheme="minorHAnsi" w:hAnsiTheme="minorHAnsi"/>
          <w:sz w:val="24"/>
          <w:szCs w:val="24"/>
        </w:rPr>
      </w:pPr>
      <w:r w:rsidRPr="00B176CF">
        <w:rPr>
          <w:rFonts w:asciiTheme="minorHAnsi" w:hAnsiTheme="minorHAnsi"/>
          <w:sz w:val="24"/>
          <w:szCs w:val="24"/>
        </w:rPr>
        <w:t>A</w:t>
      </w:r>
      <w:r w:rsidR="00ED4C77" w:rsidRPr="00B176CF">
        <w:rPr>
          <w:rFonts w:asciiTheme="minorHAnsi" w:hAnsiTheme="minorHAnsi"/>
          <w:sz w:val="24"/>
          <w:szCs w:val="24"/>
        </w:rPr>
        <w:t xml:space="preserve">n issue raised in the </w:t>
      </w:r>
      <w:r w:rsidRPr="00B176CF">
        <w:rPr>
          <w:rFonts w:asciiTheme="minorHAnsi" w:hAnsiTheme="minorHAnsi"/>
          <w:sz w:val="24"/>
          <w:szCs w:val="24"/>
        </w:rPr>
        <w:t xml:space="preserve">July 2017 </w:t>
      </w:r>
      <w:r w:rsidRPr="000A47F9">
        <w:rPr>
          <w:rFonts w:asciiTheme="minorHAnsi" w:hAnsiTheme="minorHAnsi"/>
          <w:sz w:val="24"/>
          <w:szCs w:val="24"/>
        </w:rPr>
        <w:t xml:space="preserve">PBAC </w:t>
      </w:r>
      <w:r w:rsidR="00484671" w:rsidRPr="000A47F9">
        <w:rPr>
          <w:rFonts w:asciiTheme="minorHAnsi" w:hAnsiTheme="minorHAnsi"/>
          <w:sz w:val="24"/>
          <w:szCs w:val="24"/>
        </w:rPr>
        <w:t>Public Summary Document</w:t>
      </w:r>
      <w:r w:rsidRPr="000A47F9">
        <w:rPr>
          <w:rFonts w:asciiTheme="minorHAnsi" w:hAnsiTheme="minorHAnsi"/>
          <w:sz w:val="24"/>
          <w:szCs w:val="24"/>
        </w:rPr>
        <w:t xml:space="preserve"> </w:t>
      </w:r>
      <w:r w:rsidR="00ED4C77" w:rsidRPr="000A47F9">
        <w:rPr>
          <w:rFonts w:asciiTheme="minorHAnsi" w:hAnsiTheme="minorHAnsi"/>
          <w:sz w:val="24"/>
          <w:szCs w:val="24"/>
        </w:rPr>
        <w:t>was that</w:t>
      </w:r>
      <w:r w:rsidR="00ED4C77" w:rsidRPr="00B176CF">
        <w:rPr>
          <w:rFonts w:asciiTheme="minorHAnsi" w:hAnsiTheme="minorHAnsi"/>
          <w:sz w:val="24"/>
          <w:szCs w:val="24"/>
        </w:rPr>
        <w:t xml:space="preserve"> “</w:t>
      </w:r>
      <w:r w:rsidRPr="00B176CF">
        <w:rPr>
          <w:rFonts w:asciiTheme="minorHAnsi" w:hAnsiTheme="minorHAnsi"/>
          <w:sz w:val="24"/>
          <w:szCs w:val="24"/>
        </w:rPr>
        <w:t>there was considerable heterogeneity between the various sources of evidence presented in the submission in terms of the baseline demographic and disease characteristics of the patients. Given this heterogeneity, and the potential for prognostic factors to confound the results, it was not appropriate to directly compare the outcomes between evidence sets and treatment regimes. Interpretation of the evidence was further hindered by the lack of uniformity in the outcomes reported, especially between the case series/reports and the clinical studies, and the time at which outcomes were assessed</w:t>
      </w:r>
      <w:r w:rsidR="00ED4C77" w:rsidRPr="00B176CF">
        <w:rPr>
          <w:rFonts w:asciiTheme="minorHAnsi" w:hAnsiTheme="minorHAnsi"/>
          <w:sz w:val="24"/>
          <w:szCs w:val="24"/>
        </w:rPr>
        <w:t xml:space="preserve">” (July </w:t>
      </w:r>
      <w:r w:rsidR="00ED4C77" w:rsidRPr="006B6120">
        <w:rPr>
          <w:rFonts w:asciiTheme="minorHAnsi" w:hAnsiTheme="minorHAnsi"/>
          <w:sz w:val="24"/>
          <w:szCs w:val="24"/>
        </w:rPr>
        <w:t xml:space="preserve">2017 PBAC </w:t>
      </w:r>
      <w:r w:rsidR="003F23EA" w:rsidRPr="006B6120">
        <w:rPr>
          <w:rFonts w:asciiTheme="minorHAnsi" w:hAnsiTheme="minorHAnsi"/>
          <w:sz w:val="24"/>
          <w:szCs w:val="24"/>
        </w:rPr>
        <w:t>Public Summary Document</w:t>
      </w:r>
      <w:r w:rsidR="00ED4C77" w:rsidRPr="006B6120">
        <w:rPr>
          <w:rFonts w:asciiTheme="minorHAnsi" w:hAnsiTheme="minorHAnsi"/>
          <w:sz w:val="24"/>
          <w:szCs w:val="24"/>
        </w:rPr>
        <w:t>, para</w:t>
      </w:r>
      <w:r w:rsidR="00ED4C77" w:rsidRPr="00B176CF">
        <w:rPr>
          <w:rFonts w:asciiTheme="minorHAnsi" w:hAnsiTheme="minorHAnsi"/>
          <w:sz w:val="24"/>
          <w:szCs w:val="24"/>
        </w:rPr>
        <w:t xml:space="preserve"> 6.33). </w:t>
      </w:r>
    </w:p>
    <w:p w:rsidR="00A8594D" w:rsidRPr="00B176CF" w:rsidRDefault="00ED4C77" w:rsidP="008D4FF6">
      <w:pPr>
        <w:pStyle w:val="ListParagraph"/>
        <w:widowControl/>
        <w:numPr>
          <w:ilvl w:val="1"/>
          <w:numId w:val="5"/>
        </w:numPr>
        <w:spacing w:before="120"/>
        <w:ind w:left="709"/>
        <w:rPr>
          <w:rFonts w:asciiTheme="minorHAnsi" w:hAnsiTheme="minorHAnsi"/>
          <w:sz w:val="24"/>
          <w:szCs w:val="24"/>
        </w:rPr>
      </w:pPr>
      <w:r w:rsidRPr="00B176CF">
        <w:rPr>
          <w:rFonts w:asciiTheme="minorHAnsi" w:hAnsiTheme="minorHAnsi"/>
          <w:sz w:val="24"/>
          <w:szCs w:val="24"/>
        </w:rPr>
        <w:t xml:space="preserve">These limitations similarly applied to the new data presented in the </w:t>
      </w:r>
      <w:r w:rsidR="008D4FF6" w:rsidRPr="00B176CF">
        <w:rPr>
          <w:rFonts w:asciiTheme="minorHAnsi" w:hAnsiTheme="minorHAnsi"/>
          <w:sz w:val="24"/>
          <w:szCs w:val="24"/>
        </w:rPr>
        <w:t xml:space="preserve">current </w:t>
      </w:r>
      <w:r w:rsidRPr="00B176CF">
        <w:rPr>
          <w:rFonts w:asciiTheme="minorHAnsi" w:hAnsiTheme="minorHAnsi"/>
          <w:sz w:val="24"/>
          <w:szCs w:val="24"/>
        </w:rPr>
        <w:t>resubmission.</w:t>
      </w:r>
    </w:p>
    <w:p w:rsidR="00871CDE" w:rsidRPr="00B176CF" w:rsidRDefault="00871CDE" w:rsidP="00871CDE">
      <w:pPr>
        <w:pStyle w:val="Heading5"/>
        <w:rPr>
          <w:i w:val="0"/>
        </w:rPr>
      </w:pPr>
      <w:proofErr w:type="spellStart"/>
      <w:r w:rsidRPr="00B176CF">
        <w:rPr>
          <w:i w:val="0"/>
        </w:rPr>
        <w:t>i</w:t>
      </w:r>
      <w:proofErr w:type="spellEnd"/>
      <w:r w:rsidRPr="00B176CF">
        <w:rPr>
          <w:i w:val="0"/>
        </w:rPr>
        <w:t xml:space="preserve">) Sustained use of </w:t>
      </w:r>
      <w:proofErr w:type="spellStart"/>
      <w:r w:rsidRPr="00B176CF">
        <w:rPr>
          <w:i w:val="0"/>
        </w:rPr>
        <w:t>eculizumab</w:t>
      </w:r>
      <w:proofErr w:type="spellEnd"/>
      <w:r w:rsidRPr="00B176CF">
        <w:rPr>
          <w:i w:val="0"/>
        </w:rPr>
        <w:t xml:space="preserve"> in patients after renal transplantation</w:t>
      </w:r>
    </w:p>
    <w:p w:rsidR="00871CDE" w:rsidRPr="00B176CF" w:rsidRDefault="00871CDE" w:rsidP="00871CDE">
      <w:pPr>
        <w:pStyle w:val="ListParagraph"/>
        <w:widowControl/>
        <w:numPr>
          <w:ilvl w:val="1"/>
          <w:numId w:val="5"/>
        </w:numPr>
        <w:ind w:left="709"/>
        <w:rPr>
          <w:rFonts w:asciiTheme="minorHAnsi" w:hAnsiTheme="minorHAnsi"/>
          <w:sz w:val="24"/>
          <w:szCs w:val="24"/>
        </w:rPr>
      </w:pPr>
      <w:r w:rsidRPr="00B176CF">
        <w:rPr>
          <w:rFonts w:asciiTheme="minorHAnsi" w:hAnsiTheme="minorHAnsi"/>
          <w:sz w:val="24"/>
          <w:szCs w:val="24"/>
        </w:rPr>
        <w:t xml:space="preserve">As noted above minimal data were available in the new studies </w:t>
      </w:r>
      <w:r w:rsidR="00AF0A4A" w:rsidRPr="00B176CF">
        <w:rPr>
          <w:rFonts w:asciiTheme="minorHAnsi" w:hAnsiTheme="minorHAnsi"/>
          <w:sz w:val="24"/>
          <w:szCs w:val="24"/>
        </w:rPr>
        <w:t xml:space="preserve">supplied </w:t>
      </w:r>
      <w:r w:rsidRPr="00B176CF">
        <w:rPr>
          <w:rFonts w:asciiTheme="minorHAnsi" w:hAnsiTheme="minorHAnsi"/>
          <w:sz w:val="24"/>
          <w:szCs w:val="24"/>
        </w:rPr>
        <w:t xml:space="preserve">in </w:t>
      </w:r>
      <w:r w:rsidR="00AF0A4A" w:rsidRPr="00B176CF">
        <w:rPr>
          <w:rFonts w:asciiTheme="minorHAnsi" w:hAnsiTheme="minorHAnsi"/>
          <w:sz w:val="24"/>
          <w:szCs w:val="24"/>
        </w:rPr>
        <w:t xml:space="preserve">support of </w:t>
      </w:r>
      <w:r w:rsidRPr="00B176CF">
        <w:rPr>
          <w:rFonts w:asciiTheme="minorHAnsi" w:hAnsiTheme="minorHAnsi"/>
          <w:sz w:val="24"/>
          <w:szCs w:val="24"/>
        </w:rPr>
        <w:t xml:space="preserve">this </w:t>
      </w:r>
      <w:r w:rsidR="00675CA4">
        <w:rPr>
          <w:rFonts w:asciiTheme="minorHAnsi" w:hAnsiTheme="minorHAnsi"/>
          <w:sz w:val="24"/>
          <w:szCs w:val="24"/>
        </w:rPr>
        <w:t>re</w:t>
      </w:r>
      <w:r w:rsidRPr="00B176CF">
        <w:rPr>
          <w:rFonts w:asciiTheme="minorHAnsi" w:hAnsiTheme="minorHAnsi"/>
          <w:sz w:val="24"/>
          <w:szCs w:val="24"/>
        </w:rPr>
        <w:t xml:space="preserve">submission. The new data relating to sustained use of </w:t>
      </w:r>
      <w:proofErr w:type="spellStart"/>
      <w:r w:rsidRPr="00B176CF">
        <w:rPr>
          <w:rFonts w:asciiTheme="minorHAnsi" w:hAnsiTheme="minorHAnsi"/>
          <w:sz w:val="24"/>
          <w:szCs w:val="24"/>
        </w:rPr>
        <w:t>eculizumab</w:t>
      </w:r>
      <w:proofErr w:type="spellEnd"/>
      <w:r w:rsidRPr="00B176CF">
        <w:rPr>
          <w:rFonts w:asciiTheme="minorHAnsi" w:hAnsiTheme="minorHAnsi"/>
          <w:sz w:val="24"/>
          <w:szCs w:val="24"/>
        </w:rPr>
        <w:t xml:space="preserve"> in patients after renal transplantation </w:t>
      </w:r>
      <w:r w:rsidR="008D4FF6" w:rsidRPr="00B176CF">
        <w:rPr>
          <w:rFonts w:asciiTheme="minorHAnsi" w:hAnsiTheme="minorHAnsi"/>
          <w:sz w:val="24"/>
          <w:szCs w:val="24"/>
        </w:rPr>
        <w:t>are summarised in Table 3</w:t>
      </w:r>
      <w:r w:rsidRPr="00B176CF">
        <w:rPr>
          <w:rFonts w:asciiTheme="minorHAnsi" w:hAnsiTheme="minorHAnsi"/>
          <w:sz w:val="24"/>
          <w:szCs w:val="24"/>
        </w:rPr>
        <w:t>.</w:t>
      </w:r>
    </w:p>
    <w:p w:rsidR="00871CDE" w:rsidRPr="00B176CF" w:rsidRDefault="00871CDE" w:rsidP="00330509">
      <w:pPr>
        <w:pStyle w:val="tablenotes"/>
      </w:pPr>
    </w:p>
    <w:p w:rsidR="009F1E28" w:rsidRPr="00B176CF" w:rsidRDefault="009F1E28" w:rsidP="00ED4C77">
      <w:pPr>
        <w:pStyle w:val="tablenotes"/>
        <w:keepNext/>
        <w:keepLines/>
        <w:spacing w:after="0"/>
        <w:rPr>
          <w:b/>
          <w:sz w:val="20"/>
        </w:rPr>
      </w:pPr>
      <w:r w:rsidRPr="00B176CF">
        <w:rPr>
          <w:b/>
          <w:sz w:val="20"/>
        </w:rPr>
        <w:lastRenderedPageBreak/>
        <w:t xml:space="preserve">Table </w:t>
      </w:r>
      <w:r w:rsidR="008D4FF6" w:rsidRPr="00B176CF">
        <w:rPr>
          <w:b/>
          <w:sz w:val="20"/>
        </w:rPr>
        <w:t>3</w:t>
      </w:r>
      <w:r w:rsidRPr="00B176CF">
        <w:rPr>
          <w:b/>
          <w:sz w:val="20"/>
        </w:rPr>
        <w:t xml:space="preserve">: Summary of </w:t>
      </w:r>
      <w:r w:rsidR="00A776E2" w:rsidRPr="00B176CF">
        <w:rPr>
          <w:b/>
          <w:sz w:val="20"/>
        </w:rPr>
        <w:t xml:space="preserve">new </w:t>
      </w:r>
      <w:r w:rsidRPr="00B176CF">
        <w:rPr>
          <w:b/>
          <w:sz w:val="20"/>
        </w:rPr>
        <w:t xml:space="preserve">evidence of long-term </w:t>
      </w:r>
      <w:proofErr w:type="spellStart"/>
      <w:r w:rsidRPr="00B176CF">
        <w:rPr>
          <w:b/>
          <w:sz w:val="20"/>
        </w:rPr>
        <w:t>eculizumab</w:t>
      </w:r>
      <w:proofErr w:type="spellEnd"/>
      <w:r w:rsidRPr="00B176CF">
        <w:rPr>
          <w:b/>
          <w:sz w:val="20"/>
        </w:rPr>
        <w:t xml:space="preserve"> </w:t>
      </w:r>
      <w:r w:rsidR="0001315B" w:rsidRPr="00B176CF">
        <w:rPr>
          <w:b/>
          <w:sz w:val="20"/>
        </w:rPr>
        <w:t xml:space="preserve">use </w:t>
      </w:r>
      <w:r w:rsidRPr="00B176CF">
        <w:rPr>
          <w:b/>
          <w:sz w:val="20"/>
        </w:rPr>
        <w:t>post-transplant (in patients commenced peri-transplant)</w:t>
      </w:r>
      <w:r w:rsidR="00A776E2" w:rsidRPr="00B176CF">
        <w:rPr>
          <w:b/>
          <w:sz w:val="20"/>
        </w:rPr>
        <w:t xml:space="preserve"> </w:t>
      </w:r>
    </w:p>
    <w:tbl>
      <w:tblPr>
        <w:tblStyle w:val="TableGrid"/>
        <w:tblW w:w="0" w:type="auto"/>
        <w:tblLook w:val="04A0" w:firstRow="1" w:lastRow="0" w:firstColumn="1" w:lastColumn="0" w:noHBand="0" w:noVBand="1"/>
        <w:tblCaption w:val="Table 3: Summary of new evidence of long-term eculizumab use post-transplant (in patients commenced peri-transplant) "/>
      </w:tblPr>
      <w:tblGrid>
        <w:gridCol w:w="1809"/>
        <w:gridCol w:w="1985"/>
        <w:gridCol w:w="2235"/>
        <w:gridCol w:w="1640"/>
        <w:gridCol w:w="1573"/>
      </w:tblGrid>
      <w:tr w:rsidR="00243D7B" w:rsidRPr="00B176CF" w:rsidTr="00FB0A0F">
        <w:trPr>
          <w:tblHeader/>
        </w:trPr>
        <w:tc>
          <w:tcPr>
            <w:tcW w:w="1809" w:type="dxa"/>
          </w:tcPr>
          <w:p w:rsidR="00243D7B" w:rsidRPr="00B176CF" w:rsidRDefault="00243D7B" w:rsidP="00ED4C77">
            <w:pPr>
              <w:keepNext/>
              <w:keepLines/>
              <w:rPr>
                <w:rFonts w:ascii="Arial Narrow" w:hAnsi="Arial Narrow" w:cs="Arial"/>
                <w:bCs/>
                <w:color w:val="000000"/>
                <w:sz w:val="20"/>
                <w:szCs w:val="20"/>
                <w:lang w:val="en-US"/>
              </w:rPr>
            </w:pPr>
          </w:p>
        </w:tc>
        <w:tc>
          <w:tcPr>
            <w:tcW w:w="1985" w:type="dxa"/>
            <w:vAlign w:val="center"/>
          </w:tcPr>
          <w:p w:rsidR="00243D7B" w:rsidRPr="00B176CF" w:rsidRDefault="00243D7B" w:rsidP="00ED4C77">
            <w:pPr>
              <w:keepNext/>
              <w:keepLines/>
              <w:rPr>
                <w:rFonts w:ascii="Arial Narrow" w:hAnsi="Arial Narrow" w:cs="Arial"/>
                <w:b/>
                <w:bCs/>
                <w:color w:val="000000"/>
                <w:sz w:val="20"/>
                <w:szCs w:val="20"/>
                <w:lang w:val="en-US"/>
              </w:rPr>
            </w:pPr>
            <w:proofErr w:type="spellStart"/>
            <w:r w:rsidRPr="00B176CF">
              <w:rPr>
                <w:rFonts w:ascii="Arial Narrow" w:hAnsi="Arial Narrow" w:cs="Arial"/>
                <w:b/>
                <w:bCs/>
                <w:color w:val="000000"/>
                <w:sz w:val="20"/>
                <w:szCs w:val="20"/>
                <w:lang w:val="en-US"/>
              </w:rPr>
              <w:t>Vande</w:t>
            </w:r>
            <w:proofErr w:type="spellEnd"/>
            <w:r w:rsidRPr="00B176CF">
              <w:rPr>
                <w:rFonts w:ascii="Arial Narrow" w:hAnsi="Arial Narrow" w:cs="Arial"/>
                <w:b/>
                <w:bCs/>
                <w:color w:val="000000"/>
                <w:sz w:val="20"/>
                <w:szCs w:val="20"/>
                <w:lang w:val="en-US"/>
              </w:rPr>
              <w:t xml:space="preserve"> </w:t>
            </w:r>
            <w:proofErr w:type="spellStart"/>
            <w:r w:rsidRPr="00B176CF">
              <w:rPr>
                <w:rFonts w:ascii="Arial Narrow" w:hAnsi="Arial Narrow" w:cs="Arial"/>
                <w:b/>
                <w:bCs/>
                <w:color w:val="000000"/>
                <w:sz w:val="20"/>
                <w:szCs w:val="20"/>
                <w:lang w:val="en-US"/>
              </w:rPr>
              <w:t>Walle</w:t>
            </w:r>
            <w:proofErr w:type="spellEnd"/>
            <w:r w:rsidRPr="00B176CF">
              <w:rPr>
                <w:rFonts w:ascii="Arial Narrow" w:hAnsi="Arial Narrow" w:cs="Arial"/>
                <w:b/>
                <w:bCs/>
                <w:color w:val="000000"/>
                <w:sz w:val="20"/>
                <w:szCs w:val="20"/>
                <w:lang w:val="en-US"/>
              </w:rPr>
              <w:t xml:space="preserve"> 2017</w:t>
            </w:r>
          </w:p>
        </w:tc>
        <w:tc>
          <w:tcPr>
            <w:tcW w:w="2235" w:type="dxa"/>
            <w:vAlign w:val="center"/>
          </w:tcPr>
          <w:p w:rsidR="00243D7B" w:rsidRPr="00B176CF" w:rsidRDefault="00243D7B" w:rsidP="00ED4C77">
            <w:pPr>
              <w:keepNext/>
              <w:keepLines/>
              <w:rPr>
                <w:rFonts w:ascii="Arial Narrow" w:hAnsi="Arial Narrow" w:cs="Arial"/>
                <w:b/>
                <w:bCs/>
                <w:color w:val="000000"/>
                <w:sz w:val="20"/>
                <w:szCs w:val="20"/>
                <w:lang w:val="en-US"/>
              </w:rPr>
            </w:pPr>
            <w:r w:rsidRPr="00B176CF">
              <w:rPr>
                <w:rFonts w:ascii="Arial Narrow" w:hAnsi="Arial Narrow" w:cs="Arial"/>
                <w:b/>
                <w:bCs/>
                <w:color w:val="000000"/>
                <w:sz w:val="20"/>
                <w:szCs w:val="20"/>
                <w:lang w:val="en-US"/>
              </w:rPr>
              <w:t>Zuber 2017</w:t>
            </w:r>
          </w:p>
        </w:tc>
        <w:tc>
          <w:tcPr>
            <w:tcW w:w="1640" w:type="dxa"/>
            <w:vAlign w:val="center"/>
          </w:tcPr>
          <w:p w:rsidR="00243D7B" w:rsidRPr="00B176CF" w:rsidRDefault="00243D7B" w:rsidP="00ED4C77">
            <w:pPr>
              <w:keepNext/>
              <w:keepLines/>
              <w:rPr>
                <w:rFonts w:ascii="Arial Narrow" w:hAnsi="Arial Narrow" w:cs="Arial"/>
                <w:b/>
                <w:bCs/>
                <w:color w:val="000000"/>
                <w:sz w:val="20"/>
                <w:szCs w:val="20"/>
                <w:lang w:val="en-US"/>
              </w:rPr>
            </w:pPr>
            <w:r w:rsidRPr="00B176CF">
              <w:rPr>
                <w:rFonts w:ascii="Arial Narrow" w:hAnsi="Arial Narrow" w:cs="Arial"/>
                <w:b/>
                <w:bCs/>
                <w:color w:val="000000"/>
                <w:sz w:val="20"/>
                <w:szCs w:val="20"/>
                <w:lang w:val="en-US"/>
              </w:rPr>
              <w:t>Levi 2017</w:t>
            </w:r>
          </w:p>
        </w:tc>
        <w:tc>
          <w:tcPr>
            <w:tcW w:w="1573" w:type="dxa"/>
            <w:vAlign w:val="center"/>
          </w:tcPr>
          <w:p w:rsidR="00243D7B" w:rsidRPr="00B176CF" w:rsidRDefault="00243D7B" w:rsidP="00ED4C77">
            <w:pPr>
              <w:keepNext/>
              <w:keepLines/>
              <w:rPr>
                <w:rFonts w:ascii="Arial Narrow" w:hAnsi="Arial Narrow" w:cs="Arial"/>
                <w:b/>
                <w:bCs/>
                <w:color w:val="000000"/>
                <w:sz w:val="20"/>
                <w:szCs w:val="20"/>
                <w:lang w:val="en-US"/>
              </w:rPr>
            </w:pPr>
            <w:r w:rsidRPr="00B176CF">
              <w:rPr>
                <w:rFonts w:ascii="Arial Narrow" w:hAnsi="Arial Narrow" w:cs="Arial"/>
                <w:b/>
                <w:bCs/>
                <w:color w:val="000000"/>
                <w:sz w:val="20"/>
                <w:szCs w:val="20"/>
                <w:lang w:val="en-US"/>
              </w:rPr>
              <w:t>Case reports</w:t>
            </w:r>
          </w:p>
        </w:tc>
      </w:tr>
      <w:tr w:rsidR="00243D7B" w:rsidRPr="00B176CF" w:rsidTr="00FB0A0F">
        <w:tc>
          <w:tcPr>
            <w:tcW w:w="1809" w:type="dxa"/>
            <w:vAlign w:val="center"/>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Design</w:t>
            </w:r>
          </w:p>
        </w:tc>
        <w:tc>
          <w:tcPr>
            <w:tcW w:w="1985" w:type="dxa"/>
          </w:tcPr>
          <w:p w:rsidR="00243D7B" w:rsidRPr="00B176CF" w:rsidRDefault="00243D7B" w:rsidP="00ED4C77">
            <w:pPr>
              <w:keepNext/>
              <w:keepLines/>
              <w:rPr>
                <w:rFonts w:ascii="Arial Narrow" w:hAnsi="Arial Narrow" w:cs="Arial"/>
                <w:bCs/>
                <w:color w:val="000000"/>
                <w:sz w:val="20"/>
                <w:szCs w:val="20"/>
                <w:vertAlign w:val="superscript"/>
                <w:lang w:val="en-US"/>
              </w:rPr>
            </w:pPr>
            <w:r w:rsidRPr="00B176CF">
              <w:rPr>
                <w:rFonts w:ascii="Arial Narrow" w:hAnsi="Arial Narrow" w:cs="Arial"/>
                <w:bCs/>
                <w:color w:val="000000"/>
                <w:sz w:val="20"/>
                <w:szCs w:val="20"/>
                <w:lang w:val="en-US"/>
              </w:rPr>
              <w:t>Registry data (conference presentation slides)</w:t>
            </w:r>
          </w:p>
        </w:tc>
        <w:tc>
          <w:tcPr>
            <w:tcW w:w="2235" w:type="dxa"/>
            <w:vAlign w:val="center"/>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Case series,</w:t>
            </w:r>
            <w:r w:rsidR="003E6659" w:rsidRPr="00B176CF">
              <w:rPr>
                <w:rFonts w:ascii="Arial Narrow" w:hAnsi="Arial Narrow" w:cs="Arial"/>
                <w:bCs/>
                <w:color w:val="000000"/>
                <w:sz w:val="20"/>
                <w:szCs w:val="20"/>
                <w:lang w:val="en-US"/>
              </w:rPr>
              <w:t xml:space="preserve"> m</w:t>
            </w:r>
            <w:r w:rsidRPr="00B176CF">
              <w:rPr>
                <w:rFonts w:ascii="Arial Narrow" w:hAnsi="Arial Narrow" w:cs="Arial"/>
                <w:bCs/>
                <w:color w:val="000000"/>
                <w:sz w:val="20"/>
                <w:szCs w:val="20"/>
                <w:lang w:val="en-US"/>
              </w:rPr>
              <w:t>ulti-</w:t>
            </w:r>
            <w:proofErr w:type="spellStart"/>
            <w:r w:rsidRPr="00B176CF">
              <w:rPr>
                <w:rFonts w:ascii="Arial Narrow" w:hAnsi="Arial Narrow" w:cs="Arial"/>
                <w:bCs/>
                <w:color w:val="000000"/>
                <w:sz w:val="20"/>
                <w:szCs w:val="20"/>
                <w:lang w:val="en-US"/>
              </w:rPr>
              <w:t>centre</w:t>
            </w:r>
            <w:proofErr w:type="spellEnd"/>
            <w:r w:rsidRPr="00B176CF">
              <w:rPr>
                <w:rFonts w:ascii="Arial Narrow" w:hAnsi="Arial Narrow" w:cs="Arial"/>
                <w:bCs/>
                <w:color w:val="000000"/>
                <w:sz w:val="20"/>
                <w:szCs w:val="20"/>
                <w:lang w:val="en-US"/>
              </w:rPr>
              <w:t xml:space="preserve"> retrospective (conference abstract)</w:t>
            </w:r>
          </w:p>
        </w:tc>
        <w:tc>
          <w:tcPr>
            <w:tcW w:w="1640" w:type="dxa"/>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Case series</w:t>
            </w:r>
          </w:p>
        </w:tc>
        <w:tc>
          <w:tcPr>
            <w:tcW w:w="1573" w:type="dxa"/>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 xml:space="preserve">Case reports: </w:t>
            </w:r>
            <w:r w:rsidR="00F242E9" w:rsidRPr="00B176CF">
              <w:rPr>
                <w:rFonts w:ascii="Arial Narrow" w:hAnsi="Arial Narrow" w:cs="Arial"/>
                <w:bCs/>
                <w:color w:val="000000"/>
                <w:sz w:val="20"/>
                <w:szCs w:val="20"/>
                <w:lang w:val="en-US"/>
              </w:rPr>
              <w:t>de </w:t>
            </w:r>
            <w:r w:rsidRPr="00B176CF">
              <w:rPr>
                <w:rFonts w:ascii="Arial Narrow" w:hAnsi="Arial Narrow" w:cs="Arial"/>
                <w:bCs/>
                <w:color w:val="000000"/>
                <w:sz w:val="20"/>
                <w:szCs w:val="20"/>
                <w:lang w:val="en-US"/>
              </w:rPr>
              <w:t xml:space="preserve">Andrade 2017, </w:t>
            </w:r>
            <w:proofErr w:type="spellStart"/>
            <w:r w:rsidRPr="00B176CF">
              <w:rPr>
                <w:rFonts w:ascii="Arial Narrow" w:hAnsi="Arial Narrow" w:cs="Arial"/>
                <w:bCs/>
                <w:color w:val="000000"/>
                <w:sz w:val="20"/>
                <w:szCs w:val="20"/>
                <w:lang w:val="en-US"/>
              </w:rPr>
              <w:t>Brocklebank</w:t>
            </w:r>
            <w:proofErr w:type="spellEnd"/>
            <w:r w:rsidRPr="00B176CF">
              <w:rPr>
                <w:rFonts w:ascii="Arial Narrow" w:hAnsi="Arial Narrow" w:cs="Arial"/>
                <w:bCs/>
                <w:color w:val="000000"/>
                <w:sz w:val="20"/>
                <w:szCs w:val="20"/>
                <w:lang w:val="en-US"/>
              </w:rPr>
              <w:t xml:space="preserve"> 2017</w:t>
            </w:r>
          </w:p>
        </w:tc>
      </w:tr>
      <w:tr w:rsidR="00243D7B" w:rsidRPr="00B176CF" w:rsidTr="00FB0A0F">
        <w:tc>
          <w:tcPr>
            <w:tcW w:w="1809" w:type="dxa"/>
            <w:vAlign w:val="center"/>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w:t>
            </w:r>
          </w:p>
        </w:tc>
        <w:tc>
          <w:tcPr>
            <w:tcW w:w="1985" w:type="dxa"/>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144</w:t>
            </w:r>
          </w:p>
        </w:tc>
        <w:tc>
          <w:tcPr>
            <w:tcW w:w="2235" w:type="dxa"/>
            <w:vAlign w:val="center"/>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95</w:t>
            </w:r>
          </w:p>
        </w:tc>
        <w:tc>
          <w:tcPr>
            <w:tcW w:w="1640" w:type="dxa"/>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12</w:t>
            </w:r>
          </w:p>
        </w:tc>
        <w:tc>
          <w:tcPr>
            <w:tcW w:w="1573" w:type="dxa"/>
          </w:tcPr>
          <w:p w:rsidR="00243D7B" w:rsidRPr="00B176CF" w:rsidRDefault="003E6659" w:rsidP="00ED4C77">
            <w:pPr>
              <w:keepNext/>
              <w:keepLines/>
              <w:rPr>
                <w:rFonts w:ascii="Arial Narrow" w:hAnsi="Arial Narrow" w:cs="Arial"/>
                <w:bCs/>
                <w:color w:val="C2D69B" w:themeColor="accent3" w:themeTint="99"/>
                <w:sz w:val="20"/>
                <w:szCs w:val="20"/>
                <w:vertAlign w:val="superscript"/>
                <w:lang w:val="en-US"/>
              </w:rPr>
            </w:pPr>
            <w:r w:rsidRPr="00B176CF">
              <w:rPr>
                <w:rFonts w:ascii="Arial Narrow" w:hAnsi="Arial Narrow" w:cs="Arial"/>
                <w:bCs/>
                <w:color w:val="000000" w:themeColor="text1"/>
                <w:sz w:val="20"/>
                <w:szCs w:val="20"/>
                <w:lang w:val="en-US"/>
              </w:rPr>
              <w:t xml:space="preserve">3 </w:t>
            </w:r>
            <w:r w:rsidRPr="00B176CF">
              <w:rPr>
                <w:rFonts w:ascii="Arial Narrow" w:hAnsi="Arial Narrow" w:cs="Arial"/>
                <w:bCs/>
                <w:color w:val="000000" w:themeColor="text1"/>
                <w:sz w:val="20"/>
                <w:szCs w:val="20"/>
                <w:vertAlign w:val="superscript"/>
                <w:lang w:val="en-US"/>
              </w:rPr>
              <w:t>g</w:t>
            </w:r>
          </w:p>
        </w:tc>
      </w:tr>
      <w:tr w:rsidR="00243D7B" w:rsidRPr="00B176CF" w:rsidTr="00FB0A0F">
        <w:tc>
          <w:tcPr>
            <w:tcW w:w="1809" w:type="dxa"/>
            <w:vAlign w:val="center"/>
          </w:tcPr>
          <w:p w:rsidR="00243D7B" w:rsidRPr="00B176CF" w:rsidRDefault="00243D7B" w:rsidP="00AF0A4A">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w:t>
            </w:r>
            <w:r w:rsidR="006B1D91" w:rsidRPr="00B176CF">
              <w:rPr>
                <w:rFonts w:ascii="Arial Narrow" w:hAnsi="Arial Narrow" w:cs="Arial"/>
                <w:bCs/>
                <w:color w:val="000000"/>
                <w:sz w:val="20"/>
                <w:szCs w:val="20"/>
                <w:lang w:val="en-US"/>
              </w:rPr>
              <w:t>umber</w:t>
            </w:r>
            <w:r w:rsidRPr="00B176CF">
              <w:rPr>
                <w:rFonts w:ascii="Arial Narrow" w:hAnsi="Arial Narrow" w:cs="Arial"/>
                <w:bCs/>
                <w:color w:val="000000"/>
                <w:sz w:val="20"/>
                <w:szCs w:val="20"/>
                <w:lang w:val="en-US"/>
              </w:rPr>
              <w:t xml:space="preserve"> treated with </w:t>
            </w:r>
            <w:proofErr w:type="spellStart"/>
            <w:r w:rsidRPr="00B176CF">
              <w:rPr>
                <w:rFonts w:ascii="Arial Narrow" w:hAnsi="Arial Narrow" w:cs="Arial"/>
                <w:bCs/>
                <w:color w:val="000000"/>
                <w:sz w:val="20"/>
                <w:szCs w:val="20"/>
                <w:lang w:val="en-US"/>
              </w:rPr>
              <w:t>ecu</w:t>
            </w:r>
            <w:proofErr w:type="spellEnd"/>
            <w:r w:rsidR="006B1D91" w:rsidRPr="00B176CF">
              <w:rPr>
                <w:rFonts w:ascii="Arial Narrow" w:hAnsi="Arial Narrow" w:cs="Arial"/>
                <w:bCs/>
                <w:color w:val="000000"/>
                <w:sz w:val="20"/>
                <w:szCs w:val="20"/>
                <w:lang w:val="en-US"/>
              </w:rPr>
              <w:t>.</w:t>
            </w:r>
            <w:r w:rsidRPr="00B176CF">
              <w:rPr>
                <w:rFonts w:ascii="Arial Narrow" w:hAnsi="Arial Narrow" w:cs="Arial"/>
                <w:bCs/>
                <w:color w:val="000000"/>
                <w:sz w:val="20"/>
                <w:szCs w:val="20"/>
                <w:lang w:val="en-US"/>
              </w:rPr>
              <w:t xml:space="preserve"> </w:t>
            </w:r>
            <w:proofErr w:type="spellStart"/>
            <w:r w:rsidRPr="00B176CF">
              <w:rPr>
                <w:rFonts w:ascii="Arial Narrow" w:hAnsi="Arial Narrow" w:cs="Arial"/>
                <w:bCs/>
                <w:color w:val="000000"/>
                <w:sz w:val="20"/>
                <w:szCs w:val="20"/>
                <w:lang w:val="en-US"/>
              </w:rPr>
              <w:t>peri</w:t>
            </w:r>
            <w:proofErr w:type="spellEnd"/>
            <w:r w:rsidRPr="00B176CF">
              <w:rPr>
                <w:rFonts w:ascii="Arial Narrow" w:hAnsi="Arial Narrow" w:cs="Arial"/>
                <w:bCs/>
                <w:color w:val="000000"/>
                <w:sz w:val="20"/>
                <w:szCs w:val="20"/>
                <w:lang w:val="en-US"/>
              </w:rPr>
              <w:t xml:space="preserve">-transplant </w:t>
            </w:r>
          </w:p>
        </w:tc>
        <w:tc>
          <w:tcPr>
            <w:tcW w:w="1985" w:type="dxa"/>
          </w:tcPr>
          <w:p w:rsidR="00243D7B" w:rsidRPr="00B176CF" w:rsidRDefault="00243D7B" w:rsidP="00AF0A4A">
            <w:pPr>
              <w:keepNext/>
              <w:keepLines/>
              <w:rPr>
                <w:rFonts w:ascii="Arial Narrow" w:hAnsi="Arial Narrow" w:cs="Arial"/>
                <w:bCs/>
                <w:color w:val="000000"/>
                <w:sz w:val="20"/>
                <w:szCs w:val="20"/>
                <w:vertAlign w:val="superscript"/>
                <w:lang w:val="en-US"/>
              </w:rPr>
            </w:pPr>
            <w:r w:rsidRPr="00B176CF">
              <w:rPr>
                <w:rFonts w:ascii="Arial Narrow" w:hAnsi="Arial Narrow" w:cs="Arial"/>
                <w:bCs/>
                <w:color w:val="000000"/>
                <w:sz w:val="20"/>
                <w:szCs w:val="20"/>
                <w:lang w:val="en-US"/>
              </w:rPr>
              <w:t>67</w:t>
            </w:r>
            <w:r w:rsidR="00FB0A0F" w:rsidRPr="00B176CF">
              <w:rPr>
                <w:rFonts w:ascii="Arial Narrow" w:hAnsi="Arial Narrow" w:cs="Arial"/>
                <w:bCs/>
                <w:color w:val="000000"/>
                <w:sz w:val="20"/>
                <w:szCs w:val="20"/>
                <w:lang w:val="en-US"/>
              </w:rPr>
              <w:t xml:space="preserve">. Of these, </w:t>
            </w:r>
            <w:r w:rsidRPr="00B176CF">
              <w:rPr>
                <w:rFonts w:ascii="Arial Narrow" w:hAnsi="Arial Narrow" w:cs="Arial"/>
                <w:bCs/>
                <w:color w:val="000000"/>
                <w:sz w:val="20"/>
                <w:szCs w:val="20"/>
                <w:lang w:val="en-US"/>
              </w:rPr>
              <w:t xml:space="preserve">51 </w:t>
            </w:r>
            <w:r w:rsidR="00FB0A0F" w:rsidRPr="00B176CF">
              <w:rPr>
                <w:rFonts w:ascii="Arial Narrow" w:hAnsi="Arial Narrow" w:cs="Arial"/>
                <w:bCs/>
                <w:color w:val="000000"/>
                <w:sz w:val="20"/>
                <w:szCs w:val="20"/>
                <w:lang w:val="en-US"/>
              </w:rPr>
              <w:t xml:space="preserve">were </w:t>
            </w:r>
            <w:r w:rsidRPr="00B176CF">
              <w:rPr>
                <w:rFonts w:ascii="Arial Narrow" w:hAnsi="Arial Narrow" w:cs="Arial"/>
                <w:bCs/>
                <w:color w:val="000000"/>
                <w:sz w:val="20"/>
                <w:szCs w:val="20"/>
                <w:lang w:val="en-US"/>
              </w:rPr>
              <w:t xml:space="preserve">maintained on </w:t>
            </w:r>
            <w:r w:rsidR="00FB0A0F" w:rsidRPr="00B176CF">
              <w:rPr>
                <w:rFonts w:ascii="Arial Narrow" w:hAnsi="Arial Narrow" w:cs="Arial"/>
                <w:bCs/>
                <w:color w:val="000000"/>
                <w:sz w:val="20"/>
                <w:szCs w:val="20"/>
                <w:lang w:val="en-US"/>
              </w:rPr>
              <w:t>“</w:t>
            </w:r>
            <w:r w:rsidRPr="00B176CF">
              <w:rPr>
                <w:rFonts w:ascii="Arial Narrow" w:hAnsi="Arial Narrow" w:cs="Arial"/>
                <w:bCs/>
                <w:color w:val="000000"/>
                <w:sz w:val="20"/>
                <w:szCs w:val="20"/>
                <w:lang w:val="en-US"/>
              </w:rPr>
              <w:t xml:space="preserve">approved </w:t>
            </w:r>
            <w:proofErr w:type="spellStart"/>
            <w:r w:rsidRPr="00B176CF">
              <w:rPr>
                <w:rFonts w:ascii="Arial Narrow" w:hAnsi="Arial Narrow" w:cs="Arial"/>
                <w:bCs/>
                <w:color w:val="000000"/>
                <w:sz w:val="20"/>
                <w:szCs w:val="20"/>
                <w:lang w:val="en-US"/>
              </w:rPr>
              <w:t>ecu</w:t>
            </w:r>
            <w:proofErr w:type="spellEnd"/>
            <w:r w:rsidR="006B1D91" w:rsidRPr="00B176CF">
              <w:rPr>
                <w:rFonts w:ascii="Arial Narrow" w:hAnsi="Arial Narrow" w:cs="Arial"/>
                <w:bCs/>
                <w:color w:val="000000"/>
                <w:sz w:val="20"/>
                <w:szCs w:val="20"/>
                <w:lang w:val="en-US"/>
              </w:rPr>
              <w:t>.</w:t>
            </w:r>
            <w:r w:rsidRPr="00B176CF">
              <w:rPr>
                <w:rFonts w:ascii="Arial Narrow" w:hAnsi="Arial Narrow" w:cs="Arial"/>
                <w:bCs/>
                <w:color w:val="000000"/>
                <w:sz w:val="20"/>
                <w:szCs w:val="20"/>
                <w:lang w:val="en-US"/>
              </w:rPr>
              <w:t xml:space="preserve"> dosing</w:t>
            </w:r>
            <w:r w:rsidR="00FB0A0F" w:rsidRPr="00B176CF">
              <w:rPr>
                <w:rFonts w:ascii="Arial Narrow" w:hAnsi="Arial Narrow" w:cs="Arial"/>
                <w:bCs/>
                <w:color w:val="000000"/>
                <w:sz w:val="20"/>
                <w:szCs w:val="20"/>
                <w:lang w:val="en-US"/>
              </w:rPr>
              <w:t>”</w:t>
            </w:r>
          </w:p>
        </w:tc>
        <w:tc>
          <w:tcPr>
            <w:tcW w:w="2235" w:type="dxa"/>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35</w:t>
            </w:r>
          </w:p>
        </w:tc>
        <w:tc>
          <w:tcPr>
            <w:tcW w:w="1640" w:type="dxa"/>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10</w:t>
            </w:r>
          </w:p>
        </w:tc>
        <w:tc>
          <w:tcPr>
            <w:tcW w:w="1573" w:type="dxa"/>
          </w:tcPr>
          <w:p w:rsidR="00243D7B" w:rsidRPr="00B176CF" w:rsidRDefault="003E6659"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3</w:t>
            </w:r>
          </w:p>
        </w:tc>
      </w:tr>
      <w:tr w:rsidR="00243D7B" w:rsidRPr="00B176CF" w:rsidTr="00FB0A0F">
        <w:tc>
          <w:tcPr>
            <w:tcW w:w="1809" w:type="dxa"/>
            <w:vAlign w:val="center"/>
          </w:tcPr>
          <w:p w:rsidR="00243D7B" w:rsidRPr="00B176CF" w:rsidRDefault="006B1D91"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Risk of s</w:t>
            </w:r>
            <w:r w:rsidR="00243D7B" w:rsidRPr="00B176CF">
              <w:rPr>
                <w:rFonts w:ascii="Arial Narrow" w:hAnsi="Arial Narrow" w:cs="Arial"/>
                <w:bCs/>
                <w:color w:val="000000"/>
                <w:sz w:val="20"/>
                <w:szCs w:val="20"/>
                <w:lang w:val="en-US"/>
              </w:rPr>
              <w:t>ubsequent TMA</w:t>
            </w:r>
          </w:p>
        </w:tc>
        <w:tc>
          <w:tcPr>
            <w:tcW w:w="1985" w:type="dxa"/>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NR</w:t>
            </w:r>
          </w:p>
        </w:tc>
        <w:tc>
          <w:tcPr>
            <w:tcW w:w="2235" w:type="dxa"/>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NR</w:t>
            </w:r>
          </w:p>
        </w:tc>
        <w:tc>
          <w:tcPr>
            <w:tcW w:w="1640" w:type="dxa"/>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Medium-high risk</w:t>
            </w:r>
          </w:p>
        </w:tc>
        <w:tc>
          <w:tcPr>
            <w:tcW w:w="1573" w:type="dxa"/>
          </w:tcPr>
          <w:p w:rsidR="00243D7B" w:rsidRPr="00B176CF" w:rsidRDefault="003E6659"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NR</w:t>
            </w:r>
          </w:p>
        </w:tc>
      </w:tr>
      <w:tr w:rsidR="00243D7B" w:rsidRPr="00B176CF" w:rsidTr="00FB0A0F">
        <w:tc>
          <w:tcPr>
            <w:tcW w:w="1809" w:type="dxa"/>
            <w:vAlign w:val="center"/>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 xml:space="preserve">Duration of </w:t>
            </w:r>
            <w:proofErr w:type="spellStart"/>
            <w:r w:rsidRPr="00B176CF">
              <w:rPr>
                <w:rFonts w:ascii="Arial Narrow" w:hAnsi="Arial Narrow" w:cs="Arial"/>
                <w:bCs/>
                <w:color w:val="000000"/>
                <w:sz w:val="20"/>
                <w:szCs w:val="20"/>
                <w:lang w:val="en-US"/>
              </w:rPr>
              <w:t>eculizumab</w:t>
            </w:r>
            <w:proofErr w:type="spellEnd"/>
            <w:r w:rsidRPr="00B176CF">
              <w:rPr>
                <w:rFonts w:ascii="Arial Narrow" w:hAnsi="Arial Narrow" w:cs="Arial"/>
                <w:bCs/>
                <w:color w:val="000000"/>
                <w:sz w:val="20"/>
                <w:szCs w:val="20"/>
                <w:lang w:val="en-US"/>
              </w:rPr>
              <w:t xml:space="preserve"> </w:t>
            </w:r>
          </w:p>
        </w:tc>
        <w:tc>
          <w:tcPr>
            <w:tcW w:w="1985" w:type="dxa"/>
          </w:tcPr>
          <w:p w:rsidR="00243D7B" w:rsidRPr="00B176CF" w:rsidRDefault="00243D7B" w:rsidP="00AF0A4A">
            <w:pPr>
              <w:keepNext/>
              <w:keepLines/>
              <w:rPr>
                <w:rFonts w:ascii="Arial Narrow" w:hAnsi="Arial Narrow" w:cs="Arial"/>
                <w:bCs/>
                <w:color w:val="000000"/>
                <w:sz w:val="20"/>
                <w:szCs w:val="20"/>
                <w:vertAlign w:val="superscript"/>
                <w:lang w:val="en-US"/>
              </w:rPr>
            </w:pPr>
            <w:r w:rsidRPr="00B176CF">
              <w:rPr>
                <w:rFonts w:ascii="Arial Narrow" w:hAnsi="Arial Narrow" w:cs="Arial"/>
                <w:bCs/>
                <w:color w:val="000000"/>
                <w:sz w:val="20"/>
                <w:szCs w:val="20"/>
                <w:lang w:val="en-US"/>
              </w:rPr>
              <w:t xml:space="preserve">&gt;12 months in the 51 patients maintained on approved </w:t>
            </w:r>
            <w:proofErr w:type="spellStart"/>
            <w:r w:rsidRPr="00B176CF">
              <w:rPr>
                <w:rFonts w:ascii="Arial Narrow" w:hAnsi="Arial Narrow" w:cs="Arial"/>
                <w:bCs/>
                <w:color w:val="000000"/>
                <w:sz w:val="20"/>
                <w:szCs w:val="20"/>
                <w:lang w:val="en-US"/>
              </w:rPr>
              <w:t>ecu</w:t>
            </w:r>
            <w:r w:rsidR="006B1D91" w:rsidRPr="00B176CF">
              <w:rPr>
                <w:rFonts w:ascii="Arial Narrow" w:hAnsi="Arial Narrow" w:cs="Arial"/>
                <w:bCs/>
                <w:color w:val="000000"/>
                <w:sz w:val="20"/>
                <w:szCs w:val="20"/>
                <w:lang w:val="en-US"/>
              </w:rPr>
              <w:t>.</w:t>
            </w:r>
            <w:r w:rsidRPr="00B176CF">
              <w:rPr>
                <w:rFonts w:ascii="Arial Narrow" w:hAnsi="Arial Narrow" w:cs="Arial"/>
                <w:bCs/>
                <w:color w:val="000000"/>
                <w:sz w:val="20"/>
                <w:szCs w:val="20"/>
                <w:lang w:val="en-US"/>
              </w:rPr>
              <w:t>dosing</w:t>
            </w:r>
            <w:proofErr w:type="spellEnd"/>
          </w:p>
        </w:tc>
        <w:tc>
          <w:tcPr>
            <w:tcW w:w="2235" w:type="dxa"/>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NR</w:t>
            </w:r>
          </w:p>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 xml:space="preserve">No information re. </w:t>
            </w:r>
            <w:proofErr w:type="gramStart"/>
            <w:r w:rsidRPr="00B176CF">
              <w:rPr>
                <w:rFonts w:ascii="Arial Narrow" w:hAnsi="Arial Narrow" w:cs="Arial"/>
                <w:bCs/>
                <w:color w:val="000000"/>
                <w:sz w:val="20"/>
                <w:szCs w:val="20"/>
                <w:lang w:val="en-US"/>
              </w:rPr>
              <w:t>duration</w:t>
            </w:r>
            <w:proofErr w:type="gramEnd"/>
            <w:r w:rsidRPr="00B176CF">
              <w:rPr>
                <w:rFonts w:ascii="Arial Narrow" w:hAnsi="Arial Narrow" w:cs="Arial"/>
                <w:bCs/>
                <w:color w:val="000000"/>
                <w:sz w:val="20"/>
                <w:szCs w:val="20"/>
                <w:lang w:val="en-US"/>
              </w:rPr>
              <w:t xml:space="preserve"> / discontinuation of </w:t>
            </w:r>
            <w:proofErr w:type="spellStart"/>
            <w:r w:rsidRPr="00B176CF">
              <w:rPr>
                <w:rFonts w:ascii="Arial Narrow" w:hAnsi="Arial Narrow" w:cs="Arial"/>
                <w:bCs/>
                <w:color w:val="000000"/>
                <w:sz w:val="20"/>
                <w:szCs w:val="20"/>
                <w:lang w:val="en-US"/>
              </w:rPr>
              <w:t>ecu</w:t>
            </w:r>
            <w:proofErr w:type="spellEnd"/>
            <w:r w:rsidR="006B1D91" w:rsidRPr="00B176CF">
              <w:rPr>
                <w:rFonts w:ascii="Arial Narrow" w:hAnsi="Arial Narrow" w:cs="Arial"/>
                <w:bCs/>
                <w:color w:val="000000"/>
                <w:sz w:val="20"/>
                <w:szCs w:val="20"/>
                <w:lang w:val="en-US"/>
              </w:rPr>
              <w:t>.</w:t>
            </w:r>
            <w:r w:rsidRPr="00B176CF">
              <w:rPr>
                <w:rFonts w:ascii="Arial Narrow" w:hAnsi="Arial Narrow" w:cs="Arial"/>
                <w:bCs/>
                <w:color w:val="000000"/>
                <w:sz w:val="20"/>
                <w:szCs w:val="20"/>
                <w:lang w:val="en-US"/>
              </w:rPr>
              <w:t xml:space="preserve"> </w:t>
            </w:r>
          </w:p>
        </w:tc>
        <w:tc>
          <w:tcPr>
            <w:tcW w:w="1640" w:type="dxa"/>
          </w:tcPr>
          <w:p w:rsidR="00243D7B" w:rsidRPr="00B176CF" w:rsidRDefault="00243D7B" w:rsidP="00ED4C77">
            <w:pPr>
              <w:keepNext/>
              <w:keepLines/>
              <w:rPr>
                <w:rFonts w:ascii="Arial Narrow" w:hAnsi="Arial Narrow" w:cs="Arial"/>
                <w:bCs/>
                <w:color w:val="000000"/>
                <w:sz w:val="20"/>
                <w:szCs w:val="20"/>
                <w:vertAlign w:val="superscript"/>
                <w:lang w:val="en-US"/>
              </w:rPr>
            </w:pPr>
            <w:r w:rsidRPr="00B176CF">
              <w:rPr>
                <w:rFonts w:ascii="Arial Narrow" w:hAnsi="Arial Narrow" w:cs="Arial"/>
                <w:bCs/>
                <w:color w:val="000000"/>
                <w:sz w:val="20"/>
                <w:szCs w:val="20"/>
                <w:lang w:val="en-US"/>
              </w:rPr>
              <w:t xml:space="preserve">1 </w:t>
            </w:r>
            <w:proofErr w:type="gramStart"/>
            <w:r w:rsidRPr="00B176CF">
              <w:rPr>
                <w:rFonts w:ascii="Arial Narrow" w:hAnsi="Arial Narrow" w:cs="Arial"/>
                <w:bCs/>
                <w:color w:val="000000"/>
                <w:sz w:val="20"/>
                <w:szCs w:val="20"/>
                <w:lang w:val="en-US"/>
              </w:rPr>
              <w:t xml:space="preserve">discontinuation </w:t>
            </w:r>
            <w:r w:rsidRPr="00B176CF">
              <w:rPr>
                <w:rFonts w:ascii="Arial Narrow" w:hAnsi="Arial Narrow" w:cs="Arial"/>
                <w:bCs/>
                <w:color w:val="000000"/>
                <w:sz w:val="20"/>
                <w:szCs w:val="20"/>
                <w:vertAlign w:val="superscript"/>
                <w:lang w:val="en-US"/>
              </w:rPr>
              <w:t xml:space="preserve"> </w:t>
            </w:r>
            <w:r w:rsidRPr="00B176CF">
              <w:rPr>
                <w:rFonts w:ascii="Arial Narrow" w:hAnsi="Arial Narrow" w:cs="Arial"/>
                <w:bCs/>
                <w:color w:val="000000"/>
                <w:sz w:val="20"/>
                <w:szCs w:val="20"/>
                <w:lang w:val="en-US"/>
              </w:rPr>
              <w:t>after</w:t>
            </w:r>
            <w:proofErr w:type="gramEnd"/>
            <w:r w:rsidRPr="00B176CF">
              <w:rPr>
                <w:rFonts w:ascii="Arial Narrow" w:hAnsi="Arial Narrow" w:cs="Arial"/>
                <w:bCs/>
                <w:color w:val="000000"/>
                <w:sz w:val="20"/>
                <w:szCs w:val="20"/>
                <w:lang w:val="en-US"/>
              </w:rPr>
              <w:t xml:space="preserve"> 28.7 months. </w:t>
            </w:r>
          </w:p>
        </w:tc>
        <w:tc>
          <w:tcPr>
            <w:tcW w:w="1573" w:type="dxa"/>
          </w:tcPr>
          <w:p w:rsidR="00243D7B" w:rsidRPr="00B176CF" w:rsidRDefault="003E6659"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U</w:t>
            </w:r>
            <w:r w:rsidR="00243D7B" w:rsidRPr="00B176CF">
              <w:rPr>
                <w:rFonts w:ascii="Arial Narrow" w:hAnsi="Arial Narrow" w:cs="Arial"/>
                <w:bCs/>
                <w:color w:val="000000"/>
                <w:sz w:val="20"/>
                <w:szCs w:val="20"/>
                <w:lang w:val="en-US"/>
              </w:rPr>
              <w:t>nclear</w:t>
            </w:r>
            <w:r w:rsidRPr="00B176CF">
              <w:rPr>
                <w:rFonts w:ascii="Arial Narrow" w:hAnsi="Arial Narrow" w:cs="Arial"/>
                <w:bCs/>
                <w:color w:val="000000"/>
                <w:sz w:val="20"/>
                <w:szCs w:val="20"/>
                <w:lang w:val="en-US"/>
              </w:rPr>
              <w:t xml:space="preserve"> (4 to 16 months</w:t>
            </w:r>
            <w:r w:rsidR="00243D7B" w:rsidRPr="00B176CF">
              <w:rPr>
                <w:rFonts w:ascii="Arial Narrow" w:hAnsi="Arial Narrow" w:cs="Arial"/>
                <w:bCs/>
                <w:color w:val="000000"/>
                <w:sz w:val="20"/>
                <w:szCs w:val="20"/>
                <w:lang w:val="en-US"/>
              </w:rPr>
              <w:t>)</w:t>
            </w:r>
          </w:p>
        </w:tc>
      </w:tr>
      <w:tr w:rsidR="0001315B" w:rsidRPr="00B176CF" w:rsidTr="00D17980">
        <w:tc>
          <w:tcPr>
            <w:tcW w:w="9242" w:type="dxa"/>
            <w:gridSpan w:val="5"/>
            <w:vAlign w:val="center"/>
          </w:tcPr>
          <w:p w:rsidR="0001315B" w:rsidRPr="00B176CF" w:rsidRDefault="0001315B" w:rsidP="00ED4C77">
            <w:pPr>
              <w:keepNext/>
              <w:keepLines/>
              <w:rPr>
                <w:rFonts w:ascii="Arial Narrow" w:hAnsi="Arial Narrow" w:cs="Arial"/>
                <w:b/>
                <w:bCs/>
                <w:color w:val="000000"/>
                <w:sz w:val="20"/>
                <w:szCs w:val="20"/>
                <w:lang w:val="en-US"/>
              </w:rPr>
            </w:pPr>
            <w:r w:rsidRPr="00B176CF">
              <w:rPr>
                <w:rFonts w:ascii="Arial Narrow" w:hAnsi="Arial Narrow" w:cs="Arial"/>
                <w:b/>
                <w:bCs/>
                <w:color w:val="000000"/>
                <w:sz w:val="20"/>
                <w:szCs w:val="20"/>
                <w:lang w:val="en-US"/>
              </w:rPr>
              <w:t>Outcomes</w:t>
            </w:r>
          </w:p>
        </w:tc>
      </w:tr>
      <w:tr w:rsidR="00243D7B" w:rsidRPr="00B176CF" w:rsidTr="00FB0A0F">
        <w:tc>
          <w:tcPr>
            <w:tcW w:w="1809" w:type="dxa"/>
            <w:vAlign w:val="center"/>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Subsequent TMA</w:t>
            </w:r>
          </w:p>
        </w:tc>
        <w:tc>
          <w:tcPr>
            <w:tcW w:w="1985" w:type="dxa"/>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NR</w:t>
            </w:r>
          </w:p>
        </w:tc>
        <w:tc>
          <w:tcPr>
            <w:tcW w:w="2235" w:type="dxa"/>
          </w:tcPr>
          <w:p w:rsidR="00243D7B" w:rsidRPr="00B176CF" w:rsidRDefault="00243D7B" w:rsidP="00ED4C77">
            <w:pPr>
              <w:keepNext/>
              <w:keepLines/>
              <w:rPr>
                <w:rFonts w:ascii="Arial Narrow" w:hAnsi="Arial Narrow" w:cs="Arial"/>
                <w:bCs/>
                <w:color w:val="000000"/>
                <w:sz w:val="20"/>
                <w:szCs w:val="20"/>
                <w:vertAlign w:val="superscript"/>
                <w:lang w:val="en-US"/>
              </w:rPr>
            </w:pPr>
            <w:r w:rsidRPr="00B176CF">
              <w:rPr>
                <w:rFonts w:ascii="Arial Narrow" w:hAnsi="Arial Narrow" w:cs="Arial"/>
                <w:bCs/>
                <w:color w:val="000000"/>
                <w:sz w:val="20"/>
                <w:szCs w:val="20"/>
                <w:lang w:val="en-US"/>
              </w:rPr>
              <w:t>0% at 12 months</w:t>
            </w:r>
          </w:p>
        </w:tc>
        <w:tc>
          <w:tcPr>
            <w:tcW w:w="1640" w:type="dxa"/>
          </w:tcPr>
          <w:p w:rsidR="00243D7B" w:rsidRPr="00B176CF" w:rsidRDefault="00243D7B" w:rsidP="00ED4C77">
            <w:pPr>
              <w:keepNext/>
              <w:keepLines/>
              <w:rPr>
                <w:rFonts w:ascii="Arial Narrow" w:hAnsi="Arial Narrow" w:cs="Arial"/>
                <w:bCs/>
                <w:color w:val="000000"/>
                <w:sz w:val="20"/>
                <w:szCs w:val="20"/>
                <w:vertAlign w:val="superscript"/>
                <w:lang w:val="en-US"/>
              </w:rPr>
            </w:pPr>
            <w:r w:rsidRPr="00B176CF">
              <w:rPr>
                <w:rFonts w:ascii="Arial Narrow" w:hAnsi="Arial Narrow" w:cs="Arial"/>
                <w:bCs/>
                <w:color w:val="000000"/>
                <w:sz w:val="20"/>
                <w:szCs w:val="20"/>
                <w:lang w:val="en-US"/>
              </w:rPr>
              <w:t xml:space="preserve">0% </w:t>
            </w:r>
            <w:r w:rsidRPr="00B176CF">
              <w:rPr>
                <w:rFonts w:ascii="Arial Narrow" w:hAnsi="Arial Narrow" w:cs="Arial"/>
                <w:bCs/>
                <w:color w:val="000000"/>
                <w:sz w:val="20"/>
                <w:szCs w:val="20"/>
                <w:vertAlign w:val="superscript"/>
                <w:lang w:val="en-US"/>
              </w:rPr>
              <w:t>b</w:t>
            </w:r>
          </w:p>
        </w:tc>
        <w:tc>
          <w:tcPr>
            <w:tcW w:w="1573" w:type="dxa"/>
          </w:tcPr>
          <w:p w:rsidR="00243D7B" w:rsidRPr="00B176CF" w:rsidRDefault="003E6659" w:rsidP="00ED4C77">
            <w:pPr>
              <w:keepNext/>
              <w:keepLines/>
              <w:rPr>
                <w:rFonts w:ascii="Arial Narrow" w:hAnsi="Arial Narrow" w:cs="Arial"/>
                <w:bCs/>
                <w:color w:val="000000"/>
                <w:sz w:val="20"/>
                <w:szCs w:val="20"/>
                <w:vertAlign w:val="superscript"/>
                <w:lang w:val="en-US"/>
              </w:rPr>
            </w:pPr>
            <w:r w:rsidRPr="00B176CF">
              <w:rPr>
                <w:rFonts w:ascii="Arial Narrow" w:hAnsi="Arial Narrow" w:cs="Arial"/>
                <w:bCs/>
                <w:color w:val="000000"/>
                <w:sz w:val="20"/>
                <w:szCs w:val="20"/>
                <w:lang w:val="en-US"/>
              </w:rPr>
              <w:t>25%</w:t>
            </w:r>
            <w:r w:rsidR="006B1D91" w:rsidRPr="00B176CF">
              <w:rPr>
                <w:rFonts w:ascii="Arial Narrow" w:hAnsi="Arial Narrow" w:cs="Arial"/>
                <w:bCs/>
                <w:color w:val="000000"/>
                <w:sz w:val="20"/>
                <w:szCs w:val="20"/>
                <w:lang w:val="en-US"/>
              </w:rPr>
              <w:t xml:space="preserve"> </w:t>
            </w:r>
            <w:r w:rsidR="006B1D91" w:rsidRPr="00B176CF">
              <w:rPr>
                <w:rFonts w:ascii="Arial Narrow" w:hAnsi="Arial Narrow" w:cs="Arial"/>
                <w:bCs/>
                <w:color w:val="000000"/>
                <w:sz w:val="20"/>
                <w:szCs w:val="20"/>
                <w:vertAlign w:val="superscript"/>
                <w:lang w:val="en-US"/>
              </w:rPr>
              <w:t>f</w:t>
            </w:r>
          </w:p>
        </w:tc>
      </w:tr>
      <w:tr w:rsidR="00243D7B" w:rsidRPr="00B176CF" w:rsidTr="00FB0A0F">
        <w:tc>
          <w:tcPr>
            <w:tcW w:w="1809" w:type="dxa"/>
            <w:vAlign w:val="center"/>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Graft Survival</w:t>
            </w:r>
          </w:p>
        </w:tc>
        <w:tc>
          <w:tcPr>
            <w:tcW w:w="1985" w:type="dxa"/>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NR</w:t>
            </w:r>
          </w:p>
        </w:tc>
        <w:tc>
          <w:tcPr>
            <w:tcW w:w="2235" w:type="dxa"/>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100% at 12 months</w:t>
            </w:r>
          </w:p>
        </w:tc>
        <w:tc>
          <w:tcPr>
            <w:tcW w:w="1640" w:type="dxa"/>
          </w:tcPr>
          <w:p w:rsidR="00243D7B" w:rsidRPr="00B176CF" w:rsidRDefault="006B1D91" w:rsidP="00ED4C77">
            <w:pPr>
              <w:keepNext/>
              <w:keepLines/>
              <w:rPr>
                <w:rFonts w:ascii="Arial Narrow" w:hAnsi="Arial Narrow" w:cs="Arial"/>
                <w:bCs/>
                <w:color w:val="000000"/>
                <w:sz w:val="20"/>
                <w:szCs w:val="20"/>
                <w:vertAlign w:val="superscript"/>
                <w:lang w:val="en-US"/>
              </w:rPr>
            </w:pPr>
            <w:r w:rsidRPr="00B176CF">
              <w:rPr>
                <w:rFonts w:ascii="Arial Narrow" w:hAnsi="Arial Narrow" w:cs="Arial"/>
                <w:bCs/>
                <w:color w:val="000000"/>
                <w:sz w:val="20"/>
                <w:szCs w:val="20"/>
                <w:lang w:val="en-US"/>
              </w:rPr>
              <w:t>100%</w:t>
            </w:r>
            <w:r w:rsidR="00243D7B" w:rsidRPr="00B176CF">
              <w:rPr>
                <w:rFonts w:ascii="Arial Narrow" w:hAnsi="Arial Narrow" w:cs="Arial"/>
                <w:bCs/>
                <w:color w:val="000000"/>
                <w:sz w:val="20"/>
                <w:szCs w:val="20"/>
                <w:lang w:val="en-US"/>
              </w:rPr>
              <w:t xml:space="preserve"> </w:t>
            </w:r>
            <w:r w:rsidR="00243D7B" w:rsidRPr="00B176CF">
              <w:rPr>
                <w:rFonts w:ascii="Arial Narrow" w:hAnsi="Arial Narrow" w:cs="Arial"/>
                <w:bCs/>
                <w:color w:val="000000"/>
                <w:sz w:val="20"/>
                <w:szCs w:val="20"/>
                <w:vertAlign w:val="superscript"/>
                <w:lang w:val="en-US"/>
              </w:rPr>
              <w:t>b</w:t>
            </w:r>
          </w:p>
        </w:tc>
        <w:tc>
          <w:tcPr>
            <w:tcW w:w="1573" w:type="dxa"/>
          </w:tcPr>
          <w:p w:rsidR="00243D7B" w:rsidRPr="00B176CF" w:rsidRDefault="003E6659" w:rsidP="00ED4C77">
            <w:pPr>
              <w:keepNext/>
              <w:keepLines/>
              <w:rPr>
                <w:rFonts w:ascii="Arial Narrow" w:hAnsi="Arial Narrow" w:cs="Arial"/>
                <w:bCs/>
                <w:color w:val="000000"/>
                <w:sz w:val="20"/>
                <w:szCs w:val="20"/>
                <w:vertAlign w:val="superscript"/>
                <w:lang w:val="en-US"/>
              </w:rPr>
            </w:pPr>
            <w:r w:rsidRPr="00B176CF">
              <w:rPr>
                <w:rFonts w:ascii="Arial Narrow" w:hAnsi="Arial Narrow" w:cs="Arial"/>
                <w:bCs/>
                <w:color w:val="000000"/>
                <w:sz w:val="20"/>
                <w:szCs w:val="20"/>
                <w:lang w:val="en-US"/>
              </w:rPr>
              <w:t>75%</w:t>
            </w:r>
            <w:r w:rsidR="006B1D91" w:rsidRPr="00B176CF">
              <w:rPr>
                <w:rFonts w:ascii="Arial Narrow" w:hAnsi="Arial Narrow" w:cs="Arial"/>
                <w:bCs/>
                <w:color w:val="000000"/>
                <w:sz w:val="20"/>
                <w:szCs w:val="20"/>
                <w:lang w:val="en-US"/>
              </w:rPr>
              <w:t xml:space="preserve"> </w:t>
            </w:r>
            <w:r w:rsidR="006B1D91" w:rsidRPr="00B176CF">
              <w:rPr>
                <w:rFonts w:ascii="Arial Narrow" w:hAnsi="Arial Narrow" w:cs="Arial"/>
                <w:bCs/>
                <w:color w:val="000000"/>
                <w:sz w:val="20"/>
                <w:szCs w:val="20"/>
                <w:vertAlign w:val="superscript"/>
                <w:lang w:val="en-US"/>
              </w:rPr>
              <w:t>f</w:t>
            </w:r>
          </w:p>
        </w:tc>
      </w:tr>
      <w:tr w:rsidR="00243D7B" w:rsidRPr="00B176CF" w:rsidTr="00FB0A0F">
        <w:tc>
          <w:tcPr>
            <w:tcW w:w="1809" w:type="dxa"/>
            <w:vAlign w:val="center"/>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Patient Survival</w:t>
            </w:r>
          </w:p>
        </w:tc>
        <w:tc>
          <w:tcPr>
            <w:tcW w:w="1985" w:type="dxa"/>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No deaths reported</w:t>
            </w:r>
          </w:p>
        </w:tc>
        <w:tc>
          <w:tcPr>
            <w:tcW w:w="2235" w:type="dxa"/>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No deaths reported</w:t>
            </w:r>
          </w:p>
        </w:tc>
        <w:tc>
          <w:tcPr>
            <w:tcW w:w="1640" w:type="dxa"/>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No deaths reported</w:t>
            </w:r>
          </w:p>
        </w:tc>
        <w:tc>
          <w:tcPr>
            <w:tcW w:w="1573" w:type="dxa"/>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100%</w:t>
            </w:r>
          </w:p>
        </w:tc>
      </w:tr>
      <w:tr w:rsidR="00243D7B" w:rsidRPr="00B176CF" w:rsidTr="00FB0A0F">
        <w:tc>
          <w:tcPr>
            <w:tcW w:w="1809" w:type="dxa"/>
            <w:vAlign w:val="center"/>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Follow up</w:t>
            </w:r>
          </w:p>
        </w:tc>
        <w:tc>
          <w:tcPr>
            <w:tcW w:w="1985" w:type="dxa"/>
          </w:tcPr>
          <w:p w:rsidR="00243D7B" w:rsidRPr="00B176CF" w:rsidRDefault="00ED4C77"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M</w:t>
            </w:r>
            <w:r w:rsidR="006B1D91" w:rsidRPr="00B176CF">
              <w:rPr>
                <w:rFonts w:ascii="Arial Narrow" w:hAnsi="Arial Narrow" w:cs="Arial"/>
                <w:bCs/>
                <w:color w:val="000000"/>
                <w:sz w:val="20"/>
                <w:szCs w:val="20"/>
                <w:lang w:val="en-US"/>
              </w:rPr>
              <w:t xml:space="preserve">edian </w:t>
            </w:r>
            <w:r w:rsidR="00243D7B" w:rsidRPr="00B176CF">
              <w:rPr>
                <w:rFonts w:ascii="Arial Narrow" w:hAnsi="Arial Narrow" w:cs="Arial"/>
                <w:bCs/>
                <w:color w:val="000000"/>
                <w:sz w:val="20"/>
                <w:szCs w:val="20"/>
                <w:lang w:val="en-US"/>
              </w:rPr>
              <w:t xml:space="preserve">2.3 years </w:t>
            </w:r>
          </w:p>
        </w:tc>
        <w:tc>
          <w:tcPr>
            <w:tcW w:w="2235" w:type="dxa"/>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NR</w:t>
            </w:r>
          </w:p>
        </w:tc>
        <w:tc>
          <w:tcPr>
            <w:tcW w:w="1640" w:type="dxa"/>
          </w:tcPr>
          <w:p w:rsidR="00243D7B" w:rsidRPr="00B176CF" w:rsidRDefault="00ED4C77" w:rsidP="00ED4C77">
            <w:pPr>
              <w:keepNext/>
              <w:keepLines/>
              <w:rPr>
                <w:rFonts w:ascii="Arial Narrow" w:hAnsi="Arial Narrow" w:cs="Arial"/>
                <w:bCs/>
                <w:color w:val="000000"/>
                <w:sz w:val="20"/>
                <w:szCs w:val="20"/>
                <w:vertAlign w:val="superscript"/>
                <w:lang w:val="en-US"/>
              </w:rPr>
            </w:pPr>
            <w:r w:rsidRPr="00B176CF">
              <w:rPr>
                <w:rFonts w:ascii="Arial Narrow" w:hAnsi="Arial Narrow" w:cs="Arial"/>
                <w:bCs/>
                <w:color w:val="000000"/>
                <w:sz w:val="20"/>
                <w:szCs w:val="20"/>
                <w:lang w:val="en-US"/>
              </w:rPr>
              <w:t>M</w:t>
            </w:r>
            <w:r w:rsidR="00243D7B" w:rsidRPr="00B176CF">
              <w:rPr>
                <w:rFonts w:ascii="Arial Narrow" w:hAnsi="Arial Narrow" w:cs="Arial"/>
                <w:bCs/>
                <w:color w:val="000000"/>
                <w:sz w:val="20"/>
                <w:szCs w:val="20"/>
                <w:lang w:val="en-US"/>
              </w:rPr>
              <w:t xml:space="preserve">edian 21months </w:t>
            </w:r>
            <w:r w:rsidR="00243D7B" w:rsidRPr="00B176CF">
              <w:rPr>
                <w:rFonts w:ascii="Arial Narrow" w:hAnsi="Arial Narrow" w:cs="Arial"/>
                <w:bCs/>
                <w:color w:val="000000"/>
                <w:sz w:val="20"/>
                <w:szCs w:val="20"/>
                <w:vertAlign w:val="superscript"/>
                <w:lang w:val="en-US"/>
              </w:rPr>
              <w:t>b</w:t>
            </w:r>
          </w:p>
        </w:tc>
        <w:tc>
          <w:tcPr>
            <w:tcW w:w="1573" w:type="dxa"/>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9 to 16 months</w:t>
            </w:r>
          </w:p>
        </w:tc>
      </w:tr>
      <w:tr w:rsidR="00243D7B" w:rsidRPr="00B176CF" w:rsidTr="00FB0A0F">
        <w:tc>
          <w:tcPr>
            <w:tcW w:w="1809" w:type="dxa"/>
            <w:vAlign w:val="center"/>
          </w:tcPr>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Other related information</w:t>
            </w:r>
          </w:p>
        </w:tc>
        <w:tc>
          <w:tcPr>
            <w:tcW w:w="1985" w:type="dxa"/>
          </w:tcPr>
          <w:p w:rsidR="00243D7B" w:rsidRPr="00B176CF" w:rsidRDefault="006B1D91" w:rsidP="00ED4C77">
            <w:pPr>
              <w:keepNext/>
              <w:keepLines/>
              <w:rPr>
                <w:rFonts w:ascii="Arial Narrow" w:hAnsi="Arial Narrow" w:cs="Arial"/>
                <w:bCs/>
                <w:color w:val="000000"/>
                <w:sz w:val="20"/>
                <w:szCs w:val="20"/>
                <w:u w:val="single"/>
                <w:lang w:val="en-US"/>
              </w:rPr>
            </w:pPr>
            <w:r w:rsidRPr="00B176CF">
              <w:rPr>
                <w:rFonts w:ascii="Arial Narrow" w:hAnsi="Arial Narrow" w:cs="Arial"/>
                <w:bCs/>
                <w:color w:val="000000"/>
                <w:sz w:val="20"/>
                <w:szCs w:val="20"/>
                <w:u w:val="single"/>
                <w:lang w:val="en-US"/>
              </w:rPr>
              <w:t>% who required d</w:t>
            </w:r>
            <w:r w:rsidR="00243D7B" w:rsidRPr="00B176CF">
              <w:rPr>
                <w:rFonts w:ascii="Arial Narrow" w:hAnsi="Arial Narrow" w:cs="Arial"/>
                <w:bCs/>
                <w:color w:val="000000"/>
                <w:sz w:val="20"/>
                <w:szCs w:val="20"/>
                <w:u w:val="single"/>
                <w:lang w:val="en-US"/>
              </w:rPr>
              <w:t xml:space="preserve">ialysis </w:t>
            </w:r>
            <w:proofErr w:type="spellStart"/>
            <w:r w:rsidR="00243D7B" w:rsidRPr="00B176CF">
              <w:rPr>
                <w:rFonts w:ascii="Arial Narrow" w:hAnsi="Arial Narrow" w:cs="Arial"/>
                <w:bCs/>
                <w:color w:val="000000"/>
                <w:sz w:val="20"/>
                <w:szCs w:val="20"/>
                <w:u w:val="single"/>
                <w:lang w:val="en-US"/>
              </w:rPr>
              <w:t>post transplant</w:t>
            </w:r>
            <w:proofErr w:type="spellEnd"/>
            <w:r w:rsidR="00243D7B" w:rsidRPr="00B176CF">
              <w:rPr>
                <w:rFonts w:ascii="Arial Narrow" w:hAnsi="Arial Narrow" w:cs="Arial"/>
                <w:bCs/>
                <w:color w:val="000000"/>
                <w:sz w:val="20"/>
                <w:szCs w:val="20"/>
                <w:u w:val="single"/>
                <w:lang w:val="en-US"/>
              </w:rPr>
              <w:t xml:space="preserve">: </w:t>
            </w:r>
          </w:p>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w:t>
            </w:r>
            <w:r w:rsidR="006B1D91" w:rsidRPr="00B176CF">
              <w:rPr>
                <w:rFonts w:ascii="Arial Narrow" w:hAnsi="Arial Narrow" w:cs="Arial"/>
                <w:bCs/>
                <w:color w:val="000000"/>
                <w:sz w:val="20"/>
                <w:szCs w:val="20"/>
                <w:lang w:val="en-US"/>
              </w:rPr>
              <w:t xml:space="preserve"> </w:t>
            </w:r>
            <w:r w:rsidRPr="00B176CF">
              <w:rPr>
                <w:rFonts w:ascii="Arial Narrow" w:hAnsi="Arial Narrow" w:cs="Arial"/>
                <w:bCs/>
                <w:color w:val="000000"/>
                <w:sz w:val="20"/>
                <w:szCs w:val="20"/>
                <w:lang w:val="en-US"/>
              </w:rPr>
              <w:t xml:space="preserve">All patients: </w:t>
            </w:r>
            <w:r w:rsidR="006B1D91" w:rsidRPr="00B176CF">
              <w:rPr>
                <w:rFonts w:ascii="Arial Narrow" w:hAnsi="Arial Narrow" w:cs="Arial"/>
                <w:bCs/>
                <w:color w:val="000000"/>
                <w:sz w:val="20"/>
                <w:szCs w:val="20"/>
                <w:lang w:val="en-US"/>
              </w:rPr>
              <w:t>9% (</w:t>
            </w:r>
            <w:r w:rsidRPr="00B176CF">
              <w:rPr>
                <w:rFonts w:ascii="Arial Narrow" w:hAnsi="Arial Narrow" w:cs="Arial"/>
                <w:bCs/>
                <w:color w:val="000000"/>
                <w:sz w:val="20"/>
                <w:szCs w:val="20"/>
                <w:lang w:val="en-US"/>
              </w:rPr>
              <w:t>6 of 67)</w:t>
            </w:r>
          </w:p>
          <w:p w:rsidR="00243D7B" w:rsidRPr="00B176CF" w:rsidRDefault="00243D7B"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w:t>
            </w:r>
            <w:r w:rsidR="006B1D91" w:rsidRPr="00B176CF">
              <w:rPr>
                <w:rFonts w:ascii="Arial Narrow" w:hAnsi="Arial Narrow" w:cs="Arial"/>
                <w:bCs/>
                <w:color w:val="000000"/>
                <w:sz w:val="20"/>
                <w:szCs w:val="20"/>
                <w:lang w:val="en-US"/>
              </w:rPr>
              <w:t xml:space="preserve"> </w:t>
            </w:r>
            <w:r w:rsidRPr="00B176CF">
              <w:rPr>
                <w:rFonts w:ascii="Arial Narrow" w:hAnsi="Arial Narrow" w:cs="Arial"/>
                <w:bCs/>
                <w:color w:val="000000"/>
                <w:sz w:val="20"/>
                <w:szCs w:val="20"/>
                <w:lang w:val="en-US"/>
              </w:rPr>
              <w:t xml:space="preserve">“Approved </w:t>
            </w:r>
            <w:proofErr w:type="spellStart"/>
            <w:r w:rsidRPr="00B176CF">
              <w:rPr>
                <w:rFonts w:ascii="Arial Narrow" w:hAnsi="Arial Narrow" w:cs="Arial"/>
                <w:bCs/>
                <w:color w:val="000000"/>
                <w:sz w:val="20"/>
                <w:szCs w:val="20"/>
                <w:lang w:val="en-US"/>
              </w:rPr>
              <w:t>ecu</w:t>
            </w:r>
            <w:proofErr w:type="spellEnd"/>
            <w:r w:rsidRPr="00B176CF">
              <w:rPr>
                <w:rFonts w:ascii="Arial Narrow" w:hAnsi="Arial Narrow" w:cs="Arial"/>
                <w:bCs/>
                <w:color w:val="000000"/>
                <w:sz w:val="20"/>
                <w:szCs w:val="20"/>
                <w:lang w:val="en-US"/>
              </w:rPr>
              <w:t xml:space="preserve"> dosing” group: </w:t>
            </w:r>
            <w:r w:rsidR="006B1D91" w:rsidRPr="00B176CF">
              <w:rPr>
                <w:rFonts w:ascii="Arial Narrow" w:hAnsi="Arial Narrow" w:cs="Arial"/>
                <w:bCs/>
                <w:color w:val="000000"/>
                <w:sz w:val="20"/>
                <w:szCs w:val="20"/>
                <w:lang w:val="en-US"/>
              </w:rPr>
              <w:t>8% (</w:t>
            </w:r>
            <w:r w:rsidRPr="00B176CF">
              <w:rPr>
                <w:rFonts w:ascii="Arial Narrow" w:hAnsi="Arial Narrow" w:cs="Arial"/>
                <w:bCs/>
                <w:color w:val="000000"/>
                <w:sz w:val="20"/>
                <w:szCs w:val="20"/>
                <w:lang w:val="en-US"/>
              </w:rPr>
              <w:t xml:space="preserve">4 </w:t>
            </w:r>
            <w:r w:rsidR="006B1D91" w:rsidRPr="00B176CF">
              <w:rPr>
                <w:rFonts w:ascii="Arial Narrow" w:hAnsi="Arial Narrow" w:cs="Arial"/>
                <w:bCs/>
                <w:color w:val="000000"/>
                <w:sz w:val="20"/>
                <w:szCs w:val="20"/>
                <w:lang w:val="en-US"/>
              </w:rPr>
              <w:t>o</w:t>
            </w:r>
            <w:r w:rsidRPr="00B176CF">
              <w:rPr>
                <w:rFonts w:ascii="Arial Narrow" w:hAnsi="Arial Narrow" w:cs="Arial"/>
                <w:bCs/>
                <w:color w:val="000000"/>
                <w:sz w:val="20"/>
                <w:szCs w:val="20"/>
                <w:lang w:val="en-US"/>
              </w:rPr>
              <w:t xml:space="preserve">f 51) </w:t>
            </w:r>
            <w:r w:rsidRPr="00B176CF">
              <w:rPr>
                <w:rFonts w:ascii="Arial Narrow" w:hAnsi="Arial Narrow" w:cs="Arial"/>
                <w:bCs/>
                <w:color w:val="000000"/>
                <w:sz w:val="20"/>
                <w:szCs w:val="20"/>
                <w:vertAlign w:val="superscript"/>
                <w:lang w:val="en-US"/>
              </w:rPr>
              <w:t>a</w:t>
            </w:r>
          </w:p>
        </w:tc>
        <w:tc>
          <w:tcPr>
            <w:tcW w:w="2235" w:type="dxa"/>
          </w:tcPr>
          <w:p w:rsidR="003E6659" w:rsidRPr="00B176CF" w:rsidRDefault="003E6659" w:rsidP="00ED4C77">
            <w:pPr>
              <w:keepNext/>
              <w:keepLines/>
              <w:rPr>
                <w:rFonts w:ascii="Arial Narrow" w:hAnsi="Arial Narrow" w:cs="Arial"/>
                <w:bCs/>
                <w:color w:val="000000"/>
                <w:sz w:val="20"/>
                <w:szCs w:val="20"/>
                <w:lang w:val="en-US"/>
              </w:rPr>
            </w:pPr>
            <w:proofErr w:type="spellStart"/>
            <w:r w:rsidRPr="00B176CF">
              <w:rPr>
                <w:rFonts w:ascii="Arial Narrow" w:hAnsi="Arial Narrow" w:cs="Arial"/>
                <w:bCs/>
                <w:color w:val="000000"/>
                <w:sz w:val="20"/>
                <w:szCs w:val="20"/>
                <w:lang w:val="en-US"/>
              </w:rPr>
              <w:t>aHUS</w:t>
            </w:r>
            <w:proofErr w:type="spellEnd"/>
            <w:r w:rsidRPr="00B176CF">
              <w:rPr>
                <w:rFonts w:ascii="Arial Narrow" w:hAnsi="Arial Narrow" w:cs="Arial"/>
                <w:bCs/>
                <w:color w:val="000000"/>
                <w:sz w:val="20"/>
                <w:szCs w:val="20"/>
                <w:lang w:val="en-US"/>
              </w:rPr>
              <w:t xml:space="preserve"> recurred in 1 patient, 21 months after </w:t>
            </w:r>
            <w:proofErr w:type="spellStart"/>
            <w:r w:rsidRPr="00B176CF">
              <w:rPr>
                <w:rFonts w:ascii="Arial Narrow" w:hAnsi="Arial Narrow" w:cs="Arial"/>
                <w:bCs/>
                <w:color w:val="000000"/>
                <w:sz w:val="20"/>
                <w:szCs w:val="20"/>
                <w:lang w:val="en-US"/>
              </w:rPr>
              <w:t>eculizumab</w:t>
            </w:r>
            <w:proofErr w:type="spellEnd"/>
            <w:r w:rsidRPr="00B176CF">
              <w:rPr>
                <w:rFonts w:ascii="Arial Narrow" w:hAnsi="Arial Narrow" w:cs="Arial"/>
                <w:bCs/>
                <w:color w:val="000000"/>
                <w:sz w:val="20"/>
                <w:szCs w:val="20"/>
                <w:lang w:val="en-US"/>
              </w:rPr>
              <w:t xml:space="preserve"> discontinuation, leading to graft loss 4 months later </w:t>
            </w:r>
            <w:r w:rsidRPr="00B176CF">
              <w:rPr>
                <w:rFonts w:ascii="Arial Narrow" w:hAnsi="Arial Narrow" w:cs="Arial"/>
                <w:bCs/>
                <w:color w:val="000000"/>
                <w:sz w:val="20"/>
                <w:szCs w:val="20"/>
                <w:vertAlign w:val="superscript"/>
                <w:lang w:val="en-US"/>
              </w:rPr>
              <w:t>d</w:t>
            </w:r>
            <w:r w:rsidRPr="00B176CF">
              <w:rPr>
                <w:rFonts w:ascii="Arial Narrow" w:hAnsi="Arial Narrow" w:cs="Arial"/>
                <w:bCs/>
                <w:color w:val="000000"/>
                <w:sz w:val="20"/>
                <w:szCs w:val="20"/>
                <w:lang w:val="en-US"/>
              </w:rPr>
              <w:t xml:space="preserve"> </w:t>
            </w:r>
          </w:p>
          <w:p w:rsidR="00243D7B" w:rsidRPr="00B176CF" w:rsidRDefault="00243D7B" w:rsidP="00ED4C77">
            <w:pPr>
              <w:keepNext/>
              <w:keepLines/>
              <w:rPr>
                <w:rFonts w:ascii="Arial Narrow" w:hAnsi="Arial Narrow" w:cs="Arial"/>
                <w:bCs/>
                <w:color w:val="000000"/>
                <w:sz w:val="20"/>
                <w:szCs w:val="20"/>
                <w:vertAlign w:val="superscript"/>
                <w:lang w:val="en-US"/>
              </w:rPr>
            </w:pPr>
            <w:r w:rsidRPr="00B176CF">
              <w:rPr>
                <w:rFonts w:ascii="Arial Narrow" w:hAnsi="Arial Narrow" w:cs="Arial"/>
                <w:bCs/>
                <w:color w:val="000000"/>
                <w:sz w:val="20"/>
                <w:szCs w:val="20"/>
                <w:lang w:val="en-US"/>
              </w:rPr>
              <w:t>“Overt clinical recurrence” occurred in 17 cases</w:t>
            </w:r>
            <w:r w:rsidR="00ED4C77" w:rsidRPr="00B176CF">
              <w:rPr>
                <w:rFonts w:ascii="Arial Narrow" w:hAnsi="Arial Narrow" w:cs="Arial"/>
                <w:bCs/>
                <w:color w:val="000000"/>
                <w:sz w:val="20"/>
                <w:szCs w:val="20"/>
                <w:lang w:val="en-US"/>
              </w:rPr>
              <w:t>.</w:t>
            </w:r>
            <w:r w:rsidRPr="00B176CF">
              <w:rPr>
                <w:rFonts w:ascii="Arial Narrow" w:hAnsi="Arial Narrow" w:cs="Arial"/>
                <w:bCs/>
                <w:color w:val="000000"/>
                <w:sz w:val="20"/>
                <w:szCs w:val="20"/>
                <w:lang w:val="en-US"/>
              </w:rPr>
              <w:t xml:space="preserve"> </w:t>
            </w:r>
            <w:r w:rsidRPr="00B176CF">
              <w:rPr>
                <w:rFonts w:ascii="Arial Narrow" w:hAnsi="Arial Narrow" w:cs="Arial"/>
                <w:bCs/>
                <w:color w:val="000000"/>
                <w:sz w:val="20"/>
                <w:szCs w:val="20"/>
                <w:vertAlign w:val="superscript"/>
                <w:lang w:val="en-US"/>
              </w:rPr>
              <w:t>d</w:t>
            </w:r>
          </w:p>
        </w:tc>
        <w:tc>
          <w:tcPr>
            <w:tcW w:w="1640" w:type="dxa"/>
          </w:tcPr>
          <w:p w:rsidR="00243D7B" w:rsidRPr="00B176CF" w:rsidRDefault="003E6659" w:rsidP="00ED4C7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 xml:space="preserve">Patient who discontinued was monitored for 9 months with no </w:t>
            </w:r>
            <w:proofErr w:type="spellStart"/>
            <w:r w:rsidRPr="00B176CF">
              <w:rPr>
                <w:rFonts w:ascii="Arial Narrow" w:hAnsi="Arial Narrow" w:cs="Arial"/>
                <w:bCs/>
                <w:color w:val="000000"/>
                <w:sz w:val="20"/>
                <w:szCs w:val="20"/>
                <w:lang w:val="en-US"/>
              </w:rPr>
              <w:t>recurrence.</w:t>
            </w:r>
            <w:r w:rsidRPr="00B176CF">
              <w:rPr>
                <w:rFonts w:ascii="Arial Narrow" w:hAnsi="Arial Narrow" w:cs="Arial"/>
                <w:bCs/>
                <w:color w:val="000000"/>
                <w:sz w:val="20"/>
                <w:szCs w:val="20"/>
                <w:vertAlign w:val="superscript"/>
                <w:lang w:val="en-US"/>
              </w:rPr>
              <w:t>c</w:t>
            </w:r>
            <w:proofErr w:type="spellEnd"/>
          </w:p>
        </w:tc>
        <w:tc>
          <w:tcPr>
            <w:tcW w:w="1573" w:type="dxa"/>
          </w:tcPr>
          <w:p w:rsidR="00243D7B" w:rsidRPr="00B176CF" w:rsidRDefault="00243D7B" w:rsidP="00ED4C77">
            <w:pPr>
              <w:keepNext/>
              <w:keepLines/>
              <w:rPr>
                <w:rFonts w:ascii="Arial Narrow" w:hAnsi="Arial Narrow" w:cs="Arial"/>
                <w:bCs/>
                <w:color w:val="000000"/>
                <w:sz w:val="20"/>
                <w:szCs w:val="20"/>
                <w:vertAlign w:val="superscript"/>
                <w:lang w:val="en-US"/>
              </w:rPr>
            </w:pPr>
            <w:r w:rsidRPr="00B176CF">
              <w:rPr>
                <w:rFonts w:ascii="Arial Narrow" w:hAnsi="Arial Narrow" w:cs="Arial"/>
                <w:bCs/>
                <w:color w:val="000000"/>
                <w:sz w:val="20"/>
                <w:szCs w:val="20"/>
                <w:lang w:val="en-US"/>
              </w:rPr>
              <w:t>In de Andrade 2017, one patient had graft loss due to TMA</w:t>
            </w:r>
            <w:r w:rsidR="00ED4C77" w:rsidRPr="00B176CF">
              <w:rPr>
                <w:rFonts w:ascii="Arial Narrow" w:hAnsi="Arial Narrow" w:cs="Arial"/>
                <w:bCs/>
                <w:color w:val="000000"/>
                <w:sz w:val="20"/>
                <w:szCs w:val="20"/>
                <w:lang w:val="en-US"/>
              </w:rPr>
              <w:t>.</w:t>
            </w:r>
            <w:r w:rsidR="006B1D91" w:rsidRPr="00B176CF">
              <w:rPr>
                <w:rFonts w:ascii="Arial Narrow" w:hAnsi="Arial Narrow" w:cs="Arial"/>
                <w:bCs/>
                <w:color w:val="000000"/>
                <w:sz w:val="20"/>
                <w:szCs w:val="20"/>
                <w:lang w:val="en-US"/>
              </w:rPr>
              <w:t xml:space="preserve"> </w:t>
            </w:r>
            <w:r w:rsidR="006B1D91" w:rsidRPr="00B176CF">
              <w:rPr>
                <w:rFonts w:ascii="Arial Narrow" w:hAnsi="Arial Narrow" w:cs="Arial"/>
                <w:bCs/>
                <w:color w:val="000000"/>
                <w:sz w:val="20"/>
                <w:szCs w:val="20"/>
                <w:vertAlign w:val="superscript"/>
                <w:lang w:val="en-US"/>
              </w:rPr>
              <w:t>f</w:t>
            </w:r>
          </w:p>
        </w:tc>
      </w:tr>
    </w:tbl>
    <w:p w:rsidR="00D06B7F" w:rsidRPr="00B176CF" w:rsidRDefault="00D06B7F" w:rsidP="00ED4C77">
      <w:pPr>
        <w:pStyle w:val="tablenotes"/>
        <w:keepNext/>
        <w:keepLines/>
      </w:pPr>
      <w:r w:rsidRPr="00B176CF">
        <w:t>Source: Tabl</w:t>
      </w:r>
      <w:r w:rsidR="00243D7B" w:rsidRPr="00B176CF">
        <w:t xml:space="preserve">e 6, p33-35 of the resubmission; </w:t>
      </w:r>
      <w:r w:rsidR="006B1D91" w:rsidRPr="00B176CF">
        <w:t xml:space="preserve">Table 7, p36 of the resubmission; </w:t>
      </w:r>
      <w:r w:rsidR="00243D7B" w:rsidRPr="00B176CF">
        <w:t xml:space="preserve">Slide 9, </w:t>
      </w:r>
      <w:proofErr w:type="spellStart"/>
      <w:r w:rsidR="00243D7B" w:rsidRPr="00B176CF">
        <w:t>Vande</w:t>
      </w:r>
      <w:proofErr w:type="spellEnd"/>
      <w:r w:rsidR="00243D7B" w:rsidRPr="00B176CF">
        <w:t xml:space="preserve"> </w:t>
      </w:r>
      <w:proofErr w:type="spellStart"/>
      <w:r w:rsidR="00243D7B" w:rsidRPr="00B176CF">
        <w:t>Wall</w:t>
      </w:r>
      <w:r w:rsidR="0030270D" w:rsidRPr="00B176CF">
        <w:t>e</w:t>
      </w:r>
      <w:proofErr w:type="spellEnd"/>
      <w:r w:rsidR="00243D7B" w:rsidRPr="00B176CF">
        <w:t xml:space="preserve"> 2017; </w:t>
      </w:r>
      <w:r w:rsidR="00DB0CBB" w:rsidRPr="00B176CF">
        <w:t>pp</w:t>
      </w:r>
      <w:r w:rsidR="00243D7B" w:rsidRPr="00B176CF">
        <w:t>11-12 and</w:t>
      </w:r>
      <w:r w:rsidR="00DB0CBB" w:rsidRPr="00B176CF">
        <w:t xml:space="preserve"> p28, Levi 2017; Zuber 2017; Table 2 p7, </w:t>
      </w:r>
      <w:r w:rsidR="000A1ECB" w:rsidRPr="00B176CF">
        <w:t>de </w:t>
      </w:r>
      <w:r w:rsidR="00DB0CBB" w:rsidRPr="00B176CF">
        <w:t xml:space="preserve">Andrade 2017; </w:t>
      </w:r>
    </w:p>
    <w:p w:rsidR="00DB0CBB" w:rsidRPr="00B176CF" w:rsidRDefault="006B1D91" w:rsidP="00ED4C77">
      <w:pPr>
        <w:pStyle w:val="tablenotes"/>
        <w:keepNext/>
        <w:keepLines/>
      </w:pPr>
      <w:proofErr w:type="spellStart"/>
      <w:proofErr w:type="gramStart"/>
      <w:r w:rsidRPr="00B176CF">
        <w:t>ecu</w:t>
      </w:r>
      <w:proofErr w:type="spellEnd"/>
      <w:proofErr w:type="gramEnd"/>
      <w:r w:rsidRPr="00B176CF">
        <w:t xml:space="preserve">. </w:t>
      </w:r>
      <w:proofErr w:type="gramStart"/>
      <w:r w:rsidRPr="00B176CF">
        <w:t xml:space="preserve">=  </w:t>
      </w:r>
      <w:proofErr w:type="spellStart"/>
      <w:r w:rsidRPr="00B176CF">
        <w:t>eculizumab</w:t>
      </w:r>
      <w:proofErr w:type="spellEnd"/>
      <w:proofErr w:type="gramEnd"/>
      <w:r w:rsidRPr="00B176CF">
        <w:t xml:space="preserve">; </w:t>
      </w:r>
      <w:r w:rsidR="002B15D5" w:rsidRPr="00B176CF">
        <w:t xml:space="preserve">NR = not reported; </w:t>
      </w:r>
      <w:r w:rsidR="00DB0CBB" w:rsidRPr="00B176CF">
        <w:t xml:space="preserve">TMA = thrombotic </w:t>
      </w:r>
      <w:proofErr w:type="spellStart"/>
      <w:r w:rsidR="00DB0CBB" w:rsidRPr="00B176CF">
        <w:t>microangiopathy</w:t>
      </w:r>
      <w:proofErr w:type="spellEnd"/>
    </w:p>
    <w:p w:rsidR="009F1E28" w:rsidRPr="00B176CF" w:rsidRDefault="009F1E28" w:rsidP="00ED4C77">
      <w:pPr>
        <w:pStyle w:val="tablenotes"/>
        <w:keepNext/>
        <w:keepLines/>
      </w:pPr>
      <w:proofErr w:type="gramStart"/>
      <w:r w:rsidRPr="00B176CF">
        <w:rPr>
          <w:vertAlign w:val="superscript"/>
        </w:rPr>
        <w:t>a</w:t>
      </w:r>
      <w:proofErr w:type="gramEnd"/>
      <w:r w:rsidRPr="00B176CF">
        <w:t xml:space="preserve"> </w:t>
      </w:r>
      <w:proofErr w:type="spellStart"/>
      <w:r w:rsidRPr="00B176CF">
        <w:t>Vande</w:t>
      </w:r>
      <w:proofErr w:type="spellEnd"/>
      <w:r w:rsidRPr="00B176CF">
        <w:t xml:space="preserve"> </w:t>
      </w:r>
      <w:proofErr w:type="spellStart"/>
      <w:r w:rsidRPr="00B176CF">
        <w:t>Walle</w:t>
      </w:r>
      <w:proofErr w:type="spellEnd"/>
      <w:r w:rsidRPr="00B176CF">
        <w:t>, Slide 9:</w:t>
      </w:r>
      <w:r w:rsidR="00243D7B" w:rsidRPr="00B176CF">
        <w:t xml:space="preserve"> This is data for a</w:t>
      </w:r>
      <w:r w:rsidRPr="00B176CF">
        <w:t>ny new dialysis, including chronic and acute.</w:t>
      </w:r>
    </w:p>
    <w:p w:rsidR="00BE2536" w:rsidRPr="00B176CF" w:rsidRDefault="00243D7B" w:rsidP="00ED4C77">
      <w:pPr>
        <w:pStyle w:val="tablenotes"/>
        <w:keepNext/>
        <w:keepLines/>
      </w:pPr>
      <w:proofErr w:type="gramStart"/>
      <w:r w:rsidRPr="00B176CF">
        <w:rPr>
          <w:vertAlign w:val="superscript"/>
        </w:rPr>
        <w:t>b</w:t>
      </w:r>
      <w:proofErr w:type="gramEnd"/>
      <w:r w:rsidR="00BE2536" w:rsidRPr="00B176CF">
        <w:rPr>
          <w:vertAlign w:val="superscript"/>
        </w:rPr>
        <w:t xml:space="preserve"> </w:t>
      </w:r>
      <w:r w:rsidR="00BE2536" w:rsidRPr="00B176CF">
        <w:t>In patients treated peri-transplant</w:t>
      </w:r>
    </w:p>
    <w:p w:rsidR="00A13F88" w:rsidRPr="00B176CF" w:rsidRDefault="00243D7B" w:rsidP="00ED4C77">
      <w:pPr>
        <w:pStyle w:val="tablenotes"/>
        <w:keepNext/>
        <w:keepLines/>
      </w:pPr>
      <w:proofErr w:type="gramStart"/>
      <w:r w:rsidRPr="00B176CF">
        <w:rPr>
          <w:vertAlign w:val="superscript"/>
        </w:rPr>
        <w:t>c</w:t>
      </w:r>
      <w:proofErr w:type="gramEnd"/>
      <w:r w:rsidRPr="00B176CF">
        <w:rPr>
          <w:vertAlign w:val="superscript"/>
        </w:rPr>
        <w:t xml:space="preserve"> </w:t>
      </w:r>
      <w:r w:rsidR="00A13F88" w:rsidRPr="00B176CF">
        <w:t xml:space="preserve">Based on </w:t>
      </w:r>
      <w:r w:rsidR="00BE2536" w:rsidRPr="00B176CF">
        <w:t xml:space="preserve">text on </w:t>
      </w:r>
      <w:r w:rsidR="00A13F88" w:rsidRPr="00B176CF">
        <w:t>pages 11-12 of the publication</w:t>
      </w:r>
      <w:r w:rsidR="00BE2536" w:rsidRPr="00B176CF">
        <w:t>; and Table 2, page 28 of the publication</w:t>
      </w:r>
    </w:p>
    <w:p w:rsidR="00BE2536" w:rsidRPr="00B176CF" w:rsidRDefault="00FB0A0F" w:rsidP="008D4FF6">
      <w:pPr>
        <w:pStyle w:val="tablenotes"/>
        <w:keepNext/>
        <w:keepLines/>
        <w:tabs>
          <w:tab w:val="left" w:pos="5602"/>
        </w:tabs>
      </w:pPr>
      <w:proofErr w:type="gramStart"/>
      <w:r w:rsidRPr="00B176CF">
        <w:rPr>
          <w:vertAlign w:val="superscript"/>
        </w:rPr>
        <w:t>d</w:t>
      </w:r>
      <w:proofErr w:type="gramEnd"/>
      <w:r w:rsidR="0048119B" w:rsidRPr="00B176CF">
        <w:rPr>
          <w:vertAlign w:val="superscript"/>
        </w:rPr>
        <w:t xml:space="preserve"> </w:t>
      </w:r>
      <w:r w:rsidR="00243D7B" w:rsidRPr="00B176CF">
        <w:t xml:space="preserve">As stated in the conference abstract </w:t>
      </w:r>
      <w:r w:rsidR="0048119B" w:rsidRPr="00B176CF">
        <w:t>publication</w:t>
      </w:r>
      <w:r w:rsidR="008D4FF6" w:rsidRPr="00B176CF">
        <w:tab/>
      </w:r>
    </w:p>
    <w:p w:rsidR="00FB0A0F" w:rsidRPr="00B176CF" w:rsidRDefault="00FB0A0F" w:rsidP="00ED4C77">
      <w:pPr>
        <w:pStyle w:val="tablenotes"/>
        <w:keepNext/>
        <w:keepLines/>
      </w:pPr>
      <w:proofErr w:type="gramStart"/>
      <w:r w:rsidRPr="00B176CF">
        <w:rPr>
          <w:vertAlign w:val="superscript"/>
        </w:rPr>
        <w:t>e</w:t>
      </w:r>
      <w:proofErr w:type="gramEnd"/>
      <w:r w:rsidRPr="00B176CF">
        <w:t xml:space="preserve"> The resubmission indicated that the new case reports were: de Andrade 2017, Krishnan 2017 and </w:t>
      </w:r>
      <w:proofErr w:type="spellStart"/>
      <w:r w:rsidRPr="00B176CF">
        <w:t>Brocklebank</w:t>
      </w:r>
      <w:proofErr w:type="spellEnd"/>
      <w:r w:rsidRPr="00B176CF">
        <w:t xml:space="preserve"> 2017. Note that Krishnan 2017 also related to discontinuation outcomes (patient discontinued after 8 months)</w:t>
      </w:r>
      <w:r w:rsidR="003E6659" w:rsidRPr="00B176CF">
        <w:t xml:space="preserve">, and so is reported in Table </w:t>
      </w:r>
      <w:r w:rsidR="00C27B17" w:rsidRPr="00B176CF">
        <w:t>4</w:t>
      </w:r>
      <w:r w:rsidR="003E6659" w:rsidRPr="00B176CF">
        <w:t xml:space="preserve"> only.</w:t>
      </w:r>
      <w:r w:rsidR="000A1ECB" w:rsidRPr="00B176CF">
        <w:t xml:space="preserve"> </w:t>
      </w:r>
      <w:proofErr w:type="spellStart"/>
      <w:r w:rsidR="000A1ECB" w:rsidRPr="00B176CF">
        <w:t>Brocklebank</w:t>
      </w:r>
      <w:proofErr w:type="spellEnd"/>
      <w:r w:rsidR="000A1ECB" w:rsidRPr="00B176CF">
        <w:t xml:space="preserve"> 2017 included very limited information </w:t>
      </w:r>
    </w:p>
    <w:p w:rsidR="00DB0CBB" w:rsidRPr="00B176CF" w:rsidRDefault="006B1D91" w:rsidP="00ED4C77">
      <w:pPr>
        <w:pStyle w:val="tablenotes"/>
        <w:keepNext/>
        <w:keepLines/>
      </w:pPr>
      <w:proofErr w:type="gramStart"/>
      <w:r w:rsidRPr="00B176CF">
        <w:rPr>
          <w:vertAlign w:val="superscript"/>
        </w:rPr>
        <w:t>f</w:t>
      </w:r>
      <w:proofErr w:type="gramEnd"/>
      <w:r w:rsidR="000974BB" w:rsidRPr="00B176CF">
        <w:t xml:space="preserve"> de Andrade </w:t>
      </w:r>
      <w:r w:rsidR="00DB0CBB" w:rsidRPr="00B176CF">
        <w:t xml:space="preserve">2017 </w:t>
      </w:r>
      <w:r w:rsidR="000974BB" w:rsidRPr="00B176CF">
        <w:t xml:space="preserve">included two patients who were treated prophylactically with </w:t>
      </w:r>
      <w:proofErr w:type="spellStart"/>
      <w:r w:rsidR="000974BB" w:rsidRPr="00B176CF">
        <w:t>eculizumab</w:t>
      </w:r>
      <w:proofErr w:type="spellEnd"/>
      <w:r w:rsidR="000974BB" w:rsidRPr="00B176CF">
        <w:t>.</w:t>
      </w:r>
      <w:r w:rsidR="00DB0CBB" w:rsidRPr="00B176CF">
        <w:t xml:space="preserve"> Both were on chronic </w:t>
      </w:r>
      <w:proofErr w:type="spellStart"/>
      <w:r w:rsidR="00DB0CBB" w:rsidRPr="00B176CF">
        <w:t>eculizumab</w:t>
      </w:r>
      <w:proofErr w:type="spellEnd"/>
      <w:r w:rsidR="00DB0CBB" w:rsidRPr="00B176CF">
        <w:t xml:space="preserve"> treatment: one patient experienced relapsed TMA after 4 months; the other patient remained asymptomatic after 16 months of follow-up.</w:t>
      </w:r>
    </w:p>
    <w:p w:rsidR="00ED4C77" w:rsidRPr="00B176CF" w:rsidRDefault="00ED4C77" w:rsidP="00ED4C77">
      <w:pPr>
        <w:pStyle w:val="ListParagraph"/>
        <w:widowControl/>
        <w:numPr>
          <w:ilvl w:val="1"/>
          <w:numId w:val="5"/>
        </w:numPr>
        <w:spacing w:after="120"/>
        <w:ind w:left="709"/>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 xml:space="preserve">A total of 115 patients, who received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w:t>
      </w:r>
      <w:proofErr w:type="gramStart"/>
      <w:r w:rsidRPr="00B176CF">
        <w:rPr>
          <w:rFonts w:asciiTheme="minorHAnsi" w:hAnsiTheme="minorHAnsi" w:cs="Times New Roman"/>
          <w:snapToGrid/>
          <w:sz w:val="24"/>
          <w:szCs w:val="24"/>
          <w:lang w:eastAsia="en-AU"/>
        </w:rPr>
        <w:t>peri-transplant</w:t>
      </w:r>
      <w:proofErr w:type="gramEnd"/>
      <w:r w:rsidRPr="00B176CF">
        <w:rPr>
          <w:rFonts w:asciiTheme="minorHAnsi" w:hAnsiTheme="minorHAnsi" w:cs="Times New Roman"/>
          <w:snapToGrid/>
          <w:sz w:val="24"/>
          <w:szCs w:val="24"/>
          <w:lang w:eastAsia="en-AU"/>
        </w:rPr>
        <w:t xml:space="preserve"> then continued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w:t>
      </w:r>
      <w:r w:rsidR="00DB7548" w:rsidRPr="00B176CF">
        <w:rPr>
          <w:rFonts w:asciiTheme="minorHAnsi" w:hAnsiTheme="minorHAnsi" w:cs="Times New Roman"/>
          <w:snapToGrid/>
          <w:sz w:val="24"/>
          <w:szCs w:val="24"/>
          <w:lang w:eastAsia="en-AU"/>
        </w:rPr>
        <w:t xml:space="preserve">therapy </w:t>
      </w:r>
      <w:r w:rsidRPr="00B176CF">
        <w:rPr>
          <w:rFonts w:asciiTheme="minorHAnsi" w:hAnsiTheme="minorHAnsi" w:cs="Times New Roman"/>
          <w:snapToGrid/>
          <w:sz w:val="24"/>
          <w:szCs w:val="24"/>
          <w:lang w:eastAsia="en-AU"/>
        </w:rPr>
        <w:t xml:space="preserve">post-transplant were reported in the resubmission. </w:t>
      </w:r>
      <w:r w:rsidR="00E64D55" w:rsidRPr="00B176CF">
        <w:rPr>
          <w:rFonts w:asciiTheme="minorHAnsi" w:hAnsiTheme="minorHAnsi" w:cs="Times New Roman"/>
          <w:snapToGrid/>
          <w:sz w:val="24"/>
          <w:szCs w:val="24"/>
          <w:lang w:eastAsia="en-AU"/>
        </w:rPr>
        <w:t xml:space="preserve">Limited information </w:t>
      </w:r>
      <w:proofErr w:type="gramStart"/>
      <w:r w:rsidR="00E64D55" w:rsidRPr="00B176CF">
        <w:rPr>
          <w:rFonts w:asciiTheme="minorHAnsi" w:hAnsiTheme="minorHAnsi" w:cs="Times New Roman"/>
          <w:snapToGrid/>
          <w:sz w:val="24"/>
          <w:szCs w:val="24"/>
          <w:lang w:eastAsia="en-AU"/>
        </w:rPr>
        <w:t>were</w:t>
      </w:r>
      <w:proofErr w:type="gramEnd"/>
      <w:r w:rsidR="00E64D55" w:rsidRPr="00B176CF">
        <w:rPr>
          <w:rFonts w:asciiTheme="minorHAnsi" w:hAnsiTheme="minorHAnsi" w:cs="Times New Roman"/>
          <w:snapToGrid/>
          <w:sz w:val="24"/>
          <w:szCs w:val="24"/>
          <w:lang w:eastAsia="en-AU"/>
        </w:rPr>
        <w:t xml:space="preserve"> available about the duration of use of </w:t>
      </w:r>
      <w:proofErr w:type="spellStart"/>
      <w:r w:rsidR="00E64D55" w:rsidRPr="00B176CF">
        <w:rPr>
          <w:rFonts w:asciiTheme="minorHAnsi" w:hAnsiTheme="minorHAnsi" w:cs="Times New Roman"/>
          <w:snapToGrid/>
          <w:sz w:val="24"/>
          <w:szCs w:val="24"/>
          <w:lang w:eastAsia="en-AU"/>
        </w:rPr>
        <w:t>eculizumab</w:t>
      </w:r>
      <w:proofErr w:type="spellEnd"/>
      <w:r w:rsidR="00E64D55" w:rsidRPr="00B176CF">
        <w:rPr>
          <w:rFonts w:asciiTheme="minorHAnsi" w:hAnsiTheme="minorHAnsi" w:cs="Times New Roman"/>
          <w:snapToGrid/>
          <w:sz w:val="24"/>
          <w:szCs w:val="24"/>
          <w:lang w:eastAsia="en-AU"/>
        </w:rPr>
        <w:t xml:space="preserve"> and patient outcomes. </w:t>
      </w:r>
      <w:r w:rsidRPr="00B176CF">
        <w:rPr>
          <w:rFonts w:asciiTheme="minorHAnsi" w:hAnsiTheme="minorHAnsi" w:cs="Times New Roman"/>
          <w:snapToGrid/>
          <w:sz w:val="24"/>
          <w:szCs w:val="24"/>
          <w:lang w:eastAsia="en-AU"/>
        </w:rPr>
        <w:t>The resubmission did not present aggregated outcomes from th</w:t>
      </w:r>
      <w:r w:rsidR="00DB7548" w:rsidRPr="00B176CF">
        <w:rPr>
          <w:rFonts w:asciiTheme="minorHAnsi" w:hAnsiTheme="minorHAnsi" w:cs="Times New Roman"/>
          <w:snapToGrid/>
          <w:sz w:val="24"/>
          <w:szCs w:val="24"/>
          <w:lang w:eastAsia="en-AU"/>
        </w:rPr>
        <w:t>ese</w:t>
      </w:r>
      <w:r w:rsidRPr="00B176CF">
        <w:rPr>
          <w:rFonts w:asciiTheme="minorHAnsi" w:hAnsiTheme="minorHAnsi" w:cs="Times New Roman"/>
          <w:snapToGrid/>
          <w:sz w:val="24"/>
          <w:szCs w:val="24"/>
          <w:lang w:eastAsia="en-AU"/>
        </w:rPr>
        <w:t xml:space="preserve"> data. </w:t>
      </w:r>
    </w:p>
    <w:p w:rsidR="00071EE9" w:rsidRPr="00B176CF" w:rsidRDefault="00071EE9" w:rsidP="0001315B">
      <w:pPr>
        <w:spacing w:after="120"/>
        <w:rPr>
          <w:rFonts w:asciiTheme="minorHAnsi" w:hAnsiTheme="minorHAnsi"/>
          <w:szCs w:val="22"/>
          <w:u w:val="single"/>
        </w:rPr>
      </w:pPr>
      <w:r w:rsidRPr="00B176CF">
        <w:rPr>
          <w:rFonts w:asciiTheme="minorHAnsi" w:hAnsiTheme="minorHAnsi"/>
          <w:szCs w:val="22"/>
          <w:u w:val="single"/>
        </w:rPr>
        <w:t>Registry data (</w:t>
      </w:r>
      <w:proofErr w:type="spellStart"/>
      <w:r w:rsidRPr="00B176CF">
        <w:rPr>
          <w:rFonts w:asciiTheme="minorHAnsi" w:hAnsiTheme="minorHAnsi"/>
          <w:szCs w:val="22"/>
          <w:u w:val="single"/>
        </w:rPr>
        <w:t>Vande</w:t>
      </w:r>
      <w:proofErr w:type="spellEnd"/>
      <w:r w:rsidRPr="00B176CF">
        <w:rPr>
          <w:rFonts w:asciiTheme="minorHAnsi" w:hAnsiTheme="minorHAnsi"/>
          <w:szCs w:val="22"/>
          <w:u w:val="single"/>
        </w:rPr>
        <w:t xml:space="preserve"> </w:t>
      </w:r>
      <w:proofErr w:type="spellStart"/>
      <w:r w:rsidRPr="00B176CF">
        <w:rPr>
          <w:rFonts w:asciiTheme="minorHAnsi" w:hAnsiTheme="minorHAnsi"/>
          <w:szCs w:val="22"/>
          <w:u w:val="single"/>
        </w:rPr>
        <w:t>Walle</w:t>
      </w:r>
      <w:proofErr w:type="spellEnd"/>
      <w:r w:rsidRPr="00B176CF">
        <w:rPr>
          <w:rFonts w:asciiTheme="minorHAnsi" w:hAnsiTheme="minorHAnsi"/>
          <w:szCs w:val="22"/>
          <w:u w:val="single"/>
        </w:rPr>
        <w:t xml:space="preserve"> 2017)</w:t>
      </w:r>
    </w:p>
    <w:p w:rsidR="00A273B9" w:rsidRPr="00B176CF" w:rsidRDefault="00E54203" w:rsidP="0001315B">
      <w:pPr>
        <w:pStyle w:val="ListParagraph"/>
        <w:widowControl/>
        <w:numPr>
          <w:ilvl w:val="1"/>
          <w:numId w:val="5"/>
        </w:numPr>
        <w:spacing w:after="120"/>
        <w:ind w:left="709"/>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 xml:space="preserve">Updated data were presented from the Global </w:t>
      </w:r>
      <w:proofErr w:type="spellStart"/>
      <w:r w:rsidRPr="00B176CF">
        <w:rPr>
          <w:rFonts w:asciiTheme="minorHAnsi" w:hAnsiTheme="minorHAnsi" w:cs="Times New Roman"/>
          <w:snapToGrid/>
          <w:sz w:val="24"/>
          <w:szCs w:val="24"/>
          <w:lang w:eastAsia="en-AU"/>
        </w:rPr>
        <w:t>aHUS</w:t>
      </w:r>
      <w:proofErr w:type="spellEnd"/>
      <w:r w:rsidRPr="00B176CF">
        <w:rPr>
          <w:rFonts w:asciiTheme="minorHAnsi" w:hAnsiTheme="minorHAnsi" w:cs="Times New Roman"/>
          <w:snapToGrid/>
          <w:sz w:val="24"/>
          <w:szCs w:val="24"/>
          <w:lang w:eastAsia="en-AU"/>
        </w:rPr>
        <w:t xml:space="preserve"> registry</w:t>
      </w:r>
      <w:r w:rsidR="00A273B9" w:rsidRPr="00B176CF">
        <w:rPr>
          <w:rFonts w:asciiTheme="minorHAnsi" w:hAnsiTheme="minorHAnsi" w:cs="Times New Roman"/>
          <w:snapToGrid/>
          <w:sz w:val="24"/>
          <w:szCs w:val="24"/>
          <w:lang w:eastAsia="en-AU"/>
        </w:rPr>
        <w:t xml:space="preserve"> (</w:t>
      </w:r>
      <w:proofErr w:type="spellStart"/>
      <w:r w:rsidR="00A273B9" w:rsidRPr="00B176CF">
        <w:rPr>
          <w:rFonts w:asciiTheme="minorHAnsi" w:hAnsiTheme="minorHAnsi" w:cs="Times New Roman"/>
          <w:snapToGrid/>
          <w:sz w:val="24"/>
          <w:szCs w:val="24"/>
          <w:lang w:eastAsia="en-AU"/>
        </w:rPr>
        <w:t>Vande</w:t>
      </w:r>
      <w:proofErr w:type="spellEnd"/>
      <w:r w:rsidR="00A273B9" w:rsidRPr="00B176CF">
        <w:rPr>
          <w:rFonts w:asciiTheme="minorHAnsi" w:hAnsiTheme="minorHAnsi" w:cs="Times New Roman"/>
          <w:snapToGrid/>
          <w:sz w:val="24"/>
          <w:szCs w:val="24"/>
          <w:lang w:eastAsia="en-AU"/>
        </w:rPr>
        <w:t xml:space="preserve"> </w:t>
      </w:r>
      <w:proofErr w:type="spellStart"/>
      <w:r w:rsidR="00A273B9" w:rsidRPr="00B176CF">
        <w:rPr>
          <w:rFonts w:asciiTheme="minorHAnsi" w:hAnsiTheme="minorHAnsi" w:cs="Times New Roman"/>
          <w:snapToGrid/>
          <w:sz w:val="24"/>
          <w:szCs w:val="24"/>
          <w:lang w:eastAsia="en-AU"/>
        </w:rPr>
        <w:t>Walle</w:t>
      </w:r>
      <w:proofErr w:type="spellEnd"/>
      <w:r w:rsidR="00A273B9" w:rsidRPr="00B176CF">
        <w:rPr>
          <w:rFonts w:asciiTheme="minorHAnsi" w:hAnsiTheme="minorHAnsi" w:cs="Times New Roman"/>
          <w:snapToGrid/>
          <w:sz w:val="24"/>
          <w:szCs w:val="24"/>
          <w:lang w:eastAsia="en-AU"/>
        </w:rPr>
        <w:t xml:space="preserve"> 2017),</w:t>
      </w:r>
      <w:r w:rsidRPr="00B176CF">
        <w:rPr>
          <w:rFonts w:asciiTheme="minorHAnsi" w:hAnsiTheme="minorHAnsi" w:cs="Times New Roman"/>
          <w:snapToGrid/>
          <w:sz w:val="24"/>
          <w:szCs w:val="24"/>
          <w:lang w:eastAsia="en-AU"/>
        </w:rPr>
        <w:t xml:space="preserve"> with a d</w:t>
      </w:r>
      <w:r w:rsidR="00071EE9" w:rsidRPr="00B176CF">
        <w:rPr>
          <w:rFonts w:asciiTheme="minorHAnsi" w:hAnsiTheme="minorHAnsi" w:cs="Times New Roman"/>
          <w:snapToGrid/>
          <w:sz w:val="24"/>
          <w:szCs w:val="24"/>
          <w:lang w:eastAsia="en-AU"/>
        </w:rPr>
        <w:t xml:space="preserve">ata-cut </w:t>
      </w:r>
      <w:r w:rsidR="00A273B9" w:rsidRPr="00B176CF">
        <w:rPr>
          <w:rFonts w:asciiTheme="minorHAnsi" w:hAnsiTheme="minorHAnsi" w:cs="Times New Roman"/>
          <w:snapToGrid/>
          <w:sz w:val="24"/>
          <w:szCs w:val="24"/>
          <w:lang w:eastAsia="en-AU"/>
        </w:rPr>
        <w:t xml:space="preserve">date </w:t>
      </w:r>
      <w:r w:rsidR="00071EE9" w:rsidRPr="00B176CF">
        <w:rPr>
          <w:rFonts w:asciiTheme="minorHAnsi" w:hAnsiTheme="minorHAnsi" w:cs="Times New Roman"/>
          <w:snapToGrid/>
          <w:sz w:val="24"/>
          <w:szCs w:val="24"/>
          <w:lang w:eastAsia="en-AU"/>
        </w:rPr>
        <w:t>of August 2016</w:t>
      </w:r>
      <w:r w:rsidR="00A273B9" w:rsidRPr="00B176CF">
        <w:rPr>
          <w:rFonts w:asciiTheme="minorHAnsi" w:hAnsiTheme="minorHAnsi" w:cs="Times New Roman"/>
          <w:snapToGrid/>
          <w:sz w:val="24"/>
          <w:szCs w:val="24"/>
          <w:lang w:eastAsia="en-AU"/>
        </w:rPr>
        <w:t>. These were conference presentation slides, which the resubmission stated were presented at the European Renal Association congress in May 2017. Limited information from the same data-cut had been outlined in the July 2017 Pre-PBAC response, based on the conference abstract</w:t>
      </w:r>
      <w:r w:rsidR="006B1D91" w:rsidRPr="00B176CF">
        <w:rPr>
          <w:rFonts w:asciiTheme="minorHAnsi" w:hAnsiTheme="minorHAnsi" w:cs="Times New Roman"/>
          <w:snapToGrid/>
          <w:sz w:val="24"/>
          <w:szCs w:val="24"/>
          <w:lang w:eastAsia="en-AU"/>
        </w:rPr>
        <w:t xml:space="preserve"> (rather than the conference slides)</w:t>
      </w:r>
      <w:r w:rsidR="00A273B9" w:rsidRPr="00B176CF">
        <w:rPr>
          <w:rFonts w:asciiTheme="minorHAnsi" w:hAnsiTheme="minorHAnsi" w:cs="Times New Roman"/>
          <w:snapToGrid/>
          <w:sz w:val="24"/>
          <w:szCs w:val="24"/>
          <w:lang w:eastAsia="en-AU"/>
        </w:rPr>
        <w:t xml:space="preserve">. This represented further information, and </w:t>
      </w:r>
      <w:r w:rsidR="00A273B9" w:rsidRPr="00B176CF">
        <w:rPr>
          <w:rFonts w:asciiTheme="minorHAnsi" w:hAnsiTheme="minorHAnsi" w:cs="Times New Roman"/>
          <w:snapToGrid/>
          <w:sz w:val="24"/>
          <w:szCs w:val="24"/>
          <w:lang w:eastAsia="en-AU"/>
        </w:rPr>
        <w:lastRenderedPageBreak/>
        <w:t xml:space="preserve">potentially a later data-cut, than the registry data presented in the July 2017 submission (a conference abstract by </w:t>
      </w:r>
      <w:proofErr w:type="spellStart"/>
      <w:r w:rsidR="00A273B9" w:rsidRPr="00B176CF">
        <w:rPr>
          <w:rFonts w:asciiTheme="minorHAnsi" w:hAnsiTheme="minorHAnsi" w:cs="Times New Roman"/>
          <w:snapToGrid/>
          <w:sz w:val="24"/>
          <w:szCs w:val="24"/>
          <w:lang w:eastAsia="en-AU"/>
        </w:rPr>
        <w:t>Siedlecki</w:t>
      </w:r>
      <w:proofErr w:type="spellEnd"/>
      <w:r w:rsidR="00A273B9" w:rsidRPr="00B176CF">
        <w:rPr>
          <w:rFonts w:asciiTheme="minorHAnsi" w:hAnsiTheme="minorHAnsi" w:cs="Times New Roman"/>
          <w:snapToGrid/>
          <w:sz w:val="24"/>
          <w:szCs w:val="24"/>
          <w:lang w:eastAsia="en-AU"/>
        </w:rPr>
        <w:t xml:space="preserve"> 2016).</w:t>
      </w:r>
    </w:p>
    <w:p w:rsidR="006847BD" w:rsidRPr="00B176CF" w:rsidRDefault="00E64D55" w:rsidP="0001315B">
      <w:pPr>
        <w:pStyle w:val="ListParagraph"/>
        <w:widowControl/>
        <w:numPr>
          <w:ilvl w:val="1"/>
          <w:numId w:val="5"/>
        </w:numPr>
        <w:spacing w:after="120"/>
        <w:ind w:left="709"/>
        <w:contextualSpacing w:val="0"/>
        <w:rPr>
          <w:rFonts w:asciiTheme="minorHAnsi" w:hAnsiTheme="minorHAnsi" w:cs="Times New Roman"/>
          <w:snapToGrid/>
          <w:sz w:val="24"/>
          <w:szCs w:val="24"/>
          <w:lang w:eastAsia="en-AU"/>
        </w:rPr>
      </w:pPr>
      <w:proofErr w:type="spellStart"/>
      <w:r w:rsidRPr="00B176CF">
        <w:rPr>
          <w:rFonts w:asciiTheme="minorHAnsi" w:hAnsiTheme="minorHAnsi" w:cs="Times New Roman"/>
          <w:snapToGrid/>
          <w:sz w:val="24"/>
          <w:szCs w:val="24"/>
          <w:lang w:eastAsia="en-AU"/>
        </w:rPr>
        <w:t>Vande</w:t>
      </w:r>
      <w:proofErr w:type="spellEnd"/>
      <w:r w:rsidRPr="00B176CF">
        <w:rPr>
          <w:rFonts w:asciiTheme="minorHAnsi" w:hAnsiTheme="minorHAnsi" w:cs="Times New Roman"/>
          <w:snapToGrid/>
          <w:sz w:val="24"/>
          <w:szCs w:val="24"/>
          <w:lang w:eastAsia="en-AU"/>
        </w:rPr>
        <w:t xml:space="preserve"> </w:t>
      </w:r>
      <w:proofErr w:type="spellStart"/>
      <w:r w:rsidRPr="00B176CF">
        <w:rPr>
          <w:rFonts w:asciiTheme="minorHAnsi" w:hAnsiTheme="minorHAnsi" w:cs="Times New Roman"/>
          <w:snapToGrid/>
          <w:sz w:val="24"/>
          <w:szCs w:val="24"/>
          <w:lang w:eastAsia="en-AU"/>
        </w:rPr>
        <w:t>Walle</w:t>
      </w:r>
      <w:proofErr w:type="spellEnd"/>
      <w:r w:rsidRPr="00B176CF">
        <w:rPr>
          <w:rFonts w:asciiTheme="minorHAnsi" w:hAnsiTheme="minorHAnsi" w:cs="Times New Roman"/>
          <w:snapToGrid/>
          <w:sz w:val="24"/>
          <w:szCs w:val="24"/>
          <w:lang w:eastAsia="en-AU"/>
        </w:rPr>
        <w:t xml:space="preserve"> 2017</w:t>
      </w:r>
      <w:r w:rsidR="00E54203" w:rsidRPr="00B176CF">
        <w:rPr>
          <w:rFonts w:asciiTheme="minorHAnsi" w:hAnsiTheme="minorHAnsi" w:cs="Times New Roman"/>
          <w:snapToGrid/>
          <w:sz w:val="24"/>
          <w:szCs w:val="24"/>
          <w:lang w:eastAsia="en-AU"/>
        </w:rPr>
        <w:t xml:space="preserve"> included </w:t>
      </w:r>
      <w:r w:rsidR="00A273B9" w:rsidRPr="00B176CF">
        <w:rPr>
          <w:rFonts w:asciiTheme="minorHAnsi" w:hAnsiTheme="minorHAnsi" w:cs="Times New Roman"/>
          <w:snapToGrid/>
          <w:sz w:val="24"/>
          <w:szCs w:val="24"/>
          <w:lang w:eastAsia="en-AU"/>
        </w:rPr>
        <w:t>r</w:t>
      </w:r>
      <w:r w:rsidR="00E54203" w:rsidRPr="00B176CF">
        <w:rPr>
          <w:rFonts w:asciiTheme="minorHAnsi" w:hAnsiTheme="minorHAnsi" w:cs="Times New Roman"/>
          <w:snapToGrid/>
          <w:sz w:val="24"/>
          <w:szCs w:val="24"/>
          <w:lang w:eastAsia="en-AU"/>
        </w:rPr>
        <w:t xml:space="preserve">egistry patients with a kidney transplant who were treated with </w:t>
      </w:r>
      <w:proofErr w:type="spellStart"/>
      <w:r w:rsidR="00E54203" w:rsidRPr="00B176CF">
        <w:rPr>
          <w:rFonts w:asciiTheme="minorHAnsi" w:hAnsiTheme="minorHAnsi" w:cs="Times New Roman"/>
          <w:snapToGrid/>
          <w:sz w:val="24"/>
          <w:szCs w:val="24"/>
          <w:lang w:eastAsia="en-AU"/>
        </w:rPr>
        <w:t>eculizumab</w:t>
      </w:r>
      <w:proofErr w:type="spellEnd"/>
      <w:r w:rsidR="00E54203" w:rsidRPr="00B176CF">
        <w:rPr>
          <w:rFonts w:asciiTheme="minorHAnsi" w:hAnsiTheme="minorHAnsi" w:cs="Times New Roman"/>
          <w:snapToGrid/>
          <w:sz w:val="24"/>
          <w:szCs w:val="24"/>
          <w:lang w:eastAsia="en-AU"/>
        </w:rPr>
        <w:t xml:space="preserve"> and had at least </w:t>
      </w:r>
      <w:r w:rsidR="00A273B9" w:rsidRPr="00B176CF">
        <w:rPr>
          <w:rFonts w:asciiTheme="minorHAnsi" w:hAnsiTheme="minorHAnsi" w:cs="Times New Roman"/>
          <w:snapToGrid/>
          <w:sz w:val="24"/>
          <w:szCs w:val="24"/>
          <w:lang w:eastAsia="en-AU"/>
        </w:rPr>
        <w:t>one</w:t>
      </w:r>
      <w:r w:rsidR="00E54203" w:rsidRPr="00B176CF">
        <w:rPr>
          <w:rFonts w:asciiTheme="minorHAnsi" w:hAnsiTheme="minorHAnsi" w:cs="Times New Roman"/>
          <w:snapToGrid/>
          <w:sz w:val="24"/>
          <w:szCs w:val="24"/>
          <w:lang w:eastAsia="en-AU"/>
        </w:rPr>
        <w:t xml:space="preserve"> year of follow-up after their most recent transplant.</w:t>
      </w:r>
      <w:r w:rsidR="006847BD" w:rsidRPr="00B176CF">
        <w:rPr>
          <w:rFonts w:asciiTheme="minorHAnsi" w:hAnsiTheme="minorHAnsi" w:cs="Times New Roman"/>
          <w:snapToGrid/>
          <w:sz w:val="24"/>
          <w:szCs w:val="24"/>
          <w:lang w:eastAsia="en-AU"/>
        </w:rPr>
        <w:t xml:space="preserve"> The aim of the analysis was to assess the incidence of dialysis post-kidney transplant in patients who initiated </w:t>
      </w:r>
      <w:proofErr w:type="spellStart"/>
      <w:r w:rsidR="006847BD" w:rsidRPr="00B176CF">
        <w:rPr>
          <w:rFonts w:asciiTheme="minorHAnsi" w:hAnsiTheme="minorHAnsi" w:cs="Times New Roman"/>
          <w:snapToGrid/>
          <w:sz w:val="24"/>
          <w:szCs w:val="24"/>
          <w:lang w:eastAsia="en-AU"/>
        </w:rPr>
        <w:t>eculizumab</w:t>
      </w:r>
      <w:proofErr w:type="spellEnd"/>
      <w:r w:rsidR="006847BD" w:rsidRPr="00B176CF">
        <w:rPr>
          <w:rFonts w:asciiTheme="minorHAnsi" w:hAnsiTheme="minorHAnsi" w:cs="Times New Roman"/>
          <w:snapToGrid/>
          <w:sz w:val="24"/>
          <w:szCs w:val="24"/>
          <w:lang w:eastAsia="en-AU"/>
        </w:rPr>
        <w:t xml:space="preserve"> pr</w:t>
      </w:r>
      <w:r w:rsidR="009977DE" w:rsidRPr="00B176CF">
        <w:rPr>
          <w:rFonts w:asciiTheme="minorHAnsi" w:hAnsiTheme="minorHAnsi" w:cs="Times New Roman"/>
          <w:snapToGrid/>
          <w:sz w:val="24"/>
          <w:szCs w:val="24"/>
          <w:lang w:eastAsia="en-AU"/>
        </w:rPr>
        <w:t>e</w:t>
      </w:r>
      <w:r w:rsidR="006847BD" w:rsidRPr="00B176CF">
        <w:rPr>
          <w:rFonts w:asciiTheme="minorHAnsi" w:hAnsiTheme="minorHAnsi" w:cs="Times New Roman"/>
          <w:snapToGrid/>
          <w:sz w:val="24"/>
          <w:szCs w:val="24"/>
          <w:lang w:eastAsia="en-AU"/>
        </w:rPr>
        <w:t xml:space="preserve">-transplant, versus those who initiated post-transplant. </w:t>
      </w:r>
    </w:p>
    <w:p w:rsidR="00E64D55" w:rsidRPr="00B176CF" w:rsidRDefault="006847BD" w:rsidP="0001315B">
      <w:pPr>
        <w:pStyle w:val="ListParagraph"/>
        <w:widowControl/>
        <w:numPr>
          <w:ilvl w:val="1"/>
          <w:numId w:val="5"/>
        </w:numPr>
        <w:spacing w:after="120"/>
        <w:ind w:left="709"/>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 xml:space="preserve">The analysis also </w:t>
      </w:r>
      <w:r w:rsidR="009977DE" w:rsidRPr="00B176CF">
        <w:rPr>
          <w:rFonts w:asciiTheme="minorHAnsi" w:hAnsiTheme="minorHAnsi" w:cs="Times New Roman"/>
          <w:snapToGrid/>
          <w:sz w:val="24"/>
          <w:szCs w:val="24"/>
          <w:lang w:eastAsia="en-AU"/>
        </w:rPr>
        <w:t>assessed</w:t>
      </w:r>
      <w:r w:rsidRPr="00B176CF">
        <w:rPr>
          <w:rFonts w:asciiTheme="minorHAnsi" w:hAnsiTheme="minorHAnsi" w:cs="Times New Roman"/>
          <w:snapToGrid/>
          <w:sz w:val="24"/>
          <w:szCs w:val="24"/>
          <w:lang w:eastAsia="en-AU"/>
        </w:rPr>
        <w:t xml:space="preserve"> the incidence of dialysis in patients who were maintained on “approved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dosing” versus “all patients” (including those who discontinued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w:t>
      </w:r>
      <w:r w:rsidR="00E12516" w:rsidRPr="00B176CF">
        <w:rPr>
          <w:rFonts w:asciiTheme="minorHAnsi" w:hAnsiTheme="minorHAnsi" w:cs="Times New Roman"/>
          <w:snapToGrid/>
          <w:sz w:val="24"/>
          <w:szCs w:val="24"/>
          <w:lang w:eastAsia="en-AU"/>
        </w:rPr>
        <w:t xml:space="preserve">As shown on Slide 9 of </w:t>
      </w:r>
      <w:proofErr w:type="spellStart"/>
      <w:r w:rsidR="00E12516" w:rsidRPr="00B176CF">
        <w:rPr>
          <w:rFonts w:asciiTheme="minorHAnsi" w:hAnsiTheme="minorHAnsi" w:cs="Times New Roman"/>
          <w:snapToGrid/>
          <w:sz w:val="24"/>
          <w:szCs w:val="24"/>
          <w:lang w:eastAsia="en-AU"/>
        </w:rPr>
        <w:t>Vande</w:t>
      </w:r>
      <w:proofErr w:type="spellEnd"/>
      <w:r w:rsidR="00E12516" w:rsidRPr="00B176CF">
        <w:rPr>
          <w:rFonts w:asciiTheme="minorHAnsi" w:hAnsiTheme="minorHAnsi" w:cs="Times New Roman"/>
          <w:snapToGrid/>
          <w:sz w:val="24"/>
          <w:szCs w:val="24"/>
          <w:lang w:eastAsia="en-AU"/>
        </w:rPr>
        <w:t xml:space="preserve"> </w:t>
      </w:r>
      <w:proofErr w:type="spellStart"/>
      <w:r w:rsidR="00E12516" w:rsidRPr="00B176CF">
        <w:rPr>
          <w:rFonts w:asciiTheme="minorHAnsi" w:hAnsiTheme="minorHAnsi" w:cs="Times New Roman"/>
          <w:snapToGrid/>
          <w:sz w:val="24"/>
          <w:szCs w:val="24"/>
          <w:lang w:eastAsia="en-AU"/>
        </w:rPr>
        <w:t>Walle</w:t>
      </w:r>
      <w:proofErr w:type="spellEnd"/>
      <w:r w:rsidR="00E12516" w:rsidRPr="00B176CF">
        <w:rPr>
          <w:rFonts w:asciiTheme="minorHAnsi" w:hAnsiTheme="minorHAnsi" w:cs="Times New Roman"/>
          <w:snapToGrid/>
          <w:sz w:val="24"/>
          <w:szCs w:val="24"/>
          <w:lang w:eastAsia="en-AU"/>
        </w:rPr>
        <w:t xml:space="preserve"> 2017:</w:t>
      </w:r>
    </w:p>
    <w:p w:rsidR="006847BD" w:rsidRPr="00B176CF" w:rsidRDefault="009977DE" w:rsidP="00E64D55">
      <w:pPr>
        <w:pStyle w:val="ListParagraph"/>
        <w:numPr>
          <w:ilvl w:val="0"/>
          <w:numId w:val="18"/>
        </w:numPr>
        <w:spacing w:after="120"/>
        <w:ind w:left="993" w:hanging="284"/>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 xml:space="preserve">Of patents who started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pre-transplant, patients receiving “approved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dosing” had a lower incidence of chronic dialysis than </w:t>
      </w:r>
      <w:r w:rsidR="00E64D55" w:rsidRPr="00B176CF">
        <w:rPr>
          <w:rFonts w:asciiTheme="minorHAnsi" w:hAnsiTheme="minorHAnsi" w:cs="Times New Roman"/>
          <w:snapToGrid/>
          <w:sz w:val="24"/>
          <w:szCs w:val="24"/>
          <w:lang w:eastAsia="en-AU"/>
        </w:rPr>
        <w:t>“</w:t>
      </w:r>
      <w:r w:rsidRPr="00B176CF">
        <w:rPr>
          <w:rFonts w:asciiTheme="minorHAnsi" w:hAnsiTheme="minorHAnsi" w:cs="Times New Roman"/>
          <w:snapToGrid/>
          <w:sz w:val="24"/>
          <w:szCs w:val="24"/>
          <w:lang w:eastAsia="en-AU"/>
        </w:rPr>
        <w:t>all patients</w:t>
      </w:r>
      <w:r w:rsidR="00E64D55" w:rsidRPr="00B176CF">
        <w:rPr>
          <w:rFonts w:asciiTheme="minorHAnsi" w:hAnsiTheme="minorHAnsi" w:cs="Times New Roman"/>
          <w:snapToGrid/>
          <w:sz w:val="24"/>
          <w:szCs w:val="24"/>
          <w:lang w:eastAsia="en-AU"/>
        </w:rPr>
        <w:t>”</w:t>
      </w:r>
      <w:r w:rsidRPr="00B176CF">
        <w:rPr>
          <w:rFonts w:asciiTheme="minorHAnsi" w:hAnsiTheme="minorHAnsi" w:cs="Times New Roman"/>
          <w:snapToGrid/>
          <w:sz w:val="24"/>
          <w:szCs w:val="24"/>
          <w:lang w:eastAsia="en-AU"/>
        </w:rPr>
        <w:t xml:space="preserve"> combined (incidence rate: 0.7 per 100 patient years </w:t>
      </w:r>
      <w:r w:rsidR="00E64D55" w:rsidRPr="00B176CF">
        <w:rPr>
          <w:rFonts w:asciiTheme="minorHAnsi" w:hAnsiTheme="minorHAnsi" w:cs="Times New Roman"/>
          <w:snapToGrid/>
          <w:sz w:val="24"/>
          <w:szCs w:val="24"/>
          <w:lang w:eastAsia="en-AU"/>
        </w:rPr>
        <w:t xml:space="preserve">versus </w:t>
      </w:r>
      <w:r w:rsidRPr="00B176CF">
        <w:rPr>
          <w:rFonts w:asciiTheme="minorHAnsi" w:hAnsiTheme="minorHAnsi" w:cs="Times New Roman"/>
          <w:snapToGrid/>
          <w:sz w:val="24"/>
          <w:szCs w:val="24"/>
          <w:lang w:eastAsia="en-AU"/>
        </w:rPr>
        <w:t xml:space="preserve">1.6 per 100 patient years, respectively). However, of the 3 patients who required acute dialysis, all were in the “approved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dosing” group.</w:t>
      </w:r>
    </w:p>
    <w:p w:rsidR="00E64D55" w:rsidRPr="00B176CF" w:rsidRDefault="00E64D55" w:rsidP="00E64D55">
      <w:pPr>
        <w:pStyle w:val="ListParagraph"/>
        <w:numPr>
          <w:ilvl w:val="0"/>
          <w:numId w:val="18"/>
        </w:numPr>
        <w:spacing w:after="120"/>
        <w:ind w:left="993" w:hanging="284"/>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 xml:space="preserve">The </w:t>
      </w:r>
      <w:r w:rsidR="00E12516" w:rsidRPr="00B176CF">
        <w:rPr>
          <w:rFonts w:asciiTheme="minorHAnsi" w:hAnsiTheme="minorHAnsi" w:cs="Times New Roman"/>
          <w:snapToGrid/>
          <w:sz w:val="24"/>
          <w:szCs w:val="24"/>
          <w:lang w:eastAsia="en-AU"/>
        </w:rPr>
        <w:t>analysis</w:t>
      </w:r>
      <w:r w:rsidRPr="00B176CF">
        <w:rPr>
          <w:rFonts w:asciiTheme="minorHAnsi" w:hAnsiTheme="minorHAnsi" w:cs="Times New Roman"/>
          <w:snapToGrid/>
          <w:sz w:val="24"/>
          <w:szCs w:val="24"/>
          <w:lang w:eastAsia="en-AU"/>
        </w:rPr>
        <w:t xml:space="preserve"> included 16 patients who were not maintained on “approved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dosing”. Dialysis (chronic or acute) was required for two of these 16 patients (based on data for all patients minus the patients maintained on approved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dosing; the incident rate per 100 patient-years was not reported for this group separately), compared with four of the 51 patients maintained on approved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dosing (incident rate per 100 patient-years: 2.7 (95% CI: 1.5 - 8.9)). </w:t>
      </w:r>
      <w:r w:rsidR="00E12516" w:rsidRPr="00B176CF">
        <w:rPr>
          <w:rFonts w:asciiTheme="minorHAnsi" w:hAnsiTheme="minorHAnsi" w:cs="Times New Roman"/>
          <w:snapToGrid/>
          <w:sz w:val="24"/>
          <w:szCs w:val="24"/>
          <w:lang w:eastAsia="en-AU"/>
        </w:rPr>
        <w:t>Overall, l</w:t>
      </w:r>
      <w:r w:rsidRPr="00B176CF">
        <w:rPr>
          <w:rFonts w:asciiTheme="minorHAnsi" w:hAnsiTheme="minorHAnsi" w:cs="Times New Roman"/>
          <w:snapToGrid/>
          <w:sz w:val="24"/>
          <w:szCs w:val="24"/>
          <w:lang w:eastAsia="en-AU"/>
        </w:rPr>
        <w:t xml:space="preserve">imited data were available; the duration, dosing and reasons for not adhering to approved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dosing were not known.</w:t>
      </w:r>
    </w:p>
    <w:p w:rsidR="0001315B" w:rsidRPr="00B176CF" w:rsidRDefault="0001315B" w:rsidP="0001315B">
      <w:pPr>
        <w:spacing w:after="120"/>
        <w:ind w:left="-11"/>
        <w:rPr>
          <w:rFonts w:asciiTheme="minorHAnsi" w:hAnsiTheme="minorHAnsi"/>
          <w:u w:val="single"/>
        </w:rPr>
      </w:pPr>
      <w:r w:rsidRPr="00B176CF">
        <w:rPr>
          <w:rFonts w:asciiTheme="minorHAnsi" w:hAnsiTheme="minorHAnsi"/>
          <w:u w:val="single"/>
        </w:rPr>
        <w:t>Legend</w:t>
      </w:r>
      <w:r w:rsidR="00C81BDC" w:rsidRPr="00B176CF">
        <w:rPr>
          <w:rFonts w:asciiTheme="minorHAnsi" w:hAnsiTheme="minorHAnsi"/>
          <w:u w:val="single"/>
        </w:rPr>
        <w:t>r</w:t>
      </w:r>
      <w:r w:rsidRPr="00B176CF">
        <w:rPr>
          <w:rFonts w:asciiTheme="minorHAnsi" w:hAnsiTheme="minorHAnsi"/>
          <w:u w:val="single"/>
        </w:rPr>
        <w:t>e 2017</w:t>
      </w:r>
    </w:p>
    <w:p w:rsidR="00243D7B" w:rsidRPr="00B176CF" w:rsidRDefault="00A273B9" w:rsidP="0001315B">
      <w:pPr>
        <w:pStyle w:val="ListParagraph"/>
        <w:widowControl/>
        <w:numPr>
          <w:ilvl w:val="1"/>
          <w:numId w:val="5"/>
        </w:numPr>
        <w:spacing w:after="120"/>
        <w:ind w:left="709"/>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Legend</w:t>
      </w:r>
      <w:r w:rsidR="00C81BDC" w:rsidRPr="00B176CF">
        <w:rPr>
          <w:rFonts w:asciiTheme="minorHAnsi" w:hAnsiTheme="minorHAnsi" w:cs="Times New Roman"/>
          <w:snapToGrid/>
          <w:sz w:val="24"/>
          <w:szCs w:val="24"/>
          <w:lang w:eastAsia="en-AU"/>
        </w:rPr>
        <w:t>r</w:t>
      </w:r>
      <w:r w:rsidRPr="00B176CF">
        <w:rPr>
          <w:rFonts w:asciiTheme="minorHAnsi" w:hAnsiTheme="minorHAnsi" w:cs="Times New Roman"/>
          <w:snapToGrid/>
          <w:sz w:val="24"/>
          <w:szCs w:val="24"/>
          <w:lang w:eastAsia="en-AU"/>
        </w:rPr>
        <w:t>e 2017 wa</w:t>
      </w:r>
      <w:r w:rsidR="0001315B" w:rsidRPr="00B176CF">
        <w:rPr>
          <w:rFonts w:asciiTheme="minorHAnsi" w:hAnsiTheme="minorHAnsi" w:cs="Times New Roman"/>
          <w:snapToGrid/>
          <w:sz w:val="24"/>
          <w:szCs w:val="24"/>
          <w:lang w:eastAsia="en-AU"/>
        </w:rPr>
        <w:t>s a pooled post hoc analysis of</w:t>
      </w:r>
      <w:r w:rsidRPr="00B176CF">
        <w:rPr>
          <w:rFonts w:asciiTheme="minorHAnsi" w:hAnsiTheme="minorHAnsi" w:cs="Times New Roman"/>
          <w:snapToGrid/>
          <w:sz w:val="24"/>
          <w:szCs w:val="24"/>
          <w:lang w:eastAsia="en-AU"/>
        </w:rPr>
        <w:t xml:space="preserve"> the</w:t>
      </w:r>
      <w:r w:rsidR="0001315B" w:rsidRPr="00B176CF">
        <w:rPr>
          <w:rFonts w:asciiTheme="minorHAnsi" w:hAnsiTheme="minorHAnsi" w:cs="Times New Roman"/>
          <w:snapToGrid/>
          <w:sz w:val="24"/>
          <w:szCs w:val="24"/>
          <w:lang w:eastAsia="en-AU"/>
        </w:rPr>
        <w:t xml:space="preserve"> four p</w:t>
      </w:r>
      <w:r w:rsidRPr="00B176CF">
        <w:rPr>
          <w:rFonts w:asciiTheme="minorHAnsi" w:hAnsiTheme="minorHAnsi" w:cs="Times New Roman"/>
          <w:snapToGrid/>
          <w:sz w:val="24"/>
          <w:szCs w:val="24"/>
          <w:lang w:eastAsia="en-AU"/>
        </w:rPr>
        <w:t>rospective clinical trials (C08</w:t>
      </w:r>
      <w:r w:rsidRPr="00B176CF">
        <w:rPr>
          <w:rFonts w:asciiTheme="minorHAnsi" w:hAnsiTheme="minorHAnsi" w:cs="Times New Roman"/>
          <w:snapToGrid/>
          <w:sz w:val="24"/>
          <w:szCs w:val="24"/>
          <w:lang w:eastAsia="en-AU"/>
        </w:rPr>
        <w:noBreakHyphen/>
      </w:r>
      <w:r w:rsidR="0001315B" w:rsidRPr="00B176CF">
        <w:rPr>
          <w:rFonts w:asciiTheme="minorHAnsi" w:hAnsiTheme="minorHAnsi" w:cs="Times New Roman"/>
          <w:snapToGrid/>
          <w:sz w:val="24"/>
          <w:szCs w:val="24"/>
          <w:lang w:eastAsia="en-AU"/>
        </w:rPr>
        <w:t xml:space="preserve">002, C08-003, C10-003 and C10-004) which were presented in the March 2014 submission and other subsequent submissions. </w:t>
      </w:r>
      <w:r w:rsidR="00243D7B" w:rsidRPr="00B176CF">
        <w:rPr>
          <w:rFonts w:asciiTheme="minorHAnsi" w:hAnsiTheme="minorHAnsi" w:cs="Times New Roman"/>
          <w:snapToGrid/>
          <w:sz w:val="24"/>
          <w:szCs w:val="24"/>
          <w:lang w:eastAsia="en-AU"/>
        </w:rPr>
        <w:t xml:space="preserve">The resubmission </w:t>
      </w:r>
      <w:r w:rsidR="00823037" w:rsidRPr="00B176CF">
        <w:rPr>
          <w:rFonts w:asciiTheme="minorHAnsi" w:hAnsiTheme="minorHAnsi" w:cs="Times New Roman"/>
          <w:snapToGrid/>
          <w:sz w:val="24"/>
          <w:szCs w:val="24"/>
          <w:lang w:eastAsia="en-AU"/>
        </w:rPr>
        <w:t xml:space="preserve">reported the median duration of treatment with </w:t>
      </w:r>
      <w:proofErr w:type="spellStart"/>
      <w:r w:rsidR="00823037" w:rsidRPr="00B176CF">
        <w:rPr>
          <w:rFonts w:asciiTheme="minorHAnsi" w:hAnsiTheme="minorHAnsi" w:cs="Times New Roman"/>
          <w:snapToGrid/>
          <w:sz w:val="24"/>
          <w:szCs w:val="24"/>
          <w:lang w:eastAsia="en-AU"/>
        </w:rPr>
        <w:t>eculizumab</w:t>
      </w:r>
      <w:proofErr w:type="spellEnd"/>
      <w:r w:rsidR="00823037" w:rsidRPr="00B176CF">
        <w:rPr>
          <w:rFonts w:asciiTheme="minorHAnsi" w:hAnsiTheme="minorHAnsi" w:cs="Times New Roman"/>
          <w:snapToGrid/>
          <w:sz w:val="24"/>
          <w:szCs w:val="24"/>
          <w:lang w:eastAsia="en-AU"/>
        </w:rPr>
        <w:t xml:space="preserve"> in these trials, but did not report any outcomes from these data</w:t>
      </w:r>
      <w:r w:rsidR="00243D7B" w:rsidRPr="00B176CF">
        <w:rPr>
          <w:rFonts w:asciiTheme="minorHAnsi" w:hAnsiTheme="minorHAnsi" w:cs="Times New Roman"/>
          <w:snapToGrid/>
          <w:sz w:val="24"/>
          <w:szCs w:val="24"/>
          <w:lang w:eastAsia="en-AU"/>
        </w:rPr>
        <w:t>.</w:t>
      </w:r>
    </w:p>
    <w:p w:rsidR="0001315B" w:rsidRPr="00B176CF" w:rsidRDefault="0001315B" w:rsidP="0001315B">
      <w:pPr>
        <w:pStyle w:val="ListParagraph"/>
        <w:widowControl/>
        <w:numPr>
          <w:ilvl w:val="1"/>
          <w:numId w:val="5"/>
        </w:numPr>
        <w:spacing w:after="120"/>
        <w:ind w:left="709"/>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 xml:space="preserve">Overall, the studies included 26 patients who had received a kidney transplant. </w:t>
      </w:r>
      <w:r w:rsidR="00EB76AD" w:rsidRPr="00B176CF">
        <w:rPr>
          <w:rFonts w:asciiTheme="minorHAnsi" w:hAnsiTheme="minorHAnsi" w:cs="Times New Roman"/>
          <w:snapToGrid/>
          <w:sz w:val="24"/>
          <w:szCs w:val="24"/>
          <w:lang w:eastAsia="en-AU"/>
        </w:rPr>
        <w:t>However, F</w:t>
      </w:r>
      <w:r w:rsidRPr="00B176CF">
        <w:rPr>
          <w:rFonts w:asciiTheme="minorHAnsi" w:hAnsiTheme="minorHAnsi" w:cs="Times New Roman"/>
          <w:snapToGrid/>
          <w:sz w:val="24"/>
          <w:szCs w:val="24"/>
          <w:lang w:eastAsia="en-AU"/>
        </w:rPr>
        <w:t xml:space="preserve">igure 2 of the publication indicated that </w:t>
      </w:r>
      <w:r w:rsidR="00647F3A" w:rsidRPr="00B176CF">
        <w:rPr>
          <w:rFonts w:asciiTheme="minorHAnsi" w:hAnsiTheme="minorHAnsi" w:cs="Times New Roman"/>
          <w:snapToGrid/>
          <w:sz w:val="24"/>
          <w:szCs w:val="24"/>
          <w:lang w:eastAsia="en-AU"/>
        </w:rPr>
        <w:t>not all patients</w:t>
      </w:r>
      <w:r w:rsidRPr="00B176CF">
        <w:rPr>
          <w:rFonts w:asciiTheme="minorHAnsi" w:hAnsiTheme="minorHAnsi" w:cs="Times New Roman"/>
          <w:snapToGrid/>
          <w:sz w:val="24"/>
          <w:szCs w:val="24"/>
          <w:lang w:eastAsia="en-AU"/>
        </w:rPr>
        <w:t xml:space="preserve"> commenced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w:t>
      </w:r>
      <w:r w:rsidR="00647F3A" w:rsidRPr="00B176CF">
        <w:rPr>
          <w:rFonts w:asciiTheme="minorHAnsi" w:hAnsiTheme="minorHAnsi" w:cs="Times New Roman"/>
          <w:snapToGrid/>
          <w:sz w:val="24"/>
          <w:szCs w:val="24"/>
          <w:lang w:eastAsia="en-AU"/>
        </w:rPr>
        <w:t>peri-</w:t>
      </w:r>
      <w:r w:rsidRPr="00B176CF">
        <w:rPr>
          <w:rFonts w:asciiTheme="minorHAnsi" w:hAnsiTheme="minorHAnsi" w:cs="Times New Roman"/>
          <w:snapToGrid/>
          <w:sz w:val="24"/>
          <w:szCs w:val="24"/>
          <w:lang w:eastAsia="en-AU"/>
        </w:rPr>
        <w:t xml:space="preserve">transplant. </w:t>
      </w:r>
      <w:r w:rsidR="00C81BDC" w:rsidRPr="00B176CF">
        <w:rPr>
          <w:rFonts w:asciiTheme="minorHAnsi" w:hAnsiTheme="minorHAnsi" w:cs="Times New Roman"/>
          <w:snapToGrid/>
          <w:sz w:val="24"/>
          <w:szCs w:val="24"/>
          <w:lang w:eastAsia="en-AU"/>
        </w:rPr>
        <w:t xml:space="preserve">Further, </w:t>
      </w:r>
      <w:r w:rsidR="00243D7B" w:rsidRPr="00B176CF">
        <w:rPr>
          <w:rFonts w:asciiTheme="minorHAnsi" w:hAnsiTheme="minorHAnsi" w:cs="Times New Roman"/>
          <w:snapToGrid/>
          <w:sz w:val="24"/>
          <w:szCs w:val="24"/>
          <w:lang w:eastAsia="en-AU"/>
        </w:rPr>
        <w:t xml:space="preserve">the </w:t>
      </w:r>
      <w:r w:rsidR="00C81BDC" w:rsidRPr="00B176CF">
        <w:rPr>
          <w:rFonts w:asciiTheme="minorHAnsi" w:hAnsiTheme="minorHAnsi" w:cs="Times New Roman"/>
          <w:snapToGrid/>
          <w:sz w:val="24"/>
          <w:szCs w:val="24"/>
          <w:lang w:eastAsia="en-AU"/>
        </w:rPr>
        <w:t xml:space="preserve">duration of </w:t>
      </w:r>
      <w:proofErr w:type="spellStart"/>
      <w:r w:rsidR="00C81BDC" w:rsidRPr="00B176CF">
        <w:rPr>
          <w:rFonts w:asciiTheme="minorHAnsi" w:hAnsiTheme="minorHAnsi" w:cs="Times New Roman"/>
          <w:snapToGrid/>
          <w:sz w:val="24"/>
          <w:szCs w:val="24"/>
          <w:lang w:eastAsia="en-AU"/>
        </w:rPr>
        <w:t>eculizumab</w:t>
      </w:r>
      <w:proofErr w:type="spellEnd"/>
      <w:r w:rsidR="00C81BDC" w:rsidRPr="00B176CF">
        <w:rPr>
          <w:rFonts w:asciiTheme="minorHAnsi" w:hAnsiTheme="minorHAnsi" w:cs="Times New Roman"/>
          <w:snapToGrid/>
          <w:sz w:val="24"/>
          <w:szCs w:val="24"/>
          <w:lang w:eastAsia="en-AU"/>
        </w:rPr>
        <w:t xml:space="preserve"> t</w:t>
      </w:r>
      <w:r w:rsidR="000D6883">
        <w:rPr>
          <w:rFonts w:asciiTheme="minorHAnsi" w:hAnsiTheme="minorHAnsi" w:cs="Times New Roman"/>
          <w:snapToGrid/>
          <w:sz w:val="24"/>
          <w:szCs w:val="24"/>
          <w:lang w:eastAsia="en-AU"/>
        </w:rPr>
        <w:t>herapy</w:t>
      </w:r>
      <w:r w:rsidR="00C81BDC" w:rsidRPr="00B176CF">
        <w:rPr>
          <w:rFonts w:asciiTheme="minorHAnsi" w:hAnsiTheme="minorHAnsi" w:cs="Times New Roman"/>
          <w:snapToGrid/>
          <w:sz w:val="24"/>
          <w:szCs w:val="24"/>
          <w:lang w:eastAsia="en-AU"/>
        </w:rPr>
        <w:t xml:space="preserve"> in relation to outcomes was not reported. </w:t>
      </w:r>
      <w:r w:rsidR="00647F3A" w:rsidRPr="00B176CF">
        <w:rPr>
          <w:rFonts w:asciiTheme="minorHAnsi" w:hAnsiTheme="minorHAnsi" w:cs="Times New Roman"/>
          <w:snapToGrid/>
          <w:sz w:val="24"/>
          <w:szCs w:val="24"/>
          <w:lang w:eastAsia="en-AU"/>
        </w:rPr>
        <w:t>Thus this data may have limited applicability to the proposed treatment setting.</w:t>
      </w:r>
    </w:p>
    <w:p w:rsidR="00071EE9" w:rsidRPr="00B176CF" w:rsidRDefault="00871CDE" w:rsidP="00871CDE">
      <w:pPr>
        <w:pStyle w:val="Heading5"/>
        <w:rPr>
          <w:i w:val="0"/>
        </w:rPr>
      </w:pPr>
      <w:r w:rsidRPr="00B176CF">
        <w:rPr>
          <w:i w:val="0"/>
        </w:rPr>
        <w:t xml:space="preserve">ii) </w:t>
      </w:r>
      <w:r w:rsidR="00250FC1" w:rsidRPr="00B176CF">
        <w:rPr>
          <w:i w:val="0"/>
        </w:rPr>
        <w:t>Patients who discontinue</w:t>
      </w:r>
      <w:r w:rsidR="00DB7548" w:rsidRPr="00B176CF">
        <w:rPr>
          <w:i w:val="0"/>
        </w:rPr>
        <w:t>d</w:t>
      </w:r>
      <w:r w:rsidR="00250FC1" w:rsidRPr="00B176CF">
        <w:rPr>
          <w:i w:val="0"/>
        </w:rPr>
        <w:t xml:space="preserve"> </w:t>
      </w:r>
      <w:proofErr w:type="spellStart"/>
      <w:r w:rsidR="00250FC1" w:rsidRPr="00B176CF">
        <w:rPr>
          <w:i w:val="0"/>
        </w:rPr>
        <w:t>eculizumab</w:t>
      </w:r>
      <w:proofErr w:type="spellEnd"/>
      <w:r w:rsidR="00250FC1" w:rsidRPr="00B176CF">
        <w:rPr>
          <w:i w:val="0"/>
        </w:rPr>
        <w:t xml:space="preserve"> post-transplant</w:t>
      </w:r>
    </w:p>
    <w:p w:rsidR="00250FC1" w:rsidRPr="00B176CF" w:rsidRDefault="00250FC1" w:rsidP="0001315B">
      <w:pPr>
        <w:pStyle w:val="ListParagraph"/>
        <w:widowControl/>
        <w:numPr>
          <w:ilvl w:val="1"/>
          <w:numId w:val="5"/>
        </w:numPr>
        <w:spacing w:after="120"/>
        <w:ind w:left="709"/>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The resubmission outlined eight case</w:t>
      </w:r>
      <w:r w:rsidR="006B1D91" w:rsidRPr="00B176CF">
        <w:rPr>
          <w:rFonts w:asciiTheme="minorHAnsi" w:hAnsiTheme="minorHAnsi" w:cs="Times New Roman"/>
          <w:snapToGrid/>
          <w:sz w:val="24"/>
          <w:szCs w:val="24"/>
          <w:lang w:eastAsia="en-AU"/>
        </w:rPr>
        <w:t>s</w:t>
      </w:r>
      <w:r w:rsidRPr="00B176CF">
        <w:rPr>
          <w:rFonts w:asciiTheme="minorHAnsi" w:hAnsiTheme="minorHAnsi" w:cs="Times New Roman"/>
          <w:snapToGrid/>
          <w:sz w:val="24"/>
          <w:szCs w:val="24"/>
          <w:lang w:eastAsia="en-AU"/>
        </w:rPr>
        <w:t xml:space="preserve"> </w:t>
      </w:r>
      <w:r w:rsidR="006B1D91" w:rsidRPr="00B176CF">
        <w:rPr>
          <w:rFonts w:asciiTheme="minorHAnsi" w:hAnsiTheme="minorHAnsi" w:cs="Times New Roman"/>
          <w:snapToGrid/>
          <w:sz w:val="24"/>
          <w:szCs w:val="24"/>
          <w:lang w:eastAsia="en-AU"/>
        </w:rPr>
        <w:t>(all from case studies)</w:t>
      </w:r>
      <w:r w:rsidRPr="00B176CF">
        <w:rPr>
          <w:rFonts w:asciiTheme="minorHAnsi" w:hAnsiTheme="minorHAnsi" w:cs="Times New Roman"/>
          <w:snapToGrid/>
          <w:sz w:val="24"/>
          <w:szCs w:val="24"/>
          <w:lang w:eastAsia="en-AU"/>
        </w:rPr>
        <w:t xml:space="preserve"> </w:t>
      </w:r>
      <w:r w:rsidR="00A776E2" w:rsidRPr="00B176CF">
        <w:rPr>
          <w:rFonts w:asciiTheme="minorHAnsi" w:hAnsiTheme="minorHAnsi" w:cs="Times New Roman"/>
          <w:snapToGrid/>
          <w:sz w:val="24"/>
          <w:szCs w:val="24"/>
          <w:lang w:eastAsia="en-AU"/>
        </w:rPr>
        <w:t>in which</w:t>
      </w:r>
      <w:r w:rsidRPr="00B176CF">
        <w:rPr>
          <w:rFonts w:asciiTheme="minorHAnsi" w:hAnsiTheme="minorHAnsi" w:cs="Times New Roman"/>
          <w:snapToGrid/>
          <w:sz w:val="24"/>
          <w:szCs w:val="24"/>
          <w:lang w:eastAsia="en-AU"/>
        </w:rPr>
        <w:t xml:space="preserve"> patients discontinued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post-transplant (having commenced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per</w:t>
      </w:r>
      <w:r w:rsidR="006B1D91" w:rsidRPr="00B176CF">
        <w:rPr>
          <w:rFonts w:asciiTheme="minorHAnsi" w:hAnsiTheme="minorHAnsi" w:cs="Times New Roman"/>
          <w:snapToGrid/>
          <w:sz w:val="24"/>
          <w:szCs w:val="24"/>
          <w:lang w:eastAsia="en-AU"/>
        </w:rPr>
        <w:t>i</w:t>
      </w:r>
      <w:r w:rsidRPr="00B176CF">
        <w:rPr>
          <w:rFonts w:asciiTheme="minorHAnsi" w:hAnsiTheme="minorHAnsi" w:cs="Times New Roman"/>
          <w:snapToGrid/>
          <w:sz w:val="24"/>
          <w:szCs w:val="24"/>
          <w:lang w:eastAsia="en-AU"/>
        </w:rPr>
        <w:t>-transplant), two of which were new</w:t>
      </w:r>
      <w:r w:rsidR="006B1D91" w:rsidRPr="00B176CF">
        <w:rPr>
          <w:rFonts w:asciiTheme="minorHAnsi" w:hAnsiTheme="minorHAnsi" w:cs="Times New Roman"/>
          <w:snapToGrid/>
          <w:sz w:val="24"/>
          <w:szCs w:val="24"/>
          <w:lang w:eastAsia="en-AU"/>
        </w:rPr>
        <w:t>: Krishnan 2017 and Levi 2017</w:t>
      </w:r>
      <w:r w:rsidRPr="00B176CF">
        <w:rPr>
          <w:rFonts w:asciiTheme="minorHAnsi" w:hAnsiTheme="minorHAnsi" w:cs="Times New Roman"/>
          <w:snapToGrid/>
          <w:sz w:val="24"/>
          <w:szCs w:val="24"/>
          <w:lang w:eastAsia="en-AU"/>
        </w:rPr>
        <w:t>. The outcomes are summarised in the table below</w:t>
      </w:r>
      <w:r w:rsidR="002B15D5" w:rsidRPr="00B176CF">
        <w:rPr>
          <w:rFonts w:asciiTheme="minorHAnsi" w:hAnsiTheme="minorHAnsi" w:cs="Times New Roman"/>
          <w:snapToGrid/>
          <w:sz w:val="24"/>
          <w:szCs w:val="24"/>
          <w:lang w:eastAsia="en-AU"/>
        </w:rPr>
        <w:t>, with the previously seen studies shaded grey</w:t>
      </w:r>
      <w:r w:rsidRPr="00B176CF">
        <w:rPr>
          <w:rFonts w:asciiTheme="minorHAnsi" w:hAnsiTheme="minorHAnsi" w:cs="Times New Roman"/>
          <w:snapToGrid/>
          <w:sz w:val="24"/>
          <w:szCs w:val="24"/>
          <w:lang w:eastAsia="en-AU"/>
        </w:rPr>
        <w:t xml:space="preserve">. </w:t>
      </w:r>
      <w:r w:rsidR="00A776E2" w:rsidRPr="00B176CF">
        <w:rPr>
          <w:rFonts w:asciiTheme="minorHAnsi" w:hAnsiTheme="minorHAnsi" w:cs="Times New Roman"/>
          <w:snapToGrid/>
          <w:sz w:val="24"/>
          <w:szCs w:val="24"/>
          <w:lang w:eastAsia="en-AU"/>
        </w:rPr>
        <w:t xml:space="preserve">The </w:t>
      </w:r>
      <w:r w:rsidR="00A776E2" w:rsidRPr="00B176CF">
        <w:rPr>
          <w:rFonts w:asciiTheme="minorHAnsi" w:hAnsiTheme="minorHAnsi" w:cs="Times New Roman"/>
          <w:snapToGrid/>
          <w:sz w:val="24"/>
          <w:szCs w:val="24"/>
          <w:lang w:eastAsia="en-AU"/>
        </w:rPr>
        <w:lastRenderedPageBreak/>
        <w:t>reasons for discontinuation were not known in most cases. The resubmission stated that there w</w:t>
      </w:r>
      <w:r w:rsidR="00837F05" w:rsidRPr="00B176CF">
        <w:rPr>
          <w:rFonts w:asciiTheme="minorHAnsi" w:hAnsiTheme="minorHAnsi" w:cs="Times New Roman"/>
          <w:snapToGrid/>
          <w:sz w:val="24"/>
          <w:szCs w:val="24"/>
          <w:lang w:eastAsia="en-AU"/>
        </w:rPr>
        <w:t>ere</w:t>
      </w:r>
      <w:r w:rsidR="00A776E2" w:rsidRPr="00B176CF">
        <w:rPr>
          <w:rFonts w:asciiTheme="minorHAnsi" w:hAnsiTheme="minorHAnsi" w:cs="Times New Roman"/>
          <w:snapToGrid/>
          <w:sz w:val="24"/>
          <w:szCs w:val="24"/>
          <w:lang w:eastAsia="en-AU"/>
        </w:rPr>
        <w:t xml:space="preserve"> a high proportion of donations from living donors, which tend to be associated with superior outcomes.</w:t>
      </w:r>
    </w:p>
    <w:p w:rsidR="00250FC1" w:rsidRPr="00B176CF" w:rsidRDefault="00250FC1" w:rsidP="00FF1DD5">
      <w:pPr>
        <w:keepNext/>
        <w:keepLines/>
        <w:rPr>
          <w:rFonts w:ascii="Arial Narrow" w:hAnsi="Arial Narrow"/>
          <w:b/>
          <w:sz w:val="20"/>
          <w:szCs w:val="20"/>
        </w:rPr>
      </w:pPr>
      <w:r w:rsidRPr="00B176CF">
        <w:rPr>
          <w:rFonts w:ascii="Arial Narrow" w:hAnsi="Arial Narrow"/>
          <w:b/>
          <w:sz w:val="20"/>
          <w:szCs w:val="20"/>
        </w:rPr>
        <w:t>Table</w:t>
      </w:r>
      <w:r w:rsidR="008D4FF6" w:rsidRPr="00B176CF">
        <w:rPr>
          <w:rFonts w:ascii="Arial Narrow" w:hAnsi="Arial Narrow"/>
          <w:b/>
          <w:sz w:val="20"/>
          <w:szCs w:val="20"/>
        </w:rPr>
        <w:t xml:space="preserve"> 4</w:t>
      </w:r>
      <w:r w:rsidRPr="00B176CF">
        <w:rPr>
          <w:rFonts w:ascii="Arial Narrow" w:hAnsi="Arial Narrow"/>
          <w:b/>
          <w:sz w:val="20"/>
          <w:szCs w:val="20"/>
        </w:rPr>
        <w:t xml:space="preserve">: Summary of evidence without sustained long-term </w:t>
      </w:r>
      <w:proofErr w:type="spellStart"/>
      <w:r w:rsidRPr="00B176CF">
        <w:rPr>
          <w:rFonts w:ascii="Arial Narrow" w:hAnsi="Arial Narrow"/>
          <w:b/>
          <w:sz w:val="20"/>
          <w:szCs w:val="20"/>
        </w:rPr>
        <w:t>eculizumab</w:t>
      </w:r>
      <w:proofErr w:type="spellEnd"/>
      <w:r w:rsidRPr="00B176CF">
        <w:rPr>
          <w:rFonts w:ascii="Arial Narrow" w:hAnsi="Arial Narrow"/>
          <w:b/>
          <w:sz w:val="20"/>
          <w:szCs w:val="20"/>
        </w:rPr>
        <w:t xml:space="preserve"> post-transplant (in patients commenced peri-transplant)</w:t>
      </w:r>
    </w:p>
    <w:tbl>
      <w:tblPr>
        <w:tblStyle w:val="TableGrid"/>
        <w:tblW w:w="5000" w:type="pct"/>
        <w:tblLayout w:type="fixed"/>
        <w:tblLook w:val="04A0" w:firstRow="1" w:lastRow="0" w:firstColumn="1" w:lastColumn="0" w:noHBand="0" w:noVBand="1"/>
        <w:tblCaption w:val="Table 4: Summary of evidence without sustained long-term eculizumab post-transplant (in patients commenced peri-transplant)"/>
      </w:tblPr>
      <w:tblGrid>
        <w:gridCol w:w="994"/>
        <w:gridCol w:w="388"/>
        <w:gridCol w:w="993"/>
        <w:gridCol w:w="993"/>
        <w:gridCol w:w="1421"/>
        <w:gridCol w:w="1414"/>
        <w:gridCol w:w="3039"/>
      </w:tblGrid>
      <w:tr w:rsidR="00174901" w:rsidRPr="00B176CF" w:rsidTr="00C85FB5">
        <w:trPr>
          <w:tblHeader/>
        </w:trPr>
        <w:tc>
          <w:tcPr>
            <w:tcW w:w="538" w:type="pct"/>
          </w:tcPr>
          <w:p w:rsidR="00A776E2" w:rsidRPr="00B176CF" w:rsidRDefault="00A776E2" w:rsidP="00FF1DD5">
            <w:pPr>
              <w:keepNext/>
              <w:keepLines/>
              <w:rPr>
                <w:rFonts w:ascii="Arial Narrow" w:hAnsi="Arial Narrow" w:cs="Arial"/>
                <w:bCs/>
                <w:color w:val="000000"/>
                <w:sz w:val="20"/>
                <w:szCs w:val="20"/>
                <w:lang w:val="en-US"/>
              </w:rPr>
            </w:pPr>
          </w:p>
        </w:tc>
        <w:tc>
          <w:tcPr>
            <w:tcW w:w="210" w:type="pct"/>
            <w:vAlign w:val="center"/>
          </w:tcPr>
          <w:p w:rsidR="00A776E2" w:rsidRPr="00B176CF" w:rsidRDefault="00A776E2" w:rsidP="00FF1DD5">
            <w:pPr>
              <w:keepNext/>
              <w:keepLines/>
              <w:rPr>
                <w:rFonts w:ascii="Arial Narrow" w:hAnsi="Arial Narrow" w:cs="Arial"/>
                <w:b/>
                <w:bCs/>
                <w:color w:val="000000"/>
                <w:sz w:val="20"/>
                <w:szCs w:val="20"/>
                <w:lang w:val="en-US"/>
              </w:rPr>
            </w:pPr>
            <w:r w:rsidRPr="00B176CF">
              <w:rPr>
                <w:rFonts w:ascii="Arial Narrow" w:hAnsi="Arial Narrow" w:cs="Arial"/>
                <w:b/>
                <w:bCs/>
                <w:color w:val="000000"/>
                <w:sz w:val="20"/>
                <w:szCs w:val="20"/>
                <w:lang w:val="en-US"/>
              </w:rPr>
              <w:t>n</w:t>
            </w:r>
          </w:p>
        </w:tc>
        <w:tc>
          <w:tcPr>
            <w:tcW w:w="537" w:type="pct"/>
          </w:tcPr>
          <w:p w:rsidR="00A776E2" w:rsidRPr="00B176CF" w:rsidRDefault="00A776E2" w:rsidP="00FF1DD5">
            <w:pPr>
              <w:keepNext/>
              <w:keepLines/>
              <w:rPr>
                <w:rFonts w:ascii="Arial Narrow" w:hAnsi="Arial Narrow" w:cs="Arial"/>
                <w:b/>
                <w:bCs/>
                <w:color w:val="000000"/>
                <w:sz w:val="20"/>
                <w:szCs w:val="20"/>
                <w:lang w:val="en-US"/>
              </w:rPr>
            </w:pPr>
            <w:r w:rsidRPr="00B176CF">
              <w:rPr>
                <w:rFonts w:ascii="Arial Narrow" w:hAnsi="Arial Narrow" w:cs="Arial"/>
                <w:b/>
                <w:bCs/>
                <w:color w:val="000000"/>
                <w:sz w:val="20"/>
                <w:szCs w:val="20"/>
                <w:lang w:val="en-US"/>
              </w:rPr>
              <w:t>mutation</w:t>
            </w:r>
          </w:p>
        </w:tc>
        <w:tc>
          <w:tcPr>
            <w:tcW w:w="537" w:type="pct"/>
          </w:tcPr>
          <w:p w:rsidR="00A776E2" w:rsidRPr="00B176CF" w:rsidRDefault="00A776E2" w:rsidP="00FF1DD5">
            <w:pPr>
              <w:keepNext/>
              <w:keepLines/>
              <w:rPr>
                <w:rFonts w:ascii="Arial Narrow" w:hAnsi="Arial Narrow" w:cs="Arial"/>
                <w:b/>
                <w:bCs/>
                <w:color w:val="000000"/>
                <w:sz w:val="20"/>
                <w:szCs w:val="20"/>
                <w:lang w:val="en-US"/>
              </w:rPr>
            </w:pPr>
            <w:r w:rsidRPr="00B176CF">
              <w:rPr>
                <w:rFonts w:ascii="Arial Narrow" w:hAnsi="Arial Narrow" w:cs="Arial"/>
                <w:b/>
                <w:bCs/>
                <w:color w:val="000000"/>
                <w:sz w:val="20"/>
                <w:szCs w:val="20"/>
                <w:lang w:val="en-US"/>
              </w:rPr>
              <w:t>Graft donor</w:t>
            </w:r>
          </w:p>
        </w:tc>
        <w:tc>
          <w:tcPr>
            <w:tcW w:w="769" w:type="pct"/>
          </w:tcPr>
          <w:p w:rsidR="00A776E2" w:rsidRPr="00B176CF" w:rsidRDefault="00A776E2" w:rsidP="00FF1DD5">
            <w:pPr>
              <w:keepNext/>
              <w:keepLines/>
              <w:rPr>
                <w:rFonts w:ascii="Arial Narrow" w:hAnsi="Arial Narrow" w:cs="Arial"/>
                <w:b/>
                <w:bCs/>
                <w:color w:val="000000"/>
                <w:sz w:val="20"/>
                <w:szCs w:val="20"/>
                <w:lang w:val="en-US"/>
              </w:rPr>
            </w:pPr>
            <w:r w:rsidRPr="00B176CF">
              <w:rPr>
                <w:rFonts w:ascii="Arial Narrow" w:hAnsi="Arial Narrow" w:cs="Arial"/>
                <w:b/>
                <w:bCs/>
                <w:color w:val="000000"/>
                <w:sz w:val="20"/>
                <w:szCs w:val="20"/>
                <w:lang w:val="en-US"/>
              </w:rPr>
              <w:t xml:space="preserve">Duration of </w:t>
            </w:r>
            <w:proofErr w:type="spellStart"/>
            <w:r w:rsidRPr="00B176CF">
              <w:rPr>
                <w:rFonts w:ascii="Arial Narrow" w:hAnsi="Arial Narrow" w:cs="Arial"/>
                <w:b/>
                <w:bCs/>
                <w:color w:val="000000"/>
                <w:sz w:val="20"/>
                <w:szCs w:val="20"/>
                <w:lang w:val="en-US"/>
              </w:rPr>
              <w:t>ecu</w:t>
            </w:r>
            <w:proofErr w:type="spellEnd"/>
            <w:r w:rsidRPr="00B176CF">
              <w:rPr>
                <w:rFonts w:ascii="Arial Narrow" w:hAnsi="Arial Narrow" w:cs="Arial"/>
                <w:b/>
                <w:bCs/>
                <w:color w:val="000000"/>
                <w:sz w:val="20"/>
                <w:szCs w:val="20"/>
                <w:lang w:val="en-US"/>
              </w:rPr>
              <w:t xml:space="preserve"> post-transplant</w:t>
            </w:r>
          </w:p>
        </w:tc>
        <w:tc>
          <w:tcPr>
            <w:tcW w:w="765" w:type="pct"/>
          </w:tcPr>
          <w:p w:rsidR="00A776E2" w:rsidRPr="00B176CF" w:rsidRDefault="00A776E2" w:rsidP="00174901">
            <w:pPr>
              <w:keepNext/>
              <w:keepLines/>
              <w:rPr>
                <w:rFonts w:ascii="Arial Narrow" w:hAnsi="Arial Narrow" w:cs="Arial"/>
                <w:b/>
                <w:bCs/>
                <w:color w:val="000000"/>
                <w:sz w:val="20"/>
                <w:szCs w:val="20"/>
                <w:lang w:val="en-US"/>
              </w:rPr>
            </w:pPr>
            <w:r w:rsidRPr="00B176CF">
              <w:rPr>
                <w:rFonts w:ascii="Arial Narrow" w:hAnsi="Arial Narrow" w:cs="Arial"/>
                <w:b/>
                <w:bCs/>
                <w:color w:val="000000"/>
                <w:sz w:val="20"/>
                <w:szCs w:val="20"/>
                <w:lang w:val="en-US"/>
              </w:rPr>
              <w:t>Reason for discontinu</w:t>
            </w:r>
            <w:r w:rsidR="00174901" w:rsidRPr="00B176CF">
              <w:rPr>
                <w:rFonts w:ascii="Arial Narrow" w:hAnsi="Arial Narrow" w:cs="Arial"/>
                <w:b/>
                <w:bCs/>
                <w:color w:val="000000"/>
                <w:sz w:val="20"/>
                <w:szCs w:val="20"/>
                <w:lang w:val="en-US"/>
              </w:rPr>
              <w:t>ing</w:t>
            </w:r>
          </w:p>
        </w:tc>
        <w:tc>
          <w:tcPr>
            <w:tcW w:w="1644" w:type="pct"/>
            <w:vAlign w:val="center"/>
          </w:tcPr>
          <w:p w:rsidR="00A776E2" w:rsidRPr="00B176CF" w:rsidRDefault="00A776E2" w:rsidP="00FF1DD5">
            <w:pPr>
              <w:keepNext/>
              <w:keepLines/>
              <w:rPr>
                <w:rFonts w:ascii="Arial Narrow" w:hAnsi="Arial Narrow" w:cs="Arial"/>
                <w:b/>
                <w:bCs/>
                <w:color w:val="000000"/>
                <w:sz w:val="20"/>
                <w:szCs w:val="20"/>
                <w:lang w:val="en-US"/>
              </w:rPr>
            </w:pPr>
            <w:r w:rsidRPr="00B176CF">
              <w:rPr>
                <w:rFonts w:ascii="Arial Narrow" w:hAnsi="Arial Narrow" w:cs="Arial"/>
                <w:b/>
                <w:bCs/>
                <w:color w:val="000000"/>
                <w:sz w:val="20"/>
                <w:szCs w:val="20"/>
                <w:lang w:val="en-US"/>
              </w:rPr>
              <w:t>Outcome</w:t>
            </w:r>
          </w:p>
        </w:tc>
      </w:tr>
      <w:tr w:rsidR="00174901" w:rsidRPr="00B176CF" w:rsidTr="00174901">
        <w:tc>
          <w:tcPr>
            <w:tcW w:w="538" w:type="pct"/>
            <w:shd w:val="clear" w:color="auto" w:fill="FFFFFF" w:themeFill="background1"/>
            <w:vAlign w:val="center"/>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Krishnan 2017</w:t>
            </w:r>
          </w:p>
        </w:tc>
        <w:tc>
          <w:tcPr>
            <w:tcW w:w="210" w:type="pct"/>
            <w:shd w:val="clear" w:color="auto" w:fill="FFFFFF" w:themeFill="background1"/>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1</w:t>
            </w:r>
          </w:p>
        </w:tc>
        <w:tc>
          <w:tcPr>
            <w:tcW w:w="537" w:type="pct"/>
            <w:shd w:val="clear" w:color="auto" w:fill="FFFFFF" w:themeFill="background1"/>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CFH</w:t>
            </w:r>
          </w:p>
        </w:tc>
        <w:tc>
          <w:tcPr>
            <w:tcW w:w="537" w:type="pct"/>
            <w:shd w:val="clear" w:color="auto" w:fill="FFFFFF" w:themeFill="background1"/>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Living</w:t>
            </w:r>
          </w:p>
        </w:tc>
        <w:tc>
          <w:tcPr>
            <w:tcW w:w="769" w:type="pct"/>
            <w:shd w:val="clear" w:color="auto" w:fill="FFFFFF" w:themeFill="background1"/>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8 months</w:t>
            </w:r>
          </w:p>
        </w:tc>
        <w:tc>
          <w:tcPr>
            <w:tcW w:w="765" w:type="pct"/>
            <w:shd w:val="clear" w:color="auto" w:fill="FFFFFF" w:themeFill="background1"/>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Pt choice</w:t>
            </w:r>
          </w:p>
        </w:tc>
        <w:tc>
          <w:tcPr>
            <w:tcW w:w="1644" w:type="pct"/>
            <w:shd w:val="clear" w:color="auto" w:fill="FFFFFF" w:themeFill="background1"/>
            <w:vAlign w:val="center"/>
          </w:tcPr>
          <w:p w:rsidR="00A776E2" w:rsidRPr="00B176CF" w:rsidRDefault="00A776E2" w:rsidP="004E3AE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 xml:space="preserve">Graft deterioration 5 months after </w:t>
            </w:r>
            <w:proofErr w:type="spellStart"/>
            <w:r w:rsidRPr="00B176CF">
              <w:rPr>
                <w:rFonts w:ascii="Arial Narrow" w:hAnsi="Arial Narrow" w:cs="Arial"/>
                <w:bCs/>
                <w:color w:val="000000"/>
                <w:sz w:val="20"/>
                <w:szCs w:val="20"/>
                <w:lang w:val="en-US"/>
              </w:rPr>
              <w:t>ecu</w:t>
            </w:r>
            <w:proofErr w:type="spellEnd"/>
            <w:r w:rsidRPr="00B176CF">
              <w:rPr>
                <w:rFonts w:ascii="Arial Narrow" w:hAnsi="Arial Narrow" w:cs="Arial"/>
                <w:bCs/>
                <w:color w:val="000000"/>
                <w:sz w:val="20"/>
                <w:szCs w:val="20"/>
                <w:lang w:val="en-US"/>
              </w:rPr>
              <w:t xml:space="preserve"> was ceased. Re-initiated </w:t>
            </w:r>
            <w:proofErr w:type="spellStart"/>
            <w:r w:rsidRPr="00B176CF">
              <w:rPr>
                <w:rFonts w:ascii="Arial Narrow" w:hAnsi="Arial Narrow" w:cs="Arial"/>
                <w:bCs/>
                <w:color w:val="000000"/>
                <w:sz w:val="20"/>
                <w:szCs w:val="20"/>
                <w:lang w:val="en-US"/>
              </w:rPr>
              <w:t>ecu</w:t>
            </w:r>
            <w:proofErr w:type="spellEnd"/>
            <w:r w:rsidRPr="00B176CF">
              <w:rPr>
                <w:rFonts w:ascii="Arial Narrow" w:hAnsi="Arial Narrow" w:cs="Arial"/>
                <w:bCs/>
                <w:color w:val="000000"/>
                <w:sz w:val="20"/>
                <w:szCs w:val="20"/>
                <w:lang w:val="en-US"/>
              </w:rPr>
              <w:t xml:space="preserve">. Serum </w:t>
            </w:r>
            <w:proofErr w:type="spellStart"/>
            <w:r w:rsidRPr="00B176CF">
              <w:rPr>
                <w:rFonts w:ascii="Arial Narrow" w:hAnsi="Arial Narrow" w:cs="Arial"/>
                <w:bCs/>
                <w:color w:val="000000"/>
                <w:sz w:val="20"/>
                <w:szCs w:val="20"/>
                <w:lang w:val="en-US"/>
              </w:rPr>
              <w:t>creatitine</w:t>
            </w:r>
            <w:proofErr w:type="spellEnd"/>
            <w:r w:rsidRPr="00B176CF">
              <w:rPr>
                <w:rFonts w:ascii="Arial Narrow" w:hAnsi="Arial Narrow" w:cs="Arial"/>
                <w:bCs/>
                <w:color w:val="000000"/>
                <w:sz w:val="20"/>
                <w:szCs w:val="20"/>
                <w:lang w:val="en-US"/>
              </w:rPr>
              <w:t xml:space="preserve"> </w:t>
            </w:r>
            <w:r w:rsidR="004E3AE7" w:rsidRPr="00B176CF">
              <w:rPr>
                <w:rFonts w:ascii="Arial Narrow" w:hAnsi="Arial Narrow" w:cs="Arial"/>
                <w:bCs/>
                <w:color w:val="000000"/>
                <w:sz w:val="20"/>
                <w:szCs w:val="20"/>
                <w:lang w:val="en-US"/>
              </w:rPr>
              <w:t>returned to baseline</w:t>
            </w:r>
            <w:r w:rsidRPr="00B176CF">
              <w:rPr>
                <w:rFonts w:ascii="Arial Narrow" w:hAnsi="Arial Narrow" w:cs="Arial"/>
                <w:bCs/>
                <w:color w:val="000000"/>
                <w:sz w:val="20"/>
                <w:szCs w:val="20"/>
                <w:lang w:val="en-US"/>
              </w:rPr>
              <w:t xml:space="preserve"> one month post re-initiation of </w:t>
            </w:r>
            <w:proofErr w:type="spellStart"/>
            <w:r w:rsidRPr="00B176CF">
              <w:rPr>
                <w:rFonts w:ascii="Arial Narrow" w:hAnsi="Arial Narrow" w:cs="Arial"/>
                <w:bCs/>
                <w:color w:val="000000"/>
                <w:sz w:val="20"/>
                <w:szCs w:val="20"/>
                <w:lang w:val="en-US"/>
              </w:rPr>
              <w:t>ecu</w:t>
            </w:r>
            <w:proofErr w:type="spellEnd"/>
            <w:r w:rsidR="00174901" w:rsidRPr="00B176CF">
              <w:rPr>
                <w:rFonts w:ascii="Arial Narrow" w:hAnsi="Arial Narrow" w:cs="Arial"/>
                <w:bCs/>
                <w:color w:val="000000"/>
                <w:sz w:val="20"/>
                <w:szCs w:val="20"/>
                <w:lang w:val="en-US"/>
              </w:rPr>
              <w:t>.</w:t>
            </w:r>
          </w:p>
        </w:tc>
      </w:tr>
      <w:tr w:rsidR="00174901" w:rsidRPr="00B176CF" w:rsidTr="00174901">
        <w:tc>
          <w:tcPr>
            <w:tcW w:w="538" w:type="pct"/>
            <w:shd w:val="clear" w:color="auto" w:fill="FFFFFF" w:themeFill="background1"/>
            <w:vAlign w:val="center"/>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Levi 2017</w:t>
            </w:r>
          </w:p>
        </w:tc>
        <w:tc>
          <w:tcPr>
            <w:tcW w:w="210" w:type="pct"/>
            <w:shd w:val="clear" w:color="auto" w:fill="FFFFFF" w:themeFill="background1"/>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1</w:t>
            </w:r>
          </w:p>
        </w:tc>
        <w:tc>
          <w:tcPr>
            <w:tcW w:w="537" w:type="pct"/>
            <w:shd w:val="clear" w:color="auto" w:fill="FFFFFF" w:themeFill="background1"/>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Unknown</w:t>
            </w:r>
          </w:p>
        </w:tc>
        <w:tc>
          <w:tcPr>
            <w:tcW w:w="537" w:type="pct"/>
            <w:shd w:val="clear" w:color="auto" w:fill="FFFFFF" w:themeFill="background1"/>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Deceased</w:t>
            </w:r>
          </w:p>
        </w:tc>
        <w:tc>
          <w:tcPr>
            <w:tcW w:w="769" w:type="pct"/>
            <w:shd w:val="clear" w:color="auto" w:fill="FFFFFF" w:themeFill="background1"/>
          </w:tcPr>
          <w:p w:rsidR="00A776E2" w:rsidRPr="00B176CF" w:rsidRDefault="00A776E2" w:rsidP="00FF1DD5">
            <w:pPr>
              <w:keepNext/>
              <w:keepLines/>
              <w:rPr>
                <w:rFonts w:ascii="Arial Narrow" w:hAnsi="Arial Narrow" w:cs="Arial"/>
                <w:bCs/>
                <w:color w:val="000000"/>
                <w:sz w:val="20"/>
                <w:szCs w:val="20"/>
                <w:vertAlign w:val="superscript"/>
                <w:lang w:val="en-US"/>
              </w:rPr>
            </w:pPr>
            <w:r w:rsidRPr="00B176CF">
              <w:rPr>
                <w:rFonts w:ascii="Arial Narrow" w:hAnsi="Arial Narrow" w:cs="Arial"/>
                <w:bCs/>
                <w:color w:val="000000"/>
                <w:sz w:val="20"/>
                <w:szCs w:val="20"/>
                <w:lang w:val="en-US"/>
              </w:rPr>
              <w:t xml:space="preserve">29 months </w:t>
            </w:r>
            <w:r w:rsidRPr="00B176CF">
              <w:rPr>
                <w:rFonts w:ascii="Arial Narrow" w:hAnsi="Arial Narrow" w:cs="Arial"/>
                <w:bCs/>
                <w:color w:val="000000"/>
                <w:sz w:val="20"/>
                <w:szCs w:val="20"/>
                <w:vertAlign w:val="superscript"/>
                <w:lang w:val="en-US"/>
              </w:rPr>
              <w:t>a</w:t>
            </w:r>
          </w:p>
        </w:tc>
        <w:tc>
          <w:tcPr>
            <w:tcW w:w="765" w:type="pct"/>
            <w:shd w:val="clear" w:color="auto" w:fill="FFFFFF" w:themeFill="background1"/>
          </w:tcPr>
          <w:p w:rsidR="00A776E2" w:rsidRPr="00B176CF" w:rsidRDefault="002B15D5"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NR</w:t>
            </w:r>
          </w:p>
        </w:tc>
        <w:tc>
          <w:tcPr>
            <w:tcW w:w="1644" w:type="pct"/>
            <w:shd w:val="clear" w:color="auto" w:fill="FFFFFF" w:themeFill="background1"/>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No signs of TMA after 9 months.</w:t>
            </w:r>
          </w:p>
        </w:tc>
      </w:tr>
      <w:tr w:rsidR="00174901" w:rsidRPr="00B176CF" w:rsidTr="00174901">
        <w:tc>
          <w:tcPr>
            <w:tcW w:w="538" w:type="pct"/>
            <w:shd w:val="clear" w:color="auto" w:fill="D9D9D9" w:themeFill="background1" w:themeFillShade="D9"/>
            <w:vAlign w:val="center"/>
          </w:tcPr>
          <w:p w:rsidR="00A776E2" w:rsidRPr="00B176CF" w:rsidRDefault="00A776E2" w:rsidP="00FF1DD5">
            <w:pPr>
              <w:keepNext/>
              <w:keepLines/>
              <w:rPr>
                <w:rFonts w:ascii="Arial Narrow" w:hAnsi="Arial Narrow" w:cs="Arial"/>
                <w:bCs/>
                <w:color w:val="000000"/>
                <w:sz w:val="20"/>
                <w:szCs w:val="20"/>
                <w:lang w:val="en-US"/>
              </w:rPr>
            </w:pPr>
            <w:proofErr w:type="spellStart"/>
            <w:r w:rsidRPr="00B176CF">
              <w:rPr>
                <w:rFonts w:ascii="Arial Narrow" w:hAnsi="Arial Narrow" w:cs="Arial"/>
                <w:bCs/>
                <w:color w:val="000000"/>
                <w:sz w:val="20"/>
                <w:szCs w:val="20"/>
                <w:lang w:val="en-US"/>
              </w:rPr>
              <w:t>Ardissino</w:t>
            </w:r>
            <w:proofErr w:type="spellEnd"/>
            <w:r w:rsidRPr="00B176CF">
              <w:rPr>
                <w:rFonts w:ascii="Arial Narrow" w:hAnsi="Arial Narrow" w:cs="Arial"/>
                <w:bCs/>
                <w:color w:val="000000"/>
                <w:sz w:val="20"/>
                <w:szCs w:val="20"/>
                <w:lang w:val="en-US"/>
              </w:rPr>
              <w:t xml:space="preserve"> 2016</w:t>
            </w:r>
          </w:p>
        </w:tc>
        <w:tc>
          <w:tcPr>
            <w:tcW w:w="210" w:type="pct"/>
            <w:shd w:val="clear" w:color="auto" w:fill="D9D9D9" w:themeFill="background1" w:themeFillShade="D9"/>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1</w:t>
            </w:r>
          </w:p>
        </w:tc>
        <w:tc>
          <w:tcPr>
            <w:tcW w:w="537" w:type="pct"/>
            <w:shd w:val="clear" w:color="auto" w:fill="D9D9D9" w:themeFill="background1" w:themeFillShade="D9"/>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Anti-CFH antibody</w:t>
            </w:r>
          </w:p>
        </w:tc>
        <w:tc>
          <w:tcPr>
            <w:tcW w:w="537" w:type="pct"/>
            <w:shd w:val="clear" w:color="auto" w:fill="D9D9D9" w:themeFill="background1" w:themeFillShade="D9"/>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NR</w:t>
            </w:r>
          </w:p>
        </w:tc>
        <w:tc>
          <w:tcPr>
            <w:tcW w:w="769" w:type="pct"/>
            <w:shd w:val="clear" w:color="auto" w:fill="D9D9D9" w:themeFill="background1" w:themeFillShade="D9"/>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5.5 months</w:t>
            </w:r>
          </w:p>
        </w:tc>
        <w:tc>
          <w:tcPr>
            <w:tcW w:w="765" w:type="pct"/>
            <w:shd w:val="clear" w:color="auto" w:fill="D9D9D9" w:themeFill="background1" w:themeFillShade="D9"/>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Antibody no longer detected</w:t>
            </w:r>
          </w:p>
        </w:tc>
        <w:tc>
          <w:tcPr>
            <w:tcW w:w="1644" w:type="pct"/>
            <w:shd w:val="clear" w:color="auto" w:fill="D9D9D9" w:themeFill="background1" w:themeFillShade="D9"/>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Satisfactory graft function at 52 months follow-up</w:t>
            </w:r>
          </w:p>
        </w:tc>
      </w:tr>
      <w:tr w:rsidR="00174901" w:rsidRPr="00B176CF" w:rsidTr="00174901">
        <w:tc>
          <w:tcPr>
            <w:tcW w:w="538" w:type="pct"/>
            <w:shd w:val="clear" w:color="auto" w:fill="D9D9D9" w:themeFill="background1" w:themeFillShade="D9"/>
            <w:vAlign w:val="center"/>
          </w:tcPr>
          <w:p w:rsidR="00A776E2" w:rsidRPr="00B176CF" w:rsidRDefault="00A776E2" w:rsidP="00FF1DD5">
            <w:pPr>
              <w:keepNext/>
              <w:keepLines/>
              <w:rPr>
                <w:rFonts w:ascii="Arial Narrow" w:hAnsi="Arial Narrow" w:cs="Arial"/>
                <w:bCs/>
                <w:color w:val="000000"/>
                <w:sz w:val="20"/>
                <w:szCs w:val="20"/>
                <w:lang w:val="en-US"/>
              </w:rPr>
            </w:pPr>
            <w:proofErr w:type="spellStart"/>
            <w:r w:rsidRPr="00B176CF">
              <w:rPr>
                <w:rFonts w:ascii="Arial Narrow" w:hAnsi="Arial Narrow" w:cs="Arial"/>
                <w:bCs/>
                <w:color w:val="000000"/>
                <w:sz w:val="20"/>
                <w:szCs w:val="20"/>
                <w:lang w:val="en-US"/>
              </w:rPr>
              <w:t>Coppo</w:t>
            </w:r>
            <w:proofErr w:type="spellEnd"/>
            <w:r w:rsidRPr="00B176CF">
              <w:rPr>
                <w:rFonts w:ascii="Arial Narrow" w:hAnsi="Arial Narrow" w:cs="Arial"/>
                <w:bCs/>
                <w:color w:val="000000"/>
                <w:sz w:val="20"/>
                <w:szCs w:val="20"/>
                <w:lang w:val="en-US"/>
              </w:rPr>
              <w:t xml:space="preserve"> 2015</w:t>
            </w:r>
          </w:p>
        </w:tc>
        <w:tc>
          <w:tcPr>
            <w:tcW w:w="210" w:type="pct"/>
            <w:shd w:val="clear" w:color="auto" w:fill="D9D9D9" w:themeFill="background1" w:themeFillShade="D9"/>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1</w:t>
            </w:r>
          </w:p>
        </w:tc>
        <w:tc>
          <w:tcPr>
            <w:tcW w:w="537" w:type="pct"/>
            <w:shd w:val="clear" w:color="auto" w:fill="D9D9D9" w:themeFill="background1" w:themeFillShade="D9"/>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CFH</w:t>
            </w:r>
          </w:p>
        </w:tc>
        <w:tc>
          <w:tcPr>
            <w:tcW w:w="537" w:type="pct"/>
            <w:shd w:val="clear" w:color="auto" w:fill="D9D9D9" w:themeFill="background1" w:themeFillShade="D9"/>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Deceased</w:t>
            </w:r>
          </w:p>
        </w:tc>
        <w:tc>
          <w:tcPr>
            <w:tcW w:w="769" w:type="pct"/>
            <w:shd w:val="clear" w:color="auto" w:fill="D9D9D9" w:themeFill="background1" w:themeFillShade="D9"/>
          </w:tcPr>
          <w:p w:rsidR="00A776E2" w:rsidRPr="00B176CF" w:rsidRDefault="00A776E2" w:rsidP="00FF1DD5">
            <w:pPr>
              <w:keepNext/>
              <w:keepLines/>
              <w:rPr>
                <w:rFonts w:ascii="Arial Narrow" w:hAnsi="Arial Narrow" w:cs="Arial"/>
                <w:bCs/>
                <w:color w:val="000000"/>
                <w:sz w:val="20"/>
                <w:szCs w:val="20"/>
                <w:vertAlign w:val="superscript"/>
                <w:lang w:val="en-US"/>
              </w:rPr>
            </w:pPr>
            <w:r w:rsidRPr="00B176CF">
              <w:rPr>
                <w:rFonts w:ascii="Arial Narrow" w:hAnsi="Arial Narrow" w:cs="Arial"/>
                <w:bCs/>
                <w:color w:val="000000"/>
                <w:sz w:val="20"/>
                <w:szCs w:val="20"/>
                <w:lang w:val="en-US"/>
              </w:rPr>
              <w:t xml:space="preserve">42 months </w:t>
            </w:r>
            <w:r w:rsidRPr="00B176CF">
              <w:rPr>
                <w:rFonts w:ascii="Arial Narrow" w:hAnsi="Arial Narrow" w:cs="Arial"/>
                <w:bCs/>
                <w:color w:val="000000"/>
                <w:sz w:val="20"/>
                <w:szCs w:val="20"/>
                <w:vertAlign w:val="superscript"/>
                <w:lang w:val="en-US"/>
              </w:rPr>
              <w:t>a</w:t>
            </w:r>
          </w:p>
        </w:tc>
        <w:tc>
          <w:tcPr>
            <w:tcW w:w="765" w:type="pct"/>
            <w:shd w:val="clear" w:color="auto" w:fill="D9D9D9" w:themeFill="background1" w:themeFillShade="D9"/>
          </w:tcPr>
          <w:p w:rsidR="00A776E2" w:rsidRPr="00B176CF" w:rsidRDefault="002B15D5"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NR</w:t>
            </w:r>
          </w:p>
        </w:tc>
        <w:tc>
          <w:tcPr>
            <w:tcW w:w="1644" w:type="pct"/>
            <w:shd w:val="clear" w:color="auto" w:fill="D9D9D9" w:themeFill="background1" w:themeFillShade="D9"/>
          </w:tcPr>
          <w:p w:rsidR="00A776E2" w:rsidRPr="00B176CF" w:rsidRDefault="00A776E2" w:rsidP="00174901">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No TMA after 5 months follow-up</w:t>
            </w:r>
            <w:r w:rsidR="00174901" w:rsidRPr="00B176CF">
              <w:rPr>
                <w:rFonts w:ascii="Arial Narrow" w:hAnsi="Arial Narrow" w:cs="Arial"/>
                <w:bCs/>
                <w:color w:val="000000"/>
                <w:sz w:val="20"/>
                <w:szCs w:val="20"/>
                <w:lang w:val="en-US"/>
              </w:rPr>
              <w:t xml:space="preserve">. </w:t>
            </w:r>
            <w:r w:rsidRPr="00B176CF">
              <w:rPr>
                <w:rFonts w:ascii="Arial Narrow" w:hAnsi="Arial Narrow" w:cs="Arial"/>
                <w:bCs/>
                <w:color w:val="000000"/>
                <w:sz w:val="20"/>
                <w:szCs w:val="20"/>
                <w:lang w:val="en-US"/>
              </w:rPr>
              <w:t xml:space="preserve">Pt. received a subsequent liver transplant </w:t>
            </w:r>
          </w:p>
        </w:tc>
      </w:tr>
      <w:tr w:rsidR="00174901" w:rsidRPr="00B176CF" w:rsidTr="00174901">
        <w:tc>
          <w:tcPr>
            <w:tcW w:w="538" w:type="pct"/>
            <w:shd w:val="clear" w:color="auto" w:fill="D9D9D9" w:themeFill="background1" w:themeFillShade="D9"/>
            <w:vAlign w:val="center"/>
          </w:tcPr>
          <w:p w:rsidR="00A776E2" w:rsidRPr="00B176CF" w:rsidRDefault="00A776E2" w:rsidP="00FF1DD5">
            <w:pPr>
              <w:keepNext/>
              <w:keepLines/>
              <w:rPr>
                <w:rFonts w:ascii="Arial Narrow" w:hAnsi="Arial Narrow" w:cs="Arial"/>
                <w:bCs/>
                <w:color w:val="000000"/>
                <w:sz w:val="20"/>
                <w:szCs w:val="20"/>
                <w:lang w:val="en-US"/>
              </w:rPr>
            </w:pPr>
            <w:proofErr w:type="spellStart"/>
            <w:r w:rsidRPr="00B176CF">
              <w:rPr>
                <w:rFonts w:ascii="Arial Narrow" w:hAnsi="Arial Narrow" w:cs="Arial"/>
                <w:bCs/>
                <w:color w:val="000000"/>
                <w:sz w:val="20"/>
                <w:szCs w:val="20"/>
                <w:lang w:val="en-US"/>
              </w:rPr>
              <w:t>Matar</w:t>
            </w:r>
            <w:proofErr w:type="spellEnd"/>
            <w:r w:rsidRPr="00B176CF">
              <w:rPr>
                <w:rFonts w:ascii="Arial Narrow" w:hAnsi="Arial Narrow" w:cs="Arial"/>
                <w:bCs/>
                <w:color w:val="000000"/>
                <w:sz w:val="20"/>
                <w:szCs w:val="20"/>
                <w:lang w:val="en-US"/>
              </w:rPr>
              <w:t xml:space="preserve"> 2014</w:t>
            </w:r>
          </w:p>
        </w:tc>
        <w:tc>
          <w:tcPr>
            <w:tcW w:w="210" w:type="pct"/>
            <w:shd w:val="clear" w:color="auto" w:fill="D9D9D9" w:themeFill="background1" w:themeFillShade="D9"/>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3</w:t>
            </w:r>
          </w:p>
        </w:tc>
        <w:tc>
          <w:tcPr>
            <w:tcW w:w="537" w:type="pct"/>
            <w:shd w:val="clear" w:color="auto" w:fill="D9D9D9" w:themeFill="background1" w:themeFillShade="D9"/>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No known</w:t>
            </w:r>
          </w:p>
        </w:tc>
        <w:tc>
          <w:tcPr>
            <w:tcW w:w="537" w:type="pct"/>
            <w:shd w:val="clear" w:color="auto" w:fill="D9D9D9" w:themeFill="background1" w:themeFillShade="D9"/>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Living</w:t>
            </w:r>
          </w:p>
        </w:tc>
        <w:tc>
          <w:tcPr>
            <w:tcW w:w="769" w:type="pct"/>
            <w:shd w:val="clear" w:color="auto" w:fill="D9D9D9" w:themeFill="background1" w:themeFillShade="D9"/>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6 months each</w:t>
            </w:r>
          </w:p>
        </w:tc>
        <w:tc>
          <w:tcPr>
            <w:tcW w:w="765" w:type="pct"/>
            <w:shd w:val="clear" w:color="auto" w:fill="D9D9D9" w:themeFill="background1" w:themeFillShade="D9"/>
          </w:tcPr>
          <w:p w:rsidR="00A776E2" w:rsidRPr="00B176CF" w:rsidRDefault="002B15D5"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NR</w:t>
            </w:r>
          </w:p>
        </w:tc>
        <w:tc>
          <w:tcPr>
            <w:tcW w:w="1644" w:type="pct"/>
            <w:shd w:val="clear" w:color="auto" w:fill="D9D9D9" w:themeFill="background1" w:themeFillShade="D9"/>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Functioning graft reported at 21, 26 and 34 months.</w:t>
            </w:r>
          </w:p>
        </w:tc>
      </w:tr>
      <w:tr w:rsidR="00174901" w:rsidRPr="00B176CF" w:rsidTr="00174901">
        <w:tc>
          <w:tcPr>
            <w:tcW w:w="538" w:type="pct"/>
            <w:shd w:val="clear" w:color="auto" w:fill="D9D9D9" w:themeFill="background1" w:themeFillShade="D9"/>
            <w:vAlign w:val="center"/>
          </w:tcPr>
          <w:p w:rsidR="00A776E2" w:rsidRPr="00B176CF" w:rsidRDefault="00A776E2" w:rsidP="00FF1DD5">
            <w:pPr>
              <w:keepNext/>
              <w:keepLines/>
              <w:rPr>
                <w:rFonts w:ascii="Arial Narrow" w:hAnsi="Arial Narrow" w:cs="Arial"/>
                <w:bCs/>
                <w:color w:val="000000"/>
                <w:sz w:val="20"/>
                <w:szCs w:val="20"/>
                <w:lang w:val="en-US"/>
              </w:rPr>
            </w:pPr>
            <w:proofErr w:type="spellStart"/>
            <w:r w:rsidRPr="00B176CF">
              <w:rPr>
                <w:rFonts w:ascii="Arial Narrow" w:hAnsi="Arial Narrow" w:cs="Arial"/>
                <w:bCs/>
                <w:color w:val="000000"/>
                <w:sz w:val="20"/>
                <w:szCs w:val="20"/>
                <w:lang w:val="en-US"/>
              </w:rPr>
              <w:t>Kasapoglu</w:t>
            </w:r>
            <w:proofErr w:type="spellEnd"/>
            <w:r w:rsidRPr="00B176CF">
              <w:rPr>
                <w:rFonts w:ascii="Arial Narrow" w:hAnsi="Arial Narrow" w:cs="Arial"/>
                <w:bCs/>
                <w:color w:val="000000"/>
                <w:sz w:val="20"/>
                <w:szCs w:val="20"/>
                <w:lang w:val="en-US"/>
              </w:rPr>
              <w:t xml:space="preserve"> 2015</w:t>
            </w:r>
          </w:p>
        </w:tc>
        <w:tc>
          <w:tcPr>
            <w:tcW w:w="210" w:type="pct"/>
            <w:shd w:val="clear" w:color="auto" w:fill="D9D9D9" w:themeFill="background1" w:themeFillShade="D9"/>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1</w:t>
            </w:r>
          </w:p>
        </w:tc>
        <w:tc>
          <w:tcPr>
            <w:tcW w:w="537" w:type="pct"/>
            <w:shd w:val="clear" w:color="auto" w:fill="D9D9D9" w:themeFill="background1" w:themeFillShade="D9"/>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CFH</w:t>
            </w:r>
          </w:p>
        </w:tc>
        <w:tc>
          <w:tcPr>
            <w:tcW w:w="537" w:type="pct"/>
            <w:shd w:val="clear" w:color="auto" w:fill="D9D9D9" w:themeFill="background1" w:themeFillShade="D9"/>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Living</w:t>
            </w:r>
          </w:p>
        </w:tc>
        <w:tc>
          <w:tcPr>
            <w:tcW w:w="769" w:type="pct"/>
            <w:shd w:val="clear" w:color="auto" w:fill="D9D9D9" w:themeFill="background1" w:themeFillShade="D9"/>
          </w:tcPr>
          <w:p w:rsidR="00A776E2" w:rsidRPr="00B176CF" w:rsidRDefault="00A776E2"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5 weeks</w:t>
            </w:r>
          </w:p>
        </w:tc>
        <w:tc>
          <w:tcPr>
            <w:tcW w:w="765" w:type="pct"/>
            <w:shd w:val="clear" w:color="auto" w:fill="D9D9D9" w:themeFill="background1" w:themeFillShade="D9"/>
          </w:tcPr>
          <w:p w:rsidR="00A776E2" w:rsidRPr="00B176CF" w:rsidRDefault="002B15D5" w:rsidP="00FF1DD5">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NR</w:t>
            </w:r>
          </w:p>
        </w:tc>
        <w:tc>
          <w:tcPr>
            <w:tcW w:w="1644" w:type="pct"/>
            <w:shd w:val="clear" w:color="auto" w:fill="D9D9D9" w:themeFill="background1" w:themeFillShade="D9"/>
          </w:tcPr>
          <w:p w:rsidR="00A776E2" w:rsidRPr="00B176CF" w:rsidRDefault="004E3AE7" w:rsidP="004E3AE7">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No TMA or graft dy</w:t>
            </w:r>
            <w:r w:rsidR="00A776E2" w:rsidRPr="00B176CF">
              <w:rPr>
                <w:rFonts w:ascii="Arial Narrow" w:hAnsi="Arial Narrow" w:cs="Arial"/>
                <w:bCs/>
                <w:color w:val="000000"/>
                <w:sz w:val="20"/>
                <w:szCs w:val="20"/>
                <w:lang w:val="en-US"/>
              </w:rPr>
              <w:t>sfunction reported at 12 months follow-up</w:t>
            </w:r>
          </w:p>
        </w:tc>
      </w:tr>
    </w:tbl>
    <w:p w:rsidR="00250FC1" w:rsidRPr="00B176CF" w:rsidRDefault="00250FC1" w:rsidP="00FF1DD5">
      <w:pPr>
        <w:pStyle w:val="tablenotes"/>
        <w:keepNext/>
        <w:keepLines/>
      </w:pPr>
      <w:r w:rsidRPr="00B176CF">
        <w:t>Source: t</w:t>
      </w:r>
      <w:r w:rsidR="002B15D5" w:rsidRPr="00B176CF">
        <w:t xml:space="preserve">ext pp17-18 of the resubmission; </w:t>
      </w:r>
      <w:r w:rsidRPr="00B176CF">
        <w:t xml:space="preserve">Grey = </w:t>
      </w:r>
      <w:r w:rsidR="002B15D5" w:rsidRPr="00B176CF">
        <w:t>studies that were previously</w:t>
      </w:r>
      <w:r w:rsidRPr="00B176CF">
        <w:t xml:space="preserve"> </w:t>
      </w:r>
      <w:r w:rsidR="002B15D5" w:rsidRPr="00B176CF">
        <w:t>seen</w:t>
      </w:r>
    </w:p>
    <w:p w:rsidR="002B15D5" w:rsidRPr="00B176CF" w:rsidRDefault="00701654" w:rsidP="002B15D5">
      <w:pPr>
        <w:pStyle w:val="tablenotes"/>
      </w:pPr>
      <w:r w:rsidRPr="00B176CF">
        <w:t xml:space="preserve">CFH = complement factor H; </w:t>
      </w:r>
      <w:proofErr w:type="spellStart"/>
      <w:r w:rsidR="002B15D5" w:rsidRPr="00B176CF">
        <w:t>ecu</w:t>
      </w:r>
      <w:proofErr w:type="spellEnd"/>
      <w:r w:rsidR="002B15D5" w:rsidRPr="00B176CF">
        <w:t xml:space="preserve"> </w:t>
      </w:r>
      <w:proofErr w:type="gramStart"/>
      <w:r w:rsidR="002B15D5" w:rsidRPr="00B176CF">
        <w:t xml:space="preserve">=  </w:t>
      </w:r>
      <w:proofErr w:type="spellStart"/>
      <w:r w:rsidR="002B15D5" w:rsidRPr="00B176CF">
        <w:t>eculizumab</w:t>
      </w:r>
      <w:proofErr w:type="spellEnd"/>
      <w:proofErr w:type="gramEnd"/>
      <w:r w:rsidR="002B15D5" w:rsidRPr="00B176CF">
        <w:t xml:space="preserve">; NR = not reported; </w:t>
      </w:r>
      <w:proofErr w:type="spellStart"/>
      <w:r w:rsidR="00174901" w:rsidRPr="00B176CF">
        <w:t>pt</w:t>
      </w:r>
      <w:proofErr w:type="spellEnd"/>
      <w:r w:rsidR="00174901" w:rsidRPr="00B176CF">
        <w:t xml:space="preserve"> = patient; </w:t>
      </w:r>
      <w:r w:rsidR="002B15D5" w:rsidRPr="00B176CF">
        <w:t xml:space="preserve">TMA = thrombotic </w:t>
      </w:r>
      <w:proofErr w:type="spellStart"/>
      <w:r w:rsidR="002B15D5" w:rsidRPr="00B176CF">
        <w:t>microangiopathy</w:t>
      </w:r>
      <w:proofErr w:type="spellEnd"/>
    </w:p>
    <w:p w:rsidR="00AB560D" w:rsidRPr="00B176CF" w:rsidRDefault="00AB560D" w:rsidP="00FF1DD5">
      <w:pPr>
        <w:pStyle w:val="tablenotes"/>
        <w:keepNext/>
        <w:keepLines/>
      </w:pPr>
      <w:proofErr w:type="spellStart"/>
      <w:proofErr w:type="gramStart"/>
      <w:r w:rsidRPr="00B176CF">
        <w:rPr>
          <w:vertAlign w:val="superscript"/>
        </w:rPr>
        <w:t>a</w:t>
      </w:r>
      <w:proofErr w:type="spellEnd"/>
      <w:proofErr w:type="gramEnd"/>
      <w:r w:rsidRPr="00B176CF">
        <w:t xml:space="preserve"> Unclear if all </w:t>
      </w:r>
      <w:proofErr w:type="spellStart"/>
      <w:r w:rsidRPr="00B176CF">
        <w:t>eculizumab</w:t>
      </w:r>
      <w:proofErr w:type="spellEnd"/>
      <w:r w:rsidRPr="00B176CF">
        <w:t xml:space="preserve"> therapy was post-transplant; Follow-up timeframes were unclear</w:t>
      </w:r>
    </w:p>
    <w:p w:rsidR="00174901" w:rsidRPr="00B176CF" w:rsidRDefault="00174901" w:rsidP="004E3AE7">
      <w:pPr>
        <w:pStyle w:val="ListParagraph"/>
        <w:widowControl/>
        <w:numPr>
          <w:ilvl w:val="1"/>
          <w:numId w:val="5"/>
        </w:numPr>
        <w:spacing w:after="120"/>
        <w:ind w:left="709"/>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 xml:space="preserve">A total of eight cases of patients </w:t>
      </w:r>
      <w:r w:rsidR="004E3AE7" w:rsidRPr="00B176CF">
        <w:rPr>
          <w:rFonts w:asciiTheme="minorHAnsi" w:hAnsiTheme="minorHAnsi" w:cs="Times New Roman"/>
          <w:snapToGrid/>
          <w:sz w:val="24"/>
          <w:szCs w:val="24"/>
          <w:lang w:eastAsia="en-AU"/>
        </w:rPr>
        <w:t>who discontinued</w:t>
      </w:r>
      <w:r w:rsidRPr="00B176CF">
        <w:rPr>
          <w:rFonts w:asciiTheme="minorHAnsi" w:hAnsiTheme="minorHAnsi" w:cs="Times New Roman"/>
          <w:snapToGrid/>
          <w:sz w:val="24"/>
          <w:szCs w:val="24"/>
          <w:lang w:eastAsia="en-AU"/>
        </w:rPr>
        <w:t xml:space="preserve">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post-transplant were reported. No graft loss was reported</w:t>
      </w:r>
      <w:r w:rsidR="004E3AE7" w:rsidRPr="00B176CF">
        <w:rPr>
          <w:rFonts w:asciiTheme="minorHAnsi" w:hAnsiTheme="minorHAnsi" w:cs="Times New Roman"/>
          <w:snapToGrid/>
          <w:sz w:val="24"/>
          <w:szCs w:val="24"/>
          <w:lang w:eastAsia="en-AU"/>
        </w:rPr>
        <w:t xml:space="preserve"> in any of the patients</w:t>
      </w:r>
      <w:r w:rsidRPr="00B176CF">
        <w:rPr>
          <w:rFonts w:asciiTheme="minorHAnsi" w:hAnsiTheme="minorHAnsi" w:cs="Times New Roman"/>
          <w:snapToGrid/>
          <w:sz w:val="24"/>
          <w:szCs w:val="24"/>
          <w:lang w:eastAsia="en-AU"/>
        </w:rPr>
        <w:t xml:space="preserve">. There was only one report of </w:t>
      </w:r>
      <w:proofErr w:type="spellStart"/>
      <w:r w:rsidRPr="00B176CF">
        <w:rPr>
          <w:rFonts w:asciiTheme="minorHAnsi" w:hAnsiTheme="minorHAnsi" w:cs="Times New Roman"/>
          <w:snapToGrid/>
          <w:sz w:val="24"/>
          <w:szCs w:val="24"/>
          <w:lang w:eastAsia="en-AU"/>
        </w:rPr>
        <w:t>aHUS</w:t>
      </w:r>
      <w:proofErr w:type="spellEnd"/>
      <w:r w:rsidRPr="00B176CF">
        <w:rPr>
          <w:rFonts w:asciiTheme="minorHAnsi" w:hAnsiTheme="minorHAnsi" w:cs="Times New Roman"/>
          <w:snapToGrid/>
          <w:sz w:val="24"/>
          <w:szCs w:val="24"/>
          <w:lang w:eastAsia="en-AU"/>
        </w:rPr>
        <w:t xml:space="preserve"> recurrence, which occurred five months after </w:t>
      </w:r>
      <w:proofErr w:type="spellStart"/>
      <w:r w:rsidRPr="00B176CF">
        <w:rPr>
          <w:rFonts w:asciiTheme="minorHAnsi" w:hAnsiTheme="minorHAnsi" w:cs="Times New Roman"/>
          <w:snapToGrid/>
          <w:sz w:val="24"/>
          <w:szCs w:val="24"/>
          <w:lang w:eastAsia="en-AU"/>
        </w:rPr>
        <w:t>eculizumab</w:t>
      </w:r>
      <w:proofErr w:type="spellEnd"/>
      <w:r w:rsidRPr="00B176CF">
        <w:rPr>
          <w:rFonts w:asciiTheme="minorHAnsi" w:hAnsiTheme="minorHAnsi" w:cs="Times New Roman"/>
          <w:snapToGrid/>
          <w:sz w:val="24"/>
          <w:szCs w:val="24"/>
          <w:lang w:eastAsia="en-AU"/>
        </w:rPr>
        <w:t xml:space="preserve"> was ceased (Krishnan 2017). The patient recommenced </w:t>
      </w:r>
      <w:r w:rsidR="004E3AE7" w:rsidRPr="00B176CF">
        <w:rPr>
          <w:rFonts w:asciiTheme="minorHAnsi" w:hAnsiTheme="minorHAnsi" w:cs="Times New Roman"/>
          <w:snapToGrid/>
          <w:sz w:val="24"/>
          <w:szCs w:val="24"/>
          <w:lang w:eastAsia="en-AU"/>
        </w:rPr>
        <w:t xml:space="preserve">PBS-subsidised </w:t>
      </w:r>
      <w:proofErr w:type="spellStart"/>
      <w:r w:rsidRPr="00B176CF">
        <w:rPr>
          <w:rFonts w:asciiTheme="minorHAnsi" w:hAnsiTheme="minorHAnsi" w:cs="Times New Roman"/>
          <w:snapToGrid/>
          <w:sz w:val="24"/>
          <w:szCs w:val="24"/>
          <w:lang w:eastAsia="en-AU"/>
        </w:rPr>
        <w:t>eculizumab</w:t>
      </w:r>
      <w:proofErr w:type="spellEnd"/>
      <w:r w:rsidR="004E3AE7" w:rsidRPr="00B176CF">
        <w:rPr>
          <w:rFonts w:asciiTheme="minorHAnsi" w:hAnsiTheme="minorHAnsi" w:cs="Times New Roman"/>
          <w:snapToGrid/>
          <w:sz w:val="24"/>
          <w:szCs w:val="24"/>
          <w:lang w:eastAsia="en-AU"/>
        </w:rPr>
        <w:t xml:space="preserve"> with immediate improvement in graft function. His creatinine returned to baseline within one month of the re-introduction of </w:t>
      </w:r>
      <w:proofErr w:type="spellStart"/>
      <w:r w:rsidR="004E3AE7" w:rsidRPr="00B176CF">
        <w:rPr>
          <w:rFonts w:asciiTheme="minorHAnsi" w:hAnsiTheme="minorHAnsi" w:cs="Times New Roman"/>
          <w:snapToGrid/>
          <w:sz w:val="24"/>
          <w:szCs w:val="24"/>
          <w:lang w:eastAsia="en-AU"/>
        </w:rPr>
        <w:t>eculizumab</w:t>
      </w:r>
      <w:proofErr w:type="spellEnd"/>
      <w:r w:rsidR="004E3AE7" w:rsidRPr="00B176CF">
        <w:rPr>
          <w:rFonts w:asciiTheme="minorHAnsi" w:hAnsiTheme="minorHAnsi" w:cs="Times New Roman"/>
          <w:snapToGrid/>
          <w:sz w:val="24"/>
          <w:szCs w:val="24"/>
          <w:lang w:eastAsia="en-AU"/>
        </w:rPr>
        <w:t>.</w:t>
      </w:r>
    </w:p>
    <w:p w:rsidR="00842EA6" w:rsidRPr="006C23F1" w:rsidRDefault="00E12516" w:rsidP="006C23F1">
      <w:pPr>
        <w:pStyle w:val="ListParagraph"/>
        <w:widowControl/>
        <w:numPr>
          <w:ilvl w:val="1"/>
          <w:numId w:val="5"/>
        </w:numPr>
        <w:spacing w:after="120"/>
        <w:ind w:left="709"/>
        <w:contextualSpacing w:val="0"/>
        <w:rPr>
          <w:rFonts w:asciiTheme="minorHAnsi" w:hAnsiTheme="minorHAnsi" w:cs="Times New Roman"/>
          <w:snapToGrid/>
          <w:sz w:val="24"/>
          <w:szCs w:val="24"/>
          <w:lang w:eastAsia="en-AU"/>
        </w:rPr>
      </w:pPr>
      <w:r w:rsidRPr="006C23F1">
        <w:rPr>
          <w:rFonts w:asciiTheme="minorHAnsi" w:hAnsiTheme="minorHAnsi" w:cs="Times New Roman"/>
          <w:snapToGrid/>
          <w:sz w:val="24"/>
          <w:szCs w:val="24"/>
          <w:lang w:eastAsia="en-AU"/>
        </w:rPr>
        <w:t xml:space="preserve">The registry data reported in </w:t>
      </w:r>
      <w:proofErr w:type="spellStart"/>
      <w:r w:rsidR="00701654" w:rsidRPr="006C23F1">
        <w:rPr>
          <w:rFonts w:asciiTheme="minorHAnsi" w:hAnsiTheme="minorHAnsi" w:cs="Times New Roman"/>
          <w:snapToGrid/>
          <w:sz w:val="24"/>
          <w:szCs w:val="24"/>
          <w:lang w:eastAsia="en-AU"/>
        </w:rPr>
        <w:t>Vande</w:t>
      </w:r>
      <w:proofErr w:type="spellEnd"/>
      <w:r w:rsidR="00701654" w:rsidRPr="006C23F1">
        <w:rPr>
          <w:rFonts w:asciiTheme="minorHAnsi" w:hAnsiTheme="minorHAnsi" w:cs="Times New Roman"/>
          <w:snapToGrid/>
          <w:sz w:val="24"/>
          <w:szCs w:val="24"/>
          <w:lang w:eastAsia="en-AU"/>
        </w:rPr>
        <w:t xml:space="preserve"> </w:t>
      </w:r>
      <w:proofErr w:type="spellStart"/>
      <w:r w:rsidR="00701654" w:rsidRPr="006C23F1">
        <w:rPr>
          <w:rFonts w:asciiTheme="minorHAnsi" w:hAnsiTheme="minorHAnsi" w:cs="Times New Roman"/>
          <w:snapToGrid/>
          <w:sz w:val="24"/>
          <w:szCs w:val="24"/>
          <w:lang w:eastAsia="en-AU"/>
        </w:rPr>
        <w:t>Walle</w:t>
      </w:r>
      <w:proofErr w:type="spellEnd"/>
      <w:r w:rsidR="00701654" w:rsidRPr="006C23F1">
        <w:rPr>
          <w:rFonts w:asciiTheme="minorHAnsi" w:hAnsiTheme="minorHAnsi" w:cs="Times New Roman"/>
          <w:snapToGrid/>
          <w:sz w:val="24"/>
          <w:szCs w:val="24"/>
          <w:lang w:eastAsia="en-AU"/>
        </w:rPr>
        <w:t xml:space="preserve"> 2017 </w:t>
      </w:r>
      <w:r w:rsidRPr="006C23F1">
        <w:rPr>
          <w:rFonts w:asciiTheme="minorHAnsi" w:hAnsiTheme="minorHAnsi" w:cs="Times New Roman"/>
          <w:snapToGrid/>
          <w:sz w:val="24"/>
          <w:szCs w:val="24"/>
          <w:lang w:eastAsia="en-AU"/>
        </w:rPr>
        <w:t>also included outcomes (incidence of dialysis) for p</w:t>
      </w:r>
      <w:r w:rsidR="00701654" w:rsidRPr="006C23F1">
        <w:rPr>
          <w:rFonts w:asciiTheme="minorHAnsi" w:hAnsiTheme="minorHAnsi" w:cs="Times New Roman"/>
          <w:snapToGrid/>
          <w:sz w:val="24"/>
          <w:szCs w:val="24"/>
          <w:lang w:eastAsia="en-AU"/>
        </w:rPr>
        <w:t xml:space="preserve">atients who were not maintained on “approved </w:t>
      </w:r>
      <w:proofErr w:type="spellStart"/>
      <w:r w:rsidR="00701654" w:rsidRPr="006C23F1">
        <w:rPr>
          <w:rFonts w:asciiTheme="minorHAnsi" w:hAnsiTheme="minorHAnsi" w:cs="Times New Roman"/>
          <w:snapToGrid/>
          <w:sz w:val="24"/>
          <w:szCs w:val="24"/>
          <w:lang w:eastAsia="en-AU"/>
        </w:rPr>
        <w:t>eculizumab</w:t>
      </w:r>
      <w:proofErr w:type="spellEnd"/>
      <w:r w:rsidR="00701654" w:rsidRPr="006C23F1">
        <w:rPr>
          <w:rFonts w:asciiTheme="minorHAnsi" w:hAnsiTheme="minorHAnsi" w:cs="Times New Roman"/>
          <w:snapToGrid/>
          <w:sz w:val="24"/>
          <w:szCs w:val="24"/>
          <w:lang w:eastAsia="en-AU"/>
        </w:rPr>
        <w:t xml:space="preserve"> dosing”</w:t>
      </w:r>
      <w:r w:rsidR="00E013EC">
        <w:rPr>
          <w:rFonts w:asciiTheme="minorHAnsi" w:hAnsiTheme="minorHAnsi" w:cs="Times New Roman"/>
          <w:snapToGrid/>
          <w:sz w:val="24"/>
          <w:szCs w:val="24"/>
          <w:lang w:eastAsia="en-AU"/>
        </w:rPr>
        <w:t>, as outlined above</w:t>
      </w:r>
      <w:r w:rsidRPr="006C23F1">
        <w:rPr>
          <w:rFonts w:asciiTheme="minorHAnsi" w:hAnsiTheme="minorHAnsi" w:cs="Times New Roman"/>
          <w:snapToGrid/>
          <w:sz w:val="24"/>
          <w:szCs w:val="24"/>
          <w:lang w:eastAsia="en-AU"/>
        </w:rPr>
        <w:t>.</w:t>
      </w:r>
    </w:p>
    <w:p w:rsidR="00A776E2" w:rsidRPr="00B176CF" w:rsidRDefault="00871CDE" w:rsidP="00871CDE">
      <w:pPr>
        <w:pStyle w:val="Heading5"/>
        <w:rPr>
          <w:i w:val="0"/>
        </w:rPr>
      </w:pPr>
      <w:r w:rsidRPr="00B176CF">
        <w:rPr>
          <w:i w:val="0"/>
        </w:rPr>
        <w:t xml:space="preserve">iii) </w:t>
      </w:r>
      <w:r w:rsidR="00A776E2" w:rsidRPr="00B176CF">
        <w:rPr>
          <w:i w:val="0"/>
        </w:rPr>
        <w:t xml:space="preserve">Comparator studies: </w:t>
      </w:r>
      <w:r w:rsidR="0059043F" w:rsidRPr="00B176CF">
        <w:rPr>
          <w:i w:val="0"/>
        </w:rPr>
        <w:t xml:space="preserve">Historical outcomes prior to </w:t>
      </w:r>
      <w:proofErr w:type="spellStart"/>
      <w:r w:rsidR="00A776E2" w:rsidRPr="00B176CF">
        <w:rPr>
          <w:i w:val="0"/>
        </w:rPr>
        <w:t>eculizumab</w:t>
      </w:r>
      <w:proofErr w:type="spellEnd"/>
      <w:r w:rsidR="0059043F" w:rsidRPr="00B176CF">
        <w:rPr>
          <w:i w:val="0"/>
        </w:rPr>
        <w:t xml:space="preserve"> availability</w:t>
      </w:r>
    </w:p>
    <w:p w:rsidR="00A776E2" w:rsidRPr="00B176CF" w:rsidRDefault="00FF1DD5" w:rsidP="004E3AE7">
      <w:pPr>
        <w:pStyle w:val="ListParagraph"/>
        <w:widowControl/>
        <w:numPr>
          <w:ilvl w:val="1"/>
          <w:numId w:val="5"/>
        </w:numPr>
        <w:spacing w:after="120"/>
        <w:ind w:left="709"/>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 xml:space="preserve">The resubmission </w:t>
      </w:r>
      <w:r w:rsidR="0059043F" w:rsidRPr="00B176CF">
        <w:rPr>
          <w:rFonts w:asciiTheme="minorHAnsi" w:hAnsiTheme="minorHAnsi" w:cs="Times New Roman"/>
          <w:snapToGrid/>
          <w:sz w:val="24"/>
          <w:szCs w:val="24"/>
          <w:lang w:eastAsia="en-AU"/>
        </w:rPr>
        <w:t xml:space="preserve">presented data to demonstrate the natural history of patients with </w:t>
      </w:r>
      <w:proofErr w:type="spellStart"/>
      <w:r w:rsidR="0059043F" w:rsidRPr="00B176CF">
        <w:rPr>
          <w:rFonts w:asciiTheme="minorHAnsi" w:hAnsiTheme="minorHAnsi" w:cs="Times New Roman"/>
          <w:snapToGrid/>
          <w:sz w:val="24"/>
          <w:szCs w:val="24"/>
          <w:lang w:eastAsia="en-AU"/>
        </w:rPr>
        <w:t>aHUS</w:t>
      </w:r>
      <w:proofErr w:type="spellEnd"/>
      <w:r w:rsidR="0059043F" w:rsidRPr="00B176CF">
        <w:rPr>
          <w:rFonts w:asciiTheme="minorHAnsi" w:hAnsiTheme="minorHAnsi" w:cs="Times New Roman"/>
          <w:snapToGrid/>
          <w:sz w:val="24"/>
          <w:szCs w:val="24"/>
          <w:lang w:eastAsia="en-AU"/>
        </w:rPr>
        <w:t xml:space="preserve"> who underwent renal transplantation prior to </w:t>
      </w:r>
      <w:proofErr w:type="spellStart"/>
      <w:r w:rsidR="0059043F" w:rsidRPr="00B176CF">
        <w:rPr>
          <w:rFonts w:asciiTheme="minorHAnsi" w:hAnsiTheme="minorHAnsi" w:cs="Times New Roman"/>
          <w:snapToGrid/>
          <w:sz w:val="24"/>
          <w:szCs w:val="24"/>
          <w:lang w:eastAsia="en-AU"/>
        </w:rPr>
        <w:t>eculizumab</w:t>
      </w:r>
      <w:proofErr w:type="spellEnd"/>
      <w:r w:rsidR="0059043F" w:rsidRPr="00B176CF">
        <w:rPr>
          <w:rFonts w:asciiTheme="minorHAnsi" w:hAnsiTheme="minorHAnsi" w:cs="Times New Roman"/>
          <w:snapToGrid/>
          <w:sz w:val="24"/>
          <w:szCs w:val="24"/>
          <w:lang w:eastAsia="en-AU"/>
        </w:rPr>
        <w:t xml:space="preserve"> being available. Table </w:t>
      </w:r>
      <w:r w:rsidR="008D4FF6" w:rsidRPr="00B176CF">
        <w:rPr>
          <w:rFonts w:asciiTheme="minorHAnsi" w:hAnsiTheme="minorHAnsi" w:cs="Times New Roman"/>
          <w:snapToGrid/>
          <w:sz w:val="24"/>
          <w:szCs w:val="24"/>
          <w:lang w:eastAsia="en-AU"/>
        </w:rPr>
        <w:t>5</w:t>
      </w:r>
      <w:r w:rsidR="0059043F" w:rsidRPr="00B176CF">
        <w:rPr>
          <w:rFonts w:asciiTheme="minorHAnsi" w:hAnsiTheme="minorHAnsi" w:cs="Times New Roman"/>
          <w:snapToGrid/>
          <w:sz w:val="24"/>
          <w:szCs w:val="24"/>
          <w:lang w:eastAsia="en-AU"/>
        </w:rPr>
        <w:t xml:space="preserve"> outlines data from publications that ha</w:t>
      </w:r>
      <w:r w:rsidR="00F77DD9" w:rsidRPr="00B176CF">
        <w:rPr>
          <w:rFonts w:asciiTheme="minorHAnsi" w:hAnsiTheme="minorHAnsi" w:cs="Times New Roman"/>
          <w:snapToGrid/>
          <w:sz w:val="24"/>
          <w:szCs w:val="24"/>
          <w:lang w:eastAsia="en-AU"/>
        </w:rPr>
        <w:t>ve</w:t>
      </w:r>
      <w:r w:rsidR="0059043F" w:rsidRPr="00B176CF">
        <w:rPr>
          <w:rFonts w:asciiTheme="minorHAnsi" w:hAnsiTheme="minorHAnsi" w:cs="Times New Roman"/>
          <w:snapToGrid/>
          <w:sz w:val="24"/>
          <w:szCs w:val="24"/>
          <w:lang w:eastAsia="en-AU"/>
        </w:rPr>
        <w:t xml:space="preserve"> not previously been presented to the PBAC. The resubmission stated that duplication of patients across publications was inevitable. </w:t>
      </w:r>
    </w:p>
    <w:p w:rsidR="00DB7548" w:rsidRPr="00B176CF" w:rsidRDefault="00DB7548" w:rsidP="00DB7548">
      <w:pPr>
        <w:keepNext/>
        <w:keepLines/>
        <w:rPr>
          <w:rFonts w:ascii="Arial Narrow" w:hAnsi="Arial Narrow"/>
          <w:b/>
          <w:sz w:val="20"/>
          <w:szCs w:val="20"/>
        </w:rPr>
      </w:pPr>
      <w:r w:rsidRPr="00B176CF">
        <w:rPr>
          <w:rFonts w:ascii="Arial Narrow" w:hAnsi="Arial Narrow"/>
          <w:b/>
          <w:sz w:val="20"/>
          <w:szCs w:val="20"/>
        </w:rPr>
        <w:lastRenderedPageBreak/>
        <w:t xml:space="preserve">Table </w:t>
      </w:r>
      <w:r w:rsidR="008D4FF6" w:rsidRPr="00B176CF">
        <w:rPr>
          <w:rFonts w:ascii="Arial Narrow" w:hAnsi="Arial Narrow"/>
          <w:b/>
          <w:sz w:val="20"/>
          <w:szCs w:val="20"/>
        </w:rPr>
        <w:t>5</w:t>
      </w:r>
      <w:r w:rsidRPr="00B176CF">
        <w:rPr>
          <w:rFonts w:ascii="Arial Narrow" w:hAnsi="Arial Narrow"/>
          <w:b/>
          <w:sz w:val="20"/>
          <w:szCs w:val="20"/>
        </w:rPr>
        <w:t xml:space="preserve">: Historical data: subsequent TMA and graft loss in patients at medium-high risk of subsequent TMA prior to the availability of </w:t>
      </w:r>
      <w:proofErr w:type="spellStart"/>
      <w:r w:rsidRPr="00B176CF">
        <w:rPr>
          <w:rFonts w:ascii="Arial Narrow" w:hAnsi="Arial Narrow"/>
          <w:b/>
          <w:sz w:val="20"/>
          <w:szCs w:val="20"/>
        </w:rPr>
        <w:t>eculizumab</w:t>
      </w:r>
      <w:proofErr w:type="spellEnd"/>
      <w:r w:rsidRPr="00B176CF">
        <w:rPr>
          <w:rFonts w:ascii="Arial Narrow" w:hAnsi="Arial Narrow"/>
          <w:b/>
          <w:sz w:val="20"/>
          <w:szCs w:val="20"/>
        </w:rPr>
        <w:t xml:space="preserve"> - new publications</w:t>
      </w:r>
      <w:r w:rsidR="0059043F" w:rsidRPr="00B176CF">
        <w:rPr>
          <w:rFonts w:ascii="Arial Narrow" w:hAnsi="Arial Narrow"/>
          <w:b/>
          <w:sz w:val="20"/>
          <w:szCs w:val="20"/>
        </w:rPr>
        <w:t xml:space="preserve"> </w:t>
      </w:r>
    </w:p>
    <w:tbl>
      <w:tblPr>
        <w:tblStyle w:val="TableGrid"/>
        <w:tblW w:w="5000" w:type="pct"/>
        <w:tblLayout w:type="fixed"/>
        <w:tblLook w:val="04A0" w:firstRow="1" w:lastRow="0" w:firstColumn="1" w:lastColumn="0" w:noHBand="0" w:noVBand="1"/>
        <w:tblCaption w:val="Table 5: Historical data: subsequent TMA and graft loss in patients at medium-high risk of subsequent TMA prior to the availability of eculizumab - new publications "/>
      </w:tblPr>
      <w:tblGrid>
        <w:gridCol w:w="1156"/>
        <w:gridCol w:w="1156"/>
        <w:gridCol w:w="1155"/>
        <w:gridCol w:w="1155"/>
        <w:gridCol w:w="1155"/>
        <w:gridCol w:w="1155"/>
        <w:gridCol w:w="1155"/>
        <w:gridCol w:w="1155"/>
      </w:tblGrid>
      <w:tr w:rsidR="00DB7548" w:rsidRPr="00B176CF" w:rsidTr="00C85FB5">
        <w:trPr>
          <w:tblHeader/>
        </w:trPr>
        <w:tc>
          <w:tcPr>
            <w:tcW w:w="625" w:type="pct"/>
          </w:tcPr>
          <w:p w:rsidR="00DB7548" w:rsidRPr="00B176CF" w:rsidRDefault="00DB7548" w:rsidP="00DB7548">
            <w:pPr>
              <w:keepNext/>
              <w:keepLines/>
              <w:rPr>
                <w:rFonts w:ascii="Arial Narrow" w:hAnsi="Arial Narrow" w:cs="Arial"/>
                <w:bCs/>
                <w:color w:val="000000"/>
                <w:sz w:val="20"/>
                <w:szCs w:val="20"/>
                <w:lang w:val="en-US"/>
              </w:rPr>
            </w:pPr>
          </w:p>
        </w:tc>
        <w:tc>
          <w:tcPr>
            <w:tcW w:w="625" w:type="pct"/>
          </w:tcPr>
          <w:p w:rsidR="00DB7548" w:rsidRPr="00B176CF" w:rsidRDefault="00DB7548" w:rsidP="00DB7548">
            <w:pPr>
              <w:keepNext/>
              <w:keepLines/>
              <w:rPr>
                <w:rFonts w:ascii="Arial Narrow" w:hAnsi="Arial Narrow" w:cs="Arial"/>
                <w:b/>
                <w:bCs/>
                <w:color w:val="000000"/>
                <w:sz w:val="20"/>
                <w:szCs w:val="20"/>
                <w:lang w:val="en-US"/>
              </w:rPr>
            </w:pPr>
            <w:r w:rsidRPr="00B176CF">
              <w:rPr>
                <w:rFonts w:ascii="Arial Narrow" w:hAnsi="Arial Narrow" w:cs="Arial"/>
                <w:b/>
                <w:bCs/>
                <w:color w:val="000000"/>
                <w:sz w:val="20"/>
                <w:szCs w:val="20"/>
                <w:lang w:val="en-US"/>
              </w:rPr>
              <w:t xml:space="preserve">Population </w:t>
            </w:r>
          </w:p>
        </w:tc>
        <w:tc>
          <w:tcPr>
            <w:tcW w:w="625" w:type="pct"/>
          </w:tcPr>
          <w:p w:rsidR="00DB7548" w:rsidRPr="00B176CF" w:rsidRDefault="00DB7548" w:rsidP="00DB7548">
            <w:pPr>
              <w:keepNext/>
              <w:keepLines/>
              <w:rPr>
                <w:rFonts w:ascii="Arial Narrow" w:hAnsi="Arial Narrow" w:cs="Arial"/>
                <w:b/>
                <w:bCs/>
                <w:color w:val="000000"/>
                <w:sz w:val="20"/>
                <w:szCs w:val="20"/>
                <w:lang w:val="en-US"/>
              </w:rPr>
            </w:pPr>
            <w:r w:rsidRPr="00B176CF">
              <w:rPr>
                <w:rFonts w:ascii="Arial Narrow" w:hAnsi="Arial Narrow" w:cs="Arial"/>
                <w:b/>
                <w:bCs/>
                <w:color w:val="000000"/>
                <w:sz w:val="20"/>
                <w:szCs w:val="20"/>
                <w:lang w:val="en-US"/>
              </w:rPr>
              <w:t>Number of patients</w:t>
            </w:r>
          </w:p>
        </w:tc>
        <w:tc>
          <w:tcPr>
            <w:tcW w:w="625" w:type="pct"/>
          </w:tcPr>
          <w:p w:rsidR="00DB7548" w:rsidRPr="00B176CF" w:rsidRDefault="00DB7548" w:rsidP="00DB7548">
            <w:pPr>
              <w:keepNext/>
              <w:keepLines/>
              <w:rPr>
                <w:rFonts w:ascii="Arial Narrow" w:hAnsi="Arial Narrow" w:cs="Arial"/>
                <w:b/>
                <w:bCs/>
                <w:color w:val="000000"/>
                <w:sz w:val="20"/>
                <w:szCs w:val="20"/>
                <w:lang w:val="en-US"/>
              </w:rPr>
            </w:pPr>
            <w:r w:rsidRPr="00B176CF">
              <w:rPr>
                <w:rFonts w:ascii="Arial Narrow" w:hAnsi="Arial Narrow" w:cs="Arial"/>
                <w:b/>
                <w:bCs/>
                <w:color w:val="000000"/>
                <w:sz w:val="20"/>
                <w:szCs w:val="20"/>
                <w:lang w:val="en-US"/>
              </w:rPr>
              <w:t>Number of transplants</w:t>
            </w:r>
          </w:p>
        </w:tc>
        <w:tc>
          <w:tcPr>
            <w:tcW w:w="625" w:type="pct"/>
          </w:tcPr>
          <w:p w:rsidR="00DB7548" w:rsidRPr="00B176CF" w:rsidRDefault="00DB7548" w:rsidP="00DB7548">
            <w:pPr>
              <w:keepNext/>
              <w:keepLines/>
              <w:rPr>
                <w:rFonts w:ascii="Arial Narrow" w:hAnsi="Arial Narrow" w:cs="Arial"/>
                <w:b/>
                <w:bCs/>
                <w:color w:val="000000"/>
                <w:sz w:val="20"/>
                <w:szCs w:val="20"/>
                <w:lang w:val="en-US"/>
              </w:rPr>
            </w:pPr>
            <w:r w:rsidRPr="00B176CF">
              <w:rPr>
                <w:rFonts w:ascii="Arial Narrow" w:hAnsi="Arial Narrow" w:cs="Arial"/>
                <w:b/>
                <w:bCs/>
                <w:color w:val="000000"/>
                <w:sz w:val="20"/>
                <w:szCs w:val="20"/>
                <w:lang w:val="en-US"/>
              </w:rPr>
              <w:t>Subsequent TMA</w:t>
            </w:r>
          </w:p>
        </w:tc>
        <w:tc>
          <w:tcPr>
            <w:tcW w:w="625" w:type="pct"/>
          </w:tcPr>
          <w:p w:rsidR="00DB7548" w:rsidRPr="00B176CF" w:rsidRDefault="00DB7548" w:rsidP="00DB7548">
            <w:pPr>
              <w:keepNext/>
              <w:keepLines/>
              <w:rPr>
                <w:rFonts w:ascii="Arial Narrow" w:hAnsi="Arial Narrow" w:cs="Arial"/>
                <w:b/>
                <w:bCs/>
                <w:color w:val="000000"/>
                <w:sz w:val="20"/>
                <w:szCs w:val="20"/>
                <w:lang w:val="en-US"/>
              </w:rPr>
            </w:pPr>
            <w:r w:rsidRPr="00B176CF">
              <w:rPr>
                <w:rFonts w:ascii="Arial Narrow" w:hAnsi="Arial Narrow" w:cs="Arial"/>
                <w:b/>
                <w:bCs/>
                <w:color w:val="000000"/>
                <w:sz w:val="20"/>
                <w:szCs w:val="20"/>
                <w:lang w:val="en-US"/>
              </w:rPr>
              <w:t>TMA resulting in graft loss</w:t>
            </w:r>
          </w:p>
        </w:tc>
        <w:tc>
          <w:tcPr>
            <w:tcW w:w="625" w:type="pct"/>
          </w:tcPr>
          <w:p w:rsidR="00DB7548" w:rsidRPr="00B176CF" w:rsidRDefault="00DB7548" w:rsidP="00DB7548">
            <w:pPr>
              <w:keepNext/>
              <w:keepLines/>
              <w:rPr>
                <w:rFonts w:ascii="Arial Narrow" w:hAnsi="Arial Narrow" w:cs="Arial"/>
                <w:b/>
                <w:bCs/>
                <w:color w:val="000000"/>
                <w:sz w:val="20"/>
                <w:szCs w:val="20"/>
                <w:lang w:val="en-US"/>
              </w:rPr>
            </w:pPr>
            <w:r w:rsidRPr="00B176CF">
              <w:rPr>
                <w:rFonts w:ascii="Arial Narrow" w:hAnsi="Arial Narrow" w:cs="Arial"/>
                <w:b/>
                <w:bCs/>
                <w:color w:val="000000"/>
                <w:sz w:val="20"/>
                <w:szCs w:val="20"/>
                <w:lang w:val="en-US"/>
              </w:rPr>
              <w:t>Overall Graft Loss</w:t>
            </w:r>
          </w:p>
        </w:tc>
        <w:tc>
          <w:tcPr>
            <w:tcW w:w="625" w:type="pct"/>
          </w:tcPr>
          <w:p w:rsidR="00DB7548" w:rsidRPr="00B176CF" w:rsidRDefault="00DB7548" w:rsidP="00DB7548">
            <w:pPr>
              <w:keepNext/>
              <w:keepLines/>
              <w:rPr>
                <w:rFonts w:ascii="Arial Narrow" w:hAnsi="Arial Narrow" w:cs="Arial"/>
                <w:b/>
                <w:bCs/>
                <w:color w:val="000000"/>
                <w:sz w:val="20"/>
                <w:szCs w:val="20"/>
                <w:lang w:val="en-US"/>
              </w:rPr>
            </w:pPr>
            <w:r w:rsidRPr="00B176CF">
              <w:rPr>
                <w:rFonts w:ascii="Arial Narrow" w:hAnsi="Arial Narrow" w:cs="Arial"/>
                <w:b/>
                <w:bCs/>
                <w:color w:val="000000"/>
                <w:sz w:val="20"/>
                <w:szCs w:val="20"/>
                <w:lang w:val="en-US"/>
              </w:rPr>
              <w:t>Graft loss due to TMA</w:t>
            </w:r>
          </w:p>
        </w:tc>
      </w:tr>
      <w:tr w:rsidR="00DB7548" w:rsidRPr="00B176CF" w:rsidTr="00C262A0">
        <w:tc>
          <w:tcPr>
            <w:tcW w:w="625" w:type="pct"/>
            <w:shd w:val="clear" w:color="auto" w:fill="FFFFFF" w:themeFill="background1"/>
          </w:tcPr>
          <w:p w:rsidR="00DB7548" w:rsidRPr="00B176CF" w:rsidRDefault="00DB7548" w:rsidP="00DB7548">
            <w:pPr>
              <w:keepNext/>
              <w:keepLines/>
              <w:rPr>
                <w:rFonts w:ascii="Arial Narrow" w:hAnsi="Arial Narrow" w:cs="Arial"/>
                <w:bCs/>
                <w:color w:val="000000"/>
                <w:sz w:val="20"/>
                <w:szCs w:val="20"/>
                <w:lang w:val="en-US"/>
              </w:rPr>
            </w:pPr>
            <w:proofErr w:type="spellStart"/>
            <w:r w:rsidRPr="00B176CF">
              <w:rPr>
                <w:rFonts w:ascii="Arial Narrow" w:hAnsi="Arial Narrow" w:cs="Arial"/>
                <w:bCs/>
                <w:color w:val="000000"/>
                <w:sz w:val="20"/>
                <w:szCs w:val="20"/>
                <w:lang w:val="en-US"/>
              </w:rPr>
              <w:t>Bresin</w:t>
            </w:r>
            <w:proofErr w:type="spellEnd"/>
            <w:r w:rsidRPr="00B176CF">
              <w:rPr>
                <w:rFonts w:ascii="Arial Narrow" w:hAnsi="Arial Narrow" w:cs="Arial"/>
                <w:bCs/>
                <w:color w:val="000000"/>
                <w:sz w:val="20"/>
                <w:szCs w:val="20"/>
                <w:lang w:val="en-US"/>
              </w:rPr>
              <w:t xml:space="preserve"> 2006 </w:t>
            </w:r>
          </w:p>
        </w:tc>
        <w:tc>
          <w:tcPr>
            <w:tcW w:w="625" w:type="pct"/>
            <w:shd w:val="clear" w:color="auto" w:fill="FFFFFF" w:themeFill="background1"/>
          </w:tcPr>
          <w:p w:rsidR="00DB7548" w:rsidRPr="00B176CF" w:rsidRDefault="00DB7548" w:rsidP="00DB7548">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 xml:space="preserve">CFH &amp; CFI mutations </w:t>
            </w:r>
          </w:p>
        </w:tc>
        <w:tc>
          <w:tcPr>
            <w:tcW w:w="625" w:type="pct"/>
            <w:shd w:val="clear" w:color="auto" w:fill="FFFFFF" w:themeFill="background1"/>
          </w:tcPr>
          <w:p w:rsidR="00DB7548" w:rsidRPr="00B176CF" w:rsidRDefault="00DB7548" w:rsidP="00DB7548">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 xml:space="preserve">30 </w:t>
            </w:r>
          </w:p>
        </w:tc>
        <w:tc>
          <w:tcPr>
            <w:tcW w:w="625" w:type="pct"/>
            <w:shd w:val="clear" w:color="auto" w:fill="FFFFFF" w:themeFill="background1"/>
          </w:tcPr>
          <w:p w:rsidR="00DB7548" w:rsidRPr="00B176CF" w:rsidRDefault="00DB7548" w:rsidP="00DB7548">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 xml:space="preserve">39 </w:t>
            </w:r>
          </w:p>
        </w:tc>
        <w:tc>
          <w:tcPr>
            <w:tcW w:w="625" w:type="pct"/>
            <w:shd w:val="clear" w:color="auto" w:fill="FFFFFF" w:themeFill="background1"/>
          </w:tcPr>
          <w:p w:rsidR="00DB7548" w:rsidRPr="00B176CF" w:rsidRDefault="00DB7548" w:rsidP="00DB7548">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 xml:space="preserve">24/39 (62%) </w:t>
            </w:r>
            <w:r w:rsidRPr="00B176CF">
              <w:rPr>
                <w:rFonts w:ascii="Arial Narrow" w:hAnsi="Arial Narrow" w:cs="Arial"/>
                <w:bCs/>
                <w:color w:val="000000"/>
                <w:sz w:val="20"/>
                <w:szCs w:val="20"/>
                <w:vertAlign w:val="superscript"/>
                <w:lang w:val="en-US"/>
              </w:rPr>
              <w:t>a</w:t>
            </w:r>
          </w:p>
        </w:tc>
        <w:tc>
          <w:tcPr>
            <w:tcW w:w="625" w:type="pct"/>
            <w:shd w:val="clear" w:color="auto" w:fill="FFFFFF" w:themeFill="background1"/>
          </w:tcPr>
          <w:p w:rsidR="00DB7548" w:rsidRPr="00B176CF" w:rsidRDefault="00DB7548" w:rsidP="00DB7548">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NR</w:t>
            </w:r>
          </w:p>
        </w:tc>
        <w:tc>
          <w:tcPr>
            <w:tcW w:w="625" w:type="pct"/>
            <w:shd w:val="clear" w:color="auto" w:fill="FFFFFF" w:themeFill="background1"/>
          </w:tcPr>
          <w:p w:rsidR="00DB7548" w:rsidRPr="00B176CF" w:rsidRDefault="00DB7548" w:rsidP="00DB7548">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29/39 (74%)</w:t>
            </w:r>
          </w:p>
        </w:tc>
        <w:tc>
          <w:tcPr>
            <w:tcW w:w="625" w:type="pct"/>
            <w:shd w:val="clear" w:color="auto" w:fill="FFFFFF" w:themeFill="background1"/>
          </w:tcPr>
          <w:p w:rsidR="00DB7548" w:rsidRPr="00B176CF" w:rsidRDefault="00DB7548" w:rsidP="00DB7548">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 xml:space="preserve">24/27 (89%) </w:t>
            </w:r>
            <w:r w:rsidRPr="00B176CF">
              <w:rPr>
                <w:rFonts w:ascii="Arial Narrow" w:hAnsi="Arial Narrow" w:cs="Arial"/>
                <w:bCs/>
                <w:color w:val="000000"/>
                <w:sz w:val="20"/>
                <w:szCs w:val="20"/>
                <w:vertAlign w:val="superscript"/>
                <w:lang w:val="en-US"/>
              </w:rPr>
              <w:t>b</w:t>
            </w:r>
            <w:r w:rsidRPr="00B176CF">
              <w:rPr>
                <w:rFonts w:ascii="Arial Narrow" w:hAnsi="Arial Narrow" w:cs="Arial"/>
                <w:bCs/>
                <w:color w:val="000000"/>
                <w:sz w:val="20"/>
                <w:szCs w:val="20"/>
                <w:lang w:val="en-US"/>
              </w:rPr>
              <w:t xml:space="preserve"> </w:t>
            </w:r>
          </w:p>
        </w:tc>
      </w:tr>
      <w:tr w:rsidR="00DB7548" w:rsidRPr="00B176CF" w:rsidTr="00C262A0">
        <w:tc>
          <w:tcPr>
            <w:tcW w:w="625" w:type="pct"/>
            <w:shd w:val="clear" w:color="auto" w:fill="FFFFFF" w:themeFill="background1"/>
          </w:tcPr>
          <w:p w:rsidR="00DB7548" w:rsidRPr="00B176CF" w:rsidRDefault="00DB7548" w:rsidP="00DB7548">
            <w:pPr>
              <w:keepNext/>
              <w:keepLines/>
              <w:rPr>
                <w:rFonts w:ascii="Arial Narrow" w:hAnsi="Arial Narrow" w:cs="Arial"/>
                <w:bCs/>
                <w:color w:val="000000"/>
                <w:sz w:val="20"/>
                <w:szCs w:val="20"/>
                <w:lang w:val="en-US"/>
              </w:rPr>
            </w:pPr>
            <w:proofErr w:type="spellStart"/>
            <w:r w:rsidRPr="00B176CF">
              <w:rPr>
                <w:rFonts w:ascii="Arial Narrow" w:hAnsi="Arial Narrow" w:cs="Arial"/>
                <w:bCs/>
                <w:color w:val="000000"/>
                <w:sz w:val="20"/>
                <w:szCs w:val="20"/>
                <w:lang w:val="en-US"/>
              </w:rPr>
              <w:t>Noris</w:t>
            </w:r>
            <w:proofErr w:type="spellEnd"/>
            <w:r w:rsidRPr="00B176CF">
              <w:rPr>
                <w:rFonts w:ascii="Arial Narrow" w:hAnsi="Arial Narrow" w:cs="Arial"/>
                <w:bCs/>
                <w:color w:val="000000"/>
                <w:sz w:val="20"/>
                <w:szCs w:val="20"/>
                <w:lang w:val="en-US"/>
              </w:rPr>
              <w:t xml:space="preserve"> 2013 </w:t>
            </w:r>
          </w:p>
        </w:tc>
        <w:tc>
          <w:tcPr>
            <w:tcW w:w="625" w:type="pct"/>
            <w:shd w:val="clear" w:color="auto" w:fill="FFFFFF" w:themeFill="background1"/>
          </w:tcPr>
          <w:p w:rsidR="00DB7548" w:rsidRPr="00B176CF" w:rsidRDefault="0059043F" w:rsidP="0059043F">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 xml:space="preserve">Multiple mutations </w:t>
            </w:r>
            <w:r w:rsidRPr="00B176CF">
              <w:rPr>
                <w:rFonts w:ascii="Arial Narrow" w:hAnsi="Arial Narrow" w:cs="Arial"/>
                <w:bCs/>
                <w:color w:val="000000"/>
                <w:sz w:val="20"/>
                <w:szCs w:val="20"/>
                <w:vertAlign w:val="superscript"/>
                <w:lang w:val="en-US"/>
              </w:rPr>
              <w:t xml:space="preserve">c </w:t>
            </w:r>
          </w:p>
        </w:tc>
        <w:tc>
          <w:tcPr>
            <w:tcW w:w="625" w:type="pct"/>
            <w:shd w:val="clear" w:color="auto" w:fill="FFFFFF" w:themeFill="background1"/>
          </w:tcPr>
          <w:p w:rsidR="00DB7548" w:rsidRPr="00B176CF" w:rsidRDefault="00DB7548" w:rsidP="00DB7548">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117</w:t>
            </w:r>
          </w:p>
        </w:tc>
        <w:tc>
          <w:tcPr>
            <w:tcW w:w="625" w:type="pct"/>
            <w:shd w:val="clear" w:color="auto" w:fill="FFFFFF" w:themeFill="background1"/>
          </w:tcPr>
          <w:p w:rsidR="00DB7548" w:rsidRPr="00B176CF" w:rsidRDefault="00DB7548" w:rsidP="00DB7548">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154</w:t>
            </w:r>
          </w:p>
        </w:tc>
        <w:tc>
          <w:tcPr>
            <w:tcW w:w="625" w:type="pct"/>
            <w:shd w:val="clear" w:color="auto" w:fill="FFFFFF" w:themeFill="background1"/>
          </w:tcPr>
          <w:p w:rsidR="00DB7548" w:rsidRPr="00B176CF" w:rsidRDefault="00DB7548" w:rsidP="00DB7548">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94/154 (61%)</w:t>
            </w:r>
          </w:p>
        </w:tc>
        <w:tc>
          <w:tcPr>
            <w:tcW w:w="625" w:type="pct"/>
            <w:shd w:val="clear" w:color="auto" w:fill="FFFFFF" w:themeFill="background1"/>
          </w:tcPr>
          <w:p w:rsidR="00DB7548" w:rsidRPr="00B176CF" w:rsidRDefault="00DB7548" w:rsidP="00DB7548">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79/94 (84%)</w:t>
            </w:r>
          </w:p>
        </w:tc>
        <w:tc>
          <w:tcPr>
            <w:tcW w:w="625" w:type="pct"/>
            <w:shd w:val="clear" w:color="auto" w:fill="FFFFFF" w:themeFill="background1"/>
          </w:tcPr>
          <w:p w:rsidR="00DB7548" w:rsidRPr="00B176CF" w:rsidRDefault="00DB7548" w:rsidP="00DB7548">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NR</w:t>
            </w:r>
          </w:p>
        </w:tc>
        <w:tc>
          <w:tcPr>
            <w:tcW w:w="625" w:type="pct"/>
            <w:shd w:val="clear" w:color="auto" w:fill="FFFFFF" w:themeFill="background1"/>
          </w:tcPr>
          <w:p w:rsidR="00DB7548" w:rsidRPr="00B176CF" w:rsidRDefault="00DB7548" w:rsidP="00DB7548">
            <w:pPr>
              <w:keepNext/>
              <w:keepLines/>
              <w:rPr>
                <w:rFonts w:ascii="Arial Narrow" w:hAnsi="Arial Narrow" w:cs="Arial"/>
                <w:bCs/>
                <w:color w:val="000000"/>
                <w:sz w:val="20"/>
                <w:szCs w:val="20"/>
                <w:lang w:val="en-US"/>
              </w:rPr>
            </w:pPr>
            <w:r w:rsidRPr="00B176CF">
              <w:rPr>
                <w:rFonts w:ascii="Arial Narrow" w:hAnsi="Arial Narrow" w:cs="Arial"/>
                <w:bCs/>
                <w:color w:val="000000"/>
                <w:sz w:val="20"/>
                <w:szCs w:val="20"/>
                <w:lang w:val="en-US"/>
              </w:rPr>
              <w:t>NR</w:t>
            </w:r>
          </w:p>
        </w:tc>
      </w:tr>
    </w:tbl>
    <w:p w:rsidR="00DB7548" w:rsidRPr="00B176CF" w:rsidRDefault="00DB7548" w:rsidP="00DB7548">
      <w:pPr>
        <w:pStyle w:val="tablenotes"/>
        <w:keepNext/>
        <w:keepLines/>
      </w:pPr>
      <w:r w:rsidRPr="00B176CF">
        <w:t xml:space="preserve">Source: Table 1, p11 of the resubmission </w:t>
      </w:r>
    </w:p>
    <w:p w:rsidR="00DB7548" w:rsidRPr="00B176CF" w:rsidRDefault="00DB7548" w:rsidP="00DB7548">
      <w:pPr>
        <w:pStyle w:val="tablenotes"/>
        <w:keepNext/>
        <w:keepLines/>
      </w:pPr>
      <w:r w:rsidRPr="00B176CF">
        <w:t xml:space="preserve">CFH = complement factor H; NR = not reported; TMA = thrombotic </w:t>
      </w:r>
      <w:proofErr w:type="spellStart"/>
      <w:r w:rsidRPr="00B176CF">
        <w:t>microangiopathy</w:t>
      </w:r>
      <w:proofErr w:type="spellEnd"/>
    </w:p>
    <w:p w:rsidR="00DB7548" w:rsidRPr="00B176CF" w:rsidRDefault="00DB7548" w:rsidP="00DB7548">
      <w:pPr>
        <w:pStyle w:val="tablenotes"/>
        <w:keepNext/>
        <w:keepLines/>
      </w:pPr>
      <w:proofErr w:type="gramStart"/>
      <w:r w:rsidRPr="00B176CF">
        <w:rPr>
          <w:vertAlign w:val="superscript"/>
        </w:rPr>
        <w:t>a</w:t>
      </w:r>
      <w:proofErr w:type="gramEnd"/>
      <w:r w:rsidRPr="00B176CF">
        <w:rPr>
          <w:vertAlign w:val="superscript"/>
        </w:rPr>
        <w:t xml:space="preserve"> </w:t>
      </w:r>
      <w:r w:rsidRPr="00B176CF">
        <w:t>Subsequent TMA was only recorded where it was the cause of overall graft loss. There may have been other patients who experienced TMA which didn’t result in graft failure. This figure may therefore be an under-representation of the number of patients experiencing TMA</w:t>
      </w:r>
    </w:p>
    <w:p w:rsidR="00DB7548" w:rsidRPr="00B176CF" w:rsidRDefault="00DB7548" w:rsidP="00DB7548">
      <w:pPr>
        <w:pStyle w:val="tablenotes"/>
        <w:keepNext/>
        <w:keepLines/>
        <w:rPr>
          <w:rFonts w:cs="Arial"/>
          <w:bCs/>
          <w:color w:val="000000"/>
          <w:sz w:val="20"/>
          <w:lang w:val="en-US"/>
        </w:rPr>
      </w:pPr>
      <w:proofErr w:type="gramStart"/>
      <w:r w:rsidRPr="00B176CF">
        <w:rPr>
          <w:vertAlign w:val="superscript"/>
        </w:rPr>
        <w:t>b</w:t>
      </w:r>
      <w:proofErr w:type="gramEnd"/>
      <w:r w:rsidRPr="00B176CF">
        <w:rPr>
          <w:vertAlign w:val="superscript"/>
        </w:rPr>
        <w:t xml:space="preserve"> </w:t>
      </w:r>
      <w:r w:rsidRPr="00B176CF">
        <w:t>Cause of graft loss was not reported in two patients</w:t>
      </w:r>
    </w:p>
    <w:p w:rsidR="0059043F" w:rsidRPr="00B176CF" w:rsidRDefault="0059043F" w:rsidP="00DB7548">
      <w:pPr>
        <w:pStyle w:val="tablenotes"/>
        <w:keepNext/>
        <w:keepLines/>
      </w:pPr>
      <w:proofErr w:type="gramStart"/>
      <w:r w:rsidRPr="00B176CF">
        <w:rPr>
          <w:rFonts w:cs="Arial"/>
          <w:bCs/>
          <w:color w:val="000000"/>
          <w:sz w:val="20"/>
          <w:vertAlign w:val="superscript"/>
          <w:lang w:val="en-US"/>
        </w:rPr>
        <w:t>c</w:t>
      </w:r>
      <w:proofErr w:type="gramEnd"/>
      <w:r w:rsidRPr="00B176CF">
        <w:rPr>
          <w:rFonts w:cs="Arial"/>
          <w:bCs/>
          <w:color w:val="000000"/>
          <w:sz w:val="20"/>
          <w:vertAlign w:val="superscript"/>
          <w:lang w:val="en-US"/>
        </w:rPr>
        <w:t xml:space="preserve"> </w:t>
      </w:r>
      <w:r w:rsidRPr="00B176CF">
        <w:rPr>
          <w:rFonts w:cs="Arial"/>
          <w:bCs/>
          <w:color w:val="000000"/>
          <w:sz w:val="20"/>
          <w:lang w:val="en-US"/>
        </w:rPr>
        <w:t xml:space="preserve">Mutations included were: </w:t>
      </w:r>
      <w:r w:rsidRPr="00B176CF">
        <w:t>CFH, CFH/ CFHR1 hybrid, CFI, C3, CFB, CFH-Ab.</w:t>
      </w:r>
    </w:p>
    <w:p w:rsidR="00B176CF" w:rsidRPr="00E013EC" w:rsidRDefault="0059043F" w:rsidP="006C23F1">
      <w:pPr>
        <w:pStyle w:val="ListParagraph"/>
        <w:widowControl/>
        <w:numPr>
          <w:ilvl w:val="1"/>
          <w:numId w:val="5"/>
        </w:numPr>
        <w:spacing w:after="120"/>
        <w:ind w:left="709"/>
        <w:contextualSpacing w:val="0"/>
        <w:rPr>
          <w:snapToGrid/>
        </w:rPr>
      </w:pPr>
      <w:r w:rsidRPr="006C23F1">
        <w:rPr>
          <w:rFonts w:asciiTheme="minorHAnsi" w:hAnsiTheme="minorHAnsi" w:cs="Times New Roman"/>
          <w:snapToGrid/>
          <w:sz w:val="24"/>
          <w:szCs w:val="24"/>
          <w:lang w:eastAsia="en-AU"/>
        </w:rPr>
        <w:t xml:space="preserve">The resubmission stated that these data demonstrate that patients with </w:t>
      </w:r>
      <w:proofErr w:type="spellStart"/>
      <w:r w:rsidRPr="006C23F1">
        <w:rPr>
          <w:rFonts w:asciiTheme="minorHAnsi" w:hAnsiTheme="minorHAnsi" w:cs="Times New Roman"/>
          <w:snapToGrid/>
          <w:sz w:val="24"/>
          <w:szCs w:val="24"/>
          <w:lang w:eastAsia="en-AU"/>
        </w:rPr>
        <w:t>aHUS</w:t>
      </w:r>
      <w:proofErr w:type="spellEnd"/>
      <w:r w:rsidRPr="006C23F1">
        <w:rPr>
          <w:rFonts w:asciiTheme="minorHAnsi" w:hAnsiTheme="minorHAnsi" w:cs="Times New Roman"/>
          <w:snapToGrid/>
          <w:sz w:val="24"/>
          <w:szCs w:val="24"/>
          <w:lang w:eastAsia="en-AU"/>
        </w:rPr>
        <w:t xml:space="preserve"> who undergo renal transplantation have a high risk of developing subsequent TMA. However, </w:t>
      </w:r>
      <w:r w:rsidR="00F77DD9" w:rsidRPr="006C23F1">
        <w:rPr>
          <w:rFonts w:asciiTheme="minorHAnsi" w:hAnsiTheme="minorHAnsi" w:cs="Times New Roman"/>
          <w:snapToGrid/>
          <w:sz w:val="24"/>
          <w:szCs w:val="24"/>
          <w:lang w:eastAsia="en-AU"/>
        </w:rPr>
        <w:t>these data do not reflect current treatment options in Australian clinical practice</w:t>
      </w:r>
      <w:r w:rsidR="00512080" w:rsidRPr="006C23F1">
        <w:rPr>
          <w:rFonts w:asciiTheme="minorHAnsi" w:hAnsiTheme="minorHAnsi" w:cs="Times New Roman"/>
          <w:snapToGrid/>
          <w:sz w:val="24"/>
          <w:szCs w:val="24"/>
          <w:lang w:eastAsia="en-AU"/>
        </w:rPr>
        <w:t xml:space="preserve">. For example it did not incorporate </w:t>
      </w:r>
      <w:proofErr w:type="spellStart"/>
      <w:r w:rsidR="00512080" w:rsidRPr="006C23F1">
        <w:rPr>
          <w:rFonts w:asciiTheme="minorHAnsi" w:hAnsiTheme="minorHAnsi" w:cs="Times New Roman"/>
          <w:snapToGrid/>
          <w:sz w:val="24"/>
          <w:szCs w:val="24"/>
          <w:lang w:eastAsia="en-AU"/>
        </w:rPr>
        <w:t>eculizumab</w:t>
      </w:r>
      <w:proofErr w:type="spellEnd"/>
      <w:r w:rsidR="00512080" w:rsidRPr="006C23F1">
        <w:rPr>
          <w:rFonts w:asciiTheme="minorHAnsi" w:hAnsiTheme="minorHAnsi" w:cs="Times New Roman"/>
          <w:snapToGrid/>
          <w:sz w:val="24"/>
          <w:szCs w:val="24"/>
          <w:lang w:eastAsia="en-AU"/>
        </w:rPr>
        <w:t xml:space="preserve"> (3 months post-transplant, with re-initiation upon recurrence of </w:t>
      </w:r>
      <w:proofErr w:type="spellStart"/>
      <w:r w:rsidR="00512080" w:rsidRPr="006C23F1">
        <w:rPr>
          <w:rFonts w:asciiTheme="minorHAnsi" w:hAnsiTheme="minorHAnsi" w:cs="Times New Roman"/>
          <w:snapToGrid/>
          <w:sz w:val="24"/>
          <w:szCs w:val="24"/>
          <w:lang w:eastAsia="en-AU"/>
        </w:rPr>
        <w:t>aHUS</w:t>
      </w:r>
      <w:proofErr w:type="spellEnd"/>
      <w:r w:rsidR="00512080" w:rsidRPr="006C23F1">
        <w:rPr>
          <w:rFonts w:asciiTheme="minorHAnsi" w:hAnsiTheme="minorHAnsi" w:cs="Times New Roman"/>
          <w:snapToGrid/>
          <w:sz w:val="24"/>
          <w:szCs w:val="24"/>
          <w:lang w:eastAsia="en-AU"/>
        </w:rPr>
        <w:t>) or prophylactic plasma exchange/infusion</w:t>
      </w:r>
      <w:r w:rsidR="00F77DD9" w:rsidRPr="006C23F1">
        <w:rPr>
          <w:rFonts w:asciiTheme="minorHAnsi" w:hAnsiTheme="minorHAnsi" w:cs="Times New Roman"/>
          <w:snapToGrid/>
          <w:sz w:val="24"/>
          <w:szCs w:val="24"/>
          <w:lang w:eastAsia="en-AU"/>
        </w:rPr>
        <w:t xml:space="preserve">. </w:t>
      </w:r>
    </w:p>
    <w:p w:rsidR="00871CDE" w:rsidRPr="00B176CF" w:rsidRDefault="00871CDE" w:rsidP="00871CDE">
      <w:pPr>
        <w:pStyle w:val="Heading5"/>
        <w:rPr>
          <w:i w:val="0"/>
        </w:rPr>
      </w:pPr>
      <w:proofErr w:type="spellStart"/>
      <w:r w:rsidRPr="00B176CF">
        <w:rPr>
          <w:i w:val="0"/>
        </w:rPr>
        <w:t>iii.a</w:t>
      </w:r>
      <w:proofErr w:type="spellEnd"/>
      <w:r w:rsidRPr="00B176CF">
        <w:rPr>
          <w:i w:val="0"/>
        </w:rPr>
        <w:t>)</w:t>
      </w:r>
      <w:r w:rsidR="00484671">
        <w:rPr>
          <w:i w:val="0"/>
        </w:rPr>
        <w:t xml:space="preserve"> </w:t>
      </w:r>
      <w:r w:rsidRPr="00B176CF">
        <w:rPr>
          <w:i w:val="0"/>
        </w:rPr>
        <w:t>Complement amplifying conditions</w:t>
      </w:r>
    </w:p>
    <w:p w:rsidR="00871CDE" w:rsidRPr="00B176CF" w:rsidRDefault="00871CDE" w:rsidP="004E3AE7">
      <w:pPr>
        <w:pStyle w:val="ListParagraph"/>
        <w:widowControl/>
        <w:numPr>
          <w:ilvl w:val="1"/>
          <w:numId w:val="5"/>
        </w:numPr>
        <w:spacing w:after="120"/>
        <w:ind w:left="709"/>
        <w:contextualSpacing w:val="0"/>
        <w:rPr>
          <w:rFonts w:asciiTheme="minorHAnsi" w:hAnsiTheme="minorHAnsi" w:cs="Times New Roman"/>
          <w:snapToGrid/>
          <w:sz w:val="24"/>
          <w:szCs w:val="24"/>
          <w:lang w:eastAsia="en-AU"/>
        </w:rPr>
      </w:pPr>
      <w:r w:rsidRPr="00B176CF">
        <w:rPr>
          <w:rFonts w:asciiTheme="minorHAnsi" w:hAnsiTheme="minorHAnsi" w:cs="Times New Roman"/>
          <w:snapToGrid/>
          <w:sz w:val="24"/>
          <w:szCs w:val="24"/>
          <w:lang w:eastAsia="en-AU"/>
        </w:rPr>
        <w:t xml:space="preserve">The resubmission argued that complement amplifying conditions that may present beyond three months post-transplant include pregnancy, malignant hypertension, autoimmune diseases, infections and surgery, along with immune response to allograft endothelium, related infections, </w:t>
      </w:r>
      <w:proofErr w:type="spellStart"/>
      <w:r w:rsidRPr="00B176CF">
        <w:rPr>
          <w:rFonts w:asciiTheme="minorHAnsi" w:hAnsiTheme="minorHAnsi" w:cs="Times New Roman"/>
          <w:snapToGrid/>
          <w:sz w:val="24"/>
          <w:szCs w:val="24"/>
          <w:lang w:eastAsia="en-AU"/>
        </w:rPr>
        <w:t>ischaemia</w:t>
      </w:r>
      <w:proofErr w:type="spellEnd"/>
      <w:r w:rsidRPr="00B176CF">
        <w:rPr>
          <w:rFonts w:asciiTheme="minorHAnsi" w:hAnsiTheme="minorHAnsi" w:cs="Times New Roman"/>
          <w:snapToGrid/>
          <w:sz w:val="24"/>
          <w:szCs w:val="24"/>
          <w:lang w:eastAsia="en-AU"/>
        </w:rPr>
        <w:t xml:space="preserve"> reperfusion lesions, rejection and medicines used to enable transplant. The resubmission stated that these factors made </w:t>
      </w:r>
      <w:r w:rsidR="004E3AE7" w:rsidRPr="00B176CF">
        <w:rPr>
          <w:rFonts w:asciiTheme="minorHAnsi" w:hAnsiTheme="minorHAnsi" w:cs="Times New Roman"/>
          <w:snapToGrid/>
          <w:sz w:val="24"/>
          <w:szCs w:val="24"/>
          <w:lang w:eastAsia="en-AU"/>
        </w:rPr>
        <w:t>recurrence of</w:t>
      </w:r>
      <w:r w:rsidRPr="00B176CF">
        <w:rPr>
          <w:rFonts w:asciiTheme="minorHAnsi" w:hAnsiTheme="minorHAnsi" w:cs="Times New Roman"/>
          <w:snapToGrid/>
          <w:sz w:val="24"/>
          <w:szCs w:val="24"/>
          <w:lang w:eastAsia="en-AU"/>
        </w:rPr>
        <w:t xml:space="preserve"> TMA</w:t>
      </w:r>
      <w:r w:rsidR="004E3AE7" w:rsidRPr="00B176CF">
        <w:rPr>
          <w:rFonts w:asciiTheme="minorHAnsi" w:hAnsiTheme="minorHAnsi" w:cs="Times New Roman"/>
          <w:snapToGrid/>
          <w:sz w:val="24"/>
          <w:szCs w:val="24"/>
          <w:lang w:eastAsia="en-AU"/>
        </w:rPr>
        <w:t xml:space="preserve"> “highly probable”</w:t>
      </w:r>
      <w:r w:rsidRPr="00B176CF">
        <w:rPr>
          <w:rFonts w:asciiTheme="minorHAnsi" w:hAnsiTheme="minorHAnsi" w:cs="Times New Roman"/>
          <w:snapToGrid/>
          <w:sz w:val="24"/>
          <w:szCs w:val="24"/>
          <w:lang w:eastAsia="en-AU"/>
        </w:rPr>
        <w:t>.</w:t>
      </w:r>
    </w:p>
    <w:p w:rsidR="00AA0E3C" w:rsidRPr="00B176CF" w:rsidRDefault="00871CDE" w:rsidP="00871CDE">
      <w:pPr>
        <w:pStyle w:val="Heading5"/>
        <w:rPr>
          <w:i w:val="0"/>
        </w:rPr>
      </w:pPr>
      <w:proofErr w:type="gramStart"/>
      <w:r w:rsidRPr="00B176CF">
        <w:rPr>
          <w:i w:val="0"/>
        </w:rPr>
        <w:t xml:space="preserve">iv) </w:t>
      </w:r>
      <w:r w:rsidR="00B50ADC" w:rsidRPr="00B176CF">
        <w:rPr>
          <w:i w:val="0"/>
        </w:rPr>
        <w:t>Inpatient</w:t>
      </w:r>
      <w:proofErr w:type="gramEnd"/>
      <w:r w:rsidR="00B50ADC" w:rsidRPr="00B176CF">
        <w:rPr>
          <w:i w:val="0"/>
        </w:rPr>
        <w:t xml:space="preserve"> funding of </w:t>
      </w:r>
      <w:proofErr w:type="spellStart"/>
      <w:r w:rsidR="00B50ADC" w:rsidRPr="00B176CF">
        <w:rPr>
          <w:i w:val="0"/>
        </w:rPr>
        <w:t>eculizumab</w:t>
      </w:r>
      <w:proofErr w:type="spellEnd"/>
      <w:r w:rsidR="00B50ADC" w:rsidRPr="00B176CF">
        <w:rPr>
          <w:i w:val="0"/>
        </w:rPr>
        <w:t xml:space="preserve"> </w:t>
      </w:r>
    </w:p>
    <w:p w:rsidR="00B50ADC" w:rsidRPr="00B176CF" w:rsidRDefault="00B50ADC" w:rsidP="004E3AE7">
      <w:pPr>
        <w:pStyle w:val="ListParagraph"/>
        <w:widowControl/>
        <w:numPr>
          <w:ilvl w:val="1"/>
          <w:numId w:val="5"/>
        </w:numPr>
        <w:spacing w:after="120"/>
        <w:ind w:left="709"/>
        <w:contextualSpacing w:val="0"/>
        <w:rPr>
          <w:rFonts w:asciiTheme="minorHAnsi" w:eastAsiaTheme="minorHAnsi" w:hAnsiTheme="minorHAnsi" w:cstheme="minorBidi"/>
          <w:snapToGrid/>
          <w:sz w:val="24"/>
          <w:szCs w:val="22"/>
        </w:rPr>
      </w:pPr>
      <w:r w:rsidRPr="00B176CF">
        <w:rPr>
          <w:rFonts w:asciiTheme="minorHAnsi" w:eastAsiaTheme="minorHAnsi" w:hAnsiTheme="minorHAnsi" w:cstheme="minorBidi"/>
          <w:snapToGrid/>
          <w:sz w:val="24"/>
          <w:szCs w:val="22"/>
        </w:rPr>
        <w:t xml:space="preserve">The resubmission did not present any new evidence to support </w:t>
      </w:r>
      <w:r w:rsidR="00F77DD9" w:rsidRPr="00B176CF">
        <w:rPr>
          <w:rFonts w:asciiTheme="minorHAnsi" w:eastAsiaTheme="minorHAnsi" w:hAnsiTheme="minorHAnsi" w:cstheme="minorBidi"/>
          <w:snapToGrid/>
          <w:sz w:val="24"/>
          <w:szCs w:val="22"/>
        </w:rPr>
        <w:t xml:space="preserve">its request for </w:t>
      </w:r>
      <w:r w:rsidRPr="00B176CF">
        <w:rPr>
          <w:rFonts w:asciiTheme="minorHAnsi" w:eastAsiaTheme="minorHAnsi" w:hAnsiTheme="minorHAnsi" w:cstheme="minorBidi"/>
          <w:snapToGrid/>
          <w:sz w:val="24"/>
          <w:szCs w:val="22"/>
        </w:rPr>
        <w:t xml:space="preserve">inpatient funding of </w:t>
      </w:r>
      <w:proofErr w:type="spellStart"/>
      <w:r w:rsidRPr="00B176CF">
        <w:rPr>
          <w:rFonts w:asciiTheme="minorHAnsi" w:eastAsiaTheme="minorHAnsi" w:hAnsiTheme="minorHAnsi" w:cstheme="minorBidi"/>
          <w:snapToGrid/>
          <w:sz w:val="24"/>
          <w:szCs w:val="22"/>
        </w:rPr>
        <w:t>eculizumab</w:t>
      </w:r>
      <w:proofErr w:type="spellEnd"/>
      <w:r w:rsidRPr="00B176CF">
        <w:rPr>
          <w:rFonts w:asciiTheme="minorHAnsi" w:eastAsiaTheme="minorHAnsi" w:hAnsiTheme="minorHAnsi" w:cstheme="minorBidi"/>
          <w:snapToGrid/>
          <w:sz w:val="24"/>
          <w:szCs w:val="22"/>
        </w:rPr>
        <w:t>. The resubmission</w:t>
      </w:r>
      <w:r w:rsidR="008474E3" w:rsidRPr="00B176CF">
        <w:rPr>
          <w:rFonts w:asciiTheme="minorHAnsi" w:eastAsiaTheme="minorHAnsi" w:hAnsiTheme="minorHAnsi" w:cstheme="minorBidi"/>
          <w:snapToGrid/>
          <w:sz w:val="24"/>
          <w:szCs w:val="22"/>
        </w:rPr>
        <w:t xml:space="preserve"> re-iterated arguments provided in its July 2017 Pre-PBAC response and</w:t>
      </w:r>
      <w:r w:rsidRPr="00B176CF">
        <w:rPr>
          <w:rFonts w:asciiTheme="minorHAnsi" w:eastAsiaTheme="minorHAnsi" w:hAnsiTheme="minorHAnsi" w:cstheme="minorBidi"/>
          <w:snapToGrid/>
          <w:sz w:val="24"/>
          <w:szCs w:val="22"/>
        </w:rPr>
        <w:t xml:space="preserve"> stated that without PBS-subsidised inpatient access, “funding decisions would be made at the discretion of individual hospitals and state health services” which could “introduce delays to therapy and potentially delay transplant”. </w:t>
      </w:r>
    </w:p>
    <w:p w:rsidR="005A3173" w:rsidRPr="00B176CF" w:rsidRDefault="005A3173" w:rsidP="00750094">
      <w:pPr>
        <w:pStyle w:val="Heading2"/>
        <w:rPr>
          <w:i w:val="0"/>
        </w:rPr>
      </w:pPr>
      <w:r w:rsidRPr="00B176CF">
        <w:rPr>
          <w:i w:val="0"/>
        </w:rPr>
        <w:t>Comparative harms</w:t>
      </w:r>
    </w:p>
    <w:p w:rsidR="00F77DD9" w:rsidRPr="00B176CF" w:rsidRDefault="00F77DD9" w:rsidP="004E3AE7">
      <w:pPr>
        <w:pStyle w:val="ListParagraph"/>
        <w:widowControl/>
        <w:numPr>
          <w:ilvl w:val="1"/>
          <w:numId w:val="5"/>
        </w:numPr>
        <w:spacing w:after="120"/>
        <w:ind w:left="709"/>
        <w:contextualSpacing w:val="0"/>
        <w:rPr>
          <w:rFonts w:asciiTheme="minorHAnsi" w:eastAsiaTheme="minorHAnsi" w:hAnsiTheme="minorHAnsi" w:cstheme="minorBidi"/>
          <w:sz w:val="24"/>
          <w:szCs w:val="22"/>
        </w:rPr>
      </w:pPr>
      <w:r w:rsidRPr="00B176CF">
        <w:rPr>
          <w:rFonts w:asciiTheme="minorHAnsi" w:eastAsiaTheme="minorHAnsi" w:hAnsiTheme="minorHAnsi" w:cstheme="minorBidi"/>
          <w:sz w:val="24"/>
          <w:szCs w:val="22"/>
        </w:rPr>
        <w:t xml:space="preserve">The resubmission did not present any data relating to the safety or comparative safety of </w:t>
      </w:r>
      <w:proofErr w:type="spellStart"/>
      <w:r w:rsidRPr="00B176CF">
        <w:rPr>
          <w:rFonts w:asciiTheme="minorHAnsi" w:eastAsiaTheme="minorHAnsi" w:hAnsiTheme="minorHAnsi" w:cstheme="minorBidi"/>
          <w:sz w:val="24"/>
          <w:szCs w:val="22"/>
        </w:rPr>
        <w:t>eculizumab</w:t>
      </w:r>
      <w:proofErr w:type="spellEnd"/>
      <w:r w:rsidRPr="00B176CF">
        <w:rPr>
          <w:rFonts w:asciiTheme="minorHAnsi" w:eastAsiaTheme="minorHAnsi" w:hAnsiTheme="minorHAnsi" w:cstheme="minorBidi"/>
          <w:sz w:val="24"/>
          <w:szCs w:val="22"/>
        </w:rPr>
        <w:t xml:space="preserve">. </w:t>
      </w:r>
    </w:p>
    <w:p w:rsidR="00C84A86" w:rsidRPr="00340D98" w:rsidRDefault="00246B82" w:rsidP="004E3AE7">
      <w:pPr>
        <w:pStyle w:val="ListParagraph"/>
        <w:widowControl/>
        <w:numPr>
          <w:ilvl w:val="1"/>
          <w:numId w:val="5"/>
        </w:numPr>
        <w:spacing w:after="120"/>
        <w:ind w:left="709"/>
        <w:contextualSpacing w:val="0"/>
        <w:rPr>
          <w:rFonts w:asciiTheme="minorHAnsi" w:eastAsiaTheme="majorEastAsia" w:hAnsiTheme="minorHAnsi" w:cstheme="majorBidi"/>
          <w:sz w:val="28"/>
          <w:szCs w:val="28"/>
        </w:rPr>
      </w:pPr>
      <w:r>
        <w:rPr>
          <w:rFonts w:asciiTheme="minorHAnsi" w:eastAsiaTheme="minorHAnsi" w:hAnsiTheme="minorHAnsi" w:cstheme="minorBidi"/>
          <w:sz w:val="24"/>
          <w:szCs w:val="22"/>
        </w:rPr>
        <w:t>In its March 2014 consideration, t</w:t>
      </w:r>
      <w:r w:rsidR="00C84A86" w:rsidRPr="00B176CF">
        <w:rPr>
          <w:rFonts w:asciiTheme="minorHAnsi" w:eastAsiaTheme="minorHAnsi" w:hAnsiTheme="minorHAnsi" w:cstheme="minorBidi"/>
          <w:sz w:val="24"/>
          <w:szCs w:val="22"/>
        </w:rPr>
        <w:t>he PBAC noted</w:t>
      </w:r>
      <w:r>
        <w:rPr>
          <w:rFonts w:asciiTheme="minorHAnsi" w:eastAsiaTheme="minorHAnsi" w:hAnsiTheme="minorHAnsi" w:cstheme="minorBidi"/>
          <w:sz w:val="24"/>
          <w:szCs w:val="22"/>
        </w:rPr>
        <w:t xml:space="preserve"> </w:t>
      </w:r>
      <w:r w:rsidR="00C84A86" w:rsidRPr="00B176CF">
        <w:rPr>
          <w:rFonts w:asciiTheme="minorHAnsi" w:eastAsiaTheme="minorHAnsi" w:hAnsiTheme="minorHAnsi" w:cstheme="minorBidi"/>
          <w:sz w:val="24"/>
          <w:szCs w:val="22"/>
        </w:rPr>
        <w:t xml:space="preserve">that the comparative safety of long-term </w:t>
      </w:r>
      <w:proofErr w:type="spellStart"/>
      <w:r w:rsidR="00C84A86" w:rsidRPr="00B176CF">
        <w:rPr>
          <w:rFonts w:asciiTheme="minorHAnsi" w:eastAsiaTheme="minorHAnsi" w:hAnsiTheme="minorHAnsi" w:cstheme="minorBidi"/>
          <w:snapToGrid/>
          <w:sz w:val="24"/>
          <w:szCs w:val="22"/>
        </w:rPr>
        <w:t>eculizumab</w:t>
      </w:r>
      <w:proofErr w:type="spellEnd"/>
      <w:r w:rsidR="00C84A86" w:rsidRPr="00B176CF">
        <w:rPr>
          <w:rFonts w:asciiTheme="minorHAnsi" w:eastAsiaTheme="minorHAnsi" w:hAnsiTheme="minorHAnsi" w:cstheme="minorBidi"/>
          <w:sz w:val="24"/>
          <w:szCs w:val="22"/>
        </w:rPr>
        <w:t xml:space="preserve"> is still to be determined. Further, the PBAC noted that the </w:t>
      </w:r>
      <w:proofErr w:type="gramStart"/>
      <w:r w:rsidR="00C84A86" w:rsidRPr="00B176CF">
        <w:rPr>
          <w:rFonts w:asciiTheme="minorHAnsi" w:eastAsiaTheme="minorHAnsi" w:hAnsiTheme="minorHAnsi" w:cstheme="minorBidi"/>
          <w:sz w:val="24"/>
          <w:szCs w:val="22"/>
        </w:rPr>
        <w:t xml:space="preserve">safety of the long-term use of </w:t>
      </w:r>
      <w:proofErr w:type="spellStart"/>
      <w:r w:rsidR="00C84A86" w:rsidRPr="00B176CF">
        <w:rPr>
          <w:rFonts w:asciiTheme="minorHAnsi" w:eastAsiaTheme="minorHAnsi" w:hAnsiTheme="minorHAnsi" w:cstheme="minorBidi"/>
          <w:sz w:val="24"/>
          <w:szCs w:val="22"/>
        </w:rPr>
        <w:t>eculizumab</w:t>
      </w:r>
      <w:proofErr w:type="spellEnd"/>
      <w:r w:rsidR="00C84A86" w:rsidRPr="00B176CF">
        <w:rPr>
          <w:rFonts w:asciiTheme="minorHAnsi" w:eastAsiaTheme="minorHAnsi" w:hAnsiTheme="minorHAnsi" w:cstheme="minorBidi"/>
          <w:sz w:val="24"/>
          <w:szCs w:val="22"/>
        </w:rPr>
        <w:t xml:space="preserve"> in patients with complete</w:t>
      </w:r>
      <w:proofErr w:type="gramEnd"/>
      <w:r w:rsidR="00C84A86" w:rsidRPr="00B176CF">
        <w:rPr>
          <w:rFonts w:asciiTheme="minorHAnsi" w:eastAsiaTheme="minorHAnsi" w:hAnsiTheme="minorHAnsi" w:cstheme="minorBidi"/>
          <w:sz w:val="24"/>
          <w:szCs w:val="22"/>
        </w:rPr>
        <w:t xml:space="preserve"> remission of </w:t>
      </w:r>
      <w:proofErr w:type="spellStart"/>
      <w:r w:rsidR="00F31AA5">
        <w:rPr>
          <w:rFonts w:asciiTheme="minorHAnsi" w:eastAsiaTheme="minorHAnsi" w:hAnsiTheme="minorHAnsi" w:cstheme="minorBidi"/>
          <w:sz w:val="24"/>
          <w:szCs w:val="22"/>
        </w:rPr>
        <w:t>aHUS</w:t>
      </w:r>
      <w:proofErr w:type="spellEnd"/>
      <w:r w:rsidR="00C84A86" w:rsidRPr="00B176CF">
        <w:rPr>
          <w:rFonts w:asciiTheme="minorHAnsi" w:eastAsiaTheme="minorHAnsi" w:hAnsiTheme="minorHAnsi" w:cstheme="minorBidi"/>
          <w:sz w:val="24"/>
          <w:szCs w:val="22"/>
        </w:rPr>
        <w:t xml:space="preserve"> and renal function is also not known (</w:t>
      </w:r>
      <w:proofErr w:type="spellStart"/>
      <w:r w:rsidR="00C84A86" w:rsidRPr="00B176CF">
        <w:rPr>
          <w:rFonts w:asciiTheme="minorHAnsi" w:eastAsiaTheme="minorHAnsi" w:hAnsiTheme="minorHAnsi" w:cstheme="minorBidi"/>
          <w:sz w:val="24"/>
          <w:szCs w:val="22"/>
        </w:rPr>
        <w:t>Eculizumab</w:t>
      </w:r>
      <w:proofErr w:type="spellEnd"/>
      <w:r w:rsidR="00C84A86" w:rsidRPr="00B176CF">
        <w:rPr>
          <w:rFonts w:asciiTheme="minorHAnsi" w:eastAsiaTheme="minorHAnsi" w:hAnsiTheme="minorHAnsi" w:cstheme="minorBidi"/>
          <w:sz w:val="24"/>
          <w:szCs w:val="22"/>
        </w:rPr>
        <w:t xml:space="preserve"> PSD, March 2014 PBAC Meeting). The </w:t>
      </w:r>
      <w:r w:rsidR="00C84A86" w:rsidRPr="00B176CF">
        <w:rPr>
          <w:rFonts w:asciiTheme="minorHAnsi" w:eastAsiaTheme="minorHAnsi" w:hAnsiTheme="minorHAnsi" w:cstheme="minorBidi"/>
          <w:sz w:val="24"/>
          <w:szCs w:val="22"/>
        </w:rPr>
        <w:lastRenderedPageBreak/>
        <w:t>PBAC re-</w:t>
      </w:r>
      <w:r w:rsidR="00C84A86" w:rsidRPr="00340D98">
        <w:rPr>
          <w:rFonts w:asciiTheme="minorHAnsi" w:eastAsiaTheme="minorHAnsi" w:hAnsiTheme="minorHAnsi" w:cstheme="minorBidi"/>
          <w:sz w:val="24"/>
          <w:szCs w:val="22"/>
        </w:rPr>
        <w:t xml:space="preserve">iterated this in July 2017, as no data were submitted to address this </w:t>
      </w:r>
      <w:r w:rsidR="00C84A86" w:rsidRPr="00340D98">
        <w:rPr>
          <w:rFonts w:asciiTheme="minorHAnsi" w:eastAsiaTheme="minorHAnsi" w:hAnsiTheme="minorHAnsi" w:cstheme="minorBidi"/>
          <w:snapToGrid/>
          <w:sz w:val="24"/>
          <w:szCs w:val="22"/>
        </w:rPr>
        <w:t>issue</w:t>
      </w:r>
      <w:r w:rsidR="00C84A86" w:rsidRPr="00340D98">
        <w:rPr>
          <w:rFonts w:asciiTheme="minorHAnsi" w:eastAsiaTheme="minorHAnsi" w:hAnsiTheme="minorHAnsi" w:cstheme="minorBidi"/>
          <w:sz w:val="24"/>
          <w:szCs w:val="22"/>
        </w:rPr>
        <w:t xml:space="preserve"> </w:t>
      </w:r>
      <w:r w:rsidR="00D82C31" w:rsidRPr="00340D98">
        <w:rPr>
          <w:rFonts w:asciiTheme="minorHAnsi" w:eastAsiaTheme="minorHAnsi" w:hAnsiTheme="minorHAnsi" w:cstheme="minorBidi"/>
          <w:sz w:val="24"/>
          <w:szCs w:val="22"/>
        </w:rPr>
        <w:t xml:space="preserve">at that time </w:t>
      </w:r>
      <w:r w:rsidR="00C84A86" w:rsidRPr="00340D98">
        <w:rPr>
          <w:rFonts w:asciiTheme="minorHAnsi" w:eastAsiaTheme="minorHAnsi" w:hAnsiTheme="minorHAnsi" w:cstheme="minorBidi"/>
          <w:sz w:val="24"/>
          <w:szCs w:val="22"/>
        </w:rPr>
        <w:t xml:space="preserve">(July 2017 </w:t>
      </w:r>
      <w:r w:rsidR="00C84A86" w:rsidRPr="006B6120">
        <w:rPr>
          <w:rFonts w:asciiTheme="minorHAnsi" w:eastAsiaTheme="minorHAnsi" w:hAnsiTheme="minorHAnsi" w:cstheme="minorBidi"/>
          <w:sz w:val="24"/>
          <w:szCs w:val="24"/>
        </w:rPr>
        <w:t xml:space="preserve">PBAC </w:t>
      </w:r>
      <w:r w:rsidR="00400F7C" w:rsidRPr="006B6120">
        <w:rPr>
          <w:rFonts w:asciiTheme="minorHAnsi" w:hAnsiTheme="minorHAnsi"/>
          <w:sz w:val="24"/>
          <w:szCs w:val="24"/>
        </w:rPr>
        <w:t>Public Summary Document</w:t>
      </w:r>
      <w:r w:rsidR="00C84A86" w:rsidRPr="006B6120">
        <w:rPr>
          <w:rFonts w:asciiTheme="minorHAnsi" w:eastAsiaTheme="minorHAnsi" w:hAnsiTheme="minorHAnsi" w:cstheme="minorBidi"/>
          <w:sz w:val="24"/>
          <w:szCs w:val="24"/>
        </w:rPr>
        <w:t>, para</w:t>
      </w:r>
      <w:r w:rsidR="00C84A86" w:rsidRPr="00340D98">
        <w:rPr>
          <w:rFonts w:asciiTheme="minorHAnsi" w:eastAsiaTheme="minorHAnsi" w:hAnsiTheme="minorHAnsi" w:cstheme="minorBidi"/>
          <w:sz w:val="24"/>
          <w:szCs w:val="22"/>
        </w:rPr>
        <w:t xml:space="preserve"> 6.45). </w:t>
      </w:r>
    </w:p>
    <w:p w:rsidR="00851ED1" w:rsidRPr="00340D98" w:rsidRDefault="00851ED1" w:rsidP="00E013EC">
      <w:pPr>
        <w:pStyle w:val="ListParagraph"/>
        <w:widowControl/>
        <w:numPr>
          <w:ilvl w:val="1"/>
          <w:numId w:val="5"/>
        </w:numPr>
        <w:spacing w:after="120"/>
        <w:ind w:left="709"/>
        <w:contextualSpacing w:val="0"/>
        <w:rPr>
          <w:rFonts w:asciiTheme="minorHAnsi" w:eastAsiaTheme="majorEastAsia" w:hAnsiTheme="minorHAnsi" w:cstheme="majorBidi"/>
          <w:sz w:val="28"/>
          <w:szCs w:val="28"/>
        </w:rPr>
      </w:pPr>
      <w:r w:rsidRPr="00340D98">
        <w:rPr>
          <w:rFonts w:asciiTheme="minorHAnsi" w:eastAsiaTheme="minorHAnsi" w:hAnsiTheme="minorHAnsi" w:cstheme="minorBidi"/>
          <w:sz w:val="24"/>
          <w:szCs w:val="22"/>
        </w:rPr>
        <w:t xml:space="preserve">The pre-PBAC response stated the </w:t>
      </w:r>
      <w:proofErr w:type="spellStart"/>
      <w:r w:rsidRPr="00340D98">
        <w:rPr>
          <w:rFonts w:asciiTheme="minorHAnsi" w:eastAsiaTheme="minorHAnsi" w:hAnsiTheme="minorHAnsi" w:cstheme="minorBidi"/>
          <w:sz w:val="24"/>
          <w:szCs w:val="22"/>
        </w:rPr>
        <w:t>eculizumab</w:t>
      </w:r>
      <w:proofErr w:type="spellEnd"/>
      <w:r w:rsidRPr="00340D98">
        <w:rPr>
          <w:rFonts w:asciiTheme="minorHAnsi" w:eastAsiaTheme="minorHAnsi" w:hAnsiTheme="minorHAnsi" w:cstheme="minorBidi"/>
          <w:sz w:val="24"/>
          <w:szCs w:val="22"/>
        </w:rPr>
        <w:t xml:space="preserve"> Periodic Safety Update Report </w:t>
      </w:r>
      <w:r w:rsidR="00980F0A" w:rsidRPr="00340D98">
        <w:rPr>
          <w:rFonts w:asciiTheme="minorHAnsi" w:eastAsiaTheme="minorHAnsi" w:hAnsiTheme="minorHAnsi" w:cstheme="minorBidi"/>
          <w:sz w:val="24"/>
          <w:szCs w:val="22"/>
        </w:rPr>
        <w:t>found that the rate of</w:t>
      </w:r>
      <w:r w:rsidR="0010043C" w:rsidRPr="00340D98">
        <w:rPr>
          <w:rFonts w:asciiTheme="minorHAnsi" w:eastAsiaTheme="minorHAnsi" w:hAnsiTheme="minorHAnsi" w:cstheme="minorBidi"/>
          <w:sz w:val="24"/>
          <w:szCs w:val="22"/>
        </w:rPr>
        <w:t xml:space="preserve"> </w:t>
      </w:r>
      <w:r w:rsidR="00246B82" w:rsidRPr="00340D98">
        <w:rPr>
          <w:rFonts w:asciiTheme="minorHAnsi" w:eastAsiaTheme="minorHAnsi" w:hAnsiTheme="minorHAnsi" w:cstheme="minorBidi"/>
          <w:sz w:val="24"/>
          <w:szCs w:val="22"/>
        </w:rPr>
        <w:t>meningococcal infections was</w:t>
      </w:r>
      <w:r w:rsidR="0010043C" w:rsidRPr="00340D98">
        <w:rPr>
          <w:rFonts w:asciiTheme="minorHAnsi" w:eastAsiaTheme="minorHAnsi" w:hAnsiTheme="minorHAnsi" w:cstheme="minorBidi"/>
          <w:sz w:val="24"/>
          <w:szCs w:val="22"/>
        </w:rPr>
        <w:t xml:space="preserve"> 0.31 per 100-patient-years</w:t>
      </w:r>
      <w:r w:rsidR="00246B82" w:rsidRPr="00340D98">
        <w:rPr>
          <w:rFonts w:asciiTheme="minorHAnsi" w:eastAsiaTheme="minorHAnsi" w:hAnsiTheme="minorHAnsi" w:cstheme="minorBidi"/>
          <w:sz w:val="24"/>
          <w:szCs w:val="22"/>
        </w:rPr>
        <w:t xml:space="preserve"> </w:t>
      </w:r>
      <w:r w:rsidR="00980F0A" w:rsidRPr="00340D98">
        <w:rPr>
          <w:rFonts w:asciiTheme="minorHAnsi" w:eastAsiaTheme="minorHAnsi" w:hAnsiTheme="minorHAnsi" w:cstheme="minorBidi"/>
          <w:sz w:val="24"/>
          <w:szCs w:val="22"/>
        </w:rPr>
        <w:t xml:space="preserve">across all indications, and 0.28 per 100 patient-years in patients with </w:t>
      </w:r>
      <w:proofErr w:type="spellStart"/>
      <w:r w:rsidR="00980F0A" w:rsidRPr="00340D98">
        <w:rPr>
          <w:rFonts w:asciiTheme="minorHAnsi" w:eastAsiaTheme="minorHAnsi" w:hAnsiTheme="minorHAnsi" w:cstheme="minorBidi"/>
          <w:sz w:val="24"/>
          <w:szCs w:val="22"/>
        </w:rPr>
        <w:t>aHUS</w:t>
      </w:r>
      <w:proofErr w:type="spellEnd"/>
      <w:r w:rsidR="00980F0A" w:rsidRPr="00340D98">
        <w:rPr>
          <w:rFonts w:asciiTheme="minorHAnsi" w:eastAsiaTheme="minorHAnsi" w:hAnsiTheme="minorHAnsi" w:cstheme="minorBidi"/>
          <w:sz w:val="24"/>
          <w:szCs w:val="22"/>
        </w:rPr>
        <w:t xml:space="preserve"> </w:t>
      </w:r>
      <w:r w:rsidR="00246B82" w:rsidRPr="00340D98">
        <w:rPr>
          <w:rFonts w:asciiTheme="minorHAnsi" w:eastAsiaTheme="minorHAnsi" w:hAnsiTheme="minorHAnsi" w:cstheme="minorBidi"/>
          <w:sz w:val="24"/>
          <w:szCs w:val="22"/>
        </w:rPr>
        <w:t>(for the period October 2016 to October 2017)</w:t>
      </w:r>
      <w:r w:rsidR="00980F0A" w:rsidRPr="00340D98">
        <w:rPr>
          <w:rFonts w:asciiTheme="minorHAnsi" w:eastAsiaTheme="minorHAnsi" w:hAnsiTheme="minorHAnsi" w:cstheme="minorBidi"/>
          <w:sz w:val="24"/>
          <w:szCs w:val="22"/>
        </w:rPr>
        <w:t>. T</w:t>
      </w:r>
      <w:r w:rsidR="00246B82" w:rsidRPr="00340D98">
        <w:rPr>
          <w:rFonts w:asciiTheme="minorHAnsi" w:eastAsiaTheme="minorHAnsi" w:hAnsiTheme="minorHAnsi" w:cstheme="minorBidi"/>
          <w:sz w:val="24"/>
          <w:szCs w:val="22"/>
        </w:rPr>
        <w:t xml:space="preserve">he pre-PBAC response stated </w:t>
      </w:r>
      <w:r w:rsidR="00980F0A" w:rsidRPr="00340D98">
        <w:rPr>
          <w:rFonts w:asciiTheme="minorHAnsi" w:eastAsiaTheme="minorHAnsi" w:hAnsiTheme="minorHAnsi" w:cstheme="minorBidi"/>
          <w:sz w:val="24"/>
          <w:szCs w:val="22"/>
        </w:rPr>
        <w:t>this was</w:t>
      </w:r>
      <w:r w:rsidR="0010043C" w:rsidRPr="00340D98">
        <w:rPr>
          <w:rFonts w:asciiTheme="minorHAnsi" w:eastAsiaTheme="minorHAnsi" w:hAnsiTheme="minorHAnsi" w:cstheme="minorBidi"/>
          <w:sz w:val="24"/>
          <w:szCs w:val="22"/>
        </w:rPr>
        <w:t xml:space="preserve"> similar to </w:t>
      </w:r>
      <w:r w:rsidR="00980F0A" w:rsidRPr="00340D98">
        <w:rPr>
          <w:rFonts w:asciiTheme="minorHAnsi" w:eastAsiaTheme="minorHAnsi" w:hAnsiTheme="minorHAnsi" w:cstheme="minorBidi"/>
          <w:sz w:val="24"/>
          <w:szCs w:val="22"/>
        </w:rPr>
        <w:t xml:space="preserve">the rates reported </w:t>
      </w:r>
      <w:r w:rsidR="0010043C" w:rsidRPr="00340D98">
        <w:rPr>
          <w:rFonts w:asciiTheme="minorHAnsi" w:eastAsiaTheme="minorHAnsi" w:hAnsiTheme="minorHAnsi" w:cstheme="minorBidi"/>
          <w:sz w:val="24"/>
          <w:szCs w:val="22"/>
        </w:rPr>
        <w:t>previous</w:t>
      </w:r>
      <w:r w:rsidR="00980F0A" w:rsidRPr="00340D98">
        <w:rPr>
          <w:rFonts w:asciiTheme="minorHAnsi" w:eastAsiaTheme="minorHAnsi" w:hAnsiTheme="minorHAnsi" w:cstheme="minorBidi"/>
          <w:sz w:val="24"/>
          <w:szCs w:val="22"/>
        </w:rPr>
        <w:t>ly. F</w:t>
      </w:r>
      <w:r w:rsidR="0010043C" w:rsidRPr="00340D98">
        <w:rPr>
          <w:rFonts w:asciiTheme="minorHAnsi" w:eastAsiaTheme="minorHAnsi" w:hAnsiTheme="minorHAnsi" w:cstheme="minorBidi"/>
          <w:sz w:val="24"/>
          <w:szCs w:val="22"/>
        </w:rPr>
        <w:t xml:space="preserve">atal outcomes in patients experiencing meningococcal infection </w:t>
      </w:r>
      <w:r w:rsidR="00980F0A" w:rsidRPr="00340D98">
        <w:rPr>
          <w:rFonts w:asciiTheme="minorHAnsi" w:eastAsiaTheme="minorHAnsi" w:hAnsiTheme="minorHAnsi" w:cstheme="minorBidi"/>
          <w:sz w:val="24"/>
          <w:szCs w:val="22"/>
        </w:rPr>
        <w:t>occurred at a rate of</w:t>
      </w:r>
      <w:r w:rsidR="0010043C" w:rsidRPr="00340D98">
        <w:rPr>
          <w:rFonts w:asciiTheme="minorHAnsi" w:eastAsiaTheme="minorHAnsi" w:hAnsiTheme="minorHAnsi" w:cstheme="minorBidi"/>
          <w:sz w:val="24"/>
          <w:szCs w:val="22"/>
        </w:rPr>
        <w:t xml:space="preserve"> 0.03 per 100 patient-years.</w:t>
      </w:r>
    </w:p>
    <w:p w:rsidR="009F0284" w:rsidRPr="00B176CF" w:rsidRDefault="009F0284" w:rsidP="00750094">
      <w:pPr>
        <w:pStyle w:val="Heading2"/>
        <w:rPr>
          <w:i w:val="0"/>
        </w:rPr>
      </w:pPr>
      <w:r w:rsidRPr="00B176CF">
        <w:rPr>
          <w:i w:val="0"/>
        </w:rPr>
        <w:t>Interpretation of clinical evidence</w:t>
      </w:r>
    </w:p>
    <w:p w:rsidR="00F57A6D" w:rsidRPr="00B176CF" w:rsidRDefault="00FF2801" w:rsidP="00D82C31">
      <w:pPr>
        <w:pStyle w:val="ListParagraph"/>
        <w:widowControl/>
        <w:numPr>
          <w:ilvl w:val="1"/>
          <w:numId w:val="14"/>
        </w:numPr>
        <w:spacing w:after="120"/>
        <w:ind w:left="709"/>
        <w:contextualSpacing w:val="0"/>
        <w:rPr>
          <w:rFonts w:asciiTheme="minorHAnsi" w:hAnsiTheme="minorHAnsi"/>
          <w:sz w:val="24"/>
          <w:szCs w:val="24"/>
        </w:rPr>
      </w:pPr>
      <w:r w:rsidRPr="00B176CF">
        <w:rPr>
          <w:rFonts w:asciiTheme="minorHAnsi" w:hAnsiTheme="minorHAnsi"/>
          <w:sz w:val="24"/>
          <w:szCs w:val="24"/>
        </w:rPr>
        <w:t xml:space="preserve">The </w:t>
      </w:r>
      <w:r w:rsidR="00D82C31" w:rsidRPr="00B176CF">
        <w:rPr>
          <w:rFonts w:asciiTheme="minorHAnsi" w:hAnsiTheme="minorHAnsi"/>
          <w:sz w:val="24"/>
          <w:szCs w:val="24"/>
        </w:rPr>
        <w:t xml:space="preserve">implied clinical claim in the resubmission was that 12 months of prophylactic </w:t>
      </w:r>
      <w:proofErr w:type="spellStart"/>
      <w:r w:rsidR="00D82C31" w:rsidRPr="00B176CF">
        <w:rPr>
          <w:rFonts w:asciiTheme="minorHAnsi" w:hAnsiTheme="minorHAnsi"/>
          <w:sz w:val="24"/>
          <w:szCs w:val="24"/>
        </w:rPr>
        <w:t>eculizumab</w:t>
      </w:r>
      <w:proofErr w:type="spellEnd"/>
      <w:r w:rsidR="00D82C31" w:rsidRPr="00B176CF">
        <w:rPr>
          <w:rFonts w:asciiTheme="minorHAnsi" w:hAnsiTheme="minorHAnsi"/>
          <w:sz w:val="24"/>
          <w:szCs w:val="24"/>
        </w:rPr>
        <w:t xml:space="preserve"> therapy post-transplant was superior to three months of </w:t>
      </w:r>
      <w:proofErr w:type="spellStart"/>
      <w:r w:rsidR="00D82C31" w:rsidRPr="00B176CF">
        <w:rPr>
          <w:rFonts w:asciiTheme="minorHAnsi" w:hAnsiTheme="minorHAnsi"/>
          <w:sz w:val="24"/>
          <w:szCs w:val="24"/>
        </w:rPr>
        <w:t>eculizumab</w:t>
      </w:r>
      <w:proofErr w:type="spellEnd"/>
      <w:r w:rsidR="00D82C31" w:rsidRPr="00B176CF">
        <w:rPr>
          <w:rFonts w:asciiTheme="minorHAnsi" w:hAnsiTheme="minorHAnsi"/>
          <w:sz w:val="24"/>
          <w:szCs w:val="24"/>
        </w:rPr>
        <w:t xml:space="preserve"> therapy followed by monitoring for recurrence of </w:t>
      </w:r>
      <w:proofErr w:type="spellStart"/>
      <w:r w:rsidR="00B176CF">
        <w:rPr>
          <w:rFonts w:asciiTheme="minorHAnsi" w:hAnsiTheme="minorHAnsi"/>
          <w:sz w:val="24"/>
          <w:szCs w:val="24"/>
        </w:rPr>
        <w:t>aHUS</w:t>
      </w:r>
      <w:proofErr w:type="spellEnd"/>
      <w:r w:rsidR="00B176CF">
        <w:rPr>
          <w:rFonts w:asciiTheme="minorHAnsi" w:hAnsiTheme="minorHAnsi"/>
          <w:sz w:val="24"/>
          <w:szCs w:val="24"/>
        </w:rPr>
        <w:t xml:space="preserve"> </w:t>
      </w:r>
      <w:r w:rsidR="00F31AA5">
        <w:rPr>
          <w:rFonts w:asciiTheme="minorHAnsi" w:hAnsiTheme="minorHAnsi"/>
          <w:sz w:val="24"/>
          <w:szCs w:val="24"/>
        </w:rPr>
        <w:t xml:space="preserve">in patients </w:t>
      </w:r>
      <w:r w:rsidR="00B176CF">
        <w:rPr>
          <w:rFonts w:asciiTheme="minorHAnsi" w:hAnsiTheme="minorHAnsi"/>
          <w:sz w:val="24"/>
          <w:szCs w:val="24"/>
        </w:rPr>
        <w:t>receiving a renal transplant</w:t>
      </w:r>
      <w:r w:rsidR="00D82C31" w:rsidRPr="00B176CF">
        <w:rPr>
          <w:rFonts w:asciiTheme="minorHAnsi" w:hAnsiTheme="minorHAnsi"/>
          <w:sz w:val="24"/>
          <w:szCs w:val="24"/>
        </w:rPr>
        <w:t xml:space="preserve">. </w:t>
      </w:r>
      <w:r w:rsidR="00842EA6">
        <w:rPr>
          <w:rFonts w:asciiTheme="minorHAnsi" w:hAnsiTheme="minorHAnsi"/>
          <w:sz w:val="24"/>
          <w:szCs w:val="24"/>
        </w:rPr>
        <w:t>The Pre-PBAC response confirmed that this was the</w:t>
      </w:r>
      <w:r w:rsidR="00980F0A">
        <w:rPr>
          <w:rFonts w:asciiTheme="minorHAnsi" w:hAnsiTheme="minorHAnsi"/>
          <w:sz w:val="24"/>
          <w:szCs w:val="24"/>
        </w:rPr>
        <w:t xml:space="preserve"> intended</w:t>
      </w:r>
      <w:r w:rsidR="00842EA6">
        <w:rPr>
          <w:rFonts w:asciiTheme="minorHAnsi" w:hAnsiTheme="minorHAnsi"/>
          <w:sz w:val="24"/>
          <w:szCs w:val="24"/>
        </w:rPr>
        <w:t xml:space="preserve"> clinical claim.</w:t>
      </w:r>
    </w:p>
    <w:p w:rsidR="00C84A86" w:rsidRPr="006C23F1" w:rsidRDefault="00C84A86" w:rsidP="00640EC0">
      <w:pPr>
        <w:pStyle w:val="ListParagraph"/>
        <w:widowControl/>
        <w:numPr>
          <w:ilvl w:val="1"/>
          <w:numId w:val="14"/>
        </w:numPr>
        <w:spacing w:after="120"/>
        <w:ind w:left="709"/>
        <w:contextualSpacing w:val="0"/>
        <w:rPr>
          <w:rFonts w:asciiTheme="minorHAnsi" w:hAnsiTheme="minorHAnsi"/>
          <w:sz w:val="24"/>
          <w:szCs w:val="24"/>
        </w:rPr>
      </w:pPr>
      <w:r w:rsidRPr="00B176CF">
        <w:rPr>
          <w:rFonts w:asciiTheme="minorHAnsi" w:hAnsiTheme="minorHAnsi"/>
          <w:sz w:val="24"/>
          <w:szCs w:val="24"/>
        </w:rPr>
        <w:t xml:space="preserve">In its July 2017 consideration, the PBAC considered that there was “insufficient evidence to quantify the comparative benefits and harms of long-term prophylactic </w:t>
      </w:r>
      <w:proofErr w:type="spellStart"/>
      <w:r w:rsidRPr="00B176CF">
        <w:rPr>
          <w:rFonts w:asciiTheme="minorHAnsi" w:hAnsiTheme="minorHAnsi"/>
          <w:sz w:val="24"/>
          <w:szCs w:val="24"/>
        </w:rPr>
        <w:t>eculizumab</w:t>
      </w:r>
      <w:proofErr w:type="spellEnd"/>
      <w:r w:rsidRPr="00B176CF">
        <w:rPr>
          <w:rFonts w:asciiTheme="minorHAnsi" w:hAnsiTheme="minorHAnsi"/>
          <w:sz w:val="24"/>
          <w:szCs w:val="24"/>
        </w:rPr>
        <w:t xml:space="preserve"> therapy, compared to discontinuation of therapy with monitoring for </w:t>
      </w:r>
      <w:r w:rsidRPr="006B6120">
        <w:rPr>
          <w:rFonts w:asciiTheme="minorHAnsi" w:hAnsiTheme="minorHAnsi"/>
          <w:sz w:val="24"/>
          <w:szCs w:val="24"/>
        </w:rPr>
        <w:t xml:space="preserve">recurrence of TMA, in patients in complete remission post-transplantation.” (July 2017 PBAC </w:t>
      </w:r>
      <w:r w:rsidR="00400F7C" w:rsidRPr="006B6120">
        <w:rPr>
          <w:rFonts w:asciiTheme="minorHAnsi" w:hAnsiTheme="minorHAnsi"/>
          <w:sz w:val="24"/>
          <w:szCs w:val="24"/>
        </w:rPr>
        <w:t>Public Summary Document</w:t>
      </w:r>
      <w:r w:rsidRPr="006B6120">
        <w:rPr>
          <w:rFonts w:asciiTheme="minorHAnsi" w:hAnsiTheme="minorHAnsi"/>
          <w:sz w:val="24"/>
          <w:szCs w:val="24"/>
        </w:rPr>
        <w:t>, para</w:t>
      </w:r>
      <w:r w:rsidRPr="006C23F1">
        <w:rPr>
          <w:rFonts w:asciiTheme="minorHAnsi" w:hAnsiTheme="minorHAnsi"/>
          <w:sz w:val="24"/>
          <w:szCs w:val="24"/>
        </w:rPr>
        <w:t xml:space="preserve"> 6.47) </w:t>
      </w:r>
    </w:p>
    <w:p w:rsidR="009D3314" w:rsidRPr="00E013EC" w:rsidRDefault="009D3314" w:rsidP="009D3314">
      <w:pPr>
        <w:pStyle w:val="ListParagraph"/>
        <w:widowControl/>
        <w:numPr>
          <w:ilvl w:val="1"/>
          <w:numId w:val="14"/>
        </w:numPr>
        <w:spacing w:after="120"/>
        <w:ind w:left="709"/>
        <w:contextualSpacing w:val="0"/>
        <w:rPr>
          <w:rFonts w:asciiTheme="minorHAnsi" w:hAnsiTheme="minorHAnsi"/>
          <w:sz w:val="24"/>
          <w:szCs w:val="24"/>
        </w:rPr>
      </w:pPr>
      <w:r w:rsidRPr="00E013EC">
        <w:rPr>
          <w:rFonts w:asciiTheme="minorHAnsi" w:hAnsiTheme="minorHAnsi"/>
          <w:sz w:val="24"/>
          <w:szCs w:val="24"/>
        </w:rPr>
        <w:t>The PBAC considered that the claim of superior comparative effectiveness and safety was not adequately supported by the data.</w:t>
      </w:r>
      <w:r w:rsidR="00240108">
        <w:rPr>
          <w:rFonts w:asciiTheme="minorHAnsi" w:hAnsiTheme="minorHAnsi"/>
          <w:sz w:val="24"/>
          <w:szCs w:val="24"/>
        </w:rPr>
        <w:t xml:space="preserve"> The PBAC confirmed its July 2017 consideration</w:t>
      </w:r>
      <w:r w:rsidR="00C24543">
        <w:rPr>
          <w:rFonts w:asciiTheme="minorHAnsi" w:hAnsiTheme="minorHAnsi"/>
          <w:sz w:val="24"/>
          <w:szCs w:val="24"/>
        </w:rPr>
        <w:t xml:space="preserve"> as presented in paragraph 6.28 above</w:t>
      </w:r>
      <w:r w:rsidR="00240108">
        <w:rPr>
          <w:rFonts w:asciiTheme="minorHAnsi" w:hAnsiTheme="minorHAnsi"/>
          <w:sz w:val="24"/>
          <w:szCs w:val="24"/>
        </w:rPr>
        <w:t>.</w:t>
      </w:r>
    </w:p>
    <w:p w:rsidR="005A3173" w:rsidRPr="00B176CF" w:rsidRDefault="005A3173" w:rsidP="00750094">
      <w:pPr>
        <w:pStyle w:val="Heading2"/>
        <w:rPr>
          <w:i w:val="0"/>
        </w:rPr>
      </w:pPr>
      <w:r w:rsidRPr="00B176CF">
        <w:rPr>
          <w:i w:val="0"/>
        </w:rPr>
        <w:t>Economic analysis</w:t>
      </w:r>
    </w:p>
    <w:p w:rsidR="005963BB" w:rsidRPr="00B176CF" w:rsidRDefault="00C84A86" w:rsidP="00B84D5C">
      <w:pPr>
        <w:pStyle w:val="ListParagraph"/>
        <w:widowControl/>
        <w:numPr>
          <w:ilvl w:val="1"/>
          <w:numId w:val="14"/>
        </w:numPr>
        <w:spacing w:after="120"/>
        <w:ind w:left="709"/>
        <w:contextualSpacing w:val="0"/>
        <w:rPr>
          <w:rFonts w:asciiTheme="minorHAnsi" w:hAnsiTheme="minorHAnsi"/>
          <w:sz w:val="24"/>
          <w:szCs w:val="24"/>
        </w:rPr>
      </w:pPr>
      <w:r w:rsidRPr="00B176CF">
        <w:rPr>
          <w:rFonts w:asciiTheme="minorHAnsi" w:eastAsiaTheme="minorHAnsi" w:hAnsiTheme="minorHAnsi" w:cstheme="minorBidi"/>
          <w:snapToGrid/>
          <w:sz w:val="24"/>
          <w:szCs w:val="22"/>
        </w:rPr>
        <w:t>The minor resubmission did not present an economic analysis</w:t>
      </w:r>
      <w:r w:rsidR="00C00DA7" w:rsidRPr="00B176CF">
        <w:rPr>
          <w:rFonts w:asciiTheme="minorHAnsi" w:hAnsiTheme="minorHAnsi"/>
          <w:sz w:val="24"/>
          <w:szCs w:val="24"/>
        </w:rPr>
        <w:t>.</w:t>
      </w:r>
    </w:p>
    <w:p w:rsidR="003C2FB5" w:rsidRPr="00B176CF" w:rsidRDefault="00A55FEE" w:rsidP="00750094">
      <w:pPr>
        <w:pStyle w:val="Heading2"/>
        <w:rPr>
          <w:i w:val="0"/>
        </w:rPr>
      </w:pPr>
      <w:r w:rsidRPr="00B176CF">
        <w:rPr>
          <w:i w:val="0"/>
        </w:rPr>
        <w:t xml:space="preserve">Drug cost/patient/year: </w:t>
      </w:r>
    </w:p>
    <w:p w:rsidR="00640EC0" w:rsidRPr="00B176CF" w:rsidRDefault="00640EC0" w:rsidP="00D82C31">
      <w:pPr>
        <w:pStyle w:val="ListParagraph"/>
        <w:widowControl/>
        <w:numPr>
          <w:ilvl w:val="1"/>
          <w:numId w:val="14"/>
        </w:numPr>
        <w:spacing w:after="120"/>
        <w:ind w:left="709"/>
        <w:contextualSpacing w:val="0"/>
        <w:rPr>
          <w:rFonts w:asciiTheme="minorHAnsi" w:eastAsiaTheme="minorHAnsi" w:hAnsiTheme="minorHAnsi" w:cstheme="minorBidi"/>
          <w:snapToGrid/>
          <w:sz w:val="24"/>
          <w:szCs w:val="22"/>
        </w:rPr>
      </w:pPr>
      <w:r w:rsidRPr="00B176CF">
        <w:rPr>
          <w:rFonts w:asciiTheme="minorHAnsi" w:eastAsiaTheme="minorHAnsi" w:hAnsiTheme="minorHAnsi" w:cstheme="minorBidi"/>
          <w:snapToGrid/>
          <w:sz w:val="24"/>
          <w:szCs w:val="22"/>
        </w:rPr>
        <w:t>For an adult patient weighing at least 40kg (assumes inpatient and ongoing maintenance treatment):</w:t>
      </w:r>
    </w:p>
    <w:p w:rsidR="00640EC0" w:rsidRPr="00B176CF" w:rsidRDefault="00640EC0" w:rsidP="00FF1457">
      <w:pPr>
        <w:pStyle w:val="ListParagraph"/>
        <w:numPr>
          <w:ilvl w:val="0"/>
          <w:numId w:val="18"/>
        </w:numPr>
        <w:spacing w:after="120"/>
        <w:ind w:left="993" w:hanging="284"/>
        <w:contextualSpacing w:val="0"/>
        <w:rPr>
          <w:rFonts w:asciiTheme="minorHAnsi" w:eastAsiaTheme="minorHAnsi" w:hAnsiTheme="minorHAnsi" w:cstheme="minorBidi"/>
          <w:snapToGrid/>
          <w:sz w:val="24"/>
          <w:szCs w:val="22"/>
        </w:rPr>
      </w:pPr>
      <w:r w:rsidRPr="00B176CF">
        <w:rPr>
          <w:rFonts w:asciiTheme="minorHAnsi" w:eastAsiaTheme="minorHAnsi" w:hAnsiTheme="minorHAnsi" w:cstheme="minorBidi"/>
          <w:snapToGrid/>
          <w:sz w:val="24"/>
          <w:szCs w:val="22"/>
        </w:rPr>
        <w:t>Initial phase: 900mg weekly x 4, $</w:t>
      </w:r>
      <w:r w:rsidRPr="00066AB6">
        <w:rPr>
          <w:rFonts w:asciiTheme="minorHAnsi" w:eastAsiaTheme="minorHAnsi" w:hAnsiTheme="minorHAnsi" w:cstheme="minorBidi"/>
          <w:snapToGrid/>
          <w:sz w:val="24"/>
          <w:szCs w:val="22"/>
        </w:rPr>
        <w:t>71,250</w:t>
      </w:r>
      <w:r w:rsidRPr="00B176CF">
        <w:rPr>
          <w:rFonts w:asciiTheme="minorHAnsi" w:eastAsiaTheme="minorHAnsi" w:hAnsiTheme="minorHAnsi" w:cstheme="minorBidi"/>
          <w:snapToGrid/>
          <w:sz w:val="24"/>
          <w:szCs w:val="22"/>
        </w:rPr>
        <w:t>/patient (public)</w:t>
      </w:r>
      <w:r w:rsidR="00343838" w:rsidRPr="00B176CF">
        <w:rPr>
          <w:rFonts w:asciiTheme="minorHAnsi" w:eastAsiaTheme="minorHAnsi" w:hAnsiTheme="minorHAnsi" w:cstheme="minorBidi"/>
          <w:snapToGrid/>
          <w:sz w:val="24"/>
          <w:szCs w:val="22"/>
        </w:rPr>
        <w:t>;</w:t>
      </w:r>
      <w:r w:rsidRPr="00B176CF">
        <w:rPr>
          <w:rFonts w:asciiTheme="minorHAnsi" w:eastAsiaTheme="minorHAnsi" w:hAnsiTheme="minorHAnsi" w:cstheme="minorBidi"/>
          <w:snapToGrid/>
          <w:sz w:val="24"/>
          <w:szCs w:val="22"/>
        </w:rPr>
        <w:t xml:space="preserve"> </w:t>
      </w:r>
    </w:p>
    <w:p w:rsidR="00640EC0" w:rsidRPr="00B176CF" w:rsidRDefault="00640EC0" w:rsidP="00FF1457">
      <w:pPr>
        <w:pStyle w:val="ListParagraph"/>
        <w:numPr>
          <w:ilvl w:val="0"/>
          <w:numId w:val="18"/>
        </w:numPr>
        <w:spacing w:after="120"/>
        <w:ind w:left="993" w:hanging="284"/>
        <w:contextualSpacing w:val="0"/>
        <w:rPr>
          <w:rFonts w:asciiTheme="minorHAnsi" w:eastAsiaTheme="minorHAnsi" w:hAnsiTheme="minorHAnsi" w:cstheme="minorBidi"/>
          <w:snapToGrid/>
          <w:sz w:val="24"/>
          <w:szCs w:val="22"/>
        </w:rPr>
      </w:pPr>
      <w:r w:rsidRPr="00B176CF">
        <w:rPr>
          <w:rFonts w:asciiTheme="minorHAnsi" w:eastAsiaTheme="minorHAnsi" w:hAnsiTheme="minorHAnsi" w:cstheme="minorBidi"/>
          <w:snapToGrid/>
          <w:sz w:val="24"/>
          <w:szCs w:val="22"/>
        </w:rPr>
        <w:t>Initial phase with additional dose at graft reperfusion: $</w:t>
      </w:r>
      <w:r w:rsidRPr="00066AB6">
        <w:rPr>
          <w:rFonts w:asciiTheme="minorHAnsi" w:eastAsiaTheme="minorHAnsi" w:hAnsiTheme="minorHAnsi" w:cstheme="minorBidi"/>
          <w:snapToGrid/>
          <w:sz w:val="24"/>
          <w:szCs w:val="22"/>
        </w:rPr>
        <w:t>89,063</w:t>
      </w:r>
      <w:r w:rsidRPr="00B176CF">
        <w:rPr>
          <w:rFonts w:asciiTheme="minorHAnsi" w:eastAsiaTheme="minorHAnsi" w:hAnsiTheme="minorHAnsi" w:cstheme="minorBidi"/>
          <w:snapToGrid/>
          <w:sz w:val="24"/>
          <w:szCs w:val="22"/>
        </w:rPr>
        <w:t>/patient (public)</w:t>
      </w:r>
      <w:r w:rsidR="00343838" w:rsidRPr="00B176CF">
        <w:rPr>
          <w:rFonts w:asciiTheme="minorHAnsi" w:eastAsiaTheme="minorHAnsi" w:hAnsiTheme="minorHAnsi" w:cstheme="minorBidi"/>
          <w:snapToGrid/>
          <w:sz w:val="24"/>
          <w:szCs w:val="22"/>
        </w:rPr>
        <w:t>;</w:t>
      </w:r>
      <w:r w:rsidRPr="00B176CF">
        <w:rPr>
          <w:rFonts w:asciiTheme="minorHAnsi" w:eastAsiaTheme="minorHAnsi" w:hAnsiTheme="minorHAnsi" w:cstheme="minorBidi"/>
          <w:snapToGrid/>
          <w:sz w:val="24"/>
          <w:szCs w:val="22"/>
        </w:rPr>
        <w:t xml:space="preserve"> </w:t>
      </w:r>
    </w:p>
    <w:p w:rsidR="00640EC0" w:rsidRPr="00B176CF" w:rsidRDefault="00640EC0" w:rsidP="00FF1457">
      <w:pPr>
        <w:pStyle w:val="ListParagraph"/>
        <w:numPr>
          <w:ilvl w:val="0"/>
          <w:numId w:val="18"/>
        </w:numPr>
        <w:spacing w:after="120"/>
        <w:ind w:left="993" w:hanging="284"/>
        <w:contextualSpacing w:val="0"/>
        <w:rPr>
          <w:rFonts w:asciiTheme="minorHAnsi" w:eastAsiaTheme="minorHAnsi" w:hAnsiTheme="minorHAnsi" w:cstheme="minorBidi"/>
          <w:snapToGrid/>
          <w:sz w:val="24"/>
          <w:szCs w:val="22"/>
        </w:rPr>
      </w:pPr>
      <w:r w:rsidRPr="00B176CF">
        <w:rPr>
          <w:rFonts w:asciiTheme="minorHAnsi" w:eastAsiaTheme="minorHAnsi" w:hAnsiTheme="minorHAnsi" w:cstheme="minorBidi"/>
          <w:snapToGrid/>
          <w:sz w:val="24"/>
          <w:szCs w:val="22"/>
        </w:rPr>
        <w:t>Maintenance phase: $</w:t>
      </w:r>
      <w:r w:rsidRPr="00066AB6">
        <w:rPr>
          <w:rFonts w:asciiTheme="minorHAnsi" w:eastAsiaTheme="minorHAnsi" w:hAnsiTheme="minorHAnsi" w:cstheme="minorBidi"/>
          <w:snapToGrid/>
          <w:sz w:val="24"/>
          <w:szCs w:val="22"/>
        </w:rPr>
        <w:t>617,500</w:t>
      </w:r>
      <w:r w:rsidRPr="00B176CF">
        <w:rPr>
          <w:rFonts w:asciiTheme="minorHAnsi" w:eastAsiaTheme="minorHAnsi" w:hAnsiTheme="minorHAnsi" w:cstheme="minorBidi"/>
          <w:snapToGrid/>
          <w:sz w:val="24"/>
          <w:szCs w:val="22"/>
        </w:rPr>
        <w:t>/patient/year (public) (assuming 1200 mg every 2 weeks = 4 vials x (52 weeks ÷2) = 104 vials per year).</w:t>
      </w:r>
    </w:p>
    <w:p w:rsidR="00640EC0" w:rsidRPr="00B176CF" w:rsidRDefault="00640EC0" w:rsidP="00343838">
      <w:pPr>
        <w:pStyle w:val="ListParagraph"/>
        <w:widowControl/>
        <w:numPr>
          <w:ilvl w:val="1"/>
          <w:numId w:val="14"/>
        </w:numPr>
        <w:spacing w:after="120"/>
        <w:ind w:left="709"/>
        <w:contextualSpacing w:val="0"/>
        <w:rPr>
          <w:rFonts w:asciiTheme="minorHAnsi" w:eastAsiaTheme="minorHAnsi" w:hAnsiTheme="minorHAnsi" w:cstheme="minorBidi"/>
          <w:snapToGrid/>
          <w:sz w:val="24"/>
          <w:szCs w:val="22"/>
        </w:rPr>
      </w:pPr>
      <w:r w:rsidRPr="00B176CF">
        <w:rPr>
          <w:rFonts w:asciiTheme="minorHAnsi" w:eastAsiaTheme="minorHAnsi" w:hAnsiTheme="minorHAnsi" w:cstheme="minorBidi"/>
          <w:snapToGrid/>
          <w:sz w:val="24"/>
          <w:szCs w:val="22"/>
        </w:rPr>
        <w:t>Based on the recommendation pro</w:t>
      </w:r>
      <w:r w:rsidR="003C57AC" w:rsidRPr="00B176CF">
        <w:rPr>
          <w:rFonts w:asciiTheme="minorHAnsi" w:eastAsiaTheme="minorHAnsi" w:hAnsiTheme="minorHAnsi" w:cstheme="minorBidi"/>
          <w:snapToGrid/>
          <w:sz w:val="24"/>
          <w:szCs w:val="22"/>
        </w:rPr>
        <w:t>vid</w:t>
      </w:r>
      <w:r w:rsidRPr="00B176CF">
        <w:rPr>
          <w:rFonts w:asciiTheme="minorHAnsi" w:eastAsiaTheme="minorHAnsi" w:hAnsiTheme="minorHAnsi" w:cstheme="minorBidi"/>
          <w:snapToGrid/>
          <w:sz w:val="24"/>
          <w:szCs w:val="22"/>
        </w:rPr>
        <w:t>ed by the PBAC in July 2017 the cost per course would be $</w:t>
      </w:r>
      <w:r w:rsidRPr="00066AB6">
        <w:rPr>
          <w:rFonts w:asciiTheme="minorHAnsi" w:eastAsiaTheme="minorHAnsi" w:hAnsiTheme="minorHAnsi" w:cstheme="minorBidi"/>
          <w:snapToGrid/>
          <w:sz w:val="24"/>
          <w:szCs w:val="22"/>
        </w:rPr>
        <w:t>118,750</w:t>
      </w:r>
      <w:r w:rsidRPr="00B176CF">
        <w:rPr>
          <w:rFonts w:asciiTheme="minorHAnsi" w:eastAsiaTheme="minorHAnsi" w:hAnsiTheme="minorHAnsi" w:cstheme="minorBidi"/>
          <w:snapToGrid/>
          <w:sz w:val="24"/>
          <w:szCs w:val="22"/>
        </w:rPr>
        <w:t>/patient (public).</w:t>
      </w:r>
      <w:r w:rsidR="00343838" w:rsidRPr="00B176CF">
        <w:rPr>
          <w:rFonts w:asciiTheme="minorHAnsi" w:eastAsiaTheme="minorHAnsi" w:hAnsiTheme="minorHAnsi" w:cstheme="minorBidi"/>
          <w:snapToGrid/>
          <w:sz w:val="24"/>
          <w:szCs w:val="22"/>
        </w:rPr>
        <w:t xml:space="preserve"> This ass</w:t>
      </w:r>
      <w:r w:rsidRPr="00B176CF">
        <w:rPr>
          <w:rFonts w:asciiTheme="minorHAnsi" w:eastAsiaTheme="minorHAnsi" w:hAnsiTheme="minorHAnsi" w:cstheme="minorBidi"/>
          <w:snapToGrid/>
          <w:sz w:val="24"/>
          <w:szCs w:val="22"/>
        </w:rPr>
        <w:t>um</w:t>
      </w:r>
      <w:r w:rsidR="00343838" w:rsidRPr="00B176CF">
        <w:rPr>
          <w:rFonts w:asciiTheme="minorHAnsi" w:eastAsiaTheme="minorHAnsi" w:hAnsiTheme="minorHAnsi" w:cstheme="minorBidi"/>
          <w:snapToGrid/>
          <w:sz w:val="24"/>
          <w:szCs w:val="22"/>
        </w:rPr>
        <w:t>es</w:t>
      </w:r>
      <w:r w:rsidRPr="00B176CF">
        <w:rPr>
          <w:rFonts w:asciiTheme="minorHAnsi" w:eastAsiaTheme="minorHAnsi" w:hAnsiTheme="minorHAnsi" w:cstheme="minorBidi"/>
          <w:snapToGrid/>
          <w:sz w:val="24"/>
          <w:szCs w:val="22"/>
        </w:rPr>
        <w:t xml:space="preserve"> 1200 mg every 2 weeks = 4 vials x (10 weeks ÷2) = 20 vials per treatment course.</w:t>
      </w:r>
    </w:p>
    <w:p w:rsidR="005A3173" w:rsidRPr="00B176CF" w:rsidRDefault="005A3173" w:rsidP="00750094">
      <w:pPr>
        <w:pStyle w:val="Heading2"/>
        <w:rPr>
          <w:i w:val="0"/>
        </w:rPr>
      </w:pPr>
      <w:r w:rsidRPr="00B176CF">
        <w:rPr>
          <w:i w:val="0"/>
        </w:rPr>
        <w:lastRenderedPageBreak/>
        <w:t>Estimated PBS usage &amp; financial implications</w:t>
      </w:r>
    </w:p>
    <w:p w:rsidR="002119F2" w:rsidRPr="00B176CF" w:rsidRDefault="001216CA" w:rsidP="004E71D2">
      <w:pPr>
        <w:pStyle w:val="ListParagraph"/>
        <w:widowControl/>
        <w:numPr>
          <w:ilvl w:val="1"/>
          <w:numId w:val="14"/>
        </w:numPr>
        <w:spacing w:after="120"/>
        <w:ind w:left="709" w:hanging="709"/>
        <w:contextualSpacing w:val="0"/>
        <w:rPr>
          <w:rFonts w:asciiTheme="minorHAnsi" w:eastAsiaTheme="minorHAnsi" w:hAnsiTheme="minorHAnsi" w:cstheme="minorBidi"/>
          <w:snapToGrid/>
          <w:sz w:val="24"/>
          <w:szCs w:val="22"/>
        </w:rPr>
      </w:pPr>
      <w:r w:rsidRPr="00B176CF">
        <w:rPr>
          <w:rFonts w:asciiTheme="minorHAnsi" w:eastAsiaTheme="minorHAnsi" w:hAnsiTheme="minorHAnsi" w:cstheme="minorBidi"/>
          <w:snapToGrid/>
          <w:sz w:val="24"/>
          <w:szCs w:val="22"/>
        </w:rPr>
        <w:t xml:space="preserve">The resubmission stated that no changes were made to the </w:t>
      </w:r>
      <w:r w:rsidR="004E71D2" w:rsidRPr="00B176CF">
        <w:rPr>
          <w:rFonts w:asciiTheme="minorHAnsi" w:eastAsiaTheme="minorHAnsi" w:hAnsiTheme="minorHAnsi" w:cstheme="minorBidi"/>
          <w:snapToGrid/>
          <w:sz w:val="24"/>
          <w:szCs w:val="22"/>
        </w:rPr>
        <w:t>patient</w:t>
      </w:r>
      <w:r w:rsidRPr="00B176CF">
        <w:rPr>
          <w:rFonts w:asciiTheme="minorHAnsi" w:eastAsiaTheme="minorHAnsi" w:hAnsiTheme="minorHAnsi" w:cstheme="minorBidi"/>
          <w:snapToGrid/>
          <w:sz w:val="24"/>
          <w:szCs w:val="22"/>
        </w:rPr>
        <w:t xml:space="preserve"> estimates compared with the previous submission. </w:t>
      </w:r>
      <w:r w:rsidR="002119F2" w:rsidRPr="00B176CF">
        <w:rPr>
          <w:rFonts w:asciiTheme="minorHAnsi" w:eastAsiaTheme="minorHAnsi" w:hAnsiTheme="minorHAnsi" w:cstheme="minorBidi"/>
          <w:snapToGrid/>
          <w:sz w:val="24"/>
          <w:szCs w:val="22"/>
        </w:rPr>
        <w:t xml:space="preserve">As a minor </w:t>
      </w:r>
      <w:r w:rsidR="00675CA4">
        <w:rPr>
          <w:rFonts w:asciiTheme="minorHAnsi" w:eastAsiaTheme="minorHAnsi" w:hAnsiTheme="minorHAnsi" w:cstheme="minorBidi"/>
          <w:snapToGrid/>
          <w:sz w:val="24"/>
          <w:szCs w:val="22"/>
        </w:rPr>
        <w:t>re</w:t>
      </w:r>
      <w:r w:rsidR="002119F2" w:rsidRPr="00B176CF">
        <w:rPr>
          <w:rFonts w:asciiTheme="minorHAnsi" w:eastAsiaTheme="minorHAnsi" w:hAnsiTheme="minorHAnsi" w:cstheme="minorBidi"/>
          <w:snapToGrid/>
          <w:sz w:val="24"/>
          <w:szCs w:val="22"/>
        </w:rPr>
        <w:t xml:space="preserve">submission, the financial estimates were not fully evaluated. </w:t>
      </w:r>
      <w:r w:rsidRPr="00B176CF">
        <w:rPr>
          <w:rFonts w:asciiTheme="minorHAnsi" w:eastAsiaTheme="minorHAnsi" w:hAnsiTheme="minorHAnsi" w:cstheme="minorBidi"/>
          <w:snapToGrid/>
          <w:sz w:val="24"/>
          <w:szCs w:val="22"/>
        </w:rPr>
        <w:t xml:space="preserve">However, </w:t>
      </w:r>
      <w:r w:rsidR="002119F2" w:rsidRPr="00B176CF">
        <w:rPr>
          <w:rFonts w:asciiTheme="minorHAnsi" w:eastAsiaTheme="minorHAnsi" w:hAnsiTheme="minorHAnsi" w:cstheme="minorBidi"/>
          <w:snapToGrid/>
          <w:sz w:val="24"/>
          <w:szCs w:val="22"/>
        </w:rPr>
        <w:t xml:space="preserve">during preparation of the minor overview, a number of changes </w:t>
      </w:r>
      <w:r w:rsidR="004E71D2" w:rsidRPr="00B176CF">
        <w:rPr>
          <w:rFonts w:asciiTheme="minorHAnsi" w:eastAsiaTheme="minorHAnsi" w:hAnsiTheme="minorHAnsi" w:cstheme="minorBidi"/>
          <w:snapToGrid/>
          <w:sz w:val="24"/>
          <w:szCs w:val="22"/>
        </w:rPr>
        <w:t xml:space="preserve">to the financial estimates </w:t>
      </w:r>
      <w:r w:rsidR="002119F2" w:rsidRPr="00B176CF">
        <w:rPr>
          <w:rFonts w:asciiTheme="minorHAnsi" w:eastAsiaTheme="minorHAnsi" w:hAnsiTheme="minorHAnsi" w:cstheme="minorBidi"/>
          <w:snapToGrid/>
          <w:sz w:val="24"/>
          <w:szCs w:val="22"/>
        </w:rPr>
        <w:t xml:space="preserve">were noted. </w:t>
      </w:r>
    </w:p>
    <w:p w:rsidR="00343838" w:rsidRPr="00B176CF" w:rsidRDefault="00060424" w:rsidP="004E71D2">
      <w:pPr>
        <w:pStyle w:val="ListParagraph"/>
        <w:widowControl/>
        <w:numPr>
          <w:ilvl w:val="1"/>
          <w:numId w:val="14"/>
        </w:numPr>
        <w:spacing w:after="120"/>
        <w:ind w:left="709" w:hanging="709"/>
        <w:contextualSpacing w:val="0"/>
        <w:rPr>
          <w:rFonts w:asciiTheme="minorHAnsi" w:eastAsiaTheme="minorHAnsi" w:hAnsiTheme="minorHAnsi" w:cstheme="minorBidi"/>
          <w:snapToGrid/>
          <w:sz w:val="24"/>
          <w:szCs w:val="22"/>
        </w:rPr>
      </w:pPr>
      <w:r w:rsidRPr="00B176CF">
        <w:rPr>
          <w:rFonts w:asciiTheme="minorHAnsi" w:eastAsiaTheme="minorHAnsi" w:hAnsiTheme="minorHAnsi" w:cstheme="minorBidi"/>
          <w:snapToGrid/>
          <w:sz w:val="24"/>
          <w:szCs w:val="22"/>
        </w:rPr>
        <w:t xml:space="preserve">Firstly, </w:t>
      </w:r>
      <w:r w:rsidR="001216CA" w:rsidRPr="00B176CF">
        <w:rPr>
          <w:rFonts w:asciiTheme="minorHAnsi" w:eastAsiaTheme="minorHAnsi" w:hAnsiTheme="minorHAnsi" w:cstheme="minorBidi"/>
          <w:snapToGrid/>
          <w:sz w:val="24"/>
          <w:szCs w:val="22"/>
        </w:rPr>
        <w:t xml:space="preserve">the </w:t>
      </w:r>
      <w:r w:rsidR="00174241" w:rsidRPr="00B176CF">
        <w:rPr>
          <w:rFonts w:asciiTheme="minorHAnsi" w:eastAsiaTheme="minorHAnsi" w:hAnsiTheme="minorHAnsi" w:cstheme="minorBidi"/>
          <w:snapToGrid/>
          <w:sz w:val="24"/>
          <w:szCs w:val="22"/>
        </w:rPr>
        <w:t>financial estimate</w:t>
      </w:r>
      <w:r w:rsidR="008F26BF" w:rsidRPr="00B176CF">
        <w:rPr>
          <w:rFonts w:asciiTheme="minorHAnsi" w:eastAsiaTheme="minorHAnsi" w:hAnsiTheme="minorHAnsi" w:cstheme="minorBidi"/>
          <w:snapToGrid/>
          <w:sz w:val="24"/>
          <w:szCs w:val="22"/>
        </w:rPr>
        <w:t>s</w:t>
      </w:r>
      <w:r w:rsidR="00174241" w:rsidRPr="00B176CF">
        <w:rPr>
          <w:rFonts w:asciiTheme="minorHAnsi" w:eastAsiaTheme="minorHAnsi" w:hAnsiTheme="minorHAnsi" w:cstheme="minorBidi"/>
          <w:snapToGrid/>
          <w:sz w:val="24"/>
          <w:szCs w:val="22"/>
        </w:rPr>
        <w:t xml:space="preserve"> </w:t>
      </w:r>
      <w:r w:rsidR="004E71D2" w:rsidRPr="00B176CF">
        <w:rPr>
          <w:rFonts w:asciiTheme="minorHAnsi" w:eastAsiaTheme="minorHAnsi" w:hAnsiTheme="minorHAnsi" w:cstheme="minorBidi"/>
          <w:snapToGrid/>
          <w:sz w:val="24"/>
          <w:szCs w:val="22"/>
        </w:rPr>
        <w:t xml:space="preserve">assumed patients would receive one </w:t>
      </w:r>
      <w:r w:rsidR="009D3314">
        <w:rPr>
          <w:rFonts w:asciiTheme="minorHAnsi" w:eastAsiaTheme="minorHAnsi" w:hAnsiTheme="minorHAnsi" w:cstheme="minorBidi"/>
          <w:snapToGrid/>
          <w:sz w:val="24"/>
          <w:szCs w:val="22"/>
        </w:rPr>
        <w:t xml:space="preserve">full </w:t>
      </w:r>
      <w:r w:rsidR="004E71D2" w:rsidRPr="00B176CF">
        <w:rPr>
          <w:rFonts w:asciiTheme="minorHAnsi" w:eastAsiaTheme="minorHAnsi" w:hAnsiTheme="minorHAnsi" w:cstheme="minorBidi"/>
          <w:snapToGrid/>
          <w:sz w:val="24"/>
          <w:szCs w:val="22"/>
        </w:rPr>
        <w:t xml:space="preserve">year of </w:t>
      </w:r>
      <w:proofErr w:type="spellStart"/>
      <w:r w:rsidR="004E71D2" w:rsidRPr="00B176CF">
        <w:rPr>
          <w:rFonts w:asciiTheme="minorHAnsi" w:eastAsiaTheme="minorHAnsi" w:hAnsiTheme="minorHAnsi" w:cstheme="minorBidi"/>
          <w:snapToGrid/>
          <w:sz w:val="24"/>
          <w:szCs w:val="22"/>
        </w:rPr>
        <w:t>eculizumab</w:t>
      </w:r>
      <w:proofErr w:type="spellEnd"/>
      <w:r w:rsidR="004E71D2" w:rsidRPr="00B176CF">
        <w:rPr>
          <w:rFonts w:asciiTheme="minorHAnsi" w:eastAsiaTheme="minorHAnsi" w:hAnsiTheme="minorHAnsi" w:cstheme="minorBidi"/>
          <w:snapToGrid/>
          <w:sz w:val="24"/>
          <w:szCs w:val="22"/>
        </w:rPr>
        <w:t xml:space="preserve"> </w:t>
      </w:r>
      <w:r w:rsidR="009D3314">
        <w:rPr>
          <w:rFonts w:asciiTheme="minorHAnsi" w:eastAsiaTheme="minorHAnsi" w:hAnsiTheme="minorHAnsi" w:cstheme="minorBidi"/>
          <w:snapToGrid/>
          <w:sz w:val="24"/>
          <w:szCs w:val="22"/>
        </w:rPr>
        <w:t xml:space="preserve">therapy </w:t>
      </w:r>
      <w:r w:rsidR="004E71D2" w:rsidRPr="00B176CF">
        <w:rPr>
          <w:rFonts w:asciiTheme="minorHAnsi" w:eastAsiaTheme="minorHAnsi" w:hAnsiTheme="minorHAnsi" w:cstheme="minorBidi"/>
          <w:snapToGrid/>
          <w:sz w:val="24"/>
          <w:szCs w:val="22"/>
        </w:rPr>
        <w:t>under this restriction.</w:t>
      </w:r>
      <w:r w:rsidR="00343838" w:rsidRPr="00B176CF">
        <w:rPr>
          <w:rFonts w:asciiTheme="minorHAnsi" w:eastAsiaTheme="minorHAnsi" w:hAnsiTheme="minorHAnsi" w:cstheme="minorBidi"/>
          <w:snapToGrid/>
          <w:sz w:val="24"/>
          <w:szCs w:val="22"/>
        </w:rPr>
        <w:t xml:space="preserve"> </w:t>
      </w:r>
    </w:p>
    <w:p w:rsidR="004E71D2" w:rsidRPr="00B176CF" w:rsidRDefault="00424017" w:rsidP="00343838">
      <w:pPr>
        <w:pStyle w:val="ListParagraph"/>
        <w:numPr>
          <w:ilvl w:val="0"/>
          <w:numId w:val="18"/>
        </w:numPr>
        <w:spacing w:after="120"/>
        <w:ind w:left="993" w:hanging="284"/>
        <w:contextualSpacing w:val="0"/>
        <w:rPr>
          <w:rFonts w:asciiTheme="minorHAnsi" w:eastAsiaTheme="minorHAnsi" w:hAnsiTheme="minorHAnsi" w:cstheme="minorBidi"/>
          <w:snapToGrid/>
          <w:sz w:val="24"/>
          <w:szCs w:val="22"/>
        </w:rPr>
      </w:pPr>
      <w:r w:rsidRPr="00B176CF">
        <w:rPr>
          <w:rFonts w:asciiTheme="minorHAnsi" w:eastAsiaTheme="minorHAnsi" w:hAnsiTheme="minorHAnsi" w:cstheme="minorBidi"/>
          <w:snapToGrid/>
          <w:sz w:val="24"/>
          <w:szCs w:val="22"/>
        </w:rPr>
        <w:t xml:space="preserve">The July 2017 submission had assumed all patients initiated on </w:t>
      </w:r>
      <w:proofErr w:type="spellStart"/>
      <w:r w:rsidRPr="00B176CF">
        <w:rPr>
          <w:rFonts w:asciiTheme="minorHAnsi" w:eastAsiaTheme="minorHAnsi" w:hAnsiTheme="minorHAnsi" w:cstheme="minorBidi"/>
          <w:snapToGrid/>
          <w:sz w:val="24"/>
          <w:szCs w:val="22"/>
        </w:rPr>
        <w:t>eculizumab</w:t>
      </w:r>
      <w:proofErr w:type="spellEnd"/>
      <w:r w:rsidRPr="00B176CF">
        <w:rPr>
          <w:rFonts w:asciiTheme="minorHAnsi" w:eastAsiaTheme="minorHAnsi" w:hAnsiTheme="minorHAnsi" w:cstheme="minorBidi"/>
          <w:snapToGrid/>
          <w:sz w:val="24"/>
          <w:szCs w:val="22"/>
        </w:rPr>
        <w:t xml:space="preserve"> in this setting would continue for the </w:t>
      </w:r>
      <w:r w:rsidR="00174241" w:rsidRPr="00B176CF">
        <w:rPr>
          <w:rFonts w:asciiTheme="minorHAnsi" w:eastAsiaTheme="minorHAnsi" w:hAnsiTheme="minorHAnsi" w:cstheme="minorBidi"/>
          <w:snapToGrid/>
          <w:sz w:val="24"/>
          <w:szCs w:val="22"/>
        </w:rPr>
        <w:t>for the full five year</w:t>
      </w:r>
      <w:r w:rsidRPr="00B176CF">
        <w:rPr>
          <w:rFonts w:asciiTheme="minorHAnsi" w:eastAsiaTheme="minorHAnsi" w:hAnsiTheme="minorHAnsi" w:cstheme="minorBidi"/>
          <w:snapToGrid/>
          <w:sz w:val="24"/>
          <w:szCs w:val="22"/>
        </w:rPr>
        <w:t xml:space="preserve"> forward estimates period</w:t>
      </w:r>
      <w:r w:rsidR="0001708F" w:rsidRPr="00B176CF">
        <w:rPr>
          <w:rFonts w:asciiTheme="minorHAnsi" w:eastAsiaTheme="minorHAnsi" w:hAnsiTheme="minorHAnsi" w:cstheme="minorBidi"/>
          <w:snapToGrid/>
          <w:sz w:val="24"/>
          <w:szCs w:val="22"/>
        </w:rPr>
        <w:t xml:space="preserve"> (i.e. patients initiated in Year 1 would still be treated in Year 5); this assumption had substantially contributed to the estimated financial impact</w:t>
      </w:r>
      <w:r w:rsidR="00343838" w:rsidRPr="00B176CF">
        <w:rPr>
          <w:rFonts w:asciiTheme="minorHAnsi" w:eastAsiaTheme="minorHAnsi" w:hAnsiTheme="minorHAnsi" w:cstheme="minorBidi"/>
          <w:snapToGrid/>
          <w:sz w:val="24"/>
          <w:szCs w:val="22"/>
        </w:rPr>
        <w:t xml:space="preserve"> in the previous submission</w:t>
      </w:r>
      <w:r w:rsidRPr="00B176CF">
        <w:rPr>
          <w:rFonts w:asciiTheme="minorHAnsi" w:eastAsiaTheme="minorHAnsi" w:hAnsiTheme="minorHAnsi" w:cstheme="minorBidi"/>
          <w:snapToGrid/>
          <w:sz w:val="24"/>
          <w:szCs w:val="22"/>
        </w:rPr>
        <w:t>.</w:t>
      </w:r>
      <w:r w:rsidR="00174241" w:rsidRPr="00B176CF">
        <w:rPr>
          <w:rFonts w:asciiTheme="minorHAnsi" w:eastAsiaTheme="minorHAnsi" w:hAnsiTheme="minorHAnsi" w:cstheme="minorBidi"/>
          <w:snapToGrid/>
          <w:sz w:val="24"/>
          <w:szCs w:val="22"/>
        </w:rPr>
        <w:t xml:space="preserve"> </w:t>
      </w:r>
      <w:r w:rsidR="00343838" w:rsidRPr="00B176CF">
        <w:rPr>
          <w:rFonts w:asciiTheme="minorHAnsi" w:eastAsiaTheme="minorHAnsi" w:hAnsiTheme="minorHAnsi" w:cstheme="minorBidi"/>
          <w:snapToGrid/>
          <w:sz w:val="24"/>
          <w:szCs w:val="22"/>
        </w:rPr>
        <w:t xml:space="preserve"> </w:t>
      </w:r>
    </w:p>
    <w:p w:rsidR="008B3EA2" w:rsidRPr="00B176CF" w:rsidRDefault="00060424" w:rsidP="004E71D2">
      <w:pPr>
        <w:pStyle w:val="ListParagraph"/>
        <w:widowControl/>
        <w:numPr>
          <w:ilvl w:val="1"/>
          <w:numId w:val="14"/>
        </w:numPr>
        <w:spacing w:after="120"/>
        <w:ind w:left="709" w:hanging="709"/>
        <w:contextualSpacing w:val="0"/>
        <w:rPr>
          <w:rFonts w:asciiTheme="minorHAnsi" w:eastAsiaTheme="minorHAnsi" w:hAnsiTheme="minorHAnsi" w:cstheme="minorBidi"/>
          <w:snapToGrid/>
          <w:sz w:val="24"/>
          <w:szCs w:val="22"/>
        </w:rPr>
      </w:pPr>
      <w:r w:rsidRPr="00B176CF">
        <w:rPr>
          <w:rFonts w:asciiTheme="minorHAnsi" w:eastAsiaTheme="minorHAnsi" w:hAnsiTheme="minorHAnsi" w:cstheme="minorBidi"/>
          <w:snapToGrid/>
          <w:sz w:val="24"/>
          <w:szCs w:val="22"/>
        </w:rPr>
        <w:t xml:space="preserve">Secondly, </w:t>
      </w:r>
      <w:r w:rsidR="002119F2" w:rsidRPr="00B176CF">
        <w:rPr>
          <w:rFonts w:asciiTheme="minorHAnsi" w:eastAsiaTheme="minorHAnsi" w:hAnsiTheme="minorHAnsi" w:cstheme="minorBidi"/>
          <w:snapToGrid/>
          <w:sz w:val="24"/>
          <w:szCs w:val="22"/>
        </w:rPr>
        <w:t xml:space="preserve">the </w:t>
      </w:r>
      <w:r w:rsidR="00966774" w:rsidRPr="00B176CF">
        <w:rPr>
          <w:rFonts w:asciiTheme="minorHAnsi" w:eastAsiaTheme="minorHAnsi" w:hAnsiTheme="minorHAnsi" w:cstheme="minorBidi"/>
          <w:snapToGrid/>
          <w:sz w:val="24"/>
          <w:szCs w:val="22"/>
        </w:rPr>
        <w:t xml:space="preserve">estimated </w:t>
      </w:r>
      <w:r w:rsidR="002119F2" w:rsidRPr="00B176CF">
        <w:rPr>
          <w:rFonts w:asciiTheme="minorHAnsi" w:eastAsiaTheme="minorHAnsi" w:hAnsiTheme="minorHAnsi" w:cstheme="minorBidi"/>
          <w:snapToGrid/>
          <w:sz w:val="24"/>
          <w:szCs w:val="22"/>
        </w:rPr>
        <w:t>number of vials per patient increased</w:t>
      </w:r>
      <w:r w:rsidR="00966774" w:rsidRPr="00B176CF">
        <w:rPr>
          <w:rFonts w:asciiTheme="minorHAnsi" w:eastAsiaTheme="minorHAnsi" w:hAnsiTheme="minorHAnsi" w:cstheme="minorBidi"/>
          <w:snapToGrid/>
          <w:sz w:val="24"/>
          <w:szCs w:val="22"/>
        </w:rPr>
        <w:t xml:space="preserve"> because the current resubmission used the full adult dose (rather than weighted average dosing in the previous submission). That is</w:t>
      </w:r>
      <w:r w:rsidR="00424017" w:rsidRPr="00B176CF">
        <w:rPr>
          <w:rFonts w:asciiTheme="minorHAnsi" w:eastAsiaTheme="minorHAnsi" w:hAnsiTheme="minorHAnsi" w:cstheme="minorBidi"/>
          <w:snapToGrid/>
          <w:sz w:val="24"/>
          <w:szCs w:val="22"/>
        </w:rPr>
        <w:t>:</w:t>
      </w:r>
      <w:r w:rsidR="002119F2" w:rsidRPr="00B176CF">
        <w:rPr>
          <w:rFonts w:asciiTheme="minorHAnsi" w:eastAsiaTheme="minorHAnsi" w:hAnsiTheme="minorHAnsi" w:cstheme="minorBidi"/>
          <w:snapToGrid/>
          <w:sz w:val="24"/>
          <w:szCs w:val="22"/>
        </w:rPr>
        <w:t xml:space="preserve"> </w:t>
      </w:r>
    </w:p>
    <w:p w:rsidR="002119F2" w:rsidRPr="00B176CF" w:rsidRDefault="00424017" w:rsidP="00FF1457">
      <w:pPr>
        <w:pStyle w:val="ListParagraph"/>
        <w:numPr>
          <w:ilvl w:val="0"/>
          <w:numId w:val="18"/>
        </w:numPr>
        <w:spacing w:after="120"/>
        <w:ind w:left="993" w:hanging="284"/>
        <w:contextualSpacing w:val="0"/>
        <w:rPr>
          <w:rFonts w:asciiTheme="minorHAnsi" w:eastAsiaTheme="minorHAnsi" w:hAnsiTheme="minorHAnsi" w:cstheme="minorBidi"/>
          <w:snapToGrid/>
          <w:sz w:val="24"/>
          <w:szCs w:val="22"/>
        </w:rPr>
      </w:pPr>
      <w:proofErr w:type="gramStart"/>
      <w:r w:rsidRPr="00B176CF">
        <w:rPr>
          <w:rFonts w:asciiTheme="minorHAnsi" w:eastAsiaTheme="minorHAnsi" w:hAnsiTheme="minorHAnsi" w:cstheme="minorBidi"/>
          <w:snapToGrid/>
          <w:sz w:val="24"/>
          <w:szCs w:val="22"/>
        </w:rPr>
        <w:t>t</w:t>
      </w:r>
      <w:r w:rsidR="002119F2" w:rsidRPr="00B176CF">
        <w:rPr>
          <w:rFonts w:asciiTheme="minorHAnsi" w:eastAsiaTheme="minorHAnsi" w:hAnsiTheme="minorHAnsi" w:cstheme="minorBidi"/>
          <w:snapToGrid/>
          <w:sz w:val="24"/>
          <w:szCs w:val="22"/>
        </w:rPr>
        <w:t>he</w:t>
      </w:r>
      <w:proofErr w:type="gramEnd"/>
      <w:r w:rsidR="002119F2" w:rsidRPr="00B176CF">
        <w:rPr>
          <w:rFonts w:asciiTheme="minorHAnsi" w:eastAsiaTheme="minorHAnsi" w:hAnsiTheme="minorHAnsi" w:cstheme="minorBidi"/>
          <w:snapToGrid/>
          <w:sz w:val="24"/>
          <w:szCs w:val="22"/>
        </w:rPr>
        <w:t xml:space="preserve"> July 2017 submission </w:t>
      </w:r>
      <w:r w:rsidR="00A53553" w:rsidRPr="00B176CF">
        <w:rPr>
          <w:rFonts w:asciiTheme="minorHAnsi" w:eastAsiaTheme="minorHAnsi" w:hAnsiTheme="minorHAnsi" w:cstheme="minorBidi"/>
          <w:snapToGrid/>
          <w:sz w:val="24"/>
          <w:szCs w:val="22"/>
        </w:rPr>
        <w:t>assumed that patients would re</w:t>
      </w:r>
      <w:r w:rsidR="008B3EA2" w:rsidRPr="00B176CF">
        <w:rPr>
          <w:rFonts w:asciiTheme="minorHAnsi" w:eastAsiaTheme="minorHAnsi" w:hAnsiTheme="minorHAnsi" w:cstheme="minorBidi"/>
          <w:snapToGrid/>
          <w:sz w:val="24"/>
          <w:szCs w:val="22"/>
        </w:rPr>
        <w:t>ceive</w:t>
      </w:r>
      <w:r w:rsidR="00A53553" w:rsidRPr="00B176CF">
        <w:rPr>
          <w:rFonts w:asciiTheme="minorHAnsi" w:eastAsiaTheme="minorHAnsi" w:hAnsiTheme="minorHAnsi" w:cstheme="minorBidi"/>
          <w:snapToGrid/>
          <w:sz w:val="24"/>
          <w:szCs w:val="22"/>
        </w:rPr>
        <w:t xml:space="preserve"> </w:t>
      </w:r>
      <w:r w:rsidR="00F511F8" w:rsidRPr="00B176CF">
        <w:rPr>
          <w:rFonts w:asciiTheme="minorHAnsi" w:eastAsiaTheme="minorHAnsi" w:hAnsiTheme="minorHAnsi" w:cstheme="minorBidi"/>
          <w:snapToGrid/>
          <w:sz w:val="24"/>
          <w:szCs w:val="22"/>
        </w:rPr>
        <w:t xml:space="preserve">an average of </w:t>
      </w:r>
      <w:r w:rsidR="00FB6BAB">
        <w:rPr>
          <w:rFonts w:asciiTheme="minorHAnsi" w:eastAsiaTheme="minorHAnsi" w:hAnsiTheme="minorHAnsi" w:cstheme="minorBidi"/>
          <w:snapToGrid/>
          <w:sz w:val="24"/>
          <w:szCs w:val="22"/>
        </w:rPr>
        <w:t>less than 10,000</w:t>
      </w:r>
      <w:r w:rsidR="00A53553" w:rsidRPr="00B176CF">
        <w:rPr>
          <w:rFonts w:asciiTheme="minorHAnsi" w:eastAsiaTheme="minorHAnsi" w:hAnsiTheme="minorHAnsi" w:cstheme="minorBidi"/>
          <w:snapToGrid/>
          <w:sz w:val="24"/>
          <w:szCs w:val="22"/>
        </w:rPr>
        <w:t xml:space="preserve"> vials per full year of treatment. </w:t>
      </w:r>
      <w:r w:rsidR="002119F2" w:rsidRPr="00B176CF">
        <w:rPr>
          <w:rFonts w:asciiTheme="minorHAnsi" w:eastAsiaTheme="minorHAnsi" w:hAnsiTheme="minorHAnsi" w:cstheme="minorBidi"/>
          <w:snapToGrid/>
          <w:sz w:val="24"/>
          <w:szCs w:val="22"/>
        </w:rPr>
        <w:t>Th</w:t>
      </w:r>
      <w:r w:rsidR="00966774" w:rsidRPr="00B176CF">
        <w:rPr>
          <w:rFonts w:asciiTheme="minorHAnsi" w:eastAsiaTheme="minorHAnsi" w:hAnsiTheme="minorHAnsi" w:cstheme="minorBidi"/>
          <w:snapToGrid/>
          <w:sz w:val="24"/>
          <w:szCs w:val="22"/>
        </w:rPr>
        <w:t xml:space="preserve">is was lower than the </w:t>
      </w:r>
      <w:r w:rsidR="002119F2" w:rsidRPr="00B176CF">
        <w:rPr>
          <w:rFonts w:asciiTheme="minorHAnsi" w:eastAsiaTheme="minorHAnsi" w:hAnsiTheme="minorHAnsi" w:cstheme="minorBidi"/>
          <w:snapToGrid/>
          <w:sz w:val="24"/>
          <w:szCs w:val="22"/>
        </w:rPr>
        <w:t>maintenance dose stated in the Product Information</w:t>
      </w:r>
      <w:r w:rsidR="00966774" w:rsidRPr="00B176CF">
        <w:rPr>
          <w:rFonts w:asciiTheme="minorHAnsi" w:eastAsiaTheme="minorHAnsi" w:hAnsiTheme="minorHAnsi" w:cstheme="minorBidi"/>
          <w:snapToGrid/>
          <w:sz w:val="24"/>
          <w:szCs w:val="22"/>
        </w:rPr>
        <w:t xml:space="preserve">, which </w:t>
      </w:r>
      <w:proofErr w:type="gramStart"/>
      <w:r w:rsidR="00966774" w:rsidRPr="00B176CF">
        <w:rPr>
          <w:rFonts w:asciiTheme="minorHAnsi" w:eastAsiaTheme="minorHAnsi" w:hAnsiTheme="minorHAnsi" w:cstheme="minorBidi"/>
          <w:snapToGrid/>
          <w:sz w:val="24"/>
          <w:szCs w:val="22"/>
        </w:rPr>
        <w:t>is</w:t>
      </w:r>
      <w:proofErr w:type="gramEnd"/>
      <w:r w:rsidR="002119F2" w:rsidRPr="00B176CF">
        <w:rPr>
          <w:rFonts w:asciiTheme="minorHAnsi" w:eastAsiaTheme="minorHAnsi" w:hAnsiTheme="minorHAnsi" w:cstheme="minorBidi"/>
          <w:snapToGrid/>
          <w:sz w:val="24"/>
          <w:szCs w:val="22"/>
        </w:rPr>
        <w:t xml:space="preserve"> 104 vials </w:t>
      </w:r>
      <w:r w:rsidR="00F511F8" w:rsidRPr="00B176CF">
        <w:rPr>
          <w:rFonts w:asciiTheme="minorHAnsi" w:eastAsiaTheme="minorHAnsi" w:hAnsiTheme="minorHAnsi" w:cstheme="minorBidi"/>
          <w:snapToGrid/>
          <w:sz w:val="24"/>
          <w:szCs w:val="22"/>
        </w:rPr>
        <w:t>for</w:t>
      </w:r>
      <w:r w:rsidR="00966774" w:rsidRPr="00B176CF">
        <w:rPr>
          <w:rFonts w:asciiTheme="minorHAnsi" w:eastAsiaTheme="minorHAnsi" w:hAnsiTheme="minorHAnsi" w:cstheme="minorBidi"/>
          <w:snapToGrid/>
          <w:sz w:val="24"/>
          <w:szCs w:val="22"/>
        </w:rPr>
        <w:t xml:space="preserve"> patients ≥ 18 years of age or ≥</w:t>
      </w:r>
      <w:r w:rsidR="00F511F8" w:rsidRPr="00B176CF">
        <w:rPr>
          <w:rFonts w:asciiTheme="minorHAnsi" w:eastAsiaTheme="minorHAnsi" w:hAnsiTheme="minorHAnsi" w:cstheme="minorBidi"/>
          <w:snapToGrid/>
          <w:sz w:val="24"/>
          <w:szCs w:val="22"/>
        </w:rPr>
        <w:t> 40 </w:t>
      </w:r>
      <w:r w:rsidR="00966774" w:rsidRPr="00B176CF">
        <w:rPr>
          <w:rFonts w:asciiTheme="minorHAnsi" w:eastAsiaTheme="minorHAnsi" w:hAnsiTheme="minorHAnsi" w:cstheme="minorBidi"/>
          <w:snapToGrid/>
          <w:sz w:val="24"/>
          <w:szCs w:val="22"/>
        </w:rPr>
        <w:t>kg.</w:t>
      </w:r>
      <w:r w:rsidR="002119F2" w:rsidRPr="00B176CF">
        <w:rPr>
          <w:rFonts w:asciiTheme="minorHAnsi" w:eastAsiaTheme="minorHAnsi" w:hAnsiTheme="minorHAnsi" w:cstheme="minorBidi"/>
          <w:snapToGrid/>
          <w:sz w:val="24"/>
          <w:szCs w:val="22"/>
        </w:rPr>
        <w:t xml:space="preserve"> </w:t>
      </w:r>
      <w:r w:rsidR="00A53553" w:rsidRPr="00B176CF">
        <w:rPr>
          <w:rFonts w:asciiTheme="minorHAnsi" w:eastAsiaTheme="minorHAnsi" w:hAnsiTheme="minorHAnsi" w:cstheme="minorBidi"/>
          <w:snapToGrid/>
          <w:sz w:val="24"/>
          <w:szCs w:val="22"/>
        </w:rPr>
        <w:t xml:space="preserve">The July 2017 Pre-PBAC response </w:t>
      </w:r>
      <w:r w:rsidR="00966774" w:rsidRPr="00B176CF">
        <w:rPr>
          <w:rFonts w:asciiTheme="minorHAnsi" w:eastAsiaTheme="minorHAnsi" w:hAnsiTheme="minorHAnsi" w:cstheme="minorBidi"/>
          <w:snapToGrid/>
          <w:sz w:val="24"/>
          <w:szCs w:val="22"/>
        </w:rPr>
        <w:t xml:space="preserve">clarified that fewer vials were assumed </w:t>
      </w:r>
      <w:r w:rsidR="008B3EA2" w:rsidRPr="00B176CF">
        <w:rPr>
          <w:rFonts w:asciiTheme="minorHAnsi" w:eastAsiaTheme="minorHAnsi" w:hAnsiTheme="minorHAnsi" w:cstheme="minorBidi"/>
          <w:snapToGrid/>
          <w:sz w:val="24"/>
          <w:szCs w:val="22"/>
        </w:rPr>
        <w:t xml:space="preserve">because weighted average dosing </w:t>
      </w:r>
      <w:r w:rsidR="00F511F8" w:rsidRPr="00B176CF">
        <w:rPr>
          <w:rFonts w:asciiTheme="minorHAnsi" w:eastAsiaTheme="minorHAnsi" w:hAnsiTheme="minorHAnsi" w:cstheme="minorBidi"/>
          <w:snapToGrid/>
          <w:sz w:val="24"/>
          <w:szCs w:val="22"/>
        </w:rPr>
        <w:t xml:space="preserve">was assumed </w:t>
      </w:r>
      <w:r w:rsidR="00966774" w:rsidRPr="00B176CF">
        <w:rPr>
          <w:rFonts w:asciiTheme="minorHAnsi" w:eastAsiaTheme="minorHAnsi" w:hAnsiTheme="minorHAnsi" w:cstheme="minorBidi"/>
          <w:snapToGrid/>
          <w:sz w:val="24"/>
          <w:szCs w:val="22"/>
        </w:rPr>
        <w:t xml:space="preserve">(e.g. including children and adolescents) </w:t>
      </w:r>
      <w:r w:rsidR="008B3EA2" w:rsidRPr="00B176CF">
        <w:rPr>
          <w:rFonts w:asciiTheme="minorHAnsi" w:eastAsiaTheme="minorHAnsi" w:hAnsiTheme="minorHAnsi" w:cstheme="minorBidi"/>
          <w:snapToGrid/>
          <w:sz w:val="24"/>
          <w:szCs w:val="22"/>
        </w:rPr>
        <w:t>as opposed to the full adult dosing</w:t>
      </w:r>
      <w:r w:rsidR="00F511F8" w:rsidRPr="00B176CF">
        <w:rPr>
          <w:rFonts w:asciiTheme="minorHAnsi" w:eastAsiaTheme="minorHAnsi" w:hAnsiTheme="minorHAnsi" w:cstheme="minorBidi"/>
          <w:snapToGrid/>
          <w:sz w:val="24"/>
          <w:szCs w:val="22"/>
        </w:rPr>
        <w:t>. Further, the July 2017 Pre-PBAC response</w:t>
      </w:r>
      <w:r w:rsidR="008B3EA2" w:rsidRPr="00B176CF">
        <w:rPr>
          <w:rFonts w:asciiTheme="minorHAnsi" w:eastAsiaTheme="minorHAnsi" w:hAnsiTheme="minorHAnsi" w:cstheme="minorBidi"/>
          <w:snapToGrid/>
          <w:sz w:val="24"/>
          <w:szCs w:val="22"/>
        </w:rPr>
        <w:t xml:space="preserve"> acknowledged that if the adult dos</w:t>
      </w:r>
      <w:r w:rsidR="00966774" w:rsidRPr="00B176CF">
        <w:rPr>
          <w:rFonts w:asciiTheme="minorHAnsi" w:eastAsiaTheme="minorHAnsi" w:hAnsiTheme="minorHAnsi" w:cstheme="minorBidi"/>
          <w:snapToGrid/>
          <w:sz w:val="24"/>
          <w:szCs w:val="22"/>
        </w:rPr>
        <w:t>e</w:t>
      </w:r>
      <w:r w:rsidR="008B3EA2" w:rsidRPr="00B176CF">
        <w:rPr>
          <w:rFonts w:asciiTheme="minorHAnsi" w:eastAsiaTheme="minorHAnsi" w:hAnsiTheme="minorHAnsi" w:cstheme="minorBidi"/>
          <w:snapToGrid/>
          <w:sz w:val="24"/>
          <w:szCs w:val="22"/>
        </w:rPr>
        <w:t xml:space="preserve"> were </w:t>
      </w:r>
      <w:r w:rsidR="00966774" w:rsidRPr="00B176CF">
        <w:rPr>
          <w:rFonts w:asciiTheme="minorHAnsi" w:eastAsiaTheme="minorHAnsi" w:hAnsiTheme="minorHAnsi" w:cstheme="minorBidi"/>
          <w:snapToGrid/>
          <w:sz w:val="24"/>
          <w:szCs w:val="22"/>
        </w:rPr>
        <w:t>used</w:t>
      </w:r>
      <w:r w:rsidR="008B3EA2" w:rsidRPr="00B176CF">
        <w:rPr>
          <w:rFonts w:asciiTheme="minorHAnsi" w:eastAsiaTheme="minorHAnsi" w:hAnsiTheme="minorHAnsi" w:cstheme="minorBidi"/>
          <w:snapToGrid/>
          <w:sz w:val="24"/>
          <w:szCs w:val="22"/>
        </w:rPr>
        <w:t xml:space="preserve"> for all patients</w:t>
      </w:r>
      <w:r w:rsidR="00F511F8" w:rsidRPr="00B176CF">
        <w:rPr>
          <w:rFonts w:asciiTheme="minorHAnsi" w:eastAsiaTheme="minorHAnsi" w:hAnsiTheme="minorHAnsi" w:cstheme="minorBidi"/>
          <w:snapToGrid/>
          <w:sz w:val="24"/>
          <w:szCs w:val="22"/>
        </w:rPr>
        <w:t>, then</w:t>
      </w:r>
      <w:r w:rsidR="008B3EA2" w:rsidRPr="00B176CF">
        <w:rPr>
          <w:rFonts w:asciiTheme="minorHAnsi" w:eastAsiaTheme="minorHAnsi" w:hAnsiTheme="minorHAnsi" w:cstheme="minorBidi"/>
          <w:snapToGrid/>
          <w:sz w:val="24"/>
          <w:szCs w:val="22"/>
        </w:rPr>
        <w:t xml:space="preserve"> the financial estimates would be exceeded, but proposed an expenditure cap in line with the “original estimates” (i.e. based on </w:t>
      </w:r>
      <w:r w:rsidR="008B3EA2" w:rsidRPr="00FB6BAB">
        <w:rPr>
          <w:rFonts w:asciiTheme="minorHAnsi" w:eastAsiaTheme="minorHAnsi" w:hAnsiTheme="minorHAnsi" w:cstheme="minorBidi"/>
          <w:snapToGrid/>
          <w:sz w:val="24"/>
          <w:szCs w:val="22"/>
        </w:rPr>
        <w:t>88</w:t>
      </w:r>
      <w:r w:rsidR="008B3EA2" w:rsidRPr="00B176CF">
        <w:rPr>
          <w:rFonts w:asciiTheme="minorHAnsi" w:eastAsiaTheme="minorHAnsi" w:hAnsiTheme="minorHAnsi" w:cstheme="minorBidi"/>
          <w:snapToGrid/>
          <w:sz w:val="24"/>
          <w:szCs w:val="22"/>
        </w:rPr>
        <w:t xml:space="preserve"> vials per patient) stating that the sponsor would “assume the risk of any potential PBS budget over-expenditure due to uncertainties in dosing regimens…”. </w:t>
      </w:r>
      <w:r w:rsidR="00F511F8" w:rsidRPr="00B176CF">
        <w:rPr>
          <w:rFonts w:asciiTheme="minorHAnsi" w:eastAsiaTheme="minorHAnsi" w:hAnsiTheme="minorHAnsi" w:cstheme="minorBidi"/>
          <w:snapToGrid/>
          <w:sz w:val="24"/>
          <w:szCs w:val="22"/>
        </w:rPr>
        <w:t xml:space="preserve">(July 2017 Pre-PBAC Response). </w:t>
      </w:r>
      <w:r w:rsidR="008B3EA2" w:rsidRPr="00B176CF">
        <w:rPr>
          <w:rFonts w:asciiTheme="minorHAnsi" w:eastAsiaTheme="minorHAnsi" w:hAnsiTheme="minorHAnsi" w:cstheme="minorBidi"/>
          <w:snapToGrid/>
          <w:sz w:val="24"/>
          <w:szCs w:val="22"/>
        </w:rPr>
        <w:t xml:space="preserve"> </w:t>
      </w:r>
    </w:p>
    <w:p w:rsidR="00A53553" w:rsidRPr="00B176CF" w:rsidRDefault="00A53553" w:rsidP="00FF1457">
      <w:pPr>
        <w:pStyle w:val="ListParagraph"/>
        <w:numPr>
          <w:ilvl w:val="0"/>
          <w:numId w:val="18"/>
        </w:numPr>
        <w:spacing w:after="120"/>
        <w:ind w:left="993" w:hanging="284"/>
        <w:contextualSpacing w:val="0"/>
        <w:rPr>
          <w:rFonts w:asciiTheme="minorHAnsi" w:eastAsiaTheme="minorHAnsi" w:hAnsiTheme="minorHAnsi" w:cstheme="minorBidi"/>
          <w:snapToGrid/>
          <w:sz w:val="24"/>
          <w:szCs w:val="22"/>
        </w:rPr>
      </w:pPr>
      <w:proofErr w:type="gramStart"/>
      <w:r w:rsidRPr="00B176CF">
        <w:rPr>
          <w:rFonts w:asciiTheme="minorHAnsi" w:eastAsiaTheme="minorHAnsi" w:hAnsiTheme="minorHAnsi" w:cstheme="minorBidi"/>
          <w:snapToGrid/>
          <w:sz w:val="24"/>
          <w:szCs w:val="22"/>
        </w:rPr>
        <w:t>the</w:t>
      </w:r>
      <w:proofErr w:type="gramEnd"/>
      <w:r w:rsidRPr="00B176CF">
        <w:rPr>
          <w:rFonts w:asciiTheme="minorHAnsi" w:eastAsiaTheme="minorHAnsi" w:hAnsiTheme="minorHAnsi" w:cstheme="minorBidi"/>
          <w:snapToGrid/>
          <w:sz w:val="24"/>
          <w:szCs w:val="22"/>
        </w:rPr>
        <w:t xml:space="preserve"> current resubmission assumed each patient would receive </w:t>
      </w:r>
      <w:r w:rsidR="00FB6BAB">
        <w:rPr>
          <w:rFonts w:asciiTheme="minorHAnsi" w:eastAsiaTheme="minorHAnsi" w:hAnsiTheme="minorHAnsi" w:cstheme="minorBidi"/>
          <w:snapToGrid/>
          <w:sz w:val="24"/>
          <w:szCs w:val="22"/>
        </w:rPr>
        <w:t>less than 10,000</w:t>
      </w:r>
      <w:r w:rsidRPr="00B176CF">
        <w:rPr>
          <w:rFonts w:asciiTheme="minorHAnsi" w:eastAsiaTheme="minorHAnsi" w:hAnsiTheme="minorHAnsi" w:cstheme="minorBidi"/>
          <w:snapToGrid/>
          <w:sz w:val="24"/>
          <w:szCs w:val="22"/>
        </w:rPr>
        <w:t xml:space="preserve"> vials over 12 months of therapy</w:t>
      </w:r>
      <w:r w:rsidR="00966774" w:rsidRPr="00B176CF">
        <w:rPr>
          <w:rFonts w:asciiTheme="minorHAnsi" w:eastAsiaTheme="minorHAnsi" w:hAnsiTheme="minorHAnsi" w:cstheme="minorBidi"/>
          <w:snapToGrid/>
          <w:sz w:val="24"/>
          <w:szCs w:val="22"/>
        </w:rPr>
        <w:t xml:space="preserve">, thus assuming all patients would receive the </w:t>
      </w:r>
      <w:r w:rsidR="00F511F8" w:rsidRPr="00B176CF">
        <w:rPr>
          <w:rFonts w:asciiTheme="minorHAnsi" w:eastAsiaTheme="minorHAnsi" w:hAnsiTheme="minorHAnsi" w:cstheme="minorBidi"/>
          <w:snapToGrid/>
          <w:sz w:val="24"/>
          <w:szCs w:val="22"/>
        </w:rPr>
        <w:t xml:space="preserve">full </w:t>
      </w:r>
      <w:r w:rsidR="00966774" w:rsidRPr="00B176CF">
        <w:rPr>
          <w:rFonts w:asciiTheme="minorHAnsi" w:eastAsiaTheme="minorHAnsi" w:hAnsiTheme="minorHAnsi" w:cstheme="minorBidi"/>
          <w:snapToGrid/>
          <w:sz w:val="24"/>
          <w:szCs w:val="22"/>
        </w:rPr>
        <w:t>adult dose.</w:t>
      </w:r>
      <w:r w:rsidRPr="00B176CF">
        <w:rPr>
          <w:rFonts w:asciiTheme="minorHAnsi" w:eastAsiaTheme="minorHAnsi" w:hAnsiTheme="minorHAnsi" w:cstheme="minorBidi"/>
          <w:snapToGrid/>
          <w:sz w:val="24"/>
          <w:szCs w:val="22"/>
        </w:rPr>
        <w:t xml:space="preserve"> </w:t>
      </w:r>
      <w:r w:rsidR="00D14DDF">
        <w:rPr>
          <w:rFonts w:asciiTheme="minorHAnsi" w:eastAsiaTheme="minorHAnsi" w:hAnsiTheme="minorHAnsi" w:cstheme="minorBidi"/>
          <w:noProof/>
          <w:snapToGrid/>
          <w:color w:val="000000"/>
          <w:sz w:val="24"/>
          <w:szCs w:val="22"/>
          <w:highlight w:val="black"/>
        </w:rPr>
        <w:t>''''''''' '''''' ''''''''''''''''''''''' '''''' '''''''' '''''''''''' ''''' ''' '''''''''''' '''''''''''''' ''''' ''''''''' '''''' ''''''''''''' '''''' '''''''' ''''''''' '''''' ''''''' ''''''''''''''''' '''' '''''' ''''''''''''''' '''''''''''''''''' '''''''''''''''''''</w:t>
      </w:r>
      <w:r w:rsidR="008B3EA2" w:rsidRPr="00B176CF">
        <w:rPr>
          <w:rFonts w:asciiTheme="minorHAnsi" w:eastAsiaTheme="minorHAnsi" w:hAnsiTheme="minorHAnsi" w:cstheme="minorBidi"/>
          <w:snapToGrid/>
          <w:sz w:val="24"/>
          <w:szCs w:val="22"/>
        </w:rPr>
        <w:t>.</w:t>
      </w:r>
    </w:p>
    <w:p w:rsidR="008772C0" w:rsidRPr="00B176CF" w:rsidRDefault="008772C0">
      <w:pPr>
        <w:rPr>
          <w:rFonts w:ascii="Arial Narrow" w:hAnsi="Arial Narrow"/>
          <w:b/>
          <w:bCs/>
          <w:sz w:val="20"/>
          <w:szCs w:val="18"/>
        </w:rPr>
      </w:pPr>
      <w:r w:rsidRPr="00B176CF">
        <w:rPr>
          <w:rFonts w:ascii="Arial Narrow" w:hAnsi="Arial Narrow"/>
          <w:sz w:val="20"/>
        </w:rPr>
        <w:br w:type="page"/>
      </w:r>
    </w:p>
    <w:p w:rsidR="00D12259" w:rsidRPr="00B176CF" w:rsidRDefault="00D12259" w:rsidP="00D12259">
      <w:pPr>
        <w:pStyle w:val="Caption"/>
        <w:keepNext/>
        <w:keepLines/>
        <w:spacing w:after="0"/>
        <w:ind w:left="720" w:hanging="11"/>
        <w:rPr>
          <w:rFonts w:ascii="Arial Narrow" w:hAnsi="Arial Narrow"/>
          <w:color w:val="auto"/>
          <w:sz w:val="20"/>
        </w:rPr>
      </w:pPr>
      <w:proofErr w:type="gramStart"/>
      <w:r w:rsidRPr="00B176CF">
        <w:rPr>
          <w:rFonts w:ascii="Arial Narrow" w:hAnsi="Arial Narrow"/>
          <w:color w:val="auto"/>
          <w:sz w:val="20"/>
        </w:rPr>
        <w:lastRenderedPageBreak/>
        <w:t xml:space="preserve">Table </w:t>
      </w:r>
      <w:r w:rsidR="008D4FF6" w:rsidRPr="00B176CF">
        <w:rPr>
          <w:rFonts w:ascii="Arial Narrow" w:hAnsi="Arial Narrow"/>
          <w:color w:val="auto"/>
          <w:sz w:val="20"/>
        </w:rPr>
        <w:t>6</w:t>
      </w:r>
      <w:r w:rsidRPr="00B176CF">
        <w:rPr>
          <w:rFonts w:ascii="Arial Narrow" w:hAnsi="Arial Narrow"/>
          <w:color w:val="auto"/>
          <w:sz w:val="20"/>
        </w:rPr>
        <w:t>.</w:t>
      </w:r>
      <w:proofErr w:type="gramEnd"/>
      <w:r w:rsidRPr="00B176CF">
        <w:rPr>
          <w:rFonts w:ascii="Arial Narrow" w:hAnsi="Arial Narrow"/>
          <w:color w:val="auto"/>
          <w:sz w:val="20"/>
        </w:rPr>
        <w:t xml:space="preserve"> Estimated number of patients likely to be treated and total cost per year of the PBS in the renal transplant setting over 5 years</w:t>
      </w:r>
    </w:p>
    <w:tbl>
      <w:tblPr>
        <w:tblW w:w="0" w:type="auto"/>
        <w:tblInd w:w="817" w:type="dxa"/>
        <w:tblLayout w:type="fixed"/>
        <w:tblLook w:val="04A0" w:firstRow="1" w:lastRow="0" w:firstColumn="1" w:lastColumn="0" w:noHBand="0" w:noVBand="1"/>
      </w:tblPr>
      <w:tblGrid>
        <w:gridCol w:w="3119"/>
        <w:gridCol w:w="1061"/>
        <w:gridCol w:w="1061"/>
        <w:gridCol w:w="1061"/>
        <w:gridCol w:w="1061"/>
        <w:gridCol w:w="1062"/>
      </w:tblGrid>
      <w:tr w:rsidR="00820721" w:rsidRPr="00B176CF" w:rsidTr="00820721">
        <w:tc>
          <w:tcPr>
            <w:tcW w:w="3119" w:type="dxa"/>
            <w:tcBorders>
              <w:top w:val="single" w:sz="4" w:space="0" w:color="auto"/>
              <w:left w:val="single" w:sz="4" w:space="0" w:color="auto"/>
              <w:bottom w:val="single" w:sz="4" w:space="0" w:color="auto"/>
              <w:right w:val="nil"/>
            </w:tcBorders>
            <w:shd w:val="clear" w:color="auto" w:fill="auto"/>
            <w:noWrap/>
            <w:vAlign w:val="bottom"/>
            <w:hideMark/>
          </w:tcPr>
          <w:p w:rsidR="00D12259" w:rsidRPr="00B176CF" w:rsidRDefault="00D12259" w:rsidP="00D12259">
            <w:pPr>
              <w:keepNext/>
              <w:keepLines/>
              <w:ind w:left="720" w:hanging="720"/>
              <w:rPr>
                <w:rFonts w:ascii="Arial Narrow" w:hAnsi="Arial Narrow"/>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259" w:rsidRPr="00B176CF" w:rsidRDefault="00D12259" w:rsidP="00D12259">
            <w:pPr>
              <w:keepNext/>
              <w:keepLines/>
              <w:ind w:left="720" w:hanging="720"/>
              <w:jc w:val="center"/>
              <w:rPr>
                <w:rFonts w:ascii="Arial Narrow" w:hAnsi="Arial Narrow"/>
                <w:b/>
                <w:bCs/>
                <w:color w:val="000000"/>
                <w:sz w:val="20"/>
                <w:szCs w:val="20"/>
              </w:rPr>
            </w:pPr>
            <w:r w:rsidRPr="00B176CF">
              <w:rPr>
                <w:rFonts w:ascii="Arial Narrow" w:hAnsi="Arial Narrow"/>
                <w:b/>
                <w:bCs/>
                <w:color w:val="000000"/>
                <w:sz w:val="20"/>
                <w:szCs w:val="20"/>
              </w:rPr>
              <w:t>Year 1</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D12259" w:rsidRPr="00B176CF" w:rsidRDefault="00D12259" w:rsidP="00D12259">
            <w:pPr>
              <w:keepNext/>
              <w:keepLines/>
              <w:ind w:left="720" w:hanging="720"/>
              <w:jc w:val="center"/>
              <w:rPr>
                <w:rFonts w:ascii="Arial Narrow" w:hAnsi="Arial Narrow"/>
                <w:b/>
                <w:bCs/>
                <w:color w:val="000000"/>
                <w:sz w:val="20"/>
                <w:szCs w:val="20"/>
              </w:rPr>
            </w:pPr>
            <w:r w:rsidRPr="00B176CF">
              <w:rPr>
                <w:rFonts w:ascii="Arial Narrow" w:hAnsi="Arial Narrow"/>
                <w:b/>
                <w:bCs/>
                <w:color w:val="000000"/>
                <w:sz w:val="20"/>
                <w:szCs w:val="20"/>
              </w:rPr>
              <w:t>Year 2</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D12259" w:rsidRPr="00B176CF" w:rsidRDefault="00D12259" w:rsidP="00D12259">
            <w:pPr>
              <w:keepNext/>
              <w:keepLines/>
              <w:ind w:left="720" w:hanging="720"/>
              <w:jc w:val="center"/>
              <w:rPr>
                <w:rFonts w:ascii="Arial Narrow" w:hAnsi="Arial Narrow"/>
                <w:b/>
                <w:bCs/>
                <w:color w:val="000000"/>
                <w:sz w:val="20"/>
                <w:szCs w:val="20"/>
              </w:rPr>
            </w:pPr>
            <w:r w:rsidRPr="00B176CF">
              <w:rPr>
                <w:rFonts w:ascii="Arial Narrow" w:hAnsi="Arial Narrow"/>
                <w:b/>
                <w:bCs/>
                <w:color w:val="000000"/>
                <w:sz w:val="20"/>
                <w:szCs w:val="20"/>
              </w:rPr>
              <w:t>Year 3</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D12259" w:rsidRPr="00B176CF" w:rsidRDefault="00D12259" w:rsidP="00D12259">
            <w:pPr>
              <w:keepNext/>
              <w:keepLines/>
              <w:ind w:left="720" w:hanging="720"/>
              <w:jc w:val="center"/>
              <w:rPr>
                <w:rFonts w:ascii="Arial Narrow" w:hAnsi="Arial Narrow"/>
                <w:b/>
                <w:bCs/>
                <w:color w:val="000000"/>
                <w:sz w:val="20"/>
                <w:szCs w:val="20"/>
              </w:rPr>
            </w:pPr>
            <w:r w:rsidRPr="00B176CF">
              <w:rPr>
                <w:rFonts w:ascii="Arial Narrow" w:hAnsi="Arial Narrow"/>
                <w:b/>
                <w:bCs/>
                <w:color w:val="000000"/>
                <w:sz w:val="20"/>
                <w:szCs w:val="20"/>
              </w:rPr>
              <w:t>Year 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12259" w:rsidRPr="00B176CF" w:rsidRDefault="00D12259" w:rsidP="00D12259">
            <w:pPr>
              <w:keepNext/>
              <w:keepLines/>
              <w:ind w:left="720" w:hanging="720"/>
              <w:jc w:val="center"/>
              <w:rPr>
                <w:rFonts w:ascii="Arial Narrow" w:hAnsi="Arial Narrow"/>
                <w:b/>
                <w:bCs/>
                <w:color w:val="000000"/>
                <w:sz w:val="20"/>
                <w:szCs w:val="20"/>
              </w:rPr>
            </w:pPr>
            <w:r w:rsidRPr="00B176CF">
              <w:rPr>
                <w:rFonts w:ascii="Arial Narrow" w:hAnsi="Arial Narrow"/>
                <w:b/>
                <w:bCs/>
                <w:color w:val="000000"/>
                <w:sz w:val="20"/>
                <w:szCs w:val="20"/>
              </w:rPr>
              <w:t xml:space="preserve">Year 5 </w:t>
            </w:r>
          </w:p>
        </w:tc>
      </w:tr>
      <w:tr w:rsidR="00820721" w:rsidRPr="00B176CF" w:rsidTr="00820721">
        <w:tc>
          <w:tcPr>
            <w:tcW w:w="3119" w:type="dxa"/>
            <w:tcBorders>
              <w:top w:val="single" w:sz="4" w:space="0" w:color="auto"/>
              <w:left w:val="single" w:sz="4" w:space="0" w:color="auto"/>
              <w:bottom w:val="single" w:sz="4" w:space="0" w:color="auto"/>
              <w:right w:val="nil"/>
            </w:tcBorders>
            <w:shd w:val="clear" w:color="auto" w:fill="auto"/>
            <w:vAlign w:val="bottom"/>
            <w:hideMark/>
          </w:tcPr>
          <w:p w:rsidR="00D12259" w:rsidRPr="00B176CF" w:rsidRDefault="00D12259" w:rsidP="00820721">
            <w:pPr>
              <w:keepNext/>
              <w:keepLines/>
              <w:ind w:left="34"/>
              <w:rPr>
                <w:rFonts w:ascii="Arial Narrow" w:hAnsi="Arial Narrow" w:cs="Arial"/>
                <w:color w:val="000000"/>
                <w:sz w:val="20"/>
                <w:szCs w:val="20"/>
              </w:rPr>
            </w:pPr>
            <w:r w:rsidRPr="00B176CF">
              <w:rPr>
                <w:rFonts w:ascii="Arial Narrow" w:hAnsi="Arial Narrow" w:cs="Arial"/>
                <w:color w:val="000000"/>
                <w:sz w:val="20"/>
                <w:szCs w:val="20"/>
              </w:rPr>
              <w:t>Prevalent population</w:t>
            </w:r>
            <w:r w:rsidR="00820721" w:rsidRPr="00B176CF">
              <w:rPr>
                <w:rFonts w:ascii="Arial Narrow" w:hAnsi="Arial Narrow" w:cs="Arial"/>
                <w:color w:val="000000"/>
                <w:sz w:val="20"/>
                <w:szCs w:val="20"/>
              </w:rPr>
              <w:t>:</w:t>
            </w:r>
            <w:r w:rsidRPr="00B176CF">
              <w:rPr>
                <w:rFonts w:ascii="Arial Narrow" w:hAnsi="Arial Narrow" w:cs="Arial"/>
                <w:color w:val="000000"/>
                <w:sz w:val="20"/>
                <w:szCs w:val="20"/>
              </w:rPr>
              <w:t xml:space="preserve"> </w:t>
            </w:r>
            <w:proofErr w:type="spellStart"/>
            <w:r w:rsidRPr="00B176CF">
              <w:rPr>
                <w:rFonts w:ascii="Arial Narrow" w:hAnsi="Arial Narrow" w:cs="Arial"/>
                <w:color w:val="000000"/>
                <w:sz w:val="20"/>
                <w:szCs w:val="20"/>
              </w:rPr>
              <w:t>aHUS</w:t>
            </w:r>
            <w:proofErr w:type="spellEnd"/>
            <w:r w:rsidRPr="00B176CF">
              <w:rPr>
                <w:rFonts w:ascii="Arial Narrow" w:hAnsi="Arial Narrow" w:cs="Arial"/>
                <w:color w:val="000000"/>
                <w:sz w:val="20"/>
                <w:szCs w:val="20"/>
              </w:rPr>
              <w:t xml:space="preserve"> pts with ESRD eligible for renal transplantation </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2259" w:rsidRPr="00D14DDF" w:rsidRDefault="00D14DDF" w:rsidP="00D12259">
            <w:pPr>
              <w:keepNext/>
              <w:keepLines/>
              <w:ind w:left="720" w:hanging="720"/>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rsidR="00D12259" w:rsidRPr="00D14DDF" w:rsidRDefault="00D14DDF" w:rsidP="00D12259">
            <w:pPr>
              <w:keepNext/>
              <w:keepLines/>
              <w:ind w:left="720" w:hanging="720"/>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rsidR="00D12259" w:rsidRPr="00D14DDF" w:rsidRDefault="00D14DDF" w:rsidP="00D12259">
            <w:pPr>
              <w:keepNext/>
              <w:keepLines/>
              <w:ind w:left="720" w:hanging="720"/>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rsidR="00D12259" w:rsidRPr="00D14DDF" w:rsidRDefault="00D14DDF" w:rsidP="00D12259">
            <w:pPr>
              <w:keepNext/>
              <w:keepLines/>
              <w:ind w:left="720" w:hanging="720"/>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D12259" w:rsidRPr="00D14DDF" w:rsidRDefault="00D14DDF" w:rsidP="00D12259">
            <w:pPr>
              <w:keepNext/>
              <w:keepLines/>
              <w:ind w:left="720" w:hanging="720"/>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820721" w:rsidRPr="00B176CF" w:rsidTr="00820721">
        <w:tc>
          <w:tcPr>
            <w:tcW w:w="3119" w:type="dxa"/>
            <w:tcBorders>
              <w:top w:val="nil"/>
              <w:left w:val="single" w:sz="4" w:space="0" w:color="auto"/>
              <w:bottom w:val="single" w:sz="4" w:space="0" w:color="auto"/>
              <w:right w:val="nil"/>
            </w:tcBorders>
            <w:shd w:val="clear" w:color="auto" w:fill="auto"/>
            <w:vAlign w:val="bottom"/>
            <w:hideMark/>
          </w:tcPr>
          <w:p w:rsidR="00D12259" w:rsidRPr="00B176CF" w:rsidRDefault="00D12259" w:rsidP="00820721">
            <w:pPr>
              <w:keepNext/>
              <w:keepLines/>
              <w:ind w:left="34"/>
              <w:rPr>
                <w:rFonts w:ascii="Arial Narrow" w:hAnsi="Arial Narrow" w:cs="Arial"/>
                <w:color w:val="000000"/>
                <w:sz w:val="20"/>
                <w:szCs w:val="20"/>
              </w:rPr>
            </w:pPr>
            <w:r w:rsidRPr="00B176CF">
              <w:rPr>
                <w:rFonts w:ascii="Arial Narrow" w:hAnsi="Arial Narrow" w:cs="Arial"/>
                <w:color w:val="000000"/>
                <w:sz w:val="20"/>
                <w:szCs w:val="20"/>
              </w:rPr>
              <w:t xml:space="preserve">Number of deaths whilst awaiting transplant </w:t>
            </w: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2" w:type="dxa"/>
            <w:tcBorders>
              <w:top w:val="nil"/>
              <w:left w:val="nil"/>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820721" w:rsidRPr="00B176CF" w:rsidTr="00820721">
        <w:tc>
          <w:tcPr>
            <w:tcW w:w="3119" w:type="dxa"/>
            <w:tcBorders>
              <w:top w:val="nil"/>
              <w:left w:val="single" w:sz="4" w:space="0" w:color="auto"/>
              <w:bottom w:val="single" w:sz="4" w:space="0" w:color="auto"/>
              <w:right w:val="nil"/>
            </w:tcBorders>
            <w:shd w:val="clear" w:color="auto" w:fill="auto"/>
            <w:vAlign w:val="bottom"/>
            <w:hideMark/>
          </w:tcPr>
          <w:p w:rsidR="00D12259" w:rsidRPr="00B176CF" w:rsidRDefault="00D12259" w:rsidP="00D12259">
            <w:pPr>
              <w:keepNext/>
              <w:keepLines/>
              <w:ind w:left="34"/>
              <w:rPr>
                <w:rFonts w:ascii="Arial Narrow" w:hAnsi="Arial Narrow" w:cs="Arial"/>
                <w:sz w:val="20"/>
                <w:szCs w:val="20"/>
              </w:rPr>
            </w:pPr>
            <w:r w:rsidRPr="00B176CF">
              <w:rPr>
                <w:rFonts w:ascii="Arial Narrow" w:hAnsi="Arial Narrow" w:cs="Arial"/>
                <w:sz w:val="20"/>
                <w:szCs w:val="20"/>
              </w:rPr>
              <w:t xml:space="preserve">Incident patient with ESRD </w:t>
            </w: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2" w:type="dxa"/>
            <w:tcBorders>
              <w:top w:val="nil"/>
              <w:left w:val="nil"/>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820721" w:rsidRPr="00B176CF" w:rsidTr="00820721">
        <w:tc>
          <w:tcPr>
            <w:tcW w:w="3119" w:type="dxa"/>
            <w:tcBorders>
              <w:top w:val="nil"/>
              <w:left w:val="single" w:sz="4" w:space="0" w:color="auto"/>
              <w:bottom w:val="single" w:sz="4" w:space="0" w:color="auto"/>
              <w:right w:val="single" w:sz="4" w:space="0" w:color="auto"/>
            </w:tcBorders>
            <w:shd w:val="clear" w:color="auto" w:fill="auto"/>
            <w:vAlign w:val="bottom"/>
            <w:hideMark/>
          </w:tcPr>
          <w:p w:rsidR="00D12259" w:rsidRPr="00B176CF" w:rsidRDefault="00D12259" w:rsidP="00D12259">
            <w:pPr>
              <w:keepNext/>
              <w:keepLines/>
              <w:ind w:left="34"/>
              <w:rPr>
                <w:rFonts w:ascii="Arial Narrow" w:hAnsi="Arial Narrow" w:cs="Arial"/>
                <w:sz w:val="20"/>
                <w:szCs w:val="20"/>
              </w:rPr>
            </w:pPr>
            <w:r w:rsidRPr="00B176CF">
              <w:rPr>
                <w:rFonts w:ascii="Arial Narrow" w:hAnsi="Arial Narrow" w:cs="Arial"/>
                <w:sz w:val="20"/>
                <w:szCs w:val="20"/>
              </w:rPr>
              <w:t xml:space="preserve">No. of patients undergoing renal transplantation per year </w:t>
            </w:r>
          </w:p>
        </w:tc>
        <w:tc>
          <w:tcPr>
            <w:tcW w:w="1061" w:type="dxa"/>
            <w:tcBorders>
              <w:top w:val="nil"/>
              <w:left w:val="nil"/>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62" w:type="dxa"/>
            <w:tcBorders>
              <w:top w:val="nil"/>
              <w:left w:val="nil"/>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D12259" w:rsidRPr="00B176CF" w:rsidTr="00820721">
        <w:tc>
          <w:tcPr>
            <w:tcW w:w="8425" w:type="dxa"/>
            <w:gridSpan w:val="6"/>
            <w:tcBorders>
              <w:top w:val="single" w:sz="4" w:space="0" w:color="auto"/>
              <w:left w:val="single" w:sz="4" w:space="0" w:color="auto"/>
              <w:bottom w:val="single" w:sz="4" w:space="0" w:color="auto"/>
              <w:right w:val="single" w:sz="4" w:space="0" w:color="auto"/>
            </w:tcBorders>
            <w:shd w:val="clear" w:color="auto" w:fill="auto"/>
            <w:hideMark/>
          </w:tcPr>
          <w:p w:rsidR="00D12259" w:rsidRPr="00B176CF" w:rsidRDefault="00D12259" w:rsidP="00F31AA5">
            <w:pPr>
              <w:keepNext/>
              <w:keepLines/>
              <w:rPr>
                <w:rFonts w:ascii="Arial Narrow" w:hAnsi="Arial Narrow" w:cs="Arial"/>
                <w:b/>
                <w:bCs/>
                <w:color w:val="000000"/>
                <w:sz w:val="20"/>
                <w:szCs w:val="20"/>
              </w:rPr>
            </w:pPr>
            <w:r w:rsidRPr="00B176CF">
              <w:rPr>
                <w:rFonts w:ascii="Arial Narrow" w:hAnsi="Arial Narrow" w:cs="Arial"/>
                <w:b/>
                <w:bCs/>
                <w:color w:val="000000"/>
                <w:sz w:val="20"/>
                <w:szCs w:val="20"/>
              </w:rPr>
              <w:t xml:space="preserve">No. of patients likely to be treated i.e. patients who have a medium to high risk of </w:t>
            </w:r>
            <w:proofErr w:type="spellStart"/>
            <w:r w:rsidR="00F31AA5">
              <w:rPr>
                <w:rFonts w:ascii="Arial Narrow" w:hAnsi="Arial Narrow" w:cs="Arial"/>
                <w:b/>
                <w:bCs/>
                <w:color w:val="000000"/>
                <w:sz w:val="20"/>
                <w:szCs w:val="20"/>
              </w:rPr>
              <w:t>aHUS</w:t>
            </w:r>
            <w:proofErr w:type="spellEnd"/>
            <w:r w:rsidR="00F31AA5">
              <w:rPr>
                <w:rFonts w:ascii="Arial Narrow" w:hAnsi="Arial Narrow" w:cs="Arial"/>
                <w:b/>
                <w:bCs/>
                <w:color w:val="000000"/>
                <w:sz w:val="20"/>
                <w:szCs w:val="20"/>
              </w:rPr>
              <w:t xml:space="preserve"> </w:t>
            </w:r>
            <w:proofErr w:type="spellStart"/>
            <w:r w:rsidR="00F31AA5">
              <w:rPr>
                <w:rFonts w:ascii="Arial Narrow" w:hAnsi="Arial Narrow" w:cs="Arial"/>
                <w:b/>
                <w:bCs/>
                <w:color w:val="000000"/>
                <w:sz w:val="20"/>
                <w:szCs w:val="20"/>
              </w:rPr>
              <w:t>recurrenct</w:t>
            </w:r>
            <w:proofErr w:type="spellEnd"/>
            <w:r w:rsidRPr="00B176CF">
              <w:rPr>
                <w:rFonts w:ascii="Arial Narrow" w:hAnsi="Arial Narrow" w:cs="Arial"/>
                <w:b/>
                <w:bCs/>
                <w:color w:val="000000"/>
                <w:sz w:val="20"/>
                <w:szCs w:val="20"/>
              </w:rPr>
              <w:t xml:space="preserve"> post renal transplantation</w:t>
            </w:r>
          </w:p>
        </w:tc>
      </w:tr>
      <w:tr w:rsidR="00820721" w:rsidRPr="00B176CF" w:rsidTr="00820721">
        <w:tc>
          <w:tcPr>
            <w:tcW w:w="3119" w:type="dxa"/>
            <w:tcBorders>
              <w:top w:val="nil"/>
              <w:left w:val="single" w:sz="4" w:space="0" w:color="auto"/>
              <w:bottom w:val="single" w:sz="4" w:space="0" w:color="auto"/>
              <w:right w:val="nil"/>
            </w:tcBorders>
            <w:shd w:val="clear" w:color="auto" w:fill="auto"/>
            <w:vAlign w:val="bottom"/>
            <w:hideMark/>
          </w:tcPr>
          <w:p w:rsidR="00D12259" w:rsidRPr="00B176CF" w:rsidRDefault="00D12259" w:rsidP="00D12259">
            <w:pPr>
              <w:keepNext/>
              <w:keepLines/>
              <w:rPr>
                <w:rFonts w:ascii="Arial Narrow" w:hAnsi="Arial Narrow" w:cs="Arial"/>
                <w:color w:val="000000"/>
                <w:sz w:val="20"/>
                <w:szCs w:val="20"/>
              </w:rPr>
            </w:pPr>
            <w:r w:rsidRPr="00B176CF">
              <w:rPr>
                <w:rFonts w:ascii="Arial Narrow" w:hAnsi="Arial Narrow" w:cs="Arial"/>
                <w:color w:val="000000"/>
                <w:sz w:val="20"/>
                <w:szCs w:val="20"/>
              </w:rPr>
              <w:t xml:space="preserve">Initiating patients </w:t>
            </w: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2" w:type="dxa"/>
            <w:tcBorders>
              <w:top w:val="nil"/>
              <w:left w:val="nil"/>
              <w:bottom w:val="single" w:sz="4" w:space="0" w:color="auto"/>
              <w:right w:val="single" w:sz="4" w:space="0" w:color="auto"/>
            </w:tcBorders>
            <w:shd w:val="clear" w:color="auto" w:fill="auto"/>
            <w:noWrap/>
            <w:vAlign w:val="bottom"/>
            <w:hideMark/>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820721" w:rsidRPr="00B176CF" w:rsidTr="00820721">
        <w:tc>
          <w:tcPr>
            <w:tcW w:w="3119" w:type="dxa"/>
            <w:tcBorders>
              <w:top w:val="nil"/>
              <w:left w:val="single" w:sz="4" w:space="0" w:color="auto"/>
              <w:bottom w:val="single" w:sz="4" w:space="0" w:color="auto"/>
              <w:right w:val="nil"/>
            </w:tcBorders>
            <w:shd w:val="clear" w:color="auto" w:fill="auto"/>
            <w:vAlign w:val="bottom"/>
          </w:tcPr>
          <w:p w:rsidR="00D12259" w:rsidRPr="00B176CF" w:rsidRDefault="00D12259" w:rsidP="00D12259">
            <w:pPr>
              <w:keepNext/>
              <w:keepLines/>
              <w:rPr>
                <w:rFonts w:ascii="Arial Narrow" w:hAnsi="Arial Narrow" w:cs="Arial"/>
                <w:bCs/>
                <w:color w:val="000000"/>
                <w:sz w:val="20"/>
                <w:szCs w:val="20"/>
              </w:rPr>
            </w:pPr>
            <w:r w:rsidRPr="00B176CF">
              <w:rPr>
                <w:rFonts w:ascii="Arial Narrow" w:hAnsi="Arial Narrow" w:cs="Arial"/>
                <w:bCs/>
                <w:color w:val="000000"/>
                <w:sz w:val="20"/>
                <w:szCs w:val="20"/>
              </w:rPr>
              <w:t xml:space="preserve">Total patients treated with </w:t>
            </w:r>
            <w:proofErr w:type="spellStart"/>
            <w:r w:rsidRPr="00B176CF">
              <w:rPr>
                <w:rFonts w:ascii="Arial Narrow" w:hAnsi="Arial Narrow" w:cs="Arial"/>
                <w:bCs/>
                <w:color w:val="000000"/>
                <w:sz w:val="20"/>
                <w:szCs w:val="20"/>
              </w:rPr>
              <w:t>eculizumab</w:t>
            </w:r>
            <w:proofErr w:type="spellEnd"/>
          </w:p>
        </w:tc>
        <w:tc>
          <w:tcPr>
            <w:tcW w:w="1061" w:type="dxa"/>
            <w:tcBorders>
              <w:top w:val="nil"/>
              <w:left w:val="single" w:sz="4" w:space="0" w:color="auto"/>
              <w:bottom w:val="single" w:sz="4" w:space="0" w:color="auto"/>
              <w:right w:val="single" w:sz="4" w:space="0" w:color="auto"/>
            </w:tcBorders>
            <w:shd w:val="clear" w:color="auto" w:fill="auto"/>
            <w:noWrap/>
            <w:vAlign w:val="bottom"/>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vAlign w:val="bottom"/>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vAlign w:val="bottom"/>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vAlign w:val="bottom"/>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2" w:type="dxa"/>
            <w:tcBorders>
              <w:top w:val="nil"/>
              <w:left w:val="nil"/>
              <w:bottom w:val="single" w:sz="4" w:space="0" w:color="auto"/>
              <w:right w:val="single" w:sz="4" w:space="0" w:color="auto"/>
            </w:tcBorders>
            <w:shd w:val="clear" w:color="auto" w:fill="auto"/>
            <w:noWrap/>
            <w:vAlign w:val="bottom"/>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D12259" w:rsidRPr="00B176CF" w:rsidTr="00820721">
        <w:tc>
          <w:tcPr>
            <w:tcW w:w="842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D12259" w:rsidRPr="00B176CF" w:rsidRDefault="00D12259" w:rsidP="00D12259">
            <w:pPr>
              <w:keepNext/>
              <w:keepLines/>
              <w:rPr>
                <w:rFonts w:ascii="Arial Narrow" w:hAnsi="Arial Narrow" w:cs="Arial"/>
                <w:b/>
                <w:bCs/>
                <w:color w:val="000000"/>
                <w:sz w:val="20"/>
                <w:szCs w:val="20"/>
              </w:rPr>
            </w:pPr>
            <w:r w:rsidRPr="00B176CF">
              <w:rPr>
                <w:rFonts w:ascii="Arial Narrow" w:hAnsi="Arial Narrow" w:cs="Arial"/>
                <w:b/>
                <w:bCs/>
                <w:color w:val="000000"/>
                <w:sz w:val="20"/>
                <w:szCs w:val="20"/>
              </w:rPr>
              <w:t xml:space="preserve">Vials per year </w:t>
            </w:r>
          </w:p>
        </w:tc>
      </w:tr>
      <w:tr w:rsidR="00820721" w:rsidRPr="00B176CF" w:rsidTr="00820721">
        <w:tc>
          <w:tcPr>
            <w:tcW w:w="3119" w:type="dxa"/>
            <w:tcBorders>
              <w:top w:val="nil"/>
              <w:left w:val="single" w:sz="4" w:space="0" w:color="auto"/>
              <w:bottom w:val="single" w:sz="4" w:space="0" w:color="auto"/>
              <w:right w:val="nil"/>
            </w:tcBorders>
            <w:shd w:val="clear" w:color="auto" w:fill="auto"/>
            <w:vAlign w:val="bottom"/>
            <w:hideMark/>
          </w:tcPr>
          <w:p w:rsidR="00D12259" w:rsidRPr="00B176CF" w:rsidRDefault="00D12259" w:rsidP="00D12259">
            <w:pPr>
              <w:keepNext/>
              <w:keepLines/>
              <w:rPr>
                <w:rFonts w:ascii="Arial Narrow" w:hAnsi="Arial Narrow" w:cs="Arial"/>
                <w:color w:val="000000"/>
                <w:sz w:val="20"/>
                <w:szCs w:val="20"/>
                <w:vertAlign w:val="superscript"/>
              </w:rPr>
            </w:pPr>
            <w:r w:rsidRPr="00B176CF">
              <w:rPr>
                <w:rFonts w:ascii="Arial Narrow" w:hAnsi="Arial Narrow" w:cs="Arial"/>
                <w:color w:val="000000"/>
                <w:sz w:val="20"/>
                <w:szCs w:val="20"/>
              </w:rPr>
              <w:t>Inpatient phase vials</w:t>
            </w:r>
            <w:r w:rsidR="00820721" w:rsidRPr="00B176CF">
              <w:rPr>
                <w:rFonts w:ascii="Arial Narrow" w:hAnsi="Arial Narrow" w:cs="Arial"/>
                <w:color w:val="000000"/>
                <w:sz w:val="20"/>
                <w:szCs w:val="20"/>
                <w:vertAlign w:val="superscript"/>
              </w:rPr>
              <w:t xml:space="preserve"> a</w:t>
            </w:r>
          </w:p>
        </w:tc>
        <w:tc>
          <w:tcPr>
            <w:tcW w:w="1061" w:type="dxa"/>
            <w:tcBorders>
              <w:top w:val="nil"/>
              <w:left w:val="single" w:sz="4" w:space="0" w:color="auto"/>
              <w:bottom w:val="single" w:sz="4" w:space="0" w:color="auto"/>
              <w:right w:val="single" w:sz="4" w:space="0" w:color="auto"/>
            </w:tcBorders>
            <w:shd w:val="clear" w:color="auto" w:fill="auto"/>
            <w:noWrap/>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2" w:type="dxa"/>
            <w:tcBorders>
              <w:top w:val="nil"/>
              <w:left w:val="nil"/>
              <w:bottom w:val="single" w:sz="4" w:space="0" w:color="auto"/>
              <w:right w:val="single" w:sz="4" w:space="0" w:color="auto"/>
            </w:tcBorders>
            <w:shd w:val="clear" w:color="auto" w:fill="auto"/>
            <w:noWrap/>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820721" w:rsidRPr="00B176CF" w:rsidTr="00820721">
        <w:tc>
          <w:tcPr>
            <w:tcW w:w="3119" w:type="dxa"/>
            <w:tcBorders>
              <w:top w:val="nil"/>
              <w:left w:val="single" w:sz="4" w:space="0" w:color="auto"/>
              <w:bottom w:val="single" w:sz="4" w:space="0" w:color="auto"/>
              <w:right w:val="nil"/>
            </w:tcBorders>
            <w:shd w:val="clear" w:color="auto" w:fill="auto"/>
            <w:vAlign w:val="bottom"/>
            <w:hideMark/>
          </w:tcPr>
          <w:p w:rsidR="00D12259" w:rsidRPr="00B176CF" w:rsidRDefault="00D12259" w:rsidP="00D12259">
            <w:pPr>
              <w:keepNext/>
              <w:keepLines/>
              <w:rPr>
                <w:rFonts w:ascii="Arial Narrow" w:hAnsi="Arial Narrow" w:cs="Arial"/>
                <w:color w:val="000000"/>
                <w:sz w:val="20"/>
                <w:szCs w:val="20"/>
                <w:vertAlign w:val="superscript"/>
              </w:rPr>
            </w:pPr>
            <w:r w:rsidRPr="00B176CF">
              <w:rPr>
                <w:rFonts w:ascii="Arial Narrow" w:hAnsi="Arial Narrow" w:cs="Arial"/>
                <w:color w:val="000000"/>
                <w:sz w:val="20"/>
                <w:szCs w:val="20"/>
              </w:rPr>
              <w:t>Outpatient phase vials</w:t>
            </w:r>
            <w:r w:rsidR="00820721" w:rsidRPr="00B176CF">
              <w:rPr>
                <w:rFonts w:ascii="Arial Narrow" w:hAnsi="Arial Narrow" w:cs="Arial"/>
                <w:color w:val="000000"/>
                <w:sz w:val="20"/>
                <w:szCs w:val="20"/>
              </w:rPr>
              <w:t xml:space="preserve"> </w:t>
            </w:r>
            <w:r w:rsidR="00820721" w:rsidRPr="00B176CF">
              <w:rPr>
                <w:rFonts w:ascii="Arial Narrow" w:hAnsi="Arial Narrow" w:cs="Arial"/>
                <w:color w:val="000000"/>
                <w:sz w:val="20"/>
                <w:szCs w:val="20"/>
                <w:vertAlign w:val="superscript"/>
              </w:rPr>
              <w:t>a</w:t>
            </w:r>
          </w:p>
        </w:tc>
        <w:tc>
          <w:tcPr>
            <w:tcW w:w="1061" w:type="dxa"/>
            <w:tcBorders>
              <w:top w:val="nil"/>
              <w:left w:val="single" w:sz="4" w:space="0" w:color="auto"/>
              <w:bottom w:val="single" w:sz="4" w:space="0" w:color="auto"/>
              <w:right w:val="single" w:sz="4" w:space="0" w:color="auto"/>
            </w:tcBorders>
            <w:shd w:val="clear" w:color="auto" w:fill="auto"/>
            <w:noWrap/>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2" w:type="dxa"/>
            <w:tcBorders>
              <w:top w:val="nil"/>
              <w:left w:val="nil"/>
              <w:bottom w:val="single" w:sz="4" w:space="0" w:color="auto"/>
              <w:right w:val="single" w:sz="4" w:space="0" w:color="auto"/>
            </w:tcBorders>
            <w:shd w:val="clear" w:color="auto" w:fill="auto"/>
            <w:noWrap/>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820721" w:rsidRPr="00B176CF" w:rsidTr="00820721">
        <w:tc>
          <w:tcPr>
            <w:tcW w:w="3119" w:type="dxa"/>
            <w:tcBorders>
              <w:top w:val="nil"/>
              <w:left w:val="single" w:sz="4" w:space="0" w:color="auto"/>
              <w:bottom w:val="single" w:sz="4" w:space="0" w:color="auto"/>
              <w:right w:val="nil"/>
            </w:tcBorders>
            <w:shd w:val="clear" w:color="auto" w:fill="auto"/>
            <w:vAlign w:val="bottom"/>
            <w:hideMark/>
          </w:tcPr>
          <w:p w:rsidR="00D12259" w:rsidRPr="00B176CF" w:rsidRDefault="00D12259" w:rsidP="00D12259">
            <w:pPr>
              <w:keepNext/>
              <w:keepLines/>
              <w:rPr>
                <w:rFonts w:ascii="Arial Narrow" w:hAnsi="Arial Narrow" w:cs="Arial"/>
                <w:bCs/>
                <w:color w:val="000000"/>
                <w:sz w:val="20"/>
                <w:szCs w:val="20"/>
              </w:rPr>
            </w:pPr>
            <w:r w:rsidRPr="00B176CF">
              <w:rPr>
                <w:rFonts w:ascii="Arial Narrow" w:hAnsi="Arial Narrow" w:cs="Arial"/>
                <w:bCs/>
                <w:color w:val="000000"/>
                <w:sz w:val="20"/>
                <w:szCs w:val="20"/>
              </w:rPr>
              <w:t xml:space="preserve">Total vials per year </w:t>
            </w:r>
          </w:p>
        </w:tc>
        <w:tc>
          <w:tcPr>
            <w:tcW w:w="1061" w:type="dxa"/>
            <w:tcBorders>
              <w:top w:val="nil"/>
              <w:left w:val="single" w:sz="4" w:space="0" w:color="auto"/>
              <w:bottom w:val="single" w:sz="4" w:space="0" w:color="auto"/>
              <w:right w:val="single" w:sz="4" w:space="0" w:color="auto"/>
            </w:tcBorders>
            <w:shd w:val="clear" w:color="auto" w:fill="auto"/>
            <w:noWrap/>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2" w:type="dxa"/>
            <w:tcBorders>
              <w:top w:val="nil"/>
              <w:left w:val="nil"/>
              <w:bottom w:val="single" w:sz="4" w:space="0" w:color="auto"/>
              <w:right w:val="single" w:sz="4" w:space="0" w:color="auto"/>
            </w:tcBorders>
            <w:shd w:val="clear" w:color="auto" w:fill="auto"/>
            <w:noWrap/>
          </w:tcPr>
          <w:p w:rsidR="00D12259" w:rsidRPr="00D14DDF" w:rsidRDefault="00D14DDF" w:rsidP="00D12259">
            <w:pPr>
              <w:keepNext/>
              <w:keepLines/>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820721" w:rsidRPr="00B176CF" w:rsidTr="00820721">
        <w:tc>
          <w:tcPr>
            <w:tcW w:w="3119" w:type="dxa"/>
            <w:tcBorders>
              <w:top w:val="nil"/>
              <w:left w:val="single" w:sz="4" w:space="0" w:color="auto"/>
              <w:bottom w:val="single" w:sz="4" w:space="0" w:color="auto"/>
              <w:right w:val="nil"/>
            </w:tcBorders>
            <w:shd w:val="clear" w:color="auto" w:fill="auto"/>
            <w:vAlign w:val="bottom"/>
            <w:hideMark/>
          </w:tcPr>
          <w:p w:rsidR="00D12259" w:rsidRPr="00B176CF" w:rsidRDefault="00D12259" w:rsidP="00D12259">
            <w:pPr>
              <w:keepNext/>
              <w:keepLines/>
              <w:rPr>
                <w:rFonts w:ascii="Arial Narrow" w:hAnsi="Arial Narrow" w:cs="Arial"/>
                <w:b/>
                <w:bCs/>
                <w:color w:val="000000"/>
                <w:sz w:val="20"/>
                <w:szCs w:val="20"/>
              </w:rPr>
            </w:pPr>
            <w:r w:rsidRPr="00B176CF">
              <w:rPr>
                <w:rFonts w:ascii="Arial Narrow" w:hAnsi="Arial Narrow" w:cs="Arial"/>
                <w:b/>
                <w:bCs/>
                <w:color w:val="000000"/>
                <w:sz w:val="20"/>
                <w:szCs w:val="20"/>
              </w:rPr>
              <w:t xml:space="preserve">Cost to the PBS </w:t>
            </w:r>
          </w:p>
        </w:tc>
        <w:tc>
          <w:tcPr>
            <w:tcW w:w="1061" w:type="dxa"/>
            <w:tcBorders>
              <w:top w:val="nil"/>
              <w:left w:val="single" w:sz="4" w:space="0" w:color="auto"/>
              <w:bottom w:val="single" w:sz="4" w:space="0" w:color="auto"/>
              <w:right w:val="single" w:sz="4" w:space="0" w:color="auto"/>
            </w:tcBorders>
            <w:shd w:val="clear" w:color="auto" w:fill="auto"/>
            <w:noWrap/>
            <w:vAlign w:val="bottom"/>
          </w:tcPr>
          <w:p w:rsidR="00D12259" w:rsidRPr="00B176CF" w:rsidRDefault="00D12259" w:rsidP="00D12259">
            <w:pPr>
              <w:keepNext/>
              <w:keepLines/>
              <w:rPr>
                <w:rFonts w:ascii="Arial Narrow" w:hAnsi="Arial Narrow"/>
                <w:b/>
                <w:bCs/>
                <w:color w:val="000000"/>
                <w:sz w:val="20"/>
                <w:szCs w:val="20"/>
              </w:rPr>
            </w:pPr>
            <w:r w:rsidRPr="00B176CF">
              <w:rPr>
                <w:rFonts w:ascii="Arial Narrow" w:hAnsi="Arial Narrow"/>
                <w:b/>
                <w:bCs/>
                <w:color w:val="000000"/>
                <w:sz w:val="20"/>
                <w:szCs w:val="20"/>
              </w:rPr>
              <w:t>$</w:t>
            </w:r>
            <w:r w:rsidR="00D14DDF">
              <w:rPr>
                <w:rFonts w:ascii="Arial Narrow" w:hAnsi="Arial Narrow"/>
                <w:b/>
                <w:bCs/>
                <w:noProof/>
                <w:color w:val="000000"/>
                <w:sz w:val="20"/>
                <w:szCs w:val="20"/>
                <w:highlight w:val="black"/>
              </w:rPr>
              <w:t>''''''''''''''''''</w:t>
            </w:r>
            <w:r w:rsidRPr="00B176CF">
              <w:rPr>
                <w:rFonts w:ascii="Arial Narrow" w:hAnsi="Arial Narrow"/>
                <w:b/>
                <w:bCs/>
                <w:color w:val="000000"/>
                <w:sz w:val="20"/>
                <w:szCs w:val="20"/>
              </w:rPr>
              <w:t xml:space="preserve"> </w:t>
            </w:r>
          </w:p>
        </w:tc>
        <w:tc>
          <w:tcPr>
            <w:tcW w:w="1061" w:type="dxa"/>
            <w:tcBorders>
              <w:top w:val="nil"/>
              <w:left w:val="nil"/>
              <w:bottom w:val="single" w:sz="4" w:space="0" w:color="auto"/>
              <w:right w:val="single" w:sz="4" w:space="0" w:color="auto"/>
            </w:tcBorders>
            <w:shd w:val="clear" w:color="auto" w:fill="auto"/>
            <w:noWrap/>
            <w:vAlign w:val="bottom"/>
          </w:tcPr>
          <w:p w:rsidR="00D12259" w:rsidRPr="00B176CF" w:rsidRDefault="00D12259" w:rsidP="00D12259">
            <w:pPr>
              <w:keepNext/>
              <w:keepLines/>
              <w:rPr>
                <w:rFonts w:ascii="Arial Narrow" w:hAnsi="Arial Narrow"/>
                <w:b/>
                <w:bCs/>
                <w:color w:val="000000"/>
                <w:sz w:val="20"/>
                <w:szCs w:val="20"/>
              </w:rPr>
            </w:pPr>
            <w:r w:rsidRPr="00B176CF">
              <w:rPr>
                <w:rFonts w:ascii="Arial Narrow" w:hAnsi="Arial Narrow"/>
                <w:b/>
                <w:bCs/>
                <w:color w:val="000000"/>
                <w:sz w:val="20"/>
                <w:szCs w:val="20"/>
              </w:rPr>
              <w:t>$</w:t>
            </w:r>
            <w:r w:rsidR="00D14DDF">
              <w:rPr>
                <w:rFonts w:ascii="Arial Narrow" w:hAnsi="Arial Narrow"/>
                <w:b/>
                <w:bCs/>
                <w:noProof/>
                <w:color w:val="000000"/>
                <w:sz w:val="20"/>
                <w:szCs w:val="20"/>
                <w:highlight w:val="black"/>
              </w:rPr>
              <w:t>''''''''''''''''''</w:t>
            </w:r>
            <w:r w:rsidRPr="00B176CF">
              <w:rPr>
                <w:rFonts w:ascii="Arial Narrow" w:hAnsi="Arial Narrow"/>
                <w:b/>
                <w:bCs/>
                <w:color w:val="000000"/>
                <w:sz w:val="20"/>
                <w:szCs w:val="20"/>
              </w:rPr>
              <w:t xml:space="preserve"> </w:t>
            </w:r>
          </w:p>
        </w:tc>
        <w:tc>
          <w:tcPr>
            <w:tcW w:w="1061" w:type="dxa"/>
            <w:tcBorders>
              <w:top w:val="nil"/>
              <w:left w:val="nil"/>
              <w:bottom w:val="single" w:sz="4" w:space="0" w:color="auto"/>
              <w:right w:val="single" w:sz="4" w:space="0" w:color="auto"/>
            </w:tcBorders>
            <w:shd w:val="clear" w:color="auto" w:fill="auto"/>
            <w:noWrap/>
            <w:vAlign w:val="bottom"/>
          </w:tcPr>
          <w:p w:rsidR="00D12259" w:rsidRPr="00B176CF" w:rsidRDefault="00D12259" w:rsidP="00D12259">
            <w:pPr>
              <w:keepNext/>
              <w:keepLines/>
              <w:rPr>
                <w:rFonts w:ascii="Arial Narrow" w:hAnsi="Arial Narrow"/>
                <w:b/>
                <w:bCs/>
                <w:color w:val="000000"/>
                <w:sz w:val="20"/>
                <w:szCs w:val="20"/>
              </w:rPr>
            </w:pPr>
            <w:r w:rsidRPr="00B176CF">
              <w:rPr>
                <w:rFonts w:ascii="Arial Narrow" w:hAnsi="Arial Narrow"/>
                <w:b/>
                <w:bCs/>
                <w:color w:val="000000"/>
                <w:sz w:val="20"/>
                <w:szCs w:val="20"/>
              </w:rPr>
              <w:t>$</w:t>
            </w:r>
            <w:r w:rsidR="00D14DDF">
              <w:rPr>
                <w:rFonts w:ascii="Arial Narrow" w:hAnsi="Arial Narrow"/>
                <w:b/>
                <w:bCs/>
                <w:noProof/>
                <w:color w:val="000000"/>
                <w:sz w:val="20"/>
                <w:szCs w:val="20"/>
                <w:highlight w:val="black"/>
              </w:rPr>
              <w:t>'''''''''''''''''''''</w:t>
            </w:r>
            <w:r w:rsidRPr="00B176CF">
              <w:rPr>
                <w:rFonts w:ascii="Arial Narrow" w:hAnsi="Arial Narrow"/>
                <w:b/>
                <w:bCs/>
                <w:color w:val="000000"/>
                <w:sz w:val="20"/>
                <w:szCs w:val="20"/>
              </w:rPr>
              <w:t xml:space="preserve"> </w:t>
            </w:r>
          </w:p>
        </w:tc>
        <w:tc>
          <w:tcPr>
            <w:tcW w:w="1061" w:type="dxa"/>
            <w:tcBorders>
              <w:top w:val="nil"/>
              <w:left w:val="nil"/>
              <w:bottom w:val="single" w:sz="4" w:space="0" w:color="auto"/>
              <w:right w:val="single" w:sz="4" w:space="0" w:color="auto"/>
            </w:tcBorders>
            <w:shd w:val="clear" w:color="auto" w:fill="auto"/>
            <w:noWrap/>
            <w:vAlign w:val="bottom"/>
          </w:tcPr>
          <w:p w:rsidR="00D12259" w:rsidRPr="00B176CF" w:rsidRDefault="00D12259" w:rsidP="00D12259">
            <w:pPr>
              <w:keepNext/>
              <w:keepLines/>
              <w:rPr>
                <w:rFonts w:ascii="Arial Narrow" w:hAnsi="Arial Narrow"/>
                <w:b/>
                <w:bCs/>
                <w:color w:val="000000"/>
                <w:sz w:val="20"/>
                <w:szCs w:val="20"/>
              </w:rPr>
            </w:pPr>
            <w:r w:rsidRPr="00B176CF">
              <w:rPr>
                <w:rFonts w:ascii="Arial Narrow" w:hAnsi="Arial Narrow"/>
                <w:b/>
                <w:bCs/>
                <w:color w:val="000000"/>
                <w:sz w:val="20"/>
                <w:szCs w:val="20"/>
              </w:rPr>
              <w:t>$</w:t>
            </w:r>
            <w:r w:rsidR="00D14DDF">
              <w:rPr>
                <w:rFonts w:ascii="Arial Narrow" w:hAnsi="Arial Narrow"/>
                <w:b/>
                <w:bCs/>
                <w:noProof/>
                <w:color w:val="000000"/>
                <w:sz w:val="20"/>
                <w:szCs w:val="20"/>
                <w:highlight w:val="black"/>
              </w:rPr>
              <w:t>''''''''''''''''''''</w:t>
            </w:r>
            <w:r w:rsidRPr="00B176CF">
              <w:rPr>
                <w:rFonts w:ascii="Arial Narrow" w:hAnsi="Arial Narrow"/>
                <w:b/>
                <w:bCs/>
                <w:color w:val="000000"/>
                <w:sz w:val="20"/>
                <w:szCs w:val="20"/>
              </w:rPr>
              <w:t xml:space="preserve"> </w:t>
            </w:r>
          </w:p>
        </w:tc>
        <w:tc>
          <w:tcPr>
            <w:tcW w:w="1062" w:type="dxa"/>
            <w:tcBorders>
              <w:top w:val="nil"/>
              <w:left w:val="nil"/>
              <w:bottom w:val="single" w:sz="4" w:space="0" w:color="auto"/>
              <w:right w:val="single" w:sz="4" w:space="0" w:color="auto"/>
            </w:tcBorders>
            <w:shd w:val="clear" w:color="auto" w:fill="auto"/>
            <w:noWrap/>
            <w:vAlign w:val="bottom"/>
          </w:tcPr>
          <w:p w:rsidR="00D12259" w:rsidRPr="00B176CF" w:rsidRDefault="00D12259" w:rsidP="00D12259">
            <w:pPr>
              <w:keepNext/>
              <w:keepLines/>
              <w:rPr>
                <w:rFonts w:ascii="Arial Narrow" w:hAnsi="Arial Narrow"/>
                <w:b/>
                <w:bCs/>
                <w:color w:val="000000"/>
                <w:sz w:val="20"/>
                <w:szCs w:val="20"/>
              </w:rPr>
            </w:pPr>
            <w:r w:rsidRPr="00B176CF">
              <w:rPr>
                <w:rFonts w:ascii="Arial Narrow" w:hAnsi="Arial Narrow"/>
                <w:b/>
                <w:bCs/>
                <w:color w:val="000000"/>
                <w:sz w:val="20"/>
                <w:szCs w:val="20"/>
              </w:rPr>
              <w:t>$</w:t>
            </w:r>
            <w:r w:rsidR="00D14DDF">
              <w:rPr>
                <w:rFonts w:ascii="Arial Narrow" w:hAnsi="Arial Narrow"/>
                <w:b/>
                <w:bCs/>
                <w:noProof/>
                <w:color w:val="000000"/>
                <w:sz w:val="20"/>
                <w:szCs w:val="20"/>
                <w:highlight w:val="black"/>
              </w:rPr>
              <w:t>'''''''''''''''''''</w:t>
            </w:r>
          </w:p>
        </w:tc>
      </w:tr>
      <w:tr w:rsidR="00D12259" w:rsidRPr="00B176CF" w:rsidTr="00820721">
        <w:tc>
          <w:tcPr>
            <w:tcW w:w="3119" w:type="dxa"/>
            <w:tcBorders>
              <w:top w:val="nil"/>
              <w:left w:val="single" w:sz="4" w:space="0" w:color="auto"/>
              <w:bottom w:val="single" w:sz="4" w:space="0" w:color="auto"/>
              <w:right w:val="nil"/>
            </w:tcBorders>
            <w:shd w:val="clear" w:color="auto" w:fill="auto"/>
            <w:vAlign w:val="bottom"/>
          </w:tcPr>
          <w:p w:rsidR="00D12259" w:rsidRPr="00B176CF" w:rsidRDefault="00174241" w:rsidP="00174241">
            <w:pPr>
              <w:keepNext/>
              <w:keepLines/>
              <w:rPr>
                <w:rFonts w:ascii="Arial Narrow" w:hAnsi="Arial Narrow" w:cs="Arial"/>
                <w:color w:val="000000"/>
                <w:sz w:val="20"/>
                <w:szCs w:val="20"/>
                <w:vertAlign w:val="superscript"/>
              </w:rPr>
            </w:pPr>
            <w:r w:rsidRPr="00B176CF">
              <w:rPr>
                <w:rFonts w:ascii="Arial Narrow" w:hAnsi="Arial Narrow" w:cs="Arial"/>
                <w:color w:val="000000"/>
                <w:sz w:val="20"/>
                <w:szCs w:val="20"/>
              </w:rPr>
              <w:t xml:space="preserve">Rebate for first 2 doses </w:t>
            </w:r>
            <w:r w:rsidRPr="00B176CF">
              <w:rPr>
                <w:rFonts w:ascii="Arial Narrow" w:hAnsi="Arial Narrow" w:cs="Arial"/>
                <w:color w:val="000000"/>
                <w:sz w:val="20"/>
                <w:szCs w:val="20"/>
                <w:vertAlign w:val="superscript"/>
              </w:rPr>
              <w:t>b</w:t>
            </w:r>
          </w:p>
        </w:tc>
        <w:tc>
          <w:tcPr>
            <w:tcW w:w="1061" w:type="dxa"/>
            <w:tcBorders>
              <w:top w:val="nil"/>
              <w:left w:val="single" w:sz="4" w:space="0" w:color="auto"/>
              <w:bottom w:val="single" w:sz="4" w:space="0" w:color="auto"/>
              <w:right w:val="single" w:sz="4" w:space="0" w:color="auto"/>
            </w:tcBorders>
            <w:shd w:val="clear" w:color="auto" w:fill="auto"/>
            <w:noWrap/>
            <w:vAlign w:val="bottom"/>
          </w:tcPr>
          <w:p w:rsidR="00D12259" w:rsidRPr="00D14DDF" w:rsidRDefault="00D12259" w:rsidP="00D12259">
            <w:pPr>
              <w:keepNext/>
              <w:keepLines/>
              <w:rPr>
                <w:rFonts w:ascii="Arial Narrow" w:hAnsi="Arial Narrow"/>
                <w:bCs/>
                <w:color w:val="000000"/>
                <w:sz w:val="20"/>
                <w:szCs w:val="20"/>
              </w:rPr>
            </w:pPr>
            <w:r w:rsidRPr="00FB6BAB">
              <w:rPr>
                <w:rFonts w:ascii="Arial Narrow" w:hAnsi="Arial Narrow"/>
                <w:bCs/>
                <w:color w:val="000000"/>
                <w:sz w:val="20"/>
                <w:szCs w:val="20"/>
              </w:rPr>
              <w:t>-$</w:t>
            </w:r>
            <w:r w:rsidR="00D14DDF">
              <w:rPr>
                <w:rFonts w:ascii="Arial Narrow" w:hAnsi="Arial Narrow"/>
                <w:bCs/>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vAlign w:val="bottom"/>
          </w:tcPr>
          <w:p w:rsidR="00D12259" w:rsidRPr="00D14DDF" w:rsidRDefault="00D12259" w:rsidP="00D12259">
            <w:pPr>
              <w:keepNext/>
              <w:keepLines/>
              <w:rPr>
                <w:rFonts w:ascii="Arial Narrow" w:hAnsi="Arial Narrow"/>
                <w:bCs/>
                <w:color w:val="000000"/>
                <w:sz w:val="20"/>
                <w:szCs w:val="20"/>
              </w:rPr>
            </w:pPr>
            <w:r w:rsidRPr="00FB6BAB">
              <w:rPr>
                <w:rFonts w:ascii="Arial Narrow" w:hAnsi="Arial Narrow"/>
                <w:bCs/>
                <w:color w:val="000000"/>
                <w:sz w:val="20"/>
                <w:szCs w:val="20"/>
              </w:rPr>
              <w:t>-$</w:t>
            </w:r>
            <w:r w:rsidR="00D14DDF">
              <w:rPr>
                <w:rFonts w:ascii="Arial Narrow" w:hAnsi="Arial Narrow"/>
                <w:bCs/>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vAlign w:val="bottom"/>
          </w:tcPr>
          <w:p w:rsidR="00D12259" w:rsidRPr="00D14DDF" w:rsidRDefault="00D12259" w:rsidP="00D12259">
            <w:pPr>
              <w:keepNext/>
              <w:keepLines/>
              <w:rPr>
                <w:rFonts w:ascii="Arial Narrow" w:hAnsi="Arial Narrow"/>
                <w:bCs/>
                <w:color w:val="000000"/>
                <w:sz w:val="20"/>
                <w:szCs w:val="20"/>
              </w:rPr>
            </w:pPr>
            <w:r w:rsidRPr="00FB6BAB">
              <w:rPr>
                <w:rFonts w:ascii="Arial Narrow" w:hAnsi="Arial Narrow"/>
                <w:bCs/>
                <w:color w:val="000000"/>
                <w:sz w:val="20"/>
                <w:szCs w:val="20"/>
              </w:rPr>
              <w:t>-$</w:t>
            </w:r>
            <w:r w:rsidR="00D14DDF">
              <w:rPr>
                <w:rFonts w:ascii="Arial Narrow" w:hAnsi="Arial Narrow"/>
                <w:bCs/>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auto"/>
            <w:noWrap/>
            <w:vAlign w:val="bottom"/>
          </w:tcPr>
          <w:p w:rsidR="00D12259" w:rsidRPr="00D14DDF" w:rsidRDefault="00D12259" w:rsidP="00D12259">
            <w:pPr>
              <w:keepNext/>
              <w:keepLines/>
              <w:rPr>
                <w:rFonts w:ascii="Arial Narrow" w:hAnsi="Arial Narrow"/>
                <w:bCs/>
                <w:color w:val="000000"/>
                <w:sz w:val="20"/>
                <w:szCs w:val="20"/>
              </w:rPr>
            </w:pPr>
            <w:r w:rsidRPr="00FB6BAB">
              <w:rPr>
                <w:rFonts w:ascii="Arial Narrow" w:hAnsi="Arial Narrow"/>
                <w:bCs/>
                <w:color w:val="000000"/>
                <w:sz w:val="20"/>
                <w:szCs w:val="20"/>
              </w:rPr>
              <w:t>-$</w:t>
            </w:r>
            <w:r w:rsidR="00D14DDF">
              <w:rPr>
                <w:rFonts w:ascii="Arial Narrow" w:hAnsi="Arial Narrow"/>
                <w:bCs/>
                <w:noProof/>
                <w:color w:val="000000"/>
                <w:sz w:val="20"/>
                <w:szCs w:val="20"/>
                <w:highlight w:val="black"/>
              </w:rPr>
              <w:t>''''''''''''''''''''</w:t>
            </w:r>
          </w:p>
        </w:tc>
        <w:tc>
          <w:tcPr>
            <w:tcW w:w="1062" w:type="dxa"/>
            <w:tcBorders>
              <w:top w:val="nil"/>
              <w:left w:val="nil"/>
              <w:bottom w:val="single" w:sz="4" w:space="0" w:color="auto"/>
              <w:right w:val="single" w:sz="4" w:space="0" w:color="auto"/>
            </w:tcBorders>
            <w:shd w:val="clear" w:color="auto" w:fill="auto"/>
            <w:noWrap/>
            <w:vAlign w:val="bottom"/>
          </w:tcPr>
          <w:p w:rsidR="00D12259" w:rsidRPr="00D14DDF" w:rsidRDefault="00D12259" w:rsidP="00D12259">
            <w:pPr>
              <w:keepNext/>
              <w:keepLines/>
              <w:rPr>
                <w:rFonts w:ascii="Arial Narrow" w:hAnsi="Arial Narrow"/>
                <w:bCs/>
                <w:color w:val="000000"/>
                <w:sz w:val="20"/>
                <w:szCs w:val="20"/>
              </w:rPr>
            </w:pPr>
            <w:r w:rsidRPr="00FB6BAB">
              <w:rPr>
                <w:rFonts w:ascii="Arial Narrow" w:hAnsi="Arial Narrow"/>
                <w:bCs/>
                <w:color w:val="000000"/>
                <w:sz w:val="20"/>
                <w:szCs w:val="20"/>
              </w:rPr>
              <w:t>-$</w:t>
            </w:r>
            <w:r w:rsidR="00D14DDF">
              <w:rPr>
                <w:rFonts w:ascii="Arial Narrow" w:hAnsi="Arial Narrow"/>
                <w:bCs/>
                <w:noProof/>
                <w:color w:val="000000"/>
                <w:sz w:val="20"/>
                <w:szCs w:val="20"/>
                <w:highlight w:val="black"/>
              </w:rPr>
              <w:t>'''''''''''''''''</w:t>
            </w:r>
          </w:p>
        </w:tc>
      </w:tr>
      <w:tr w:rsidR="00D12259" w:rsidRPr="00B176CF" w:rsidTr="00820721">
        <w:tc>
          <w:tcPr>
            <w:tcW w:w="3119" w:type="dxa"/>
            <w:tcBorders>
              <w:top w:val="nil"/>
              <w:left w:val="single" w:sz="4" w:space="0" w:color="auto"/>
              <w:bottom w:val="single" w:sz="4" w:space="0" w:color="auto"/>
              <w:right w:val="nil"/>
            </w:tcBorders>
            <w:shd w:val="clear" w:color="auto" w:fill="auto"/>
            <w:vAlign w:val="bottom"/>
          </w:tcPr>
          <w:p w:rsidR="00D12259" w:rsidRPr="00B176CF" w:rsidRDefault="00D12259" w:rsidP="00820721">
            <w:pPr>
              <w:keepNext/>
              <w:keepLines/>
              <w:rPr>
                <w:rFonts w:ascii="Arial Narrow" w:hAnsi="Arial Narrow" w:cs="Arial"/>
                <w:b/>
                <w:bCs/>
                <w:color w:val="000000"/>
                <w:sz w:val="20"/>
                <w:szCs w:val="20"/>
              </w:rPr>
            </w:pPr>
            <w:r w:rsidRPr="00B176CF">
              <w:rPr>
                <w:rFonts w:ascii="Arial Narrow" w:hAnsi="Arial Narrow" w:cs="Arial"/>
                <w:b/>
                <w:bCs/>
                <w:color w:val="000000"/>
                <w:sz w:val="20"/>
                <w:szCs w:val="20"/>
              </w:rPr>
              <w:t>Net Cost to the PBS</w:t>
            </w:r>
            <w:r w:rsidR="00820721" w:rsidRPr="00B176CF">
              <w:rPr>
                <w:rFonts w:ascii="Arial Narrow" w:hAnsi="Arial Narrow" w:cs="Arial"/>
                <w:b/>
                <w:bCs/>
                <w:color w:val="000000"/>
                <w:sz w:val="20"/>
                <w:szCs w:val="20"/>
                <w:vertAlign w:val="superscript"/>
              </w:rPr>
              <w:t xml:space="preserve"> </w:t>
            </w:r>
            <w:r w:rsidR="00820721" w:rsidRPr="00B176CF">
              <w:rPr>
                <w:rFonts w:ascii="Arial Narrow" w:hAnsi="Arial Narrow" w:cs="Arial"/>
                <w:b/>
                <w:bCs/>
                <w:color w:val="000000"/>
                <w:sz w:val="20"/>
                <w:szCs w:val="20"/>
              </w:rPr>
              <w:t>after rebates</w:t>
            </w:r>
          </w:p>
        </w:tc>
        <w:tc>
          <w:tcPr>
            <w:tcW w:w="1061" w:type="dxa"/>
            <w:tcBorders>
              <w:top w:val="nil"/>
              <w:left w:val="single" w:sz="4" w:space="0" w:color="auto"/>
              <w:bottom w:val="single" w:sz="4" w:space="0" w:color="auto"/>
              <w:right w:val="single" w:sz="4" w:space="0" w:color="auto"/>
            </w:tcBorders>
            <w:shd w:val="clear" w:color="auto" w:fill="auto"/>
            <w:noWrap/>
            <w:vAlign w:val="bottom"/>
          </w:tcPr>
          <w:p w:rsidR="00D12259" w:rsidRPr="00B176CF" w:rsidRDefault="00D12259" w:rsidP="00D12259">
            <w:pPr>
              <w:keepNext/>
              <w:keepLines/>
              <w:rPr>
                <w:rFonts w:ascii="Arial Narrow" w:hAnsi="Arial Narrow"/>
                <w:b/>
                <w:bCs/>
                <w:color w:val="000000"/>
                <w:sz w:val="20"/>
                <w:szCs w:val="20"/>
              </w:rPr>
            </w:pPr>
            <w:r w:rsidRPr="00B176CF">
              <w:rPr>
                <w:rFonts w:ascii="Arial Narrow" w:hAnsi="Arial Narrow"/>
                <w:b/>
                <w:bCs/>
                <w:color w:val="000000"/>
                <w:sz w:val="20"/>
                <w:szCs w:val="20"/>
              </w:rPr>
              <w:t>$</w:t>
            </w:r>
            <w:r w:rsidR="00D14DDF">
              <w:rPr>
                <w:rFonts w:ascii="Arial Narrow" w:hAnsi="Arial Narrow"/>
                <w:b/>
                <w:bCs/>
                <w:noProof/>
                <w:color w:val="000000"/>
                <w:sz w:val="20"/>
                <w:szCs w:val="20"/>
                <w:highlight w:val="black"/>
              </w:rPr>
              <w:t>''''''''''''''''''</w:t>
            </w:r>
            <w:r w:rsidRPr="00B176CF">
              <w:rPr>
                <w:rFonts w:ascii="Arial Narrow" w:hAnsi="Arial Narrow"/>
                <w:b/>
                <w:bCs/>
                <w:color w:val="000000"/>
                <w:sz w:val="20"/>
                <w:szCs w:val="20"/>
              </w:rPr>
              <w:t xml:space="preserve"> </w:t>
            </w:r>
          </w:p>
        </w:tc>
        <w:tc>
          <w:tcPr>
            <w:tcW w:w="1061" w:type="dxa"/>
            <w:tcBorders>
              <w:top w:val="nil"/>
              <w:left w:val="nil"/>
              <w:bottom w:val="single" w:sz="4" w:space="0" w:color="auto"/>
              <w:right w:val="single" w:sz="4" w:space="0" w:color="auto"/>
            </w:tcBorders>
            <w:shd w:val="clear" w:color="auto" w:fill="auto"/>
            <w:noWrap/>
            <w:vAlign w:val="bottom"/>
          </w:tcPr>
          <w:p w:rsidR="00D12259" w:rsidRPr="00B176CF" w:rsidRDefault="00D12259" w:rsidP="00D12259">
            <w:pPr>
              <w:keepNext/>
              <w:keepLines/>
              <w:rPr>
                <w:rFonts w:ascii="Arial Narrow" w:hAnsi="Arial Narrow"/>
                <w:b/>
                <w:bCs/>
                <w:color w:val="000000"/>
                <w:sz w:val="20"/>
                <w:szCs w:val="20"/>
              </w:rPr>
            </w:pPr>
            <w:r w:rsidRPr="00B176CF">
              <w:rPr>
                <w:rFonts w:ascii="Arial Narrow" w:hAnsi="Arial Narrow"/>
                <w:b/>
                <w:bCs/>
                <w:color w:val="000000"/>
                <w:sz w:val="20"/>
                <w:szCs w:val="20"/>
              </w:rPr>
              <w:t>$</w:t>
            </w:r>
            <w:r w:rsidR="00D14DDF">
              <w:rPr>
                <w:rFonts w:ascii="Arial Narrow" w:hAnsi="Arial Narrow"/>
                <w:b/>
                <w:bCs/>
                <w:noProof/>
                <w:color w:val="000000"/>
                <w:sz w:val="20"/>
                <w:szCs w:val="20"/>
                <w:highlight w:val="black"/>
              </w:rPr>
              <w:t>''''''''''''''''''</w:t>
            </w:r>
            <w:r w:rsidRPr="00B176CF">
              <w:rPr>
                <w:rFonts w:ascii="Arial Narrow" w:hAnsi="Arial Narrow"/>
                <w:b/>
                <w:bCs/>
                <w:color w:val="000000"/>
                <w:sz w:val="20"/>
                <w:szCs w:val="20"/>
              </w:rPr>
              <w:t xml:space="preserve"> </w:t>
            </w:r>
          </w:p>
        </w:tc>
        <w:tc>
          <w:tcPr>
            <w:tcW w:w="1061" w:type="dxa"/>
            <w:tcBorders>
              <w:top w:val="nil"/>
              <w:left w:val="nil"/>
              <w:bottom w:val="single" w:sz="4" w:space="0" w:color="auto"/>
              <w:right w:val="single" w:sz="4" w:space="0" w:color="auto"/>
            </w:tcBorders>
            <w:shd w:val="clear" w:color="auto" w:fill="auto"/>
            <w:noWrap/>
            <w:vAlign w:val="bottom"/>
          </w:tcPr>
          <w:p w:rsidR="00D12259" w:rsidRPr="00B176CF" w:rsidRDefault="00D12259" w:rsidP="00D12259">
            <w:pPr>
              <w:keepNext/>
              <w:keepLines/>
              <w:rPr>
                <w:rFonts w:ascii="Arial Narrow" w:hAnsi="Arial Narrow"/>
                <w:b/>
                <w:bCs/>
                <w:color w:val="000000"/>
                <w:sz w:val="20"/>
                <w:szCs w:val="20"/>
              </w:rPr>
            </w:pPr>
            <w:r w:rsidRPr="00B176CF">
              <w:rPr>
                <w:rFonts w:ascii="Arial Narrow" w:hAnsi="Arial Narrow"/>
                <w:b/>
                <w:bCs/>
                <w:color w:val="000000"/>
                <w:sz w:val="20"/>
                <w:szCs w:val="20"/>
              </w:rPr>
              <w:t>$</w:t>
            </w:r>
            <w:r w:rsidR="00D14DDF">
              <w:rPr>
                <w:rFonts w:ascii="Arial Narrow" w:hAnsi="Arial Narrow"/>
                <w:b/>
                <w:bCs/>
                <w:noProof/>
                <w:color w:val="000000"/>
                <w:sz w:val="20"/>
                <w:szCs w:val="20"/>
                <w:highlight w:val="black"/>
              </w:rPr>
              <w:t>'''''''''''''''''''''</w:t>
            </w:r>
            <w:r w:rsidRPr="00B176CF">
              <w:rPr>
                <w:rFonts w:ascii="Arial Narrow" w:hAnsi="Arial Narrow"/>
                <w:b/>
                <w:bCs/>
                <w:color w:val="000000"/>
                <w:sz w:val="20"/>
                <w:szCs w:val="20"/>
              </w:rPr>
              <w:t xml:space="preserve"> </w:t>
            </w:r>
          </w:p>
        </w:tc>
        <w:tc>
          <w:tcPr>
            <w:tcW w:w="1061" w:type="dxa"/>
            <w:tcBorders>
              <w:top w:val="nil"/>
              <w:left w:val="nil"/>
              <w:bottom w:val="single" w:sz="4" w:space="0" w:color="auto"/>
              <w:right w:val="single" w:sz="4" w:space="0" w:color="auto"/>
            </w:tcBorders>
            <w:shd w:val="clear" w:color="auto" w:fill="auto"/>
            <w:noWrap/>
            <w:vAlign w:val="bottom"/>
          </w:tcPr>
          <w:p w:rsidR="00D12259" w:rsidRPr="00B176CF" w:rsidRDefault="00D12259" w:rsidP="00D12259">
            <w:pPr>
              <w:keepNext/>
              <w:keepLines/>
              <w:rPr>
                <w:rFonts w:ascii="Arial Narrow" w:hAnsi="Arial Narrow"/>
                <w:b/>
                <w:bCs/>
                <w:color w:val="000000"/>
                <w:sz w:val="20"/>
                <w:szCs w:val="20"/>
              </w:rPr>
            </w:pPr>
            <w:r w:rsidRPr="00B176CF">
              <w:rPr>
                <w:rFonts w:ascii="Arial Narrow" w:hAnsi="Arial Narrow"/>
                <w:b/>
                <w:bCs/>
                <w:color w:val="000000"/>
                <w:sz w:val="20"/>
                <w:szCs w:val="20"/>
              </w:rPr>
              <w:t>$</w:t>
            </w:r>
            <w:r w:rsidR="00D14DDF">
              <w:rPr>
                <w:rFonts w:ascii="Arial Narrow" w:hAnsi="Arial Narrow"/>
                <w:b/>
                <w:bCs/>
                <w:noProof/>
                <w:color w:val="000000"/>
                <w:sz w:val="20"/>
                <w:szCs w:val="20"/>
                <w:highlight w:val="black"/>
              </w:rPr>
              <w:t>''''''''''''''''''</w:t>
            </w:r>
            <w:r w:rsidRPr="00B176CF">
              <w:rPr>
                <w:rFonts w:ascii="Arial Narrow" w:hAnsi="Arial Narrow"/>
                <w:b/>
                <w:bCs/>
                <w:color w:val="000000"/>
                <w:sz w:val="20"/>
                <w:szCs w:val="20"/>
              </w:rPr>
              <w:t xml:space="preserve"> </w:t>
            </w:r>
          </w:p>
        </w:tc>
        <w:tc>
          <w:tcPr>
            <w:tcW w:w="1062" w:type="dxa"/>
            <w:tcBorders>
              <w:top w:val="nil"/>
              <w:left w:val="nil"/>
              <w:bottom w:val="single" w:sz="4" w:space="0" w:color="auto"/>
              <w:right w:val="single" w:sz="4" w:space="0" w:color="auto"/>
            </w:tcBorders>
            <w:shd w:val="clear" w:color="auto" w:fill="auto"/>
            <w:noWrap/>
            <w:vAlign w:val="bottom"/>
          </w:tcPr>
          <w:p w:rsidR="00D12259" w:rsidRPr="00B176CF" w:rsidRDefault="00D12259" w:rsidP="00D12259">
            <w:pPr>
              <w:keepNext/>
              <w:keepLines/>
              <w:rPr>
                <w:rFonts w:ascii="Arial Narrow" w:hAnsi="Arial Narrow"/>
                <w:b/>
                <w:bCs/>
                <w:color w:val="000000"/>
                <w:sz w:val="20"/>
                <w:szCs w:val="20"/>
              </w:rPr>
            </w:pPr>
            <w:r w:rsidRPr="00B176CF">
              <w:rPr>
                <w:rFonts w:ascii="Arial Narrow" w:hAnsi="Arial Narrow"/>
                <w:b/>
                <w:bCs/>
                <w:color w:val="000000"/>
                <w:sz w:val="20"/>
                <w:szCs w:val="20"/>
              </w:rPr>
              <w:t>$</w:t>
            </w:r>
            <w:r w:rsidR="00D14DDF">
              <w:rPr>
                <w:rFonts w:ascii="Arial Narrow" w:hAnsi="Arial Narrow"/>
                <w:b/>
                <w:bCs/>
                <w:noProof/>
                <w:color w:val="000000"/>
                <w:sz w:val="20"/>
                <w:szCs w:val="20"/>
                <w:highlight w:val="black"/>
              </w:rPr>
              <w:t>''''''''''''''''''''</w:t>
            </w:r>
            <w:r w:rsidRPr="00B176CF">
              <w:rPr>
                <w:rFonts w:ascii="Arial Narrow" w:hAnsi="Arial Narrow"/>
                <w:b/>
                <w:bCs/>
                <w:color w:val="000000"/>
                <w:sz w:val="20"/>
                <w:szCs w:val="20"/>
              </w:rPr>
              <w:t xml:space="preserve"> </w:t>
            </w:r>
          </w:p>
        </w:tc>
      </w:tr>
      <w:tr w:rsidR="00D12259" w:rsidRPr="00B176CF" w:rsidTr="00820721">
        <w:tc>
          <w:tcPr>
            <w:tcW w:w="8425" w:type="dxa"/>
            <w:gridSpan w:val="6"/>
            <w:tcBorders>
              <w:top w:val="nil"/>
              <w:left w:val="single" w:sz="4" w:space="0" w:color="auto"/>
              <w:bottom w:val="single" w:sz="4" w:space="0" w:color="auto"/>
              <w:right w:val="single" w:sz="4" w:space="0" w:color="auto"/>
            </w:tcBorders>
            <w:shd w:val="clear" w:color="auto" w:fill="D9D9D9" w:themeFill="background1" w:themeFillShade="D9"/>
            <w:vAlign w:val="bottom"/>
          </w:tcPr>
          <w:p w:rsidR="00D12259" w:rsidRPr="00B176CF" w:rsidRDefault="00D12259" w:rsidP="00DA42F7">
            <w:pPr>
              <w:keepNext/>
              <w:keepLines/>
              <w:rPr>
                <w:rFonts w:ascii="Arial Narrow" w:hAnsi="Arial Narrow" w:cs="Arial"/>
                <w:b/>
                <w:bCs/>
                <w:color w:val="000000"/>
                <w:sz w:val="20"/>
                <w:szCs w:val="20"/>
              </w:rPr>
            </w:pPr>
            <w:r w:rsidRPr="00B176CF">
              <w:rPr>
                <w:rFonts w:ascii="Arial Narrow" w:hAnsi="Arial Narrow" w:cs="Arial"/>
                <w:b/>
                <w:bCs/>
                <w:color w:val="000000"/>
                <w:sz w:val="20"/>
                <w:szCs w:val="20"/>
              </w:rPr>
              <w:t xml:space="preserve">July 2017 submission </w:t>
            </w:r>
            <w:r w:rsidR="004A6821">
              <w:rPr>
                <w:rFonts w:ascii="Arial Narrow" w:hAnsi="Arial Narrow" w:cs="Arial"/>
                <w:b/>
                <w:bCs/>
                <w:color w:val="000000"/>
                <w:sz w:val="20"/>
                <w:szCs w:val="20"/>
              </w:rPr>
              <w:t xml:space="preserve">– restriction proposed by sponsor </w:t>
            </w:r>
            <w:r w:rsidR="00DA42F7">
              <w:rPr>
                <w:rFonts w:ascii="Arial Narrow" w:hAnsi="Arial Narrow" w:cs="Arial"/>
                <w:b/>
                <w:bCs/>
                <w:color w:val="000000"/>
                <w:sz w:val="20"/>
                <w:szCs w:val="20"/>
              </w:rPr>
              <w:t>(assume</w:t>
            </w:r>
            <w:r w:rsidR="00C24543">
              <w:rPr>
                <w:rFonts w:ascii="Arial Narrow" w:hAnsi="Arial Narrow" w:cs="Arial"/>
                <w:b/>
                <w:bCs/>
                <w:color w:val="000000"/>
                <w:sz w:val="20"/>
                <w:szCs w:val="20"/>
              </w:rPr>
              <w:t>d</w:t>
            </w:r>
            <w:r w:rsidR="00DA42F7">
              <w:rPr>
                <w:rFonts w:ascii="Arial Narrow" w:hAnsi="Arial Narrow" w:cs="Arial"/>
                <w:b/>
                <w:bCs/>
                <w:color w:val="000000"/>
                <w:sz w:val="20"/>
                <w:szCs w:val="20"/>
              </w:rPr>
              <w:t xml:space="preserve"> all patients continue</w:t>
            </w:r>
            <w:r w:rsidR="00C24543">
              <w:rPr>
                <w:rFonts w:ascii="Arial Narrow" w:hAnsi="Arial Narrow" w:cs="Arial"/>
                <w:b/>
                <w:bCs/>
                <w:color w:val="000000"/>
                <w:sz w:val="20"/>
                <w:szCs w:val="20"/>
              </w:rPr>
              <w:t>d</w:t>
            </w:r>
            <w:r w:rsidR="00DA42F7">
              <w:rPr>
                <w:rFonts w:ascii="Arial Narrow" w:hAnsi="Arial Narrow" w:cs="Arial"/>
                <w:b/>
                <w:bCs/>
                <w:color w:val="000000"/>
                <w:sz w:val="20"/>
                <w:szCs w:val="20"/>
              </w:rPr>
              <w:t xml:space="preserve"> for 5 years)</w:t>
            </w:r>
          </w:p>
        </w:tc>
      </w:tr>
      <w:tr w:rsidR="00820721" w:rsidRPr="00B176CF" w:rsidTr="00820721">
        <w:tc>
          <w:tcPr>
            <w:tcW w:w="3119" w:type="dxa"/>
            <w:tcBorders>
              <w:top w:val="nil"/>
              <w:left w:val="single" w:sz="4" w:space="0" w:color="auto"/>
              <w:bottom w:val="single" w:sz="4" w:space="0" w:color="auto"/>
              <w:right w:val="nil"/>
            </w:tcBorders>
            <w:shd w:val="clear" w:color="auto" w:fill="D9D9D9" w:themeFill="background1" w:themeFillShade="D9"/>
            <w:vAlign w:val="bottom"/>
          </w:tcPr>
          <w:p w:rsidR="00820721" w:rsidRPr="00B176CF" w:rsidRDefault="00820721" w:rsidP="00424017">
            <w:pPr>
              <w:keepNext/>
              <w:keepLines/>
              <w:rPr>
                <w:rFonts w:ascii="Arial Narrow" w:hAnsi="Arial Narrow" w:cs="Arial"/>
                <w:color w:val="000000"/>
                <w:sz w:val="20"/>
                <w:szCs w:val="20"/>
              </w:rPr>
            </w:pPr>
            <w:r w:rsidRPr="00B176CF">
              <w:rPr>
                <w:rFonts w:ascii="Arial Narrow" w:hAnsi="Arial Narrow" w:cs="Arial"/>
                <w:color w:val="000000"/>
                <w:sz w:val="20"/>
                <w:szCs w:val="20"/>
              </w:rPr>
              <w:t xml:space="preserve">Initiating patients </w:t>
            </w:r>
          </w:p>
        </w:tc>
        <w:tc>
          <w:tcPr>
            <w:tcW w:w="106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820721"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D9D9D9" w:themeFill="background1" w:themeFillShade="D9"/>
            <w:noWrap/>
            <w:vAlign w:val="bottom"/>
          </w:tcPr>
          <w:p w:rsidR="00820721"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D9D9D9" w:themeFill="background1" w:themeFillShade="D9"/>
            <w:noWrap/>
            <w:vAlign w:val="bottom"/>
          </w:tcPr>
          <w:p w:rsidR="00820721"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D9D9D9" w:themeFill="background1" w:themeFillShade="D9"/>
            <w:noWrap/>
            <w:vAlign w:val="bottom"/>
          </w:tcPr>
          <w:p w:rsidR="00820721"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2" w:type="dxa"/>
            <w:tcBorders>
              <w:top w:val="nil"/>
              <w:left w:val="nil"/>
              <w:bottom w:val="single" w:sz="4" w:space="0" w:color="auto"/>
              <w:right w:val="single" w:sz="4" w:space="0" w:color="auto"/>
            </w:tcBorders>
            <w:shd w:val="clear" w:color="auto" w:fill="D9D9D9" w:themeFill="background1" w:themeFillShade="D9"/>
            <w:noWrap/>
            <w:vAlign w:val="bottom"/>
          </w:tcPr>
          <w:p w:rsidR="00820721"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820721" w:rsidRPr="00B176CF" w:rsidTr="00820721">
        <w:tc>
          <w:tcPr>
            <w:tcW w:w="3119" w:type="dxa"/>
            <w:tcBorders>
              <w:top w:val="nil"/>
              <w:left w:val="single" w:sz="4" w:space="0" w:color="auto"/>
              <w:bottom w:val="single" w:sz="4" w:space="0" w:color="auto"/>
              <w:right w:val="nil"/>
            </w:tcBorders>
            <w:shd w:val="clear" w:color="auto" w:fill="D9D9D9" w:themeFill="background1" w:themeFillShade="D9"/>
            <w:vAlign w:val="bottom"/>
          </w:tcPr>
          <w:p w:rsidR="00D12259" w:rsidRPr="00B176CF" w:rsidRDefault="00D12259" w:rsidP="00D12259">
            <w:pPr>
              <w:keepNext/>
              <w:keepLines/>
              <w:rPr>
                <w:rFonts w:ascii="Arial Narrow" w:hAnsi="Arial Narrow" w:cs="Arial"/>
                <w:color w:val="000000"/>
                <w:sz w:val="20"/>
                <w:szCs w:val="20"/>
              </w:rPr>
            </w:pPr>
            <w:r w:rsidRPr="00B176CF">
              <w:rPr>
                <w:rFonts w:ascii="Arial Narrow" w:hAnsi="Arial Narrow" w:cs="Arial"/>
                <w:color w:val="000000"/>
                <w:sz w:val="20"/>
                <w:szCs w:val="20"/>
              </w:rPr>
              <w:t>Patients on maintenance</w:t>
            </w:r>
          </w:p>
        </w:tc>
        <w:tc>
          <w:tcPr>
            <w:tcW w:w="106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D12259"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D9D9D9" w:themeFill="background1" w:themeFillShade="D9"/>
            <w:noWrap/>
            <w:vAlign w:val="bottom"/>
          </w:tcPr>
          <w:p w:rsidR="00D12259"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D9D9D9" w:themeFill="background1" w:themeFillShade="D9"/>
            <w:noWrap/>
            <w:vAlign w:val="bottom"/>
          </w:tcPr>
          <w:p w:rsidR="00D12259"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D9D9D9" w:themeFill="background1" w:themeFillShade="D9"/>
            <w:noWrap/>
            <w:vAlign w:val="bottom"/>
          </w:tcPr>
          <w:p w:rsidR="00D12259"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2" w:type="dxa"/>
            <w:tcBorders>
              <w:top w:val="nil"/>
              <w:left w:val="nil"/>
              <w:bottom w:val="single" w:sz="4" w:space="0" w:color="auto"/>
              <w:right w:val="single" w:sz="4" w:space="0" w:color="auto"/>
            </w:tcBorders>
            <w:shd w:val="clear" w:color="auto" w:fill="D9D9D9" w:themeFill="background1" w:themeFillShade="D9"/>
            <w:noWrap/>
            <w:vAlign w:val="bottom"/>
          </w:tcPr>
          <w:p w:rsidR="00D12259"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820721" w:rsidRPr="00B176CF" w:rsidTr="00820721">
        <w:tc>
          <w:tcPr>
            <w:tcW w:w="3119" w:type="dxa"/>
            <w:tcBorders>
              <w:top w:val="nil"/>
              <w:left w:val="single" w:sz="4" w:space="0" w:color="auto"/>
              <w:bottom w:val="single" w:sz="4" w:space="0" w:color="auto"/>
              <w:right w:val="nil"/>
            </w:tcBorders>
            <w:shd w:val="clear" w:color="auto" w:fill="D9D9D9" w:themeFill="background1" w:themeFillShade="D9"/>
            <w:vAlign w:val="bottom"/>
          </w:tcPr>
          <w:p w:rsidR="00D12259" w:rsidRPr="00B176CF" w:rsidRDefault="00D12259" w:rsidP="00D12259">
            <w:pPr>
              <w:keepNext/>
              <w:keepLines/>
              <w:rPr>
                <w:rFonts w:ascii="Arial Narrow" w:hAnsi="Arial Narrow" w:cs="Arial"/>
                <w:color w:val="000000"/>
                <w:sz w:val="20"/>
                <w:szCs w:val="20"/>
              </w:rPr>
            </w:pPr>
            <w:r w:rsidRPr="00B176CF">
              <w:rPr>
                <w:rFonts w:ascii="Arial Narrow" w:hAnsi="Arial Narrow" w:cs="Arial"/>
                <w:color w:val="000000"/>
                <w:sz w:val="20"/>
                <w:szCs w:val="20"/>
              </w:rPr>
              <w:t xml:space="preserve">Total patients treated with </w:t>
            </w:r>
            <w:proofErr w:type="spellStart"/>
            <w:r w:rsidRPr="00B176CF">
              <w:rPr>
                <w:rFonts w:ascii="Arial Narrow" w:hAnsi="Arial Narrow" w:cs="Arial"/>
                <w:color w:val="000000"/>
                <w:sz w:val="20"/>
                <w:szCs w:val="20"/>
              </w:rPr>
              <w:t>eculizumab</w:t>
            </w:r>
            <w:proofErr w:type="spellEnd"/>
            <w:r w:rsidRPr="00B176CF">
              <w:rPr>
                <w:rFonts w:ascii="Arial Narrow" w:hAnsi="Arial Narrow" w:cs="Arial"/>
                <w:color w:val="000000"/>
                <w:sz w:val="20"/>
                <w:szCs w:val="20"/>
              </w:rPr>
              <w:t xml:space="preserve"> </w:t>
            </w:r>
          </w:p>
        </w:tc>
        <w:tc>
          <w:tcPr>
            <w:tcW w:w="106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D12259"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D9D9D9" w:themeFill="background1" w:themeFillShade="D9"/>
            <w:noWrap/>
            <w:vAlign w:val="center"/>
          </w:tcPr>
          <w:p w:rsidR="00D12259"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D9D9D9" w:themeFill="background1" w:themeFillShade="D9"/>
            <w:noWrap/>
            <w:vAlign w:val="center"/>
          </w:tcPr>
          <w:p w:rsidR="00D12259"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D9D9D9" w:themeFill="background1" w:themeFillShade="D9"/>
            <w:noWrap/>
            <w:vAlign w:val="center"/>
          </w:tcPr>
          <w:p w:rsidR="00D12259"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2" w:type="dxa"/>
            <w:tcBorders>
              <w:top w:val="nil"/>
              <w:left w:val="nil"/>
              <w:bottom w:val="single" w:sz="4" w:space="0" w:color="auto"/>
              <w:right w:val="single" w:sz="4" w:space="0" w:color="auto"/>
            </w:tcBorders>
            <w:shd w:val="clear" w:color="auto" w:fill="D9D9D9" w:themeFill="background1" w:themeFillShade="D9"/>
            <w:noWrap/>
            <w:vAlign w:val="center"/>
          </w:tcPr>
          <w:p w:rsidR="00D12259"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820721" w:rsidRPr="00B176CF" w:rsidTr="00424017">
        <w:tc>
          <w:tcPr>
            <w:tcW w:w="3119" w:type="dxa"/>
            <w:tcBorders>
              <w:top w:val="nil"/>
              <w:left w:val="single" w:sz="4" w:space="0" w:color="auto"/>
              <w:bottom w:val="single" w:sz="4" w:space="0" w:color="auto"/>
              <w:right w:val="nil"/>
            </w:tcBorders>
            <w:shd w:val="clear" w:color="auto" w:fill="D9D9D9" w:themeFill="background1" w:themeFillShade="D9"/>
            <w:vAlign w:val="bottom"/>
          </w:tcPr>
          <w:p w:rsidR="00820721" w:rsidRPr="00B176CF" w:rsidRDefault="00820721" w:rsidP="00174241">
            <w:pPr>
              <w:rPr>
                <w:rFonts w:ascii="Arial Narrow" w:hAnsi="Arial Narrow" w:cs="Arial"/>
                <w:color w:val="000000"/>
                <w:sz w:val="20"/>
                <w:szCs w:val="20"/>
                <w:vertAlign w:val="superscript"/>
              </w:rPr>
            </w:pPr>
            <w:r w:rsidRPr="00B176CF">
              <w:rPr>
                <w:rFonts w:ascii="Arial Narrow" w:hAnsi="Arial Narrow" w:cs="Arial"/>
                <w:color w:val="000000"/>
                <w:sz w:val="20"/>
                <w:szCs w:val="20"/>
              </w:rPr>
              <w:t>No. vials for patients on maintenance</w:t>
            </w:r>
            <w:r w:rsidR="002119F2" w:rsidRPr="00B176CF">
              <w:rPr>
                <w:rFonts w:ascii="Arial Narrow" w:hAnsi="Arial Narrow" w:cs="Arial"/>
                <w:color w:val="000000"/>
                <w:sz w:val="20"/>
                <w:szCs w:val="20"/>
              </w:rPr>
              <w:t xml:space="preserve"> </w:t>
            </w:r>
            <w:r w:rsidR="00174241" w:rsidRPr="00B176CF">
              <w:rPr>
                <w:rFonts w:ascii="Arial Narrow" w:hAnsi="Arial Narrow" w:cs="Arial"/>
                <w:color w:val="000000"/>
                <w:sz w:val="20"/>
                <w:szCs w:val="20"/>
                <w:vertAlign w:val="superscript"/>
              </w:rPr>
              <w:t>c</w:t>
            </w:r>
          </w:p>
        </w:tc>
        <w:tc>
          <w:tcPr>
            <w:tcW w:w="106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820721" w:rsidRPr="00D14DDF" w:rsidRDefault="00D14DDF" w:rsidP="00820721">
            <w:pP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D9D9D9" w:themeFill="background1" w:themeFillShade="D9"/>
            <w:noWrap/>
            <w:vAlign w:val="bottom"/>
          </w:tcPr>
          <w:p w:rsidR="00820721" w:rsidRPr="00D14DDF" w:rsidRDefault="00D14DDF" w:rsidP="00820721">
            <w:pP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D9D9D9" w:themeFill="background1" w:themeFillShade="D9"/>
            <w:noWrap/>
            <w:vAlign w:val="bottom"/>
          </w:tcPr>
          <w:p w:rsidR="00820721" w:rsidRPr="00D14DDF" w:rsidRDefault="00D14DDF" w:rsidP="00820721">
            <w:pP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D9D9D9" w:themeFill="background1" w:themeFillShade="D9"/>
            <w:noWrap/>
            <w:vAlign w:val="bottom"/>
          </w:tcPr>
          <w:p w:rsidR="00820721" w:rsidRPr="00D14DDF" w:rsidRDefault="00D14DDF" w:rsidP="00820721">
            <w:pP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2" w:type="dxa"/>
            <w:tcBorders>
              <w:top w:val="nil"/>
              <w:left w:val="nil"/>
              <w:bottom w:val="single" w:sz="4" w:space="0" w:color="auto"/>
              <w:right w:val="single" w:sz="4" w:space="0" w:color="auto"/>
            </w:tcBorders>
            <w:shd w:val="clear" w:color="auto" w:fill="D9D9D9" w:themeFill="background1" w:themeFillShade="D9"/>
            <w:noWrap/>
            <w:vAlign w:val="bottom"/>
          </w:tcPr>
          <w:p w:rsidR="00820721" w:rsidRPr="00D14DDF" w:rsidRDefault="00D14DDF" w:rsidP="00820721">
            <w:pP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820721" w:rsidRPr="00B176CF" w:rsidTr="00424017">
        <w:tc>
          <w:tcPr>
            <w:tcW w:w="3119" w:type="dxa"/>
            <w:tcBorders>
              <w:top w:val="nil"/>
              <w:left w:val="single" w:sz="4" w:space="0" w:color="auto"/>
              <w:bottom w:val="single" w:sz="4" w:space="0" w:color="auto"/>
              <w:right w:val="nil"/>
            </w:tcBorders>
            <w:shd w:val="clear" w:color="auto" w:fill="D9D9D9" w:themeFill="background1" w:themeFillShade="D9"/>
            <w:vAlign w:val="bottom"/>
          </w:tcPr>
          <w:p w:rsidR="00820721" w:rsidRPr="00B176CF" w:rsidRDefault="00820721" w:rsidP="00174241">
            <w:pPr>
              <w:rPr>
                <w:rFonts w:ascii="Arial Narrow" w:hAnsi="Arial Narrow" w:cs="Arial"/>
                <w:color w:val="000000"/>
                <w:sz w:val="20"/>
                <w:szCs w:val="20"/>
                <w:vertAlign w:val="superscript"/>
              </w:rPr>
            </w:pPr>
            <w:r w:rsidRPr="00B176CF">
              <w:rPr>
                <w:rFonts w:ascii="Arial Narrow" w:hAnsi="Arial Narrow" w:cs="Arial"/>
                <w:color w:val="000000"/>
                <w:sz w:val="20"/>
                <w:szCs w:val="20"/>
              </w:rPr>
              <w:t>No. vials for initiating patients</w:t>
            </w:r>
            <w:r w:rsidR="002119F2" w:rsidRPr="00B176CF">
              <w:rPr>
                <w:rFonts w:ascii="Arial Narrow" w:hAnsi="Arial Narrow" w:cs="Arial"/>
                <w:color w:val="000000"/>
                <w:sz w:val="20"/>
                <w:szCs w:val="20"/>
              </w:rPr>
              <w:t xml:space="preserve"> </w:t>
            </w:r>
            <w:r w:rsidR="00174241" w:rsidRPr="00B176CF">
              <w:rPr>
                <w:rFonts w:ascii="Arial Narrow" w:hAnsi="Arial Narrow" w:cs="Arial"/>
                <w:color w:val="000000"/>
                <w:sz w:val="20"/>
                <w:szCs w:val="20"/>
                <w:vertAlign w:val="superscript"/>
              </w:rPr>
              <w:t>c</w:t>
            </w:r>
          </w:p>
        </w:tc>
        <w:tc>
          <w:tcPr>
            <w:tcW w:w="106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820721" w:rsidRPr="00D14DDF" w:rsidRDefault="00D14DDF" w:rsidP="00820721">
            <w:pP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D9D9D9" w:themeFill="background1" w:themeFillShade="D9"/>
            <w:noWrap/>
            <w:vAlign w:val="bottom"/>
          </w:tcPr>
          <w:p w:rsidR="00820721" w:rsidRPr="00D14DDF" w:rsidRDefault="00D14DDF" w:rsidP="00820721">
            <w:pP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D9D9D9" w:themeFill="background1" w:themeFillShade="D9"/>
            <w:noWrap/>
            <w:vAlign w:val="bottom"/>
          </w:tcPr>
          <w:p w:rsidR="00820721" w:rsidRPr="00D14DDF" w:rsidRDefault="00D14DDF" w:rsidP="00820721">
            <w:pP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D9D9D9" w:themeFill="background1" w:themeFillShade="D9"/>
            <w:noWrap/>
            <w:vAlign w:val="bottom"/>
          </w:tcPr>
          <w:p w:rsidR="00820721" w:rsidRPr="00D14DDF" w:rsidRDefault="00D14DDF" w:rsidP="00820721">
            <w:pP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2" w:type="dxa"/>
            <w:tcBorders>
              <w:top w:val="nil"/>
              <w:left w:val="nil"/>
              <w:bottom w:val="single" w:sz="4" w:space="0" w:color="auto"/>
              <w:right w:val="single" w:sz="4" w:space="0" w:color="auto"/>
            </w:tcBorders>
            <w:shd w:val="clear" w:color="auto" w:fill="D9D9D9" w:themeFill="background1" w:themeFillShade="D9"/>
            <w:noWrap/>
            <w:vAlign w:val="bottom"/>
          </w:tcPr>
          <w:p w:rsidR="00820721" w:rsidRPr="00D14DDF" w:rsidRDefault="00D14DDF" w:rsidP="00820721">
            <w:pP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820721" w:rsidRPr="00B176CF" w:rsidTr="00820721">
        <w:tc>
          <w:tcPr>
            <w:tcW w:w="3119" w:type="dxa"/>
            <w:tcBorders>
              <w:top w:val="nil"/>
              <w:left w:val="single" w:sz="4" w:space="0" w:color="auto"/>
              <w:bottom w:val="single" w:sz="4" w:space="0" w:color="auto"/>
              <w:right w:val="nil"/>
            </w:tcBorders>
            <w:shd w:val="clear" w:color="auto" w:fill="D9D9D9" w:themeFill="background1" w:themeFillShade="D9"/>
          </w:tcPr>
          <w:p w:rsidR="00D12259" w:rsidRPr="00B176CF" w:rsidRDefault="00D12259" w:rsidP="00174241">
            <w:pPr>
              <w:keepNext/>
              <w:keepLines/>
              <w:rPr>
                <w:rFonts w:ascii="Arial Narrow" w:hAnsi="Arial Narrow" w:cs="Arial"/>
                <w:color w:val="000000"/>
                <w:sz w:val="20"/>
                <w:szCs w:val="20"/>
                <w:vertAlign w:val="superscript"/>
              </w:rPr>
            </w:pPr>
            <w:r w:rsidRPr="00B176CF">
              <w:rPr>
                <w:rFonts w:ascii="Arial Narrow" w:hAnsi="Arial Narrow" w:cs="Arial"/>
                <w:color w:val="000000"/>
                <w:sz w:val="20"/>
                <w:szCs w:val="20"/>
              </w:rPr>
              <w:t xml:space="preserve">Total vials per year </w:t>
            </w:r>
            <w:r w:rsidR="00174241" w:rsidRPr="00B176CF">
              <w:rPr>
                <w:rFonts w:ascii="Arial Narrow" w:hAnsi="Arial Narrow" w:cs="Arial"/>
                <w:color w:val="000000"/>
                <w:sz w:val="20"/>
                <w:szCs w:val="20"/>
                <w:vertAlign w:val="superscript"/>
              </w:rPr>
              <w:t>c</w:t>
            </w:r>
          </w:p>
        </w:tc>
        <w:tc>
          <w:tcPr>
            <w:tcW w:w="1061" w:type="dxa"/>
            <w:tcBorders>
              <w:top w:val="nil"/>
              <w:left w:val="single" w:sz="4" w:space="0" w:color="auto"/>
              <w:bottom w:val="single" w:sz="4" w:space="0" w:color="auto"/>
              <w:right w:val="single" w:sz="4" w:space="0" w:color="auto"/>
            </w:tcBorders>
            <w:shd w:val="clear" w:color="auto" w:fill="D9D9D9" w:themeFill="background1" w:themeFillShade="D9"/>
            <w:noWrap/>
          </w:tcPr>
          <w:p w:rsidR="00D12259"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D9D9D9" w:themeFill="background1" w:themeFillShade="D9"/>
            <w:noWrap/>
          </w:tcPr>
          <w:p w:rsidR="00D12259"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D9D9D9" w:themeFill="background1" w:themeFillShade="D9"/>
            <w:noWrap/>
          </w:tcPr>
          <w:p w:rsidR="00D12259"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1" w:type="dxa"/>
            <w:tcBorders>
              <w:top w:val="nil"/>
              <w:left w:val="nil"/>
              <w:bottom w:val="single" w:sz="4" w:space="0" w:color="auto"/>
              <w:right w:val="single" w:sz="4" w:space="0" w:color="auto"/>
            </w:tcBorders>
            <w:shd w:val="clear" w:color="auto" w:fill="D9D9D9" w:themeFill="background1" w:themeFillShade="D9"/>
            <w:noWrap/>
          </w:tcPr>
          <w:p w:rsidR="00D12259"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062" w:type="dxa"/>
            <w:tcBorders>
              <w:top w:val="nil"/>
              <w:left w:val="nil"/>
              <w:bottom w:val="single" w:sz="4" w:space="0" w:color="auto"/>
              <w:right w:val="single" w:sz="4" w:space="0" w:color="auto"/>
            </w:tcBorders>
            <w:shd w:val="clear" w:color="auto" w:fill="D9D9D9" w:themeFill="background1" w:themeFillShade="D9"/>
            <w:noWrap/>
          </w:tcPr>
          <w:p w:rsidR="00D12259" w:rsidRPr="00D14DDF" w:rsidRDefault="00D14DDF" w:rsidP="00820721">
            <w:pPr>
              <w:keepNext/>
              <w:keepLines/>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820721" w:rsidRPr="00B176CF" w:rsidTr="00E013EC">
        <w:tc>
          <w:tcPr>
            <w:tcW w:w="3119" w:type="dxa"/>
            <w:tcBorders>
              <w:top w:val="nil"/>
              <w:left w:val="single" w:sz="4" w:space="0" w:color="auto"/>
              <w:bottom w:val="single" w:sz="4" w:space="0" w:color="auto"/>
              <w:right w:val="nil"/>
            </w:tcBorders>
            <w:shd w:val="clear" w:color="auto" w:fill="D9D9D9" w:themeFill="background1" w:themeFillShade="D9"/>
            <w:vAlign w:val="bottom"/>
          </w:tcPr>
          <w:p w:rsidR="00D12259" w:rsidRPr="00B176CF" w:rsidRDefault="00D12259" w:rsidP="004A6821">
            <w:pPr>
              <w:keepNext/>
              <w:keepLines/>
              <w:rPr>
                <w:rFonts w:ascii="Arial Narrow" w:hAnsi="Arial Narrow" w:cs="Arial"/>
                <w:color w:val="000000"/>
                <w:sz w:val="20"/>
                <w:szCs w:val="20"/>
              </w:rPr>
            </w:pPr>
            <w:r w:rsidRPr="00B176CF">
              <w:rPr>
                <w:rFonts w:ascii="Arial Narrow" w:hAnsi="Arial Narrow" w:cs="Arial"/>
                <w:color w:val="000000"/>
                <w:sz w:val="20"/>
                <w:szCs w:val="20"/>
              </w:rPr>
              <w:t xml:space="preserve">Cost to the PBS </w:t>
            </w:r>
            <w:r w:rsidR="004A6821">
              <w:rPr>
                <w:rFonts w:ascii="Arial Narrow" w:hAnsi="Arial Narrow" w:cs="Arial"/>
                <w:color w:val="000000"/>
                <w:sz w:val="20"/>
                <w:szCs w:val="20"/>
              </w:rPr>
              <w:t>– restriction proposed by sponsor</w:t>
            </w:r>
          </w:p>
        </w:tc>
        <w:tc>
          <w:tcPr>
            <w:tcW w:w="106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D12259" w:rsidRPr="00B176CF" w:rsidRDefault="00D12259" w:rsidP="00820721">
            <w:pPr>
              <w:keepNext/>
              <w:keepLines/>
              <w:rPr>
                <w:rFonts w:ascii="Arial Narrow" w:hAnsi="Arial Narrow" w:cs="Arial"/>
                <w:color w:val="000000"/>
                <w:sz w:val="20"/>
                <w:szCs w:val="20"/>
              </w:rPr>
            </w:pPr>
            <w:r w:rsidRPr="00B176CF">
              <w:rPr>
                <w:rFonts w:ascii="Arial Narrow" w:hAnsi="Arial Narrow" w:cs="Arial"/>
                <w:color w:val="000000"/>
                <w:sz w:val="20"/>
                <w:szCs w:val="20"/>
              </w:rPr>
              <w:t>$</w:t>
            </w:r>
            <w:r w:rsidR="00D14DDF">
              <w:rPr>
                <w:rFonts w:ascii="Arial Narrow" w:hAnsi="Arial Narrow" w:cs="Arial"/>
                <w:noProof/>
                <w:color w:val="000000"/>
                <w:sz w:val="20"/>
                <w:szCs w:val="20"/>
                <w:highlight w:val="black"/>
              </w:rPr>
              <w:t>'''''''''''''''''''''''</w:t>
            </w:r>
            <w:r w:rsidRPr="00B176CF">
              <w:rPr>
                <w:rFonts w:ascii="Arial Narrow" w:hAnsi="Arial Narrow" w:cs="Arial"/>
                <w:color w:val="000000"/>
                <w:sz w:val="20"/>
                <w:szCs w:val="20"/>
              </w:rPr>
              <w:t xml:space="preserve"> </w:t>
            </w:r>
          </w:p>
        </w:tc>
        <w:tc>
          <w:tcPr>
            <w:tcW w:w="1061" w:type="dxa"/>
            <w:tcBorders>
              <w:top w:val="nil"/>
              <w:left w:val="nil"/>
              <w:bottom w:val="single" w:sz="4" w:space="0" w:color="auto"/>
              <w:right w:val="single" w:sz="4" w:space="0" w:color="auto"/>
            </w:tcBorders>
            <w:shd w:val="clear" w:color="auto" w:fill="D9D9D9" w:themeFill="background1" w:themeFillShade="D9"/>
            <w:noWrap/>
            <w:vAlign w:val="bottom"/>
          </w:tcPr>
          <w:p w:rsidR="00D12259" w:rsidRPr="00B176CF" w:rsidRDefault="00D12259" w:rsidP="00820721">
            <w:pPr>
              <w:keepNext/>
              <w:keepLines/>
              <w:rPr>
                <w:rFonts w:ascii="Arial Narrow" w:hAnsi="Arial Narrow" w:cs="Arial"/>
                <w:color w:val="000000"/>
                <w:sz w:val="20"/>
                <w:szCs w:val="20"/>
              </w:rPr>
            </w:pPr>
            <w:r w:rsidRPr="00FB6BAB">
              <w:rPr>
                <w:rFonts w:ascii="Arial Narrow" w:hAnsi="Arial Narrow" w:cs="Arial"/>
                <w:color w:val="000000"/>
                <w:sz w:val="20"/>
                <w:szCs w:val="20"/>
              </w:rPr>
              <w:t>$</w:t>
            </w:r>
            <w:r w:rsidR="00D14DDF">
              <w:rPr>
                <w:rFonts w:ascii="Arial Narrow" w:hAnsi="Arial Narrow" w:cs="Arial"/>
                <w:noProof/>
                <w:color w:val="000000"/>
                <w:sz w:val="20"/>
                <w:szCs w:val="20"/>
                <w:highlight w:val="black"/>
              </w:rPr>
              <w:t>''''''''''''''''''''''''''</w:t>
            </w:r>
            <w:r w:rsidRPr="00B176CF">
              <w:rPr>
                <w:rFonts w:ascii="Arial Narrow" w:hAnsi="Arial Narrow" w:cs="Arial"/>
                <w:color w:val="000000"/>
                <w:sz w:val="20"/>
                <w:szCs w:val="20"/>
              </w:rPr>
              <w:t xml:space="preserve"> </w:t>
            </w:r>
          </w:p>
        </w:tc>
        <w:tc>
          <w:tcPr>
            <w:tcW w:w="1061" w:type="dxa"/>
            <w:tcBorders>
              <w:top w:val="nil"/>
              <w:left w:val="nil"/>
              <w:bottom w:val="single" w:sz="4" w:space="0" w:color="auto"/>
              <w:right w:val="single" w:sz="4" w:space="0" w:color="auto"/>
            </w:tcBorders>
            <w:shd w:val="clear" w:color="auto" w:fill="D9D9D9" w:themeFill="background1" w:themeFillShade="D9"/>
            <w:noWrap/>
            <w:vAlign w:val="bottom"/>
          </w:tcPr>
          <w:p w:rsidR="00D12259" w:rsidRPr="00B176CF" w:rsidRDefault="00D12259" w:rsidP="00820721">
            <w:pPr>
              <w:keepNext/>
              <w:keepLines/>
              <w:rPr>
                <w:rFonts w:ascii="Arial Narrow" w:hAnsi="Arial Narrow" w:cs="Arial"/>
                <w:color w:val="000000"/>
                <w:sz w:val="20"/>
                <w:szCs w:val="20"/>
              </w:rPr>
            </w:pPr>
            <w:r w:rsidRPr="00B176CF">
              <w:rPr>
                <w:rFonts w:ascii="Arial Narrow" w:hAnsi="Arial Narrow" w:cs="Arial"/>
                <w:color w:val="000000"/>
                <w:sz w:val="20"/>
                <w:szCs w:val="20"/>
              </w:rPr>
              <w:t>$</w:t>
            </w:r>
            <w:r w:rsidR="00D14DDF">
              <w:rPr>
                <w:rFonts w:ascii="Arial Narrow" w:hAnsi="Arial Narrow" w:cs="Arial"/>
                <w:noProof/>
                <w:color w:val="000000"/>
                <w:sz w:val="20"/>
                <w:szCs w:val="20"/>
                <w:highlight w:val="black"/>
              </w:rPr>
              <w:t>''''''''''''''''''''''</w:t>
            </w:r>
            <w:r w:rsidRPr="00B176CF">
              <w:rPr>
                <w:rFonts w:ascii="Arial Narrow" w:hAnsi="Arial Narrow" w:cs="Arial"/>
                <w:color w:val="000000"/>
                <w:sz w:val="20"/>
                <w:szCs w:val="20"/>
              </w:rPr>
              <w:t xml:space="preserve"> </w:t>
            </w:r>
          </w:p>
        </w:tc>
        <w:tc>
          <w:tcPr>
            <w:tcW w:w="1061" w:type="dxa"/>
            <w:tcBorders>
              <w:top w:val="nil"/>
              <w:left w:val="nil"/>
              <w:bottom w:val="single" w:sz="4" w:space="0" w:color="auto"/>
              <w:right w:val="single" w:sz="4" w:space="0" w:color="auto"/>
            </w:tcBorders>
            <w:shd w:val="clear" w:color="auto" w:fill="D9D9D9" w:themeFill="background1" w:themeFillShade="D9"/>
            <w:noWrap/>
            <w:vAlign w:val="bottom"/>
          </w:tcPr>
          <w:p w:rsidR="00D12259" w:rsidRPr="00B176CF" w:rsidRDefault="00D12259" w:rsidP="00820721">
            <w:pPr>
              <w:keepNext/>
              <w:keepLines/>
              <w:rPr>
                <w:rFonts w:ascii="Arial Narrow" w:hAnsi="Arial Narrow" w:cs="Arial"/>
                <w:color w:val="000000"/>
                <w:sz w:val="20"/>
                <w:szCs w:val="20"/>
              </w:rPr>
            </w:pPr>
            <w:r w:rsidRPr="00B176CF">
              <w:rPr>
                <w:rFonts w:ascii="Arial Narrow" w:hAnsi="Arial Narrow" w:cs="Arial"/>
                <w:color w:val="000000"/>
                <w:sz w:val="20"/>
                <w:szCs w:val="20"/>
              </w:rPr>
              <w:t>$</w:t>
            </w:r>
            <w:r w:rsidR="00D14DDF">
              <w:rPr>
                <w:rFonts w:ascii="Arial Narrow" w:hAnsi="Arial Narrow" w:cs="Arial"/>
                <w:noProof/>
                <w:color w:val="000000"/>
                <w:sz w:val="20"/>
                <w:szCs w:val="20"/>
                <w:highlight w:val="black"/>
              </w:rPr>
              <w:t>'''''''''''''''''''''''''</w:t>
            </w:r>
            <w:r w:rsidRPr="00B176CF">
              <w:rPr>
                <w:rFonts w:ascii="Arial Narrow" w:hAnsi="Arial Narrow" w:cs="Arial"/>
                <w:color w:val="000000"/>
                <w:sz w:val="20"/>
                <w:szCs w:val="20"/>
              </w:rPr>
              <w:t xml:space="preserve"> </w:t>
            </w:r>
          </w:p>
        </w:tc>
        <w:tc>
          <w:tcPr>
            <w:tcW w:w="1062" w:type="dxa"/>
            <w:tcBorders>
              <w:top w:val="nil"/>
              <w:left w:val="nil"/>
              <w:bottom w:val="single" w:sz="4" w:space="0" w:color="auto"/>
              <w:right w:val="single" w:sz="4" w:space="0" w:color="auto"/>
            </w:tcBorders>
            <w:shd w:val="clear" w:color="auto" w:fill="D9D9D9" w:themeFill="background1" w:themeFillShade="D9"/>
            <w:noWrap/>
            <w:vAlign w:val="bottom"/>
          </w:tcPr>
          <w:p w:rsidR="00D12259" w:rsidRPr="00B176CF" w:rsidRDefault="00D12259" w:rsidP="00820721">
            <w:pPr>
              <w:keepNext/>
              <w:keepLines/>
              <w:rPr>
                <w:rFonts w:ascii="Arial Narrow" w:hAnsi="Arial Narrow" w:cs="Arial"/>
                <w:color w:val="000000"/>
                <w:sz w:val="20"/>
                <w:szCs w:val="20"/>
              </w:rPr>
            </w:pPr>
            <w:r w:rsidRPr="00B176CF">
              <w:rPr>
                <w:rFonts w:ascii="Arial Narrow" w:hAnsi="Arial Narrow" w:cs="Arial"/>
                <w:color w:val="000000"/>
                <w:sz w:val="20"/>
                <w:szCs w:val="20"/>
              </w:rPr>
              <w:t>$</w:t>
            </w:r>
            <w:r w:rsidR="00D14DDF">
              <w:rPr>
                <w:rFonts w:ascii="Arial Narrow" w:hAnsi="Arial Narrow" w:cs="Arial"/>
                <w:noProof/>
                <w:color w:val="000000"/>
                <w:sz w:val="20"/>
                <w:szCs w:val="20"/>
                <w:highlight w:val="black"/>
              </w:rPr>
              <w:t>'''''''''''''''''''''''</w:t>
            </w:r>
            <w:r w:rsidRPr="00B176CF">
              <w:rPr>
                <w:rFonts w:ascii="Arial Narrow" w:hAnsi="Arial Narrow" w:cs="Arial"/>
                <w:color w:val="000000"/>
                <w:sz w:val="20"/>
                <w:szCs w:val="20"/>
              </w:rPr>
              <w:t xml:space="preserve"> </w:t>
            </w:r>
          </w:p>
        </w:tc>
      </w:tr>
    </w:tbl>
    <w:p w:rsidR="00D12259" w:rsidRPr="00B176CF" w:rsidRDefault="00D12259" w:rsidP="00D12259">
      <w:pPr>
        <w:ind w:left="720"/>
        <w:rPr>
          <w:rFonts w:ascii="Arial Narrow" w:hAnsi="Arial Narrow" w:cs="Arial"/>
          <w:sz w:val="18"/>
          <w:szCs w:val="18"/>
        </w:rPr>
      </w:pPr>
      <w:r w:rsidRPr="00B176CF">
        <w:rPr>
          <w:rFonts w:ascii="Arial Narrow" w:hAnsi="Arial Narrow" w:cs="Arial"/>
          <w:sz w:val="18"/>
          <w:szCs w:val="18"/>
        </w:rPr>
        <w:t>Source: Table 3, p24 of the resubmission, Table 10</w:t>
      </w:r>
      <w:r w:rsidR="00820721" w:rsidRPr="00B176CF">
        <w:rPr>
          <w:rFonts w:ascii="Arial Narrow" w:hAnsi="Arial Narrow" w:cs="Arial"/>
          <w:sz w:val="18"/>
          <w:szCs w:val="18"/>
        </w:rPr>
        <w:t xml:space="preserve">, para 6.55 of the July 2017 PBAC </w:t>
      </w:r>
      <w:r w:rsidR="00FC12E6">
        <w:rPr>
          <w:rFonts w:ascii="Arial Narrow" w:hAnsi="Arial Narrow" w:cs="Arial"/>
          <w:sz w:val="18"/>
          <w:szCs w:val="18"/>
        </w:rPr>
        <w:t>Public Summary Document</w:t>
      </w:r>
      <w:r w:rsidR="00820721" w:rsidRPr="00B176CF">
        <w:rPr>
          <w:rFonts w:ascii="Arial Narrow" w:hAnsi="Arial Narrow" w:cs="Arial"/>
          <w:sz w:val="18"/>
          <w:szCs w:val="18"/>
        </w:rPr>
        <w:t>.</w:t>
      </w:r>
    </w:p>
    <w:p w:rsidR="00820721" w:rsidRPr="00B176CF" w:rsidRDefault="00820721" w:rsidP="00820721">
      <w:pPr>
        <w:pStyle w:val="TableFooter"/>
        <w:ind w:left="709"/>
      </w:pPr>
      <w:proofErr w:type="spellStart"/>
      <w:r w:rsidRPr="00B176CF">
        <w:rPr>
          <w:vertAlign w:val="superscript"/>
        </w:rPr>
        <w:t>a</w:t>
      </w:r>
      <w:proofErr w:type="spellEnd"/>
      <w:r w:rsidRPr="00B176CF">
        <w:t> Assuming</w:t>
      </w:r>
      <w:r w:rsidR="00D14DDF">
        <w:rPr>
          <w:noProof/>
          <w:color w:val="000000"/>
          <w:highlight w:val="black"/>
        </w:rPr>
        <w:t xml:space="preserve"> ''' </w:t>
      </w:r>
      <w:r w:rsidRPr="00B176CF">
        <w:t xml:space="preserve">vials in new patients as inpatients (Day 0 and Day 7) and </w:t>
      </w:r>
      <w:r w:rsidR="00D14DDF">
        <w:rPr>
          <w:noProof/>
          <w:color w:val="000000"/>
          <w:highlight w:val="black"/>
        </w:rPr>
        <w:t>'''''''''</w:t>
      </w:r>
      <w:r w:rsidRPr="00B176CF">
        <w:t xml:space="preserve"> vials in patients on maintenance as an outpatient for 50 weeks based on </w:t>
      </w:r>
      <w:r w:rsidR="00966774" w:rsidRPr="00B176CF">
        <w:t xml:space="preserve">the adult dose </w:t>
      </w:r>
      <w:r w:rsidRPr="00B176CF">
        <w:t>recommended in the Australian Product Information. New patients are assumed to initiate therapy mid-year so these patients receive one-half of a full year of maintenance vials. Estimates do not include the discretional use of an additional 900 mg dose following graft reperfusion.</w:t>
      </w:r>
      <w:r w:rsidR="00966774" w:rsidRPr="00B176CF">
        <w:t xml:space="preserve"> Overall, the estimates comprised: </w:t>
      </w:r>
      <w:r w:rsidR="00D14DDF">
        <w:rPr>
          <w:noProof/>
          <w:color w:val="000000"/>
          <w:highlight w:val="black"/>
        </w:rPr>
        <w:t>''''</w:t>
      </w:r>
      <w:r w:rsidR="00966774" w:rsidRPr="00B176CF">
        <w:t xml:space="preserve"> vials in the inpatient setting; </w:t>
      </w:r>
      <w:r w:rsidR="00D14DDF">
        <w:rPr>
          <w:noProof/>
          <w:color w:val="000000"/>
          <w:highlight w:val="black"/>
        </w:rPr>
        <w:t>'''''''</w:t>
      </w:r>
      <w:r w:rsidR="00966774" w:rsidRPr="00B176CF">
        <w:t xml:space="preserve"> vials in the first-year (assuming initiation of therapy mid-year); and </w:t>
      </w:r>
      <w:r w:rsidR="00D14DDF">
        <w:rPr>
          <w:noProof/>
          <w:color w:val="000000"/>
          <w:highlight w:val="black"/>
        </w:rPr>
        <w:t>''''''</w:t>
      </w:r>
      <w:r w:rsidR="00966774" w:rsidRPr="00B176CF">
        <w:t xml:space="preserve"> vials in the subsequent year.</w:t>
      </w:r>
    </w:p>
    <w:p w:rsidR="00174241" w:rsidRPr="00B176CF" w:rsidRDefault="002119F2" w:rsidP="002119F2">
      <w:pPr>
        <w:ind w:left="720"/>
        <w:rPr>
          <w:rFonts w:ascii="Arial Narrow" w:hAnsi="Arial Narrow" w:cs="Arial"/>
          <w:sz w:val="18"/>
          <w:szCs w:val="18"/>
        </w:rPr>
      </w:pPr>
      <w:proofErr w:type="gramStart"/>
      <w:r w:rsidRPr="00B176CF">
        <w:rPr>
          <w:rFonts w:ascii="Arial Narrow" w:hAnsi="Arial Narrow" w:cs="Arial"/>
          <w:sz w:val="18"/>
          <w:szCs w:val="18"/>
          <w:vertAlign w:val="superscript"/>
        </w:rPr>
        <w:t>b</w:t>
      </w:r>
      <w:proofErr w:type="gramEnd"/>
      <w:r w:rsidRPr="00B176CF">
        <w:rPr>
          <w:rFonts w:ascii="Arial Narrow" w:hAnsi="Arial Narrow" w:cs="Arial"/>
          <w:sz w:val="18"/>
          <w:szCs w:val="18"/>
        </w:rPr>
        <w:t> </w:t>
      </w:r>
      <w:r w:rsidR="00174241" w:rsidRPr="00B176CF">
        <w:rPr>
          <w:rFonts w:ascii="Arial Narrow" w:hAnsi="Arial Narrow" w:cs="Arial"/>
          <w:sz w:val="18"/>
          <w:szCs w:val="18"/>
        </w:rPr>
        <w:t xml:space="preserve">The rebate would only apply to patients who receive </w:t>
      </w:r>
      <w:r w:rsidR="00174241" w:rsidRPr="005A07AE">
        <w:rPr>
          <w:rFonts w:ascii="Arial Narrow" w:hAnsi="Arial Narrow" w:cs="Arial"/>
          <w:sz w:val="18"/>
          <w:szCs w:val="18"/>
        </w:rPr>
        <w:t>12 months</w:t>
      </w:r>
      <w:r w:rsidR="00174241" w:rsidRPr="00B176CF">
        <w:rPr>
          <w:rFonts w:ascii="Arial Narrow" w:hAnsi="Arial Narrow" w:cs="Arial"/>
          <w:sz w:val="18"/>
          <w:szCs w:val="18"/>
        </w:rPr>
        <w:t xml:space="preserve"> of </w:t>
      </w:r>
      <w:proofErr w:type="spellStart"/>
      <w:r w:rsidR="00174241" w:rsidRPr="00B176CF">
        <w:rPr>
          <w:rFonts w:ascii="Arial Narrow" w:hAnsi="Arial Narrow" w:cs="Arial"/>
          <w:sz w:val="18"/>
          <w:szCs w:val="18"/>
        </w:rPr>
        <w:t>eculizumab</w:t>
      </w:r>
      <w:proofErr w:type="spellEnd"/>
      <w:r w:rsidR="00174241" w:rsidRPr="00B176CF">
        <w:rPr>
          <w:rFonts w:ascii="Arial Narrow" w:hAnsi="Arial Narrow" w:cs="Arial"/>
          <w:sz w:val="18"/>
          <w:szCs w:val="18"/>
        </w:rPr>
        <w:t xml:space="preserve"> therapy</w:t>
      </w:r>
      <w:r w:rsidR="005A07AE">
        <w:rPr>
          <w:rFonts w:ascii="Arial Narrow" w:hAnsi="Arial Narrow" w:cs="Arial"/>
          <w:sz w:val="18"/>
          <w:szCs w:val="18"/>
        </w:rPr>
        <w:t xml:space="preserve"> as proposed in the </w:t>
      </w:r>
      <w:r w:rsidR="00675CA4">
        <w:rPr>
          <w:rFonts w:ascii="Arial Narrow" w:hAnsi="Arial Narrow" w:cs="Arial"/>
          <w:sz w:val="18"/>
          <w:szCs w:val="18"/>
        </w:rPr>
        <w:t>re</w:t>
      </w:r>
      <w:r w:rsidR="005A07AE">
        <w:rPr>
          <w:rFonts w:ascii="Arial Narrow" w:hAnsi="Arial Narrow" w:cs="Arial"/>
          <w:sz w:val="18"/>
          <w:szCs w:val="18"/>
        </w:rPr>
        <w:t>submission, or 6 months as proposed in the pre-PBAC response.</w:t>
      </w:r>
      <w:r w:rsidR="00174241" w:rsidRPr="00B176CF">
        <w:rPr>
          <w:rFonts w:ascii="Arial Narrow" w:hAnsi="Arial Narrow" w:cs="Arial"/>
          <w:sz w:val="18"/>
          <w:szCs w:val="18"/>
        </w:rPr>
        <w:t>.</w:t>
      </w:r>
    </w:p>
    <w:p w:rsidR="002119F2" w:rsidRDefault="00174241" w:rsidP="002119F2">
      <w:pPr>
        <w:ind w:left="720"/>
        <w:rPr>
          <w:rFonts w:ascii="Arial Narrow" w:hAnsi="Arial Narrow" w:cs="Arial"/>
          <w:sz w:val="18"/>
          <w:szCs w:val="18"/>
        </w:rPr>
      </w:pPr>
      <w:proofErr w:type="gramStart"/>
      <w:r w:rsidRPr="00B176CF">
        <w:rPr>
          <w:rFonts w:ascii="Arial Narrow" w:hAnsi="Arial Narrow" w:cs="Arial"/>
          <w:sz w:val="18"/>
          <w:szCs w:val="18"/>
          <w:vertAlign w:val="superscript"/>
        </w:rPr>
        <w:t>c</w:t>
      </w:r>
      <w:proofErr w:type="gramEnd"/>
      <w:r w:rsidRPr="00B176CF">
        <w:rPr>
          <w:rFonts w:ascii="Arial Narrow" w:hAnsi="Arial Narrow" w:cs="Arial"/>
          <w:sz w:val="18"/>
          <w:szCs w:val="18"/>
        </w:rPr>
        <w:t xml:space="preserve"> </w:t>
      </w:r>
      <w:r w:rsidR="002119F2" w:rsidRPr="00B176CF">
        <w:rPr>
          <w:rFonts w:ascii="Arial Narrow" w:hAnsi="Arial Narrow" w:cs="Arial"/>
          <w:sz w:val="18"/>
          <w:szCs w:val="18"/>
        </w:rPr>
        <w:t xml:space="preserve">Assuming </w:t>
      </w:r>
      <w:r w:rsidR="00D14DDF">
        <w:rPr>
          <w:rFonts w:ascii="Arial Narrow" w:hAnsi="Arial Narrow" w:cs="Arial"/>
          <w:noProof/>
          <w:color w:val="000000"/>
          <w:sz w:val="18"/>
          <w:szCs w:val="18"/>
          <w:highlight w:val="black"/>
        </w:rPr>
        <w:t>''''''</w:t>
      </w:r>
      <w:r w:rsidR="002119F2" w:rsidRPr="00B176CF">
        <w:rPr>
          <w:rFonts w:ascii="Arial Narrow" w:hAnsi="Arial Narrow" w:cs="Arial"/>
          <w:sz w:val="18"/>
          <w:szCs w:val="18"/>
        </w:rPr>
        <w:t xml:space="preserve"> vials in new patients and </w:t>
      </w:r>
      <w:r w:rsidR="00D14DDF">
        <w:rPr>
          <w:rFonts w:ascii="Arial Narrow" w:hAnsi="Arial Narrow" w:cs="Arial"/>
          <w:noProof/>
          <w:color w:val="000000"/>
          <w:sz w:val="18"/>
          <w:szCs w:val="18"/>
          <w:highlight w:val="black"/>
        </w:rPr>
        <w:t>'''''''</w:t>
      </w:r>
      <w:r w:rsidR="002119F2" w:rsidRPr="00B176CF">
        <w:rPr>
          <w:rFonts w:ascii="Arial Narrow" w:hAnsi="Arial Narrow" w:cs="Arial"/>
          <w:sz w:val="18"/>
          <w:szCs w:val="18"/>
        </w:rPr>
        <w:t xml:space="preserve"> vials in patients on maintenance. New patients were assumed to initiate therapy mid-year so these patients receive one-half of a full year of maintenance vials. Estimates do not include the discretional use of an additional 900 mg dose following graft reperfusion.</w:t>
      </w:r>
    </w:p>
    <w:p w:rsidR="00D112A5" w:rsidRDefault="00D112A5" w:rsidP="002119F2">
      <w:pPr>
        <w:ind w:left="720"/>
        <w:rPr>
          <w:rFonts w:ascii="Arial Narrow" w:hAnsi="Arial Narrow" w:cs="Arial"/>
          <w:sz w:val="18"/>
          <w:szCs w:val="18"/>
        </w:rPr>
      </w:pPr>
    </w:p>
    <w:p w:rsidR="00D112A5" w:rsidRPr="00CF4256" w:rsidRDefault="00D112A5" w:rsidP="002119F2">
      <w:pPr>
        <w:ind w:left="720"/>
        <w:rPr>
          <w:rFonts w:asciiTheme="minorHAnsi" w:hAnsiTheme="minorHAnsi" w:cs="Arial"/>
        </w:rPr>
      </w:pPr>
      <w:r>
        <w:rPr>
          <w:rFonts w:asciiTheme="minorHAnsi" w:hAnsiTheme="minorHAnsi" w:cs="Arial"/>
        </w:rPr>
        <w:t xml:space="preserve">The redacted tablet shows that at year 5, the estimated number of patients was less than 10,000 per year, the estimated number of vials was less than 10,000 per year, and the net cost to the PBS would be less than $10 million per year. </w:t>
      </w:r>
    </w:p>
    <w:p w:rsidR="00D112A5" w:rsidRPr="00B176CF" w:rsidRDefault="00D112A5" w:rsidP="00820721">
      <w:pPr>
        <w:pStyle w:val="TableFooter"/>
        <w:ind w:left="709"/>
      </w:pPr>
    </w:p>
    <w:p w:rsidR="001D7FFA" w:rsidRPr="00B176CF" w:rsidRDefault="001D7FFA" w:rsidP="004E71D2">
      <w:pPr>
        <w:pStyle w:val="ListParagraph"/>
        <w:widowControl/>
        <w:numPr>
          <w:ilvl w:val="1"/>
          <w:numId w:val="14"/>
        </w:numPr>
        <w:spacing w:after="120"/>
        <w:ind w:left="709" w:hanging="709"/>
        <w:contextualSpacing w:val="0"/>
        <w:rPr>
          <w:rFonts w:asciiTheme="minorHAnsi" w:eastAsiaTheme="minorHAnsi" w:hAnsiTheme="minorHAnsi" w:cstheme="minorBidi"/>
          <w:snapToGrid/>
          <w:sz w:val="24"/>
          <w:szCs w:val="22"/>
        </w:rPr>
      </w:pPr>
      <w:r w:rsidRPr="00B176CF">
        <w:rPr>
          <w:rFonts w:asciiTheme="minorHAnsi" w:eastAsiaTheme="minorHAnsi" w:hAnsiTheme="minorHAnsi" w:cstheme="minorBidi"/>
          <w:snapToGrid/>
          <w:sz w:val="24"/>
          <w:szCs w:val="22"/>
        </w:rPr>
        <w:t>The resubmission estimated that the cost to the PBS, for the proposed listing, would be $10</w:t>
      </w:r>
      <w:r w:rsidR="006E49D7">
        <w:rPr>
          <w:rFonts w:asciiTheme="minorHAnsi" w:eastAsiaTheme="minorHAnsi" w:hAnsiTheme="minorHAnsi" w:cstheme="minorBidi"/>
          <w:snapToGrid/>
          <w:sz w:val="24"/>
          <w:szCs w:val="22"/>
        </w:rPr>
        <w:t xml:space="preserve"> - $20</w:t>
      </w:r>
      <w:r w:rsidRPr="00B176CF">
        <w:rPr>
          <w:rFonts w:asciiTheme="minorHAnsi" w:eastAsiaTheme="minorHAnsi" w:hAnsiTheme="minorHAnsi" w:cstheme="minorBidi"/>
          <w:snapToGrid/>
          <w:sz w:val="24"/>
          <w:szCs w:val="22"/>
        </w:rPr>
        <w:t> million over 5 years, or $10</w:t>
      </w:r>
      <w:r w:rsidR="006E49D7">
        <w:rPr>
          <w:rFonts w:asciiTheme="minorHAnsi" w:eastAsiaTheme="minorHAnsi" w:hAnsiTheme="minorHAnsi" w:cstheme="minorBidi"/>
          <w:snapToGrid/>
          <w:sz w:val="24"/>
          <w:szCs w:val="22"/>
        </w:rPr>
        <w:t xml:space="preserve"> - $20</w:t>
      </w:r>
      <w:r w:rsidRPr="00B176CF">
        <w:rPr>
          <w:rFonts w:asciiTheme="minorHAnsi" w:eastAsiaTheme="minorHAnsi" w:hAnsiTheme="minorHAnsi" w:cstheme="minorBidi"/>
          <w:snapToGrid/>
          <w:sz w:val="24"/>
          <w:szCs w:val="22"/>
        </w:rPr>
        <w:t xml:space="preserve"> million with the RSA proposed (discussed below). </w:t>
      </w:r>
    </w:p>
    <w:p w:rsidR="00512080" w:rsidRPr="00E013EC" w:rsidRDefault="00512080" w:rsidP="004E71D2">
      <w:pPr>
        <w:pStyle w:val="ListParagraph"/>
        <w:widowControl/>
        <w:numPr>
          <w:ilvl w:val="1"/>
          <w:numId w:val="14"/>
        </w:numPr>
        <w:spacing w:after="120"/>
        <w:ind w:left="709" w:hanging="709"/>
        <w:contextualSpacing w:val="0"/>
        <w:rPr>
          <w:rFonts w:asciiTheme="minorHAnsi" w:eastAsiaTheme="minorHAnsi" w:hAnsiTheme="minorHAnsi" w:cstheme="minorBidi"/>
          <w:snapToGrid/>
          <w:sz w:val="24"/>
          <w:szCs w:val="22"/>
        </w:rPr>
      </w:pPr>
      <w:r w:rsidRPr="00B176CF">
        <w:rPr>
          <w:rFonts w:asciiTheme="minorHAnsi" w:eastAsiaTheme="minorHAnsi" w:hAnsiTheme="minorHAnsi" w:cstheme="minorBidi"/>
          <w:snapToGrid/>
          <w:sz w:val="24"/>
          <w:szCs w:val="22"/>
        </w:rPr>
        <w:lastRenderedPageBreak/>
        <w:t xml:space="preserve">In July 2017, the PBAC considered that </w:t>
      </w:r>
      <w:r w:rsidR="006A53D9" w:rsidRPr="00B176CF">
        <w:rPr>
          <w:rFonts w:asciiTheme="minorHAnsi" w:eastAsiaTheme="minorHAnsi" w:hAnsiTheme="minorHAnsi" w:cstheme="minorBidi"/>
          <w:snapToGrid/>
          <w:sz w:val="24"/>
          <w:szCs w:val="22"/>
        </w:rPr>
        <w:t xml:space="preserve">the financial estimates that were presented were not informative because, among other matters, they included low patient uptake (July 2017 PBAC </w:t>
      </w:r>
      <w:r w:rsidR="006E49D7" w:rsidRPr="00CF4256">
        <w:rPr>
          <w:rFonts w:asciiTheme="minorHAnsi" w:hAnsiTheme="minorHAnsi"/>
          <w:sz w:val="24"/>
          <w:szCs w:val="24"/>
        </w:rPr>
        <w:t>Public Summary Document</w:t>
      </w:r>
      <w:r w:rsidR="006A53D9" w:rsidRPr="00B176CF">
        <w:rPr>
          <w:rFonts w:asciiTheme="minorHAnsi" w:eastAsiaTheme="minorHAnsi" w:hAnsiTheme="minorHAnsi" w:cstheme="minorBidi"/>
          <w:snapToGrid/>
          <w:sz w:val="24"/>
          <w:szCs w:val="22"/>
        </w:rPr>
        <w:t xml:space="preserve">, para 6.56). </w:t>
      </w:r>
      <w:r w:rsidR="002828E4" w:rsidRPr="00B176CF">
        <w:rPr>
          <w:rFonts w:asciiTheme="minorHAnsi" w:eastAsiaTheme="minorHAnsi" w:hAnsiTheme="minorHAnsi" w:cstheme="minorBidi"/>
          <w:snapToGrid/>
          <w:sz w:val="24"/>
          <w:szCs w:val="22"/>
        </w:rPr>
        <w:t>In particular, t</w:t>
      </w:r>
      <w:r w:rsidR="002828E4" w:rsidRPr="00B176CF">
        <w:rPr>
          <w:rFonts w:asciiTheme="minorHAnsi" w:hAnsiTheme="minorHAnsi"/>
          <w:sz w:val="24"/>
          <w:szCs w:val="24"/>
        </w:rPr>
        <w:t xml:space="preserve">he PBAC considered that the prevalent pool of all patients with ESRD was more representative of the probable uptake within the first few years of listing (July 2017 PBAC </w:t>
      </w:r>
      <w:r w:rsidR="006D12C5">
        <w:rPr>
          <w:rFonts w:asciiTheme="minorHAnsi" w:hAnsiTheme="minorHAnsi"/>
        </w:rPr>
        <w:t>PSD</w:t>
      </w:r>
      <w:r w:rsidR="002828E4" w:rsidRPr="00B176CF">
        <w:rPr>
          <w:rFonts w:asciiTheme="minorHAnsi" w:hAnsiTheme="minorHAnsi"/>
          <w:sz w:val="24"/>
          <w:szCs w:val="24"/>
        </w:rPr>
        <w:t>, para 6.53).</w:t>
      </w:r>
    </w:p>
    <w:p w:rsidR="00710C93" w:rsidRPr="00B176CF" w:rsidRDefault="00710C93" w:rsidP="004E71D2">
      <w:pPr>
        <w:pStyle w:val="ListParagraph"/>
        <w:widowControl/>
        <w:numPr>
          <w:ilvl w:val="1"/>
          <w:numId w:val="14"/>
        </w:numPr>
        <w:spacing w:after="120"/>
        <w:ind w:left="709" w:hanging="709"/>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noted that if </w:t>
      </w:r>
      <w:proofErr w:type="spellStart"/>
      <w:r>
        <w:rPr>
          <w:rFonts w:asciiTheme="minorHAnsi" w:eastAsiaTheme="minorHAnsi" w:hAnsiTheme="minorHAnsi" w:cstheme="minorBidi"/>
          <w:snapToGrid/>
          <w:sz w:val="24"/>
          <w:szCs w:val="22"/>
        </w:rPr>
        <w:t>eculizumab</w:t>
      </w:r>
      <w:proofErr w:type="spellEnd"/>
      <w:r>
        <w:rPr>
          <w:rFonts w:asciiTheme="minorHAnsi" w:eastAsiaTheme="minorHAnsi" w:hAnsiTheme="minorHAnsi" w:cstheme="minorBidi"/>
          <w:snapToGrid/>
          <w:sz w:val="24"/>
          <w:szCs w:val="22"/>
        </w:rPr>
        <w:t xml:space="preserve"> were listed per </w:t>
      </w:r>
      <w:r w:rsidR="00F64CD2">
        <w:rPr>
          <w:rFonts w:asciiTheme="minorHAnsi" w:eastAsiaTheme="minorHAnsi" w:hAnsiTheme="minorHAnsi" w:cstheme="minorBidi"/>
          <w:snapToGrid/>
          <w:sz w:val="24"/>
          <w:szCs w:val="22"/>
        </w:rPr>
        <w:t>the committee’s</w:t>
      </w:r>
      <w:r>
        <w:rPr>
          <w:rFonts w:asciiTheme="minorHAnsi" w:eastAsiaTheme="minorHAnsi" w:hAnsiTheme="minorHAnsi" w:cstheme="minorBidi"/>
          <w:snapToGrid/>
          <w:sz w:val="24"/>
          <w:szCs w:val="22"/>
        </w:rPr>
        <w:t xml:space="preserve"> July 2017 recommendation (ten weeks treatment to be PBS-subsidised) the cost to the PBS would be significantly less than the resubmission’s proposed cost of $10</w:t>
      </w:r>
      <w:r w:rsidR="00BB1CF4">
        <w:rPr>
          <w:rFonts w:asciiTheme="minorHAnsi" w:eastAsiaTheme="minorHAnsi" w:hAnsiTheme="minorHAnsi" w:cstheme="minorBidi"/>
          <w:snapToGrid/>
          <w:sz w:val="24"/>
          <w:szCs w:val="22"/>
        </w:rPr>
        <w:t xml:space="preserve"> - </w:t>
      </w:r>
      <w:r w:rsidR="006E49D7">
        <w:rPr>
          <w:rFonts w:asciiTheme="minorHAnsi" w:eastAsiaTheme="minorHAnsi" w:hAnsiTheme="minorHAnsi" w:cstheme="minorBidi"/>
          <w:snapToGrid/>
          <w:sz w:val="24"/>
          <w:szCs w:val="22"/>
        </w:rPr>
        <w:t>$20</w:t>
      </w:r>
      <w:r>
        <w:rPr>
          <w:rFonts w:asciiTheme="minorHAnsi" w:eastAsiaTheme="minorHAnsi" w:hAnsiTheme="minorHAnsi" w:cstheme="minorBidi"/>
          <w:snapToGrid/>
          <w:sz w:val="24"/>
          <w:szCs w:val="22"/>
        </w:rPr>
        <w:t xml:space="preserve"> million over 5 years.</w:t>
      </w:r>
    </w:p>
    <w:p w:rsidR="00A71D64" w:rsidRPr="00B176CF" w:rsidRDefault="00A71D64" w:rsidP="00A71D64">
      <w:pPr>
        <w:rPr>
          <w:rFonts w:asciiTheme="minorHAnsi" w:hAnsiTheme="minorHAnsi" w:cs="Arial"/>
          <w:b/>
        </w:rPr>
      </w:pPr>
      <w:r w:rsidRPr="00B176CF">
        <w:rPr>
          <w:rFonts w:asciiTheme="minorHAnsi" w:hAnsiTheme="minorHAnsi" w:cs="Arial"/>
          <w:b/>
        </w:rPr>
        <w:t>Risk Sharing Arrangements</w:t>
      </w:r>
    </w:p>
    <w:p w:rsidR="00A71D64" w:rsidRPr="00B176CF" w:rsidRDefault="00A71D64" w:rsidP="00A71D64">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B176CF">
        <w:rPr>
          <w:rFonts w:asciiTheme="minorHAnsi" w:eastAsiaTheme="minorHAnsi" w:hAnsiTheme="minorHAnsi" w:cstheme="minorBidi"/>
          <w:snapToGrid/>
          <w:sz w:val="24"/>
          <w:szCs w:val="22"/>
        </w:rPr>
        <w:t>The resubmission proposed a revised RSA based on:</w:t>
      </w:r>
    </w:p>
    <w:p w:rsidR="00A71D64" w:rsidRPr="00B176CF" w:rsidRDefault="00A71D64" w:rsidP="00A71D64">
      <w:pPr>
        <w:pStyle w:val="ListParagraph"/>
        <w:numPr>
          <w:ilvl w:val="0"/>
          <w:numId w:val="18"/>
        </w:numPr>
        <w:spacing w:after="120"/>
        <w:ind w:left="993" w:hanging="284"/>
        <w:contextualSpacing w:val="0"/>
        <w:rPr>
          <w:rFonts w:asciiTheme="minorHAnsi" w:hAnsiTheme="minorHAnsi"/>
          <w:sz w:val="24"/>
          <w:szCs w:val="24"/>
        </w:rPr>
      </w:pPr>
      <w:r w:rsidRPr="00B176CF">
        <w:rPr>
          <w:rFonts w:asciiTheme="minorHAnsi" w:hAnsiTheme="minorHAnsi"/>
          <w:sz w:val="24"/>
          <w:szCs w:val="24"/>
        </w:rPr>
        <w:t xml:space="preserve">An </w:t>
      </w:r>
      <w:r w:rsidRPr="001A39FE">
        <w:rPr>
          <w:rFonts w:asciiTheme="minorHAnsi" w:hAnsiTheme="minorHAnsi"/>
          <w:sz w:val="24"/>
          <w:szCs w:val="24"/>
        </w:rPr>
        <w:t>annual subsidisation cap</w:t>
      </w:r>
      <w:r w:rsidRPr="00B176CF">
        <w:rPr>
          <w:rFonts w:asciiTheme="minorHAnsi" w:hAnsiTheme="minorHAnsi"/>
          <w:sz w:val="24"/>
          <w:szCs w:val="24"/>
        </w:rPr>
        <w:t xml:space="preserve">, based on the estimates outlined in Table 6. The sponsor proposed that it would rebate the Commonwealth for </w:t>
      </w:r>
      <w:r w:rsidR="00D14DDF">
        <w:rPr>
          <w:rFonts w:asciiTheme="minorHAnsi" w:hAnsiTheme="minorHAnsi"/>
          <w:noProof/>
          <w:color w:val="000000"/>
          <w:sz w:val="24"/>
          <w:szCs w:val="24"/>
          <w:highlight w:val="black"/>
        </w:rPr>
        <w:t>''''' '''''''''' '''' '''''''''''''''''''''' ''''''''''''''' '''' '''''''''''' ''''' '''''' ''''''</w:t>
      </w:r>
      <w:r w:rsidRPr="00B176CF">
        <w:rPr>
          <w:rFonts w:asciiTheme="minorHAnsi" w:hAnsiTheme="minorHAnsi"/>
          <w:sz w:val="24"/>
          <w:szCs w:val="24"/>
        </w:rPr>
        <w:t xml:space="preserve">. The resubmission stated that the sponsor would assume the risk of any potential PBS over-expenditure due to uncertainties in dosing regimens or patient number estimates.  </w:t>
      </w:r>
    </w:p>
    <w:p w:rsidR="00A71D64" w:rsidRPr="00D14DDF" w:rsidRDefault="00A71D64" w:rsidP="00A71D64">
      <w:pPr>
        <w:pStyle w:val="ListParagraph"/>
        <w:numPr>
          <w:ilvl w:val="0"/>
          <w:numId w:val="18"/>
        </w:numPr>
        <w:spacing w:after="120"/>
        <w:ind w:left="993" w:hanging="284"/>
        <w:contextualSpacing w:val="0"/>
        <w:rPr>
          <w:rFonts w:asciiTheme="minorHAnsi" w:hAnsiTheme="minorHAnsi"/>
          <w:sz w:val="24"/>
          <w:szCs w:val="24"/>
        </w:rPr>
      </w:pPr>
      <w:r w:rsidRPr="00B176CF">
        <w:rPr>
          <w:rFonts w:asciiTheme="minorHAnsi" w:hAnsiTheme="minorHAnsi"/>
          <w:sz w:val="24"/>
          <w:szCs w:val="24"/>
        </w:rPr>
        <w:t xml:space="preserve">The rebate would be for </w:t>
      </w:r>
      <w:r w:rsidR="00D14DDF">
        <w:rPr>
          <w:rFonts w:asciiTheme="minorHAnsi" w:hAnsiTheme="minorHAnsi"/>
          <w:noProof/>
          <w:color w:val="000000"/>
          <w:sz w:val="24"/>
          <w:szCs w:val="24"/>
          <w:highlight w:val="black"/>
        </w:rPr>
        <w:t>'''''' '''''''' ''''''' '''''''''' '''' '''''''''''''''''''''</w:t>
      </w:r>
      <w:r w:rsidRPr="00B176CF">
        <w:rPr>
          <w:rFonts w:asciiTheme="minorHAnsi" w:hAnsiTheme="minorHAnsi"/>
          <w:sz w:val="24"/>
          <w:szCs w:val="24"/>
        </w:rPr>
        <w:t xml:space="preserve"> in the transplant setting which the sponsor stated would effectively rebate </w:t>
      </w:r>
      <w:r w:rsidR="00D14DDF">
        <w:rPr>
          <w:rFonts w:asciiTheme="minorHAnsi" w:hAnsiTheme="minorHAnsi"/>
          <w:noProof/>
          <w:color w:val="000000"/>
          <w:sz w:val="24"/>
          <w:szCs w:val="24"/>
          <w:highlight w:val="black"/>
        </w:rPr>
        <w:t>'''''' ''''''''''''''''' '''''''''''</w:t>
      </w:r>
      <w:r w:rsidRPr="00B176CF">
        <w:rPr>
          <w:rFonts w:asciiTheme="minorHAnsi" w:hAnsiTheme="minorHAnsi"/>
          <w:sz w:val="24"/>
          <w:szCs w:val="24"/>
        </w:rPr>
        <w:t xml:space="preserve">. The rebate for </w:t>
      </w:r>
      <w:r w:rsidR="00D14DDF">
        <w:rPr>
          <w:rFonts w:asciiTheme="minorHAnsi" w:hAnsiTheme="minorHAnsi"/>
          <w:noProof/>
          <w:color w:val="000000"/>
          <w:sz w:val="24"/>
          <w:szCs w:val="24"/>
          <w:highlight w:val="black"/>
        </w:rPr>
        <w:t xml:space="preserve">''''''' '''''''' ''''''''''' '''''''''''' '''''''' '''''''''' '''''' '''''''''' '''''''''''''''' ''''''''' '''''''''''''''''' ''''' '''''''''''''''' '''' ''''''''''''''''''''''' ''''''''''''''' '''''''''' '''''''' '''''''''''' ''''' '''''' ''''''''''''' ''' '''''' '''''''''''''''' '''''''''''''''''' </w:t>
      </w:r>
    </w:p>
    <w:p w:rsidR="00A71D64" w:rsidRPr="00B176CF" w:rsidRDefault="00A71D64" w:rsidP="00A71D64">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4"/>
        </w:rPr>
      </w:pPr>
      <w:r w:rsidRPr="00B176CF">
        <w:rPr>
          <w:rFonts w:asciiTheme="minorHAnsi" w:eastAsiaTheme="minorHAnsi" w:hAnsiTheme="minorHAnsi" w:cstheme="minorBidi"/>
          <w:sz w:val="24"/>
          <w:szCs w:val="24"/>
        </w:rPr>
        <w:t xml:space="preserve">Some patients </w:t>
      </w:r>
      <w:r w:rsidR="00D14DDF">
        <w:rPr>
          <w:rFonts w:asciiTheme="minorHAnsi" w:eastAsiaTheme="minorHAnsi" w:hAnsiTheme="minorHAnsi" w:cstheme="minorBidi"/>
          <w:noProof/>
          <w:color w:val="000000"/>
          <w:sz w:val="24"/>
          <w:szCs w:val="24"/>
          <w:highlight w:val="black"/>
        </w:rPr>
        <w:t>''''''''' ''''''' ''''''''''''''''''' ''''' '''''''''''''' '''' '''''''''''''''' ''''''''' ''''''' '''''''' ''''''' '''''''''' '''''' '''''''''''' ''''''''''''''' '''''''''''' ''''' '''''''''''''''''''' ''''' ''''''' '''''''' '''''' ''''''''''''''''''' '''''''</w:t>
      </w:r>
      <w:r w:rsidRPr="00B176CF">
        <w:rPr>
          <w:rFonts w:asciiTheme="minorHAnsi" w:eastAsiaTheme="minorHAnsi" w:hAnsiTheme="minorHAnsi" w:cstheme="minorBidi"/>
          <w:sz w:val="24"/>
          <w:szCs w:val="24"/>
        </w:rPr>
        <w:t>.</w:t>
      </w:r>
    </w:p>
    <w:p w:rsidR="00A71D64" w:rsidRDefault="00D14DDF" w:rsidP="00A71D64">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4"/>
        </w:rPr>
      </w:pPr>
      <w:r>
        <w:rPr>
          <w:rFonts w:asciiTheme="minorHAnsi" w:eastAsiaTheme="minorHAnsi" w:hAnsiTheme="minorHAnsi" w:cstheme="minorBidi"/>
          <w:noProof/>
          <w:snapToGrid/>
          <w:color w:val="000000"/>
          <w:sz w:val="24"/>
          <w:szCs w:val="24"/>
          <w:highlight w:val="black"/>
        </w:rPr>
        <w:t>''''''' ''''''''''''' ''''' '''''' '''''''' ''''''' ''''''''''' ''''''' '''''''''''' ''''' ''''''''''''''' '''''''''''' ''''''''''''''''''' ''''''''''''' '''''' ''''''''' '''' '''''' '''''''''''''''''''' ''''''''''</w:t>
      </w:r>
      <w:r w:rsidR="00A71D64" w:rsidRPr="00B176CF">
        <w:rPr>
          <w:rFonts w:asciiTheme="minorHAnsi" w:eastAsiaTheme="minorHAnsi" w:hAnsiTheme="minorHAnsi" w:cstheme="minorBidi"/>
          <w:snapToGrid/>
          <w:sz w:val="24"/>
          <w:szCs w:val="24"/>
        </w:rPr>
        <w:t xml:space="preserve"> inpatient treatment would </w:t>
      </w:r>
      <w:r w:rsidR="00A71D64">
        <w:rPr>
          <w:rFonts w:asciiTheme="minorHAnsi" w:eastAsiaTheme="minorHAnsi" w:hAnsiTheme="minorHAnsi" w:cstheme="minorBidi"/>
          <w:snapToGrid/>
          <w:sz w:val="24"/>
          <w:szCs w:val="24"/>
        </w:rPr>
        <w:t xml:space="preserve">be </w:t>
      </w:r>
      <w:r w:rsidR="00A71D64" w:rsidRPr="00B176CF">
        <w:rPr>
          <w:rFonts w:asciiTheme="minorHAnsi" w:eastAsiaTheme="minorHAnsi" w:hAnsiTheme="minorHAnsi" w:cstheme="minorBidi"/>
          <w:snapToGrid/>
          <w:sz w:val="24"/>
          <w:szCs w:val="24"/>
        </w:rPr>
        <w:t xml:space="preserve">900 mg of </w:t>
      </w:r>
      <w:proofErr w:type="spellStart"/>
      <w:r w:rsidR="00A71D64" w:rsidRPr="00B176CF">
        <w:rPr>
          <w:rFonts w:asciiTheme="minorHAnsi" w:eastAsiaTheme="minorHAnsi" w:hAnsiTheme="minorHAnsi" w:cstheme="minorBidi"/>
          <w:snapToGrid/>
          <w:sz w:val="24"/>
          <w:szCs w:val="24"/>
        </w:rPr>
        <w:t>eculizumab</w:t>
      </w:r>
      <w:proofErr w:type="spellEnd"/>
      <w:r w:rsidR="00A71D64" w:rsidRPr="00B176CF">
        <w:rPr>
          <w:rFonts w:asciiTheme="minorHAnsi" w:eastAsiaTheme="minorHAnsi" w:hAnsiTheme="minorHAnsi" w:cstheme="minorBidi"/>
          <w:snapToGrid/>
          <w:sz w:val="24"/>
          <w:szCs w:val="24"/>
        </w:rPr>
        <w:t xml:space="preserve"> on Day 0 and Day 7, totalling </w:t>
      </w:r>
      <w:r w:rsidR="00A71D64" w:rsidRPr="00DF30EA">
        <w:rPr>
          <w:rFonts w:asciiTheme="minorHAnsi" w:eastAsiaTheme="minorHAnsi" w:hAnsiTheme="minorHAnsi" w:cstheme="minorBidi"/>
          <w:snapToGrid/>
          <w:sz w:val="24"/>
          <w:szCs w:val="24"/>
        </w:rPr>
        <w:t xml:space="preserve">six </w:t>
      </w:r>
      <w:r w:rsidR="00A71D64" w:rsidRPr="00B176CF">
        <w:rPr>
          <w:rFonts w:asciiTheme="minorHAnsi" w:eastAsiaTheme="minorHAnsi" w:hAnsiTheme="minorHAnsi" w:cstheme="minorBidi"/>
          <w:snapToGrid/>
          <w:sz w:val="24"/>
          <w:szCs w:val="24"/>
        </w:rPr>
        <w:t xml:space="preserve">vials (based on the adult dose). This did not include an additional dose at graft reperfusion. Further, some patients may require a longer hospitalisation; </w:t>
      </w:r>
      <w:r>
        <w:rPr>
          <w:rFonts w:asciiTheme="minorHAnsi" w:eastAsiaTheme="minorHAnsi" w:hAnsiTheme="minorHAnsi" w:cstheme="minorBidi"/>
          <w:noProof/>
          <w:snapToGrid/>
          <w:color w:val="000000"/>
          <w:sz w:val="24"/>
          <w:szCs w:val="24"/>
          <w:highlight w:val="black"/>
        </w:rPr>
        <w:t>'''''' '''''''''''''''''''' '''''''' ''''''''''''' '''''' '''''''''''' ''''''' '''''''''''''''''''' ''''''''''''''''''' '''''''''' '''''' ''''''''''' '''''''''''''''</w:t>
      </w:r>
      <w:r w:rsidR="00A71D64" w:rsidRPr="00B176CF">
        <w:rPr>
          <w:rFonts w:asciiTheme="minorHAnsi" w:eastAsiaTheme="minorHAnsi" w:hAnsiTheme="minorHAnsi" w:cstheme="minorBidi"/>
          <w:snapToGrid/>
          <w:sz w:val="24"/>
          <w:szCs w:val="24"/>
        </w:rPr>
        <w:t>.</w:t>
      </w:r>
    </w:p>
    <w:p w:rsidR="00A71D64" w:rsidRPr="00B176CF" w:rsidRDefault="00A71D64" w:rsidP="00A71D64">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The pre-PBAC response claimed that the average length of stay for renal transplant recipients is 10.9 days and that Australian renal transplant physicians have advised that the average length of stay may currently be closer to five days. The pre-PBAC response claimed this would mean that the second dose (at Day 7) would be given as an out-patient.</w:t>
      </w:r>
    </w:p>
    <w:p w:rsidR="00A71D64" w:rsidRPr="004C4274" w:rsidRDefault="00A71D64" w:rsidP="00A71D64">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B176CF">
        <w:rPr>
          <w:rFonts w:asciiTheme="minorHAnsi" w:eastAsiaTheme="minorHAnsi" w:hAnsiTheme="minorHAnsi" w:cstheme="minorBidi"/>
          <w:snapToGrid/>
          <w:sz w:val="24"/>
          <w:szCs w:val="22"/>
        </w:rPr>
        <w:t xml:space="preserve">As noted in the financial estimates above, the RSA proposed </w:t>
      </w:r>
      <w:r w:rsidR="00D14DDF">
        <w:rPr>
          <w:rFonts w:asciiTheme="minorHAnsi" w:eastAsiaTheme="minorHAnsi" w:hAnsiTheme="minorHAnsi" w:cstheme="minorBidi"/>
          <w:noProof/>
          <w:snapToGrid/>
          <w:color w:val="000000"/>
          <w:sz w:val="24"/>
          <w:szCs w:val="22"/>
          <w:highlight w:val="black"/>
        </w:rPr>
        <w:t>'''' ''''''' '''''''''''''''''''''''' '''''''''''''''''' ''' ''''''''''' '''''''''''''''' '''' ''''''''' ''''''' '''''''''''''' ''''''''' ''''''' ''''''''''''''''' ''''''''''''''''''''''</w:t>
      </w:r>
      <w:r w:rsidRPr="00B176CF">
        <w:rPr>
          <w:rFonts w:asciiTheme="minorHAnsi" w:eastAsiaTheme="minorHAnsi" w:hAnsiTheme="minorHAnsi" w:cstheme="minorBidi"/>
          <w:snapToGrid/>
          <w:sz w:val="24"/>
          <w:szCs w:val="22"/>
        </w:rPr>
        <w:t xml:space="preserve"> (which substantially increased the cost per patient per year); and </w:t>
      </w:r>
      <w:r w:rsidR="00D14DDF">
        <w:rPr>
          <w:rFonts w:asciiTheme="minorHAnsi" w:eastAsiaTheme="minorHAnsi" w:hAnsiTheme="minorHAnsi" w:cstheme="minorBidi"/>
          <w:noProof/>
          <w:snapToGrid/>
          <w:color w:val="000000"/>
          <w:sz w:val="24"/>
          <w:szCs w:val="22"/>
          <w:highlight w:val="black"/>
        </w:rPr>
        <w:t xml:space="preserve">''''' ''''''''''''''''''' '''''''' </w:t>
      </w:r>
      <w:r w:rsidR="00D14DDF">
        <w:rPr>
          <w:rFonts w:asciiTheme="minorHAnsi" w:eastAsiaTheme="minorHAnsi" w:hAnsiTheme="minorHAnsi" w:cstheme="minorBidi"/>
          <w:noProof/>
          <w:snapToGrid/>
          <w:color w:val="000000"/>
          <w:sz w:val="24"/>
          <w:szCs w:val="22"/>
          <w:highlight w:val="black"/>
        </w:rPr>
        <w:lastRenderedPageBreak/>
        <w:t>'''''''''' '''''' '''''''''''''' '''''''''''' '''''' '''''''''''''' ''''''''''''''''''''''' '''''''''''''''''' ''''' ''''''''''''''''' ''''''''''''' '''''''''''''''' ''''' '''''' '''''''''''' '''''''' '''''''' '''''''''''''' '''''''''''''''''' '''''''''''''</w:t>
      </w:r>
      <w:r w:rsidRPr="00B176CF">
        <w:rPr>
          <w:rFonts w:asciiTheme="minorHAnsi" w:eastAsiaTheme="minorHAnsi" w:hAnsiTheme="minorHAnsi" w:cstheme="minorBidi"/>
          <w:snapToGrid/>
          <w:sz w:val="24"/>
          <w:szCs w:val="22"/>
        </w:rPr>
        <w:t xml:space="preserve">. </w:t>
      </w:r>
    </w:p>
    <w:p w:rsidR="00A71D64" w:rsidRPr="00B176CF" w:rsidRDefault="00A71D64" w:rsidP="00A71D64">
      <w:pPr>
        <w:keepNext/>
        <w:keepLines/>
        <w:spacing w:after="120"/>
        <w:rPr>
          <w:rFonts w:asciiTheme="minorHAnsi" w:hAnsiTheme="minorHAnsi"/>
          <w:u w:val="single"/>
        </w:rPr>
      </w:pPr>
      <w:r w:rsidRPr="00B176CF">
        <w:rPr>
          <w:rFonts w:asciiTheme="minorHAnsi" w:hAnsiTheme="minorHAnsi"/>
          <w:u w:val="single"/>
        </w:rPr>
        <w:t>RSA in other treatment settings</w:t>
      </w:r>
    </w:p>
    <w:p w:rsidR="00A71D64" w:rsidRPr="00B176CF" w:rsidRDefault="00A71D64" w:rsidP="00A71D64">
      <w:pPr>
        <w:pStyle w:val="ListParagraph"/>
        <w:keepNext/>
        <w:keepLines/>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B176CF">
        <w:rPr>
          <w:rFonts w:asciiTheme="minorHAnsi" w:eastAsiaTheme="minorHAnsi" w:hAnsiTheme="minorHAnsi" w:cstheme="minorBidi"/>
          <w:snapToGrid/>
          <w:sz w:val="24"/>
          <w:szCs w:val="22"/>
        </w:rPr>
        <w:t xml:space="preserve">In its July 2017 consideration, the PBAC had recommended that the Department should negotiate with the Sponsor to establish a RSA for the current listing for active TMA in patients with </w:t>
      </w:r>
      <w:proofErr w:type="spellStart"/>
      <w:r w:rsidRPr="00B176CF">
        <w:rPr>
          <w:rFonts w:asciiTheme="minorHAnsi" w:eastAsiaTheme="minorHAnsi" w:hAnsiTheme="minorHAnsi" w:cstheme="minorBidi"/>
          <w:snapToGrid/>
          <w:sz w:val="24"/>
          <w:szCs w:val="22"/>
        </w:rPr>
        <w:t>aHUS</w:t>
      </w:r>
      <w:proofErr w:type="spellEnd"/>
      <w:r w:rsidRPr="00B176CF">
        <w:rPr>
          <w:rFonts w:asciiTheme="minorHAnsi" w:eastAsiaTheme="minorHAnsi" w:hAnsiTheme="minorHAnsi" w:cstheme="minorBidi"/>
          <w:snapToGrid/>
          <w:sz w:val="24"/>
          <w:szCs w:val="22"/>
        </w:rPr>
        <w:t xml:space="preserve">. (July </w:t>
      </w:r>
      <w:r w:rsidRPr="000A47F9">
        <w:rPr>
          <w:rFonts w:asciiTheme="minorHAnsi" w:eastAsiaTheme="minorHAnsi" w:hAnsiTheme="minorHAnsi" w:cstheme="minorBidi"/>
          <w:snapToGrid/>
          <w:sz w:val="24"/>
          <w:szCs w:val="24"/>
        </w:rPr>
        <w:t xml:space="preserve">2017 PBAC </w:t>
      </w:r>
      <w:r w:rsidRPr="000A47F9">
        <w:rPr>
          <w:rFonts w:asciiTheme="minorHAnsi" w:hAnsiTheme="minorHAnsi"/>
          <w:sz w:val="24"/>
          <w:szCs w:val="24"/>
        </w:rPr>
        <w:t>Public Summary Document</w:t>
      </w:r>
      <w:r w:rsidRPr="000A47F9">
        <w:rPr>
          <w:rFonts w:asciiTheme="minorHAnsi" w:eastAsiaTheme="minorHAnsi" w:hAnsiTheme="minorHAnsi" w:cstheme="minorBidi"/>
          <w:snapToGrid/>
          <w:sz w:val="24"/>
          <w:szCs w:val="24"/>
        </w:rPr>
        <w:t>, para 7.7</w:t>
      </w:r>
      <w:r w:rsidRPr="00B176CF">
        <w:rPr>
          <w:rFonts w:asciiTheme="minorHAnsi" w:eastAsiaTheme="minorHAnsi" w:hAnsiTheme="minorHAnsi" w:cstheme="minorBidi"/>
          <w:snapToGrid/>
          <w:sz w:val="24"/>
          <w:szCs w:val="22"/>
        </w:rPr>
        <w:t xml:space="preserve">) </w:t>
      </w:r>
    </w:p>
    <w:p w:rsidR="00A71D64" w:rsidRPr="00507F44" w:rsidRDefault="00A71D64" w:rsidP="00A71D64">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B176CF">
        <w:rPr>
          <w:rFonts w:asciiTheme="minorHAnsi" w:eastAsiaTheme="minorHAnsi" w:hAnsiTheme="minorHAnsi" w:cstheme="minorBidi"/>
          <w:snapToGrid/>
          <w:sz w:val="24"/>
          <w:szCs w:val="22"/>
        </w:rPr>
        <w:t xml:space="preserve">The resubmission stated that an RSA proposal had been submitted to the Department. </w:t>
      </w:r>
    </w:p>
    <w:p w:rsidR="00A71D64" w:rsidRPr="00A71D64" w:rsidRDefault="00A71D64" w:rsidP="00A71D64">
      <w:pPr>
        <w:rPr>
          <w:rFonts w:asciiTheme="minorHAnsi" w:hAnsiTheme="minorHAnsi" w:cs="Arial"/>
          <w:bCs/>
          <w:i/>
          <w:snapToGrid w:val="0"/>
          <w:sz w:val="32"/>
        </w:rPr>
      </w:pPr>
      <w:r w:rsidRPr="00A71D64">
        <w:rPr>
          <w:rFonts w:asciiTheme="minorHAnsi" w:eastAsiaTheme="minorHAnsi" w:hAnsiTheme="minorHAnsi"/>
          <w:i/>
        </w:rPr>
        <w:t>For more detail on PBAC’s view, see section 7 PBAC outcome.</w:t>
      </w:r>
    </w:p>
    <w:p w:rsidR="009F0284" w:rsidRPr="00845053" w:rsidRDefault="009F0284" w:rsidP="00A71D64">
      <w:pPr>
        <w:pStyle w:val="Heading1"/>
        <w:keepNext/>
        <w:keepLines/>
        <w:widowControl/>
        <w:numPr>
          <w:ilvl w:val="0"/>
          <w:numId w:val="14"/>
        </w:numPr>
        <w:spacing w:before="240" w:after="120"/>
        <w:ind w:left="709" w:hanging="709"/>
        <w:contextualSpacing w:val="0"/>
        <w:jc w:val="left"/>
        <w:rPr>
          <w:rFonts w:asciiTheme="minorHAnsi" w:hAnsiTheme="minorHAnsi"/>
          <w:bCs/>
          <w:sz w:val="32"/>
        </w:rPr>
      </w:pPr>
      <w:r w:rsidRPr="00845053">
        <w:rPr>
          <w:rFonts w:asciiTheme="minorHAnsi" w:hAnsiTheme="minorHAnsi"/>
          <w:bCs/>
          <w:sz w:val="32"/>
        </w:rPr>
        <w:t>PBAC Outcome</w:t>
      </w:r>
    </w:p>
    <w:p w:rsidR="006521BA" w:rsidRPr="00845053" w:rsidRDefault="006C4789" w:rsidP="00F305CE">
      <w:pPr>
        <w:widowControl w:val="0"/>
        <w:numPr>
          <w:ilvl w:val="1"/>
          <w:numId w:val="5"/>
        </w:numPr>
        <w:spacing w:after="120"/>
        <w:ind w:left="720"/>
        <w:jc w:val="both"/>
        <w:rPr>
          <w:rFonts w:asciiTheme="minorHAnsi" w:hAnsiTheme="minorHAnsi"/>
          <w:bCs/>
          <w:lang w:val="en-GB"/>
        </w:rPr>
      </w:pPr>
      <w:r w:rsidRPr="00845053">
        <w:rPr>
          <w:rFonts w:asciiTheme="minorHAnsi" w:hAnsiTheme="minorHAnsi" w:cs="Arial"/>
          <w:bCs/>
          <w:snapToGrid w:val="0"/>
          <w:lang w:val="en-GB" w:eastAsia="en-US"/>
        </w:rPr>
        <w:t xml:space="preserve">The PBAC </w:t>
      </w:r>
      <w:r w:rsidR="006521BA" w:rsidRPr="00845053">
        <w:rPr>
          <w:rFonts w:asciiTheme="minorHAnsi" w:hAnsiTheme="minorHAnsi"/>
          <w:bCs/>
          <w:lang w:val="en-GB"/>
        </w:rPr>
        <w:t>did not</w:t>
      </w:r>
      <w:r w:rsidRPr="00845053">
        <w:rPr>
          <w:rFonts w:asciiTheme="minorHAnsi" w:hAnsiTheme="minorHAnsi" w:cs="Arial"/>
          <w:bCs/>
          <w:snapToGrid w:val="0"/>
          <w:lang w:val="en-GB" w:eastAsia="en-US"/>
        </w:rPr>
        <w:t xml:space="preserve"> recommend increasing the </w:t>
      </w:r>
      <w:r w:rsidR="005672FC" w:rsidRPr="00845053">
        <w:rPr>
          <w:rFonts w:asciiTheme="minorHAnsi" w:hAnsiTheme="minorHAnsi" w:cs="Arial"/>
          <w:bCs/>
          <w:snapToGrid w:val="0"/>
          <w:lang w:val="en-GB" w:eastAsia="en-US"/>
        </w:rPr>
        <w:t>treatment duration</w:t>
      </w:r>
      <w:r w:rsidR="005672FC">
        <w:rPr>
          <w:rFonts w:asciiTheme="minorHAnsi" w:hAnsiTheme="minorHAnsi" w:cs="Arial"/>
          <w:bCs/>
          <w:snapToGrid w:val="0"/>
          <w:lang w:val="en-GB" w:eastAsia="en-US"/>
        </w:rPr>
        <w:t xml:space="preserve"> of</w:t>
      </w:r>
      <w:r w:rsidR="005672FC" w:rsidRPr="00845053">
        <w:rPr>
          <w:rFonts w:asciiTheme="minorHAnsi" w:hAnsiTheme="minorHAnsi" w:cs="Arial"/>
          <w:bCs/>
          <w:snapToGrid w:val="0"/>
          <w:lang w:val="en-GB" w:eastAsia="en-US"/>
        </w:rPr>
        <w:t xml:space="preserve"> </w:t>
      </w:r>
      <w:r w:rsidRPr="00845053">
        <w:rPr>
          <w:rFonts w:asciiTheme="minorHAnsi" w:hAnsiTheme="minorHAnsi" w:cs="Arial"/>
          <w:bCs/>
          <w:snapToGrid w:val="0"/>
          <w:lang w:val="en-GB" w:eastAsia="en-US"/>
        </w:rPr>
        <w:t xml:space="preserve">PBS-subsidised </w:t>
      </w:r>
      <w:proofErr w:type="spellStart"/>
      <w:r w:rsidRPr="00845053">
        <w:rPr>
          <w:rFonts w:asciiTheme="minorHAnsi" w:hAnsiTheme="minorHAnsi" w:cs="Arial"/>
          <w:bCs/>
          <w:snapToGrid w:val="0"/>
          <w:lang w:val="en-GB" w:eastAsia="en-US"/>
        </w:rPr>
        <w:t>eculizumab</w:t>
      </w:r>
      <w:proofErr w:type="spellEnd"/>
      <w:r w:rsidRPr="00845053">
        <w:rPr>
          <w:rFonts w:asciiTheme="minorHAnsi" w:hAnsiTheme="minorHAnsi" w:cs="Arial"/>
          <w:bCs/>
          <w:snapToGrid w:val="0"/>
          <w:lang w:val="en-GB" w:eastAsia="en-US"/>
        </w:rPr>
        <w:t xml:space="preserve"> for </w:t>
      </w:r>
      <w:r w:rsidR="0049615C">
        <w:rPr>
          <w:rFonts w:asciiTheme="minorHAnsi" w:hAnsiTheme="minorHAnsi" w:cs="Arial"/>
          <w:bCs/>
          <w:snapToGrid w:val="0"/>
          <w:lang w:val="en-GB" w:eastAsia="en-US"/>
        </w:rPr>
        <w:t xml:space="preserve">prophylactic use in </w:t>
      </w:r>
      <w:r w:rsidRPr="00845053">
        <w:rPr>
          <w:rFonts w:asciiTheme="minorHAnsi" w:hAnsiTheme="minorHAnsi" w:cs="Arial"/>
          <w:bCs/>
          <w:snapToGrid w:val="0"/>
          <w:lang w:val="en-GB" w:eastAsia="en-US"/>
        </w:rPr>
        <w:t xml:space="preserve">patients with end stage renal disease </w:t>
      </w:r>
      <w:r w:rsidR="0049615C">
        <w:rPr>
          <w:rFonts w:asciiTheme="minorHAnsi" w:hAnsiTheme="minorHAnsi" w:cs="Arial"/>
          <w:bCs/>
          <w:snapToGrid w:val="0"/>
          <w:lang w:val="en-GB" w:eastAsia="en-US"/>
        </w:rPr>
        <w:t xml:space="preserve">due to </w:t>
      </w:r>
      <w:proofErr w:type="spellStart"/>
      <w:r w:rsidR="0049615C">
        <w:rPr>
          <w:rFonts w:asciiTheme="minorHAnsi" w:hAnsiTheme="minorHAnsi" w:cs="Arial"/>
          <w:bCs/>
          <w:snapToGrid w:val="0"/>
          <w:lang w:val="en-GB" w:eastAsia="en-US"/>
        </w:rPr>
        <w:t>aHUS</w:t>
      </w:r>
      <w:proofErr w:type="spellEnd"/>
      <w:r w:rsidR="0049615C" w:rsidRPr="00845053">
        <w:rPr>
          <w:rFonts w:asciiTheme="minorHAnsi" w:hAnsiTheme="minorHAnsi" w:cs="Arial"/>
          <w:bCs/>
          <w:snapToGrid w:val="0"/>
          <w:lang w:val="en-GB" w:eastAsia="en-US"/>
        </w:rPr>
        <w:t xml:space="preserve"> </w:t>
      </w:r>
      <w:r w:rsidR="0049615C">
        <w:rPr>
          <w:rFonts w:asciiTheme="minorHAnsi" w:hAnsiTheme="minorHAnsi" w:cs="Arial"/>
          <w:bCs/>
          <w:snapToGrid w:val="0"/>
          <w:lang w:val="en-GB" w:eastAsia="en-US"/>
        </w:rPr>
        <w:t>in the</w:t>
      </w:r>
      <w:r w:rsidRPr="00845053">
        <w:rPr>
          <w:rFonts w:asciiTheme="minorHAnsi" w:hAnsiTheme="minorHAnsi" w:cs="Arial"/>
          <w:bCs/>
          <w:snapToGrid w:val="0"/>
          <w:lang w:val="en-GB" w:eastAsia="en-US"/>
        </w:rPr>
        <w:t xml:space="preserve"> renal transplant</w:t>
      </w:r>
      <w:r w:rsidR="0049615C">
        <w:rPr>
          <w:rFonts w:asciiTheme="minorHAnsi" w:hAnsiTheme="minorHAnsi" w:cs="Arial"/>
          <w:bCs/>
          <w:snapToGrid w:val="0"/>
          <w:lang w:val="en-GB" w:eastAsia="en-US"/>
        </w:rPr>
        <w:t xml:space="preserve"> period</w:t>
      </w:r>
      <w:r w:rsidRPr="00845053">
        <w:rPr>
          <w:rFonts w:asciiTheme="minorHAnsi" w:hAnsiTheme="minorHAnsi" w:cs="Arial"/>
          <w:bCs/>
          <w:snapToGrid w:val="0"/>
          <w:lang w:val="en-GB" w:eastAsia="en-US"/>
        </w:rPr>
        <w:t xml:space="preserve">. </w:t>
      </w:r>
      <w:r w:rsidR="00F305CE" w:rsidRPr="00F305CE">
        <w:rPr>
          <w:rFonts w:asciiTheme="minorHAnsi" w:hAnsiTheme="minorHAnsi" w:cs="Arial"/>
          <w:bCs/>
          <w:snapToGrid w:val="0"/>
          <w:lang w:val="en-GB" w:eastAsia="en-US"/>
        </w:rPr>
        <w:t>The evidence presented to support the longer duration of treatment than previously recommended by the PBAC did not reliably address the key issues, and did not prove substantial incremental benefit.</w:t>
      </w:r>
      <w:r w:rsidR="00963F32" w:rsidRPr="00845053">
        <w:rPr>
          <w:rFonts w:asciiTheme="minorHAnsi" w:hAnsiTheme="minorHAnsi"/>
          <w:bCs/>
          <w:lang w:val="en-GB"/>
        </w:rPr>
        <w:t xml:space="preserve"> As such, t</w:t>
      </w:r>
      <w:r w:rsidRPr="00845053">
        <w:rPr>
          <w:rFonts w:asciiTheme="minorHAnsi" w:hAnsiTheme="minorHAnsi" w:cs="Arial"/>
          <w:bCs/>
          <w:snapToGrid w:val="0"/>
          <w:lang w:val="en-GB" w:eastAsia="en-US"/>
        </w:rPr>
        <w:t xml:space="preserve">he PBAC re-affirmed its July 2017 </w:t>
      </w:r>
      <w:r w:rsidR="00963F32" w:rsidRPr="00845053">
        <w:rPr>
          <w:rFonts w:asciiTheme="minorHAnsi" w:hAnsiTheme="minorHAnsi"/>
          <w:bCs/>
          <w:lang w:val="en-GB"/>
        </w:rPr>
        <w:t xml:space="preserve">recommendation </w:t>
      </w:r>
      <w:r w:rsidRPr="00845053">
        <w:rPr>
          <w:rFonts w:asciiTheme="minorHAnsi" w:hAnsiTheme="minorHAnsi" w:cs="Arial"/>
          <w:bCs/>
          <w:snapToGrid w:val="0"/>
          <w:lang w:val="en-GB" w:eastAsia="en-US"/>
        </w:rPr>
        <w:t xml:space="preserve">that </w:t>
      </w:r>
      <w:proofErr w:type="spellStart"/>
      <w:r w:rsidRPr="00845053">
        <w:rPr>
          <w:rFonts w:asciiTheme="minorHAnsi" w:hAnsiTheme="minorHAnsi" w:cs="Arial"/>
          <w:bCs/>
          <w:snapToGrid w:val="0"/>
          <w:lang w:val="en-GB" w:eastAsia="en-US"/>
        </w:rPr>
        <w:t>eculizumab</w:t>
      </w:r>
      <w:proofErr w:type="spellEnd"/>
      <w:r w:rsidRPr="00845053">
        <w:rPr>
          <w:rFonts w:asciiTheme="minorHAnsi" w:hAnsiTheme="minorHAnsi" w:cs="Arial"/>
          <w:bCs/>
          <w:snapToGrid w:val="0"/>
          <w:lang w:val="en-GB" w:eastAsia="en-US"/>
        </w:rPr>
        <w:t xml:space="preserve"> should be available f</w:t>
      </w:r>
      <w:r w:rsidR="00963F32" w:rsidRPr="00845053">
        <w:rPr>
          <w:rFonts w:asciiTheme="minorHAnsi" w:hAnsiTheme="minorHAnsi"/>
          <w:bCs/>
          <w:lang w:val="en-GB"/>
        </w:rPr>
        <w:t>o</w:t>
      </w:r>
      <w:r w:rsidRPr="00845053">
        <w:rPr>
          <w:rFonts w:asciiTheme="minorHAnsi" w:hAnsiTheme="minorHAnsi" w:cs="Arial"/>
          <w:bCs/>
          <w:snapToGrid w:val="0"/>
          <w:lang w:val="en-GB" w:eastAsia="en-US"/>
        </w:rPr>
        <w:t xml:space="preserve">r a maximum duration of three months </w:t>
      </w:r>
      <w:r w:rsidR="005672FC" w:rsidRPr="00845053">
        <w:rPr>
          <w:rFonts w:asciiTheme="minorHAnsi" w:hAnsiTheme="minorHAnsi" w:cs="Arial"/>
          <w:bCs/>
          <w:snapToGrid w:val="0"/>
          <w:lang w:val="en-GB" w:eastAsia="en-US"/>
        </w:rPr>
        <w:t xml:space="preserve">in this setting </w:t>
      </w:r>
      <w:r w:rsidRPr="00845053">
        <w:rPr>
          <w:rFonts w:asciiTheme="minorHAnsi" w:hAnsiTheme="minorHAnsi" w:cs="Arial"/>
          <w:bCs/>
          <w:snapToGrid w:val="0"/>
          <w:lang w:val="en-GB" w:eastAsia="en-US"/>
        </w:rPr>
        <w:t xml:space="preserve">(ten weeks of which would be PBS-subsidised). </w:t>
      </w:r>
    </w:p>
    <w:p w:rsidR="00842EA6" w:rsidRPr="00845053" w:rsidRDefault="00842EA6" w:rsidP="00845053">
      <w:pPr>
        <w:widowControl w:val="0"/>
        <w:numPr>
          <w:ilvl w:val="1"/>
          <w:numId w:val="5"/>
        </w:numPr>
        <w:spacing w:after="120"/>
        <w:ind w:left="720"/>
        <w:jc w:val="both"/>
        <w:rPr>
          <w:rFonts w:asciiTheme="minorHAnsi" w:hAnsiTheme="minorHAnsi"/>
          <w:bCs/>
          <w:lang w:val="en-GB"/>
        </w:rPr>
      </w:pPr>
      <w:r w:rsidRPr="00845053">
        <w:rPr>
          <w:rFonts w:asciiTheme="minorHAnsi" w:hAnsiTheme="minorHAnsi"/>
          <w:bCs/>
          <w:lang w:val="en-GB"/>
        </w:rPr>
        <w:t xml:space="preserve">The PBAC noted that the clinical claim </w:t>
      </w:r>
      <w:r w:rsidR="00924386">
        <w:rPr>
          <w:rFonts w:asciiTheme="minorHAnsi" w:hAnsiTheme="minorHAnsi"/>
          <w:bCs/>
          <w:lang w:val="en-GB"/>
        </w:rPr>
        <w:t xml:space="preserve">proposed </w:t>
      </w:r>
      <w:r w:rsidRPr="00845053">
        <w:rPr>
          <w:rFonts w:asciiTheme="minorHAnsi" w:hAnsiTheme="minorHAnsi"/>
          <w:bCs/>
          <w:lang w:val="en-GB"/>
        </w:rPr>
        <w:t xml:space="preserve">was that 12 months of prophylactic </w:t>
      </w:r>
      <w:proofErr w:type="spellStart"/>
      <w:r w:rsidRPr="00845053">
        <w:rPr>
          <w:rFonts w:asciiTheme="minorHAnsi" w:hAnsiTheme="minorHAnsi"/>
          <w:bCs/>
          <w:lang w:val="en-GB"/>
        </w:rPr>
        <w:t>eculizumab</w:t>
      </w:r>
      <w:proofErr w:type="spellEnd"/>
      <w:r w:rsidRPr="00845053">
        <w:rPr>
          <w:rFonts w:asciiTheme="minorHAnsi" w:hAnsiTheme="minorHAnsi"/>
          <w:bCs/>
          <w:lang w:val="en-GB"/>
        </w:rPr>
        <w:t xml:space="preserve"> post-transplant was superior to three months of </w:t>
      </w:r>
      <w:proofErr w:type="spellStart"/>
      <w:r w:rsidRPr="00845053">
        <w:rPr>
          <w:rFonts w:asciiTheme="minorHAnsi" w:hAnsiTheme="minorHAnsi"/>
          <w:bCs/>
          <w:lang w:val="en-GB"/>
        </w:rPr>
        <w:t>eculizumab</w:t>
      </w:r>
      <w:proofErr w:type="spellEnd"/>
      <w:r w:rsidRPr="00845053">
        <w:rPr>
          <w:rFonts w:asciiTheme="minorHAnsi" w:hAnsiTheme="minorHAnsi"/>
          <w:bCs/>
          <w:lang w:val="en-GB"/>
        </w:rPr>
        <w:t xml:space="preserve"> followed by monitoring for recurrence of </w:t>
      </w:r>
      <w:proofErr w:type="spellStart"/>
      <w:r w:rsidR="0049615C">
        <w:rPr>
          <w:rFonts w:asciiTheme="minorHAnsi" w:hAnsiTheme="minorHAnsi"/>
          <w:bCs/>
          <w:lang w:val="en-GB"/>
        </w:rPr>
        <w:t>aHUS</w:t>
      </w:r>
      <w:proofErr w:type="spellEnd"/>
      <w:r w:rsidRPr="00845053">
        <w:rPr>
          <w:rFonts w:asciiTheme="minorHAnsi" w:hAnsiTheme="minorHAnsi"/>
          <w:bCs/>
          <w:lang w:val="en-GB"/>
        </w:rPr>
        <w:t xml:space="preserve"> in patients receiving a renal transplant. </w:t>
      </w:r>
    </w:p>
    <w:p w:rsidR="00963F32" w:rsidRPr="00845053" w:rsidRDefault="00842EA6" w:rsidP="00842EA6">
      <w:pPr>
        <w:widowControl w:val="0"/>
        <w:numPr>
          <w:ilvl w:val="1"/>
          <w:numId w:val="5"/>
        </w:numPr>
        <w:spacing w:after="120"/>
        <w:ind w:left="720"/>
        <w:jc w:val="both"/>
        <w:rPr>
          <w:rFonts w:asciiTheme="minorHAnsi" w:hAnsiTheme="minorHAnsi" w:cs="Arial"/>
          <w:bCs/>
          <w:snapToGrid w:val="0"/>
          <w:lang w:val="en-GB" w:eastAsia="en-US"/>
        </w:rPr>
      </w:pPr>
      <w:r w:rsidRPr="00845053">
        <w:rPr>
          <w:rFonts w:asciiTheme="minorHAnsi" w:hAnsiTheme="minorHAnsi"/>
          <w:bCs/>
          <w:lang w:val="en-GB"/>
        </w:rPr>
        <w:t xml:space="preserve">The PBAC noted that no </w:t>
      </w:r>
      <w:r w:rsidR="00246B82" w:rsidRPr="00845053">
        <w:rPr>
          <w:rFonts w:asciiTheme="minorHAnsi" w:hAnsiTheme="minorHAnsi"/>
          <w:bCs/>
          <w:lang w:val="en-GB"/>
        </w:rPr>
        <w:t xml:space="preserve">direct comparative </w:t>
      </w:r>
      <w:r w:rsidRPr="00845053">
        <w:rPr>
          <w:rFonts w:asciiTheme="minorHAnsi" w:hAnsiTheme="minorHAnsi"/>
          <w:bCs/>
          <w:lang w:val="en-GB"/>
        </w:rPr>
        <w:t>data w</w:t>
      </w:r>
      <w:r w:rsidR="00246B82" w:rsidRPr="00845053">
        <w:rPr>
          <w:rFonts w:asciiTheme="minorHAnsi" w:hAnsiTheme="minorHAnsi"/>
          <w:bCs/>
          <w:lang w:val="en-GB"/>
        </w:rPr>
        <w:t>ere</w:t>
      </w:r>
      <w:r w:rsidRPr="00845053">
        <w:rPr>
          <w:rFonts w:asciiTheme="minorHAnsi" w:hAnsiTheme="minorHAnsi"/>
          <w:bCs/>
          <w:lang w:val="en-GB"/>
        </w:rPr>
        <w:t xml:space="preserve"> presented</w:t>
      </w:r>
      <w:r w:rsidR="00D25360">
        <w:rPr>
          <w:rFonts w:asciiTheme="minorHAnsi" w:hAnsiTheme="minorHAnsi"/>
          <w:bCs/>
          <w:lang w:val="en-GB"/>
        </w:rPr>
        <w:t xml:space="preserve"> to support this claim</w:t>
      </w:r>
      <w:r w:rsidRPr="00845053">
        <w:rPr>
          <w:rFonts w:asciiTheme="minorHAnsi" w:hAnsiTheme="minorHAnsi"/>
          <w:bCs/>
          <w:lang w:val="en-GB"/>
        </w:rPr>
        <w:t xml:space="preserve">. The PBAC considered that the </w:t>
      </w:r>
      <w:r w:rsidR="00682B7F" w:rsidRPr="00845053">
        <w:rPr>
          <w:rFonts w:asciiTheme="minorHAnsi" w:hAnsiTheme="minorHAnsi"/>
          <w:bCs/>
          <w:lang w:val="en-GB"/>
        </w:rPr>
        <w:t xml:space="preserve">data </w:t>
      </w:r>
      <w:r w:rsidR="00246B82" w:rsidRPr="00845053">
        <w:rPr>
          <w:rFonts w:asciiTheme="minorHAnsi" w:hAnsiTheme="minorHAnsi"/>
          <w:bCs/>
          <w:lang w:val="en-GB"/>
        </w:rPr>
        <w:t xml:space="preserve">that had been </w:t>
      </w:r>
      <w:r w:rsidR="00682B7F" w:rsidRPr="00845053">
        <w:rPr>
          <w:rFonts w:asciiTheme="minorHAnsi" w:hAnsiTheme="minorHAnsi"/>
          <w:bCs/>
          <w:lang w:val="en-GB"/>
        </w:rPr>
        <w:t xml:space="preserve">presented for sustained use of </w:t>
      </w:r>
      <w:proofErr w:type="spellStart"/>
      <w:r w:rsidR="00682B7F" w:rsidRPr="00845053">
        <w:rPr>
          <w:rFonts w:asciiTheme="minorHAnsi" w:hAnsiTheme="minorHAnsi"/>
          <w:bCs/>
          <w:lang w:val="en-GB"/>
        </w:rPr>
        <w:t>eculizumab</w:t>
      </w:r>
      <w:proofErr w:type="spellEnd"/>
      <w:r w:rsidR="00682B7F" w:rsidRPr="00845053">
        <w:rPr>
          <w:rFonts w:asciiTheme="minorHAnsi" w:hAnsiTheme="minorHAnsi"/>
          <w:bCs/>
          <w:lang w:val="en-GB"/>
        </w:rPr>
        <w:t xml:space="preserve"> post-transplant and </w:t>
      </w:r>
      <w:r w:rsidR="00246B82" w:rsidRPr="00845053">
        <w:rPr>
          <w:rFonts w:asciiTheme="minorHAnsi" w:hAnsiTheme="minorHAnsi"/>
          <w:bCs/>
          <w:lang w:val="en-GB"/>
        </w:rPr>
        <w:t xml:space="preserve">for </w:t>
      </w:r>
      <w:r w:rsidR="00682B7F" w:rsidRPr="00845053">
        <w:rPr>
          <w:rFonts w:asciiTheme="minorHAnsi" w:hAnsiTheme="minorHAnsi"/>
          <w:bCs/>
          <w:lang w:val="en-GB"/>
        </w:rPr>
        <w:t xml:space="preserve">historical outcomes </w:t>
      </w:r>
      <w:r w:rsidR="009C195B" w:rsidRPr="00845053">
        <w:rPr>
          <w:rFonts w:asciiTheme="minorHAnsi" w:hAnsiTheme="minorHAnsi"/>
          <w:bCs/>
          <w:lang w:val="en-GB"/>
        </w:rPr>
        <w:t>(</w:t>
      </w:r>
      <w:r w:rsidR="00682B7F" w:rsidRPr="00845053">
        <w:rPr>
          <w:rFonts w:asciiTheme="minorHAnsi" w:hAnsiTheme="minorHAnsi"/>
          <w:bCs/>
          <w:lang w:val="en-GB"/>
        </w:rPr>
        <w:t>pre-</w:t>
      </w:r>
      <w:proofErr w:type="spellStart"/>
      <w:r w:rsidR="00682B7F" w:rsidRPr="00845053">
        <w:rPr>
          <w:rFonts w:asciiTheme="minorHAnsi" w:hAnsiTheme="minorHAnsi"/>
          <w:bCs/>
          <w:lang w:val="en-GB"/>
        </w:rPr>
        <w:t>eculizumab</w:t>
      </w:r>
      <w:proofErr w:type="spellEnd"/>
      <w:r w:rsidR="009C195B" w:rsidRPr="00845053">
        <w:rPr>
          <w:rFonts w:asciiTheme="minorHAnsi" w:hAnsiTheme="minorHAnsi"/>
          <w:bCs/>
          <w:lang w:val="en-GB"/>
        </w:rPr>
        <w:t>),</w:t>
      </w:r>
      <w:r w:rsidR="00682B7F" w:rsidRPr="00845053">
        <w:rPr>
          <w:rFonts w:asciiTheme="minorHAnsi" w:hAnsiTheme="minorHAnsi"/>
          <w:bCs/>
          <w:lang w:val="en-GB"/>
        </w:rPr>
        <w:t xml:space="preserve"> </w:t>
      </w:r>
      <w:r w:rsidR="009C195B" w:rsidRPr="00845053">
        <w:rPr>
          <w:rFonts w:asciiTheme="minorHAnsi" w:hAnsiTheme="minorHAnsi"/>
          <w:bCs/>
          <w:lang w:val="en-GB"/>
        </w:rPr>
        <w:t xml:space="preserve">comprising case series and registry data, </w:t>
      </w:r>
      <w:r w:rsidR="00682B7F" w:rsidRPr="00845053">
        <w:rPr>
          <w:rFonts w:asciiTheme="minorHAnsi" w:hAnsiTheme="minorHAnsi"/>
          <w:bCs/>
          <w:lang w:val="en-GB"/>
        </w:rPr>
        <w:t xml:space="preserve">were </w:t>
      </w:r>
      <w:r w:rsidR="00F05EAD" w:rsidRPr="00845053">
        <w:rPr>
          <w:rFonts w:asciiTheme="minorHAnsi" w:hAnsiTheme="minorHAnsi"/>
          <w:bCs/>
          <w:lang w:val="en-GB"/>
        </w:rPr>
        <w:t xml:space="preserve">not </w:t>
      </w:r>
      <w:r w:rsidR="005672FC">
        <w:rPr>
          <w:rFonts w:asciiTheme="minorHAnsi" w:hAnsiTheme="minorHAnsi"/>
          <w:bCs/>
          <w:lang w:val="en-GB"/>
        </w:rPr>
        <w:t>reliable</w:t>
      </w:r>
      <w:r w:rsidR="00F05EAD" w:rsidRPr="00845053">
        <w:rPr>
          <w:rFonts w:asciiTheme="minorHAnsi" w:hAnsiTheme="minorHAnsi"/>
          <w:bCs/>
          <w:lang w:val="en-GB"/>
        </w:rPr>
        <w:t xml:space="preserve"> </w:t>
      </w:r>
      <w:r w:rsidR="00175011" w:rsidRPr="00845053">
        <w:rPr>
          <w:rFonts w:asciiTheme="minorHAnsi" w:hAnsiTheme="minorHAnsi"/>
          <w:bCs/>
          <w:lang w:val="en-GB"/>
        </w:rPr>
        <w:t xml:space="preserve">(e.g. the data were confounded, there was heterogeneity between data sources and </w:t>
      </w:r>
      <w:r w:rsidR="00682B7F" w:rsidRPr="00845053">
        <w:rPr>
          <w:rFonts w:asciiTheme="minorHAnsi" w:hAnsiTheme="minorHAnsi"/>
        </w:rPr>
        <w:t>limited information w</w:t>
      </w:r>
      <w:r w:rsidR="005672FC">
        <w:rPr>
          <w:rFonts w:asciiTheme="minorHAnsi" w:hAnsiTheme="minorHAnsi"/>
        </w:rPr>
        <w:t>as</w:t>
      </w:r>
      <w:r w:rsidR="00682B7F" w:rsidRPr="00845053">
        <w:rPr>
          <w:rFonts w:asciiTheme="minorHAnsi" w:hAnsiTheme="minorHAnsi"/>
        </w:rPr>
        <w:t xml:space="preserve"> available about the duration of </w:t>
      </w:r>
      <w:proofErr w:type="spellStart"/>
      <w:r w:rsidR="00682B7F" w:rsidRPr="00845053">
        <w:rPr>
          <w:rFonts w:asciiTheme="minorHAnsi" w:hAnsiTheme="minorHAnsi"/>
        </w:rPr>
        <w:t>eculizumab</w:t>
      </w:r>
      <w:proofErr w:type="spellEnd"/>
      <w:r w:rsidR="00682B7F" w:rsidRPr="00845053">
        <w:rPr>
          <w:rFonts w:asciiTheme="minorHAnsi" w:hAnsiTheme="minorHAnsi"/>
        </w:rPr>
        <w:t xml:space="preserve"> </w:t>
      </w:r>
      <w:r w:rsidR="00175011" w:rsidRPr="00845053">
        <w:rPr>
          <w:rFonts w:asciiTheme="minorHAnsi" w:hAnsiTheme="minorHAnsi"/>
        </w:rPr>
        <w:t>t</w:t>
      </w:r>
      <w:r w:rsidR="000D6883">
        <w:rPr>
          <w:rFonts w:asciiTheme="minorHAnsi" w:hAnsiTheme="minorHAnsi"/>
        </w:rPr>
        <w:t>herapy</w:t>
      </w:r>
      <w:r w:rsidR="00175011" w:rsidRPr="00845053">
        <w:rPr>
          <w:rFonts w:asciiTheme="minorHAnsi" w:hAnsiTheme="minorHAnsi"/>
        </w:rPr>
        <w:t xml:space="preserve"> </w:t>
      </w:r>
      <w:r w:rsidR="00682B7F" w:rsidRPr="00845053">
        <w:rPr>
          <w:rFonts w:asciiTheme="minorHAnsi" w:hAnsiTheme="minorHAnsi"/>
        </w:rPr>
        <w:t>and patient outcomes</w:t>
      </w:r>
      <w:r w:rsidR="00175011" w:rsidRPr="00845053">
        <w:rPr>
          <w:rFonts w:asciiTheme="minorHAnsi" w:hAnsiTheme="minorHAnsi"/>
        </w:rPr>
        <w:t>)</w:t>
      </w:r>
      <w:r w:rsidR="00682B7F" w:rsidRPr="00845053">
        <w:rPr>
          <w:rFonts w:asciiTheme="minorHAnsi" w:hAnsiTheme="minorHAnsi"/>
        </w:rPr>
        <w:t xml:space="preserve">. </w:t>
      </w:r>
      <w:r w:rsidRPr="00845053">
        <w:rPr>
          <w:rFonts w:asciiTheme="minorHAnsi" w:hAnsiTheme="minorHAnsi"/>
          <w:bCs/>
          <w:lang w:val="en-GB"/>
        </w:rPr>
        <w:t xml:space="preserve"> </w:t>
      </w:r>
    </w:p>
    <w:p w:rsidR="0058231C" w:rsidRPr="0058231C" w:rsidRDefault="00F05EAD" w:rsidP="0058231C">
      <w:pPr>
        <w:widowControl w:val="0"/>
        <w:numPr>
          <w:ilvl w:val="1"/>
          <w:numId w:val="5"/>
        </w:numPr>
        <w:spacing w:after="120"/>
        <w:ind w:left="720"/>
        <w:jc w:val="both"/>
        <w:rPr>
          <w:rFonts w:asciiTheme="minorHAnsi" w:hAnsiTheme="minorHAnsi"/>
          <w:bCs/>
          <w:lang w:val="en-GB"/>
        </w:rPr>
      </w:pPr>
      <w:r w:rsidRPr="0058231C">
        <w:rPr>
          <w:rFonts w:asciiTheme="minorHAnsi" w:hAnsiTheme="minorHAnsi"/>
          <w:bCs/>
          <w:snapToGrid w:val="0"/>
          <w:lang w:val="en-GB"/>
        </w:rPr>
        <w:t xml:space="preserve">The PBAC </w:t>
      </w:r>
      <w:r w:rsidR="00CF33D0" w:rsidRPr="0058231C">
        <w:rPr>
          <w:rFonts w:asciiTheme="minorHAnsi" w:hAnsiTheme="minorHAnsi"/>
          <w:bCs/>
          <w:snapToGrid w:val="0"/>
          <w:lang w:val="en-GB"/>
        </w:rPr>
        <w:t xml:space="preserve">re-affirmed its previous recommendation that </w:t>
      </w:r>
      <w:proofErr w:type="spellStart"/>
      <w:r w:rsidR="00CF33D0" w:rsidRPr="0058231C">
        <w:rPr>
          <w:rFonts w:asciiTheme="minorHAnsi" w:hAnsiTheme="minorHAnsi"/>
          <w:bCs/>
          <w:snapToGrid w:val="0"/>
          <w:lang w:val="en-GB"/>
        </w:rPr>
        <w:t>eculizumab</w:t>
      </w:r>
      <w:proofErr w:type="spellEnd"/>
      <w:r w:rsidR="00CF33D0" w:rsidRPr="0058231C">
        <w:rPr>
          <w:rFonts w:asciiTheme="minorHAnsi" w:hAnsiTheme="minorHAnsi"/>
          <w:bCs/>
          <w:snapToGrid w:val="0"/>
          <w:lang w:val="en-GB"/>
        </w:rPr>
        <w:t xml:space="preserve"> should be available in this setting for a maximum duration of three months, and that in-patient treatment should not be subsidised by the PBS. </w:t>
      </w:r>
      <w:r w:rsidR="0058231C" w:rsidRPr="0058231C">
        <w:rPr>
          <w:rFonts w:asciiTheme="minorHAnsi" w:hAnsiTheme="minorHAnsi"/>
          <w:bCs/>
          <w:snapToGrid w:val="0"/>
          <w:lang w:val="en-GB"/>
        </w:rPr>
        <w:t xml:space="preserve">The PBAC noted that patients with recurrence of </w:t>
      </w:r>
      <w:proofErr w:type="spellStart"/>
      <w:r w:rsidR="0058231C" w:rsidRPr="0058231C">
        <w:rPr>
          <w:rFonts w:asciiTheme="minorHAnsi" w:hAnsiTheme="minorHAnsi"/>
          <w:bCs/>
          <w:snapToGrid w:val="0"/>
          <w:lang w:val="en-GB"/>
        </w:rPr>
        <w:t>aHUS</w:t>
      </w:r>
      <w:proofErr w:type="spellEnd"/>
      <w:r w:rsidR="0058231C" w:rsidRPr="0058231C">
        <w:rPr>
          <w:rFonts w:asciiTheme="minorHAnsi" w:hAnsiTheme="minorHAnsi"/>
          <w:bCs/>
          <w:lang w:val="en-GB"/>
        </w:rPr>
        <w:t xml:space="preserve"> after this time would be eligible for </w:t>
      </w:r>
      <w:proofErr w:type="spellStart"/>
      <w:r w:rsidR="0058231C" w:rsidRPr="0058231C">
        <w:rPr>
          <w:rFonts w:asciiTheme="minorHAnsi" w:hAnsiTheme="minorHAnsi"/>
          <w:bCs/>
          <w:lang w:val="en-GB"/>
        </w:rPr>
        <w:t>eculiz</w:t>
      </w:r>
      <w:r w:rsidR="0058231C">
        <w:rPr>
          <w:rFonts w:asciiTheme="minorHAnsi" w:hAnsiTheme="minorHAnsi"/>
          <w:bCs/>
          <w:lang w:val="en-GB"/>
        </w:rPr>
        <w:t>umab</w:t>
      </w:r>
      <w:proofErr w:type="spellEnd"/>
      <w:r w:rsidR="0058231C">
        <w:rPr>
          <w:rFonts w:asciiTheme="minorHAnsi" w:hAnsiTheme="minorHAnsi"/>
          <w:bCs/>
          <w:lang w:val="en-GB"/>
        </w:rPr>
        <w:t xml:space="preserve"> under the current listing (‘rescue therapy’)</w:t>
      </w:r>
      <w:r w:rsidR="0058231C" w:rsidRPr="0058231C">
        <w:rPr>
          <w:rFonts w:asciiTheme="minorHAnsi" w:hAnsiTheme="minorHAnsi"/>
          <w:bCs/>
          <w:lang w:val="en-GB"/>
        </w:rPr>
        <w:t xml:space="preserve">. </w:t>
      </w:r>
    </w:p>
    <w:p w:rsidR="00FE2F74" w:rsidRPr="00CF33D0" w:rsidRDefault="00CF33D0" w:rsidP="00CF33D0">
      <w:pPr>
        <w:widowControl w:val="0"/>
        <w:numPr>
          <w:ilvl w:val="1"/>
          <w:numId w:val="5"/>
        </w:numPr>
        <w:spacing w:after="120"/>
        <w:ind w:left="720"/>
        <w:jc w:val="both"/>
        <w:rPr>
          <w:rFonts w:asciiTheme="minorHAnsi" w:hAnsiTheme="minorHAnsi" w:cs="Arial"/>
          <w:bCs/>
          <w:snapToGrid w:val="0"/>
          <w:lang w:val="en-GB"/>
        </w:rPr>
      </w:pPr>
      <w:r w:rsidRPr="00CF33D0">
        <w:rPr>
          <w:rFonts w:asciiTheme="minorHAnsi" w:hAnsiTheme="minorHAnsi" w:cs="Arial"/>
          <w:bCs/>
          <w:snapToGrid w:val="0"/>
          <w:lang w:val="en-GB"/>
        </w:rPr>
        <w:t xml:space="preserve">The PBAC considered that </w:t>
      </w:r>
      <w:r w:rsidR="0058231C">
        <w:rPr>
          <w:rFonts w:asciiTheme="minorHAnsi" w:hAnsiTheme="minorHAnsi" w:cs="Arial"/>
          <w:bCs/>
          <w:snapToGrid w:val="0"/>
          <w:lang w:val="en-GB"/>
        </w:rPr>
        <w:t xml:space="preserve">rescue therapy alone would be sufficient for many patients, and that </w:t>
      </w:r>
      <w:r w:rsidRPr="00CF33D0">
        <w:rPr>
          <w:rFonts w:asciiTheme="minorHAnsi" w:hAnsiTheme="minorHAnsi" w:cs="Arial"/>
          <w:bCs/>
          <w:snapToGrid w:val="0"/>
          <w:lang w:val="en-GB"/>
        </w:rPr>
        <w:t>t</w:t>
      </w:r>
      <w:r w:rsidR="00963F32" w:rsidRPr="00CF33D0">
        <w:rPr>
          <w:rFonts w:asciiTheme="minorHAnsi" w:hAnsiTheme="minorHAnsi" w:cs="Arial"/>
          <w:bCs/>
          <w:snapToGrid w:val="0"/>
          <w:lang w:val="en-GB"/>
        </w:rPr>
        <w:t xml:space="preserve">hree months of prophylactic </w:t>
      </w:r>
      <w:proofErr w:type="spellStart"/>
      <w:r w:rsidR="00F05EAD" w:rsidRPr="00CF33D0">
        <w:rPr>
          <w:rFonts w:asciiTheme="minorHAnsi" w:hAnsiTheme="minorHAnsi" w:cs="Arial"/>
          <w:bCs/>
          <w:snapToGrid w:val="0"/>
          <w:lang w:val="en-GB"/>
        </w:rPr>
        <w:t>eculizumab</w:t>
      </w:r>
      <w:proofErr w:type="spellEnd"/>
      <w:r w:rsidR="00F05EAD" w:rsidRPr="00CF33D0">
        <w:rPr>
          <w:rFonts w:asciiTheme="minorHAnsi" w:hAnsiTheme="minorHAnsi" w:cs="Arial"/>
          <w:bCs/>
          <w:snapToGrid w:val="0"/>
          <w:lang w:val="en-GB"/>
        </w:rPr>
        <w:t xml:space="preserve"> </w:t>
      </w:r>
      <w:r w:rsidR="00AB3851">
        <w:rPr>
          <w:rFonts w:asciiTheme="minorHAnsi" w:hAnsiTheme="minorHAnsi" w:cs="Arial"/>
          <w:bCs/>
          <w:snapToGrid w:val="0"/>
          <w:lang w:val="en-GB"/>
        </w:rPr>
        <w:t xml:space="preserve">could </w:t>
      </w:r>
      <w:r w:rsidR="005672FC">
        <w:rPr>
          <w:rFonts w:asciiTheme="minorHAnsi" w:hAnsiTheme="minorHAnsi" w:cs="Arial"/>
          <w:bCs/>
          <w:snapToGrid w:val="0"/>
          <w:lang w:val="en-GB"/>
        </w:rPr>
        <w:t>represent over-treatment</w:t>
      </w:r>
      <w:r w:rsidR="0058231C">
        <w:rPr>
          <w:rFonts w:asciiTheme="minorHAnsi" w:hAnsiTheme="minorHAnsi" w:cs="Arial"/>
          <w:bCs/>
          <w:snapToGrid w:val="0"/>
          <w:lang w:val="en-GB"/>
        </w:rPr>
        <w:t xml:space="preserve"> for</w:t>
      </w:r>
      <w:r w:rsidR="0058231C" w:rsidRPr="0058231C">
        <w:rPr>
          <w:rFonts w:asciiTheme="minorHAnsi" w:hAnsiTheme="minorHAnsi" w:cs="Arial"/>
          <w:bCs/>
          <w:snapToGrid w:val="0"/>
          <w:lang w:val="en-GB"/>
        </w:rPr>
        <w:t xml:space="preserve"> </w:t>
      </w:r>
      <w:r w:rsidR="00AB3851">
        <w:rPr>
          <w:rFonts w:asciiTheme="minorHAnsi" w:hAnsiTheme="minorHAnsi" w:cs="Arial"/>
          <w:bCs/>
          <w:snapToGrid w:val="0"/>
          <w:lang w:val="en-GB"/>
        </w:rPr>
        <w:t xml:space="preserve">some </w:t>
      </w:r>
      <w:r w:rsidR="0058231C">
        <w:rPr>
          <w:rFonts w:asciiTheme="minorHAnsi" w:hAnsiTheme="minorHAnsi" w:cs="Arial"/>
          <w:bCs/>
          <w:snapToGrid w:val="0"/>
          <w:lang w:val="en-GB"/>
        </w:rPr>
        <w:t>patients</w:t>
      </w:r>
      <w:r w:rsidR="00F05EAD" w:rsidRPr="00CF33D0">
        <w:rPr>
          <w:rFonts w:asciiTheme="minorHAnsi" w:hAnsiTheme="minorHAnsi" w:cs="Arial"/>
          <w:bCs/>
          <w:snapToGrid w:val="0"/>
          <w:lang w:val="en-GB"/>
        </w:rPr>
        <w:t xml:space="preserve">. In forming this view, the PBAC </w:t>
      </w:r>
      <w:r w:rsidR="00924386">
        <w:rPr>
          <w:rFonts w:asciiTheme="minorHAnsi" w:hAnsiTheme="minorHAnsi" w:cs="Arial"/>
          <w:bCs/>
          <w:snapToGrid w:val="0"/>
          <w:lang w:val="en-GB"/>
        </w:rPr>
        <w:t>considered</w:t>
      </w:r>
      <w:r w:rsidR="006521BA" w:rsidRPr="00CF33D0">
        <w:rPr>
          <w:rFonts w:asciiTheme="minorHAnsi" w:hAnsiTheme="minorHAnsi" w:cs="Arial"/>
          <w:bCs/>
          <w:snapToGrid w:val="0"/>
          <w:lang w:val="en-GB"/>
        </w:rPr>
        <w:t>:</w:t>
      </w:r>
      <w:r w:rsidR="00F05EAD" w:rsidRPr="00CF33D0">
        <w:rPr>
          <w:rFonts w:asciiTheme="minorHAnsi" w:hAnsiTheme="minorHAnsi" w:cs="Arial"/>
          <w:bCs/>
          <w:snapToGrid w:val="0"/>
          <w:lang w:val="en-GB"/>
        </w:rPr>
        <w:t xml:space="preserve"> </w:t>
      </w:r>
    </w:p>
    <w:p w:rsidR="00845053" w:rsidRPr="00D25360" w:rsidRDefault="00865D19" w:rsidP="0069085B">
      <w:pPr>
        <w:pStyle w:val="ListParagraph"/>
        <w:numPr>
          <w:ilvl w:val="0"/>
          <w:numId w:val="32"/>
        </w:numPr>
        <w:spacing w:after="120"/>
        <w:ind w:left="1276" w:hanging="283"/>
        <w:rPr>
          <w:rFonts w:asciiTheme="minorHAnsi" w:hAnsiTheme="minorHAnsi"/>
          <w:bCs/>
          <w:sz w:val="24"/>
          <w:szCs w:val="24"/>
          <w:lang w:val="en-GB"/>
        </w:rPr>
      </w:pPr>
      <w:proofErr w:type="gramStart"/>
      <w:r w:rsidRPr="00D25360">
        <w:rPr>
          <w:rFonts w:asciiTheme="minorHAnsi" w:hAnsiTheme="minorHAnsi"/>
          <w:bCs/>
          <w:sz w:val="24"/>
          <w:szCs w:val="24"/>
          <w:lang w:val="en-GB"/>
        </w:rPr>
        <w:t>a</w:t>
      </w:r>
      <w:proofErr w:type="gramEnd"/>
      <w:r w:rsidR="00FE2F74" w:rsidRPr="00D25360">
        <w:rPr>
          <w:rFonts w:asciiTheme="minorHAnsi" w:hAnsiTheme="minorHAnsi"/>
          <w:bCs/>
          <w:sz w:val="24"/>
          <w:szCs w:val="24"/>
          <w:lang w:val="en-GB"/>
        </w:rPr>
        <w:t xml:space="preserve"> Dutch case series</w:t>
      </w:r>
      <w:r w:rsidRPr="00D25360">
        <w:rPr>
          <w:rFonts w:asciiTheme="minorHAnsi" w:hAnsiTheme="minorHAnsi"/>
          <w:bCs/>
          <w:sz w:val="24"/>
          <w:szCs w:val="24"/>
          <w:lang w:val="en-GB"/>
        </w:rPr>
        <w:t xml:space="preserve"> of</w:t>
      </w:r>
      <w:r w:rsidR="00FE2F74" w:rsidRPr="00D25360">
        <w:rPr>
          <w:rFonts w:asciiTheme="minorHAnsi" w:hAnsiTheme="minorHAnsi"/>
          <w:bCs/>
          <w:sz w:val="24"/>
          <w:szCs w:val="24"/>
          <w:lang w:val="en-GB"/>
        </w:rPr>
        <w:t xml:space="preserve"> 17 patients at high</w:t>
      </w:r>
      <w:r w:rsidR="0049615C">
        <w:rPr>
          <w:rFonts w:asciiTheme="minorHAnsi" w:hAnsiTheme="minorHAnsi"/>
          <w:bCs/>
          <w:sz w:val="24"/>
          <w:szCs w:val="24"/>
          <w:lang w:val="en-GB"/>
        </w:rPr>
        <w:t>/medium</w:t>
      </w:r>
      <w:r w:rsidR="00FE2F74" w:rsidRPr="00D25360">
        <w:rPr>
          <w:rFonts w:asciiTheme="minorHAnsi" w:hAnsiTheme="minorHAnsi"/>
          <w:bCs/>
          <w:sz w:val="24"/>
          <w:szCs w:val="24"/>
          <w:lang w:val="en-GB"/>
        </w:rPr>
        <w:t xml:space="preserve"> risk of recurrence who did not receive prophylactic </w:t>
      </w:r>
      <w:proofErr w:type="spellStart"/>
      <w:r w:rsidR="00FE2F74" w:rsidRPr="00D25360">
        <w:rPr>
          <w:rFonts w:asciiTheme="minorHAnsi" w:hAnsiTheme="minorHAnsi"/>
          <w:bCs/>
          <w:sz w:val="24"/>
          <w:szCs w:val="24"/>
          <w:lang w:val="en-GB"/>
        </w:rPr>
        <w:t>eculizumab</w:t>
      </w:r>
      <w:proofErr w:type="spellEnd"/>
      <w:r w:rsidRPr="00D25360">
        <w:rPr>
          <w:rFonts w:asciiTheme="minorHAnsi" w:hAnsiTheme="minorHAnsi"/>
          <w:bCs/>
          <w:sz w:val="24"/>
          <w:szCs w:val="24"/>
          <w:lang w:val="en-GB"/>
        </w:rPr>
        <w:t xml:space="preserve">. Of these, </w:t>
      </w:r>
      <w:r w:rsidR="00FE2F74" w:rsidRPr="00D25360">
        <w:rPr>
          <w:rFonts w:asciiTheme="minorHAnsi" w:hAnsiTheme="minorHAnsi"/>
          <w:bCs/>
          <w:sz w:val="24"/>
          <w:szCs w:val="24"/>
          <w:lang w:val="en-GB"/>
        </w:rPr>
        <w:t xml:space="preserve">only one </w:t>
      </w:r>
      <w:r w:rsidR="00FE2F74" w:rsidRPr="00D25360">
        <w:rPr>
          <w:rFonts w:asciiTheme="minorHAnsi" w:hAnsiTheme="minorHAnsi"/>
          <w:sz w:val="24"/>
          <w:szCs w:val="24"/>
        </w:rPr>
        <w:t xml:space="preserve">patient had a recurrence of </w:t>
      </w:r>
      <w:proofErr w:type="spellStart"/>
      <w:r w:rsidR="00FE2F74" w:rsidRPr="00D25360">
        <w:rPr>
          <w:rFonts w:asciiTheme="minorHAnsi" w:hAnsiTheme="minorHAnsi"/>
          <w:sz w:val="24"/>
          <w:szCs w:val="24"/>
        </w:rPr>
        <w:t>aHUS</w:t>
      </w:r>
      <w:proofErr w:type="spellEnd"/>
      <w:r w:rsidR="00FE2F74" w:rsidRPr="00D25360">
        <w:rPr>
          <w:rFonts w:asciiTheme="minorHAnsi" w:hAnsiTheme="minorHAnsi"/>
          <w:sz w:val="24"/>
          <w:szCs w:val="24"/>
        </w:rPr>
        <w:t xml:space="preserve"> </w:t>
      </w:r>
      <w:r w:rsidRPr="00D25360">
        <w:rPr>
          <w:rFonts w:asciiTheme="minorHAnsi" w:hAnsiTheme="minorHAnsi"/>
          <w:sz w:val="24"/>
          <w:szCs w:val="24"/>
        </w:rPr>
        <w:t xml:space="preserve">and this </w:t>
      </w:r>
      <w:r w:rsidR="00FE2F74" w:rsidRPr="00D25360">
        <w:rPr>
          <w:rFonts w:asciiTheme="minorHAnsi" w:hAnsiTheme="minorHAnsi"/>
          <w:sz w:val="24"/>
          <w:szCs w:val="24"/>
        </w:rPr>
        <w:t xml:space="preserve">was successfully treated with </w:t>
      </w:r>
      <w:proofErr w:type="spellStart"/>
      <w:r w:rsidR="00FE2F74" w:rsidRPr="00D25360">
        <w:rPr>
          <w:rFonts w:asciiTheme="minorHAnsi" w:hAnsiTheme="minorHAnsi"/>
          <w:sz w:val="24"/>
          <w:szCs w:val="24"/>
        </w:rPr>
        <w:t>eculizumab</w:t>
      </w:r>
      <w:proofErr w:type="spellEnd"/>
      <w:r w:rsidR="00FE2F74" w:rsidRPr="00D25360">
        <w:rPr>
          <w:rFonts w:asciiTheme="minorHAnsi" w:hAnsiTheme="minorHAnsi"/>
          <w:sz w:val="24"/>
          <w:szCs w:val="24"/>
        </w:rPr>
        <w:t xml:space="preserve">. </w:t>
      </w:r>
      <w:r w:rsidR="005672FC">
        <w:rPr>
          <w:rFonts w:asciiTheme="minorHAnsi" w:hAnsiTheme="minorHAnsi"/>
          <w:sz w:val="24"/>
          <w:szCs w:val="24"/>
        </w:rPr>
        <w:t xml:space="preserve">The </w:t>
      </w:r>
      <w:r w:rsidR="005672FC">
        <w:rPr>
          <w:rFonts w:asciiTheme="minorHAnsi" w:hAnsiTheme="minorHAnsi"/>
          <w:bCs/>
          <w:sz w:val="24"/>
          <w:szCs w:val="24"/>
          <w:lang w:val="en-GB"/>
        </w:rPr>
        <w:lastRenderedPageBreak/>
        <w:t xml:space="preserve">PBAC noted that all </w:t>
      </w:r>
      <w:r w:rsidR="00845053" w:rsidRPr="00D25360">
        <w:rPr>
          <w:rFonts w:asciiTheme="minorHAnsi" w:hAnsiTheme="minorHAnsi"/>
          <w:bCs/>
          <w:sz w:val="24"/>
          <w:szCs w:val="24"/>
          <w:lang w:val="en-GB"/>
        </w:rPr>
        <w:t xml:space="preserve">patients </w:t>
      </w:r>
      <w:r w:rsidR="00F821B4">
        <w:rPr>
          <w:rFonts w:asciiTheme="minorHAnsi" w:hAnsiTheme="minorHAnsi"/>
          <w:bCs/>
          <w:sz w:val="24"/>
          <w:szCs w:val="24"/>
          <w:lang w:val="en-GB"/>
        </w:rPr>
        <w:t xml:space="preserve">in the case series </w:t>
      </w:r>
      <w:r w:rsidR="00845053" w:rsidRPr="00D25360">
        <w:rPr>
          <w:rFonts w:asciiTheme="minorHAnsi" w:hAnsiTheme="minorHAnsi"/>
          <w:bCs/>
          <w:sz w:val="24"/>
          <w:szCs w:val="24"/>
          <w:lang w:val="en-GB"/>
        </w:rPr>
        <w:t>underwent living donor transplant</w:t>
      </w:r>
      <w:r w:rsidR="00F06F6E">
        <w:rPr>
          <w:rFonts w:asciiTheme="minorHAnsi" w:hAnsiTheme="minorHAnsi"/>
          <w:bCs/>
          <w:sz w:val="24"/>
          <w:szCs w:val="24"/>
          <w:lang w:val="en-GB"/>
        </w:rPr>
        <w:t xml:space="preserve"> and</w:t>
      </w:r>
      <w:r w:rsidR="00CF33D0">
        <w:rPr>
          <w:rFonts w:asciiTheme="minorHAnsi" w:hAnsiTheme="minorHAnsi"/>
          <w:bCs/>
          <w:sz w:val="24"/>
          <w:szCs w:val="24"/>
          <w:lang w:val="en-GB"/>
        </w:rPr>
        <w:t xml:space="preserve"> were </w:t>
      </w:r>
      <w:r w:rsidR="00924386">
        <w:rPr>
          <w:rFonts w:asciiTheme="minorHAnsi" w:hAnsiTheme="minorHAnsi"/>
          <w:bCs/>
          <w:sz w:val="24"/>
          <w:szCs w:val="24"/>
          <w:lang w:val="en-GB"/>
        </w:rPr>
        <w:t xml:space="preserve">therefore </w:t>
      </w:r>
      <w:r w:rsidR="00CF33D0">
        <w:rPr>
          <w:rFonts w:asciiTheme="minorHAnsi" w:hAnsiTheme="minorHAnsi"/>
          <w:bCs/>
          <w:sz w:val="24"/>
          <w:szCs w:val="24"/>
          <w:lang w:val="en-GB"/>
        </w:rPr>
        <w:t xml:space="preserve">at </w:t>
      </w:r>
      <w:r w:rsidR="00924386">
        <w:rPr>
          <w:rFonts w:asciiTheme="minorHAnsi" w:hAnsiTheme="minorHAnsi"/>
          <w:bCs/>
          <w:sz w:val="24"/>
          <w:szCs w:val="24"/>
          <w:lang w:val="en-GB"/>
        </w:rPr>
        <w:t xml:space="preserve">a </w:t>
      </w:r>
      <w:r w:rsidR="00CF33D0">
        <w:rPr>
          <w:rFonts w:asciiTheme="minorHAnsi" w:hAnsiTheme="minorHAnsi"/>
          <w:bCs/>
          <w:sz w:val="24"/>
          <w:szCs w:val="24"/>
          <w:lang w:val="en-GB"/>
        </w:rPr>
        <w:t>lower risk of recurrence</w:t>
      </w:r>
      <w:r w:rsidR="005672FC">
        <w:rPr>
          <w:rFonts w:asciiTheme="minorHAnsi" w:hAnsiTheme="minorHAnsi"/>
          <w:bCs/>
          <w:sz w:val="24"/>
          <w:szCs w:val="24"/>
          <w:lang w:val="en-GB"/>
        </w:rPr>
        <w:t xml:space="preserve"> th</w:t>
      </w:r>
      <w:r w:rsidR="00924386">
        <w:rPr>
          <w:rFonts w:asciiTheme="minorHAnsi" w:hAnsiTheme="minorHAnsi"/>
          <w:bCs/>
          <w:sz w:val="24"/>
          <w:szCs w:val="24"/>
          <w:lang w:val="en-GB"/>
        </w:rPr>
        <w:t>a</w:t>
      </w:r>
      <w:r w:rsidR="005672FC">
        <w:rPr>
          <w:rFonts w:asciiTheme="minorHAnsi" w:hAnsiTheme="minorHAnsi"/>
          <w:bCs/>
          <w:sz w:val="24"/>
          <w:szCs w:val="24"/>
          <w:lang w:val="en-GB"/>
        </w:rPr>
        <w:t>n some patients in Australian clinical practice</w:t>
      </w:r>
      <w:r w:rsidR="00845053" w:rsidRPr="00D25360">
        <w:rPr>
          <w:rFonts w:asciiTheme="minorHAnsi" w:hAnsiTheme="minorHAnsi"/>
          <w:bCs/>
          <w:sz w:val="24"/>
          <w:szCs w:val="24"/>
          <w:lang w:val="en-GB"/>
        </w:rPr>
        <w:t xml:space="preserve">. </w:t>
      </w:r>
      <w:r w:rsidR="005672FC">
        <w:rPr>
          <w:rFonts w:asciiTheme="minorHAnsi" w:hAnsiTheme="minorHAnsi"/>
          <w:bCs/>
          <w:sz w:val="24"/>
          <w:szCs w:val="24"/>
          <w:lang w:val="en-GB"/>
        </w:rPr>
        <w:t>Nevertheless, t</w:t>
      </w:r>
      <w:r w:rsidR="005672FC" w:rsidRPr="00D25360">
        <w:rPr>
          <w:rFonts w:asciiTheme="minorHAnsi" w:hAnsiTheme="minorHAnsi"/>
          <w:bCs/>
          <w:sz w:val="24"/>
          <w:szCs w:val="24"/>
          <w:lang w:val="en-GB"/>
        </w:rPr>
        <w:t>he PBAC considered that th</w:t>
      </w:r>
      <w:r w:rsidR="005672FC">
        <w:rPr>
          <w:rFonts w:asciiTheme="minorHAnsi" w:hAnsiTheme="minorHAnsi"/>
          <w:bCs/>
          <w:sz w:val="24"/>
          <w:szCs w:val="24"/>
          <w:lang w:val="en-GB"/>
        </w:rPr>
        <w:t>is study</w:t>
      </w:r>
      <w:r w:rsidR="005672FC" w:rsidRPr="00D25360">
        <w:rPr>
          <w:rFonts w:asciiTheme="minorHAnsi" w:hAnsiTheme="minorHAnsi"/>
          <w:bCs/>
          <w:sz w:val="24"/>
          <w:szCs w:val="24"/>
          <w:lang w:val="en-GB"/>
        </w:rPr>
        <w:t xml:space="preserve"> suggested that the risk of </w:t>
      </w:r>
      <w:proofErr w:type="spellStart"/>
      <w:r w:rsidR="00F31AA5">
        <w:rPr>
          <w:rFonts w:asciiTheme="minorHAnsi" w:hAnsiTheme="minorHAnsi"/>
          <w:bCs/>
          <w:sz w:val="24"/>
          <w:szCs w:val="24"/>
          <w:lang w:val="en-GB"/>
        </w:rPr>
        <w:t>aHUS</w:t>
      </w:r>
      <w:proofErr w:type="spellEnd"/>
      <w:r w:rsidR="00F31AA5">
        <w:rPr>
          <w:rFonts w:asciiTheme="minorHAnsi" w:hAnsiTheme="minorHAnsi"/>
          <w:bCs/>
          <w:sz w:val="24"/>
          <w:szCs w:val="24"/>
          <w:lang w:val="en-GB"/>
        </w:rPr>
        <w:t xml:space="preserve"> </w:t>
      </w:r>
      <w:r w:rsidR="005672FC" w:rsidRPr="00D25360">
        <w:rPr>
          <w:rFonts w:asciiTheme="minorHAnsi" w:hAnsiTheme="minorHAnsi"/>
          <w:bCs/>
          <w:sz w:val="24"/>
          <w:szCs w:val="24"/>
          <w:lang w:val="en-GB"/>
        </w:rPr>
        <w:t xml:space="preserve">recurrence may be lower than previously </w:t>
      </w:r>
      <w:r w:rsidR="005672FC">
        <w:rPr>
          <w:rFonts w:asciiTheme="minorHAnsi" w:hAnsiTheme="minorHAnsi"/>
          <w:bCs/>
          <w:sz w:val="24"/>
          <w:szCs w:val="24"/>
          <w:lang w:val="en-GB"/>
        </w:rPr>
        <w:t>reported</w:t>
      </w:r>
      <w:r w:rsidR="005672FC" w:rsidRPr="00D25360">
        <w:rPr>
          <w:rFonts w:asciiTheme="minorHAnsi" w:hAnsiTheme="minorHAnsi"/>
          <w:bCs/>
          <w:sz w:val="24"/>
          <w:szCs w:val="24"/>
          <w:lang w:val="en-GB"/>
        </w:rPr>
        <w:t xml:space="preserve"> </w:t>
      </w:r>
      <w:r w:rsidR="005672FC">
        <w:rPr>
          <w:rFonts w:asciiTheme="minorHAnsi" w:hAnsiTheme="minorHAnsi"/>
          <w:bCs/>
          <w:sz w:val="24"/>
          <w:szCs w:val="24"/>
          <w:lang w:val="en-GB"/>
        </w:rPr>
        <w:t xml:space="preserve">and </w:t>
      </w:r>
      <w:r w:rsidR="005672FC" w:rsidRPr="00D25360">
        <w:rPr>
          <w:rFonts w:asciiTheme="minorHAnsi" w:hAnsiTheme="minorHAnsi"/>
          <w:bCs/>
          <w:sz w:val="24"/>
          <w:szCs w:val="24"/>
          <w:lang w:val="en-GB"/>
        </w:rPr>
        <w:t>that</w:t>
      </w:r>
      <w:r w:rsidR="005672FC">
        <w:rPr>
          <w:rFonts w:asciiTheme="minorHAnsi" w:hAnsiTheme="minorHAnsi"/>
          <w:bCs/>
          <w:sz w:val="24"/>
          <w:szCs w:val="24"/>
          <w:lang w:val="en-GB"/>
        </w:rPr>
        <w:t xml:space="preserve"> </w:t>
      </w:r>
      <w:proofErr w:type="spellStart"/>
      <w:r w:rsidR="005672FC">
        <w:rPr>
          <w:rFonts w:asciiTheme="minorHAnsi" w:hAnsiTheme="minorHAnsi"/>
          <w:bCs/>
          <w:sz w:val="24"/>
          <w:szCs w:val="24"/>
          <w:lang w:val="en-GB"/>
        </w:rPr>
        <w:t>eculizumab</w:t>
      </w:r>
      <w:proofErr w:type="spellEnd"/>
      <w:r w:rsidR="005672FC">
        <w:rPr>
          <w:rFonts w:asciiTheme="minorHAnsi" w:hAnsiTheme="minorHAnsi"/>
          <w:bCs/>
          <w:sz w:val="24"/>
          <w:szCs w:val="24"/>
          <w:lang w:val="en-GB"/>
        </w:rPr>
        <w:t xml:space="preserve"> </w:t>
      </w:r>
      <w:r w:rsidR="005672FC" w:rsidRPr="00D25360">
        <w:rPr>
          <w:rFonts w:asciiTheme="minorHAnsi" w:hAnsiTheme="minorHAnsi"/>
          <w:bCs/>
          <w:sz w:val="24"/>
          <w:szCs w:val="24"/>
          <w:lang w:val="en-GB"/>
        </w:rPr>
        <w:t>rescue</w:t>
      </w:r>
      <w:r w:rsidR="005672FC">
        <w:rPr>
          <w:rFonts w:asciiTheme="minorHAnsi" w:hAnsiTheme="minorHAnsi"/>
          <w:bCs/>
          <w:sz w:val="24"/>
          <w:szCs w:val="24"/>
          <w:lang w:val="en-GB"/>
        </w:rPr>
        <w:t xml:space="preserve"> therapy alone may be adequate for many patients.</w:t>
      </w:r>
    </w:p>
    <w:p w:rsidR="00CF4256" w:rsidRPr="00D25360" w:rsidRDefault="00CF4256" w:rsidP="00CF4256">
      <w:pPr>
        <w:pStyle w:val="ListParagraph"/>
        <w:numPr>
          <w:ilvl w:val="0"/>
          <w:numId w:val="32"/>
        </w:numPr>
        <w:spacing w:after="120"/>
        <w:ind w:left="1276" w:hanging="283"/>
        <w:rPr>
          <w:rFonts w:asciiTheme="minorHAnsi" w:hAnsiTheme="minorHAnsi"/>
          <w:bCs/>
          <w:sz w:val="24"/>
          <w:szCs w:val="24"/>
          <w:lang w:val="en-GB"/>
        </w:rPr>
      </w:pPr>
      <w:r w:rsidRPr="00D25360">
        <w:rPr>
          <w:rFonts w:asciiTheme="minorHAnsi" w:hAnsiTheme="minorHAnsi"/>
          <w:bCs/>
          <w:sz w:val="24"/>
          <w:szCs w:val="24"/>
          <w:lang w:val="en-GB"/>
        </w:rPr>
        <w:t>data from the Australia and New Zealand Dialysis and Transplant Registry</w:t>
      </w:r>
      <w:r>
        <w:rPr>
          <w:rFonts w:asciiTheme="minorHAnsi" w:hAnsiTheme="minorHAnsi"/>
          <w:bCs/>
          <w:sz w:val="24"/>
          <w:szCs w:val="24"/>
          <w:lang w:val="en-GB"/>
        </w:rPr>
        <w:t xml:space="preserve"> </w:t>
      </w:r>
      <w:r w:rsidRPr="00D25360">
        <w:rPr>
          <w:rFonts w:asciiTheme="minorHAnsi" w:hAnsiTheme="minorHAnsi"/>
          <w:bCs/>
          <w:sz w:val="24"/>
          <w:szCs w:val="24"/>
          <w:lang w:val="en-GB"/>
        </w:rPr>
        <w:t xml:space="preserve">that showed that clinicians perform renal transplants on patients with HUS, despite </w:t>
      </w:r>
      <w:proofErr w:type="spellStart"/>
      <w:r w:rsidRPr="00D25360">
        <w:rPr>
          <w:rFonts w:asciiTheme="minorHAnsi" w:hAnsiTheme="minorHAnsi"/>
          <w:bCs/>
          <w:sz w:val="24"/>
          <w:szCs w:val="24"/>
          <w:lang w:val="en-GB"/>
        </w:rPr>
        <w:t>eculizumab</w:t>
      </w:r>
      <w:proofErr w:type="spellEnd"/>
      <w:r w:rsidRPr="00D25360">
        <w:rPr>
          <w:rFonts w:asciiTheme="minorHAnsi" w:hAnsiTheme="minorHAnsi"/>
          <w:bCs/>
          <w:sz w:val="24"/>
          <w:szCs w:val="24"/>
          <w:lang w:val="en-GB"/>
        </w:rPr>
        <w:t xml:space="preserve"> not being available for prophylactic use post-transplant</w:t>
      </w:r>
      <w:r>
        <w:rPr>
          <w:rFonts w:asciiTheme="minorHAnsi" w:hAnsiTheme="minorHAnsi"/>
          <w:bCs/>
          <w:sz w:val="24"/>
          <w:szCs w:val="24"/>
          <w:lang w:val="en-GB"/>
        </w:rPr>
        <w:t>ation</w:t>
      </w:r>
      <w:r w:rsidRPr="00D25360">
        <w:rPr>
          <w:rFonts w:asciiTheme="minorHAnsi" w:hAnsiTheme="minorHAnsi"/>
          <w:bCs/>
          <w:sz w:val="24"/>
          <w:szCs w:val="24"/>
          <w:lang w:val="en-GB"/>
        </w:rPr>
        <w:t xml:space="preserve">. The PBAC further noted that deceased donor transplants </w:t>
      </w:r>
      <w:r>
        <w:rPr>
          <w:rFonts w:asciiTheme="minorHAnsi" w:hAnsiTheme="minorHAnsi"/>
          <w:bCs/>
          <w:sz w:val="24"/>
          <w:szCs w:val="24"/>
          <w:lang w:val="en-GB"/>
        </w:rPr>
        <w:t>are common in patients with HUS</w:t>
      </w:r>
      <w:r w:rsidRPr="00D25360">
        <w:rPr>
          <w:rFonts w:asciiTheme="minorHAnsi" w:hAnsiTheme="minorHAnsi"/>
          <w:bCs/>
          <w:sz w:val="24"/>
          <w:szCs w:val="24"/>
          <w:lang w:val="en-GB"/>
        </w:rPr>
        <w:t>, despite being associated with a higher risk of recurrence.</w:t>
      </w:r>
      <w:r w:rsidRPr="005672FC">
        <w:rPr>
          <w:rFonts w:asciiTheme="minorHAnsi" w:hAnsiTheme="minorHAnsi"/>
          <w:bCs/>
          <w:sz w:val="24"/>
          <w:szCs w:val="24"/>
          <w:lang w:val="en-GB"/>
        </w:rPr>
        <w:t xml:space="preserve"> </w:t>
      </w:r>
      <w:r w:rsidRPr="00D25360">
        <w:rPr>
          <w:rFonts w:asciiTheme="minorHAnsi" w:hAnsiTheme="minorHAnsi"/>
          <w:bCs/>
          <w:sz w:val="24"/>
          <w:szCs w:val="24"/>
          <w:lang w:val="en-GB"/>
        </w:rPr>
        <w:t xml:space="preserve">The PBAC considered that this </w:t>
      </w:r>
      <w:r>
        <w:rPr>
          <w:rFonts w:asciiTheme="minorHAnsi" w:hAnsiTheme="minorHAnsi"/>
          <w:bCs/>
          <w:sz w:val="24"/>
          <w:szCs w:val="24"/>
          <w:lang w:val="en-GB"/>
        </w:rPr>
        <w:t xml:space="preserve">further </w:t>
      </w:r>
      <w:r w:rsidRPr="00D25360">
        <w:rPr>
          <w:rFonts w:asciiTheme="minorHAnsi" w:hAnsiTheme="minorHAnsi"/>
          <w:bCs/>
          <w:sz w:val="24"/>
          <w:szCs w:val="24"/>
          <w:lang w:val="en-GB"/>
        </w:rPr>
        <w:t xml:space="preserve">indicated that clinicians are not </w:t>
      </w:r>
      <w:r>
        <w:rPr>
          <w:rFonts w:asciiTheme="minorHAnsi" w:hAnsiTheme="minorHAnsi"/>
          <w:bCs/>
          <w:sz w:val="24"/>
          <w:szCs w:val="24"/>
          <w:lang w:val="en-GB"/>
        </w:rPr>
        <w:t xml:space="preserve">necessarily </w:t>
      </w:r>
      <w:r w:rsidRPr="00D25360">
        <w:rPr>
          <w:rFonts w:asciiTheme="minorHAnsi" w:hAnsiTheme="minorHAnsi"/>
          <w:bCs/>
          <w:sz w:val="24"/>
          <w:szCs w:val="24"/>
          <w:lang w:val="en-GB"/>
        </w:rPr>
        <w:t>withholding transplantation for fear of recurrence leading to graft failure</w:t>
      </w:r>
      <w:r>
        <w:rPr>
          <w:rFonts w:asciiTheme="minorHAnsi" w:hAnsiTheme="minorHAnsi"/>
          <w:bCs/>
          <w:sz w:val="24"/>
          <w:szCs w:val="24"/>
          <w:lang w:val="en-GB"/>
        </w:rPr>
        <w:t xml:space="preserve"> (in the knowledge that </w:t>
      </w:r>
      <w:proofErr w:type="spellStart"/>
      <w:r>
        <w:rPr>
          <w:rFonts w:asciiTheme="minorHAnsi" w:hAnsiTheme="minorHAnsi"/>
          <w:bCs/>
          <w:sz w:val="24"/>
          <w:szCs w:val="24"/>
          <w:lang w:val="en-GB"/>
        </w:rPr>
        <w:t>eculizumab</w:t>
      </w:r>
      <w:proofErr w:type="spellEnd"/>
      <w:r>
        <w:rPr>
          <w:rFonts w:asciiTheme="minorHAnsi" w:hAnsiTheme="minorHAnsi"/>
          <w:bCs/>
          <w:sz w:val="24"/>
          <w:szCs w:val="24"/>
          <w:lang w:val="en-GB"/>
        </w:rPr>
        <w:t xml:space="preserve"> was available should recurrence occur)</w:t>
      </w:r>
      <w:r w:rsidRPr="00D25360">
        <w:rPr>
          <w:rFonts w:asciiTheme="minorHAnsi" w:hAnsiTheme="minorHAnsi"/>
          <w:bCs/>
          <w:sz w:val="24"/>
          <w:szCs w:val="24"/>
          <w:lang w:val="en-GB"/>
        </w:rPr>
        <w:t>.</w:t>
      </w:r>
    </w:p>
    <w:p w:rsidR="000616E2" w:rsidRPr="00845053" w:rsidRDefault="000616E2" w:rsidP="00845053">
      <w:pPr>
        <w:widowControl w:val="0"/>
        <w:numPr>
          <w:ilvl w:val="1"/>
          <w:numId w:val="5"/>
        </w:numPr>
        <w:spacing w:after="120"/>
        <w:ind w:left="720"/>
        <w:jc w:val="both"/>
        <w:rPr>
          <w:rFonts w:asciiTheme="minorHAnsi" w:hAnsiTheme="minorHAnsi" w:cs="Arial"/>
          <w:bCs/>
          <w:snapToGrid w:val="0"/>
          <w:lang w:val="en-GB" w:eastAsia="en-US"/>
        </w:rPr>
      </w:pPr>
      <w:r w:rsidRPr="00845053">
        <w:rPr>
          <w:rFonts w:asciiTheme="minorHAnsi" w:hAnsiTheme="minorHAnsi" w:cs="Arial"/>
          <w:bCs/>
          <w:snapToGrid w:val="0"/>
          <w:lang w:val="en-GB" w:eastAsia="en-US"/>
        </w:rPr>
        <w:t xml:space="preserve">The PBAC noted that the cost </w:t>
      </w:r>
      <w:r w:rsidR="00644459" w:rsidRPr="00845053">
        <w:rPr>
          <w:rFonts w:asciiTheme="minorHAnsi" w:hAnsiTheme="minorHAnsi" w:cs="Arial"/>
          <w:bCs/>
          <w:snapToGrid w:val="0"/>
          <w:lang w:val="en-GB" w:eastAsia="en-US"/>
        </w:rPr>
        <w:t xml:space="preserve">to the PBS </w:t>
      </w:r>
      <w:r w:rsidR="00D25360">
        <w:rPr>
          <w:rFonts w:asciiTheme="minorHAnsi" w:hAnsiTheme="minorHAnsi" w:cs="Arial"/>
          <w:bCs/>
          <w:snapToGrid w:val="0"/>
          <w:lang w:val="en-GB" w:eastAsia="en-US"/>
        </w:rPr>
        <w:t>for</w:t>
      </w:r>
      <w:r w:rsidRPr="00845053">
        <w:rPr>
          <w:rFonts w:asciiTheme="minorHAnsi" w:hAnsiTheme="minorHAnsi" w:cs="Arial"/>
          <w:bCs/>
          <w:snapToGrid w:val="0"/>
          <w:lang w:val="en-GB" w:eastAsia="en-US"/>
        </w:rPr>
        <w:t xml:space="preserve"> </w:t>
      </w:r>
      <w:r w:rsidR="00644459" w:rsidRPr="00845053">
        <w:rPr>
          <w:rFonts w:asciiTheme="minorHAnsi" w:hAnsiTheme="minorHAnsi" w:cs="Arial"/>
          <w:bCs/>
          <w:snapToGrid w:val="0"/>
          <w:lang w:val="en-GB" w:eastAsia="en-US"/>
        </w:rPr>
        <w:t xml:space="preserve">treating </w:t>
      </w:r>
      <w:r w:rsidR="00BB1CF4">
        <w:rPr>
          <w:rFonts w:asciiTheme="minorHAnsi" w:hAnsiTheme="minorHAnsi" w:cs="Arial"/>
          <w:bCs/>
          <w:snapToGrid w:val="0"/>
          <w:lang w:val="en-GB" w:eastAsia="en-US"/>
        </w:rPr>
        <w:t>less than 10,000</w:t>
      </w:r>
      <w:r w:rsidR="00644459" w:rsidRPr="00845053">
        <w:rPr>
          <w:rFonts w:asciiTheme="minorHAnsi" w:hAnsiTheme="minorHAnsi" w:cs="Arial"/>
          <w:bCs/>
          <w:snapToGrid w:val="0"/>
          <w:lang w:val="en-GB" w:eastAsia="en-US"/>
        </w:rPr>
        <w:t xml:space="preserve"> patients (as estimated by the </w:t>
      </w:r>
      <w:r w:rsidR="00675CA4">
        <w:rPr>
          <w:rFonts w:asciiTheme="minorHAnsi" w:hAnsiTheme="minorHAnsi" w:cs="Arial"/>
          <w:bCs/>
          <w:snapToGrid w:val="0"/>
          <w:lang w:val="en-GB" w:eastAsia="en-US"/>
        </w:rPr>
        <w:t>re</w:t>
      </w:r>
      <w:r w:rsidR="00644459" w:rsidRPr="00845053">
        <w:rPr>
          <w:rFonts w:asciiTheme="minorHAnsi" w:hAnsiTheme="minorHAnsi" w:cs="Arial"/>
          <w:bCs/>
          <w:snapToGrid w:val="0"/>
          <w:lang w:val="en-GB" w:eastAsia="en-US"/>
        </w:rPr>
        <w:t>submission) would increase to $10</w:t>
      </w:r>
      <w:r w:rsidR="006E49D7">
        <w:rPr>
          <w:rFonts w:asciiTheme="minorHAnsi" w:hAnsiTheme="minorHAnsi" w:cs="Arial"/>
          <w:bCs/>
          <w:snapToGrid w:val="0"/>
          <w:lang w:val="en-GB" w:eastAsia="en-US"/>
        </w:rPr>
        <w:t xml:space="preserve"> - $20</w:t>
      </w:r>
      <w:r w:rsidR="00644459" w:rsidRPr="00845053">
        <w:rPr>
          <w:rFonts w:asciiTheme="minorHAnsi" w:hAnsiTheme="minorHAnsi" w:cs="Arial"/>
          <w:bCs/>
          <w:snapToGrid w:val="0"/>
          <w:lang w:val="en-GB" w:eastAsia="en-US"/>
        </w:rPr>
        <w:t xml:space="preserve"> million over five years if the duration of </w:t>
      </w:r>
      <w:proofErr w:type="spellStart"/>
      <w:r w:rsidRPr="00845053">
        <w:rPr>
          <w:rFonts w:asciiTheme="minorHAnsi" w:hAnsiTheme="minorHAnsi" w:cs="Arial"/>
          <w:bCs/>
          <w:snapToGrid w:val="0"/>
          <w:lang w:val="en-GB" w:eastAsia="en-US"/>
        </w:rPr>
        <w:t>eculizumab</w:t>
      </w:r>
      <w:proofErr w:type="spellEnd"/>
      <w:r w:rsidR="00644459" w:rsidRPr="00845053">
        <w:rPr>
          <w:rFonts w:asciiTheme="minorHAnsi" w:hAnsiTheme="minorHAnsi" w:cs="Arial"/>
          <w:bCs/>
          <w:snapToGrid w:val="0"/>
          <w:lang w:val="en-GB" w:eastAsia="en-US"/>
        </w:rPr>
        <w:t xml:space="preserve"> t</w:t>
      </w:r>
      <w:r w:rsidR="000D6883">
        <w:rPr>
          <w:rFonts w:asciiTheme="minorHAnsi" w:hAnsiTheme="minorHAnsi" w:cs="Arial"/>
          <w:bCs/>
          <w:snapToGrid w:val="0"/>
          <w:lang w:val="en-GB" w:eastAsia="en-US"/>
        </w:rPr>
        <w:t>herapy</w:t>
      </w:r>
      <w:r w:rsidR="00644459" w:rsidRPr="00845053">
        <w:rPr>
          <w:rFonts w:asciiTheme="minorHAnsi" w:hAnsiTheme="minorHAnsi" w:cs="Arial"/>
          <w:bCs/>
          <w:snapToGrid w:val="0"/>
          <w:lang w:val="en-GB" w:eastAsia="en-US"/>
        </w:rPr>
        <w:t xml:space="preserve"> </w:t>
      </w:r>
      <w:r w:rsidR="00D25360">
        <w:rPr>
          <w:rFonts w:asciiTheme="minorHAnsi" w:hAnsiTheme="minorHAnsi" w:cs="Arial"/>
          <w:bCs/>
          <w:snapToGrid w:val="0"/>
          <w:lang w:val="en-GB" w:eastAsia="en-US"/>
        </w:rPr>
        <w:t xml:space="preserve">were </w:t>
      </w:r>
      <w:r w:rsidR="00644459" w:rsidRPr="00845053">
        <w:rPr>
          <w:rFonts w:asciiTheme="minorHAnsi" w:hAnsiTheme="minorHAnsi" w:cs="Arial"/>
          <w:bCs/>
          <w:snapToGrid w:val="0"/>
          <w:lang w:val="en-GB" w:eastAsia="en-US"/>
        </w:rPr>
        <w:t>increased from three months</w:t>
      </w:r>
      <w:r w:rsidRPr="00845053">
        <w:rPr>
          <w:rFonts w:asciiTheme="minorHAnsi" w:hAnsiTheme="minorHAnsi" w:cs="Arial"/>
          <w:bCs/>
          <w:snapToGrid w:val="0"/>
          <w:lang w:val="en-GB" w:eastAsia="en-US"/>
        </w:rPr>
        <w:t xml:space="preserve"> </w:t>
      </w:r>
      <w:r w:rsidR="00644459" w:rsidRPr="00845053">
        <w:rPr>
          <w:rFonts w:asciiTheme="minorHAnsi" w:hAnsiTheme="minorHAnsi" w:cs="Arial"/>
          <w:bCs/>
          <w:snapToGrid w:val="0"/>
          <w:lang w:val="en-GB" w:eastAsia="en-US"/>
        </w:rPr>
        <w:t>as previously recommended</w:t>
      </w:r>
      <w:r w:rsidR="005167AB">
        <w:rPr>
          <w:rFonts w:asciiTheme="minorHAnsi" w:hAnsiTheme="minorHAnsi" w:cs="Arial"/>
          <w:bCs/>
          <w:snapToGrid w:val="0"/>
          <w:lang w:val="en-GB" w:eastAsia="en-US"/>
        </w:rPr>
        <w:t>,</w:t>
      </w:r>
      <w:r w:rsidR="00644459" w:rsidRPr="00845053">
        <w:rPr>
          <w:rFonts w:asciiTheme="minorHAnsi" w:hAnsiTheme="minorHAnsi" w:cs="Arial"/>
          <w:bCs/>
          <w:snapToGrid w:val="0"/>
          <w:lang w:val="en-GB" w:eastAsia="en-US"/>
        </w:rPr>
        <w:t xml:space="preserve"> to</w:t>
      </w:r>
      <w:r w:rsidRPr="00845053">
        <w:rPr>
          <w:rFonts w:asciiTheme="minorHAnsi" w:hAnsiTheme="minorHAnsi" w:cs="Arial"/>
          <w:bCs/>
          <w:snapToGrid w:val="0"/>
          <w:lang w:val="en-GB" w:eastAsia="en-US"/>
        </w:rPr>
        <w:t xml:space="preserve"> 12 months</w:t>
      </w:r>
      <w:r w:rsidR="00644459" w:rsidRPr="00845053">
        <w:rPr>
          <w:rFonts w:asciiTheme="minorHAnsi" w:hAnsiTheme="minorHAnsi" w:cs="Arial"/>
          <w:bCs/>
          <w:snapToGrid w:val="0"/>
          <w:lang w:val="en-GB" w:eastAsia="en-US"/>
        </w:rPr>
        <w:t xml:space="preserve"> as proposed in the </w:t>
      </w:r>
      <w:r w:rsidR="00675CA4">
        <w:rPr>
          <w:rFonts w:asciiTheme="minorHAnsi" w:hAnsiTheme="minorHAnsi" w:cs="Arial"/>
          <w:bCs/>
          <w:snapToGrid w:val="0"/>
          <w:lang w:val="en-GB" w:eastAsia="en-US"/>
        </w:rPr>
        <w:t>re</w:t>
      </w:r>
      <w:r w:rsidR="00644459" w:rsidRPr="00845053">
        <w:rPr>
          <w:rFonts w:asciiTheme="minorHAnsi" w:hAnsiTheme="minorHAnsi" w:cs="Arial"/>
          <w:bCs/>
          <w:snapToGrid w:val="0"/>
          <w:lang w:val="en-GB" w:eastAsia="en-US"/>
        </w:rPr>
        <w:t>submission.</w:t>
      </w:r>
      <w:r w:rsidRPr="00845053">
        <w:rPr>
          <w:rFonts w:asciiTheme="minorHAnsi" w:hAnsiTheme="minorHAnsi" w:cs="Arial"/>
          <w:bCs/>
          <w:snapToGrid w:val="0"/>
          <w:lang w:val="en-GB" w:eastAsia="en-US"/>
        </w:rPr>
        <w:t xml:space="preserve"> </w:t>
      </w:r>
    </w:p>
    <w:p w:rsidR="000D4FC9" w:rsidRPr="00845053" w:rsidRDefault="00C340B4" w:rsidP="00845053">
      <w:pPr>
        <w:widowControl w:val="0"/>
        <w:numPr>
          <w:ilvl w:val="1"/>
          <w:numId w:val="5"/>
        </w:numPr>
        <w:spacing w:after="120"/>
        <w:ind w:left="720"/>
        <w:jc w:val="both"/>
        <w:rPr>
          <w:rFonts w:asciiTheme="minorHAnsi" w:hAnsiTheme="minorHAnsi" w:cs="Arial"/>
          <w:bCs/>
          <w:snapToGrid w:val="0"/>
          <w:lang w:val="en-GB" w:eastAsia="en-US"/>
        </w:rPr>
      </w:pPr>
      <w:r w:rsidRPr="00845053">
        <w:rPr>
          <w:rFonts w:asciiTheme="minorHAnsi" w:hAnsiTheme="minorHAnsi" w:cs="Arial"/>
          <w:bCs/>
          <w:snapToGrid w:val="0"/>
          <w:lang w:val="en-GB" w:eastAsia="en-US"/>
        </w:rPr>
        <w:t xml:space="preserve">The PBAC </w:t>
      </w:r>
      <w:r w:rsidR="00865D19" w:rsidRPr="00845053">
        <w:rPr>
          <w:rFonts w:asciiTheme="minorHAnsi" w:hAnsiTheme="minorHAnsi" w:cs="Arial"/>
          <w:bCs/>
          <w:snapToGrid w:val="0"/>
          <w:lang w:val="en-GB" w:eastAsia="en-US"/>
        </w:rPr>
        <w:t>re-iterated its previous concerns that</w:t>
      </w:r>
      <w:r w:rsidRPr="00845053">
        <w:rPr>
          <w:rFonts w:asciiTheme="minorHAnsi" w:hAnsiTheme="minorHAnsi" w:cs="Arial"/>
          <w:bCs/>
          <w:snapToGrid w:val="0"/>
          <w:lang w:val="en-GB" w:eastAsia="en-US"/>
        </w:rPr>
        <w:t xml:space="preserve"> the financial estimates were not informative because, among other matters, patient </w:t>
      </w:r>
      <w:r w:rsidR="00FD721D">
        <w:rPr>
          <w:rFonts w:asciiTheme="minorHAnsi" w:hAnsiTheme="minorHAnsi" w:cs="Arial"/>
          <w:bCs/>
          <w:snapToGrid w:val="0"/>
          <w:lang w:val="en-GB" w:eastAsia="en-US"/>
        </w:rPr>
        <w:t>numbers were underestimated</w:t>
      </w:r>
      <w:r w:rsidRPr="00845053">
        <w:rPr>
          <w:rFonts w:asciiTheme="minorHAnsi" w:hAnsiTheme="minorHAnsi" w:cs="Arial"/>
          <w:bCs/>
          <w:snapToGrid w:val="0"/>
          <w:lang w:val="en-GB" w:eastAsia="en-US"/>
        </w:rPr>
        <w:t xml:space="preserve">. </w:t>
      </w:r>
    </w:p>
    <w:p w:rsidR="00644459" w:rsidRPr="00845053" w:rsidRDefault="00644459" w:rsidP="00644459">
      <w:pPr>
        <w:widowControl w:val="0"/>
        <w:numPr>
          <w:ilvl w:val="1"/>
          <w:numId w:val="5"/>
        </w:numPr>
        <w:spacing w:after="120"/>
        <w:ind w:left="709"/>
        <w:jc w:val="both"/>
        <w:rPr>
          <w:rFonts w:asciiTheme="minorHAnsi" w:hAnsiTheme="minorHAnsi"/>
          <w:bCs/>
          <w:lang w:val="en-GB"/>
        </w:rPr>
      </w:pPr>
      <w:r w:rsidRPr="00845053">
        <w:rPr>
          <w:rFonts w:asciiTheme="minorHAnsi" w:hAnsiTheme="minorHAnsi" w:cs="Arial"/>
          <w:bCs/>
          <w:snapToGrid w:val="0"/>
          <w:lang w:val="en-GB"/>
        </w:rPr>
        <w:t>The PBAC</w:t>
      </w:r>
      <w:r w:rsidRPr="00845053">
        <w:rPr>
          <w:rFonts w:asciiTheme="minorHAnsi" w:hAnsiTheme="minorHAnsi"/>
          <w:bCs/>
          <w:lang w:val="en-GB"/>
        </w:rPr>
        <w:t xml:space="preserve"> re-iterated its previous recommendation that a </w:t>
      </w:r>
      <w:r w:rsidR="00443333" w:rsidRPr="00845053">
        <w:rPr>
          <w:rFonts w:asciiTheme="minorHAnsi" w:hAnsiTheme="minorHAnsi" w:cs="Arial"/>
          <w:bCs/>
          <w:snapToGrid w:val="0"/>
          <w:lang w:val="en-GB"/>
        </w:rPr>
        <w:t xml:space="preserve">Risk Sharing Arrangement </w:t>
      </w:r>
      <w:r w:rsidRPr="00845053">
        <w:rPr>
          <w:rFonts w:asciiTheme="minorHAnsi" w:hAnsiTheme="minorHAnsi"/>
          <w:bCs/>
          <w:lang w:val="en-GB"/>
        </w:rPr>
        <w:t>with a hard cap would be appropriate</w:t>
      </w:r>
      <w:r w:rsidR="00865D19" w:rsidRPr="00845053">
        <w:rPr>
          <w:rFonts w:asciiTheme="minorHAnsi" w:hAnsiTheme="minorHAnsi"/>
          <w:bCs/>
          <w:lang w:val="en-GB"/>
        </w:rPr>
        <w:t xml:space="preserve"> for this setting.</w:t>
      </w:r>
    </w:p>
    <w:p w:rsidR="00644459" w:rsidRPr="00845053" w:rsidRDefault="00644459" w:rsidP="00845053">
      <w:pPr>
        <w:widowControl w:val="0"/>
        <w:numPr>
          <w:ilvl w:val="1"/>
          <w:numId w:val="5"/>
        </w:numPr>
        <w:spacing w:after="120"/>
        <w:ind w:left="720"/>
        <w:jc w:val="both"/>
        <w:rPr>
          <w:rFonts w:asciiTheme="minorHAnsi" w:hAnsiTheme="minorHAnsi" w:cs="Arial"/>
          <w:bCs/>
          <w:snapToGrid w:val="0"/>
          <w:lang w:val="en-GB"/>
        </w:rPr>
      </w:pPr>
      <w:r w:rsidRPr="00845053">
        <w:rPr>
          <w:rFonts w:asciiTheme="minorHAnsi" w:hAnsiTheme="minorHAnsi" w:cs="Arial"/>
          <w:bCs/>
          <w:snapToGrid w:val="0"/>
          <w:lang w:val="en-GB"/>
        </w:rPr>
        <w:t xml:space="preserve">The PBAC also re-iterated its previous recommendation that the Department should negotiate with the Sponsor to establish a Risk Sharing Arrangement for the current listing for active TMA in patients with </w:t>
      </w:r>
      <w:proofErr w:type="spellStart"/>
      <w:r w:rsidRPr="00845053">
        <w:rPr>
          <w:rFonts w:asciiTheme="minorHAnsi" w:hAnsiTheme="minorHAnsi" w:cs="Arial"/>
          <w:bCs/>
          <w:snapToGrid w:val="0"/>
          <w:lang w:val="en-GB"/>
        </w:rPr>
        <w:t>aHUS</w:t>
      </w:r>
      <w:proofErr w:type="spellEnd"/>
      <w:r w:rsidRPr="00845053">
        <w:rPr>
          <w:rFonts w:asciiTheme="minorHAnsi" w:hAnsiTheme="minorHAnsi" w:cs="Arial"/>
          <w:bCs/>
          <w:snapToGrid w:val="0"/>
          <w:lang w:val="en-GB"/>
        </w:rPr>
        <w:t>.</w:t>
      </w:r>
    </w:p>
    <w:p w:rsidR="000D2D39" w:rsidRDefault="00361D45" w:rsidP="00241EFD">
      <w:pPr>
        <w:widowControl w:val="0"/>
        <w:numPr>
          <w:ilvl w:val="1"/>
          <w:numId w:val="5"/>
        </w:numPr>
        <w:spacing w:after="120"/>
        <w:ind w:left="720"/>
        <w:jc w:val="both"/>
        <w:rPr>
          <w:rFonts w:asciiTheme="minorHAnsi" w:hAnsiTheme="minorHAnsi"/>
        </w:rPr>
      </w:pPr>
      <w:r w:rsidRPr="00241EFD">
        <w:rPr>
          <w:rFonts w:asciiTheme="minorHAnsi" w:hAnsiTheme="minorHAnsi" w:cs="Arial"/>
          <w:bCs/>
          <w:snapToGrid w:val="0"/>
          <w:lang w:val="en-GB" w:eastAsia="en-US"/>
        </w:rPr>
        <w:t>The</w:t>
      </w:r>
      <w:r w:rsidR="000D4FC9" w:rsidRPr="00241EFD">
        <w:rPr>
          <w:rFonts w:asciiTheme="minorHAnsi" w:hAnsiTheme="minorHAnsi" w:cs="Arial"/>
          <w:bCs/>
          <w:snapToGrid w:val="0"/>
          <w:lang w:val="en-GB" w:eastAsia="en-US"/>
        </w:rPr>
        <w:t xml:space="preserve"> PBAC recall</w:t>
      </w:r>
      <w:r w:rsidRPr="00241EFD">
        <w:rPr>
          <w:rFonts w:asciiTheme="minorHAnsi" w:hAnsiTheme="minorHAnsi" w:cs="Arial"/>
          <w:bCs/>
          <w:snapToGrid w:val="0"/>
          <w:lang w:val="en-GB" w:eastAsia="en-US"/>
        </w:rPr>
        <w:t>ed</w:t>
      </w:r>
      <w:r w:rsidR="000D4FC9" w:rsidRPr="00241EFD">
        <w:rPr>
          <w:rFonts w:asciiTheme="minorHAnsi" w:hAnsiTheme="minorHAnsi" w:cs="Arial"/>
          <w:bCs/>
          <w:snapToGrid w:val="0"/>
          <w:lang w:val="en-GB" w:eastAsia="en-US"/>
        </w:rPr>
        <w:t xml:space="preserve"> the bro</w:t>
      </w:r>
      <w:r w:rsidRPr="00241EFD">
        <w:rPr>
          <w:rFonts w:asciiTheme="minorHAnsi" w:hAnsiTheme="minorHAnsi" w:cs="Arial"/>
          <w:bCs/>
          <w:snapToGrid w:val="0"/>
          <w:lang w:val="en-GB" w:eastAsia="en-US"/>
        </w:rPr>
        <w:t>a</w:t>
      </w:r>
      <w:r w:rsidR="000D4FC9" w:rsidRPr="00241EFD">
        <w:rPr>
          <w:rFonts w:asciiTheme="minorHAnsi" w:hAnsiTheme="minorHAnsi" w:cs="Arial"/>
          <w:bCs/>
          <w:snapToGrid w:val="0"/>
          <w:lang w:val="en-GB" w:eastAsia="en-US"/>
        </w:rPr>
        <w:t xml:space="preserve">der context for </w:t>
      </w:r>
      <w:r w:rsidR="000D6883" w:rsidRPr="00241EFD">
        <w:rPr>
          <w:rFonts w:asciiTheme="minorHAnsi" w:hAnsiTheme="minorHAnsi" w:cs="Arial"/>
          <w:bCs/>
          <w:snapToGrid w:val="0"/>
          <w:lang w:val="en-GB" w:eastAsia="en-US"/>
        </w:rPr>
        <w:t xml:space="preserve">the current </w:t>
      </w:r>
      <w:r w:rsidR="0058231C" w:rsidRPr="00241EFD">
        <w:rPr>
          <w:rFonts w:asciiTheme="minorHAnsi" w:hAnsiTheme="minorHAnsi" w:cs="Arial"/>
          <w:bCs/>
          <w:snapToGrid w:val="0"/>
          <w:lang w:val="en-GB" w:eastAsia="en-US"/>
        </w:rPr>
        <w:t>PBS-</w:t>
      </w:r>
      <w:r w:rsidR="000D4FC9" w:rsidRPr="00241EFD">
        <w:rPr>
          <w:rFonts w:asciiTheme="minorHAnsi" w:hAnsiTheme="minorHAnsi" w:cs="Arial"/>
          <w:bCs/>
          <w:snapToGrid w:val="0"/>
          <w:lang w:val="en-GB" w:eastAsia="en-US"/>
        </w:rPr>
        <w:t>listing</w:t>
      </w:r>
      <w:r w:rsidRPr="00241EFD">
        <w:rPr>
          <w:rFonts w:asciiTheme="minorHAnsi" w:hAnsiTheme="minorHAnsi" w:cs="Arial"/>
          <w:bCs/>
          <w:snapToGrid w:val="0"/>
          <w:lang w:val="en-GB" w:eastAsia="en-US"/>
        </w:rPr>
        <w:t xml:space="preserve"> of </w:t>
      </w:r>
      <w:proofErr w:type="spellStart"/>
      <w:r w:rsidRPr="00241EFD">
        <w:rPr>
          <w:rFonts w:asciiTheme="minorHAnsi" w:hAnsiTheme="minorHAnsi" w:cs="Arial"/>
          <w:bCs/>
          <w:snapToGrid w:val="0"/>
          <w:lang w:val="en-GB" w:eastAsia="en-US"/>
        </w:rPr>
        <w:t>eculizumab</w:t>
      </w:r>
      <w:proofErr w:type="spellEnd"/>
      <w:r w:rsidRPr="00241EFD">
        <w:rPr>
          <w:rFonts w:asciiTheme="minorHAnsi" w:hAnsiTheme="minorHAnsi" w:cs="Arial"/>
          <w:bCs/>
          <w:snapToGrid w:val="0"/>
          <w:lang w:val="en-GB" w:eastAsia="en-US"/>
        </w:rPr>
        <w:t xml:space="preserve"> for the treatment </w:t>
      </w:r>
      <w:r w:rsidR="00865D19" w:rsidRPr="00241EFD">
        <w:rPr>
          <w:rFonts w:asciiTheme="minorHAnsi" w:hAnsiTheme="minorHAnsi" w:cs="Arial"/>
          <w:bCs/>
          <w:snapToGrid w:val="0"/>
          <w:lang w:val="en-GB" w:eastAsia="en-US"/>
        </w:rPr>
        <w:t xml:space="preserve">of </w:t>
      </w:r>
      <w:r w:rsidR="00644459" w:rsidRPr="00241EFD">
        <w:rPr>
          <w:rFonts w:asciiTheme="minorHAnsi" w:hAnsiTheme="minorHAnsi" w:cs="Arial"/>
          <w:bCs/>
          <w:snapToGrid w:val="0"/>
          <w:lang w:val="en-GB" w:eastAsia="en-US"/>
        </w:rPr>
        <w:t xml:space="preserve">active TMA in patients with </w:t>
      </w:r>
      <w:proofErr w:type="spellStart"/>
      <w:r w:rsidRPr="00241EFD">
        <w:rPr>
          <w:rFonts w:asciiTheme="minorHAnsi" w:hAnsiTheme="minorHAnsi" w:cs="Arial"/>
          <w:bCs/>
          <w:snapToGrid w:val="0"/>
          <w:lang w:val="en-GB" w:eastAsia="en-US"/>
        </w:rPr>
        <w:t>aHUS</w:t>
      </w:r>
      <w:proofErr w:type="spellEnd"/>
      <w:r w:rsidRPr="00241EFD">
        <w:rPr>
          <w:rFonts w:asciiTheme="minorHAnsi" w:hAnsiTheme="minorHAnsi" w:cs="Arial"/>
          <w:bCs/>
          <w:snapToGrid w:val="0"/>
          <w:lang w:val="en-GB" w:eastAsia="en-US"/>
        </w:rPr>
        <w:t xml:space="preserve">. The PBAC recalled that, in December 2015, </w:t>
      </w:r>
      <w:r w:rsidR="000616E2" w:rsidRPr="00241EFD">
        <w:rPr>
          <w:rFonts w:asciiTheme="minorHAnsi" w:hAnsiTheme="minorHAnsi" w:cs="Arial"/>
          <w:bCs/>
          <w:snapToGrid w:val="0"/>
          <w:lang w:val="en-GB" w:eastAsia="en-US"/>
        </w:rPr>
        <w:t>t</w:t>
      </w:r>
      <w:r w:rsidR="000616E2" w:rsidRPr="00241EFD">
        <w:rPr>
          <w:rFonts w:asciiTheme="minorHAnsi" w:hAnsiTheme="minorHAnsi"/>
        </w:rPr>
        <w:t xml:space="preserve">he data available showed that </w:t>
      </w:r>
      <w:proofErr w:type="spellStart"/>
      <w:r w:rsidR="000616E2" w:rsidRPr="00241EFD">
        <w:rPr>
          <w:rFonts w:asciiTheme="minorHAnsi" w:hAnsiTheme="minorHAnsi"/>
        </w:rPr>
        <w:t>eculizumab</w:t>
      </w:r>
      <w:proofErr w:type="spellEnd"/>
      <w:r w:rsidR="000616E2" w:rsidRPr="00241EFD">
        <w:rPr>
          <w:rFonts w:asciiTheme="minorHAnsi" w:hAnsiTheme="minorHAnsi"/>
        </w:rPr>
        <w:t xml:space="preserve"> led to improvements in the first 12 months of therapy but did not show a consistent improvement across all parameters in the 12 to 24 month period. The PBAC further recalled that </w:t>
      </w:r>
      <w:r w:rsidR="005167AB" w:rsidRPr="00241EFD">
        <w:rPr>
          <w:rFonts w:asciiTheme="minorHAnsi" w:hAnsiTheme="minorHAnsi" w:cs="Arial"/>
          <w:bCs/>
          <w:snapToGrid w:val="0"/>
          <w:lang w:val="en-GB" w:eastAsia="en-US"/>
        </w:rPr>
        <w:t>its December 2015</w:t>
      </w:r>
      <w:r w:rsidRPr="00241EFD">
        <w:rPr>
          <w:rFonts w:asciiTheme="minorHAnsi" w:hAnsiTheme="minorHAnsi" w:cs="Arial"/>
          <w:bCs/>
          <w:snapToGrid w:val="0"/>
          <w:lang w:val="en-GB" w:eastAsia="en-US"/>
        </w:rPr>
        <w:t xml:space="preserve"> recommend</w:t>
      </w:r>
      <w:r w:rsidR="005167AB" w:rsidRPr="00241EFD">
        <w:rPr>
          <w:rFonts w:asciiTheme="minorHAnsi" w:hAnsiTheme="minorHAnsi" w:cs="Arial"/>
          <w:bCs/>
          <w:snapToGrid w:val="0"/>
          <w:lang w:val="en-GB" w:eastAsia="en-US"/>
        </w:rPr>
        <w:t xml:space="preserve">ation to </w:t>
      </w:r>
      <w:r w:rsidRPr="00241EFD">
        <w:rPr>
          <w:rFonts w:asciiTheme="minorHAnsi" w:hAnsiTheme="minorHAnsi"/>
        </w:rPr>
        <w:t>increas</w:t>
      </w:r>
      <w:r w:rsidR="005167AB" w:rsidRPr="00241EFD">
        <w:rPr>
          <w:rFonts w:asciiTheme="minorHAnsi" w:hAnsiTheme="minorHAnsi"/>
        </w:rPr>
        <w:t>e</w:t>
      </w:r>
      <w:r w:rsidRPr="00241EFD">
        <w:rPr>
          <w:rFonts w:asciiTheme="minorHAnsi" w:hAnsiTheme="minorHAnsi"/>
        </w:rPr>
        <w:t xml:space="preserve"> the duration of </w:t>
      </w:r>
      <w:proofErr w:type="spellStart"/>
      <w:r w:rsidR="000616E2" w:rsidRPr="00241EFD">
        <w:rPr>
          <w:rFonts w:asciiTheme="minorHAnsi" w:hAnsiTheme="minorHAnsi"/>
        </w:rPr>
        <w:t>eculizumab</w:t>
      </w:r>
      <w:proofErr w:type="spellEnd"/>
      <w:r w:rsidR="000616E2" w:rsidRPr="00241EFD">
        <w:rPr>
          <w:rFonts w:asciiTheme="minorHAnsi" w:hAnsiTheme="minorHAnsi"/>
        </w:rPr>
        <w:t xml:space="preserve"> </w:t>
      </w:r>
      <w:r w:rsidRPr="00241EFD">
        <w:rPr>
          <w:rFonts w:asciiTheme="minorHAnsi" w:hAnsiTheme="minorHAnsi"/>
        </w:rPr>
        <w:t>t</w:t>
      </w:r>
      <w:r w:rsidR="000D6883" w:rsidRPr="00241EFD">
        <w:rPr>
          <w:rFonts w:asciiTheme="minorHAnsi" w:hAnsiTheme="minorHAnsi"/>
        </w:rPr>
        <w:t>herapy</w:t>
      </w:r>
      <w:r w:rsidRPr="00241EFD">
        <w:rPr>
          <w:rFonts w:asciiTheme="minorHAnsi" w:hAnsiTheme="minorHAnsi"/>
        </w:rPr>
        <w:t xml:space="preserve"> from 12 to 24 months was for the purpose of enabling a review of additional evidence </w:t>
      </w:r>
      <w:r w:rsidR="00AB3851">
        <w:rPr>
          <w:rFonts w:asciiTheme="minorHAnsi" w:hAnsiTheme="minorHAnsi"/>
        </w:rPr>
        <w:t>when</w:t>
      </w:r>
      <w:r w:rsidRPr="00241EFD">
        <w:rPr>
          <w:rFonts w:asciiTheme="minorHAnsi" w:hAnsiTheme="minorHAnsi"/>
        </w:rPr>
        <w:t xml:space="preserve"> available. </w:t>
      </w:r>
      <w:r w:rsidR="000616E2" w:rsidRPr="00241EFD">
        <w:rPr>
          <w:rFonts w:asciiTheme="minorHAnsi" w:hAnsiTheme="minorHAnsi"/>
        </w:rPr>
        <w:t xml:space="preserve">The PBAC </w:t>
      </w:r>
      <w:r w:rsidR="00443333" w:rsidRPr="00241EFD">
        <w:rPr>
          <w:rFonts w:asciiTheme="minorHAnsi" w:hAnsiTheme="minorHAnsi"/>
        </w:rPr>
        <w:t>recommended</w:t>
      </w:r>
      <w:r w:rsidR="000616E2" w:rsidRPr="00241EFD">
        <w:rPr>
          <w:rFonts w:asciiTheme="minorHAnsi" w:hAnsiTheme="minorHAnsi"/>
        </w:rPr>
        <w:t xml:space="preserve"> that as additional data </w:t>
      </w:r>
      <w:r w:rsidR="00FF164D">
        <w:rPr>
          <w:rFonts w:asciiTheme="minorHAnsi" w:hAnsiTheme="minorHAnsi"/>
        </w:rPr>
        <w:t>are now</w:t>
      </w:r>
      <w:r w:rsidR="000616E2" w:rsidRPr="00241EFD">
        <w:rPr>
          <w:rFonts w:asciiTheme="minorHAnsi" w:hAnsiTheme="minorHAnsi"/>
        </w:rPr>
        <w:t xml:space="preserve"> available, a review </w:t>
      </w:r>
      <w:r w:rsidR="000D6883" w:rsidRPr="00241EFD">
        <w:rPr>
          <w:rFonts w:asciiTheme="minorHAnsi" w:hAnsiTheme="minorHAnsi"/>
        </w:rPr>
        <w:t>i</w:t>
      </w:r>
      <w:r w:rsidR="005167AB" w:rsidRPr="00241EFD">
        <w:rPr>
          <w:rFonts w:asciiTheme="minorHAnsi" w:hAnsiTheme="minorHAnsi"/>
        </w:rPr>
        <w:t xml:space="preserve">s warranted </w:t>
      </w:r>
      <w:r w:rsidR="00FF164D">
        <w:rPr>
          <w:rFonts w:asciiTheme="minorHAnsi" w:hAnsiTheme="minorHAnsi"/>
        </w:rPr>
        <w:t>into the question of whether there is</w:t>
      </w:r>
      <w:r w:rsidR="00241EFD" w:rsidRPr="00241EFD">
        <w:rPr>
          <w:rFonts w:asciiTheme="minorHAnsi" w:hAnsiTheme="minorHAnsi"/>
        </w:rPr>
        <w:t xml:space="preserve"> incremental effectiven</w:t>
      </w:r>
      <w:r w:rsidR="00241EFD" w:rsidRPr="005D4D8A">
        <w:rPr>
          <w:rFonts w:asciiTheme="minorHAnsi" w:hAnsiTheme="minorHAnsi"/>
        </w:rPr>
        <w:t xml:space="preserve">ess </w:t>
      </w:r>
      <w:r w:rsidR="00241EFD">
        <w:rPr>
          <w:rFonts w:asciiTheme="minorHAnsi" w:hAnsiTheme="minorHAnsi"/>
        </w:rPr>
        <w:t xml:space="preserve">and safety </w:t>
      </w:r>
      <w:r w:rsidR="00FF164D">
        <w:rPr>
          <w:rFonts w:asciiTheme="minorHAnsi" w:hAnsiTheme="minorHAnsi"/>
        </w:rPr>
        <w:t>from</w:t>
      </w:r>
      <w:r w:rsidR="00FF164D" w:rsidRPr="00241EFD">
        <w:rPr>
          <w:rFonts w:asciiTheme="minorHAnsi" w:hAnsiTheme="minorHAnsi"/>
        </w:rPr>
        <w:t xml:space="preserve"> </w:t>
      </w:r>
      <w:r w:rsidR="000616E2" w:rsidRPr="00241EFD">
        <w:rPr>
          <w:rFonts w:asciiTheme="minorHAnsi" w:hAnsiTheme="minorHAnsi"/>
        </w:rPr>
        <w:t>24 month</w:t>
      </w:r>
      <w:r w:rsidR="005167AB" w:rsidRPr="00241EFD">
        <w:rPr>
          <w:rFonts w:asciiTheme="minorHAnsi" w:hAnsiTheme="minorHAnsi"/>
        </w:rPr>
        <w:t xml:space="preserve">s </w:t>
      </w:r>
      <w:r w:rsidR="000B749B">
        <w:rPr>
          <w:rFonts w:asciiTheme="minorHAnsi" w:hAnsiTheme="minorHAnsi"/>
        </w:rPr>
        <w:t xml:space="preserve">or longer </w:t>
      </w:r>
      <w:r w:rsidR="005167AB" w:rsidRPr="00241EFD">
        <w:rPr>
          <w:rFonts w:asciiTheme="minorHAnsi" w:hAnsiTheme="minorHAnsi"/>
        </w:rPr>
        <w:t xml:space="preserve">of </w:t>
      </w:r>
      <w:proofErr w:type="spellStart"/>
      <w:r w:rsidR="005167AB" w:rsidRPr="00241EFD">
        <w:rPr>
          <w:rFonts w:asciiTheme="minorHAnsi" w:hAnsiTheme="minorHAnsi"/>
        </w:rPr>
        <w:t>eculizumab</w:t>
      </w:r>
      <w:proofErr w:type="spellEnd"/>
      <w:r w:rsidR="005167AB" w:rsidRPr="00241EFD">
        <w:rPr>
          <w:rFonts w:asciiTheme="minorHAnsi" w:hAnsiTheme="minorHAnsi"/>
        </w:rPr>
        <w:t xml:space="preserve"> therapy </w:t>
      </w:r>
      <w:r w:rsidR="00FF164D">
        <w:rPr>
          <w:rFonts w:asciiTheme="minorHAnsi" w:hAnsiTheme="minorHAnsi"/>
        </w:rPr>
        <w:t xml:space="preserve">compared </w:t>
      </w:r>
      <w:r w:rsidR="000B749B">
        <w:rPr>
          <w:rFonts w:asciiTheme="minorHAnsi" w:hAnsiTheme="minorHAnsi"/>
        </w:rPr>
        <w:t>with</w:t>
      </w:r>
      <w:r w:rsidR="00FF164D" w:rsidRPr="00241EFD">
        <w:rPr>
          <w:rFonts w:asciiTheme="minorHAnsi" w:hAnsiTheme="minorHAnsi"/>
        </w:rPr>
        <w:t xml:space="preserve"> </w:t>
      </w:r>
      <w:r w:rsidR="005167AB" w:rsidRPr="00241EFD">
        <w:rPr>
          <w:rFonts w:asciiTheme="minorHAnsi" w:hAnsiTheme="minorHAnsi"/>
        </w:rPr>
        <w:t xml:space="preserve">12 months </w:t>
      </w:r>
      <w:r w:rsidR="000B749B">
        <w:rPr>
          <w:rFonts w:asciiTheme="minorHAnsi" w:hAnsiTheme="minorHAnsi"/>
        </w:rPr>
        <w:t xml:space="preserve">or shorter (that is 3 or 6 months) </w:t>
      </w:r>
      <w:r w:rsidR="00FF164D" w:rsidRPr="00241EFD">
        <w:rPr>
          <w:rFonts w:asciiTheme="minorHAnsi" w:hAnsiTheme="minorHAnsi"/>
        </w:rPr>
        <w:t xml:space="preserve">of </w:t>
      </w:r>
      <w:proofErr w:type="spellStart"/>
      <w:r w:rsidR="00FF164D" w:rsidRPr="00241EFD">
        <w:rPr>
          <w:rFonts w:asciiTheme="minorHAnsi" w:hAnsiTheme="minorHAnsi"/>
        </w:rPr>
        <w:t>eculizumab</w:t>
      </w:r>
      <w:proofErr w:type="spellEnd"/>
      <w:r w:rsidR="00FF164D" w:rsidRPr="00241EFD">
        <w:rPr>
          <w:rFonts w:asciiTheme="minorHAnsi" w:hAnsiTheme="minorHAnsi"/>
        </w:rPr>
        <w:t xml:space="preserve"> therapy </w:t>
      </w:r>
      <w:r w:rsidR="005167AB" w:rsidRPr="00241EFD">
        <w:rPr>
          <w:rFonts w:asciiTheme="minorHAnsi" w:hAnsiTheme="minorHAnsi"/>
        </w:rPr>
        <w:t xml:space="preserve">for </w:t>
      </w:r>
      <w:r w:rsidR="000616E2" w:rsidRPr="00241EFD">
        <w:rPr>
          <w:rFonts w:asciiTheme="minorHAnsi" w:hAnsiTheme="minorHAnsi"/>
        </w:rPr>
        <w:t xml:space="preserve">the </w:t>
      </w:r>
      <w:r w:rsidR="00FF164D">
        <w:rPr>
          <w:rFonts w:asciiTheme="minorHAnsi" w:hAnsiTheme="minorHAnsi"/>
        </w:rPr>
        <w:t xml:space="preserve">first </w:t>
      </w:r>
      <w:r w:rsidR="0058231C" w:rsidRPr="005D4D8A">
        <w:rPr>
          <w:rFonts w:asciiTheme="minorHAnsi" w:hAnsiTheme="minorHAnsi"/>
        </w:rPr>
        <w:t xml:space="preserve">treatment of active TMA in patients with </w:t>
      </w:r>
      <w:proofErr w:type="spellStart"/>
      <w:r w:rsidR="0058231C" w:rsidRPr="005D4D8A">
        <w:rPr>
          <w:rFonts w:asciiTheme="minorHAnsi" w:hAnsiTheme="minorHAnsi"/>
        </w:rPr>
        <w:t>aHUS</w:t>
      </w:r>
      <w:proofErr w:type="spellEnd"/>
      <w:r w:rsidR="000616E2" w:rsidRPr="00241EFD">
        <w:rPr>
          <w:rFonts w:asciiTheme="minorHAnsi" w:hAnsiTheme="minorHAnsi"/>
        </w:rPr>
        <w:t xml:space="preserve">. </w:t>
      </w:r>
      <w:r w:rsidR="00241EFD" w:rsidRPr="00241EFD">
        <w:rPr>
          <w:rFonts w:asciiTheme="minorHAnsi" w:hAnsiTheme="minorHAnsi"/>
        </w:rPr>
        <w:t xml:space="preserve">The PBAC requested that </w:t>
      </w:r>
      <w:r w:rsidR="00FF164D">
        <w:rPr>
          <w:rFonts w:asciiTheme="minorHAnsi" w:hAnsiTheme="minorHAnsi"/>
        </w:rPr>
        <w:t xml:space="preserve">an evaluation of the published and local evidence be undertaken, with input from </w:t>
      </w:r>
      <w:r w:rsidR="00241EFD" w:rsidRPr="00241EFD">
        <w:rPr>
          <w:rFonts w:asciiTheme="minorHAnsi" w:hAnsiTheme="minorHAnsi"/>
        </w:rPr>
        <w:t xml:space="preserve">the </w:t>
      </w:r>
      <w:proofErr w:type="spellStart"/>
      <w:r w:rsidR="00241EFD" w:rsidRPr="00241EFD">
        <w:rPr>
          <w:rFonts w:asciiTheme="minorHAnsi" w:hAnsiTheme="minorHAnsi"/>
        </w:rPr>
        <w:t>Eculizumab</w:t>
      </w:r>
      <w:proofErr w:type="spellEnd"/>
      <w:r w:rsidR="00241EFD" w:rsidRPr="00241EFD">
        <w:rPr>
          <w:rFonts w:asciiTheme="minorHAnsi" w:hAnsiTheme="minorHAnsi"/>
        </w:rPr>
        <w:t xml:space="preserve"> Reference Group</w:t>
      </w:r>
      <w:r w:rsidR="00241EFD" w:rsidRPr="005D4D8A">
        <w:rPr>
          <w:rFonts w:asciiTheme="minorHAnsi" w:hAnsiTheme="minorHAnsi"/>
        </w:rPr>
        <w:t>.</w:t>
      </w:r>
    </w:p>
    <w:p w:rsidR="000D2D39" w:rsidRDefault="000D2D39" w:rsidP="000D2D39">
      <w:r>
        <w:br w:type="page"/>
      </w:r>
    </w:p>
    <w:p w:rsidR="00D974FF" w:rsidRPr="00845053" w:rsidRDefault="00842EA6" w:rsidP="00845053">
      <w:pPr>
        <w:widowControl w:val="0"/>
        <w:numPr>
          <w:ilvl w:val="1"/>
          <w:numId w:val="5"/>
        </w:numPr>
        <w:spacing w:after="120"/>
        <w:ind w:left="720"/>
        <w:jc w:val="both"/>
        <w:rPr>
          <w:rFonts w:asciiTheme="minorHAnsi" w:eastAsiaTheme="minorHAnsi" w:hAnsiTheme="minorHAnsi" w:cstheme="minorBidi"/>
          <w:szCs w:val="22"/>
        </w:rPr>
      </w:pPr>
      <w:r w:rsidRPr="00845053">
        <w:rPr>
          <w:rFonts w:asciiTheme="minorHAnsi" w:eastAsiaTheme="minorHAnsi" w:hAnsiTheme="minorHAnsi" w:cstheme="minorBidi"/>
          <w:szCs w:val="22"/>
        </w:rPr>
        <w:lastRenderedPageBreak/>
        <w:t>T</w:t>
      </w:r>
      <w:r w:rsidR="00D974FF" w:rsidRPr="00845053">
        <w:rPr>
          <w:rFonts w:asciiTheme="minorHAnsi" w:eastAsiaTheme="minorHAnsi" w:hAnsiTheme="minorHAnsi" w:cstheme="minorBidi"/>
          <w:szCs w:val="22"/>
        </w:rPr>
        <w:t>he PBAC</w:t>
      </w:r>
      <w:r w:rsidRPr="00845053">
        <w:rPr>
          <w:rFonts w:asciiTheme="minorHAnsi" w:eastAsiaTheme="minorHAnsi" w:hAnsiTheme="minorHAnsi" w:cstheme="minorBidi"/>
          <w:szCs w:val="22"/>
        </w:rPr>
        <w:t xml:space="preserve"> noted that</w:t>
      </w:r>
      <w:r w:rsidR="00C340B4" w:rsidRPr="00845053">
        <w:t xml:space="preserve"> </w:t>
      </w:r>
      <w:r w:rsidR="00C340B4" w:rsidRPr="00845053">
        <w:rPr>
          <w:rFonts w:asciiTheme="minorHAnsi" w:eastAsiaTheme="minorHAnsi" w:hAnsiTheme="minorHAnsi" w:cstheme="minorBidi"/>
          <w:szCs w:val="22"/>
        </w:rPr>
        <w:t xml:space="preserve">this </w:t>
      </w:r>
      <w:r w:rsidR="00675CA4">
        <w:rPr>
          <w:rFonts w:asciiTheme="minorHAnsi" w:eastAsiaTheme="minorHAnsi" w:hAnsiTheme="minorHAnsi" w:cstheme="minorBidi"/>
          <w:szCs w:val="22"/>
        </w:rPr>
        <w:t>re</w:t>
      </w:r>
      <w:r w:rsidR="00C340B4" w:rsidRPr="00845053">
        <w:rPr>
          <w:rFonts w:asciiTheme="minorHAnsi" w:eastAsiaTheme="minorHAnsi" w:hAnsiTheme="minorHAnsi" w:cstheme="minorBidi"/>
          <w:szCs w:val="22"/>
        </w:rPr>
        <w:t xml:space="preserve">submission is not eligible for an </w:t>
      </w:r>
      <w:r w:rsidR="00D974FF" w:rsidRPr="00845053">
        <w:rPr>
          <w:rFonts w:asciiTheme="minorHAnsi" w:eastAsiaTheme="minorHAnsi" w:hAnsiTheme="minorHAnsi" w:cstheme="minorBidi"/>
          <w:szCs w:val="22"/>
        </w:rPr>
        <w:t xml:space="preserve">Independent Review as Independent Review is not available in response to a request to modify or extend an existing listing. </w:t>
      </w:r>
    </w:p>
    <w:p w:rsidR="009F0284" w:rsidRPr="00845053" w:rsidRDefault="009F0284" w:rsidP="009F0284">
      <w:pPr>
        <w:spacing w:before="240" w:after="120"/>
        <w:jc w:val="both"/>
        <w:rPr>
          <w:rFonts w:asciiTheme="minorHAnsi" w:hAnsiTheme="minorHAnsi" w:cs="Arial"/>
          <w:b/>
          <w:bCs/>
          <w:snapToGrid w:val="0"/>
          <w:lang w:val="en-GB" w:eastAsia="en-US"/>
        </w:rPr>
      </w:pPr>
      <w:r w:rsidRPr="00845053">
        <w:rPr>
          <w:rFonts w:asciiTheme="minorHAnsi" w:hAnsiTheme="minorHAnsi" w:cs="Arial"/>
          <w:b/>
          <w:bCs/>
          <w:snapToGrid w:val="0"/>
          <w:lang w:val="en-GB" w:eastAsia="en-US"/>
        </w:rPr>
        <w:t>Outcome:</w:t>
      </w:r>
    </w:p>
    <w:p w:rsidR="00507F44" w:rsidRDefault="009F0284" w:rsidP="00507F44">
      <w:pPr>
        <w:spacing w:after="120"/>
        <w:jc w:val="both"/>
        <w:rPr>
          <w:rFonts w:asciiTheme="minorHAnsi" w:hAnsiTheme="minorHAnsi" w:cs="Arial"/>
          <w:bCs/>
          <w:snapToGrid w:val="0"/>
          <w:lang w:val="en-GB" w:eastAsia="en-US"/>
        </w:rPr>
      </w:pPr>
      <w:r w:rsidRPr="00845053">
        <w:rPr>
          <w:rFonts w:asciiTheme="minorHAnsi" w:hAnsiTheme="minorHAnsi" w:cs="Arial"/>
          <w:bCs/>
          <w:snapToGrid w:val="0"/>
          <w:lang w:val="en-GB" w:eastAsia="en-US"/>
        </w:rPr>
        <w:t>Rejected</w:t>
      </w:r>
    </w:p>
    <w:p w:rsidR="009106F3" w:rsidRDefault="009106F3" w:rsidP="009106F3">
      <w:pPr>
        <w:widowControl w:val="0"/>
        <w:numPr>
          <w:ilvl w:val="0"/>
          <w:numId w:val="5"/>
        </w:numPr>
        <w:spacing w:before="240" w:after="120"/>
        <w:jc w:val="both"/>
        <w:outlineLvl w:val="0"/>
        <w:rPr>
          <w:rFonts w:asciiTheme="minorHAnsi" w:hAnsiTheme="minorHAnsi" w:cs="Arial"/>
          <w:b/>
          <w:bCs/>
          <w:snapToGrid w:val="0"/>
          <w:sz w:val="32"/>
        </w:rPr>
      </w:pPr>
      <w:r w:rsidRPr="00A56D22">
        <w:rPr>
          <w:rFonts w:asciiTheme="minorHAnsi" w:hAnsiTheme="minorHAnsi" w:cs="Arial"/>
          <w:b/>
          <w:bCs/>
          <w:snapToGrid w:val="0"/>
          <w:sz w:val="32"/>
        </w:rPr>
        <w:t>Context for Decision</w:t>
      </w:r>
    </w:p>
    <w:p w:rsidR="009106F3" w:rsidRDefault="009106F3" w:rsidP="003708B4">
      <w:pPr>
        <w:widowControl w:val="0"/>
        <w:spacing w:after="120"/>
        <w:ind w:left="720"/>
        <w:jc w:val="both"/>
        <w:rPr>
          <w:rFonts w:asciiTheme="minorHAnsi" w:hAnsiTheme="minorHAnsi" w:cs="Arial"/>
          <w:b/>
          <w:bCs/>
          <w:snapToGrid w:val="0"/>
          <w:sz w:val="32"/>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106F3" w:rsidRPr="00A56D22" w:rsidRDefault="009106F3" w:rsidP="009106F3">
      <w:pPr>
        <w:widowControl w:val="0"/>
        <w:numPr>
          <w:ilvl w:val="0"/>
          <w:numId w:val="5"/>
        </w:numPr>
        <w:spacing w:before="240" w:after="120"/>
        <w:jc w:val="both"/>
        <w:outlineLvl w:val="0"/>
        <w:rPr>
          <w:rFonts w:asciiTheme="minorHAnsi" w:hAnsiTheme="minorHAnsi" w:cs="Arial"/>
          <w:b/>
          <w:bCs/>
          <w:snapToGrid w:val="0"/>
          <w:sz w:val="32"/>
        </w:rPr>
      </w:pPr>
      <w:r w:rsidRPr="0065359A">
        <w:rPr>
          <w:rFonts w:asciiTheme="minorHAnsi" w:hAnsiTheme="minorHAnsi" w:cs="Arial"/>
          <w:b/>
          <w:bCs/>
          <w:snapToGrid w:val="0"/>
          <w:sz w:val="32"/>
        </w:rPr>
        <w:t>Sponsor’s Comment</w:t>
      </w:r>
    </w:p>
    <w:p w:rsidR="009106F3" w:rsidRPr="00507F44" w:rsidRDefault="00CF4256" w:rsidP="00CF4256">
      <w:pPr>
        <w:spacing w:after="120"/>
        <w:ind w:left="709"/>
        <w:jc w:val="both"/>
        <w:rPr>
          <w:rFonts w:asciiTheme="minorHAnsi" w:hAnsiTheme="minorHAnsi" w:cs="Arial"/>
          <w:bCs/>
          <w:snapToGrid w:val="0"/>
          <w:lang w:val="en-GB" w:eastAsia="en-US"/>
        </w:rPr>
      </w:pPr>
      <w:r w:rsidRPr="00CF4256">
        <w:rPr>
          <w:rFonts w:asciiTheme="minorHAnsi" w:hAnsiTheme="minorHAnsi" w:cs="Arial"/>
          <w:bCs/>
          <w:lang w:val="en-GB"/>
        </w:rPr>
        <w:t xml:space="preserve">Alexion is disappointed that the PBAC has not modified the previous recommendation to treat patients with </w:t>
      </w:r>
      <w:proofErr w:type="spellStart"/>
      <w:r w:rsidRPr="00CF4256">
        <w:rPr>
          <w:rFonts w:asciiTheme="minorHAnsi" w:hAnsiTheme="minorHAnsi" w:cs="Arial"/>
          <w:bCs/>
          <w:lang w:val="en-GB"/>
        </w:rPr>
        <w:t>aHUS</w:t>
      </w:r>
      <w:proofErr w:type="spellEnd"/>
      <w:r w:rsidRPr="00CF4256">
        <w:rPr>
          <w:rFonts w:asciiTheme="minorHAnsi" w:hAnsiTheme="minorHAnsi" w:cs="Arial"/>
          <w:bCs/>
          <w:lang w:val="en-GB"/>
        </w:rPr>
        <w:t xml:space="preserve"> undergoing renal transplant for longer than 3 months with </w:t>
      </w:r>
      <w:proofErr w:type="spellStart"/>
      <w:r w:rsidRPr="00CF4256">
        <w:rPr>
          <w:rFonts w:asciiTheme="minorHAnsi" w:hAnsiTheme="minorHAnsi" w:cs="Arial"/>
          <w:bCs/>
          <w:lang w:val="en-GB"/>
        </w:rPr>
        <w:t>Soliris</w:t>
      </w:r>
      <w:proofErr w:type="spellEnd"/>
      <w:r w:rsidRPr="00CF4256">
        <w:rPr>
          <w:rFonts w:asciiTheme="minorHAnsi" w:hAnsiTheme="minorHAnsi" w:cs="Arial"/>
          <w:bCs/>
          <w:lang w:val="en-GB"/>
        </w:rPr>
        <w:t xml:space="preserve"> (</w:t>
      </w:r>
      <w:proofErr w:type="spellStart"/>
      <w:r w:rsidRPr="00CF4256">
        <w:rPr>
          <w:rFonts w:asciiTheme="minorHAnsi" w:hAnsiTheme="minorHAnsi" w:cs="Arial"/>
          <w:bCs/>
          <w:lang w:val="en-GB"/>
        </w:rPr>
        <w:t>eculizumab</w:t>
      </w:r>
      <w:proofErr w:type="spellEnd"/>
      <w:r w:rsidRPr="00CF4256">
        <w:rPr>
          <w:rFonts w:asciiTheme="minorHAnsi" w:hAnsiTheme="minorHAnsi" w:cs="Arial"/>
          <w:bCs/>
          <w:lang w:val="en-GB"/>
        </w:rPr>
        <w:t xml:space="preserve">).  Alexion is, however, committed to ensuring that patients with </w:t>
      </w:r>
      <w:proofErr w:type="spellStart"/>
      <w:proofErr w:type="gramStart"/>
      <w:r w:rsidRPr="00CF4256">
        <w:rPr>
          <w:rFonts w:asciiTheme="minorHAnsi" w:hAnsiTheme="minorHAnsi" w:cs="Arial"/>
          <w:bCs/>
          <w:lang w:val="en-GB"/>
        </w:rPr>
        <w:t>aHUS</w:t>
      </w:r>
      <w:proofErr w:type="spellEnd"/>
      <w:proofErr w:type="gramEnd"/>
      <w:r w:rsidRPr="00CF4256">
        <w:rPr>
          <w:rFonts w:asciiTheme="minorHAnsi" w:hAnsiTheme="minorHAnsi" w:cs="Arial"/>
          <w:bCs/>
          <w:lang w:val="en-GB"/>
        </w:rPr>
        <w:t xml:space="preserve"> who require </w:t>
      </w:r>
      <w:proofErr w:type="spellStart"/>
      <w:r w:rsidRPr="00CF4256">
        <w:rPr>
          <w:rFonts w:asciiTheme="minorHAnsi" w:hAnsiTheme="minorHAnsi" w:cs="Arial"/>
          <w:bCs/>
          <w:lang w:val="en-GB"/>
        </w:rPr>
        <w:t>Soliris</w:t>
      </w:r>
      <w:proofErr w:type="spellEnd"/>
      <w:r w:rsidRPr="00CF4256">
        <w:rPr>
          <w:rFonts w:asciiTheme="minorHAnsi" w:hAnsiTheme="minorHAnsi" w:cs="Arial"/>
          <w:bCs/>
          <w:lang w:val="en-GB"/>
        </w:rPr>
        <w:t xml:space="preserve"> to facilitate a renal transplant, now receive rapid access to therapy, and have the ability to access therapy again should TMA represent in the graft.  As such Alexion look forward to working with the Department of Health and Government to ensure an expedited review of the risk sharing agreements proposed by Alexion and to ensure urgent funded access to </w:t>
      </w:r>
      <w:proofErr w:type="spellStart"/>
      <w:r w:rsidRPr="00CF4256">
        <w:rPr>
          <w:rFonts w:asciiTheme="minorHAnsi" w:hAnsiTheme="minorHAnsi" w:cs="Arial"/>
          <w:bCs/>
          <w:lang w:val="en-GB"/>
        </w:rPr>
        <w:t>Soliris</w:t>
      </w:r>
      <w:proofErr w:type="spellEnd"/>
      <w:r w:rsidRPr="00CF4256">
        <w:rPr>
          <w:rFonts w:asciiTheme="minorHAnsi" w:hAnsiTheme="minorHAnsi" w:cs="Arial"/>
          <w:bCs/>
          <w:lang w:val="en-GB"/>
        </w:rPr>
        <w:t xml:space="preserve"> for patients with </w:t>
      </w:r>
      <w:proofErr w:type="spellStart"/>
      <w:r w:rsidRPr="00CF4256">
        <w:rPr>
          <w:rFonts w:asciiTheme="minorHAnsi" w:hAnsiTheme="minorHAnsi" w:cs="Arial"/>
          <w:bCs/>
          <w:lang w:val="en-GB"/>
        </w:rPr>
        <w:t>aHUS</w:t>
      </w:r>
      <w:proofErr w:type="spellEnd"/>
      <w:r w:rsidRPr="00CF4256">
        <w:rPr>
          <w:rFonts w:asciiTheme="minorHAnsi" w:hAnsiTheme="minorHAnsi" w:cs="Arial"/>
          <w:bCs/>
          <w:lang w:val="en-GB"/>
        </w:rPr>
        <w:t xml:space="preserve"> to facilitate renal transplantation.  </w:t>
      </w:r>
    </w:p>
    <w:sectPr w:rsidR="009106F3" w:rsidRPr="00507F44"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575CB7" w15:done="0"/>
  <w15:commentEx w15:paraId="1A37ECC7" w15:done="0"/>
  <w15:commentEx w15:paraId="13A0CEAC" w15:done="0"/>
  <w15:commentEx w15:paraId="3CE6446E" w15:done="0"/>
  <w15:commentEx w15:paraId="56CF7582" w15:done="0"/>
  <w15:commentEx w15:paraId="0A4299F7" w15:done="0"/>
  <w15:commentEx w15:paraId="593C15BD" w15:done="0"/>
  <w15:commentEx w15:paraId="00DD5C99" w15:done="0"/>
  <w15:commentEx w15:paraId="6E835A7E" w15:done="0"/>
  <w15:commentEx w15:paraId="4D9CA9F9" w15:paraIdParent="6E835A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575CB7" w16cid:durableId="1E74BD7A"/>
  <w16cid:commentId w16cid:paraId="1A37ECC7" w16cid:durableId="1E74BD7B"/>
  <w16cid:commentId w16cid:paraId="13A0CEAC" w16cid:durableId="1E74C04C"/>
  <w16cid:commentId w16cid:paraId="3CE6446E" w16cid:durableId="1E74C0B7"/>
  <w16cid:commentId w16cid:paraId="56CF7582" w16cid:durableId="1E74C0DC"/>
  <w16cid:commentId w16cid:paraId="0A4299F7" w16cid:durableId="1E74C0FE"/>
  <w16cid:commentId w16cid:paraId="593C15BD" w16cid:durableId="1E74C753"/>
  <w16cid:commentId w16cid:paraId="00DD5C99" w16cid:durableId="1E74C1DD"/>
  <w16cid:commentId w16cid:paraId="6E835A7E" w16cid:durableId="1E74BD7C"/>
  <w16cid:commentId w16cid:paraId="4D9CA9F9" w16cid:durableId="1E74C7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DDF" w:rsidRDefault="00D14DDF">
      <w:r>
        <w:separator/>
      </w:r>
    </w:p>
    <w:p w:rsidR="00D14DDF" w:rsidRDefault="00D14DDF"/>
  </w:endnote>
  <w:endnote w:type="continuationSeparator" w:id="0">
    <w:p w:rsidR="00D14DDF" w:rsidRDefault="00D14DDF">
      <w:r>
        <w:continuationSeparator/>
      </w:r>
    </w:p>
    <w:p w:rsidR="00D14DDF" w:rsidRDefault="00D14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C7D35" w:rsidTr="005A3173">
      <w:trPr>
        <w:trHeight w:val="151"/>
      </w:trPr>
      <w:tc>
        <w:tcPr>
          <w:tcW w:w="2250" w:type="pct"/>
          <w:tcBorders>
            <w:top w:val="nil"/>
            <w:left w:val="nil"/>
            <w:bottom w:val="single" w:sz="4" w:space="0" w:color="4F81BD"/>
            <w:right w:val="nil"/>
          </w:tcBorders>
        </w:tcPr>
        <w:p w:rsidR="002C7D35" w:rsidRPr="005A3173" w:rsidRDefault="002C7D3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C7D35" w:rsidRPr="005A3173" w:rsidRDefault="002C7D3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C7D35" w:rsidRPr="005A3173" w:rsidRDefault="002C7D35" w:rsidP="005A3173">
          <w:pPr>
            <w:pStyle w:val="Header"/>
            <w:spacing w:line="276" w:lineRule="auto"/>
            <w:rPr>
              <w:rFonts w:ascii="Calibri" w:eastAsia="MS Gothic" w:hAnsi="Calibri"/>
              <w:b/>
              <w:bCs/>
              <w:color w:val="4F81BD"/>
            </w:rPr>
          </w:pPr>
        </w:p>
      </w:tc>
    </w:tr>
    <w:tr w:rsidR="002C7D35" w:rsidTr="005A3173">
      <w:trPr>
        <w:trHeight w:val="150"/>
      </w:trPr>
      <w:tc>
        <w:tcPr>
          <w:tcW w:w="2250" w:type="pct"/>
          <w:tcBorders>
            <w:top w:val="single" w:sz="4" w:space="0" w:color="4F81BD"/>
            <w:left w:val="nil"/>
            <w:bottom w:val="nil"/>
            <w:right w:val="nil"/>
          </w:tcBorders>
        </w:tcPr>
        <w:p w:rsidR="002C7D35" w:rsidRPr="005A3173" w:rsidRDefault="002C7D35" w:rsidP="005A3173">
          <w:pPr>
            <w:pStyle w:val="Header"/>
            <w:spacing w:line="276" w:lineRule="auto"/>
            <w:rPr>
              <w:rFonts w:ascii="Calibri" w:eastAsia="MS Gothic" w:hAnsi="Calibri"/>
              <w:b/>
              <w:bCs/>
              <w:color w:val="4F81BD"/>
            </w:rPr>
          </w:pPr>
        </w:p>
      </w:tc>
      <w:tc>
        <w:tcPr>
          <w:tcW w:w="0" w:type="auto"/>
          <w:vMerge/>
          <w:vAlign w:val="center"/>
          <w:hideMark/>
        </w:tcPr>
        <w:p w:rsidR="002C7D35" w:rsidRPr="005A3173" w:rsidRDefault="002C7D35" w:rsidP="005A3173">
          <w:pPr>
            <w:rPr>
              <w:rFonts w:ascii="Calibri" w:hAnsi="Calibri"/>
              <w:color w:val="365F91"/>
              <w:sz w:val="22"/>
              <w:szCs w:val="22"/>
            </w:rPr>
          </w:pPr>
        </w:p>
      </w:tc>
      <w:tc>
        <w:tcPr>
          <w:tcW w:w="2250" w:type="pct"/>
          <w:tcBorders>
            <w:top w:val="single" w:sz="4" w:space="0" w:color="4F81BD"/>
            <w:left w:val="nil"/>
            <w:bottom w:val="nil"/>
            <w:right w:val="nil"/>
          </w:tcBorders>
        </w:tcPr>
        <w:p w:rsidR="002C7D35" w:rsidRPr="005A3173" w:rsidRDefault="002C7D35" w:rsidP="005A3173">
          <w:pPr>
            <w:pStyle w:val="Header"/>
            <w:spacing w:line="276" w:lineRule="auto"/>
            <w:rPr>
              <w:rFonts w:ascii="Calibri" w:eastAsia="MS Gothic" w:hAnsi="Calibri"/>
              <w:b/>
              <w:bCs/>
              <w:color w:val="4F81BD"/>
            </w:rPr>
          </w:pPr>
        </w:p>
      </w:tc>
    </w:tr>
  </w:tbl>
  <w:p w:rsidR="002C7D35" w:rsidRDefault="002C7D3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7D35" w:rsidRDefault="002C7D35">
    <w:pPr>
      <w:pStyle w:val="Footer"/>
    </w:pPr>
  </w:p>
  <w:p w:rsidR="002C7D35" w:rsidRDefault="002C7D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D35" w:rsidRDefault="002C7D35">
    <w:pPr>
      <w:pStyle w:val="Footer"/>
      <w:jc w:val="center"/>
      <w:rPr>
        <w:rFonts w:asciiTheme="minorHAnsi" w:hAnsiTheme="minorHAnsi"/>
        <w:b/>
      </w:rPr>
    </w:pPr>
  </w:p>
  <w:p w:rsidR="002C7D35" w:rsidRPr="007C1A6B" w:rsidRDefault="000D2D39">
    <w:pPr>
      <w:pStyle w:val="Footer"/>
      <w:jc w:val="center"/>
      <w:rPr>
        <w:rFonts w:asciiTheme="minorHAnsi" w:hAnsiTheme="minorHAnsi"/>
        <w:b/>
      </w:rPr>
    </w:pPr>
    <w:sdt>
      <w:sdtPr>
        <w:rPr>
          <w:rFonts w:asciiTheme="minorHAnsi" w:hAnsiTheme="minorHAnsi"/>
          <w:b/>
        </w:rPr>
        <w:id w:val="1046333230"/>
        <w:docPartObj>
          <w:docPartGallery w:val="Page Numbers (Bottom of Page)"/>
          <w:docPartUnique/>
        </w:docPartObj>
      </w:sdtPr>
      <w:sdtEndPr>
        <w:rPr>
          <w:noProof/>
        </w:rPr>
      </w:sdtEndPr>
      <w:sdtContent>
        <w:r w:rsidR="002C7D35" w:rsidRPr="007C1A6B">
          <w:rPr>
            <w:rFonts w:asciiTheme="minorHAnsi" w:hAnsiTheme="minorHAnsi"/>
            <w:b/>
          </w:rPr>
          <w:fldChar w:fldCharType="begin"/>
        </w:r>
        <w:r w:rsidR="002C7D35" w:rsidRPr="007C1A6B">
          <w:rPr>
            <w:rFonts w:asciiTheme="minorHAnsi" w:hAnsiTheme="minorHAnsi"/>
            <w:b/>
          </w:rPr>
          <w:instrText xml:space="preserve"> PAGE   \* MERGEFORMAT </w:instrText>
        </w:r>
        <w:r w:rsidR="002C7D35" w:rsidRPr="007C1A6B">
          <w:rPr>
            <w:rFonts w:asciiTheme="minorHAnsi" w:hAnsiTheme="minorHAnsi"/>
            <w:b/>
          </w:rPr>
          <w:fldChar w:fldCharType="separate"/>
        </w:r>
        <w:r>
          <w:rPr>
            <w:rFonts w:asciiTheme="minorHAnsi" w:hAnsiTheme="minorHAnsi"/>
            <w:b/>
            <w:noProof/>
          </w:rPr>
          <w:t>1</w:t>
        </w:r>
        <w:r w:rsidR="002C7D35" w:rsidRPr="007C1A6B">
          <w:rPr>
            <w:rFonts w:asciiTheme="minorHAnsi" w:hAnsiTheme="minorHAnsi"/>
            <w:b/>
            <w:noProof/>
          </w:rPr>
          <w:fldChar w:fldCharType="end"/>
        </w:r>
      </w:sdtContent>
    </w:sdt>
  </w:p>
  <w:p w:rsidR="002C7D35" w:rsidRPr="007C1A6B" w:rsidRDefault="002C7D35" w:rsidP="007C1A6B">
    <w:pPr>
      <w:pStyle w:val="Footer"/>
      <w:rPr>
        <w:rFonts w:asciiTheme="minorHAnsi" w:hAnsiTheme="minorHAnsi"/>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C7D35" w:rsidTr="005A3173">
      <w:trPr>
        <w:trHeight w:val="151"/>
      </w:trPr>
      <w:tc>
        <w:tcPr>
          <w:tcW w:w="2250" w:type="pct"/>
          <w:tcBorders>
            <w:top w:val="nil"/>
            <w:left w:val="nil"/>
            <w:bottom w:val="single" w:sz="4" w:space="0" w:color="4F81BD"/>
            <w:right w:val="nil"/>
          </w:tcBorders>
        </w:tcPr>
        <w:p w:rsidR="002C7D35" w:rsidRPr="005A3173" w:rsidRDefault="002C7D3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C7D35" w:rsidRPr="005A3173" w:rsidRDefault="002C7D3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C7D35" w:rsidRPr="005A3173" w:rsidRDefault="002C7D35" w:rsidP="005A3173">
          <w:pPr>
            <w:pStyle w:val="Header"/>
            <w:spacing w:line="276" w:lineRule="auto"/>
            <w:rPr>
              <w:rFonts w:ascii="Calibri" w:eastAsia="MS Gothic" w:hAnsi="Calibri"/>
              <w:b/>
              <w:bCs/>
              <w:color w:val="4F81BD"/>
            </w:rPr>
          </w:pPr>
        </w:p>
      </w:tc>
    </w:tr>
    <w:tr w:rsidR="002C7D35" w:rsidTr="005A3173">
      <w:trPr>
        <w:trHeight w:val="150"/>
      </w:trPr>
      <w:tc>
        <w:tcPr>
          <w:tcW w:w="2250" w:type="pct"/>
          <w:tcBorders>
            <w:top w:val="single" w:sz="4" w:space="0" w:color="4F81BD"/>
            <w:left w:val="nil"/>
            <w:bottom w:val="nil"/>
            <w:right w:val="nil"/>
          </w:tcBorders>
        </w:tcPr>
        <w:p w:rsidR="002C7D35" w:rsidRPr="005A3173" w:rsidRDefault="002C7D35" w:rsidP="005A3173">
          <w:pPr>
            <w:pStyle w:val="Header"/>
            <w:spacing w:line="276" w:lineRule="auto"/>
            <w:rPr>
              <w:rFonts w:ascii="Calibri" w:eastAsia="MS Gothic" w:hAnsi="Calibri"/>
              <w:b/>
              <w:bCs/>
              <w:color w:val="4F81BD"/>
            </w:rPr>
          </w:pPr>
        </w:p>
      </w:tc>
      <w:tc>
        <w:tcPr>
          <w:tcW w:w="0" w:type="auto"/>
          <w:vMerge/>
          <w:vAlign w:val="center"/>
          <w:hideMark/>
        </w:tcPr>
        <w:p w:rsidR="002C7D35" w:rsidRPr="005A3173" w:rsidRDefault="002C7D35" w:rsidP="005A3173">
          <w:pPr>
            <w:rPr>
              <w:rFonts w:ascii="Calibri" w:hAnsi="Calibri"/>
              <w:color w:val="365F91"/>
              <w:sz w:val="22"/>
              <w:szCs w:val="22"/>
            </w:rPr>
          </w:pPr>
        </w:p>
      </w:tc>
      <w:tc>
        <w:tcPr>
          <w:tcW w:w="2250" w:type="pct"/>
          <w:tcBorders>
            <w:top w:val="single" w:sz="4" w:space="0" w:color="4F81BD"/>
            <w:left w:val="nil"/>
            <w:bottom w:val="nil"/>
            <w:right w:val="nil"/>
          </w:tcBorders>
        </w:tcPr>
        <w:p w:rsidR="002C7D35" w:rsidRPr="005A3173" w:rsidRDefault="002C7D3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C7D35" w:rsidTr="005A3173">
      <w:trPr>
        <w:trHeight w:val="151"/>
      </w:trPr>
      <w:tc>
        <w:tcPr>
          <w:tcW w:w="2250" w:type="pct"/>
          <w:tcBorders>
            <w:top w:val="nil"/>
            <w:left w:val="nil"/>
            <w:bottom w:val="single" w:sz="4" w:space="0" w:color="4F81BD"/>
            <w:right w:val="nil"/>
          </w:tcBorders>
        </w:tcPr>
        <w:p w:rsidR="002C7D35" w:rsidRPr="005A3173" w:rsidRDefault="002C7D3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C7D35" w:rsidRPr="005A3173" w:rsidRDefault="002C7D3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C7D35" w:rsidRPr="005A3173" w:rsidRDefault="002C7D35" w:rsidP="005A3173">
          <w:pPr>
            <w:pStyle w:val="Header"/>
            <w:spacing w:line="276" w:lineRule="auto"/>
            <w:rPr>
              <w:rFonts w:ascii="Calibri" w:eastAsia="MS Gothic" w:hAnsi="Calibri"/>
              <w:b/>
              <w:bCs/>
              <w:color w:val="4F81BD"/>
            </w:rPr>
          </w:pPr>
        </w:p>
      </w:tc>
    </w:tr>
    <w:tr w:rsidR="002C7D35" w:rsidTr="005A3173">
      <w:trPr>
        <w:trHeight w:val="150"/>
      </w:trPr>
      <w:tc>
        <w:tcPr>
          <w:tcW w:w="2250" w:type="pct"/>
          <w:tcBorders>
            <w:top w:val="single" w:sz="4" w:space="0" w:color="4F81BD"/>
            <w:left w:val="nil"/>
            <w:bottom w:val="nil"/>
            <w:right w:val="nil"/>
          </w:tcBorders>
        </w:tcPr>
        <w:p w:rsidR="002C7D35" w:rsidRPr="005A3173" w:rsidRDefault="002C7D35" w:rsidP="005A3173">
          <w:pPr>
            <w:pStyle w:val="Header"/>
            <w:spacing w:line="276" w:lineRule="auto"/>
            <w:rPr>
              <w:rFonts w:ascii="Calibri" w:eastAsia="MS Gothic" w:hAnsi="Calibri"/>
              <w:b/>
              <w:bCs/>
              <w:color w:val="4F81BD"/>
            </w:rPr>
          </w:pPr>
        </w:p>
      </w:tc>
      <w:tc>
        <w:tcPr>
          <w:tcW w:w="0" w:type="auto"/>
          <w:vMerge/>
          <w:vAlign w:val="center"/>
          <w:hideMark/>
        </w:tcPr>
        <w:p w:rsidR="002C7D35" w:rsidRPr="005A3173" w:rsidRDefault="002C7D35" w:rsidP="005A3173">
          <w:pPr>
            <w:rPr>
              <w:rFonts w:ascii="Calibri" w:hAnsi="Calibri"/>
              <w:color w:val="365F91"/>
              <w:sz w:val="22"/>
              <w:szCs w:val="22"/>
            </w:rPr>
          </w:pPr>
        </w:p>
      </w:tc>
      <w:tc>
        <w:tcPr>
          <w:tcW w:w="2250" w:type="pct"/>
          <w:tcBorders>
            <w:top w:val="single" w:sz="4" w:space="0" w:color="4F81BD"/>
            <w:left w:val="nil"/>
            <w:bottom w:val="nil"/>
            <w:right w:val="nil"/>
          </w:tcBorders>
        </w:tcPr>
        <w:p w:rsidR="002C7D35" w:rsidRPr="005A3173" w:rsidRDefault="002C7D35" w:rsidP="005A3173">
          <w:pPr>
            <w:pStyle w:val="Header"/>
            <w:spacing w:line="276" w:lineRule="auto"/>
            <w:rPr>
              <w:rFonts w:ascii="Calibri" w:eastAsia="MS Gothic" w:hAnsi="Calibri"/>
              <w:b/>
              <w:bCs/>
              <w:color w:val="4F81BD"/>
            </w:rPr>
          </w:pPr>
        </w:p>
      </w:tc>
    </w:tr>
  </w:tbl>
  <w:p w:rsidR="002C7D35" w:rsidRPr="007C0F57" w:rsidRDefault="002C7D3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C7D35" w:rsidRPr="007C0F57" w:rsidRDefault="002C7D35" w:rsidP="007C0F57">
    <w:pPr>
      <w:pStyle w:val="Footer"/>
      <w:jc w:val="center"/>
      <w:rPr>
        <w:b/>
        <w:i/>
        <w:sz w:val="20"/>
        <w:szCs w:val="20"/>
      </w:rPr>
    </w:pPr>
    <w:r w:rsidRPr="007C0F57">
      <w:rPr>
        <w:b/>
        <w:i/>
        <w:sz w:val="20"/>
        <w:szCs w:val="20"/>
      </w:rPr>
      <w:t>Commercial-in-Confidence</w:t>
    </w:r>
  </w:p>
  <w:p w:rsidR="002C7D35" w:rsidRDefault="002C7D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DDF" w:rsidRDefault="00D14DDF">
      <w:r>
        <w:separator/>
      </w:r>
    </w:p>
    <w:p w:rsidR="00D14DDF" w:rsidRDefault="00D14DDF"/>
  </w:footnote>
  <w:footnote w:type="continuationSeparator" w:id="0">
    <w:p w:rsidR="00D14DDF" w:rsidRDefault="00D14DDF">
      <w:r>
        <w:continuationSeparator/>
      </w:r>
    </w:p>
    <w:p w:rsidR="00D14DDF" w:rsidRDefault="00D14DDF"/>
  </w:footnote>
  <w:footnote w:id="1">
    <w:p w:rsidR="002C7D35" w:rsidRPr="00E013EC" w:rsidRDefault="002C7D35" w:rsidP="00A35B99">
      <w:pPr>
        <w:pStyle w:val="FootnoteText"/>
        <w:rPr>
          <w:rFonts w:ascii="Arial Narrow" w:hAnsi="Arial Narrow"/>
        </w:rPr>
      </w:pPr>
      <w:r w:rsidRPr="00E013EC">
        <w:rPr>
          <w:rStyle w:val="FootnoteReference"/>
          <w:rFonts w:ascii="Arial Narrow" w:hAnsi="Arial Narrow"/>
        </w:rPr>
        <w:footnoteRef/>
      </w:r>
      <w:r w:rsidRPr="00E013EC">
        <w:rPr>
          <w:rFonts w:ascii="Arial Narrow" w:hAnsi="Arial Narrow"/>
        </w:rPr>
        <w:t xml:space="preserve"> </w:t>
      </w:r>
      <w:proofErr w:type="spellStart"/>
      <w:r w:rsidRPr="00E013EC">
        <w:rPr>
          <w:rFonts w:ascii="Arial Narrow" w:hAnsi="Arial Narrow"/>
        </w:rPr>
        <w:t>Duineveld</w:t>
      </w:r>
      <w:proofErr w:type="spellEnd"/>
      <w:r w:rsidRPr="00E013EC">
        <w:rPr>
          <w:rFonts w:ascii="Arial Narrow" w:hAnsi="Arial Narrow"/>
        </w:rPr>
        <w:t xml:space="preserve">, Caroline et al. Living Donor Kidney Transplantation in Atypical </w:t>
      </w:r>
      <w:proofErr w:type="spellStart"/>
      <w:r w:rsidRPr="00E013EC">
        <w:rPr>
          <w:rFonts w:ascii="Arial Narrow" w:hAnsi="Arial Narrow"/>
        </w:rPr>
        <w:t>Hemolytic</w:t>
      </w:r>
      <w:proofErr w:type="spellEnd"/>
      <w:r w:rsidRPr="00E013EC">
        <w:rPr>
          <w:rFonts w:ascii="Arial Narrow" w:hAnsi="Arial Narrow"/>
        </w:rPr>
        <w:t xml:space="preserve"> Uremic Syndrome: A Case </w:t>
      </w:r>
      <w:proofErr w:type="gramStart"/>
      <w:r w:rsidRPr="00E013EC">
        <w:rPr>
          <w:rFonts w:ascii="Arial Narrow" w:hAnsi="Arial Narrow"/>
        </w:rPr>
        <w:t>Series .</w:t>
      </w:r>
      <w:proofErr w:type="gramEnd"/>
      <w:r w:rsidRPr="00E013EC">
        <w:rPr>
          <w:rFonts w:ascii="Arial Narrow" w:hAnsi="Arial Narrow"/>
        </w:rPr>
        <w:t xml:space="preserve"> American Journal of Kidney Diseases, Volume 70, Issue </w:t>
      </w:r>
      <w:proofErr w:type="gramStart"/>
      <w:r w:rsidRPr="00E013EC">
        <w:rPr>
          <w:rFonts w:ascii="Arial Narrow" w:hAnsi="Arial Narrow"/>
        </w:rPr>
        <w:t>6 ,</w:t>
      </w:r>
      <w:proofErr w:type="gramEnd"/>
      <w:r w:rsidRPr="00E013EC">
        <w:rPr>
          <w:rFonts w:ascii="Arial Narrow" w:hAnsi="Arial Narrow"/>
        </w:rPr>
        <w:t xml:space="preserve"> 770 – 777. Accessed at http://www.ajkd.org/article/S0272-6386(17)30836-3/fulltext</w:t>
      </w:r>
    </w:p>
  </w:footnote>
  <w:footnote w:id="2">
    <w:p w:rsidR="002C7D35" w:rsidRDefault="002C7D35" w:rsidP="00C62745">
      <w:pPr>
        <w:pStyle w:val="FootnoteText"/>
      </w:pPr>
      <w:r w:rsidRPr="00E013EC">
        <w:rPr>
          <w:rStyle w:val="FootnoteReference"/>
          <w:rFonts w:ascii="Arial Narrow" w:hAnsi="Arial Narrow"/>
        </w:rPr>
        <w:footnoteRef/>
      </w:r>
      <w:r w:rsidRPr="00E013EC">
        <w:rPr>
          <w:rFonts w:ascii="Arial Narrow" w:hAnsi="Arial Narrow"/>
        </w:rPr>
        <w:t xml:space="preserve"> </w:t>
      </w:r>
      <w:proofErr w:type="gramStart"/>
      <w:r w:rsidRPr="00E013EC">
        <w:rPr>
          <w:rFonts w:ascii="Arial Narrow" w:hAnsi="Arial Narrow"/>
        </w:rPr>
        <w:t>Tang, W. et al. End-stage kidney disease due to haemolytic uraemic syndrome--outcomes in 241 consecutive ANZDATA registry cases.</w:t>
      </w:r>
      <w:proofErr w:type="gramEnd"/>
      <w:r w:rsidRPr="00E013EC">
        <w:rPr>
          <w:rFonts w:ascii="Arial Narrow" w:hAnsi="Arial Narrow"/>
        </w:rPr>
        <w:t xml:space="preserve"> </w:t>
      </w:r>
      <w:proofErr w:type="gramStart"/>
      <w:r w:rsidRPr="00E013EC">
        <w:rPr>
          <w:rFonts w:ascii="Arial Narrow" w:hAnsi="Arial Narrow"/>
        </w:rPr>
        <w:t xml:space="preserve">BMC </w:t>
      </w:r>
      <w:proofErr w:type="spellStart"/>
      <w:r w:rsidRPr="00E013EC">
        <w:rPr>
          <w:rFonts w:ascii="Arial Narrow" w:hAnsi="Arial Narrow"/>
        </w:rPr>
        <w:t>Nephrol</w:t>
      </w:r>
      <w:proofErr w:type="spellEnd"/>
      <w:r w:rsidRPr="00E013EC">
        <w:rPr>
          <w:rFonts w:ascii="Arial Narrow" w:hAnsi="Arial Narrow"/>
        </w:rPr>
        <w:t>.</w:t>
      </w:r>
      <w:proofErr w:type="gramEnd"/>
      <w:r w:rsidRPr="00E013EC">
        <w:rPr>
          <w:rFonts w:ascii="Arial Narrow" w:hAnsi="Arial Narrow"/>
        </w:rPr>
        <w:t xml:space="preserve"> </w:t>
      </w:r>
      <w:proofErr w:type="gramStart"/>
      <w:r w:rsidRPr="00E013EC">
        <w:rPr>
          <w:rFonts w:ascii="Arial Narrow" w:hAnsi="Arial Narrow"/>
        </w:rPr>
        <w:t>13, 164 (2012).</w:t>
      </w:r>
      <w:proofErr w:type="gramEnd"/>
      <w:r w:rsidRPr="00E013EC">
        <w:rPr>
          <w:rFonts w:ascii="Arial Narrow" w:hAnsi="Arial Narrow"/>
        </w:rPr>
        <w:t xml:space="preserve"> Accessed at https://bmcnephrol.biomedcentral.com/articles/10.1186/1471-2369-13-164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C7D35" w:rsidRPr="008E0D90" w:rsidTr="00A06225">
      <w:trPr>
        <w:trHeight w:val="151"/>
      </w:trPr>
      <w:tc>
        <w:tcPr>
          <w:tcW w:w="2389" w:type="pct"/>
          <w:tcBorders>
            <w:top w:val="nil"/>
            <w:left w:val="nil"/>
            <w:bottom w:val="single" w:sz="4" w:space="0" w:color="4F81BD"/>
            <w:right w:val="nil"/>
          </w:tcBorders>
        </w:tcPr>
        <w:p w:rsidR="002C7D35" w:rsidRPr="00A06225" w:rsidRDefault="002C7D35">
          <w:pPr>
            <w:pStyle w:val="Header"/>
            <w:spacing w:line="276" w:lineRule="auto"/>
            <w:rPr>
              <w:rFonts w:ascii="Cambria" w:eastAsia="MS Gothic" w:hAnsi="Cambria"/>
              <w:b/>
              <w:bCs/>
              <w:color w:val="4F81BD"/>
            </w:rPr>
          </w:pPr>
        </w:p>
      </w:tc>
      <w:tc>
        <w:tcPr>
          <w:tcW w:w="333" w:type="pct"/>
          <w:vMerge w:val="restart"/>
          <w:noWrap/>
          <w:vAlign w:val="center"/>
          <w:hideMark/>
        </w:tcPr>
        <w:p w:rsidR="002C7D35" w:rsidRPr="00A06225" w:rsidRDefault="002C7D3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C7D35" w:rsidRPr="00A06225" w:rsidRDefault="002C7D35">
          <w:pPr>
            <w:pStyle w:val="Header"/>
            <w:spacing w:line="276" w:lineRule="auto"/>
            <w:rPr>
              <w:rFonts w:ascii="Cambria" w:eastAsia="MS Gothic" w:hAnsi="Cambria"/>
              <w:b/>
              <w:bCs/>
              <w:color w:val="4F81BD"/>
            </w:rPr>
          </w:pPr>
        </w:p>
      </w:tc>
    </w:tr>
    <w:tr w:rsidR="002C7D35" w:rsidRPr="008E0D90" w:rsidTr="00A06225">
      <w:trPr>
        <w:trHeight w:val="150"/>
      </w:trPr>
      <w:tc>
        <w:tcPr>
          <w:tcW w:w="2389" w:type="pct"/>
          <w:tcBorders>
            <w:top w:val="single" w:sz="4" w:space="0" w:color="4F81BD"/>
            <w:left w:val="nil"/>
            <w:bottom w:val="nil"/>
            <w:right w:val="nil"/>
          </w:tcBorders>
        </w:tcPr>
        <w:p w:rsidR="002C7D35" w:rsidRPr="00A06225" w:rsidRDefault="002C7D35">
          <w:pPr>
            <w:pStyle w:val="Header"/>
            <w:spacing w:line="276" w:lineRule="auto"/>
            <w:rPr>
              <w:rFonts w:ascii="Cambria" w:eastAsia="MS Gothic" w:hAnsi="Cambria"/>
              <w:b/>
              <w:bCs/>
              <w:color w:val="4F81BD"/>
            </w:rPr>
          </w:pPr>
        </w:p>
      </w:tc>
      <w:tc>
        <w:tcPr>
          <w:tcW w:w="0" w:type="auto"/>
          <w:vMerge/>
          <w:vAlign w:val="center"/>
          <w:hideMark/>
        </w:tcPr>
        <w:p w:rsidR="002C7D35" w:rsidRPr="00A06225" w:rsidRDefault="002C7D35">
          <w:pPr>
            <w:rPr>
              <w:rFonts w:ascii="Cambria" w:hAnsi="Cambria"/>
              <w:color w:val="4F81BD"/>
              <w:sz w:val="22"/>
              <w:szCs w:val="22"/>
            </w:rPr>
          </w:pPr>
        </w:p>
      </w:tc>
      <w:tc>
        <w:tcPr>
          <w:tcW w:w="2278" w:type="pct"/>
          <w:tcBorders>
            <w:top w:val="single" w:sz="4" w:space="0" w:color="4F81BD"/>
            <w:left w:val="nil"/>
            <w:bottom w:val="nil"/>
            <w:right w:val="nil"/>
          </w:tcBorders>
        </w:tcPr>
        <w:p w:rsidR="002C7D35" w:rsidRPr="00A06225" w:rsidRDefault="002C7D35">
          <w:pPr>
            <w:pStyle w:val="Header"/>
            <w:spacing w:line="276" w:lineRule="auto"/>
            <w:rPr>
              <w:rFonts w:ascii="Cambria" w:eastAsia="MS Gothic" w:hAnsi="Cambria"/>
              <w:b/>
              <w:bCs/>
              <w:color w:val="4F81BD"/>
            </w:rPr>
          </w:pPr>
        </w:p>
      </w:tc>
    </w:tr>
  </w:tbl>
  <w:p w:rsidR="002C7D35" w:rsidRDefault="002C7D35">
    <w:pPr>
      <w:pStyle w:val="Header"/>
    </w:pPr>
  </w:p>
  <w:p w:rsidR="002C7D35" w:rsidRDefault="002C7D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D35" w:rsidRDefault="002C7D35" w:rsidP="007C1A6B">
    <w:pPr>
      <w:pStyle w:val="Header"/>
      <w:spacing w:after="120"/>
      <w:jc w:val="center"/>
      <w:rPr>
        <w:rFonts w:asciiTheme="minorHAnsi" w:hAnsiTheme="minorHAnsi"/>
        <w:i/>
        <w:sz w:val="22"/>
        <w:szCs w:val="22"/>
      </w:rPr>
    </w:pPr>
    <w:r>
      <w:rPr>
        <w:rFonts w:asciiTheme="minorHAnsi" w:hAnsiTheme="minorHAnsi"/>
        <w:i/>
        <w:sz w:val="22"/>
        <w:szCs w:val="22"/>
      </w:rPr>
      <w:t>Public Summary Document - March 2018 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FB5" w:rsidRDefault="00C85F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5A2117F"/>
    <w:multiLevelType w:val="hybridMultilevel"/>
    <w:tmpl w:val="C2A2324E"/>
    <w:lvl w:ilvl="0" w:tplc="0C090001">
      <w:start w:val="1"/>
      <w:numFmt w:val="bullet"/>
      <w:lvlText w:val=""/>
      <w:lvlJc w:val="left"/>
      <w:pPr>
        <w:ind w:left="2008" w:hanging="360"/>
      </w:pPr>
      <w:rPr>
        <w:rFonts w:ascii="Symbol" w:hAnsi="Symbol" w:hint="default"/>
      </w:rPr>
    </w:lvl>
    <w:lvl w:ilvl="1" w:tplc="0C090003" w:tentative="1">
      <w:start w:val="1"/>
      <w:numFmt w:val="bullet"/>
      <w:lvlText w:val="o"/>
      <w:lvlJc w:val="left"/>
      <w:pPr>
        <w:ind w:left="2728" w:hanging="360"/>
      </w:pPr>
      <w:rPr>
        <w:rFonts w:ascii="Courier New" w:hAnsi="Courier New" w:cs="Courier New" w:hint="default"/>
      </w:rPr>
    </w:lvl>
    <w:lvl w:ilvl="2" w:tplc="0C090005" w:tentative="1">
      <w:start w:val="1"/>
      <w:numFmt w:val="bullet"/>
      <w:lvlText w:val=""/>
      <w:lvlJc w:val="left"/>
      <w:pPr>
        <w:ind w:left="3448" w:hanging="360"/>
      </w:pPr>
      <w:rPr>
        <w:rFonts w:ascii="Wingdings" w:hAnsi="Wingdings" w:hint="default"/>
      </w:rPr>
    </w:lvl>
    <w:lvl w:ilvl="3" w:tplc="0C090001" w:tentative="1">
      <w:start w:val="1"/>
      <w:numFmt w:val="bullet"/>
      <w:lvlText w:val=""/>
      <w:lvlJc w:val="left"/>
      <w:pPr>
        <w:ind w:left="4168" w:hanging="360"/>
      </w:pPr>
      <w:rPr>
        <w:rFonts w:ascii="Symbol" w:hAnsi="Symbol" w:hint="default"/>
      </w:rPr>
    </w:lvl>
    <w:lvl w:ilvl="4" w:tplc="0C090003" w:tentative="1">
      <w:start w:val="1"/>
      <w:numFmt w:val="bullet"/>
      <w:lvlText w:val="o"/>
      <w:lvlJc w:val="left"/>
      <w:pPr>
        <w:ind w:left="4888" w:hanging="360"/>
      </w:pPr>
      <w:rPr>
        <w:rFonts w:ascii="Courier New" w:hAnsi="Courier New" w:cs="Courier New" w:hint="default"/>
      </w:rPr>
    </w:lvl>
    <w:lvl w:ilvl="5" w:tplc="0C090005" w:tentative="1">
      <w:start w:val="1"/>
      <w:numFmt w:val="bullet"/>
      <w:lvlText w:val=""/>
      <w:lvlJc w:val="left"/>
      <w:pPr>
        <w:ind w:left="5608" w:hanging="360"/>
      </w:pPr>
      <w:rPr>
        <w:rFonts w:ascii="Wingdings" w:hAnsi="Wingdings" w:hint="default"/>
      </w:rPr>
    </w:lvl>
    <w:lvl w:ilvl="6" w:tplc="0C090001" w:tentative="1">
      <w:start w:val="1"/>
      <w:numFmt w:val="bullet"/>
      <w:lvlText w:val=""/>
      <w:lvlJc w:val="left"/>
      <w:pPr>
        <w:ind w:left="6328" w:hanging="360"/>
      </w:pPr>
      <w:rPr>
        <w:rFonts w:ascii="Symbol" w:hAnsi="Symbol" w:hint="default"/>
      </w:rPr>
    </w:lvl>
    <w:lvl w:ilvl="7" w:tplc="0C090003" w:tentative="1">
      <w:start w:val="1"/>
      <w:numFmt w:val="bullet"/>
      <w:lvlText w:val="o"/>
      <w:lvlJc w:val="left"/>
      <w:pPr>
        <w:ind w:left="7048" w:hanging="360"/>
      </w:pPr>
      <w:rPr>
        <w:rFonts w:ascii="Courier New" w:hAnsi="Courier New" w:cs="Courier New" w:hint="default"/>
      </w:rPr>
    </w:lvl>
    <w:lvl w:ilvl="8" w:tplc="0C090005" w:tentative="1">
      <w:start w:val="1"/>
      <w:numFmt w:val="bullet"/>
      <w:lvlText w:val=""/>
      <w:lvlJc w:val="left"/>
      <w:pPr>
        <w:ind w:left="7768"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00F2838"/>
    <w:multiLevelType w:val="hybridMultilevel"/>
    <w:tmpl w:val="5D94913A"/>
    <w:lvl w:ilvl="0" w:tplc="0C9C112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0B746BA"/>
    <w:multiLevelType w:val="hybridMultilevel"/>
    <w:tmpl w:val="230E3420"/>
    <w:lvl w:ilvl="0" w:tplc="0C090001">
      <w:start w:val="1"/>
      <w:numFmt w:val="bullet"/>
      <w:lvlText w:val=""/>
      <w:lvlJc w:val="left"/>
      <w:pPr>
        <w:ind w:left="1492" w:hanging="360"/>
      </w:pPr>
      <w:rPr>
        <w:rFonts w:ascii="Symbol" w:hAnsi="Symbol" w:hint="default"/>
      </w:rPr>
    </w:lvl>
    <w:lvl w:ilvl="1" w:tplc="0C090003" w:tentative="1">
      <w:start w:val="1"/>
      <w:numFmt w:val="bullet"/>
      <w:lvlText w:val="o"/>
      <w:lvlJc w:val="left"/>
      <w:pPr>
        <w:ind w:left="2212" w:hanging="360"/>
      </w:pPr>
      <w:rPr>
        <w:rFonts w:ascii="Courier New" w:hAnsi="Courier New" w:cs="Courier New" w:hint="default"/>
      </w:rPr>
    </w:lvl>
    <w:lvl w:ilvl="2" w:tplc="0C090005" w:tentative="1">
      <w:start w:val="1"/>
      <w:numFmt w:val="bullet"/>
      <w:lvlText w:val=""/>
      <w:lvlJc w:val="left"/>
      <w:pPr>
        <w:ind w:left="2932" w:hanging="360"/>
      </w:pPr>
      <w:rPr>
        <w:rFonts w:ascii="Wingdings" w:hAnsi="Wingdings" w:hint="default"/>
      </w:rPr>
    </w:lvl>
    <w:lvl w:ilvl="3" w:tplc="0C090001" w:tentative="1">
      <w:start w:val="1"/>
      <w:numFmt w:val="bullet"/>
      <w:lvlText w:val=""/>
      <w:lvlJc w:val="left"/>
      <w:pPr>
        <w:ind w:left="3652" w:hanging="360"/>
      </w:pPr>
      <w:rPr>
        <w:rFonts w:ascii="Symbol" w:hAnsi="Symbol" w:hint="default"/>
      </w:rPr>
    </w:lvl>
    <w:lvl w:ilvl="4" w:tplc="0C090003" w:tentative="1">
      <w:start w:val="1"/>
      <w:numFmt w:val="bullet"/>
      <w:lvlText w:val="o"/>
      <w:lvlJc w:val="left"/>
      <w:pPr>
        <w:ind w:left="4372" w:hanging="360"/>
      </w:pPr>
      <w:rPr>
        <w:rFonts w:ascii="Courier New" w:hAnsi="Courier New" w:cs="Courier New" w:hint="default"/>
      </w:rPr>
    </w:lvl>
    <w:lvl w:ilvl="5" w:tplc="0C090005" w:tentative="1">
      <w:start w:val="1"/>
      <w:numFmt w:val="bullet"/>
      <w:lvlText w:val=""/>
      <w:lvlJc w:val="left"/>
      <w:pPr>
        <w:ind w:left="5092" w:hanging="360"/>
      </w:pPr>
      <w:rPr>
        <w:rFonts w:ascii="Wingdings" w:hAnsi="Wingdings" w:hint="default"/>
      </w:rPr>
    </w:lvl>
    <w:lvl w:ilvl="6" w:tplc="0C090001" w:tentative="1">
      <w:start w:val="1"/>
      <w:numFmt w:val="bullet"/>
      <w:lvlText w:val=""/>
      <w:lvlJc w:val="left"/>
      <w:pPr>
        <w:ind w:left="5812" w:hanging="360"/>
      </w:pPr>
      <w:rPr>
        <w:rFonts w:ascii="Symbol" w:hAnsi="Symbol" w:hint="default"/>
      </w:rPr>
    </w:lvl>
    <w:lvl w:ilvl="7" w:tplc="0C090003" w:tentative="1">
      <w:start w:val="1"/>
      <w:numFmt w:val="bullet"/>
      <w:lvlText w:val="o"/>
      <w:lvlJc w:val="left"/>
      <w:pPr>
        <w:ind w:left="6532" w:hanging="360"/>
      </w:pPr>
      <w:rPr>
        <w:rFonts w:ascii="Courier New" w:hAnsi="Courier New" w:cs="Courier New" w:hint="default"/>
      </w:rPr>
    </w:lvl>
    <w:lvl w:ilvl="8" w:tplc="0C090005" w:tentative="1">
      <w:start w:val="1"/>
      <w:numFmt w:val="bullet"/>
      <w:lvlText w:val=""/>
      <w:lvlJc w:val="left"/>
      <w:pPr>
        <w:ind w:left="7252" w:hanging="360"/>
      </w:pPr>
      <w:rPr>
        <w:rFonts w:ascii="Wingdings" w:hAnsi="Wingdings" w:hint="default"/>
      </w:r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6930F7B"/>
    <w:multiLevelType w:val="hybridMultilevel"/>
    <w:tmpl w:val="C37C0696"/>
    <w:lvl w:ilvl="0" w:tplc="F92CCEC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8FD2936"/>
    <w:multiLevelType w:val="hybridMultilevel"/>
    <w:tmpl w:val="1C5E828C"/>
    <w:lvl w:ilvl="0" w:tplc="0C090001">
      <w:start w:val="1"/>
      <w:numFmt w:val="bullet"/>
      <w:lvlText w:val=""/>
      <w:lvlJc w:val="left"/>
      <w:pPr>
        <w:ind w:left="1648" w:hanging="360"/>
      </w:pPr>
      <w:rPr>
        <w:rFonts w:ascii="Symbol" w:hAnsi="Symbol" w:hint="default"/>
      </w:rPr>
    </w:lvl>
    <w:lvl w:ilvl="1" w:tplc="0C090003" w:tentative="1">
      <w:start w:val="1"/>
      <w:numFmt w:val="bullet"/>
      <w:lvlText w:val="o"/>
      <w:lvlJc w:val="left"/>
      <w:pPr>
        <w:ind w:left="2368" w:hanging="360"/>
      </w:pPr>
      <w:rPr>
        <w:rFonts w:ascii="Courier New" w:hAnsi="Courier New" w:cs="Courier New" w:hint="default"/>
      </w:rPr>
    </w:lvl>
    <w:lvl w:ilvl="2" w:tplc="0C090005" w:tentative="1">
      <w:start w:val="1"/>
      <w:numFmt w:val="bullet"/>
      <w:lvlText w:val=""/>
      <w:lvlJc w:val="left"/>
      <w:pPr>
        <w:ind w:left="3088" w:hanging="360"/>
      </w:pPr>
      <w:rPr>
        <w:rFonts w:ascii="Wingdings" w:hAnsi="Wingdings" w:hint="default"/>
      </w:rPr>
    </w:lvl>
    <w:lvl w:ilvl="3" w:tplc="0C090001" w:tentative="1">
      <w:start w:val="1"/>
      <w:numFmt w:val="bullet"/>
      <w:lvlText w:val=""/>
      <w:lvlJc w:val="left"/>
      <w:pPr>
        <w:ind w:left="3808" w:hanging="360"/>
      </w:pPr>
      <w:rPr>
        <w:rFonts w:ascii="Symbol" w:hAnsi="Symbol" w:hint="default"/>
      </w:rPr>
    </w:lvl>
    <w:lvl w:ilvl="4" w:tplc="0C090003" w:tentative="1">
      <w:start w:val="1"/>
      <w:numFmt w:val="bullet"/>
      <w:lvlText w:val="o"/>
      <w:lvlJc w:val="left"/>
      <w:pPr>
        <w:ind w:left="4528" w:hanging="360"/>
      </w:pPr>
      <w:rPr>
        <w:rFonts w:ascii="Courier New" w:hAnsi="Courier New" w:cs="Courier New" w:hint="default"/>
      </w:rPr>
    </w:lvl>
    <w:lvl w:ilvl="5" w:tplc="0C090005" w:tentative="1">
      <w:start w:val="1"/>
      <w:numFmt w:val="bullet"/>
      <w:lvlText w:val=""/>
      <w:lvlJc w:val="left"/>
      <w:pPr>
        <w:ind w:left="5248" w:hanging="360"/>
      </w:pPr>
      <w:rPr>
        <w:rFonts w:ascii="Wingdings" w:hAnsi="Wingdings" w:hint="default"/>
      </w:rPr>
    </w:lvl>
    <w:lvl w:ilvl="6" w:tplc="0C090001" w:tentative="1">
      <w:start w:val="1"/>
      <w:numFmt w:val="bullet"/>
      <w:lvlText w:val=""/>
      <w:lvlJc w:val="left"/>
      <w:pPr>
        <w:ind w:left="5968" w:hanging="360"/>
      </w:pPr>
      <w:rPr>
        <w:rFonts w:ascii="Symbol" w:hAnsi="Symbol" w:hint="default"/>
      </w:rPr>
    </w:lvl>
    <w:lvl w:ilvl="7" w:tplc="0C090003" w:tentative="1">
      <w:start w:val="1"/>
      <w:numFmt w:val="bullet"/>
      <w:lvlText w:val="o"/>
      <w:lvlJc w:val="left"/>
      <w:pPr>
        <w:ind w:left="6688" w:hanging="360"/>
      </w:pPr>
      <w:rPr>
        <w:rFonts w:ascii="Courier New" w:hAnsi="Courier New" w:cs="Courier New" w:hint="default"/>
      </w:rPr>
    </w:lvl>
    <w:lvl w:ilvl="8" w:tplc="0C090005" w:tentative="1">
      <w:start w:val="1"/>
      <w:numFmt w:val="bullet"/>
      <w:lvlText w:val=""/>
      <w:lvlJc w:val="left"/>
      <w:pPr>
        <w:ind w:left="7408" w:hanging="360"/>
      </w:pPr>
      <w:rPr>
        <w:rFonts w:ascii="Wingdings" w:hAnsi="Wingdings" w:hint="default"/>
      </w:rPr>
    </w:lvl>
  </w:abstractNum>
  <w:abstractNum w:abstractNumId="15">
    <w:nsid w:val="29130AC4"/>
    <w:multiLevelType w:val="hybridMultilevel"/>
    <w:tmpl w:val="D752254C"/>
    <w:lvl w:ilvl="0" w:tplc="B0A06F4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35340E4"/>
    <w:multiLevelType w:val="hybridMultilevel"/>
    <w:tmpl w:val="796481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272FF4"/>
    <w:multiLevelType w:val="hybridMultilevel"/>
    <w:tmpl w:val="D752254C"/>
    <w:lvl w:ilvl="0" w:tplc="B0A06F4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05521CA"/>
    <w:multiLevelType w:val="hybridMultilevel"/>
    <w:tmpl w:val="61B6056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84D033C"/>
    <w:multiLevelType w:val="multilevel"/>
    <w:tmpl w:val="81A64BBE"/>
    <w:lvl w:ilvl="0">
      <w:start w:val="1"/>
      <w:numFmt w:val="decimal"/>
      <w:pStyle w:val="PBACHeading1"/>
      <w:lvlText w:val="%1"/>
      <w:lvlJc w:val="left"/>
      <w:pPr>
        <w:ind w:left="720" w:hanging="720"/>
      </w:pPr>
      <w:rPr>
        <w:rFonts w:hint="default"/>
        <w:b/>
      </w:rPr>
    </w:lvl>
    <w:lvl w:ilvl="1">
      <w:start w:val="1"/>
      <w:numFmt w:val="decimal"/>
      <w:lvlText w:val="%1.%2"/>
      <w:lvlJc w:val="left"/>
      <w:pPr>
        <w:ind w:left="1288" w:hanging="720"/>
      </w:pPr>
      <w:rPr>
        <w:rFonts w:asciiTheme="minorHAnsi" w:hAnsi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A6A7654"/>
    <w:multiLevelType w:val="hybridMultilevel"/>
    <w:tmpl w:val="B114CB5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9"/>
  </w:num>
  <w:num w:numId="2">
    <w:abstractNumId w:val="3"/>
  </w:num>
  <w:num w:numId="3">
    <w:abstractNumId w:val="6"/>
  </w:num>
  <w:num w:numId="4">
    <w:abstractNumId w:val="22"/>
  </w:num>
  <w:num w:numId="5">
    <w:abstractNumId w:val="26"/>
  </w:num>
  <w:num w:numId="6">
    <w:abstractNumId w:val="8"/>
  </w:num>
  <w:num w:numId="7">
    <w:abstractNumId w:val="20"/>
  </w:num>
  <w:num w:numId="8">
    <w:abstractNumId w:val="4"/>
  </w:num>
  <w:num w:numId="9">
    <w:abstractNumId w:val="19"/>
  </w:num>
  <w:num w:numId="10">
    <w:abstractNumId w:val="17"/>
  </w:num>
  <w:num w:numId="11">
    <w:abstractNumId w:val="16"/>
  </w:num>
  <w:num w:numId="12">
    <w:abstractNumId w:val="1"/>
  </w:num>
  <w:num w:numId="13">
    <w:abstractNumId w:val="0"/>
  </w:num>
  <w:num w:numId="14">
    <w:abstractNumId w:val="26"/>
  </w:num>
  <w:num w:numId="15">
    <w:abstractNumId w:val="13"/>
  </w:num>
  <w:num w:numId="16">
    <w:abstractNumId w:val="21"/>
  </w:num>
  <w:num w:numId="17">
    <w:abstractNumId w:val="15"/>
  </w:num>
  <w:num w:numId="18">
    <w:abstractNumId w:val="27"/>
  </w:num>
  <w:num w:numId="19">
    <w:abstractNumId w:val="14"/>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8"/>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5"/>
  </w:num>
  <w:num w:numId="27">
    <w:abstractNumId w:val="5"/>
  </w:num>
  <w:num w:numId="28">
    <w:abstractNumId w:val="2"/>
  </w:num>
  <w:num w:numId="29">
    <w:abstractNumId w:val="12"/>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7"/>
  </w:num>
  <w:num w:numId="33">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w Roberts">
    <w15:presenceInfo w15:providerId="None" w15:userId="Andrew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1315B"/>
    <w:rsid w:val="00013556"/>
    <w:rsid w:val="0001708F"/>
    <w:rsid w:val="0002464A"/>
    <w:rsid w:val="0003106B"/>
    <w:rsid w:val="000421A1"/>
    <w:rsid w:val="0004240E"/>
    <w:rsid w:val="00045E26"/>
    <w:rsid w:val="000514B5"/>
    <w:rsid w:val="000566DB"/>
    <w:rsid w:val="00057AD4"/>
    <w:rsid w:val="00060424"/>
    <w:rsid w:val="00060E64"/>
    <w:rsid w:val="000616E2"/>
    <w:rsid w:val="00066160"/>
    <w:rsid w:val="00066755"/>
    <w:rsid w:val="00066AB6"/>
    <w:rsid w:val="00071EE9"/>
    <w:rsid w:val="00077143"/>
    <w:rsid w:val="00082169"/>
    <w:rsid w:val="0008490B"/>
    <w:rsid w:val="00084D39"/>
    <w:rsid w:val="000969AD"/>
    <w:rsid w:val="000974BB"/>
    <w:rsid w:val="000A1ECB"/>
    <w:rsid w:val="000A202A"/>
    <w:rsid w:val="000A47F9"/>
    <w:rsid w:val="000A4B85"/>
    <w:rsid w:val="000B558D"/>
    <w:rsid w:val="000B749B"/>
    <w:rsid w:val="000C6996"/>
    <w:rsid w:val="000D23BA"/>
    <w:rsid w:val="000D2D39"/>
    <w:rsid w:val="000D4FC9"/>
    <w:rsid w:val="000D6883"/>
    <w:rsid w:val="000E681E"/>
    <w:rsid w:val="000F0003"/>
    <w:rsid w:val="000F2B61"/>
    <w:rsid w:val="000F4DA8"/>
    <w:rsid w:val="000F4E6A"/>
    <w:rsid w:val="0010043C"/>
    <w:rsid w:val="00104227"/>
    <w:rsid w:val="0010648D"/>
    <w:rsid w:val="001107BF"/>
    <w:rsid w:val="001216CA"/>
    <w:rsid w:val="0012417C"/>
    <w:rsid w:val="001401C2"/>
    <w:rsid w:val="00142395"/>
    <w:rsid w:val="00142714"/>
    <w:rsid w:val="001452ED"/>
    <w:rsid w:val="001536A9"/>
    <w:rsid w:val="00163329"/>
    <w:rsid w:val="00164623"/>
    <w:rsid w:val="00165B64"/>
    <w:rsid w:val="00174241"/>
    <w:rsid w:val="00174901"/>
    <w:rsid w:val="00175011"/>
    <w:rsid w:val="001830CE"/>
    <w:rsid w:val="0018643B"/>
    <w:rsid w:val="00195AF2"/>
    <w:rsid w:val="00196307"/>
    <w:rsid w:val="001A33EA"/>
    <w:rsid w:val="001A38A1"/>
    <w:rsid w:val="001A39FE"/>
    <w:rsid w:val="001A56B5"/>
    <w:rsid w:val="001B017F"/>
    <w:rsid w:val="001B2BBC"/>
    <w:rsid w:val="001B5129"/>
    <w:rsid w:val="001C0E31"/>
    <w:rsid w:val="001C1195"/>
    <w:rsid w:val="001D4929"/>
    <w:rsid w:val="001D7FFA"/>
    <w:rsid w:val="001F1850"/>
    <w:rsid w:val="001F5E13"/>
    <w:rsid w:val="00201CB3"/>
    <w:rsid w:val="00203FAC"/>
    <w:rsid w:val="002043F5"/>
    <w:rsid w:val="00210B6A"/>
    <w:rsid w:val="00210B80"/>
    <w:rsid w:val="002119F2"/>
    <w:rsid w:val="00213CFB"/>
    <w:rsid w:val="00217BE1"/>
    <w:rsid w:val="00230AAB"/>
    <w:rsid w:val="002357B3"/>
    <w:rsid w:val="00240108"/>
    <w:rsid w:val="00241EFD"/>
    <w:rsid w:val="00243D7B"/>
    <w:rsid w:val="0024647D"/>
    <w:rsid w:val="00246B82"/>
    <w:rsid w:val="00250FC1"/>
    <w:rsid w:val="00252184"/>
    <w:rsid w:val="002574FB"/>
    <w:rsid w:val="002649CD"/>
    <w:rsid w:val="00267251"/>
    <w:rsid w:val="00271BA1"/>
    <w:rsid w:val="002762FA"/>
    <w:rsid w:val="00277505"/>
    <w:rsid w:val="0028105B"/>
    <w:rsid w:val="002828E4"/>
    <w:rsid w:val="0029125D"/>
    <w:rsid w:val="0029458F"/>
    <w:rsid w:val="002A104C"/>
    <w:rsid w:val="002A4960"/>
    <w:rsid w:val="002B15D5"/>
    <w:rsid w:val="002B1AE6"/>
    <w:rsid w:val="002B2DE8"/>
    <w:rsid w:val="002B30F8"/>
    <w:rsid w:val="002B5596"/>
    <w:rsid w:val="002B68A6"/>
    <w:rsid w:val="002C0F8C"/>
    <w:rsid w:val="002C212F"/>
    <w:rsid w:val="002C7D35"/>
    <w:rsid w:val="002D34FC"/>
    <w:rsid w:val="002D4543"/>
    <w:rsid w:val="002E031C"/>
    <w:rsid w:val="002E29B0"/>
    <w:rsid w:val="002E3153"/>
    <w:rsid w:val="002E72CA"/>
    <w:rsid w:val="002F7ED1"/>
    <w:rsid w:val="00300836"/>
    <w:rsid w:val="00300AD6"/>
    <w:rsid w:val="0030270D"/>
    <w:rsid w:val="00317C6C"/>
    <w:rsid w:val="0032061E"/>
    <w:rsid w:val="00326E79"/>
    <w:rsid w:val="00330509"/>
    <w:rsid w:val="0033255E"/>
    <w:rsid w:val="0033518A"/>
    <w:rsid w:val="003367EF"/>
    <w:rsid w:val="00340D98"/>
    <w:rsid w:val="00341AE4"/>
    <w:rsid w:val="00343838"/>
    <w:rsid w:val="00361D45"/>
    <w:rsid w:val="00362DD0"/>
    <w:rsid w:val="003708B4"/>
    <w:rsid w:val="0037378B"/>
    <w:rsid w:val="003738A9"/>
    <w:rsid w:val="00385851"/>
    <w:rsid w:val="003872CF"/>
    <w:rsid w:val="0039782C"/>
    <w:rsid w:val="003A1BD8"/>
    <w:rsid w:val="003A5B4A"/>
    <w:rsid w:val="003B23C5"/>
    <w:rsid w:val="003B2A75"/>
    <w:rsid w:val="003B6124"/>
    <w:rsid w:val="003C2FB5"/>
    <w:rsid w:val="003C57AC"/>
    <w:rsid w:val="003D3530"/>
    <w:rsid w:val="003D4AC4"/>
    <w:rsid w:val="003D63B7"/>
    <w:rsid w:val="003E468B"/>
    <w:rsid w:val="003E5ABE"/>
    <w:rsid w:val="003E6659"/>
    <w:rsid w:val="003F23EA"/>
    <w:rsid w:val="003F3228"/>
    <w:rsid w:val="003F5C8C"/>
    <w:rsid w:val="00400F7C"/>
    <w:rsid w:val="00406C6B"/>
    <w:rsid w:val="004161E4"/>
    <w:rsid w:val="00424017"/>
    <w:rsid w:val="004252EC"/>
    <w:rsid w:val="00443333"/>
    <w:rsid w:val="004465BD"/>
    <w:rsid w:val="004507D2"/>
    <w:rsid w:val="00466ADA"/>
    <w:rsid w:val="00476245"/>
    <w:rsid w:val="0048119B"/>
    <w:rsid w:val="00483035"/>
    <w:rsid w:val="00484671"/>
    <w:rsid w:val="00485940"/>
    <w:rsid w:val="004878B3"/>
    <w:rsid w:val="00494192"/>
    <w:rsid w:val="0049615C"/>
    <w:rsid w:val="00497B2C"/>
    <w:rsid w:val="004A2484"/>
    <w:rsid w:val="004A3DFB"/>
    <w:rsid w:val="004A5A85"/>
    <w:rsid w:val="004A6821"/>
    <w:rsid w:val="004A71D1"/>
    <w:rsid w:val="004B5640"/>
    <w:rsid w:val="004B580E"/>
    <w:rsid w:val="004C1BD7"/>
    <w:rsid w:val="004C31FE"/>
    <w:rsid w:val="004C4274"/>
    <w:rsid w:val="004C51D5"/>
    <w:rsid w:val="004C691D"/>
    <w:rsid w:val="004C6C07"/>
    <w:rsid w:val="004D4F12"/>
    <w:rsid w:val="004E3AE7"/>
    <w:rsid w:val="004E692D"/>
    <w:rsid w:val="004E71D2"/>
    <w:rsid w:val="00501554"/>
    <w:rsid w:val="00507F44"/>
    <w:rsid w:val="00512080"/>
    <w:rsid w:val="00514CD7"/>
    <w:rsid w:val="005167AB"/>
    <w:rsid w:val="00522864"/>
    <w:rsid w:val="0052660C"/>
    <w:rsid w:val="005271B7"/>
    <w:rsid w:val="00530EB0"/>
    <w:rsid w:val="005319B2"/>
    <w:rsid w:val="00532402"/>
    <w:rsid w:val="00532C74"/>
    <w:rsid w:val="00534E2E"/>
    <w:rsid w:val="00544552"/>
    <w:rsid w:val="00547E64"/>
    <w:rsid w:val="0056201A"/>
    <w:rsid w:val="00565E61"/>
    <w:rsid w:val="005672FC"/>
    <w:rsid w:val="00572331"/>
    <w:rsid w:val="0057331D"/>
    <w:rsid w:val="00575AE6"/>
    <w:rsid w:val="00577C4D"/>
    <w:rsid w:val="00581932"/>
    <w:rsid w:val="0058231C"/>
    <w:rsid w:val="0059043F"/>
    <w:rsid w:val="00593F87"/>
    <w:rsid w:val="005963BB"/>
    <w:rsid w:val="005A07AE"/>
    <w:rsid w:val="005A0850"/>
    <w:rsid w:val="005A3173"/>
    <w:rsid w:val="005A3223"/>
    <w:rsid w:val="005A3DA3"/>
    <w:rsid w:val="005A52C4"/>
    <w:rsid w:val="005B392E"/>
    <w:rsid w:val="005C044C"/>
    <w:rsid w:val="005D03AB"/>
    <w:rsid w:val="005D4D8A"/>
    <w:rsid w:val="005D5017"/>
    <w:rsid w:val="005E1333"/>
    <w:rsid w:val="005F3214"/>
    <w:rsid w:val="005F75B7"/>
    <w:rsid w:val="00601A91"/>
    <w:rsid w:val="00602BA3"/>
    <w:rsid w:val="00607737"/>
    <w:rsid w:val="00612E34"/>
    <w:rsid w:val="00614159"/>
    <w:rsid w:val="00617C00"/>
    <w:rsid w:val="006263BF"/>
    <w:rsid w:val="0062748A"/>
    <w:rsid w:val="00630A2C"/>
    <w:rsid w:val="00633442"/>
    <w:rsid w:val="0063578F"/>
    <w:rsid w:val="0063682E"/>
    <w:rsid w:val="00640EC0"/>
    <w:rsid w:val="006436CD"/>
    <w:rsid w:val="00644459"/>
    <w:rsid w:val="00647F3A"/>
    <w:rsid w:val="00651169"/>
    <w:rsid w:val="006521BA"/>
    <w:rsid w:val="00653D69"/>
    <w:rsid w:val="006670BE"/>
    <w:rsid w:val="00670A76"/>
    <w:rsid w:val="006711AA"/>
    <w:rsid w:val="00672B57"/>
    <w:rsid w:val="00675622"/>
    <w:rsid w:val="00675CA4"/>
    <w:rsid w:val="00677057"/>
    <w:rsid w:val="00682B7F"/>
    <w:rsid w:val="006847BD"/>
    <w:rsid w:val="006906DB"/>
    <w:rsid w:val="0069085B"/>
    <w:rsid w:val="006916F7"/>
    <w:rsid w:val="00691E6C"/>
    <w:rsid w:val="00696129"/>
    <w:rsid w:val="00697CF2"/>
    <w:rsid w:val="006A12A5"/>
    <w:rsid w:val="006A53D9"/>
    <w:rsid w:val="006A580C"/>
    <w:rsid w:val="006B0D94"/>
    <w:rsid w:val="006B1D91"/>
    <w:rsid w:val="006B485D"/>
    <w:rsid w:val="006B6120"/>
    <w:rsid w:val="006C1735"/>
    <w:rsid w:val="006C23F1"/>
    <w:rsid w:val="006C4789"/>
    <w:rsid w:val="006C708E"/>
    <w:rsid w:val="006D12C5"/>
    <w:rsid w:val="006D6EC7"/>
    <w:rsid w:val="006E49D7"/>
    <w:rsid w:val="006F3DB8"/>
    <w:rsid w:val="006F5125"/>
    <w:rsid w:val="006F56D7"/>
    <w:rsid w:val="00701654"/>
    <w:rsid w:val="00702B6F"/>
    <w:rsid w:val="0070389D"/>
    <w:rsid w:val="00710C93"/>
    <w:rsid w:val="00710D04"/>
    <w:rsid w:val="0071340B"/>
    <w:rsid w:val="007165D9"/>
    <w:rsid w:val="007174BB"/>
    <w:rsid w:val="0072025D"/>
    <w:rsid w:val="007263CD"/>
    <w:rsid w:val="00732E91"/>
    <w:rsid w:val="007353D3"/>
    <w:rsid w:val="00740158"/>
    <w:rsid w:val="00750094"/>
    <w:rsid w:val="007548AC"/>
    <w:rsid w:val="00763035"/>
    <w:rsid w:val="0076420C"/>
    <w:rsid w:val="007753C2"/>
    <w:rsid w:val="00781656"/>
    <w:rsid w:val="00782574"/>
    <w:rsid w:val="007838B8"/>
    <w:rsid w:val="00791E6C"/>
    <w:rsid w:val="007A131B"/>
    <w:rsid w:val="007C0F57"/>
    <w:rsid w:val="007C1A6B"/>
    <w:rsid w:val="007C40B6"/>
    <w:rsid w:val="007C729F"/>
    <w:rsid w:val="007E001D"/>
    <w:rsid w:val="007E1D28"/>
    <w:rsid w:val="007F2641"/>
    <w:rsid w:val="007F7C36"/>
    <w:rsid w:val="00806796"/>
    <w:rsid w:val="00811AB6"/>
    <w:rsid w:val="008151D6"/>
    <w:rsid w:val="00820721"/>
    <w:rsid w:val="00823037"/>
    <w:rsid w:val="00826B29"/>
    <w:rsid w:val="00826F6D"/>
    <w:rsid w:val="008306F3"/>
    <w:rsid w:val="00837F05"/>
    <w:rsid w:val="00842EA6"/>
    <w:rsid w:val="00845053"/>
    <w:rsid w:val="008474E3"/>
    <w:rsid w:val="00847C81"/>
    <w:rsid w:val="00851705"/>
    <w:rsid w:val="00851ED1"/>
    <w:rsid w:val="00856DDD"/>
    <w:rsid w:val="00857632"/>
    <w:rsid w:val="00863E68"/>
    <w:rsid w:val="00865D19"/>
    <w:rsid w:val="00871CDE"/>
    <w:rsid w:val="00872E59"/>
    <w:rsid w:val="008772C0"/>
    <w:rsid w:val="00882085"/>
    <w:rsid w:val="00883188"/>
    <w:rsid w:val="00897D58"/>
    <w:rsid w:val="00897F22"/>
    <w:rsid w:val="008A1956"/>
    <w:rsid w:val="008A4937"/>
    <w:rsid w:val="008A50F1"/>
    <w:rsid w:val="008B3EA2"/>
    <w:rsid w:val="008C3E94"/>
    <w:rsid w:val="008D1B5C"/>
    <w:rsid w:val="008D3C82"/>
    <w:rsid w:val="008D447E"/>
    <w:rsid w:val="008D4FF6"/>
    <w:rsid w:val="008D7A41"/>
    <w:rsid w:val="008E3680"/>
    <w:rsid w:val="008E5870"/>
    <w:rsid w:val="008E5F88"/>
    <w:rsid w:val="008F1434"/>
    <w:rsid w:val="008F228E"/>
    <w:rsid w:val="008F26BF"/>
    <w:rsid w:val="008F7355"/>
    <w:rsid w:val="00902AAD"/>
    <w:rsid w:val="009067B7"/>
    <w:rsid w:val="009106F3"/>
    <w:rsid w:val="00910F03"/>
    <w:rsid w:val="0091731A"/>
    <w:rsid w:val="00924386"/>
    <w:rsid w:val="00930937"/>
    <w:rsid w:val="00933E6C"/>
    <w:rsid w:val="009372DC"/>
    <w:rsid w:val="00937958"/>
    <w:rsid w:val="00942160"/>
    <w:rsid w:val="0095146F"/>
    <w:rsid w:val="009602C5"/>
    <w:rsid w:val="00962223"/>
    <w:rsid w:val="00963F32"/>
    <w:rsid w:val="00966774"/>
    <w:rsid w:val="00966D0D"/>
    <w:rsid w:val="00974C21"/>
    <w:rsid w:val="00980F0A"/>
    <w:rsid w:val="009977DE"/>
    <w:rsid w:val="009A2B4C"/>
    <w:rsid w:val="009A371E"/>
    <w:rsid w:val="009A47C9"/>
    <w:rsid w:val="009A77F4"/>
    <w:rsid w:val="009B0F67"/>
    <w:rsid w:val="009C195B"/>
    <w:rsid w:val="009C703C"/>
    <w:rsid w:val="009D3314"/>
    <w:rsid w:val="009D3CAA"/>
    <w:rsid w:val="009D5A64"/>
    <w:rsid w:val="009D7C45"/>
    <w:rsid w:val="009E1E76"/>
    <w:rsid w:val="009F0284"/>
    <w:rsid w:val="009F1E28"/>
    <w:rsid w:val="009F4E46"/>
    <w:rsid w:val="009F5B65"/>
    <w:rsid w:val="009F5F2E"/>
    <w:rsid w:val="00A013D3"/>
    <w:rsid w:val="00A04E3F"/>
    <w:rsid w:val="00A06225"/>
    <w:rsid w:val="00A06C1D"/>
    <w:rsid w:val="00A128E6"/>
    <w:rsid w:val="00A13F88"/>
    <w:rsid w:val="00A16E55"/>
    <w:rsid w:val="00A2612B"/>
    <w:rsid w:val="00A273B9"/>
    <w:rsid w:val="00A34E6C"/>
    <w:rsid w:val="00A35B99"/>
    <w:rsid w:val="00A37C8D"/>
    <w:rsid w:val="00A51FAB"/>
    <w:rsid w:val="00A5273B"/>
    <w:rsid w:val="00A53553"/>
    <w:rsid w:val="00A53A9D"/>
    <w:rsid w:val="00A55FEE"/>
    <w:rsid w:val="00A62C1A"/>
    <w:rsid w:val="00A6426D"/>
    <w:rsid w:val="00A665C1"/>
    <w:rsid w:val="00A70622"/>
    <w:rsid w:val="00A70977"/>
    <w:rsid w:val="00A71D64"/>
    <w:rsid w:val="00A73B29"/>
    <w:rsid w:val="00A747F3"/>
    <w:rsid w:val="00A77613"/>
    <w:rsid w:val="00A776E2"/>
    <w:rsid w:val="00A8390C"/>
    <w:rsid w:val="00A8594D"/>
    <w:rsid w:val="00A928BD"/>
    <w:rsid w:val="00AA0E3C"/>
    <w:rsid w:val="00AA393F"/>
    <w:rsid w:val="00AA4D1C"/>
    <w:rsid w:val="00AB3851"/>
    <w:rsid w:val="00AB46BC"/>
    <w:rsid w:val="00AB51E3"/>
    <w:rsid w:val="00AB560D"/>
    <w:rsid w:val="00AC138D"/>
    <w:rsid w:val="00AC193C"/>
    <w:rsid w:val="00AC5206"/>
    <w:rsid w:val="00AD3DEF"/>
    <w:rsid w:val="00AE11A5"/>
    <w:rsid w:val="00AE13E2"/>
    <w:rsid w:val="00AE22D3"/>
    <w:rsid w:val="00AE6104"/>
    <w:rsid w:val="00AF0A4A"/>
    <w:rsid w:val="00AF62DF"/>
    <w:rsid w:val="00AF68CC"/>
    <w:rsid w:val="00AF6C65"/>
    <w:rsid w:val="00AF7786"/>
    <w:rsid w:val="00AF7C1E"/>
    <w:rsid w:val="00B05A39"/>
    <w:rsid w:val="00B1059E"/>
    <w:rsid w:val="00B15B84"/>
    <w:rsid w:val="00B176C8"/>
    <w:rsid w:val="00B176CF"/>
    <w:rsid w:val="00B205AA"/>
    <w:rsid w:val="00B22E84"/>
    <w:rsid w:val="00B25F75"/>
    <w:rsid w:val="00B26B3F"/>
    <w:rsid w:val="00B43E90"/>
    <w:rsid w:val="00B467DC"/>
    <w:rsid w:val="00B50ADC"/>
    <w:rsid w:val="00B53D46"/>
    <w:rsid w:val="00B55D26"/>
    <w:rsid w:val="00B56118"/>
    <w:rsid w:val="00B6773F"/>
    <w:rsid w:val="00B67B42"/>
    <w:rsid w:val="00B7097F"/>
    <w:rsid w:val="00B801BA"/>
    <w:rsid w:val="00B83962"/>
    <w:rsid w:val="00B84D5C"/>
    <w:rsid w:val="00B93284"/>
    <w:rsid w:val="00B9726D"/>
    <w:rsid w:val="00BA42CF"/>
    <w:rsid w:val="00BB1CF4"/>
    <w:rsid w:val="00BB4C17"/>
    <w:rsid w:val="00BB66D8"/>
    <w:rsid w:val="00BB69F5"/>
    <w:rsid w:val="00BB7EC3"/>
    <w:rsid w:val="00BC4B9A"/>
    <w:rsid w:val="00BD784C"/>
    <w:rsid w:val="00BE2536"/>
    <w:rsid w:val="00BE4C7E"/>
    <w:rsid w:val="00BF4627"/>
    <w:rsid w:val="00BF4CB6"/>
    <w:rsid w:val="00C005AD"/>
    <w:rsid w:val="00C00DA7"/>
    <w:rsid w:val="00C12768"/>
    <w:rsid w:val="00C242C4"/>
    <w:rsid w:val="00C24543"/>
    <w:rsid w:val="00C262A0"/>
    <w:rsid w:val="00C27B17"/>
    <w:rsid w:val="00C27B58"/>
    <w:rsid w:val="00C340B4"/>
    <w:rsid w:val="00C35996"/>
    <w:rsid w:val="00C4029B"/>
    <w:rsid w:val="00C40C74"/>
    <w:rsid w:val="00C4747E"/>
    <w:rsid w:val="00C5342C"/>
    <w:rsid w:val="00C54ABB"/>
    <w:rsid w:val="00C603D4"/>
    <w:rsid w:val="00C61848"/>
    <w:rsid w:val="00C6256A"/>
    <w:rsid w:val="00C62745"/>
    <w:rsid w:val="00C739F3"/>
    <w:rsid w:val="00C77891"/>
    <w:rsid w:val="00C81BDC"/>
    <w:rsid w:val="00C82E71"/>
    <w:rsid w:val="00C84A86"/>
    <w:rsid w:val="00C85FB5"/>
    <w:rsid w:val="00C90F8F"/>
    <w:rsid w:val="00C91449"/>
    <w:rsid w:val="00C92D10"/>
    <w:rsid w:val="00CA2ED0"/>
    <w:rsid w:val="00CA5916"/>
    <w:rsid w:val="00CA62B3"/>
    <w:rsid w:val="00CC3E0F"/>
    <w:rsid w:val="00CC4006"/>
    <w:rsid w:val="00CD0A6C"/>
    <w:rsid w:val="00CD661A"/>
    <w:rsid w:val="00CE10C4"/>
    <w:rsid w:val="00CE27B5"/>
    <w:rsid w:val="00CF33D0"/>
    <w:rsid w:val="00CF4256"/>
    <w:rsid w:val="00D0321E"/>
    <w:rsid w:val="00D06B7F"/>
    <w:rsid w:val="00D112A5"/>
    <w:rsid w:val="00D12259"/>
    <w:rsid w:val="00D1256E"/>
    <w:rsid w:val="00D1455A"/>
    <w:rsid w:val="00D14DDF"/>
    <w:rsid w:val="00D1596A"/>
    <w:rsid w:val="00D17980"/>
    <w:rsid w:val="00D25360"/>
    <w:rsid w:val="00D31150"/>
    <w:rsid w:val="00D3138B"/>
    <w:rsid w:val="00D3280C"/>
    <w:rsid w:val="00D3406A"/>
    <w:rsid w:val="00D41E5E"/>
    <w:rsid w:val="00D4572C"/>
    <w:rsid w:val="00D469B2"/>
    <w:rsid w:val="00D56636"/>
    <w:rsid w:val="00D56B50"/>
    <w:rsid w:val="00D606E2"/>
    <w:rsid w:val="00D741EB"/>
    <w:rsid w:val="00D82C31"/>
    <w:rsid w:val="00D83605"/>
    <w:rsid w:val="00D84934"/>
    <w:rsid w:val="00D91271"/>
    <w:rsid w:val="00D919AD"/>
    <w:rsid w:val="00D95223"/>
    <w:rsid w:val="00D97156"/>
    <w:rsid w:val="00D974FF"/>
    <w:rsid w:val="00DA2CB5"/>
    <w:rsid w:val="00DA42F7"/>
    <w:rsid w:val="00DA4BAC"/>
    <w:rsid w:val="00DB0CBB"/>
    <w:rsid w:val="00DB56D6"/>
    <w:rsid w:val="00DB7548"/>
    <w:rsid w:val="00DD5EAD"/>
    <w:rsid w:val="00DE3571"/>
    <w:rsid w:val="00DE6D27"/>
    <w:rsid w:val="00DF14D1"/>
    <w:rsid w:val="00DF217D"/>
    <w:rsid w:val="00DF26A7"/>
    <w:rsid w:val="00DF30EA"/>
    <w:rsid w:val="00E013EC"/>
    <w:rsid w:val="00E12516"/>
    <w:rsid w:val="00E126D1"/>
    <w:rsid w:val="00E151D7"/>
    <w:rsid w:val="00E15627"/>
    <w:rsid w:val="00E164B3"/>
    <w:rsid w:val="00E16910"/>
    <w:rsid w:val="00E2504A"/>
    <w:rsid w:val="00E4071C"/>
    <w:rsid w:val="00E42BDB"/>
    <w:rsid w:val="00E445E2"/>
    <w:rsid w:val="00E54203"/>
    <w:rsid w:val="00E54F5E"/>
    <w:rsid w:val="00E57EEB"/>
    <w:rsid w:val="00E62D94"/>
    <w:rsid w:val="00E64D55"/>
    <w:rsid w:val="00E65E54"/>
    <w:rsid w:val="00E76215"/>
    <w:rsid w:val="00E80155"/>
    <w:rsid w:val="00E848C0"/>
    <w:rsid w:val="00E91B96"/>
    <w:rsid w:val="00E93D55"/>
    <w:rsid w:val="00E941A1"/>
    <w:rsid w:val="00E95CE3"/>
    <w:rsid w:val="00EA2825"/>
    <w:rsid w:val="00EB0B63"/>
    <w:rsid w:val="00EB1936"/>
    <w:rsid w:val="00EB5088"/>
    <w:rsid w:val="00EB76AD"/>
    <w:rsid w:val="00EC4BC2"/>
    <w:rsid w:val="00EC50D8"/>
    <w:rsid w:val="00ED1644"/>
    <w:rsid w:val="00ED2593"/>
    <w:rsid w:val="00ED4C77"/>
    <w:rsid w:val="00ED7D9C"/>
    <w:rsid w:val="00EE66B5"/>
    <w:rsid w:val="00EF1BDD"/>
    <w:rsid w:val="00EF44A0"/>
    <w:rsid w:val="00EF4FED"/>
    <w:rsid w:val="00F050BD"/>
    <w:rsid w:val="00F05657"/>
    <w:rsid w:val="00F05EAD"/>
    <w:rsid w:val="00F06F6E"/>
    <w:rsid w:val="00F171AD"/>
    <w:rsid w:val="00F242E9"/>
    <w:rsid w:val="00F25578"/>
    <w:rsid w:val="00F258E5"/>
    <w:rsid w:val="00F300BC"/>
    <w:rsid w:val="00F305CE"/>
    <w:rsid w:val="00F31AA5"/>
    <w:rsid w:val="00F3334E"/>
    <w:rsid w:val="00F36CCB"/>
    <w:rsid w:val="00F374E5"/>
    <w:rsid w:val="00F43AF2"/>
    <w:rsid w:val="00F50EC4"/>
    <w:rsid w:val="00F511F8"/>
    <w:rsid w:val="00F550CF"/>
    <w:rsid w:val="00F55D75"/>
    <w:rsid w:val="00F57A6D"/>
    <w:rsid w:val="00F638CC"/>
    <w:rsid w:val="00F64CC1"/>
    <w:rsid w:val="00F64CD2"/>
    <w:rsid w:val="00F72317"/>
    <w:rsid w:val="00F736FB"/>
    <w:rsid w:val="00F77DD9"/>
    <w:rsid w:val="00F80475"/>
    <w:rsid w:val="00F821B4"/>
    <w:rsid w:val="00F8247A"/>
    <w:rsid w:val="00F82D87"/>
    <w:rsid w:val="00F94624"/>
    <w:rsid w:val="00F955D5"/>
    <w:rsid w:val="00F9629A"/>
    <w:rsid w:val="00F97EFC"/>
    <w:rsid w:val="00FA5883"/>
    <w:rsid w:val="00FA6055"/>
    <w:rsid w:val="00FB0A0F"/>
    <w:rsid w:val="00FB322F"/>
    <w:rsid w:val="00FB442F"/>
    <w:rsid w:val="00FB6BAB"/>
    <w:rsid w:val="00FC12E6"/>
    <w:rsid w:val="00FC1929"/>
    <w:rsid w:val="00FC5B46"/>
    <w:rsid w:val="00FD6D8E"/>
    <w:rsid w:val="00FD721D"/>
    <w:rsid w:val="00FE0E94"/>
    <w:rsid w:val="00FE2F74"/>
    <w:rsid w:val="00FF00BD"/>
    <w:rsid w:val="00FF1457"/>
    <w:rsid w:val="00FF164D"/>
    <w:rsid w:val="00FF1DD5"/>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750094"/>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871CDE"/>
    <w:pPr>
      <w:spacing w:before="240" w:after="60"/>
      <w:outlineLvl w:val="4"/>
    </w:pPr>
    <w:rPr>
      <w:rFonts w:asciiTheme="minorHAnsi" w:hAnsiTheme="minorHAnsi"/>
      <w:b/>
      <w:bCs/>
      <w:i/>
      <w:iCs/>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uiPriority w:val="11"/>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176CF"/>
    <w:rPr>
      <w:rFonts w:ascii="Arial Narrow" w:hAnsi="Arial Narrow"/>
      <w:b/>
      <w:sz w:val="20"/>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330509"/>
    <w:pPr>
      <w:spacing w:after="160"/>
      <w:contextualSpacing/>
    </w:pPr>
    <w:rPr>
      <w:rFonts w:ascii="Arial Narrow" w:hAnsi="Arial Narrow"/>
      <w:sz w:val="18"/>
    </w:rPr>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750094"/>
    <w:rPr>
      <w:rFonts w:asciiTheme="minorHAnsi" w:eastAsiaTheme="majorEastAsia" w:hAnsiTheme="minorHAnsi" w:cstheme="majorBidi"/>
      <w:b/>
      <w:i/>
      <w:sz w:val="28"/>
      <w:szCs w:val="28"/>
      <w:lang w:eastAsia="en-US"/>
    </w:rPr>
  </w:style>
  <w:style w:type="paragraph" w:styleId="Caption">
    <w:name w:val="caption"/>
    <w:basedOn w:val="Normal"/>
    <w:next w:val="Normal"/>
    <w:unhideWhenUsed/>
    <w:qFormat/>
    <w:rsid w:val="00494192"/>
    <w:pPr>
      <w:spacing w:after="200"/>
    </w:pPr>
    <w:rPr>
      <w:b/>
      <w:bCs/>
      <w:color w:val="4F81BD" w:themeColor="accent1"/>
      <w:sz w:val="18"/>
      <w:szCs w:val="18"/>
    </w:rPr>
  </w:style>
  <w:style w:type="paragraph" w:customStyle="1" w:styleId="TableFooter">
    <w:name w:val="Table Footer"/>
    <w:basedOn w:val="Normal"/>
    <w:uiPriority w:val="4"/>
    <w:qFormat/>
    <w:rsid w:val="00494192"/>
    <w:pPr>
      <w:widowControl w:val="0"/>
      <w:jc w:val="both"/>
    </w:pPr>
    <w:rPr>
      <w:rFonts w:ascii="Arial Narrow" w:hAnsi="Arial Narrow" w:cs="Arial"/>
      <w:snapToGrid w:val="0"/>
      <w:sz w:val="18"/>
      <w:szCs w:val="20"/>
      <w:lang w:eastAsia="en-US"/>
    </w:rPr>
  </w:style>
  <w:style w:type="paragraph" w:styleId="Revision">
    <w:name w:val="Revision"/>
    <w:hidden/>
    <w:uiPriority w:val="71"/>
    <w:rsid w:val="00A013D3"/>
    <w:rPr>
      <w:sz w:val="24"/>
      <w:szCs w:val="24"/>
    </w:rPr>
  </w:style>
  <w:style w:type="paragraph" w:styleId="NormalWeb">
    <w:name w:val="Normal (Web)"/>
    <w:basedOn w:val="Normal"/>
    <w:uiPriority w:val="99"/>
    <w:unhideWhenUsed/>
    <w:rsid w:val="008474E3"/>
    <w:pPr>
      <w:spacing w:before="100" w:beforeAutospacing="1" w:after="100" w:afterAutospacing="1"/>
    </w:pPr>
    <w:rPr>
      <w:lang w:val="en-US" w:eastAsia="en-US"/>
    </w:rPr>
  </w:style>
  <w:style w:type="paragraph" w:styleId="FootnoteText">
    <w:name w:val="footnote text"/>
    <w:basedOn w:val="Normal"/>
    <w:link w:val="FootnoteTextChar"/>
    <w:rsid w:val="00E445E2"/>
    <w:rPr>
      <w:sz w:val="20"/>
      <w:szCs w:val="20"/>
    </w:rPr>
  </w:style>
  <w:style w:type="character" w:customStyle="1" w:styleId="FootnoteTextChar">
    <w:name w:val="Footnote Text Char"/>
    <w:basedOn w:val="DefaultParagraphFont"/>
    <w:link w:val="FootnoteText"/>
    <w:rsid w:val="00E445E2"/>
  </w:style>
  <w:style w:type="character" w:styleId="FootnoteReference">
    <w:name w:val="footnote reference"/>
    <w:basedOn w:val="DefaultParagraphFont"/>
    <w:rsid w:val="00E445E2"/>
    <w:rPr>
      <w:vertAlign w:val="superscript"/>
    </w:rPr>
  </w:style>
  <w:style w:type="character" w:styleId="FollowedHyperlink">
    <w:name w:val="FollowedHyperlink"/>
    <w:basedOn w:val="DefaultParagraphFont"/>
    <w:rsid w:val="001A38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750094"/>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871CDE"/>
    <w:pPr>
      <w:spacing w:before="240" w:after="60"/>
      <w:outlineLvl w:val="4"/>
    </w:pPr>
    <w:rPr>
      <w:rFonts w:asciiTheme="minorHAnsi" w:hAnsiTheme="minorHAnsi"/>
      <w:b/>
      <w:bCs/>
      <w:i/>
      <w:iCs/>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uiPriority w:val="11"/>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176CF"/>
    <w:rPr>
      <w:rFonts w:ascii="Arial Narrow" w:hAnsi="Arial Narrow"/>
      <w:b/>
      <w:sz w:val="20"/>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330509"/>
    <w:pPr>
      <w:spacing w:after="160"/>
      <w:contextualSpacing/>
    </w:pPr>
    <w:rPr>
      <w:rFonts w:ascii="Arial Narrow" w:hAnsi="Arial Narrow"/>
      <w:sz w:val="18"/>
    </w:rPr>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750094"/>
    <w:rPr>
      <w:rFonts w:asciiTheme="minorHAnsi" w:eastAsiaTheme="majorEastAsia" w:hAnsiTheme="minorHAnsi" w:cstheme="majorBidi"/>
      <w:b/>
      <w:i/>
      <w:sz w:val="28"/>
      <w:szCs w:val="28"/>
      <w:lang w:eastAsia="en-US"/>
    </w:rPr>
  </w:style>
  <w:style w:type="paragraph" w:styleId="Caption">
    <w:name w:val="caption"/>
    <w:basedOn w:val="Normal"/>
    <w:next w:val="Normal"/>
    <w:unhideWhenUsed/>
    <w:qFormat/>
    <w:rsid w:val="00494192"/>
    <w:pPr>
      <w:spacing w:after="200"/>
    </w:pPr>
    <w:rPr>
      <w:b/>
      <w:bCs/>
      <w:color w:val="4F81BD" w:themeColor="accent1"/>
      <w:sz w:val="18"/>
      <w:szCs w:val="18"/>
    </w:rPr>
  </w:style>
  <w:style w:type="paragraph" w:customStyle="1" w:styleId="TableFooter">
    <w:name w:val="Table Footer"/>
    <w:basedOn w:val="Normal"/>
    <w:uiPriority w:val="4"/>
    <w:qFormat/>
    <w:rsid w:val="00494192"/>
    <w:pPr>
      <w:widowControl w:val="0"/>
      <w:jc w:val="both"/>
    </w:pPr>
    <w:rPr>
      <w:rFonts w:ascii="Arial Narrow" w:hAnsi="Arial Narrow" w:cs="Arial"/>
      <w:snapToGrid w:val="0"/>
      <w:sz w:val="18"/>
      <w:szCs w:val="20"/>
      <w:lang w:eastAsia="en-US"/>
    </w:rPr>
  </w:style>
  <w:style w:type="paragraph" w:styleId="Revision">
    <w:name w:val="Revision"/>
    <w:hidden/>
    <w:uiPriority w:val="71"/>
    <w:rsid w:val="00A013D3"/>
    <w:rPr>
      <w:sz w:val="24"/>
      <w:szCs w:val="24"/>
    </w:rPr>
  </w:style>
  <w:style w:type="paragraph" w:styleId="NormalWeb">
    <w:name w:val="Normal (Web)"/>
    <w:basedOn w:val="Normal"/>
    <w:uiPriority w:val="99"/>
    <w:unhideWhenUsed/>
    <w:rsid w:val="008474E3"/>
    <w:pPr>
      <w:spacing w:before="100" w:beforeAutospacing="1" w:after="100" w:afterAutospacing="1"/>
    </w:pPr>
    <w:rPr>
      <w:lang w:val="en-US" w:eastAsia="en-US"/>
    </w:rPr>
  </w:style>
  <w:style w:type="paragraph" w:styleId="FootnoteText">
    <w:name w:val="footnote text"/>
    <w:basedOn w:val="Normal"/>
    <w:link w:val="FootnoteTextChar"/>
    <w:rsid w:val="00E445E2"/>
    <w:rPr>
      <w:sz w:val="20"/>
      <w:szCs w:val="20"/>
    </w:rPr>
  </w:style>
  <w:style w:type="character" w:customStyle="1" w:styleId="FootnoteTextChar">
    <w:name w:val="Footnote Text Char"/>
    <w:basedOn w:val="DefaultParagraphFont"/>
    <w:link w:val="FootnoteText"/>
    <w:rsid w:val="00E445E2"/>
  </w:style>
  <w:style w:type="character" w:styleId="FootnoteReference">
    <w:name w:val="footnote reference"/>
    <w:basedOn w:val="DefaultParagraphFont"/>
    <w:rsid w:val="00E445E2"/>
    <w:rPr>
      <w:vertAlign w:val="superscript"/>
    </w:rPr>
  </w:style>
  <w:style w:type="character" w:styleId="FollowedHyperlink">
    <w:name w:val="FollowedHyperlink"/>
    <w:basedOn w:val="DefaultParagraphFont"/>
    <w:rsid w:val="001A38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7190468">
      <w:bodyDiv w:val="1"/>
      <w:marLeft w:val="0"/>
      <w:marRight w:val="0"/>
      <w:marTop w:val="0"/>
      <w:marBottom w:val="0"/>
      <w:divBdr>
        <w:top w:val="none" w:sz="0" w:space="0" w:color="auto"/>
        <w:left w:val="none" w:sz="0" w:space="0" w:color="auto"/>
        <w:bottom w:val="none" w:sz="0" w:space="0" w:color="auto"/>
        <w:right w:val="none" w:sz="0" w:space="0" w:color="auto"/>
      </w:divBdr>
      <w:divsChild>
        <w:div w:id="541139916">
          <w:marLeft w:val="1166"/>
          <w:marRight w:val="0"/>
          <w:marTop w:val="134"/>
          <w:marBottom w:val="0"/>
          <w:divBdr>
            <w:top w:val="none" w:sz="0" w:space="0" w:color="auto"/>
            <w:left w:val="none" w:sz="0" w:space="0" w:color="auto"/>
            <w:bottom w:val="none" w:sz="0" w:space="0" w:color="auto"/>
            <w:right w:val="none" w:sz="0" w:space="0" w:color="auto"/>
          </w:divBdr>
        </w:div>
        <w:div w:id="818040272">
          <w:marLeft w:val="1166"/>
          <w:marRight w:val="0"/>
          <w:marTop w:val="134"/>
          <w:marBottom w:val="0"/>
          <w:divBdr>
            <w:top w:val="none" w:sz="0" w:space="0" w:color="auto"/>
            <w:left w:val="none" w:sz="0" w:space="0" w:color="auto"/>
            <w:bottom w:val="none" w:sz="0" w:space="0" w:color="auto"/>
            <w:right w:val="none" w:sz="0" w:space="0" w:color="auto"/>
          </w:divBdr>
        </w:div>
        <w:div w:id="1026949280">
          <w:marLeft w:val="1166"/>
          <w:marRight w:val="0"/>
          <w:marTop w:val="134"/>
          <w:marBottom w:val="0"/>
          <w:divBdr>
            <w:top w:val="none" w:sz="0" w:space="0" w:color="auto"/>
            <w:left w:val="none" w:sz="0" w:space="0" w:color="auto"/>
            <w:bottom w:val="none" w:sz="0" w:space="0" w:color="auto"/>
            <w:right w:val="none" w:sz="0" w:space="0" w:color="auto"/>
          </w:divBdr>
        </w:div>
      </w:divsChild>
    </w:div>
    <w:div w:id="521480919">
      <w:bodyDiv w:val="1"/>
      <w:marLeft w:val="0"/>
      <w:marRight w:val="0"/>
      <w:marTop w:val="0"/>
      <w:marBottom w:val="0"/>
      <w:divBdr>
        <w:top w:val="none" w:sz="0" w:space="0" w:color="auto"/>
        <w:left w:val="none" w:sz="0" w:space="0" w:color="auto"/>
        <w:bottom w:val="none" w:sz="0" w:space="0" w:color="auto"/>
        <w:right w:val="none" w:sz="0" w:space="0" w:color="auto"/>
      </w:divBdr>
    </w:div>
    <w:div w:id="73100568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82695267">
      <w:bodyDiv w:val="1"/>
      <w:marLeft w:val="0"/>
      <w:marRight w:val="0"/>
      <w:marTop w:val="0"/>
      <w:marBottom w:val="0"/>
      <w:divBdr>
        <w:top w:val="none" w:sz="0" w:space="0" w:color="auto"/>
        <w:left w:val="none" w:sz="0" w:space="0" w:color="auto"/>
        <w:bottom w:val="none" w:sz="0" w:space="0" w:color="auto"/>
        <w:right w:val="none" w:sz="0" w:space="0" w:color="auto"/>
      </w:divBdr>
    </w:div>
    <w:div w:id="160550368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55474699">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E60DF-2CAD-46B4-B1E7-0B182F903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9275</Words>
  <Characters>52934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2018-06-18T05:41:00Z</dcterms:created>
  <dcterms:modified xsi:type="dcterms:W3CDTF">2018-06-22T00:18:00Z</dcterms:modified>
</cp:coreProperties>
</file>