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6A" w:rsidRDefault="008F712C" w:rsidP="00D005BF">
      <w:pPr>
        <w:outlineLvl w:val="0"/>
        <w:rPr>
          <w:b/>
          <w:sz w:val="36"/>
          <w:szCs w:val="36"/>
        </w:rPr>
      </w:pPr>
      <w:r>
        <w:rPr>
          <w:b/>
          <w:sz w:val="36"/>
          <w:szCs w:val="36"/>
        </w:rPr>
        <w:t>6</w:t>
      </w:r>
      <w:r w:rsidR="00433044" w:rsidRPr="00C12C14">
        <w:rPr>
          <w:b/>
          <w:sz w:val="36"/>
          <w:szCs w:val="36"/>
        </w:rPr>
        <w:t>.</w:t>
      </w:r>
      <w:r>
        <w:rPr>
          <w:b/>
          <w:sz w:val="36"/>
          <w:szCs w:val="36"/>
        </w:rPr>
        <w:t>02</w:t>
      </w:r>
      <w:r w:rsidR="00B60939" w:rsidRPr="00C12C14">
        <w:rPr>
          <w:b/>
          <w:sz w:val="36"/>
          <w:szCs w:val="36"/>
        </w:rPr>
        <w:tab/>
      </w:r>
      <w:r w:rsidR="0067003D">
        <w:rPr>
          <w:b/>
          <w:sz w:val="36"/>
          <w:szCs w:val="36"/>
        </w:rPr>
        <w:t>DEXAMETHASONE</w:t>
      </w:r>
      <w:r w:rsidR="00B60939" w:rsidRPr="00C12C14">
        <w:rPr>
          <w:b/>
          <w:sz w:val="36"/>
          <w:szCs w:val="36"/>
        </w:rPr>
        <w:t xml:space="preserve">, </w:t>
      </w:r>
    </w:p>
    <w:p w:rsidR="00C022BF" w:rsidRDefault="002C220E" w:rsidP="00E8446A">
      <w:pPr>
        <w:ind w:firstLine="720"/>
        <w:rPr>
          <w:b/>
          <w:sz w:val="36"/>
          <w:szCs w:val="36"/>
        </w:rPr>
      </w:pPr>
      <w:r>
        <w:rPr>
          <w:b/>
          <w:sz w:val="36"/>
          <w:szCs w:val="36"/>
        </w:rPr>
        <w:t>i</w:t>
      </w:r>
      <w:r w:rsidRPr="002C220E">
        <w:rPr>
          <w:b/>
          <w:sz w:val="36"/>
          <w:szCs w:val="36"/>
        </w:rPr>
        <w:t>ntravitreal injection 700 micrograms</w:t>
      </w:r>
      <w:r w:rsidR="00B60939" w:rsidRPr="00C12C14">
        <w:rPr>
          <w:b/>
          <w:sz w:val="36"/>
          <w:szCs w:val="36"/>
        </w:rPr>
        <w:t xml:space="preserve">, </w:t>
      </w:r>
    </w:p>
    <w:p w:rsidR="00E8446A" w:rsidRDefault="0067003D" w:rsidP="00E8446A">
      <w:pPr>
        <w:ind w:firstLine="720"/>
        <w:rPr>
          <w:b/>
          <w:sz w:val="36"/>
          <w:szCs w:val="36"/>
        </w:rPr>
      </w:pPr>
      <w:r>
        <w:rPr>
          <w:b/>
          <w:sz w:val="36"/>
          <w:szCs w:val="36"/>
        </w:rPr>
        <w:t>Ozurdex</w:t>
      </w:r>
      <w:r w:rsidR="00B60939" w:rsidRPr="00C12C14">
        <w:rPr>
          <w:b/>
          <w:sz w:val="36"/>
          <w:szCs w:val="36"/>
          <w:vertAlign w:val="superscript"/>
        </w:rPr>
        <w:t>®</w:t>
      </w:r>
      <w:r w:rsidR="00B60939" w:rsidRPr="00C12C14">
        <w:rPr>
          <w:b/>
          <w:sz w:val="36"/>
          <w:szCs w:val="36"/>
        </w:rPr>
        <w:t>,</w:t>
      </w:r>
    </w:p>
    <w:p w:rsidR="00B60939" w:rsidRPr="00C12C14" w:rsidRDefault="0067003D" w:rsidP="00E8446A">
      <w:pPr>
        <w:ind w:firstLine="720"/>
        <w:rPr>
          <w:b/>
          <w:sz w:val="36"/>
          <w:szCs w:val="36"/>
        </w:rPr>
      </w:pPr>
      <w:r>
        <w:rPr>
          <w:b/>
          <w:sz w:val="36"/>
          <w:szCs w:val="36"/>
        </w:rPr>
        <w:t>Allergan</w:t>
      </w:r>
      <w:r w:rsidR="00C022BF">
        <w:rPr>
          <w:b/>
          <w:sz w:val="36"/>
          <w:szCs w:val="36"/>
        </w:rPr>
        <w:t xml:space="preserve"> Australia Pty Ltd.</w:t>
      </w:r>
    </w:p>
    <w:p w:rsidR="00433044" w:rsidRDefault="00433044" w:rsidP="00281014">
      <w:pPr>
        <w:pStyle w:val="BodyText"/>
      </w:pPr>
    </w:p>
    <w:p w:rsidR="00B60939" w:rsidRPr="00882085" w:rsidRDefault="00B50DB8" w:rsidP="00B60939">
      <w:pPr>
        <w:pStyle w:val="PBACHeading1"/>
      </w:pPr>
      <w:bookmarkStart w:id="0" w:name="_Toc503967468"/>
      <w:r w:rsidRPr="00407F2D">
        <w:t>Purpose of Application</w:t>
      </w:r>
      <w:bookmarkEnd w:id="0"/>
    </w:p>
    <w:p w:rsidR="002C2775" w:rsidRPr="005750DF" w:rsidRDefault="00B4604B" w:rsidP="00361734">
      <w:pPr>
        <w:pStyle w:val="ListParagraph"/>
        <w:widowControl/>
        <w:numPr>
          <w:ilvl w:val="1"/>
          <w:numId w:val="1"/>
        </w:numPr>
      </w:pPr>
      <w:r>
        <w:t xml:space="preserve">The submission requested an </w:t>
      </w:r>
      <w:r w:rsidR="008B1757" w:rsidRPr="004B3DDB">
        <w:t>Authority Required</w:t>
      </w:r>
      <w:r>
        <w:t xml:space="preserve"> </w:t>
      </w:r>
      <w:r w:rsidR="008B1757" w:rsidRPr="004B3DDB">
        <w:t xml:space="preserve">listing for </w:t>
      </w:r>
      <w:r>
        <w:t xml:space="preserve">dexamethasone posterior segment drug delivery system 700 </w:t>
      </w:r>
      <w:r>
        <w:rPr>
          <w:rFonts w:cs="Calibri"/>
        </w:rPr>
        <w:t>µ</w:t>
      </w:r>
      <w:r>
        <w:t xml:space="preserve">g (referred to in the submission as dexamethasone implant) </w:t>
      </w:r>
      <w:r w:rsidR="008B1757" w:rsidRPr="004B3DDB">
        <w:t>for</w:t>
      </w:r>
      <w:r>
        <w:t xml:space="preserve"> the</w:t>
      </w:r>
      <w:r w:rsidR="008B1757" w:rsidRPr="004B3DDB">
        <w:t xml:space="preserve"> treatment of </w:t>
      </w:r>
      <w:r>
        <w:t>macular oedema secondary to central or branch retinal vein occlusion</w:t>
      </w:r>
      <w:r w:rsidR="008B1757" w:rsidRPr="004B3DDB">
        <w:t>.</w:t>
      </w:r>
    </w:p>
    <w:p w:rsidR="005750DF" w:rsidRPr="00014E52" w:rsidRDefault="005750DF" w:rsidP="00361734">
      <w:pPr>
        <w:pStyle w:val="ListParagraph"/>
        <w:widowControl/>
        <w:numPr>
          <w:ilvl w:val="1"/>
          <w:numId w:val="1"/>
        </w:numPr>
      </w:pPr>
      <w:r w:rsidRPr="005750DF">
        <w:t xml:space="preserve">The submission included </w:t>
      </w:r>
      <w:r w:rsidR="0083360F">
        <w:t>a copy of correspondence with the MSAC secretariat</w:t>
      </w:r>
      <w:r w:rsidRPr="005750DF">
        <w:t xml:space="preserve"> suggesting a coordinated submission to MSAC would be made </w:t>
      </w:r>
      <w:r w:rsidR="0083360F">
        <w:t xml:space="preserve">by the sponsor </w:t>
      </w:r>
      <w:r w:rsidRPr="005750DF">
        <w:t>for the subsidy of optical coherence tomography (OCT) for the purposes of confirming eligibility for treatment with dexamethasone implant</w:t>
      </w:r>
      <w:r w:rsidR="00FD57D9">
        <w:t>. It wa</w:t>
      </w:r>
      <w:r w:rsidRPr="005750DF">
        <w:t xml:space="preserve">s proposed to amend </w:t>
      </w:r>
      <w:r w:rsidR="00273F12">
        <w:t xml:space="preserve">MBS </w:t>
      </w:r>
      <w:r w:rsidRPr="005750DF">
        <w:t>item 11219 to accom</w:t>
      </w:r>
      <w:bookmarkStart w:id="1" w:name="_GoBack"/>
      <w:bookmarkEnd w:id="1"/>
      <w:r w:rsidRPr="005750DF">
        <w:t xml:space="preserve">modate the following population: </w:t>
      </w:r>
      <w:r w:rsidRPr="005750DF">
        <w:rPr>
          <w:bCs/>
        </w:rPr>
        <w:t xml:space="preserve">central or branch retinal vein occlusion for access to initial treatment with dexamethasone </w:t>
      </w:r>
      <w:r w:rsidR="0083360F" w:rsidRPr="0083360F">
        <w:rPr>
          <w:bCs/>
        </w:rPr>
        <w:t>in patients who are contraindicated or unsuitable for ranibizumab and aflibercept.</w:t>
      </w:r>
      <w:r w:rsidR="0083360F">
        <w:rPr>
          <w:bCs/>
        </w:rPr>
        <w:t xml:space="preserve"> </w:t>
      </w:r>
      <w:r w:rsidR="0083360F" w:rsidRPr="00014E52">
        <w:rPr>
          <w:bCs/>
        </w:rPr>
        <w:t xml:space="preserve">This amendment does not include patients who have failed treatment with VEGF inhibitors; </w:t>
      </w:r>
      <w:r w:rsidR="008D21B7" w:rsidRPr="00014E52">
        <w:rPr>
          <w:bCs/>
        </w:rPr>
        <w:t xml:space="preserve">the correspondence assumed that an OCT conducted on patients for VEGF </w:t>
      </w:r>
      <w:r w:rsidR="008327F6" w:rsidRPr="00014E52">
        <w:rPr>
          <w:bCs/>
        </w:rPr>
        <w:t xml:space="preserve">inhibitor </w:t>
      </w:r>
      <w:r w:rsidR="008D21B7" w:rsidRPr="00014E52">
        <w:rPr>
          <w:bCs/>
        </w:rPr>
        <w:t>eligibility will have already been done, and thus an additional OCT will not be necessary.</w:t>
      </w:r>
    </w:p>
    <w:p w:rsidR="00D005BF" w:rsidRDefault="005750DF" w:rsidP="00D005BF">
      <w:pPr>
        <w:pStyle w:val="ListParagraph"/>
        <w:widowControl/>
        <w:numPr>
          <w:ilvl w:val="1"/>
          <w:numId w:val="1"/>
        </w:numPr>
        <w:spacing w:after="120"/>
      </w:pPr>
      <w:r>
        <w:t>Listing was requested on the basis of a cost analysis over 3, 6, 12, or 36 months compared to vascular endothelial growth factor (VEGF) inhibitors.</w:t>
      </w:r>
    </w:p>
    <w:p w:rsidR="00D005BF" w:rsidRDefault="00D005BF" w:rsidP="00D005BF">
      <w:pPr>
        <w:widowControl/>
        <w:jc w:val="left"/>
      </w:pPr>
      <w:r>
        <w:br w:type="page"/>
      </w:r>
    </w:p>
    <w:p w:rsidR="008B1757" w:rsidRPr="008B1757" w:rsidRDefault="008B1757" w:rsidP="008B1757">
      <w:pPr>
        <w:rPr>
          <w:rStyle w:val="CommentReference"/>
        </w:rPr>
      </w:pPr>
      <w:r>
        <w:rPr>
          <w:rStyle w:val="CommentReference"/>
        </w:rPr>
        <w:lastRenderedPageBreak/>
        <w:t xml:space="preserve">Table </w:t>
      </w:r>
      <w:r w:rsidR="005750DF">
        <w:rPr>
          <w:rStyle w:val="CommentReference"/>
        </w:rPr>
        <w:t>1</w:t>
      </w:r>
      <w:r w:rsidR="00FE0983">
        <w:rPr>
          <w:rStyle w:val="CommentReference"/>
        </w:rPr>
        <w:t xml:space="preserve">: </w:t>
      </w:r>
      <w:r>
        <w:rPr>
          <w:rStyle w:val="CommentReference"/>
        </w:rPr>
        <w:t>Key components of the clinical issue addressed by the submission</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8150"/>
      </w:tblGrid>
      <w:tr w:rsidR="005750DF" w:rsidRPr="00A518F3" w:rsidTr="00D005BF">
        <w:trPr>
          <w:trHeight w:val="208"/>
        </w:trPr>
        <w:tc>
          <w:tcPr>
            <w:tcW w:w="1132" w:type="dxa"/>
            <w:vAlign w:val="center"/>
          </w:tcPr>
          <w:p w:rsidR="005750DF" w:rsidRPr="00A518F3" w:rsidRDefault="005750DF" w:rsidP="00882317">
            <w:pPr>
              <w:pStyle w:val="Tabletext"/>
              <w:rPr>
                <w:b/>
              </w:rPr>
            </w:pPr>
            <w:r w:rsidRPr="00A518F3">
              <w:rPr>
                <w:b/>
              </w:rPr>
              <w:t>Component</w:t>
            </w:r>
          </w:p>
        </w:tc>
        <w:tc>
          <w:tcPr>
            <w:tcW w:w="8149" w:type="dxa"/>
            <w:vAlign w:val="center"/>
          </w:tcPr>
          <w:p w:rsidR="005750DF" w:rsidRPr="00A518F3" w:rsidRDefault="005750DF" w:rsidP="00882317">
            <w:pPr>
              <w:pStyle w:val="Tabletext"/>
              <w:jc w:val="center"/>
              <w:rPr>
                <w:b/>
              </w:rPr>
            </w:pPr>
            <w:r w:rsidRPr="00A518F3">
              <w:rPr>
                <w:b/>
              </w:rPr>
              <w:t>Description</w:t>
            </w:r>
          </w:p>
        </w:tc>
      </w:tr>
      <w:tr w:rsidR="005750DF" w:rsidTr="00D005BF">
        <w:trPr>
          <w:trHeight w:val="638"/>
        </w:trPr>
        <w:tc>
          <w:tcPr>
            <w:tcW w:w="1132" w:type="dxa"/>
            <w:vAlign w:val="center"/>
          </w:tcPr>
          <w:p w:rsidR="005750DF" w:rsidRDefault="005750DF" w:rsidP="00882317">
            <w:pPr>
              <w:pStyle w:val="Tabletext"/>
            </w:pPr>
            <w:r>
              <w:t>Population</w:t>
            </w:r>
          </w:p>
        </w:tc>
        <w:tc>
          <w:tcPr>
            <w:tcW w:w="8149" w:type="dxa"/>
            <w:vAlign w:val="center"/>
          </w:tcPr>
          <w:p w:rsidR="005750DF" w:rsidRDefault="005750DF" w:rsidP="00882317">
            <w:pPr>
              <w:pStyle w:val="Tabletext"/>
            </w:pPr>
            <w:r w:rsidRPr="000E5A31">
              <w:t>Patients with macular oedema secondary to either central retinal vein occlusion (CRVO) or branch retinal vein occlusion (BRVO) where patients are contraindicated</w:t>
            </w:r>
            <w:r>
              <w:t xml:space="preserve"> to</w:t>
            </w:r>
            <w:r w:rsidRPr="000E5A31">
              <w:t>, unsuitable for or have failed prior treatment with VEGF inhibitors.</w:t>
            </w:r>
          </w:p>
        </w:tc>
      </w:tr>
      <w:tr w:rsidR="005750DF" w:rsidTr="00D005BF">
        <w:trPr>
          <w:trHeight w:val="208"/>
        </w:trPr>
        <w:tc>
          <w:tcPr>
            <w:tcW w:w="1132" w:type="dxa"/>
            <w:vAlign w:val="center"/>
          </w:tcPr>
          <w:p w:rsidR="005750DF" w:rsidRDefault="005750DF" w:rsidP="00882317">
            <w:pPr>
              <w:pStyle w:val="Tabletext"/>
            </w:pPr>
            <w:r>
              <w:t>Intervention</w:t>
            </w:r>
          </w:p>
        </w:tc>
        <w:tc>
          <w:tcPr>
            <w:tcW w:w="8149" w:type="dxa"/>
            <w:vAlign w:val="center"/>
          </w:tcPr>
          <w:p w:rsidR="005750DF" w:rsidRDefault="005750DF" w:rsidP="00882317">
            <w:pPr>
              <w:pStyle w:val="Tabletext"/>
            </w:pPr>
            <w:r>
              <w:t>Dexamethasone intravitreal implant (700 µg)</w:t>
            </w:r>
          </w:p>
        </w:tc>
      </w:tr>
      <w:tr w:rsidR="005750DF" w:rsidTr="00D005BF">
        <w:trPr>
          <w:trHeight w:val="1067"/>
        </w:trPr>
        <w:tc>
          <w:tcPr>
            <w:tcW w:w="1132" w:type="dxa"/>
            <w:vAlign w:val="center"/>
          </w:tcPr>
          <w:p w:rsidR="005750DF" w:rsidRDefault="005750DF" w:rsidP="00882317">
            <w:pPr>
              <w:pStyle w:val="Tabletext"/>
            </w:pPr>
            <w:r>
              <w:t>Comparator</w:t>
            </w:r>
          </w:p>
        </w:tc>
        <w:tc>
          <w:tcPr>
            <w:tcW w:w="8149" w:type="dxa"/>
            <w:vAlign w:val="center"/>
          </w:tcPr>
          <w:p w:rsidR="005750DF" w:rsidRDefault="005750DF" w:rsidP="00882317">
            <w:pPr>
              <w:pStyle w:val="Tabletext"/>
            </w:pPr>
            <w:r>
              <w:t>Sham injection (as a proxy for no active treatment such as a patient managed by observation when VEGF inhibitors are contraindicated, have failed, or are otherwise unsuitable)</w:t>
            </w:r>
          </w:p>
          <w:p w:rsidR="005750DF" w:rsidRDefault="005750DF" w:rsidP="00882317">
            <w:pPr>
              <w:pStyle w:val="Tabletext"/>
            </w:pPr>
            <w:r>
              <w:t>VEGF inhibitors (ranibizumab and aflibercept) in patients who could use a VEGF inhibitor but in whom such treatment is not preferred (for example, due to patient preference or logistical reasons relating to the frequency of VEGF inhibitor injections)</w:t>
            </w:r>
          </w:p>
        </w:tc>
      </w:tr>
      <w:tr w:rsidR="005750DF" w:rsidTr="00D005BF">
        <w:trPr>
          <w:trHeight w:val="1055"/>
        </w:trPr>
        <w:tc>
          <w:tcPr>
            <w:tcW w:w="1132" w:type="dxa"/>
            <w:tcBorders>
              <w:bottom w:val="single" w:sz="4" w:space="0" w:color="auto"/>
            </w:tcBorders>
            <w:vAlign w:val="center"/>
          </w:tcPr>
          <w:p w:rsidR="005750DF" w:rsidRDefault="005750DF" w:rsidP="00882317">
            <w:pPr>
              <w:pStyle w:val="Tabletext"/>
            </w:pPr>
            <w:r>
              <w:t>Outcomes</w:t>
            </w:r>
          </w:p>
        </w:tc>
        <w:tc>
          <w:tcPr>
            <w:tcW w:w="8149" w:type="dxa"/>
            <w:tcBorders>
              <w:bottom w:val="single" w:sz="4" w:space="0" w:color="auto"/>
            </w:tcBorders>
            <w:vAlign w:val="center"/>
          </w:tcPr>
          <w:p w:rsidR="005750DF" w:rsidRDefault="005750DF" w:rsidP="00882317">
            <w:pPr>
              <w:pStyle w:val="Tabletext"/>
            </w:pPr>
            <w:r>
              <w:t>Improvement in best corrected visual acuity (BCVA) in the affected eye</w:t>
            </w:r>
          </w:p>
          <w:p w:rsidR="005750DF" w:rsidRDefault="005750DF" w:rsidP="00882317">
            <w:pPr>
              <w:pStyle w:val="Tabletext"/>
            </w:pPr>
            <w:r>
              <w:t xml:space="preserve">Proportion of </w:t>
            </w:r>
            <w:r w:rsidR="00A21BD0">
              <w:t>eyes</w:t>
            </w:r>
            <w:r>
              <w:t xml:space="preserve"> with ≥10 and ≥15 letter gains in BCVA in the affected eye</w:t>
            </w:r>
          </w:p>
          <w:p w:rsidR="005750DF" w:rsidRDefault="005750DF" w:rsidP="00882317">
            <w:pPr>
              <w:pStyle w:val="Tabletext"/>
            </w:pPr>
            <w:r>
              <w:t>Reduction of macular oedema (assessed by central retinal thickness)</w:t>
            </w:r>
          </w:p>
          <w:p w:rsidR="00273F12" w:rsidRDefault="00273F12" w:rsidP="00882317">
            <w:pPr>
              <w:pStyle w:val="Tabletext"/>
            </w:pPr>
            <w:r>
              <w:t>Quality of life (Visual Function Questionnaire-25)</w:t>
            </w:r>
          </w:p>
          <w:p w:rsidR="005750DF" w:rsidRDefault="005750DF" w:rsidP="00882317">
            <w:pPr>
              <w:pStyle w:val="Tabletext"/>
            </w:pPr>
            <w:r>
              <w:t>Adverse events</w:t>
            </w:r>
          </w:p>
        </w:tc>
      </w:tr>
      <w:tr w:rsidR="005750DF" w:rsidTr="00D005BF">
        <w:trPr>
          <w:trHeight w:val="859"/>
        </w:trPr>
        <w:tc>
          <w:tcPr>
            <w:tcW w:w="1132" w:type="dxa"/>
            <w:tcBorders>
              <w:bottom w:val="single" w:sz="4" w:space="0" w:color="auto"/>
            </w:tcBorders>
            <w:vAlign w:val="center"/>
          </w:tcPr>
          <w:p w:rsidR="005750DF" w:rsidRDefault="005750DF" w:rsidP="00882317">
            <w:pPr>
              <w:pStyle w:val="Tabletext"/>
            </w:pPr>
            <w:r>
              <w:t>Clinical claim</w:t>
            </w:r>
          </w:p>
        </w:tc>
        <w:tc>
          <w:tcPr>
            <w:tcW w:w="8149" w:type="dxa"/>
            <w:tcBorders>
              <w:bottom w:val="single" w:sz="4" w:space="0" w:color="auto"/>
            </w:tcBorders>
            <w:vAlign w:val="center"/>
          </w:tcPr>
          <w:p w:rsidR="005750DF" w:rsidRDefault="005750DF" w:rsidP="00882317">
            <w:pPr>
              <w:pStyle w:val="Tabletext"/>
            </w:pPr>
            <w:r>
              <w:t>Dexamethasone implant is superior in terms of effectiveness and inferior in terms of safety compared to placebo when used in the treatment of retinal vein occlusion.</w:t>
            </w:r>
          </w:p>
          <w:p w:rsidR="005750DF" w:rsidRDefault="002506DE" w:rsidP="002506DE">
            <w:pPr>
              <w:pStyle w:val="Tabletext"/>
            </w:pPr>
            <w:r>
              <w:t xml:space="preserve">Dexamethasone implant </w:t>
            </w:r>
            <w:r w:rsidR="005750DF">
              <w:t>is inferior in terms of both effectiveness and safety compared to VEGF inhibitors when used in the treatment of retinal vein occlusion.</w:t>
            </w:r>
          </w:p>
        </w:tc>
      </w:tr>
    </w:tbl>
    <w:p w:rsidR="005750DF" w:rsidRDefault="005750DF" w:rsidP="005750DF">
      <w:pPr>
        <w:pStyle w:val="TableFooter"/>
      </w:pPr>
      <w:r>
        <w:t>Source: Table 1.1.1, p.4 of the submission.</w:t>
      </w:r>
    </w:p>
    <w:p w:rsidR="004E43B2" w:rsidRDefault="005750DF" w:rsidP="00D34B93">
      <w:pPr>
        <w:pStyle w:val="TableFooter"/>
      </w:pPr>
      <w:r>
        <w:t>Abbreviations: VEGF, vascular endothel</w:t>
      </w:r>
      <w:r w:rsidR="00D34B93">
        <w:t>ial growth factor</w:t>
      </w:r>
    </w:p>
    <w:p w:rsidR="00D34B93" w:rsidRDefault="00D34B93" w:rsidP="00D34B93">
      <w:pPr>
        <w:pStyle w:val="TableFooter"/>
      </w:pPr>
    </w:p>
    <w:p w:rsidR="00A70600" w:rsidRPr="00D005BF" w:rsidRDefault="00B50DB8" w:rsidP="00617E12">
      <w:pPr>
        <w:pStyle w:val="PBACHeading1"/>
      </w:pPr>
      <w:bookmarkStart w:id="2" w:name="_Toc503967469"/>
      <w:r w:rsidRPr="00407F2D">
        <w:t>Requested listing</w:t>
      </w:r>
      <w:bookmarkEnd w:id="2"/>
    </w:p>
    <w:p w:rsidR="00617E12" w:rsidRDefault="00A70600" w:rsidP="00932528">
      <w:pPr>
        <w:spacing w:after="160"/>
        <w:rPr>
          <w:rFonts w:ascii="Arial" w:hAnsi="Arial"/>
          <w:sz w:val="22"/>
        </w:rPr>
      </w:pPr>
      <w:r w:rsidRPr="00A70600">
        <w:rPr>
          <w:rFonts w:ascii="Arial" w:hAnsi="Arial"/>
          <w:sz w:val="22"/>
        </w:rPr>
        <w:t>Suggestions and additions proposed by the Secretariat to the requested listing are added in italics</w:t>
      </w:r>
      <w:r>
        <w:rPr>
          <w:rFonts w:ascii="Arial" w:hAnsi="Arial"/>
          <w:sz w:val="22"/>
        </w:rPr>
        <w:t>.</w:t>
      </w:r>
    </w:p>
    <w:tbl>
      <w:tblPr>
        <w:tblW w:w="4977" w:type="pct"/>
        <w:tblInd w:w="28" w:type="dxa"/>
        <w:tblCellMar>
          <w:left w:w="28" w:type="dxa"/>
          <w:right w:w="28" w:type="dxa"/>
        </w:tblCellMar>
        <w:tblLook w:val="0000" w:firstRow="0" w:lastRow="0" w:firstColumn="0" w:lastColumn="0" w:noHBand="0" w:noVBand="0"/>
      </w:tblPr>
      <w:tblGrid>
        <w:gridCol w:w="1843"/>
        <w:gridCol w:w="1528"/>
        <w:gridCol w:w="1079"/>
        <w:gridCol w:w="837"/>
        <w:gridCol w:w="1512"/>
        <w:gridCol w:w="1139"/>
        <w:gridCol w:w="1103"/>
      </w:tblGrid>
      <w:tr w:rsidR="003517F9" w:rsidRPr="00413860" w:rsidTr="00EF0F01">
        <w:trPr>
          <w:cantSplit/>
          <w:trHeight w:val="463"/>
        </w:trPr>
        <w:tc>
          <w:tcPr>
            <w:tcW w:w="1864" w:type="pct"/>
            <w:gridSpan w:val="2"/>
            <w:tcBorders>
              <w:top w:val="single" w:sz="4" w:space="0" w:color="auto"/>
              <w:bottom w:val="single" w:sz="4" w:space="0" w:color="auto"/>
            </w:tcBorders>
            <w:vAlign w:val="center"/>
          </w:tcPr>
          <w:p w:rsidR="00617E12" w:rsidRPr="00C7151A" w:rsidRDefault="00617E12" w:rsidP="00617E12">
            <w:pPr>
              <w:keepNext/>
              <w:jc w:val="left"/>
              <w:rPr>
                <w:rFonts w:ascii="Arial Narrow" w:hAnsi="Arial Narrow"/>
                <w:b/>
                <w:sz w:val="20"/>
              </w:rPr>
            </w:pPr>
            <w:r w:rsidRPr="00C7151A">
              <w:rPr>
                <w:rFonts w:ascii="Arial Narrow" w:hAnsi="Arial Narrow"/>
                <w:b/>
                <w:sz w:val="20"/>
              </w:rPr>
              <w:t>Name, Restriction,</w:t>
            </w:r>
          </w:p>
          <w:p w:rsidR="00617E12" w:rsidRPr="00C7151A" w:rsidRDefault="00617E12" w:rsidP="00617E12">
            <w:pPr>
              <w:keepNext/>
              <w:jc w:val="left"/>
              <w:rPr>
                <w:rFonts w:ascii="Arial Narrow" w:hAnsi="Arial Narrow"/>
                <w:b/>
                <w:sz w:val="20"/>
              </w:rPr>
            </w:pPr>
            <w:r w:rsidRPr="00C7151A">
              <w:rPr>
                <w:rFonts w:ascii="Arial Narrow" w:hAnsi="Arial Narrow"/>
                <w:b/>
                <w:sz w:val="20"/>
              </w:rPr>
              <w:t>Manner of administration and form</w:t>
            </w:r>
          </w:p>
        </w:tc>
        <w:tc>
          <w:tcPr>
            <w:tcW w:w="597" w:type="pct"/>
            <w:tcBorders>
              <w:top w:val="single" w:sz="4" w:space="0" w:color="auto"/>
              <w:bottom w:val="single" w:sz="4" w:space="0" w:color="auto"/>
            </w:tcBorders>
            <w:vAlign w:val="center"/>
          </w:tcPr>
          <w:p w:rsidR="00617E12" w:rsidRPr="00C7151A" w:rsidRDefault="00617E12" w:rsidP="00617E12">
            <w:pPr>
              <w:keepNext/>
              <w:jc w:val="center"/>
              <w:rPr>
                <w:rFonts w:ascii="Arial Narrow" w:hAnsi="Arial Narrow"/>
                <w:b/>
                <w:sz w:val="20"/>
              </w:rPr>
            </w:pPr>
            <w:r w:rsidRPr="00C7151A">
              <w:rPr>
                <w:rFonts w:ascii="Arial Narrow" w:hAnsi="Arial Narrow"/>
                <w:b/>
                <w:sz w:val="20"/>
              </w:rPr>
              <w:t>Max.</w:t>
            </w:r>
          </w:p>
          <w:p w:rsidR="00617E12" w:rsidRPr="00C7151A" w:rsidRDefault="00617E12" w:rsidP="000B5B03">
            <w:pPr>
              <w:keepNext/>
              <w:jc w:val="center"/>
              <w:rPr>
                <w:rFonts w:ascii="Arial Narrow" w:hAnsi="Arial Narrow"/>
                <w:b/>
                <w:sz w:val="20"/>
              </w:rPr>
            </w:pPr>
            <w:r w:rsidRPr="00C7151A">
              <w:rPr>
                <w:rFonts w:ascii="Arial Narrow" w:hAnsi="Arial Narrow"/>
                <w:b/>
                <w:sz w:val="20"/>
              </w:rPr>
              <w:t>Qty</w:t>
            </w:r>
            <w:r w:rsidR="00591957" w:rsidRPr="00C7151A">
              <w:rPr>
                <w:rFonts w:ascii="Arial Narrow" w:hAnsi="Arial Narrow"/>
                <w:b/>
                <w:sz w:val="20"/>
              </w:rPr>
              <w:t xml:space="preserve"> </w:t>
            </w:r>
          </w:p>
        </w:tc>
        <w:tc>
          <w:tcPr>
            <w:tcW w:w="463" w:type="pct"/>
            <w:tcBorders>
              <w:top w:val="single" w:sz="4" w:space="0" w:color="auto"/>
              <w:bottom w:val="single" w:sz="4" w:space="0" w:color="auto"/>
            </w:tcBorders>
            <w:vAlign w:val="center"/>
          </w:tcPr>
          <w:p w:rsidR="00617E12" w:rsidRPr="00C7151A" w:rsidRDefault="00617E12" w:rsidP="00617E12">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617E12" w:rsidRPr="00C7151A" w:rsidRDefault="00617E12" w:rsidP="00617E12">
            <w:pPr>
              <w:keepNext/>
              <w:jc w:val="center"/>
              <w:rPr>
                <w:rFonts w:ascii="Arial Narrow" w:hAnsi="Arial Narrow"/>
                <w:b/>
                <w:sz w:val="20"/>
              </w:rPr>
            </w:pPr>
            <w:r w:rsidRPr="00C7151A">
              <w:rPr>
                <w:rFonts w:ascii="Arial Narrow" w:hAnsi="Arial Narrow"/>
                <w:b/>
                <w:sz w:val="20"/>
              </w:rPr>
              <w:t>Rpts</w:t>
            </w:r>
          </w:p>
        </w:tc>
        <w:tc>
          <w:tcPr>
            <w:tcW w:w="836" w:type="pct"/>
            <w:tcBorders>
              <w:top w:val="single" w:sz="4" w:space="0" w:color="auto"/>
              <w:bottom w:val="single" w:sz="4" w:space="0" w:color="auto"/>
            </w:tcBorders>
            <w:vAlign w:val="center"/>
          </w:tcPr>
          <w:p w:rsidR="00617E12" w:rsidRPr="00C7151A" w:rsidRDefault="00617E12" w:rsidP="000B5B03">
            <w:pPr>
              <w:keepNext/>
              <w:jc w:val="center"/>
              <w:rPr>
                <w:rFonts w:ascii="Arial Narrow" w:hAnsi="Arial Narrow"/>
                <w:b/>
                <w:sz w:val="20"/>
              </w:rPr>
            </w:pPr>
            <w:r w:rsidRPr="00C7151A">
              <w:rPr>
                <w:rFonts w:ascii="Arial Narrow" w:hAnsi="Arial Narrow"/>
                <w:b/>
                <w:sz w:val="20"/>
              </w:rPr>
              <w:t>Dispensed Price for Max. Qty</w:t>
            </w:r>
            <w:r w:rsidR="00591957" w:rsidRPr="00C7151A">
              <w:rPr>
                <w:rFonts w:ascii="Arial Narrow" w:hAnsi="Arial Narrow"/>
                <w:b/>
                <w:sz w:val="20"/>
              </w:rPr>
              <w:t xml:space="preserve"> </w:t>
            </w:r>
          </w:p>
        </w:tc>
        <w:tc>
          <w:tcPr>
            <w:tcW w:w="1240" w:type="pct"/>
            <w:gridSpan w:val="2"/>
            <w:tcBorders>
              <w:top w:val="single" w:sz="4" w:space="0" w:color="auto"/>
              <w:bottom w:val="single" w:sz="4" w:space="0" w:color="auto"/>
            </w:tcBorders>
            <w:vAlign w:val="center"/>
          </w:tcPr>
          <w:p w:rsidR="00617E12" w:rsidRPr="00C7151A" w:rsidRDefault="00617E12" w:rsidP="00617E12">
            <w:pPr>
              <w:keepNext/>
              <w:jc w:val="center"/>
              <w:rPr>
                <w:rFonts w:ascii="Arial Narrow" w:hAnsi="Arial Narrow"/>
                <w:b/>
                <w:sz w:val="20"/>
                <w:lang w:val="fr-FR"/>
              </w:rPr>
            </w:pPr>
            <w:r w:rsidRPr="00C7151A">
              <w:rPr>
                <w:rFonts w:ascii="Arial Narrow" w:hAnsi="Arial Narrow"/>
                <w:b/>
                <w:sz w:val="20"/>
              </w:rPr>
              <w:t>Proprietary Name and Manufacturer</w:t>
            </w:r>
          </w:p>
        </w:tc>
      </w:tr>
      <w:tr w:rsidR="005750DF" w:rsidRPr="00413860" w:rsidTr="00FE0983">
        <w:trPr>
          <w:cantSplit/>
          <w:trHeight w:val="567"/>
        </w:trPr>
        <w:tc>
          <w:tcPr>
            <w:tcW w:w="1864" w:type="pct"/>
            <w:gridSpan w:val="2"/>
            <w:vAlign w:val="center"/>
          </w:tcPr>
          <w:p w:rsidR="00EF0F01" w:rsidRDefault="00EF0F01" w:rsidP="005750DF">
            <w:pPr>
              <w:keepNext/>
              <w:jc w:val="left"/>
              <w:rPr>
                <w:rFonts w:ascii="Arial Narrow" w:hAnsi="Arial Narrow"/>
                <w:smallCaps/>
                <w:sz w:val="20"/>
              </w:rPr>
            </w:pPr>
          </w:p>
          <w:p w:rsidR="005750DF" w:rsidRDefault="005750DF" w:rsidP="005750DF">
            <w:pPr>
              <w:keepNext/>
              <w:jc w:val="left"/>
              <w:rPr>
                <w:rFonts w:ascii="Arial Narrow" w:hAnsi="Arial Narrow"/>
                <w:smallCaps/>
                <w:sz w:val="20"/>
              </w:rPr>
            </w:pPr>
            <w:r>
              <w:rPr>
                <w:rFonts w:ascii="Arial Narrow" w:hAnsi="Arial Narrow"/>
                <w:smallCaps/>
                <w:sz w:val="20"/>
              </w:rPr>
              <w:t>Dexamethasone intr</w:t>
            </w:r>
            <w:r w:rsidR="00AA68F3">
              <w:rPr>
                <w:rFonts w:ascii="Arial Narrow" w:hAnsi="Arial Narrow"/>
                <w:smallCaps/>
                <w:sz w:val="20"/>
              </w:rPr>
              <w:t>a</w:t>
            </w:r>
            <w:r>
              <w:rPr>
                <w:rFonts w:ascii="Arial Narrow" w:hAnsi="Arial Narrow"/>
                <w:smallCaps/>
                <w:sz w:val="20"/>
              </w:rPr>
              <w:t xml:space="preserve">vitreal implant, </w:t>
            </w:r>
          </w:p>
          <w:p w:rsidR="005750DF" w:rsidRPr="00EF0F01" w:rsidRDefault="005750DF" w:rsidP="005750DF">
            <w:pPr>
              <w:keepNext/>
              <w:jc w:val="left"/>
              <w:rPr>
                <w:rFonts w:ascii="Arial Narrow" w:hAnsi="Arial Narrow"/>
                <w:sz w:val="20"/>
              </w:rPr>
            </w:pPr>
            <w:r w:rsidRPr="00EF0F01">
              <w:rPr>
                <w:rFonts w:ascii="Arial Narrow" w:hAnsi="Arial Narrow"/>
                <w:sz w:val="20"/>
              </w:rPr>
              <w:t>700 microgram</w:t>
            </w:r>
          </w:p>
          <w:p w:rsidR="005750DF" w:rsidRDefault="005750DF" w:rsidP="005750DF">
            <w:pPr>
              <w:keepNext/>
              <w:jc w:val="left"/>
              <w:rPr>
                <w:rFonts w:ascii="Arial Narrow" w:hAnsi="Arial Narrow"/>
                <w:sz w:val="20"/>
              </w:rPr>
            </w:pPr>
          </w:p>
          <w:p w:rsidR="005750DF" w:rsidRPr="00591957" w:rsidRDefault="005750DF" w:rsidP="005750DF">
            <w:pPr>
              <w:keepNext/>
              <w:jc w:val="left"/>
              <w:rPr>
                <w:rFonts w:ascii="Arial Narrow" w:hAnsi="Arial Narrow"/>
                <w:sz w:val="20"/>
              </w:rPr>
            </w:pPr>
          </w:p>
        </w:tc>
        <w:tc>
          <w:tcPr>
            <w:tcW w:w="597" w:type="pct"/>
            <w:vAlign w:val="center"/>
          </w:tcPr>
          <w:p w:rsidR="005750DF" w:rsidRPr="00591957" w:rsidRDefault="005750DF" w:rsidP="005750DF">
            <w:pPr>
              <w:keepNext/>
              <w:jc w:val="center"/>
              <w:rPr>
                <w:rFonts w:ascii="Arial Narrow" w:hAnsi="Arial Narrow"/>
                <w:sz w:val="20"/>
              </w:rPr>
            </w:pPr>
            <w:r>
              <w:rPr>
                <w:rFonts w:ascii="Arial Narrow" w:hAnsi="Arial Narrow"/>
                <w:sz w:val="20"/>
              </w:rPr>
              <w:t>1</w:t>
            </w:r>
          </w:p>
        </w:tc>
        <w:tc>
          <w:tcPr>
            <w:tcW w:w="463" w:type="pct"/>
            <w:vAlign w:val="center"/>
          </w:tcPr>
          <w:p w:rsidR="005750DF" w:rsidRPr="00591957" w:rsidRDefault="005750DF" w:rsidP="005750DF">
            <w:pPr>
              <w:keepNext/>
              <w:jc w:val="center"/>
              <w:rPr>
                <w:rFonts w:ascii="Arial Narrow" w:hAnsi="Arial Narrow"/>
                <w:sz w:val="20"/>
              </w:rPr>
            </w:pPr>
            <w:r>
              <w:rPr>
                <w:rFonts w:ascii="Arial Narrow" w:hAnsi="Arial Narrow"/>
                <w:sz w:val="20"/>
              </w:rPr>
              <w:t>1</w:t>
            </w:r>
          </w:p>
        </w:tc>
        <w:tc>
          <w:tcPr>
            <w:tcW w:w="836" w:type="pct"/>
            <w:vAlign w:val="center"/>
          </w:tcPr>
          <w:p w:rsidR="005750DF" w:rsidRPr="005750DF" w:rsidRDefault="005750DF" w:rsidP="005750DF">
            <w:pPr>
              <w:keepNext/>
              <w:jc w:val="center"/>
              <w:rPr>
                <w:rFonts w:ascii="Arial Narrow" w:hAnsi="Arial Narrow"/>
                <w:sz w:val="20"/>
              </w:rPr>
            </w:pPr>
            <w:r w:rsidRPr="005750DF">
              <w:rPr>
                <w:rFonts w:ascii="Arial Narrow" w:hAnsi="Arial Narrow"/>
                <w:sz w:val="20"/>
              </w:rPr>
              <w:t>$1,354.79 (published price)</w:t>
            </w:r>
          </w:p>
          <w:p w:rsidR="009025CA" w:rsidRDefault="005750DF" w:rsidP="005750DF">
            <w:pPr>
              <w:keepNext/>
              <w:jc w:val="center"/>
              <w:rPr>
                <w:rFonts w:ascii="Arial Narrow" w:hAnsi="Arial Narrow"/>
                <w:sz w:val="20"/>
              </w:rPr>
            </w:pPr>
            <w:r w:rsidRPr="005750DF">
              <w:rPr>
                <w:rFonts w:ascii="Arial Narrow" w:hAnsi="Arial Narrow"/>
                <w:sz w:val="20"/>
              </w:rPr>
              <w:t>$</w:t>
            </w:r>
            <w:r w:rsidR="00487EB2">
              <w:rPr>
                <w:rFonts w:ascii="Arial Narrow" w:hAnsi="Arial Narrow"/>
                <w:noProof/>
                <w:color w:val="000000"/>
                <w:sz w:val="20"/>
                <w:highlight w:val="black"/>
              </w:rPr>
              <w:t>'''''''''''''''</w:t>
            </w:r>
            <w:r w:rsidRPr="005750DF">
              <w:rPr>
                <w:rFonts w:ascii="Arial Narrow" w:hAnsi="Arial Narrow"/>
                <w:sz w:val="20"/>
              </w:rPr>
              <w:t xml:space="preserve"> </w:t>
            </w:r>
          </w:p>
          <w:p w:rsidR="005750DF" w:rsidRPr="00591957" w:rsidRDefault="005750DF" w:rsidP="005750DF">
            <w:pPr>
              <w:keepNext/>
              <w:jc w:val="center"/>
              <w:rPr>
                <w:rFonts w:ascii="Arial Narrow" w:hAnsi="Arial Narrow"/>
                <w:sz w:val="20"/>
              </w:rPr>
            </w:pPr>
            <w:r w:rsidRPr="005750DF">
              <w:rPr>
                <w:rFonts w:ascii="Arial Narrow" w:hAnsi="Arial Narrow"/>
                <w:sz w:val="20"/>
              </w:rPr>
              <w:t>(effective price)</w:t>
            </w:r>
          </w:p>
        </w:tc>
        <w:tc>
          <w:tcPr>
            <w:tcW w:w="630" w:type="pct"/>
            <w:vAlign w:val="center"/>
          </w:tcPr>
          <w:p w:rsidR="005750DF" w:rsidRPr="00591957" w:rsidRDefault="005750DF" w:rsidP="00FE0983">
            <w:pPr>
              <w:keepNext/>
              <w:jc w:val="center"/>
              <w:rPr>
                <w:rFonts w:ascii="Arial Narrow" w:hAnsi="Arial Narrow"/>
                <w:sz w:val="20"/>
              </w:rPr>
            </w:pPr>
            <w:r w:rsidRPr="00F1629D">
              <w:rPr>
                <w:rFonts w:ascii="Arial Narrow" w:hAnsi="Arial Narrow"/>
                <w:sz w:val="20"/>
              </w:rPr>
              <w:t>Ozurdex</w:t>
            </w:r>
            <w:r w:rsidRPr="00F1629D">
              <w:rPr>
                <w:rFonts w:ascii="Arial Narrow" w:hAnsi="Arial Narrow"/>
                <w:sz w:val="20"/>
                <w:vertAlign w:val="superscript"/>
              </w:rPr>
              <w:t>®</w:t>
            </w:r>
          </w:p>
        </w:tc>
        <w:tc>
          <w:tcPr>
            <w:tcW w:w="610" w:type="pct"/>
            <w:vAlign w:val="center"/>
          </w:tcPr>
          <w:p w:rsidR="005750DF" w:rsidRPr="00591957" w:rsidRDefault="005750DF" w:rsidP="00FE0983">
            <w:pPr>
              <w:keepNext/>
              <w:jc w:val="center"/>
              <w:rPr>
                <w:rFonts w:ascii="Arial Narrow" w:hAnsi="Arial Narrow"/>
                <w:sz w:val="20"/>
              </w:rPr>
            </w:pPr>
            <w:r w:rsidRPr="00F1629D">
              <w:rPr>
                <w:rFonts w:ascii="Arial Narrow" w:hAnsi="Arial Narrow"/>
                <w:sz w:val="20"/>
              </w:rPr>
              <w:t>Allergan</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EF0F01">
            <w:pPr>
              <w:pStyle w:val="Tabletext"/>
              <w:rPr>
                <w:lang w:eastAsia="en-AU"/>
              </w:rPr>
            </w:pPr>
            <w:r>
              <w:rPr>
                <w:lang w:eastAsia="en-AU"/>
              </w:rPr>
              <w:t>PBS indication:</w:t>
            </w:r>
          </w:p>
        </w:tc>
        <w:tc>
          <w:tcPr>
            <w:tcW w:w="3981" w:type="pct"/>
            <w:gridSpan w:val="6"/>
          </w:tcPr>
          <w:p w:rsidR="00EF0F01" w:rsidRPr="00A30A33" w:rsidRDefault="00EF0F01" w:rsidP="00EF0F01">
            <w:pPr>
              <w:pStyle w:val="Tabletext"/>
              <w:rPr>
                <w:lang w:eastAsia="en-AU"/>
              </w:rPr>
            </w:pPr>
            <w:r w:rsidRPr="000C3AB6">
              <w:rPr>
                <w:rFonts w:cstheme="minorHAnsi"/>
                <w:szCs w:val="20"/>
              </w:rPr>
              <w:t>Branch retinal vein occlusion with macular oedema</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EF0F01">
            <w:pPr>
              <w:pStyle w:val="Tabletext"/>
              <w:rPr>
                <w:lang w:eastAsia="en-AU"/>
              </w:rPr>
            </w:pPr>
            <w:r>
              <w:rPr>
                <w:lang w:eastAsia="en-AU"/>
              </w:rPr>
              <w:t>Treatment phase:</w:t>
            </w:r>
          </w:p>
        </w:tc>
        <w:tc>
          <w:tcPr>
            <w:tcW w:w="3981" w:type="pct"/>
            <w:gridSpan w:val="6"/>
          </w:tcPr>
          <w:p w:rsidR="00EF0F01" w:rsidRPr="00A30A33" w:rsidRDefault="00EF0F01" w:rsidP="00EF0F01">
            <w:pPr>
              <w:pStyle w:val="Tabletext"/>
              <w:rPr>
                <w:lang w:eastAsia="en-AU"/>
              </w:rPr>
            </w:pPr>
            <w:r w:rsidRPr="000C3AB6">
              <w:rPr>
                <w:rFonts w:cstheme="minorHAnsi"/>
                <w:szCs w:val="20"/>
              </w:rPr>
              <w:t>Initial treatment</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EF0F01">
            <w:pPr>
              <w:pStyle w:val="Tabletext"/>
              <w:rPr>
                <w:lang w:eastAsia="en-AU"/>
              </w:rPr>
            </w:pPr>
            <w:r w:rsidRPr="00A30A33">
              <w:rPr>
                <w:lang w:eastAsia="en-AU"/>
              </w:rPr>
              <w:t>Restriction</w:t>
            </w:r>
            <w:r>
              <w:rPr>
                <w:lang w:eastAsia="en-AU"/>
              </w:rPr>
              <w:t>:</w:t>
            </w:r>
          </w:p>
        </w:tc>
        <w:tc>
          <w:tcPr>
            <w:tcW w:w="3981" w:type="pct"/>
            <w:gridSpan w:val="6"/>
            <w:tcBorders>
              <w:top w:val="single" w:sz="4" w:space="0" w:color="auto"/>
              <w:left w:val="single" w:sz="4" w:space="0" w:color="auto"/>
              <w:bottom w:val="single" w:sz="4" w:space="0" w:color="auto"/>
              <w:right w:val="single" w:sz="4" w:space="0" w:color="auto"/>
            </w:tcBorders>
          </w:tcPr>
          <w:p w:rsidR="00EF0F01" w:rsidRPr="00EF0F01" w:rsidRDefault="00EF0F01" w:rsidP="00EF0F01">
            <w:pPr>
              <w:pStyle w:val="Tabletext"/>
              <w:rPr>
                <w:lang w:eastAsia="en-AU"/>
              </w:rPr>
            </w:pPr>
            <w:r w:rsidRPr="00EF0F01">
              <w:rPr>
                <w:lang w:eastAsia="en-AU"/>
              </w:rPr>
              <w:fldChar w:fldCharType="begin">
                <w:ffData>
                  <w:name w:val=""/>
                  <w:enabled/>
                  <w:calcOnExit w:val="0"/>
                  <w:checkBox>
                    <w:sizeAuto/>
                    <w:default w:val="1"/>
                  </w:checkBox>
                </w:ffData>
              </w:fldChar>
            </w:r>
            <w:r w:rsidRPr="00EF0F01">
              <w:rPr>
                <w:lang w:eastAsia="en-AU"/>
              </w:rPr>
              <w:instrText xml:space="preserve"> FORMCHECKBOX </w:instrText>
            </w:r>
            <w:r w:rsidR="00487EB2">
              <w:rPr>
                <w:lang w:eastAsia="en-AU"/>
              </w:rPr>
            </w:r>
            <w:r w:rsidR="00487EB2">
              <w:rPr>
                <w:lang w:eastAsia="en-AU"/>
              </w:rPr>
              <w:fldChar w:fldCharType="separate"/>
            </w:r>
            <w:r w:rsidRPr="00EF0F01">
              <w:rPr>
                <w:lang w:eastAsia="en-AU"/>
              </w:rPr>
              <w:fldChar w:fldCharType="end"/>
            </w:r>
            <w:r w:rsidRPr="00EF0F01">
              <w:rPr>
                <w:lang w:eastAsia="en-AU"/>
              </w:rPr>
              <w:t>Authority Required - In Writing</w:t>
            </w:r>
          </w:p>
          <w:p w:rsidR="00EF0F01" w:rsidRPr="00A30A33" w:rsidRDefault="00EF0F01" w:rsidP="00EF0F01">
            <w:pPr>
              <w:pStyle w:val="Tabletext"/>
              <w:rPr>
                <w:lang w:eastAsia="en-AU"/>
              </w:rPr>
            </w:pPr>
            <w:r w:rsidRPr="00EF0F01">
              <w:rPr>
                <w:lang w:eastAsia="en-AU"/>
              </w:rPr>
              <w:fldChar w:fldCharType="begin">
                <w:ffData>
                  <w:name w:val="Check3"/>
                  <w:enabled/>
                  <w:calcOnExit w:val="0"/>
                  <w:checkBox>
                    <w:sizeAuto/>
                    <w:default w:val="1"/>
                  </w:checkBox>
                </w:ffData>
              </w:fldChar>
            </w:r>
            <w:r w:rsidRPr="00EF0F01">
              <w:rPr>
                <w:lang w:eastAsia="en-AU"/>
              </w:rPr>
              <w:instrText xml:space="preserve"> FORMCHECKBOX </w:instrText>
            </w:r>
            <w:r w:rsidR="00487EB2">
              <w:rPr>
                <w:lang w:eastAsia="en-AU"/>
              </w:rPr>
            </w:r>
            <w:r w:rsidR="00487EB2">
              <w:rPr>
                <w:lang w:eastAsia="en-AU"/>
              </w:rPr>
              <w:fldChar w:fldCharType="separate"/>
            </w:r>
            <w:r w:rsidRPr="00EF0F01">
              <w:rPr>
                <w:lang w:eastAsia="en-AU"/>
              </w:rPr>
              <w:fldChar w:fldCharType="end"/>
            </w:r>
            <w:r w:rsidRPr="00EF0F01">
              <w:rPr>
                <w:lang w:eastAsia="en-AU"/>
              </w:rPr>
              <w:t>Authority Required - Telephone</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EF0F01">
            <w:pPr>
              <w:pStyle w:val="Tabletext"/>
              <w:rPr>
                <w:lang w:eastAsia="en-AU"/>
              </w:rPr>
            </w:pPr>
            <w:r w:rsidRPr="00A30A33">
              <w:rPr>
                <w:lang w:eastAsia="en-AU"/>
              </w:rPr>
              <w:t>Treatment criteria</w:t>
            </w:r>
            <w:r>
              <w:rPr>
                <w:lang w:eastAsia="en-AU"/>
              </w:rPr>
              <w:t>:</w:t>
            </w:r>
          </w:p>
        </w:tc>
        <w:tc>
          <w:tcPr>
            <w:tcW w:w="3981" w:type="pct"/>
            <w:gridSpan w:val="6"/>
            <w:tcBorders>
              <w:top w:val="single" w:sz="4" w:space="0" w:color="auto"/>
              <w:left w:val="single" w:sz="4" w:space="0" w:color="auto"/>
              <w:bottom w:val="single" w:sz="4" w:space="0" w:color="auto"/>
              <w:right w:val="single" w:sz="4" w:space="0" w:color="auto"/>
            </w:tcBorders>
          </w:tcPr>
          <w:p w:rsidR="00EF0F01" w:rsidRPr="00A70600" w:rsidRDefault="00A70600" w:rsidP="00EF0F01">
            <w:pPr>
              <w:pStyle w:val="Tabletext"/>
              <w:rPr>
                <w:i/>
                <w:lang w:eastAsia="en-AU"/>
              </w:rPr>
            </w:pPr>
            <w:r>
              <w:rPr>
                <w:i/>
                <w:lang w:eastAsia="en-AU"/>
              </w:rPr>
              <w:t>Patient m</w:t>
            </w:r>
            <w:r w:rsidR="00EF0F01" w:rsidRPr="00EF0F01">
              <w:rPr>
                <w:lang w:eastAsia="en-AU"/>
              </w:rPr>
              <w:t>ust be treated by an ophthalmologist</w:t>
            </w:r>
            <w:r>
              <w:rPr>
                <w:lang w:eastAsia="en-AU"/>
              </w:rPr>
              <w:t xml:space="preserve"> </w:t>
            </w:r>
            <w:r w:rsidRPr="00A70600">
              <w:rPr>
                <w:i/>
                <w:lang w:eastAsia="en-AU"/>
              </w:rPr>
              <w:t>or in consultation with an ophthalmologist.</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EF0F01">
            <w:pPr>
              <w:pStyle w:val="Tabletext"/>
              <w:rPr>
                <w:lang w:eastAsia="en-AU"/>
              </w:rPr>
            </w:pPr>
            <w:r w:rsidRPr="00A30A33">
              <w:rPr>
                <w:lang w:eastAsia="en-AU"/>
              </w:rPr>
              <w:t>Clinical criteria</w:t>
            </w:r>
            <w:r>
              <w:rPr>
                <w:lang w:eastAsia="en-AU"/>
              </w:rPr>
              <w:t>:</w:t>
            </w:r>
          </w:p>
        </w:tc>
        <w:tc>
          <w:tcPr>
            <w:tcW w:w="3981" w:type="pct"/>
            <w:gridSpan w:val="6"/>
            <w:tcBorders>
              <w:top w:val="single" w:sz="4" w:space="0" w:color="auto"/>
              <w:left w:val="single" w:sz="4" w:space="0" w:color="auto"/>
              <w:bottom w:val="single" w:sz="4" w:space="0" w:color="auto"/>
              <w:right w:val="single" w:sz="4" w:space="0" w:color="auto"/>
            </w:tcBorders>
          </w:tcPr>
          <w:p w:rsidR="00EF0F01" w:rsidRPr="00EF0F01" w:rsidRDefault="00EF0F01" w:rsidP="00EF0F01">
            <w:pPr>
              <w:pStyle w:val="Tabletext"/>
              <w:rPr>
                <w:lang w:eastAsia="en-AU"/>
              </w:rPr>
            </w:pPr>
            <w:r w:rsidRPr="00EF0F01">
              <w:rPr>
                <w:lang w:eastAsia="en-AU"/>
              </w:rPr>
              <w:t xml:space="preserve">Patient must have visual impairment due to macular oedema secondary to branched retinal vein occlusion (BRVO), </w:t>
            </w:r>
            <w:r w:rsidRPr="00EF0F01">
              <w:rPr>
                <w:b/>
                <w:lang w:eastAsia="en-AU"/>
              </w:rPr>
              <w:t>AND</w:t>
            </w:r>
          </w:p>
          <w:p w:rsidR="00EF0F01" w:rsidRDefault="00EF0F01" w:rsidP="00EF0F01">
            <w:pPr>
              <w:pStyle w:val="Tabletext"/>
              <w:rPr>
                <w:lang w:eastAsia="en-AU"/>
              </w:rPr>
            </w:pPr>
          </w:p>
          <w:p w:rsidR="00EF0F01" w:rsidRPr="00EF0F01" w:rsidRDefault="00EF0F01" w:rsidP="00EF0F01">
            <w:pPr>
              <w:pStyle w:val="Tabletext"/>
              <w:rPr>
                <w:lang w:eastAsia="en-AU"/>
              </w:rPr>
            </w:pPr>
            <w:r w:rsidRPr="00EF0F01">
              <w:rPr>
                <w:lang w:eastAsia="en-AU"/>
              </w:rPr>
              <w:t xml:space="preserve">Patient must have documented visual impairment defined as a best-corrected visual acuity score between 73 and 20 letters based on the early treatment diabetic retinopathy study chart administered at a distance of 4 metres (approximate Snellen equivalent 20/40 to 20/400), in the eye proposed for treatment, </w:t>
            </w:r>
            <w:r w:rsidRPr="00EF0F01">
              <w:rPr>
                <w:b/>
                <w:lang w:eastAsia="en-AU"/>
              </w:rPr>
              <w:t>AND</w:t>
            </w:r>
          </w:p>
          <w:p w:rsidR="00EF0F01" w:rsidRDefault="00EF0F01" w:rsidP="00EF0F01">
            <w:pPr>
              <w:pStyle w:val="Tabletext"/>
              <w:rPr>
                <w:lang w:eastAsia="en-AU"/>
              </w:rPr>
            </w:pPr>
          </w:p>
          <w:p w:rsidR="00EF0F01" w:rsidRPr="00EF0F01" w:rsidRDefault="00EF0F01" w:rsidP="00EF0F01">
            <w:pPr>
              <w:pStyle w:val="Tabletext"/>
              <w:rPr>
                <w:lang w:eastAsia="en-AU"/>
              </w:rPr>
            </w:pPr>
            <w:r w:rsidRPr="00EF0F01">
              <w:rPr>
                <w:lang w:eastAsia="en-AU"/>
              </w:rPr>
              <w:t>The condition must be diagnosed by optical coherence tomography; OR</w:t>
            </w:r>
          </w:p>
          <w:p w:rsidR="00EF0F01" w:rsidRPr="00EF0F01" w:rsidRDefault="00EF0F01" w:rsidP="00EF0F01">
            <w:pPr>
              <w:pStyle w:val="Tabletext"/>
              <w:rPr>
                <w:lang w:eastAsia="en-AU"/>
              </w:rPr>
            </w:pPr>
            <w:r w:rsidRPr="00EF0F01">
              <w:rPr>
                <w:lang w:eastAsia="en-AU"/>
              </w:rPr>
              <w:t xml:space="preserve">The condition must be diagnosed by fluorescein angiography, </w:t>
            </w:r>
            <w:r w:rsidRPr="00EF0F01">
              <w:rPr>
                <w:b/>
                <w:lang w:eastAsia="en-AU"/>
              </w:rPr>
              <w:t>AND</w:t>
            </w:r>
          </w:p>
          <w:p w:rsidR="00EF0F01" w:rsidRDefault="00EF0F01" w:rsidP="00EF0F01">
            <w:pPr>
              <w:pStyle w:val="Tabletext"/>
              <w:rPr>
                <w:lang w:eastAsia="en-AU"/>
              </w:rPr>
            </w:pPr>
          </w:p>
          <w:p w:rsidR="00EF0F01" w:rsidRPr="00EF0F01" w:rsidRDefault="00EF0F01" w:rsidP="00EF0F01">
            <w:pPr>
              <w:pStyle w:val="Tabletext"/>
              <w:rPr>
                <w:lang w:eastAsia="en-AU"/>
              </w:rPr>
            </w:pPr>
            <w:r w:rsidRPr="00EF0F01">
              <w:rPr>
                <w:lang w:eastAsia="en-AU"/>
              </w:rPr>
              <w:t>Patient must have a contraindication to vascular endothelial growth factor (VEGF) inhibitors; OR</w:t>
            </w:r>
          </w:p>
          <w:p w:rsidR="00EF0F01" w:rsidRPr="00EF0F01" w:rsidRDefault="00EF0F01" w:rsidP="00EF0F01">
            <w:pPr>
              <w:pStyle w:val="Tabletext"/>
              <w:rPr>
                <w:lang w:eastAsia="en-AU"/>
              </w:rPr>
            </w:pPr>
            <w:r w:rsidRPr="00EF0F01">
              <w:rPr>
                <w:lang w:eastAsia="en-AU"/>
              </w:rPr>
              <w:t>Patient must be unsuitable for treatment with VEGF inhibitors; OR</w:t>
            </w:r>
          </w:p>
          <w:p w:rsidR="00EF0F01" w:rsidRPr="00EF0F01" w:rsidRDefault="00EF0F01" w:rsidP="00EF0F01">
            <w:pPr>
              <w:pStyle w:val="Tabletext"/>
              <w:rPr>
                <w:lang w:eastAsia="en-AU"/>
              </w:rPr>
            </w:pPr>
            <w:r w:rsidRPr="00EF0F01">
              <w:rPr>
                <w:lang w:eastAsia="en-AU"/>
              </w:rPr>
              <w:t xml:space="preserve">Patient must have failed prior treatment with VEGF inhibitors, </w:t>
            </w:r>
            <w:r w:rsidRPr="00EF0F01">
              <w:rPr>
                <w:b/>
                <w:lang w:eastAsia="en-AU"/>
              </w:rPr>
              <w:t>AND</w:t>
            </w:r>
          </w:p>
          <w:p w:rsidR="00EF0F01" w:rsidRDefault="00EF0F01" w:rsidP="00EF0F01">
            <w:pPr>
              <w:pStyle w:val="Tabletext"/>
              <w:rPr>
                <w:lang w:eastAsia="en-AU"/>
              </w:rPr>
            </w:pPr>
          </w:p>
          <w:p w:rsidR="00EF0F01" w:rsidRPr="00A30A33" w:rsidRDefault="00EF0F01" w:rsidP="00EF0F01">
            <w:pPr>
              <w:pStyle w:val="Tabletext"/>
              <w:rPr>
                <w:lang w:eastAsia="en-AU"/>
              </w:rPr>
            </w:pPr>
            <w:r w:rsidRPr="00EF0F01">
              <w:rPr>
                <w:lang w:eastAsia="en-AU"/>
              </w:rPr>
              <w:t>The treatment must be the sole PBS-subsidised therapy for this condition.</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bottom w:val="single" w:sz="4" w:space="0" w:color="auto"/>
            </w:tcBorders>
          </w:tcPr>
          <w:p w:rsidR="00EF0F01" w:rsidRPr="00A30A33" w:rsidRDefault="00EF0F01" w:rsidP="00EF0F01">
            <w:pPr>
              <w:pStyle w:val="Tabletext"/>
              <w:rPr>
                <w:lang w:eastAsia="en-AU"/>
              </w:rPr>
            </w:pPr>
            <w:r w:rsidRPr="000C3AB6">
              <w:lastRenderedPageBreak/>
              <w:t>Prescriber Instructions</w:t>
            </w:r>
          </w:p>
        </w:tc>
        <w:tc>
          <w:tcPr>
            <w:tcW w:w="3981" w:type="pct"/>
            <w:gridSpan w:val="6"/>
            <w:tcBorders>
              <w:bottom w:val="single" w:sz="4" w:space="0" w:color="auto"/>
            </w:tcBorders>
          </w:tcPr>
          <w:p w:rsidR="00EF0F01" w:rsidRPr="00E27A9F" w:rsidRDefault="00EF0F01" w:rsidP="00EF0F01">
            <w:pPr>
              <w:pStyle w:val="Tabletext"/>
            </w:pPr>
            <w:r w:rsidRPr="00E27A9F">
              <w:t>Authority approval for initial treatment of each eye must be sought.</w:t>
            </w:r>
          </w:p>
          <w:p w:rsidR="00EF0F01" w:rsidRPr="00E27A9F" w:rsidRDefault="00EF0F01" w:rsidP="00EF0F01">
            <w:pPr>
              <w:pStyle w:val="Tabletext"/>
            </w:pPr>
            <w:r w:rsidRPr="00E27A9F">
              <w:t>The first authority application for each eye must be made in writing or by telephone.</w:t>
            </w:r>
          </w:p>
          <w:p w:rsidR="00EF0F01" w:rsidRPr="00E27A9F" w:rsidRDefault="00EF0F01" w:rsidP="00EF0F01">
            <w:pPr>
              <w:pStyle w:val="Tabletext"/>
            </w:pPr>
            <w:r w:rsidRPr="00E27A9F">
              <w:t>A written application must include:</w:t>
            </w:r>
          </w:p>
          <w:p w:rsidR="00EF0F01" w:rsidRPr="00E27A9F" w:rsidRDefault="00EF0F01" w:rsidP="00361734">
            <w:pPr>
              <w:pStyle w:val="Tabletext"/>
              <w:numPr>
                <w:ilvl w:val="0"/>
                <w:numId w:val="10"/>
              </w:numPr>
              <w:ind w:left="256" w:hanging="219"/>
            </w:pPr>
            <w:r w:rsidRPr="00E27A9F">
              <w:t>a completed authority prescription form;</w:t>
            </w:r>
          </w:p>
          <w:p w:rsidR="00EF0F01" w:rsidRDefault="00EF0F01" w:rsidP="00361734">
            <w:pPr>
              <w:pStyle w:val="Tabletext"/>
              <w:numPr>
                <w:ilvl w:val="0"/>
                <w:numId w:val="10"/>
              </w:numPr>
              <w:ind w:left="256" w:hanging="219"/>
            </w:pPr>
            <w:r w:rsidRPr="00E27A9F">
              <w:t>a completed Retinal Vein Occlusion Initial PBS authority application Supporting information form; and</w:t>
            </w:r>
          </w:p>
          <w:p w:rsidR="00EF0F01" w:rsidRPr="00E27A9F" w:rsidRDefault="00EF0F01" w:rsidP="00361734">
            <w:pPr>
              <w:pStyle w:val="Tabletext"/>
              <w:numPr>
                <w:ilvl w:val="0"/>
                <w:numId w:val="10"/>
              </w:numPr>
              <w:ind w:left="256" w:hanging="219"/>
            </w:pPr>
            <w:r w:rsidRPr="00E27A9F">
              <w:t>a copy of the optical coherence tomography or fluorescein angiogram report.</w:t>
            </w:r>
          </w:p>
          <w:p w:rsidR="00EF0F01" w:rsidRPr="00A30A33" w:rsidRDefault="00EF0F01" w:rsidP="00EF0F01">
            <w:pPr>
              <w:pStyle w:val="Tabletext"/>
              <w:rPr>
                <w:color w:val="000000"/>
                <w:szCs w:val="24"/>
                <w:lang w:eastAsia="en-AU"/>
              </w:rPr>
            </w:pPr>
            <w:r w:rsidRPr="00E27A9F">
              <w:t xml:space="preserve">A telephone application must be made following submission by facsimile of a copy of a completed Retinal Vein Occlusion Initial PBS authority application Supporting information form and a copy of the optical coherence tomography or fluorescein </w:t>
            </w:r>
            <w:r w:rsidR="001C676A">
              <w:t>angiogram report.</w:t>
            </w:r>
          </w:p>
        </w:tc>
      </w:tr>
      <w:tr w:rsidR="00EF0F01" w:rsidRPr="00A30A33" w:rsidTr="001C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EF0F01">
            <w:pPr>
              <w:pStyle w:val="Tabletext"/>
              <w:rPr>
                <w:lang w:eastAsia="en-AU"/>
              </w:rPr>
            </w:pPr>
            <w:r w:rsidRPr="000C3AB6">
              <w:t>Administrative Advice</w:t>
            </w:r>
          </w:p>
        </w:tc>
        <w:tc>
          <w:tcPr>
            <w:tcW w:w="3981" w:type="pct"/>
            <w:gridSpan w:val="6"/>
            <w:tcBorders>
              <w:top w:val="single" w:sz="4" w:space="0" w:color="auto"/>
              <w:left w:val="single" w:sz="4" w:space="0" w:color="auto"/>
              <w:bottom w:val="single" w:sz="4" w:space="0" w:color="auto"/>
              <w:right w:val="single" w:sz="4" w:space="0" w:color="auto"/>
            </w:tcBorders>
          </w:tcPr>
          <w:p w:rsidR="00EF0F01" w:rsidRPr="00E27A9F" w:rsidRDefault="00EF0F01" w:rsidP="00EF0F01">
            <w:pPr>
              <w:pStyle w:val="Tabletext"/>
            </w:pPr>
            <w:r w:rsidRPr="00F66D4D">
              <w:t>Note</w:t>
            </w:r>
            <w:r>
              <w:t xml:space="preserve">: </w:t>
            </w:r>
            <w:r w:rsidRPr="00E27A9F">
              <w:t>No increase in the maximum quantity or number of units may be authorised.</w:t>
            </w:r>
          </w:p>
          <w:p w:rsidR="00EF0F01" w:rsidRPr="00A30A33" w:rsidRDefault="00EF0F01" w:rsidP="00EF0F01">
            <w:pPr>
              <w:pStyle w:val="Tabletext"/>
              <w:rPr>
                <w:color w:val="000000"/>
                <w:szCs w:val="24"/>
                <w:lang w:eastAsia="en-AU"/>
              </w:rPr>
            </w:pPr>
            <w:r w:rsidRPr="00F66D4D">
              <w:t>Note</w:t>
            </w:r>
            <w:r>
              <w:t xml:space="preserve">: </w:t>
            </w:r>
            <w:r w:rsidRPr="00F66D4D">
              <w:t>No increase in the maximum number of repeats may be authorised.</w:t>
            </w:r>
          </w:p>
        </w:tc>
      </w:tr>
    </w:tbl>
    <w:p w:rsidR="004C3D52" w:rsidRDefault="004C3D52" w:rsidP="004B1CB4"/>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7198"/>
      </w:tblGrid>
      <w:tr w:rsidR="00EF0F01" w:rsidRPr="00A30A33" w:rsidTr="001C676A">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882317">
            <w:pPr>
              <w:pStyle w:val="Tabletext"/>
              <w:rPr>
                <w:lang w:eastAsia="en-AU"/>
              </w:rPr>
            </w:pPr>
            <w:r>
              <w:rPr>
                <w:lang w:eastAsia="en-AU"/>
              </w:rPr>
              <w:t>PBS indication:</w:t>
            </w:r>
          </w:p>
        </w:tc>
        <w:tc>
          <w:tcPr>
            <w:tcW w:w="3981" w:type="pct"/>
          </w:tcPr>
          <w:p w:rsidR="00EF0F01" w:rsidRPr="00A30A33" w:rsidRDefault="00EF0F01" w:rsidP="00882317">
            <w:pPr>
              <w:pStyle w:val="Tabletext"/>
              <w:rPr>
                <w:lang w:eastAsia="en-AU"/>
              </w:rPr>
            </w:pPr>
            <w:r>
              <w:rPr>
                <w:rFonts w:cstheme="minorHAnsi"/>
                <w:szCs w:val="20"/>
              </w:rPr>
              <w:t>Central</w:t>
            </w:r>
            <w:r w:rsidRPr="000C3AB6">
              <w:rPr>
                <w:rFonts w:cstheme="minorHAnsi"/>
                <w:szCs w:val="20"/>
              </w:rPr>
              <w:t xml:space="preserve"> retinal vein occlusion with macular oedema</w:t>
            </w:r>
          </w:p>
        </w:tc>
      </w:tr>
      <w:tr w:rsidR="00EF0F01" w:rsidRPr="00A30A33" w:rsidTr="001C676A">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882317">
            <w:pPr>
              <w:pStyle w:val="Tabletext"/>
              <w:rPr>
                <w:lang w:eastAsia="en-AU"/>
              </w:rPr>
            </w:pPr>
            <w:r>
              <w:rPr>
                <w:lang w:eastAsia="en-AU"/>
              </w:rPr>
              <w:t>Treatment phase:</w:t>
            </w:r>
          </w:p>
        </w:tc>
        <w:tc>
          <w:tcPr>
            <w:tcW w:w="3981" w:type="pct"/>
          </w:tcPr>
          <w:p w:rsidR="00EF0F01" w:rsidRPr="00A30A33" w:rsidRDefault="00EF0F01" w:rsidP="00882317">
            <w:pPr>
              <w:pStyle w:val="Tabletext"/>
              <w:rPr>
                <w:lang w:eastAsia="en-AU"/>
              </w:rPr>
            </w:pPr>
            <w:r w:rsidRPr="000C3AB6">
              <w:rPr>
                <w:rFonts w:cstheme="minorHAnsi"/>
                <w:szCs w:val="20"/>
              </w:rPr>
              <w:t>Initial treatment</w:t>
            </w:r>
          </w:p>
        </w:tc>
      </w:tr>
      <w:tr w:rsidR="00EF0F01" w:rsidRPr="00A30A33" w:rsidTr="001C676A">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882317">
            <w:pPr>
              <w:pStyle w:val="Tabletext"/>
              <w:rPr>
                <w:lang w:eastAsia="en-AU"/>
              </w:rPr>
            </w:pPr>
            <w:r w:rsidRPr="00A30A33">
              <w:rPr>
                <w:lang w:eastAsia="en-AU"/>
              </w:rPr>
              <w:t>Restriction</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F0F01" w:rsidRPr="00EF0F01" w:rsidRDefault="00EF0F01" w:rsidP="00882317">
            <w:pPr>
              <w:pStyle w:val="Tabletext"/>
              <w:rPr>
                <w:lang w:eastAsia="en-AU"/>
              </w:rPr>
            </w:pPr>
            <w:r w:rsidRPr="00EF0F01">
              <w:rPr>
                <w:lang w:eastAsia="en-AU"/>
              </w:rPr>
              <w:fldChar w:fldCharType="begin">
                <w:ffData>
                  <w:name w:val=""/>
                  <w:enabled/>
                  <w:calcOnExit w:val="0"/>
                  <w:checkBox>
                    <w:sizeAuto/>
                    <w:default w:val="1"/>
                  </w:checkBox>
                </w:ffData>
              </w:fldChar>
            </w:r>
            <w:r w:rsidRPr="00EF0F01">
              <w:rPr>
                <w:lang w:eastAsia="en-AU"/>
              </w:rPr>
              <w:instrText xml:space="preserve"> FORMCHECKBOX </w:instrText>
            </w:r>
            <w:r w:rsidR="00487EB2">
              <w:rPr>
                <w:lang w:eastAsia="en-AU"/>
              </w:rPr>
            </w:r>
            <w:r w:rsidR="00487EB2">
              <w:rPr>
                <w:lang w:eastAsia="en-AU"/>
              </w:rPr>
              <w:fldChar w:fldCharType="separate"/>
            </w:r>
            <w:r w:rsidRPr="00EF0F01">
              <w:rPr>
                <w:lang w:eastAsia="en-AU"/>
              </w:rPr>
              <w:fldChar w:fldCharType="end"/>
            </w:r>
            <w:r w:rsidRPr="00EF0F01">
              <w:rPr>
                <w:lang w:eastAsia="en-AU"/>
              </w:rPr>
              <w:t>Authority Required - In Writing</w:t>
            </w:r>
          </w:p>
          <w:p w:rsidR="00EF0F01" w:rsidRPr="00A30A33" w:rsidRDefault="00EF0F01" w:rsidP="00882317">
            <w:pPr>
              <w:pStyle w:val="Tabletext"/>
              <w:rPr>
                <w:lang w:eastAsia="en-AU"/>
              </w:rPr>
            </w:pPr>
            <w:r w:rsidRPr="00EF0F01">
              <w:rPr>
                <w:lang w:eastAsia="en-AU"/>
              </w:rPr>
              <w:fldChar w:fldCharType="begin">
                <w:ffData>
                  <w:name w:val="Check3"/>
                  <w:enabled/>
                  <w:calcOnExit w:val="0"/>
                  <w:checkBox>
                    <w:sizeAuto/>
                    <w:default w:val="1"/>
                  </w:checkBox>
                </w:ffData>
              </w:fldChar>
            </w:r>
            <w:r w:rsidRPr="00EF0F01">
              <w:rPr>
                <w:lang w:eastAsia="en-AU"/>
              </w:rPr>
              <w:instrText xml:space="preserve"> FORMCHECKBOX </w:instrText>
            </w:r>
            <w:r w:rsidR="00487EB2">
              <w:rPr>
                <w:lang w:eastAsia="en-AU"/>
              </w:rPr>
            </w:r>
            <w:r w:rsidR="00487EB2">
              <w:rPr>
                <w:lang w:eastAsia="en-AU"/>
              </w:rPr>
              <w:fldChar w:fldCharType="separate"/>
            </w:r>
            <w:r w:rsidRPr="00EF0F01">
              <w:rPr>
                <w:lang w:eastAsia="en-AU"/>
              </w:rPr>
              <w:fldChar w:fldCharType="end"/>
            </w:r>
            <w:r w:rsidRPr="00EF0F01">
              <w:rPr>
                <w:lang w:eastAsia="en-AU"/>
              </w:rPr>
              <w:t>Authority Required - Telephone</w:t>
            </w:r>
          </w:p>
        </w:tc>
      </w:tr>
      <w:tr w:rsidR="00EF0F01" w:rsidRPr="00A30A33" w:rsidTr="001C676A">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882317">
            <w:pPr>
              <w:pStyle w:val="Tabletext"/>
              <w:rPr>
                <w:lang w:eastAsia="en-AU"/>
              </w:rPr>
            </w:pPr>
            <w:r w:rsidRPr="00A30A33">
              <w:rPr>
                <w:lang w:eastAsia="en-AU"/>
              </w:rPr>
              <w:t>Treatment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A70600" w:rsidRPr="00A70600" w:rsidRDefault="00A70600" w:rsidP="00A70600">
            <w:pPr>
              <w:pStyle w:val="Tabletext"/>
              <w:rPr>
                <w:i/>
                <w:lang w:eastAsia="en-AU"/>
              </w:rPr>
            </w:pPr>
            <w:r>
              <w:rPr>
                <w:i/>
                <w:lang w:eastAsia="en-AU"/>
              </w:rPr>
              <w:t>Patient m</w:t>
            </w:r>
            <w:r w:rsidR="00EF0F01" w:rsidRPr="00EF0F01">
              <w:rPr>
                <w:lang w:eastAsia="en-AU"/>
              </w:rPr>
              <w:t>ust be treated by an ophthalmologist</w:t>
            </w:r>
            <w:r>
              <w:rPr>
                <w:lang w:eastAsia="en-AU"/>
              </w:rPr>
              <w:t xml:space="preserve"> </w:t>
            </w:r>
            <w:r w:rsidRPr="00A70600">
              <w:rPr>
                <w:i/>
                <w:lang w:eastAsia="en-AU"/>
              </w:rPr>
              <w:t>or in consultation with an ophthalmologist.</w:t>
            </w:r>
          </w:p>
          <w:p w:rsidR="00EF0F01" w:rsidRPr="00A30A33" w:rsidRDefault="00EF0F01" w:rsidP="00882317">
            <w:pPr>
              <w:pStyle w:val="Tabletext"/>
              <w:rPr>
                <w:lang w:eastAsia="en-AU"/>
              </w:rPr>
            </w:pPr>
            <w:r w:rsidRPr="00EF0F01">
              <w:rPr>
                <w:lang w:eastAsia="en-AU"/>
              </w:rPr>
              <w:t>.</w:t>
            </w:r>
          </w:p>
        </w:tc>
      </w:tr>
      <w:tr w:rsidR="00EF0F01" w:rsidRPr="00A30A33" w:rsidTr="001C676A">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882317">
            <w:pPr>
              <w:pStyle w:val="Tabletext"/>
              <w:rPr>
                <w:lang w:eastAsia="en-AU"/>
              </w:rPr>
            </w:pPr>
            <w:r w:rsidRPr="00A30A33">
              <w:rPr>
                <w:lang w:eastAsia="en-AU"/>
              </w:rPr>
              <w:t>Clinical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F0F01" w:rsidRPr="00EF0F01" w:rsidRDefault="00EF0F01" w:rsidP="00882317">
            <w:pPr>
              <w:pStyle w:val="Tabletext"/>
              <w:rPr>
                <w:lang w:eastAsia="en-AU"/>
              </w:rPr>
            </w:pPr>
            <w:r w:rsidRPr="00EF0F01">
              <w:rPr>
                <w:lang w:eastAsia="en-AU"/>
              </w:rPr>
              <w:t xml:space="preserve">Patient must have visual impairment due to macular oedema secondary to </w:t>
            </w:r>
            <w:r w:rsidR="00FC46B9">
              <w:rPr>
                <w:lang w:eastAsia="en-AU"/>
              </w:rPr>
              <w:t>central</w:t>
            </w:r>
            <w:r w:rsidRPr="00EF0F01">
              <w:rPr>
                <w:lang w:eastAsia="en-AU"/>
              </w:rPr>
              <w:t xml:space="preserve"> retinal </w:t>
            </w:r>
            <w:r w:rsidR="00FC46B9">
              <w:rPr>
                <w:lang w:eastAsia="en-AU"/>
              </w:rPr>
              <w:t>vein occlusion (C</w:t>
            </w:r>
            <w:r w:rsidRPr="00EF0F01">
              <w:rPr>
                <w:lang w:eastAsia="en-AU"/>
              </w:rPr>
              <w:t xml:space="preserve">RVO), </w:t>
            </w:r>
            <w:r w:rsidRPr="00EF0F01">
              <w:rPr>
                <w:b/>
                <w:lang w:eastAsia="en-AU"/>
              </w:rPr>
              <w:t>AND</w:t>
            </w:r>
          </w:p>
          <w:p w:rsidR="00EF0F01" w:rsidRDefault="00EF0F01" w:rsidP="00882317">
            <w:pPr>
              <w:pStyle w:val="Tabletext"/>
              <w:rPr>
                <w:lang w:eastAsia="en-AU"/>
              </w:rPr>
            </w:pPr>
          </w:p>
          <w:p w:rsidR="00EF0F01" w:rsidRPr="00EF0F01" w:rsidRDefault="00EF0F01" w:rsidP="00882317">
            <w:pPr>
              <w:pStyle w:val="Tabletext"/>
              <w:rPr>
                <w:lang w:eastAsia="en-AU"/>
              </w:rPr>
            </w:pPr>
            <w:r w:rsidRPr="00EF0F01">
              <w:rPr>
                <w:lang w:eastAsia="en-AU"/>
              </w:rPr>
              <w:t>Patient must have documented visual impairment defined as a best-corrected visual acuity score between 73 and 2</w:t>
            </w:r>
            <w:r w:rsidR="00FC46B9">
              <w:rPr>
                <w:lang w:eastAsia="en-AU"/>
              </w:rPr>
              <w:t>4</w:t>
            </w:r>
            <w:r w:rsidRPr="00EF0F01">
              <w:rPr>
                <w:lang w:eastAsia="en-AU"/>
              </w:rPr>
              <w:t xml:space="preserve"> letters based on the early treatment diabetic retinopathy study chart administered at a distance of 4 metres (approximate </w:t>
            </w:r>
            <w:r w:rsidR="00FC46B9">
              <w:rPr>
                <w:lang w:eastAsia="en-AU"/>
              </w:rPr>
              <w:t>Snellen equivalent 20/40 to 20/320</w:t>
            </w:r>
            <w:r w:rsidRPr="00EF0F01">
              <w:rPr>
                <w:lang w:eastAsia="en-AU"/>
              </w:rPr>
              <w:t xml:space="preserve">), in the eye proposed for treatment, </w:t>
            </w:r>
            <w:r w:rsidRPr="00EF0F01">
              <w:rPr>
                <w:b/>
                <w:lang w:eastAsia="en-AU"/>
              </w:rPr>
              <w:t>AND</w:t>
            </w:r>
          </w:p>
          <w:p w:rsidR="00EF0F01" w:rsidRDefault="00EF0F01" w:rsidP="00882317">
            <w:pPr>
              <w:pStyle w:val="Tabletext"/>
              <w:rPr>
                <w:lang w:eastAsia="en-AU"/>
              </w:rPr>
            </w:pPr>
          </w:p>
          <w:p w:rsidR="00EF0F01" w:rsidRPr="00EF0F01" w:rsidRDefault="00EF0F01" w:rsidP="00882317">
            <w:pPr>
              <w:pStyle w:val="Tabletext"/>
              <w:rPr>
                <w:lang w:eastAsia="en-AU"/>
              </w:rPr>
            </w:pPr>
            <w:r w:rsidRPr="00EF0F01">
              <w:rPr>
                <w:lang w:eastAsia="en-AU"/>
              </w:rPr>
              <w:t>The condition must be diagnosed by optical coherence tomography; OR</w:t>
            </w:r>
          </w:p>
          <w:p w:rsidR="00EF0F01" w:rsidRPr="00EF0F01" w:rsidRDefault="00EF0F01" w:rsidP="00882317">
            <w:pPr>
              <w:pStyle w:val="Tabletext"/>
              <w:rPr>
                <w:lang w:eastAsia="en-AU"/>
              </w:rPr>
            </w:pPr>
            <w:r w:rsidRPr="00EF0F01">
              <w:rPr>
                <w:lang w:eastAsia="en-AU"/>
              </w:rPr>
              <w:t xml:space="preserve">The condition must be diagnosed by fluorescein angiography, </w:t>
            </w:r>
            <w:r w:rsidRPr="00EF0F01">
              <w:rPr>
                <w:b/>
                <w:lang w:eastAsia="en-AU"/>
              </w:rPr>
              <w:t>AND</w:t>
            </w:r>
          </w:p>
          <w:p w:rsidR="00EF0F01" w:rsidRDefault="00EF0F01" w:rsidP="00882317">
            <w:pPr>
              <w:pStyle w:val="Tabletext"/>
              <w:rPr>
                <w:lang w:eastAsia="en-AU"/>
              </w:rPr>
            </w:pPr>
          </w:p>
          <w:p w:rsidR="00EF0F01" w:rsidRPr="00EF0F01" w:rsidRDefault="00EF0F01" w:rsidP="00882317">
            <w:pPr>
              <w:pStyle w:val="Tabletext"/>
              <w:rPr>
                <w:lang w:eastAsia="en-AU"/>
              </w:rPr>
            </w:pPr>
            <w:r w:rsidRPr="00EF0F01">
              <w:rPr>
                <w:lang w:eastAsia="en-AU"/>
              </w:rPr>
              <w:t>Patient must have a contraindication to vascular endothelial growth factor (VEGF) inhibitors; OR</w:t>
            </w:r>
          </w:p>
          <w:p w:rsidR="00EF0F01" w:rsidRPr="00EF0F01" w:rsidRDefault="00EF0F01" w:rsidP="00882317">
            <w:pPr>
              <w:pStyle w:val="Tabletext"/>
              <w:rPr>
                <w:lang w:eastAsia="en-AU"/>
              </w:rPr>
            </w:pPr>
            <w:r w:rsidRPr="00EF0F01">
              <w:rPr>
                <w:lang w:eastAsia="en-AU"/>
              </w:rPr>
              <w:t>Patient must be unsuitable for treatment with VEGF inhibitors; OR</w:t>
            </w:r>
          </w:p>
          <w:p w:rsidR="00EF0F01" w:rsidRPr="00EF0F01" w:rsidRDefault="00EF0F01" w:rsidP="00882317">
            <w:pPr>
              <w:pStyle w:val="Tabletext"/>
              <w:rPr>
                <w:lang w:eastAsia="en-AU"/>
              </w:rPr>
            </w:pPr>
            <w:r w:rsidRPr="00EF0F01">
              <w:rPr>
                <w:lang w:eastAsia="en-AU"/>
              </w:rPr>
              <w:t xml:space="preserve">Patient must have failed prior treatment with VEGF inhibitors, </w:t>
            </w:r>
            <w:r w:rsidRPr="00EF0F01">
              <w:rPr>
                <w:b/>
                <w:lang w:eastAsia="en-AU"/>
              </w:rPr>
              <w:t>AND</w:t>
            </w:r>
          </w:p>
          <w:p w:rsidR="00EF0F01" w:rsidRDefault="00EF0F01" w:rsidP="00882317">
            <w:pPr>
              <w:pStyle w:val="Tabletext"/>
              <w:rPr>
                <w:lang w:eastAsia="en-AU"/>
              </w:rPr>
            </w:pPr>
          </w:p>
          <w:p w:rsidR="00EF0F01" w:rsidRPr="00A30A33" w:rsidRDefault="00EF0F01" w:rsidP="00882317">
            <w:pPr>
              <w:pStyle w:val="Tabletext"/>
              <w:rPr>
                <w:lang w:eastAsia="en-AU"/>
              </w:rPr>
            </w:pPr>
            <w:r w:rsidRPr="00EF0F01">
              <w:rPr>
                <w:lang w:eastAsia="en-AU"/>
              </w:rPr>
              <w:t>The treatment must be the sole PBS-subsidised therapy for this condition.</w:t>
            </w:r>
          </w:p>
        </w:tc>
      </w:tr>
      <w:tr w:rsidR="00EF0F01" w:rsidRPr="00A30A33" w:rsidTr="001C676A">
        <w:trPr>
          <w:trHeight w:val="20"/>
        </w:trPr>
        <w:tc>
          <w:tcPr>
            <w:tcW w:w="1019" w:type="pct"/>
            <w:tcBorders>
              <w:bottom w:val="single" w:sz="4" w:space="0" w:color="auto"/>
            </w:tcBorders>
          </w:tcPr>
          <w:p w:rsidR="00EF0F01" w:rsidRPr="00A30A33" w:rsidRDefault="00EF0F01" w:rsidP="00882317">
            <w:pPr>
              <w:pStyle w:val="Tabletext"/>
              <w:rPr>
                <w:lang w:eastAsia="en-AU"/>
              </w:rPr>
            </w:pPr>
            <w:r w:rsidRPr="000C3AB6">
              <w:t>Prescriber Instructions</w:t>
            </w:r>
          </w:p>
        </w:tc>
        <w:tc>
          <w:tcPr>
            <w:tcW w:w="3981" w:type="pct"/>
            <w:tcBorders>
              <w:bottom w:val="single" w:sz="4" w:space="0" w:color="auto"/>
            </w:tcBorders>
          </w:tcPr>
          <w:p w:rsidR="00EF0F01" w:rsidRPr="00E27A9F" w:rsidRDefault="00EF0F01" w:rsidP="00882317">
            <w:pPr>
              <w:pStyle w:val="Tabletext"/>
            </w:pPr>
            <w:r w:rsidRPr="00E27A9F">
              <w:t>Authority approval for initial treatment of each eye must be sought.</w:t>
            </w:r>
          </w:p>
          <w:p w:rsidR="00EF0F01" w:rsidRPr="00E27A9F" w:rsidRDefault="00EF0F01" w:rsidP="00882317">
            <w:pPr>
              <w:pStyle w:val="Tabletext"/>
            </w:pPr>
            <w:r w:rsidRPr="00E27A9F">
              <w:t>The first authority application for each eye must be made in writing or by telephone.</w:t>
            </w:r>
          </w:p>
          <w:p w:rsidR="00EF0F01" w:rsidRPr="00E27A9F" w:rsidRDefault="00EF0F01" w:rsidP="00882317">
            <w:pPr>
              <w:pStyle w:val="Tabletext"/>
            </w:pPr>
            <w:r w:rsidRPr="00E27A9F">
              <w:t>A written application must include:</w:t>
            </w:r>
          </w:p>
          <w:p w:rsidR="00EF0F01" w:rsidRPr="00E27A9F" w:rsidRDefault="00EF0F01" w:rsidP="00361734">
            <w:pPr>
              <w:pStyle w:val="Tabletext"/>
              <w:numPr>
                <w:ilvl w:val="0"/>
                <w:numId w:val="10"/>
              </w:numPr>
              <w:ind w:left="256" w:hanging="219"/>
            </w:pPr>
            <w:r w:rsidRPr="00E27A9F">
              <w:t>a completed authority prescription form;</w:t>
            </w:r>
          </w:p>
          <w:p w:rsidR="00EF0F01" w:rsidRDefault="00EF0F01" w:rsidP="00361734">
            <w:pPr>
              <w:pStyle w:val="Tabletext"/>
              <w:numPr>
                <w:ilvl w:val="0"/>
                <w:numId w:val="10"/>
              </w:numPr>
              <w:ind w:left="256" w:hanging="219"/>
            </w:pPr>
            <w:r w:rsidRPr="00E27A9F">
              <w:t>a completed Retinal Vein Occlusion Initial PBS authority application Supporting information form; and</w:t>
            </w:r>
          </w:p>
          <w:p w:rsidR="00EF0F01" w:rsidRPr="00E27A9F" w:rsidRDefault="00EF0F01" w:rsidP="00361734">
            <w:pPr>
              <w:pStyle w:val="Tabletext"/>
              <w:numPr>
                <w:ilvl w:val="0"/>
                <w:numId w:val="10"/>
              </w:numPr>
              <w:ind w:left="256" w:hanging="219"/>
            </w:pPr>
            <w:r w:rsidRPr="00E27A9F">
              <w:t>a copy of the optical coherence tomography or fluorescein angiogram report.</w:t>
            </w:r>
          </w:p>
          <w:p w:rsidR="00EF0F01" w:rsidRPr="00A30A33" w:rsidRDefault="00EF0F01" w:rsidP="00882317">
            <w:pPr>
              <w:pStyle w:val="Tabletext"/>
              <w:rPr>
                <w:color w:val="000000"/>
                <w:szCs w:val="24"/>
                <w:lang w:eastAsia="en-AU"/>
              </w:rPr>
            </w:pPr>
            <w:r w:rsidRPr="00E27A9F">
              <w:t xml:space="preserve">A telephone application must be made following submission by facsimile of a copy of a completed Retinal Vein Occlusion Initial PBS authority application Supporting information form and a copy of the optical coherence tomography or fluorescein angiogram report. </w:t>
            </w:r>
          </w:p>
        </w:tc>
      </w:tr>
      <w:tr w:rsidR="00EF0F01" w:rsidRPr="00A30A33" w:rsidTr="001C676A">
        <w:trPr>
          <w:trHeight w:val="20"/>
        </w:trPr>
        <w:tc>
          <w:tcPr>
            <w:tcW w:w="1019" w:type="pct"/>
            <w:tcBorders>
              <w:top w:val="single" w:sz="4" w:space="0" w:color="auto"/>
              <w:left w:val="single" w:sz="4" w:space="0" w:color="auto"/>
              <w:bottom w:val="single" w:sz="4" w:space="0" w:color="auto"/>
              <w:right w:val="single" w:sz="4" w:space="0" w:color="auto"/>
            </w:tcBorders>
            <w:hideMark/>
          </w:tcPr>
          <w:p w:rsidR="00EF0F01" w:rsidRPr="00A30A33" w:rsidRDefault="00EF0F01" w:rsidP="00882317">
            <w:pPr>
              <w:pStyle w:val="Tabletext"/>
              <w:rPr>
                <w:lang w:eastAsia="en-AU"/>
              </w:rPr>
            </w:pPr>
            <w:r w:rsidRPr="000C3AB6">
              <w:t>Administrative Advice</w:t>
            </w:r>
          </w:p>
        </w:tc>
        <w:tc>
          <w:tcPr>
            <w:tcW w:w="3981" w:type="pct"/>
            <w:tcBorders>
              <w:top w:val="single" w:sz="4" w:space="0" w:color="auto"/>
              <w:left w:val="single" w:sz="4" w:space="0" w:color="auto"/>
              <w:bottom w:val="single" w:sz="4" w:space="0" w:color="auto"/>
              <w:right w:val="single" w:sz="4" w:space="0" w:color="auto"/>
            </w:tcBorders>
          </w:tcPr>
          <w:p w:rsidR="00EF0F01" w:rsidRPr="00E27A9F" w:rsidRDefault="00EF0F01" w:rsidP="00882317">
            <w:pPr>
              <w:pStyle w:val="Tabletext"/>
            </w:pPr>
            <w:r w:rsidRPr="00F66D4D">
              <w:t>Note</w:t>
            </w:r>
            <w:r>
              <w:t xml:space="preserve">: </w:t>
            </w:r>
            <w:r w:rsidRPr="00E27A9F">
              <w:t>No increase in the maximum quantity or number of units may be authorised.</w:t>
            </w:r>
          </w:p>
          <w:p w:rsidR="00EF0F01" w:rsidRPr="00A30A33" w:rsidRDefault="00EF0F01" w:rsidP="00882317">
            <w:pPr>
              <w:pStyle w:val="Tabletext"/>
              <w:rPr>
                <w:color w:val="000000"/>
                <w:szCs w:val="24"/>
                <w:lang w:eastAsia="en-AU"/>
              </w:rPr>
            </w:pPr>
            <w:r w:rsidRPr="00F66D4D">
              <w:t>Note</w:t>
            </w:r>
            <w:r>
              <w:t xml:space="preserve">: </w:t>
            </w:r>
            <w:r w:rsidRPr="00F66D4D">
              <w:t>No increase in the maximum number of repeats may be authorised.</w:t>
            </w:r>
          </w:p>
        </w:tc>
      </w:tr>
    </w:tbl>
    <w:p w:rsidR="00EF0F01" w:rsidRPr="00882085" w:rsidRDefault="00EF0F01" w:rsidP="004B1CB4"/>
    <w:p w:rsidR="00591957" w:rsidRPr="00662EC9" w:rsidRDefault="00FC46B9" w:rsidP="00361734">
      <w:pPr>
        <w:pStyle w:val="ListParagraph"/>
        <w:widowControl/>
        <w:numPr>
          <w:ilvl w:val="1"/>
          <w:numId w:val="1"/>
        </w:numPr>
      </w:pPr>
      <w:r w:rsidRPr="00662EC9">
        <w:t>The submission proposed a special pricing arrangement, with an effective dispensed price for maximum quantity (DPMQ) of $</w:t>
      </w:r>
      <w:r w:rsidR="00487EB2">
        <w:rPr>
          <w:noProof/>
          <w:color w:val="000000"/>
          <w:highlight w:val="black"/>
        </w:rPr>
        <w:t>''''''''''''</w:t>
      </w:r>
      <w:r w:rsidRPr="00662EC9">
        <w:t xml:space="preserve"> based on a </w:t>
      </w:r>
      <w:r w:rsidR="00487EB2">
        <w:rPr>
          <w:noProof/>
          <w:color w:val="000000"/>
          <w:highlight w:val="black"/>
        </w:rPr>
        <w:t>''''''''</w:t>
      </w:r>
      <w:r w:rsidRPr="00662EC9">
        <w:t>% rebate on government expenditure and a published DPMQ of $1,354.79.</w:t>
      </w:r>
    </w:p>
    <w:p w:rsidR="00662EC9" w:rsidRPr="00014E52" w:rsidRDefault="00FC3CCB" w:rsidP="00361734">
      <w:pPr>
        <w:pStyle w:val="ListParagraph"/>
        <w:widowControl/>
        <w:numPr>
          <w:ilvl w:val="1"/>
          <w:numId w:val="1"/>
        </w:numPr>
      </w:pPr>
      <w:r w:rsidRPr="00014E52">
        <w:lastRenderedPageBreak/>
        <w:t xml:space="preserve">The requested listing </w:t>
      </w:r>
      <w:r w:rsidR="00932528">
        <w:t>wa</w:t>
      </w:r>
      <w:r w:rsidRPr="00014E52">
        <w:t>s narrower than the registered TGA indication</w:t>
      </w:r>
      <w:r w:rsidR="008D21B7" w:rsidRPr="00014E52">
        <w:t xml:space="preserve"> (macular oedema secondary to branch retinal vein occlusion or central retinal vein occlusion)</w:t>
      </w:r>
      <w:r w:rsidR="005513B1" w:rsidRPr="00014E52">
        <w:t>, as it restrict</w:t>
      </w:r>
      <w:r w:rsidR="00932528">
        <w:t>ed</w:t>
      </w:r>
      <w:r w:rsidR="005513B1" w:rsidRPr="00014E52">
        <w:t xml:space="preserve"> use to</w:t>
      </w:r>
      <w:r w:rsidRPr="00014E52">
        <w:t xml:space="preserve"> a subgroup of patients contraindicated to, unsuitable for, or who have failed VEGF inhibitors.</w:t>
      </w:r>
      <w:r w:rsidR="008D21B7" w:rsidRPr="00014E52">
        <w:t xml:space="preserve"> It </w:t>
      </w:r>
      <w:r w:rsidR="00932528">
        <w:t>wa</w:t>
      </w:r>
      <w:r w:rsidR="008D21B7" w:rsidRPr="00014E52">
        <w:t>s also more</w:t>
      </w:r>
      <w:r w:rsidR="00932528">
        <w:t xml:space="preserve"> detailed insofar as it included</w:t>
      </w:r>
      <w:r w:rsidR="008D21B7" w:rsidRPr="00014E52">
        <w:t xml:space="preserve"> definitions of visual impairment.</w:t>
      </w:r>
    </w:p>
    <w:p w:rsidR="004E43B2" w:rsidRPr="00C721DE" w:rsidRDefault="00662EC9" w:rsidP="00361734">
      <w:pPr>
        <w:pStyle w:val="ListParagraph"/>
        <w:widowControl/>
        <w:numPr>
          <w:ilvl w:val="1"/>
          <w:numId w:val="1"/>
        </w:numPr>
      </w:pPr>
      <w:r w:rsidRPr="00014E52">
        <w:t>The submission did not</w:t>
      </w:r>
      <w:r w:rsidR="005513B1" w:rsidRPr="00014E52">
        <w:t xml:space="preserve"> explicitly</w:t>
      </w:r>
      <w:r w:rsidRPr="00014E52">
        <w:t xml:space="preserve"> define patients who would be contraindicated to VEGF inhibitors, or provide definitions of prior treatment failure. No direct comparative clinical evidence was provided </w:t>
      </w:r>
      <w:r w:rsidR="00932528">
        <w:t>for</w:t>
      </w:r>
      <w:r w:rsidRPr="00014E52">
        <w:t xml:space="preserve"> this population.</w:t>
      </w:r>
      <w:r w:rsidR="005513B1" w:rsidRPr="00014E52">
        <w:t xml:space="preserve"> The wording of the restriction was ambiguous as it was unclear whether patients had to </w:t>
      </w:r>
      <w:r w:rsidR="00273F12" w:rsidRPr="00014E52">
        <w:t xml:space="preserve">have failed/be contraindicated to/unsuitable for one </w:t>
      </w:r>
      <w:r w:rsidR="005513B1" w:rsidRPr="00014E52">
        <w:t>or both VEGF inhibitors</w:t>
      </w:r>
      <w:r w:rsidR="005513B1" w:rsidRPr="00C721DE">
        <w:t>.</w:t>
      </w:r>
      <w:r w:rsidR="000E3484" w:rsidRPr="00C721DE">
        <w:t xml:space="preserve"> The </w:t>
      </w:r>
      <w:r w:rsidR="005277C4" w:rsidRPr="00C721DE">
        <w:t>Pre-Sub Committee Response (</w:t>
      </w:r>
      <w:r w:rsidR="000E3484" w:rsidRPr="00C721DE">
        <w:t>PSCR</w:t>
      </w:r>
      <w:r w:rsidR="005277C4" w:rsidRPr="00C721DE">
        <w:t>) (p4)</w:t>
      </w:r>
      <w:r w:rsidR="000E3484" w:rsidRPr="00C721DE">
        <w:t xml:space="preserve"> argued that the PBS restriction relating to the use of dexamethasone implant in </w:t>
      </w:r>
      <w:r w:rsidR="005277C4" w:rsidRPr="00C721DE">
        <w:t>diabetic macular oedema (</w:t>
      </w:r>
      <w:r w:rsidR="000E3484" w:rsidRPr="00C721DE">
        <w:t>DMO</w:t>
      </w:r>
      <w:r w:rsidR="005277C4" w:rsidRPr="00C721DE">
        <w:t>)</w:t>
      </w:r>
      <w:r w:rsidR="000E3484" w:rsidRPr="00C721DE">
        <w:t xml:space="preserve"> in an equivalent population does not provide a de</w:t>
      </w:r>
      <w:r w:rsidR="00932528">
        <w:t>finition.</w:t>
      </w:r>
    </w:p>
    <w:p w:rsidR="00BA3C6B" w:rsidRPr="00C721DE" w:rsidRDefault="00BA3C6B" w:rsidP="00361734">
      <w:pPr>
        <w:pStyle w:val="ListParagraph"/>
        <w:widowControl/>
        <w:numPr>
          <w:ilvl w:val="1"/>
          <w:numId w:val="1"/>
        </w:numPr>
      </w:pPr>
      <w:r w:rsidRPr="00C721DE">
        <w:t xml:space="preserve">The </w:t>
      </w:r>
      <w:r w:rsidR="006A627B" w:rsidRPr="00C721DE">
        <w:t xml:space="preserve">ESC noted that the </w:t>
      </w:r>
      <w:r w:rsidRPr="00C721DE">
        <w:t xml:space="preserve">proposed listings for retinal vein occlusion (RVO) </w:t>
      </w:r>
      <w:r w:rsidR="00F239F4" w:rsidRPr="00C721DE">
        <w:t>we</w:t>
      </w:r>
      <w:r w:rsidRPr="00C721DE">
        <w:t xml:space="preserve">re modelled on the current PBS listing for dexamethasone in DMO, which positions dexamethasone as second line therapy </w:t>
      </w:r>
      <w:r w:rsidR="00F239F4" w:rsidRPr="00C721DE">
        <w:t>after</w:t>
      </w:r>
      <w:r w:rsidRPr="00C721DE">
        <w:t xml:space="preserve"> VEGF inhibitors (ranibizumab and aflibercept). However, this raised the following issues for each RVO subgroup</w:t>
      </w:r>
      <w:r w:rsidR="005B276F" w:rsidRPr="00C721DE">
        <w:t xml:space="preserve"> requested</w:t>
      </w:r>
      <w:r w:rsidRPr="00C721DE">
        <w:t>:</w:t>
      </w:r>
    </w:p>
    <w:p w:rsidR="00BA3C6B" w:rsidRPr="00C721DE" w:rsidRDefault="00BA3C6B" w:rsidP="00361734">
      <w:pPr>
        <w:pStyle w:val="ListParagraph"/>
        <w:widowControl/>
        <w:numPr>
          <w:ilvl w:val="1"/>
          <w:numId w:val="3"/>
        </w:numPr>
        <w:ind w:left="1145" w:hanging="425"/>
        <w:rPr>
          <w:rFonts w:cs="Calibri"/>
          <w:snapToGrid/>
          <w:szCs w:val="24"/>
          <w:lang w:val="en-US" w:eastAsia="en-AU"/>
        </w:rPr>
      </w:pPr>
      <w:r w:rsidRPr="00C721DE">
        <w:rPr>
          <w:rFonts w:cs="Calibri"/>
          <w:snapToGrid/>
          <w:szCs w:val="24"/>
          <w:lang w:val="en-US" w:eastAsia="en-AU"/>
        </w:rPr>
        <w:t xml:space="preserve">Contraindicated to VEGF inhibitors (nominated comparator: placebo): treatment with VEGF inhibitors is contraindicated in patients with pre-existing hypersensitivity. </w:t>
      </w:r>
      <w:r w:rsidR="006661AE" w:rsidRPr="00C721DE">
        <w:rPr>
          <w:rFonts w:cs="Calibri"/>
          <w:snapToGrid/>
          <w:szCs w:val="24"/>
          <w:lang w:val="en-US" w:eastAsia="en-AU"/>
        </w:rPr>
        <w:t xml:space="preserve">The </w:t>
      </w:r>
      <w:r w:rsidR="00F239F4" w:rsidRPr="00C721DE">
        <w:rPr>
          <w:rFonts w:cs="Calibri"/>
          <w:snapToGrid/>
          <w:szCs w:val="24"/>
          <w:lang w:val="en-US" w:eastAsia="en-AU"/>
        </w:rPr>
        <w:t xml:space="preserve">ESC </w:t>
      </w:r>
      <w:r w:rsidR="006661AE" w:rsidRPr="00C721DE">
        <w:rPr>
          <w:rFonts w:cs="Calibri"/>
          <w:snapToGrid/>
          <w:szCs w:val="24"/>
          <w:lang w:val="en-US" w:eastAsia="en-AU"/>
        </w:rPr>
        <w:t xml:space="preserve">considered </w:t>
      </w:r>
      <w:r w:rsidR="00F239F4" w:rsidRPr="00C721DE">
        <w:rPr>
          <w:rFonts w:cs="Calibri"/>
          <w:snapToGrid/>
          <w:szCs w:val="24"/>
          <w:lang w:val="en-US" w:eastAsia="en-AU"/>
        </w:rPr>
        <w:t xml:space="preserve">that </w:t>
      </w:r>
      <w:r w:rsidR="006661AE" w:rsidRPr="00C721DE">
        <w:rPr>
          <w:rFonts w:cs="Calibri"/>
          <w:snapToGrid/>
          <w:szCs w:val="24"/>
          <w:lang w:val="en-US" w:eastAsia="en-AU"/>
        </w:rPr>
        <w:t>i</w:t>
      </w:r>
      <w:r w:rsidRPr="00C721DE">
        <w:rPr>
          <w:rFonts w:cs="Calibri"/>
          <w:snapToGrid/>
          <w:szCs w:val="24"/>
          <w:lang w:val="en-US" w:eastAsia="en-AU"/>
        </w:rPr>
        <w:t>t is unclear whether there is a substantial pool of patients who are contraindicated to both ranibizumab and aflibercept in clinical practice. The submission did not provide evidence to quantify the size of this population.</w:t>
      </w:r>
    </w:p>
    <w:p w:rsidR="00BA3C6B" w:rsidRPr="00C721DE" w:rsidRDefault="00BA3C6B" w:rsidP="00361734">
      <w:pPr>
        <w:pStyle w:val="ListParagraph"/>
        <w:widowControl/>
        <w:numPr>
          <w:ilvl w:val="1"/>
          <w:numId w:val="3"/>
        </w:numPr>
        <w:ind w:left="1145" w:hanging="425"/>
        <w:rPr>
          <w:szCs w:val="24"/>
        </w:rPr>
      </w:pPr>
      <w:r w:rsidRPr="00C721DE">
        <w:rPr>
          <w:rFonts w:cs="Calibri"/>
          <w:snapToGrid/>
          <w:szCs w:val="24"/>
          <w:lang w:val="en-US" w:eastAsia="en-AU"/>
        </w:rPr>
        <w:t xml:space="preserve">Treatment failure with VEGF inhibitors (nominated comparator: placebo): It is unclear whether patients need to fail treatment with one or both of the VEGF inhibitors currently available. Available observational studies suggest the treatment effect may be smaller in patients with VEGF inhibitor resistant macular oedema than in the broader population recruited in the clinical trials. </w:t>
      </w:r>
      <w:r w:rsidR="006661AE" w:rsidRPr="00C721DE">
        <w:rPr>
          <w:rFonts w:cs="Calibri"/>
          <w:snapToGrid/>
          <w:szCs w:val="24"/>
          <w:lang w:val="en-US" w:eastAsia="en-AU"/>
        </w:rPr>
        <w:t>The ESC considered t</w:t>
      </w:r>
      <w:r w:rsidRPr="00C721DE">
        <w:rPr>
          <w:rFonts w:cs="Calibri"/>
          <w:snapToGrid/>
          <w:szCs w:val="24"/>
          <w:lang w:val="en-US" w:eastAsia="en-AU"/>
        </w:rPr>
        <w:t>he submission ha</w:t>
      </w:r>
      <w:r w:rsidR="006661AE" w:rsidRPr="00C721DE">
        <w:rPr>
          <w:rFonts w:cs="Calibri"/>
          <w:snapToGrid/>
          <w:szCs w:val="24"/>
          <w:lang w:val="en-US" w:eastAsia="en-AU"/>
        </w:rPr>
        <w:t>d</w:t>
      </w:r>
      <w:r w:rsidRPr="00C721DE">
        <w:rPr>
          <w:rFonts w:cs="Calibri"/>
          <w:snapToGrid/>
          <w:szCs w:val="24"/>
          <w:lang w:val="en-US" w:eastAsia="en-AU"/>
        </w:rPr>
        <w:t xml:space="preserve"> not provided unequivocal evidence that dexamethasone implant is an effective treatment for patients who have failed treatment with VEGF inhibitors. The ESC also noted that </w:t>
      </w:r>
      <w:r w:rsidRPr="00C721DE">
        <w:t>2015 British Royal College of Ophthalmologists guidelines</w:t>
      </w:r>
      <w:r w:rsidRPr="00C721DE">
        <w:rPr>
          <w:vertAlign w:val="superscript"/>
        </w:rPr>
        <w:footnoteReference w:id="1"/>
      </w:r>
      <w:r w:rsidRPr="00C721DE">
        <w:t xml:space="preserve"> (p.30) suggest “[i]f an anti-VEGF agent is stopped due to lack of efficacy, there is no randomised controlled trials that provide evidence that switching to another anti-VEGF agent may be effective. However, given our experience with switching anti-VEGF agents in neovascular age related macular degeneration, it may be worthwhile switching to another </w:t>
      </w:r>
      <w:r w:rsidRPr="00C721DE">
        <w:lastRenderedPageBreak/>
        <w:t xml:space="preserve">anti-VEGF agent.” Thus, the ESC considered </w:t>
      </w:r>
      <w:r w:rsidRPr="00C721DE">
        <w:rPr>
          <w:rFonts w:cs="Calibri"/>
          <w:snapToGrid/>
          <w:szCs w:val="24"/>
          <w:lang w:val="en-US" w:eastAsia="en-AU"/>
        </w:rPr>
        <w:t xml:space="preserve">there is </w:t>
      </w:r>
      <w:r w:rsidR="006A627B" w:rsidRPr="00C721DE">
        <w:rPr>
          <w:rFonts w:cs="Calibri"/>
          <w:snapToGrid/>
          <w:szCs w:val="24"/>
          <w:lang w:val="en-US" w:eastAsia="en-AU"/>
        </w:rPr>
        <w:t xml:space="preserve">a </w:t>
      </w:r>
      <w:r w:rsidRPr="00C721DE">
        <w:rPr>
          <w:rFonts w:cs="Calibri"/>
          <w:snapToGrid/>
          <w:szCs w:val="24"/>
          <w:lang w:val="en-US" w:eastAsia="en-AU"/>
        </w:rPr>
        <w:t>limited clinical place for dexamethasone in this subgroup.</w:t>
      </w:r>
    </w:p>
    <w:p w:rsidR="00BA3C6B" w:rsidRPr="00C721DE" w:rsidRDefault="00BA3C6B" w:rsidP="00361734">
      <w:pPr>
        <w:pStyle w:val="ListParagraph"/>
        <w:widowControl/>
        <w:numPr>
          <w:ilvl w:val="1"/>
          <w:numId w:val="3"/>
        </w:numPr>
        <w:ind w:left="1145" w:hanging="425"/>
      </w:pPr>
      <w:r w:rsidRPr="00C721DE">
        <w:rPr>
          <w:rFonts w:cs="Calibri"/>
          <w:snapToGrid/>
          <w:szCs w:val="24"/>
          <w:lang w:val="en-US" w:eastAsia="en-AU"/>
        </w:rPr>
        <w:t xml:space="preserve">Unsuitable for treatment with VEGF inhibitors (nominated comparators: VEGF inhibitors): </w:t>
      </w:r>
      <w:r w:rsidR="00540D12">
        <w:rPr>
          <w:rFonts w:cs="Calibri"/>
          <w:snapToGrid/>
          <w:szCs w:val="24"/>
          <w:lang w:val="en-US" w:eastAsia="en-AU"/>
        </w:rPr>
        <w:t>T</w:t>
      </w:r>
      <w:r w:rsidRPr="00C721DE">
        <w:rPr>
          <w:rFonts w:cs="Calibri"/>
          <w:snapToGrid/>
          <w:szCs w:val="24"/>
          <w:lang w:val="en-US" w:eastAsia="en-AU"/>
        </w:rPr>
        <w:t xml:space="preserve">his population </w:t>
      </w:r>
      <w:r w:rsidR="00540D12">
        <w:rPr>
          <w:rFonts w:cs="Calibri"/>
          <w:snapToGrid/>
          <w:szCs w:val="24"/>
          <w:lang w:val="en-US" w:eastAsia="en-AU"/>
        </w:rPr>
        <w:t>is</w:t>
      </w:r>
      <w:r w:rsidRPr="00C721DE">
        <w:rPr>
          <w:rFonts w:cs="Calibri"/>
          <w:snapToGrid/>
          <w:szCs w:val="24"/>
          <w:lang w:val="en-US" w:eastAsia="en-AU"/>
        </w:rPr>
        <w:t xml:space="preserve"> patients who want to avoid VEGF inhibitors due to the frequency of VEGF inhibitor injections (i.e. patient preference or logistical reasons)</w:t>
      </w:r>
      <w:r w:rsidR="00540D12">
        <w:rPr>
          <w:rFonts w:cs="Calibri"/>
          <w:snapToGrid/>
          <w:szCs w:val="24"/>
          <w:lang w:val="en-US" w:eastAsia="en-AU"/>
        </w:rPr>
        <w:t>.</w:t>
      </w:r>
      <w:r w:rsidRPr="00C721DE">
        <w:rPr>
          <w:rFonts w:cs="Calibri"/>
          <w:snapToGrid/>
          <w:szCs w:val="24"/>
          <w:lang w:val="en-US" w:eastAsia="en-AU"/>
        </w:rPr>
        <w:t xml:space="preserve"> </w:t>
      </w:r>
      <w:r w:rsidR="00540D12">
        <w:rPr>
          <w:rFonts w:cs="Calibri"/>
          <w:snapToGrid/>
          <w:szCs w:val="24"/>
          <w:lang w:val="en-US" w:eastAsia="en-AU"/>
        </w:rPr>
        <w:t>T</w:t>
      </w:r>
      <w:r w:rsidR="006661AE" w:rsidRPr="00C721DE">
        <w:rPr>
          <w:rFonts w:cs="Calibri"/>
          <w:snapToGrid/>
          <w:szCs w:val="24"/>
          <w:lang w:val="en-US" w:eastAsia="en-AU"/>
        </w:rPr>
        <w:t xml:space="preserve">he ESC noted </w:t>
      </w:r>
      <w:r w:rsidRPr="00C721DE">
        <w:rPr>
          <w:rFonts w:cs="Calibri"/>
          <w:snapToGrid/>
          <w:szCs w:val="24"/>
          <w:lang w:val="en-US" w:eastAsia="en-AU"/>
        </w:rPr>
        <w:t>the clinical data indicates that dexamethasone implant is inferior to VEGF</w:t>
      </w:r>
      <w:r w:rsidRPr="00C721DE">
        <w:t xml:space="preserve"> inhibitors in terms of efficacy and safety. Further, a significant proportion of patients in the dexamethasone treatment arms of these trials experienced a worsening of visual acuity over the treatment period, losing ≥15 letters best corrected visual acuity. The ESC considered that while treatment compliance with the VEGF inhibitors may have been an issue over the longer term treatment of DMO and thus justified the PBS listing of dexamethasone in this subgroup, this was less likely to be an issue for RVO </w:t>
      </w:r>
      <w:r w:rsidR="006A627B" w:rsidRPr="00C721DE">
        <w:t xml:space="preserve">for </w:t>
      </w:r>
      <w:r w:rsidRPr="00C721DE">
        <w:t xml:space="preserve">which </w:t>
      </w:r>
      <w:r w:rsidR="006A627B" w:rsidRPr="00C721DE">
        <w:t xml:space="preserve">macular oedema does not </w:t>
      </w:r>
      <w:r w:rsidR="006739EB" w:rsidRPr="006739EB">
        <w:t xml:space="preserve">necessarily </w:t>
      </w:r>
      <w:r w:rsidR="006A627B" w:rsidRPr="00C721DE">
        <w:t>need prolonged treatment</w:t>
      </w:r>
      <w:r w:rsidRPr="00C721DE">
        <w:t>; thus there is no sound clinical reason for offering the alternative of dexamethasone (a less effective and more har</w:t>
      </w:r>
      <w:r w:rsidR="00932528">
        <w:t>mful therapy) in this subgroup.</w:t>
      </w:r>
    </w:p>
    <w:p w:rsidR="00EB5FC0" w:rsidRPr="00C721DE" w:rsidRDefault="00EB5FC0" w:rsidP="00361734">
      <w:pPr>
        <w:pStyle w:val="ListParagraph"/>
        <w:widowControl/>
        <w:numPr>
          <w:ilvl w:val="1"/>
          <w:numId w:val="1"/>
        </w:numPr>
      </w:pPr>
      <w:r w:rsidRPr="00C721DE">
        <w:t>The ESC noted the submission claimed that the PBS listing of dexamethasone implant for DMO was limited to patients with pseudophakic lenses due to better efficacy in this subgroup (the TGA indication is for the broader DMO population). In contrast, the submission noted no difference in efficacy between phakic and pseudophakic subgroups in retinal vein occlusion. Nevertheless, the ESC noted the risk</w:t>
      </w:r>
      <w:r w:rsidR="006A0B29" w:rsidRPr="00C721DE">
        <w:t>: benefit</w:t>
      </w:r>
      <w:r w:rsidRPr="00C721DE">
        <w:t xml:space="preserve"> profile of dexamethasone implant is better in pseudophakic than in phakic patients due to the </w:t>
      </w:r>
      <w:r w:rsidR="004032FD" w:rsidRPr="00C721DE">
        <w:t>increased</w:t>
      </w:r>
      <w:r w:rsidRPr="00C721DE">
        <w:t xml:space="preserve"> risk of cataract formation in phakic eyes</w:t>
      </w:r>
      <w:r w:rsidR="004032FD" w:rsidRPr="00C721DE">
        <w:t>, which in turn can reduce visual acuity</w:t>
      </w:r>
      <w:r w:rsidRPr="00C721DE">
        <w:t>.</w:t>
      </w:r>
    </w:p>
    <w:p w:rsidR="00EB5FC0" w:rsidRPr="00C721DE" w:rsidRDefault="004032FD" w:rsidP="00361734">
      <w:pPr>
        <w:pStyle w:val="ListParagraph"/>
        <w:numPr>
          <w:ilvl w:val="1"/>
          <w:numId w:val="1"/>
        </w:numPr>
      </w:pPr>
      <w:r w:rsidRPr="00C721DE">
        <w:t>T</w:t>
      </w:r>
      <w:r w:rsidR="00EB5FC0" w:rsidRPr="00C721DE">
        <w:t xml:space="preserve">he TGA delegate’s overview for dexamethasone implant for RVO (March 2017) noted that dexamethasone injection was associated with an increased risk of cataracts, which increased with dose and duration of treatment. It was also noted that the benefits of treatment were at the expense of an increased risk of cataracts and increased risk </w:t>
      </w:r>
      <w:r w:rsidR="00973F9D" w:rsidRPr="00C721DE">
        <w:t>of raised intraocular pressure.</w:t>
      </w:r>
    </w:p>
    <w:p w:rsidR="00EB5FC0" w:rsidRPr="00C721DE" w:rsidRDefault="00EB5FC0" w:rsidP="00361734">
      <w:pPr>
        <w:pStyle w:val="ListParagraph"/>
        <w:numPr>
          <w:ilvl w:val="1"/>
          <w:numId w:val="1"/>
        </w:numPr>
      </w:pPr>
      <w:r w:rsidRPr="00C721DE">
        <w:t xml:space="preserve">The most recent TGA AusPAR for dexamethasone (October 2016) noted that the best corrected visual acuity (BCVA) improvement in phakic eyes appears to be ill sustained due to the almost inevitable development of cataract. Optical coherence tomography (OCT) data appear similar in pseudophakic and phakic study eyes and BCVA improvement is restored following cataract surgery in phakic eyes. However, the data suggest that treatment of phakic eyes is largely ineffective, unless or until the patient has a lens replacement. Based on subgroup analyses of the two Phase III trials (in DMO), the Committee for Medicinal Products for Human Use (CHMP) considered that the benefit risk balance was favourable for the restricted patient population who were pseudophakic or insufficiently responsive or unsuitable for non-corticosteroid therapy. The ESC noted that 3-year trials exist for DMO, where an increase in cataract formation was noted from year 2-3 of treatment. The trials for </w:t>
      </w:r>
      <w:r w:rsidRPr="00C721DE">
        <w:lastRenderedPageBreak/>
        <w:t>RVO were for six months, with a six month extension study.</w:t>
      </w:r>
    </w:p>
    <w:p w:rsidR="00415ABD" w:rsidRPr="00932528" w:rsidRDefault="00973F9D" w:rsidP="00540D12">
      <w:pPr>
        <w:pStyle w:val="ListParagraph"/>
        <w:numPr>
          <w:ilvl w:val="1"/>
          <w:numId w:val="1"/>
        </w:numPr>
        <w:rPr>
          <w:rFonts w:asciiTheme="minorHAnsi" w:hAnsiTheme="minorHAnsi"/>
        </w:rPr>
      </w:pPr>
      <w:r w:rsidRPr="00C721DE">
        <w:t>Based on this increased risk, the ESC queried whether any PBS listing of dexamethasone implant in RVO should be consistent with that for DMO by excluding patients capable of developing cataracts, or whether there is sufficient reason to differentiate this risk between RVO and DMO, for example in relation to the expected duration therapy using dexamethasone implants.</w:t>
      </w:r>
    </w:p>
    <w:p w:rsidR="00711810" w:rsidRPr="003610AD" w:rsidRDefault="00415ABD" w:rsidP="00415ABD">
      <w:pPr>
        <w:pStyle w:val="ListParagraph"/>
      </w:pPr>
      <w:r w:rsidRPr="00AC7C0C">
        <w:rPr>
          <w:rFonts w:asciiTheme="minorHAnsi" w:hAnsiTheme="minorHAnsi"/>
          <w:i/>
        </w:rPr>
        <w:t xml:space="preserve">For </w:t>
      </w:r>
      <w:r w:rsidRPr="003610AD">
        <w:rPr>
          <w:rFonts w:asciiTheme="minorHAnsi" w:hAnsiTheme="minorHAnsi"/>
          <w:i/>
        </w:rPr>
        <w:t>more detail on PBAC’s view, see section 7 PBAC outcome.</w:t>
      </w:r>
    </w:p>
    <w:p w:rsidR="00AE0CCA" w:rsidRPr="00932528" w:rsidRDefault="00B50DB8" w:rsidP="00D005BF">
      <w:pPr>
        <w:pStyle w:val="PBACHeading1"/>
      </w:pPr>
      <w:bookmarkStart w:id="3" w:name="_Toc503967470"/>
      <w:r w:rsidRPr="003610AD">
        <w:t>Background</w:t>
      </w:r>
      <w:bookmarkEnd w:id="3"/>
    </w:p>
    <w:p w:rsidR="00AE0CCA" w:rsidRPr="00AE0CCA" w:rsidRDefault="00591957" w:rsidP="00B60939">
      <w:pPr>
        <w:rPr>
          <w:b/>
          <w:i/>
          <w:sz w:val="28"/>
          <w:szCs w:val="28"/>
        </w:rPr>
      </w:pPr>
      <w:r w:rsidRPr="003610AD">
        <w:rPr>
          <w:b/>
          <w:i/>
          <w:sz w:val="28"/>
          <w:szCs w:val="28"/>
        </w:rPr>
        <w:t>Registration status</w:t>
      </w:r>
    </w:p>
    <w:p w:rsidR="00662EC9" w:rsidRPr="00662EC9" w:rsidRDefault="00662EC9" w:rsidP="00361734">
      <w:pPr>
        <w:pStyle w:val="ListParagraph"/>
        <w:widowControl/>
        <w:numPr>
          <w:ilvl w:val="1"/>
          <w:numId w:val="1"/>
        </w:numPr>
      </w:pPr>
      <w:r w:rsidRPr="00662EC9">
        <w:t xml:space="preserve">Dexamethasone implant was approved by the TGA on 16 June 2017 for macular oedema secondary to BRVO </w:t>
      </w:r>
      <w:r w:rsidR="001C676A">
        <w:t>or CRVO.</w:t>
      </w:r>
    </w:p>
    <w:p w:rsidR="00415ABD" w:rsidRPr="003610AD" w:rsidRDefault="00662EC9" w:rsidP="00415ABD">
      <w:pPr>
        <w:pStyle w:val="ListParagraph"/>
        <w:ind w:left="709"/>
        <w:rPr>
          <w:rFonts w:asciiTheme="minorHAnsi" w:hAnsiTheme="minorHAnsi"/>
          <w:i/>
        </w:rPr>
      </w:pPr>
      <w:r w:rsidRPr="003610AD">
        <w:t>Dexamethasone implant is also TGA registered for non-infectious uveitis affecting the posterior segment of the ey</w:t>
      </w:r>
      <w:r w:rsidR="001C676A" w:rsidRPr="003610AD">
        <w:t>e, and diabetic macular oedema.</w:t>
      </w:r>
      <w:r w:rsidR="00415ABD" w:rsidRPr="003610AD">
        <w:rPr>
          <w:rFonts w:asciiTheme="minorHAnsi" w:hAnsiTheme="minorHAnsi"/>
          <w:i/>
        </w:rPr>
        <w:t xml:space="preserve"> </w:t>
      </w:r>
    </w:p>
    <w:p w:rsidR="00B60939" w:rsidRPr="00882085" w:rsidRDefault="00203181" w:rsidP="00B60939">
      <w:pPr>
        <w:pStyle w:val="PBACHeading1"/>
      </w:pPr>
      <w:bookmarkStart w:id="4" w:name="_Toc503967471"/>
      <w:r w:rsidRPr="003610AD">
        <w:t xml:space="preserve">Population and </w:t>
      </w:r>
      <w:r w:rsidR="008E0D3C" w:rsidRPr="003610AD">
        <w:t>d</w:t>
      </w:r>
      <w:r w:rsidRPr="003610AD">
        <w:t>isease</w:t>
      </w:r>
      <w:bookmarkEnd w:id="4"/>
    </w:p>
    <w:p w:rsidR="00662EC9" w:rsidRPr="00196A1B" w:rsidRDefault="00662EC9" w:rsidP="00361734">
      <w:pPr>
        <w:pStyle w:val="ListParagraph"/>
        <w:widowControl/>
        <w:numPr>
          <w:ilvl w:val="1"/>
          <w:numId w:val="1"/>
        </w:numPr>
      </w:pPr>
      <w:r w:rsidRPr="00196A1B">
        <w:rPr>
          <w:bCs/>
        </w:rPr>
        <w:t>Retinal vein occlusion</w:t>
      </w:r>
      <w:r w:rsidRPr="00196A1B">
        <w:t> is a common vascular disorder of the retina and one of the most common causes of vision loss worldwide. There are two major anatomic types of retinal vein occlusion: branch retinal vein occlusion (BRVO) and central retinal vein occlusion (CRVO). BRVO occurs when a vein in the distal retinal venous system is occluded, which leads to haemorrhage along the distribution of a small vessel of the retina. CRVO occurs due to a thrombus within the central retinal vein, leading to the involvement of the entire retina. Macular oedema is a frequent consequence of all forms of retinal vein occlusion and is the major cause of visual loss with this condition.</w:t>
      </w:r>
      <w:r w:rsidR="00A6008B">
        <w:t xml:space="preserve"> The presentation is primarily unilateral.</w:t>
      </w:r>
    </w:p>
    <w:p w:rsidR="00662EC9" w:rsidRPr="00196A1B" w:rsidRDefault="00662EC9" w:rsidP="00361734">
      <w:pPr>
        <w:pStyle w:val="ListParagraph"/>
        <w:widowControl/>
        <w:numPr>
          <w:ilvl w:val="1"/>
          <w:numId w:val="1"/>
        </w:numPr>
      </w:pPr>
      <w:r w:rsidRPr="00196A1B">
        <w:t xml:space="preserve">The current </w:t>
      </w:r>
      <w:r w:rsidR="00196A1B" w:rsidRPr="00196A1B">
        <w:t xml:space="preserve">first-line therapies for BRVO and CRVO are vascular endothelial growth factor (VEGF) inhibitors. Ranibizumab and aflibercept are currently </w:t>
      </w:r>
      <w:r w:rsidR="007D136E">
        <w:t>PBS listed</w:t>
      </w:r>
      <w:r w:rsidR="00196A1B" w:rsidRPr="00196A1B">
        <w:t xml:space="preserve"> for macular oedema secondary to retinal vein occlusion.</w:t>
      </w:r>
      <w:r w:rsidR="007D136E">
        <w:t xml:space="preserve"> Treatment is episodic, performed until resolution of macular oedema is achieved.</w:t>
      </w:r>
    </w:p>
    <w:p w:rsidR="00196A1B" w:rsidRPr="00196A1B" w:rsidRDefault="00196A1B" w:rsidP="00361734">
      <w:pPr>
        <w:pStyle w:val="ListParagraph"/>
        <w:widowControl/>
        <w:numPr>
          <w:ilvl w:val="1"/>
          <w:numId w:val="1"/>
        </w:numPr>
      </w:pPr>
      <w:r w:rsidRPr="00196A1B">
        <w:t xml:space="preserve">The submission proposed that </w:t>
      </w:r>
      <w:r w:rsidRPr="00196A1B">
        <w:rPr>
          <w:bCs/>
        </w:rPr>
        <w:t xml:space="preserve">that </w:t>
      </w:r>
      <w:r w:rsidR="007D136E">
        <w:rPr>
          <w:bCs/>
        </w:rPr>
        <w:t>there is a clinical need for</w:t>
      </w:r>
      <w:r w:rsidRPr="00196A1B">
        <w:rPr>
          <w:bCs/>
        </w:rPr>
        <w:t xml:space="preserve"> dexamethasone implant in patients</w:t>
      </w:r>
      <w:r w:rsidR="007D136E">
        <w:rPr>
          <w:bCs/>
        </w:rPr>
        <w:t xml:space="preserve"> with macular oedema secondary to </w:t>
      </w:r>
      <w:r w:rsidR="00AB74F8">
        <w:rPr>
          <w:bCs/>
        </w:rPr>
        <w:t>BRVO</w:t>
      </w:r>
      <w:r w:rsidR="007D136E">
        <w:rPr>
          <w:bCs/>
        </w:rPr>
        <w:t xml:space="preserve"> or </w:t>
      </w:r>
      <w:r w:rsidR="00AB74F8">
        <w:rPr>
          <w:bCs/>
        </w:rPr>
        <w:t>CRVO</w:t>
      </w:r>
      <w:r w:rsidRPr="00196A1B">
        <w:rPr>
          <w:bCs/>
        </w:rPr>
        <w:t xml:space="preserve"> for whom VEGF inhibitors are contraindicated, unsuitable, or the patient has failed prior treatment.</w:t>
      </w:r>
    </w:p>
    <w:p w:rsidR="00415ABD" w:rsidRPr="00932528" w:rsidRDefault="00662EC9" w:rsidP="00415ABD">
      <w:pPr>
        <w:pStyle w:val="ListParagraph"/>
        <w:ind w:left="709"/>
        <w:rPr>
          <w:rFonts w:asciiTheme="minorHAnsi" w:hAnsiTheme="minorHAnsi"/>
        </w:rPr>
      </w:pPr>
      <w:r w:rsidRPr="00196A1B">
        <w:t>The dexamethasone implant enables the sustained release of dexamethasone, a potent corticosteroid that suppresses inflammation by inhibiting multiple inflammatory cytokines</w:t>
      </w:r>
      <w:r w:rsidR="007D136E">
        <w:t>, over a number of weeks</w:t>
      </w:r>
      <w:r w:rsidRPr="00196A1B">
        <w:t xml:space="preserve">. This decreases fibrin deposition, capillary leakage, and migration of the inflammatory cells, which in turn reduces </w:t>
      </w:r>
      <w:r w:rsidRPr="003610AD">
        <w:t>macular oedema.</w:t>
      </w:r>
    </w:p>
    <w:p w:rsidR="00E55BB5" w:rsidRPr="003610AD" w:rsidRDefault="00415ABD" w:rsidP="00415ABD">
      <w:pPr>
        <w:pStyle w:val="ListParagraph"/>
        <w:widowControl/>
      </w:pPr>
      <w:r w:rsidRPr="003610AD">
        <w:rPr>
          <w:rFonts w:asciiTheme="minorHAnsi" w:hAnsiTheme="minorHAnsi"/>
          <w:i/>
        </w:rPr>
        <w:t>For more detail on PBAC’s view, see section 7 PBAC outcome.</w:t>
      </w:r>
    </w:p>
    <w:p w:rsidR="00B60939" w:rsidRPr="00882085" w:rsidRDefault="00B50DB8" w:rsidP="004B1CB4">
      <w:pPr>
        <w:pStyle w:val="PBACHeading1"/>
      </w:pPr>
      <w:bookmarkStart w:id="5" w:name="_Toc503967472"/>
      <w:r w:rsidRPr="00D005BF">
        <w:t>Comparator</w:t>
      </w:r>
      <w:bookmarkEnd w:id="5"/>
    </w:p>
    <w:p w:rsidR="00196A1B" w:rsidRPr="00014E52" w:rsidRDefault="00196A1B" w:rsidP="00361734">
      <w:pPr>
        <w:pStyle w:val="ListParagraph"/>
        <w:widowControl/>
        <w:numPr>
          <w:ilvl w:val="1"/>
          <w:numId w:val="1"/>
        </w:numPr>
      </w:pPr>
      <w:r w:rsidRPr="00196A1B">
        <w:rPr>
          <w:rFonts w:cs="Calibri"/>
          <w:snapToGrid/>
          <w:szCs w:val="24"/>
          <w:lang w:val="en-US" w:eastAsia="en-AU"/>
        </w:rPr>
        <w:t xml:space="preserve">The </w:t>
      </w:r>
      <w:r w:rsidR="00630AB3" w:rsidRPr="00630AB3">
        <w:rPr>
          <w:rFonts w:cs="Calibri"/>
          <w:snapToGrid/>
          <w:szCs w:val="24"/>
          <w:lang w:eastAsia="en-AU"/>
        </w:rPr>
        <w:t xml:space="preserve">submission nominated sham injection as a proxy for no active treatment as the main comparator when considering patients in whom VEGF inhibitors are contraindicated or have failed or are otherwise unsuitable. </w:t>
      </w:r>
      <w:r w:rsidR="00630AB3" w:rsidRPr="003610AD">
        <w:rPr>
          <w:rFonts w:cs="Calibri"/>
          <w:snapToGrid/>
          <w:szCs w:val="24"/>
          <w:lang w:eastAsia="en-AU"/>
        </w:rPr>
        <w:t>Th</w:t>
      </w:r>
      <w:r w:rsidR="005015D5" w:rsidRPr="003610AD">
        <w:rPr>
          <w:rFonts w:cs="Calibri"/>
          <w:snapToGrid/>
          <w:szCs w:val="24"/>
          <w:lang w:eastAsia="en-AU"/>
        </w:rPr>
        <w:t xml:space="preserve">e </w:t>
      </w:r>
      <w:r w:rsidR="003610AD">
        <w:rPr>
          <w:rFonts w:cs="Calibri"/>
          <w:snapToGrid/>
          <w:szCs w:val="24"/>
          <w:lang w:eastAsia="en-AU"/>
        </w:rPr>
        <w:t>ES</w:t>
      </w:r>
      <w:r w:rsidR="005015D5" w:rsidRPr="003610AD">
        <w:rPr>
          <w:rFonts w:cs="Calibri"/>
          <w:snapToGrid/>
          <w:szCs w:val="24"/>
          <w:lang w:eastAsia="en-AU"/>
        </w:rPr>
        <w:t>C considered this</w:t>
      </w:r>
      <w:r w:rsidR="00E83AAC">
        <w:rPr>
          <w:rFonts w:cs="Calibri"/>
          <w:snapToGrid/>
          <w:szCs w:val="24"/>
          <w:lang w:eastAsia="en-AU"/>
        </w:rPr>
        <w:t xml:space="preserve"> to be</w:t>
      </w:r>
      <w:r w:rsidR="00630AB3" w:rsidRPr="00014E52">
        <w:rPr>
          <w:rFonts w:cs="Calibri"/>
          <w:snapToGrid/>
          <w:szCs w:val="24"/>
          <w:lang w:eastAsia="en-AU"/>
        </w:rPr>
        <w:t xml:space="preserve"> an appropriate comparator for this population. Prior to the introduction of VEGF inhibitors, grid laser photocoagulation was the standard treatment for macular oedema associated with BRVO. Grid laser photocoagulation was considered as a comparator in the ranibizumab November 2013, March 2014, and July 2014 submissions for BRVO. The current place in therapy for grid laser photocoagulation </w:t>
      </w:r>
      <w:r w:rsidR="0046500E" w:rsidRPr="00014E52">
        <w:rPr>
          <w:rFonts w:cs="Calibri"/>
          <w:snapToGrid/>
          <w:szCs w:val="24"/>
          <w:lang w:eastAsia="en-AU"/>
        </w:rPr>
        <w:t xml:space="preserve">remains </w:t>
      </w:r>
      <w:r w:rsidR="00630AB3" w:rsidRPr="00014E52">
        <w:rPr>
          <w:rFonts w:cs="Calibri"/>
          <w:snapToGrid/>
          <w:szCs w:val="24"/>
          <w:lang w:eastAsia="en-AU"/>
        </w:rPr>
        <w:t>in patients with</w:t>
      </w:r>
      <w:r w:rsidR="00630AB3" w:rsidRPr="00630AB3">
        <w:rPr>
          <w:rFonts w:cs="Calibri"/>
          <w:i/>
          <w:snapToGrid/>
          <w:szCs w:val="24"/>
          <w:lang w:eastAsia="en-AU"/>
        </w:rPr>
        <w:t xml:space="preserve"> </w:t>
      </w:r>
      <w:r w:rsidR="00630AB3" w:rsidRPr="00014E52">
        <w:rPr>
          <w:rFonts w:cs="Calibri"/>
          <w:snapToGrid/>
          <w:szCs w:val="24"/>
          <w:lang w:eastAsia="en-AU"/>
        </w:rPr>
        <w:t>BRVO who have failed treatment with a VEGF inhibitor</w:t>
      </w:r>
      <w:r w:rsidR="0046500E" w:rsidRPr="00014E52">
        <w:t>, and thus may remain a secondary comparator for dexamethasone implant</w:t>
      </w:r>
      <w:r w:rsidRPr="00014E52">
        <w:rPr>
          <w:rFonts w:cs="Calibri"/>
          <w:snapToGrid/>
          <w:szCs w:val="24"/>
          <w:lang w:eastAsia="en-AU"/>
        </w:rPr>
        <w:t>.</w:t>
      </w:r>
    </w:p>
    <w:p w:rsidR="00415ABD" w:rsidRPr="001A6132" w:rsidRDefault="00196A1B" w:rsidP="00415ABD">
      <w:pPr>
        <w:pStyle w:val="ListParagraph"/>
        <w:ind w:left="709"/>
        <w:rPr>
          <w:rFonts w:asciiTheme="minorHAnsi" w:hAnsiTheme="minorHAnsi"/>
        </w:rPr>
      </w:pPr>
      <w:r w:rsidRPr="00014E52">
        <w:rPr>
          <w:rFonts w:cs="Calibri"/>
          <w:snapToGrid/>
          <w:szCs w:val="24"/>
          <w:lang w:eastAsia="en-AU"/>
        </w:rPr>
        <w:t xml:space="preserve">The submission nominated </w:t>
      </w:r>
      <w:r w:rsidRPr="00014E52">
        <w:rPr>
          <w:rFonts w:cs="Calibri"/>
          <w:snapToGrid/>
          <w:szCs w:val="24"/>
          <w:lang w:val="en-US" w:eastAsia="en-AU"/>
        </w:rPr>
        <w:t xml:space="preserve">VEGF inhibitors as </w:t>
      </w:r>
      <w:r w:rsidRPr="00014E52">
        <w:rPr>
          <w:rFonts w:cs="Calibri"/>
          <w:snapToGrid/>
          <w:szCs w:val="24"/>
          <w:lang w:eastAsia="en-AU"/>
        </w:rPr>
        <w:t>the main comparator when considering patients who could use a VEGF inhibitor</w:t>
      </w:r>
      <w:r w:rsidR="00895F92" w:rsidRPr="00014E52">
        <w:rPr>
          <w:rFonts w:cs="Calibri"/>
          <w:snapToGrid/>
          <w:szCs w:val="24"/>
          <w:lang w:eastAsia="en-AU"/>
        </w:rPr>
        <w:t>,</w:t>
      </w:r>
      <w:r w:rsidRPr="00014E52">
        <w:rPr>
          <w:rFonts w:cs="Calibri"/>
          <w:snapToGrid/>
          <w:szCs w:val="24"/>
          <w:lang w:eastAsia="en-AU"/>
        </w:rPr>
        <w:t xml:space="preserve"> but in whom such treatment is not preferred</w:t>
      </w:r>
      <w:r w:rsidR="007D136E" w:rsidRPr="00014E52">
        <w:rPr>
          <w:rFonts w:cs="Calibri"/>
          <w:snapToGrid/>
          <w:szCs w:val="24"/>
          <w:lang w:eastAsia="en-AU"/>
        </w:rPr>
        <w:t xml:space="preserve"> or unsuitable</w:t>
      </w:r>
      <w:r w:rsidRPr="00014E52">
        <w:rPr>
          <w:rFonts w:cs="Calibri"/>
          <w:snapToGrid/>
          <w:szCs w:val="24"/>
          <w:lang w:eastAsia="en-AU"/>
        </w:rPr>
        <w:t xml:space="preserve"> (due to patient preference or logistical reasons relating to the frequency of VEGF inhibitor injections). </w:t>
      </w:r>
      <w:r w:rsidR="005015D5" w:rsidRPr="003610AD">
        <w:rPr>
          <w:rFonts w:cs="Calibri"/>
          <w:snapToGrid/>
          <w:szCs w:val="24"/>
          <w:lang w:eastAsia="en-AU"/>
        </w:rPr>
        <w:t>The ESC considered</w:t>
      </w:r>
      <w:r w:rsidR="005015D5">
        <w:rPr>
          <w:rFonts w:cs="Calibri"/>
          <w:snapToGrid/>
          <w:szCs w:val="24"/>
          <w:lang w:eastAsia="en-AU"/>
        </w:rPr>
        <w:t xml:space="preserve"> t</w:t>
      </w:r>
      <w:r w:rsidRPr="00014E52">
        <w:rPr>
          <w:rFonts w:cs="Calibri"/>
          <w:snapToGrid/>
          <w:szCs w:val="24"/>
          <w:lang w:eastAsia="en-AU"/>
        </w:rPr>
        <w:t xml:space="preserve">his </w:t>
      </w:r>
      <w:r w:rsidR="00E83AAC">
        <w:rPr>
          <w:rFonts w:cs="Calibri"/>
          <w:snapToGrid/>
          <w:szCs w:val="24"/>
          <w:lang w:eastAsia="en-AU"/>
        </w:rPr>
        <w:t>to be</w:t>
      </w:r>
      <w:r w:rsidRPr="00014E52">
        <w:rPr>
          <w:rFonts w:cs="Calibri"/>
          <w:snapToGrid/>
          <w:szCs w:val="24"/>
          <w:lang w:eastAsia="en-AU"/>
        </w:rPr>
        <w:t xml:space="preserve"> an appropriate comparator for this population</w:t>
      </w:r>
      <w:r w:rsidRPr="00014E52">
        <w:rPr>
          <w:rFonts w:cs="Calibri"/>
          <w:snapToGrid/>
          <w:szCs w:val="24"/>
          <w:lang w:val="en-US" w:eastAsia="en-AU"/>
        </w:rPr>
        <w:t xml:space="preserve">. </w:t>
      </w:r>
      <w:r w:rsidR="00630AB3" w:rsidRPr="00014E52">
        <w:t xml:space="preserve">Other potential pharmacological therapies include triamcinolone acetonide, a pharmacological analogue of </w:t>
      </w:r>
      <w:r w:rsidR="00630AB3" w:rsidRPr="003610AD">
        <w:t>dexamethasone, and bevacizumab, a</w:t>
      </w:r>
      <w:r w:rsidR="006739EB">
        <w:t>nother</w:t>
      </w:r>
      <w:r w:rsidR="00630AB3" w:rsidRPr="003610AD">
        <w:t xml:space="preserve"> VEGF inhibitor. However the use of these agents for retinal vein occlusion is outside of their current approved indications</w:t>
      </w:r>
      <w:r w:rsidR="005015D5" w:rsidRPr="003610AD">
        <w:t>.</w:t>
      </w:r>
    </w:p>
    <w:p w:rsidR="00630AB3" w:rsidRPr="00B6303E" w:rsidRDefault="00415ABD" w:rsidP="00415ABD">
      <w:pPr>
        <w:pStyle w:val="ListParagraph"/>
        <w:widowControl/>
      </w:pPr>
      <w:r w:rsidRPr="00B6303E">
        <w:rPr>
          <w:rFonts w:asciiTheme="minorHAnsi" w:hAnsiTheme="minorHAnsi"/>
          <w:i/>
        </w:rPr>
        <w:t>For more detail on PBAC’s view, see section 7 PBAC outcome.</w:t>
      </w:r>
    </w:p>
    <w:p w:rsidR="004B31E6" w:rsidRPr="00D005BF" w:rsidRDefault="00BD6CF3" w:rsidP="002B5BB7">
      <w:pPr>
        <w:pStyle w:val="PBACHeading1"/>
      </w:pPr>
      <w:bookmarkStart w:id="6" w:name="_Toc503967473"/>
      <w:r w:rsidRPr="004B31E6">
        <w:t>C</w:t>
      </w:r>
      <w:r w:rsidR="00B50DB8" w:rsidRPr="004B31E6">
        <w:t>onsideration of the evidence</w:t>
      </w:r>
      <w:bookmarkEnd w:id="6"/>
    </w:p>
    <w:p w:rsidR="00415ABD" w:rsidRPr="004B31E6" w:rsidRDefault="00415ABD" w:rsidP="002B5BB7">
      <w:pPr>
        <w:pStyle w:val="Heading2"/>
      </w:pPr>
      <w:r w:rsidRPr="004B31E6">
        <w:t>Sponsor hearing</w:t>
      </w:r>
    </w:p>
    <w:p w:rsidR="00415ABD" w:rsidRPr="004B31E6" w:rsidRDefault="00415ABD" w:rsidP="00361734">
      <w:pPr>
        <w:numPr>
          <w:ilvl w:val="1"/>
          <w:numId w:val="1"/>
        </w:numPr>
        <w:spacing w:after="120"/>
        <w:rPr>
          <w:rFonts w:asciiTheme="minorHAnsi" w:hAnsiTheme="minorHAnsi"/>
          <w:bCs/>
        </w:rPr>
      </w:pPr>
      <w:r w:rsidRPr="004B31E6">
        <w:rPr>
          <w:rFonts w:asciiTheme="minorHAnsi" w:hAnsiTheme="minorHAnsi"/>
          <w:bCs/>
        </w:rPr>
        <w:t xml:space="preserve">The sponsor requested a hearing for this item. </w:t>
      </w:r>
      <w:r w:rsidR="002B5BB7" w:rsidRPr="004B31E6">
        <w:rPr>
          <w:rFonts w:asciiTheme="minorHAnsi" w:hAnsiTheme="minorHAnsi"/>
          <w:bCs/>
        </w:rPr>
        <w:t xml:space="preserve">The sponsor claimed the submission was made in response to requests from clinicians that dexamethasone implant be made available for RVO patients in Australia. </w:t>
      </w:r>
      <w:r w:rsidRPr="004B31E6">
        <w:rPr>
          <w:rFonts w:asciiTheme="minorHAnsi" w:hAnsiTheme="minorHAnsi"/>
          <w:bCs/>
        </w:rPr>
        <w:t xml:space="preserve">The clinician </w:t>
      </w:r>
      <w:r w:rsidR="002B5BB7" w:rsidRPr="004B31E6">
        <w:rPr>
          <w:rFonts w:asciiTheme="minorHAnsi" w:hAnsiTheme="minorHAnsi"/>
          <w:bCs/>
        </w:rPr>
        <w:t xml:space="preserve">at the hearing </w:t>
      </w:r>
      <w:r w:rsidR="001A6132">
        <w:rPr>
          <w:rFonts w:asciiTheme="minorHAnsi" w:hAnsiTheme="minorHAnsi"/>
          <w:bCs/>
        </w:rPr>
        <w:t xml:space="preserve">described </w:t>
      </w:r>
      <w:r w:rsidR="002B5BB7" w:rsidRPr="004B31E6">
        <w:rPr>
          <w:rFonts w:asciiTheme="minorHAnsi" w:hAnsiTheme="minorHAnsi"/>
          <w:bCs/>
        </w:rPr>
        <w:t xml:space="preserve">the </w:t>
      </w:r>
      <w:r w:rsidRPr="004B31E6">
        <w:rPr>
          <w:rFonts w:asciiTheme="minorHAnsi" w:hAnsiTheme="minorHAnsi"/>
          <w:bCs/>
        </w:rPr>
        <w:t xml:space="preserve">clinical </w:t>
      </w:r>
      <w:r w:rsidR="002B5BB7" w:rsidRPr="004B31E6">
        <w:rPr>
          <w:rFonts w:asciiTheme="minorHAnsi" w:hAnsiTheme="minorHAnsi"/>
          <w:bCs/>
        </w:rPr>
        <w:t>need</w:t>
      </w:r>
      <w:r w:rsidRPr="004B31E6">
        <w:rPr>
          <w:rFonts w:asciiTheme="minorHAnsi" w:hAnsiTheme="minorHAnsi"/>
          <w:bCs/>
        </w:rPr>
        <w:t xml:space="preserve"> </w:t>
      </w:r>
      <w:r w:rsidR="001A6132">
        <w:rPr>
          <w:rFonts w:asciiTheme="minorHAnsi" w:hAnsiTheme="minorHAnsi"/>
          <w:bCs/>
        </w:rPr>
        <w:t xml:space="preserve">for dexamethasone implant </w:t>
      </w:r>
      <w:r w:rsidR="002B5BB7" w:rsidRPr="004B31E6">
        <w:rPr>
          <w:rFonts w:asciiTheme="minorHAnsi" w:hAnsiTheme="minorHAnsi"/>
          <w:bCs/>
        </w:rPr>
        <w:t>in the context of VEGF</w:t>
      </w:r>
      <w:r w:rsidR="00FD57D9" w:rsidRPr="004B31E6">
        <w:rPr>
          <w:rFonts w:asciiTheme="minorHAnsi" w:hAnsiTheme="minorHAnsi"/>
          <w:bCs/>
        </w:rPr>
        <w:t xml:space="preserve"> </w:t>
      </w:r>
      <w:r w:rsidR="00BE6688" w:rsidRPr="004B31E6">
        <w:rPr>
          <w:rFonts w:asciiTheme="minorHAnsi" w:hAnsiTheme="minorHAnsi"/>
          <w:bCs/>
        </w:rPr>
        <w:t>inhibitors</w:t>
      </w:r>
      <w:r w:rsidR="002B5BB7" w:rsidRPr="004B31E6">
        <w:rPr>
          <w:rFonts w:asciiTheme="minorHAnsi" w:hAnsiTheme="minorHAnsi"/>
          <w:bCs/>
        </w:rPr>
        <w:t xml:space="preserve"> remaining the first-line treatment of choice</w:t>
      </w:r>
      <w:r w:rsidR="001A6132">
        <w:rPr>
          <w:rFonts w:asciiTheme="minorHAnsi" w:hAnsiTheme="minorHAnsi"/>
          <w:bCs/>
        </w:rPr>
        <w:t>. However</w:t>
      </w:r>
      <w:r w:rsidR="002B5BB7" w:rsidRPr="004B31E6">
        <w:rPr>
          <w:rFonts w:asciiTheme="minorHAnsi" w:hAnsiTheme="minorHAnsi"/>
          <w:bCs/>
        </w:rPr>
        <w:t xml:space="preserve">, </w:t>
      </w:r>
      <w:r w:rsidR="001A6132">
        <w:rPr>
          <w:rFonts w:asciiTheme="minorHAnsi" w:hAnsiTheme="minorHAnsi"/>
          <w:bCs/>
        </w:rPr>
        <w:t>as these inhibitors re</w:t>
      </w:r>
      <w:r w:rsidR="00A823D8" w:rsidRPr="004B31E6">
        <w:rPr>
          <w:rFonts w:asciiTheme="minorHAnsi" w:hAnsiTheme="minorHAnsi"/>
          <w:bCs/>
        </w:rPr>
        <w:t>present a</w:t>
      </w:r>
      <w:r w:rsidR="00BE6688" w:rsidRPr="004B31E6">
        <w:rPr>
          <w:rFonts w:asciiTheme="minorHAnsi" w:hAnsiTheme="minorHAnsi"/>
          <w:bCs/>
        </w:rPr>
        <w:t xml:space="preserve"> large treatment burden for some patients (</w:t>
      </w:r>
      <w:r w:rsidR="002B5BB7" w:rsidRPr="004B31E6">
        <w:rPr>
          <w:rFonts w:asciiTheme="minorHAnsi" w:hAnsiTheme="minorHAnsi"/>
          <w:bCs/>
        </w:rPr>
        <w:t>up to approximately 25%</w:t>
      </w:r>
      <w:r w:rsidR="00BE6688" w:rsidRPr="004B31E6">
        <w:rPr>
          <w:rFonts w:asciiTheme="minorHAnsi" w:hAnsiTheme="minorHAnsi"/>
          <w:bCs/>
        </w:rPr>
        <w:t>)</w:t>
      </w:r>
      <w:r w:rsidR="002B5BB7" w:rsidRPr="004B31E6">
        <w:rPr>
          <w:rFonts w:asciiTheme="minorHAnsi" w:hAnsiTheme="minorHAnsi"/>
          <w:bCs/>
        </w:rPr>
        <w:t xml:space="preserve"> </w:t>
      </w:r>
      <w:r w:rsidR="00BE6688" w:rsidRPr="004B31E6">
        <w:rPr>
          <w:rFonts w:asciiTheme="minorHAnsi" w:hAnsiTheme="minorHAnsi"/>
          <w:bCs/>
        </w:rPr>
        <w:t>who require</w:t>
      </w:r>
      <w:r w:rsidR="002B5BB7" w:rsidRPr="004B31E6">
        <w:rPr>
          <w:rFonts w:asciiTheme="minorHAnsi" w:hAnsiTheme="minorHAnsi"/>
          <w:bCs/>
        </w:rPr>
        <w:t xml:space="preserve"> long-term therapy</w:t>
      </w:r>
      <w:r w:rsidR="001A6132">
        <w:rPr>
          <w:rFonts w:asciiTheme="minorHAnsi" w:hAnsiTheme="minorHAnsi"/>
          <w:bCs/>
        </w:rPr>
        <w:t>, d</w:t>
      </w:r>
      <w:r w:rsidR="00BE6688" w:rsidRPr="004B31E6">
        <w:rPr>
          <w:rFonts w:asciiTheme="minorHAnsi" w:hAnsiTheme="minorHAnsi"/>
          <w:bCs/>
        </w:rPr>
        <w:t>examethasone implant would provide an option for</w:t>
      </w:r>
      <w:r w:rsidR="002B5BB7" w:rsidRPr="004B31E6">
        <w:rPr>
          <w:rFonts w:asciiTheme="minorHAnsi" w:hAnsiTheme="minorHAnsi"/>
          <w:bCs/>
        </w:rPr>
        <w:t xml:space="preserve"> </w:t>
      </w:r>
      <w:r w:rsidR="00BE6688" w:rsidRPr="004B31E6">
        <w:rPr>
          <w:rFonts w:asciiTheme="minorHAnsi" w:hAnsiTheme="minorHAnsi"/>
          <w:bCs/>
        </w:rPr>
        <w:t>less frequent treatments (</w:t>
      </w:r>
      <w:r w:rsidR="006739EB">
        <w:rPr>
          <w:rFonts w:asciiTheme="minorHAnsi" w:hAnsiTheme="minorHAnsi"/>
          <w:bCs/>
        </w:rPr>
        <w:t xml:space="preserve">e.g. </w:t>
      </w:r>
      <w:r w:rsidR="00BE6688" w:rsidRPr="004B31E6">
        <w:rPr>
          <w:rFonts w:asciiTheme="minorHAnsi" w:hAnsiTheme="minorHAnsi"/>
          <w:bCs/>
        </w:rPr>
        <w:t xml:space="preserve">every four months instead of </w:t>
      </w:r>
      <w:r w:rsidR="006739EB">
        <w:rPr>
          <w:rFonts w:asciiTheme="minorHAnsi" w:hAnsiTheme="minorHAnsi"/>
          <w:bCs/>
        </w:rPr>
        <w:t xml:space="preserve">potentially </w:t>
      </w:r>
      <w:r w:rsidR="00BE6688" w:rsidRPr="004B31E6">
        <w:rPr>
          <w:rFonts w:asciiTheme="minorHAnsi" w:hAnsiTheme="minorHAnsi"/>
          <w:bCs/>
        </w:rPr>
        <w:t>monthly) for these patients. If the treatment burden meant some patients were not adhering to the 4-weekly VEGF</w:t>
      </w:r>
      <w:r w:rsidR="00FD57D9" w:rsidRPr="004B31E6">
        <w:rPr>
          <w:rFonts w:asciiTheme="minorHAnsi" w:hAnsiTheme="minorHAnsi"/>
          <w:bCs/>
        </w:rPr>
        <w:t xml:space="preserve"> </w:t>
      </w:r>
      <w:r w:rsidR="00BE6688" w:rsidRPr="004B31E6">
        <w:rPr>
          <w:rFonts w:asciiTheme="minorHAnsi" w:hAnsiTheme="minorHAnsi"/>
          <w:bCs/>
        </w:rPr>
        <w:t xml:space="preserve">inhibitor treatment, the </w:t>
      </w:r>
      <w:r w:rsidR="001A6132">
        <w:rPr>
          <w:rFonts w:asciiTheme="minorHAnsi" w:hAnsiTheme="minorHAnsi"/>
          <w:bCs/>
        </w:rPr>
        <w:t xml:space="preserve">clinician </w:t>
      </w:r>
      <w:r w:rsidR="00BE6688" w:rsidRPr="004B31E6">
        <w:rPr>
          <w:rFonts w:asciiTheme="minorHAnsi" w:hAnsiTheme="minorHAnsi"/>
          <w:bCs/>
        </w:rPr>
        <w:t xml:space="preserve">claimed </w:t>
      </w:r>
      <w:r w:rsidR="001A6132">
        <w:rPr>
          <w:rFonts w:asciiTheme="minorHAnsi" w:hAnsiTheme="minorHAnsi"/>
          <w:bCs/>
        </w:rPr>
        <w:t xml:space="preserve">that </w:t>
      </w:r>
      <w:r w:rsidR="00BE6688" w:rsidRPr="004B31E6">
        <w:rPr>
          <w:rFonts w:asciiTheme="minorHAnsi" w:hAnsiTheme="minorHAnsi"/>
          <w:bCs/>
        </w:rPr>
        <w:t>it may b</w:t>
      </w:r>
      <w:r w:rsidR="00AE1737" w:rsidRPr="004B31E6">
        <w:rPr>
          <w:rFonts w:asciiTheme="minorHAnsi" w:hAnsiTheme="minorHAnsi"/>
          <w:bCs/>
        </w:rPr>
        <w:t>e</w:t>
      </w:r>
      <w:r w:rsidR="00BE6688" w:rsidRPr="004B31E6">
        <w:rPr>
          <w:rFonts w:asciiTheme="minorHAnsi" w:hAnsiTheme="minorHAnsi"/>
          <w:bCs/>
        </w:rPr>
        <w:t xml:space="preserve"> more beneficial to be treated less frequently with dexamethasone. The PBAC noted there was no clinical data to support this assertion</w:t>
      </w:r>
      <w:r w:rsidR="006739EB" w:rsidRPr="006739EB">
        <w:rPr>
          <w:rFonts w:asciiTheme="minorHAnsi" w:hAnsiTheme="minorHAnsi"/>
          <w:bCs/>
        </w:rPr>
        <w:t xml:space="preserve"> and that the clinical data indicated that benefit with dexametha</w:t>
      </w:r>
      <w:r w:rsidR="006739EB">
        <w:rPr>
          <w:rFonts w:asciiTheme="minorHAnsi" w:hAnsiTheme="minorHAnsi"/>
          <w:bCs/>
        </w:rPr>
        <w:t>sone reduced after two</w:t>
      </w:r>
      <w:r w:rsidR="006739EB" w:rsidRPr="006739EB">
        <w:rPr>
          <w:rFonts w:asciiTheme="minorHAnsi" w:hAnsiTheme="minorHAnsi"/>
          <w:bCs/>
        </w:rPr>
        <w:t xml:space="preserve"> months</w:t>
      </w:r>
      <w:r w:rsidR="00BE6688" w:rsidRPr="004B31E6">
        <w:rPr>
          <w:rFonts w:asciiTheme="minorHAnsi" w:hAnsiTheme="minorHAnsi"/>
          <w:bCs/>
        </w:rPr>
        <w:t xml:space="preserve">. The clinician further stated that the </w:t>
      </w:r>
      <w:r w:rsidR="009A0C5F" w:rsidRPr="004B31E6">
        <w:rPr>
          <w:rFonts w:asciiTheme="minorHAnsi" w:hAnsiTheme="minorHAnsi"/>
          <w:bCs/>
        </w:rPr>
        <w:t xml:space="preserve">benefits of dexamethasone treatment outweighed the </w:t>
      </w:r>
      <w:r w:rsidR="00BE6688" w:rsidRPr="004B31E6">
        <w:rPr>
          <w:rFonts w:asciiTheme="minorHAnsi" w:hAnsiTheme="minorHAnsi"/>
          <w:bCs/>
        </w:rPr>
        <w:t>risk of cataract</w:t>
      </w:r>
      <w:r w:rsidR="009A0C5F" w:rsidRPr="004B31E6">
        <w:rPr>
          <w:rFonts w:asciiTheme="minorHAnsi" w:hAnsiTheme="minorHAnsi"/>
          <w:bCs/>
        </w:rPr>
        <w:t xml:space="preserve"> development in this patient group, given RVO patients do not often need repeated injections of dexamethasone and they are likely older patients who may have </w:t>
      </w:r>
      <w:r w:rsidR="00AE1737" w:rsidRPr="004B31E6">
        <w:rPr>
          <w:rFonts w:asciiTheme="minorHAnsi" w:hAnsiTheme="minorHAnsi"/>
          <w:bCs/>
        </w:rPr>
        <w:t xml:space="preserve">already </w:t>
      </w:r>
      <w:r w:rsidR="009A0C5F" w:rsidRPr="004B31E6">
        <w:rPr>
          <w:rFonts w:asciiTheme="minorHAnsi" w:hAnsiTheme="minorHAnsi"/>
          <w:bCs/>
        </w:rPr>
        <w:t>had cataract surgery. The PBAC noted the pre-PBAC response (p2) further support</w:t>
      </w:r>
      <w:r w:rsidR="0083182D" w:rsidRPr="004B31E6">
        <w:rPr>
          <w:rFonts w:asciiTheme="minorHAnsi" w:hAnsiTheme="minorHAnsi"/>
          <w:bCs/>
        </w:rPr>
        <w:t>ed</w:t>
      </w:r>
      <w:r w:rsidR="009A0C5F" w:rsidRPr="004B31E6">
        <w:rPr>
          <w:rFonts w:asciiTheme="minorHAnsi" w:hAnsiTheme="minorHAnsi"/>
          <w:bCs/>
        </w:rPr>
        <w:t xml:space="preserve"> the known </w:t>
      </w:r>
      <w:r w:rsidR="006A0B29" w:rsidRPr="004B31E6">
        <w:rPr>
          <w:rFonts w:asciiTheme="minorHAnsi" w:hAnsiTheme="minorHAnsi"/>
          <w:bCs/>
        </w:rPr>
        <w:t>risk: benefit</w:t>
      </w:r>
      <w:r w:rsidR="009A0C5F" w:rsidRPr="004B31E6">
        <w:rPr>
          <w:rFonts w:asciiTheme="minorHAnsi" w:hAnsiTheme="minorHAnsi"/>
          <w:bCs/>
        </w:rPr>
        <w:t xml:space="preserve"> profile for dexamethasone stating that, where a satisfactory level of resolution of RVO has not been achieved with VEGF</w:t>
      </w:r>
      <w:r w:rsidR="00FD57D9" w:rsidRPr="004B31E6">
        <w:rPr>
          <w:rFonts w:asciiTheme="minorHAnsi" w:hAnsiTheme="minorHAnsi"/>
          <w:bCs/>
        </w:rPr>
        <w:t xml:space="preserve"> </w:t>
      </w:r>
      <w:r w:rsidR="009A0C5F" w:rsidRPr="004B31E6">
        <w:rPr>
          <w:rFonts w:asciiTheme="minorHAnsi" w:hAnsiTheme="minorHAnsi"/>
          <w:bCs/>
        </w:rPr>
        <w:t>inhibitors, clinicians would prefer to use dexamethasone implant, with its risk of cataract development (</w:t>
      </w:r>
      <w:r w:rsidR="009A0C5F" w:rsidRPr="004B31E6">
        <w:t>reversible by removal of the lens and replacement with an artificial lens)</w:t>
      </w:r>
      <w:r w:rsidR="009A0C5F" w:rsidRPr="004B31E6">
        <w:rPr>
          <w:rFonts w:asciiTheme="minorHAnsi" w:hAnsiTheme="minorHAnsi"/>
          <w:bCs/>
        </w:rPr>
        <w:t xml:space="preserve">, rather than permitting irreversible vision loss due to RVO. </w:t>
      </w:r>
      <w:r w:rsidRPr="004B31E6">
        <w:rPr>
          <w:rFonts w:asciiTheme="minorHAnsi" w:hAnsiTheme="minorHAnsi"/>
          <w:bCs/>
        </w:rPr>
        <w:t xml:space="preserve">The PBAC considered that the </w:t>
      </w:r>
      <w:r w:rsidR="00B87F37" w:rsidRPr="004B31E6">
        <w:rPr>
          <w:rFonts w:asciiTheme="minorHAnsi" w:hAnsiTheme="minorHAnsi"/>
          <w:bCs/>
        </w:rPr>
        <w:t xml:space="preserve">information in the </w:t>
      </w:r>
      <w:r w:rsidRPr="004B31E6">
        <w:rPr>
          <w:rFonts w:asciiTheme="minorHAnsi" w:hAnsiTheme="minorHAnsi"/>
          <w:bCs/>
        </w:rPr>
        <w:t xml:space="preserve">hearing was </w:t>
      </w:r>
      <w:r w:rsidR="00B87F37" w:rsidRPr="004B31E6">
        <w:rPr>
          <w:rFonts w:asciiTheme="minorHAnsi" w:hAnsiTheme="minorHAnsi"/>
          <w:bCs/>
        </w:rPr>
        <w:t>supported by the consumer comments</w:t>
      </w:r>
      <w:r w:rsidR="001A6132">
        <w:rPr>
          <w:rFonts w:asciiTheme="minorHAnsi" w:hAnsiTheme="minorHAnsi"/>
          <w:bCs/>
        </w:rPr>
        <w:t>,</w:t>
      </w:r>
      <w:r w:rsidR="00B87F37" w:rsidRPr="004B31E6">
        <w:rPr>
          <w:rFonts w:asciiTheme="minorHAnsi" w:hAnsiTheme="minorHAnsi"/>
          <w:bCs/>
        </w:rPr>
        <w:t xml:space="preserve"> but did </w:t>
      </w:r>
      <w:r w:rsidRPr="004B31E6">
        <w:rPr>
          <w:rFonts w:asciiTheme="minorHAnsi" w:hAnsiTheme="minorHAnsi"/>
          <w:bCs/>
        </w:rPr>
        <w:t xml:space="preserve">not substantively </w:t>
      </w:r>
      <w:r w:rsidR="00B87F37" w:rsidRPr="004B31E6">
        <w:rPr>
          <w:rFonts w:asciiTheme="minorHAnsi" w:hAnsiTheme="minorHAnsi"/>
          <w:bCs/>
        </w:rPr>
        <w:t xml:space="preserve">address how the choice to use dexamethasone in the </w:t>
      </w:r>
      <w:r w:rsidR="00094D15">
        <w:rPr>
          <w:rFonts w:asciiTheme="minorHAnsi" w:hAnsiTheme="minorHAnsi"/>
          <w:bCs/>
        </w:rPr>
        <w:t xml:space="preserve">proposed </w:t>
      </w:r>
      <w:r w:rsidR="009A2462">
        <w:rPr>
          <w:rFonts w:asciiTheme="minorHAnsi" w:hAnsiTheme="minorHAnsi"/>
          <w:bCs/>
        </w:rPr>
        <w:t>‘</w:t>
      </w:r>
      <w:r w:rsidR="00B87F37" w:rsidRPr="004B31E6">
        <w:rPr>
          <w:rFonts w:asciiTheme="minorHAnsi" w:hAnsiTheme="minorHAnsi"/>
          <w:bCs/>
        </w:rPr>
        <w:t>unsuitable</w:t>
      </w:r>
      <w:r w:rsidR="009A2462">
        <w:rPr>
          <w:rFonts w:asciiTheme="minorHAnsi" w:hAnsiTheme="minorHAnsi"/>
          <w:bCs/>
        </w:rPr>
        <w:t>’</w:t>
      </w:r>
      <w:r w:rsidR="00B87F37" w:rsidRPr="004B31E6">
        <w:rPr>
          <w:rFonts w:asciiTheme="minorHAnsi" w:hAnsiTheme="minorHAnsi"/>
          <w:bCs/>
        </w:rPr>
        <w:t xml:space="preserve"> population would support best clinical practice</w:t>
      </w:r>
      <w:r w:rsidR="00094D15">
        <w:rPr>
          <w:rFonts w:asciiTheme="minorHAnsi" w:hAnsiTheme="minorHAnsi"/>
          <w:bCs/>
        </w:rPr>
        <w:t>, especially given the relatively short duration of treatment in RVO</w:t>
      </w:r>
      <w:r w:rsidRPr="004B31E6">
        <w:rPr>
          <w:rFonts w:asciiTheme="minorHAnsi" w:hAnsiTheme="minorHAnsi"/>
          <w:bCs/>
        </w:rPr>
        <w:t>.</w:t>
      </w:r>
    </w:p>
    <w:p w:rsidR="00415ABD" w:rsidRPr="004B31E6" w:rsidRDefault="00415ABD" w:rsidP="002B5BB7">
      <w:pPr>
        <w:pStyle w:val="Heading2"/>
      </w:pPr>
      <w:r w:rsidRPr="004B31E6">
        <w:t>Consumer comments</w:t>
      </w:r>
    </w:p>
    <w:p w:rsidR="00E65289" w:rsidRPr="006B5F3E" w:rsidRDefault="00415ABD" w:rsidP="00361734">
      <w:pPr>
        <w:numPr>
          <w:ilvl w:val="1"/>
          <w:numId w:val="1"/>
        </w:numPr>
        <w:spacing w:after="120"/>
        <w:rPr>
          <w:rFonts w:asciiTheme="minorHAnsi" w:hAnsiTheme="minorHAnsi"/>
          <w:bCs/>
        </w:rPr>
      </w:pPr>
      <w:r w:rsidRPr="004B31E6">
        <w:rPr>
          <w:rFonts w:asciiTheme="minorHAnsi" w:hAnsiTheme="minorHAnsi"/>
          <w:bCs/>
        </w:rPr>
        <w:t>The PBAC noted and welcomed the input from health care professionals (</w:t>
      </w:r>
      <w:r w:rsidR="00AE1737" w:rsidRPr="004B31E6">
        <w:rPr>
          <w:rFonts w:asciiTheme="minorHAnsi" w:hAnsiTheme="minorHAnsi"/>
          <w:bCs/>
        </w:rPr>
        <w:t>5</w:t>
      </w:r>
      <w:r w:rsidRPr="004B31E6">
        <w:rPr>
          <w:rFonts w:asciiTheme="minorHAnsi" w:hAnsiTheme="minorHAnsi"/>
          <w:bCs/>
        </w:rPr>
        <w:t>) and organisations (</w:t>
      </w:r>
      <w:r w:rsidR="00AE1737" w:rsidRPr="004B31E6">
        <w:rPr>
          <w:rFonts w:asciiTheme="minorHAnsi" w:hAnsiTheme="minorHAnsi"/>
          <w:bCs/>
        </w:rPr>
        <w:t>2</w:t>
      </w:r>
      <w:r w:rsidRPr="004B31E6">
        <w:rPr>
          <w:rFonts w:asciiTheme="minorHAnsi" w:hAnsiTheme="minorHAnsi"/>
          <w:bCs/>
        </w:rPr>
        <w:t xml:space="preserve">) via the Consumer Comments facility on the PBS website. The comments described treatment with </w:t>
      </w:r>
      <w:r w:rsidR="006B5F3E" w:rsidRPr="004B31E6">
        <w:rPr>
          <w:rFonts w:asciiTheme="minorHAnsi" w:hAnsiTheme="minorHAnsi"/>
          <w:bCs/>
        </w:rPr>
        <w:t>dexamethasone</w:t>
      </w:r>
      <w:r w:rsidR="00E65289" w:rsidRPr="004B31E6">
        <w:rPr>
          <w:rFonts w:asciiTheme="minorHAnsi" w:hAnsiTheme="minorHAnsi"/>
          <w:bCs/>
        </w:rPr>
        <w:t xml:space="preserve"> implant </w:t>
      </w:r>
      <w:r w:rsidR="006F656B" w:rsidRPr="004B31E6">
        <w:rPr>
          <w:rFonts w:asciiTheme="minorHAnsi" w:hAnsiTheme="minorHAnsi"/>
          <w:bCs/>
        </w:rPr>
        <w:t>as</w:t>
      </w:r>
      <w:r w:rsidR="00E65289" w:rsidRPr="004B31E6">
        <w:rPr>
          <w:rFonts w:asciiTheme="minorHAnsi" w:hAnsiTheme="minorHAnsi"/>
          <w:bCs/>
        </w:rPr>
        <w:t xml:space="preserve"> a desirable alternative for patients who respond poorly </w:t>
      </w:r>
      <w:r w:rsidR="006F656B" w:rsidRPr="004B31E6">
        <w:rPr>
          <w:rFonts w:asciiTheme="minorHAnsi" w:hAnsiTheme="minorHAnsi"/>
          <w:bCs/>
        </w:rPr>
        <w:t xml:space="preserve">or are contraindicated to </w:t>
      </w:r>
      <w:r w:rsidR="00E65289" w:rsidRPr="004B31E6">
        <w:rPr>
          <w:rFonts w:asciiTheme="minorHAnsi" w:hAnsiTheme="minorHAnsi"/>
          <w:bCs/>
        </w:rPr>
        <w:t>the current first line agents</w:t>
      </w:r>
      <w:r w:rsidR="006F656B" w:rsidRPr="004B31E6">
        <w:rPr>
          <w:rFonts w:asciiTheme="minorHAnsi" w:hAnsiTheme="minorHAnsi"/>
          <w:bCs/>
        </w:rPr>
        <w:t xml:space="preserve"> with the</w:t>
      </w:r>
      <w:r w:rsidR="00E65289" w:rsidRPr="004B31E6">
        <w:rPr>
          <w:rFonts w:asciiTheme="minorHAnsi" w:hAnsiTheme="minorHAnsi"/>
          <w:bCs/>
        </w:rPr>
        <w:t xml:space="preserve"> potential advantage of requiring less frequent injections, thus reducing treatment burden for patients and decreasing cost.</w:t>
      </w:r>
      <w:r w:rsidR="006B5F3E" w:rsidRPr="004B31E6">
        <w:rPr>
          <w:rFonts w:asciiTheme="minorHAnsi" w:hAnsiTheme="minorHAnsi"/>
          <w:bCs/>
        </w:rPr>
        <w:t xml:space="preserve"> The PBAC </w:t>
      </w:r>
      <w:r w:rsidR="00FD57D9" w:rsidRPr="004B31E6">
        <w:rPr>
          <w:rFonts w:asciiTheme="minorHAnsi" w:hAnsiTheme="minorHAnsi"/>
          <w:bCs/>
        </w:rPr>
        <w:t>not</w:t>
      </w:r>
      <w:r w:rsidR="006B5F3E" w:rsidRPr="004B31E6">
        <w:rPr>
          <w:rFonts w:asciiTheme="minorHAnsi" w:hAnsiTheme="minorHAnsi"/>
          <w:bCs/>
        </w:rPr>
        <w:t xml:space="preserve">ed that </w:t>
      </w:r>
      <w:r w:rsidR="007968DD" w:rsidRPr="004B31E6">
        <w:rPr>
          <w:rFonts w:asciiTheme="minorHAnsi" w:hAnsiTheme="minorHAnsi"/>
          <w:bCs/>
        </w:rPr>
        <w:t>further</w:t>
      </w:r>
      <w:r w:rsidR="006B5F3E" w:rsidRPr="004B31E6">
        <w:rPr>
          <w:rFonts w:asciiTheme="minorHAnsi" w:hAnsiTheme="minorHAnsi"/>
          <w:bCs/>
        </w:rPr>
        <w:t xml:space="preserve"> comments relat</w:t>
      </w:r>
      <w:r w:rsidR="00FD57D9" w:rsidRPr="004B31E6">
        <w:rPr>
          <w:rFonts w:asciiTheme="minorHAnsi" w:hAnsiTheme="minorHAnsi"/>
          <w:bCs/>
        </w:rPr>
        <w:t>ed</w:t>
      </w:r>
      <w:r w:rsidR="006B5F3E" w:rsidRPr="004B31E6">
        <w:rPr>
          <w:rFonts w:asciiTheme="minorHAnsi" w:hAnsiTheme="minorHAnsi"/>
          <w:bCs/>
        </w:rPr>
        <w:t xml:space="preserve"> to the less frequent injections being of benefit not just to the individual but also to the busy public hospital outpatient clinics</w:t>
      </w:r>
      <w:r w:rsidR="00FD57D9" w:rsidRPr="004B31E6">
        <w:rPr>
          <w:rFonts w:asciiTheme="minorHAnsi" w:hAnsiTheme="minorHAnsi"/>
          <w:bCs/>
        </w:rPr>
        <w:t>. The PBAC was concerned</w:t>
      </w:r>
      <w:r w:rsidR="00FD57D9">
        <w:rPr>
          <w:rFonts w:asciiTheme="minorHAnsi" w:hAnsiTheme="minorHAnsi"/>
          <w:bCs/>
        </w:rPr>
        <w:t xml:space="preserve"> that this</w:t>
      </w:r>
      <w:r w:rsidR="006B5F3E">
        <w:rPr>
          <w:rFonts w:asciiTheme="minorHAnsi" w:hAnsiTheme="minorHAnsi"/>
          <w:bCs/>
        </w:rPr>
        <w:t xml:space="preserve"> signalled a potentially sub-optimal clinical decision being made should dexamethasone be </w:t>
      </w:r>
      <w:r w:rsidR="00B132F3">
        <w:rPr>
          <w:rFonts w:asciiTheme="minorHAnsi" w:hAnsiTheme="minorHAnsi"/>
          <w:bCs/>
        </w:rPr>
        <w:t>prescribed</w:t>
      </w:r>
      <w:r w:rsidR="006B5F3E">
        <w:rPr>
          <w:rFonts w:asciiTheme="minorHAnsi" w:hAnsiTheme="minorHAnsi"/>
          <w:bCs/>
        </w:rPr>
        <w:t xml:space="preserve"> for patients </w:t>
      </w:r>
      <w:r w:rsidR="00B132F3">
        <w:rPr>
          <w:rFonts w:asciiTheme="minorHAnsi" w:hAnsiTheme="minorHAnsi"/>
          <w:bCs/>
        </w:rPr>
        <w:t xml:space="preserve">considered </w:t>
      </w:r>
      <w:r w:rsidR="006B5F3E">
        <w:rPr>
          <w:rFonts w:asciiTheme="minorHAnsi" w:hAnsiTheme="minorHAnsi"/>
          <w:bCs/>
        </w:rPr>
        <w:t>‘unsuitable’ for VEGF</w:t>
      </w:r>
      <w:r w:rsidR="00FD57D9">
        <w:rPr>
          <w:rFonts w:asciiTheme="minorHAnsi" w:hAnsiTheme="minorHAnsi"/>
          <w:bCs/>
        </w:rPr>
        <w:t xml:space="preserve"> </w:t>
      </w:r>
      <w:r w:rsidR="006B5F3E">
        <w:rPr>
          <w:rFonts w:asciiTheme="minorHAnsi" w:hAnsiTheme="minorHAnsi"/>
          <w:bCs/>
        </w:rPr>
        <w:t>inhibitors</w:t>
      </w:r>
      <w:r w:rsidR="007968DD">
        <w:rPr>
          <w:rFonts w:asciiTheme="minorHAnsi" w:hAnsiTheme="minorHAnsi"/>
          <w:bCs/>
        </w:rPr>
        <w:t>.</w:t>
      </w:r>
      <w:r w:rsidR="006B5F3E">
        <w:rPr>
          <w:rFonts w:asciiTheme="minorHAnsi" w:hAnsiTheme="minorHAnsi"/>
          <w:bCs/>
        </w:rPr>
        <w:t xml:space="preserve"> </w:t>
      </w:r>
      <w:r w:rsidR="007968DD">
        <w:rPr>
          <w:rFonts w:asciiTheme="minorHAnsi" w:hAnsiTheme="minorHAnsi"/>
          <w:bCs/>
        </w:rPr>
        <w:t>Further</w:t>
      </w:r>
      <w:r w:rsidR="006B5F3E">
        <w:rPr>
          <w:rFonts w:asciiTheme="minorHAnsi" w:hAnsiTheme="minorHAnsi"/>
          <w:bCs/>
        </w:rPr>
        <w:t xml:space="preserve"> clarity of what that criterion </w:t>
      </w:r>
      <w:r w:rsidR="0083182D">
        <w:rPr>
          <w:rFonts w:asciiTheme="minorHAnsi" w:hAnsiTheme="minorHAnsi"/>
          <w:bCs/>
        </w:rPr>
        <w:t xml:space="preserve">in the proposed PBS restriction </w:t>
      </w:r>
      <w:r w:rsidR="006B5F3E">
        <w:rPr>
          <w:rFonts w:asciiTheme="minorHAnsi" w:hAnsiTheme="minorHAnsi"/>
          <w:bCs/>
        </w:rPr>
        <w:t>means</w:t>
      </w:r>
      <w:r w:rsidR="007968DD">
        <w:rPr>
          <w:rFonts w:asciiTheme="minorHAnsi" w:hAnsiTheme="minorHAnsi"/>
          <w:bCs/>
        </w:rPr>
        <w:t xml:space="preserve"> would be required</w:t>
      </w:r>
      <w:r w:rsidR="00094D15">
        <w:rPr>
          <w:rFonts w:asciiTheme="minorHAnsi" w:hAnsiTheme="minorHAnsi"/>
          <w:bCs/>
        </w:rPr>
        <w:t>.</w:t>
      </w:r>
    </w:p>
    <w:p w:rsidR="00B60939" w:rsidRPr="008472ED" w:rsidRDefault="00B60939" w:rsidP="00AE0CCA">
      <w:pPr>
        <w:pStyle w:val="Heading2"/>
      </w:pPr>
      <w:bookmarkStart w:id="7" w:name="_Toc503967474"/>
      <w:r w:rsidRPr="008472ED">
        <w:t>Clinical trials</w:t>
      </w:r>
      <w:bookmarkEnd w:id="7"/>
    </w:p>
    <w:p w:rsidR="0015669C" w:rsidRPr="0015669C" w:rsidRDefault="0015669C" w:rsidP="00361734">
      <w:pPr>
        <w:pStyle w:val="ListParagraph"/>
        <w:widowControl/>
        <w:numPr>
          <w:ilvl w:val="1"/>
          <w:numId w:val="1"/>
        </w:numPr>
      </w:pPr>
      <w:r>
        <w:t>The submission was based on comparisons between dexamethasone implant and nominated comparators:</w:t>
      </w:r>
    </w:p>
    <w:p w:rsidR="00196A1B" w:rsidRPr="0015669C" w:rsidRDefault="0015669C" w:rsidP="00361734">
      <w:pPr>
        <w:pStyle w:val="ListParagraph"/>
        <w:widowControl/>
        <w:numPr>
          <w:ilvl w:val="1"/>
          <w:numId w:val="3"/>
        </w:numPr>
        <w:ind w:left="1145" w:hanging="425"/>
      </w:pPr>
      <w:r>
        <w:rPr>
          <w:rFonts w:cs="Calibri"/>
          <w:snapToGrid/>
          <w:szCs w:val="24"/>
          <w:lang w:val="en-US" w:eastAsia="en-AU"/>
        </w:rPr>
        <w:t>T</w:t>
      </w:r>
      <w:r w:rsidR="00196A1B" w:rsidRPr="0015669C">
        <w:rPr>
          <w:rFonts w:cs="Calibri"/>
          <w:snapToGrid/>
          <w:szCs w:val="24"/>
          <w:lang w:val="en-US" w:eastAsia="en-AU"/>
        </w:rPr>
        <w:t>hree head-to-head trials comparing dexamethasone implant to place</w:t>
      </w:r>
      <w:r w:rsidRPr="0015669C">
        <w:rPr>
          <w:rFonts w:cs="Calibri"/>
          <w:snapToGrid/>
          <w:szCs w:val="24"/>
          <w:lang w:val="en-US" w:eastAsia="en-AU"/>
        </w:rPr>
        <w:t xml:space="preserve">bo (sham) in patients with CRVO or </w:t>
      </w:r>
      <w:r w:rsidR="00196A1B" w:rsidRPr="0015669C">
        <w:rPr>
          <w:rFonts w:cs="Calibri"/>
          <w:snapToGrid/>
          <w:szCs w:val="24"/>
          <w:lang w:val="en-US" w:eastAsia="en-AU"/>
        </w:rPr>
        <w:t>BRVO (GENEVA-008, GENEVA-009, Trial 020).</w:t>
      </w:r>
    </w:p>
    <w:p w:rsidR="00862502" w:rsidRPr="0015669C" w:rsidRDefault="0015669C" w:rsidP="00361734">
      <w:pPr>
        <w:pStyle w:val="ListParagraph"/>
        <w:widowControl/>
        <w:numPr>
          <w:ilvl w:val="1"/>
          <w:numId w:val="3"/>
        </w:numPr>
        <w:ind w:left="1145" w:hanging="425"/>
      </w:pPr>
      <w:r>
        <w:rPr>
          <w:rFonts w:cs="Calibri"/>
          <w:snapToGrid/>
          <w:szCs w:val="24"/>
          <w:lang w:val="en-US" w:eastAsia="en-AU"/>
        </w:rPr>
        <w:t>T</w:t>
      </w:r>
      <w:r w:rsidRPr="0015669C">
        <w:rPr>
          <w:rFonts w:cs="Calibri"/>
          <w:snapToGrid/>
          <w:szCs w:val="24"/>
          <w:lang w:val="en-US" w:eastAsia="en-AU"/>
        </w:rPr>
        <w:t>hree head-to-head trials comparing dexamethasone implant to ranibizumab, a VEGF inhibitor, in patients with BRVO (COMO, C</w:t>
      </w:r>
      <w:r w:rsidR="000C6DD1">
        <w:rPr>
          <w:rFonts w:cs="Calibri"/>
          <w:snapToGrid/>
          <w:szCs w:val="24"/>
          <w:lang w:val="en-US" w:eastAsia="en-AU"/>
        </w:rPr>
        <w:t>OMRADE-B) or CRVO (COMRADE-C).</w:t>
      </w:r>
    </w:p>
    <w:p w:rsidR="00862502" w:rsidRPr="00B50DB8" w:rsidRDefault="00A73134" w:rsidP="00361734">
      <w:pPr>
        <w:pStyle w:val="ListParagraph"/>
        <w:widowControl/>
        <w:numPr>
          <w:ilvl w:val="1"/>
          <w:numId w:val="1"/>
        </w:numPr>
      </w:pPr>
      <w:r>
        <w:rPr>
          <w:rFonts w:cs="Calibri"/>
          <w:snapToGrid/>
          <w:szCs w:val="24"/>
          <w:lang w:val="en-US" w:eastAsia="en-AU"/>
        </w:rPr>
        <w:t xml:space="preserve">Details of the </w:t>
      </w:r>
      <w:r w:rsidR="0015669C">
        <w:rPr>
          <w:rFonts w:cs="Calibri"/>
          <w:snapToGrid/>
          <w:szCs w:val="24"/>
          <w:lang w:val="en-US" w:eastAsia="en-AU"/>
        </w:rPr>
        <w:t xml:space="preserve">randomised </w:t>
      </w:r>
      <w:r>
        <w:rPr>
          <w:rFonts w:cs="Calibri"/>
          <w:snapToGrid/>
          <w:szCs w:val="24"/>
          <w:lang w:val="en-US" w:eastAsia="en-AU"/>
        </w:rPr>
        <w:t>trials presented in the submission ar</w:t>
      </w:r>
      <w:r w:rsidR="000C6DD1">
        <w:rPr>
          <w:rFonts w:cs="Calibri"/>
          <w:snapToGrid/>
          <w:szCs w:val="24"/>
          <w:lang w:val="en-US" w:eastAsia="en-AU"/>
        </w:rPr>
        <w:t>e provided in the table below.</w:t>
      </w:r>
    </w:p>
    <w:p w:rsidR="008E0D3C" w:rsidRPr="008E0D3C" w:rsidRDefault="008E0D3C" w:rsidP="008E0D3C">
      <w:pPr>
        <w:rPr>
          <w:rStyle w:val="CommentReference"/>
        </w:rPr>
      </w:pPr>
      <w:r w:rsidRPr="008E0D3C">
        <w:rPr>
          <w:rStyle w:val="CommentReference"/>
        </w:rPr>
        <w:t xml:space="preserve">Table </w:t>
      </w:r>
      <w:r w:rsidR="0015669C">
        <w:rPr>
          <w:rStyle w:val="CommentReference"/>
        </w:rPr>
        <w:t>2</w:t>
      </w:r>
      <w:r w:rsidR="000C6DD1">
        <w:rPr>
          <w:rStyle w:val="CommentReference"/>
        </w:rPr>
        <w:t xml:space="preserve">: </w:t>
      </w:r>
      <w:r w:rsidRPr="008E0D3C">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15669C" w:rsidRPr="00B41614" w:rsidTr="004A10B5">
        <w:trPr>
          <w:tblHeader/>
        </w:trPr>
        <w:tc>
          <w:tcPr>
            <w:tcW w:w="796" w:type="pct"/>
            <w:vAlign w:val="center"/>
          </w:tcPr>
          <w:p w:rsidR="0015669C" w:rsidRPr="00B41614" w:rsidRDefault="0015669C" w:rsidP="004A10B5">
            <w:pPr>
              <w:pStyle w:val="Tabletext"/>
              <w:rPr>
                <w:b/>
              </w:rPr>
            </w:pPr>
            <w:r w:rsidRPr="00B41614">
              <w:rPr>
                <w:b/>
              </w:rPr>
              <w:t>Trial ID</w:t>
            </w:r>
          </w:p>
        </w:tc>
        <w:tc>
          <w:tcPr>
            <w:tcW w:w="3027" w:type="pct"/>
            <w:vAlign w:val="center"/>
          </w:tcPr>
          <w:p w:rsidR="0015669C" w:rsidRPr="00B41614" w:rsidRDefault="0015669C" w:rsidP="004A10B5">
            <w:pPr>
              <w:pStyle w:val="Tabletext"/>
              <w:jc w:val="center"/>
              <w:rPr>
                <w:b/>
              </w:rPr>
            </w:pPr>
            <w:r w:rsidRPr="00B41614">
              <w:rPr>
                <w:b/>
              </w:rPr>
              <w:t>Protocol title/ Publication title</w:t>
            </w:r>
          </w:p>
        </w:tc>
        <w:tc>
          <w:tcPr>
            <w:tcW w:w="1177" w:type="pct"/>
            <w:vAlign w:val="center"/>
          </w:tcPr>
          <w:p w:rsidR="0015669C" w:rsidRPr="00B41614" w:rsidRDefault="0015669C" w:rsidP="004A10B5">
            <w:pPr>
              <w:pStyle w:val="Tabletext"/>
              <w:jc w:val="center"/>
              <w:rPr>
                <w:b/>
              </w:rPr>
            </w:pPr>
            <w:r w:rsidRPr="00B41614">
              <w:rPr>
                <w:b/>
              </w:rPr>
              <w:t>Publication citation</w:t>
            </w:r>
          </w:p>
        </w:tc>
      </w:tr>
      <w:tr w:rsidR="0015669C" w:rsidRPr="00846615" w:rsidTr="004A10B5">
        <w:tc>
          <w:tcPr>
            <w:tcW w:w="5000" w:type="pct"/>
            <w:gridSpan w:val="3"/>
            <w:vAlign w:val="center"/>
          </w:tcPr>
          <w:p w:rsidR="0015669C" w:rsidRPr="00846615" w:rsidRDefault="0015669C" w:rsidP="004A10B5">
            <w:pPr>
              <w:pStyle w:val="Tabletext"/>
              <w:rPr>
                <w:b/>
              </w:rPr>
            </w:pPr>
            <w:r>
              <w:rPr>
                <w:b/>
              </w:rPr>
              <w:t>Dexamethasone implant versus sham</w:t>
            </w:r>
          </w:p>
        </w:tc>
      </w:tr>
      <w:tr w:rsidR="0015669C" w:rsidRPr="00CB38A8" w:rsidTr="004A10B5">
        <w:tc>
          <w:tcPr>
            <w:tcW w:w="796" w:type="pct"/>
            <w:vMerge w:val="restart"/>
            <w:vAlign w:val="center"/>
          </w:tcPr>
          <w:p w:rsidR="0015669C" w:rsidRPr="00CB38A8" w:rsidRDefault="0015669C" w:rsidP="004A10B5">
            <w:pPr>
              <w:pStyle w:val="Tabletext"/>
              <w:rPr>
                <w:rFonts w:ascii="Times" w:hAnsi="Times"/>
              </w:rPr>
            </w:pPr>
            <w:r>
              <w:t>GENEVA 008</w:t>
            </w:r>
          </w:p>
        </w:tc>
        <w:tc>
          <w:tcPr>
            <w:tcW w:w="3027" w:type="pct"/>
            <w:tcBorders>
              <w:bottom w:val="nil"/>
            </w:tcBorders>
            <w:vAlign w:val="center"/>
          </w:tcPr>
          <w:p w:rsidR="0015669C" w:rsidRPr="00AB6248" w:rsidRDefault="0015669C" w:rsidP="004A10B5">
            <w:pPr>
              <w:pStyle w:val="Tabletext"/>
              <w:rPr>
                <w:szCs w:val="18"/>
              </w:rPr>
            </w:pPr>
            <w:r w:rsidRPr="00926485">
              <w:rPr>
                <w:szCs w:val="18"/>
              </w:rPr>
              <w:t>A</w:t>
            </w:r>
            <w:r w:rsidR="00A43F88">
              <w:rPr>
                <w:szCs w:val="18"/>
              </w:rPr>
              <w:t xml:space="preserve"> Six-Month, Phase 3, Multicentre</w:t>
            </w:r>
            <w:r w:rsidRPr="00926485">
              <w:rPr>
                <w:szCs w:val="18"/>
              </w:rPr>
              <w:t>, Masked, Randomized, Sham-Controlled Trial (with Six-Month Open-Label Extension) to Assess the Safety and Efficacy of 700 μg and 350 μg Dexamethasone Posterior Segment Drug Delivery System (DEX PS DDS) Applicator System in the Treatment of Patients with Macular Edema Following Central Retinal Vein Occlusion or Branch Retinal Vein Occlusion</w:t>
            </w:r>
            <w:r>
              <w:rPr>
                <w:szCs w:val="18"/>
              </w:rPr>
              <w:t xml:space="preserve">. </w:t>
            </w:r>
            <w:r w:rsidRPr="002A3722">
              <w:rPr>
                <w:szCs w:val="18"/>
                <w:lang w:eastAsia="en-AU"/>
              </w:rPr>
              <w:t xml:space="preserve">Study Number: 206207-008. </w:t>
            </w:r>
            <w:r>
              <w:rPr>
                <w:szCs w:val="18"/>
                <w:lang w:eastAsia="en-AU"/>
              </w:rPr>
              <w:t>6</w:t>
            </w:r>
            <w:r w:rsidRPr="002A3722">
              <w:rPr>
                <w:szCs w:val="18"/>
                <w:lang w:eastAsia="en-AU"/>
              </w:rPr>
              <w:t>-Month Report</w:t>
            </w:r>
          </w:p>
        </w:tc>
        <w:tc>
          <w:tcPr>
            <w:tcW w:w="1177" w:type="pct"/>
            <w:tcBorders>
              <w:bottom w:val="nil"/>
            </w:tcBorders>
            <w:vAlign w:val="center"/>
          </w:tcPr>
          <w:p w:rsidR="0015669C" w:rsidRPr="00CB38A8" w:rsidRDefault="0015669C" w:rsidP="004A10B5">
            <w:pPr>
              <w:pStyle w:val="Tabletext"/>
              <w:rPr>
                <w:rFonts w:ascii="Times" w:hAnsi="Times"/>
              </w:rPr>
            </w:pPr>
            <w:r>
              <w:t>November 2008</w:t>
            </w:r>
          </w:p>
        </w:tc>
      </w:tr>
      <w:tr w:rsidR="0015669C" w:rsidRPr="002A3722" w:rsidTr="004A10B5">
        <w:tc>
          <w:tcPr>
            <w:tcW w:w="796" w:type="pct"/>
            <w:vMerge/>
            <w:tcBorders>
              <w:bottom w:val="nil"/>
            </w:tcBorders>
            <w:vAlign w:val="center"/>
          </w:tcPr>
          <w:p w:rsidR="0015669C" w:rsidRPr="00CB38A8" w:rsidRDefault="0015669C" w:rsidP="004A10B5">
            <w:pPr>
              <w:pStyle w:val="Tabletext"/>
            </w:pPr>
          </w:p>
        </w:tc>
        <w:tc>
          <w:tcPr>
            <w:tcW w:w="3027" w:type="pct"/>
            <w:tcBorders>
              <w:top w:val="nil"/>
              <w:bottom w:val="nil"/>
            </w:tcBorders>
            <w:vAlign w:val="center"/>
          </w:tcPr>
          <w:p w:rsidR="0015669C" w:rsidRPr="00E34A35" w:rsidRDefault="0015669C" w:rsidP="004A10B5">
            <w:pPr>
              <w:pStyle w:val="Tabletext"/>
              <w:rPr>
                <w:szCs w:val="18"/>
                <w:lang w:eastAsia="en-AU"/>
              </w:rPr>
            </w:pPr>
            <w:r w:rsidRPr="002A3722">
              <w:rPr>
                <w:szCs w:val="18"/>
                <w:lang w:eastAsia="en-AU"/>
              </w:rPr>
              <w:t>A</w:t>
            </w:r>
            <w:r w:rsidR="00A43F88">
              <w:rPr>
                <w:szCs w:val="18"/>
                <w:lang w:eastAsia="en-AU"/>
              </w:rPr>
              <w:t xml:space="preserve"> Six-Month, Phase 3, Multicentre</w:t>
            </w:r>
            <w:r w:rsidRPr="002A3722">
              <w:rPr>
                <w:szCs w:val="18"/>
                <w:lang w:eastAsia="en-AU"/>
              </w:rPr>
              <w:t>, Masked, Randomized, Sham-Controlled Trial (with Six-Month Open-Label Extension) to Assess the Safety and Efficacy of 700 μg and 350 μg Dexamethasone Posterior Segment Drug Delivery System (DEX PS DDS) Applicator System in the Treatment of Patients with Macular Edema Following Central Retinal Vein Occlusion or Branch Retinal Vein Occlusion</w:t>
            </w:r>
            <w:r>
              <w:rPr>
                <w:szCs w:val="18"/>
                <w:lang w:eastAsia="en-AU"/>
              </w:rPr>
              <w:t>.</w:t>
            </w:r>
            <w:r w:rsidRPr="002A3722">
              <w:rPr>
                <w:szCs w:val="18"/>
                <w:lang w:eastAsia="en-AU"/>
              </w:rPr>
              <w:t xml:space="preserve"> Study Number: 206207-008. 12-Month Report</w:t>
            </w:r>
          </w:p>
        </w:tc>
        <w:tc>
          <w:tcPr>
            <w:tcW w:w="1177" w:type="pct"/>
            <w:tcBorders>
              <w:top w:val="nil"/>
              <w:bottom w:val="nil"/>
            </w:tcBorders>
            <w:vAlign w:val="center"/>
          </w:tcPr>
          <w:p w:rsidR="0015669C" w:rsidRPr="002A3722" w:rsidRDefault="0015669C" w:rsidP="004A10B5">
            <w:pPr>
              <w:pStyle w:val="Tabletext"/>
              <w:rPr>
                <w:szCs w:val="18"/>
                <w:lang w:eastAsia="en-AU"/>
              </w:rPr>
            </w:pPr>
            <w:r w:rsidRPr="002A3722">
              <w:rPr>
                <w:szCs w:val="18"/>
                <w:lang w:eastAsia="en-AU"/>
              </w:rPr>
              <w:t>November 2009</w:t>
            </w:r>
          </w:p>
        </w:tc>
      </w:tr>
      <w:tr w:rsidR="0015669C" w:rsidRPr="004A2558" w:rsidTr="004A10B5">
        <w:tc>
          <w:tcPr>
            <w:tcW w:w="796" w:type="pct"/>
            <w:tcBorders>
              <w:bottom w:val="nil"/>
            </w:tcBorders>
            <w:vAlign w:val="center"/>
          </w:tcPr>
          <w:p w:rsidR="0015669C" w:rsidRPr="00CB38A8" w:rsidRDefault="0015669C" w:rsidP="004A10B5">
            <w:pPr>
              <w:pStyle w:val="Tabletext"/>
              <w:rPr>
                <w:rFonts w:ascii="Times" w:hAnsi="Times"/>
              </w:rPr>
            </w:pPr>
          </w:p>
        </w:tc>
        <w:tc>
          <w:tcPr>
            <w:tcW w:w="3027" w:type="pct"/>
            <w:tcBorders>
              <w:bottom w:val="nil"/>
            </w:tcBorders>
            <w:vAlign w:val="center"/>
          </w:tcPr>
          <w:p w:rsidR="0015669C" w:rsidRPr="00CB38A8" w:rsidRDefault="0015669C" w:rsidP="004A10B5">
            <w:pPr>
              <w:pStyle w:val="Tabletext"/>
              <w:rPr>
                <w:rFonts w:ascii="Times" w:hAnsi="Times"/>
              </w:rPr>
            </w:pPr>
            <w:r w:rsidRPr="002A3722">
              <w:rPr>
                <w:szCs w:val="18"/>
              </w:rPr>
              <w:t>A Six-Month, Phase 3, Multice</w:t>
            </w:r>
            <w:r w:rsidR="00A43F88">
              <w:rPr>
                <w:szCs w:val="18"/>
              </w:rPr>
              <w:t>ntre</w:t>
            </w:r>
            <w:r w:rsidRPr="002A3722">
              <w:rPr>
                <w:szCs w:val="18"/>
              </w:rPr>
              <w:t>, Masked, Randomized, Sham-Controlled Trial (with Six-Month Open-Label Extension) to Assess the Safety and Efficacy of 700 μg and 350 μg Dexamethasone Posterior Segment Drug Delivery System (DEX PS DDS) Applicator System in the Treatment of Patients with Macular Edema Following Central Retinal Vein Occlusion or Branch Retinal Vein Occlusion Study Number: 206207-009. 6-Month Report</w:t>
            </w:r>
            <w:r>
              <w:rPr>
                <w:szCs w:val="18"/>
              </w:rPr>
              <w:t>.</w:t>
            </w:r>
          </w:p>
        </w:tc>
        <w:tc>
          <w:tcPr>
            <w:tcW w:w="1177" w:type="pct"/>
            <w:tcBorders>
              <w:bottom w:val="nil"/>
            </w:tcBorders>
            <w:vAlign w:val="center"/>
          </w:tcPr>
          <w:p w:rsidR="0015669C" w:rsidRPr="004A2558" w:rsidRDefault="0015669C" w:rsidP="004A10B5">
            <w:pPr>
              <w:pStyle w:val="Tabletext"/>
            </w:pPr>
            <w:r>
              <w:t>November 2008</w:t>
            </w:r>
          </w:p>
        </w:tc>
      </w:tr>
      <w:tr w:rsidR="0015669C" w:rsidRPr="00BF16CA" w:rsidTr="004A10B5">
        <w:tc>
          <w:tcPr>
            <w:tcW w:w="796" w:type="pct"/>
            <w:tcBorders>
              <w:top w:val="nil"/>
              <w:bottom w:val="nil"/>
            </w:tcBorders>
            <w:vAlign w:val="center"/>
          </w:tcPr>
          <w:p w:rsidR="0015669C" w:rsidRPr="00CB38A8" w:rsidRDefault="0015669C" w:rsidP="004A10B5">
            <w:pPr>
              <w:pStyle w:val="Tabletext"/>
            </w:pPr>
            <w:r>
              <w:t>GENEVA 009</w:t>
            </w:r>
          </w:p>
        </w:tc>
        <w:tc>
          <w:tcPr>
            <w:tcW w:w="3027" w:type="pct"/>
            <w:tcBorders>
              <w:top w:val="nil"/>
              <w:bottom w:val="nil"/>
            </w:tcBorders>
            <w:vAlign w:val="center"/>
          </w:tcPr>
          <w:p w:rsidR="0015669C" w:rsidRPr="00E34A35" w:rsidRDefault="0015669C" w:rsidP="004A10B5">
            <w:pPr>
              <w:pStyle w:val="Tabletext"/>
              <w:rPr>
                <w:szCs w:val="18"/>
              </w:rPr>
            </w:pPr>
            <w:r w:rsidRPr="002A3722">
              <w:rPr>
                <w:szCs w:val="18"/>
              </w:rPr>
              <w:t>A</w:t>
            </w:r>
            <w:r w:rsidR="00A43F88">
              <w:rPr>
                <w:szCs w:val="18"/>
              </w:rPr>
              <w:t xml:space="preserve"> Six-Month, Phase 3, Multicentre</w:t>
            </w:r>
            <w:r w:rsidRPr="002A3722">
              <w:rPr>
                <w:szCs w:val="18"/>
              </w:rPr>
              <w:t>, Masked, Randomized, Sham-Controlled Trial (with Six-Month Open-Label Extension) to Assess the Safety and Efficacy of 700 μg and 350 μg Dexamethasone Posterior Segment Drug Delivery System (DEX PS DDS) Applicator System in the Treatment of Patients with Macular Edema Following Central Retinal Vein Occlusion or Branch Retinal Vein Occlusion Study Number: 206207-009. 12-Month Report</w:t>
            </w:r>
          </w:p>
        </w:tc>
        <w:tc>
          <w:tcPr>
            <w:tcW w:w="1177" w:type="pct"/>
            <w:tcBorders>
              <w:top w:val="nil"/>
              <w:bottom w:val="nil"/>
            </w:tcBorders>
            <w:vAlign w:val="center"/>
          </w:tcPr>
          <w:p w:rsidR="0015669C" w:rsidRPr="00BF16CA" w:rsidRDefault="0015669C" w:rsidP="004A10B5">
            <w:pPr>
              <w:pStyle w:val="Tabletext"/>
            </w:pPr>
            <w:r>
              <w:t>November 2009</w:t>
            </w:r>
          </w:p>
        </w:tc>
      </w:tr>
      <w:tr w:rsidR="0015669C" w:rsidRPr="00BF16CA" w:rsidTr="004A10B5">
        <w:tc>
          <w:tcPr>
            <w:tcW w:w="796" w:type="pct"/>
            <w:vMerge w:val="restart"/>
            <w:vAlign w:val="center"/>
          </w:tcPr>
          <w:p w:rsidR="0015669C" w:rsidRPr="00CB38A8" w:rsidRDefault="0015669C" w:rsidP="004A10B5">
            <w:pPr>
              <w:pStyle w:val="Tabletext"/>
            </w:pPr>
            <w:r>
              <w:t>GENEVA pooled results</w:t>
            </w:r>
          </w:p>
        </w:tc>
        <w:tc>
          <w:tcPr>
            <w:tcW w:w="3027" w:type="pct"/>
            <w:tcBorders>
              <w:bottom w:val="nil"/>
            </w:tcBorders>
            <w:vAlign w:val="center"/>
          </w:tcPr>
          <w:p w:rsidR="0015669C" w:rsidRPr="00BF16CA" w:rsidRDefault="0015669C" w:rsidP="004A10B5">
            <w:pPr>
              <w:pStyle w:val="Tabletext"/>
            </w:pPr>
            <w:r w:rsidRPr="00BF16CA">
              <w:t xml:space="preserve">Haller JA, Bandello F, Belfort Jr R, et al. Randomized, Sham-Controlled Trial of Dexamethasone Intravitreal Implant in Patients with Macular Edema Due to Retinal Vein Occlusion. </w:t>
            </w:r>
          </w:p>
        </w:tc>
        <w:tc>
          <w:tcPr>
            <w:tcW w:w="1177" w:type="pct"/>
            <w:tcBorders>
              <w:bottom w:val="nil"/>
            </w:tcBorders>
            <w:vAlign w:val="center"/>
          </w:tcPr>
          <w:p w:rsidR="0015669C" w:rsidRPr="00BF16CA" w:rsidRDefault="0015669C" w:rsidP="004A10B5">
            <w:pPr>
              <w:pStyle w:val="Tabletext"/>
            </w:pPr>
            <w:r w:rsidRPr="00BF16CA">
              <w:rPr>
                <w:i/>
              </w:rPr>
              <w:t>Ophthalmology.</w:t>
            </w:r>
            <w:r w:rsidRPr="00BF16CA">
              <w:t xml:space="preserve"> 2010;</w:t>
            </w:r>
            <w:r>
              <w:t xml:space="preserve"> </w:t>
            </w:r>
            <w:r w:rsidRPr="00BF16CA">
              <w:t>117(6):</w:t>
            </w:r>
            <w:r>
              <w:t xml:space="preserve"> </w:t>
            </w:r>
            <w:r w:rsidRPr="00BF16CA">
              <w:t>1134-1146</w:t>
            </w:r>
          </w:p>
        </w:tc>
      </w:tr>
      <w:tr w:rsidR="0015669C" w:rsidRPr="00BF16CA" w:rsidTr="004A10B5">
        <w:tc>
          <w:tcPr>
            <w:tcW w:w="796" w:type="pct"/>
            <w:vMerge/>
            <w:vAlign w:val="center"/>
          </w:tcPr>
          <w:p w:rsidR="0015669C" w:rsidRPr="00CB38A8" w:rsidRDefault="0015669C" w:rsidP="004A10B5">
            <w:pPr>
              <w:pStyle w:val="Tabletext"/>
            </w:pPr>
          </w:p>
        </w:tc>
        <w:tc>
          <w:tcPr>
            <w:tcW w:w="3027" w:type="pct"/>
            <w:tcBorders>
              <w:top w:val="nil"/>
              <w:bottom w:val="nil"/>
            </w:tcBorders>
            <w:vAlign w:val="center"/>
          </w:tcPr>
          <w:p w:rsidR="0015669C" w:rsidRPr="00BF16CA" w:rsidRDefault="0015669C" w:rsidP="004A10B5">
            <w:pPr>
              <w:pStyle w:val="Tabletext"/>
              <w:rPr>
                <w:szCs w:val="18"/>
              </w:rPr>
            </w:pPr>
            <w:r w:rsidRPr="00BF16CA">
              <w:rPr>
                <w:szCs w:val="18"/>
              </w:rPr>
              <w:t xml:space="preserve">Haller J, Bandello F, Belfort R, et al. Dexamethasone intravitreal implant in patients with macular edema related to branch or central retinal vein occlusion twelve-month study results. </w:t>
            </w:r>
          </w:p>
        </w:tc>
        <w:tc>
          <w:tcPr>
            <w:tcW w:w="1177" w:type="pct"/>
            <w:tcBorders>
              <w:top w:val="nil"/>
              <w:bottom w:val="nil"/>
            </w:tcBorders>
            <w:vAlign w:val="center"/>
          </w:tcPr>
          <w:p w:rsidR="0015669C" w:rsidRPr="00BF16CA" w:rsidRDefault="0015669C" w:rsidP="004A10B5">
            <w:pPr>
              <w:pStyle w:val="Tabletext"/>
            </w:pPr>
            <w:r w:rsidRPr="00BF16CA">
              <w:rPr>
                <w:i/>
                <w:szCs w:val="18"/>
              </w:rPr>
              <w:t>Ophthalmology.</w:t>
            </w:r>
            <w:r w:rsidRPr="00BF16CA">
              <w:rPr>
                <w:szCs w:val="18"/>
              </w:rPr>
              <w:t xml:space="preserve"> 2011;</w:t>
            </w:r>
            <w:r>
              <w:rPr>
                <w:szCs w:val="18"/>
              </w:rPr>
              <w:t xml:space="preserve"> </w:t>
            </w:r>
            <w:r w:rsidRPr="00BF16CA">
              <w:rPr>
                <w:szCs w:val="18"/>
              </w:rPr>
              <w:t>118(12):</w:t>
            </w:r>
            <w:r>
              <w:rPr>
                <w:szCs w:val="18"/>
              </w:rPr>
              <w:t xml:space="preserve"> </w:t>
            </w:r>
            <w:r w:rsidRPr="00BF16CA">
              <w:rPr>
                <w:szCs w:val="18"/>
              </w:rPr>
              <w:t>2453-2460</w:t>
            </w:r>
          </w:p>
        </w:tc>
      </w:tr>
      <w:tr w:rsidR="0015669C" w:rsidRPr="00BF16CA" w:rsidTr="004A10B5">
        <w:tc>
          <w:tcPr>
            <w:tcW w:w="796" w:type="pct"/>
            <w:vMerge/>
            <w:vAlign w:val="center"/>
          </w:tcPr>
          <w:p w:rsidR="0015669C" w:rsidRDefault="0015669C" w:rsidP="004A10B5">
            <w:pPr>
              <w:pStyle w:val="Tabletext"/>
            </w:pPr>
          </w:p>
        </w:tc>
        <w:tc>
          <w:tcPr>
            <w:tcW w:w="3027" w:type="pct"/>
            <w:tcBorders>
              <w:top w:val="nil"/>
              <w:bottom w:val="nil"/>
            </w:tcBorders>
            <w:vAlign w:val="center"/>
          </w:tcPr>
          <w:p w:rsidR="0015669C" w:rsidRPr="00BF16CA" w:rsidRDefault="0015669C" w:rsidP="004A10B5">
            <w:pPr>
              <w:pStyle w:val="Tabletext"/>
              <w:rPr>
                <w:szCs w:val="18"/>
              </w:rPr>
            </w:pPr>
            <w:r w:rsidRPr="00BF16CA">
              <w:rPr>
                <w:szCs w:val="18"/>
              </w:rPr>
              <w:t>Yeh W, Haller JA, Lanzetta P et al. Effect of the Duration of Macular Edema on Clinical Outcomes in Retinal Vein Occlusion Treated with Dexa</w:t>
            </w:r>
            <w:r w:rsidR="002D540B">
              <w:rPr>
                <w:szCs w:val="18"/>
              </w:rPr>
              <w:t>methasone Intravitreal Implant.</w:t>
            </w:r>
          </w:p>
        </w:tc>
        <w:tc>
          <w:tcPr>
            <w:tcW w:w="1177" w:type="pct"/>
            <w:tcBorders>
              <w:top w:val="nil"/>
              <w:bottom w:val="nil"/>
            </w:tcBorders>
            <w:vAlign w:val="center"/>
          </w:tcPr>
          <w:p w:rsidR="0015669C" w:rsidRPr="00BF16CA" w:rsidRDefault="0015669C" w:rsidP="004A10B5">
            <w:pPr>
              <w:pStyle w:val="Tabletext"/>
              <w:rPr>
                <w:szCs w:val="18"/>
              </w:rPr>
            </w:pPr>
            <w:r w:rsidRPr="00BF16CA">
              <w:rPr>
                <w:i/>
                <w:szCs w:val="18"/>
              </w:rPr>
              <w:t>Ophthalmology</w:t>
            </w:r>
            <w:r w:rsidRPr="00BF16CA">
              <w:rPr>
                <w:szCs w:val="18"/>
              </w:rPr>
              <w:t>. 2012;</w:t>
            </w:r>
            <w:r>
              <w:rPr>
                <w:szCs w:val="18"/>
              </w:rPr>
              <w:t xml:space="preserve"> </w:t>
            </w:r>
            <w:r w:rsidRPr="00BF16CA">
              <w:rPr>
                <w:szCs w:val="18"/>
              </w:rPr>
              <w:t>119(6):</w:t>
            </w:r>
            <w:r>
              <w:rPr>
                <w:szCs w:val="18"/>
              </w:rPr>
              <w:t xml:space="preserve"> </w:t>
            </w:r>
            <w:r w:rsidRPr="00BF16CA">
              <w:rPr>
                <w:szCs w:val="18"/>
              </w:rPr>
              <w:t>1190-1198</w:t>
            </w:r>
          </w:p>
        </w:tc>
      </w:tr>
      <w:tr w:rsidR="0015669C" w:rsidRPr="00BF16CA" w:rsidTr="004A10B5">
        <w:tc>
          <w:tcPr>
            <w:tcW w:w="796" w:type="pct"/>
            <w:vMerge/>
            <w:vAlign w:val="center"/>
          </w:tcPr>
          <w:p w:rsidR="0015669C" w:rsidRDefault="0015669C" w:rsidP="004A10B5">
            <w:pPr>
              <w:pStyle w:val="Tabletext"/>
            </w:pPr>
          </w:p>
        </w:tc>
        <w:tc>
          <w:tcPr>
            <w:tcW w:w="3027" w:type="pct"/>
            <w:tcBorders>
              <w:top w:val="nil"/>
              <w:bottom w:val="nil"/>
            </w:tcBorders>
            <w:vAlign w:val="center"/>
          </w:tcPr>
          <w:p w:rsidR="0015669C" w:rsidRPr="00BF16CA" w:rsidRDefault="0015669C" w:rsidP="004A10B5">
            <w:pPr>
              <w:pStyle w:val="Tabletext"/>
              <w:rPr>
                <w:szCs w:val="18"/>
              </w:rPr>
            </w:pPr>
            <w:r w:rsidRPr="00BF16CA">
              <w:rPr>
                <w:szCs w:val="18"/>
              </w:rPr>
              <w:t>Kuppermann BD, Haller JA, Bandello F et al. Onset and Duration of Visual Acuity Improvement after Dexamethasone Intravitreal Implant in Eyes with Macular Edema</w:t>
            </w:r>
            <w:r w:rsidR="002D540B">
              <w:rPr>
                <w:szCs w:val="18"/>
              </w:rPr>
              <w:t xml:space="preserve"> Due to Retinal Vein Occlusion.</w:t>
            </w:r>
          </w:p>
        </w:tc>
        <w:tc>
          <w:tcPr>
            <w:tcW w:w="1177" w:type="pct"/>
            <w:tcBorders>
              <w:top w:val="nil"/>
              <w:bottom w:val="nil"/>
            </w:tcBorders>
            <w:vAlign w:val="center"/>
          </w:tcPr>
          <w:p w:rsidR="0015669C" w:rsidRPr="00BF16CA" w:rsidRDefault="0015669C" w:rsidP="004A10B5">
            <w:pPr>
              <w:pStyle w:val="Tabletext"/>
              <w:rPr>
                <w:szCs w:val="18"/>
              </w:rPr>
            </w:pPr>
            <w:r w:rsidRPr="00BF16CA">
              <w:rPr>
                <w:i/>
                <w:szCs w:val="18"/>
              </w:rPr>
              <w:t>Retina.</w:t>
            </w:r>
            <w:r w:rsidRPr="00BF16CA">
              <w:rPr>
                <w:szCs w:val="18"/>
              </w:rPr>
              <w:t xml:space="preserve"> 2014;34(9):</w:t>
            </w:r>
            <w:r>
              <w:rPr>
                <w:szCs w:val="18"/>
              </w:rPr>
              <w:t xml:space="preserve"> </w:t>
            </w:r>
            <w:r w:rsidRPr="00BF16CA">
              <w:rPr>
                <w:szCs w:val="18"/>
              </w:rPr>
              <w:t>1723-1749</w:t>
            </w:r>
          </w:p>
        </w:tc>
      </w:tr>
      <w:tr w:rsidR="0015669C" w:rsidRPr="00BF16CA" w:rsidTr="004A10B5">
        <w:tc>
          <w:tcPr>
            <w:tcW w:w="796" w:type="pct"/>
            <w:vMerge/>
            <w:vAlign w:val="center"/>
          </w:tcPr>
          <w:p w:rsidR="0015669C" w:rsidRDefault="0015669C" w:rsidP="004A10B5">
            <w:pPr>
              <w:pStyle w:val="Tabletext"/>
            </w:pPr>
          </w:p>
        </w:tc>
        <w:tc>
          <w:tcPr>
            <w:tcW w:w="3027" w:type="pct"/>
            <w:tcBorders>
              <w:top w:val="nil"/>
              <w:bottom w:val="single" w:sz="4" w:space="0" w:color="auto"/>
            </w:tcBorders>
            <w:vAlign w:val="center"/>
          </w:tcPr>
          <w:p w:rsidR="0015669C" w:rsidRPr="00BF16CA" w:rsidRDefault="0015669C" w:rsidP="004A10B5">
            <w:pPr>
              <w:pStyle w:val="Tabletext"/>
              <w:rPr>
                <w:szCs w:val="18"/>
              </w:rPr>
            </w:pPr>
            <w:r w:rsidRPr="00BF16CA">
              <w:rPr>
                <w:szCs w:val="18"/>
              </w:rPr>
              <w:t>Sadda S, Danis RP, Pappuru RR et al. Vascular changes in eyes treated with dexamethasone intravitreal implant for macular edem</w:t>
            </w:r>
            <w:r w:rsidR="002D540B">
              <w:rPr>
                <w:szCs w:val="18"/>
              </w:rPr>
              <w:t>a after retinal vein occlusion.</w:t>
            </w:r>
          </w:p>
        </w:tc>
        <w:tc>
          <w:tcPr>
            <w:tcW w:w="1177" w:type="pct"/>
            <w:tcBorders>
              <w:top w:val="nil"/>
              <w:bottom w:val="single" w:sz="4" w:space="0" w:color="auto"/>
            </w:tcBorders>
            <w:vAlign w:val="center"/>
          </w:tcPr>
          <w:p w:rsidR="0015669C" w:rsidRPr="00BF16CA" w:rsidRDefault="0015669C" w:rsidP="004A10B5">
            <w:pPr>
              <w:pStyle w:val="Tabletext"/>
              <w:rPr>
                <w:szCs w:val="18"/>
              </w:rPr>
            </w:pPr>
            <w:r w:rsidRPr="00BF16CA">
              <w:rPr>
                <w:i/>
                <w:szCs w:val="18"/>
              </w:rPr>
              <w:t>Ophthalmology.</w:t>
            </w:r>
            <w:r w:rsidRPr="00BF16CA">
              <w:rPr>
                <w:szCs w:val="18"/>
              </w:rPr>
              <w:t xml:space="preserve"> 2013;</w:t>
            </w:r>
            <w:r>
              <w:rPr>
                <w:szCs w:val="18"/>
              </w:rPr>
              <w:t xml:space="preserve"> </w:t>
            </w:r>
            <w:r w:rsidRPr="00BF16CA">
              <w:rPr>
                <w:szCs w:val="18"/>
              </w:rPr>
              <w:t>120(7):</w:t>
            </w:r>
            <w:r>
              <w:rPr>
                <w:szCs w:val="18"/>
              </w:rPr>
              <w:t xml:space="preserve"> </w:t>
            </w:r>
            <w:r w:rsidRPr="00BF16CA">
              <w:rPr>
                <w:szCs w:val="18"/>
              </w:rPr>
              <w:t>1423-1431</w:t>
            </w:r>
          </w:p>
        </w:tc>
      </w:tr>
      <w:tr w:rsidR="0015669C" w:rsidRPr="004C79B2" w:rsidTr="004A10B5">
        <w:tc>
          <w:tcPr>
            <w:tcW w:w="796" w:type="pct"/>
            <w:vAlign w:val="center"/>
          </w:tcPr>
          <w:p w:rsidR="0015669C" w:rsidRDefault="0015669C" w:rsidP="004A10B5">
            <w:pPr>
              <w:pStyle w:val="Tabletext"/>
            </w:pPr>
            <w:r>
              <w:t>Trial 020</w:t>
            </w:r>
          </w:p>
        </w:tc>
        <w:tc>
          <w:tcPr>
            <w:tcW w:w="3027" w:type="pct"/>
            <w:tcBorders>
              <w:top w:val="single" w:sz="4" w:space="0" w:color="auto"/>
              <w:bottom w:val="single" w:sz="4" w:space="0" w:color="auto"/>
            </w:tcBorders>
            <w:vAlign w:val="center"/>
          </w:tcPr>
          <w:p w:rsidR="0015669C" w:rsidRDefault="0015669C" w:rsidP="004A10B5">
            <w:pPr>
              <w:pStyle w:val="Tabletext"/>
              <w:rPr>
                <w:szCs w:val="18"/>
              </w:rPr>
            </w:pPr>
            <w:r w:rsidRPr="00BF16CA">
              <w:rPr>
                <w:szCs w:val="18"/>
              </w:rPr>
              <w:t>A</w:t>
            </w:r>
            <w:r w:rsidR="00A43F88">
              <w:rPr>
                <w:szCs w:val="18"/>
              </w:rPr>
              <w:t xml:space="preserve"> Six-Month, Phase 3, Multicentre</w:t>
            </w:r>
            <w:r w:rsidRPr="00BF16CA">
              <w:rPr>
                <w:szCs w:val="18"/>
              </w:rPr>
              <w:t>, Masked, Randomized, Sham-Controlled Trial with a Two-Month Open-label Phase to Assess the Safety and Efficacy of 700 μg Dexamethasone Posterior Segment Drug Delivery System (DEX PS DDS) Applicator System in the Treatment of Patients with Macular Edema Following Central Retinal Vein Occlusion or Branch Retinal Vein Occlusion.</w:t>
            </w:r>
          </w:p>
          <w:p w:rsidR="0015669C" w:rsidRPr="00BF16CA" w:rsidRDefault="0015669C" w:rsidP="004A10B5">
            <w:pPr>
              <w:pStyle w:val="Tabletext"/>
              <w:rPr>
                <w:szCs w:val="18"/>
              </w:rPr>
            </w:pPr>
            <w:r>
              <w:rPr>
                <w:szCs w:val="18"/>
              </w:rPr>
              <w:t>Li X, Wang N, Liang X, et al. Safety and efficacy of dexamethasone intravitreal implant for treatment of macular edema secondary to retinal vein occlusion in Chinese patients: randomized, sha</w:t>
            </w:r>
            <w:r w:rsidR="002D540B">
              <w:rPr>
                <w:szCs w:val="18"/>
              </w:rPr>
              <w:t>m-controlled, multicentre study.</w:t>
            </w:r>
          </w:p>
        </w:tc>
        <w:tc>
          <w:tcPr>
            <w:tcW w:w="1177" w:type="pct"/>
            <w:tcBorders>
              <w:top w:val="single" w:sz="4" w:space="0" w:color="auto"/>
              <w:bottom w:val="single" w:sz="4" w:space="0" w:color="auto"/>
            </w:tcBorders>
            <w:vAlign w:val="center"/>
          </w:tcPr>
          <w:p w:rsidR="0015669C" w:rsidRDefault="0015669C" w:rsidP="004A10B5">
            <w:pPr>
              <w:pStyle w:val="Tabletext"/>
              <w:rPr>
                <w:szCs w:val="18"/>
              </w:rPr>
            </w:pPr>
            <w:r>
              <w:rPr>
                <w:szCs w:val="18"/>
              </w:rPr>
              <w:t>October 2014</w:t>
            </w:r>
          </w:p>
          <w:p w:rsidR="0015669C" w:rsidRDefault="0015669C" w:rsidP="004A10B5">
            <w:pPr>
              <w:pStyle w:val="Tabletext"/>
              <w:rPr>
                <w:szCs w:val="18"/>
              </w:rPr>
            </w:pPr>
          </w:p>
          <w:p w:rsidR="0015669C" w:rsidRDefault="0015669C" w:rsidP="004A10B5">
            <w:pPr>
              <w:pStyle w:val="Tabletext"/>
              <w:rPr>
                <w:szCs w:val="18"/>
              </w:rPr>
            </w:pPr>
          </w:p>
          <w:p w:rsidR="0015669C" w:rsidRDefault="0015669C" w:rsidP="004A10B5">
            <w:pPr>
              <w:pStyle w:val="Tabletext"/>
              <w:rPr>
                <w:szCs w:val="18"/>
              </w:rPr>
            </w:pPr>
          </w:p>
          <w:p w:rsidR="0015669C" w:rsidRDefault="0015669C" w:rsidP="004A10B5">
            <w:pPr>
              <w:pStyle w:val="Tabletext"/>
              <w:rPr>
                <w:szCs w:val="18"/>
              </w:rPr>
            </w:pPr>
          </w:p>
          <w:p w:rsidR="0015669C" w:rsidRDefault="0015669C" w:rsidP="004A10B5">
            <w:pPr>
              <w:pStyle w:val="Tabletext"/>
              <w:rPr>
                <w:i/>
                <w:szCs w:val="18"/>
              </w:rPr>
            </w:pPr>
          </w:p>
          <w:p w:rsidR="0015669C" w:rsidRPr="004C79B2" w:rsidRDefault="0015669C" w:rsidP="004A10B5">
            <w:pPr>
              <w:pStyle w:val="Tabletext"/>
              <w:rPr>
                <w:szCs w:val="18"/>
              </w:rPr>
            </w:pPr>
            <w:r w:rsidRPr="00B02B53">
              <w:rPr>
                <w:i/>
                <w:szCs w:val="18"/>
              </w:rPr>
              <w:t>Graefe’s Archive for Clinical and Experimental Ophthalmology</w:t>
            </w:r>
            <w:r>
              <w:rPr>
                <w:szCs w:val="18"/>
              </w:rPr>
              <w:t>. 2018; 256:59-69</w:t>
            </w:r>
          </w:p>
        </w:tc>
      </w:tr>
      <w:tr w:rsidR="0015669C" w:rsidRPr="004C79B2" w:rsidTr="004A10B5">
        <w:tc>
          <w:tcPr>
            <w:tcW w:w="5000" w:type="pct"/>
            <w:gridSpan w:val="3"/>
            <w:vAlign w:val="center"/>
          </w:tcPr>
          <w:p w:rsidR="0015669C" w:rsidRPr="004C79B2" w:rsidRDefault="0015669C" w:rsidP="004A10B5">
            <w:pPr>
              <w:pStyle w:val="Tabletext"/>
              <w:rPr>
                <w:b/>
                <w:szCs w:val="18"/>
              </w:rPr>
            </w:pPr>
            <w:r>
              <w:rPr>
                <w:b/>
                <w:szCs w:val="18"/>
              </w:rPr>
              <w:t>Dexamethasone implant versus ranibizumab</w:t>
            </w:r>
          </w:p>
        </w:tc>
      </w:tr>
      <w:tr w:rsidR="0015669C" w:rsidRPr="004C79B2" w:rsidTr="004A10B5">
        <w:tc>
          <w:tcPr>
            <w:tcW w:w="796" w:type="pct"/>
            <w:vAlign w:val="center"/>
          </w:tcPr>
          <w:p w:rsidR="0015669C" w:rsidRDefault="0015669C" w:rsidP="004A10B5">
            <w:pPr>
              <w:pStyle w:val="Tabletext"/>
            </w:pPr>
            <w:r>
              <w:t>COMO</w:t>
            </w:r>
          </w:p>
        </w:tc>
        <w:tc>
          <w:tcPr>
            <w:tcW w:w="3027" w:type="pct"/>
            <w:tcBorders>
              <w:top w:val="single" w:sz="4" w:space="0" w:color="auto"/>
              <w:bottom w:val="single" w:sz="4" w:space="0" w:color="auto"/>
            </w:tcBorders>
            <w:vAlign w:val="center"/>
          </w:tcPr>
          <w:p w:rsidR="0015669C" w:rsidRPr="00BF16CA" w:rsidRDefault="0015669C" w:rsidP="004A10B5">
            <w:pPr>
              <w:pStyle w:val="Tabletext"/>
              <w:rPr>
                <w:szCs w:val="18"/>
              </w:rPr>
            </w:pPr>
            <w:r w:rsidRPr="004C79B2">
              <w:rPr>
                <w:szCs w:val="18"/>
              </w:rPr>
              <w:t>A 12-Month, Multicentre, Randomised, Parallel Group Study to Compare the Efficacy and Safety of OZURDEX® Versus Lucentis® in Patients with Branch Retinal Vein Occlusion</w:t>
            </w:r>
          </w:p>
        </w:tc>
        <w:tc>
          <w:tcPr>
            <w:tcW w:w="1177" w:type="pct"/>
            <w:tcBorders>
              <w:top w:val="single" w:sz="4" w:space="0" w:color="auto"/>
              <w:bottom w:val="single" w:sz="4" w:space="0" w:color="auto"/>
            </w:tcBorders>
            <w:vAlign w:val="center"/>
          </w:tcPr>
          <w:p w:rsidR="0015669C" w:rsidRPr="004C79B2" w:rsidRDefault="0015669C" w:rsidP="004A10B5">
            <w:pPr>
              <w:pStyle w:val="Tabletext"/>
              <w:rPr>
                <w:szCs w:val="18"/>
              </w:rPr>
            </w:pPr>
            <w:r>
              <w:rPr>
                <w:szCs w:val="18"/>
              </w:rPr>
              <w:t>September 2015</w:t>
            </w:r>
          </w:p>
        </w:tc>
      </w:tr>
      <w:tr w:rsidR="0015669C" w:rsidRPr="004C79B2" w:rsidTr="004A10B5">
        <w:tc>
          <w:tcPr>
            <w:tcW w:w="796" w:type="pct"/>
            <w:vMerge w:val="restart"/>
            <w:vAlign w:val="center"/>
          </w:tcPr>
          <w:p w:rsidR="0015669C" w:rsidRDefault="0015669C" w:rsidP="004A10B5">
            <w:pPr>
              <w:pStyle w:val="Tabletext"/>
            </w:pPr>
            <w:r>
              <w:t>COMRADE-B</w:t>
            </w:r>
          </w:p>
        </w:tc>
        <w:tc>
          <w:tcPr>
            <w:tcW w:w="3027" w:type="pct"/>
            <w:tcBorders>
              <w:top w:val="single" w:sz="4" w:space="0" w:color="auto"/>
              <w:bottom w:val="nil"/>
              <w:right w:val="single" w:sz="4" w:space="0" w:color="auto"/>
            </w:tcBorders>
            <w:vAlign w:val="center"/>
          </w:tcPr>
          <w:p w:rsidR="0015669C" w:rsidRPr="00BF16CA" w:rsidRDefault="0015669C" w:rsidP="004A10B5">
            <w:pPr>
              <w:pStyle w:val="Tabletext"/>
              <w:rPr>
                <w:szCs w:val="18"/>
              </w:rPr>
            </w:pPr>
            <w:r w:rsidRPr="004C79B2">
              <w:rPr>
                <w:szCs w:val="18"/>
              </w:rPr>
              <w:t xml:space="preserve">Hattenbach LO, Hoerauf H, Feltgen N, et al. Efficacy and Safety of 0.5 mg Ranibizumab Administered as Intravitreal Injections PRN Compared with Intravitreal Implant Containing 0.7 mg Dexamethasone in Patients with Branch Retinal Vein Occlusion Over 6 Months: The COMRADE-B Study. </w:t>
            </w:r>
          </w:p>
        </w:tc>
        <w:tc>
          <w:tcPr>
            <w:tcW w:w="1177" w:type="pct"/>
            <w:tcBorders>
              <w:top w:val="single" w:sz="4" w:space="0" w:color="auto"/>
              <w:left w:val="single" w:sz="4" w:space="0" w:color="auto"/>
              <w:bottom w:val="nil"/>
            </w:tcBorders>
            <w:vAlign w:val="center"/>
          </w:tcPr>
          <w:p w:rsidR="0015669C" w:rsidRPr="004C79B2" w:rsidRDefault="0015669C" w:rsidP="004A10B5">
            <w:pPr>
              <w:pStyle w:val="Tabletext"/>
              <w:rPr>
                <w:szCs w:val="18"/>
              </w:rPr>
            </w:pPr>
            <w:r w:rsidRPr="004C79B2">
              <w:rPr>
                <w:i/>
                <w:szCs w:val="18"/>
              </w:rPr>
              <w:t>Ophthalmologica.</w:t>
            </w:r>
            <w:r w:rsidRPr="004C79B2">
              <w:rPr>
                <w:szCs w:val="18"/>
              </w:rPr>
              <w:t xml:space="preserve"> 2014;</w:t>
            </w:r>
            <w:r>
              <w:rPr>
                <w:szCs w:val="18"/>
              </w:rPr>
              <w:t xml:space="preserve"> </w:t>
            </w:r>
            <w:r w:rsidRPr="004C79B2">
              <w:rPr>
                <w:szCs w:val="18"/>
              </w:rPr>
              <w:t>232(Suppl.2):</w:t>
            </w:r>
            <w:r>
              <w:rPr>
                <w:szCs w:val="18"/>
              </w:rPr>
              <w:t xml:space="preserve"> </w:t>
            </w:r>
            <w:r w:rsidRPr="004C79B2">
              <w:rPr>
                <w:szCs w:val="18"/>
              </w:rPr>
              <w:t>90.</w:t>
            </w:r>
          </w:p>
        </w:tc>
      </w:tr>
      <w:tr w:rsidR="0015669C" w:rsidRPr="004C79B2" w:rsidTr="004A10B5">
        <w:tc>
          <w:tcPr>
            <w:tcW w:w="796" w:type="pct"/>
            <w:vMerge/>
            <w:vAlign w:val="center"/>
          </w:tcPr>
          <w:p w:rsidR="0015669C" w:rsidRDefault="0015669C" w:rsidP="004A10B5">
            <w:pPr>
              <w:pStyle w:val="Tabletext"/>
            </w:pPr>
          </w:p>
        </w:tc>
        <w:tc>
          <w:tcPr>
            <w:tcW w:w="3027" w:type="pct"/>
            <w:tcBorders>
              <w:top w:val="nil"/>
              <w:bottom w:val="single" w:sz="4" w:space="0" w:color="auto"/>
              <w:right w:val="single" w:sz="4" w:space="0" w:color="auto"/>
            </w:tcBorders>
            <w:vAlign w:val="center"/>
          </w:tcPr>
          <w:p w:rsidR="0015669C" w:rsidRPr="00BF16CA" w:rsidRDefault="0015669C" w:rsidP="004A10B5">
            <w:pPr>
              <w:pStyle w:val="Tabletext"/>
              <w:rPr>
                <w:szCs w:val="18"/>
              </w:rPr>
            </w:pPr>
            <w:r w:rsidRPr="004C79B2">
              <w:rPr>
                <w:szCs w:val="18"/>
              </w:rPr>
              <w:t xml:space="preserve">Hattenbach LO, Feltgen N, Bertelmann T, et al. Head-to-head comparison of ranibizumab PRN versus single-dose dexamethasone for branch retinal vein occlusion (COMRADE-B). </w:t>
            </w:r>
          </w:p>
        </w:tc>
        <w:tc>
          <w:tcPr>
            <w:tcW w:w="1177" w:type="pct"/>
            <w:tcBorders>
              <w:top w:val="nil"/>
              <w:left w:val="single" w:sz="4" w:space="0" w:color="auto"/>
              <w:bottom w:val="single" w:sz="4" w:space="0" w:color="auto"/>
            </w:tcBorders>
            <w:vAlign w:val="center"/>
          </w:tcPr>
          <w:p w:rsidR="0015669C" w:rsidRPr="004C79B2" w:rsidRDefault="0015669C" w:rsidP="004A10B5">
            <w:pPr>
              <w:pStyle w:val="Tabletext"/>
              <w:rPr>
                <w:szCs w:val="18"/>
              </w:rPr>
            </w:pPr>
            <w:r w:rsidRPr="004C79B2">
              <w:rPr>
                <w:i/>
                <w:szCs w:val="18"/>
              </w:rPr>
              <w:t>Acta Ophthalmologica</w:t>
            </w:r>
            <w:r w:rsidRPr="004C79B2">
              <w:rPr>
                <w:szCs w:val="18"/>
              </w:rPr>
              <w:t xml:space="preserve"> 2017; doi: 10.1111/aos.13381. [Epub ahead of print].</w:t>
            </w:r>
          </w:p>
        </w:tc>
      </w:tr>
      <w:tr w:rsidR="0015669C" w:rsidRPr="004C79B2" w:rsidTr="004A10B5">
        <w:tc>
          <w:tcPr>
            <w:tcW w:w="796" w:type="pct"/>
            <w:vMerge w:val="restart"/>
            <w:vAlign w:val="center"/>
          </w:tcPr>
          <w:p w:rsidR="0015669C" w:rsidRDefault="0015669C" w:rsidP="004A10B5">
            <w:pPr>
              <w:pStyle w:val="Tabletext"/>
            </w:pPr>
            <w:r>
              <w:t>COMRADE-C</w:t>
            </w:r>
          </w:p>
        </w:tc>
        <w:tc>
          <w:tcPr>
            <w:tcW w:w="3027" w:type="pct"/>
            <w:tcBorders>
              <w:top w:val="single" w:sz="4" w:space="0" w:color="auto"/>
              <w:bottom w:val="nil"/>
            </w:tcBorders>
            <w:vAlign w:val="center"/>
          </w:tcPr>
          <w:p w:rsidR="0015669C" w:rsidRPr="00BF16CA" w:rsidRDefault="0015669C" w:rsidP="004A10B5">
            <w:pPr>
              <w:pStyle w:val="Tabletext"/>
              <w:rPr>
                <w:szCs w:val="18"/>
              </w:rPr>
            </w:pPr>
            <w:r w:rsidRPr="004C79B2">
              <w:rPr>
                <w:szCs w:val="18"/>
              </w:rPr>
              <w:t xml:space="preserve">Hoerauf H, Feltgen N, Eter N, et al. Efficacy and Safety of 0.5 mg Ranibizumab Compared with Intravitreal Implant Containing 0.7 mg Dexamethasone in Patients with Central Retinal Vein Occlusion Over 6 Months: The COMRADE-C Study. </w:t>
            </w:r>
          </w:p>
        </w:tc>
        <w:tc>
          <w:tcPr>
            <w:tcW w:w="1177" w:type="pct"/>
            <w:tcBorders>
              <w:top w:val="single" w:sz="4" w:space="0" w:color="auto"/>
              <w:bottom w:val="nil"/>
            </w:tcBorders>
            <w:vAlign w:val="center"/>
          </w:tcPr>
          <w:p w:rsidR="0015669C" w:rsidRPr="004C79B2" w:rsidRDefault="0015669C" w:rsidP="004A10B5">
            <w:pPr>
              <w:pStyle w:val="Tabletext"/>
              <w:rPr>
                <w:szCs w:val="18"/>
              </w:rPr>
            </w:pPr>
            <w:r w:rsidRPr="004C79B2">
              <w:rPr>
                <w:i/>
                <w:szCs w:val="18"/>
              </w:rPr>
              <w:t>Ophthalmologica</w:t>
            </w:r>
            <w:r w:rsidRPr="004C79B2">
              <w:rPr>
                <w:szCs w:val="18"/>
              </w:rPr>
              <w:t>. 2014;</w:t>
            </w:r>
            <w:r>
              <w:rPr>
                <w:szCs w:val="18"/>
              </w:rPr>
              <w:t xml:space="preserve"> </w:t>
            </w:r>
            <w:r w:rsidRPr="004C79B2">
              <w:rPr>
                <w:szCs w:val="18"/>
              </w:rPr>
              <w:t>232(Suppl.2):90.</w:t>
            </w:r>
          </w:p>
        </w:tc>
      </w:tr>
      <w:tr w:rsidR="0015669C" w:rsidRPr="00BF16CA" w:rsidTr="004A10B5">
        <w:tc>
          <w:tcPr>
            <w:tcW w:w="796" w:type="pct"/>
            <w:vMerge/>
            <w:vAlign w:val="center"/>
          </w:tcPr>
          <w:p w:rsidR="0015669C" w:rsidRDefault="0015669C" w:rsidP="004A10B5">
            <w:pPr>
              <w:pStyle w:val="Tabletext"/>
            </w:pPr>
          </w:p>
        </w:tc>
        <w:tc>
          <w:tcPr>
            <w:tcW w:w="3027" w:type="pct"/>
            <w:tcBorders>
              <w:top w:val="nil"/>
              <w:bottom w:val="single" w:sz="4" w:space="0" w:color="auto"/>
            </w:tcBorders>
            <w:vAlign w:val="center"/>
          </w:tcPr>
          <w:p w:rsidR="0015669C" w:rsidRPr="00BF16CA" w:rsidRDefault="0015669C" w:rsidP="004A10B5">
            <w:pPr>
              <w:pStyle w:val="Tabletext"/>
              <w:rPr>
                <w:szCs w:val="18"/>
              </w:rPr>
            </w:pPr>
            <w:r w:rsidRPr="004C79B2">
              <w:rPr>
                <w:szCs w:val="18"/>
              </w:rPr>
              <w:t xml:space="preserve">Hoerauf H, Feltgen N, Weiss C, et al. Clinical Efficacy and Safety of Ranibizumab Versus Dexamethasone for Central Retinal Vein Occlusion (COMRADE-C): a European Label Study. </w:t>
            </w:r>
          </w:p>
        </w:tc>
        <w:tc>
          <w:tcPr>
            <w:tcW w:w="1177" w:type="pct"/>
            <w:tcBorders>
              <w:top w:val="nil"/>
              <w:bottom w:val="single" w:sz="4" w:space="0" w:color="auto"/>
            </w:tcBorders>
            <w:vAlign w:val="center"/>
          </w:tcPr>
          <w:p w:rsidR="0015669C" w:rsidRPr="00BF16CA" w:rsidRDefault="0015669C" w:rsidP="004A10B5">
            <w:pPr>
              <w:pStyle w:val="Tabletext"/>
              <w:rPr>
                <w:i/>
                <w:szCs w:val="18"/>
              </w:rPr>
            </w:pPr>
            <w:r w:rsidRPr="004C79B2">
              <w:rPr>
                <w:i/>
                <w:szCs w:val="18"/>
              </w:rPr>
              <w:t>American Journal of Ophthalmology.</w:t>
            </w:r>
            <w:r w:rsidRPr="004C79B2">
              <w:rPr>
                <w:szCs w:val="18"/>
              </w:rPr>
              <w:t xml:space="preserve"> 2016;</w:t>
            </w:r>
            <w:r>
              <w:rPr>
                <w:szCs w:val="18"/>
              </w:rPr>
              <w:t xml:space="preserve"> </w:t>
            </w:r>
            <w:r w:rsidRPr="004C79B2">
              <w:rPr>
                <w:szCs w:val="18"/>
              </w:rPr>
              <w:t>258-267.</w:t>
            </w:r>
          </w:p>
        </w:tc>
      </w:tr>
      <w:tr w:rsidR="0015669C" w:rsidRPr="00BF16CA" w:rsidTr="004A10B5">
        <w:tc>
          <w:tcPr>
            <w:tcW w:w="796" w:type="pct"/>
            <w:vAlign w:val="center"/>
          </w:tcPr>
          <w:p w:rsidR="0015669C" w:rsidRDefault="0015669C" w:rsidP="004A10B5">
            <w:pPr>
              <w:pStyle w:val="Tabletext"/>
            </w:pPr>
            <w:r>
              <w:t>COMRADE-Extension</w:t>
            </w:r>
          </w:p>
        </w:tc>
        <w:tc>
          <w:tcPr>
            <w:tcW w:w="3027" w:type="pct"/>
            <w:tcBorders>
              <w:top w:val="single" w:sz="4" w:space="0" w:color="auto"/>
              <w:bottom w:val="single" w:sz="4" w:space="0" w:color="auto"/>
            </w:tcBorders>
            <w:vAlign w:val="center"/>
          </w:tcPr>
          <w:p w:rsidR="0015669C" w:rsidRPr="00BF16CA" w:rsidRDefault="0015669C" w:rsidP="004A10B5">
            <w:pPr>
              <w:pStyle w:val="Tabletext"/>
              <w:rPr>
                <w:szCs w:val="18"/>
              </w:rPr>
            </w:pPr>
            <w:r w:rsidRPr="00231499">
              <w:rPr>
                <w:szCs w:val="18"/>
              </w:rPr>
              <w:t xml:space="preserve">Feltgen N, Bertelmann T. Safety and efficacy of ranibizumab 0.5 mg vs dexamethasone 0.7 mg intravitreal implant in patients with branch or central retinal vein occlusion: Long-term results of the COMRADE-Extension study. </w:t>
            </w:r>
          </w:p>
        </w:tc>
        <w:tc>
          <w:tcPr>
            <w:tcW w:w="1177" w:type="pct"/>
            <w:tcBorders>
              <w:top w:val="single" w:sz="4" w:space="0" w:color="auto"/>
              <w:bottom w:val="single" w:sz="4" w:space="0" w:color="auto"/>
            </w:tcBorders>
            <w:vAlign w:val="center"/>
          </w:tcPr>
          <w:p w:rsidR="0015669C" w:rsidRPr="00BF16CA" w:rsidRDefault="0015669C" w:rsidP="004A10B5">
            <w:pPr>
              <w:pStyle w:val="Tabletext"/>
              <w:rPr>
                <w:i/>
                <w:szCs w:val="18"/>
              </w:rPr>
            </w:pPr>
            <w:r w:rsidRPr="00231499">
              <w:rPr>
                <w:i/>
                <w:szCs w:val="18"/>
              </w:rPr>
              <w:t>Association for Research in Vision and Ophthalmology (ARVO) 2016 Annual Meeting 2016.</w:t>
            </w:r>
          </w:p>
        </w:tc>
      </w:tr>
    </w:tbl>
    <w:p w:rsidR="0015669C" w:rsidRDefault="0015669C" w:rsidP="0015669C">
      <w:pPr>
        <w:pStyle w:val="TableFooter"/>
      </w:pPr>
      <w:r>
        <w:t>Source: Table 2.2.1, pp.25-27; Table 2.2.2, pp.27-28; Table 2.2.3, p.p.28-29 of the submission.</w:t>
      </w:r>
    </w:p>
    <w:p w:rsidR="00C1342C" w:rsidRDefault="0015669C" w:rsidP="0015669C">
      <w:pPr>
        <w:pStyle w:val="TableFooter"/>
      </w:pPr>
      <w:r>
        <w:t>Note: Conference abstracts not included where full publications were available</w:t>
      </w:r>
    </w:p>
    <w:p w:rsidR="00C1342C" w:rsidRDefault="00C1342C">
      <w:pPr>
        <w:widowControl/>
        <w:jc w:val="left"/>
        <w:rPr>
          <w:rFonts w:ascii="Arial Narrow" w:hAnsi="Arial Narrow"/>
          <w:sz w:val="18"/>
        </w:rPr>
      </w:pPr>
    </w:p>
    <w:p w:rsidR="007F1017" w:rsidRDefault="008F120A" w:rsidP="00361734">
      <w:pPr>
        <w:pStyle w:val="ListParagraph"/>
        <w:widowControl/>
        <w:numPr>
          <w:ilvl w:val="1"/>
          <w:numId w:val="1"/>
        </w:numPr>
      </w:pPr>
      <w:r w:rsidRPr="00B50DB8">
        <w:t xml:space="preserve">The key features of the direct randomised trials are </w:t>
      </w:r>
      <w:r w:rsidR="001C676A">
        <w:t>summarised in the table below.</w:t>
      </w:r>
    </w:p>
    <w:p w:rsidR="007F1017" w:rsidRPr="00E2771E" w:rsidRDefault="007F1017" w:rsidP="00045017">
      <w:pPr>
        <w:rPr>
          <w:rStyle w:val="CommentReference"/>
        </w:rPr>
      </w:pPr>
      <w:r w:rsidRPr="00E2771E">
        <w:rPr>
          <w:rStyle w:val="CommentReference"/>
        </w:rPr>
        <w:t xml:space="preserve">Table </w:t>
      </w:r>
      <w:r w:rsidR="0015669C">
        <w:rPr>
          <w:rStyle w:val="CommentReference"/>
        </w:rPr>
        <w:t>3</w:t>
      </w:r>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1"/>
        <w:gridCol w:w="475"/>
        <w:gridCol w:w="1843"/>
        <w:gridCol w:w="708"/>
        <w:gridCol w:w="1701"/>
        <w:gridCol w:w="2268"/>
        <w:gridCol w:w="1117"/>
      </w:tblGrid>
      <w:tr w:rsidR="00B41614" w:rsidRPr="005015D5" w:rsidTr="00533FA9">
        <w:tc>
          <w:tcPr>
            <w:tcW w:w="971" w:type="dxa"/>
            <w:shd w:val="clear" w:color="auto" w:fill="auto"/>
            <w:vAlign w:val="center"/>
          </w:tcPr>
          <w:p w:rsidR="007F1017" w:rsidRPr="005015D5" w:rsidRDefault="007F1017" w:rsidP="00B41614">
            <w:pPr>
              <w:pStyle w:val="Tabletext"/>
              <w:rPr>
                <w:b/>
                <w:lang w:val="en-US"/>
              </w:rPr>
            </w:pPr>
            <w:r w:rsidRPr="005015D5">
              <w:rPr>
                <w:b/>
                <w:lang w:val="en-US"/>
              </w:rPr>
              <w:t>Trial</w:t>
            </w:r>
          </w:p>
        </w:tc>
        <w:tc>
          <w:tcPr>
            <w:tcW w:w="475" w:type="dxa"/>
            <w:shd w:val="clear" w:color="auto" w:fill="auto"/>
            <w:vAlign w:val="center"/>
          </w:tcPr>
          <w:p w:rsidR="007F1017" w:rsidRPr="005015D5" w:rsidRDefault="007F1017" w:rsidP="00B41614">
            <w:pPr>
              <w:pStyle w:val="Tabletext"/>
              <w:jc w:val="center"/>
              <w:rPr>
                <w:b/>
                <w:lang w:val="en-US"/>
              </w:rPr>
            </w:pPr>
            <w:r w:rsidRPr="005015D5">
              <w:rPr>
                <w:b/>
                <w:lang w:val="en-US"/>
              </w:rPr>
              <w:t>N</w:t>
            </w:r>
          </w:p>
        </w:tc>
        <w:tc>
          <w:tcPr>
            <w:tcW w:w="1843" w:type="dxa"/>
            <w:shd w:val="clear" w:color="auto" w:fill="auto"/>
            <w:vAlign w:val="center"/>
          </w:tcPr>
          <w:p w:rsidR="007F1017" w:rsidRPr="005015D5" w:rsidRDefault="007F1017" w:rsidP="00B41614">
            <w:pPr>
              <w:pStyle w:val="Tabletext"/>
              <w:jc w:val="center"/>
              <w:rPr>
                <w:b/>
                <w:lang w:val="en-US"/>
              </w:rPr>
            </w:pPr>
            <w:r w:rsidRPr="005015D5">
              <w:rPr>
                <w:b/>
                <w:lang w:val="en-US"/>
              </w:rPr>
              <w:t>Design/ duration</w:t>
            </w:r>
          </w:p>
        </w:tc>
        <w:tc>
          <w:tcPr>
            <w:tcW w:w="708" w:type="dxa"/>
            <w:shd w:val="clear" w:color="auto" w:fill="auto"/>
            <w:vAlign w:val="center"/>
          </w:tcPr>
          <w:p w:rsidR="007F1017" w:rsidRPr="005015D5" w:rsidRDefault="007F1017" w:rsidP="00B41614">
            <w:pPr>
              <w:pStyle w:val="Tabletext"/>
              <w:jc w:val="center"/>
              <w:rPr>
                <w:b/>
                <w:lang w:val="en-US"/>
              </w:rPr>
            </w:pPr>
            <w:r w:rsidRPr="005015D5">
              <w:rPr>
                <w:b/>
                <w:lang w:val="en-US"/>
              </w:rPr>
              <w:t>Risk of bias</w:t>
            </w:r>
          </w:p>
        </w:tc>
        <w:tc>
          <w:tcPr>
            <w:tcW w:w="1701" w:type="dxa"/>
            <w:shd w:val="clear" w:color="auto" w:fill="auto"/>
            <w:vAlign w:val="center"/>
          </w:tcPr>
          <w:p w:rsidR="007F1017" w:rsidRPr="005015D5" w:rsidRDefault="007F1017" w:rsidP="00B41614">
            <w:pPr>
              <w:pStyle w:val="Tabletext"/>
              <w:jc w:val="center"/>
              <w:rPr>
                <w:b/>
                <w:lang w:val="en-US"/>
              </w:rPr>
            </w:pPr>
            <w:r w:rsidRPr="005015D5">
              <w:rPr>
                <w:b/>
                <w:lang w:val="en-US"/>
              </w:rPr>
              <w:t>Patient population</w:t>
            </w:r>
          </w:p>
        </w:tc>
        <w:tc>
          <w:tcPr>
            <w:tcW w:w="2268" w:type="dxa"/>
            <w:shd w:val="clear" w:color="auto" w:fill="auto"/>
            <w:vAlign w:val="center"/>
          </w:tcPr>
          <w:p w:rsidR="007F1017" w:rsidRPr="005015D5" w:rsidRDefault="007F1017" w:rsidP="00533FA9">
            <w:pPr>
              <w:pStyle w:val="Tabletext"/>
              <w:jc w:val="center"/>
              <w:rPr>
                <w:b/>
                <w:lang w:val="en-US"/>
              </w:rPr>
            </w:pPr>
            <w:r w:rsidRPr="005015D5">
              <w:rPr>
                <w:b/>
                <w:lang w:val="en-US"/>
              </w:rPr>
              <w:t>Outcomes</w:t>
            </w:r>
          </w:p>
        </w:tc>
        <w:tc>
          <w:tcPr>
            <w:tcW w:w="1117" w:type="dxa"/>
            <w:shd w:val="clear" w:color="auto" w:fill="auto"/>
            <w:vAlign w:val="center"/>
          </w:tcPr>
          <w:p w:rsidR="007F1017" w:rsidRPr="005015D5" w:rsidRDefault="007F1017" w:rsidP="00D42F41">
            <w:pPr>
              <w:pStyle w:val="Tabletext"/>
              <w:jc w:val="center"/>
              <w:rPr>
                <w:b/>
                <w:lang w:val="en-US"/>
              </w:rPr>
            </w:pPr>
            <w:r w:rsidRPr="005015D5">
              <w:rPr>
                <w:b/>
                <w:lang w:val="en-US"/>
              </w:rPr>
              <w:t xml:space="preserve">Use in </w:t>
            </w:r>
            <w:r w:rsidR="00D42F41" w:rsidRPr="005015D5">
              <w:rPr>
                <w:b/>
                <w:lang w:val="en-US"/>
              </w:rPr>
              <w:t>economic</w:t>
            </w:r>
            <w:r w:rsidRPr="005015D5">
              <w:rPr>
                <w:b/>
                <w:lang w:val="en-US"/>
              </w:rPr>
              <w:t xml:space="preserve"> evaluation</w:t>
            </w:r>
          </w:p>
        </w:tc>
      </w:tr>
      <w:tr w:rsidR="007F1017" w:rsidRPr="005015D5" w:rsidTr="00533FA9">
        <w:tc>
          <w:tcPr>
            <w:tcW w:w="9083" w:type="dxa"/>
            <w:gridSpan w:val="7"/>
            <w:shd w:val="clear" w:color="auto" w:fill="auto"/>
            <w:vAlign w:val="center"/>
          </w:tcPr>
          <w:p w:rsidR="007F1017" w:rsidRPr="005015D5" w:rsidRDefault="0015669C" w:rsidP="00B41614">
            <w:pPr>
              <w:pStyle w:val="Tabletext"/>
              <w:rPr>
                <w:b/>
                <w:lang w:val="en-US"/>
              </w:rPr>
            </w:pPr>
            <w:r w:rsidRPr="005015D5">
              <w:rPr>
                <w:b/>
                <w:lang w:val="en-US"/>
              </w:rPr>
              <w:t xml:space="preserve">Dexamethasone implant versus </w:t>
            </w:r>
            <w:r w:rsidR="003F5AF6" w:rsidRPr="005015D5">
              <w:rPr>
                <w:b/>
                <w:lang w:val="en-US"/>
              </w:rPr>
              <w:t>placebo</w:t>
            </w:r>
            <w:r w:rsidRPr="005015D5">
              <w:rPr>
                <w:b/>
                <w:lang w:val="en-US"/>
              </w:rPr>
              <w:t xml:space="preserve"> (sham)</w:t>
            </w:r>
          </w:p>
        </w:tc>
      </w:tr>
      <w:tr w:rsidR="00B41614" w:rsidRPr="005015D5" w:rsidTr="00533FA9">
        <w:tc>
          <w:tcPr>
            <w:tcW w:w="971" w:type="dxa"/>
            <w:shd w:val="clear" w:color="auto" w:fill="auto"/>
            <w:vAlign w:val="center"/>
          </w:tcPr>
          <w:p w:rsidR="007F1017" w:rsidRPr="005015D5" w:rsidRDefault="0015669C" w:rsidP="00B41614">
            <w:pPr>
              <w:pStyle w:val="Tabletext"/>
              <w:rPr>
                <w:lang w:val="en-US"/>
              </w:rPr>
            </w:pPr>
            <w:r w:rsidRPr="005015D5">
              <w:rPr>
                <w:lang w:val="en-US"/>
              </w:rPr>
              <w:t>GENEVA-008</w:t>
            </w:r>
          </w:p>
        </w:tc>
        <w:tc>
          <w:tcPr>
            <w:tcW w:w="475" w:type="dxa"/>
            <w:shd w:val="clear" w:color="auto" w:fill="auto"/>
            <w:vAlign w:val="center"/>
          </w:tcPr>
          <w:p w:rsidR="007F1017" w:rsidRPr="005015D5" w:rsidRDefault="000A2D53" w:rsidP="00B41614">
            <w:pPr>
              <w:pStyle w:val="Tabletext"/>
              <w:jc w:val="center"/>
              <w:rPr>
                <w:lang w:val="en-US"/>
              </w:rPr>
            </w:pPr>
            <w:r w:rsidRPr="005015D5">
              <w:rPr>
                <w:lang w:val="en-US"/>
              </w:rPr>
              <w:t>599</w:t>
            </w:r>
          </w:p>
        </w:tc>
        <w:tc>
          <w:tcPr>
            <w:tcW w:w="1843" w:type="dxa"/>
            <w:shd w:val="clear" w:color="auto" w:fill="auto"/>
            <w:vAlign w:val="center"/>
          </w:tcPr>
          <w:p w:rsidR="000A2D53" w:rsidRPr="005015D5" w:rsidRDefault="00A6008B" w:rsidP="000A2D53">
            <w:pPr>
              <w:pStyle w:val="Tabletext"/>
              <w:jc w:val="center"/>
            </w:pPr>
            <w:r w:rsidRPr="005015D5">
              <w:t>Multi-centre, randomised, blinded</w:t>
            </w:r>
          </w:p>
          <w:p w:rsidR="007F1017" w:rsidRPr="005015D5" w:rsidRDefault="000A2D53" w:rsidP="000A2D53">
            <w:pPr>
              <w:pStyle w:val="Tabletext"/>
              <w:jc w:val="center"/>
              <w:rPr>
                <w:lang w:val="en-US"/>
              </w:rPr>
            </w:pPr>
            <w:r w:rsidRPr="005015D5">
              <w:t>6-month (plus 6-month open-label extension)</w:t>
            </w:r>
          </w:p>
        </w:tc>
        <w:tc>
          <w:tcPr>
            <w:tcW w:w="708" w:type="dxa"/>
            <w:shd w:val="clear" w:color="auto" w:fill="auto"/>
            <w:vAlign w:val="center"/>
          </w:tcPr>
          <w:p w:rsidR="007F1017" w:rsidRPr="005015D5" w:rsidRDefault="007F1017" w:rsidP="00B41614">
            <w:pPr>
              <w:pStyle w:val="Tabletext"/>
              <w:jc w:val="center"/>
              <w:rPr>
                <w:lang w:val="en-US"/>
              </w:rPr>
            </w:pPr>
            <w:r w:rsidRPr="005015D5">
              <w:rPr>
                <w:lang w:val="en-US"/>
              </w:rPr>
              <w:t>Low</w:t>
            </w:r>
          </w:p>
        </w:tc>
        <w:tc>
          <w:tcPr>
            <w:tcW w:w="1701" w:type="dxa"/>
            <w:shd w:val="clear" w:color="auto" w:fill="auto"/>
            <w:vAlign w:val="center"/>
          </w:tcPr>
          <w:p w:rsidR="007F1017" w:rsidRPr="005015D5" w:rsidRDefault="000A2D53" w:rsidP="00B41614">
            <w:pPr>
              <w:pStyle w:val="Tabletext"/>
              <w:jc w:val="center"/>
              <w:rPr>
                <w:lang w:val="en-US"/>
              </w:rPr>
            </w:pPr>
            <w:r w:rsidRPr="005015D5">
              <w:rPr>
                <w:lang w:val="en-US"/>
              </w:rPr>
              <w:t>Macular oedema secondary to r</w:t>
            </w:r>
            <w:r w:rsidR="00872C51" w:rsidRPr="005015D5">
              <w:rPr>
                <w:lang w:val="en-US"/>
              </w:rPr>
              <w:t>etinal vein occlusion (BRVO/CRVO)</w:t>
            </w:r>
          </w:p>
        </w:tc>
        <w:tc>
          <w:tcPr>
            <w:tcW w:w="2268" w:type="dxa"/>
            <w:shd w:val="clear" w:color="auto" w:fill="auto"/>
            <w:vAlign w:val="center"/>
          </w:tcPr>
          <w:p w:rsidR="007F1017" w:rsidRPr="005015D5" w:rsidRDefault="00872C51" w:rsidP="001C676A">
            <w:pPr>
              <w:pStyle w:val="Tabletext"/>
              <w:jc w:val="center"/>
              <w:rPr>
                <w:lang w:val="en-US"/>
              </w:rPr>
            </w:pPr>
            <w:r w:rsidRPr="005015D5">
              <w:rPr>
                <w:lang w:val="en-US"/>
              </w:rPr>
              <w:t>Time to achieve ≥</w:t>
            </w:r>
            <w:r w:rsidR="000A2D53" w:rsidRPr="005015D5">
              <w:rPr>
                <w:lang w:val="en-US"/>
              </w:rPr>
              <w:t>15 letter improvement</w:t>
            </w:r>
            <w:r w:rsidRPr="005015D5">
              <w:rPr>
                <w:lang w:val="en-US"/>
              </w:rPr>
              <w:t xml:space="preserve"> BCVA; </w:t>
            </w:r>
            <w:r w:rsidR="00592FD5" w:rsidRPr="005015D5">
              <w:rPr>
                <w:lang w:val="en-US"/>
              </w:rPr>
              <w:t xml:space="preserve">Proportion of </w:t>
            </w:r>
            <w:r w:rsidR="00A21BD0" w:rsidRPr="005015D5">
              <w:rPr>
                <w:lang w:val="en-US"/>
              </w:rPr>
              <w:t>eyes</w:t>
            </w:r>
            <w:r w:rsidR="00592FD5" w:rsidRPr="005015D5">
              <w:rPr>
                <w:lang w:val="en-US"/>
              </w:rPr>
              <w:t xml:space="preserve"> with ≥15 letter improvement in BCVA at day 90</w:t>
            </w:r>
          </w:p>
        </w:tc>
        <w:tc>
          <w:tcPr>
            <w:tcW w:w="1117" w:type="dxa"/>
            <w:shd w:val="clear" w:color="auto" w:fill="auto"/>
            <w:vAlign w:val="center"/>
          </w:tcPr>
          <w:p w:rsidR="007F1017" w:rsidRPr="005015D5" w:rsidRDefault="007F1017" w:rsidP="00B41614">
            <w:pPr>
              <w:pStyle w:val="Tabletext"/>
              <w:jc w:val="center"/>
              <w:rPr>
                <w:lang w:val="en-US"/>
              </w:rPr>
            </w:pPr>
            <w:r w:rsidRPr="005015D5">
              <w:rPr>
                <w:lang w:val="en-US"/>
              </w:rPr>
              <w:t>Not used</w:t>
            </w:r>
          </w:p>
        </w:tc>
      </w:tr>
      <w:tr w:rsidR="000A2D53" w:rsidRPr="005015D5" w:rsidTr="00533FA9">
        <w:tc>
          <w:tcPr>
            <w:tcW w:w="971" w:type="dxa"/>
            <w:shd w:val="clear" w:color="auto" w:fill="auto"/>
            <w:vAlign w:val="center"/>
          </w:tcPr>
          <w:p w:rsidR="000A2D53" w:rsidRPr="005015D5" w:rsidRDefault="000A2D53" w:rsidP="000A2D53">
            <w:pPr>
              <w:pStyle w:val="Tabletext"/>
              <w:rPr>
                <w:lang w:val="en-US"/>
              </w:rPr>
            </w:pPr>
            <w:r w:rsidRPr="005015D5">
              <w:rPr>
                <w:lang w:val="en-US"/>
              </w:rPr>
              <w:t>GENEVA-009</w:t>
            </w:r>
          </w:p>
        </w:tc>
        <w:tc>
          <w:tcPr>
            <w:tcW w:w="475" w:type="dxa"/>
            <w:shd w:val="clear" w:color="auto" w:fill="auto"/>
            <w:vAlign w:val="center"/>
          </w:tcPr>
          <w:p w:rsidR="000A2D53" w:rsidRPr="005015D5" w:rsidRDefault="000A2D53" w:rsidP="000A2D53">
            <w:pPr>
              <w:pStyle w:val="Tabletext"/>
              <w:jc w:val="center"/>
              <w:rPr>
                <w:lang w:val="en-US"/>
              </w:rPr>
            </w:pPr>
            <w:r w:rsidRPr="005015D5">
              <w:rPr>
                <w:lang w:val="en-US"/>
              </w:rPr>
              <w:t>668</w:t>
            </w:r>
          </w:p>
        </w:tc>
        <w:tc>
          <w:tcPr>
            <w:tcW w:w="1843" w:type="dxa"/>
            <w:shd w:val="clear" w:color="auto" w:fill="auto"/>
            <w:vAlign w:val="center"/>
          </w:tcPr>
          <w:p w:rsidR="00A6008B" w:rsidRPr="005015D5" w:rsidRDefault="00A6008B" w:rsidP="00A6008B">
            <w:pPr>
              <w:pStyle w:val="Tabletext"/>
              <w:jc w:val="center"/>
            </w:pPr>
            <w:r w:rsidRPr="005015D5">
              <w:t>Multi-centre, randomised, blinded</w:t>
            </w:r>
          </w:p>
          <w:p w:rsidR="000A2D53" w:rsidRPr="005015D5" w:rsidRDefault="00592FD5" w:rsidP="00592FD5">
            <w:pPr>
              <w:pStyle w:val="Tabletext"/>
              <w:jc w:val="center"/>
              <w:rPr>
                <w:lang w:val="en-US"/>
              </w:rPr>
            </w:pPr>
            <w:r w:rsidRPr="005015D5">
              <w:t>6-month (plus 6-month open-label extension)</w:t>
            </w:r>
          </w:p>
        </w:tc>
        <w:tc>
          <w:tcPr>
            <w:tcW w:w="708" w:type="dxa"/>
            <w:shd w:val="clear" w:color="auto" w:fill="auto"/>
            <w:vAlign w:val="center"/>
          </w:tcPr>
          <w:p w:rsidR="000A2D53" w:rsidRPr="005015D5" w:rsidRDefault="000A2D53" w:rsidP="000A2D53">
            <w:pPr>
              <w:pStyle w:val="Tabletext"/>
              <w:jc w:val="center"/>
              <w:rPr>
                <w:lang w:val="en-US"/>
              </w:rPr>
            </w:pPr>
            <w:r w:rsidRPr="005015D5">
              <w:rPr>
                <w:lang w:val="en-US"/>
              </w:rPr>
              <w:t>Low</w:t>
            </w:r>
          </w:p>
        </w:tc>
        <w:tc>
          <w:tcPr>
            <w:tcW w:w="1701" w:type="dxa"/>
            <w:shd w:val="clear" w:color="auto" w:fill="auto"/>
            <w:vAlign w:val="center"/>
          </w:tcPr>
          <w:p w:rsidR="000A2D53" w:rsidRPr="005015D5" w:rsidRDefault="000A2D53" w:rsidP="000A2D53">
            <w:pPr>
              <w:pStyle w:val="Tabletext"/>
              <w:jc w:val="center"/>
              <w:rPr>
                <w:lang w:val="en-US"/>
              </w:rPr>
            </w:pPr>
            <w:r w:rsidRPr="005015D5">
              <w:rPr>
                <w:lang w:val="en-US"/>
              </w:rPr>
              <w:t>Macular oedema secondary to retinal vein occlusion (BRVO/CRVO)</w:t>
            </w:r>
          </w:p>
        </w:tc>
        <w:tc>
          <w:tcPr>
            <w:tcW w:w="2268" w:type="dxa"/>
            <w:shd w:val="clear" w:color="auto" w:fill="auto"/>
            <w:vAlign w:val="center"/>
          </w:tcPr>
          <w:p w:rsidR="000A2D53" w:rsidRPr="005015D5" w:rsidRDefault="00592FD5" w:rsidP="001C676A">
            <w:pPr>
              <w:pStyle w:val="Tabletext"/>
              <w:jc w:val="center"/>
            </w:pPr>
            <w:r w:rsidRPr="005015D5">
              <w:rPr>
                <w:rFonts w:eastAsiaTheme="minorHAnsi"/>
              </w:rPr>
              <w:t xml:space="preserve">Proportion of </w:t>
            </w:r>
            <w:r w:rsidR="00A21BD0" w:rsidRPr="005015D5">
              <w:rPr>
                <w:rFonts w:eastAsiaTheme="minorHAnsi"/>
              </w:rPr>
              <w:t>eyes</w:t>
            </w:r>
            <w:r w:rsidRPr="005015D5">
              <w:rPr>
                <w:rFonts w:eastAsiaTheme="minorHAnsi"/>
              </w:rPr>
              <w:t xml:space="preserve"> with ≥15</w:t>
            </w:r>
            <w:r w:rsidR="001C676A" w:rsidRPr="005015D5">
              <w:rPr>
                <w:rFonts w:eastAsiaTheme="minorHAnsi"/>
              </w:rPr>
              <w:t xml:space="preserve"> </w:t>
            </w:r>
            <w:r w:rsidRPr="005015D5">
              <w:rPr>
                <w:rFonts w:eastAsiaTheme="minorHAnsi"/>
              </w:rPr>
              <w:t>letter improvement in BCVA at day 180</w:t>
            </w:r>
          </w:p>
        </w:tc>
        <w:tc>
          <w:tcPr>
            <w:tcW w:w="1117" w:type="dxa"/>
            <w:shd w:val="clear" w:color="auto" w:fill="auto"/>
            <w:vAlign w:val="center"/>
          </w:tcPr>
          <w:p w:rsidR="000A2D53" w:rsidRPr="005015D5" w:rsidRDefault="000A2D53" w:rsidP="000A2D53">
            <w:pPr>
              <w:pStyle w:val="Tabletext"/>
              <w:jc w:val="center"/>
              <w:rPr>
                <w:lang w:val="en-US"/>
              </w:rPr>
            </w:pPr>
            <w:r w:rsidRPr="005015D5">
              <w:rPr>
                <w:lang w:val="en-US"/>
              </w:rPr>
              <w:t>Not used</w:t>
            </w:r>
          </w:p>
        </w:tc>
      </w:tr>
      <w:tr w:rsidR="000A2D53" w:rsidRPr="005015D5" w:rsidTr="00533FA9">
        <w:tc>
          <w:tcPr>
            <w:tcW w:w="971" w:type="dxa"/>
            <w:shd w:val="clear" w:color="auto" w:fill="auto"/>
            <w:vAlign w:val="center"/>
          </w:tcPr>
          <w:p w:rsidR="000A2D53" w:rsidRPr="005015D5" w:rsidRDefault="000A2D53" w:rsidP="000A2D53">
            <w:pPr>
              <w:pStyle w:val="Tabletext"/>
              <w:rPr>
                <w:lang w:val="en-US"/>
              </w:rPr>
            </w:pPr>
            <w:r w:rsidRPr="005015D5">
              <w:rPr>
                <w:lang w:val="en-US"/>
              </w:rPr>
              <w:t>Trial 020</w:t>
            </w:r>
          </w:p>
        </w:tc>
        <w:tc>
          <w:tcPr>
            <w:tcW w:w="475" w:type="dxa"/>
            <w:shd w:val="clear" w:color="auto" w:fill="auto"/>
            <w:vAlign w:val="center"/>
          </w:tcPr>
          <w:p w:rsidR="000A2D53" w:rsidRPr="005015D5" w:rsidRDefault="000A2D53" w:rsidP="000A2D53">
            <w:pPr>
              <w:pStyle w:val="Tabletext"/>
              <w:jc w:val="center"/>
              <w:rPr>
                <w:lang w:val="en-US"/>
              </w:rPr>
            </w:pPr>
            <w:r w:rsidRPr="005015D5">
              <w:rPr>
                <w:lang w:val="en-US"/>
              </w:rPr>
              <w:t>262</w:t>
            </w:r>
          </w:p>
        </w:tc>
        <w:tc>
          <w:tcPr>
            <w:tcW w:w="1843" w:type="dxa"/>
            <w:shd w:val="clear" w:color="auto" w:fill="auto"/>
            <w:vAlign w:val="center"/>
          </w:tcPr>
          <w:p w:rsidR="00592FD5" w:rsidRPr="005015D5" w:rsidRDefault="00A6008B" w:rsidP="00592FD5">
            <w:pPr>
              <w:pStyle w:val="Tabletext"/>
              <w:jc w:val="center"/>
            </w:pPr>
            <w:r w:rsidRPr="005015D5">
              <w:t>Randomised, blinded</w:t>
            </w:r>
          </w:p>
          <w:p w:rsidR="000A2D53" w:rsidRPr="005015D5" w:rsidRDefault="00592FD5" w:rsidP="00592FD5">
            <w:pPr>
              <w:pStyle w:val="Tabletext"/>
              <w:jc w:val="center"/>
              <w:rPr>
                <w:lang w:val="en-US"/>
              </w:rPr>
            </w:pPr>
            <w:r w:rsidRPr="005015D5">
              <w:t>6-month (plus 2-month open-label extension)</w:t>
            </w:r>
          </w:p>
        </w:tc>
        <w:tc>
          <w:tcPr>
            <w:tcW w:w="708" w:type="dxa"/>
            <w:shd w:val="clear" w:color="auto" w:fill="auto"/>
            <w:vAlign w:val="center"/>
          </w:tcPr>
          <w:p w:rsidR="000A2D53" w:rsidRPr="005015D5" w:rsidRDefault="000A2D53" w:rsidP="000A2D53">
            <w:pPr>
              <w:pStyle w:val="Tabletext"/>
              <w:jc w:val="center"/>
              <w:rPr>
                <w:lang w:val="en-US"/>
              </w:rPr>
            </w:pPr>
            <w:r w:rsidRPr="005015D5">
              <w:rPr>
                <w:lang w:val="en-US"/>
              </w:rPr>
              <w:t>Low</w:t>
            </w:r>
          </w:p>
        </w:tc>
        <w:tc>
          <w:tcPr>
            <w:tcW w:w="1701" w:type="dxa"/>
            <w:shd w:val="clear" w:color="auto" w:fill="auto"/>
            <w:vAlign w:val="center"/>
          </w:tcPr>
          <w:p w:rsidR="000A2D53" w:rsidRPr="005015D5" w:rsidRDefault="000A2D53" w:rsidP="000A2D53">
            <w:pPr>
              <w:pStyle w:val="Tabletext"/>
              <w:jc w:val="center"/>
              <w:rPr>
                <w:lang w:val="en-US"/>
              </w:rPr>
            </w:pPr>
            <w:r w:rsidRPr="005015D5">
              <w:rPr>
                <w:lang w:val="en-US"/>
              </w:rPr>
              <w:t>Macular oedema secondary to retinal vein occlusion (BRVO/CRVO)</w:t>
            </w:r>
          </w:p>
        </w:tc>
        <w:tc>
          <w:tcPr>
            <w:tcW w:w="2268" w:type="dxa"/>
            <w:shd w:val="clear" w:color="auto" w:fill="auto"/>
            <w:vAlign w:val="center"/>
          </w:tcPr>
          <w:p w:rsidR="000A2D53" w:rsidRPr="005015D5" w:rsidRDefault="00592FD5" w:rsidP="00624AED">
            <w:pPr>
              <w:pStyle w:val="Tabletext"/>
              <w:jc w:val="center"/>
              <w:rPr>
                <w:lang w:val="en-US"/>
              </w:rPr>
            </w:pPr>
            <w:r w:rsidRPr="005015D5">
              <w:t>Time to ≥</w:t>
            </w:r>
            <w:r w:rsidR="00624AED" w:rsidRPr="005015D5">
              <w:t>1</w:t>
            </w:r>
            <w:r w:rsidRPr="005015D5">
              <w:t>5-letter improvement from baseline in BCVA</w:t>
            </w:r>
          </w:p>
        </w:tc>
        <w:tc>
          <w:tcPr>
            <w:tcW w:w="1117" w:type="dxa"/>
            <w:shd w:val="clear" w:color="auto" w:fill="auto"/>
            <w:vAlign w:val="center"/>
          </w:tcPr>
          <w:p w:rsidR="000A2D53" w:rsidRPr="005015D5" w:rsidRDefault="000A2D53" w:rsidP="000A2D53">
            <w:pPr>
              <w:pStyle w:val="Tabletext"/>
              <w:jc w:val="center"/>
              <w:rPr>
                <w:lang w:val="en-US"/>
              </w:rPr>
            </w:pPr>
            <w:r w:rsidRPr="005015D5">
              <w:rPr>
                <w:lang w:val="en-US"/>
              </w:rPr>
              <w:t>Not used</w:t>
            </w:r>
          </w:p>
        </w:tc>
      </w:tr>
      <w:tr w:rsidR="000A2D53" w:rsidRPr="005015D5" w:rsidTr="00533FA9">
        <w:tc>
          <w:tcPr>
            <w:tcW w:w="9083" w:type="dxa"/>
            <w:gridSpan w:val="7"/>
            <w:shd w:val="clear" w:color="auto" w:fill="auto"/>
            <w:vAlign w:val="center"/>
          </w:tcPr>
          <w:p w:rsidR="000A2D53" w:rsidRPr="005015D5" w:rsidRDefault="000A2D53" w:rsidP="000A2D53">
            <w:pPr>
              <w:pStyle w:val="Tabletext"/>
              <w:rPr>
                <w:b/>
                <w:lang w:val="en-US"/>
              </w:rPr>
            </w:pPr>
            <w:r w:rsidRPr="005015D5">
              <w:rPr>
                <w:b/>
                <w:lang w:val="en-US"/>
              </w:rPr>
              <w:t>Dexamethasone implant versus ranibizumab</w:t>
            </w:r>
          </w:p>
        </w:tc>
      </w:tr>
      <w:tr w:rsidR="000A2D53" w:rsidRPr="005015D5" w:rsidTr="00533FA9">
        <w:tc>
          <w:tcPr>
            <w:tcW w:w="971" w:type="dxa"/>
            <w:shd w:val="clear" w:color="auto" w:fill="auto"/>
            <w:vAlign w:val="center"/>
          </w:tcPr>
          <w:p w:rsidR="000A2D53" w:rsidRPr="005015D5" w:rsidRDefault="000A2D53" w:rsidP="000A2D53">
            <w:pPr>
              <w:pStyle w:val="Tabletext"/>
              <w:rPr>
                <w:lang w:val="en-US"/>
              </w:rPr>
            </w:pPr>
            <w:r w:rsidRPr="005015D5">
              <w:rPr>
                <w:lang w:val="en-US"/>
              </w:rPr>
              <w:t>COMO</w:t>
            </w:r>
          </w:p>
        </w:tc>
        <w:tc>
          <w:tcPr>
            <w:tcW w:w="475" w:type="dxa"/>
            <w:shd w:val="clear" w:color="auto" w:fill="auto"/>
            <w:vAlign w:val="center"/>
          </w:tcPr>
          <w:p w:rsidR="000A2D53" w:rsidRPr="005015D5" w:rsidRDefault="000A2D53" w:rsidP="000A2D53">
            <w:pPr>
              <w:pStyle w:val="Tabletext"/>
              <w:jc w:val="center"/>
              <w:rPr>
                <w:lang w:val="en-US"/>
              </w:rPr>
            </w:pPr>
            <w:r w:rsidRPr="005015D5">
              <w:rPr>
                <w:lang w:val="en-US"/>
              </w:rPr>
              <w:t>307</w:t>
            </w:r>
          </w:p>
        </w:tc>
        <w:tc>
          <w:tcPr>
            <w:tcW w:w="1843" w:type="dxa"/>
            <w:shd w:val="clear" w:color="auto" w:fill="auto"/>
            <w:vAlign w:val="center"/>
          </w:tcPr>
          <w:p w:rsidR="00A6008B" w:rsidRPr="005015D5" w:rsidRDefault="00A6008B" w:rsidP="00A6008B">
            <w:pPr>
              <w:pStyle w:val="Tabletext"/>
              <w:jc w:val="center"/>
            </w:pPr>
            <w:r w:rsidRPr="005015D5">
              <w:t>Multi-centre, randomised, blinded</w:t>
            </w:r>
          </w:p>
          <w:p w:rsidR="00592FD5" w:rsidRPr="005015D5" w:rsidRDefault="00592FD5" w:rsidP="000A2D53">
            <w:pPr>
              <w:pStyle w:val="Tabletext"/>
              <w:jc w:val="center"/>
              <w:rPr>
                <w:lang w:val="en-US"/>
              </w:rPr>
            </w:pPr>
            <w:r w:rsidRPr="005015D5">
              <w:rPr>
                <w:lang w:val="en-US"/>
              </w:rPr>
              <w:t>12-month</w:t>
            </w:r>
          </w:p>
        </w:tc>
        <w:tc>
          <w:tcPr>
            <w:tcW w:w="708" w:type="dxa"/>
            <w:shd w:val="clear" w:color="auto" w:fill="auto"/>
            <w:vAlign w:val="center"/>
          </w:tcPr>
          <w:p w:rsidR="000A2D53" w:rsidRPr="005015D5" w:rsidRDefault="0067003D" w:rsidP="000A2D53">
            <w:pPr>
              <w:pStyle w:val="Tabletext"/>
              <w:jc w:val="center"/>
              <w:rPr>
                <w:lang w:val="en-US"/>
              </w:rPr>
            </w:pPr>
            <w:r w:rsidRPr="005015D5">
              <w:rPr>
                <w:lang w:val="en-US"/>
              </w:rPr>
              <w:t>Unclear</w:t>
            </w:r>
          </w:p>
        </w:tc>
        <w:tc>
          <w:tcPr>
            <w:tcW w:w="1701" w:type="dxa"/>
            <w:shd w:val="clear" w:color="auto" w:fill="auto"/>
            <w:vAlign w:val="center"/>
          </w:tcPr>
          <w:p w:rsidR="000A2D53" w:rsidRPr="005015D5" w:rsidRDefault="000A2D53" w:rsidP="00951837">
            <w:pPr>
              <w:pStyle w:val="Tabletext"/>
              <w:jc w:val="center"/>
              <w:rPr>
                <w:lang w:val="en-US"/>
              </w:rPr>
            </w:pPr>
            <w:r w:rsidRPr="005015D5">
              <w:rPr>
                <w:lang w:val="en-US"/>
              </w:rPr>
              <w:t xml:space="preserve">Macular oedema secondary to </w:t>
            </w:r>
            <w:r w:rsidR="00951837" w:rsidRPr="005015D5">
              <w:rPr>
                <w:lang w:val="en-US"/>
              </w:rPr>
              <w:t>BRVO</w:t>
            </w:r>
          </w:p>
        </w:tc>
        <w:tc>
          <w:tcPr>
            <w:tcW w:w="2268" w:type="dxa"/>
            <w:shd w:val="clear" w:color="auto" w:fill="auto"/>
            <w:vAlign w:val="center"/>
          </w:tcPr>
          <w:p w:rsidR="000A2D53" w:rsidRPr="005015D5" w:rsidRDefault="00592FD5" w:rsidP="00592FD5">
            <w:pPr>
              <w:pStyle w:val="Tabletext"/>
              <w:jc w:val="center"/>
              <w:rPr>
                <w:lang w:val="en-US"/>
              </w:rPr>
            </w:pPr>
            <w:r w:rsidRPr="005015D5">
              <w:t>Mean change in BCVA at month 12 using ETDRS method</w:t>
            </w:r>
          </w:p>
        </w:tc>
        <w:tc>
          <w:tcPr>
            <w:tcW w:w="1117" w:type="dxa"/>
            <w:shd w:val="clear" w:color="auto" w:fill="auto"/>
            <w:vAlign w:val="center"/>
          </w:tcPr>
          <w:p w:rsidR="000A2D53" w:rsidRPr="005015D5" w:rsidRDefault="00533FA9" w:rsidP="00533FA9">
            <w:pPr>
              <w:pStyle w:val="Tabletext"/>
              <w:jc w:val="center"/>
              <w:rPr>
                <w:lang w:val="en-US"/>
              </w:rPr>
            </w:pPr>
            <w:r w:rsidRPr="005015D5">
              <w:rPr>
                <w:lang w:val="en-US"/>
              </w:rPr>
              <w:t>A</w:t>
            </w:r>
            <w:r w:rsidR="00D42F41" w:rsidRPr="005015D5">
              <w:rPr>
                <w:lang w:val="en-US"/>
              </w:rPr>
              <w:t>verage n</w:t>
            </w:r>
            <w:r w:rsidRPr="005015D5">
              <w:rPr>
                <w:lang w:val="en-US"/>
              </w:rPr>
              <w:t>o.</w:t>
            </w:r>
            <w:r w:rsidR="00D42F41" w:rsidRPr="005015D5">
              <w:rPr>
                <w:lang w:val="en-US"/>
              </w:rPr>
              <w:t xml:space="preserve"> injections in year 1</w:t>
            </w:r>
          </w:p>
        </w:tc>
      </w:tr>
      <w:tr w:rsidR="000A2D53" w:rsidRPr="005015D5" w:rsidTr="00533FA9">
        <w:tc>
          <w:tcPr>
            <w:tcW w:w="971" w:type="dxa"/>
            <w:shd w:val="clear" w:color="auto" w:fill="auto"/>
            <w:vAlign w:val="center"/>
          </w:tcPr>
          <w:p w:rsidR="000A2D53" w:rsidRPr="005015D5" w:rsidRDefault="000A2D53" w:rsidP="000A2D53">
            <w:pPr>
              <w:pStyle w:val="Tabletext"/>
              <w:rPr>
                <w:lang w:val="en-US"/>
              </w:rPr>
            </w:pPr>
            <w:r w:rsidRPr="005015D5">
              <w:rPr>
                <w:lang w:val="en-US"/>
              </w:rPr>
              <w:t>COMRADE-B</w:t>
            </w:r>
          </w:p>
        </w:tc>
        <w:tc>
          <w:tcPr>
            <w:tcW w:w="475" w:type="dxa"/>
            <w:shd w:val="clear" w:color="auto" w:fill="auto"/>
            <w:vAlign w:val="center"/>
          </w:tcPr>
          <w:p w:rsidR="000A2D53" w:rsidRPr="005015D5" w:rsidRDefault="000A2D53" w:rsidP="000A2D53">
            <w:pPr>
              <w:pStyle w:val="Tabletext"/>
              <w:jc w:val="center"/>
              <w:rPr>
                <w:lang w:val="en-US"/>
              </w:rPr>
            </w:pPr>
            <w:r w:rsidRPr="005015D5">
              <w:rPr>
                <w:lang w:val="en-US"/>
              </w:rPr>
              <w:t>244</w:t>
            </w:r>
          </w:p>
        </w:tc>
        <w:tc>
          <w:tcPr>
            <w:tcW w:w="1843" w:type="dxa"/>
            <w:shd w:val="clear" w:color="auto" w:fill="auto"/>
            <w:vAlign w:val="center"/>
          </w:tcPr>
          <w:p w:rsidR="00A6008B" w:rsidRPr="005015D5" w:rsidRDefault="00A6008B" w:rsidP="00A6008B">
            <w:pPr>
              <w:pStyle w:val="Tabletext"/>
              <w:jc w:val="center"/>
            </w:pPr>
            <w:r w:rsidRPr="005015D5">
              <w:t>Multi-centre, randomised, blinded</w:t>
            </w:r>
          </w:p>
          <w:p w:rsidR="00592FD5" w:rsidRPr="005015D5" w:rsidRDefault="00592FD5" w:rsidP="000A2D53">
            <w:pPr>
              <w:pStyle w:val="Tabletext"/>
              <w:jc w:val="center"/>
              <w:rPr>
                <w:lang w:val="en-US"/>
              </w:rPr>
            </w:pPr>
            <w:r w:rsidRPr="005015D5">
              <w:rPr>
                <w:lang w:val="en-US"/>
              </w:rPr>
              <w:t>6-month</w:t>
            </w:r>
          </w:p>
        </w:tc>
        <w:tc>
          <w:tcPr>
            <w:tcW w:w="708" w:type="dxa"/>
            <w:shd w:val="clear" w:color="auto" w:fill="auto"/>
            <w:vAlign w:val="center"/>
          </w:tcPr>
          <w:p w:rsidR="000A2D53" w:rsidRPr="005015D5" w:rsidRDefault="0067003D" w:rsidP="000A2D53">
            <w:pPr>
              <w:pStyle w:val="Tabletext"/>
              <w:jc w:val="center"/>
              <w:rPr>
                <w:lang w:val="en-US"/>
              </w:rPr>
            </w:pPr>
            <w:r w:rsidRPr="005015D5">
              <w:rPr>
                <w:lang w:val="en-US"/>
              </w:rPr>
              <w:t>Unclear</w:t>
            </w:r>
          </w:p>
        </w:tc>
        <w:tc>
          <w:tcPr>
            <w:tcW w:w="1701" w:type="dxa"/>
            <w:shd w:val="clear" w:color="auto" w:fill="auto"/>
            <w:vAlign w:val="center"/>
          </w:tcPr>
          <w:p w:rsidR="000A2D53" w:rsidRPr="005015D5" w:rsidRDefault="000A2D53" w:rsidP="00951837">
            <w:pPr>
              <w:pStyle w:val="Tabletext"/>
              <w:jc w:val="center"/>
              <w:rPr>
                <w:lang w:val="en-US"/>
              </w:rPr>
            </w:pPr>
            <w:r w:rsidRPr="005015D5">
              <w:rPr>
                <w:lang w:val="en-US"/>
              </w:rPr>
              <w:t xml:space="preserve">Macular oedema secondary to </w:t>
            </w:r>
            <w:r w:rsidR="00951837" w:rsidRPr="005015D5">
              <w:rPr>
                <w:lang w:val="en-US"/>
              </w:rPr>
              <w:t>BRVO</w:t>
            </w:r>
          </w:p>
        </w:tc>
        <w:tc>
          <w:tcPr>
            <w:tcW w:w="2268" w:type="dxa"/>
            <w:shd w:val="clear" w:color="auto" w:fill="auto"/>
            <w:vAlign w:val="center"/>
          </w:tcPr>
          <w:p w:rsidR="000A2D53" w:rsidRPr="005015D5" w:rsidRDefault="00592FD5" w:rsidP="00592FD5">
            <w:pPr>
              <w:pStyle w:val="Tabletext"/>
              <w:jc w:val="center"/>
              <w:rPr>
                <w:lang w:val="en-US"/>
              </w:rPr>
            </w:pPr>
            <w:r w:rsidRPr="005015D5">
              <w:t>Mean average change in BCVA from baseline to month 1 through month 6</w:t>
            </w:r>
          </w:p>
        </w:tc>
        <w:tc>
          <w:tcPr>
            <w:tcW w:w="1117" w:type="dxa"/>
            <w:shd w:val="clear" w:color="auto" w:fill="auto"/>
            <w:vAlign w:val="center"/>
          </w:tcPr>
          <w:p w:rsidR="000A2D53" w:rsidRPr="005015D5" w:rsidRDefault="000A2D53" w:rsidP="000A2D53">
            <w:pPr>
              <w:pStyle w:val="Tabletext"/>
              <w:jc w:val="center"/>
              <w:rPr>
                <w:lang w:val="en-US"/>
              </w:rPr>
            </w:pPr>
            <w:r w:rsidRPr="005015D5">
              <w:rPr>
                <w:lang w:val="en-US"/>
              </w:rPr>
              <w:t>Not used</w:t>
            </w:r>
          </w:p>
        </w:tc>
      </w:tr>
      <w:tr w:rsidR="000A2D53" w:rsidRPr="005015D5" w:rsidTr="00533FA9">
        <w:tc>
          <w:tcPr>
            <w:tcW w:w="971" w:type="dxa"/>
            <w:shd w:val="clear" w:color="auto" w:fill="auto"/>
            <w:vAlign w:val="center"/>
          </w:tcPr>
          <w:p w:rsidR="000A2D53" w:rsidRPr="005015D5" w:rsidRDefault="000A2D53" w:rsidP="000A2D53">
            <w:pPr>
              <w:pStyle w:val="Tabletext"/>
              <w:rPr>
                <w:lang w:val="en-US"/>
              </w:rPr>
            </w:pPr>
            <w:r w:rsidRPr="005015D5">
              <w:rPr>
                <w:lang w:val="en-US"/>
              </w:rPr>
              <w:t>COMRADE-C</w:t>
            </w:r>
          </w:p>
        </w:tc>
        <w:tc>
          <w:tcPr>
            <w:tcW w:w="475" w:type="dxa"/>
            <w:shd w:val="clear" w:color="auto" w:fill="auto"/>
            <w:vAlign w:val="center"/>
          </w:tcPr>
          <w:p w:rsidR="000A2D53" w:rsidRPr="005015D5" w:rsidRDefault="000A2D53" w:rsidP="000A2D53">
            <w:pPr>
              <w:pStyle w:val="Tabletext"/>
              <w:jc w:val="center"/>
              <w:rPr>
                <w:lang w:val="en-US"/>
              </w:rPr>
            </w:pPr>
            <w:r w:rsidRPr="005015D5">
              <w:rPr>
                <w:lang w:val="en-US"/>
              </w:rPr>
              <w:t>243</w:t>
            </w:r>
          </w:p>
        </w:tc>
        <w:tc>
          <w:tcPr>
            <w:tcW w:w="1843" w:type="dxa"/>
            <w:shd w:val="clear" w:color="auto" w:fill="auto"/>
            <w:vAlign w:val="center"/>
          </w:tcPr>
          <w:p w:rsidR="00A6008B" w:rsidRPr="005015D5" w:rsidRDefault="00A6008B" w:rsidP="00A6008B">
            <w:pPr>
              <w:pStyle w:val="Tabletext"/>
              <w:jc w:val="center"/>
            </w:pPr>
            <w:r w:rsidRPr="005015D5">
              <w:t>Multi-centre, randomised, blinded</w:t>
            </w:r>
          </w:p>
          <w:p w:rsidR="000A2D53" w:rsidRPr="005015D5" w:rsidRDefault="00592FD5" w:rsidP="00592FD5">
            <w:pPr>
              <w:pStyle w:val="Tabletext"/>
              <w:jc w:val="center"/>
              <w:rPr>
                <w:lang w:val="en-US"/>
              </w:rPr>
            </w:pPr>
            <w:r w:rsidRPr="005015D5">
              <w:rPr>
                <w:lang w:val="en-US"/>
              </w:rPr>
              <w:t>6-month</w:t>
            </w:r>
          </w:p>
        </w:tc>
        <w:tc>
          <w:tcPr>
            <w:tcW w:w="708" w:type="dxa"/>
            <w:shd w:val="clear" w:color="auto" w:fill="auto"/>
            <w:vAlign w:val="center"/>
          </w:tcPr>
          <w:p w:rsidR="000A2D53" w:rsidRPr="005015D5" w:rsidRDefault="0067003D" w:rsidP="000A2D53">
            <w:pPr>
              <w:pStyle w:val="Tabletext"/>
              <w:jc w:val="center"/>
              <w:rPr>
                <w:lang w:val="en-US"/>
              </w:rPr>
            </w:pPr>
            <w:r w:rsidRPr="005015D5">
              <w:rPr>
                <w:lang w:val="en-US"/>
              </w:rPr>
              <w:t>Unclear</w:t>
            </w:r>
          </w:p>
        </w:tc>
        <w:tc>
          <w:tcPr>
            <w:tcW w:w="1701" w:type="dxa"/>
            <w:shd w:val="clear" w:color="auto" w:fill="auto"/>
            <w:vAlign w:val="center"/>
          </w:tcPr>
          <w:p w:rsidR="000A2D53" w:rsidRPr="005015D5" w:rsidRDefault="000A2D53" w:rsidP="00951837">
            <w:pPr>
              <w:pStyle w:val="Tabletext"/>
              <w:jc w:val="center"/>
              <w:rPr>
                <w:lang w:val="en-US"/>
              </w:rPr>
            </w:pPr>
            <w:r w:rsidRPr="005015D5">
              <w:rPr>
                <w:lang w:val="en-US"/>
              </w:rPr>
              <w:t xml:space="preserve">Macular oedema secondary to </w:t>
            </w:r>
            <w:r w:rsidR="00951837" w:rsidRPr="005015D5">
              <w:rPr>
                <w:lang w:val="en-US"/>
              </w:rPr>
              <w:t>CRVO</w:t>
            </w:r>
          </w:p>
        </w:tc>
        <w:tc>
          <w:tcPr>
            <w:tcW w:w="2268" w:type="dxa"/>
            <w:shd w:val="clear" w:color="auto" w:fill="auto"/>
            <w:vAlign w:val="center"/>
          </w:tcPr>
          <w:p w:rsidR="000A2D53" w:rsidRPr="005015D5" w:rsidRDefault="00592FD5" w:rsidP="00592FD5">
            <w:pPr>
              <w:pStyle w:val="Tabletext"/>
              <w:jc w:val="center"/>
              <w:rPr>
                <w:lang w:val="en-US"/>
              </w:rPr>
            </w:pPr>
            <w:r w:rsidRPr="005015D5">
              <w:t>Mean average change in BCVA from baseline to month 1 through month 6</w:t>
            </w:r>
          </w:p>
        </w:tc>
        <w:tc>
          <w:tcPr>
            <w:tcW w:w="1117" w:type="dxa"/>
            <w:shd w:val="clear" w:color="auto" w:fill="auto"/>
            <w:vAlign w:val="center"/>
          </w:tcPr>
          <w:p w:rsidR="000A2D53" w:rsidRPr="005015D5" w:rsidRDefault="000A2D53" w:rsidP="000A2D53">
            <w:pPr>
              <w:pStyle w:val="Tabletext"/>
              <w:jc w:val="center"/>
              <w:rPr>
                <w:lang w:val="en-US"/>
              </w:rPr>
            </w:pPr>
            <w:r w:rsidRPr="005015D5">
              <w:rPr>
                <w:lang w:val="en-US"/>
              </w:rPr>
              <w:t>Not used</w:t>
            </w:r>
          </w:p>
        </w:tc>
      </w:tr>
    </w:tbl>
    <w:p w:rsidR="00045017" w:rsidRDefault="00045017" w:rsidP="00045017">
      <w:pPr>
        <w:pStyle w:val="TableFooter"/>
      </w:pPr>
      <w:r>
        <w:t xml:space="preserve">Source: </w:t>
      </w:r>
      <w:r w:rsidR="00592FD5">
        <w:t>Table 2.3.1, pp.31-33; Table 2.3.2, pp.34-40</w:t>
      </w:r>
      <w:r>
        <w:t xml:space="preserve"> </w:t>
      </w:r>
      <w:r w:rsidRPr="00D13A3E">
        <w:t xml:space="preserve">of the </w:t>
      </w:r>
      <w:r>
        <w:t>submission</w:t>
      </w:r>
    </w:p>
    <w:p w:rsidR="00592FD5" w:rsidRPr="00B1011F" w:rsidRDefault="00592FD5" w:rsidP="00045017">
      <w:pPr>
        <w:pStyle w:val="TableFooter"/>
        <w:rPr>
          <w:sz w:val="20"/>
        </w:rPr>
      </w:pPr>
      <w:r>
        <w:t>Abbreviations: BRVO, branch retinal vein occlusion; CRVO, central retinal vein occlusion; BCVA, best corrected visual acuity; DB, double blind</w:t>
      </w:r>
      <w:r w:rsidRPr="00592FD5">
        <w:t xml:space="preserve">; </w:t>
      </w:r>
      <w:r>
        <w:t xml:space="preserve">ETDRS, early treatment diabetic retinopathy study; </w:t>
      </w:r>
      <w:r w:rsidRPr="00592FD5">
        <w:t>MC, multi-centre; PC, placebo-controlled; R, randomised.</w:t>
      </w:r>
    </w:p>
    <w:p w:rsidR="00B60939" w:rsidRDefault="00B60939" w:rsidP="00B60939"/>
    <w:p w:rsidR="009E6774" w:rsidRDefault="009E6774" w:rsidP="00361734">
      <w:pPr>
        <w:pStyle w:val="ListParagraph"/>
        <w:widowControl/>
        <w:numPr>
          <w:ilvl w:val="1"/>
          <w:numId w:val="1"/>
        </w:numPr>
      </w:pPr>
      <w:r>
        <w:t>The submission acknowledged that the broader BRVO/CRVO populations included in the clinical trials may not be representative of the target PBS population who are</w:t>
      </w:r>
      <w:r w:rsidRPr="009E6774">
        <w:t xml:space="preserve"> contraindicated to, unsuitable for, or who have failed VEGF inhibitors</w:t>
      </w:r>
      <w:r>
        <w:t xml:space="preserve">. </w:t>
      </w:r>
      <w:r w:rsidR="001F27B7">
        <w:t>Therefore, the submission also provided additional supportive observational data on the use of dexamethasone implant in the subgroup of patients who have previously failed VEGF therapy.</w:t>
      </w:r>
    </w:p>
    <w:p w:rsidR="001F27B7" w:rsidRDefault="001F27B7" w:rsidP="00361734">
      <w:pPr>
        <w:pStyle w:val="ListParagraph"/>
        <w:widowControl/>
        <w:numPr>
          <w:ilvl w:val="1"/>
          <w:numId w:val="1"/>
        </w:numPr>
      </w:pPr>
      <w:r>
        <w:t xml:space="preserve">The majority of clinical trial evidence was based on </w:t>
      </w:r>
      <w:r w:rsidR="0046500E">
        <w:t xml:space="preserve">a single </w:t>
      </w:r>
      <w:r>
        <w:t>implant</w:t>
      </w:r>
      <w:r w:rsidR="0046500E">
        <w:t>ation of the product</w:t>
      </w:r>
      <w:r>
        <w:t xml:space="preserve"> (with the exception of the COMO trial which allowed 2-3 implants)</w:t>
      </w:r>
      <w:r w:rsidR="0046500E">
        <w:t>,</w:t>
      </w:r>
      <w:r>
        <w:t xml:space="preserve"> which may not be sufficient to cover the duration of a macular oedema episode. Therefore the submission also provided additional supportive observational data of the efficacy and safety of </w:t>
      </w:r>
      <w:r w:rsidR="0046500E">
        <w:t xml:space="preserve">multiple </w:t>
      </w:r>
      <w:r>
        <w:t>dexamethasone implant</w:t>
      </w:r>
      <w:r w:rsidR="0046500E">
        <w:t>ation</w:t>
      </w:r>
      <w:r>
        <w:t>s.</w:t>
      </w:r>
    </w:p>
    <w:p w:rsidR="008317CD" w:rsidRPr="000C6DD1" w:rsidRDefault="001F40FF" w:rsidP="00361734">
      <w:pPr>
        <w:pStyle w:val="ListParagraph"/>
        <w:widowControl/>
        <w:numPr>
          <w:ilvl w:val="1"/>
          <w:numId w:val="1"/>
        </w:numPr>
      </w:pPr>
      <w:r w:rsidRPr="001F40FF">
        <w:t xml:space="preserve">The submission did not explicitly nominate a primary outcome. </w:t>
      </w:r>
      <w:r w:rsidRPr="00AA68F3">
        <w:rPr>
          <w:rFonts w:cs="Calibri"/>
          <w:snapToGrid/>
          <w:lang w:val="en-US" w:eastAsia="en-AU"/>
        </w:rPr>
        <w:t xml:space="preserve">In the trials, treatment response was defined as 15 or more letters improvement from baseline </w:t>
      </w:r>
      <w:r w:rsidR="00AB74F8">
        <w:t>best corrected visual acuity</w:t>
      </w:r>
      <w:r w:rsidR="00AB74F8" w:rsidRPr="00AA68F3">
        <w:rPr>
          <w:rFonts w:cs="Calibri"/>
          <w:snapToGrid/>
          <w:lang w:val="en-US" w:eastAsia="en-AU"/>
        </w:rPr>
        <w:t xml:space="preserve"> (</w:t>
      </w:r>
      <w:r w:rsidRPr="00AA68F3">
        <w:rPr>
          <w:rFonts w:cs="Calibri"/>
          <w:snapToGrid/>
          <w:lang w:val="en-US" w:eastAsia="en-AU"/>
        </w:rPr>
        <w:t>BCVA</w:t>
      </w:r>
      <w:r w:rsidR="00AB74F8" w:rsidRPr="00AA68F3">
        <w:rPr>
          <w:rFonts w:cs="Calibri"/>
          <w:snapToGrid/>
          <w:lang w:val="en-US" w:eastAsia="en-AU"/>
        </w:rPr>
        <w:t>)</w:t>
      </w:r>
      <w:r w:rsidRPr="001F40FF">
        <w:t xml:space="preserve">. </w:t>
      </w:r>
      <w:r w:rsidRPr="00014E52">
        <w:t xml:space="preserve">Visual acuity is commonly used as the primary outcome in trials and network meta-analyses of retinal vein occlusion, with a 15 </w:t>
      </w:r>
      <w:r w:rsidR="00624AED" w:rsidRPr="00014E52">
        <w:t xml:space="preserve">or more </w:t>
      </w:r>
      <w:r w:rsidRPr="00014E52">
        <w:t>letter</w:t>
      </w:r>
      <w:r w:rsidR="00A6008B" w:rsidRPr="00014E52">
        <w:t xml:space="preserve"> change</w:t>
      </w:r>
      <w:r w:rsidRPr="00014E52">
        <w:t xml:space="preserve"> (equivalent to 3 lines </w:t>
      </w:r>
      <w:r w:rsidR="00624AED" w:rsidRPr="00014E52">
        <w:t xml:space="preserve">or more </w:t>
      </w:r>
      <w:r w:rsidRPr="00014E52">
        <w:t xml:space="preserve">on an ETDRS chart) </w:t>
      </w:r>
      <w:r w:rsidR="003F5AF6" w:rsidRPr="00014E52">
        <w:t>generally</w:t>
      </w:r>
      <w:r w:rsidRPr="00014E52">
        <w:t xml:space="preserve"> considered clinically relevant. The PBAC has </w:t>
      </w:r>
      <w:r w:rsidR="0083182D">
        <w:t xml:space="preserve">previously </w:t>
      </w:r>
      <w:r w:rsidR="0050735A" w:rsidRPr="00014E52">
        <w:t xml:space="preserve">generally </w:t>
      </w:r>
      <w:r w:rsidRPr="00014E52">
        <w:t xml:space="preserve">expressed a preference for changes of 10-15 letters in </w:t>
      </w:r>
      <w:r w:rsidR="008317CD" w:rsidRPr="00014E52">
        <w:t>BCVA</w:t>
      </w:r>
      <w:r w:rsidRPr="00014E52">
        <w:t xml:space="preserve"> to be considered clinically </w:t>
      </w:r>
      <w:r w:rsidR="00A6008B" w:rsidRPr="00014E52">
        <w:t>import</w:t>
      </w:r>
      <w:r w:rsidRPr="00014E52">
        <w:t>ant in retinal vein occlusion (e.g. ranibizumab PSD, March 2013; ranibizumab PSD, November 2013; aflibercept PSD, November 2014).</w:t>
      </w:r>
      <w:r w:rsidR="008317CD" w:rsidRPr="00014E52">
        <w:t xml:space="preserve"> However, the PBAC has</w:t>
      </w:r>
      <w:r w:rsidR="0083182D">
        <w:t xml:space="preserve"> also</w:t>
      </w:r>
      <w:r w:rsidR="008317CD" w:rsidRPr="00014E52">
        <w:t xml:space="preserve"> previously noted an increase of 5 letters or more might represent a clinically meaningful difference for some patients, but the clinical importance will also depend on the baseline visual acuity of each eye (ranibizumab PSD, March 2013).</w:t>
      </w:r>
    </w:p>
    <w:p w:rsidR="001F40FF" w:rsidRDefault="001F40FF" w:rsidP="00361734">
      <w:pPr>
        <w:pStyle w:val="ListParagraph"/>
        <w:widowControl/>
        <w:numPr>
          <w:ilvl w:val="1"/>
          <w:numId w:val="1"/>
        </w:numPr>
      </w:pPr>
      <w:r>
        <w:t>The submission did not explicitly no</w:t>
      </w:r>
      <w:r w:rsidR="007D136E">
        <w:t>minate a non-inferiority margin</w:t>
      </w:r>
      <w:r>
        <w:t xml:space="preserve">. </w:t>
      </w:r>
      <w:r w:rsidRPr="001F40FF">
        <w:t xml:space="preserve">The COMO trial comparing dexamethasone implant with ranibizumab used a 5-letter noninferiority margin. </w:t>
      </w:r>
      <w:r w:rsidRPr="00014E52">
        <w:t>In the COMRADE trials, power calculations were performed based on a 6 letter difference. The PBAC ha</w:t>
      </w:r>
      <w:r w:rsidR="00A6008B" w:rsidRPr="00014E52">
        <w:t>s</w:t>
      </w:r>
      <w:r w:rsidRPr="00014E52">
        <w:t xml:space="preserve"> previously stated that ‘a mean best corrected visual acuity change of -5 letters in the lower bound non-inferiority limit was probably reasonable’ (</w:t>
      </w:r>
      <w:r w:rsidR="00A6008B" w:rsidRPr="00014E52">
        <w:t>paragraph 7.5, D</w:t>
      </w:r>
      <w:r w:rsidRPr="00014E52">
        <w:t>examethasone implant PSD, March 2015).</w:t>
      </w:r>
    </w:p>
    <w:p w:rsidR="00B60939" w:rsidRPr="008472ED" w:rsidRDefault="00B60939" w:rsidP="00AE0CCA">
      <w:pPr>
        <w:pStyle w:val="Heading2"/>
      </w:pPr>
      <w:bookmarkStart w:id="8" w:name="_Toc503967475"/>
      <w:r w:rsidRPr="008472ED">
        <w:t>Comparative effectiveness</w:t>
      </w:r>
      <w:bookmarkEnd w:id="8"/>
    </w:p>
    <w:p w:rsidR="00711810" w:rsidRPr="00AE0CCA" w:rsidRDefault="00420016" w:rsidP="00361734">
      <w:pPr>
        <w:pStyle w:val="ListParagraph"/>
        <w:widowControl/>
        <w:numPr>
          <w:ilvl w:val="1"/>
          <w:numId w:val="1"/>
        </w:numPr>
        <w:jc w:val="left"/>
        <w:rPr>
          <w:rFonts w:ascii="Arial Narrow" w:hAnsi="Arial Narrow"/>
          <w:b/>
          <w:sz w:val="20"/>
          <w:szCs w:val="20"/>
        </w:rPr>
      </w:pPr>
      <w:r w:rsidRPr="00277B5D">
        <w:rPr>
          <w:rFonts w:cs="Calibri"/>
          <w:snapToGrid/>
          <w:szCs w:val="24"/>
          <w:lang w:val="en-US" w:eastAsia="en-AU"/>
        </w:rPr>
        <w:t xml:space="preserve">Table 4 summarises the mean change in </w:t>
      </w:r>
      <w:r w:rsidR="00AB74F8" w:rsidRPr="00277B5D">
        <w:rPr>
          <w:rFonts w:cs="Calibri"/>
          <w:snapToGrid/>
          <w:szCs w:val="24"/>
          <w:lang w:val="en-US" w:eastAsia="en-AU"/>
        </w:rPr>
        <w:t>BCVA</w:t>
      </w:r>
      <w:r w:rsidRPr="00277B5D">
        <w:rPr>
          <w:rFonts w:cs="Calibri"/>
          <w:snapToGrid/>
          <w:szCs w:val="24"/>
          <w:lang w:val="en-US" w:eastAsia="en-AU"/>
        </w:rPr>
        <w:t xml:space="preserve"> (number of letters gained) from baseline in </w:t>
      </w:r>
      <w:r w:rsidR="00336ADD" w:rsidRPr="00277B5D">
        <w:rPr>
          <w:rFonts w:cs="Calibri"/>
          <w:snapToGrid/>
          <w:szCs w:val="24"/>
          <w:lang w:val="en-US" w:eastAsia="en-AU"/>
        </w:rPr>
        <w:t>the trials comparing dexamethasone implant with sham (</w:t>
      </w:r>
      <w:r w:rsidRPr="00277B5D">
        <w:rPr>
          <w:rFonts w:cs="Calibri"/>
          <w:snapToGrid/>
          <w:szCs w:val="24"/>
          <w:lang w:val="en-US" w:eastAsia="en-AU"/>
        </w:rPr>
        <w:t>GENEVA 008, GENEVA 009, and Trial 020</w:t>
      </w:r>
      <w:r w:rsidR="00336ADD" w:rsidRPr="00277B5D">
        <w:rPr>
          <w:rFonts w:cs="Calibri"/>
          <w:snapToGrid/>
          <w:szCs w:val="24"/>
          <w:lang w:val="en-US" w:eastAsia="en-AU"/>
        </w:rPr>
        <w:t>)</w:t>
      </w:r>
      <w:r w:rsidR="000C6DD1" w:rsidRPr="00277B5D">
        <w:rPr>
          <w:rFonts w:cs="Calibri"/>
          <w:snapToGrid/>
          <w:szCs w:val="24"/>
          <w:lang w:val="en-US" w:eastAsia="en-AU"/>
        </w:rPr>
        <w:t>.</w:t>
      </w:r>
    </w:p>
    <w:p w:rsidR="00D005BF" w:rsidRDefault="00D005BF">
      <w:pPr>
        <w:widowControl/>
        <w:jc w:val="left"/>
        <w:rPr>
          <w:rFonts w:ascii="Arial Narrow" w:hAnsi="Arial Narrow"/>
          <w:b/>
          <w:sz w:val="20"/>
          <w:szCs w:val="20"/>
        </w:rPr>
      </w:pPr>
      <w:r>
        <w:rPr>
          <w:rFonts w:ascii="Arial Narrow" w:hAnsi="Arial Narrow"/>
          <w:b/>
          <w:sz w:val="20"/>
          <w:szCs w:val="20"/>
        </w:rPr>
        <w:br w:type="page"/>
      </w:r>
    </w:p>
    <w:p w:rsidR="008729AC" w:rsidRPr="000A18CE" w:rsidRDefault="008729AC" w:rsidP="008729AC">
      <w:pPr>
        <w:rPr>
          <w:rFonts w:ascii="Arial Narrow" w:hAnsi="Arial Narrow"/>
          <w:b/>
          <w:sz w:val="20"/>
          <w:szCs w:val="20"/>
        </w:rPr>
      </w:pPr>
      <w:r w:rsidRPr="000A18CE">
        <w:rPr>
          <w:rFonts w:ascii="Arial Narrow" w:hAnsi="Arial Narrow"/>
          <w:b/>
          <w:sz w:val="20"/>
          <w:szCs w:val="20"/>
        </w:rPr>
        <w:t xml:space="preserve">Table </w:t>
      </w:r>
      <w:r>
        <w:rPr>
          <w:rFonts w:ascii="Arial Narrow" w:hAnsi="Arial Narrow"/>
          <w:b/>
          <w:sz w:val="20"/>
          <w:szCs w:val="20"/>
        </w:rPr>
        <w:t>4</w:t>
      </w:r>
      <w:r w:rsidRPr="000A18CE">
        <w:rPr>
          <w:rFonts w:ascii="Arial Narrow" w:hAnsi="Arial Narrow"/>
          <w:b/>
          <w:sz w:val="20"/>
          <w:szCs w:val="20"/>
        </w:rPr>
        <w:t xml:space="preserve">: Change in best corrected visual acuity </w:t>
      </w:r>
      <w:r>
        <w:rPr>
          <w:rFonts w:ascii="Arial Narrow" w:hAnsi="Arial Narrow"/>
          <w:b/>
          <w:sz w:val="20"/>
          <w:szCs w:val="20"/>
        </w:rPr>
        <w:t xml:space="preserve">letters </w:t>
      </w:r>
      <w:r w:rsidRPr="000A18CE">
        <w:rPr>
          <w:rFonts w:ascii="Arial Narrow" w:hAnsi="Arial Narrow"/>
          <w:b/>
          <w:sz w:val="20"/>
          <w:szCs w:val="20"/>
        </w:rPr>
        <w:t>from baseline in GENEVA 008, GENEVA 009, and Trial 020: dexamethasone implant versus placebo (sham)</w:t>
      </w:r>
      <w:r w:rsidR="00951837">
        <w:rPr>
          <w:rFonts w:ascii="Arial Narrow" w:hAnsi="Arial Narrow"/>
          <w:b/>
          <w:sz w:val="20"/>
          <w:szCs w:val="20"/>
        </w:rPr>
        <w:t xml:space="preserve"> in BRVO/CRVO</w:t>
      </w:r>
    </w:p>
    <w:tbl>
      <w:tblPr>
        <w:tblStyle w:val="TableGrid"/>
        <w:tblW w:w="0" w:type="auto"/>
        <w:tblCellMar>
          <w:left w:w="57" w:type="dxa"/>
          <w:right w:w="57" w:type="dxa"/>
        </w:tblCellMar>
        <w:tblLook w:val="04A0" w:firstRow="1" w:lastRow="0" w:firstColumn="1" w:lastColumn="0" w:noHBand="0" w:noVBand="1"/>
        <w:tblCaption w:val="Table 4: Change in best corrected visual acuity letters from baseline in GENEVA 008, GENEVA 009, and Trial 020: dexamethasone implant versus placebo (sham) in BRVO/CRVO"/>
      </w:tblPr>
      <w:tblGrid>
        <w:gridCol w:w="3459"/>
        <w:gridCol w:w="947"/>
        <w:gridCol w:w="947"/>
        <w:gridCol w:w="947"/>
        <w:gridCol w:w="947"/>
        <w:gridCol w:w="947"/>
        <w:gridCol w:w="947"/>
      </w:tblGrid>
      <w:tr w:rsidR="008729AC" w:rsidRPr="00F412B6" w:rsidTr="001D074A">
        <w:trPr>
          <w:tblHeader/>
        </w:trPr>
        <w:tc>
          <w:tcPr>
            <w:tcW w:w="3459" w:type="dxa"/>
            <w:vMerge w:val="restart"/>
          </w:tcPr>
          <w:p w:rsidR="008729AC" w:rsidRPr="00F412B6" w:rsidRDefault="008729AC" w:rsidP="008729AC">
            <w:pPr>
              <w:rPr>
                <w:rFonts w:ascii="Arial Narrow" w:hAnsi="Arial Narrow"/>
                <w:sz w:val="20"/>
                <w:szCs w:val="20"/>
              </w:rPr>
            </w:pPr>
          </w:p>
        </w:tc>
        <w:tc>
          <w:tcPr>
            <w:tcW w:w="1894" w:type="dxa"/>
            <w:gridSpan w:val="2"/>
          </w:tcPr>
          <w:p w:rsidR="008729AC" w:rsidRDefault="008729AC" w:rsidP="008729AC">
            <w:pPr>
              <w:jc w:val="center"/>
              <w:rPr>
                <w:rFonts w:ascii="Arial Narrow" w:hAnsi="Arial Narrow"/>
                <w:b/>
                <w:sz w:val="20"/>
                <w:szCs w:val="20"/>
              </w:rPr>
            </w:pPr>
            <w:r w:rsidRPr="000A18CE">
              <w:rPr>
                <w:rFonts w:ascii="Arial Narrow" w:hAnsi="Arial Narrow"/>
                <w:b/>
                <w:sz w:val="20"/>
                <w:szCs w:val="20"/>
              </w:rPr>
              <w:t>GENEVA 008</w:t>
            </w:r>
          </w:p>
          <w:p w:rsidR="00EF4EAD" w:rsidRPr="000A18CE" w:rsidRDefault="00EF4EAD" w:rsidP="008729AC">
            <w:pPr>
              <w:jc w:val="center"/>
              <w:rPr>
                <w:rFonts w:ascii="Arial Narrow" w:hAnsi="Arial Narrow"/>
                <w:b/>
                <w:sz w:val="20"/>
                <w:szCs w:val="20"/>
              </w:rPr>
            </w:pPr>
            <w:r>
              <w:rPr>
                <w:rFonts w:ascii="Arial Narrow" w:hAnsi="Arial Narrow"/>
                <w:b/>
                <w:sz w:val="20"/>
                <w:szCs w:val="20"/>
              </w:rPr>
              <w:t>(BRVO/CRVO)</w:t>
            </w:r>
          </w:p>
        </w:tc>
        <w:tc>
          <w:tcPr>
            <w:tcW w:w="1894" w:type="dxa"/>
            <w:gridSpan w:val="2"/>
          </w:tcPr>
          <w:p w:rsidR="008729AC" w:rsidRDefault="008729AC" w:rsidP="008729AC">
            <w:pPr>
              <w:jc w:val="center"/>
              <w:rPr>
                <w:rFonts w:ascii="Arial Narrow" w:hAnsi="Arial Narrow"/>
                <w:b/>
                <w:sz w:val="20"/>
                <w:szCs w:val="20"/>
              </w:rPr>
            </w:pPr>
            <w:r w:rsidRPr="000A18CE">
              <w:rPr>
                <w:rFonts w:ascii="Arial Narrow" w:hAnsi="Arial Narrow"/>
                <w:b/>
                <w:sz w:val="20"/>
                <w:szCs w:val="20"/>
              </w:rPr>
              <w:t>GENEVA 009</w:t>
            </w:r>
          </w:p>
          <w:p w:rsidR="00EF4EAD" w:rsidRPr="000A18CE" w:rsidRDefault="00EF4EAD" w:rsidP="008729AC">
            <w:pPr>
              <w:jc w:val="center"/>
              <w:rPr>
                <w:rFonts w:ascii="Arial Narrow" w:hAnsi="Arial Narrow"/>
                <w:b/>
                <w:sz w:val="20"/>
                <w:szCs w:val="20"/>
              </w:rPr>
            </w:pPr>
            <w:r>
              <w:rPr>
                <w:rFonts w:ascii="Arial Narrow" w:hAnsi="Arial Narrow"/>
                <w:b/>
                <w:sz w:val="20"/>
                <w:szCs w:val="20"/>
              </w:rPr>
              <w:t>(BRVO/CRVO)</w:t>
            </w:r>
          </w:p>
        </w:tc>
        <w:tc>
          <w:tcPr>
            <w:tcW w:w="1894" w:type="dxa"/>
            <w:gridSpan w:val="2"/>
          </w:tcPr>
          <w:p w:rsidR="008729AC" w:rsidRDefault="008729AC" w:rsidP="008729AC">
            <w:pPr>
              <w:jc w:val="center"/>
              <w:rPr>
                <w:rFonts w:ascii="Arial Narrow" w:hAnsi="Arial Narrow"/>
                <w:b/>
                <w:sz w:val="20"/>
                <w:szCs w:val="20"/>
              </w:rPr>
            </w:pPr>
            <w:r w:rsidRPr="000A18CE">
              <w:rPr>
                <w:rFonts w:ascii="Arial Narrow" w:hAnsi="Arial Narrow"/>
                <w:b/>
                <w:sz w:val="20"/>
                <w:szCs w:val="20"/>
              </w:rPr>
              <w:t>Trial 020</w:t>
            </w:r>
          </w:p>
          <w:p w:rsidR="00EF4EAD" w:rsidRPr="000A18CE" w:rsidRDefault="00EF4EAD" w:rsidP="008729AC">
            <w:pPr>
              <w:jc w:val="center"/>
              <w:rPr>
                <w:rFonts w:ascii="Arial Narrow" w:hAnsi="Arial Narrow"/>
                <w:b/>
                <w:sz w:val="20"/>
                <w:szCs w:val="20"/>
              </w:rPr>
            </w:pPr>
            <w:r>
              <w:rPr>
                <w:rFonts w:ascii="Arial Narrow" w:hAnsi="Arial Narrow"/>
                <w:b/>
                <w:sz w:val="20"/>
                <w:szCs w:val="20"/>
              </w:rPr>
              <w:t>(BRVO/CRVO)</w:t>
            </w:r>
          </w:p>
        </w:tc>
      </w:tr>
      <w:tr w:rsidR="008729AC" w:rsidRPr="00F412B6" w:rsidTr="001D074A">
        <w:trPr>
          <w:tblHeader/>
        </w:trPr>
        <w:tc>
          <w:tcPr>
            <w:tcW w:w="3459" w:type="dxa"/>
            <w:vMerge/>
          </w:tcPr>
          <w:p w:rsidR="008729AC" w:rsidRPr="00F412B6" w:rsidRDefault="008729AC" w:rsidP="008729AC">
            <w:pPr>
              <w:rPr>
                <w:rFonts w:ascii="Arial Narrow" w:hAnsi="Arial Narrow"/>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A18CE" w:rsidRDefault="008729AC" w:rsidP="008729AC">
            <w:pPr>
              <w:jc w:val="center"/>
              <w:rPr>
                <w:rFonts w:ascii="Arial Narrow" w:hAnsi="Arial Narrow"/>
                <w:b/>
                <w:sz w:val="20"/>
                <w:szCs w:val="20"/>
              </w:rPr>
            </w:pPr>
            <w:r w:rsidRPr="003A5F07">
              <w:rPr>
                <w:rFonts w:ascii="Arial Narrow" w:hAnsi="Arial Narrow" w:cstheme="minorHAnsi"/>
                <w:b/>
                <w:sz w:val="20"/>
                <w:szCs w:val="20"/>
              </w:rPr>
              <w:t>DEX 700 (N=201)</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A18CE" w:rsidRDefault="008729AC" w:rsidP="008729AC">
            <w:pPr>
              <w:jc w:val="center"/>
              <w:rPr>
                <w:rFonts w:ascii="Arial Narrow" w:hAnsi="Arial Narrow"/>
                <w:b/>
                <w:sz w:val="20"/>
                <w:szCs w:val="20"/>
              </w:rPr>
            </w:pPr>
            <w:r w:rsidRPr="003A5F07">
              <w:rPr>
                <w:rFonts w:ascii="Arial Narrow" w:hAnsi="Arial Narrow" w:cstheme="minorHAnsi"/>
                <w:b/>
                <w:sz w:val="20"/>
                <w:szCs w:val="20"/>
              </w:rPr>
              <w:t>Sham (N=202)</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A18CE" w:rsidRDefault="008729AC" w:rsidP="008729AC">
            <w:pPr>
              <w:jc w:val="center"/>
              <w:rPr>
                <w:rFonts w:ascii="Arial Narrow" w:hAnsi="Arial Narrow"/>
                <w:b/>
                <w:sz w:val="20"/>
                <w:szCs w:val="20"/>
              </w:rPr>
            </w:pPr>
            <w:r w:rsidRPr="003A5F07">
              <w:rPr>
                <w:rFonts w:ascii="Arial Narrow" w:hAnsi="Arial Narrow" w:cstheme="minorHAnsi"/>
                <w:b/>
                <w:sz w:val="20"/>
                <w:szCs w:val="20"/>
              </w:rPr>
              <w:t>DEX 700 (N=226)</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A18CE" w:rsidRDefault="008729AC" w:rsidP="008729AC">
            <w:pPr>
              <w:jc w:val="center"/>
              <w:rPr>
                <w:rFonts w:ascii="Arial Narrow" w:hAnsi="Arial Narrow"/>
                <w:b/>
                <w:sz w:val="20"/>
                <w:szCs w:val="20"/>
              </w:rPr>
            </w:pPr>
            <w:r w:rsidRPr="003A5F07">
              <w:rPr>
                <w:rFonts w:ascii="Arial Narrow" w:hAnsi="Arial Narrow" w:cstheme="minorHAnsi"/>
                <w:b/>
                <w:sz w:val="20"/>
                <w:szCs w:val="20"/>
              </w:rPr>
              <w:t>Sham (N=224)</w:t>
            </w:r>
          </w:p>
        </w:tc>
        <w:tc>
          <w:tcPr>
            <w:tcW w:w="947" w:type="dxa"/>
            <w:tcBorders>
              <w:left w:val="single" w:sz="4" w:space="0" w:color="auto"/>
            </w:tcBorders>
            <w:shd w:val="clear" w:color="auto" w:fill="FFFFFF" w:themeFill="background1"/>
            <w:vAlign w:val="center"/>
          </w:tcPr>
          <w:p w:rsidR="008729AC" w:rsidRPr="000A18CE" w:rsidRDefault="008729AC" w:rsidP="008729AC">
            <w:pPr>
              <w:jc w:val="center"/>
              <w:rPr>
                <w:rFonts w:ascii="Arial Narrow" w:hAnsi="Arial Narrow"/>
                <w:b/>
                <w:sz w:val="20"/>
                <w:szCs w:val="20"/>
              </w:rPr>
            </w:pPr>
            <w:r w:rsidRPr="003A5F07">
              <w:rPr>
                <w:rFonts w:ascii="Arial Narrow" w:hAnsi="Arial Narrow" w:cstheme="minorHAnsi"/>
                <w:b/>
                <w:sz w:val="20"/>
                <w:szCs w:val="20"/>
              </w:rPr>
              <w:t>DEX (N=129)</w:t>
            </w:r>
          </w:p>
        </w:tc>
        <w:tc>
          <w:tcPr>
            <w:tcW w:w="947" w:type="dxa"/>
            <w:tcBorders>
              <w:left w:val="single" w:sz="4" w:space="0" w:color="auto"/>
            </w:tcBorders>
            <w:shd w:val="clear" w:color="auto" w:fill="FFFFFF" w:themeFill="background1"/>
            <w:vAlign w:val="center"/>
          </w:tcPr>
          <w:p w:rsidR="008729AC" w:rsidRPr="000A18CE" w:rsidRDefault="008729AC" w:rsidP="008729AC">
            <w:pPr>
              <w:jc w:val="center"/>
              <w:rPr>
                <w:rFonts w:ascii="Arial Narrow" w:hAnsi="Arial Narrow"/>
                <w:b/>
                <w:sz w:val="20"/>
                <w:szCs w:val="20"/>
              </w:rPr>
            </w:pPr>
            <w:r w:rsidRPr="003A5F07">
              <w:rPr>
                <w:rFonts w:ascii="Arial Narrow" w:hAnsi="Arial Narrow" w:cstheme="minorHAnsi"/>
                <w:b/>
                <w:sz w:val="20"/>
                <w:szCs w:val="20"/>
              </w:rPr>
              <w:t>Sham (N=130)</w:t>
            </w:r>
          </w:p>
        </w:tc>
      </w:tr>
      <w:tr w:rsidR="008729AC" w:rsidRPr="00F412B6" w:rsidTr="008729AC">
        <w:tc>
          <w:tcPr>
            <w:tcW w:w="0" w:type="auto"/>
            <w:gridSpan w:val="7"/>
          </w:tcPr>
          <w:p w:rsidR="008729AC" w:rsidRPr="000A18CE" w:rsidRDefault="008729AC" w:rsidP="008729AC">
            <w:pPr>
              <w:jc w:val="left"/>
              <w:rPr>
                <w:rFonts w:ascii="Arial Narrow" w:hAnsi="Arial Narrow"/>
                <w:b/>
                <w:sz w:val="20"/>
                <w:szCs w:val="20"/>
              </w:rPr>
            </w:pPr>
            <w:r w:rsidRPr="000A18CE">
              <w:rPr>
                <w:rFonts w:ascii="Arial Narrow" w:hAnsi="Arial Narrow"/>
                <w:b/>
                <w:sz w:val="20"/>
                <w:szCs w:val="20"/>
              </w:rPr>
              <w:t>Month 1</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change from baseline to Month 1 (SD)</w:t>
            </w:r>
          </w:p>
        </w:tc>
        <w:tc>
          <w:tcPr>
            <w:tcW w:w="947" w:type="dxa"/>
            <w:tcBorders>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7.6 (9.3)</w:t>
            </w:r>
          </w:p>
        </w:tc>
        <w:tc>
          <w:tcPr>
            <w:tcW w:w="947" w:type="dxa"/>
            <w:tcBorders>
              <w:left w:val="single" w:sz="4" w:space="0" w:color="auto"/>
              <w:righ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2.5 (9.4)</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8.5 (9.8)</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2.7 (8.4)</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9.1 (8.5)</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2.0 (9.3)</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difference in mean change from baseline to Month 1 (95% CI)</w:t>
            </w:r>
          </w:p>
        </w:tc>
        <w:tc>
          <w:tcPr>
            <w:tcW w:w="1894" w:type="dxa"/>
            <w:gridSpan w:val="2"/>
            <w:tcBorders>
              <w:top w:val="single" w:sz="4" w:space="0" w:color="auto"/>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5.2 (3.4, 6.9)</w:t>
            </w:r>
          </w:p>
        </w:tc>
        <w:tc>
          <w:tcPr>
            <w:tcW w:w="1894" w:type="dxa"/>
            <w:gridSpan w:val="2"/>
            <w:tcBorders>
              <w:lef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5.8 (4.2, 7.4)</w:t>
            </w:r>
          </w:p>
        </w:tc>
        <w:tc>
          <w:tcPr>
            <w:tcW w:w="1894" w:type="dxa"/>
            <w:gridSpan w:val="2"/>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7.1 (4.9, 9.3)</w:t>
            </w:r>
          </w:p>
        </w:tc>
      </w:tr>
      <w:tr w:rsidR="008729AC" w:rsidRPr="00F412B6" w:rsidTr="008729AC">
        <w:tc>
          <w:tcPr>
            <w:tcW w:w="0" w:type="auto"/>
            <w:gridSpan w:val="7"/>
          </w:tcPr>
          <w:p w:rsidR="008729AC" w:rsidRPr="000A18CE" w:rsidRDefault="008729AC" w:rsidP="008729AC">
            <w:pPr>
              <w:jc w:val="left"/>
              <w:rPr>
                <w:rFonts w:ascii="Arial Narrow" w:hAnsi="Arial Narrow"/>
                <w:b/>
                <w:sz w:val="20"/>
                <w:szCs w:val="20"/>
              </w:rPr>
            </w:pPr>
            <w:r w:rsidRPr="000A18CE">
              <w:rPr>
                <w:rFonts w:ascii="Arial Narrow" w:hAnsi="Arial Narrow"/>
                <w:b/>
                <w:sz w:val="20"/>
                <w:szCs w:val="20"/>
              </w:rPr>
              <w:t>Month 2</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change from baseline to Month 2 (SD)</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9.5 (10.0)</w:t>
            </w:r>
          </w:p>
        </w:tc>
        <w:tc>
          <w:tcPr>
            <w:tcW w:w="947" w:type="dxa"/>
            <w:tcBorders>
              <w:left w:val="single" w:sz="4" w:space="0" w:color="auto"/>
              <w:righ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3.1 (10.3)</w:t>
            </w:r>
          </w:p>
        </w:tc>
        <w:tc>
          <w:tcPr>
            <w:tcW w:w="947" w:type="dxa"/>
            <w:tcBorders>
              <w:lef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10.1 (10.5)</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3.2 (11.0)</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10.6 (10.4)</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1.7 (12.3)</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difference in mean change from baseline to Month 2 (95% CI)</w:t>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6.4 (4.5, 8.4)</w:t>
            </w:r>
          </w:p>
        </w:tc>
        <w:tc>
          <w:tcPr>
            <w:tcW w:w="1894" w:type="dxa"/>
            <w:gridSpan w:val="2"/>
            <w:tcBorders>
              <w:lef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6.9 (5.0, 8.9)</w:t>
            </w:r>
          </w:p>
        </w:tc>
        <w:tc>
          <w:tcPr>
            <w:tcW w:w="1894" w:type="dxa"/>
            <w:gridSpan w:val="2"/>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8.9 (6.1, 11.6)</w:t>
            </w:r>
          </w:p>
        </w:tc>
      </w:tr>
      <w:tr w:rsidR="008729AC" w:rsidRPr="00F412B6" w:rsidTr="008729AC">
        <w:tc>
          <w:tcPr>
            <w:tcW w:w="0" w:type="auto"/>
            <w:gridSpan w:val="7"/>
          </w:tcPr>
          <w:p w:rsidR="008729AC" w:rsidRPr="000A18CE" w:rsidRDefault="008729AC" w:rsidP="008729AC">
            <w:pPr>
              <w:jc w:val="left"/>
              <w:rPr>
                <w:rFonts w:ascii="Arial Narrow" w:hAnsi="Arial Narrow"/>
                <w:b/>
                <w:sz w:val="20"/>
                <w:szCs w:val="20"/>
              </w:rPr>
            </w:pPr>
            <w:r w:rsidRPr="000A18CE">
              <w:rPr>
                <w:rFonts w:ascii="Arial Narrow" w:hAnsi="Arial Narrow"/>
                <w:b/>
                <w:sz w:val="20"/>
                <w:szCs w:val="20"/>
              </w:rPr>
              <w:t>Month 3</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change from baseline to Month 3 (SD)</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7.2 (10.8)</w:t>
            </w:r>
          </w:p>
        </w:tc>
        <w:tc>
          <w:tcPr>
            <w:tcW w:w="947" w:type="dxa"/>
            <w:tcBorders>
              <w:left w:val="single" w:sz="4" w:space="0" w:color="auto"/>
              <w:righ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2.8 (10.8)</w:t>
            </w:r>
          </w:p>
        </w:tc>
        <w:tc>
          <w:tcPr>
            <w:tcW w:w="947" w:type="dxa"/>
            <w:tcBorders>
              <w:lef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7.3 (12.0)</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3.5 (11.9)</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7.7 (12.7)</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1.8 (13.0)</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difference in mean change from baseline to Month 3 (95% CI)</w:t>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4.3 (2.2, 6.5)</w:t>
            </w:r>
          </w:p>
        </w:tc>
        <w:tc>
          <w:tcPr>
            <w:tcW w:w="1894" w:type="dxa"/>
            <w:gridSpan w:val="2"/>
            <w:tcBorders>
              <w:lef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3.9 (1.7, 6.0)</w:t>
            </w:r>
          </w:p>
        </w:tc>
        <w:tc>
          <w:tcPr>
            <w:tcW w:w="1894" w:type="dxa"/>
            <w:gridSpan w:val="2"/>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5.9 (2.8, 9.1)</w:t>
            </w:r>
          </w:p>
        </w:tc>
      </w:tr>
      <w:tr w:rsidR="008729AC" w:rsidRPr="00F412B6" w:rsidTr="008729AC">
        <w:tc>
          <w:tcPr>
            <w:tcW w:w="0" w:type="auto"/>
            <w:gridSpan w:val="7"/>
          </w:tcPr>
          <w:p w:rsidR="008729AC" w:rsidRPr="000A18CE" w:rsidRDefault="008729AC" w:rsidP="008729AC">
            <w:pPr>
              <w:jc w:val="left"/>
              <w:rPr>
                <w:rFonts w:ascii="Arial Narrow" w:hAnsi="Arial Narrow"/>
                <w:b/>
                <w:sz w:val="20"/>
                <w:szCs w:val="20"/>
              </w:rPr>
            </w:pPr>
            <w:r w:rsidRPr="000A18CE">
              <w:rPr>
                <w:rFonts w:ascii="Arial Narrow" w:hAnsi="Arial Narrow"/>
                <w:b/>
                <w:sz w:val="20"/>
                <w:szCs w:val="20"/>
              </w:rPr>
              <w:t>Month 6</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change from baseline to Month 6 (SD)</w:t>
            </w:r>
          </w:p>
        </w:tc>
        <w:tc>
          <w:tcPr>
            <w:tcW w:w="947" w:type="dxa"/>
            <w:tcBorders>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4.6 (12.7)</w:t>
            </w:r>
          </w:p>
        </w:tc>
        <w:tc>
          <w:tcPr>
            <w:tcW w:w="947" w:type="dxa"/>
            <w:tcBorders>
              <w:left w:val="single" w:sz="4" w:space="0" w:color="auto"/>
              <w:righ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2.7 (13.5)</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5.5 (13.2)</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2.5 (14.2)</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3.2 (15.3)</w:t>
            </w:r>
          </w:p>
        </w:tc>
        <w:tc>
          <w:tcPr>
            <w:tcW w:w="947" w:type="dxa"/>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4.0 (13.7)</w:t>
            </w:r>
          </w:p>
        </w:tc>
      </w:tr>
      <w:tr w:rsidR="008729AC" w:rsidRPr="00F412B6" w:rsidTr="008729AC">
        <w:tc>
          <w:tcPr>
            <w:tcW w:w="3459" w:type="dxa"/>
          </w:tcPr>
          <w:p w:rsidR="008729AC" w:rsidRPr="00F412B6" w:rsidRDefault="008729AC" w:rsidP="008729AC">
            <w:pPr>
              <w:jc w:val="left"/>
              <w:rPr>
                <w:rFonts w:ascii="Arial Narrow" w:hAnsi="Arial Narrow"/>
                <w:sz w:val="20"/>
                <w:szCs w:val="20"/>
              </w:rPr>
            </w:pPr>
            <w:r w:rsidRPr="00F412B6">
              <w:rPr>
                <w:rFonts w:ascii="Arial Narrow" w:hAnsi="Arial Narrow"/>
                <w:sz w:val="20"/>
                <w:szCs w:val="20"/>
              </w:rPr>
              <w:t>Mean difference in mean change from baseline to Month 6 (95% CI)</w:t>
            </w:r>
          </w:p>
        </w:tc>
        <w:tc>
          <w:tcPr>
            <w:tcW w:w="1894" w:type="dxa"/>
            <w:gridSpan w:val="2"/>
            <w:tcBorders>
              <w:top w:val="single" w:sz="4" w:space="0" w:color="auto"/>
              <w:bottom w:val="single" w:sz="4" w:space="0" w:color="auto"/>
              <w:righ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1.9 (-0.7, 4.5)</w:t>
            </w:r>
          </w:p>
        </w:tc>
        <w:tc>
          <w:tcPr>
            <w:tcW w:w="1894" w:type="dxa"/>
            <w:gridSpan w:val="2"/>
            <w:tcBorders>
              <w:left w:val="single" w:sz="4" w:space="0" w:color="auto"/>
            </w:tcBorders>
            <w:shd w:val="clear" w:color="auto" w:fill="auto"/>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3.0 (0.6, 5.4)</w:t>
            </w:r>
          </w:p>
        </w:tc>
        <w:tc>
          <w:tcPr>
            <w:tcW w:w="1894" w:type="dxa"/>
            <w:gridSpan w:val="2"/>
            <w:tcBorders>
              <w:left w:val="single" w:sz="4" w:space="0" w:color="auto"/>
            </w:tcBorders>
            <w:vAlign w:val="center"/>
          </w:tcPr>
          <w:p w:rsidR="008729AC" w:rsidRPr="00F412B6" w:rsidRDefault="008729AC" w:rsidP="008729AC">
            <w:pPr>
              <w:jc w:val="center"/>
              <w:rPr>
                <w:rFonts w:ascii="Arial Narrow" w:hAnsi="Arial Narrow"/>
                <w:sz w:val="20"/>
                <w:szCs w:val="20"/>
              </w:rPr>
            </w:pPr>
            <w:r w:rsidRPr="00F412B6">
              <w:rPr>
                <w:rFonts w:ascii="Arial Narrow" w:hAnsi="Arial Narrow"/>
                <w:sz w:val="20"/>
                <w:szCs w:val="20"/>
              </w:rPr>
              <w:t>-0.7 (-4.1, 2.8)</w:t>
            </w:r>
          </w:p>
        </w:tc>
      </w:tr>
    </w:tbl>
    <w:p w:rsidR="008729AC" w:rsidRPr="00F412B6" w:rsidRDefault="008729AC" w:rsidP="008729AC">
      <w:pPr>
        <w:rPr>
          <w:sz w:val="18"/>
          <w:szCs w:val="18"/>
        </w:rPr>
      </w:pPr>
      <w:r w:rsidRPr="00F412B6">
        <w:rPr>
          <w:rFonts w:ascii="Arial Narrow" w:hAnsi="Arial Narrow"/>
          <w:sz w:val="18"/>
          <w:szCs w:val="18"/>
        </w:rPr>
        <w:t>Source: Table 2.5.1, p.81 of the submission; clinical trial reports</w:t>
      </w:r>
    </w:p>
    <w:p w:rsidR="000017CB" w:rsidRPr="00F412B6" w:rsidRDefault="000017CB" w:rsidP="00420016">
      <w:pPr>
        <w:rPr>
          <w:sz w:val="18"/>
          <w:szCs w:val="18"/>
        </w:rPr>
      </w:pPr>
      <w:r>
        <w:rPr>
          <w:rFonts w:ascii="Arial Narrow" w:hAnsi="Arial Narrow"/>
          <w:sz w:val="18"/>
          <w:szCs w:val="18"/>
        </w:rPr>
        <w:t xml:space="preserve">Abbreviations: </w:t>
      </w:r>
      <w:r w:rsidR="00EF4EAD">
        <w:rPr>
          <w:rFonts w:ascii="Arial Narrow" w:hAnsi="Arial Narrow"/>
          <w:sz w:val="18"/>
          <w:szCs w:val="18"/>
        </w:rPr>
        <w:t xml:space="preserve">BRVO, </w:t>
      </w:r>
      <w:r w:rsidR="00EF4EAD" w:rsidRPr="00EF4EAD">
        <w:rPr>
          <w:rFonts w:ascii="Arial Narrow" w:hAnsi="Arial Narrow"/>
          <w:sz w:val="18"/>
          <w:szCs w:val="18"/>
        </w:rPr>
        <w:t>branch retinal vein occlusion</w:t>
      </w:r>
      <w:r w:rsidR="00EF4EAD">
        <w:rPr>
          <w:rFonts w:ascii="Arial Narrow" w:hAnsi="Arial Narrow"/>
          <w:sz w:val="18"/>
          <w:szCs w:val="18"/>
        </w:rPr>
        <w:t>;</w:t>
      </w:r>
      <w:r w:rsidR="006530B9">
        <w:rPr>
          <w:rFonts w:ascii="Arial Narrow" w:hAnsi="Arial Narrow"/>
          <w:sz w:val="18"/>
          <w:szCs w:val="18"/>
        </w:rPr>
        <w:t xml:space="preserve"> CI, confidence interval;</w:t>
      </w:r>
      <w:r w:rsidR="00EF4EAD">
        <w:rPr>
          <w:rFonts w:ascii="Arial Narrow" w:hAnsi="Arial Narrow"/>
          <w:sz w:val="18"/>
          <w:szCs w:val="18"/>
        </w:rPr>
        <w:t xml:space="preserve"> CRVO, central retinal vein occlusion; </w:t>
      </w:r>
      <w:r>
        <w:rPr>
          <w:rFonts w:ascii="Arial Narrow" w:hAnsi="Arial Narrow"/>
          <w:sz w:val="18"/>
          <w:szCs w:val="18"/>
        </w:rPr>
        <w:t>D</w:t>
      </w:r>
      <w:r w:rsidR="008729AC">
        <w:rPr>
          <w:rFonts w:ascii="Arial Narrow" w:hAnsi="Arial Narrow"/>
          <w:sz w:val="18"/>
          <w:szCs w:val="18"/>
        </w:rPr>
        <w:t>EX</w:t>
      </w:r>
      <w:r>
        <w:rPr>
          <w:rFonts w:ascii="Arial Narrow" w:hAnsi="Arial Narrow"/>
          <w:sz w:val="18"/>
          <w:szCs w:val="18"/>
        </w:rPr>
        <w:t>, dexamethasone implant; SD, standard deviation</w:t>
      </w:r>
    </w:p>
    <w:p w:rsidR="00420016" w:rsidRPr="000C6DD1" w:rsidRDefault="00420016" w:rsidP="00420016">
      <w:pPr>
        <w:widowControl/>
      </w:pPr>
    </w:p>
    <w:p w:rsidR="00AF4986" w:rsidRPr="00014E52" w:rsidRDefault="00AF4986" w:rsidP="00361734">
      <w:pPr>
        <w:pStyle w:val="ListParagraph"/>
        <w:widowControl/>
        <w:numPr>
          <w:ilvl w:val="1"/>
          <w:numId w:val="1"/>
        </w:numPr>
        <w:rPr>
          <w:rFonts w:cs="Calibri"/>
          <w:snapToGrid/>
          <w:szCs w:val="24"/>
          <w:lang w:val="en-US" w:eastAsia="en-AU"/>
        </w:rPr>
      </w:pPr>
      <w:r w:rsidRPr="00420016">
        <w:rPr>
          <w:rFonts w:cs="Calibri"/>
          <w:snapToGrid/>
          <w:szCs w:val="24"/>
          <w:lang w:val="en-US" w:eastAsia="en-AU"/>
        </w:rPr>
        <w:t xml:space="preserve">The mean improvement in </w:t>
      </w:r>
      <w:r>
        <w:rPr>
          <w:rFonts w:cs="Calibri"/>
          <w:snapToGrid/>
          <w:szCs w:val="24"/>
          <w:lang w:val="en-US" w:eastAsia="en-AU"/>
        </w:rPr>
        <w:t>BCVA</w:t>
      </w:r>
      <w:r w:rsidRPr="00420016">
        <w:rPr>
          <w:rFonts w:cs="Calibri"/>
          <w:snapToGrid/>
          <w:szCs w:val="24"/>
          <w:lang w:val="en-US" w:eastAsia="en-AU"/>
        </w:rPr>
        <w:t xml:space="preserve"> letters from baseline to month 1, 2, and 3 statistically significantly favoured dexamethasone implant over sham in all studies</w:t>
      </w:r>
      <w:r>
        <w:rPr>
          <w:rFonts w:cs="Calibri"/>
          <w:snapToGrid/>
          <w:szCs w:val="24"/>
          <w:lang w:val="en-US" w:eastAsia="en-AU"/>
        </w:rPr>
        <w:t xml:space="preserve">. </w:t>
      </w:r>
      <w:r w:rsidRPr="00420016">
        <w:rPr>
          <w:rFonts w:cs="Calibri"/>
          <w:snapToGrid/>
          <w:szCs w:val="24"/>
          <w:lang w:val="en-US" w:eastAsia="en-AU"/>
        </w:rPr>
        <w:t xml:space="preserve">The greatest change was measured at month 2, where the difference between treatment groups ranged from 6.4 to 8.9 letters. </w:t>
      </w:r>
      <w:r w:rsidRPr="00014E52">
        <w:rPr>
          <w:rFonts w:cs="Calibri"/>
          <w:snapToGrid/>
          <w:szCs w:val="24"/>
          <w:lang w:val="en-US" w:eastAsia="en-AU"/>
        </w:rPr>
        <w:t>The clinical importance of this difference was unclear. The treatment efficacy of dexamethasone implant beyond three months is unclear given that the key clinical trials did not report results at Month 4 and Month 5 and the results at Month 6 were not consistent between trials. As a consequence, the appropriate implant frequency in clinical practice remains unclear.</w:t>
      </w:r>
    </w:p>
    <w:p w:rsidR="00DD2A37" w:rsidRPr="00C1342C" w:rsidRDefault="004F0A6A" w:rsidP="00C1342C">
      <w:pPr>
        <w:pStyle w:val="ListParagraph"/>
        <w:widowControl/>
        <w:numPr>
          <w:ilvl w:val="1"/>
          <w:numId w:val="1"/>
        </w:numPr>
        <w:jc w:val="left"/>
        <w:rPr>
          <w:rFonts w:ascii="Arial Narrow" w:hAnsi="Arial Narrow"/>
          <w:b/>
          <w:sz w:val="20"/>
          <w:szCs w:val="20"/>
        </w:rPr>
      </w:pPr>
      <w:r w:rsidRPr="004F0A6A">
        <w:t xml:space="preserve">The proportion of </w:t>
      </w:r>
      <w:r w:rsidR="00BB0021">
        <w:t>eye</w:t>
      </w:r>
      <w:r w:rsidRPr="004F0A6A">
        <w:t xml:space="preserve">s gaining 15 or </w:t>
      </w:r>
      <w:r w:rsidR="00624AED">
        <w:t xml:space="preserve">more </w:t>
      </w:r>
      <w:r w:rsidRPr="004F0A6A">
        <w:t xml:space="preserve">letters in BCVA from baseline are summarised in Table </w:t>
      </w:r>
      <w:r w:rsidR="001E0B8F">
        <w:t>5</w:t>
      </w:r>
      <w:r w:rsidRPr="004F0A6A">
        <w:t>.</w:t>
      </w:r>
    </w:p>
    <w:p w:rsidR="00D005BF" w:rsidRDefault="00D005BF">
      <w:pPr>
        <w:widowControl/>
        <w:jc w:val="left"/>
        <w:rPr>
          <w:rFonts w:ascii="Arial Narrow" w:hAnsi="Arial Narrow"/>
          <w:b/>
          <w:sz w:val="20"/>
          <w:szCs w:val="20"/>
        </w:rPr>
      </w:pPr>
      <w:r>
        <w:rPr>
          <w:rFonts w:ascii="Arial Narrow" w:hAnsi="Arial Narrow"/>
          <w:b/>
          <w:sz w:val="20"/>
          <w:szCs w:val="20"/>
        </w:rPr>
        <w:br w:type="page"/>
      </w:r>
    </w:p>
    <w:p w:rsidR="008729AC" w:rsidRPr="003A5F07" w:rsidRDefault="008729AC" w:rsidP="008729AC">
      <w:pPr>
        <w:rPr>
          <w:rFonts w:ascii="Arial Narrow" w:hAnsi="Arial Narrow"/>
          <w:b/>
          <w:sz w:val="20"/>
          <w:szCs w:val="20"/>
        </w:rPr>
      </w:pPr>
      <w:r w:rsidRPr="003A5F07">
        <w:rPr>
          <w:rFonts w:ascii="Arial Narrow" w:hAnsi="Arial Narrow"/>
          <w:b/>
          <w:sz w:val="20"/>
          <w:szCs w:val="20"/>
        </w:rPr>
        <w:t xml:space="preserve">Table </w:t>
      </w:r>
      <w:r>
        <w:rPr>
          <w:rFonts w:ascii="Arial Narrow" w:hAnsi="Arial Narrow"/>
          <w:b/>
          <w:sz w:val="20"/>
          <w:szCs w:val="20"/>
        </w:rPr>
        <w:t>5</w:t>
      </w:r>
      <w:r w:rsidRPr="003A5F07">
        <w:rPr>
          <w:rFonts w:ascii="Arial Narrow" w:hAnsi="Arial Narrow"/>
          <w:b/>
          <w:sz w:val="20"/>
          <w:szCs w:val="20"/>
        </w:rPr>
        <w:t xml:space="preserve">: Proportion of </w:t>
      </w:r>
      <w:r>
        <w:rPr>
          <w:rFonts w:ascii="Arial Narrow" w:hAnsi="Arial Narrow"/>
          <w:b/>
          <w:sz w:val="20"/>
          <w:szCs w:val="20"/>
        </w:rPr>
        <w:t>eyes</w:t>
      </w:r>
      <w:r w:rsidRPr="003A5F07">
        <w:rPr>
          <w:rFonts w:ascii="Arial Narrow" w:hAnsi="Arial Narrow"/>
          <w:b/>
          <w:sz w:val="20"/>
          <w:szCs w:val="20"/>
        </w:rPr>
        <w:t xml:space="preserve"> gaining </w:t>
      </w:r>
      <w:r w:rsidRPr="003A5F07">
        <w:rPr>
          <w:rFonts w:ascii="Arial Narrow" w:hAnsi="Arial Narrow" w:cs="Calibri"/>
          <w:b/>
          <w:sz w:val="20"/>
          <w:szCs w:val="20"/>
        </w:rPr>
        <w:t>≥</w:t>
      </w:r>
      <w:r w:rsidRPr="003A5F07">
        <w:rPr>
          <w:rFonts w:ascii="Arial Narrow" w:hAnsi="Arial Narrow"/>
          <w:b/>
          <w:sz w:val="20"/>
          <w:szCs w:val="20"/>
        </w:rPr>
        <w:t xml:space="preserve">15 letters </w:t>
      </w:r>
      <w:r w:rsidR="00987EAC">
        <w:rPr>
          <w:rFonts w:ascii="Arial Narrow" w:hAnsi="Arial Narrow"/>
          <w:b/>
          <w:sz w:val="20"/>
          <w:szCs w:val="20"/>
        </w:rPr>
        <w:t xml:space="preserve">in best corrected visual acuity </w:t>
      </w:r>
      <w:r w:rsidRPr="003A5F07">
        <w:rPr>
          <w:rFonts w:ascii="Arial Narrow" w:hAnsi="Arial Narrow"/>
          <w:b/>
          <w:sz w:val="20"/>
          <w:szCs w:val="20"/>
        </w:rPr>
        <w:t xml:space="preserve">from baseline in GENEVA 008, GENEVA 009, and Trial 020: dexamethasone implant versus </w:t>
      </w:r>
      <w:r w:rsidR="00951837">
        <w:rPr>
          <w:rFonts w:ascii="Arial Narrow" w:hAnsi="Arial Narrow"/>
          <w:b/>
          <w:sz w:val="20"/>
          <w:szCs w:val="20"/>
        </w:rPr>
        <w:t>placebo (</w:t>
      </w:r>
      <w:r w:rsidRPr="003A5F07">
        <w:rPr>
          <w:rFonts w:ascii="Arial Narrow" w:hAnsi="Arial Narrow"/>
          <w:b/>
          <w:sz w:val="20"/>
          <w:szCs w:val="20"/>
        </w:rPr>
        <w:t>sham</w:t>
      </w:r>
      <w:r w:rsidR="00951837">
        <w:rPr>
          <w:rFonts w:ascii="Arial Narrow" w:hAnsi="Arial Narrow"/>
          <w:b/>
          <w:sz w:val="20"/>
          <w:szCs w:val="20"/>
        </w:rPr>
        <w:t>) in BRVO/CRVO</w:t>
      </w:r>
    </w:p>
    <w:tbl>
      <w:tblPr>
        <w:tblStyle w:val="TableGrid"/>
        <w:tblW w:w="0" w:type="auto"/>
        <w:tblCellMar>
          <w:left w:w="57" w:type="dxa"/>
          <w:right w:w="57" w:type="dxa"/>
        </w:tblCellMar>
        <w:tblLook w:val="04A0" w:firstRow="1" w:lastRow="0" w:firstColumn="1" w:lastColumn="0" w:noHBand="0" w:noVBand="1"/>
        <w:tblCaption w:val="Table 5: Proportion of eyes gaining ≥15 letters in best corrected visual acuity from baseline in GENEVA 008, GENEVA 009, and Trial 020: dexamethasone implant versus placebo (sham) in BRVO/CRVO"/>
      </w:tblPr>
      <w:tblGrid>
        <w:gridCol w:w="2503"/>
        <w:gridCol w:w="1106"/>
        <w:gridCol w:w="1106"/>
        <w:gridCol w:w="1107"/>
        <w:gridCol w:w="1106"/>
        <w:gridCol w:w="1106"/>
        <w:gridCol w:w="1107"/>
      </w:tblGrid>
      <w:tr w:rsidR="008729AC" w:rsidRPr="008340BB" w:rsidTr="001D074A">
        <w:trPr>
          <w:tblHeader/>
        </w:trPr>
        <w:tc>
          <w:tcPr>
            <w:tcW w:w="0" w:type="auto"/>
            <w:vMerge w:val="restart"/>
          </w:tcPr>
          <w:p w:rsidR="008729AC" w:rsidRPr="000C6DD1" w:rsidRDefault="008729AC" w:rsidP="005D5666">
            <w:pPr>
              <w:jc w:val="left"/>
              <w:rPr>
                <w:rFonts w:ascii="Arial Narrow" w:hAnsi="Arial Narrow"/>
                <w:sz w:val="20"/>
                <w:szCs w:val="20"/>
              </w:rPr>
            </w:pPr>
          </w:p>
        </w:tc>
        <w:tc>
          <w:tcPr>
            <w:tcW w:w="22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Default="008729AC" w:rsidP="005D5666">
            <w:pPr>
              <w:jc w:val="center"/>
              <w:rPr>
                <w:rFonts w:ascii="Arial Narrow" w:hAnsi="Arial Narrow" w:cstheme="minorHAnsi"/>
                <w:b/>
                <w:sz w:val="20"/>
                <w:szCs w:val="20"/>
                <w:lang w:eastAsia="zh-CN"/>
              </w:rPr>
            </w:pPr>
            <w:r w:rsidRPr="000C6DD1">
              <w:rPr>
                <w:rFonts w:ascii="Arial Narrow" w:hAnsi="Arial Narrow" w:cstheme="minorHAnsi"/>
                <w:b/>
                <w:sz w:val="20"/>
                <w:szCs w:val="20"/>
                <w:lang w:eastAsia="zh-CN"/>
              </w:rPr>
              <w:t>GENEVA 008</w:t>
            </w:r>
          </w:p>
          <w:p w:rsidR="00AF28BB" w:rsidRPr="000C6DD1" w:rsidRDefault="00AF28BB" w:rsidP="005D5666">
            <w:pPr>
              <w:jc w:val="center"/>
              <w:rPr>
                <w:rFonts w:ascii="Arial Narrow" w:hAnsi="Arial Narrow"/>
                <w:sz w:val="20"/>
                <w:szCs w:val="20"/>
              </w:rPr>
            </w:pPr>
            <w:r>
              <w:rPr>
                <w:rFonts w:ascii="Arial Narrow" w:hAnsi="Arial Narrow" w:cstheme="minorHAnsi"/>
                <w:b/>
                <w:sz w:val="20"/>
                <w:szCs w:val="20"/>
                <w:lang w:eastAsia="zh-CN"/>
              </w:rPr>
              <w:t>(BRVO/CRVO)</w:t>
            </w:r>
          </w:p>
        </w:tc>
        <w:tc>
          <w:tcPr>
            <w:tcW w:w="22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Default="008729AC" w:rsidP="005D5666">
            <w:pPr>
              <w:jc w:val="center"/>
              <w:rPr>
                <w:rFonts w:ascii="Arial Narrow" w:hAnsi="Arial Narrow" w:cstheme="minorHAnsi"/>
                <w:b/>
                <w:sz w:val="20"/>
                <w:szCs w:val="20"/>
                <w:lang w:eastAsia="zh-CN"/>
              </w:rPr>
            </w:pPr>
            <w:r w:rsidRPr="000C6DD1">
              <w:rPr>
                <w:rFonts w:ascii="Arial Narrow" w:hAnsi="Arial Narrow" w:cstheme="minorHAnsi"/>
                <w:b/>
                <w:sz w:val="20"/>
                <w:szCs w:val="20"/>
                <w:lang w:eastAsia="zh-CN"/>
              </w:rPr>
              <w:t>GENEVA 009</w:t>
            </w:r>
          </w:p>
          <w:p w:rsidR="00AF28BB" w:rsidRPr="000C6DD1" w:rsidRDefault="00AF28BB" w:rsidP="005D5666">
            <w:pPr>
              <w:jc w:val="center"/>
              <w:rPr>
                <w:rFonts w:ascii="Arial Narrow" w:hAnsi="Arial Narrow"/>
                <w:sz w:val="20"/>
                <w:szCs w:val="20"/>
              </w:rPr>
            </w:pPr>
            <w:r>
              <w:rPr>
                <w:rFonts w:ascii="Arial Narrow" w:hAnsi="Arial Narrow" w:cstheme="minorHAnsi"/>
                <w:b/>
                <w:sz w:val="20"/>
                <w:szCs w:val="20"/>
                <w:lang w:eastAsia="zh-CN"/>
              </w:rPr>
              <w:t>(BRVO/CRVO)</w:t>
            </w:r>
          </w:p>
        </w:tc>
        <w:tc>
          <w:tcPr>
            <w:tcW w:w="2213" w:type="dxa"/>
            <w:gridSpan w:val="2"/>
            <w:tcBorders>
              <w:left w:val="single" w:sz="4" w:space="0" w:color="auto"/>
            </w:tcBorders>
            <w:shd w:val="clear" w:color="auto" w:fill="FFFFFF" w:themeFill="background1"/>
            <w:vAlign w:val="center"/>
          </w:tcPr>
          <w:p w:rsidR="008729AC" w:rsidRDefault="008729AC" w:rsidP="005D5666">
            <w:pPr>
              <w:jc w:val="center"/>
              <w:rPr>
                <w:rFonts w:ascii="Arial Narrow" w:hAnsi="Arial Narrow" w:cstheme="minorHAnsi"/>
                <w:b/>
                <w:sz w:val="20"/>
                <w:szCs w:val="20"/>
                <w:lang w:eastAsia="zh-CN"/>
              </w:rPr>
            </w:pPr>
            <w:r w:rsidRPr="000C6DD1">
              <w:rPr>
                <w:rFonts w:ascii="Arial Narrow" w:hAnsi="Arial Narrow" w:cstheme="minorHAnsi"/>
                <w:b/>
                <w:sz w:val="20"/>
                <w:szCs w:val="20"/>
                <w:lang w:eastAsia="zh-CN"/>
              </w:rPr>
              <w:t>Trial 020</w:t>
            </w:r>
          </w:p>
          <w:p w:rsidR="00AF28BB" w:rsidRPr="000C6DD1" w:rsidRDefault="00AF28BB" w:rsidP="005D5666">
            <w:pPr>
              <w:jc w:val="center"/>
              <w:rPr>
                <w:rFonts w:ascii="Arial Narrow" w:hAnsi="Arial Narrow"/>
                <w:sz w:val="20"/>
                <w:szCs w:val="20"/>
              </w:rPr>
            </w:pPr>
            <w:r>
              <w:rPr>
                <w:rFonts w:ascii="Arial Narrow" w:hAnsi="Arial Narrow" w:cstheme="minorHAnsi"/>
                <w:b/>
                <w:sz w:val="20"/>
                <w:szCs w:val="20"/>
                <w:lang w:eastAsia="zh-CN"/>
              </w:rPr>
              <w:t>(BRVO/CRVO)</w:t>
            </w:r>
          </w:p>
        </w:tc>
      </w:tr>
      <w:tr w:rsidR="008729AC" w:rsidRPr="008340BB" w:rsidTr="001D074A">
        <w:trPr>
          <w:tblHeader/>
        </w:trPr>
        <w:tc>
          <w:tcPr>
            <w:tcW w:w="0" w:type="auto"/>
            <w:vMerge/>
          </w:tcPr>
          <w:p w:rsidR="008729AC" w:rsidRPr="000C6DD1" w:rsidRDefault="008729AC" w:rsidP="005D5666">
            <w:pPr>
              <w:jc w:val="left"/>
              <w:rPr>
                <w:rFonts w:ascii="Arial Narrow" w:hAnsi="Arial Narrow"/>
                <w:sz w:val="20"/>
                <w:szCs w:val="20"/>
              </w:rPr>
            </w:pP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C6DD1" w:rsidRDefault="008729AC" w:rsidP="005D5666">
            <w:pPr>
              <w:jc w:val="center"/>
              <w:rPr>
                <w:rFonts w:ascii="Arial Narrow" w:hAnsi="Arial Narrow"/>
                <w:b/>
                <w:sz w:val="20"/>
                <w:szCs w:val="20"/>
              </w:rPr>
            </w:pPr>
            <w:r w:rsidRPr="000C6DD1">
              <w:rPr>
                <w:rFonts w:ascii="Arial Narrow" w:hAnsi="Arial Narrow" w:cstheme="minorHAnsi"/>
                <w:b/>
                <w:sz w:val="20"/>
                <w:szCs w:val="20"/>
              </w:rPr>
              <w:t>DEX 700 (N=201)</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C6DD1" w:rsidRDefault="008729AC" w:rsidP="005D5666">
            <w:pPr>
              <w:jc w:val="center"/>
              <w:rPr>
                <w:rFonts w:ascii="Arial Narrow" w:hAnsi="Arial Narrow"/>
                <w:b/>
                <w:sz w:val="20"/>
                <w:szCs w:val="20"/>
              </w:rPr>
            </w:pPr>
            <w:r w:rsidRPr="000C6DD1">
              <w:rPr>
                <w:rFonts w:ascii="Arial Narrow" w:hAnsi="Arial Narrow" w:cstheme="minorHAnsi"/>
                <w:b/>
                <w:sz w:val="20"/>
                <w:szCs w:val="20"/>
              </w:rPr>
              <w:t>Sham (N=202)</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C6DD1" w:rsidRDefault="008729AC" w:rsidP="005D5666">
            <w:pPr>
              <w:jc w:val="center"/>
              <w:rPr>
                <w:rFonts w:ascii="Arial Narrow" w:hAnsi="Arial Narrow"/>
                <w:b/>
                <w:sz w:val="20"/>
                <w:szCs w:val="20"/>
              </w:rPr>
            </w:pPr>
            <w:r w:rsidRPr="000C6DD1">
              <w:rPr>
                <w:rFonts w:ascii="Arial Narrow" w:hAnsi="Arial Narrow" w:cstheme="minorHAnsi"/>
                <w:b/>
                <w:sz w:val="20"/>
                <w:szCs w:val="20"/>
              </w:rPr>
              <w:t>DEX 700 (N=226)</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C6DD1" w:rsidRDefault="008729AC" w:rsidP="005D5666">
            <w:pPr>
              <w:jc w:val="center"/>
              <w:rPr>
                <w:rFonts w:ascii="Arial Narrow" w:hAnsi="Arial Narrow"/>
                <w:b/>
                <w:sz w:val="20"/>
                <w:szCs w:val="20"/>
              </w:rPr>
            </w:pPr>
            <w:r w:rsidRPr="000C6DD1">
              <w:rPr>
                <w:rFonts w:ascii="Arial Narrow" w:hAnsi="Arial Narrow" w:cstheme="minorHAnsi"/>
                <w:b/>
                <w:sz w:val="20"/>
                <w:szCs w:val="20"/>
              </w:rPr>
              <w:t>Sham (N=224)</w:t>
            </w:r>
          </w:p>
        </w:tc>
        <w:tc>
          <w:tcPr>
            <w:tcW w:w="1106" w:type="dxa"/>
            <w:tcBorders>
              <w:left w:val="single" w:sz="4" w:space="0" w:color="auto"/>
            </w:tcBorders>
            <w:shd w:val="clear" w:color="auto" w:fill="FFFFFF" w:themeFill="background1"/>
            <w:vAlign w:val="center"/>
          </w:tcPr>
          <w:p w:rsidR="008729AC" w:rsidRPr="000C6DD1" w:rsidRDefault="008729AC" w:rsidP="005D5666">
            <w:pPr>
              <w:jc w:val="center"/>
              <w:rPr>
                <w:rFonts w:ascii="Arial Narrow" w:hAnsi="Arial Narrow" w:cstheme="minorHAnsi"/>
                <w:b/>
                <w:sz w:val="20"/>
                <w:szCs w:val="20"/>
              </w:rPr>
            </w:pPr>
            <w:r w:rsidRPr="000C6DD1">
              <w:rPr>
                <w:rFonts w:ascii="Arial Narrow" w:hAnsi="Arial Narrow" w:cstheme="minorHAnsi"/>
                <w:b/>
                <w:sz w:val="20"/>
                <w:szCs w:val="20"/>
              </w:rPr>
              <w:t>DEX</w:t>
            </w:r>
          </w:p>
          <w:p w:rsidR="008729AC" w:rsidRPr="000C6DD1" w:rsidRDefault="008729AC" w:rsidP="005D5666">
            <w:pPr>
              <w:jc w:val="center"/>
              <w:rPr>
                <w:rFonts w:ascii="Arial Narrow" w:hAnsi="Arial Narrow"/>
                <w:b/>
                <w:sz w:val="20"/>
                <w:szCs w:val="20"/>
              </w:rPr>
            </w:pPr>
            <w:r w:rsidRPr="000C6DD1">
              <w:rPr>
                <w:rFonts w:ascii="Arial Narrow" w:hAnsi="Arial Narrow" w:cstheme="minorHAnsi"/>
                <w:b/>
                <w:sz w:val="20"/>
                <w:szCs w:val="20"/>
              </w:rPr>
              <w:t>(N=129)</w:t>
            </w:r>
          </w:p>
        </w:tc>
        <w:tc>
          <w:tcPr>
            <w:tcW w:w="1107" w:type="dxa"/>
            <w:tcBorders>
              <w:left w:val="single" w:sz="4" w:space="0" w:color="auto"/>
            </w:tcBorders>
            <w:shd w:val="clear" w:color="auto" w:fill="FFFFFF" w:themeFill="background1"/>
            <w:vAlign w:val="center"/>
          </w:tcPr>
          <w:p w:rsidR="008729AC" w:rsidRPr="000C6DD1" w:rsidRDefault="008729AC" w:rsidP="005D5666">
            <w:pPr>
              <w:jc w:val="center"/>
              <w:rPr>
                <w:rFonts w:ascii="Arial Narrow" w:hAnsi="Arial Narrow"/>
                <w:b/>
                <w:sz w:val="20"/>
                <w:szCs w:val="20"/>
              </w:rPr>
            </w:pPr>
            <w:r w:rsidRPr="000C6DD1">
              <w:rPr>
                <w:rFonts w:ascii="Arial Narrow" w:hAnsi="Arial Narrow" w:cstheme="minorHAnsi"/>
                <w:b/>
                <w:sz w:val="20"/>
                <w:szCs w:val="20"/>
              </w:rPr>
              <w:t>Sham (N=130)</w:t>
            </w:r>
          </w:p>
        </w:tc>
      </w:tr>
      <w:tr w:rsidR="008729AC" w:rsidRPr="008340BB" w:rsidTr="008729AC">
        <w:tc>
          <w:tcPr>
            <w:tcW w:w="0" w:type="auto"/>
            <w:gridSpan w:val="7"/>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b/>
                <w:sz w:val="20"/>
                <w:szCs w:val="20"/>
                <w:lang w:eastAsia="zh-CN"/>
              </w:rPr>
              <w:t>Month 1</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rPr>
              <w:t xml:space="preserve">Number (%) of patients with ≥15 letter gain in BCVA </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40 (19.9)</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15 (7.4)</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51 (22.6)</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17 (7.6)</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37 (28.7)</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7 (5.4)</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lang w:eastAsia="zh-CN"/>
              </w:rPr>
              <w:t>Difference (95% CI)</w:t>
            </w:r>
          </w:p>
        </w:tc>
        <w:tc>
          <w:tcPr>
            <w:tcW w:w="2212"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12.5 (5.9, 19.1)</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15.0 (8.5, 21.4)</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23.3 (14.6, 32.0)</w:t>
            </w:r>
          </w:p>
        </w:tc>
      </w:tr>
      <w:tr w:rsidR="008729AC" w:rsidRPr="008340BB" w:rsidTr="008729AC">
        <w:tc>
          <w:tcPr>
            <w:tcW w:w="0" w:type="auto"/>
            <w:gridSpan w:val="7"/>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b/>
                <w:sz w:val="20"/>
                <w:szCs w:val="20"/>
                <w:lang w:eastAsia="zh-CN"/>
              </w:rPr>
              <w:t>Month 2</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rPr>
              <w:t xml:space="preserve">Number (%) of patients with ≥15 letter gain in BCVA </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58 (28.9)</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21 (10.4)</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67 (29.6)</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27 (12.1)</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45 (34.9)</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15 (11.5)</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lang w:eastAsia="zh-CN"/>
              </w:rPr>
              <w:t>Difference (95% CI)</w:t>
            </w:r>
          </w:p>
        </w:tc>
        <w:tc>
          <w:tcPr>
            <w:tcW w:w="2212"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18.5 (10.9, 26.0)</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17.6 (10.3, 24.9)</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23.3 (13.5, 33.2)</w:t>
            </w:r>
          </w:p>
        </w:tc>
      </w:tr>
      <w:tr w:rsidR="008729AC" w:rsidRPr="008340BB" w:rsidTr="008729AC">
        <w:tc>
          <w:tcPr>
            <w:tcW w:w="0" w:type="auto"/>
            <w:gridSpan w:val="7"/>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b/>
                <w:sz w:val="20"/>
                <w:szCs w:val="20"/>
                <w:lang w:eastAsia="zh-CN"/>
              </w:rPr>
              <w:t>Month 3</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rPr>
              <w:t xml:space="preserve">Number (%) of patients with ≥15 letter gain in BCVA </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45 (22.4)</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25 (12.4)</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48 (21.2)</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31 (13.8)</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43 (33.3)</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17 (13.1)</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lang w:eastAsia="zh-CN"/>
              </w:rPr>
              <w:t>Difference (95% CI)</w:t>
            </w:r>
          </w:p>
        </w:tc>
        <w:tc>
          <w:tcPr>
            <w:tcW w:w="2212"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10.0 (2.7, 17.3)</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7.4 (0.4, 14.4)</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20.3 (10.3, 30.2)</w:t>
            </w:r>
          </w:p>
        </w:tc>
      </w:tr>
      <w:tr w:rsidR="008729AC" w:rsidRPr="008340BB" w:rsidTr="008729AC">
        <w:tc>
          <w:tcPr>
            <w:tcW w:w="0" w:type="auto"/>
            <w:gridSpan w:val="7"/>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b/>
                <w:sz w:val="20"/>
                <w:szCs w:val="20"/>
                <w:lang w:eastAsia="zh-CN"/>
              </w:rPr>
              <w:t>Month 6</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rPr>
              <w:t xml:space="preserve">Number (%) of patients with ≥15 letter gain in BCVA </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39 (19.4)</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37 (18.3)</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53 (23.5)</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38 (17.0)</w:t>
            </w:r>
          </w:p>
        </w:tc>
        <w:tc>
          <w:tcPr>
            <w:tcW w:w="1106"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30 (23.3)</w:t>
            </w:r>
          </w:p>
        </w:tc>
        <w:tc>
          <w:tcPr>
            <w:tcW w:w="1107" w:type="dxa"/>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27 (20.8)</w:t>
            </w:r>
          </w:p>
        </w:tc>
      </w:tr>
      <w:tr w:rsidR="008729AC" w:rsidRPr="008340BB" w:rsidTr="008729AC">
        <w:tc>
          <w:tcPr>
            <w:tcW w:w="0" w:type="auto"/>
            <w:vAlign w:val="center"/>
          </w:tcPr>
          <w:p w:rsidR="008729AC" w:rsidRPr="000C6DD1" w:rsidRDefault="008729AC" w:rsidP="005D5666">
            <w:pPr>
              <w:jc w:val="left"/>
              <w:rPr>
                <w:rFonts w:ascii="Arial Narrow" w:hAnsi="Arial Narrow"/>
                <w:sz w:val="20"/>
                <w:szCs w:val="20"/>
              </w:rPr>
            </w:pPr>
            <w:r w:rsidRPr="000C6DD1">
              <w:rPr>
                <w:rFonts w:ascii="Arial Narrow" w:hAnsi="Arial Narrow" w:cstheme="minorHAnsi"/>
                <w:sz w:val="20"/>
                <w:szCs w:val="20"/>
                <w:lang w:eastAsia="zh-CN"/>
              </w:rPr>
              <w:t>Difference (95% CI)</w:t>
            </w:r>
          </w:p>
        </w:tc>
        <w:tc>
          <w:tcPr>
            <w:tcW w:w="2212"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1.1 (-6.6, 8.7)</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6.5 (-0.9, 13.9)</w:t>
            </w:r>
          </w:p>
        </w:tc>
        <w:tc>
          <w:tcPr>
            <w:tcW w:w="2213" w:type="dxa"/>
            <w:gridSpan w:val="2"/>
            <w:vAlign w:val="center"/>
          </w:tcPr>
          <w:p w:rsidR="008729AC" w:rsidRPr="000C6DD1" w:rsidRDefault="008729AC" w:rsidP="005D5666">
            <w:pPr>
              <w:jc w:val="center"/>
              <w:rPr>
                <w:rFonts w:ascii="Arial Narrow" w:hAnsi="Arial Narrow"/>
                <w:sz w:val="20"/>
                <w:szCs w:val="20"/>
              </w:rPr>
            </w:pPr>
            <w:r w:rsidRPr="000C6DD1">
              <w:rPr>
                <w:rFonts w:ascii="Arial Narrow" w:hAnsi="Arial Narrow" w:cstheme="minorHAnsi"/>
                <w:sz w:val="20"/>
                <w:szCs w:val="20"/>
              </w:rPr>
              <w:t>2.5 (-7.6, 12.6)</w:t>
            </w:r>
          </w:p>
        </w:tc>
      </w:tr>
    </w:tbl>
    <w:p w:rsidR="008729AC" w:rsidRDefault="008729AC" w:rsidP="008729AC">
      <w:pPr>
        <w:pStyle w:val="TableFooter"/>
      </w:pPr>
      <w:r>
        <w:t>Source: Table 2.5.4, p.87 of the submission</w:t>
      </w:r>
    </w:p>
    <w:p w:rsidR="00AF28BB" w:rsidRPr="00F412B6" w:rsidRDefault="00AF28BB" w:rsidP="00AF28BB">
      <w:pPr>
        <w:rPr>
          <w:sz w:val="18"/>
          <w:szCs w:val="18"/>
        </w:rPr>
      </w:pPr>
      <w:r>
        <w:rPr>
          <w:rFonts w:ascii="Arial Narrow" w:hAnsi="Arial Narrow"/>
          <w:sz w:val="18"/>
          <w:szCs w:val="18"/>
        </w:rPr>
        <w:t xml:space="preserve">Abbreviations: BCVA, best corrected visual acuity; BRVO, </w:t>
      </w:r>
      <w:r w:rsidRPr="00EF4EAD">
        <w:rPr>
          <w:rFonts w:ascii="Arial Narrow" w:hAnsi="Arial Narrow"/>
          <w:sz w:val="18"/>
          <w:szCs w:val="18"/>
        </w:rPr>
        <w:t>branch retinal vein occlusion</w:t>
      </w:r>
      <w:r>
        <w:rPr>
          <w:rFonts w:ascii="Arial Narrow" w:hAnsi="Arial Narrow"/>
          <w:sz w:val="18"/>
          <w:szCs w:val="18"/>
        </w:rPr>
        <w:t>; CI, confidence interval; CRVO, central retinal vein occlusion; DEX, dexamethasone implant</w:t>
      </w:r>
    </w:p>
    <w:p w:rsidR="004F0A6A" w:rsidRPr="004F0A6A" w:rsidRDefault="004F0A6A" w:rsidP="004F0A6A">
      <w:pPr>
        <w:widowControl/>
      </w:pPr>
    </w:p>
    <w:p w:rsidR="004F0A6A" w:rsidRPr="00014E52" w:rsidRDefault="004F0A6A" w:rsidP="00361734">
      <w:pPr>
        <w:pStyle w:val="ListParagraph"/>
        <w:widowControl/>
        <w:numPr>
          <w:ilvl w:val="1"/>
          <w:numId w:val="1"/>
        </w:numPr>
      </w:pPr>
      <w:r w:rsidRPr="004F0A6A">
        <w:t xml:space="preserve">The proportion of eyes which achieved a ≥15 letter change from baseline BCVA was greater in the dexamethasone implant group than in the sham group in each of the trials from month 1 to month 3. There was no statistically significant difference between groups at month 6. </w:t>
      </w:r>
      <w:r w:rsidRPr="00014E52">
        <w:t xml:space="preserve">Overall, the proportion of </w:t>
      </w:r>
      <w:r w:rsidR="00BB0021" w:rsidRPr="00014E52">
        <w:t>eye</w:t>
      </w:r>
      <w:r w:rsidRPr="00014E52">
        <w:t>s gaining ≥15 letters was low in both dexamethasone implant and sham treatment groups across trials.</w:t>
      </w:r>
    </w:p>
    <w:p w:rsidR="001E0B8F" w:rsidRPr="00420016" w:rsidRDefault="001E0B8F" w:rsidP="00361734">
      <w:pPr>
        <w:pStyle w:val="ListParagraph"/>
        <w:widowControl/>
        <w:numPr>
          <w:ilvl w:val="1"/>
          <w:numId w:val="1"/>
        </w:numPr>
      </w:pPr>
      <w:r>
        <w:t>In a pooled analysis of the GENEVA trials comparing dexamethasone implant with sham, t</w:t>
      </w:r>
      <w:r w:rsidRPr="00420016">
        <w:t>reatment with dexamethasone implant was associated with a statistically significantly faster time to achieve an improvement of ≥15 letters BCVA from baseline (log-rank test p &lt;0.001). At day 180, the cumulative response rate was 41% in the dexamethasone implant 700 µg gr</w:t>
      </w:r>
      <w:r w:rsidR="00624AED">
        <w:t>oup, and 23% in the sham group.</w:t>
      </w:r>
    </w:p>
    <w:p w:rsidR="001E0B8F" w:rsidRPr="001E0B8F" w:rsidRDefault="001E0B8F" w:rsidP="00361734">
      <w:pPr>
        <w:pStyle w:val="ListParagraph"/>
        <w:widowControl/>
        <w:numPr>
          <w:ilvl w:val="1"/>
          <w:numId w:val="1"/>
        </w:numPr>
      </w:pPr>
      <w:r>
        <w:t>In Trial 020 comparing dexamethasone implant with sham, t</w:t>
      </w:r>
      <w:r w:rsidRPr="00420016">
        <w:t xml:space="preserve">reatment with dexamethasone implant was associated with a statistically significantly faster time to achieve an improvement of ≥15 letters BCVA from baseline (log-rank test p &lt;0.001). The estimated hazard ratio from a Cox regression model adjusted for baseline retinal vein occlusion diagnosis (BRVO or CRVO), age, </w:t>
      </w:r>
      <w:r w:rsidRPr="00B574A9">
        <w:t>and sex was 2.4 (95% CI: 1.6</w:t>
      </w:r>
      <w:r w:rsidR="00C46AC5">
        <w:t xml:space="preserve">, </w:t>
      </w:r>
      <w:r w:rsidR="00624AED">
        <w:t>3.7).</w:t>
      </w:r>
    </w:p>
    <w:p w:rsidR="00D707EF" w:rsidRDefault="00B574A9" w:rsidP="00361734">
      <w:pPr>
        <w:pStyle w:val="ListParagraph"/>
        <w:widowControl/>
        <w:numPr>
          <w:ilvl w:val="1"/>
          <w:numId w:val="1"/>
        </w:numPr>
      </w:pPr>
      <w:r w:rsidRPr="00B574A9">
        <w:rPr>
          <w:rFonts w:cs="Calibri"/>
          <w:snapToGrid/>
          <w:szCs w:val="24"/>
          <w:lang w:val="en-US" w:eastAsia="en-AU"/>
        </w:rPr>
        <w:t xml:space="preserve">There were no statistically signiﬁcant improvements observed in the dexamethasone implant group compared with the sham group in the change from baseline to </w:t>
      </w:r>
      <w:r>
        <w:rPr>
          <w:rFonts w:cs="Calibri"/>
          <w:snapToGrid/>
          <w:szCs w:val="24"/>
          <w:lang w:val="en-US" w:eastAsia="en-AU"/>
        </w:rPr>
        <w:t>m</w:t>
      </w:r>
      <w:r w:rsidRPr="00B574A9">
        <w:rPr>
          <w:rFonts w:cs="Calibri"/>
          <w:snapToGrid/>
          <w:szCs w:val="24"/>
          <w:lang w:val="en-US" w:eastAsia="en-AU"/>
        </w:rPr>
        <w:t xml:space="preserve">onths 1, 2, 3 or 6 in the </w:t>
      </w:r>
      <w:r w:rsidR="001E0B8F" w:rsidRPr="001E0B8F">
        <w:rPr>
          <w:rFonts w:cs="Calibri"/>
          <w:snapToGrid/>
          <w:szCs w:val="24"/>
          <w:lang w:val="en-US" w:eastAsia="en-AU"/>
        </w:rPr>
        <w:t>Visual Function Q</w:t>
      </w:r>
      <w:r w:rsidR="001E0B8F">
        <w:rPr>
          <w:rFonts w:cs="Calibri"/>
          <w:snapToGrid/>
          <w:szCs w:val="24"/>
          <w:lang w:val="en-US" w:eastAsia="en-AU"/>
        </w:rPr>
        <w:t>uestionnaire-25 composite score</w:t>
      </w:r>
      <w:r w:rsidR="001E0B8F" w:rsidRPr="001E0B8F">
        <w:rPr>
          <w:rFonts w:cs="Calibri"/>
          <w:snapToGrid/>
          <w:szCs w:val="24"/>
          <w:lang w:val="en-US" w:eastAsia="en-AU"/>
        </w:rPr>
        <w:t xml:space="preserve"> </w:t>
      </w:r>
      <w:r w:rsidRPr="00B574A9">
        <w:rPr>
          <w:rFonts w:cs="Calibri"/>
          <w:snapToGrid/>
          <w:szCs w:val="24"/>
          <w:lang w:val="en-US" w:eastAsia="en-AU"/>
        </w:rPr>
        <w:t>in GENEVA-008 or GENEVA-009, or in the s</w:t>
      </w:r>
      <w:r w:rsidR="00624AED">
        <w:rPr>
          <w:rFonts w:cs="Calibri"/>
          <w:snapToGrid/>
          <w:szCs w:val="24"/>
          <w:lang w:val="en-US" w:eastAsia="en-AU"/>
        </w:rPr>
        <w:t>ubscores reported in Trial 020.</w:t>
      </w:r>
    </w:p>
    <w:p w:rsidR="00B574A9" w:rsidRPr="00B574A9" w:rsidRDefault="00B574A9" w:rsidP="00361734">
      <w:pPr>
        <w:pStyle w:val="ListParagraph"/>
        <w:widowControl/>
        <w:numPr>
          <w:ilvl w:val="1"/>
          <w:numId w:val="1"/>
        </w:numPr>
      </w:pPr>
      <w:r w:rsidRPr="00B574A9">
        <w:t xml:space="preserve">Table </w:t>
      </w:r>
      <w:r w:rsidR="00336ADD">
        <w:t>6</w:t>
      </w:r>
      <w:r w:rsidRPr="00B574A9">
        <w:t xml:space="preserve"> summarises the mean change in </w:t>
      </w:r>
      <w:r w:rsidR="008317CD">
        <w:t>BCVA</w:t>
      </w:r>
      <w:r w:rsidRPr="00B574A9">
        <w:t xml:space="preserve"> (number of letters gained) from baseline in </w:t>
      </w:r>
      <w:r w:rsidR="00336ADD">
        <w:t>the trials comparing dexamethasone implant with ranibizumab (</w:t>
      </w:r>
      <w:r w:rsidRPr="00B574A9">
        <w:t>COMO, COMRADE-B, and COMRADE-C</w:t>
      </w:r>
      <w:r w:rsidR="00336ADD">
        <w:t>)</w:t>
      </w:r>
      <w:r w:rsidRPr="00B574A9">
        <w:t>.</w:t>
      </w:r>
    </w:p>
    <w:p w:rsidR="008729AC" w:rsidRPr="003C3ED3" w:rsidRDefault="008729AC" w:rsidP="008729AC">
      <w:pPr>
        <w:rPr>
          <w:rFonts w:ascii="Arial Narrow" w:hAnsi="Arial Narrow"/>
          <w:b/>
          <w:sz w:val="20"/>
          <w:szCs w:val="20"/>
        </w:rPr>
      </w:pPr>
      <w:r w:rsidRPr="003C3ED3">
        <w:rPr>
          <w:rFonts w:ascii="Arial Narrow" w:hAnsi="Arial Narrow"/>
          <w:b/>
          <w:sz w:val="20"/>
          <w:szCs w:val="20"/>
        </w:rPr>
        <w:t xml:space="preserve">Table </w:t>
      </w:r>
      <w:r>
        <w:rPr>
          <w:rFonts w:ascii="Arial Narrow" w:hAnsi="Arial Narrow"/>
          <w:b/>
          <w:sz w:val="20"/>
          <w:szCs w:val="20"/>
        </w:rPr>
        <w:t>6</w:t>
      </w:r>
      <w:r w:rsidRPr="003C3ED3">
        <w:rPr>
          <w:rFonts w:ascii="Arial Narrow" w:hAnsi="Arial Narrow"/>
          <w:b/>
          <w:sz w:val="20"/>
          <w:szCs w:val="20"/>
        </w:rPr>
        <w:t xml:space="preserve">: Change in </w:t>
      </w:r>
      <w:r w:rsidR="00987EAC">
        <w:rPr>
          <w:rFonts w:ascii="Arial Narrow" w:hAnsi="Arial Narrow"/>
          <w:b/>
          <w:sz w:val="20"/>
          <w:szCs w:val="20"/>
        </w:rPr>
        <w:t xml:space="preserve">best corrected visual acuity </w:t>
      </w:r>
      <w:r w:rsidRPr="003C3ED3">
        <w:rPr>
          <w:rFonts w:ascii="Arial Narrow" w:hAnsi="Arial Narrow"/>
          <w:b/>
          <w:sz w:val="20"/>
          <w:szCs w:val="20"/>
        </w:rPr>
        <w:t>from baseline in COMO</w:t>
      </w:r>
      <w:r w:rsidR="00951837">
        <w:rPr>
          <w:rFonts w:ascii="Arial Narrow" w:hAnsi="Arial Narrow"/>
          <w:b/>
          <w:sz w:val="20"/>
          <w:szCs w:val="20"/>
        </w:rPr>
        <w:t xml:space="preserve"> (BRVO)</w:t>
      </w:r>
      <w:r w:rsidRPr="003C3ED3">
        <w:rPr>
          <w:rFonts w:ascii="Arial Narrow" w:hAnsi="Arial Narrow"/>
          <w:b/>
          <w:sz w:val="20"/>
          <w:szCs w:val="20"/>
        </w:rPr>
        <w:t>, COMRADE-B</w:t>
      </w:r>
      <w:r w:rsidR="00951837">
        <w:rPr>
          <w:rFonts w:ascii="Arial Narrow" w:hAnsi="Arial Narrow"/>
          <w:b/>
          <w:sz w:val="20"/>
          <w:szCs w:val="20"/>
        </w:rPr>
        <w:t xml:space="preserve"> (BRVO)</w:t>
      </w:r>
      <w:r w:rsidRPr="003C3ED3">
        <w:rPr>
          <w:rFonts w:ascii="Arial Narrow" w:hAnsi="Arial Narrow"/>
          <w:b/>
          <w:sz w:val="20"/>
          <w:szCs w:val="20"/>
        </w:rPr>
        <w:t>, and COMRADE-C</w:t>
      </w:r>
      <w:r w:rsidR="00951837">
        <w:rPr>
          <w:rFonts w:ascii="Arial Narrow" w:hAnsi="Arial Narrow"/>
          <w:b/>
          <w:sz w:val="20"/>
          <w:szCs w:val="20"/>
        </w:rPr>
        <w:t xml:space="preserve"> (CRVO)</w:t>
      </w:r>
      <w:r w:rsidRPr="003C3ED3">
        <w:rPr>
          <w:rFonts w:ascii="Arial Narrow" w:hAnsi="Arial Narrow"/>
          <w:b/>
          <w:sz w:val="20"/>
          <w:szCs w:val="20"/>
        </w:rPr>
        <w:t>: dexamethasone implant versus ranibizumab</w:t>
      </w:r>
    </w:p>
    <w:tbl>
      <w:tblPr>
        <w:tblStyle w:val="TableGrid"/>
        <w:tblW w:w="0" w:type="auto"/>
        <w:tblCellMar>
          <w:left w:w="57" w:type="dxa"/>
          <w:right w:w="57" w:type="dxa"/>
        </w:tblCellMar>
        <w:tblLook w:val="04A0" w:firstRow="1" w:lastRow="0" w:firstColumn="1" w:lastColumn="0" w:noHBand="0" w:noVBand="1"/>
        <w:tblCaption w:val="Table 6: Change in best corrected visual acuity from baseline in COMO (BRVO), COMRADE-B (BRVO), and COMRADE-C (CRVO): dexamethasone implant versus ranibizumab"/>
      </w:tblPr>
      <w:tblGrid>
        <w:gridCol w:w="2754"/>
        <w:gridCol w:w="1064"/>
        <w:gridCol w:w="1065"/>
        <w:gridCol w:w="1064"/>
        <w:gridCol w:w="1065"/>
        <w:gridCol w:w="1064"/>
        <w:gridCol w:w="1065"/>
      </w:tblGrid>
      <w:tr w:rsidR="008729AC" w:rsidRPr="003C3ED3" w:rsidTr="001D074A">
        <w:trPr>
          <w:tblHeader/>
        </w:trPr>
        <w:tc>
          <w:tcPr>
            <w:tcW w:w="2802" w:type="dxa"/>
            <w:vMerge w:val="restart"/>
          </w:tcPr>
          <w:p w:rsidR="008729AC" w:rsidRPr="003C3ED3" w:rsidRDefault="008729AC" w:rsidP="008729AC">
            <w:pPr>
              <w:jc w:val="left"/>
              <w:rPr>
                <w:rFonts w:ascii="Arial Narrow" w:hAnsi="Arial Narrow"/>
                <w:b/>
                <w:sz w:val="20"/>
                <w:szCs w:val="20"/>
              </w:rPr>
            </w:pPr>
          </w:p>
        </w:tc>
        <w:tc>
          <w:tcPr>
            <w:tcW w:w="2147" w:type="dxa"/>
            <w:gridSpan w:val="2"/>
          </w:tcPr>
          <w:p w:rsidR="008729AC" w:rsidRPr="003C3ED3" w:rsidRDefault="008729AC" w:rsidP="008729AC">
            <w:pPr>
              <w:jc w:val="center"/>
              <w:rPr>
                <w:rFonts w:ascii="Arial Narrow" w:hAnsi="Arial Narrow"/>
                <w:b/>
                <w:sz w:val="20"/>
                <w:szCs w:val="20"/>
              </w:rPr>
            </w:pPr>
            <w:r w:rsidRPr="003C3ED3">
              <w:rPr>
                <w:rFonts w:ascii="Arial Narrow" w:hAnsi="Arial Narrow"/>
                <w:b/>
                <w:sz w:val="20"/>
                <w:szCs w:val="20"/>
              </w:rPr>
              <w:t>COMO</w:t>
            </w:r>
            <w:r w:rsidR="00951837">
              <w:rPr>
                <w:rFonts w:ascii="Arial Narrow" w:hAnsi="Arial Narrow"/>
                <w:b/>
                <w:sz w:val="20"/>
                <w:szCs w:val="20"/>
              </w:rPr>
              <w:t xml:space="preserve"> (BRVO)</w:t>
            </w:r>
          </w:p>
        </w:tc>
        <w:tc>
          <w:tcPr>
            <w:tcW w:w="2147" w:type="dxa"/>
            <w:gridSpan w:val="2"/>
          </w:tcPr>
          <w:p w:rsidR="008729AC" w:rsidRPr="003C3ED3" w:rsidRDefault="008729AC" w:rsidP="008729AC">
            <w:pPr>
              <w:jc w:val="center"/>
              <w:rPr>
                <w:rFonts w:ascii="Arial Narrow" w:hAnsi="Arial Narrow"/>
                <w:b/>
                <w:sz w:val="20"/>
                <w:szCs w:val="20"/>
              </w:rPr>
            </w:pPr>
            <w:r w:rsidRPr="003C3ED3">
              <w:rPr>
                <w:rFonts w:ascii="Arial Narrow" w:hAnsi="Arial Narrow"/>
                <w:b/>
                <w:sz w:val="20"/>
                <w:szCs w:val="20"/>
              </w:rPr>
              <w:t>COMRADE-B</w:t>
            </w:r>
            <w:r w:rsidR="00951837">
              <w:rPr>
                <w:rFonts w:ascii="Arial Narrow" w:hAnsi="Arial Narrow"/>
                <w:b/>
                <w:sz w:val="20"/>
                <w:szCs w:val="20"/>
              </w:rPr>
              <w:t xml:space="preserve"> (BRVO)</w:t>
            </w:r>
          </w:p>
        </w:tc>
        <w:tc>
          <w:tcPr>
            <w:tcW w:w="2147" w:type="dxa"/>
            <w:gridSpan w:val="2"/>
          </w:tcPr>
          <w:p w:rsidR="008729AC" w:rsidRPr="003C3ED3" w:rsidRDefault="008729AC" w:rsidP="008729AC">
            <w:pPr>
              <w:jc w:val="center"/>
              <w:rPr>
                <w:rFonts w:ascii="Arial Narrow" w:hAnsi="Arial Narrow"/>
                <w:b/>
                <w:sz w:val="20"/>
                <w:szCs w:val="20"/>
              </w:rPr>
            </w:pPr>
            <w:r w:rsidRPr="003C3ED3">
              <w:rPr>
                <w:rFonts w:ascii="Arial Narrow" w:hAnsi="Arial Narrow"/>
                <w:b/>
                <w:sz w:val="20"/>
                <w:szCs w:val="20"/>
              </w:rPr>
              <w:t>COMRADE-C</w:t>
            </w:r>
            <w:r w:rsidR="00951837">
              <w:rPr>
                <w:rFonts w:ascii="Arial Narrow" w:hAnsi="Arial Narrow"/>
                <w:b/>
                <w:sz w:val="20"/>
                <w:szCs w:val="20"/>
              </w:rPr>
              <w:t xml:space="preserve"> (CRVO)</w:t>
            </w:r>
          </w:p>
        </w:tc>
      </w:tr>
      <w:tr w:rsidR="008729AC" w:rsidRPr="003C3ED3" w:rsidTr="001D074A">
        <w:trPr>
          <w:tblHeader/>
        </w:trPr>
        <w:tc>
          <w:tcPr>
            <w:tcW w:w="2802" w:type="dxa"/>
            <w:vMerge/>
          </w:tcPr>
          <w:p w:rsidR="008729AC" w:rsidRPr="003C3ED3" w:rsidRDefault="008729AC" w:rsidP="008729AC">
            <w:pPr>
              <w:jc w:val="left"/>
              <w:rPr>
                <w:rFonts w:ascii="Arial Narrow" w:hAnsi="Arial Narrow"/>
                <w:b/>
                <w:sz w:val="20"/>
                <w:szCs w:val="20"/>
              </w:rPr>
            </w:pPr>
          </w:p>
        </w:tc>
        <w:tc>
          <w:tcPr>
            <w:tcW w:w="1073" w:type="dxa"/>
          </w:tcPr>
          <w:p w:rsidR="008729AC" w:rsidRDefault="008729AC" w:rsidP="008729AC">
            <w:pPr>
              <w:jc w:val="center"/>
              <w:rPr>
                <w:rFonts w:ascii="Arial Narrow" w:hAnsi="Arial Narrow"/>
                <w:b/>
                <w:sz w:val="20"/>
                <w:szCs w:val="20"/>
              </w:rPr>
            </w:pPr>
            <w:r w:rsidRPr="003C3ED3">
              <w:rPr>
                <w:rFonts w:ascii="Arial Narrow" w:hAnsi="Arial Narrow"/>
                <w:b/>
                <w:sz w:val="20"/>
                <w:szCs w:val="20"/>
              </w:rPr>
              <w:t>D</w:t>
            </w:r>
            <w:r>
              <w:rPr>
                <w:rFonts w:ascii="Arial Narrow" w:hAnsi="Arial Narrow"/>
                <w:b/>
                <w:sz w:val="20"/>
                <w:szCs w:val="20"/>
              </w:rPr>
              <w:t>EX 700</w:t>
            </w:r>
            <w:r w:rsidRPr="003C3ED3">
              <w:rPr>
                <w:rFonts w:ascii="Arial Narrow" w:hAnsi="Arial Narrow"/>
                <w:b/>
                <w:sz w:val="20"/>
                <w:szCs w:val="20"/>
              </w:rPr>
              <w:t xml:space="preserve"> </w:t>
            </w:r>
          </w:p>
          <w:p w:rsidR="008729AC" w:rsidRPr="003C3ED3" w:rsidRDefault="008729AC" w:rsidP="008729AC">
            <w:pPr>
              <w:jc w:val="center"/>
              <w:rPr>
                <w:rFonts w:ascii="Arial Narrow" w:hAnsi="Arial Narrow"/>
                <w:b/>
                <w:sz w:val="20"/>
                <w:szCs w:val="20"/>
              </w:rPr>
            </w:pPr>
            <w:r>
              <w:rPr>
                <w:rFonts w:ascii="Arial Narrow" w:hAnsi="Arial Narrow"/>
                <w:b/>
                <w:sz w:val="20"/>
                <w:szCs w:val="20"/>
              </w:rPr>
              <w:t>(N</w:t>
            </w:r>
            <w:r w:rsidRPr="003C3ED3">
              <w:rPr>
                <w:rFonts w:ascii="Arial Narrow" w:hAnsi="Arial Narrow"/>
                <w:b/>
                <w:sz w:val="20"/>
                <w:szCs w:val="20"/>
              </w:rPr>
              <w:t>=154</w:t>
            </w:r>
            <w:r>
              <w:rPr>
                <w:rFonts w:ascii="Arial Narrow" w:hAnsi="Arial Narrow"/>
                <w:b/>
                <w:sz w:val="20"/>
                <w:szCs w:val="20"/>
              </w:rPr>
              <w:t>)</w:t>
            </w:r>
          </w:p>
        </w:tc>
        <w:tc>
          <w:tcPr>
            <w:tcW w:w="1074" w:type="dxa"/>
          </w:tcPr>
          <w:p w:rsidR="008729AC" w:rsidRDefault="008729AC" w:rsidP="008729AC">
            <w:pPr>
              <w:jc w:val="center"/>
              <w:rPr>
                <w:rFonts w:ascii="Arial Narrow" w:hAnsi="Arial Narrow"/>
                <w:b/>
                <w:sz w:val="20"/>
                <w:szCs w:val="20"/>
              </w:rPr>
            </w:pPr>
            <w:r w:rsidRPr="003C3ED3">
              <w:rPr>
                <w:rFonts w:ascii="Arial Narrow" w:hAnsi="Arial Narrow"/>
                <w:b/>
                <w:sz w:val="20"/>
                <w:szCs w:val="20"/>
              </w:rPr>
              <w:t>R</w:t>
            </w:r>
            <w:r>
              <w:rPr>
                <w:rFonts w:ascii="Arial Narrow" w:hAnsi="Arial Narrow"/>
                <w:b/>
                <w:sz w:val="20"/>
                <w:szCs w:val="20"/>
              </w:rPr>
              <w:t>ANI</w:t>
            </w:r>
          </w:p>
          <w:p w:rsidR="008729AC" w:rsidRPr="003C3ED3" w:rsidRDefault="008729AC" w:rsidP="008729AC">
            <w:pPr>
              <w:jc w:val="center"/>
              <w:rPr>
                <w:rFonts w:ascii="Arial Narrow" w:hAnsi="Arial Narrow"/>
                <w:b/>
                <w:sz w:val="20"/>
                <w:szCs w:val="20"/>
              </w:rPr>
            </w:pPr>
            <w:r>
              <w:rPr>
                <w:rFonts w:ascii="Arial Narrow" w:hAnsi="Arial Narrow"/>
                <w:b/>
                <w:sz w:val="20"/>
                <w:szCs w:val="20"/>
              </w:rPr>
              <w:t>(N</w:t>
            </w:r>
            <w:r w:rsidRPr="003C3ED3">
              <w:rPr>
                <w:rFonts w:ascii="Arial Narrow" w:hAnsi="Arial Narrow"/>
                <w:b/>
                <w:sz w:val="20"/>
                <w:szCs w:val="20"/>
              </w:rPr>
              <w:t>=153</w:t>
            </w:r>
            <w:r>
              <w:rPr>
                <w:rFonts w:ascii="Arial Narrow" w:hAnsi="Arial Narrow"/>
                <w:b/>
                <w:sz w:val="20"/>
                <w:szCs w:val="20"/>
              </w:rPr>
              <w:t>)</w:t>
            </w:r>
          </w:p>
        </w:tc>
        <w:tc>
          <w:tcPr>
            <w:tcW w:w="1073" w:type="dxa"/>
          </w:tcPr>
          <w:p w:rsidR="008729AC" w:rsidRDefault="008729AC" w:rsidP="008729AC">
            <w:pPr>
              <w:jc w:val="center"/>
              <w:rPr>
                <w:rFonts w:ascii="Arial Narrow" w:hAnsi="Arial Narrow"/>
                <w:b/>
                <w:sz w:val="20"/>
                <w:szCs w:val="20"/>
              </w:rPr>
            </w:pPr>
            <w:r w:rsidRPr="003C3ED3">
              <w:rPr>
                <w:rFonts w:ascii="Arial Narrow" w:hAnsi="Arial Narrow"/>
                <w:b/>
                <w:sz w:val="20"/>
                <w:szCs w:val="20"/>
              </w:rPr>
              <w:t>D</w:t>
            </w:r>
            <w:r>
              <w:rPr>
                <w:rFonts w:ascii="Arial Narrow" w:hAnsi="Arial Narrow"/>
                <w:b/>
                <w:sz w:val="20"/>
                <w:szCs w:val="20"/>
              </w:rPr>
              <w:t>EX</w:t>
            </w:r>
          </w:p>
          <w:p w:rsidR="008729AC" w:rsidRPr="003C3ED3" w:rsidRDefault="008729AC" w:rsidP="008729AC">
            <w:pPr>
              <w:jc w:val="center"/>
              <w:rPr>
                <w:rFonts w:ascii="Arial Narrow" w:hAnsi="Arial Narrow"/>
                <w:b/>
                <w:sz w:val="20"/>
                <w:szCs w:val="20"/>
              </w:rPr>
            </w:pPr>
            <w:r>
              <w:rPr>
                <w:rFonts w:ascii="Arial Narrow" w:hAnsi="Arial Narrow"/>
                <w:b/>
                <w:sz w:val="20"/>
                <w:szCs w:val="20"/>
              </w:rPr>
              <w:t>(N</w:t>
            </w:r>
            <w:r w:rsidRPr="003C3ED3">
              <w:rPr>
                <w:rFonts w:ascii="Arial Narrow" w:hAnsi="Arial Narrow"/>
                <w:b/>
                <w:sz w:val="20"/>
                <w:szCs w:val="20"/>
              </w:rPr>
              <w:t>=126</w:t>
            </w:r>
            <w:r>
              <w:rPr>
                <w:rFonts w:ascii="Arial Narrow" w:hAnsi="Arial Narrow"/>
                <w:b/>
                <w:sz w:val="20"/>
                <w:szCs w:val="20"/>
              </w:rPr>
              <w:t>)</w:t>
            </w:r>
          </w:p>
        </w:tc>
        <w:tc>
          <w:tcPr>
            <w:tcW w:w="1074" w:type="dxa"/>
          </w:tcPr>
          <w:p w:rsidR="008729AC" w:rsidRDefault="008729AC" w:rsidP="008729AC">
            <w:pPr>
              <w:jc w:val="center"/>
              <w:rPr>
                <w:rFonts w:ascii="Arial Narrow" w:hAnsi="Arial Narrow"/>
                <w:b/>
                <w:sz w:val="20"/>
                <w:szCs w:val="20"/>
              </w:rPr>
            </w:pPr>
            <w:r w:rsidRPr="003C3ED3">
              <w:rPr>
                <w:rFonts w:ascii="Arial Narrow" w:hAnsi="Arial Narrow"/>
                <w:b/>
                <w:sz w:val="20"/>
                <w:szCs w:val="20"/>
              </w:rPr>
              <w:t>R</w:t>
            </w:r>
            <w:r>
              <w:rPr>
                <w:rFonts w:ascii="Arial Narrow" w:hAnsi="Arial Narrow"/>
                <w:b/>
                <w:sz w:val="20"/>
                <w:szCs w:val="20"/>
              </w:rPr>
              <w:t>ANI</w:t>
            </w:r>
          </w:p>
          <w:p w:rsidR="008729AC" w:rsidRPr="003C3ED3" w:rsidRDefault="008729AC" w:rsidP="008729AC">
            <w:pPr>
              <w:jc w:val="center"/>
              <w:rPr>
                <w:rFonts w:ascii="Arial Narrow" w:hAnsi="Arial Narrow"/>
                <w:b/>
                <w:sz w:val="20"/>
                <w:szCs w:val="20"/>
              </w:rPr>
            </w:pPr>
            <w:r>
              <w:rPr>
                <w:rFonts w:ascii="Arial Narrow" w:hAnsi="Arial Narrow"/>
                <w:b/>
                <w:sz w:val="20"/>
                <w:szCs w:val="20"/>
              </w:rPr>
              <w:t>(N</w:t>
            </w:r>
            <w:r w:rsidRPr="003C3ED3">
              <w:rPr>
                <w:rFonts w:ascii="Arial Narrow" w:hAnsi="Arial Narrow"/>
                <w:b/>
                <w:sz w:val="20"/>
                <w:szCs w:val="20"/>
              </w:rPr>
              <w:t>=118</w:t>
            </w:r>
            <w:r>
              <w:rPr>
                <w:rFonts w:ascii="Arial Narrow" w:hAnsi="Arial Narrow"/>
                <w:b/>
                <w:sz w:val="20"/>
                <w:szCs w:val="20"/>
              </w:rPr>
              <w:t>)</w:t>
            </w:r>
          </w:p>
        </w:tc>
        <w:tc>
          <w:tcPr>
            <w:tcW w:w="1073" w:type="dxa"/>
          </w:tcPr>
          <w:p w:rsidR="008729AC" w:rsidRDefault="008729AC" w:rsidP="008729AC">
            <w:pPr>
              <w:jc w:val="center"/>
              <w:rPr>
                <w:rFonts w:ascii="Arial Narrow" w:hAnsi="Arial Narrow"/>
                <w:b/>
                <w:sz w:val="20"/>
                <w:szCs w:val="20"/>
              </w:rPr>
            </w:pPr>
            <w:r w:rsidRPr="003C3ED3">
              <w:rPr>
                <w:rFonts w:ascii="Arial Narrow" w:hAnsi="Arial Narrow"/>
                <w:b/>
                <w:sz w:val="20"/>
                <w:szCs w:val="20"/>
              </w:rPr>
              <w:t>D</w:t>
            </w:r>
            <w:r>
              <w:rPr>
                <w:rFonts w:ascii="Arial Narrow" w:hAnsi="Arial Narrow"/>
                <w:b/>
                <w:sz w:val="20"/>
                <w:szCs w:val="20"/>
              </w:rPr>
              <w:t>EX</w:t>
            </w:r>
          </w:p>
          <w:p w:rsidR="008729AC" w:rsidRPr="003C3ED3" w:rsidRDefault="008729AC" w:rsidP="008729AC">
            <w:pPr>
              <w:jc w:val="center"/>
              <w:rPr>
                <w:rFonts w:ascii="Arial Narrow" w:hAnsi="Arial Narrow"/>
                <w:b/>
                <w:sz w:val="20"/>
                <w:szCs w:val="20"/>
              </w:rPr>
            </w:pPr>
            <w:r>
              <w:rPr>
                <w:rFonts w:ascii="Arial Narrow" w:hAnsi="Arial Narrow"/>
                <w:b/>
                <w:sz w:val="20"/>
                <w:szCs w:val="20"/>
              </w:rPr>
              <w:t>(N</w:t>
            </w:r>
            <w:r w:rsidRPr="003C3ED3">
              <w:rPr>
                <w:rFonts w:ascii="Arial Narrow" w:hAnsi="Arial Narrow"/>
                <w:b/>
                <w:sz w:val="20"/>
                <w:szCs w:val="20"/>
              </w:rPr>
              <w:t>=119</w:t>
            </w:r>
            <w:r>
              <w:rPr>
                <w:rFonts w:ascii="Arial Narrow" w:hAnsi="Arial Narrow"/>
                <w:b/>
                <w:sz w:val="20"/>
                <w:szCs w:val="20"/>
              </w:rPr>
              <w:t>)</w:t>
            </w:r>
          </w:p>
        </w:tc>
        <w:tc>
          <w:tcPr>
            <w:tcW w:w="1074" w:type="dxa"/>
          </w:tcPr>
          <w:p w:rsidR="008729AC" w:rsidRDefault="008729AC" w:rsidP="008729AC">
            <w:pPr>
              <w:jc w:val="center"/>
              <w:rPr>
                <w:rFonts w:ascii="Arial Narrow" w:hAnsi="Arial Narrow"/>
                <w:b/>
                <w:sz w:val="20"/>
                <w:szCs w:val="20"/>
              </w:rPr>
            </w:pPr>
            <w:r w:rsidRPr="003C3ED3">
              <w:rPr>
                <w:rFonts w:ascii="Arial Narrow" w:hAnsi="Arial Narrow"/>
                <w:b/>
                <w:sz w:val="20"/>
                <w:szCs w:val="20"/>
              </w:rPr>
              <w:t>R</w:t>
            </w:r>
            <w:r>
              <w:rPr>
                <w:rFonts w:ascii="Arial Narrow" w:hAnsi="Arial Narrow"/>
                <w:b/>
                <w:sz w:val="20"/>
                <w:szCs w:val="20"/>
              </w:rPr>
              <w:t>ANI</w:t>
            </w:r>
          </w:p>
          <w:p w:rsidR="008729AC" w:rsidRPr="003C3ED3" w:rsidRDefault="008729AC" w:rsidP="008729AC">
            <w:pPr>
              <w:jc w:val="center"/>
              <w:rPr>
                <w:rFonts w:ascii="Arial Narrow" w:hAnsi="Arial Narrow"/>
                <w:b/>
                <w:sz w:val="20"/>
                <w:szCs w:val="20"/>
              </w:rPr>
            </w:pPr>
            <w:r>
              <w:rPr>
                <w:rFonts w:ascii="Arial Narrow" w:hAnsi="Arial Narrow"/>
                <w:b/>
                <w:sz w:val="20"/>
                <w:szCs w:val="20"/>
              </w:rPr>
              <w:t>(N</w:t>
            </w:r>
            <w:r w:rsidRPr="003C3ED3">
              <w:rPr>
                <w:rFonts w:ascii="Arial Narrow" w:hAnsi="Arial Narrow"/>
                <w:b/>
                <w:sz w:val="20"/>
                <w:szCs w:val="20"/>
              </w:rPr>
              <w:t>=124</w:t>
            </w:r>
            <w:r>
              <w:rPr>
                <w:rFonts w:ascii="Arial Narrow" w:hAnsi="Arial Narrow"/>
                <w:b/>
                <w:sz w:val="20"/>
                <w:szCs w:val="20"/>
              </w:rPr>
              <w:t>)</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Baseline, mean (SD)</w:t>
            </w:r>
          </w:p>
        </w:tc>
        <w:tc>
          <w:tcPr>
            <w:tcW w:w="1073" w:type="dxa"/>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56.6 (10.9)</w:t>
            </w:r>
          </w:p>
        </w:tc>
        <w:tc>
          <w:tcPr>
            <w:tcW w:w="1074" w:type="dxa"/>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59.2 (10.9)</w:t>
            </w:r>
          </w:p>
        </w:tc>
        <w:tc>
          <w:tcPr>
            <w:tcW w:w="1073" w:type="dxa"/>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NR</w:t>
            </w:r>
          </w:p>
        </w:tc>
        <w:tc>
          <w:tcPr>
            <w:tcW w:w="1074" w:type="dxa"/>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NR</w:t>
            </w:r>
          </w:p>
        </w:tc>
        <w:tc>
          <w:tcPr>
            <w:tcW w:w="1073" w:type="dxa"/>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51.5 (15.6)</w:t>
            </w:r>
          </w:p>
        </w:tc>
        <w:tc>
          <w:tcPr>
            <w:tcW w:w="1074" w:type="dxa"/>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51.7 (16.5)</w:t>
            </w:r>
          </w:p>
        </w:tc>
      </w:tr>
      <w:tr w:rsidR="008729AC" w:rsidRPr="003C3ED3" w:rsidTr="008729AC">
        <w:tc>
          <w:tcPr>
            <w:tcW w:w="0" w:type="auto"/>
            <w:gridSpan w:val="7"/>
          </w:tcPr>
          <w:p w:rsidR="008729AC" w:rsidRPr="003C3ED3" w:rsidRDefault="008729AC" w:rsidP="008729AC">
            <w:pPr>
              <w:jc w:val="left"/>
              <w:rPr>
                <w:rFonts w:ascii="Arial Narrow" w:hAnsi="Arial Narrow"/>
                <w:b/>
                <w:sz w:val="20"/>
                <w:szCs w:val="20"/>
              </w:rPr>
            </w:pPr>
            <w:r w:rsidRPr="003C3ED3">
              <w:rPr>
                <w:rFonts w:ascii="Arial Narrow" w:hAnsi="Arial Narrow"/>
                <w:b/>
                <w:sz w:val="20"/>
                <w:szCs w:val="20"/>
              </w:rPr>
              <w:t>Month 3</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change from baseline to Month 3 (SD)</w:t>
            </w:r>
          </w:p>
        </w:tc>
        <w:tc>
          <w:tcPr>
            <w:tcW w:w="1073" w:type="dxa"/>
            <w:tcBorders>
              <w:bottom w:val="single" w:sz="4" w:space="0" w:color="auto"/>
              <w:right w:val="single" w:sz="4" w:space="0" w:color="auto"/>
            </w:tcBorders>
            <w:shd w:val="clear" w:color="auto" w:fill="auto"/>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10.0 (</w:t>
            </w:r>
            <w:r>
              <w:rPr>
                <w:rFonts w:ascii="Arial Narrow" w:hAnsi="Arial Narrow"/>
                <w:sz w:val="20"/>
                <w:szCs w:val="20"/>
              </w:rPr>
              <w:t>7.5</w:t>
            </w:r>
            <w:r w:rsidRPr="003C3ED3">
              <w:rPr>
                <w:rFonts w:ascii="Arial Narrow" w:hAnsi="Arial Narrow"/>
                <w:sz w:val="20"/>
                <w:szCs w:val="20"/>
              </w:rPr>
              <w:t>)</w:t>
            </w:r>
          </w:p>
        </w:tc>
        <w:tc>
          <w:tcPr>
            <w:tcW w:w="1074" w:type="dxa"/>
            <w:tcBorders>
              <w:left w:val="single" w:sz="4" w:space="0" w:color="auto"/>
              <w:righ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12.8 (</w:t>
            </w:r>
            <w:r>
              <w:rPr>
                <w:rFonts w:ascii="Arial Narrow" w:hAnsi="Arial Narrow"/>
                <w:sz w:val="20"/>
                <w:szCs w:val="20"/>
              </w:rPr>
              <w:t>7.4</w:t>
            </w:r>
            <w:r w:rsidRPr="003C3ED3">
              <w:rPr>
                <w:rFonts w:ascii="Arial Narrow" w:hAnsi="Arial Narrow"/>
                <w:sz w:val="20"/>
                <w:szCs w:val="20"/>
              </w:rPr>
              <w:t>)</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9.3 (10.1)</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16.2 (11.0)</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7.0 (18.2)</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16.0 (13.4)</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difference in mean change from baseline to Month 3 (95% CI)</w:t>
            </w:r>
          </w:p>
        </w:tc>
        <w:tc>
          <w:tcPr>
            <w:tcW w:w="2147" w:type="dxa"/>
            <w:gridSpan w:val="2"/>
            <w:tcBorders>
              <w:top w:val="single" w:sz="4" w:space="0" w:color="auto"/>
              <w:bottom w:val="single" w:sz="4" w:space="0" w:color="auto"/>
              <w:right w:val="single" w:sz="4" w:space="0" w:color="auto"/>
            </w:tcBorders>
            <w:shd w:val="clear" w:color="auto" w:fill="auto"/>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-2.8 (-4.5, -1.1)</w:t>
            </w:r>
          </w:p>
        </w:tc>
        <w:tc>
          <w:tcPr>
            <w:tcW w:w="2147" w:type="dxa"/>
            <w:gridSpan w:val="2"/>
            <w:tcBorders>
              <w:left w:val="single" w:sz="4" w:space="0" w:color="auto"/>
            </w:tcBorders>
            <w:shd w:val="clear" w:color="auto" w:fill="auto"/>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-6.9 (-4.2, -9.6)</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-9.0 (-5.0, -13.0)</w:t>
            </w:r>
          </w:p>
        </w:tc>
      </w:tr>
      <w:tr w:rsidR="008729AC" w:rsidRPr="003C3ED3" w:rsidTr="008729AC">
        <w:tc>
          <w:tcPr>
            <w:tcW w:w="0" w:type="auto"/>
            <w:gridSpan w:val="7"/>
          </w:tcPr>
          <w:p w:rsidR="008729AC" w:rsidRPr="003C3ED3" w:rsidRDefault="008729AC" w:rsidP="008729AC">
            <w:pPr>
              <w:jc w:val="left"/>
              <w:rPr>
                <w:rFonts w:ascii="Arial Narrow" w:hAnsi="Arial Narrow"/>
                <w:b/>
                <w:sz w:val="20"/>
                <w:szCs w:val="20"/>
              </w:rPr>
            </w:pPr>
            <w:r w:rsidRPr="003C3ED3">
              <w:rPr>
                <w:rFonts w:ascii="Arial Narrow" w:hAnsi="Arial Narrow"/>
                <w:b/>
                <w:sz w:val="20"/>
                <w:szCs w:val="20"/>
              </w:rPr>
              <w:t>Month 6</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change from baseline to Month 6 (SD)</w:t>
            </w:r>
          </w:p>
        </w:tc>
        <w:tc>
          <w:tcPr>
            <w:tcW w:w="1073" w:type="dxa"/>
            <w:tcBorders>
              <w:left w:val="single" w:sz="4" w:space="0" w:color="auto"/>
              <w:righ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9.0 (</w:t>
            </w:r>
            <w:r>
              <w:rPr>
                <w:rFonts w:ascii="Arial Narrow" w:hAnsi="Arial Narrow"/>
                <w:sz w:val="20"/>
                <w:szCs w:val="20"/>
              </w:rPr>
              <w:t>8</w:t>
            </w:r>
            <w:r w:rsidRPr="003C3ED3">
              <w:rPr>
                <w:rFonts w:ascii="Arial Narrow" w:hAnsi="Arial Narrow"/>
                <w:sz w:val="20"/>
                <w:szCs w:val="20"/>
              </w:rPr>
              <w:t>.7)</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14.8 (</w:t>
            </w:r>
            <w:r>
              <w:rPr>
                <w:rFonts w:ascii="Arial Narrow" w:hAnsi="Arial Narrow"/>
                <w:sz w:val="20"/>
                <w:szCs w:val="20"/>
              </w:rPr>
              <w:t>8</w:t>
            </w:r>
            <w:r w:rsidRPr="003C3ED3">
              <w:rPr>
                <w:rFonts w:ascii="Arial Narrow" w:hAnsi="Arial Narrow"/>
                <w:sz w:val="20"/>
                <w:szCs w:val="20"/>
              </w:rPr>
              <w:t>.7)</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9.2 (12.5)</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17.3 (11.8)</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-3.2</w:t>
            </w:r>
            <w:r>
              <w:rPr>
                <w:rFonts w:ascii="Arial Narrow" w:hAnsi="Arial Narrow"/>
                <w:sz w:val="20"/>
                <w:szCs w:val="20"/>
              </w:rPr>
              <w:t xml:space="preserve"> (NR)</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14.8</w:t>
            </w:r>
            <w:r>
              <w:rPr>
                <w:rFonts w:ascii="Arial Narrow" w:hAnsi="Arial Narrow"/>
                <w:sz w:val="20"/>
                <w:szCs w:val="20"/>
              </w:rPr>
              <w:t xml:space="preserve"> (NR)</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difference in mean change from baseline to Month 6 (95% CI)</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-5.8 (-7.6, -3.9)</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-8.1 (-11.0, -5.2)</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-17.96 (-22.5, -13.4)</w:t>
            </w:r>
          </w:p>
        </w:tc>
      </w:tr>
      <w:tr w:rsidR="008729AC" w:rsidRPr="003C3ED3" w:rsidTr="008729AC">
        <w:tc>
          <w:tcPr>
            <w:tcW w:w="0" w:type="auto"/>
            <w:gridSpan w:val="7"/>
          </w:tcPr>
          <w:p w:rsidR="008729AC" w:rsidRPr="003C3ED3" w:rsidRDefault="008729AC" w:rsidP="008729AC">
            <w:pPr>
              <w:jc w:val="left"/>
              <w:rPr>
                <w:rFonts w:ascii="Arial Narrow" w:hAnsi="Arial Narrow"/>
                <w:b/>
                <w:sz w:val="20"/>
                <w:szCs w:val="20"/>
              </w:rPr>
            </w:pPr>
            <w:r w:rsidRPr="003C3ED3">
              <w:rPr>
                <w:rFonts w:ascii="Arial Narrow" w:hAnsi="Arial Narrow"/>
                <w:b/>
                <w:sz w:val="20"/>
                <w:szCs w:val="20"/>
              </w:rPr>
              <w:t>Month 9</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change from baseline to Month 9 (SD)</w:t>
            </w:r>
          </w:p>
        </w:tc>
        <w:tc>
          <w:tcPr>
            <w:tcW w:w="1073" w:type="dxa"/>
            <w:tcBorders>
              <w:left w:val="single" w:sz="4" w:space="0" w:color="auto"/>
              <w:righ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9.6 (</w:t>
            </w:r>
            <w:r>
              <w:rPr>
                <w:rFonts w:ascii="Arial Narrow" w:hAnsi="Arial Narrow"/>
                <w:sz w:val="20"/>
                <w:szCs w:val="20"/>
              </w:rPr>
              <w:t>9.9</w:t>
            </w:r>
            <w:r w:rsidRPr="003C3ED3">
              <w:rPr>
                <w:rFonts w:ascii="Arial Narrow" w:hAnsi="Arial Narrow"/>
                <w:sz w:val="20"/>
                <w:szCs w:val="20"/>
              </w:rPr>
              <w:t>)</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15.3 (</w:t>
            </w:r>
            <w:r>
              <w:rPr>
                <w:rFonts w:ascii="Arial Narrow" w:hAnsi="Arial Narrow"/>
                <w:sz w:val="20"/>
                <w:szCs w:val="20"/>
              </w:rPr>
              <w:t>8</w:t>
            </w:r>
            <w:r w:rsidRPr="003C3ED3">
              <w:rPr>
                <w:rFonts w:ascii="Arial Narrow" w:hAnsi="Arial Narrow"/>
                <w:sz w:val="20"/>
                <w:szCs w:val="20"/>
              </w:rPr>
              <w:t>.7)</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difference in mean change from baseline to Month 9 (95% CI)</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-5.7 (-7.8, -3.7)</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r>
      <w:tr w:rsidR="008729AC" w:rsidRPr="003C3ED3" w:rsidTr="008729AC">
        <w:tc>
          <w:tcPr>
            <w:tcW w:w="0" w:type="auto"/>
            <w:gridSpan w:val="7"/>
          </w:tcPr>
          <w:p w:rsidR="008729AC" w:rsidRPr="003C3ED3" w:rsidRDefault="008729AC" w:rsidP="008729AC">
            <w:pPr>
              <w:jc w:val="left"/>
              <w:rPr>
                <w:rFonts w:ascii="Arial Narrow" w:hAnsi="Arial Narrow"/>
                <w:b/>
                <w:sz w:val="20"/>
                <w:szCs w:val="20"/>
              </w:rPr>
            </w:pPr>
            <w:r w:rsidRPr="003C3ED3">
              <w:rPr>
                <w:rFonts w:ascii="Arial Narrow" w:hAnsi="Arial Narrow"/>
                <w:b/>
                <w:sz w:val="20"/>
                <w:szCs w:val="20"/>
              </w:rPr>
              <w:t>Month 12</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change from baseline to Month 12 (SD)</w:t>
            </w:r>
          </w:p>
        </w:tc>
        <w:tc>
          <w:tcPr>
            <w:tcW w:w="1073" w:type="dxa"/>
            <w:tcBorders>
              <w:left w:val="single" w:sz="4" w:space="0" w:color="auto"/>
              <w:righ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9.3 (</w:t>
            </w:r>
            <w:r>
              <w:rPr>
                <w:rFonts w:ascii="Arial Narrow" w:hAnsi="Arial Narrow"/>
                <w:sz w:val="20"/>
                <w:szCs w:val="20"/>
              </w:rPr>
              <w:t>8</w:t>
            </w:r>
            <w:r w:rsidRPr="003C3ED3">
              <w:rPr>
                <w:rFonts w:ascii="Arial Narrow" w:hAnsi="Arial Narrow"/>
                <w:sz w:val="20"/>
                <w:szCs w:val="20"/>
              </w:rPr>
              <w:t>.7)</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15.5 (</w:t>
            </w:r>
            <w:r>
              <w:rPr>
                <w:rFonts w:ascii="Arial Narrow" w:hAnsi="Arial Narrow"/>
                <w:sz w:val="20"/>
                <w:szCs w:val="20"/>
              </w:rPr>
              <w:t>8</w:t>
            </w:r>
            <w:r w:rsidRPr="003C3ED3">
              <w:rPr>
                <w:rFonts w:ascii="Arial Narrow" w:hAnsi="Arial Narrow"/>
                <w:sz w:val="20"/>
                <w:szCs w:val="20"/>
              </w:rPr>
              <w:t>.7)</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1073"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1074" w:type="dxa"/>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r>
      <w:tr w:rsidR="008729AC" w:rsidRPr="003C3ED3" w:rsidTr="008729AC">
        <w:tc>
          <w:tcPr>
            <w:tcW w:w="2802" w:type="dxa"/>
          </w:tcPr>
          <w:p w:rsidR="008729AC" w:rsidRPr="003C3ED3" w:rsidRDefault="008729AC" w:rsidP="008729AC">
            <w:pPr>
              <w:jc w:val="left"/>
              <w:rPr>
                <w:rFonts w:ascii="Arial Narrow" w:hAnsi="Arial Narrow"/>
                <w:sz w:val="20"/>
                <w:szCs w:val="20"/>
              </w:rPr>
            </w:pPr>
            <w:r w:rsidRPr="003C3ED3">
              <w:rPr>
                <w:rFonts w:ascii="Arial Narrow" w:hAnsi="Arial Narrow"/>
                <w:sz w:val="20"/>
                <w:szCs w:val="20"/>
              </w:rPr>
              <w:t>Mean difference in mean change from baseline to Month 12 (95% CI)</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-6.3 (-8.3, -4.2)</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c>
          <w:tcPr>
            <w:tcW w:w="2147" w:type="dxa"/>
            <w:gridSpan w:val="2"/>
            <w:tcBorders>
              <w:left w:val="single" w:sz="4" w:space="0" w:color="auto"/>
            </w:tcBorders>
            <w:vAlign w:val="center"/>
          </w:tcPr>
          <w:p w:rsidR="008729AC" w:rsidRPr="003C3ED3" w:rsidRDefault="008729AC" w:rsidP="008729AC">
            <w:pPr>
              <w:jc w:val="center"/>
              <w:rPr>
                <w:rFonts w:ascii="Arial Narrow" w:hAnsi="Arial Narrow"/>
                <w:sz w:val="20"/>
                <w:szCs w:val="20"/>
              </w:rPr>
            </w:pPr>
            <w:r w:rsidRPr="003C3ED3">
              <w:rPr>
                <w:rFonts w:ascii="Arial Narrow" w:hAnsi="Arial Narrow"/>
                <w:sz w:val="20"/>
                <w:szCs w:val="20"/>
              </w:rPr>
              <w:t>N/A</w:t>
            </w:r>
          </w:p>
        </w:tc>
      </w:tr>
    </w:tbl>
    <w:p w:rsidR="008729AC" w:rsidRDefault="008729AC" w:rsidP="008729AC">
      <w:pPr>
        <w:rPr>
          <w:rFonts w:ascii="Arial Narrow" w:hAnsi="Arial Narrow"/>
          <w:sz w:val="18"/>
          <w:szCs w:val="18"/>
        </w:rPr>
      </w:pPr>
      <w:r w:rsidRPr="003C3ED3">
        <w:rPr>
          <w:rFonts w:ascii="Arial Narrow" w:hAnsi="Arial Narrow"/>
          <w:sz w:val="18"/>
          <w:szCs w:val="18"/>
        </w:rPr>
        <w:t xml:space="preserve">Source: Table 2.5.7, pp.92-93 of the submission; COMO clinical trial report; Hattenbach et al. (2017); Hoerauf et al. (2016). </w:t>
      </w:r>
    </w:p>
    <w:p w:rsidR="008729AC" w:rsidRDefault="008729AC" w:rsidP="008729AC">
      <w:pPr>
        <w:rPr>
          <w:rFonts w:ascii="Arial Narrow" w:hAnsi="Arial Narrow"/>
          <w:sz w:val="18"/>
          <w:szCs w:val="18"/>
        </w:rPr>
      </w:pPr>
      <w:r>
        <w:rPr>
          <w:rFonts w:ascii="Arial Narrow" w:hAnsi="Arial Narrow"/>
          <w:sz w:val="18"/>
          <w:szCs w:val="18"/>
        </w:rPr>
        <w:t xml:space="preserve">Abbreviations: </w:t>
      </w:r>
      <w:r w:rsidR="00AF28BB" w:rsidRPr="00AF28BB">
        <w:rPr>
          <w:rFonts w:ascii="Arial Narrow" w:hAnsi="Arial Narrow"/>
          <w:sz w:val="18"/>
          <w:szCs w:val="18"/>
        </w:rPr>
        <w:t>BRVO, branch retinal vein oc</w:t>
      </w:r>
      <w:r w:rsidR="00AF28BB">
        <w:rPr>
          <w:rFonts w:ascii="Arial Narrow" w:hAnsi="Arial Narrow"/>
          <w:sz w:val="18"/>
          <w:szCs w:val="18"/>
        </w:rPr>
        <w:t>clusion</w:t>
      </w:r>
      <w:r w:rsidR="00AF28BB" w:rsidRPr="00AF28BB">
        <w:rPr>
          <w:rFonts w:ascii="Arial Narrow" w:hAnsi="Arial Narrow"/>
          <w:sz w:val="18"/>
          <w:szCs w:val="18"/>
        </w:rPr>
        <w:t>; CRVO, central retinal vein occlusion</w:t>
      </w:r>
      <w:r w:rsidR="00AF28BB">
        <w:rPr>
          <w:rFonts w:ascii="Arial Narrow" w:hAnsi="Arial Narrow"/>
          <w:sz w:val="18"/>
          <w:szCs w:val="18"/>
        </w:rPr>
        <w:t xml:space="preserve">; </w:t>
      </w:r>
      <w:r>
        <w:rPr>
          <w:rFonts w:ascii="Arial Narrow" w:hAnsi="Arial Narrow"/>
          <w:sz w:val="18"/>
          <w:szCs w:val="18"/>
        </w:rPr>
        <w:t xml:space="preserve">DEX, dexamethasone implant; </w:t>
      </w:r>
      <w:r w:rsidR="000C6DD1">
        <w:rPr>
          <w:rFonts w:ascii="Arial Narrow" w:hAnsi="Arial Narrow"/>
          <w:sz w:val="18"/>
          <w:szCs w:val="18"/>
        </w:rPr>
        <w:t xml:space="preserve">RANI, ranibizumab; </w:t>
      </w:r>
      <w:r>
        <w:rPr>
          <w:rFonts w:ascii="Arial Narrow" w:hAnsi="Arial Narrow"/>
          <w:sz w:val="18"/>
          <w:szCs w:val="18"/>
        </w:rPr>
        <w:t>SD, standard deviation; CI, confidence interval</w:t>
      </w:r>
      <w:r w:rsidR="000C6DD1">
        <w:rPr>
          <w:rFonts w:ascii="Arial Narrow" w:hAnsi="Arial Narrow"/>
          <w:sz w:val="18"/>
          <w:szCs w:val="18"/>
        </w:rPr>
        <w:t>; NR, not reported; N/A, not assessed</w:t>
      </w:r>
    </w:p>
    <w:p w:rsidR="008729AC" w:rsidRPr="003C3ED3" w:rsidRDefault="008729AC" w:rsidP="008729AC">
      <w:pPr>
        <w:rPr>
          <w:sz w:val="18"/>
          <w:szCs w:val="18"/>
        </w:rPr>
      </w:pPr>
      <w:r>
        <w:rPr>
          <w:rFonts w:ascii="Arial Narrow" w:hAnsi="Arial Narrow"/>
          <w:sz w:val="18"/>
          <w:szCs w:val="18"/>
        </w:rPr>
        <w:t>Note: standard deviations were calculated for the COMO trial during the evaluation</w:t>
      </w:r>
      <w:r w:rsidR="000C6DD1">
        <w:rPr>
          <w:rFonts w:ascii="Arial Narrow" w:hAnsi="Arial Narrow"/>
          <w:sz w:val="18"/>
          <w:szCs w:val="18"/>
        </w:rPr>
        <w:t>.</w:t>
      </w:r>
    </w:p>
    <w:p w:rsidR="00B574A9" w:rsidRPr="000C6DD1" w:rsidRDefault="00B574A9" w:rsidP="00B574A9">
      <w:pPr>
        <w:widowControl/>
      </w:pPr>
    </w:p>
    <w:p w:rsidR="00793EFA" w:rsidRDefault="00B574A9" w:rsidP="00361734">
      <w:pPr>
        <w:pStyle w:val="ListParagraph"/>
        <w:widowControl/>
        <w:numPr>
          <w:ilvl w:val="1"/>
          <w:numId w:val="1"/>
        </w:numPr>
      </w:pPr>
      <w:r w:rsidRPr="00B574A9">
        <w:t xml:space="preserve">Overall ranibizumab achieved </w:t>
      </w:r>
      <w:r w:rsidR="00B90F4F">
        <w:t xml:space="preserve">statistically significantly </w:t>
      </w:r>
      <w:r w:rsidRPr="00B574A9">
        <w:t xml:space="preserve">greater increases in </w:t>
      </w:r>
      <w:r w:rsidR="008317CD">
        <w:t>BCVA</w:t>
      </w:r>
      <w:r w:rsidRPr="00B574A9">
        <w:t xml:space="preserve"> letters gained than dexamethasone implant</w:t>
      </w:r>
      <w:r w:rsidR="00B90F4F">
        <w:t xml:space="preserve"> at all time points</w:t>
      </w:r>
      <w:r w:rsidR="00624AED">
        <w:t>.</w:t>
      </w:r>
    </w:p>
    <w:p w:rsidR="00B90F4F" w:rsidRDefault="00B574A9" w:rsidP="00361734">
      <w:pPr>
        <w:pStyle w:val="ListParagraph"/>
        <w:widowControl/>
        <w:numPr>
          <w:ilvl w:val="1"/>
          <w:numId w:val="1"/>
        </w:numPr>
      </w:pPr>
      <w:r w:rsidRPr="00B574A9">
        <w:t xml:space="preserve">In the COMO trial, </w:t>
      </w:r>
      <w:r w:rsidR="00793EFA">
        <w:t>dexamethasone implant wa</w:t>
      </w:r>
      <w:r w:rsidRPr="00B574A9">
        <w:t xml:space="preserve">s inferior to ranibizumab </w:t>
      </w:r>
      <w:r w:rsidR="008729AC">
        <w:t>using a lower bound</w:t>
      </w:r>
      <w:r w:rsidRPr="00B574A9">
        <w:t xml:space="preserve"> noninferiority margin of -5 letters</w:t>
      </w:r>
      <w:r w:rsidR="00793EFA" w:rsidRPr="00793EFA">
        <w:t xml:space="preserve"> </w:t>
      </w:r>
      <w:r w:rsidR="00793EFA" w:rsidRPr="00B574A9">
        <w:t xml:space="preserve">at </w:t>
      </w:r>
      <w:r w:rsidR="00B90F4F">
        <w:t>months</w:t>
      </w:r>
      <w:r w:rsidR="00793EFA" w:rsidRPr="00B574A9">
        <w:t xml:space="preserve"> 6, 9 and 12</w:t>
      </w:r>
      <w:r w:rsidR="00624AED">
        <w:t>.</w:t>
      </w:r>
    </w:p>
    <w:p w:rsidR="00793EFA" w:rsidRPr="00014E52" w:rsidRDefault="00793EFA" w:rsidP="00361734">
      <w:pPr>
        <w:pStyle w:val="ListParagraph"/>
        <w:widowControl/>
        <w:numPr>
          <w:ilvl w:val="1"/>
          <w:numId w:val="1"/>
        </w:numPr>
      </w:pPr>
      <w:r>
        <w:t xml:space="preserve">The COMO and COMRADE-B trials were both conducted in patients with BRVO, </w:t>
      </w:r>
      <w:r w:rsidR="00951837">
        <w:t xml:space="preserve">and </w:t>
      </w:r>
      <w:r>
        <w:t xml:space="preserve">COMO allowed eligible patients to receive a repeat dexamethasone implant at 5 months. </w:t>
      </w:r>
      <w:r w:rsidRPr="00014E52">
        <w:t xml:space="preserve">The treatment </w:t>
      </w:r>
      <w:r w:rsidR="00B90F4F" w:rsidRPr="00014E52">
        <w:t xml:space="preserve">effect </w:t>
      </w:r>
      <w:r w:rsidRPr="00014E52">
        <w:t>of dexamethasone implant and ranibizumab at 6 months in these trials was similar.</w:t>
      </w:r>
    </w:p>
    <w:p w:rsidR="00B574A9" w:rsidRPr="00014E52" w:rsidRDefault="00B574A9" w:rsidP="00361734">
      <w:pPr>
        <w:pStyle w:val="ListParagraph"/>
        <w:widowControl/>
        <w:numPr>
          <w:ilvl w:val="1"/>
          <w:numId w:val="1"/>
        </w:numPr>
      </w:pPr>
      <w:r w:rsidRPr="00B574A9">
        <w:t xml:space="preserve">In the COMRADE-B and COMRADE-C trials, the between-group differences favoured ranibizumab. At month 3, improvement in mean BCVA was </w:t>
      </w:r>
      <w:r w:rsidR="00A21BD0">
        <w:t xml:space="preserve">statistically </w:t>
      </w:r>
      <w:r w:rsidRPr="00B574A9">
        <w:t xml:space="preserve">significantly higher with ranibizumab compared to dexamethasone intravitreal implant. This difference </w:t>
      </w:r>
      <w:r w:rsidRPr="008A7DD2">
        <w:t>between the treatment groups further increased until month 6.</w:t>
      </w:r>
      <w:r w:rsidR="00793EFA">
        <w:t xml:space="preserve"> </w:t>
      </w:r>
      <w:r w:rsidR="00793EFA" w:rsidRPr="00014E52">
        <w:t>Dexamethasone implant did not appear to be as effective in CRVO, with patients in</w:t>
      </w:r>
      <w:r w:rsidR="00793EFA" w:rsidRPr="00793EFA">
        <w:rPr>
          <w:i/>
        </w:rPr>
        <w:t xml:space="preserve"> </w:t>
      </w:r>
      <w:r w:rsidR="00793EFA" w:rsidRPr="00014E52">
        <w:t>this treatment arm losing visual acuity on average by month 6 in the COMRADE-C trial</w:t>
      </w:r>
      <w:r w:rsidR="00793EFA" w:rsidRPr="00C721DE">
        <w:t>.</w:t>
      </w:r>
      <w:r w:rsidR="002C7159" w:rsidRPr="00C721DE">
        <w:t xml:space="preserve"> The ESC </w:t>
      </w:r>
      <w:r w:rsidR="002D540B" w:rsidRPr="00C721DE">
        <w:t>considered</w:t>
      </w:r>
      <w:r w:rsidR="002C7159" w:rsidRPr="00C721DE">
        <w:t xml:space="preserve"> </w:t>
      </w:r>
      <w:r w:rsidR="002D540B" w:rsidRPr="00C721DE">
        <w:t xml:space="preserve">that </w:t>
      </w:r>
      <w:r w:rsidR="002C7159" w:rsidRPr="00C721DE">
        <w:t xml:space="preserve">this was consistent </w:t>
      </w:r>
      <w:r w:rsidR="00DE0825" w:rsidRPr="00C721DE">
        <w:t>with the waning</w:t>
      </w:r>
      <w:r w:rsidR="002C7159" w:rsidRPr="00C721DE">
        <w:t xml:space="preserve"> </w:t>
      </w:r>
      <w:r w:rsidR="00DE0825" w:rsidRPr="00C721DE">
        <w:t>of</w:t>
      </w:r>
      <w:r w:rsidR="002C7159" w:rsidRPr="00C721DE">
        <w:t xml:space="preserve"> </w:t>
      </w:r>
      <w:r w:rsidR="00DE0825" w:rsidRPr="00C721DE">
        <w:t xml:space="preserve">clinical response with </w:t>
      </w:r>
      <w:r w:rsidR="009A3E2E" w:rsidRPr="00C721DE">
        <w:t xml:space="preserve">dexamethasone </w:t>
      </w:r>
      <w:r w:rsidR="00DE0825" w:rsidRPr="00C721DE">
        <w:t xml:space="preserve">implant </w:t>
      </w:r>
      <w:r w:rsidR="002D540B" w:rsidRPr="00C721DE">
        <w:t>beginning at approximately 8-12 weeks.</w:t>
      </w:r>
    </w:p>
    <w:p w:rsidR="004F0A6A" w:rsidRDefault="004F0A6A" w:rsidP="00361734">
      <w:pPr>
        <w:pStyle w:val="ListParagraph"/>
        <w:widowControl/>
        <w:numPr>
          <w:ilvl w:val="1"/>
          <w:numId w:val="1"/>
        </w:numPr>
      </w:pPr>
      <w:r w:rsidRPr="004F0A6A">
        <w:t xml:space="preserve">The proportion of </w:t>
      </w:r>
      <w:r w:rsidR="00A21BD0">
        <w:t>eyes</w:t>
      </w:r>
      <w:r w:rsidRPr="004F0A6A">
        <w:t xml:space="preserve"> gaining ≥10 or </w:t>
      </w:r>
      <w:r w:rsidR="00624AED" w:rsidRPr="004F0A6A">
        <w:t>≥</w:t>
      </w:r>
      <w:r w:rsidRPr="004F0A6A">
        <w:t xml:space="preserve">15 letters in BCVA from baseline are summarised in Table </w:t>
      </w:r>
      <w:r w:rsidR="006B1735">
        <w:t>7</w:t>
      </w:r>
      <w:r w:rsidRPr="004F0A6A">
        <w:t>.</w:t>
      </w:r>
    </w:p>
    <w:p w:rsidR="008729AC" w:rsidRPr="003C3ED3" w:rsidRDefault="008729AC" w:rsidP="008729AC">
      <w:pPr>
        <w:rPr>
          <w:rFonts w:ascii="Arial Narrow" w:hAnsi="Arial Narrow"/>
          <w:b/>
          <w:sz w:val="20"/>
          <w:szCs w:val="20"/>
        </w:rPr>
      </w:pPr>
      <w:r>
        <w:rPr>
          <w:rFonts w:ascii="Arial Narrow" w:hAnsi="Arial Narrow"/>
          <w:b/>
          <w:sz w:val="20"/>
          <w:szCs w:val="20"/>
        </w:rPr>
        <w:t>Table 7</w:t>
      </w:r>
      <w:r w:rsidRPr="003C3ED3">
        <w:rPr>
          <w:rFonts w:ascii="Arial Narrow" w:hAnsi="Arial Narrow"/>
          <w:b/>
          <w:sz w:val="20"/>
          <w:szCs w:val="20"/>
        </w:rPr>
        <w:t xml:space="preserve">: Proportion of </w:t>
      </w:r>
      <w:r w:rsidR="00A21BD0">
        <w:rPr>
          <w:rFonts w:ascii="Arial Narrow" w:hAnsi="Arial Narrow"/>
          <w:b/>
          <w:sz w:val="20"/>
          <w:szCs w:val="20"/>
        </w:rPr>
        <w:t>eyes</w:t>
      </w:r>
      <w:r w:rsidRPr="003C3ED3">
        <w:rPr>
          <w:rFonts w:ascii="Arial Narrow" w:hAnsi="Arial Narrow"/>
          <w:b/>
          <w:sz w:val="20"/>
          <w:szCs w:val="20"/>
        </w:rPr>
        <w:t xml:space="preserve"> gaining </w:t>
      </w:r>
      <w:r w:rsidRPr="003C3ED3">
        <w:rPr>
          <w:rFonts w:ascii="Arial Narrow" w:hAnsi="Arial Narrow" w:cs="Calibri"/>
          <w:b/>
          <w:sz w:val="20"/>
          <w:szCs w:val="20"/>
        </w:rPr>
        <w:t>≥</w:t>
      </w:r>
      <w:r>
        <w:rPr>
          <w:rFonts w:ascii="Arial Narrow" w:hAnsi="Arial Narrow" w:cs="Calibri"/>
          <w:b/>
          <w:sz w:val="20"/>
          <w:szCs w:val="20"/>
        </w:rPr>
        <w:t xml:space="preserve">10 or </w:t>
      </w:r>
      <w:r w:rsidR="00624AED" w:rsidRPr="003C3ED3">
        <w:rPr>
          <w:rFonts w:ascii="Arial Narrow" w:hAnsi="Arial Narrow" w:cs="Calibri"/>
          <w:b/>
          <w:sz w:val="20"/>
          <w:szCs w:val="20"/>
        </w:rPr>
        <w:t>≥</w:t>
      </w:r>
      <w:r w:rsidRPr="003C3ED3">
        <w:rPr>
          <w:rFonts w:ascii="Arial Narrow" w:hAnsi="Arial Narrow"/>
          <w:b/>
          <w:sz w:val="20"/>
          <w:szCs w:val="20"/>
        </w:rPr>
        <w:t xml:space="preserve">15 letters </w:t>
      </w:r>
      <w:r w:rsidR="00987EAC">
        <w:rPr>
          <w:rFonts w:ascii="Arial Narrow" w:hAnsi="Arial Narrow"/>
          <w:b/>
          <w:sz w:val="20"/>
          <w:szCs w:val="20"/>
        </w:rPr>
        <w:t xml:space="preserve">in best corrected visual acuity </w:t>
      </w:r>
      <w:r w:rsidRPr="003C3ED3">
        <w:rPr>
          <w:rFonts w:ascii="Arial Narrow" w:hAnsi="Arial Narrow"/>
          <w:b/>
          <w:sz w:val="20"/>
          <w:szCs w:val="20"/>
        </w:rPr>
        <w:t>from baseline in COMO</w:t>
      </w:r>
      <w:r w:rsidR="00AF28BB">
        <w:rPr>
          <w:rFonts w:ascii="Arial Narrow" w:hAnsi="Arial Narrow"/>
          <w:b/>
          <w:sz w:val="20"/>
          <w:szCs w:val="20"/>
        </w:rPr>
        <w:t xml:space="preserve"> (BRVO)</w:t>
      </w:r>
      <w:r w:rsidRPr="003C3ED3">
        <w:rPr>
          <w:rFonts w:ascii="Arial Narrow" w:hAnsi="Arial Narrow"/>
          <w:b/>
          <w:sz w:val="20"/>
          <w:szCs w:val="20"/>
        </w:rPr>
        <w:t>, COMRADE-B</w:t>
      </w:r>
      <w:r w:rsidR="00AF28BB">
        <w:rPr>
          <w:rFonts w:ascii="Arial Narrow" w:hAnsi="Arial Narrow"/>
          <w:b/>
          <w:sz w:val="20"/>
          <w:szCs w:val="20"/>
        </w:rPr>
        <w:t xml:space="preserve"> (BRVO)</w:t>
      </w:r>
      <w:r w:rsidRPr="003C3ED3">
        <w:rPr>
          <w:rFonts w:ascii="Arial Narrow" w:hAnsi="Arial Narrow"/>
          <w:b/>
          <w:sz w:val="20"/>
          <w:szCs w:val="20"/>
        </w:rPr>
        <w:t>, and COMRADE-C</w:t>
      </w:r>
      <w:r w:rsidR="00AF28BB">
        <w:rPr>
          <w:rFonts w:ascii="Arial Narrow" w:hAnsi="Arial Narrow"/>
          <w:b/>
          <w:sz w:val="20"/>
          <w:szCs w:val="20"/>
        </w:rPr>
        <w:t xml:space="preserve"> (CRVO)</w:t>
      </w:r>
      <w:r w:rsidRPr="003C3ED3">
        <w:rPr>
          <w:rFonts w:ascii="Arial Narrow" w:hAnsi="Arial Narrow"/>
          <w:b/>
          <w:sz w:val="20"/>
          <w:szCs w:val="20"/>
        </w:rPr>
        <w:t>: dexamethasone implant versus ranibizumab</w:t>
      </w:r>
    </w:p>
    <w:tbl>
      <w:tblPr>
        <w:tblStyle w:val="TableGrid"/>
        <w:tblW w:w="0" w:type="auto"/>
        <w:tblCellMar>
          <w:left w:w="57" w:type="dxa"/>
          <w:right w:w="57" w:type="dxa"/>
        </w:tblCellMar>
        <w:tblLook w:val="04A0" w:firstRow="1" w:lastRow="0" w:firstColumn="1" w:lastColumn="0" w:noHBand="0" w:noVBand="1"/>
        <w:tblCaption w:val="Table 7: Proportion of eyes gaining ≥10 or ≥15 letters in best corrected visual acuity from baseline in COMO (BRVO), COMRADE-B (BRVO), and COMRADE-C (CRVO): dexamethasone implant versus ranibizumab"/>
      </w:tblPr>
      <w:tblGrid>
        <w:gridCol w:w="2342"/>
        <w:gridCol w:w="1132"/>
        <w:gridCol w:w="1133"/>
        <w:gridCol w:w="1134"/>
        <w:gridCol w:w="1133"/>
        <w:gridCol w:w="1133"/>
        <w:gridCol w:w="1134"/>
      </w:tblGrid>
      <w:tr w:rsidR="008729AC" w:rsidRPr="000C6DD1" w:rsidTr="001D074A">
        <w:trPr>
          <w:tblHeader/>
        </w:trPr>
        <w:tc>
          <w:tcPr>
            <w:tcW w:w="2377" w:type="dxa"/>
            <w:vMerge w:val="restart"/>
          </w:tcPr>
          <w:p w:rsidR="008729AC" w:rsidRPr="000C6DD1" w:rsidRDefault="008729AC" w:rsidP="008729AC">
            <w:pPr>
              <w:rPr>
                <w:rFonts w:ascii="Arial Narrow" w:hAnsi="Arial Narrow"/>
                <w:b/>
                <w:sz w:val="20"/>
                <w:szCs w:val="20"/>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COMO</w:t>
            </w:r>
            <w:r w:rsidR="00AF28BB">
              <w:rPr>
                <w:rFonts w:ascii="Arial Narrow" w:hAnsi="Arial Narrow"/>
                <w:b/>
                <w:sz w:val="20"/>
                <w:szCs w:val="20"/>
              </w:rPr>
              <w:t xml:space="preserve"> (BRVO)</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COMRADE-B</w:t>
            </w:r>
            <w:r w:rsidR="00AF28BB">
              <w:rPr>
                <w:rFonts w:ascii="Arial Narrow" w:hAnsi="Arial Narrow"/>
                <w:b/>
                <w:sz w:val="20"/>
                <w:szCs w:val="20"/>
              </w:rPr>
              <w:t xml:space="preserve"> (BRVO)</w:t>
            </w:r>
          </w:p>
        </w:tc>
        <w:tc>
          <w:tcPr>
            <w:tcW w:w="2289" w:type="dxa"/>
            <w:gridSpan w:val="2"/>
            <w:tcBorders>
              <w:left w:val="single" w:sz="4" w:space="0" w:color="auto"/>
            </w:tcBorders>
            <w:shd w:val="clear" w:color="auto" w:fill="FFFFFF" w:themeFill="background1"/>
            <w:vAlign w:val="center"/>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COMRADE-C</w:t>
            </w:r>
            <w:r w:rsidR="00AF28BB">
              <w:rPr>
                <w:rFonts w:ascii="Arial Narrow" w:hAnsi="Arial Narrow"/>
                <w:b/>
                <w:sz w:val="20"/>
                <w:szCs w:val="20"/>
              </w:rPr>
              <w:t xml:space="preserve"> (CRVO)</w:t>
            </w:r>
          </w:p>
        </w:tc>
      </w:tr>
      <w:tr w:rsidR="008729AC" w:rsidRPr="000C6DD1" w:rsidTr="001D074A">
        <w:trPr>
          <w:tblHeader/>
        </w:trPr>
        <w:tc>
          <w:tcPr>
            <w:tcW w:w="2377" w:type="dxa"/>
            <w:vMerge/>
          </w:tcPr>
          <w:p w:rsidR="008729AC" w:rsidRPr="000C6DD1" w:rsidRDefault="008729AC" w:rsidP="008729AC">
            <w:pPr>
              <w:rPr>
                <w:rFonts w:ascii="Arial Narrow" w:hAnsi="Arial Narrow"/>
                <w:b/>
                <w:sz w:val="20"/>
                <w:szCs w:val="20"/>
              </w:rPr>
            </w:pPr>
          </w:p>
        </w:tc>
        <w:tc>
          <w:tcPr>
            <w:tcW w:w="1144" w:type="dxa"/>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 xml:space="preserve">DEX 700 </w:t>
            </w:r>
          </w:p>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(N=154)</w:t>
            </w:r>
          </w:p>
        </w:tc>
        <w:tc>
          <w:tcPr>
            <w:tcW w:w="1144" w:type="dxa"/>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RANI</w:t>
            </w:r>
          </w:p>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(N=153)</w:t>
            </w:r>
          </w:p>
        </w:tc>
        <w:tc>
          <w:tcPr>
            <w:tcW w:w="1145" w:type="dxa"/>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DEX</w:t>
            </w:r>
          </w:p>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(N=126)</w:t>
            </w:r>
          </w:p>
        </w:tc>
        <w:tc>
          <w:tcPr>
            <w:tcW w:w="1144" w:type="dxa"/>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RANI</w:t>
            </w:r>
          </w:p>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(N=118)</w:t>
            </w:r>
          </w:p>
        </w:tc>
        <w:tc>
          <w:tcPr>
            <w:tcW w:w="1144" w:type="dxa"/>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DEX</w:t>
            </w:r>
          </w:p>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(N=119)</w:t>
            </w:r>
          </w:p>
        </w:tc>
        <w:tc>
          <w:tcPr>
            <w:tcW w:w="1145" w:type="dxa"/>
          </w:tcPr>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RANI</w:t>
            </w:r>
          </w:p>
          <w:p w:rsidR="008729AC" w:rsidRPr="000C6DD1" w:rsidRDefault="008729AC" w:rsidP="008729AC">
            <w:pPr>
              <w:jc w:val="center"/>
              <w:rPr>
                <w:rFonts w:ascii="Arial Narrow" w:hAnsi="Arial Narrow"/>
                <w:b/>
                <w:sz w:val="20"/>
                <w:szCs w:val="20"/>
              </w:rPr>
            </w:pPr>
            <w:r w:rsidRPr="000C6DD1">
              <w:rPr>
                <w:rFonts w:ascii="Arial Narrow" w:hAnsi="Arial Narrow"/>
                <w:b/>
                <w:sz w:val="20"/>
                <w:szCs w:val="20"/>
              </w:rPr>
              <w:t>(N=124)</w:t>
            </w:r>
          </w:p>
        </w:tc>
      </w:tr>
      <w:tr w:rsidR="008729AC" w:rsidRPr="000C6DD1" w:rsidTr="008729AC">
        <w:tc>
          <w:tcPr>
            <w:tcW w:w="0" w:type="auto"/>
            <w:gridSpan w:val="7"/>
            <w:vAlign w:val="center"/>
          </w:tcPr>
          <w:p w:rsidR="008729AC" w:rsidRPr="000C6DD1" w:rsidRDefault="008729AC" w:rsidP="008729AC">
            <w:pPr>
              <w:rPr>
                <w:rFonts w:ascii="Arial Narrow" w:hAnsi="Arial Narrow"/>
                <w:sz w:val="20"/>
                <w:szCs w:val="20"/>
              </w:rPr>
            </w:pPr>
            <w:r w:rsidRPr="000C6DD1">
              <w:rPr>
                <w:rFonts w:ascii="Arial Narrow" w:hAnsi="Arial Narrow" w:cstheme="minorHAnsi"/>
                <w:b/>
                <w:sz w:val="20"/>
                <w:szCs w:val="20"/>
                <w:lang w:eastAsia="zh-CN"/>
              </w:rPr>
              <w:t>Month 6</w:t>
            </w:r>
          </w:p>
        </w:tc>
      </w:tr>
      <w:tr w:rsidR="008729AC" w:rsidRPr="000C6DD1" w:rsidTr="008729AC">
        <w:tc>
          <w:tcPr>
            <w:tcW w:w="2377" w:type="dxa"/>
            <w:vAlign w:val="center"/>
          </w:tcPr>
          <w:p w:rsidR="008729AC" w:rsidRPr="000C6DD1" w:rsidRDefault="008729AC" w:rsidP="008729AC">
            <w:pPr>
              <w:rPr>
                <w:rFonts w:ascii="Arial Narrow" w:hAnsi="Arial Narrow"/>
                <w:sz w:val="20"/>
                <w:szCs w:val="20"/>
              </w:rPr>
            </w:pPr>
            <w:r w:rsidRPr="000C6DD1">
              <w:rPr>
                <w:rFonts w:ascii="Arial Narrow" w:hAnsi="Arial Narrow" w:cstheme="minorHAnsi"/>
                <w:sz w:val="20"/>
                <w:szCs w:val="20"/>
              </w:rPr>
              <w:t xml:space="preserve">Number (%) of patients with ≥15 letter gain in BCVA </w:t>
            </w:r>
          </w:p>
        </w:tc>
        <w:tc>
          <w:tcPr>
            <w:tcW w:w="1144" w:type="dxa"/>
            <w:tcBorders>
              <w:right w:val="single" w:sz="4" w:space="0" w:color="auto"/>
            </w:tcBorders>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NR</w:t>
            </w:r>
          </w:p>
        </w:tc>
        <w:tc>
          <w:tcPr>
            <w:tcW w:w="1144" w:type="dxa"/>
            <w:tcBorders>
              <w:left w:val="single" w:sz="4" w:space="0" w:color="auto"/>
            </w:tcBorders>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NR</w:t>
            </w:r>
          </w:p>
        </w:tc>
        <w:tc>
          <w:tcPr>
            <w:tcW w:w="1145" w:type="dxa"/>
            <w:tcBorders>
              <w:left w:val="single" w:sz="4" w:space="0" w:color="auto"/>
            </w:tcBorders>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47 (37.3)</w:t>
            </w:r>
          </w:p>
        </w:tc>
        <w:tc>
          <w:tcPr>
            <w:tcW w:w="1144" w:type="dxa"/>
            <w:tcBorders>
              <w:left w:val="single" w:sz="4" w:space="0" w:color="auto"/>
            </w:tcBorders>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72 (61.1)</w:t>
            </w:r>
          </w:p>
        </w:tc>
        <w:tc>
          <w:tcPr>
            <w:tcW w:w="1144" w:type="dxa"/>
            <w:tcBorders>
              <w:left w:val="single" w:sz="4" w:space="0" w:color="auto"/>
            </w:tcBorders>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22 (18.5)</w:t>
            </w:r>
          </w:p>
        </w:tc>
        <w:tc>
          <w:tcPr>
            <w:tcW w:w="1145" w:type="dxa"/>
            <w:tcBorders>
              <w:left w:val="single" w:sz="4" w:space="0" w:color="auto"/>
            </w:tcBorders>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73 (58.9)</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rPr>
            </w:pPr>
            <w:r w:rsidRPr="000C6DD1">
              <w:rPr>
                <w:rFonts w:ascii="Arial Narrow" w:hAnsi="Arial Narrow" w:cstheme="minorHAnsi"/>
                <w:sz w:val="20"/>
                <w:szCs w:val="20"/>
                <w:lang w:eastAsia="zh-CN"/>
              </w:rPr>
              <w:t>Difference %, p-value</w:t>
            </w:r>
          </w:p>
        </w:tc>
        <w:tc>
          <w:tcPr>
            <w:tcW w:w="2288" w:type="dxa"/>
            <w:gridSpan w:val="2"/>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NR</w:t>
            </w:r>
          </w:p>
        </w:tc>
        <w:tc>
          <w:tcPr>
            <w:tcW w:w="2289" w:type="dxa"/>
            <w:gridSpan w:val="2"/>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-23.8, p=0.0002</w:t>
            </w:r>
          </w:p>
        </w:tc>
        <w:tc>
          <w:tcPr>
            <w:tcW w:w="2289" w:type="dxa"/>
            <w:gridSpan w:val="2"/>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-40.4, p&lt;0.001</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rPr>
            </w:pPr>
            <w:r w:rsidRPr="000C6DD1">
              <w:rPr>
                <w:rFonts w:ascii="Arial Narrow" w:hAnsi="Arial Narrow" w:cstheme="minorHAnsi"/>
                <w:sz w:val="20"/>
                <w:szCs w:val="20"/>
              </w:rPr>
              <w:t xml:space="preserve">Number (%) of patients with ≥10 letter gain in BCVA </w:t>
            </w:r>
          </w:p>
        </w:tc>
        <w:tc>
          <w:tcPr>
            <w:tcW w:w="1144" w:type="dxa"/>
            <w:tcBorders>
              <w:left w:val="single" w:sz="4" w:space="0" w:color="auto"/>
              <w:righ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NR</w:t>
            </w:r>
          </w:p>
        </w:tc>
        <w:tc>
          <w:tcPr>
            <w:tcW w:w="1144" w:type="dxa"/>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NR</w:t>
            </w:r>
          </w:p>
        </w:tc>
        <w:tc>
          <w:tcPr>
            <w:tcW w:w="1145" w:type="dxa"/>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67 (53.4)</w:t>
            </w:r>
          </w:p>
        </w:tc>
        <w:tc>
          <w:tcPr>
            <w:tcW w:w="1144" w:type="dxa"/>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91 (77.0)</w:t>
            </w:r>
          </w:p>
        </w:tc>
        <w:tc>
          <w:tcPr>
            <w:tcW w:w="1144" w:type="dxa"/>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38 (31.9)</w:t>
            </w:r>
          </w:p>
        </w:tc>
        <w:tc>
          <w:tcPr>
            <w:tcW w:w="1145" w:type="dxa"/>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89 (71.8)</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rPr>
            </w:pPr>
            <w:r w:rsidRPr="000C6DD1">
              <w:rPr>
                <w:rFonts w:ascii="Arial Narrow" w:hAnsi="Arial Narrow" w:cstheme="minorHAnsi"/>
                <w:sz w:val="20"/>
                <w:szCs w:val="20"/>
                <w:lang w:eastAsia="zh-CN"/>
              </w:rPr>
              <w:t>Difference %, p-value</w:t>
            </w:r>
          </w:p>
        </w:tc>
        <w:tc>
          <w:tcPr>
            <w:tcW w:w="2288" w:type="dxa"/>
            <w:gridSpan w:val="2"/>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NR</w:t>
            </w:r>
          </w:p>
        </w:tc>
        <w:tc>
          <w:tcPr>
            <w:tcW w:w="2289" w:type="dxa"/>
            <w:gridSpan w:val="2"/>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-23.6, p&lt;0.0001</w:t>
            </w:r>
          </w:p>
        </w:tc>
        <w:tc>
          <w:tcPr>
            <w:tcW w:w="2289" w:type="dxa"/>
            <w:gridSpan w:val="2"/>
            <w:tcBorders>
              <w:left w:val="single" w:sz="4" w:space="0" w:color="auto"/>
            </w:tcBorders>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-39.9, p&lt;0.0001</w:t>
            </w:r>
          </w:p>
        </w:tc>
      </w:tr>
      <w:tr w:rsidR="008729AC" w:rsidRPr="000C6DD1" w:rsidTr="008729AC">
        <w:tc>
          <w:tcPr>
            <w:tcW w:w="0" w:type="auto"/>
            <w:gridSpan w:val="7"/>
            <w:vAlign w:val="center"/>
          </w:tcPr>
          <w:p w:rsidR="008729AC" w:rsidRPr="000C6DD1" w:rsidRDefault="008729AC" w:rsidP="008729AC">
            <w:pPr>
              <w:rPr>
                <w:rFonts w:ascii="Arial Narrow" w:hAnsi="Arial Narrow"/>
                <w:sz w:val="20"/>
                <w:szCs w:val="20"/>
              </w:rPr>
            </w:pPr>
            <w:r w:rsidRPr="000C6DD1">
              <w:rPr>
                <w:rFonts w:ascii="Arial Narrow" w:hAnsi="Arial Narrow" w:cstheme="minorHAnsi"/>
                <w:b/>
                <w:sz w:val="20"/>
                <w:szCs w:val="20"/>
                <w:lang w:eastAsia="zh-CN"/>
              </w:rPr>
              <w:t>Month 12</w:t>
            </w:r>
          </w:p>
        </w:tc>
      </w:tr>
      <w:tr w:rsidR="008729AC" w:rsidRPr="000C6DD1" w:rsidTr="008729AC">
        <w:tc>
          <w:tcPr>
            <w:tcW w:w="2377" w:type="dxa"/>
            <w:vAlign w:val="center"/>
          </w:tcPr>
          <w:p w:rsidR="008729AC" w:rsidRPr="000C6DD1" w:rsidRDefault="008729AC" w:rsidP="008729AC">
            <w:pPr>
              <w:rPr>
                <w:rFonts w:ascii="Arial Narrow" w:hAnsi="Arial Narrow"/>
                <w:sz w:val="20"/>
                <w:szCs w:val="20"/>
              </w:rPr>
            </w:pPr>
            <w:r w:rsidRPr="000C6DD1">
              <w:rPr>
                <w:rFonts w:ascii="Arial Narrow" w:hAnsi="Arial Narrow" w:cstheme="minorHAnsi"/>
                <w:sz w:val="20"/>
                <w:szCs w:val="20"/>
              </w:rPr>
              <w:t xml:space="preserve">Number (%) of patients with ≥15 letter gain in BCVA </w:t>
            </w:r>
          </w:p>
        </w:tc>
        <w:tc>
          <w:tcPr>
            <w:tcW w:w="1144" w:type="dxa"/>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52 (33.8)</w:t>
            </w:r>
          </w:p>
        </w:tc>
        <w:tc>
          <w:tcPr>
            <w:tcW w:w="1144" w:type="dxa"/>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91 (59.5)</w:t>
            </w:r>
          </w:p>
        </w:tc>
        <w:tc>
          <w:tcPr>
            <w:tcW w:w="1145" w:type="dxa"/>
            <w:vAlign w:val="center"/>
          </w:tcPr>
          <w:p w:rsidR="008729AC" w:rsidRPr="000C6DD1" w:rsidRDefault="008729AC" w:rsidP="008729AC">
            <w:pPr>
              <w:jc w:val="center"/>
              <w:rPr>
                <w:rFonts w:ascii="Arial Narrow" w:hAnsi="Arial Narrow"/>
                <w:sz w:val="20"/>
                <w:szCs w:val="20"/>
              </w:rPr>
            </w:pPr>
            <w:r w:rsidRPr="000C6DD1">
              <w:rPr>
                <w:rFonts w:ascii="Arial Narrow" w:hAnsi="Arial Narrow"/>
                <w:sz w:val="20"/>
                <w:szCs w:val="20"/>
              </w:rPr>
              <w:t>N/A</w:t>
            </w:r>
          </w:p>
        </w:tc>
        <w:tc>
          <w:tcPr>
            <w:tcW w:w="1144" w:type="dxa"/>
            <w:vAlign w:val="center"/>
          </w:tcPr>
          <w:p w:rsidR="008729AC" w:rsidRPr="000C6DD1" w:rsidRDefault="008729AC" w:rsidP="008729AC">
            <w:pPr>
              <w:jc w:val="center"/>
              <w:rPr>
                <w:rFonts w:ascii="Arial Narrow" w:hAnsi="Arial Narrow"/>
                <w:sz w:val="20"/>
                <w:szCs w:val="20"/>
              </w:rPr>
            </w:pPr>
            <w:r w:rsidRPr="000C6DD1">
              <w:rPr>
                <w:rFonts w:ascii="Arial Narrow" w:hAnsi="Arial Narrow"/>
                <w:sz w:val="20"/>
                <w:szCs w:val="20"/>
              </w:rPr>
              <w:t>N/A</w:t>
            </w:r>
          </w:p>
        </w:tc>
        <w:tc>
          <w:tcPr>
            <w:tcW w:w="1144" w:type="dxa"/>
            <w:vAlign w:val="center"/>
          </w:tcPr>
          <w:p w:rsidR="008729AC" w:rsidRPr="000C6DD1" w:rsidRDefault="008729AC" w:rsidP="008729AC">
            <w:pPr>
              <w:jc w:val="center"/>
              <w:rPr>
                <w:rFonts w:ascii="Arial Narrow" w:hAnsi="Arial Narrow"/>
                <w:sz w:val="20"/>
                <w:szCs w:val="20"/>
              </w:rPr>
            </w:pPr>
            <w:r w:rsidRPr="000C6DD1">
              <w:rPr>
                <w:rFonts w:ascii="Arial Narrow" w:hAnsi="Arial Narrow"/>
                <w:sz w:val="20"/>
                <w:szCs w:val="20"/>
              </w:rPr>
              <w:t>N/A</w:t>
            </w:r>
          </w:p>
        </w:tc>
        <w:tc>
          <w:tcPr>
            <w:tcW w:w="1145" w:type="dxa"/>
            <w:vAlign w:val="center"/>
          </w:tcPr>
          <w:p w:rsidR="008729AC" w:rsidRPr="000C6DD1" w:rsidRDefault="008729AC" w:rsidP="008729AC">
            <w:pPr>
              <w:jc w:val="center"/>
              <w:rPr>
                <w:rFonts w:ascii="Arial Narrow" w:hAnsi="Arial Narrow"/>
                <w:sz w:val="20"/>
                <w:szCs w:val="20"/>
              </w:rPr>
            </w:pPr>
            <w:r w:rsidRPr="000C6DD1">
              <w:rPr>
                <w:rFonts w:ascii="Arial Narrow" w:hAnsi="Arial Narrow"/>
                <w:sz w:val="20"/>
                <w:szCs w:val="20"/>
              </w:rPr>
              <w:t>N/A</w:t>
            </w:r>
          </w:p>
        </w:tc>
      </w:tr>
      <w:tr w:rsidR="008729AC" w:rsidRPr="000C6DD1" w:rsidTr="008729AC">
        <w:tc>
          <w:tcPr>
            <w:tcW w:w="2377" w:type="dxa"/>
            <w:vAlign w:val="center"/>
          </w:tcPr>
          <w:p w:rsidR="008729AC" w:rsidRPr="000C6DD1" w:rsidRDefault="008729AC" w:rsidP="008729AC">
            <w:pPr>
              <w:rPr>
                <w:rFonts w:ascii="Arial Narrow" w:hAnsi="Arial Narrow"/>
                <w:sz w:val="20"/>
                <w:szCs w:val="20"/>
              </w:rPr>
            </w:pPr>
            <w:r w:rsidRPr="000C6DD1">
              <w:rPr>
                <w:rFonts w:ascii="Arial Narrow" w:hAnsi="Arial Narrow" w:cstheme="minorHAnsi"/>
                <w:sz w:val="20"/>
                <w:szCs w:val="20"/>
                <w:lang w:eastAsia="zh-CN"/>
              </w:rPr>
              <w:t>Difference, % (p-value)</w:t>
            </w:r>
          </w:p>
        </w:tc>
        <w:tc>
          <w:tcPr>
            <w:tcW w:w="2288" w:type="dxa"/>
            <w:gridSpan w:val="2"/>
            <w:vAlign w:val="center"/>
          </w:tcPr>
          <w:p w:rsidR="008729AC" w:rsidRPr="000C6DD1" w:rsidRDefault="008729AC" w:rsidP="008729AC">
            <w:pPr>
              <w:jc w:val="center"/>
              <w:rPr>
                <w:rFonts w:ascii="Arial Narrow" w:hAnsi="Arial Narrow"/>
                <w:sz w:val="20"/>
                <w:szCs w:val="20"/>
              </w:rPr>
            </w:pPr>
            <w:r w:rsidRPr="000C6DD1">
              <w:rPr>
                <w:rFonts w:ascii="Arial Narrow" w:hAnsi="Arial Narrow" w:cstheme="minorHAnsi"/>
                <w:sz w:val="20"/>
                <w:szCs w:val="20"/>
              </w:rPr>
              <w:t>-25.7, p&lt;0.0001</w:t>
            </w:r>
          </w:p>
        </w:tc>
        <w:tc>
          <w:tcPr>
            <w:tcW w:w="2289" w:type="dxa"/>
            <w:gridSpan w:val="2"/>
            <w:vAlign w:val="center"/>
          </w:tcPr>
          <w:p w:rsidR="008729AC" w:rsidRPr="000C6DD1" w:rsidRDefault="008729AC" w:rsidP="008729AC">
            <w:pPr>
              <w:jc w:val="center"/>
              <w:rPr>
                <w:rFonts w:ascii="Arial Narrow" w:hAnsi="Arial Narrow"/>
                <w:sz w:val="20"/>
                <w:szCs w:val="20"/>
              </w:rPr>
            </w:pPr>
            <w:r w:rsidRPr="000C6DD1">
              <w:rPr>
                <w:rFonts w:ascii="Arial Narrow" w:hAnsi="Arial Narrow"/>
                <w:sz w:val="20"/>
                <w:szCs w:val="20"/>
              </w:rPr>
              <w:t>N/A</w:t>
            </w:r>
          </w:p>
        </w:tc>
        <w:tc>
          <w:tcPr>
            <w:tcW w:w="2289" w:type="dxa"/>
            <w:gridSpan w:val="2"/>
            <w:vAlign w:val="center"/>
          </w:tcPr>
          <w:p w:rsidR="008729AC" w:rsidRPr="000C6DD1" w:rsidRDefault="008729AC" w:rsidP="008729AC">
            <w:pPr>
              <w:jc w:val="center"/>
              <w:rPr>
                <w:rFonts w:ascii="Arial Narrow" w:hAnsi="Arial Narrow"/>
                <w:sz w:val="20"/>
                <w:szCs w:val="20"/>
              </w:rPr>
            </w:pPr>
            <w:r w:rsidRPr="000C6DD1">
              <w:rPr>
                <w:rFonts w:ascii="Arial Narrow" w:hAnsi="Arial Narrow"/>
                <w:sz w:val="20"/>
                <w:szCs w:val="20"/>
              </w:rPr>
              <w:t>N/A</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lang w:eastAsia="zh-CN"/>
              </w:rPr>
            </w:pPr>
            <w:r w:rsidRPr="000C6DD1">
              <w:rPr>
                <w:rFonts w:ascii="Arial Narrow" w:hAnsi="Arial Narrow" w:cstheme="minorHAnsi"/>
                <w:sz w:val="20"/>
                <w:szCs w:val="20"/>
                <w:lang w:eastAsia="zh-CN"/>
              </w:rPr>
              <w:t>Odds ratio (95% CI)</w:t>
            </w:r>
          </w:p>
        </w:tc>
        <w:tc>
          <w:tcPr>
            <w:tcW w:w="2288"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0.3 (0.18, 0.48)</w:t>
            </w:r>
          </w:p>
        </w:tc>
        <w:tc>
          <w:tcPr>
            <w:tcW w:w="2289"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c>
          <w:tcPr>
            <w:tcW w:w="2289"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lang w:eastAsia="zh-CN"/>
              </w:rPr>
            </w:pPr>
            <w:r w:rsidRPr="000C6DD1">
              <w:rPr>
                <w:rFonts w:ascii="Arial Narrow" w:hAnsi="Arial Narrow" w:cstheme="minorHAnsi"/>
                <w:sz w:val="20"/>
                <w:szCs w:val="20"/>
              </w:rPr>
              <w:t xml:space="preserve">Number (%) of patients with ≥10 letter gain in BCVA </w:t>
            </w:r>
          </w:p>
        </w:tc>
        <w:tc>
          <w:tcPr>
            <w:tcW w:w="1144" w:type="dxa"/>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79 (51.3)</w:t>
            </w:r>
          </w:p>
        </w:tc>
        <w:tc>
          <w:tcPr>
            <w:tcW w:w="1144" w:type="dxa"/>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112 (73.2)</w:t>
            </w:r>
          </w:p>
        </w:tc>
        <w:tc>
          <w:tcPr>
            <w:tcW w:w="1145" w:type="dxa"/>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c>
          <w:tcPr>
            <w:tcW w:w="1144" w:type="dxa"/>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c>
          <w:tcPr>
            <w:tcW w:w="1144" w:type="dxa"/>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c>
          <w:tcPr>
            <w:tcW w:w="1145" w:type="dxa"/>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lang w:eastAsia="zh-CN"/>
              </w:rPr>
            </w:pPr>
            <w:r w:rsidRPr="000C6DD1">
              <w:rPr>
                <w:rFonts w:ascii="Arial Narrow" w:hAnsi="Arial Narrow" w:cstheme="minorHAnsi"/>
                <w:sz w:val="20"/>
                <w:szCs w:val="20"/>
                <w:lang w:eastAsia="zh-CN"/>
              </w:rPr>
              <w:t>Difference, % (p-value)</w:t>
            </w:r>
          </w:p>
        </w:tc>
        <w:tc>
          <w:tcPr>
            <w:tcW w:w="2288"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-21.9, p&lt;0.0001</w:t>
            </w:r>
          </w:p>
        </w:tc>
        <w:tc>
          <w:tcPr>
            <w:tcW w:w="2289"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c>
          <w:tcPr>
            <w:tcW w:w="2289"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r>
      <w:tr w:rsidR="008729AC" w:rsidRPr="000C6DD1" w:rsidTr="008729AC">
        <w:tc>
          <w:tcPr>
            <w:tcW w:w="2377" w:type="dxa"/>
            <w:vAlign w:val="center"/>
          </w:tcPr>
          <w:p w:rsidR="008729AC" w:rsidRPr="000C6DD1" w:rsidRDefault="008729AC" w:rsidP="008729AC">
            <w:pPr>
              <w:rPr>
                <w:rFonts w:ascii="Arial Narrow" w:hAnsi="Arial Narrow" w:cstheme="minorHAnsi"/>
                <w:sz w:val="20"/>
                <w:szCs w:val="20"/>
                <w:lang w:eastAsia="zh-CN"/>
              </w:rPr>
            </w:pPr>
            <w:r w:rsidRPr="000C6DD1">
              <w:rPr>
                <w:rFonts w:ascii="Arial Narrow" w:hAnsi="Arial Narrow" w:cstheme="minorHAnsi"/>
                <w:sz w:val="20"/>
                <w:szCs w:val="20"/>
                <w:lang w:eastAsia="zh-CN"/>
              </w:rPr>
              <w:t>Odds ratio (95% CI)</w:t>
            </w:r>
          </w:p>
        </w:tc>
        <w:tc>
          <w:tcPr>
            <w:tcW w:w="2288"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cstheme="minorHAnsi"/>
                <w:sz w:val="20"/>
                <w:szCs w:val="20"/>
              </w:rPr>
              <w:t>0.3 (0.20, 0.55)</w:t>
            </w:r>
          </w:p>
        </w:tc>
        <w:tc>
          <w:tcPr>
            <w:tcW w:w="2289"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c>
          <w:tcPr>
            <w:tcW w:w="2289" w:type="dxa"/>
            <w:gridSpan w:val="2"/>
            <w:vAlign w:val="center"/>
          </w:tcPr>
          <w:p w:rsidR="008729AC" w:rsidRPr="000C6DD1" w:rsidRDefault="008729AC" w:rsidP="008729AC">
            <w:pPr>
              <w:jc w:val="center"/>
              <w:rPr>
                <w:rFonts w:ascii="Arial Narrow" w:hAnsi="Arial Narrow" w:cstheme="minorHAnsi"/>
                <w:sz w:val="20"/>
                <w:szCs w:val="20"/>
              </w:rPr>
            </w:pPr>
            <w:r w:rsidRPr="000C6DD1">
              <w:rPr>
                <w:rFonts w:ascii="Arial Narrow" w:hAnsi="Arial Narrow"/>
                <w:sz w:val="20"/>
                <w:szCs w:val="20"/>
              </w:rPr>
              <w:t>N/A</w:t>
            </w:r>
          </w:p>
        </w:tc>
      </w:tr>
    </w:tbl>
    <w:p w:rsidR="008729AC" w:rsidRDefault="008729AC" w:rsidP="008729AC">
      <w:pPr>
        <w:pStyle w:val="TableFooter"/>
      </w:pPr>
      <w:r>
        <w:t>Source: Table 2.5.8, p.95 of the submission; Table 14.2.3.1, COMO clinical trial report</w:t>
      </w:r>
    </w:p>
    <w:p w:rsidR="004F0A6A" w:rsidRDefault="008729AC" w:rsidP="008729AC">
      <w:pPr>
        <w:pStyle w:val="TableFooter"/>
      </w:pPr>
      <w:r>
        <w:t>Abbreviations:</w:t>
      </w:r>
      <w:r w:rsidR="00987EAC">
        <w:t xml:space="preserve"> BCVA, best corrected visual acuity; </w:t>
      </w:r>
      <w:r w:rsidR="00AF28BB">
        <w:rPr>
          <w:szCs w:val="18"/>
        </w:rPr>
        <w:t xml:space="preserve">BRVO, </w:t>
      </w:r>
      <w:r w:rsidR="00AF28BB" w:rsidRPr="00EF4EAD">
        <w:rPr>
          <w:szCs w:val="18"/>
        </w:rPr>
        <w:t>branch retinal vein occlusion</w:t>
      </w:r>
      <w:r w:rsidR="00AF28BB">
        <w:rPr>
          <w:szCs w:val="18"/>
        </w:rPr>
        <w:t>; CRVO, central retinal vein occlusion</w:t>
      </w:r>
      <w:r w:rsidR="00AF28BB">
        <w:t xml:space="preserve">; </w:t>
      </w:r>
      <w:r>
        <w:t xml:space="preserve">DEX, dexamethasone; RANI, </w:t>
      </w:r>
      <w:r w:rsidR="000C6DD1">
        <w:t>r</w:t>
      </w:r>
      <w:r>
        <w:t>anibizumab; NR, not reported; N/A, not assessed</w:t>
      </w:r>
    </w:p>
    <w:p w:rsidR="00C1342C" w:rsidRDefault="00C1342C" w:rsidP="008729AC">
      <w:pPr>
        <w:pStyle w:val="TableFooter"/>
      </w:pPr>
    </w:p>
    <w:p w:rsidR="008729AC" w:rsidRDefault="008729AC" w:rsidP="00D15882"/>
    <w:p w:rsidR="004F0A6A" w:rsidRDefault="004F0A6A" w:rsidP="00361734">
      <w:pPr>
        <w:pStyle w:val="ListParagraph"/>
        <w:widowControl/>
        <w:numPr>
          <w:ilvl w:val="1"/>
          <w:numId w:val="1"/>
        </w:numPr>
      </w:pPr>
      <w:r w:rsidRPr="004F0A6A">
        <w:t xml:space="preserve">Results of the COMO, COMRADE-B, and COMRADE-C studies show that ranibizumab results in higher proportions of patients with clinically </w:t>
      </w:r>
      <w:r w:rsidR="009E01C1">
        <w:t>import</w:t>
      </w:r>
      <w:r w:rsidRPr="004F0A6A">
        <w:t>ant visual acuity gains. These were statistically signiﬁcantly higher than those achieved with dexamethasone intravitreal implant at all time points assessed in the trials.</w:t>
      </w:r>
    </w:p>
    <w:p w:rsidR="008A7DD2" w:rsidRDefault="00E7547A" w:rsidP="00361734">
      <w:pPr>
        <w:pStyle w:val="ListParagraph"/>
        <w:widowControl/>
        <w:numPr>
          <w:ilvl w:val="1"/>
          <w:numId w:val="1"/>
        </w:numPr>
      </w:pPr>
      <w:r>
        <w:t>C</w:t>
      </w:r>
      <w:r w:rsidR="008A7DD2" w:rsidRPr="008A7DD2">
        <w:t xml:space="preserve">hange in Visual Function Questionnaire composite (or subscores where composite was not reported) from baseline to month 6 </w:t>
      </w:r>
      <w:r>
        <w:t xml:space="preserve">were reported </w:t>
      </w:r>
      <w:r w:rsidR="008A7DD2" w:rsidRPr="008A7DD2">
        <w:t>for the dexamethasone v</w:t>
      </w:r>
      <w:r>
        <w:t>ersu</w:t>
      </w:r>
      <w:r w:rsidR="008A7DD2" w:rsidRPr="008A7DD2">
        <w:t xml:space="preserve">s ranibizumab </w:t>
      </w:r>
      <w:r>
        <w:t>treatment arms</w:t>
      </w:r>
      <w:r w:rsidR="008A7DD2" w:rsidRPr="008A7DD2">
        <w:t xml:space="preserve"> </w:t>
      </w:r>
      <w:r w:rsidR="008A29F3">
        <w:t>in COMO and COMRADE-C</w:t>
      </w:r>
      <w:r w:rsidR="008A7DD2" w:rsidRPr="008A7DD2">
        <w:t>.</w:t>
      </w:r>
      <w:r>
        <w:t xml:space="preserve"> </w:t>
      </w:r>
      <w:r w:rsidR="008A7DD2" w:rsidRPr="008A7DD2">
        <w:t>T</w:t>
      </w:r>
      <w:r w:rsidR="00793EFA" w:rsidRPr="00793EFA">
        <w:t xml:space="preserve">reatment with ranibizumab was associated with statistically </w:t>
      </w:r>
      <w:r w:rsidR="008A29F3" w:rsidRPr="00793EFA">
        <w:t>significantly</w:t>
      </w:r>
      <w:r w:rsidR="00793EFA" w:rsidRPr="00793EFA">
        <w:t xml:space="preserve"> larger improvements in quality of life compared to dexamethasone implant in the COMO trial. Similar results were also reported in the COMRADE-C trial. No quality-of-life data w</w:t>
      </w:r>
      <w:r w:rsidR="008A29F3">
        <w:t>ere</w:t>
      </w:r>
      <w:r w:rsidR="00793EFA" w:rsidRPr="00793EFA">
        <w:t xml:space="preserve"> presented for the COMRADE-B trial</w:t>
      </w:r>
      <w:r w:rsidR="008A7DD2" w:rsidRPr="008A7DD2">
        <w:t>.</w:t>
      </w:r>
    </w:p>
    <w:p w:rsidR="00C85E4E" w:rsidRPr="00014E52" w:rsidRDefault="00C85E4E" w:rsidP="00361734">
      <w:pPr>
        <w:pStyle w:val="ListParagraph"/>
        <w:widowControl/>
        <w:numPr>
          <w:ilvl w:val="1"/>
          <w:numId w:val="1"/>
        </w:numPr>
      </w:pPr>
      <w:r>
        <w:t>Results from the COMO trial, open label extension studies of the GENEVA and COMRADE trials, and nonrandomised studies, which allowed re</w:t>
      </w:r>
      <w:r w:rsidR="00987EAC">
        <w:t xml:space="preserve">implantation of </w:t>
      </w:r>
      <w:r>
        <w:t xml:space="preserve">dexamethasone, suggest a similar magnitude of response in terms of visual acuity after </w:t>
      </w:r>
      <w:r w:rsidR="00987EAC">
        <w:t xml:space="preserve">the second implant </w:t>
      </w:r>
      <w:r>
        <w:t xml:space="preserve">compared to the initial </w:t>
      </w:r>
      <w:r w:rsidR="00987EAC">
        <w:t>implant</w:t>
      </w:r>
      <w:r>
        <w:t>.</w:t>
      </w:r>
      <w:r w:rsidR="00987EAC">
        <w:t xml:space="preserve"> </w:t>
      </w:r>
      <w:r w:rsidR="00987EAC" w:rsidRPr="00014E52">
        <w:t>This did not address the key issue of how many additional implants might be needed for a course of therapy.</w:t>
      </w:r>
    </w:p>
    <w:p w:rsidR="00C85E4E" w:rsidRPr="00014E52" w:rsidRDefault="00C85E4E" w:rsidP="00361734">
      <w:pPr>
        <w:pStyle w:val="ListParagraph"/>
        <w:widowControl/>
        <w:numPr>
          <w:ilvl w:val="1"/>
          <w:numId w:val="1"/>
        </w:numPr>
      </w:pPr>
      <w:r w:rsidRPr="00014E52">
        <w:t>The submission presented the results of nine nonrandomised studies which examined the effectiveness of dexamethasone implant in</w:t>
      </w:r>
      <w:r>
        <w:t xml:space="preserve"> patients who had previously failed treatment with VEGF inhibitors. </w:t>
      </w:r>
      <w:r w:rsidRPr="00014E52">
        <w:t>The results indicated that some patients who have previously failed VEGF inhibitor therapy may experience some improvement in BCVA whilst receiving dexamethasone implant. However, due to the observational study design it is unclear whether this was due to the treatment effect of dexamethasone implant. Overall the treatment effect across studies was highly variable. Reported BCVA changes in the failed population appeared to be generally smaller than those reported in the broader retinal vein occlusion population. Overall, it remains unclear whether dexamethasone implant is superior to no therapy in patients who have failed treatment with a VEGF inhibitor.</w:t>
      </w:r>
    </w:p>
    <w:p w:rsidR="00C85E4E" w:rsidRPr="00014E52" w:rsidRDefault="00C85E4E" w:rsidP="00361734">
      <w:pPr>
        <w:pStyle w:val="ListParagraph"/>
        <w:widowControl/>
        <w:numPr>
          <w:ilvl w:val="1"/>
          <w:numId w:val="1"/>
        </w:numPr>
      </w:pPr>
      <w:r w:rsidRPr="00014E52">
        <w:t>The submission claimed that no studies could be located investigating the use of VEGF inhibitors in patients who were contraindicated, unsuitable or had failed prior treatment with VEGF inhibitors. This claim was not reasonable given that there are a number of published studies available reporting the effectiveness of switching VEGF inhibitors (e.g. from ranibizumab to aflibercept, which each inhibit VEGF via differing mechanisms).</w:t>
      </w:r>
    </w:p>
    <w:p w:rsidR="00B60939" w:rsidRPr="008472ED" w:rsidRDefault="00B60939" w:rsidP="00B10AE9">
      <w:pPr>
        <w:pStyle w:val="Heading2"/>
      </w:pPr>
      <w:bookmarkStart w:id="9" w:name="_Toc503967476"/>
      <w:r w:rsidRPr="008472ED">
        <w:t>Comparative harms</w:t>
      </w:r>
      <w:bookmarkEnd w:id="9"/>
    </w:p>
    <w:p w:rsidR="00412AB1" w:rsidRPr="00014E52" w:rsidRDefault="00412AB1" w:rsidP="00361734">
      <w:pPr>
        <w:pStyle w:val="ListParagraph"/>
        <w:widowControl/>
        <w:numPr>
          <w:ilvl w:val="1"/>
          <w:numId w:val="1"/>
        </w:numPr>
      </w:pPr>
      <w:r w:rsidRPr="00014E52">
        <w:t>Overall, the incidence of adverse events reported in the randomised trials was consistent with the known safety profile of dexamethasone implant.</w:t>
      </w:r>
    </w:p>
    <w:p w:rsidR="006D4F44" w:rsidRDefault="008A29F3" w:rsidP="00361734">
      <w:pPr>
        <w:pStyle w:val="ListParagraph"/>
        <w:widowControl/>
        <w:numPr>
          <w:ilvl w:val="1"/>
          <w:numId w:val="1"/>
        </w:numPr>
      </w:pPr>
      <w:r>
        <w:t>O</w:t>
      </w:r>
      <w:r w:rsidR="006D4F44" w:rsidRPr="006D4F44">
        <w:t xml:space="preserve">cular adverse events </w:t>
      </w:r>
      <w:r w:rsidR="005324C7">
        <w:t xml:space="preserve">(including </w:t>
      </w:r>
      <w:r w:rsidR="005324C7" w:rsidRPr="005324C7">
        <w:t>in</w:t>
      </w:r>
      <w:r w:rsidR="005324C7">
        <w:t xml:space="preserve">creases in intraocular pressure, </w:t>
      </w:r>
      <w:r w:rsidR="005324C7" w:rsidRPr="005324C7">
        <w:t>ocular hypertension</w:t>
      </w:r>
      <w:r w:rsidR="005324C7">
        <w:t>, and cataract)</w:t>
      </w:r>
      <w:r w:rsidR="005324C7" w:rsidRPr="005324C7">
        <w:t xml:space="preserve"> were reported in a higher proportion of patients in the dexamethasone treatment arm compared to the sham arm in each of the trials comparing dexamethasone implant with placebo. </w:t>
      </w:r>
      <w:r w:rsidR="006D4F44" w:rsidRPr="006D4F44">
        <w:t>There was no difference in the proportion of patients discontinuing due to adverse events between treatment arms</w:t>
      </w:r>
      <w:r w:rsidR="006D4F44">
        <w:t xml:space="preserve"> in these trials</w:t>
      </w:r>
      <w:r w:rsidR="006D4F44" w:rsidRPr="006D4F44">
        <w:t>.</w:t>
      </w:r>
    </w:p>
    <w:p w:rsidR="005821AF" w:rsidRDefault="006D4F44" w:rsidP="00361734">
      <w:pPr>
        <w:pStyle w:val="ListParagraph"/>
        <w:widowControl/>
        <w:numPr>
          <w:ilvl w:val="1"/>
          <w:numId w:val="1"/>
        </w:numPr>
      </w:pPr>
      <w:r w:rsidRPr="006D4F44">
        <w:t>The incidence of ocular adverse events</w:t>
      </w:r>
      <w:r w:rsidR="005324C7">
        <w:t xml:space="preserve"> (including increases in intraocular pressure and ocular hypertension)</w:t>
      </w:r>
      <w:r w:rsidRPr="006D4F44">
        <w:t xml:space="preserve"> was higher in the dexamethasone implant treatment arms than the ranibizumab treatment arms across all trials</w:t>
      </w:r>
      <w:r>
        <w:t xml:space="preserve"> comparing dexamethasone implant with ranibizumab</w:t>
      </w:r>
      <w:r w:rsidRPr="006D4F44">
        <w:t xml:space="preserve">. </w:t>
      </w:r>
      <w:r w:rsidR="005324C7" w:rsidRPr="005324C7">
        <w:t xml:space="preserve">A higher </w:t>
      </w:r>
      <w:r w:rsidR="008A29F3">
        <w:t>incidence</w:t>
      </w:r>
      <w:r w:rsidR="005324C7" w:rsidRPr="005324C7">
        <w:t xml:space="preserve"> of cataract was observed in the COMO trial, which </w:t>
      </w:r>
      <w:r w:rsidR="008A29F3">
        <w:t>had</w:t>
      </w:r>
      <w:r w:rsidR="005324C7" w:rsidRPr="005324C7">
        <w:t xml:space="preserve"> a longer duration (12 months) and allowed repeat administra</w:t>
      </w:r>
      <w:r w:rsidR="008A29F3">
        <w:t>tions of dexamethasone implant compared with</w:t>
      </w:r>
      <w:r w:rsidR="005324C7" w:rsidRPr="005324C7">
        <w:t xml:space="preserve"> the COMRADE trials, which were each conducted over 6 months and evaluated </w:t>
      </w:r>
      <w:r w:rsidR="002D540B">
        <w:t>a single dexamethasone implant.</w:t>
      </w:r>
    </w:p>
    <w:p w:rsidR="006D4F44" w:rsidRDefault="005324C7" w:rsidP="00361734">
      <w:pPr>
        <w:pStyle w:val="ListParagraph"/>
        <w:widowControl/>
        <w:numPr>
          <w:ilvl w:val="1"/>
          <w:numId w:val="1"/>
        </w:numPr>
      </w:pPr>
      <w:r w:rsidRPr="005324C7">
        <w:t xml:space="preserve">There were higher incidences of adverse events overall in the COMRADE-C trial than the COMRADE-B trial, reflecting differences associated with BRVO and CRVO. CRVO is typically more severe and is less likely to resolve spontaneously. </w:t>
      </w:r>
      <w:r w:rsidR="006D4F44" w:rsidRPr="006D4F44">
        <w:t>The incidence of discont</w:t>
      </w:r>
      <w:r>
        <w:t>inuation due to adverse events wa</w:t>
      </w:r>
      <w:r w:rsidR="006D4F44" w:rsidRPr="006D4F44">
        <w:t>s greater in the dexamethasone implant treatment arms than the ranibizumab t</w:t>
      </w:r>
      <w:r w:rsidR="00412AB1">
        <w:t>reatment arms across all trials</w:t>
      </w:r>
      <w:r w:rsidR="006D4F44" w:rsidRPr="006D4F44">
        <w:t>.</w:t>
      </w:r>
    </w:p>
    <w:p w:rsidR="00AA68F3" w:rsidRDefault="00AA68F3" w:rsidP="00361734">
      <w:pPr>
        <w:pStyle w:val="ListParagraph"/>
        <w:widowControl/>
        <w:numPr>
          <w:ilvl w:val="1"/>
          <w:numId w:val="1"/>
        </w:numPr>
      </w:pPr>
      <w:r w:rsidRPr="00AA68F3">
        <w:t xml:space="preserve">Safety results from </w:t>
      </w:r>
      <w:r>
        <w:t xml:space="preserve">studies </w:t>
      </w:r>
      <w:r w:rsidRPr="00AA68F3">
        <w:t>which allowed re</w:t>
      </w:r>
      <w:r w:rsidR="00987EAC">
        <w:t xml:space="preserve">implantation </w:t>
      </w:r>
      <w:r w:rsidRPr="00AA68F3">
        <w:t>with dexamethasone, were consistent with the randomised trials and the known safety profile of dexamethasone implant. Adverse events included increases in intraocular pressure and ocular hypertension, glaucoma, and cataracts.</w:t>
      </w:r>
    </w:p>
    <w:p w:rsidR="005D26B4" w:rsidRDefault="00412AB1" w:rsidP="00361734">
      <w:pPr>
        <w:widowControl/>
        <w:numPr>
          <w:ilvl w:val="1"/>
          <w:numId w:val="1"/>
        </w:numPr>
        <w:spacing w:after="120"/>
      </w:pPr>
      <w:r w:rsidRPr="00F1629D">
        <w:t>Based on an expanded assessment of harms, important identified risks associated with dexamethasone implant include glaucoma, ocular hypertension, increased intraocular pressure, cataract formation, vitreous haemorrhage/</w:t>
      </w:r>
      <w:r w:rsidR="00AA68F3">
        <w:t xml:space="preserve"> </w:t>
      </w:r>
      <w:r w:rsidRPr="00F1629D">
        <w:t>detachment, device dislocation and implant misplacement.</w:t>
      </w:r>
    </w:p>
    <w:p w:rsidR="004151CF" w:rsidRPr="008472ED" w:rsidRDefault="007F1017" w:rsidP="00B10AE9">
      <w:pPr>
        <w:pStyle w:val="Heading2"/>
      </w:pPr>
      <w:bookmarkStart w:id="10" w:name="_Toc503967477"/>
      <w:r w:rsidRPr="008472ED">
        <w:t>Benefits/harms</w:t>
      </w:r>
      <w:bookmarkEnd w:id="10"/>
    </w:p>
    <w:p w:rsidR="005821AF" w:rsidRPr="00624AED" w:rsidRDefault="005821AF" w:rsidP="00361734">
      <w:pPr>
        <w:widowControl/>
        <w:numPr>
          <w:ilvl w:val="1"/>
          <w:numId w:val="1"/>
        </w:numPr>
        <w:spacing w:after="160"/>
      </w:pPr>
      <w:r w:rsidRPr="005821AF">
        <w:rPr>
          <w:rFonts w:cs="Calibri"/>
          <w:snapToGrid/>
          <w:szCs w:val="24"/>
          <w:lang w:val="en-US" w:eastAsia="en-AU"/>
        </w:rPr>
        <w:t xml:space="preserve">A summary of the comparative benefits and harms for dexamethasone implant versus placebo (sham) is presented </w:t>
      </w:r>
      <w:r>
        <w:rPr>
          <w:rFonts w:cs="Calibri"/>
          <w:snapToGrid/>
          <w:szCs w:val="24"/>
          <w:lang w:val="en-US" w:eastAsia="en-AU"/>
        </w:rPr>
        <w:t xml:space="preserve">in Table </w:t>
      </w:r>
      <w:r w:rsidR="003B5E50">
        <w:rPr>
          <w:rFonts w:cs="Calibri"/>
          <w:snapToGrid/>
          <w:szCs w:val="24"/>
          <w:lang w:val="en-US" w:eastAsia="en-AU"/>
        </w:rPr>
        <w:t>8</w:t>
      </w:r>
      <w:r w:rsidR="00624AED">
        <w:rPr>
          <w:rFonts w:cs="Calibri"/>
          <w:snapToGrid/>
          <w:szCs w:val="24"/>
          <w:lang w:val="en-US" w:eastAsia="en-AU"/>
        </w:rPr>
        <w:t>.</w:t>
      </w:r>
    </w:p>
    <w:p w:rsidR="005821AF" w:rsidRPr="005821AF" w:rsidRDefault="005821AF" w:rsidP="005821AF">
      <w:pPr>
        <w:keepNext/>
        <w:rPr>
          <w:rFonts w:ascii="Arial Narrow" w:hAnsi="Arial Narrow"/>
          <w:b/>
          <w:sz w:val="20"/>
        </w:rPr>
      </w:pPr>
      <w:r w:rsidRPr="005821AF">
        <w:rPr>
          <w:rFonts w:ascii="Arial Narrow" w:hAnsi="Arial Narrow"/>
          <w:b/>
          <w:sz w:val="20"/>
        </w:rPr>
        <w:t xml:space="preserve">Table </w:t>
      </w:r>
      <w:r w:rsidR="003B5E50">
        <w:rPr>
          <w:rFonts w:ascii="Arial Narrow" w:hAnsi="Arial Narrow"/>
          <w:b/>
          <w:sz w:val="20"/>
        </w:rPr>
        <w:t>8</w:t>
      </w:r>
      <w:r w:rsidRPr="005821AF">
        <w:rPr>
          <w:rFonts w:ascii="Arial Narrow" w:hAnsi="Arial Narrow"/>
          <w:b/>
          <w:sz w:val="20"/>
        </w:rPr>
        <w:t xml:space="preserve">: Summary of comparative benefits and harms for dexamethasone implant </w:t>
      </w:r>
      <w:r>
        <w:rPr>
          <w:rFonts w:ascii="Arial Narrow" w:hAnsi="Arial Narrow"/>
          <w:b/>
          <w:sz w:val="20"/>
        </w:rPr>
        <w:t>versus</w:t>
      </w:r>
      <w:r w:rsidRPr="005821AF">
        <w:rPr>
          <w:rFonts w:ascii="Arial Narrow" w:hAnsi="Arial Narrow"/>
          <w:b/>
          <w:sz w:val="20"/>
        </w:rPr>
        <w:t xml:space="preserve"> </w:t>
      </w:r>
      <w:r w:rsidR="00E90DD7">
        <w:rPr>
          <w:rFonts w:ascii="Arial Narrow" w:hAnsi="Arial Narrow"/>
          <w:b/>
          <w:sz w:val="20"/>
        </w:rPr>
        <w:t>placebo (</w:t>
      </w:r>
      <w:r w:rsidRPr="005821AF">
        <w:rPr>
          <w:rFonts w:ascii="Arial Narrow" w:hAnsi="Arial Narrow"/>
          <w:b/>
          <w:sz w:val="20"/>
        </w:rPr>
        <w:t>sham</w:t>
      </w:r>
      <w:r w:rsidR="00E90DD7">
        <w:rPr>
          <w:rFonts w:ascii="Arial Narrow" w:hAnsi="Arial Narrow"/>
          <w:b/>
          <w:sz w:val="20"/>
        </w:rPr>
        <w:t>)</w:t>
      </w:r>
      <w:r w:rsidR="0062007E">
        <w:rPr>
          <w:rFonts w:ascii="Arial Narrow" w:hAnsi="Arial Narrow"/>
          <w:b/>
          <w:sz w:val="20"/>
        </w:rPr>
        <w:t xml:space="preserve"> in BRVO/CRVO</w:t>
      </w:r>
    </w:p>
    <w:tbl>
      <w:tblPr>
        <w:tblStyle w:val="TableGridbeth2"/>
        <w:tblW w:w="4970" w:type="pct"/>
        <w:tblInd w:w="28" w:type="dxa"/>
        <w:tblBorders>
          <w:insideV w:val="none" w:sz="0" w:space="0" w:color="auto"/>
        </w:tblBorders>
        <w:tblLayout w:type="fixed"/>
        <w:tblCellMar>
          <w:left w:w="28" w:type="dxa"/>
          <w:right w:w="28" w:type="dxa"/>
        </w:tblCellMar>
        <w:tblLook w:val="04A0" w:firstRow="1" w:lastRow="0" w:firstColumn="1" w:lastColumn="0" w:noHBand="0" w:noVBand="1"/>
        <w:tblCaption w:val="Table 8: Summary of comparative benefits and harms for dexamethasone implant versus placebo (sham) in BRVO/CRVO"/>
      </w:tblPr>
      <w:tblGrid>
        <w:gridCol w:w="1279"/>
        <w:gridCol w:w="2264"/>
        <w:gridCol w:w="1008"/>
        <w:gridCol w:w="553"/>
        <w:gridCol w:w="1560"/>
        <w:gridCol w:w="126"/>
        <w:gridCol w:w="2239"/>
      </w:tblGrid>
      <w:tr w:rsidR="005821AF" w:rsidRPr="005821AF" w:rsidTr="001D074A">
        <w:trPr>
          <w:trHeight w:val="150"/>
          <w:tblHeader/>
        </w:trPr>
        <w:tc>
          <w:tcPr>
            <w:tcW w:w="5000" w:type="pct"/>
            <w:gridSpan w:val="7"/>
            <w:tcBorders>
              <w:bottom w:val="doub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Benefits</w:t>
            </w:r>
          </w:p>
        </w:tc>
      </w:tr>
      <w:tr w:rsidR="005821AF" w:rsidRPr="005821AF" w:rsidTr="00624AED">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Trial</w:t>
            </w:r>
          </w:p>
        </w:tc>
        <w:tc>
          <w:tcPr>
            <w:tcW w:w="1254" w:type="pct"/>
            <w:tcBorders>
              <w:bottom w:val="single" w:sz="4" w:space="0" w:color="auto"/>
              <w:right w:val="single" w:sz="4" w:space="0" w:color="auto"/>
            </w:tcBorders>
            <w:shd w:val="clear" w:color="auto" w:fill="auto"/>
            <w:vAlign w:val="center"/>
          </w:tcPr>
          <w:p w:rsidR="005821AF" w:rsidRPr="005821AF" w:rsidRDefault="005821AF" w:rsidP="005821AF">
            <w:pPr>
              <w:keepNext/>
              <w:rPr>
                <w:rFonts w:ascii="Arial Narrow" w:hAnsi="Arial Narrow"/>
                <w:b/>
                <w:sz w:val="20"/>
              </w:rPr>
            </w:pPr>
            <w:r w:rsidRPr="005821AF">
              <w:rPr>
                <w:rFonts w:ascii="Arial Narrow" w:hAnsi="Arial Narrow"/>
                <w:b/>
                <w:sz w:val="20"/>
              </w:rPr>
              <w:t>Event</w:t>
            </w:r>
          </w:p>
        </w:tc>
        <w:tc>
          <w:tcPr>
            <w:tcW w:w="864" w:type="pct"/>
            <w:gridSpan w:val="2"/>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b/>
                <w:sz w:val="20"/>
              </w:rPr>
            </w:pPr>
            <w:r w:rsidRPr="005821AF">
              <w:rPr>
                <w:rFonts w:ascii="Arial Narrow" w:hAnsi="Arial Narrow"/>
                <w:b/>
                <w:sz w:val="20"/>
              </w:rPr>
              <w:t>Dexamethasone</w:t>
            </w:r>
          </w:p>
        </w:tc>
        <w:tc>
          <w:tcPr>
            <w:tcW w:w="864" w:type="pct"/>
            <w:tcBorders>
              <w:left w:val="single" w:sz="4" w:space="0" w:color="auto"/>
              <w:bottom w:val="single" w:sz="4" w:space="0" w:color="auto"/>
              <w:right w:val="single" w:sz="4" w:space="0" w:color="auto"/>
            </w:tcBorders>
            <w:shd w:val="clear" w:color="auto" w:fill="auto"/>
            <w:vAlign w:val="center"/>
          </w:tcPr>
          <w:p w:rsidR="005821AF" w:rsidRPr="005821AF" w:rsidRDefault="00E90DD7" w:rsidP="005821AF">
            <w:pPr>
              <w:keepNext/>
              <w:jc w:val="center"/>
              <w:rPr>
                <w:rFonts w:ascii="Arial Narrow" w:hAnsi="Arial Narrow"/>
                <w:b/>
                <w:sz w:val="20"/>
              </w:rPr>
            </w:pPr>
            <w:r>
              <w:rPr>
                <w:rFonts w:ascii="Arial Narrow" w:hAnsi="Arial Narrow"/>
                <w:b/>
                <w:sz w:val="20"/>
              </w:rPr>
              <w:t>Placebo (s</w:t>
            </w:r>
            <w:r w:rsidR="005821AF" w:rsidRPr="005821AF">
              <w:rPr>
                <w:rFonts w:ascii="Arial Narrow" w:hAnsi="Arial Narrow"/>
                <w:b/>
                <w:sz w:val="20"/>
              </w:rPr>
              <w:t>ham</w:t>
            </w:r>
            <w:r>
              <w:rPr>
                <w:rFonts w:ascii="Arial Narrow" w:hAnsi="Arial Narrow"/>
                <w:b/>
                <w:sz w:val="20"/>
              </w:rPr>
              <w:t>)</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b/>
                <w:sz w:val="20"/>
              </w:rPr>
            </w:pPr>
            <w:r w:rsidRPr="005821AF">
              <w:rPr>
                <w:rFonts w:ascii="Arial Narrow" w:hAnsi="Arial Narrow"/>
                <w:b/>
                <w:sz w:val="20"/>
              </w:rPr>
              <w:t>Mean difference (95% CI)</w:t>
            </w:r>
          </w:p>
        </w:tc>
      </w:tr>
      <w:tr w:rsidR="005821AF" w:rsidRPr="005821AF" w:rsidTr="00624AED">
        <w:trPr>
          <w:trHeight w:val="228"/>
        </w:trPr>
        <w:tc>
          <w:tcPr>
            <w:tcW w:w="708" w:type="pct"/>
            <w:tcBorders>
              <w:right w:val="single" w:sz="4" w:space="0" w:color="auto"/>
            </w:tcBorders>
            <w:shd w:val="clear" w:color="auto" w:fill="auto"/>
          </w:tcPr>
          <w:p w:rsidR="005821AF" w:rsidRPr="005821AF" w:rsidRDefault="005821AF" w:rsidP="005821AF">
            <w:pPr>
              <w:keepNext/>
              <w:jc w:val="left"/>
              <w:rPr>
                <w:rFonts w:ascii="Arial Narrow" w:hAnsi="Arial Narrow"/>
                <w:sz w:val="20"/>
              </w:rPr>
            </w:pPr>
            <w:r w:rsidRPr="005821AF">
              <w:rPr>
                <w:rFonts w:ascii="Arial Narrow" w:hAnsi="Arial Narrow"/>
                <w:sz w:val="20"/>
              </w:rPr>
              <w:t>GENEVA 008</w:t>
            </w:r>
          </w:p>
        </w:tc>
        <w:tc>
          <w:tcPr>
            <w:tcW w:w="1254" w:type="pct"/>
            <w:vMerge w:val="restart"/>
            <w:tcBorders>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Mean number of letters of BVCA gained from baseline to Month 3</w:t>
            </w:r>
          </w:p>
        </w:tc>
        <w:tc>
          <w:tcPr>
            <w:tcW w:w="864" w:type="pct"/>
            <w:gridSpan w:val="2"/>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7.2</w:t>
            </w:r>
          </w:p>
        </w:tc>
        <w:tc>
          <w:tcPr>
            <w:tcW w:w="864" w:type="pct"/>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2.8</w:t>
            </w:r>
          </w:p>
        </w:tc>
        <w:tc>
          <w:tcPr>
            <w:tcW w:w="1310" w:type="pct"/>
            <w:gridSpan w:val="2"/>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4.3 (2.2, 6.5)</w:t>
            </w:r>
          </w:p>
        </w:tc>
      </w:tr>
      <w:tr w:rsidR="005821AF" w:rsidRPr="005821AF" w:rsidTr="00624AED">
        <w:trPr>
          <w:trHeight w:val="228"/>
        </w:trPr>
        <w:tc>
          <w:tcPr>
            <w:tcW w:w="708" w:type="pct"/>
            <w:tcBorders>
              <w:bottom w:val="single" w:sz="4" w:space="0" w:color="auto"/>
              <w:right w:val="single" w:sz="4" w:space="0" w:color="auto"/>
            </w:tcBorders>
            <w:shd w:val="clear" w:color="auto" w:fill="auto"/>
          </w:tcPr>
          <w:p w:rsidR="005821AF" w:rsidRPr="005821AF" w:rsidRDefault="005821AF" w:rsidP="005821AF">
            <w:pPr>
              <w:keepNext/>
              <w:jc w:val="left"/>
              <w:rPr>
                <w:rFonts w:ascii="Arial Narrow" w:hAnsi="Arial Narrow"/>
                <w:sz w:val="20"/>
              </w:rPr>
            </w:pPr>
            <w:r w:rsidRPr="005821AF">
              <w:rPr>
                <w:rFonts w:ascii="Arial Narrow" w:hAnsi="Arial Narrow"/>
                <w:sz w:val="20"/>
              </w:rPr>
              <w:t>GENEVA 009</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7.3</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3.5</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3.9 (1.7, 6.0)</w:t>
            </w:r>
          </w:p>
        </w:tc>
      </w:tr>
      <w:tr w:rsidR="005821AF" w:rsidRPr="005821AF" w:rsidTr="00624AED">
        <w:trPr>
          <w:trHeight w:val="228"/>
        </w:trPr>
        <w:tc>
          <w:tcPr>
            <w:tcW w:w="708" w:type="pct"/>
            <w:tcBorders>
              <w:bottom w:val="single" w:sz="4" w:space="0" w:color="auto"/>
              <w:right w:val="single" w:sz="4" w:space="0" w:color="auto"/>
            </w:tcBorders>
            <w:shd w:val="clear" w:color="auto" w:fill="auto"/>
          </w:tcPr>
          <w:p w:rsidR="005821AF" w:rsidRPr="005821AF" w:rsidRDefault="005821AF" w:rsidP="005821AF">
            <w:pPr>
              <w:keepNext/>
              <w:jc w:val="left"/>
              <w:rPr>
                <w:rFonts w:ascii="Arial Narrow" w:hAnsi="Arial Narrow"/>
                <w:sz w:val="20"/>
              </w:rPr>
            </w:pPr>
            <w:r w:rsidRPr="005821AF">
              <w:rPr>
                <w:rFonts w:ascii="Arial Narrow" w:hAnsi="Arial Narrow"/>
                <w:sz w:val="20"/>
              </w:rPr>
              <w:t>Trial 020</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7.7</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1.8</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5.9 (2.8, 9.1)</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GENEVA 008</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Mean number of letters of BVCA gained from baseline to Month 6</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4.6</w:t>
            </w:r>
          </w:p>
        </w:tc>
        <w:tc>
          <w:tcPr>
            <w:tcW w:w="864"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2.7</w:t>
            </w:r>
          </w:p>
        </w:tc>
        <w:tc>
          <w:tcPr>
            <w:tcW w:w="1310"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1.9 (-0.7, 4.5)</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GENEVA 009</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5.5</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2.5</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3.0 (0.6, 5.4)</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Trial 020</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3.2</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4.0</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-0.7 (-4.1, 2.8)</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GENEVA 008</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 xml:space="preserve">Patients who achieved a </w:t>
            </w:r>
            <w:r w:rsidR="00624AED" w:rsidRPr="00624AED">
              <w:rPr>
                <w:rFonts w:ascii="Arial Narrow" w:hAnsi="Arial Narrow"/>
                <w:sz w:val="20"/>
              </w:rPr>
              <w:t>≥</w:t>
            </w:r>
            <w:r w:rsidRPr="005821AF">
              <w:rPr>
                <w:rFonts w:ascii="Arial Narrow" w:hAnsi="Arial Narrow"/>
                <w:sz w:val="20"/>
              </w:rPr>
              <w:t>15 letter BCVA improvement at Month 3, n/N (%)</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45/201 (22.4)</w:t>
            </w:r>
          </w:p>
        </w:tc>
        <w:tc>
          <w:tcPr>
            <w:tcW w:w="864"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25/202 (12.4)</w:t>
            </w:r>
          </w:p>
        </w:tc>
        <w:tc>
          <w:tcPr>
            <w:tcW w:w="1310"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10.0% (2.7, 17.3)</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GENEVA 009</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48/226 (21.2)</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31/224 (13.8)</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7.4% (0.4, 14.4)</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Trial 020</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43/129 (33.3)</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17/130 (13.1)</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20.3% (10.3, 30.2)</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GENEVA 008</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 xml:space="preserve">Patients who achieved a </w:t>
            </w:r>
            <w:r w:rsidR="00624AED" w:rsidRPr="00624AED">
              <w:rPr>
                <w:rFonts w:ascii="Arial Narrow" w:hAnsi="Arial Narrow"/>
                <w:sz w:val="20"/>
              </w:rPr>
              <w:t>≥</w:t>
            </w:r>
            <w:r w:rsidRPr="005821AF">
              <w:rPr>
                <w:rFonts w:ascii="Arial Narrow" w:hAnsi="Arial Narrow"/>
                <w:sz w:val="20"/>
              </w:rPr>
              <w:t>15 letter BCVA improvement at Month 6, n/N (%)</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39/201 (19.4)</w:t>
            </w:r>
          </w:p>
        </w:tc>
        <w:tc>
          <w:tcPr>
            <w:tcW w:w="864"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37/202 (18.3)</w:t>
            </w:r>
          </w:p>
        </w:tc>
        <w:tc>
          <w:tcPr>
            <w:tcW w:w="1310"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 (-6.6, 8.7)</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GENEVA 009</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53/226 (23.5)</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38/224 (17.0)</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6.5% (-0.9, 13.9)</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Trial 020</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30/129 (23.3)</w:t>
            </w:r>
          </w:p>
        </w:tc>
        <w:tc>
          <w:tcPr>
            <w:tcW w:w="864"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27/130 (20.8)</w:t>
            </w:r>
          </w:p>
        </w:tc>
        <w:tc>
          <w:tcPr>
            <w:tcW w:w="1310"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2.5% (-7.6, 12.6)</w:t>
            </w:r>
          </w:p>
        </w:tc>
      </w:tr>
      <w:tr w:rsidR="005821AF" w:rsidRPr="005821AF" w:rsidTr="006B6546">
        <w:tc>
          <w:tcPr>
            <w:tcW w:w="5000" w:type="pct"/>
            <w:gridSpan w:val="7"/>
            <w:tcBorders>
              <w:top w:val="single" w:sz="4" w:space="0" w:color="auto"/>
              <w:bottom w:val="doub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Harms</w:t>
            </w:r>
          </w:p>
        </w:tc>
      </w:tr>
      <w:tr w:rsidR="005821AF" w:rsidRPr="005821AF" w:rsidTr="005821AF">
        <w:tc>
          <w:tcPr>
            <w:tcW w:w="708" w:type="pct"/>
            <w:tcBorders>
              <w:top w:val="double" w:sz="4" w:space="0" w:color="auto"/>
              <w:right w:val="sing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Trial</w:t>
            </w:r>
          </w:p>
        </w:tc>
        <w:tc>
          <w:tcPr>
            <w:tcW w:w="1812" w:type="pct"/>
            <w:gridSpan w:val="2"/>
            <w:tcBorders>
              <w:top w:val="doub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b/>
                <w:sz w:val="20"/>
              </w:rPr>
              <w:t>Event</w:t>
            </w:r>
          </w:p>
        </w:tc>
        <w:tc>
          <w:tcPr>
            <w:tcW w:w="1240" w:type="pct"/>
            <w:gridSpan w:val="3"/>
            <w:tcBorders>
              <w:top w:val="doub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b/>
                <w:sz w:val="20"/>
              </w:rPr>
              <w:t>Dexamethasone</w:t>
            </w:r>
          </w:p>
        </w:tc>
        <w:tc>
          <w:tcPr>
            <w:tcW w:w="1240" w:type="pct"/>
            <w:tcBorders>
              <w:top w:val="double" w:sz="4" w:space="0" w:color="auto"/>
              <w:left w:val="single" w:sz="4" w:space="0" w:color="auto"/>
            </w:tcBorders>
            <w:shd w:val="clear" w:color="auto" w:fill="auto"/>
            <w:vAlign w:val="center"/>
          </w:tcPr>
          <w:p w:rsidR="005821AF" w:rsidRPr="005821AF" w:rsidRDefault="00E90DD7" w:rsidP="005821AF">
            <w:pPr>
              <w:keepNext/>
              <w:jc w:val="center"/>
              <w:rPr>
                <w:rFonts w:ascii="Arial Narrow" w:hAnsi="Arial Narrow"/>
                <w:sz w:val="20"/>
              </w:rPr>
            </w:pPr>
            <w:r>
              <w:rPr>
                <w:rFonts w:ascii="Arial Narrow" w:hAnsi="Arial Narrow"/>
                <w:b/>
                <w:sz w:val="20"/>
              </w:rPr>
              <w:t>Placebo (s</w:t>
            </w:r>
            <w:r w:rsidR="005821AF" w:rsidRPr="005821AF">
              <w:rPr>
                <w:rFonts w:ascii="Arial Narrow" w:hAnsi="Arial Narrow"/>
                <w:b/>
                <w:sz w:val="20"/>
              </w:rPr>
              <w:t>ham</w:t>
            </w:r>
            <w:r>
              <w:rPr>
                <w:rFonts w:ascii="Arial Narrow" w:hAnsi="Arial Narrow"/>
                <w:b/>
                <w:sz w:val="20"/>
              </w:rPr>
              <w:t>)</w:t>
            </w:r>
          </w:p>
        </w:tc>
      </w:tr>
      <w:tr w:rsidR="005821AF" w:rsidRPr="005821AF" w:rsidTr="005821AF">
        <w:trPr>
          <w:trHeight w:val="76"/>
        </w:trPr>
        <w:tc>
          <w:tcPr>
            <w:tcW w:w="708" w:type="pct"/>
            <w:tcBorders>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008</w:t>
            </w:r>
          </w:p>
        </w:tc>
        <w:tc>
          <w:tcPr>
            <w:tcW w:w="1812" w:type="pct"/>
            <w:gridSpan w:val="2"/>
            <w:vMerge w:val="restart"/>
            <w:tcBorders>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sz w:val="20"/>
              </w:rPr>
              <w:t>Intraocular pressure increased, n/N (%)</w:t>
            </w:r>
          </w:p>
        </w:tc>
        <w:tc>
          <w:tcPr>
            <w:tcW w:w="1240" w:type="pct"/>
            <w:gridSpan w:val="3"/>
            <w:tcBorders>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46/196 (23.5)</w:t>
            </w:r>
          </w:p>
        </w:tc>
        <w:tc>
          <w:tcPr>
            <w:tcW w:w="1240" w:type="pct"/>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6/202 (3.0)</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009</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60/225 (26.7)</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5/221 (2.3)</w:t>
            </w:r>
          </w:p>
        </w:tc>
      </w:tr>
      <w:tr w:rsidR="005821AF" w:rsidRPr="005821AF" w:rsidTr="006B6546">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Trial 020</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38/129 (29.5)</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4/130 (3.1)</w:t>
            </w:r>
          </w:p>
        </w:tc>
      </w:tr>
      <w:tr w:rsidR="005821AF" w:rsidRPr="005821AF" w:rsidTr="006B6546">
        <w:trPr>
          <w:trHeight w:val="76"/>
        </w:trPr>
        <w:tc>
          <w:tcPr>
            <w:tcW w:w="708" w:type="pct"/>
            <w:tcBorders>
              <w:top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008</w:t>
            </w:r>
          </w:p>
        </w:tc>
        <w:tc>
          <w:tcPr>
            <w:tcW w:w="1812" w:type="pct"/>
            <w:gridSpan w:val="2"/>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lang w:val="en-GB"/>
              </w:rPr>
            </w:pPr>
            <w:r w:rsidRPr="005821AF">
              <w:rPr>
                <w:rFonts w:ascii="Arial Narrow" w:hAnsi="Arial Narrow"/>
                <w:sz w:val="20"/>
              </w:rPr>
              <w:t>Conjunctival haemorrhage, n/N (%)</w:t>
            </w:r>
          </w:p>
        </w:tc>
        <w:tc>
          <w:tcPr>
            <w:tcW w:w="1240" w:type="pct"/>
            <w:gridSpan w:val="3"/>
            <w:tcBorders>
              <w:top w:val="sing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39/196 (19.9)</w:t>
            </w:r>
          </w:p>
        </w:tc>
        <w:tc>
          <w:tcPr>
            <w:tcW w:w="1240"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26/202 (12.9)</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009</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46/225 (20.4)</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37/221 (16.7)</w:t>
            </w:r>
          </w:p>
        </w:tc>
      </w:tr>
      <w:tr w:rsidR="005821AF" w:rsidRPr="005821AF" w:rsidTr="006B6546">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Trial 020</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24/129 (18.6)</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5/130 (3.8)</w:t>
            </w:r>
          </w:p>
        </w:tc>
      </w:tr>
      <w:tr w:rsidR="005821AF" w:rsidRPr="005821AF" w:rsidTr="006B6546">
        <w:trPr>
          <w:trHeight w:val="76"/>
        </w:trPr>
        <w:tc>
          <w:tcPr>
            <w:tcW w:w="708" w:type="pct"/>
            <w:tcBorders>
              <w:top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008</w:t>
            </w:r>
          </w:p>
        </w:tc>
        <w:tc>
          <w:tcPr>
            <w:tcW w:w="1812" w:type="pct"/>
            <w:gridSpan w:val="2"/>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sz w:val="20"/>
              </w:rPr>
              <w:t>Cataract, n/N (%)</w:t>
            </w:r>
          </w:p>
        </w:tc>
        <w:tc>
          <w:tcPr>
            <w:tcW w:w="1240" w:type="pct"/>
            <w:gridSpan w:val="3"/>
            <w:tcBorders>
              <w:top w:val="sing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4/196 (2.0)</w:t>
            </w:r>
          </w:p>
        </w:tc>
        <w:tc>
          <w:tcPr>
            <w:tcW w:w="1240"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2/202 (1.0)</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009</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11/225 (4.9)</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5/221 (2.3)</w:t>
            </w:r>
          </w:p>
        </w:tc>
      </w:tr>
      <w:tr w:rsidR="005821AF" w:rsidRPr="005821AF" w:rsidTr="006B6546">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Trial 020</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r>
      <w:tr w:rsidR="005821AF" w:rsidRPr="005821AF" w:rsidTr="006B6546">
        <w:trPr>
          <w:trHeight w:val="76"/>
        </w:trPr>
        <w:tc>
          <w:tcPr>
            <w:tcW w:w="708" w:type="pct"/>
            <w:tcBorders>
              <w:top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008</w:t>
            </w:r>
          </w:p>
        </w:tc>
        <w:tc>
          <w:tcPr>
            <w:tcW w:w="1812" w:type="pct"/>
            <w:gridSpan w:val="2"/>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sz w:val="20"/>
              </w:rPr>
              <w:t>Ocular hypertension, n/N (%)</w:t>
            </w:r>
          </w:p>
        </w:tc>
        <w:tc>
          <w:tcPr>
            <w:tcW w:w="1240" w:type="pct"/>
            <w:gridSpan w:val="3"/>
            <w:tcBorders>
              <w:top w:val="sing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7/196 (3.6)</w:t>
            </w:r>
          </w:p>
        </w:tc>
        <w:tc>
          <w:tcPr>
            <w:tcW w:w="1240"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2/202 (1.0)</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GENEVA 009</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10/225 (4.4)</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2/221 (0.9)</w:t>
            </w:r>
          </w:p>
        </w:tc>
      </w:tr>
      <w:tr w:rsidR="005821AF" w:rsidRPr="005821AF" w:rsidTr="006B6546">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Trial 020</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4/129 (3.1)</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0/130 (0.0)</w:t>
            </w:r>
          </w:p>
        </w:tc>
      </w:tr>
    </w:tbl>
    <w:p w:rsidR="005821AF" w:rsidRPr="005821AF" w:rsidRDefault="005821AF" w:rsidP="005821AF">
      <w:pPr>
        <w:rPr>
          <w:rFonts w:ascii="Arial Narrow" w:hAnsi="Arial Narrow"/>
          <w:sz w:val="18"/>
        </w:rPr>
      </w:pPr>
      <w:r w:rsidRPr="005821AF">
        <w:rPr>
          <w:rFonts w:ascii="Arial Narrow" w:hAnsi="Arial Narrow"/>
          <w:sz w:val="18"/>
        </w:rPr>
        <w:t xml:space="preserve">Source: </w:t>
      </w:r>
      <w:r w:rsidRPr="005821AF">
        <w:rPr>
          <w:rFonts w:ascii="Arial Narrow" w:hAnsi="Arial Narrow"/>
          <w:sz w:val="18"/>
          <w:szCs w:val="18"/>
        </w:rPr>
        <w:t xml:space="preserve">Table 2.5.1, p.81 of the submission; </w:t>
      </w:r>
      <w:r w:rsidRPr="005821AF">
        <w:rPr>
          <w:rFonts w:ascii="Arial Narrow" w:hAnsi="Arial Narrow"/>
          <w:sz w:val="18"/>
        </w:rPr>
        <w:t>Table 2.5.4, p.87 of the submission; Table 2.6.4, pp.112-113; Table 2.6.5, p.113-114; Table 2.6.6, p.114 of the submission; associated clinical trial reports</w:t>
      </w:r>
    </w:p>
    <w:p w:rsidR="005821AF" w:rsidRPr="005821AF" w:rsidRDefault="005821AF" w:rsidP="005821AF">
      <w:pPr>
        <w:widowControl/>
        <w:rPr>
          <w:rFonts w:ascii="Arial Narrow" w:hAnsi="Arial Narrow"/>
          <w:sz w:val="18"/>
        </w:rPr>
      </w:pPr>
      <w:r w:rsidRPr="005821AF">
        <w:rPr>
          <w:rFonts w:ascii="Arial Narrow" w:hAnsi="Arial Narrow"/>
          <w:sz w:val="18"/>
        </w:rPr>
        <w:t>Abbreviations: BCVA, best corrected visual acuity; CI, confidence interval; NR, not reported</w:t>
      </w:r>
    </w:p>
    <w:p w:rsidR="005821AF" w:rsidRPr="005821AF" w:rsidRDefault="005821AF" w:rsidP="005821AF">
      <w:pPr>
        <w:widowControl/>
        <w:rPr>
          <w:rFonts w:ascii="Arial Narrow" w:hAnsi="Arial Narrow"/>
          <w:sz w:val="18"/>
        </w:rPr>
      </w:pPr>
      <w:r w:rsidRPr="005821AF">
        <w:rPr>
          <w:rFonts w:ascii="Arial Narrow" w:hAnsi="Arial Narrow"/>
          <w:sz w:val="18"/>
        </w:rPr>
        <w:t>Note: GENEVA 008 trial, GENEVA 009 trial and Trial 020 were conducted in mixed patient populations with central or branch retinal vein occlusion.</w:t>
      </w:r>
    </w:p>
    <w:p w:rsidR="005821AF" w:rsidRPr="00D15882" w:rsidRDefault="005821AF" w:rsidP="005821AF">
      <w:pPr>
        <w:widowControl/>
      </w:pPr>
    </w:p>
    <w:p w:rsidR="006B6546" w:rsidRPr="00D15882" w:rsidRDefault="002D1233" w:rsidP="00361734">
      <w:pPr>
        <w:widowControl/>
        <w:numPr>
          <w:ilvl w:val="1"/>
          <w:numId w:val="1"/>
        </w:numPr>
        <w:spacing w:after="120"/>
      </w:pPr>
      <w:r w:rsidRPr="00D15882">
        <w:t>Across all trials, treatment response was considered to be an improvement of 15 or more letters from baseline in the study eye.</w:t>
      </w:r>
    </w:p>
    <w:p w:rsidR="005821AF" w:rsidRPr="00D15882" w:rsidRDefault="005821AF" w:rsidP="00361734">
      <w:pPr>
        <w:widowControl/>
        <w:numPr>
          <w:ilvl w:val="1"/>
          <w:numId w:val="1"/>
        </w:numPr>
      </w:pPr>
      <w:r w:rsidRPr="00D15882">
        <w:t>On the basis of the direct evidence presented in the submission:</w:t>
      </w:r>
    </w:p>
    <w:p w:rsidR="005821AF" w:rsidRPr="00D15882" w:rsidRDefault="005821AF" w:rsidP="00361734">
      <w:pPr>
        <w:widowControl/>
        <w:numPr>
          <w:ilvl w:val="0"/>
          <w:numId w:val="7"/>
        </w:numPr>
        <w:spacing w:after="120"/>
      </w:pPr>
      <w:r w:rsidRPr="00D15882">
        <w:t xml:space="preserve">Patients treated </w:t>
      </w:r>
      <w:r w:rsidRPr="00C721DE">
        <w:t xml:space="preserve">with </w:t>
      </w:r>
      <w:r w:rsidR="00136BCD" w:rsidRPr="00C721DE">
        <w:t>a single</w:t>
      </w:r>
      <w:r w:rsidR="00136BCD">
        <w:t xml:space="preserve"> </w:t>
      </w:r>
      <w:r w:rsidRPr="00D15882">
        <w:t>dexamethasone implant would have a greater improvement in visual acuity compared with no treatment at 3 months, with the average patient gaining an additional 4</w:t>
      </w:r>
      <w:r w:rsidR="00524196">
        <w:t xml:space="preserve"> to 6 </w:t>
      </w:r>
      <w:r w:rsidRPr="00D15882">
        <w:t>letters, and at 6 months</w:t>
      </w:r>
      <w:r w:rsidR="00AA68F3">
        <w:t>, an additional 0 to 3 letters</w:t>
      </w:r>
      <w:r w:rsidRPr="00D15882">
        <w:t>.</w:t>
      </w:r>
    </w:p>
    <w:p w:rsidR="005821AF" w:rsidRPr="005821AF" w:rsidRDefault="005821AF" w:rsidP="00361734">
      <w:pPr>
        <w:numPr>
          <w:ilvl w:val="0"/>
          <w:numId w:val="7"/>
        </w:numPr>
        <w:spacing w:after="120"/>
      </w:pPr>
      <w:r w:rsidRPr="005821AF">
        <w:t xml:space="preserve">For every 100 patients treated </w:t>
      </w:r>
      <w:r w:rsidRPr="00C721DE">
        <w:t xml:space="preserve">with </w:t>
      </w:r>
      <w:r w:rsidR="00D52034" w:rsidRPr="00C721DE">
        <w:t>a single</w:t>
      </w:r>
      <w:r w:rsidR="00D52034">
        <w:t xml:space="preserve"> </w:t>
      </w:r>
      <w:r w:rsidRPr="005821AF">
        <w:t xml:space="preserve">dexamethasone implant compared with no treatment there would be approximately </w:t>
      </w:r>
      <w:r w:rsidR="00524196">
        <w:t>7 to 20</w:t>
      </w:r>
      <w:r w:rsidRPr="005821AF">
        <w:t xml:space="preserve"> additional patients who achieve an improvement of 15 letters </w:t>
      </w:r>
      <w:r w:rsidR="00624AED">
        <w:t xml:space="preserve">or more </w:t>
      </w:r>
      <w:r w:rsidRPr="005821AF">
        <w:t>on a standard eye chart at 3 months and no difference at 6 months.</w:t>
      </w:r>
    </w:p>
    <w:p w:rsidR="005821AF" w:rsidRPr="00D15882" w:rsidRDefault="005821AF" w:rsidP="00361734">
      <w:pPr>
        <w:widowControl/>
        <w:numPr>
          <w:ilvl w:val="0"/>
          <w:numId w:val="7"/>
        </w:numPr>
        <w:spacing w:after="120"/>
      </w:pPr>
      <w:r w:rsidRPr="005821AF">
        <w:t xml:space="preserve">For every 100 patients treated </w:t>
      </w:r>
      <w:r w:rsidRPr="00C721DE">
        <w:t xml:space="preserve">with </w:t>
      </w:r>
      <w:r w:rsidR="00D52034" w:rsidRPr="00C721DE">
        <w:t>a single</w:t>
      </w:r>
      <w:r w:rsidR="00D52034">
        <w:t xml:space="preserve"> </w:t>
      </w:r>
      <w:r w:rsidRPr="005821AF">
        <w:t>dexamethasone implant compared to no treatment, there would be over a period of 6 months:</w:t>
      </w:r>
    </w:p>
    <w:p w:rsidR="005821AF" w:rsidRPr="00D15882" w:rsidRDefault="005821AF" w:rsidP="00C1342C">
      <w:pPr>
        <w:widowControl/>
        <w:numPr>
          <w:ilvl w:val="1"/>
          <w:numId w:val="7"/>
        </w:numPr>
        <w:ind w:left="1434" w:hanging="357"/>
      </w:pPr>
      <w:r w:rsidRPr="00D15882">
        <w:t>Approximately 21</w:t>
      </w:r>
      <w:r w:rsidR="00524196">
        <w:t xml:space="preserve"> to 26</w:t>
      </w:r>
      <w:r w:rsidRPr="00D15882">
        <w:t xml:space="preserve"> additional patients with increased intraocular pressure;</w:t>
      </w:r>
    </w:p>
    <w:p w:rsidR="005821AF" w:rsidRPr="00F75698" w:rsidRDefault="005821AF" w:rsidP="00C1342C">
      <w:pPr>
        <w:widowControl/>
        <w:numPr>
          <w:ilvl w:val="1"/>
          <w:numId w:val="7"/>
        </w:numPr>
        <w:ind w:left="1434" w:hanging="357"/>
      </w:pPr>
      <w:r w:rsidRPr="00D15882">
        <w:t xml:space="preserve">Approximately </w:t>
      </w:r>
      <w:r w:rsidR="00524196">
        <w:t>4 to 15</w:t>
      </w:r>
      <w:r w:rsidRPr="00D15882">
        <w:t xml:space="preserve"> additional patients with conjuncti</w:t>
      </w:r>
      <w:r w:rsidRPr="005821AF">
        <w:t>val haemorrhage;</w:t>
      </w:r>
    </w:p>
    <w:p w:rsidR="005821AF" w:rsidRPr="00F75698" w:rsidRDefault="005821AF" w:rsidP="00C1342C">
      <w:pPr>
        <w:widowControl/>
        <w:numPr>
          <w:ilvl w:val="1"/>
          <w:numId w:val="7"/>
        </w:numPr>
        <w:ind w:left="1434" w:hanging="357"/>
      </w:pPr>
      <w:r w:rsidRPr="005821AF">
        <w:t>Approximately 1</w:t>
      </w:r>
      <w:r w:rsidR="00524196">
        <w:t xml:space="preserve"> to 3</w:t>
      </w:r>
      <w:r w:rsidRPr="005821AF">
        <w:t xml:space="preserve"> additional patient</w:t>
      </w:r>
      <w:r w:rsidR="00524196">
        <w:t>s</w:t>
      </w:r>
      <w:r w:rsidRPr="005821AF">
        <w:t xml:space="preserve"> with cataract;</w:t>
      </w:r>
    </w:p>
    <w:p w:rsidR="00C1342C" w:rsidRPr="00F75698" w:rsidRDefault="005821AF" w:rsidP="00C1342C">
      <w:pPr>
        <w:widowControl/>
        <w:numPr>
          <w:ilvl w:val="1"/>
          <w:numId w:val="7"/>
        </w:numPr>
        <w:ind w:left="1434" w:hanging="357"/>
      </w:pPr>
      <w:r w:rsidRPr="005821AF">
        <w:t>Approximately 3</w:t>
      </w:r>
      <w:r w:rsidR="00524196">
        <w:t xml:space="preserve"> to 4</w:t>
      </w:r>
      <w:r w:rsidRPr="005821AF">
        <w:t xml:space="preserve"> additional patients with ocular hypertension.</w:t>
      </w:r>
    </w:p>
    <w:p w:rsidR="005821AF" w:rsidRPr="00D15882" w:rsidRDefault="005821AF" w:rsidP="00361734">
      <w:pPr>
        <w:widowControl/>
        <w:numPr>
          <w:ilvl w:val="1"/>
          <w:numId w:val="1"/>
        </w:numPr>
        <w:spacing w:after="160"/>
      </w:pPr>
      <w:r w:rsidRPr="005821AF">
        <w:rPr>
          <w:rFonts w:cs="Calibri"/>
          <w:snapToGrid/>
          <w:szCs w:val="24"/>
          <w:lang w:val="en-US" w:eastAsia="en-AU"/>
        </w:rPr>
        <w:t xml:space="preserve">A summary of the comparative benefits and harms for dexamethasone implant versus ranibizumab intravitreal injection is presented </w:t>
      </w:r>
      <w:r>
        <w:rPr>
          <w:rFonts w:cs="Calibri"/>
          <w:snapToGrid/>
          <w:szCs w:val="24"/>
          <w:lang w:val="en-US" w:eastAsia="en-AU"/>
        </w:rPr>
        <w:t xml:space="preserve">in Table </w:t>
      </w:r>
      <w:r w:rsidR="003B5E50">
        <w:rPr>
          <w:rFonts w:cs="Calibri"/>
          <w:snapToGrid/>
          <w:szCs w:val="24"/>
          <w:lang w:val="en-US" w:eastAsia="en-AU"/>
        </w:rPr>
        <w:t>9</w:t>
      </w:r>
      <w:r w:rsidRPr="005821AF">
        <w:rPr>
          <w:rFonts w:cs="Calibri"/>
          <w:snapToGrid/>
          <w:szCs w:val="24"/>
          <w:lang w:val="en-US" w:eastAsia="en-AU"/>
        </w:rPr>
        <w:t>.</w:t>
      </w:r>
    </w:p>
    <w:p w:rsidR="005821AF" w:rsidRPr="005821AF" w:rsidRDefault="005821AF" w:rsidP="005821AF">
      <w:pPr>
        <w:keepNext/>
        <w:rPr>
          <w:rFonts w:ascii="Arial Narrow" w:hAnsi="Arial Narrow"/>
          <w:b/>
          <w:sz w:val="20"/>
        </w:rPr>
      </w:pPr>
      <w:r w:rsidRPr="005821AF">
        <w:rPr>
          <w:rFonts w:ascii="Arial Narrow" w:hAnsi="Arial Narrow"/>
          <w:b/>
          <w:sz w:val="20"/>
        </w:rPr>
        <w:t xml:space="preserve">Table </w:t>
      </w:r>
      <w:r w:rsidR="003B5E50">
        <w:rPr>
          <w:rFonts w:ascii="Arial Narrow" w:hAnsi="Arial Narrow"/>
          <w:b/>
          <w:sz w:val="20"/>
        </w:rPr>
        <w:t>9</w:t>
      </w:r>
      <w:r w:rsidRPr="005821AF">
        <w:rPr>
          <w:rFonts w:ascii="Arial Narrow" w:hAnsi="Arial Narrow"/>
          <w:b/>
          <w:sz w:val="20"/>
        </w:rPr>
        <w:t xml:space="preserve">: Summary of comparative benefits and harms for dexamethasone </w:t>
      </w:r>
      <w:r>
        <w:rPr>
          <w:rFonts w:ascii="Arial Narrow" w:hAnsi="Arial Narrow"/>
          <w:b/>
          <w:sz w:val="20"/>
        </w:rPr>
        <w:t>versus</w:t>
      </w:r>
      <w:r w:rsidRPr="005821AF">
        <w:rPr>
          <w:rFonts w:ascii="Arial Narrow" w:hAnsi="Arial Narrow"/>
          <w:b/>
          <w:sz w:val="20"/>
        </w:rPr>
        <w:t xml:space="preserve"> ranibizumab</w:t>
      </w:r>
      <w:r w:rsidR="00524196">
        <w:rPr>
          <w:rFonts w:ascii="Arial Narrow" w:hAnsi="Arial Narrow"/>
          <w:b/>
          <w:sz w:val="20"/>
        </w:rPr>
        <w:t xml:space="preserve"> </w:t>
      </w:r>
      <w:r w:rsidR="00524196" w:rsidRPr="00524196">
        <w:rPr>
          <w:rFonts w:ascii="Arial Narrow" w:hAnsi="Arial Narrow"/>
          <w:b/>
          <w:sz w:val="20"/>
        </w:rPr>
        <w:t>in COMO (BRVO), COMRADE</w:t>
      </w:r>
      <w:r w:rsidR="00DF33F7">
        <w:rPr>
          <w:rFonts w:ascii="Arial Narrow" w:hAnsi="Arial Narrow"/>
          <w:b/>
          <w:sz w:val="20"/>
        </w:rPr>
        <w:t>-B (BRVO), and COMRADE-C (CRVO)</w:t>
      </w:r>
    </w:p>
    <w:tbl>
      <w:tblPr>
        <w:tblStyle w:val="TableGridbeth2"/>
        <w:tblW w:w="4970" w:type="pct"/>
        <w:tblInd w:w="28" w:type="dxa"/>
        <w:tblBorders>
          <w:insideV w:val="none" w:sz="0" w:space="0" w:color="auto"/>
        </w:tblBorders>
        <w:tblLayout w:type="fixed"/>
        <w:tblCellMar>
          <w:left w:w="28" w:type="dxa"/>
          <w:right w:w="28" w:type="dxa"/>
        </w:tblCellMar>
        <w:tblLook w:val="04A0" w:firstRow="1" w:lastRow="0" w:firstColumn="1" w:lastColumn="0" w:noHBand="0" w:noVBand="1"/>
        <w:tblCaption w:val="Table 9: Summary of comparative benefits and harms for dexamethasone versus ranibizumab in COMO (BRVO), COMRADE-B (BRVO), and COMRADE-C (CRVO)"/>
      </w:tblPr>
      <w:tblGrid>
        <w:gridCol w:w="1279"/>
        <w:gridCol w:w="2264"/>
        <w:gridCol w:w="1008"/>
        <w:gridCol w:w="553"/>
        <w:gridCol w:w="1419"/>
        <w:gridCol w:w="267"/>
        <w:gridCol w:w="2239"/>
      </w:tblGrid>
      <w:tr w:rsidR="005821AF" w:rsidRPr="005821AF" w:rsidTr="001D074A">
        <w:trPr>
          <w:trHeight w:val="150"/>
          <w:tblHeader/>
        </w:trPr>
        <w:tc>
          <w:tcPr>
            <w:tcW w:w="5000" w:type="pct"/>
            <w:gridSpan w:val="7"/>
            <w:tcBorders>
              <w:bottom w:val="doub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Benefits</w:t>
            </w:r>
          </w:p>
        </w:tc>
      </w:tr>
      <w:tr w:rsidR="005821AF" w:rsidRPr="005821AF" w:rsidTr="00624AED">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Trial</w:t>
            </w:r>
          </w:p>
        </w:tc>
        <w:tc>
          <w:tcPr>
            <w:tcW w:w="1254" w:type="pct"/>
            <w:tcBorders>
              <w:bottom w:val="single" w:sz="4" w:space="0" w:color="auto"/>
              <w:right w:val="single" w:sz="4" w:space="0" w:color="auto"/>
            </w:tcBorders>
            <w:shd w:val="clear" w:color="auto" w:fill="auto"/>
            <w:vAlign w:val="center"/>
          </w:tcPr>
          <w:p w:rsidR="005821AF" w:rsidRPr="005821AF" w:rsidRDefault="005821AF" w:rsidP="005821AF">
            <w:pPr>
              <w:keepNext/>
              <w:rPr>
                <w:rFonts w:ascii="Arial Narrow" w:hAnsi="Arial Narrow"/>
                <w:b/>
                <w:sz w:val="20"/>
              </w:rPr>
            </w:pPr>
            <w:r w:rsidRPr="005821AF">
              <w:rPr>
                <w:rFonts w:ascii="Arial Narrow" w:hAnsi="Arial Narrow"/>
                <w:b/>
                <w:sz w:val="20"/>
              </w:rPr>
              <w:t>Event</w:t>
            </w:r>
          </w:p>
        </w:tc>
        <w:tc>
          <w:tcPr>
            <w:tcW w:w="864" w:type="pct"/>
            <w:gridSpan w:val="2"/>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b/>
                <w:sz w:val="20"/>
              </w:rPr>
            </w:pPr>
            <w:r w:rsidRPr="005821AF">
              <w:rPr>
                <w:rFonts w:ascii="Arial Narrow" w:hAnsi="Arial Narrow"/>
                <w:b/>
                <w:sz w:val="20"/>
              </w:rPr>
              <w:t>Dexamethasone</w:t>
            </w:r>
          </w:p>
        </w:tc>
        <w:tc>
          <w:tcPr>
            <w:tcW w:w="786" w:type="pct"/>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b/>
                <w:sz w:val="20"/>
              </w:rPr>
            </w:pPr>
            <w:r w:rsidRPr="005821AF">
              <w:rPr>
                <w:rFonts w:ascii="Arial Narrow" w:hAnsi="Arial Narrow"/>
                <w:b/>
                <w:sz w:val="20"/>
              </w:rPr>
              <w:t>Ranibizumab</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b/>
                <w:sz w:val="20"/>
              </w:rPr>
            </w:pPr>
            <w:r w:rsidRPr="005821AF">
              <w:rPr>
                <w:rFonts w:ascii="Arial Narrow" w:hAnsi="Arial Narrow"/>
                <w:b/>
                <w:sz w:val="20"/>
              </w:rPr>
              <w:t>Mean difference (95% CI)</w:t>
            </w:r>
          </w:p>
        </w:tc>
      </w:tr>
      <w:tr w:rsidR="005821AF" w:rsidRPr="005821AF" w:rsidTr="00624AED">
        <w:trPr>
          <w:trHeight w:val="228"/>
        </w:trPr>
        <w:tc>
          <w:tcPr>
            <w:tcW w:w="708" w:type="pct"/>
            <w:tcBorders>
              <w:right w:val="single" w:sz="4" w:space="0" w:color="auto"/>
            </w:tcBorders>
            <w:shd w:val="clear" w:color="auto" w:fill="auto"/>
          </w:tcPr>
          <w:p w:rsidR="005821AF" w:rsidRPr="005821AF" w:rsidRDefault="005821AF" w:rsidP="005821AF">
            <w:pPr>
              <w:keepNext/>
              <w:jc w:val="left"/>
              <w:rPr>
                <w:rFonts w:ascii="Arial Narrow" w:hAnsi="Arial Narrow"/>
                <w:sz w:val="20"/>
              </w:rPr>
            </w:pPr>
            <w:r w:rsidRPr="005821AF">
              <w:rPr>
                <w:rFonts w:ascii="Arial Narrow" w:hAnsi="Arial Narrow"/>
                <w:sz w:val="20"/>
              </w:rPr>
              <w:t>COMO</w:t>
            </w:r>
          </w:p>
        </w:tc>
        <w:tc>
          <w:tcPr>
            <w:tcW w:w="1254" w:type="pct"/>
            <w:vMerge w:val="restart"/>
            <w:tcBorders>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Mean number of letters of BVCA gained from baseline to Month 3</w:t>
            </w:r>
          </w:p>
        </w:tc>
        <w:tc>
          <w:tcPr>
            <w:tcW w:w="864" w:type="pct"/>
            <w:gridSpan w:val="2"/>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10.0</w:t>
            </w:r>
          </w:p>
        </w:tc>
        <w:tc>
          <w:tcPr>
            <w:tcW w:w="786" w:type="pct"/>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12.8</w:t>
            </w:r>
          </w:p>
        </w:tc>
        <w:tc>
          <w:tcPr>
            <w:tcW w:w="1388" w:type="pct"/>
            <w:gridSpan w:val="2"/>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-2.8 (-4.5, -1.1)</w:t>
            </w:r>
          </w:p>
        </w:tc>
      </w:tr>
      <w:tr w:rsidR="005821AF" w:rsidRPr="005821AF" w:rsidTr="00624AED">
        <w:trPr>
          <w:trHeight w:val="228"/>
        </w:trPr>
        <w:tc>
          <w:tcPr>
            <w:tcW w:w="708" w:type="pct"/>
            <w:tcBorders>
              <w:bottom w:val="single" w:sz="4" w:space="0" w:color="auto"/>
              <w:right w:val="single" w:sz="4" w:space="0" w:color="auto"/>
            </w:tcBorders>
            <w:shd w:val="clear" w:color="auto" w:fill="auto"/>
          </w:tcPr>
          <w:p w:rsidR="005821AF" w:rsidRPr="005821AF" w:rsidRDefault="005821AF" w:rsidP="005821AF">
            <w:pPr>
              <w:keepNext/>
              <w:jc w:val="left"/>
              <w:rPr>
                <w:rFonts w:ascii="Arial Narrow" w:hAnsi="Arial Narrow"/>
                <w:sz w:val="20"/>
              </w:rPr>
            </w:pPr>
            <w:r w:rsidRPr="005821AF">
              <w:rPr>
                <w:rFonts w:ascii="Arial Narrow" w:hAnsi="Arial Narrow"/>
                <w:sz w:val="20"/>
              </w:rPr>
              <w:t>COMRADE-B</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9.3</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16.2</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-6.9 (-4.2, -9.6)</w:t>
            </w:r>
          </w:p>
        </w:tc>
      </w:tr>
      <w:tr w:rsidR="005821AF" w:rsidRPr="005821AF" w:rsidTr="00624AED">
        <w:trPr>
          <w:trHeight w:val="228"/>
        </w:trPr>
        <w:tc>
          <w:tcPr>
            <w:tcW w:w="708" w:type="pct"/>
            <w:tcBorders>
              <w:bottom w:val="single" w:sz="4" w:space="0" w:color="auto"/>
              <w:right w:val="single" w:sz="4" w:space="0" w:color="auto"/>
            </w:tcBorders>
            <w:shd w:val="clear" w:color="auto" w:fill="auto"/>
          </w:tcPr>
          <w:p w:rsidR="005821AF" w:rsidRPr="005821AF" w:rsidRDefault="005821AF" w:rsidP="005821AF">
            <w:pPr>
              <w:keepNext/>
              <w:jc w:val="left"/>
              <w:rPr>
                <w:rFonts w:ascii="Arial Narrow" w:hAnsi="Arial Narrow"/>
                <w:sz w:val="20"/>
              </w:rPr>
            </w:pPr>
            <w:r w:rsidRPr="005821AF">
              <w:rPr>
                <w:rFonts w:ascii="Arial Narrow" w:hAnsi="Arial Narrow"/>
                <w:sz w:val="20"/>
              </w:rPr>
              <w:t>COMRADE-C</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7.0</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16.0</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-9.0 (-5.0, -13.0)</w:t>
            </w:r>
          </w:p>
        </w:tc>
      </w:tr>
      <w:tr w:rsidR="005821AF" w:rsidRPr="005821AF" w:rsidTr="00624AED">
        <w:trPr>
          <w:trHeight w:val="228"/>
        </w:trPr>
        <w:tc>
          <w:tcPr>
            <w:tcW w:w="708" w:type="pct"/>
            <w:tcBorders>
              <w:top w:val="single" w:sz="4" w:space="0" w:color="auto"/>
              <w:right w:val="single" w:sz="4" w:space="0" w:color="auto"/>
            </w:tcBorders>
          </w:tcPr>
          <w:p w:rsidR="005821AF" w:rsidRPr="002D1233" w:rsidRDefault="005821AF" w:rsidP="005821AF">
            <w:pPr>
              <w:keepNext/>
              <w:jc w:val="left"/>
              <w:rPr>
                <w:rFonts w:ascii="Arial Narrow" w:hAnsi="Arial Narrow"/>
                <w:sz w:val="20"/>
              </w:rPr>
            </w:pPr>
            <w:r w:rsidRPr="002D1233">
              <w:rPr>
                <w:rFonts w:ascii="Arial Narrow" w:hAnsi="Arial Narrow"/>
                <w:sz w:val="20"/>
              </w:rPr>
              <w:t>COMO</w:t>
            </w:r>
          </w:p>
        </w:tc>
        <w:tc>
          <w:tcPr>
            <w:tcW w:w="1254" w:type="pct"/>
            <w:vMerge w:val="restart"/>
            <w:tcBorders>
              <w:top w:val="single" w:sz="4" w:space="0" w:color="auto"/>
              <w:right w:val="single" w:sz="4" w:space="0" w:color="auto"/>
            </w:tcBorders>
            <w:shd w:val="clear" w:color="auto" w:fill="auto"/>
            <w:vAlign w:val="center"/>
          </w:tcPr>
          <w:p w:rsidR="005821AF" w:rsidRPr="002D1233" w:rsidRDefault="005821AF" w:rsidP="005821AF">
            <w:pPr>
              <w:keepNext/>
              <w:jc w:val="left"/>
              <w:rPr>
                <w:rFonts w:ascii="Arial Narrow" w:hAnsi="Arial Narrow"/>
                <w:sz w:val="20"/>
              </w:rPr>
            </w:pPr>
            <w:r w:rsidRPr="002D1233">
              <w:rPr>
                <w:rFonts w:ascii="Arial Narrow" w:hAnsi="Arial Narrow"/>
                <w:sz w:val="20"/>
              </w:rPr>
              <w:t>Mean number of letters of BVCA gained from baseline to Month 6</w:t>
            </w:r>
          </w:p>
        </w:tc>
        <w:tc>
          <w:tcPr>
            <w:tcW w:w="864" w:type="pct"/>
            <w:gridSpan w:val="2"/>
            <w:tcBorders>
              <w:top w:val="single" w:sz="4" w:space="0" w:color="auto"/>
              <w:left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9.0</w:t>
            </w:r>
          </w:p>
        </w:tc>
        <w:tc>
          <w:tcPr>
            <w:tcW w:w="786" w:type="pct"/>
            <w:tcBorders>
              <w:top w:val="single" w:sz="4" w:space="0" w:color="auto"/>
              <w:left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14.8</w:t>
            </w:r>
          </w:p>
        </w:tc>
        <w:tc>
          <w:tcPr>
            <w:tcW w:w="1388" w:type="pct"/>
            <w:gridSpan w:val="2"/>
            <w:tcBorders>
              <w:top w:val="single" w:sz="4" w:space="0" w:color="auto"/>
              <w:left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-5.8 (-7.6, -3.9)</w:t>
            </w:r>
          </w:p>
        </w:tc>
      </w:tr>
      <w:tr w:rsidR="005821AF" w:rsidRPr="005821AF" w:rsidTr="00624AED">
        <w:trPr>
          <w:trHeight w:val="58"/>
        </w:trPr>
        <w:tc>
          <w:tcPr>
            <w:tcW w:w="708" w:type="pct"/>
            <w:tcBorders>
              <w:bottom w:val="single" w:sz="4" w:space="0" w:color="auto"/>
              <w:right w:val="single" w:sz="4" w:space="0" w:color="auto"/>
            </w:tcBorders>
          </w:tcPr>
          <w:p w:rsidR="005821AF" w:rsidRPr="002D1233" w:rsidRDefault="005821AF" w:rsidP="005821AF">
            <w:pPr>
              <w:keepNext/>
              <w:jc w:val="left"/>
              <w:rPr>
                <w:rFonts w:ascii="Arial Narrow" w:hAnsi="Arial Narrow"/>
                <w:sz w:val="20"/>
              </w:rPr>
            </w:pPr>
            <w:r w:rsidRPr="002D1233">
              <w:rPr>
                <w:rFonts w:ascii="Arial Narrow" w:hAnsi="Arial Narrow"/>
                <w:sz w:val="20"/>
              </w:rPr>
              <w:t>COMRADE-B</w:t>
            </w:r>
          </w:p>
        </w:tc>
        <w:tc>
          <w:tcPr>
            <w:tcW w:w="1254" w:type="pct"/>
            <w:vMerge/>
            <w:tcBorders>
              <w:bottom w:val="single" w:sz="4" w:space="0" w:color="auto"/>
              <w:right w:val="single" w:sz="4" w:space="0" w:color="auto"/>
            </w:tcBorders>
            <w:shd w:val="clear" w:color="auto" w:fill="auto"/>
            <w:vAlign w:val="center"/>
          </w:tcPr>
          <w:p w:rsidR="005821AF" w:rsidRPr="002D1233"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9.2</w:t>
            </w:r>
          </w:p>
        </w:tc>
        <w:tc>
          <w:tcPr>
            <w:tcW w:w="786" w:type="pct"/>
            <w:tcBorders>
              <w:left w:val="single" w:sz="4" w:space="0" w:color="auto"/>
              <w:bottom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17.3</w:t>
            </w:r>
          </w:p>
        </w:tc>
        <w:tc>
          <w:tcPr>
            <w:tcW w:w="1388" w:type="pct"/>
            <w:gridSpan w:val="2"/>
            <w:tcBorders>
              <w:left w:val="single" w:sz="4" w:space="0" w:color="auto"/>
              <w:bottom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-8.1 (-11.0, -5.2)</w:t>
            </w:r>
          </w:p>
        </w:tc>
      </w:tr>
      <w:tr w:rsidR="005821AF" w:rsidRPr="005821AF" w:rsidTr="00624AED">
        <w:trPr>
          <w:trHeight w:val="228"/>
        </w:trPr>
        <w:tc>
          <w:tcPr>
            <w:tcW w:w="708" w:type="pct"/>
            <w:tcBorders>
              <w:bottom w:val="single" w:sz="4" w:space="0" w:color="auto"/>
              <w:right w:val="single" w:sz="4" w:space="0" w:color="auto"/>
            </w:tcBorders>
          </w:tcPr>
          <w:p w:rsidR="005821AF" w:rsidRPr="002D1233" w:rsidRDefault="005821AF" w:rsidP="005821AF">
            <w:pPr>
              <w:keepNext/>
              <w:jc w:val="left"/>
              <w:rPr>
                <w:rFonts w:ascii="Arial Narrow" w:hAnsi="Arial Narrow"/>
                <w:sz w:val="20"/>
              </w:rPr>
            </w:pPr>
            <w:r w:rsidRPr="002D1233">
              <w:rPr>
                <w:rFonts w:ascii="Arial Narrow" w:hAnsi="Arial Narrow"/>
                <w:sz w:val="20"/>
              </w:rPr>
              <w:t>COMRADE-C</w:t>
            </w:r>
          </w:p>
        </w:tc>
        <w:tc>
          <w:tcPr>
            <w:tcW w:w="1254" w:type="pct"/>
            <w:vMerge/>
            <w:tcBorders>
              <w:bottom w:val="single" w:sz="4" w:space="0" w:color="auto"/>
              <w:right w:val="single" w:sz="4" w:space="0" w:color="auto"/>
            </w:tcBorders>
            <w:shd w:val="clear" w:color="auto" w:fill="auto"/>
            <w:vAlign w:val="center"/>
          </w:tcPr>
          <w:p w:rsidR="005821AF" w:rsidRPr="002D1233"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-3.2</w:t>
            </w:r>
          </w:p>
        </w:tc>
        <w:tc>
          <w:tcPr>
            <w:tcW w:w="786" w:type="pct"/>
            <w:tcBorders>
              <w:left w:val="single" w:sz="4" w:space="0" w:color="auto"/>
              <w:bottom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14.8</w:t>
            </w:r>
          </w:p>
        </w:tc>
        <w:tc>
          <w:tcPr>
            <w:tcW w:w="1388" w:type="pct"/>
            <w:gridSpan w:val="2"/>
            <w:tcBorders>
              <w:left w:val="single" w:sz="4" w:space="0" w:color="auto"/>
              <w:bottom w:val="single" w:sz="4" w:space="0" w:color="auto"/>
            </w:tcBorders>
            <w:shd w:val="clear" w:color="auto" w:fill="auto"/>
            <w:vAlign w:val="center"/>
          </w:tcPr>
          <w:p w:rsidR="005821AF" w:rsidRPr="002D1233" w:rsidRDefault="005821AF" w:rsidP="005821AF">
            <w:pPr>
              <w:keepNext/>
              <w:jc w:val="center"/>
              <w:rPr>
                <w:rFonts w:ascii="Arial Narrow" w:hAnsi="Arial Narrow"/>
                <w:sz w:val="20"/>
              </w:rPr>
            </w:pPr>
            <w:r w:rsidRPr="002D1233">
              <w:rPr>
                <w:rFonts w:ascii="Arial Narrow" w:hAnsi="Arial Narrow"/>
                <w:sz w:val="20"/>
              </w:rPr>
              <w:t>-18.0 (-22.5, -13.4)</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COMO</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 xml:space="preserve">Patients who achieved a </w:t>
            </w:r>
            <w:r w:rsidR="00624AED" w:rsidRPr="00624AED">
              <w:rPr>
                <w:rFonts w:ascii="Arial Narrow" w:hAnsi="Arial Narrow"/>
                <w:sz w:val="20"/>
              </w:rPr>
              <w:t>≥</w:t>
            </w:r>
            <w:r w:rsidRPr="005821AF">
              <w:rPr>
                <w:rFonts w:ascii="Arial Narrow" w:hAnsi="Arial Narrow"/>
                <w:sz w:val="20"/>
              </w:rPr>
              <w:t>15 letter BCVA improvement at Month 6, n/N (%)</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786"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1388"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COMRADE-B</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47/126 (37.3)</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72/118 (61.1)</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-23.8%, p=0.0002</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COMRADE-C</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22/119 (18.5)</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73/124 (58.9)</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-40.4%, p&lt;0.001</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COMO</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 xml:space="preserve">Patients who achieved a </w:t>
            </w:r>
            <w:r w:rsidR="00624AED" w:rsidRPr="00624AED">
              <w:rPr>
                <w:rFonts w:ascii="Arial Narrow" w:hAnsi="Arial Narrow"/>
                <w:sz w:val="20"/>
              </w:rPr>
              <w:t>≥</w:t>
            </w:r>
            <w:r w:rsidRPr="005821AF">
              <w:rPr>
                <w:rFonts w:ascii="Arial Narrow" w:hAnsi="Arial Narrow"/>
                <w:sz w:val="20"/>
              </w:rPr>
              <w:t>15 letter BCVA improvement at Month 12, n/N (%)</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52/154 (33.8)</w:t>
            </w:r>
          </w:p>
        </w:tc>
        <w:tc>
          <w:tcPr>
            <w:tcW w:w="786"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91/153 (59.5)</w:t>
            </w:r>
          </w:p>
        </w:tc>
        <w:tc>
          <w:tcPr>
            <w:tcW w:w="1388"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-25.7%, p&lt;0.0001</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COMRADE-B</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COMRADE-C</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COMO</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 xml:space="preserve">Patients who lost </w:t>
            </w:r>
            <w:r w:rsidR="00624AED" w:rsidRPr="00624AED">
              <w:rPr>
                <w:rFonts w:ascii="Arial Narrow" w:hAnsi="Arial Narrow"/>
                <w:sz w:val="20"/>
              </w:rPr>
              <w:t>≥</w:t>
            </w:r>
            <w:r w:rsidRPr="005821AF">
              <w:rPr>
                <w:rFonts w:ascii="Arial Narrow" w:hAnsi="Arial Narrow"/>
                <w:sz w:val="20"/>
              </w:rPr>
              <w:t>15 letters of BCVA at Month 6, n/N (%)</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786"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1388"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COMRADE-B</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 xml:space="preserve"> (5.1)</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(0)</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5.1%</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COMRADE-C</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31/119 (26.1)</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1/124 (0.8)</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25.3%, p&lt;0.0001</w:t>
            </w:r>
          </w:p>
        </w:tc>
      </w:tr>
      <w:tr w:rsidR="005821AF" w:rsidRPr="005821AF" w:rsidTr="00624AED">
        <w:trPr>
          <w:trHeight w:val="228"/>
        </w:trPr>
        <w:tc>
          <w:tcPr>
            <w:tcW w:w="708" w:type="pct"/>
            <w:tcBorders>
              <w:top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COMO</w:t>
            </w:r>
          </w:p>
        </w:tc>
        <w:tc>
          <w:tcPr>
            <w:tcW w:w="1254" w:type="pct"/>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r w:rsidRPr="005821AF">
              <w:rPr>
                <w:rFonts w:ascii="Arial Narrow" w:hAnsi="Arial Narrow"/>
                <w:sz w:val="20"/>
              </w:rPr>
              <w:t xml:space="preserve">Patients who lost </w:t>
            </w:r>
            <w:r w:rsidR="00624AED" w:rsidRPr="00624AED">
              <w:rPr>
                <w:rFonts w:ascii="Arial Narrow" w:hAnsi="Arial Narrow"/>
                <w:sz w:val="20"/>
              </w:rPr>
              <w:t>≥</w:t>
            </w:r>
            <w:r w:rsidRPr="005821AF">
              <w:rPr>
                <w:rFonts w:ascii="Arial Narrow" w:hAnsi="Arial Narrow"/>
                <w:sz w:val="20"/>
              </w:rPr>
              <w:t>15 letters of BCVA at Month 12, n/N (%)</w:t>
            </w:r>
          </w:p>
        </w:tc>
        <w:tc>
          <w:tcPr>
            <w:tcW w:w="864"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14/154 (9.1)</w:t>
            </w:r>
          </w:p>
        </w:tc>
        <w:tc>
          <w:tcPr>
            <w:tcW w:w="786"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1/153 (0.7)</w:t>
            </w:r>
          </w:p>
        </w:tc>
        <w:tc>
          <w:tcPr>
            <w:tcW w:w="1388" w:type="pct"/>
            <w:gridSpan w:val="2"/>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8.4%, p=0.0008</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COMRADE-B</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r>
      <w:tr w:rsidR="005821AF" w:rsidRPr="005821AF" w:rsidTr="00624AED">
        <w:trPr>
          <w:trHeight w:val="228"/>
        </w:trPr>
        <w:tc>
          <w:tcPr>
            <w:tcW w:w="708" w:type="pct"/>
            <w:tcBorders>
              <w:bottom w:val="single" w:sz="4" w:space="0" w:color="auto"/>
              <w:right w:val="single" w:sz="4" w:space="0" w:color="auto"/>
            </w:tcBorders>
          </w:tcPr>
          <w:p w:rsidR="005821AF" w:rsidRPr="005821AF" w:rsidRDefault="005821AF" w:rsidP="005821AF">
            <w:pPr>
              <w:keepNext/>
              <w:jc w:val="left"/>
              <w:rPr>
                <w:rFonts w:ascii="Arial Narrow" w:hAnsi="Arial Narrow"/>
                <w:sz w:val="20"/>
              </w:rPr>
            </w:pPr>
            <w:r w:rsidRPr="005821AF">
              <w:rPr>
                <w:rFonts w:ascii="Arial Narrow" w:hAnsi="Arial Narrow"/>
                <w:sz w:val="20"/>
              </w:rPr>
              <w:t>COMRADE-C</w:t>
            </w:r>
          </w:p>
        </w:tc>
        <w:tc>
          <w:tcPr>
            <w:tcW w:w="1254" w:type="pct"/>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864"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786"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c>
          <w:tcPr>
            <w:tcW w:w="1388" w:type="pct"/>
            <w:gridSpan w:val="2"/>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N/A</w:t>
            </w:r>
          </w:p>
        </w:tc>
      </w:tr>
      <w:tr w:rsidR="005821AF" w:rsidRPr="005821AF" w:rsidTr="002D1233">
        <w:tc>
          <w:tcPr>
            <w:tcW w:w="5000" w:type="pct"/>
            <w:gridSpan w:val="7"/>
            <w:tcBorders>
              <w:top w:val="single" w:sz="4" w:space="0" w:color="auto"/>
              <w:bottom w:val="doub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Harms</w:t>
            </w:r>
          </w:p>
        </w:tc>
      </w:tr>
      <w:tr w:rsidR="005821AF" w:rsidRPr="005821AF" w:rsidTr="002D1233">
        <w:tc>
          <w:tcPr>
            <w:tcW w:w="708" w:type="pct"/>
            <w:tcBorders>
              <w:top w:val="double" w:sz="4" w:space="0" w:color="auto"/>
              <w:bottom w:val="single" w:sz="4" w:space="0" w:color="auto"/>
              <w:right w:val="single" w:sz="4" w:space="0" w:color="auto"/>
            </w:tcBorders>
            <w:shd w:val="clear" w:color="auto" w:fill="auto"/>
          </w:tcPr>
          <w:p w:rsidR="005821AF" w:rsidRPr="005821AF" w:rsidRDefault="005821AF" w:rsidP="005821AF">
            <w:pPr>
              <w:keepNext/>
              <w:rPr>
                <w:rFonts w:ascii="Arial Narrow" w:hAnsi="Arial Narrow"/>
                <w:b/>
                <w:sz w:val="20"/>
              </w:rPr>
            </w:pPr>
            <w:r w:rsidRPr="005821AF">
              <w:rPr>
                <w:rFonts w:ascii="Arial Narrow" w:hAnsi="Arial Narrow"/>
                <w:b/>
                <w:sz w:val="20"/>
              </w:rPr>
              <w:t>Trial</w:t>
            </w:r>
          </w:p>
        </w:tc>
        <w:tc>
          <w:tcPr>
            <w:tcW w:w="1812" w:type="pct"/>
            <w:gridSpan w:val="2"/>
            <w:tcBorders>
              <w:top w:val="double" w:sz="4" w:space="0" w:color="auto"/>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b/>
                <w:sz w:val="20"/>
              </w:rPr>
              <w:t>Event</w:t>
            </w:r>
          </w:p>
        </w:tc>
        <w:tc>
          <w:tcPr>
            <w:tcW w:w="1240" w:type="pct"/>
            <w:gridSpan w:val="3"/>
            <w:tcBorders>
              <w:top w:val="double" w:sz="4" w:space="0" w:color="auto"/>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b/>
                <w:sz w:val="20"/>
              </w:rPr>
              <w:t>Dexamethasone</w:t>
            </w:r>
          </w:p>
        </w:tc>
        <w:tc>
          <w:tcPr>
            <w:tcW w:w="1240" w:type="pct"/>
            <w:tcBorders>
              <w:top w:val="double" w:sz="4" w:space="0" w:color="auto"/>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b/>
                <w:sz w:val="20"/>
              </w:rPr>
              <w:t>Ranibizumab</w:t>
            </w:r>
          </w:p>
        </w:tc>
      </w:tr>
      <w:tr w:rsidR="005821AF" w:rsidRPr="005821AF" w:rsidTr="005821AF">
        <w:trPr>
          <w:trHeight w:val="76"/>
        </w:trPr>
        <w:tc>
          <w:tcPr>
            <w:tcW w:w="708" w:type="pct"/>
            <w:tcBorders>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COMO</w:t>
            </w:r>
          </w:p>
        </w:tc>
        <w:tc>
          <w:tcPr>
            <w:tcW w:w="1812" w:type="pct"/>
            <w:gridSpan w:val="2"/>
            <w:vMerge w:val="restart"/>
            <w:tcBorders>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sz w:val="20"/>
              </w:rPr>
              <w:t>Intraocular pressure increased, n/N (%)</w:t>
            </w:r>
          </w:p>
        </w:tc>
        <w:tc>
          <w:tcPr>
            <w:tcW w:w="1240" w:type="pct"/>
            <w:gridSpan w:val="3"/>
            <w:tcBorders>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50/153 (32.7)</w:t>
            </w:r>
          </w:p>
        </w:tc>
        <w:tc>
          <w:tcPr>
            <w:tcW w:w="1240" w:type="pct"/>
            <w:tcBorders>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16/150 (10.7)</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COMRADE-B</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17/118 (14.4)</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2/126 (1.6)</w:t>
            </w:r>
          </w:p>
        </w:tc>
      </w:tr>
      <w:tr w:rsidR="005821AF" w:rsidRPr="005821AF" w:rsidTr="002D1233">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COMRADE-C</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38/119 (31.9)</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7/124 (5.6)</w:t>
            </w:r>
          </w:p>
        </w:tc>
      </w:tr>
      <w:tr w:rsidR="005821AF" w:rsidRPr="005821AF" w:rsidTr="002D1233">
        <w:trPr>
          <w:trHeight w:val="76"/>
        </w:trPr>
        <w:tc>
          <w:tcPr>
            <w:tcW w:w="708" w:type="pct"/>
            <w:tcBorders>
              <w:top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COMO</w:t>
            </w:r>
          </w:p>
        </w:tc>
        <w:tc>
          <w:tcPr>
            <w:tcW w:w="1812" w:type="pct"/>
            <w:gridSpan w:val="2"/>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lang w:val="en-GB"/>
              </w:rPr>
            </w:pPr>
            <w:r w:rsidRPr="005821AF">
              <w:rPr>
                <w:rFonts w:ascii="Arial Narrow" w:hAnsi="Arial Narrow"/>
                <w:sz w:val="20"/>
              </w:rPr>
              <w:t>Conjunctival haemorrhage, n/N (%)</w:t>
            </w:r>
          </w:p>
        </w:tc>
        <w:tc>
          <w:tcPr>
            <w:tcW w:w="1240" w:type="pct"/>
            <w:gridSpan w:val="3"/>
            <w:tcBorders>
              <w:top w:val="sing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28/153 (18.3)</w:t>
            </w:r>
          </w:p>
        </w:tc>
        <w:tc>
          <w:tcPr>
            <w:tcW w:w="1240"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17/150 (11.3)</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COMRADE-B</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1/118 (0.8)</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1/126 (0.8)</w:t>
            </w:r>
          </w:p>
        </w:tc>
      </w:tr>
      <w:tr w:rsidR="005821AF" w:rsidRPr="005821AF" w:rsidTr="002D1233">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COMRADE-C</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13/119 (10.9)</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16/124 (12.9)</w:t>
            </w:r>
          </w:p>
        </w:tc>
      </w:tr>
      <w:tr w:rsidR="005821AF" w:rsidRPr="005821AF" w:rsidTr="002D1233">
        <w:trPr>
          <w:trHeight w:val="76"/>
        </w:trPr>
        <w:tc>
          <w:tcPr>
            <w:tcW w:w="708" w:type="pct"/>
            <w:tcBorders>
              <w:top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COMO</w:t>
            </w:r>
          </w:p>
        </w:tc>
        <w:tc>
          <w:tcPr>
            <w:tcW w:w="1812" w:type="pct"/>
            <w:gridSpan w:val="2"/>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sz w:val="20"/>
              </w:rPr>
              <w:t>Cataract, n/N (%)</w:t>
            </w:r>
          </w:p>
        </w:tc>
        <w:tc>
          <w:tcPr>
            <w:tcW w:w="1240" w:type="pct"/>
            <w:gridSpan w:val="3"/>
            <w:tcBorders>
              <w:top w:val="sing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13/153 (8.5)</w:t>
            </w:r>
          </w:p>
        </w:tc>
        <w:tc>
          <w:tcPr>
            <w:tcW w:w="1240"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2/150 (1.3)</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COMRADE-B</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1/118 (0.8)</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1/126 (0.8)</w:t>
            </w:r>
          </w:p>
        </w:tc>
      </w:tr>
      <w:tr w:rsidR="005821AF" w:rsidRPr="005821AF" w:rsidTr="002D1233">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COMRADE-C</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r>
      <w:tr w:rsidR="005821AF" w:rsidRPr="005821AF" w:rsidTr="002D1233">
        <w:trPr>
          <w:trHeight w:val="76"/>
        </w:trPr>
        <w:tc>
          <w:tcPr>
            <w:tcW w:w="708" w:type="pct"/>
            <w:tcBorders>
              <w:top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COMO</w:t>
            </w:r>
          </w:p>
        </w:tc>
        <w:tc>
          <w:tcPr>
            <w:tcW w:w="1812" w:type="pct"/>
            <w:gridSpan w:val="2"/>
            <w:vMerge w:val="restart"/>
            <w:tcBorders>
              <w:top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szCs w:val="20"/>
              </w:rPr>
            </w:pPr>
            <w:r w:rsidRPr="005821AF">
              <w:rPr>
                <w:rFonts w:ascii="Arial Narrow" w:hAnsi="Arial Narrow"/>
                <w:sz w:val="20"/>
              </w:rPr>
              <w:t>Ocular hypertension, n/N (%)</w:t>
            </w:r>
          </w:p>
        </w:tc>
        <w:tc>
          <w:tcPr>
            <w:tcW w:w="1240" w:type="pct"/>
            <w:gridSpan w:val="3"/>
            <w:tcBorders>
              <w:top w:val="single" w:sz="4" w:space="0" w:color="auto"/>
              <w:left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9/153 (5.9)</w:t>
            </w:r>
          </w:p>
        </w:tc>
        <w:tc>
          <w:tcPr>
            <w:tcW w:w="1240" w:type="pct"/>
            <w:tcBorders>
              <w:top w:val="single" w:sz="4" w:space="0" w:color="auto"/>
              <w:lef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1/150 (0.7)</w:t>
            </w:r>
          </w:p>
        </w:tc>
      </w:tr>
      <w:tr w:rsidR="005821AF" w:rsidRPr="005821AF" w:rsidTr="005821AF">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COMRADE-B</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NR</w:t>
            </w:r>
          </w:p>
        </w:tc>
      </w:tr>
      <w:tr w:rsidR="005821AF" w:rsidRPr="005821AF" w:rsidTr="002D1233">
        <w:trPr>
          <w:trHeight w:val="76"/>
        </w:trPr>
        <w:tc>
          <w:tcPr>
            <w:tcW w:w="708" w:type="pct"/>
            <w:tcBorders>
              <w:bottom w:val="single" w:sz="4" w:space="0" w:color="auto"/>
              <w:right w:val="single" w:sz="4" w:space="0" w:color="auto"/>
            </w:tcBorders>
            <w:shd w:val="clear" w:color="auto" w:fill="auto"/>
          </w:tcPr>
          <w:p w:rsidR="005821AF" w:rsidRPr="005821AF" w:rsidRDefault="005821AF" w:rsidP="005821AF">
            <w:pPr>
              <w:keepNext/>
              <w:rPr>
                <w:rFonts w:ascii="Arial Narrow" w:hAnsi="Arial Narrow"/>
                <w:sz w:val="20"/>
              </w:rPr>
            </w:pPr>
            <w:r w:rsidRPr="005821AF">
              <w:rPr>
                <w:rFonts w:ascii="Arial Narrow" w:hAnsi="Arial Narrow"/>
                <w:sz w:val="20"/>
              </w:rPr>
              <w:t>COMRADE-C</w:t>
            </w:r>
          </w:p>
        </w:tc>
        <w:tc>
          <w:tcPr>
            <w:tcW w:w="1812" w:type="pct"/>
            <w:gridSpan w:val="2"/>
            <w:vMerge/>
            <w:tcBorders>
              <w:bottom w:val="single" w:sz="4" w:space="0" w:color="auto"/>
              <w:right w:val="single" w:sz="4" w:space="0" w:color="auto"/>
            </w:tcBorders>
            <w:shd w:val="clear" w:color="auto" w:fill="auto"/>
            <w:vAlign w:val="center"/>
          </w:tcPr>
          <w:p w:rsidR="005821AF" w:rsidRPr="005821AF" w:rsidRDefault="005821AF" w:rsidP="005821AF">
            <w:pPr>
              <w:keepNext/>
              <w:jc w:val="left"/>
              <w:rPr>
                <w:rFonts w:ascii="Arial Narrow" w:hAnsi="Arial Narrow"/>
                <w:sz w:val="20"/>
              </w:rPr>
            </w:pPr>
          </w:p>
        </w:tc>
        <w:tc>
          <w:tcPr>
            <w:tcW w:w="1240" w:type="pct"/>
            <w:gridSpan w:val="3"/>
            <w:tcBorders>
              <w:left w:val="single" w:sz="4" w:space="0" w:color="auto"/>
              <w:bottom w:val="single" w:sz="4" w:space="0" w:color="auto"/>
              <w:right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6/119 (5.0)</w:t>
            </w:r>
          </w:p>
        </w:tc>
        <w:tc>
          <w:tcPr>
            <w:tcW w:w="1240" w:type="pct"/>
            <w:tcBorders>
              <w:left w:val="single" w:sz="4" w:space="0" w:color="auto"/>
              <w:bottom w:val="single" w:sz="4" w:space="0" w:color="auto"/>
            </w:tcBorders>
            <w:shd w:val="clear" w:color="auto" w:fill="auto"/>
            <w:vAlign w:val="center"/>
          </w:tcPr>
          <w:p w:rsidR="005821AF" w:rsidRPr="005821AF" w:rsidRDefault="005821AF" w:rsidP="005821AF">
            <w:pPr>
              <w:keepNext/>
              <w:jc w:val="center"/>
              <w:rPr>
                <w:rFonts w:ascii="Arial Narrow" w:hAnsi="Arial Narrow"/>
                <w:sz w:val="20"/>
              </w:rPr>
            </w:pPr>
            <w:r w:rsidRPr="005821AF">
              <w:rPr>
                <w:rFonts w:ascii="Arial Narrow" w:hAnsi="Arial Narrow"/>
                <w:sz w:val="20"/>
              </w:rPr>
              <w:t>0/124 (0.0)</w:t>
            </w:r>
          </w:p>
        </w:tc>
      </w:tr>
    </w:tbl>
    <w:p w:rsidR="005821AF" w:rsidRPr="005821AF" w:rsidRDefault="005821AF" w:rsidP="005821AF">
      <w:pPr>
        <w:rPr>
          <w:rFonts w:ascii="Arial Narrow" w:hAnsi="Arial Narrow"/>
          <w:sz w:val="18"/>
          <w:szCs w:val="18"/>
        </w:rPr>
      </w:pPr>
      <w:r w:rsidRPr="005821AF">
        <w:rPr>
          <w:rFonts w:ascii="Arial Narrow" w:hAnsi="Arial Narrow"/>
          <w:sz w:val="18"/>
        </w:rPr>
        <w:t xml:space="preserve">Source: </w:t>
      </w:r>
      <w:r w:rsidRPr="005821AF">
        <w:rPr>
          <w:rFonts w:ascii="Arial Narrow" w:hAnsi="Arial Narrow"/>
          <w:sz w:val="18"/>
          <w:szCs w:val="18"/>
        </w:rPr>
        <w:t xml:space="preserve">Table 2.5.7, pp.92-93 of the submission; COMO clinical trial report; Hattenbach et al. (2017); Hoerauf et al. (2016); </w:t>
      </w:r>
      <w:r w:rsidRPr="005821AF">
        <w:rPr>
          <w:rFonts w:ascii="Arial Narrow" w:hAnsi="Arial Narrow"/>
          <w:sz w:val="18"/>
        </w:rPr>
        <w:t xml:space="preserve">Table 2.5.8, p.95 of the submission; Table 14.2.3.1, COMO clinical trial report; </w:t>
      </w:r>
      <w:r w:rsidRPr="005821AF">
        <w:rPr>
          <w:rFonts w:ascii="Arial Narrow" w:hAnsi="Arial Narrow"/>
          <w:sz w:val="18"/>
          <w:szCs w:val="18"/>
        </w:rPr>
        <w:t>Supplemental figure 2, Hattenbach et al. (2017); Supplemental figure 2, Hoerauf et al. (2016); Table 2.6.4, pp.112-113; Table 2.6.5, p.113-114; Table 2.6.6, p.114 of the submission</w:t>
      </w:r>
    </w:p>
    <w:p w:rsidR="005821AF" w:rsidRPr="005821AF" w:rsidRDefault="005821AF" w:rsidP="005821AF">
      <w:pPr>
        <w:widowControl/>
        <w:rPr>
          <w:rFonts w:ascii="Arial Narrow" w:hAnsi="Arial Narrow"/>
          <w:sz w:val="18"/>
        </w:rPr>
      </w:pPr>
      <w:r w:rsidRPr="005821AF">
        <w:rPr>
          <w:rFonts w:ascii="Arial Narrow" w:hAnsi="Arial Narrow"/>
          <w:sz w:val="18"/>
        </w:rPr>
        <w:t>Abbreviations: BCVA, best corrected visual acuity; CI, confidence interval; NR, not reported; N/A, not assessed</w:t>
      </w:r>
    </w:p>
    <w:p w:rsidR="005821AF" w:rsidRPr="00DF33F7" w:rsidRDefault="005821AF" w:rsidP="005821AF">
      <w:pPr>
        <w:widowControl/>
        <w:rPr>
          <w:rFonts w:asciiTheme="minorHAnsi" w:hAnsiTheme="minorHAnsi"/>
          <w:szCs w:val="24"/>
        </w:rPr>
      </w:pPr>
    </w:p>
    <w:p w:rsidR="005821AF" w:rsidRPr="00D15882" w:rsidRDefault="005821AF" w:rsidP="00361734">
      <w:pPr>
        <w:widowControl/>
        <w:numPr>
          <w:ilvl w:val="1"/>
          <w:numId w:val="1"/>
        </w:numPr>
        <w:spacing w:after="120"/>
      </w:pPr>
      <w:r w:rsidRPr="005821AF">
        <w:t>Based on the direct evidence presented in the submission for the COMO trial</w:t>
      </w:r>
      <w:r w:rsidR="006864F6">
        <w:t xml:space="preserve"> (assessing multiple dexamethasone injections in BRVO)</w:t>
      </w:r>
      <w:r w:rsidRPr="005821AF">
        <w:t>:</w:t>
      </w:r>
    </w:p>
    <w:p w:rsidR="005821AF" w:rsidRPr="00D15882" w:rsidRDefault="005821AF" w:rsidP="00361734">
      <w:pPr>
        <w:widowControl/>
        <w:numPr>
          <w:ilvl w:val="0"/>
          <w:numId w:val="9"/>
        </w:numPr>
        <w:spacing w:after="120"/>
      </w:pPr>
      <w:r w:rsidRPr="005821AF">
        <w:t xml:space="preserve">Patients treated </w:t>
      </w:r>
      <w:r w:rsidRPr="00C721DE">
        <w:t xml:space="preserve">with </w:t>
      </w:r>
      <w:r w:rsidR="00D52034" w:rsidRPr="00C721DE">
        <w:t xml:space="preserve">an average 2.5 </w:t>
      </w:r>
      <w:r w:rsidRPr="00C721DE">
        <w:t>dexamethasone implant</w:t>
      </w:r>
      <w:r w:rsidR="00D52034" w:rsidRPr="00C721DE">
        <w:t>s over 12 months</w:t>
      </w:r>
      <w:r w:rsidRPr="00C721DE">
        <w:t xml:space="preserve"> would have a smaller improvement in visual acuity compared with </w:t>
      </w:r>
      <w:r w:rsidR="00F61D55" w:rsidRPr="00C721DE">
        <w:t xml:space="preserve">patients treated with </w:t>
      </w:r>
      <w:r w:rsidR="00D52034" w:rsidRPr="00C721DE">
        <w:t xml:space="preserve">an average 8.1 injections of </w:t>
      </w:r>
      <w:r w:rsidRPr="00C721DE">
        <w:t xml:space="preserve">ranibizumab, with the average patient having 2.8 </w:t>
      </w:r>
      <w:r w:rsidR="002D1233" w:rsidRPr="00C721DE">
        <w:t>fewer letters</w:t>
      </w:r>
      <w:r w:rsidRPr="00C721DE">
        <w:t xml:space="preserve"> at 3 months and 6.0 </w:t>
      </w:r>
      <w:r w:rsidR="002D1233" w:rsidRPr="00C721DE">
        <w:t>fewer letters</w:t>
      </w:r>
      <w:r w:rsidRPr="00C721DE">
        <w:t xml:space="preserve"> at 6 months.</w:t>
      </w:r>
    </w:p>
    <w:p w:rsidR="005821AF" w:rsidRPr="00D15882" w:rsidRDefault="005821AF" w:rsidP="00361734">
      <w:pPr>
        <w:widowControl/>
        <w:numPr>
          <w:ilvl w:val="0"/>
          <w:numId w:val="8"/>
        </w:numPr>
        <w:spacing w:after="120"/>
        <w:ind w:hanging="357"/>
      </w:pPr>
      <w:r w:rsidRPr="00D15882">
        <w:t>For every 100 patients treated with dexamethasone implant compared with ranibizumab over 12 months:</w:t>
      </w:r>
    </w:p>
    <w:p w:rsidR="005821AF" w:rsidRPr="00D15882" w:rsidRDefault="005821AF" w:rsidP="00C1342C">
      <w:pPr>
        <w:widowControl/>
        <w:numPr>
          <w:ilvl w:val="1"/>
          <w:numId w:val="7"/>
        </w:numPr>
        <w:ind w:left="1434" w:hanging="357"/>
      </w:pPr>
      <w:r w:rsidRPr="00D15882">
        <w:t xml:space="preserve">There would be approximately 26 </w:t>
      </w:r>
      <w:r w:rsidR="002D1233" w:rsidRPr="00D15882">
        <w:t>fewer</w:t>
      </w:r>
      <w:r w:rsidRPr="00D15882">
        <w:t xml:space="preserve"> patients who achieve an improvement of 15 letters </w:t>
      </w:r>
      <w:r w:rsidR="00624AED" w:rsidRPr="00D15882">
        <w:t xml:space="preserve">or more </w:t>
      </w:r>
      <w:r w:rsidRPr="00D15882">
        <w:t>on a standard eye chart;</w:t>
      </w:r>
    </w:p>
    <w:p w:rsidR="005821AF" w:rsidRPr="00D15882" w:rsidRDefault="005821AF" w:rsidP="00C1342C">
      <w:pPr>
        <w:widowControl/>
        <w:numPr>
          <w:ilvl w:val="1"/>
          <w:numId w:val="7"/>
        </w:numPr>
        <w:ind w:left="1434" w:hanging="357"/>
      </w:pPr>
      <w:r w:rsidRPr="00D15882">
        <w:t xml:space="preserve">There would be approximately 8 additional patients who lose 15 letters </w:t>
      </w:r>
      <w:r w:rsidR="00624AED" w:rsidRPr="00D15882">
        <w:t xml:space="preserve">or more </w:t>
      </w:r>
      <w:r w:rsidRPr="00D15882">
        <w:t>on a standard eye chart.</w:t>
      </w:r>
    </w:p>
    <w:p w:rsidR="005821AF" w:rsidRPr="00D15882" w:rsidRDefault="005821AF" w:rsidP="00361734">
      <w:pPr>
        <w:widowControl/>
        <w:numPr>
          <w:ilvl w:val="0"/>
          <w:numId w:val="8"/>
        </w:numPr>
        <w:spacing w:after="120"/>
        <w:ind w:hanging="357"/>
      </w:pPr>
      <w:r w:rsidRPr="00D15882">
        <w:t>For every 100 patients treated with dexamethasone implant compared to ranibizumab, there would be over a period of 12 months:</w:t>
      </w:r>
    </w:p>
    <w:p w:rsidR="005821AF" w:rsidRPr="00D15882" w:rsidRDefault="005821AF" w:rsidP="00C1342C">
      <w:pPr>
        <w:widowControl/>
        <w:numPr>
          <w:ilvl w:val="1"/>
          <w:numId w:val="7"/>
        </w:numPr>
        <w:ind w:left="1434" w:hanging="357"/>
      </w:pPr>
      <w:r w:rsidRPr="00D15882">
        <w:t>Approximately 22 additional patients with increased intraocular pressure;</w:t>
      </w:r>
    </w:p>
    <w:p w:rsidR="005821AF" w:rsidRPr="00D15882" w:rsidRDefault="005821AF" w:rsidP="00C1342C">
      <w:pPr>
        <w:widowControl/>
        <w:numPr>
          <w:ilvl w:val="1"/>
          <w:numId w:val="7"/>
        </w:numPr>
        <w:ind w:left="1434" w:hanging="357"/>
      </w:pPr>
      <w:r w:rsidRPr="00D15882">
        <w:t>Approximately 7 additional patients with conjunctival haemorrhage;</w:t>
      </w:r>
    </w:p>
    <w:p w:rsidR="005821AF" w:rsidRPr="00D15882" w:rsidRDefault="005821AF" w:rsidP="00C1342C">
      <w:pPr>
        <w:widowControl/>
        <w:numPr>
          <w:ilvl w:val="1"/>
          <w:numId w:val="7"/>
        </w:numPr>
        <w:ind w:left="1434" w:hanging="357"/>
      </w:pPr>
      <w:r w:rsidRPr="00D15882">
        <w:t>Approximately 7 additional patients with cataract;</w:t>
      </w:r>
    </w:p>
    <w:p w:rsidR="005821AF" w:rsidRDefault="005821AF" w:rsidP="00C1342C">
      <w:pPr>
        <w:widowControl/>
        <w:numPr>
          <w:ilvl w:val="1"/>
          <w:numId w:val="7"/>
        </w:numPr>
        <w:ind w:left="1434" w:hanging="357"/>
      </w:pPr>
      <w:r w:rsidRPr="00D15882">
        <w:t>Approximately 5 additional patients with ocular hypertension.</w:t>
      </w:r>
    </w:p>
    <w:p w:rsidR="00C1342C" w:rsidRPr="00D15882" w:rsidRDefault="00C1342C" w:rsidP="00C1342C">
      <w:pPr>
        <w:widowControl/>
        <w:ind w:left="1434"/>
      </w:pPr>
    </w:p>
    <w:p w:rsidR="005821AF" w:rsidRPr="00D15882" w:rsidRDefault="005821AF" w:rsidP="00361734">
      <w:pPr>
        <w:widowControl/>
        <w:numPr>
          <w:ilvl w:val="1"/>
          <w:numId w:val="1"/>
        </w:numPr>
        <w:spacing w:after="160"/>
      </w:pPr>
      <w:r w:rsidRPr="00D15882">
        <w:t>Based on the direct evidence presented in the submission for the COMRADE-B trial</w:t>
      </w:r>
      <w:r w:rsidR="006864F6">
        <w:t xml:space="preserve"> (assessing single dexamethasone injection in BRVO patients)</w:t>
      </w:r>
      <w:r w:rsidRPr="00D15882">
        <w:t>:</w:t>
      </w:r>
    </w:p>
    <w:p w:rsidR="005821AF" w:rsidRPr="00D15882" w:rsidRDefault="005821AF" w:rsidP="00361734">
      <w:pPr>
        <w:widowControl/>
        <w:numPr>
          <w:ilvl w:val="0"/>
          <w:numId w:val="9"/>
        </w:numPr>
        <w:spacing w:after="120"/>
      </w:pPr>
      <w:r w:rsidRPr="00D15882">
        <w:t xml:space="preserve">Patients treated </w:t>
      </w:r>
      <w:r w:rsidRPr="00C721DE">
        <w:t xml:space="preserve">with </w:t>
      </w:r>
      <w:r w:rsidR="00136BCD" w:rsidRPr="00C721DE">
        <w:t>a single</w:t>
      </w:r>
      <w:r w:rsidR="00136BCD">
        <w:t xml:space="preserve"> </w:t>
      </w:r>
      <w:r w:rsidRPr="00D15882">
        <w:t xml:space="preserve">dexamethasone implant would have a smaller improvement in visual acuity compared with </w:t>
      </w:r>
      <w:r w:rsidR="00F61D55" w:rsidRPr="00D15882">
        <w:t xml:space="preserve">patients treated </w:t>
      </w:r>
      <w:r w:rsidR="00F61D55" w:rsidRPr="00C721DE">
        <w:t xml:space="preserve">with </w:t>
      </w:r>
      <w:r w:rsidR="00D52034" w:rsidRPr="00C721DE">
        <w:t>monthly administrations of</w:t>
      </w:r>
      <w:r w:rsidR="00D52034" w:rsidRPr="00D52034">
        <w:t xml:space="preserve"> </w:t>
      </w:r>
      <w:r w:rsidRPr="00D15882">
        <w:t>ranibizumab, with the average patient having 6.9 letters less at 3 months and 8.1 letters less at 6 months.</w:t>
      </w:r>
    </w:p>
    <w:p w:rsidR="005821AF" w:rsidRPr="00D15882" w:rsidRDefault="005821AF" w:rsidP="00361734">
      <w:pPr>
        <w:widowControl/>
        <w:numPr>
          <w:ilvl w:val="0"/>
          <w:numId w:val="8"/>
        </w:numPr>
        <w:spacing w:after="120"/>
      </w:pPr>
      <w:r w:rsidRPr="00D15882">
        <w:t>For every 100 patients treated with dexamethasone implant compared with ranibizumab over 6 months:</w:t>
      </w:r>
    </w:p>
    <w:p w:rsidR="005821AF" w:rsidRPr="00D15882" w:rsidRDefault="005821AF" w:rsidP="00C1342C">
      <w:pPr>
        <w:widowControl/>
        <w:numPr>
          <w:ilvl w:val="1"/>
          <w:numId w:val="7"/>
        </w:numPr>
        <w:ind w:left="1434" w:hanging="357"/>
      </w:pPr>
      <w:r w:rsidRPr="00D15882">
        <w:t>T</w:t>
      </w:r>
      <w:r w:rsidR="002D1233" w:rsidRPr="00D15882">
        <w:t>here would be approximately 24 fewer</w:t>
      </w:r>
      <w:r w:rsidRPr="00D15882">
        <w:t xml:space="preserve"> patients who achieve an improvement of 15 letters </w:t>
      </w:r>
      <w:r w:rsidR="00624AED" w:rsidRPr="00D15882">
        <w:t xml:space="preserve">or more </w:t>
      </w:r>
      <w:r w:rsidRPr="00D15882">
        <w:t>on a standard eye chart;</w:t>
      </w:r>
    </w:p>
    <w:p w:rsidR="005821AF" w:rsidRPr="00D15882" w:rsidRDefault="005821AF" w:rsidP="00C1342C">
      <w:pPr>
        <w:widowControl/>
        <w:numPr>
          <w:ilvl w:val="1"/>
          <w:numId w:val="7"/>
        </w:numPr>
        <w:ind w:left="1434" w:hanging="357"/>
      </w:pPr>
      <w:r w:rsidRPr="00D15882">
        <w:t xml:space="preserve">There would be approximately 5 additional patients who lose 15 letters </w:t>
      </w:r>
      <w:r w:rsidR="00624AED" w:rsidRPr="00D15882">
        <w:t xml:space="preserve">or more </w:t>
      </w:r>
      <w:r w:rsidRPr="00D15882">
        <w:t>on a standard eye chart.</w:t>
      </w:r>
    </w:p>
    <w:p w:rsidR="005821AF" w:rsidRPr="00D15882" w:rsidRDefault="005821AF" w:rsidP="00361734">
      <w:pPr>
        <w:widowControl/>
        <w:numPr>
          <w:ilvl w:val="0"/>
          <w:numId w:val="8"/>
        </w:numPr>
        <w:spacing w:after="120"/>
      </w:pPr>
      <w:r w:rsidRPr="00D15882">
        <w:t>For every 100 patients treated with dexamethasone implant compared to ranibizumab, there would be over a period of 6 months:</w:t>
      </w:r>
    </w:p>
    <w:p w:rsidR="005821AF" w:rsidRPr="00D15882" w:rsidRDefault="005821AF" w:rsidP="00C1342C">
      <w:pPr>
        <w:widowControl/>
        <w:numPr>
          <w:ilvl w:val="1"/>
          <w:numId w:val="7"/>
        </w:numPr>
        <w:ind w:left="1434" w:hanging="357"/>
      </w:pPr>
      <w:r w:rsidRPr="00D15882">
        <w:t>Approximately 13 additional patients with increased intraocular pressure;</w:t>
      </w:r>
    </w:p>
    <w:p w:rsidR="005821AF" w:rsidRPr="00D15882" w:rsidRDefault="005821AF" w:rsidP="00C1342C">
      <w:pPr>
        <w:widowControl/>
        <w:numPr>
          <w:ilvl w:val="1"/>
          <w:numId w:val="7"/>
        </w:numPr>
        <w:ind w:left="1434" w:hanging="357"/>
      </w:pPr>
      <w:r w:rsidRPr="00D15882">
        <w:t>No observable difference for conjunctival haemorrhage;</w:t>
      </w:r>
    </w:p>
    <w:p w:rsidR="005821AF" w:rsidRDefault="005821AF" w:rsidP="00C1342C">
      <w:pPr>
        <w:widowControl/>
        <w:numPr>
          <w:ilvl w:val="1"/>
          <w:numId w:val="7"/>
        </w:numPr>
        <w:ind w:left="1434" w:hanging="357"/>
      </w:pPr>
      <w:r w:rsidRPr="00D15882">
        <w:t>No observable difference for cataract;</w:t>
      </w:r>
    </w:p>
    <w:p w:rsidR="00C1342C" w:rsidRPr="00D15882" w:rsidRDefault="00C1342C" w:rsidP="00C1342C">
      <w:pPr>
        <w:widowControl/>
        <w:ind w:left="1434"/>
      </w:pPr>
    </w:p>
    <w:p w:rsidR="005821AF" w:rsidRPr="00D15882" w:rsidRDefault="005821AF" w:rsidP="00361734">
      <w:pPr>
        <w:widowControl/>
        <w:numPr>
          <w:ilvl w:val="1"/>
          <w:numId w:val="1"/>
        </w:numPr>
        <w:spacing w:after="160"/>
      </w:pPr>
      <w:r w:rsidRPr="00D15882">
        <w:t>Based on the direct evidence presented in the submission for the COMRADE-C trial</w:t>
      </w:r>
      <w:r w:rsidR="006864F6">
        <w:t xml:space="preserve"> (assessing single dexamethasone injection in CRVO patients)</w:t>
      </w:r>
      <w:r w:rsidRPr="00D15882">
        <w:t>:</w:t>
      </w:r>
    </w:p>
    <w:p w:rsidR="005821AF" w:rsidRPr="00D15882" w:rsidRDefault="005821AF" w:rsidP="00361734">
      <w:pPr>
        <w:widowControl/>
        <w:numPr>
          <w:ilvl w:val="0"/>
          <w:numId w:val="9"/>
        </w:numPr>
        <w:spacing w:after="120"/>
      </w:pPr>
      <w:r w:rsidRPr="00D15882">
        <w:t xml:space="preserve">Patients treated </w:t>
      </w:r>
      <w:r w:rsidRPr="00C721DE">
        <w:t xml:space="preserve">with </w:t>
      </w:r>
      <w:r w:rsidR="00136BCD" w:rsidRPr="00C721DE">
        <w:t>a single</w:t>
      </w:r>
      <w:r w:rsidR="00136BCD">
        <w:t xml:space="preserve"> </w:t>
      </w:r>
      <w:r w:rsidRPr="00D15882">
        <w:t xml:space="preserve">dexamethasone implant would have a smaller improvement in visual acuity compared with </w:t>
      </w:r>
      <w:r w:rsidR="00F61D55" w:rsidRPr="00D15882">
        <w:t xml:space="preserve">patients treated </w:t>
      </w:r>
      <w:r w:rsidR="00F61D55" w:rsidRPr="00C721DE">
        <w:t xml:space="preserve">with </w:t>
      </w:r>
      <w:r w:rsidR="00D52034" w:rsidRPr="00C721DE">
        <w:t>monthly administrations of</w:t>
      </w:r>
      <w:r w:rsidR="00D52034" w:rsidRPr="00D52034">
        <w:t xml:space="preserve"> </w:t>
      </w:r>
      <w:r w:rsidRPr="00D15882">
        <w:t xml:space="preserve">ranibizumab, with the average patient having 9.0 </w:t>
      </w:r>
      <w:r w:rsidR="002D1233" w:rsidRPr="00D15882">
        <w:t>fewer letters</w:t>
      </w:r>
      <w:r w:rsidRPr="00D15882">
        <w:t xml:space="preserve"> at 3 months and 18.0 </w:t>
      </w:r>
      <w:r w:rsidR="002D1233" w:rsidRPr="00D15882">
        <w:t>fewer letters</w:t>
      </w:r>
      <w:r w:rsidRPr="00D15882">
        <w:t xml:space="preserve"> at 6 months.</w:t>
      </w:r>
    </w:p>
    <w:p w:rsidR="005821AF" w:rsidRPr="00D15882" w:rsidRDefault="005821AF" w:rsidP="00361734">
      <w:pPr>
        <w:widowControl/>
        <w:numPr>
          <w:ilvl w:val="0"/>
          <w:numId w:val="8"/>
        </w:numPr>
        <w:spacing w:after="120"/>
      </w:pPr>
      <w:r w:rsidRPr="00D15882">
        <w:t>For every 100 patients treated with dexamethasone implant compared with ranibizumab over 6 months:</w:t>
      </w:r>
    </w:p>
    <w:p w:rsidR="005821AF" w:rsidRPr="00D15882" w:rsidRDefault="005821AF" w:rsidP="00C1342C">
      <w:pPr>
        <w:widowControl/>
        <w:numPr>
          <w:ilvl w:val="1"/>
          <w:numId w:val="7"/>
        </w:numPr>
        <w:ind w:left="1434" w:hanging="357"/>
      </w:pPr>
      <w:r w:rsidRPr="00D15882">
        <w:t xml:space="preserve">There would be approximately 40 </w:t>
      </w:r>
      <w:r w:rsidR="002D1233" w:rsidRPr="00D15882">
        <w:t>fewer</w:t>
      </w:r>
      <w:r w:rsidRPr="00D15882">
        <w:t xml:space="preserve"> patients who achieve an improvement of 15 letters </w:t>
      </w:r>
      <w:r w:rsidR="00624AED" w:rsidRPr="00D15882">
        <w:t xml:space="preserve">or more </w:t>
      </w:r>
      <w:r w:rsidRPr="00D15882">
        <w:t>on a standard eye chart;</w:t>
      </w:r>
    </w:p>
    <w:p w:rsidR="005821AF" w:rsidRPr="00D15882" w:rsidRDefault="005821AF" w:rsidP="00C1342C">
      <w:pPr>
        <w:widowControl/>
        <w:numPr>
          <w:ilvl w:val="1"/>
          <w:numId w:val="7"/>
        </w:numPr>
        <w:ind w:left="1434" w:hanging="357"/>
      </w:pPr>
      <w:r w:rsidRPr="00D15882">
        <w:t xml:space="preserve">There would be approximately 25 additional patients who lose 15 letters </w:t>
      </w:r>
      <w:r w:rsidR="00624AED" w:rsidRPr="00D15882">
        <w:t xml:space="preserve">or more </w:t>
      </w:r>
      <w:r w:rsidRPr="00D15882">
        <w:t>on a standard eye chart.</w:t>
      </w:r>
    </w:p>
    <w:p w:rsidR="005821AF" w:rsidRPr="00D15882" w:rsidRDefault="005821AF" w:rsidP="00361734">
      <w:pPr>
        <w:widowControl/>
        <w:numPr>
          <w:ilvl w:val="0"/>
          <w:numId w:val="8"/>
        </w:numPr>
        <w:spacing w:after="120"/>
      </w:pPr>
      <w:r w:rsidRPr="00D15882">
        <w:t>For every 100 patients treated with dexamethasone implant compared to ranibizumab, there would be over a period of 6 months:</w:t>
      </w:r>
    </w:p>
    <w:p w:rsidR="005821AF" w:rsidRPr="00D15882" w:rsidRDefault="005821AF" w:rsidP="00C1342C">
      <w:pPr>
        <w:widowControl/>
        <w:numPr>
          <w:ilvl w:val="1"/>
          <w:numId w:val="7"/>
        </w:numPr>
        <w:ind w:left="1434" w:hanging="357"/>
      </w:pPr>
      <w:r w:rsidRPr="00D15882">
        <w:t>Approximately 26 additional patients with increased intraocular pressure;</w:t>
      </w:r>
    </w:p>
    <w:p w:rsidR="005821AF" w:rsidRPr="00D15882" w:rsidRDefault="005821AF" w:rsidP="00C1342C">
      <w:pPr>
        <w:widowControl/>
        <w:numPr>
          <w:ilvl w:val="1"/>
          <w:numId w:val="7"/>
        </w:numPr>
        <w:ind w:left="1434" w:hanging="357"/>
      </w:pPr>
      <w:r w:rsidRPr="00D15882">
        <w:t xml:space="preserve">Approximately 2 </w:t>
      </w:r>
      <w:r w:rsidR="002D1233" w:rsidRPr="00D15882">
        <w:t>fewer</w:t>
      </w:r>
      <w:r w:rsidRPr="00D15882">
        <w:t xml:space="preserve"> patients with conjunctival haemorrhage;</w:t>
      </w:r>
    </w:p>
    <w:p w:rsidR="005821AF" w:rsidRDefault="005821AF" w:rsidP="00C1342C">
      <w:pPr>
        <w:widowControl/>
        <w:numPr>
          <w:ilvl w:val="1"/>
          <w:numId w:val="7"/>
        </w:numPr>
        <w:ind w:left="1434" w:hanging="357"/>
      </w:pPr>
      <w:r w:rsidRPr="00D15882">
        <w:t>Approximately 5 additional patients with ocular hypertension.</w:t>
      </w:r>
    </w:p>
    <w:p w:rsidR="00C1342C" w:rsidRPr="00D15882" w:rsidRDefault="00C1342C" w:rsidP="00C1342C">
      <w:pPr>
        <w:widowControl/>
        <w:ind w:left="1434"/>
      </w:pPr>
    </w:p>
    <w:p w:rsidR="00B60939" w:rsidRPr="008472ED" w:rsidRDefault="00B60939" w:rsidP="00B10AE9">
      <w:pPr>
        <w:pStyle w:val="Heading2"/>
      </w:pPr>
      <w:bookmarkStart w:id="11" w:name="_Toc503967478"/>
      <w:r w:rsidRPr="008472ED">
        <w:t>Clinical claim</w:t>
      </w:r>
      <w:bookmarkEnd w:id="11"/>
    </w:p>
    <w:p w:rsidR="00412AB1" w:rsidRPr="00014E52" w:rsidRDefault="00412AB1" w:rsidP="00361734">
      <w:pPr>
        <w:pStyle w:val="ListParagraph"/>
        <w:widowControl/>
        <w:numPr>
          <w:ilvl w:val="1"/>
          <w:numId w:val="1"/>
        </w:numPr>
      </w:pPr>
      <w:r w:rsidRPr="00014E52">
        <w:t>The submission described dexamethasone implant as superior in terms of effectiveness compared with placebo (sham), and inferior in terms of safety</w:t>
      </w:r>
      <w:r w:rsidRPr="00C721DE">
        <w:t>. The</w:t>
      </w:r>
      <w:r w:rsidR="00231688" w:rsidRPr="00C721DE">
        <w:t xml:space="preserve"> ESC considered t</w:t>
      </w:r>
      <w:r w:rsidR="002D540B" w:rsidRPr="00C721DE">
        <w:t>hat t</w:t>
      </w:r>
      <w:r w:rsidR="00231688" w:rsidRPr="00C721DE">
        <w:t>hese</w:t>
      </w:r>
      <w:r w:rsidRPr="00C721DE">
        <w:t xml:space="preserve"> claims </w:t>
      </w:r>
      <w:r w:rsidR="00231688" w:rsidRPr="00C721DE">
        <w:t>we</w:t>
      </w:r>
      <w:r w:rsidRPr="00C721DE">
        <w:t>re reasonable</w:t>
      </w:r>
      <w:r w:rsidR="002506DE" w:rsidRPr="00C721DE">
        <w:t xml:space="preserve">, although </w:t>
      </w:r>
      <w:r w:rsidR="00231688" w:rsidRPr="00C721DE">
        <w:t xml:space="preserve">the benefits were modest and the </w:t>
      </w:r>
      <w:r w:rsidR="002506DE" w:rsidRPr="00014E52">
        <w:t xml:space="preserve">duration of </w:t>
      </w:r>
      <w:r w:rsidR="00E6326C">
        <w:t>therapy</w:t>
      </w:r>
      <w:r w:rsidR="002506DE" w:rsidRPr="00014E52">
        <w:t xml:space="preserve"> need</w:t>
      </w:r>
      <w:r w:rsidR="002D540B">
        <w:t>ed</w:t>
      </w:r>
      <w:r w:rsidR="002506DE" w:rsidRPr="00014E52">
        <w:t xml:space="preserve"> to be considered. Dexamethasone implant was superior in terms of efficacy to placebo at 2 and 3 months after admin</w:t>
      </w:r>
      <w:r w:rsidR="00D15882" w:rsidRPr="00014E52">
        <w:t>istration, but not at 6 months.</w:t>
      </w:r>
      <w:r w:rsidR="00E6326C">
        <w:t xml:space="preserve"> The PBAC agreed with the ESC advice.</w:t>
      </w:r>
    </w:p>
    <w:p w:rsidR="00412AB1" w:rsidRPr="00014E52" w:rsidRDefault="00412AB1" w:rsidP="00361734">
      <w:pPr>
        <w:pStyle w:val="ListParagraph"/>
        <w:widowControl/>
        <w:numPr>
          <w:ilvl w:val="1"/>
          <w:numId w:val="1"/>
        </w:numPr>
      </w:pPr>
      <w:r w:rsidRPr="00014E52">
        <w:t>The submission described dexamethasone implant as inferior in terms of effectiveness compared with ranibizumab, and inferior in terms of safety</w:t>
      </w:r>
      <w:r w:rsidRPr="00C721DE">
        <w:t xml:space="preserve">. </w:t>
      </w:r>
      <w:r w:rsidR="00D15882" w:rsidRPr="00C721DE">
        <w:t>The</w:t>
      </w:r>
      <w:r w:rsidR="00231688" w:rsidRPr="00C721DE">
        <w:t xml:space="preserve"> ESC considered</w:t>
      </w:r>
      <w:r w:rsidR="00231688" w:rsidRPr="00231688">
        <w:rPr>
          <w:i/>
        </w:rPr>
        <w:t xml:space="preserve"> </w:t>
      </w:r>
      <w:r w:rsidR="002D540B" w:rsidRPr="002D540B">
        <w:t xml:space="preserve">that </w:t>
      </w:r>
      <w:r w:rsidR="00231688" w:rsidRPr="002D540B">
        <w:t>the</w:t>
      </w:r>
      <w:r w:rsidR="00D15882" w:rsidRPr="002D540B">
        <w:t xml:space="preserve">se </w:t>
      </w:r>
      <w:r w:rsidR="00D15882" w:rsidRPr="00014E52">
        <w:t xml:space="preserve">claims </w:t>
      </w:r>
      <w:r w:rsidR="00231688">
        <w:t>we</w:t>
      </w:r>
      <w:r w:rsidR="00D15882" w:rsidRPr="00014E52">
        <w:t>re reasonable.</w:t>
      </w:r>
      <w:r w:rsidR="00E6326C">
        <w:t xml:space="preserve"> The PBAC agreed with the ESC advice.</w:t>
      </w:r>
    </w:p>
    <w:p w:rsidR="00E6326C" w:rsidRPr="00014E52" w:rsidRDefault="00231688" w:rsidP="00361734">
      <w:pPr>
        <w:pStyle w:val="ListParagraph"/>
        <w:widowControl/>
        <w:numPr>
          <w:ilvl w:val="1"/>
          <w:numId w:val="1"/>
        </w:numPr>
      </w:pPr>
      <w:r w:rsidRPr="00C721DE">
        <w:t xml:space="preserve">The ESC considered </w:t>
      </w:r>
      <w:r w:rsidR="002D540B" w:rsidRPr="00C721DE">
        <w:t xml:space="preserve">that </w:t>
      </w:r>
      <w:r w:rsidRPr="00C721DE">
        <w:t>t</w:t>
      </w:r>
      <w:r w:rsidR="00412AB1" w:rsidRPr="00C721DE">
        <w:t xml:space="preserve">he use of dexamethasone implant as an alternative to VEGF inhibitors </w:t>
      </w:r>
      <w:r w:rsidRPr="00C721DE">
        <w:t xml:space="preserve">was not adequately justified and </w:t>
      </w:r>
      <w:r w:rsidR="00412AB1" w:rsidRPr="00014E52">
        <w:t>should be considered in the context of the potential risks associated with dexamethasone implant, including the requirement of monitoring for and management of elevated intraocular pressure, and the inferior treatment effect in terms of visual acuity</w:t>
      </w:r>
      <w:r w:rsidR="00D15882" w:rsidRPr="00014E52">
        <w:t xml:space="preserve"> compared with VEGF inhibitors.</w:t>
      </w:r>
      <w:r w:rsidR="00E6326C">
        <w:t xml:space="preserve"> The PBAC agreed with the ESC advice.</w:t>
      </w:r>
    </w:p>
    <w:p w:rsidR="00B60939" w:rsidRPr="008472ED" w:rsidRDefault="00B60939" w:rsidP="00B10AE9">
      <w:pPr>
        <w:pStyle w:val="Heading2"/>
      </w:pPr>
      <w:bookmarkStart w:id="12" w:name="_Toc503967479"/>
      <w:r w:rsidRPr="008472ED">
        <w:t>Economic analysis</w:t>
      </w:r>
      <w:bookmarkEnd w:id="12"/>
    </w:p>
    <w:p w:rsidR="00A27D1C" w:rsidRPr="00A27D1C" w:rsidRDefault="00A27D1C" w:rsidP="00361734">
      <w:pPr>
        <w:pStyle w:val="ListParagraph"/>
        <w:numPr>
          <w:ilvl w:val="1"/>
          <w:numId w:val="1"/>
        </w:numPr>
      </w:pPr>
      <w:r w:rsidRPr="00014E52">
        <w:t xml:space="preserve">Based on the pragmatic approach adopted </w:t>
      </w:r>
      <w:r>
        <w:t xml:space="preserve">by the PBAC </w:t>
      </w:r>
      <w:r w:rsidRPr="00014E52">
        <w:t>for the dexamethasone DMO submission, the</w:t>
      </w:r>
      <w:r w:rsidRPr="00A27D1C">
        <w:t xml:space="preserve"> submission requested that </w:t>
      </w:r>
      <w:r w:rsidRPr="00014E52">
        <w:t>PBAC consider whether the lower cost of dexamethasone versus comparators represents a sufficient discount to account for the worse efficacy and safety of dexamethasone implants compared to VEGF inhibitors in RVO patients</w:t>
      </w:r>
      <w:r w:rsidRPr="00101A25">
        <w:rPr>
          <w:i/>
        </w:rPr>
        <w:t>.</w:t>
      </w:r>
      <w:r>
        <w:rPr>
          <w:i/>
        </w:rPr>
        <w:t xml:space="preserve"> </w:t>
      </w:r>
      <w:r w:rsidRPr="00C721DE">
        <w:t xml:space="preserve">As stated above, the ESC did not consider </w:t>
      </w:r>
      <w:r w:rsidR="001F3FA9" w:rsidRPr="00C721DE">
        <w:t xml:space="preserve">that </w:t>
      </w:r>
      <w:r w:rsidRPr="00C721DE">
        <w:t>the residual unmet clinical need in RVO was analogous with that in DMO, based on the likely difference</w:t>
      </w:r>
      <w:r w:rsidR="00666773">
        <w:t>s</w:t>
      </w:r>
      <w:r w:rsidRPr="00C721DE">
        <w:t xml:space="preserve"> in frequency </w:t>
      </w:r>
      <w:r w:rsidR="00666773">
        <w:t xml:space="preserve">of administrations </w:t>
      </w:r>
      <w:r w:rsidRPr="00C721DE">
        <w:t>and duration of therapy, and therefore considered that this previous pragmatic approach did not necessarily apply for RVO.</w:t>
      </w:r>
    </w:p>
    <w:p w:rsidR="00D027C4" w:rsidRPr="00014E52" w:rsidRDefault="00D027C4" w:rsidP="00361734">
      <w:pPr>
        <w:pStyle w:val="ListParagraph"/>
        <w:numPr>
          <w:ilvl w:val="1"/>
          <w:numId w:val="1"/>
        </w:numPr>
      </w:pPr>
      <w:r w:rsidRPr="00014E52">
        <w:t>The submission only presented a</w:t>
      </w:r>
      <w:r w:rsidRPr="00C721DE">
        <w:t xml:space="preserve"> </w:t>
      </w:r>
      <w:r w:rsidR="005B276F" w:rsidRPr="00C721DE">
        <w:t xml:space="preserve">limited </w:t>
      </w:r>
      <w:r w:rsidRPr="00C721DE">
        <w:t>economic analysis for dexamethasone compared with VEGF inhibitors, relevant for the population who could use a VEGF inhibitor</w:t>
      </w:r>
      <w:r w:rsidR="00A27D1C" w:rsidRPr="00C721DE">
        <w:t>,</w:t>
      </w:r>
      <w:r w:rsidRPr="00C721DE">
        <w:t xml:space="preserve"> but </w:t>
      </w:r>
      <w:r w:rsidR="00A27D1C" w:rsidRPr="00C721DE">
        <w:t>for</w:t>
      </w:r>
      <w:r w:rsidRPr="00C721DE">
        <w:t xml:space="preserve"> whom such treatment is not preferred or unsuitable. No economic analysis was presented for the comparison of dexamethasone implant versus no active treatment in patients in whom VEGF inhibitors are contraindicated or have failed or are otherwise unsuitable. The cost effectiveness of dexamethasone compared to no active treatment in </w:t>
      </w:r>
      <w:r w:rsidR="005B268D" w:rsidRPr="00C721DE">
        <w:t>RVO</w:t>
      </w:r>
      <w:r w:rsidRPr="00C721DE">
        <w:t xml:space="preserve"> is unknown.</w:t>
      </w:r>
      <w:r w:rsidR="009C696C" w:rsidRPr="00C721DE">
        <w:t xml:space="preserve"> </w:t>
      </w:r>
      <w:r w:rsidR="00AF4373" w:rsidRPr="00C721DE">
        <w:t xml:space="preserve">The ESC noted the PSCR (p3) argued that the vision gain with </w:t>
      </w:r>
      <w:r w:rsidR="00D42121" w:rsidRPr="00C721DE">
        <w:t>dexamethasone</w:t>
      </w:r>
      <w:r w:rsidR="00AF4373" w:rsidRPr="00C721DE">
        <w:t xml:space="preserve"> in </w:t>
      </w:r>
      <w:r w:rsidR="00A27D1C" w:rsidRPr="00C721DE">
        <w:t xml:space="preserve">patients with </w:t>
      </w:r>
      <w:r w:rsidR="00AF4373" w:rsidRPr="00C721DE">
        <w:t xml:space="preserve">RVO is similar to that </w:t>
      </w:r>
      <w:r w:rsidR="00A27D1C" w:rsidRPr="00C721DE">
        <w:t xml:space="preserve">in </w:t>
      </w:r>
      <w:r w:rsidR="00AF4373" w:rsidRPr="00C721DE">
        <w:t>patients with DMO</w:t>
      </w:r>
      <w:r w:rsidR="005B268D" w:rsidRPr="00C721DE">
        <w:t xml:space="preserve"> </w:t>
      </w:r>
      <w:r w:rsidR="00A27D1C" w:rsidRPr="00C721DE">
        <w:t xml:space="preserve">and pseudophakia, </w:t>
      </w:r>
      <w:r w:rsidR="005B268D" w:rsidRPr="00C721DE">
        <w:t xml:space="preserve">and therefore the cost-effectiveness will be no worse in RVO than in DMO. The ESC considered </w:t>
      </w:r>
      <w:r w:rsidR="00A27D1C" w:rsidRPr="00C721DE">
        <w:t xml:space="preserve">that </w:t>
      </w:r>
      <w:r w:rsidR="005B268D" w:rsidRPr="00C721DE">
        <w:t>this d</w:t>
      </w:r>
      <w:r w:rsidR="00A27D1C" w:rsidRPr="00C721DE">
        <w:t>id</w:t>
      </w:r>
      <w:r w:rsidR="005B268D" w:rsidRPr="00C721DE">
        <w:t xml:space="preserve"> not account for the differences in frequency </w:t>
      </w:r>
      <w:r w:rsidR="00666773">
        <w:t xml:space="preserve">of administrations </w:t>
      </w:r>
      <w:r w:rsidR="005B268D" w:rsidRPr="00C721DE">
        <w:t xml:space="preserve">and duration </w:t>
      </w:r>
      <w:r w:rsidR="00666773">
        <w:t xml:space="preserve">of therapy </w:t>
      </w:r>
      <w:r w:rsidR="005B268D" w:rsidRPr="00C721DE">
        <w:t>across DMO and RVO</w:t>
      </w:r>
      <w:r w:rsidR="00D06071">
        <w:t>,</w:t>
      </w:r>
      <w:r w:rsidR="005B268D" w:rsidRPr="00C721DE">
        <w:t xml:space="preserve"> and that the cost-effectiveness of dexamethasone compared to no active treatment in RVO remain</w:t>
      </w:r>
      <w:r w:rsidR="00A27D1C" w:rsidRPr="00C721DE">
        <w:t>ed</w:t>
      </w:r>
      <w:r w:rsidR="005B268D" w:rsidRPr="00C721DE">
        <w:t xml:space="preserve"> unknown</w:t>
      </w:r>
      <w:r w:rsidR="00A27D1C" w:rsidRPr="00C721DE">
        <w:t>.</w:t>
      </w:r>
    </w:p>
    <w:p w:rsidR="00AF565C" w:rsidRPr="00014E52" w:rsidRDefault="00AF565C" w:rsidP="00361734">
      <w:pPr>
        <w:pStyle w:val="ListParagraph"/>
        <w:widowControl/>
        <w:numPr>
          <w:ilvl w:val="1"/>
          <w:numId w:val="1"/>
        </w:numPr>
      </w:pPr>
      <w:r w:rsidRPr="00014E52">
        <w:rPr>
          <w:rFonts w:cs="Calibri"/>
          <w:snapToGrid/>
          <w:szCs w:val="24"/>
          <w:lang w:val="en-US" w:eastAsia="en-AU"/>
        </w:rPr>
        <w:t xml:space="preserve">The submission presented a </w:t>
      </w:r>
      <w:r w:rsidR="004A10B5" w:rsidRPr="00014E52">
        <w:rPr>
          <w:rFonts w:cs="Calibri"/>
          <w:snapToGrid/>
          <w:szCs w:val="24"/>
          <w:lang w:val="en-US" w:eastAsia="en-AU"/>
        </w:rPr>
        <w:t xml:space="preserve">simple </w:t>
      </w:r>
      <w:r w:rsidR="00D8656E" w:rsidRPr="00014E52">
        <w:rPr>
          <w:rFonts w:cs="Calibri"/>
          <w:snapToGrid/>
          <w:szCs w:val="24"/>
          <w:lang w:val="en-US" w:eastAsia="en-AU"/>
        </w:rPr>
        <w:t xml:space="preserve">per patient </w:t>
      </w:r>
      <w:r w:rsidRPr="00014E52">
        <w:rPr>
          <w:rFonts w:cs="Calibri"/>
          <w:snapToGrid/>
          <w:szCs w:val="24"/>
          <w:lang w:val="en-US" w:eastAsia="en-AU"/>
        </w:rPr>
        <w:t>cost analysis comparing dexamethasone implant with ranibizumab as a proxy for VEGF inhibitors over 3, 6, 12, and 36 months. The analysis did not link the reduced costs of using dexamethasone implant to a reduced set of clinical outcomes versus ranibizumab</w:t>
      </w:r>
      <w:r w:rsidR="005B276F">
        <w:rPr>
          <w:rFonts w:cs="Calibri"/>
          <w:snapToGrid/>
          <w:szCs w:val="24"/>
          <w:lang w:val="en-US" w:eastAsia="en-AU"/>
        </w:rPr>
        <w:t xml:space="preserve"> </w:t>
      </w:r>
      <w:r w:rsidR="005B276F" w:rsidRPr="00C721DE">
        <w:rPr>
          <w:rFonts w:cs="Calibri"/>
          <w:snapToGrid/>
          <w:szCs w:val="24"/>
          <w:lang w:val="en-US" w:eastAsia="en-AU"/>
        </w:rPr>
        <w:t>(i.e. cost savings per unit of benefit foregone)</w:t>
      </w:r>
      <w:r w:rsidRPr="00C721DE">
        <w:rPr>
          <w:rFonts w:cs="Calibri"/>
          <w:snapToGrid/>
          <w:szCs w:val="24"/>
          <w:lang w:val="en-US" w:eastAsia="en-AU"/>
        </w:rPr>
        <w:t xml:space="preserve">. Thus the cost effectiveness of dexamethasone implant compared with VEGF inhibitors in </w:t>
      </w:r>
      <w:r w:rsidR="00A27D1C" w:rsidRPr="00C721DE">
        <w:rPr>
          <w:rFonts w:cs="Calibri"/>
          <w:snapToGrid/>
          <w:szCs w:val="24"/>
          <w:lang w:val="en-US" w:eastAsia="en-AU"/>
        </w:rPr>
        <w:t>RVO</w:t>
      </w:r>
      <w:r w:rsidRPr="00C721DE">
        <w:rPr>
          <w:rFonts w:cs="Calibri"/>
          <w:snapToGrid/>
          <w:szCs w:val="24"/>
          <w:lang w:val="en-US" w:eastAsia="en-AU"/>
        </w:rPr>
        <w:t xml:space="preserve"> is unknown.</w:t>
      </w:r>
    </w:p>
    <w:p w:rsidR="004A10B5" w:rsidRPr="00014E52" w:rsidRDefault="004A10B5" w:rsidP="00361734">
      <w:pPr>
        <w:pStyle w:val="ListParagraph"/>
        <w:widowControl/>
        <w:numPr>
          <w:ilvl w:val="1"/>
          <w:numId w:val="1"/>
        </w:numPr>
      </w:pPr>
      <w:r w:rsidRPr="00014E52">
        <w:rPr>
          <w:rFonts w:cs="Calibri"/>
          <w:snapToGrid/>
          <w:szCs w:val="24"/>
          <w:lang w:val="en-US" w:eastAsia="en-AU"/>
        </w:rPr>
        <w:t xml:space="preserve">The submission justified this approach by stating that it aligned with the approach used for </w:t>
      </w:r>
      <w:r w:rsidR="00BC4337">
        <w:rPr>
          <w:rFonts w:cs="Calibri"/>
          <w:snapToGrid/>
          <w:szCs w:val="24"/>
          <w:lang w:val="en-US" w:eastAsia="en-AU"/>
        </w:rPr>
        <w:t>DMO</w:t>
      </w:r>
      <w:r w:rsidRPr="00014E52">
        <w:rPr>
          <w:rFonts w:cs="Calibri"/>
          <w:snapToGrid/>
          <w:szCs w:val="24"/>
          <w:lang w:val="en-US" w:eastAsia="en-AU"/>
        </w:rPr>
        <w:t xml:space="preserve"> (dexamethasone implant PSD, March 2016).</w:t>
      </w:r>
    </w:p>
    <w:p w:rsidR="004A10B5" w:rsidRPr="00014E52" w:rsidRDefault="004A10B5" w:rsidP="00361734">
      <w:pPr>
        <w:pStyle w:val="ListParagraph"/>
        <w:widowControl/>
        <w:numPr>
          <w:ilvl w:val="1"/>
          <w:numId w:val="1"/>
        </w:numPr>
        <w:rPr>
          <w:rFonts w:cs="Calibri"/>
          <w:snapToGrid/>
          <w:szCs w:val="24"/>
          <w:lang w:val="en-US" w:eastAsia="en-AU"/>
        </w:rPr>
      </w:pPr>
      <w:r w:rsidRPr="00014E52">
        <w:rPr>
          <w:rFonts w:cs="Calibri"/>
          <w:snapToGrid/>
          <w:szCs w:val="24"/>
          <w:lang w:val="en-US" w:eastAsia="en-AU"/>
        </w:rPr>
        <w:t xml:space="preserve">The effective price of ranibizumab was unknown to the </w:t>
      </w:r>
      <w:r w:rsidR="002D1233" w:rsidRPr="00014E52">
        <w:rPr>
          <w:rFonts w:cs="Calibri"/>
          <w:snapToGrid/>
          <w:szCs w:val="24"/>
          <w:lang w:val="en-US" w:eastAsia="en-AU"/>
        </w:rPr>
        <w:t>sponsor, and was therefore estimated for the purposes of the cost analysis.</w:t>
      </w:r>
    </w:p>
    <w:p w:rsidR="004A10B5" w:rsidRPr="00014E52" w:rsidRDefault="004A10B5" w:rsidP="00361734">
      <w:pPr>
        <w:pStyle w:val="ListParagraph"/>
        <w:widowControl/>
        <w:numPr>
          <w:ilvl w:val="1"/>
          <w:numId w:val="1"/>
        </w:numPr>
        <w:rPr>
          <w:rFonts w:cs="Calibri"/>
          <w:snapToGrid/>
          <w:szCs w:val="24"/>
          <w:lang w:val="en-US" w:eastAsia="en-AU"/>
        </w:rPr>
      </w:pPr>
      <w:r w:rsidRPr="00014E52">
        <w:rPr>
          <w:rFonts w:cs="Calibri"/>
          <w:snapToGrid/>
          <w:szCs w:val="24"/>
          <w:lang w:val="en-US" w:eastAsia="en-AU"/>
        </w:rPr>
        <w:t xml:space="preserve">The cost analysis included costs associated with the monitoring and treatment of increased intraocular pressure associated with drug treatment. These costs </w:t>
      </w:r>
      <w:r w:rsidR="00D8656E" w:rsidRPr="00014E52">
        <w:rPr>
          <w:rFonts w:cs="Calibri"/>
          <w:snapToGrid/>
          <w:szCs w:val="24"/>
          <w:lang w:val="en-US" w:eastAsia="en-AU"/>
        </w:rPr>
        <w:t>we</w:t>
      </w:r>
      <w:r w:rsidRPr="00014E52">
        <w:rPr>
          <w:rFonts w:cs="Calibri"/>
          <w:snapToGrid/>
          <w:szCs w:val="24"/>
          <w:lang w:val="en-US" w:eastAsia="en-AU"/>
        </w:rPr>
        <w:t>re small and d</w:t>
      </w:r>
      <w:r w:rsidR="00D8656E" w:rsidRPr="00014E52">
        <w:rPr>
          <w:rFonts w:cs="Calibri"/>
          <w:snapToGrid/>
          <w:szCs w:val="24"/>
          <w:lang w:val="en-US" w:eastAsia="en-AU"/>
        </w:rPr>
        <w:t>id</w:t>
      </w:r>
      <w:r w:rsidRPr="00014E52">
        <w:rPr>
          <w:rFonts w:cs="Calibri"/>
          <w:snapToGrid/>
          <w:szCs w:val="24"/>
          <w:lang w:val="en-US" w:eastAsia="en-AU"/>
        </w:rPr>
        <w:t xml:space="preserve"> not have a large impact on the cost analysis. It is unclear how regularly monitoring for increases in intraocular pressure would occur in practice. These may have been underestimated in the submission (1 visit in the first 6 months, 2.5 visits in the first 12 months, and 6.5 total visits over 3 years). The increasing proportion of patients likely to experience increases in intraocular pressure with subsequent dexamethasone implants, noted in the GENEVA-extension study</w:t>
      </w:r>
      <w:r w:rsidR="00306A4D" w:rsidRPr="00014E52">
        <w:rPr>
          <w:rFonts w:cs="Calibri"/>
          <w:snapToGrid/>
          <w:szCs w:val="24"/>
          <w:lang w:val="en-US" w:eastAsia="en-AU"/>
        </w:rPr>
        <w:t>,</w:t>
      </w:r>
      <w:r w:rsidRPr="00014E52">
        <w:rPr>
          <w:rFonts w:cs="Calibri"/>
          <w:snapToGrid/>
          <w:szCs w:val="24"/>
          <w:lang w:val="en-US" w:eastAsia="en-AU"/>
        </w:rPr>
        <w:t xml:space="preserve"> was not taken into account. Other adverse events known to be associated with dexamethasone implant, particularly over increasing periods of time such as glaucoma and cataract, were not considered in the cost analysis.</w:t>
      </w:r>
    </w:p>
    <w:p w:rsidR="00E1250F" w:rsidRPr="00014E52" w:rsidRDefault="00E1250F" w:rsidP="00361734">
      <w:pPr>
        <w:pStyle w:val="ListParagraph"/>
        <w:widowControl/>
        <w:numPr>
          <w:ilvl w:val="1"/>
          <w:numId w:val="1"/>
        </w:numPr>
      </w:pPr>
      <w:r w:rsidRPr="00014E52">
        <w:rPr>
          <w:rFonts w:cs="Calibri"/>
          <w:snapToGrid/>
          <w:szCs w:val="24"/>
          <w:lang w:val="en-US" w:eastAsia="en-AU"/>
        </w:rPr>
        <w:t>The submission claimed that injection frequencies at 3 and 6 months were based on the COMRADE and COMO trials. The 3 month estimates were consistent with product information documents for initial dosing</w:t>
      </w:r>
      <w:r w:rsidR="00D15882" w:rsidRPr="00014E52">
        <w:rPr>
          <w:rFonts w:cs="Calibri"/>
          <w:snapToGrid/>
          <w:szCs w:val="24"/>
          <w:lang w:val="en-US" w:eastAsia="en-AU"/>
        </w:rPr>
        <w:t>,</w:t>
      </w:r>
      <w:r w:rsidRPr="00014E52">
        <w:rPr>
          <w:rFonts w:cs="Calibri"/>
          <w:snapToGrid/>
          <w:szCs w:val="24"/>
          <w:lang w:val="en-US" w:eastAsia="en-AU"/>
        </w:rPr>
        <w:t xml:space="preserve"> but were insufficient to adequately capture more flexible dosing intervals for retreatments. However, 6 month injection frequencies do not appear to be consistent with either COMO (1.9 dexamethasone injections to 5.9 ranibizumab injections) or COMRADE trials (1:4.7 in COMRADE B; 1:4.5 in COMRADE C).</w:t>
      </w:r>
    </w:p>
    <w:p w:rsidR="00E1250F" w:rsidRPr="00E1250F" w:rsidRDefault="00E1250F" w:rsidP="00361734">
      <w:pPr>
        <w:pStyle w:val="ListParagraph"/>
        <w:widowControl/>
        <w:numPr>
          <w:ilvl w:val="1"/>
          <w:numId w:val="1"/>
        </w:numPr>
      </w:pPr>
      <w:r>
        <w:rPr>
          <w:rFonts w:cs="Calibri"/>
          <w:snapToGrid/>
          <w:szCs w:val="24"/>
          <w:lang w:val="en-US" w:eastAsia="en-AU"/>
        </w:rPr>
        <w:t>A</w:t>
      </w:r>
      <w:r w:rsidR="00780E44">
        <w:rPr>
          <w:rFonts w:cs="Calibri"/>
          <w:snapToGrid/>
          <w:szCs w:val="24"/>
          <w:lang w:val="en-US" w:eastAsia="en-AU"/>
        </w:rPr>
        <w:t xml:space="preserve">t 12 months, the estimates </w:t>
      </w:r>
      <w:r w:rsidR="00D8656E">
        <w:rPr>
          <w:rFonts w:cs="Calibri"/>
          <w:snapToGrid/>
          <w:szCs w:val="24"/>
          <w:lang w:val="en-US" w:eastAsia="en-AU"/>
        </w:rPr>
        <w:t>we</w:t>
      </w:r>
      <w:r w:rsidR="00780E44">
        <w:rPr>
          <w:rFonts w:cs="Calibri"/>
          <w:snapToGrid/>
          <w:szCs w:val="24"/>
          <w:lang w:val="en-US" w:eastAsia="en-AU"/>
        </w:rPr>
        <w:t xml:space="preserve">re based on </w:t>
      </w:r>
      <w:r w:rsidR="004A10B5" w:rsidRPr="00020EC3">
        <w:rPr>
          <w:rFonts w:cs="Calibri"/>
          <w:snapToGrid/>
          <w:szCs w:val="24"/>
          <w:lang w:val="en-US" w:eastAsia="en-AU"/>
        </w:rPr>
        <w:t xml:space="preserve">the COMO </w:t>
      </w:r>
      <w:r w:rsidR="00780E44">
        <w:rPr>
          <w:rFonts w:cs="Calibri"/>
          <w:snapToGrid/>
          <w:szCs w:val="24"/>
          <w:lang w:val="en-US" w:eastAsia="en-AU"/>
        </w:rPr>
        <w:t>trial</w:t>
      </w:r>
      <w:r w:rsidR="004A10B5" w:rsidRPr="00020EC3">
        <w:rPr>
          <w:rFonts w:cs="Calibri"/>
          <w:snapToGrid/>
          <w:szCs w:val="24"/>
          <w:lang w:val="en-US" w:eastAsia="en-AU"/>
        </w:rPr>
        <w:t xml:space="preserve"> comparing dexamethasone implant and ranibizumab</w:t>
      </w:r>
      <w:r w:rsidR="00780E44">
        <w:rPr>
          <w:rFonts w:cs="Calibri"/>
          <w:snapToGrid/>
          <w:szCs w:val="24"/>
          <w:lang w:val="en-US" w:eastAsia="en-AU"/>
        </w:rPr>
        <w:t>;</w:t>
      </w:r>
      <w:r w:rsidR="004A10B5" w:rsidRPr="00020EC3">
        <w:rPr>
          <w:rFonts w:cs="Calibri"/>
          <w:snapToGrid/>
          <w:szCs w:val="24"/>
          <w:lang w:val="en-US" w:eastAsia="en-AU"/>
        </w:rPr>
        <w:t xml:space="preserve"> and </w:t>
      </w:r>
      <w:r w:rsidR="00C107A9">
        <w:rPr>
          <w:rFonts w:cs="Calibri"/>
          <w:snapToGrid/>
          <w:szCs w:val="24"/>
          <w:lang w:val="en-US" w:eastAsia="en-AU"/>
        </w:rPr>
        <w:t>injection frequencies</w:t>
      </w:r>
      <w:r w:rsidR="004A10B5" w:rsidRPr="00020EC3">
        <w:rPr>
          <w:rFonts w:cs="Calibri"/>
          <w:snapToGrid/>
          <w:szCs w:val="24"/>
          <w:lang w:val="en-US" w:eastAsia="en-AU"/>
        </w:rPr>
        <w:t xml:space="preserve"> </w:t>
      </w:r>
      <w:r w:rsidR="00780E44">
        <w:rPr>
          <w:rFonts w:cs="Calibri"/>
          <w:snapToGrid/>
          <w:szCs w:val="24"/>
          <w:lang w:val="en-US" w:eastAsia="en-AU"/>
        </w:rPr>
        <w:t xml:space="preserve">over 3 years </w:t>
      </w:r>
      <w:r w:rsidR="00D8656E">
        <w:rPr>
          <w:rFonts w:cs="Calibri"/>
          <w:snapToGrid/>
          <w:szCs w:val="24"/>
          <w:lang w:val="en-US" w:eastAsia="en-AU"/>
        </w:rPr>
        <w:t>we</w:t>
      </w:r>
      <w:r w:rsidR="00780E44">
        <w:rPr>
          <w:rFonts w:cs="Calibri"/>
          <w:snapToGrid/>
          <w:szCs w:val="24"/>
          <w:lang w:val="en-US" w:eastAsia="en-AU"/>
        </w:rPr>
        <w:t xml:space="preserve">re based on estimates </w:t>
      </w:r>
      <w:r w:rsidR="004A10B5" w:rsidRPr="00020EC3">
        <w:rPr>
          <w:rFonts w:cs="Calibri"/>
          <w:snapToGrid/>
          <w:szCs w:val="24"/>
          <w:lang w:val="en-US" w:eastAsia="en-AU"/>
        </w:rPr>
        <w:t>previously accepted by PBAC for dexamethasone and ranibizumab in diabetic macular oedema.</w:t>
      </w:r>
    </w:p>
    <w:p w:rsidR="00EE5416" w:rsidRPr="00014E52" w:rsidRDefault="004A10B5" w:rsidP="00361734">
      <w:pPr>
        <w:pStyle w:val="ListParagraph"/>
        <w:widowControl/>
        <w:numPr>
          <w:ilvl w:val="1"/>
          <w:numId w:val="1"/>
        </w:numPr>
      </w:pPr>
      <w:r w:rsidRPr="00014E52">
        <w:rPr>
          <w:rFonts w:cs="Calibri"/>
          <w:snapToGrid/>
          <w:szCs w:val="24"/>
          <w:lang w:val="en-US" w:eastAsia="en-AU"/>
        </w:rPr>
        <w:t xml:space="preserve">The proposed substitution rates </w:t>
      </w:r>
      <w:r w:rsidR="00D8656E" w:rsidRPr="00014E52">
        <w:rPr>
          <w:rFonts w:cs="Calibri"/>
          <w:snapToGrid/>
          <w:szCs w:val="24"/>
          <w:lang w:val="en-US" w:eastAsia="en-AU"/>
        </w:rPr>
        <w:t>we</w:t>
      </w:r>
      <w:r w:rsidRPr="00014E52">
        <w:rPr>
          <w:rFonts w:cs="Calibri"/>
          <w:snapToGrid/>
          <w:szCs w:val="24"/>
          <w:lang w:val="en-US" w:eastAsia="en-AU"/>
        </w:rPr>
        <w:t>re highly unce</w:t>
      </w:r>
      <w:r w:rsidR="00EE5416" w:rsidRPr="00014E52">
        <w:rPr>
          <w:rFonts w:cs="Calibri"/>
          <w:snapToGrid/>
          <w:szCs w:val="24"/>
          <w:lang w:val="en-US" w:eastAsia="en-AU"/>
        </w:rPr>
        <w:t>rtain due to a number of issues:</w:t>
      </w:r>
    </w:p>
    <w:p w:rsidR="00E1250F" w:rsidRPr="00014E52" w:rsidRDefault="00E1250F" w:rsidP="00361734">
      <w:pPr>
        <w:pStyle w:val="ListParagraph"/>
        <w:widowControl/>
        <w:numPr>
          <w:ilvl w:val="1"/>
          <w:numId w:val="6"/>
        </w:numPr>
        <w:ind w:left="1145" w:hanging="425"/>
      </w:pPr>
      <w:r w:rsidRPr="00014E52">
        <w:t>In the COMRADE trials, patients received a single dexamethasone injection over the six month time period, whereas ranibizumab dosing was consistent with clinical practice.</w:t>
      </w:r>
    </w:p>
    <w:p w:rsidR="00EE5416" w:rsidRPr="00014E52" w:rsidRDefault="00EE5416" w:rsidP="00361734">
      <w:pPr>
        <w:pStyle w:val="ListParagraph"/>
        <w:widowControl/>
        <w:numPr>
          <w:ilvl w:val="1"/>
          <w:numId w:val="6"/>
        </w:numPr>
        <w:ind w:left="1145" w:hanging="425"/>
      </w:pPr>
      <w:r w:rsidRPr="00014E52">
        <w:rPr>
          <w:rFonts w:cs="Calibri"/>
          <w:snapToGrid/>
          <w:szCs w:val="24"/>
          <w:lang w:val="en-US" w:eastAsia="en-AU"/>
        </w:rPr>
        <w:t>T</w:t>
      </w:r>
      <w:r w:rsidR="004A10B5" w:rsidRPr="00014E52">
        <w:rPr>
          <w:rFonts w:cs="Calibri"/>
          <w:snapToGrid/>
          <w:szCs w:val="24"/>
          <w:lang w:val="en-US" w:eastAsia="en-AU"/>
        </w:rPr>
        <w:t xml:space="preserve">he retreatment time period in the COMO trial for dexamethasone implant was fixed (first retreatment for eligible patients was at 5 months, and a second retreatment at 10-11 months). This may not reflect retreatment rates in clinical practice given that the treatment effect of dexamethasone implant begins to wane from 8-12 weeks based on evidence from the clinical trials presented in the submission. Retreatment may thus occur more frequently than </w:t>
      </w:r>
      <w:r w:rsidR="00D15882" w:rsidRPr="00014E52">
        <w:rPr>
          <w:rFonts w:cs="Calibri"/>
          <w:snapToGrid/>
          <w:szCs w:val="24"/>
          <w:lang w:val="en-US" w:eastAsia="en-AU"/>
        </w:rPr>
        <w:t>estimated using the COMO trial.</w:t>
      </w:r>
    </w:p>
    <w:p w:rsidR="00EE5416" w:rsidRPr="00014E52" w:rsidRDefault="004A10B5" w:rsidP="00361734">
      <w:pPr>
        <w:pStyle w:val="ListParagraph"/>
        <w:widowControl/>
        <w:numPr>
          <w:ilvl w:val="1"/>
          <w:numId w:val="6"/>
        </w:numPr>
        <w:ind w:left="1145" w:hanging="425"/>
      </w:pPr>
      <w:r w:rsidRPr="00014E52">
        <w:rPr>
          <w:rFonts w:cs="Calibri"/>
          <w:snapToGrid/>
          <w:szCs w:val="24"/>
          <w:lang w:val="en-US" w:eastAsia="en-AU"/>
        </w:rPr>
        <w:t xml:space="preserve">The COMO trial </w:t>
      </w:r>
      <w:r w:rsidR="00EE5416" w:rsidRPr="00014E52">
        <w:rPr>
          <w:rFonts w:cs="Calibri"/>
          <w:snapToGrid/>
          <w:szCs w:val="24"/>
          <w:lang w:val="en-US" w:eastAsia="en-AU"/>
        </w:rPr>
        <w:t xml:space="preserve">used to estimate frequency </w:t>
      </w:r>
      <w:r w:rsidR="00666773">
        <w:rPr>
          <w:rFonts w:cs="Calibri"/>
          <w:snapToGrid/>
          <w:szCs w:val="24"/>
          <w:lang w:val="en-US" w:eastAsia="en-AU"/>
        </w:rPr>
        <w:t xml:space="preserve">of administrations </w:t>
      </w:r>
      <w:r w:rsidRPr="00014E52">
        <w:rPr>
          <w:rFonts w:cs="Calibri"/>
          <w:snapToGrid/>
          <w:szCs w:val="24"/>
          <w:lang w:val="en-US" w:eastAsia="en-AU"/>
        </w:rPr>
        <w:t>was conducted only in patients with BRVO, which is known to have a higher likelihood of spontaneous resolution over the first three months</w:t>
      </w:r>
      <w:r w:rsidR="00EE5416" w:rsidRPr="00014E52">
        <w:rPr>
          <w:rFonts w:cs="Calibri"/>
          <w:snapToGrid/>
          <w:szCs w:val="24"/>
          <w:lang w:val="en-US" w:eastAsia="en-AU"/>
        </w:rPr>
        <w:t xml:space="preserve"> and less severe visual acuity decrements</w:t>
      </w:r>
      <w:r w:rsidRPr="00014E52">
        <w:rPr>
          <w:rFonts w:cs="Calibri"/>
          <w:snapToGrid/>
          <w:szCs w:val="24"/>
          <w:lang w:val="en-US" w:eastAsia="en-AU"/>
        </w:rPr>
        <w:t xml:space="preserve"> compared to CR</w:t>
      </w:r>
      <w:r w:rsidR="00C107A9" w:rsidRPr="00014E52">
        <w:rPr>
          <w:rFonts w:cs="Calibri"/>
          <w:snapToGrid/>
          <w:szCs w:val="24"/>
          <w:lang w:val="en-US" w:eastAsia="en-AU"/>
        </w:rPr>
        <w:t>VO and thus may not be generalis</w:t>
      </w:r>
      <w:r w:rsidRPr="00014E52">
        <w:rPr>
          <w:rFonts w:cs="Calibri"/>
          <w:snapToGrid/>
          <w:szCs w:val="24"/>
          <w:lang w:val="en-US" w:eastAsia="en-AU"/>
        </w:rPr>
        <w:t>abl</w:t>
      </w:r>
      <w:r w:rsidR="00D15882" w:rsidRPr="00014E52">
        <w:rPr>
          <w:rFonts w:cs="Calibri"/>
          <w:snapToGrid/>
          <w:szCs w:val="24"/>
          <w:lang w:val="en-US" w:eastAsia="en-AU"/>
        </w:rPr>
        <w:t>e to the entire RVO population.</w:t>
      </w:r>
    </w:p>
    <w:p w:rsidR="00EE5416" w:rsidRPr="00014E52" w:rsidRDefault="00EE5416" w:rsidP="00361734">
      <w:pPr>
        <w:pStyle w:val="ListParagraph"/>
        <w:widowControl/>
        <w:numPr>
          <w:ilvl w:val="1"/>
          <w:numId w:val="6"/>
        </w:numPr>
        <w:ind w:left="1145" w:hanging="425"/>
      </w:pPr>
      <w:r w:rsidRPr="00014E52">
        <w:rPr>
          <w:rFonts w:cs="Calibri"/>
          <w:snapToGrid/>
          <w:szCs w:val="24"/>
          <w:lang w:val="en-US" w:eastAsia="en-AU"/>
        </w:rPr>
        <w:t>T</w:t>
      </w:r>
      <w:r w:rsidR="004A10B5" w:rsidRPr="00014E52">
        <w:rPr>
          <w:rFonts w:cs="Calibri"/>
          <w:snapToGrid/>
          <w:szCs w:val="24"/>
          <w:lang w:val="en-US" w:eastAsia="en-AU"/>
        </w:rPr>
        <w:t xml:space="preserve">he </w:t>
      </w:r>
      <w:r w:rsidRPr="00014E52">
        <w:rPr>
          <w:rFonts w:cs="Calibri"/>
          <w:snapToGrid/>
          <w:szCs w:val="24"/>
          <w:lang w:val="en-US" w:eastAsia="en-AU"/>
        </w:rPr>
        <w:t>injection frequencies for dexamethasone implant and VEGF inhibitors</w:t>
      </w:r>
      <w:r w:rsidR="004A10B5" w:rsidRPr="00014E52">
        <w:rPr>
          <w:rFonts w:cs="Calibri"/>
          <w:snapToGrid/>
          <w:szCs w:val="24"/>
          <w:lang w:val="en-US" w:eastAsia="en-AU"/>
        </w:rPr>
        <w:t xml:space="preserve"> previously accepted by PBAC for </w:t>
      </w:r>
      <w:r w:rsidR="00094362">
        <w:rPr>
          <w:rFonts w:cs="Calibri"/>
          <w:snapToGrid/>
          <w:szCs w:val="24"/>
          <w:lang w:val="en-US" w:eastAsia="en-AU"/>
        </w:rPr>
        <w:t>DMO</w:t>
      </w:r>
      <w:r w:rsidR="004A10B5" w:rsidRPr="00014E52">
        <w:rPr>
          <w:rFonts w:cs="Calibri"/>
          <w:snapToGrid/>
          <w:szCs w:val="24"/>
          <w:lang w:val="en-US" w:eastAsia="en-AU"/>
        </w:rPr>
        <w:t xml:space="preserve"> may not be applicable to macular oedema due to </w:t>
      </w:r>
      <w:r w:rsidR="00094362">
        <w:rPr>
          <w:rFonts w:cs="Calibri"/>
          <w:snapToGrid/>
          <w:szCs w:val="24"/>
          <w:lang w:val="en-US" w:eastAsia="en-AU"/>
        </w:rPr>
        <w:t>RVO</w:t>
      </w:r>
      <w:r w:rsidR="004A10B5" w:rsidRPr="00014E52">
        <w:rPr>
          <w:rFonts w:cs="Calibri"/>
          <w:snapToGrid/>
          <w:szCs w:val="24"/>
          <w:lang w:val="en-US" w:eastAsia="en-AU"/>
        </w:rPr>
        <w:t xml:space="preserve">. </w:t>
      </w:r>
    </w:p>
    <w:p w:rsidR="00C1342C" w:rsidRPr="00014E52" w:rsidRDefault="00C107A9" w:rsidP="006A0B29">
      <w:pPr>
        <w:pStyle w:val="ListParagraph"/>
        <w:widowControl/>
        <w:numPr>
          <w:ilvl w:val="1"/>
          <w:numId w:val="6"/>
        </w:numPr>
        <w:ind w:left="1145" w:hanging="425"/>
      </w:pPr>
      <w:r w:rsidRPr="00014E52">
        <w:rPr>
          <w:rFonts w:cs="Calibri"/>
          <w:snapToGrid/>
          <w:szCs w:val="24"/>
          <w:lang w:val="en-US" w:eastAsia="en-AU"/>
        </w:rPr>
        <w:t>Injection frequencies</w:t>
      </w:r>
      <w:r w:rsidR="004A10B5" w:rsidRPr="00014E52">
        <w:rPr>
          <w:rFonts w:cs="Calibri"/>
          <w:snapToGrid/>
          <w:szCs w:val="24"/>
          <w:lang w:val="en-US" w:eastAsia="en-AU"/>
        </w:rPr>
        <w:t xml:space="preserve"> for ranibizumab, the comparator in the clinical trials, </w:t>
      </w:r>
      <w:r w:rsidR="00D8656E" w:rsidRPr="00014E52">
        <w:rPr>
          <w:rFonts w:cs="Calibri"/>
          <w:snapToGrid/>
          <w:szCs w:val="24"/>
          <w:lang w:val="en-US" w:eastAsia="en-AU"/>
        </w:rPr>
        <w:t>we</w:t>
      </w:r>
      <w:r w:rsidR="004A10B5" w:rsidRPr="00014E52">
        <w:rPr>
          <w:rFonts w:cs="Calibri"/>
          <w:snapToGrid/>
          <w:szCs w:val="24"/>
          <w:lang w:val="en-US" w:eastAsia="en-AU"/>
        </w:rPr>
        <w:t>re assumed to be equivalent to rates for all VEGF inhibitors</w:t>
      </w:r>
      <w:r w:rsidR="005D5666" w:rsidRPr="00014E52">
        <w:rPr>
          <w:rFonts w:cs="Calibri"/>
          <w:snapToGrid/>
          <w:szCs w:val="24"/>
          <w:lang w:val="en-US" w:eastAsia="en-AU"/>
        </w:rPr>
        <w:t>, w</w:t>
      </w:r>
      <w:r w:rsidR="00F967B3" w:rsidRPr="00014E52">
        <w:rPr>
          <w:rFonts w:cs="Calibri"/>
          <w:snapToGrid/>
          <w:szCs w:val="24"/>
          <w:lang w:val="en-US" w:eastAsia="en-AU"/>
        </w:rPr>
        <w:t>hich is consistent with previous therapeutic relativities considered by the PBAC for VEGF inhibitors (</w:t>
      </w:r>
      <w:r w:rsidR="00CD03F9" w:rsidRPr="00014E52">
        <w:rPr>
          <w:rFonts w:cs="Calibri"/>
          <w:snapToGrid/>
          <w:szCs w:val="24"/>
          <w:lang w:val="en-US" w:eastAsia="en-AU"/>
        </w:rPr>
        <w:t>paragraph 6.27, dexamethasone March 2016 PSD; aflibercept March 2014 PSD</w:t>
      </w:r>
      <w:r w:rsidR="00F967B3" w:rsidRPr="00014E52">
        <w:rPr>
          <w:rFonts w:cs="Calibri"/>
          <w:snapToGrid/>
          <w:szCs w:val="24"/>
          <w:lang w:val="en-US" w:eastAsia="en-AU"/>
        </w:rPr>
        <w:t>) but is inconsistent with dosing frequencies stated in product information documents.</w:t>
      </w:r>
    </w:p>
    <w:p w:rsidR="00EE5416" w:rsidRPr="00014E52" w:rsidRDefault="00EE5416" w:rsidP="00361734">
      <w:pPr>
        <w:pStyle w:val="ListParagraph"/>
        <w:widowControl/>
        <w:numPr>
          <w:ilvl w:val="1"/>
          <w:numId w:val="1"/>
        </w:numPr>
      </w:pPr>
      <w:r w:rsidRPr="00014E52">
        <w:rPr>
          <w:rFonts w:cs="Calibri"/>
          <w:snapToGrid/>
          <w:szCs w:val="24"/>
          <w:lang w:val="en-US" w:eastAsia="en-AU"/>
        </w:rPr>
        <w:t xml:space="preserve">The PBAC previously considered that the approach taken in estimating the “equi-effective” frequency of </w:t>
      </w:r>
      <w:r w:rsidR="00666773">
        <w:rPr>
          <w:rFonts w:cs="Calibri"/>
          <w:snapToGrid/>
          <w:szCs w:val="24"/>
          <w:lang w:val="en-US" w:eastAsia="en-AU"/>
        </w:rPr>
        <w:t>administrations</w:t>
      </w:r>
      <w:r w:rsidRPr="00014E52">
        <w:rPr>
          <w:rFonts w:cs="Calibri"/>
          <w:snapToGrid/>
          <w:szCs w:val="24"/>
          <w:lang w:val="en-US" w:eastAsia="en-AU"/>
        </w:rPr>
        <w:t xml:space="preserve"> of dexamethasone implants compared with VEGF inhibitor injections in a given time period was unreliable due to problems with the sample size, exchangeability and applicability of the data sources (dexamethasone PSD, March 2016).</w:t>
      </w:r>
    </w:p>
    <w:p w:rsidR="00D005BF" w:rsidRDefault="004A10B5" w:rsidP="00361734">
      <w:pPr>
        <w:pStyle w:val="ListParagraph"/>
        <w:widowControl/>
        <w:numPr>
          <w:ilvl w:val="1"/>
          <w:numId w:val="1"/>
        </w:numPr>
        <w:rPr>
          <w:rFonts w:cs="Calibri"/>
          <w:snapToGrid/>
          <w:szCs w:val="24"/>
          <w:lang w:val="en-US" w:eastAsia="en-AU"/>
        </w:rPr>
      </w:pPr>
      <w:r w:rsidRPr="00020EC3">
        <w:rPr>
          <w:rFonts w:cs="Calibri"/>
          <w:snapToGrid/>
          <w:szCs w:val="24"/>
          <w:lang w:val="en-US" w:eastAsia="en-AU"/>
        </w:rPr>
        <w:t xml:space="preserve">The results of the </w:t>
      </w:r>
      <w:r w:rsidR="00D8656E">
        <w:rPr>
          <w:rFonts w:cs="Calibri"/>
          <w:snapToGrid/>
          <w:szCs w:val="24"/>
          <w:lang w:val="en-US" w:eastAsia="en-AU"/>
        </w:rPr>
        <w:t xml:space="preserve">per patient </w:t>
      </w:r>
      <w:r w:rsidRPr="00020EC3">
        <w:rPr>
          <w:rFonts w:cs="Calibri"/>
          <w:snapToGrid/>
          <w:szCs w:val="24"/>
          <w:lang w:val="en-US" w:eastAsia="en-AU"/>
        </w:rPr>
        <w:t>cost analysis are summari</w:t>
      </w:r>
      <w:r w:rsidR="00D027C4">
        <w:rPr>
          <w:rFonts w:cs="Calibri"/>
          <w:snapToGrid/>
          <w:szCs w:val="24"/>
          <w:lang w:val="en-US" w:eastAsia="en-AU"/>
        </w:rPr>
        <w:t>s</w:t>
      </w:r>
      <w:r w:rsidRPr="00020EC3">
        <w:rPr>
          <w:rFonts w:cs="Calibri"/>
          <w:snapToGrid/>
          <w:szCs w:val="24"/>
          <w:lang w:val="en-US" w:eastAsia="en-AU"/>
        </w:rPr>
        <w:t xml:space="preserve">ed in Table </w:t>
      </w:r>
      <w:r w:rsidR="003B5E50">
        <w:rPr>
          <w:rFonts w:cs="Calibri"/>
          <w:snapToGrid/>
          <w:szCs w:val="24"/>
          <w:lang w:val="en-US" w:eastAsia="en-AU"/>
        </w:rPr>
        <w:t>10</w:t>
      </w:r>
      <w:r w:rsidRPr="00020EC3">
        <w:rPr>
          <w:rFonts w:cs="Calibri"/>
          <w:snapToGrid/>
          <w:szCs w:val="24"/>
          <w:lang w:val="en-US" w:eastAsia="en-AU"/>
        </w:rPr>
        <w:t>.</w:t>
      </w:r>
    </w:p>
    <w:p w:rsidR="00D005BF" w:rsidRDefault="00D005BF">
      <w:pPr>
        <w:widowControl/>
        <w:jc w:val="left"/>
        <w:rPr>
          <w:rFonts w:cs="Calibri"/>
          <w:snapToGrid/>
          <w:szCs w:val="24"/>
          <w:lang w:val="en-US" w:eastAsia="en-AU"/>
        </w:rPr>
      </w:pPr>
      <w:r>
        <w:rPr>
          <w:rFonts w:cs="Calibri"/>
          <w:snapToGrid/>
          <w:szCs w:val="24"/>
          <w:lang w:val="en-US" w:eastAsia="en-AU"/>
        </w:rPr>
        <w:br w:type="page"/>
      </w:r>
    </w:p>
    <w:p w:rsidR="004A10B5" w:rsidRPr="004A10B5" w:rsidRDefault="004A10B5" w:rsidP="006736FC">
      <w:pPr>
        <w:pStyle w:val="TableHeading0"/>
        <w:spacing w:after="0"/>
        <w:jc w:val="both"/>
        <w:rPr>
          <w:snapToGrid w:val="0"/>
        </w:rPr>
      </w:pPr>
      <w:r>
        <w:t xml:space="preserve">Table </w:t>
      </w:r>
      <w:r w:rsidR="003B5E50">
        <w:t>10</w:t>
      </w:r>
      <w:r>
        <w:t xml:space="preserve">: Summary of the results of the </w:t>
      </w:r>
      <w:r w:rsidR="00D8656E">
        <w:t xml:space="preserve">per patient </w:t>
      </w:r>
      <w:r>
        <w:t>cost analysis of dexamethasone implant versus VEGF inhibitors at 3, 6, 12, and 36 months</w:t>
      </w:r>
    </w:p>
    <w:tbl>
      <w:tblPr>
        <w:tblStyle w:val="TableGrid"/>
        <w:tblW w:w="0" w:type="auto"/>
        <w:tblLook w:val="04A0" w:firstRow="1" w:lastRow="0" w:firstColumn="1" w:lastColumn="0" w:noHBand="0" w:noVBand="1"/>
        <w:tblCaption w:val="Table 10: Summary of the results of the per patient cost analysis of dexamethasone implant versus VEGF inhibitors at 3, 6, 12, and 36 months"/>
      </w:tblPr>
      <w:tblGrid>
        <w:gridCol w:w="3369"/>
        <w:gridCol w:w="1701"/>
        <w:gridCol w:w="1701"/>
        <w:gridCol w:w="2472"/>
      </w:tblGrid>
      <w:tr w:rsidR="00DD794C" w:rsidTr="001D074A">
        <w:trPr>
          <w:tblHeader/>
        </w:trPr>
        <w:tc>
          <w:tcPr>
            <w:tcW w:w="3369" w:type="dxa"/>
          </w:tcPr>
          <w:p w:rsidR="00DD794C" w:rsidRDefault="00DD794C" w:rsidP="00D0572A"/>
        </w:tc>
        <w:tc>
          <w:tcPr>
            <w:tcW w:w="1701" w:type="dxa"/>
            <w:vAlign w:val="center"/>
          </w:tcPr>
          <w:p w:rsidR="00DD794C" w:rsidRPr="00CB16DD" w:rsidRDefault="00DD794C" w:rsidP="00D0572A">
            <w:pPr>
              <w:jc w:val="center"/>
              <w:rPr>
                <w:rFonts w:ascii="Arial Narrow" w:hAnsi="Arial Narrow" w:cstheme="minorHAnsi"/>
                <w:b/>
                <w:bCs/>
                <w:sz w:val="20"/>
                <w:szCs w:val="20"/>
              </w:rPr>
            </w:pPr>
            <w:r w:rsidRPr="00A944A5">
              <w:rPr>
                <w:rFonts w:ascii="Arial Narrow" w:hAnsi="Arial Narrow" w:cstheme="minorHAnsi"/>
                <w:b/>
                <w:bCs/>
                <w:sz w:val="20"/>
                <w:szCs w:val="20"/>
              </w:rPr>
              <w:t>Dexamethasone implant</w:t>
            </w:r>
          </w:p>
        </w:tc>
        <w:tc>
          <w:tcPr>
            <w:tcW w:w="1701" w:type="dxa"/>
            <w:vAlign w:val="center"/>
          </w:tcPr>
          <w:p w:rsidR="00DD794C" w:rsidRDefault="00DD794C" w:rsidP="00D0572A">
            <w:pPr>
              <w:jc w:val="center"/>
            </w:pPr>
            <w:r w:rsidRPr="00A944A5">
              <w:rPr>
                <w:rFonts w:ascii="Arial Narrow" w:hAnsi="Arial Narrow" w:cstheme="minorHAnsi"/>
                <w:b/>
                <w:bCs/>
                <w:sz w:val="20"/>
                <w:szCs w:val="20"/>
              </w:rPr>
              <w:t>VEGF inhibitor injection</w:t>
            </w:r>
          </w:p>
        </w:tc>
        <w:tc>
          <w:tcPr>
            <w:tcW w:w="2472" w:type="dxa"/>
            <w:vAlign w:val="center"/>
          </w:tcPr>
          <w:p w:rsidR="00DD794C" w:rsidRDefault="00DD794C" w:rsidP="00D0572A">
            <w:pPr>
              <w:jc w:val="center"/>
            </w:pPr>
            <w:r w:rsidRPr="00A944A5">
              <w:rPr>
                <w:rFonts w:ascii="Arial Narrow" w:hAnsi="Arial Narrow" w:cstheme="minorHAnsi"/>
                <w:b/>
                <w:bCs/>
                <w:sz w:val="20"/>
                <w:szCs w:val="20"/>
              </w:rPr>
              <w:t>Difference (</w:t>
            </w:r>
            <w:r>
              <w:rPr>
                <w:rFonts w:ascii="Arial Narrow" w:hAnsi="Arial Narrow" w:cstheme="minorHAnsi"/>
                <w:b/>
                <w:bCs/>
                <w:sz w:val="20"/>
                <w:szCs w:val="20"/>
              </w:rPr>
              <w:t>dexamethasone implant</w:t>
            </w:r>
            <w:r w:rsidRPr="00A944A5">
              <w:rPr>
                <w:rFonts w:ascii="Arial Narrow" w:hAnsi="Arial Narrow" w:cstheme="minorHAnsi"/>
                <w:b/>
                <w:bCs/>
                <w:sz w:val="20"/>
                <w:szCs w:val="20"/>
              </w:rPr>
              <w:t xml:space="preserve"> vs VEGF inhibitor)</w:t>
            </w:r>
          </w:p>
        </w:tc>
      </w:tr>
      <w:tr w:rsidR="00DD794C" w:rsidTr="002506DE">
        <w:tc>
          <w:tcPr>
            <w:tcW w:w="3369" w:type="dxa"/>
            <w:vAlign w:val="center"/>
          </w:tcPr>
          <w:p w:rsidR="00DD794C" w:rsidRPr="00A944A5" w:rsidRDefault="00DD794C" w:rsidP="00D0572A">
            <w:pPr>
              <w:pStyle w:val="Tabletext"/>
            </w:pPr>
            <w:r>
              <w:t>Effective DPMQ per administration</w:t>
            </w:r>
          </w:p>
        </w:tc>
        <w:tc>
          <w:tcPr>
            <w:tcW w:w="1701" w:type="dxa"/>
            <w:tcBorders>
              <w:top w:val="nil"/>
              <w:left w:val="single" w:sz="4" w:space="0" w:color="auto"/>
              <w:bottom w:val="nil"/>
              <w:right w:val="single" w:sz="4" w:space="0" w:color="auto"/>
            </w:tcBorders>
            <w:shd w:val="clear" w:color="auto" w:fill="auto"/>
            <w:vAlign w:val="center"/>
          </w:tcPr>
          <w:p w:rsidR="00DD794C" w:rsidRPr="00DD794C" w:rsidRDefault="00DD794C" w:rsidP="00DD794C">
            <w:pPr>
              <w:pStyle w:val="Tabletext"/>
              <w:jc w:val="center"/>
            </w:pPr>
            <w:r w:rsidRPr="00DD794C">
              <w:t>$</w:t>
            </w:r>
            <w:r w:rsidR="00487EB2">
              <w:rPr>
                <w:noProof/>
                <w:color w:val="000000"/>
                <w:highlight w:val="black"/>
              </w:rPr>
              <w:t>''''''''''''''''</w:t>
            </w:r>
          </w:p>
        </w:tc>
        <w:tc>
          <w:tcPr>
            <w:tcW w:w="1701" w:type="dxa"/>
            <w:tcBorders>
              <w:top w:val="nil"/>
              <w:left w:val="nil"/>
              <w:bottom w:val="nil"/>
              <w:right w:val="single" w:sz="4" w:space="0" w:color="auto"/>
            </w:tcBorders>
            <w:shd w:val="clear" w:color="auto" w:fill="auto"/>
            <w:vAlign w:val="center"/>
          </w:tcPr>
          <w:p w:rsidR="00DD794C" w:rsidRPr="00DD794C" w:rsidRDefault="00DD794C" w:rsidP="00DD794C">
            <w:pPr>
              <w:pStyle w:val="Tabletext"/>
              <w:jc w:val="center"/>
            </w:pPr>
            <w:r w:rsidRPr="00DD794C">
              <w:t>$</w:t>
            </w:r>
            <w:r w:rsidR="00487EB2">
              <w:rPr>
                <w:noProof/>
                <w:color w:val="000000"/>
                <w:highlight w:val="black"/>
              </w:rPr>
              <w:t>''''''''''''''''''</w:t>
            </w:r>
          </w:p>
        </w:tc>
        <w:tc>
          <w:tcPr>
            <w:tcW w:w="2472" w:type="dxa"/>
            <w:vAlign w:val="center"/>
          </w:tcPr>
          <w:p w:rsidR="00DD794C" w:rsidRPr="00A944A5" w:rsidRDefault="00DD794C" w:rsidP="00D0572A">
            <w:pPr>
              <w:pStyle w:val="Tabletext"/>
              <w:jc w:val="center"/>
            </w:pPr>
          </w:p>
        </w:tc>
      </w:tr>
      <w:tr w:rsidR="00DD794C" w:rsidTr="00D0572A">
        <w:tc>
          <w:tcPr>
            <w:tcW w:w="9243" w:type="dxa"/>
            <w:gridSpan w:val="4"/>
            <w:vAlign w:val="center"/>
          </w:tcPr>
          <w:p w:rsidR="00DD794C" w:rsidRPr="00B33DBA" w:rsidRDefault="00DD794C" w:rsidP="00D0572A">
            <w:pPr>
              <w:pStyle w:val="Tabletext"/>
              <w:rPr>
                <w:b/>
              </w:rPr>
            </w:pPr>
            <w:r w:rsidRPr="00B33DBA">
              <w:rPr>
                <w:b/>
              </w:rPr>
              <w:t>Drug costs over 3 months</w:t>
            </w:r>
          </w:p>
        </w:tc>
      </w:tr>
      <w:tr w:rsidR="00DD794C" w:rsidTr="00D0572A">
        <w:tc>
          <w:tcPr>
            <w:tcW w:w="3369" w:type="dxa"/>
            <w:vAlign w:val="center"/>
          </w:tcPr>
          <w:p w:rsidR="00DD794C" w:rsidRPr="00A944A5" w:rsidRDefault="00DD794C" w:rsidP="00D0572A">
            <w:pPr>
              <w:pStyle w:val="Tabletext"/>
            </w:pPr>
            <w:r w:rsidRPr="00A944A5">
              <w:rPr>
                <w:rFonts w:cstheme="minorHAnsi"/>
                <w:szCs w:val="20"/>
              </w:rPr>
              <w:t>Average number of administrations over 3 months</w:t>
            </w:r>
          </w:p>
        </w:tc>
        <w:tc>
          <w:tcPr>
            <w:tcW w:w="1701" w:type="dxa"/>
            <w:vAlign w:val="center"/>
          </w:tcPr>
          <w:p w:rsidR="00DD794C" w:rsidRPr="00487EB2" w:rsidRDefault="00487EB2" w:rsidP="00D0572A">
            <w:pPr>
              <w:pStyle w:val="Tabletext"/>
              <w:jc w:val="center"/>
              <w:rPr>
                <w:highlight w:val="black"/>
              </w:rPr>
            </w:pPr>
            <w:r>
              <w:rPr>
                <w:rFonts w:cstheme="minorHAnsi"/>
                <w:noProof/>
                <w:color w:val="000000"/>
                <w:szCs w:val="20"/>
                <w:highlight w:val="black"/>
              </w:rPr>
              <w:t>''''</w:t>
            </w:r>
          </w:p>
        </w:tc>
        <w:tc>
          <w:tcPr>
            <w:tcW w:w="1701" w:type="dxa"/>
            <w:vAlign w:val="center"/>
          </w:tcPr>
          <w:p w:rsidR="00DD794C" w:rsidRPr="00487EB2" w:rsidRDefault="00487EB2" w:rsidP="00D0572A">
            <w:pPr>
              <w:pStyle w:val="Tabletext"/>
              <w:jc w:val="center"/>
              <w:rPr>
                <w:highlight w:val="black"/>
              </w:rPr>
            </w:pPr>
            <w:r>
              <w:rPr>
                <w:rFonts w:cstheme="minorHAnsi"/>
                <w:noProof/>
                <w:color w:val="000000"/>
                <w:szCs w:val="20"/>
                <w:highlight w:val="black"/>
              </w:rPr>
              <w:t>'''</w:t>
            </w:r>
          </w:p>
        </w:tc>
        <w:tc>
          <w:tcPr>
            <w:tcW w:w="2472" w:type="dxa"/>
            <w:vAlign w:val="center"/>
          </w:tcPr>
          <w:p w:rsidR="00DD794C" w:rsidRPr="00487EB2" w:rsidRDefault="00487EB2" w:rsidP="00D0572A">
            <w:pPr>
              <w:pStyle w:val="Tabletext"/>
              <w:jc w:val="center"/>
              <w:rPr>
                <w:highlight w:val="black"/>
              </w:rPr>
            </w:pPr>
            <w:r>
              <w:rPr>
                <w:noProof/>
                <w:color w:val="000000"/>
                <w:highlight w:val="black"/>
              </w:rPr>
              <w:t>''''</w:t>
            </w:r>
          </w:p>
        </w:tc>
      </w:tr>
      <w:tr w:rsidR="00DD794C" w:rsidTr="00D0572A">
        <w:tc>
          <w:tcPr>
            <w:tcW w:w="3369" w:type="dxa"/>
            <w:vAlign w:val="center"/>
          </w:tcPr>
          <w:p w:rsidR="00DD794C" w:rsidRPr="00A944A5" w:rsidRDefault="00DD794C" w:rsidP="00D0572A">
            <w:pPr>
              <w:pStyle w:val="Tabletext"/>
            </w:pPr>
            <w:r w:rsidRPr="00A944A5">
              <w:rPr>
                <w:rFonts w:cstheme="minorHAnsi"/>
                <w:iCs/>
                <w:szCs w:val="20"/>
              </w:rPr>
              <w:t>Total drug costs per patient over 3 months</w:t>
            </w:r>
          </w:p>
        </w:tc>
        <w:tc>
          <w:tcPr>
            <w:tcW w:w="1701" w:type="dxa"/>
            <w:vAlign w:val="center"/>
          </w:tcPr>
          <w:p w:rsidR="00DD794C" w:rsidRPr="00A944A5" w:rsidRDefault="00DD794C" w:rsidP="00D0572A">
            <w:pPr>
              <w:pStyle w:val="Tabletext"/>
              <w:jc w:val="center"/>
            </w:pPr>
            <w:r w:rsidRPr="00A944A5">
              <w:rPr>
                <w:rFonts w:cstheme="minorHAnsi"/>
                <w:iCs/>
                <w:szCs w:val="20"/>
              </w:rPr>
              <w:t>$</w:t>
            </w:r>
            <w:r w:rsidR="00487EB2">
              <w:rPr>
                <w:rFonts w:cstheme="minorHAnsi"/>
                <w:iCs/>
                <w:noProof/>
                <w:color w:val="000000"/>
                <w:szCs w:val="20"/>
                <w:highlight w:val="black"/>
              </w:rPr>
              <w:t>''''''''''''''''</w:t>
            </w:r>
          </w:p>
        </w:tc>
        <w:tc>
          <w:tcPr>
            <w:tcW w:w="1701" w:type="dxa"/>
            <w:vAlign w:val="center"/>
          </w:tcPr>
          <w:p w:rsidR="00DD794C" w:rsidRPr="00A944A5" w:rsidRDefault="00DD794C" w:rsidP="00D0572A">
            <w:pPr>
              <w:pStyle w:val="Tabletext"/>
              <w:jc w:val="center"/>
            </w:pPr>
            <w:r w:rsidRPr="00A944A5">
              <w:rPr>
                <w:rFonts w:cstheme="minorHAnsi"/>
                <w:iCs/>
                <w:szCs w:val="20"/>
              </w:rPr>
              <w:t>$</w:t>
            </w:r>
            <w:r w:rsidR="00487EB2">
              <w:rPr>
                <w:rFonts w:cstheme="minorHAnsi"/>
                <w:iCs/>
                <w:noProof/>
                <w:color w:val="000000"/>
                <w:szCs w:val="20"/>
                <w:highlight w:val="black"/>
              </w:rPr>
              <w:t>'''''''''''''''''''</w:t>
            </w:r>
          </w:p>
        </w:tc>
        <w:tc>
          <w:tcPr>
            <w:tcW w:w="2472" w:type="dxa"/>
            <w:vAlign w:val="center"/>
          </w:tcPr>
          <w:p w:rsidR="00DD794C" w:rsidRPr="00A944A5" w:rsidRDefault="00DD794C" w:rsidP="00D0572A">
            <w:pPr>
              <w:pStyle w:val="Tabletext"/>
              <w:jc w:val="center"/>
            </w:pPr>
            <w:r w:rsidRPr="00A944A5">
              <w:rPr>
                <w:rFonts w:cstheme="minorHAnsi"/>
                <w:iCs/>
                <w:szCs w:val="20"/>
              </w:rPr>
              <w:t>-$</w:t>
            </w:r>
            <w:r w:rsidR="00487EB2">
              <w:rPr>
                <w:rFonts w:cstheme="minorHAnsi"/>
                <w:iCs/>
                <w:noProof/>
                <w:color w:val="000000"/>
                <w:szCs w:val="20"/>
                <w:highlight w:val="black"/>
              </w:rPr>
              <w:t>''''''''''''''''''</w:t>
            </w:r>
          </w:p>
        </w:tc>
      </w:tr>
      <w:tr w:rsidR="00DD794C" w:rsidTr="00D0572A">
        <w:tc>
          <w:tcPr>
            <w:tcW w:w="3369" w:type="dxa"/>
            <w:vAlign w:val="center"/>
          </w:tcPr>
          <w:p w:rsidR="00DD794C" w:rsidRPr="00A944A5" w:rsidRDefault="00DD794C" w:rsidP="00D0572A">
            <w:pPr>
              <w:pStyle w:val="Tabletext"/>
              <w:rPr>
                <w:rFonts w:cstheme="minorHAnsi"/>
                <w:iCs/>
                <w:szCs w:val="20"/>
              </w:rPr>
            </w:pPr>
            <w:r w:rsidRPr="00A944A5">
              <w:rPr>
                <w:rFonts w:cstheme="minorHAnsi"/>
                <w:iCs/>
                <w:szCs w:val="20"/>
              </w:rPr>
              <w:t>Total costs for monitoring and managing adverse events over 3 months</w:t>
            </w:r>
          </w:p>
        </w:tc>
        <w:tc>
          <w:tcPr>
            <w:tcW w:w="1701" w:type="dxa"/>
            <w:vAlign w:val="center"/>
          </w:tcPr>
          <w:p w:rsidR="00DD794C" w:rsidRPr="00A944A5" w:rsidRDefault="00DD794C" w:rsidP="00D0572A">
            <w:pPr>
              <w:pStyle w:val="Tabletext"/>
              <w:jc w:val="center"/>
              <w:rPr>
                <w:rFonts w:cstheme="minorHAnsi"/>
                <w:iCs/>
                <w:szCs w:val="20"/>
              </w:rPr>
            </w:pPr>
            <w:r w:rsidRPr="00A944A5">
              <w:rPr>
                <w:rFonts w:cstheme="minorHAnsi"/>
                <w:iCs/>
                <w:szCs w:val="20"/>
              </w:rPr>
              <w:t>$</w:t>
            </w:r>
            <w:r w:rsidR="00487EB2">
              <w:rPr>
                <w:rFonts w:cstheme="minorHAnsi"/>
                <w:iCs/>
                <w:noProof/>
                <w:color w:val="000000"/>
                <w:szCs w:val="20"/>
                <w:highlight w:val="black"/>
              </w:rPr>
              <w:t>''''''''''''''</w:t>
            </w:r>
          </w:p>
        </w:tc>
        <w:tc>
          <w:tcPr>
            <w:tcW w:w="1701" w:type="dxa"/>
            <w:vAlign w:val="center"/>
          </w:tcPr>
          <w:p w:rsidR="00DD794C" w:rsidRPr="00A944A5" w:rsidRDefault="00DD794C" w:rsidP="00D0572A">
            <w:pPr>
              <w:pStyle w:val="Tabletext"/>
              <w:jc w:val="center"/>
              <w:rPr>
                <w:rFonts w:cstheme="minorHAnsi"/>
                <w:iCs/>
                <w:szCs w:val="20"/>
              </w:rPr>
            </w:pPr>
            <w:r w:rsidRPr="00A944A5">
              <w:rPr>
                <w:rFonts w:cstheme="minorHAnsi"/>
                <w:iCs/>
                <w:szCs w:val="20"/>
              </w:rPr>
              <w:t>$</w:t>
            </w:r>
            <w:r w:rsidR="00487EB2">
              <w:rPr>
                <w:rFonts w:cstheme="minorHAnsi"/>
                <w:iCs/>
                <w:noProof/>
                <w:color w:val="000000"/>
                <w:szCs w:val="20"/>
                <w:highlight w:val="black"/>
              </w:rPr>
              <w:t>'''''''''''</w:t>
            </w:r>
          </w:p>
        </w:tc>
        <w:tc>
          <w:tcPr>
            <w:tcW w:w="2472" w:type="dxa"/>
            <w:vAlign w:val="center"/>
          </w:tcPr>
          <w:p w:rsidR="00DD794C" w:rsidRPr="00A944A5" w:rsidRDefault="00DD794C" w:rsidP="00D0572A">
            <w:pPr>
              <w:pStyle w:val="Tabletext"/>
              <w:jc w:val="center"/>
              <w:rPr>
                <w:rFonts w:cstheme="minorHAnsi"/>
                <w:iCs/>
                <w:szCs w:val="20"/>
              </w:rPr>
            </w:pPr>
            <w:r w:rsidRPr="00A944A5">
              <w:rPr>
                <w:rFonts w:cstheme="minorHAnsi"/>
                <w:iCs/>
                <w:szCs w:val="20"/>
              </w:rPr>
              <w:t>$</w:t>
            </w:r>
            <w:r w:rsidR="00487EB2">
              <w:rPr>
                <w:rFonts w:cstheme="minorHAnsi"/>
                <w:iCs/>
                <w:noProof/>
                <w:color w:val="000000"/>
                <w:szCs w:val="20"/>
                <w:highlight w:val="black"/>
              </w:rPr>
              <w:t>''''''''''''''</w:t>
            </w:r>
          </w:p>
        </w:tc>
      </w:tr>
      <w:tr w:rsidR="00DD794C" w:rsidTr="00D0572A">
        <w:tc>
          <w:tcPr>
            <w:tcW w:w="3369" w:type="dxa"/>
            <w:vAlign w:val="center"/>
          </w:tcPr>
          <w:p w:rsidR="00DD794C" w:rsidRDefault="00DD794C" w:rsidP="00D0572A">
            <w:pPr>
              <w:pStyle w:val="Tabletext"/>
            </w:pPr>
            <w:r w:rsidRPr="00A944A5">
              <w:t>Total costs over 3 months</w:t>
            </w:r>
            <w:r w:rsidRPr="00A944A5">
              <w:br/>
              <w:t>excluding MBS administration costs:</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2472" w:type="dxa"/>
            <w:vAlign w:val="center"/>
          </w:tcPr>
          <w:p w:rsidR="00DD794C" w:rsidRDefault="00DD794C" w:rsidP="00D0572A">
            <w:pPr>
              <w:pStyle w:val="Tabletext"/>
              <w:jc w:val="center"/>
            </w:pPr>
            <w:r w:rsidRPr="00A944A5">
              <w:t>-$</w:t>
            </w:r>
            <w:r w:rsidR="00487EB2">
              <w:rPr>
                <w:noProof/>
                <w:color w:val="000000"/>
                <w:highlight w:val="black"/>
              </w:rPr>
              <w:t>'''''''''''''''</w:t>
            </w:r>
          </w:p>
        </w:tc>
      </w:tr>
      <w:tr w:rsidR="00DD794C" w:rsidTr="00D0572A">
        <w:tc>
          <w:tcPr>
            <w:tcW w:w="9243" w:type="dxa"/>
            <w:gridSpan w:val="4"/>
            <w:vAlign w:val="center"/>
          </w:tcPr>
          <w:p w:rsidR="00DD794C" w:rsidRPr="00B33DBA" w:rsidRDefault="00DD794C" w:rsidP="00D0572A">
            <w:pPr>
              <w:pStyle w:val="Tabletext"/>
              <w:rPr>
                <w:b/>
              </w:rPr>
            </w:pPr>
            <w:r>
              <w:rPr>
                <w:b/>
              </w:rPr>
              <w:t>Drug costs over 6 months</w:t>
            </w:r>
          </w:p>
        </w:tc>
      </w:tr>
      <w:tr w:rsidR="00DD794C" w:rsidTr="00D0572A">
        <w:tc>
          <w:tcPr>
            <w:tcW w:w="3369" w:type="dxa"/>
            <w:vAlign w:val="center"/>
          </w:tcPr>
          <w:p w:rsidR="00DD794C" w:rsidRPr="00A944A5" w:rsidRDefault="00DD794C" w:rsidP="00D0572A">
            <w:pPr>
              <w:pStyle w:val="Tabletext"/>
            </w:pPr>
            <w:r w:rsidRPr="00D16128">
              <w:t xml:space="preserve">Average number of administrations over </w:t>
            </w:r>
            <w:r>
              <w:t>6 month</w:t>
            </w:r>
            <w:r w:rsidRPr="00D16128">
              <w:t>s</w:t>
            </w:r>
          </w:p>
        </w:tc>
        <w:tc>
          <w:tcPr>
            <w:tcW w:w="1701" w:type="dxa"/>
            <w:vAlign w:val="center"/>
          </w:tcPr>
          <w:p w:rsidR="00DD794C" w:rsidRPr="00487EB2" w:rsidRDefault="00487EB2" w:rsidP="00D0572A">
            <w:pPr>
              <w:pStyle w:val="Tabletext"/>
              <w:jc w:val="center"/>
              <w:rPr>
                <w:highlight w:val="black"/>
              </w:rPr>
            </w:pPr>
            <w:r>
              <w:rPr>
                <w:noProof/>
                <w:color w:val="000000"/>
                <w:highlight w:val="black"/>
              </w:rPr>
              <w:t>'''</w:t>
            </w:r>
          </w:p>
        </w:tc>
        <w:tc>
          <w:tcPr>
            <w:tcW w:w="1701" w:type="dxa"/>
            <w:vAlign w:val="center"/>
          </w:tcPr>
          <w:p w:rsidR="00DD794C" w:rsidRPr="00487EB2" w:rsidRDefault="00487EB2" w:rsidP="00D0572A">
            <w:pPr>
              <w:pStyle w:val="Tabletext"/>
              <w:jc w:val="center"/>
              <w:rPr>
                <w:highlight w:val="black"/>
              </w:rPr>
            </w:pPr>
            <w:r>
              <w:rPr>
                <w:noProof/>
                <w:color w:val="000000"/>
                <w:highlight w:val="black"/>
              </w:rPr>
              <w:t>'''</w:t>
            </w:r>
          </w:p>
        </w:tc>
        <w:tc>
          <w:tcPr>
            <w:tcW w:w="2472" w:type="dxa"/>
            <w:vAlign w:val="center"/>
          </w:tcPr>
          <w:p w:rsidR="00DD794C" w:rsidRPr="00487EB2" w:rsidRDefault="00487EB2" w:rsidP="00D0572A">
            <w:pPr>
              <w:pStyle w:val="Tabletext"/>
              <w:jc w:val="center"/>
              <w:rPr>
                <w:highlight w:val="black"/>
              </w:rPr>
            </w:pPr>
            <w:r>
              <w:rPr>
                <w:noProof/>
                <w:color w:val="000000"/>
                <w:highlight w:val="black"/>
              </w:rPr>
              <w:t>''''</w:t>
            </w:r>
          </w:p>
        </w:tc>
      </w:tr>
      <w:tr w:rsidR="00DD794C" w:rsidTr="00D0572A">
        <w:tc>
          <w:tcPr>
            <w:tcW w:w="3369" w:type="dxa"/>
            <w:vAlign w:val="center"/>
          </w:tcPr>
          <w:p w:rsidR="00DD794C" w:rsidRPr="00A944A5" w:rsidRDefault="00DD794C" w:rsidP="00D0572A">
            <w:pPr>
              <w:pStyle w:val="Tabletext"/>
            </w:pPr>
            <w:r w:rsidRPr="00D16128">
              <w:rPr>
                <w:iCs/>
              </w:rPr>
              <w:t xml:space="preserve">Total drug costs per patient over </w:t>
            </w:r>
            <w:r>
              <w:rPr>
                <w:iCs/>
              </w:rPr>
              <w:t>6 month</w:t>
            </w:r>
            <w:r w:rsidRPr="00D16128">
              <w:rPr>
                <w:iCs/>
              </w:rPr>
              <w:t>s</w:t>
            </w:r>
          </w:p>
        </w:tc>
        <w:tc>
          <w:tcPr>
            <w:tcW w:w="1701" w:type="dxa"/>
            <w:vAlign w:val="center"/>
          </w:tcPr>
          <w:p w:rsidR="00DD794C" w:rsidRPr="00A944A5" w:rsidRDefault="00DD794C" w:rsidP="00D0572A">
            <w:pPr>
              <w:pStyle w:val="Tabletext"/>
              <w:jc w:val="center"/>
            </w:pPr>
            <w:r w:rsidRPr="00D16128">
              <w:rPr>
                <w:iCs/>
              </w:rPr>
              <w:t>$</w:t>
            </w:r>
            <w:r w:rsidR="00487EB2">
              <w:rPr>
                <w:iCs/>
                <w:noProof/>
                <w:color w:val="000000"/>
                <w:highlight w:val="black"/>
              </w:rPr>
              <w:t>''''''''''''''''''</w:t>
            </w:r>
          </w:p>
        </w:tc>
        <w:tc>
          <w:tcPr>
            <w:tcW w:w="1701" w:type="dxa"/>
            <w:vAlign w:val="center"/>
          </w:tcPr>
          <w:p w:rsidR="00DD794C" w:rsidRPr="00A944A5" w:rsidRDefault="00DD794C" w:rsidP="00D0572A">
            <w:pPr>
              <w:pStyle w:val="Tabletext"/>
              <w:jc w:val="center"/>
            </w:pPr>
            <w:r w:rsidRPr="00765B57">
              <w:rPr>
                <w:iCs/>
              </w:rPr>
              <w:t>$</w:t>
            </w:r>
            <w:r w:rsidR="00487EB2">
              <w:rPr>
                <w:iCs/>
                <w:noProof/>
                <w:color w:val="000000"/>
                <w:highlight w:val="black"/>
              </w:rPr>
              <w:t>''''''''''''''''''''''</w:t>
            </w:r>
          </w:p>
        </w:tc>
        <w:tc>
          <w:tcPr>
            <w:tcW w:w="2472" w:type="dxa"/>
            <w:vAlign w:val="center"/>
          </w:tcPr>
          <w:p w:rsidR="00DD794C" w:rsidRPr="00A944A5" w:rsidRDefault="00DD794C" w:rsidP="00D0572A">
            <w:pPr>
              <w:pStyle w:val="Tabletext"/>
              <w:jc w:val="center"/>
            </w:pPr>
            <w:r w:rsidRPr="00A944A5">
              <w:rPr>
                <w:iCs/>
              </w:rPr>
              <w:t>-$</w:t>
            </w:r>
            <w:r w:rsidR="00487EB2">
              <w:rPr>
                <w:iCs/>
                <w:noProof/>
                <w:color w:val="000000"/>
                <w:highlight w:val="black"/>
              </w:rPr>
              <w:t>'''''''''''''''''''''</w:t>
            </w:r>
          </w:p>
        </w:tc>
      </w:tr>
      <w:tr w:rsidR="00DD794C" w:rsidTr="00D0572A">
        <w:tc>
          <w:tcPr>
            <w:tcW w:w="3369" w:type="dxa"/>
            <w:vAlign w:val="center"/>
          </w:tcPr>
          <w:p w:rsidR="00DD794C" w:rsidRPr="00A944A5" w:rsidRDefault="00DD794C" w:rsidP="00D0572A">
            <w:pPr>
              <w:pStyle w:val="Tabletext"/>
            </w:pPr>
            <w:r w:rsidRPr="004364B8">
              <w:rPr>
                <w:iCs/>
              </w:rPr>
              <w:t xml:space="preserve">Total costs for monitoring and managing adverse events over </w:t>
            </w:r>
            <w:r>
              <w:rPr>
                <w:iCs/>
              </w:rPr>
              <w:t>6 month</w:t>
            </w:r>
            <w:r w:rsidRPr="004364B8">
              <w:rPr>
                <w:iCs/>
              </w:rPr>
              <w:t>s</w:t>
            </w:r>
          </w:p>
        </w:tc>
        <w:tc>
          <w:tcPr>
            <w:tcW w:w="1701" w:type="dxa"/>
            <w:vAlign w:val="center"/>
          </w:tcPr>
          <w:p w:rsidR="00DD794C" w:rsidRPr="00A944A5" w:rsidRDefault="00DD794C" w:rsidP="00D0572A">
            <w:pPr>
              <w:pStyle w:val="Tabletext"/>
              <w:jc w:val="center"/>
            </w:pPr>
            <w:r w:rsidRPr="00765B57">
              <w:rPr>
                <w:iCs/>
              </w:rPr>
              <w:t>$</w:t>
            </w:r>
            <w:r w:rsidR="00487EB2">
              <w:rPr>
                <w:iCs/>
                <w:noProof/>
                <w:color w:val="000000"/>
                <w:highlight w:val="black"/>
              </w:rPr>
              <w:t>''''''''''''''</w:t>
            </w:r>
          </w:p>
        </w:tc>
        <w:tc>
          <w:tcPr>
            <w:tcW w:w="1701" w:type="dxa"/>
            <w:vAlign w:val="center"/>
          </w:tcPr>
          <w:p w:rsidR="00DD794C" w:rsidRPr="00A944A5" w:rsidRDefault="00DD794C" w:rsidP="00D0572A">
            <w:pPr>
              <w:pStyle w:val="Tabletext"/>
              <w:jc w:val="center"/>
            </w:pPr>
            <w:r w:rsidRPr="00765B57">
              <w:rPr>
                <w:iCs/>
              </w:rPr>
              <w:t>$0.00</w:t>
            </w:r>
          </w:p>
        </w:tc>
        <w:tc>
          <w:tcPr>
            <w:tcW w:w="2472" w:type="dxa"/>
            <w:vAlign w:val="center"/>
          </w:tcPr>
          <w:p w:rsidR="00DD794C" w:rsidRPr="00A944A5" w:rsidRDefault="00DD794C" w:rsidP="00D0572A">
            <w:pPr>
              <w:pStyle w:val="Tabletext"/>
              <w:jc w:val="center"/>
            </w:pPr>
            <w:r w:rsidRPr="00765B57">
              <w:rPr>
                <w:iCs/>
              </w:rPr>
              <w:t>$</w:t>
            </w:r>
            <w:r w:rsidR="00487EB2">
              <w:rPr>
                <w:iCs/>
                <w:noProof/>
                <w:color w:val="000000"/>
                <w:highlight w:val="black"/>
              </w:rPr>
              <w:t>''''''''''''''</w:t>
            </w:r>
          </w:p>
        </w:tc>
      </w:tr>
      <w:tr w:rsidR="00DD794C" w:rsidTr="00D0572A">
        <w:tc>
          <w:tcPr>
            <w:tcW w:w="3369" w:type="dxa"/>
            <w:vAlign w:val="center"/>
          </w:tcPr>
          <w:p w:rsidR="00DD794C" w:rsidRDefault="00DD794C" w:rsidP="00D0572A">
            <w:pPr>
              <w:pStyle w:val="Tabletext"/>
            </w:pPr>
            <w:r w:rsidRPr="00A944A5">
              <w:t>Total costs over 6 months</w:t>
            </w:r>
            <w:r w:rsidRPr="00A944A5">
              <w:br/>
              <w:t>excluding MBS administration costs:</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2472" w:type="dxa"/>
            <w:vAlign w:val="center"/>
          </w:tcPr>
          <w:p w:rsidR="00DD794C" w:rsidRDefault="00DD794C" w:rsidP="00D0572A">
            <w:pPr>
              <w:pStyle w:val="Tabletext"/>
              <w:jc w:val="center"/>
            </w:pPr>
            <w:r w:rsidRPr="00A944A5">
              <w:t>-$</w:t>
            </w:r>
            <w:r w:rsidR="00487EB2">
              <w:rPr>
                <w:noProof/>
                <w:color w:val="000000"/>
                <w:highlight w:val="black"/>
              </w:rPr>
              <w:t>'''''''''''''''''''</w:t>
            </w:r>
          </w:p>
        </w:tc>
      </w:tr>
      <w:tr w:rsidR="00DD794C" w:rsidTr="00D0572A">
        <w:tc>
          <w:tcPr>
            <w:tcW w:w="9243" w:type="dxa"/>
            <w:gridSpan w:val="4"/>
            <w:vAlign w:val="center"/>
          </w:tcPr>
          <w:p w:rsidR="00DD794C" w:rsidRPr="00B33DBA" w:rsidRDefault="00DD794C" w:rsidP="00D0572A">
            <w:pPr>
              <w:pStyle w:val="Tabletext"/>
              <w:rPr>
                <w:b/>
              </w:rPr>
            </w:pPr>
            <w:r>
              <w:rPr>
                <w:b/>
              </w:rPr>
              <w:t>Drug costs over 12 months</w:t>
            </w:r>
          </w:p>
        </w:tc>
      </w:tr>
      <w:tr w:rsidR="00DD794C" w:rsidTr="00D0572A">
        <w:tc>
          <w:tcPr>
            <w:tcW w:w="3369" w:type="dxa"/>
            <w:vAlign w:val="center"/>
          </w:tcPr>
          <w:p w:rsidR="00DD794C" w:rsidRPr="00A944A5" w:rsidRDefault="00DD794C" w:rsidP="00D0572A">
            <w:pPr>
              <w:pStyle w:val="Tabletext"/>
            </w:pPr>
            <w:r w:rsidRPr="00D16128">
              <w:rPr>
                <w:rFonts w:cstheme="minorHAnsi"/>
                <w:szCs w:val="20"/>
              </w:rPr>
              <w:t xml:space="preserve">Average number of administrations over </w:t>
            </w:r>
            <w:r>
              <w:rPr>
                <w:rFonts w:cstheme="minorHAnsi"/>
                <w:szCs w:val="20"/>
              </w:rPr>
              <w:t>12 month</w:t>
            </w:r>
            <w:r w:rsidRPr="00D16128">
              <w:rPr>
                <w:rFonts w:cstheme="minorHAnsi"/>
                <w:szCs w:val="20"/>
              </w:rPr>
              <w:t>s</w:t>
            </w:r>
          </w:p>
        </w:tc>
        <w:tc>
          <w:tcPr>
            <w:tcW w:w="1701" w:type="dxa"/>
            <w:vAlign w:val="center"/>
          </w:tcPr>
          <w:p w:rsidR="00DD794C" w:rsidRPr="00487EB2" w:rsidRDefault="00487EB2" w:rsidP="00D0572A">
            <w:pPr>
              <w:pStyle w:val="Tabletext"/>
              <w:jc w:val="center"/>
              <w:rPr>
                <w:highlight w:val="black"/>
              </w:rPr>
            </w:pPr>
            <w:r>
              <w:rPr>
                <w:rFonts w:cstheme="minorHAnsi"/>
                <w:noProof/>
                <w:color w:val="000000"/>
                <w:szCs w:val="20"/>
                <w:highlight w:val="black"/>
              </w:rPr>
              <w:t>''''''''</w:t>
            </w:r>
          </w:p>
        </w:tc>
        <w:tc>
          <w:tcPr>
            <w:tcW w:w="1701" w:type="dxa"/>
            <w:vAlign w:val="center"/>
          </w:tcPr>
          <w:p w:rsidR="00DD794C" w:rsidRPr="00487EB2" w:rsidRDefault="00487EB2" w:rsidP="00D0572A">
            <w:pPr>
              <w:pStyle w:val="Tabletext"/>
              <w:jc w:val="center"/>
              <w:rPr>
                <w:highlight w:val="black"/>
              </w:rPr>
            </w:pPr>
            <w:r>
              <w:rPr>
                <w:rFonts w:cstheme="minorHAnsi"/>
                <w:noProof/>
                <w:color w:val="000000"/>
                <w:szCs w:val="20"/>
                <w:highlight w:val="black"/>
              </w:rPr>
              <w:t>''''''''</w:t>
            </w:r>
          </w:p>
        </w:tc>
        <w:tc>
          <w:tcPr>
            <w:tcW w:w="2472" w:type="dxa"/>
            <w:vAlign w:val="center"/>
          </w:tcPr>
          <w:p w:rsidR="00DD794C" w:rsidRPr="00487EB2" w:rsidRDefault="00487EB2" w:rsidP="00D0572A">
            <w:pPr>
              <w:pStyle w:val="Tabletext"/>
              <w:jc w:val="center"/>
              <w:rPr>
                <w:highlight w:val="black"/>
              </w:rPr>
            </w:pPr>
            <w:r>
              <w:rPr>
                <w:noProof/>
                <w:color w:val="000000"/>
                <w:highlight w:val="black"/>
              </w:rPr>
              <w:t>'''''''''</w:t>
            </w:r>
          </w:p>
        </w:tc>
      </w:tr>
      <w:tr w:rsidR="00DD794C" w:rsidTr="00D0572A">
        <w:tc>
          <w:tcPr>
            <w:tcW w:w="3369" w:type="dxa"/>
            <w:vAlign w:val="center"/>
          </w:tcPr>
          <w:p w:rsidR="00DD794C" w:rsidRPr="00A944A5" w:rsidRDefault="00DD794C" w:rsidP="00D0572A">
            <w:pPr>
              <w:pStyle w:val="Tabletext"/>
            </w:pPr>
            <w:r w:rsidRPr="00D16128">
              <w:rPr>
                <w:rFonts w:cstheme="minorHAnsi"/>
                <w:iCs/>
                <w:szCs w:val="20"/>
              </w:rPr>
              <w:t xml:space="preserve">Total drug costs per patient over </w:t>
            </w:r>
            <w:r>
              <w:rPr>
                <w:rFonts w:cstheme="minorHAnsi"/>
                <w:iCs/>
                <w:szCs w:val="20"/>
              </w:rPr>
              <w:t>12 month</w:t>
            </w:r>
            <w:r w:rsidRPr="00D16128">
              <w:rPr>
                <w:rFonts w:cstheme="minorHAnsi"/>
                <w:iCs/>
                <w:szCs w:val="20"/>
              </w:rPr>
              <w:t>s</w:t>
            </w:r>
          </w:p>
        </w:tc>
        <w:tc>
          <w:tcPr>
            <w:tcW w:w="1701" w:type="dxa"/>
            <w:vAlign w:val="center"/>
          </w:tcPr>
          <w:p w:rsidR="00DD794C" w:rsidRPr="00A944A5" w:rsidRDefault="00DD794C" w:rsidP="00D0572A">
            <w:pPr>
              <w:pStyle w:val="Tabletext"/>
              <w:jc w:val="center"/>
            </w:pPr>
            <w:r w:rsidRPr="00765B57">
              <w:rPr>
                <w:rFonts w:cstheme="minorHAnsi"/>
                <w:szCs w:val="20"/>
              </w:rPr>
              <w:t>$</w:t>
            </w:r>
            <w:r w:rsidR="00487EB2">
              <w:rPr>
                <w:rFonts w:cstheme="minorHAnsi"/>
                <w:noProof/>
                <w:color w:val="000000"/>
                <w:szCs w:val="20"/>
                <w:highlight w:val="black"/>
              </w:rPr>
              <w:t>'''''''''''''''''''''</w:t>
            </w:r>
          </w:p>
        </w:tc>
        <w:tc>
          <w:tcPr>
            <w:tcW w:w="1701" w:type="dxa"/>
            <w:vAlign w:val="center"/>
          </w:tcPr>
          <w:p w:rsidR="00DD794C" w:rsidRPr="00A944A5" w:rsidRDefault="00DD794C" w:rsidP="00D0572A">
            <w:pPr>
              <w:pStyle w:val="Tabletext"/>
              <w:jc w:val="center"/>
            </w:pPr>
            <w:r w:rsidRPr="00765B57">
              <w:rPr>
                <w:rFonts w:cstheme="minorHAnsi"/>
                <w:szCs w:val="20"/>
              </w:rPr>
              <w:t>$</w:t>
            </w:r>
            <w:r w:rsidR="00487EB2">
              <w:rPr>
                <w:rFonts w:cstheme="minorHAnsi"/>
                <w:noProof/>
                <w:color w:val="000000"/>
                <w:szCs w:val="20"/>
                <w:highlight w:val="black"/>
              </w:rPr>
              <w:t>''''''''''''''''''''</w:t>
            </w:r>
          </w:p>
        </w:tc>
        <w:tc>
          <w:tcPr>
            <w:tcW w:w="2472" w:type="dxa"/>
            <w:vAlign w:val="center"/>
          </w:tcPr>
          <w:p w:rsidR="00DD794C" w:rsidRPr="00A944A5" w:rsidRDefault="00DD794C" w:rsidP="00D0572A">
            <w:pPr>
              <w:pStyle w:val="Tabletext"/>
              <w:jc w:val="center"/>
            </w:pPr>
            <w:r w:rsidRPr="00A944A5">
              <w:rPr>
                <w:rFonts w:cstheme="minorHAnsi"/>
                <w:szCs w:val="20"/>
              </w:rPr>
              <w:t>-$</w:t>
            </w:r>
            <w:r w:rsidR="00487EB2">
              <w:rPr>
                <w:rFonts w:cstheme="minorHAnsi"/>
                <w:noProof/>
                <w:color w:val="000000"/>
                <w:szCs w:val="20"/>
                <w:highlight w:val="black"/>
              </w:rPr>
              <w:t>'''''''''''''''''''</w:t>
            </w:r>
          </w:p>
        </w:tc>
      </w:tr>
      <w:tr w:rsidR="00DD794C" w:rsidTr="00D0572A">
        <w:tc>
          <w:tcPr>
            <w:tcW w:w="3369" w:type="dxa"/>
            <w:vAlign w:val="center"/>
          </w:tcPr>
          <w:p w:rsidR="00DD794C" w:rsidRPr="00A944A5" w:rsidRDefault="00DD794C" w:rsidP="00D0572A">
            <w:pPr>
              <w:pStyle w:val="Tabletext"/>
            </w:pPr>
            <w:r w:rsidRPr="004364B8">
              <w:rPr>
                <w:rFonts w:cstheme="minorHAnsi"/>
                <w:iCs/>
                <w:szCs w:val="20"/>
              </w:rPr>
              <w:t xml:space="preserve">Total costs for monitoring and managing adverse events over </w:t>
            </w:r>
            <w:r>
              <w:rPr>
                <w:rFonts w:cstheme="minorHAnsi"/>
                <w:iCs/>
                <w:szCs w:val="20"/>
              </w:rPr>
              <w:t>12 month</w:t>
            </w:r>
            <w:r w:rsidRPr="004364B8">
              <w:rPr>
                <w:rFonts w:cstheme="minorHAnsi"/>
                <w:iCs/>
                <w:szCs w:val="20"/>
              </w:rPr>
              <w:t>s</w:t>
            </w:r>
          </w:p>
        </w:tc>
        <w:tc>
          <w:tcPr>
            <w:tcW w:w="1701" w:type="dxa"/>
            <w:vAlign w:val="center"/>
          </w:tcPr>
          <w:p w:rsidR="00DD794C" w:rsidRPr="00A944A5" w:rsidRDefault="00DD794C" w:rsidP="00D0572A">
            <w:pPr>
              <w:pStyle w:val="Tabletext"/>
              <w:jc w:val="center"/>
            </w:pPr>
            <w:r w:rsidRPr="00765B57">
              <w:rPr>
                <w:rFonts w:cstheme="minorHAnsi"/>
                <w:szCs w:val="20"/>
              </w:rPr>
              <w:t>$</w:t>
            </w:r>
            <w:r w:rsidR="00487EB2">
              <w:rPr>
                <w:rFonts w:cstheme="minorHAnsi"/>
                <w:noProof/>
                <w:color w:val="000000"/>
                <w:szCs w:val="20"/>
                <w:highlight w:val="black"/>
              </w:rPr>
              <w:t>'''''''''''''''</w:t>
            </w:r>
          </w:p>
        </w:tc>
        <w:tc>
          <w:tcPr>
            <w:tcW w:w="1701" w:type="dxa"/>
            <w:vAlign w:val="center"/>
          </w:tcPr>
          <w:p w:rsidR="00DD794C" w:rsidRPr="00A944A5" w:rsidRDefault="00DD794C" w:rsidP="00D0572A">
            <w:pPr>
              <w:pStyle w:val="Tabletext"/>
              <w:jc w:val="center"/>
            </w:pPr>
            <w:r w:rsidRPr="00765B57">
              <w:rPr>
                <w:rFonts w:cstheme="minorHAnsi"/>
                <w:szCs w:val="20"/>
              </w:rPr>
              <w:t>$0.00</w:t>
            </w:r>
          </w:p>
        </w:tc>
        <w:tc>
          <w:tcPr>
            <w:tcW w:w="2472" w:type="dxa"/>
            <w:vAlign w:val="center"/>
          </w:tcPr>
          <w:p w:rsidR="00DD794C" w:rsidRPr="00A944A5" w:rsidRDefault="00DD794C" w:rsidP="00D0572A">
            <w:pPr>
              <w:pStyle w:val="Tabletext"/>
              <w:jc w:val="center"/>
            </w:pPr>
            <w:r w:rsidRPr="00765B57">
              <w:rPr>
                <w:rFonts w:cstheme="minorHAnsi"/>
                <w:szCs w:val="20"/>
              </w:rPr>
              <w:t>$</w:t>
            </w:r>
            <w:r w:rsidR="00487EB2">
              <w:rPr>
                <w:rFonts w:cstheme="minorHAnsi"/>
                <w:noProof/>
                <w:color w:val="000000"/>
                <w:szCs w:val="20"/>
                <w:highlight w:val="black"/>
              </w:rPr>
              <w:t>'''''''''''''''''</w:t>
            </w:r>
          </w:p>
        </w:tc>
      </w:tr>
      <w:tr w:rsidR="00DD794C" w:rsidTr="00D0572A">
        <w:tc>
          <w:tcPr>
            <w:tcW w:w="3369" w:type="dxa"/>
            <w:vAlign w:val="center"/>
          </w:tcPr>
          <w:p w:rsidR="00DD794C" w:rsidRDefault="00DD794C" w:rsidP="00D0572A">
            <w:pPr>
              <w:pStyle w:val="Tabletext"/>
            </w:pPr>
            <w:r w:rsidRPr="00A944A5">
              <w:t>Total costs over 12 months</w:t>
            </w:r>
            <w:r w:rsidRPr="00A944A5">
              <w:br/>
              <w:t>excluding MBS administration costs:</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2472" w:type="dxa"/>
            <w:vAlign w:val="center"/>
          </w:tcPr>
          <w:p w:rsidR="00DD794C" w:rsidRDefault="00DD794C" w:rsidP="00D0572A">
            <w:pPr>
              <w:pStyle w:val="Tabletext"/>
              <w:jc w:val="center"/>
            </w:pPr>
            <w:r w:rsidRPr="00A944A5">
              <w:t>-$</w:t>
            </w:r>
            <w:r w:rsidR="00487EB2">
              <w:rPr>
                <w:noProof/>
                <w:color w:val="000000"/>
                <w:highlight w:val="black"/>
              </w:rPr>
              <w:t>'''''''''''''''''''</w:t>
            </w:r>
          </w:p>
        </w:tc>
      </w:tr>
      <w:tr w:rsidR="00DD794C" w:rsidTr="00D0572A">
        <w:tc>
          <w:tcPr>
            <w:tcW w:w="9243" w:type="dxa"/>
            <w:gridSpan w:val="4"/>
            <w:vAlign w:val="center"/>
          </w:tcPr>
          <w:p w:rsidR="00DD794C" w:rsidRPr="00B33DBA" w:rsidRDefault="00DD794C" w:rsidP="00D0572A">
            <w:pPr>
              <w:pStyle w:val="Tabletext"/>
              <w:rPr>
                <w:b/>
              </w:rPr>
            </w:pPr>
            <w:r>
              <w:rPr>
                <w:b/>
              </w:rPr>
              <w:t xml:space="preserve">Drug costs over 3 years </w:t>
            </w:r>
          </w:p>
        </w:tc>
      </w:tr>
      <w:tr w:rsidR="00DD794C" w:rsidTr="00D0572A">
        <w:tc>
          <w:tcPr>
            <w:tcW w:w="3369" w:type="dxa"/>
            <w:vAlign w:val="center"/>
          </w:tcPr>
          <w:p w:rsidR="00DD794C" w:rsidRPr="00A944A5" w:rsidRDefault="00DD794C" w:rsidP="00D0572A">
            <w:pPr>
              <w:pStyle w:val="Tabletext"/>
            </w:pPr>
            <w:r w:rsidRPr="00D16128">
              <w:rPr>
                <w:rFonts w:cstheme="minorHAnsi"/>
                <w:szCs w:val="20"/>
              </w:rPr>
              <w:t xml:space="preserve">Average number of administrations over 3 </w:t>
            </w:r>
            <w:r>
              <w:rPr>
                <w:rFonts w:cstheme="minorHAnsi"/>
                <w:szCs w:val="20"/>
              </w:rPr>
              <w:t>years</w:t>
            </w:r>
          </w:p>
        </w:tc>
        <w:tc>
          <w:tcPr>
            <w:tcW w:w="1701" w:type="dxa"/>
            <w:vAlign w:val="center"/>
          </w:tcPr>
          <w:p w:rsidR="00DD794C" w:rsidRPr="00487EB2" w:rsidRDefault="00487EB2" w:rsidP="00D0572A">
            <w:pPr>
              <w:pStyle w:val="Tabletext"/>
              <w:jc w:val="center"/>
              <w:rPr>
                <w:highlight w:val="black"/>
              </w:rPr>
            </w:pPr>
            <w:r>
              <w:rPr>
                <w:rFonts w:cstheme="minorHAnsi"/>
                <w:noProof/>
                <w:color w:val="000000"/>
                <w:szCs w:val="20"/>
                <w:highlight w:val="black"/>
              </w:rPr>
              <w:t>''''''''</w:t>
            </w:r>
          </w:p>
        </w:tc>
        <w:tc>
          <w:tcPr>
            <w:tcW w:w="1701" w:type="dxa"/>
            <w:vAlign w:val="center"/>
          </w:tcPr>
          <w:p w:rsidR="00DD794C" w:rsidRPr="00487EB2" w:rsidRDefault="00487EB2" w:rsidP="00D0572A">
            <w:pPr>
              <w:pStyle w:val="Tabletext"/>
              <w:jc w:val="center"/>
              <w:rPr>
                <w:highlight w:val="black"/>
              </w:rPr>
            </w:pPr>
            <w:r>
              <w:rPr>
                <w:rFonts w:cstheme="minorHAnsi"/>
                <w:noProof/>
                <w:color w:val="000000"/>
                <w:szCs w:val="20"/>
                <w:highlight w:val="black"/>
              </w:rPr>
              <w:t>''''''''''</w:t>
            </w:r>
          </w:p>
        </w:tc>
        <w:tc>
          <w:tcPr>
            <w:tcW w:w="2472" w:type="dxa"/>
            <w:vAlign w:val="center"/>
          </w:tcPr>
          <w:p w:rsidR="00DD794C" w:rsidRPr="00487EB2" w:rsidRDefault="00487EB2" w:rsidP="00D0572A">
            <w:pPr>
              <w:pStyle w:val="Tabletext"/>
              <w:jc w:val="center"/>
              <w:rPr>
                <w:highlight w:val="black"/>
              </w:rPr>
            </w:pPr>
            <w:r>
              <w:rPr>
                <w:noProof/>
                <w:color w:val="000000"/>
                <w:highlight w:val="black"/>
              </w:rPr>
              <w:t>''''''''''</w:t>
            </w:r>
          </w:p>
        </w:tc>
      </w:tr>
      <w:tr w:rsidR="00DD794C" w:rsidTr="00D0572A">
        <w:tc>
          <w:tcPr>
            <w:tcW w:w="3369" w:type="dxa"/>
            <w:vAlign w:val="center"/>
          </w:tcPr>
          <w:p w:rsidR="00DD794C" w:rsidRPr="00A944A5" w:rsidRDefault="00DD794C" w:rsidP="00D0572A">
            <w:pPr>
              <w:pStyle w:val="Tabletext"/>
            </w:pPr>
            <w:r w:rsidRPr="00D16128">
              <w:rPr>
                <w:rFonts w:cstheme="minorHAnsi"/>
                <w:iCs/>
                <w:szCs w:val="20"/>
              </w:rPr>
              <w:t xml:space="preserve">Total drug costs per patient over 3 </w:t>
            </w:r>
            <w:r>
              <w:rPr>
                <w:rFonts w:cstheme="minorHAnsi"/>
                <w:iCs/>
                <w:szCs w:val="20"/>
              </w:rPr>
              <w:t>years</w:t>
            </w:r>
          </w:p>
        </w:tc>
        <w:tc>
          <w:tcPr>
            <w:tcW w:w="1701" w:type="dxa"/>
            <w:vAlign w:val="center"/>
          </w:tcPr>
          <w:p w:rsidR="00DD794C" w:rsidRPr="00A944A5" w:rsidRDefault="00DD794C" w:rsidP="00D0572A">
            <w:pPr>
              <w:pStyle w:val="Tabletext"/>
              <w:jc w:val="center"/>
            </w:pPr>
            <w:r w:rsidRPr="00B970D6">
              <w:rPr>
                <w:rFonts w:cstheme="minorHAnsi"/>
                <w:szCs w:val="20"/>
              </w:rPr>
              <w:t>$</w:t>
            </w:r>
            <w:r w:rsidR="00487EB2">
              <w:rPr>
                <w:rFonts w:cstheme="minorHAnsi"/>
                <w:noProof/>
                <w:color w:val="000000"/>
                <w:szCs w:val="20"/>
                <w:highlight w:val="black"/>
              </w:rPr>
              <w:t>''''''''''''''''''''''</w:t>
            </w:r>
          </w:p>
        </w:tc>
        <w:tc>
          <w:tcPr>
            <w:tcW w:w="1701" w:type="dxa"/>
            <w:vAlign w:val="center"/>
          </w:tcPr>
          <w:p w:rsidR="00DD794C" w:rsidRPr="00A944A5" w:rsidRDefault="00DD794C" w:rsidP="00D0572A">
            <w:pPr>
              <w:pStyle w:val="Tabletext"/>
              <w:jc w:val="center"/>
            </w:pPr>
            <w:r w:rsidRPr="00B970D6">
              <w:rPr>
                <w:rFonts w:cstheme="minorHAnsi"/>
                <w:szCs w:val="20"/>
              </w:rPr>
              <w:t>$</w:t>
            </w:r>
            <w:r w:rsidR="00487EB2">
              <w:rPr>
                <w:rFonts w:cstheme="minorHAnsi"/>
                <w:noProof/>
                <w:color w:val="000000"/>
                <w:szCs w:val="20"/>
                <w:highlight w:val="black"/>
              </w:rPr>
              <w:t>'''''''''''''''''''''</w:t>
            </w:r>
          </w:p>
        </w:tc>
        <w:tc>
          <w:tcPr>
            <w:tcW w:w="2472" w:type="dxa"/>
            <w:vAlign w:val="center"/>
          </w:tcPr>
          <w:p w:rsidR="00DD794C" w:rsidRPr="00A944A5" w:rsidRDefault="00DD794C" w:rsidP="00D0572A">
            <w:pPr>
              <w:pStyle w:val="Tabletext"/>
              <w:jc w:val="center"/>
            </w:pPr>
            <w:r w:rsidRPr="00A944A5">
              <w:rPr>
                <w:rFonts w:cstheme="minorHAnsi"/>
                <w:szCs w:val="20"/>
              </w:rPr>
              <w:t>-$</w:t>
            </w:r>
            <w:r w:rsidR="00487EB2">
              <w:rPr>
                <w:rFonts w:cstheme="minorHAnsi"/>
                <w:noProof/>
                <w:color w:val="000000"/>
                <w:szCs w:val="20"/>
                <w:highlight w:val="black"/>
              </w:rPr>
              <w:t>''''''''''''''''''''</w:t>
            </w:r>
          </w:p>
        </w:tc>
      </w:tr>
      <w:tr w:rsidR="00DD794C" w:rsidTr="00D0572A">
        <w:tc>
          <w:tcPr>
            <w:tcW w:w="3369" w:type="dxa"/>
            <w:vAlign w:val="center"/>
          </w:tcPr>
          <w:p w:rsidR="00DD794C" w:rsidRPr="00A944A5" w:rsidRDefault="00DD794C" w:rsidP="00D0572A">
            <w:pPr>
              <w:pStyle w:val="Tabletext"/>
            </w:pPr>
            <w:r w:rsidRPr="004364B8">
              <w:rPr>
                <w:rFonts w:cstheme="minorHAnsi"/>
                <w:iCs/>
                <w:szCs w:val="20"/>
              </w:rPr>
              <w:t xml:space="preserve">Total costs for monitoring and managing adverse events over 3 </w:t>
            </w:r>
            <w:r>
              <w:rPr>
                <w:rFonts w:cstheme="minorHAnsi"/>
                <w:iCs/>
                <w:szCs w:val="20"/>
              </w:rPr>
              <w:t>years</w:t>
            </w:r>
          </w:p>
        </w:tc>
        <w:tc>
          <w:tcPr>
            <w:tcW w:w="1701" w:type="dxa"/>
            <w:vAlign w:val="center"/>
          </w:tcPr>
          <w:p w:rsidR="00DD794C" w:rsidRPr="00A944A5" w:rsidRDefault="00DD794C" w:rsidP="00D0572A">
            <w:pPr>
              <w:pStyle w:val="Tabletext"/>
              <w:jc w:val="center"/>
            </w:pPr>
            <w:r w:rsidRPr="00B970D6">
              <w:rPr>
                <w:rFonts w:cstheme="minorHAnsi"/>
                <w:szCs w:val="20"/>
              </w:rPr>
              <w:t>$</w:t>
            </w:r>
            <w:r w:rsidR="00487EB2">
              <w:rPr>
                <w:rFonts w:cstheme="minorHAnsi"/>
                <w:noProof/>
                <w:color w:val="000000"/>
                <w:szCs w:val="20"/>
                <w:highlight w:val="black"/>
              </w:rPr>
              <w:t>'''''''''''''''</w:t>
            </w:r>
          </w:p>
        </w:tc>
        <w:tc>
          <w:tcPr>
            <w:tcW w:w="1701" w:type="dxa"/>
            <w:vAlign w:val="center"/>
          </w:tcPr>
          <w:p w:rsidR="00DD794C" w:rsidRPr="00A944A5" w:rsidRDefault="00DD794C" w:rsidP="00D0572A">
            <w:pPr>
              <w:pStyle w:val="Tabletext"/>
              <w:jc w:val="center"/>
            </w:pPr>
            <w:r w:rsidRPr="00B970D6">
              <w:rPr>
                <w:rFonts w:cstheme="minorHAnsi"/>
                <w:szCs w:val="20"/>
              </w:rPr>
              <w:t>$0.00</w:t>
            </w:r>
          </w:p>
        </w:tc>
        <w:tc>
          <w:tcPr>
            <w:tcW w:w="2472" w:type="dxa"/>
            <w:vAlign w:val="center"/>
          </w:tcPr>
          <w:p w:rsidR="00DD794C" w:rsidRPr="00A944A5" w:rsidRDefault="00DD794C" w:rsidP="00D0572A">
            <w:pPr>
              <w:pStyle w:val="Tabletext"/>
              <w:jc w:val="center"/>
            </w:pPr>
            <w:r w:rsidRPr="00B970D6">
              <w:rPr>
                <w:rFonts w:cstheme="minorHAnsi"/>
                <w:szCs w:val="20"/>
              </w:rPr>
              <w:t>$</w:t>
            </w:r>
            <w:r w:rsidR="00487EB2">
              <w:rPr>
                <w:rFonts w:cstheme="minorHAnsi"/>
                <w:noProof/>
                <w:color w:val="000000"/>
                <w:szCs w:val="20"/>
                <w:highlight w:val="black"/>
              </w:rPr>
              <w:t>'''''''''''''''''</w:t>
            </w:r>
          </w:p>
        </w:tc>
      </w:tr>
      <w:tr w:rsidR="00DD794C" w:rsidTr="00D0572A">
        <w:tc>
          <w:tcPr>
            <w:tcW w:w="3369" w:type="dxa"/>
            <w:vAlign w:val="center"/>
          </w:tcPr>
          <w:p w:rsidR="00DD794C" w:rsidRPr="004A10B5" w:rsidRDefault="00DD794C" w:rsidP="00D0572A">
            <w:pPr>
              <w:pStyle w:val="Tabletext"/>
            </w:pPr>
            <w:r w:rsidRPr="004A10B5">
              <w:t>Total costs over</w:t>
            </w:r>
            <w:r>
              <w:t xml:space="preserve"> 36 months (</w:t>
            </w:r>
            <w:r w:rsidRPr="004A10B5">
              <w:t>3 years</w:t>
            </w:r>
            <w:r>
              <w:t>)</w:t>
            </w:r>
            <w:r w:rsidRPr="004A10B5">
              <w:br/>
              <w:t>excluding MBS administration costs:</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1701" w:type="dxa"/>
            <w:vAlign w:val="center"/>
          </w:tcPr>
          <w:p w:rsidR="00DD794C" w:rsidRDefault="00DD794C" w:rsidP="00D0572A">
            <w:pPr>
              <w:pStyle w:val="Tabletext"/>
              <w:jc w:val="center"/>
            </w:pPr>
            <w:r w:rsidRPr="00A944A5">
              <w:t>$</w:t>
            </w:r>
            <w:r w:rsidR="00487EB2">
              <w:rPr>
                <w:noProof/>
                <w:color w:val="000000"/>
                <w:highlight w:val="black"/>
              </w:rPr>
              <w:t>'''''''''''''''''''''''</w:t>
            </w:r>
          </w:p>
        </w:tc>
        <w:tc>
          <w:tcPr>
            <w:tcW w:w="2472" w:type="dxa"/>
            <w:vAlign w:val="center"/>
          </w:tcPr>
          <w:p w:rsidR="00DD794C" w:rsidRDefault="00DD794C" w:rsidP="00D0572A">
            <w:pPr>
              <w:pStyle w:val="Tabletext"/>
              <w:jc w:val="center"/>
            </w:pPr>
            <w:r w:rsidRPr="00A944A5">
              <w:t>-$</w:t>
            </w:r>
            <w:r w:rsidR="00487EB2">
              <w:rPr>
                <w:noProof/>
                <w:color w:val="000000"/>
                <w:highlight w:val="black"/>
              </w:rPr>
              <w:t>''''''''''''''''''''''</w:t>
            </w:r>
          </w:p>
        </w:tc>
      </w:tr>
    </w:tbl>
    <w:p w:rsidR="00DD794C" w:rsidRPr="00020EC3" w:rsidRDefault="00DD794C" w:rsidP="00DD794C">
      <w:pPr>
        <w:rPr>
          <w:rFonts w:ascii="Arial Narrow" w:hAnsi="Arial Narrow"/>
          <w:sz w:val="18"/>
          <w:szCs w:val="18"/>
        </w:rPr>
      </w:pPr>
      <w:r w:rsidRPr="00A944A5">
        <w:rPr>
          <w:rFonts w:ascii="Arial Narrow" w:hAnsi="Arial Narrow"/>
          <w:sz w:val="18"/>
          <w:szCs w:val="18"/>
        </w:rPr>
        <w:t>Source: Table 3.4.1, p.140</w:t>
      </w:r>
      <w:r>
        <w:rPr>
          <w:rFonts w:ascii="Arial Narrow" w:hAnsi="Arial Narrow"/>
          <w:sz w:val="18"/>
          <w:szCs w:val="18"/>
        </w:rPr>
        <w:t xml:space="preserve">; </w:t>
      </w:r>
      <w:r w:rsidRPr="00A944A5">
        <w:rPr>
          <w:rFonts w:ascii="Arial Narrow" w:hAnsi="Arial Narrow"/>
          <w:sz w:val="18"/>
          <w:szCs w:val="18"/>
        </w:rPr>
        <w:t xml:space="preserve">Table </w:t>
      </w:r>
      <w:r>
        <w:rPr>
          <w:rFonts w:ascii="Arial Narrow" w:hAnsi="Arial Narrow"/>
          <w:sz w:val="18"/>
          <w:szCs w:val="18"/>
        </w:rPr>
        <w:t xml:space="preserve">3.5.1, p.141; </w:t>
      </w:r>
      <w:r w:rsidRPr="00A944A5">
        <w:rPr>
          <w:rFonts w:ascii="Arial Narrow" w:hAnsi="Arial Narrow"/>
          <w:sz w:val="18"/>
          <w:szCs w:val="18"/>
        </w:rPr>
        <w:t xml:space="preserve">Table </w:t>
      </w:r>
      <w:r>
        <w:rPr>
          <w:rFonts w:ascii="Arial Narrow" w:hAnsi="Arial Narrow"/>
          <w:sz w:val="18"/>
          <w:szCs w:val="18"/>
        </w:rPr>
        <w:t xml:space="preserve">3.6.1, p.142; </w:t>
      </w:r>
      <w:r w:rsidRPr="00A944A5">
        <w:rPr>
          <w:rFonts w:ascii="Arial Narrow" w:hAnsi="Arial Narrow"/>
          <w:sz w:val="18"/>
          <w:szCs w:val="18"/>
        </w:rPr>
        <w:t xml:space="preserve">Table </w:t>
      </w:r>
      <w:r>
        <w:rPr>
          <w:rFonts w:ascii="Arial Narrow" w:hAnsi="Arial Narrow"/>
          <w:sz w:val="18"/>
          <w:szCs w:val="18"/>
        </w:rPr>
        <w:t xml:space="preserve">3.7.1, p.143 </w:t>
      </w:r>
      <w:r w:rsidRPr="00A944A5">
        <w:rPr>
          <w:rFonts w:ascii="Arial Narrow" w:hAnsi="Arial Narrow"/>
          <w:sz w:val="18"/>
          <w:szCs w:val="18"/>
        </w:rPr>
        <w:t>of the submission; ‘Economic and financial analyses- dexamethas</w:t>
      </w:r>
      <w:r>
        <w:rPr>
          <w:rFonts w:ascii="Arial Narrow" w:hAnsi="Arial Narrow"/>
          <w:sz w:val="18"/>
          <w:szCs w:val="18"/>
        </w:rPr>
        <w:t>one implant RVO March 2018.xls’</w:t>
      </w:r>
    </w:p>
    <w:p w:rsidR="004A10B5" w:rsidRPr="004A10B5" w:rsidRDefault="004A10B5" w:rsidP="00020EC3">
      <w:pPr>
        <w:widowControl/>
      </w:pPr>
    </w:p>
    <w:p w:rsidR="000107AD" w:rsidRPr="00014E52" w:rsidRDefault="000107AD" w:rsidP="00361734">
      <w:pPr>
        <w:pStyle w:val="ListParagraph"/>
        <w:widowControl/>
        <w:numPr>
          <w:ilvl w:val="1"/>
          <w:numId w:val="1"/>
        </w:numPr>
      </w:pPr>
      <w:r w:rsidRPr="00014E52">
        <w:t>The cost analysis was presented with and without MBS costs for administration (intravitreal injection proce</w:t>
      </w:r>
      <w:r w:rsidR="00C107A9" w:rsidRPr="00014E52">
        <w:t xml:space="preserve">dure and specialist attendance). Previously the PBAC determined </w:t>
      </w:r>
      <w:r w:rsidRPr="00014E52">
        <w:t xml:space="preserve">that not including MBS costs </w:t>
      </w:r>
      <w:r w:rsidR="00C107A9" w:rsidRPr="00014E52">
        <w:t xml:space="preserve">in the calculation of the price </w:t>
      </w:r>
      <w:r w:rsidRPr="00014E52">
        <w:t>was reasonable</w:t>
      </w:r>
      <w:r w:rsidR="00C107A9" w:rsidRPr="00014E52">
        <w:t xml:space="preserve"> as a pragmatic approach in </w:t>
      </w:r>
      <w:r w:rsidR="00094362">
        <w:t>DMO</w:t>
      </w:r>
      <w:r w:rsidRPr="00014E52">
        <w:t xml:space="preserve"> </w:t>
      </w:r>
      <w:r w:rsidRPr="00014E52">
        <w:rPr>
          <w:rFonts w:cs="Calibri"/>
          <w:snapToGrid/>
          <w:szCs w:val="24"/>
          <w:lang w:val="en-US" w:eastAsia="en-AU"/>
        </w:rPr>
        <w:t>(</w:t>
      </w:r>
      <w:r w:rsidR="00C107A9" w:rsidRPr="00014E52">
        <w:rPr>
          <w:rFonts w:cs="Calibri"/>
          <w:snapToGrid/>
          <w:szCs w:val="24"/>
          <w:lang w:val="en-US" w:eastAsia="en-AU"/>
        </w:rPr>
        <w:t>paragraph 6.34, D</w:t>
      </w:r>
      <w:r w:rsidRPr="00014E52">
        <w:rPr>
          <w:rFonts w:cs="Calibri"/>
          <w:snapToGrid/>
          <w:szCs w:val="24"/>
          <w:lang w:val="en-US" w:eastAsia="en-AU"/>
        </w:rPr>
        <w:t>examethasone PSD, March 2016).</w:t>
      </w:r>
    </w:p>
    <w:p w:rsidR="000107AD" w:rsidRPr="00014E52" w:rsidRDefault="00020EC3" w:rsidP="00361734">
      <w:pPr>
        <w:pStyle w:val="ListParagraph"/>
        <w:widowControl/>
        <w:numPr>
          <w:ilvl w:val="1"/>
          <w:numId w:val="1"/>
        </w:numPr>
      </w:pPr>
      <w:r w:rsidRPr="00014E52">
        <w:rPr>
          <w:rFonts w:cs="Calibri"/>
          <w:snapToGrid/>
          <w:szCs w:val="24"/>
          <w:lang w:val="en-US" w:eastAsia="en-AU"/>
        </w:rPr>
        <w:t xml:space="preserve">Overall, whilst the cost analyses presented </w:t>
      </w:r>
      <w:r w:rsidR="00306A4D" w:rsidRPr="00014E52">
        <w:rPr>
          <w:rFonts w:cs="Calibri"/>
          <w:snapToGrid/>
          <w:szCs w:val="24"/>
          <w:lang w:val="en-US" w:eastAsia="en-AU"/>
        </w:rPr>
        <w:t>in</w:t>
      </w:r>
      <w:r w:rsidRPr="00014E52">
        <w:rPr>
          <w:rFonts w:cs="Calibri"/>
          <w:snapToGrid/>
          <w:szCs w:val="24"/>
          <w:lang w:val="en-US" w:eastAsia="en-AU"/>
        </w:rPr>
        <w:t xml:space="preserve"> the submission suggest</w:t>
      </w:r>
      <w:r w:rsidR="00D8656E" w:rsidRPr="00014E52">
        <w:rPr>
          <w:rFonts w:cs="Calibri"/>
          <w:snapToGrid/>
          <w:szCs w:val="24"/>
          <w:lang w:val="en-US" w:eastAsia="en-AU"/>
        </w:rPr>
        <w:t>ed</w:t>
      </w:r>
      <w:r w:rsidRPr="00014E52">
        <w:rPr>
          <w:rFonts w:cs="Calibri"/>
          <w:snapToGrid/>
          <w:szCs w:val="24"/>
          <w:lang w:val="en-US" w:eastAsia="en-AU"/>
        </w:rPr>
        <w:t xml:space="preserve"> that dexamethasone implant w</w:t>
      </w:r>
      <w:r w:rsidR="00D8656E" w:rsidRPr="00014E52">
        <w:rPr>
          <w:rFonts w:cs="Calibri"/>
          <w:snapToGrid/>
          <w:szCs w:val="24"/>
          <w:lang w:val="en-US" w:eastAsia="en-AU"/>
        </w:rPr>
        <w:t>ould</w:t>
      </w:r>
      <w:r w:rsidRPr="00014E52">
        <w:rPr>
          <w:rFonts w:cs="Calibri"/>
          <w:snapToGrid/>
          <w:szCs w:val="24"/>
          <w:lang w:val="en-US" w:eastAsia="en-AU"/>
        </w:rPr>
        <w:t xml:space="preserve"> be cost saving compared to VEGF inhibitors over 3, 6, 12, and 36 months, these estimates </w:t>
      </w:r>
      <w:r w:rsidR="00D8656E" w:rsidRPr="00014E52">
        <w:rPr>
          <w:rFonts w:cs="Calibri"/>
          <w:snapToGrid/>
          <w:szCs w:val="24"/>
          <w:lang w:val="en-US" w:eastAsia="en-AU"/>
        </w:rPr>
        <w:t>we</w:t>
      </w:r>
      <w:r w:rsidRPr="00014E52">
        <w:rPr>
          <w:rFonts w:cs="Calibri"/>
          <w:snapToGrid/>
          <w:szCs w:val="24"/>
          <w:lang w:val="en-US" w:eastAsia="en-AU"/>
        </w:rPr>
        <w:t xml:space="preserve">re subject to significant uncertainty, particularly around </w:t>
      </w:r>
      <w:r w:rsidR="000107AD" w:rsidRPr="00014E52">
        <w:rPr>
          <w:rFonts w:cs="Calibri"/>
          <w:snapToGrid/>
          <w:szCs w:val="24"/>
          <w:lang w:val="en-US" w:eastAsia="en-AU"/>
        </w:rPr>
        <w:t>frequency</w:t>
      </w:r>
      <w:r w:rsidR="00D8656E" w:rsidRPr="00014E52">
        <w:rPr>
          <w:rFonts w:cs="Calibri"/>
          <w:snapToGrid/>
          <w:szCs w:val="24"/>
          <w:lang w:val="en-US" w:eastAsia="en-AU"/>
        </w:rPr>
        <w:t xml:space="preserve"> </w:t>
      </w:r>
      <w:r w:rsidR="00666773">
        <w:rPr>
          <w:rFonts w:cs="Calibri"/>
          <w:snapToGrid/>
          <w:szCs w:val="24"/>
          <w:lang w:val="en-US" w:eastAsia="en-AU"/>
        </w:rPr>
        <w:t xml:space="preserve">of administrations </w:t>
      </w:r>
      <w:r w:rsidR="00D8656E" w:rsidRPr="00014E52">
        <w:rPr>
          <w:rFonts w:cs="Calibri"/>
          <w:snapToGrid/>
          <w:szCs w:val="24"/>
          <w:lang w:val="en-US" w:eastAsia="en-AU"/>
        </w:rPr>
        <w:t>and adverse event costs.</w:t>
      </w:r>
    </w:p>
    <w:p w:rsidR="00020EC3" w:rsidRPr="00014E52" w:rsidRDefault="000107AD" w:rsidP="00361734">
      <w:pPr>
        <w:pStyle w:val="ListParagraph"/>
        <w:widowControl/>
        <w:numPr>
          <w:ilvl w:val="1"/>
          <w:numId w:val="1"/>
        </w:numPr>
      </w:pPr>
      <w:r w:rsidRPr="00014E52">
        <w:rPr>
          <w:rFonts w:cs="Calibri"/>
          <w:snapToGrid/>
          <w:szCs w:val="24"/>
          <w:lang w:val="en-US" w:eastAsia="en-AU"/>
        </w:rPr>
        <w:t>T</w:t>
      </w:r>
      <w:r w:rsidR="00020EC3" w:rsidRPr="00014E52">
        <w:rPr>
          <w:rFonts w:cs="Calibri"/>
          <w:snapToGrid/>
          <w:szCs w:val="24"/>
          <w:lang w:val="en-US" w:eastAsia="en-AU"/>
        </w:rPr>
        <w:t>hese estimates fail</w:t>
      </w:r>
      <w:r w:rsidR="00D8656E" w:rsidRPr="00014E52">
        <w:rPr>
          <w:rFonts w:cs="Calibri"/>
          <w:snapToGrid/>
          <w:szCs w:val="24"/>
          <w:lang w:val="en-US" w:eastAsia="en-AU"/>
        </w:rPr>
        <w:t>ed</w:t>
      </w:r>
      <w:r w:rsidR="00020EC3" w:rsidRPr="00014E52">
        <w:rPr>
          <w:rFonts w:cs="Calibri"/>
          <w:snapToGrid/>
          <w:szCs w:val="24"/>
          <w:lang w:val="en-US" w:eastAsia="en-AU"/>
        </w:rPr>
        <w:t xml:space="preserve"> to take into account the cost-effectiveness of dexamethasone implant in terms of clinical outcomes. The efficacy of dexamethasone implant lies somewhere between that of sham and that of ranibizumab. Without an economic analysis that values the clinical outcomes presented in the submission (e.g. cost per </w:t>
      </w:r>
      <w:r w:rsidR="005D5666" w:rsidRPr="00014E52">
        <w:rPr>
          <w:rFonts w:cs="Calibri"/>
          <w:snapToGrid/>
          <w:szCs w:val="24"/>
          <w:lang w:val="en-US" w:eastAsia="en-AU"/>
        </w:rPr>
        <w:t>patient achieving a clinically important improvement in BCVA</w:t>
      </w:r>
      <w:r w:rsidR="00020EC3" w:rsidRPr="00014E52">
        <w:rPr>
          <w:rFonts w:cs="Calibri"/>
          <w:snapToGrid/>
          <w:szCs w:val="24"/>
          <w:lang w:val="en-US" w:eastAsia="en-AU"/>
        </w:rPr>
        <w:t xml:space="preserve"> or deriving a cost per QALY), it is unclear whether dexamethasone implant is </w:t>
      </w:r>
      <w:r w:rsidR="00C107A9" w:rsidRPr="00014E52">
        <w:rPr>
          <w:rFonts w:cs="Calibri"/>
          <w:snapToGrid/>
          <w:szCs w:val="24"/>
          <w:lang w:val="en-US" w:eastAsia="en-AU"/>
        </w:rPr>
        <w:t>of acceptable cost-effectiveness</w:t>
      </w:r>
      <w:r w:rsidR="00020EC3" w:rsidRPr="00014E52">
        <w:rPr>
          <w:rFonts w:cs="Calibri"/>
          <w:snapToGrid/>
          <w:szCs w:val="24"/>
          <w:lang w:val="en-US" w:eastAsia="en-AU"/>
        </w:rPr>
        <w:t xml:space="preserve"> compared with VEGF inhibitors</w:t>
      </w:r>
      <w:r w:rsidR="00D8656E" w:rsidRPr="00014E52">
        <w:rPr>
          <w:rFonts w:cs="Calibri"/>
          <w:snapToGrid/>
          <w:szCs w:val="24"/>
          <w:lang w:val="en-US" w:eastAsia="en-AU"/>
        </w:rPr>
        <w:t>.</w:t>
      </w:r>
    </w:p>
    <w:p w:rsidR="00020EC3" w:rsidRPr="00014E52" w:rsidRDefault="00020EC3" w:rsidP="00361734">
      <w:pPr>
        <w:pStyle w:val="ListParagraph"/>
        <w:widowControl/>
        <w:numPr>
          <w:ilvl w:val="1"/>
          <w:numId w:val="1"/>
        </w:numPr>
      </w:pPr>
      <w:r w:rsidRPr="00014E52">
        <w:rPr>
          <w:rFonts w:cs="Calibri"/>
          <w:snapToGrid/>
          <w:szCs w:val="24"/>
          <w:lang w:val="en-US" w:eastAsia="en-AU"/>
        </w:rPr>
        <w:t xml:space="preserve">The submission did not present any sensitivity analyses, however there are a number of sources of uncertainty which need to be considered when interpreting the results of the cost-analysis, and which may have a large impact on the results. Of particular </w:t>
      </w:r>
      <w:r w:rsidR="00C107A9" w:rsidRPr="00014E52">
        <w:rPr>
          <w:rFonts w:cs="Calibri"/>
          <w:snapToGrid/>
          <w:szCs w:val="24"/>
          <w:lang w:val="en-US" w:eastAsia="en-AU"/>
        </w:rPr>
        <w:t>concern</w:t>
      </w:r>
      <w:r w:rsidRPr="00014E52">
        <w:rPr>
          <w:rFonts w:cs="Calibri"/>
          <w:snapToGrid/>
          <w:szCs w:val="24"/>
          <w:lang w:val="en-US" w:eastAsia="en-AU"/>
        </w:rPr>
        <w:t xml:space="preserve"> are the </w:t>
      </w:r>
      <w:r w:rsidR="00C107A9" w:rsidRPr="00014E52">
        <w:rPr>
          <w:rFonts w:cs="Calibri"/>
          <w:snapToGrid/>
          <w:szCs w:val="24"/>
          <w:lang w:val="en-US" w:eastAsia="en-AU"/>
        </w:rPr>
        <w:t>relative injection frequencies</w:t>
      </w:r>
      <w:r w:rsidRPr="00014E52">
        <w:rPr>
          <w:rFonts w:cs="Calibri"/>
          <w:snapToGrid/>
          <w:szCs w:val="24"/>
          <w:lang w:val="en-US" w:eastAsia="en-AU"/>
        </w:rPr>
        <w:t xml:space="preserve"> for dexamethasone implant and VEGF inhibitors which will be affected by the treatment effect duration and intervals of repeat treatment of dexamethasone implant in clinical practice.</w:t>
      </w:r>
    </w:p>
    <w:p w:rsidR="005F791E" w:rsidRPr="003610AD" w:rsidRDefault="005F791E" w:rsidP="005F791E">
      <w:pPr>
        <w:pStyle w:val="ListParagraph"/>
        <w:widowControl/>
      </w:pPr>
      <w:bookmarkStart w:id="13" w:name="_Toc503967480"/>
      <w:r w:rsidRPr="003610AD">
        <w:rPr>
          <w:rFonts w:asciiTheme="minorHAnsi" w:hAnsiTheme="minorHAnsi"/>
          <w:i/>
        </w:rPr>
        <w:t>For more detail on PBAC’s view, see section 7 PBAC outcome.</w:t>
      </w:r>
    </w:p>
    <w:p w:rsidR="00C25D9C" w:rsidRPr="008472ED" w:rsidRDefault="00C25D9C" w:rsidP="00B10AE9">
      <w:pPr>
        <w:pStyle w:val="Heading2"/>
      </w:pPr>
      <w:r w:rsidRPr="008472ED">
        <w:t>Drug cost/patient</w:t>
      </w:r>
      <w:r w:rsidR="00D041B9" w:rsidRPr="008472ED">
        <w:t>/year</w:t>
      </w:r>
      <w:bookmarkEnd w:id="13"/>
    </w:p>
    <w:p w:rsidR="00A5046F" w:rsidRPr="00014E52" w:rsidRDefault="00D041B9" w:rsidP="00361734">
      <w:pPr>
        <w:pStyle w:val="ListParagraph"/>
        <w:widowControl/>
        <w:numPr>
          <w:ilvl w:val="1"/>
          <w:numId w:val="1"/>
        </w:numPr>
      </w:pPr>
      <w:r w:rsidRPr="00014E52">
        <w:t xml:space="preserve">The </w:t>
      </w:r>
      <w:r w:rsidR="00A5046F" w:rsidRPr="00014E52">
        <w:t xml:space="preserve">submission’s </w:t>
      </w:r>
      <w:r w:rsidRPr="00014E52">
        <w:t xml:space="preserve">estimated annual drug cost for dexamethasone implant was </w:t>
      </w:r>
      <w:r w:rsidR="00AA5191" w:rsidRPr="00014E52">
        <w:t>$</w:t>
      </w:r>
      <w:r w:rsidR="00487EB2">
        <w:rPr>
          <w:noProof/>
          <w:color w:val="000000"/>
          <w:highlight w:val="black"/>
        </w:rPr>
        <w:t>'''''''''</w:t>
      </w:r>
      <w:r w:rsidRPr="00014E52">
        <w:t xml:space="preserve">, based on 2.5 implants per year at a proposed </w:t>
      </w:r>
      <w:r w:rsidR="000107AD" w:rsidRPr="00014E52">
        <w:t>effective</w:t>
      </w:r>
      <w:r w:rsidRPr="00014E52">
        <w:t xml:space="preserve"> price of $</w:t>
      </w:r>
      <w:r w:rsidR="00487EB2">
        <w:rPr>
          <w:noProof/>
          <w:color w:val="000000"/>
          <w:highlight w:val="black"/>
        </w:rPr>
        <w:t>''''''''''''</w:t>
      </w:r>
      <w:r w:rsidR="00A5046F" w:rsidRPr="00014E52">
        <w:t>. The number of implants wa</w:t>
      </w:r>
      <w:r w:rsidRPr="00014E52">
        <w:t>s based on the mean number of implants used in the 12-month COMO trial comparing dexamethasone implant and ranibizumab. This may not reflect rates of use of dexamethasone implant in practice</w:t>
      </w:r>
      <w:r w:rsidR="00C107A9" w:rsidRPr="00014E52">
        <w:t xml:space="preserve"> given the fixed retreatment periods in the trial</w:t>
      </w:r>
      <w:r w:rsidRPr="00014E52">
        <w:t>.</w:t>
      </w:r>
    </w:p>
    <w:p w:rsidR="00D041B9" w:rsidRDefault="00A5046F" w:rsidP="00361734">
      <w:pPr>
        <w:pStyle w:val="ListParagraph"/>
        <w:widowControl/>
        <w:numPr>
          <w:ilvl w:val="1"/>
          <w:numId w:val="1"/>
        </w:numPr>
      </w:pPr>
      <w:r w:rsidRPr="00014E52">
        <w:t>The submission’s estimated annual drug cost for ranibizumab was $</w:t>
      </w:r>
      <w:r w:rsidR="00487EB2">
        <w:rPr>
          <w:noProof/>
          <w:color w:val="000000"/>
          <w:highlight w:val="black"/>
        </w:rPr>
        <w:t>''''''''''</w:t>
      </w:r>
      <w:r w:rsidRPr="00014E52">
        <w:t>, based on 8.1 injections per year at an assumed effective price of $</w:t>
      </w:r>
      <w:r w:rsidR="00487EB2">
        <w:rPr>
          <w:noProof/>
          <w:color w:val="000000"/>
          <w:highlight w:val="black"/>
        </w:rPr>
        <w:t>''''''''''''''</w:t>
      </w:r>
      <w:r w:rsidRPr="00014E52">
        <w:t>. The number of injections was based on the mean number of injections used in the 12-month COMO trial comparing dexamethasone implant and ranibizumab. This may not reflect the long-term injection frequency of ranibizumab which switches from monthly dosing to as-needed dosing after 6 months of therapy.</w:t>
      </w:r>
    </w:p>
    <w:p w:rsidR="00B60939" w:rsidRPr="008472ED" w:rsidRDefault="00B60939" w:rsidP="00B10AE9">
      <w:pPr>
        <w:pStyle w:val="Heading2"/>
      </w:pPr>
      <w:bookmarkStart w:id="14" w:name="_Toc503967481"/>
      <w:r w:rsidRPr="008472ED">
        <w:t>Estimated PBS usage &amp; financial implications</w:t>
      </w:r>
      <w:bookmarkEnd w:id="14"/>
    </w:p>
    <w:p w:rsidR="0093445F" w:rsidRDefault="0093445F" w:rsidP="00361734">
      <w:pPr>
        <w:pStyle w:val="ListParagraph"/>
        <w:widowControl/>
        <w:numPr>
          <w:ilvl w:val="1"/>
          <w:numId w:val="1"/>
        </w:numPr>
      </w:pPr>
      <w:r w:rsidRPr="00666D2F">
        <w:t xml:space="preserve">This submission </w:t>
      </w:r>
      <w:r w:rsidR="00666D2F" w:rsidRPr="00666D2F">
        <w:t>was</w:t>
      </w:r>
      <w:r w:rsidRPr="00666D2F">
        <w:t xml:space="preserve"> considered by DUSC</w:t>
      </w:r>
      <w:r w:rsidRPr="00666D2F">
        <w:rPr>
          <w:color w:val="0070C0"/>
        </w:rPr>
        <w:t xml:space="preserve">. </w:t>
      </w:r>
      <w:r w:rsidRPr="00666D2F">
        <w:t>The submission used a market share approach to estimate the utilisation and financial implications associated with PBS listing of dexamethasone implant for the treatment of macular oedema secondary to BRVO or CRVO in patients who are contraindicated, unsuitable or have failed prior treatment with VEGF inhibitors.</w:t>
      </w:r>
    </w:p>
    <w:p w:rsidR="000A55FE" w:rsidRPr="00107CC7" w:rsidRDefault="000A55FE" w:rsidP="000A55FE">
      <w:pPr>
        <w:pStyle w:val="ListParagraph"/>
        <w:widowControl/>
        <w:numPr>
          <w:ilvl w:val="1"/>
          <w:numId w:val="1"/>
        </w:numPr>
      </w:pPr>
      <w:r w:rsidRPr="00107CC7">
        <w:t>The approach assumed that the total RVO market is captured by script utilisation for VEGF inhibitors, not accounting for market growth due to dexamethasone use in patients who cannot use VEGF inhibitors for any reason (i.e. the target population).</w:t>
      </w:r>
      <w:r>
        <w:t xml:space="preserve"> The evaluation considered that i</w:t>
      </w:r>
      <w:r w:rsidRPr="00107CC7">
        <w:t>t was unclear whether the substantial cost offsets associated with the substitution of  VEGF inhibitors will be realised in practice given the target population of patients with RVO for whom a VEGF inhibitor is unsuitable or those failing VEGF inhibitor. Such patients are unlikely to generate any cost offsets from reduced use of VEGF inhibitors.</w:t>
      </w:r>
    </w:p>
    <w:p w:rsidR="0093445F" w:rsidRPr="00666D2F" w:rsidRDefault="00D06071" w:rsidP="0093445F">
      <w:pPr>
        <w:rPr>
          <w:rFonts w:ascii="Arial Narrow" w:hAnsi="Arial Narrow"/>
          <w:b/>
          <w:sz w:val="20"/>
          <w:szCs w:val="20"/>
        </w:rPr>
      </w:pPr>
      <w:r>
        <w:rPr>
          <w:rFonts w:ascii="Arial Narrow" w:hAnsi="Arial Narrow"/>
          <w:b/>
          <w:sz w:val="20"/>
          <w:szCs w:val="20"/>
        </w:rPr>
        <w:t xml:space="preserve">Table 11: </w:t>
      </w:r>
      <w:r w:rsidR="0093445F" w:rsidRPr="00666D2F">
        <w:rPr>
          <w:rFonts w:ascii="Arial Narrow" w:hAnsi="Arial Narrow"/>
          <w:b/>
          <w:sz w:val="20"/>
          <w:szCs w:val="20"/>
        </w:rPr>
        <w:t>Estimated utilisation and cost to the PBS in the first six years of listing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93445F" w:rsidRPr="00666D2F" w:rsidTr="002C220E">
        <w:trPr>
          <w:tblHeader/>
        </w:trPr>
        <w:tc>
          <w:tcPr>
            <w:tcW w:w="2263" w:type="dxa"/>
            <w:tcBorders>
              <w:bottom w:val="single" w:sz="4" w:space="0" w:color="auto"/>
            </w:tcBorders>
            <w:shd w:val="clear" w:color="auto" w:fill="auto"/>
            <w:vAlign w:val="center"/>
          </w:tcPr>
          <w:p w:rsidR="0093445F" w:rsidRPr="00666D2F" w:rsidRDefault="0093445F" w:rsidP="002C220E">
            <w:pPr>
              <w:pStyle w:val="Tabletext"/>
              <w:rPr>
                <w:b/>
                <w:szCs w:val="20"/>
              </w:rPr>
            </w:pPr>
          </w:p>
        </w:tc>
        <w:tc>
          <w:tcPr>
            <w:tcW w:w="1134" w:type="dxa"/>
            <w:tcBorders>
              <w:bottom w:val="single" w:sz="4" w:space="0" w:color="auto"/>
            </w:tcBorders>
            <w:shd w:val="clear" w:color="auto" w:fill="auto"/>
            <w:vAlign w:val="center"/>
          </w:tcPr>
          <w:p w:rsidR="0093445F" w:rsidRPr="00666D2F" w:rsidRDefault="0093445F" w:rsidP="002C220E">
            <w:pPr>
              <w:pStyle w:val="Tabletext"/>
              <w:jc w:val="center"/>
              <w:rPr>
                <w:b/>
                <w:szCs w:val="20"/>
              </w:rPr>
            </w:pPr>
            <w:r w:rsidRPr="00666D2F">
              <w:rPr>
                <w:b/>
                <w:szCs w:val="20"/>
              </w:rPr>
              <w:t>Year 1</w:t>
            </w:r>
          </w:p>
          <w:p w:rsidR="0093445F" w:rsidRPr="00666D2F" w:rsidRDefault="0093445F" w:rsidP="002C220E">
            <w:pPr>
              <w:pStyle w:val="Tabletext"/>
              <w:jc w:val="center"/>
              <w:rPr>
                <w:b/>
                <w:szCs w:val="20"/>
              </w:rPr>
            </w:pPr>
            <w:r w:rsidRPr="00666D2F">
              <w:rPr>
                <w:b/>
                <w:szCs w:val="20"/>
              </w:rPr>
              <w:t>(2019)</w:t>
            </w:r>
          </w:p>
        </w:tc>
        <w:tc>
          <w:tcPr>
            <w:tcW w:w="1134" w:type="dxa"/>
            <w:tcBorders>
              <w:bottom w:val="single" w:sz="4" w:space="0" w:color="auto"/>
            </w:tcBorders>
            <w:shd w:val="clear" w:color="auto" w:fill="auto"/>
            <w:vAlign w:val="center"/>
          </w:tcPr>
          <w:p w:rsidR="0093445F" w:rsidRPr="00666D2F" w:rsidRDefault="0093445F" w:rsidP="002C220E">
            <w:pPr>
              <w:pStyle w:val="Tabletext"/>
              <w:jc w:val="center"/>
              <w:rPr>
                <w:b/>
                <w:szCs w:val="20"/>
              </w:rPr>
            </w:pPr>
            <w:r w:rsidRPr="00666D2F">
              <w:rPr>
                <w:b/>
                <w:szCs w:val="20"/>
              </w:rPr>
              <w:t>Year 2</w:t>
            </w:r>
          </w:p>
          <w:p w:rsidR="0093445F" w:rsidRPr="00666D2F" w:rsidRDefault="0093445F" w:rsidP="002C220E">
            <w:pPr>
              <w:pStyle w:val="Tabletext"/>
              <w:jc w:val="center"/>
              <w:rPr>
                <w:b/>
                <w:szCs w:val="20"/>
              </w:rPr>
            </w:pPr>
            <w:r w:rsidRPr="00666D2F">
              <w:rPr>
                <w:b/>
                <w:szCs w:val="20"/>
              </w:rPr>
              <w:t>(2020)</w:t>
            </w:r>
          </w:p>
        </w:tc>
        <w:tc>
          <w:tcPr>
            <w:tcW w:w="1134" w:type="dxa"/>
            <w:tcBorders>
              <w:bottom w:val="single" w:sz="4" w:space="0" w:color="auto"/>
            </w:tcBorders>
            <w:shd w:val="clear" w:color="auto" w:fill="auto"/>
            <w:vAlign w:val="center"/>
          </w:tcPr>
          <w:p w:rsidR="0093445F" w:rsidRPr="00666D2F" w:rsidRDefault="0093445F" w:rsidP="002C220E">
            <w:pPr>
              <w:pStyle w:val="Tabletext"/>
              <w:jc w:val="center"/>
              <w:rPr>
                <w:b/>
                <w:szCs w:val="20"/>
              </w:rPr>
            </w:pPr>
            <w:r w:rsidRPr="00666D2F">
              <w:rPr>
                <w:b/>
                <w:szCs w:val="20"/>
              </w:rPr>
              <w:t>Year 3</w:t>
            </w:r>
          </w:p>
          <w:p w:rsidR="0093445F" w:rsidRPr="00666D2F" w:rsidRDefault="0093445F" w:rsidP="002C220E">
            <w:pPr>
              <w:pStyle w:val="Tabletext"/>
              <w:jc w:val="center"/>
              <w:rPr>
                <w:b/>
                <w:szCs w:val="20"/>
              </w:rPr>
            </w:pPr>
            <w:r w:rsidRPr="00666D2F">
              <w:rPr>
                <w:b/>
                <w:szCs w:val="20"/>
              </w:rPr>
              <w:t>(2021)</w:t>
            </w:r>
          </w:p>
        </w:tc>
        <w:tc>
          <w:tcPr>
            <w:tcW w:w="1134" w:type="dxa"/>
            <w:tcBorders>
              <w:bottom w:val="single" w:sz="4" w:space="0" w:color="auto"/>
            </w:tcBorders>
            <w:shd w:val="clear" w:color="auto" w:fill="auto"/>
            <w:vAlign w:val="center"/>
          </w:tcPr>
          <w:p w:rsidR="0093445F" w:rsidRPr="00666D2F" w:rsidRDefault="0093445F" w:rsidP="002C220E">
            <w:pPr>
              <w:pStyle w:val="Tabletext"/>
              <w:jc w:val="center"/>
              <w:rPr>
                <w:b/>
                <w:szCs w:val="20"/>
              </w:rPr>
            </w:pPr>
            <w:r w:rsidRPr="00666D2F">
              <w:rPr>
                <w:b/>
                <w:szCs w:val="20"/>
              </w:rPr>
              <w:t>Year 4</w:t>
            </w:r>
          </w:p>
          <w:p w:rsidR="0093445F" w:rsidRPr="00666D2F" w:rsidRDefault="0093445F" w:rsidP="002C220E">
            <w:pPr>
              <w:pStyle w:val="Tabletext"/>
              <w:jc w:val="center"/>
              <w:rPr>
                <w:b/>
                <w:szCs w:val="20"/>
              </w:rPr>
            </w:pPr>
            <w:r w:rsidRPr="00666D2F">
              <w:rPr>
                <w:b/>
                <w:szCs w:val="20"/>
              </w:rPr>
              <w:t>(2022)</w:t>
            </w:r>
          </w:p>
        </w:tc>
        <w:tc>
          <w:tcPr>
            <w:tcW w:w="1134" w:type="dxa"/>
            <w:tcBorders>
              <w:bottom w:val="single" w:sz="4" w:space="0" w:color="auto"/>
            </w:tcBorders>
            <w:shd w:val="clear" w:color="auto" w:fill="auto"/>
            <w:vAlign w:val="center"/>
          </w:tcPr>
          <w:p w:rsidR="0093445F" w:rsidRPr="00666D2F" w:rsidRDefault="0093445F" w:rsidP="002C220E">
            <w:pPr>
              <w:pStyle w:val="Tabletext"/>
              <w:jc w:val="center"/>
              <w:rPr>
                <w:b/>
                <w:szCs w:val="20"/>
              </w:rPr>
            </w:pPr>
            <w:r w:rsidRPr="00666D2F">
              <w:rPr>
                <w:b/>
                <w:szCs w:val="20"/>
              </w:rPr>
              <w:t>Year 5</w:t>
            </w:r>
          </w:p>
          <w:p w:rsidR="0093445F" w:rsidRPr="00666D2F" w:rsidRDefault="0093445F" w:rsidP="002C220E">
            <w:pPr>
              <w:pStyle w:val="Tabletext"/>
              <w:jc w:val="center"/>
              <w:rPr>
                <w:b/>
                <w:szCs w:val="20"/>
              </w:rPr>
            </w:pPr>
            <w:r w:rsidRPr="00666D2F">
              <w:rPr>
                <w:b/>
                <w:szCs w:val="20"/>
              </w:rPr>
              <w:t>(2023)</w:t>
            </w:r>
          </w:p>
        </w:tc>
        <w:tc>
          <w:tcPr>
            <w:tcW w:w="1134" w:type="dxa"/>
            <w:tcBorders>
              <w:bottom w:val="single" w:sz="4" w:space="0" w:color="auto"/>
            </w:tcBorders>
            <w:shd w:val="clear" w:color="auto" w:fill="auto"/>
            <w:vAlign w:val="center"/>
          </w:tcPr>
          <w:p w:rsidR="0093445F" w:rsidRPr="00666D2F" w:rsidRDefault="0093445F" w:rsidP="002C220E">
            <w:pPr>
              <w:pStyle w:val="Tabletext"/>
              <w:jc w:val="center"/>
              <w:rPr>
                <w:b/>
                <w:szCs w:val="20"/>
              </w:rPr>
            </w:pPr>
            <w:r w:rsidRPr="00666D2F">
              <w:rPr>
                <w:b/>
                <w:szCs w:val="20"/>
              </w:rPr>
              <w:t>Year 6</w:t>
            </w:r>
          </w:p>
          <w:p w:rsidR="0093445F" w:rsidRPr="00666D2F" w:rsidRDefault="0093445F" w:rsidP="002C220E">
            <w:pPr>
              <w:pStyle w:val="Tabletext"/>
              <w:jc w:val="center"/>
              <w:rPr>
                <w:b/>
                <w:szCs w:val="20"/>
              </w:rPr>
            </w:pPr>
            <w:r w:rsidRPr="00666D2F">
              <w:rPr>
                <w:b/>
                <w:szCs w:val="20"/>
              </w:rPr>
              <w:t>(2024)</w:t>
            </w:r>
          </w:p>
        </w:tc>
      </w:tr>
      <w:tr w:rsidR="0093445F" w:rsidRPr="00666D2F" w:rsidTr="002C220E">
        <w:tc>
          <w:tcPr>
            <w:tcW w:w="9067" w:type="dxa"/>
            <w:gridSpan w:val="7"/>
            <w:tcBorders>
              <w:bottom w:val="single" w:sz="4" w:space="0" w:color="auto"/>
            </w:tcBorders>
            <w:shd w:val="clear" w:color="auto" w:fill="auto"/>
            <w:vAlign w:val="center"/>
          </w:tcPr>
          <w:p w:rsidR="0093445F" w:rsidRPr="00666D2F" w:rsidRDefault="0093445F" w:rsidP="002C220E">
            <w:pPr>
              <w:pStyle w:val="Tabletext"/>
              <w:rPr>
                <w:b/>
                <w:szCs w:val="20"/>
              </w:rPr>
            </w:pPr>
            <w:r w:rsidRPr="00666D2F">
              <w:rPr>
                <w:b/>
                <w:szCs w:val="20"/>
              </w:rPr>
              <w:t>Estimated dexamethasone utilisation and costs</w:t>
            </w:r>
          </w:p>
        </w:tc>
      </w:tr>
      <w:tr w:rsidR="0093445F" w:rsidRPr="00666D2F" w:rsidTr="002C220E">
        <w:tc>
          <w:tcPr>
            <w:tcW w:w="2263" w:type="dxa"/>
            <w:tcBorders>
              <w:top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rPr>
                <w:szCs w:val="20"/>
                <w:vertAlign w:val="superscript"/>
              </w:rPr>
            </w:pPr>
            <w:r w:rsidRPr="00666D2F">
              <w:rPr>
                <w:szCs w:val="20"/>
              </w:rPr>
              <w:t>Market size (scripts for RVO)</w:t>
            </w:r>
            <w:r w:rsidRPr="00666D2F">
              <w:rPr>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487EB2" w:rsidRDefault="00487EB2" w:rsidP="002C220E">
            <w:pPr>
              <w:pStyle w:val="Tabletext"/>
              <w:jc w:val="center"/>
              <w:rPr>
                <w:rFonts w:cs="Arial"/>
                <w:color w:val="000000"/>
                <w:szCs w:val="20"/>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487EB2" w:rsidRDefault="00487EB2" w:rsidP="002C220E">
            <w:pPr>
              <w:pStyle w:val="Tabletext"/>
              <w:jc w:val="center"/>
              <w:rPr>
                <w:rFonts w:cs="Arial"/>
                <w:color w:val="000000"/>
                <w:szCs w:val="20"/>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487EB2" w:rsidRDefault="00487EB2" w:rsidP="002C220E">
            <w:pPr>
              <w:pStyle w:val="Tabletext"/>
              <w:jc w:val="center"/>
              <w:rPr>
                <w:rFonts w:cs="Arial"/>
                <w:color w:val="000000"/>
                <w:szCs w:val="20"/>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487EB2" w:rsidRDefault="00487EB2" w:rsidP="002C220E">
            <w:pPr>
              <w:pStyle w:val="Tabletext"/>
              <w:jc w:val="center"/>
              <w:rPr>
                <w:rFonts w:cs="Arial"/>
                <w:color w:val="000000"/>
                <w:szCs w:val="20"/>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487EB2" w:rsidRDefault="00487EB2" w:rsidP="002C220E">
            <w:pPr>
              <w:pStyle w:val="Tabletext"/>
              <w:jc w:val="center"/>
              <w:rPr>
                <w:rFonts w:cs="Arial"/>
                <w:color w:val="000000"/>
                <w:szCs w:val="20"/>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487EB2" w:rsidRDefault="00487EB2" w:rsidP="002C220E">
            <w:pPr>
              <w:pStyle w:val="Tabletext"/>
              <w:jc w:val="center"/>
              <w:rPr>
                <w:rFonts w:cs="Arial"/>
                <w:color w:val="000000"/>
                <w:szCs w:val="20"/>
                <w:highlight w:val="black"/>
              </w:rPr>
            </w:pPr>
            <w:r>
              <w:rPr>
                <w:noProof/>
                <w:color w:val="000000"/>
                <w:highlight w:val="black"/>
              </w:rPr>
              <w:t>''''''''''''''''</w:t>
            </w:r>
          </w:p>
        </w:tc>
      </w:tr>
      <w:tr w:rsidR="0093445F" w:rsidRPr="00666D2F" w:rsidTr="002C220E">
        <w:tc>
          <w:tcPr>
            <w:tcW w:w="2263" w:type="dxa"/>
            <w:tcBorders>
              <w:top w:val="single" w:sz="4" w:space="0" w:color="auto"/>
              <w:bottom w:val="single" w:sz="4" w:space="0" w:color="auto"/>
            </w:tcBorders>
            <w:shd w:val="clear" w:color="auto" w:fill="auto"/>
            <w:vAlign w:val="center"/>
          </w:tcPr>
          <w:p w:rsidR="0093445F" w:rsidRPr="00666D2F" w:rsidRDefault="0093445F" w:rsidP="002C220E">
            <w:pPr>
              <w:pStyle w:val="Tabletext"/>
              <w:rPr>
                <w:szCs w:val="20"/>
              </w:rPr>
            </w:pPr>
            <w:r w:rsidRPr="00666D2F">
              <w:rPr>
                <w:szCs w:val="20"/>
              </w:rPr>
              <w:t>Uptake rate</w:t>
            </w:r>
          </w:p>
        </w:tc>
        <w:tc>
          <w:tcPr>
            <w:tcW w:w="1134" w:type="dxa"/>
            <w:tcBorders>
              <w:top w:val="single" w:sz="4" w:space="0" w:color="auto"/>
              <w:bottom w:val="single" w:sz="4" w:space="0" w:color="auto"/>
            </w:tcBorders>
            <w:shd w:val="clear" w:color="auto" w:fill="auto"/>
            <w:vAlign w:val="center"/>
          </w:tcPr>
          <w:p w:rsidR="0093445F" w:rsidRPr="00666D2F" w:rsidRDefault="00487EB2" w:rsidP="002C220E">
            <w:pPr>
              <w:pStyle w:val="Tabletext"/>
              <w:jc w:val="center"/>
              <w:rPr>
                <w:rFonts w:cs="Arial"/>
                <w:szCs w:val="20"/>
              </w:rPr>
            </w:pPr>
            <w:r>
              <w:rPr>
                <w:rFonts w:cs="Arial"/>
                <w:noProof/>
                <w:color w:val="000000"/>
                <w:szCs w:val="20"/>
                <w:highlight w:val="black"/>
              </w:rPr>
              <w:t>''''''''''</w:t>
            </w:r>
            <w:r w:rsidR="0093445F" w:rsidRPr="00666D2F">
              <w:rPr>
                <w:rFonts w:cs="Arial"/>
                <w:szCs w:val="20"/>
              </w:rPr>
              <w:t>%</w:t>
            </w:r>
          </w:p>
        </w:tc>
        <w:tc>
          <w:tcPr>
            <w:tcW w:w="1134" w:type="dxa"/>
            <w:tcBorders>
              <w:top w:val="single" w:sz="4" w:space="0" w:color="auto"/>
              <w:bottom w:val="single" w:sz="4" w:space="0" w:color="auto"/>
            </w:tcBorders>
            <w:shd w:val="clear" w:color="auto" w:fill="auto"/>
            <w:vAlign w:val="center"/>
          </w:tcPr>
          <w:p w:rsidR="0093445F" w:rsidRPr="00666D2F" w:rsidRDefault="00487EB2" w:rsidP="002C220E">
            <w:pPr>
              <w:pStyle w:val="Tabletext"/>
              <w:jc w:val="center"/>
              <w:rPr>
                <w:rFonts w:cs="Arial"/>
                <w:szCs w:val="20"/>
              </w:rPr>
            </w:pPr>
            <w:r>
              <w:rPr>
                <w:rFonts w:cs="Arial"/>
                <w:noProof/>
                <w:color w:val="000000"/>
                <w:szCs w:val="20"/>
                <w:highlight w:val="black"/>
              </w:rPr>
              <w:t>''''''''''</w:t>
            </w:r>
            <w:r w:rsidR="0093445F" w:rsidRPr="00666D2F">
              <w:rPr>
                <w:rFonts w:cs="Arial"/>
                <w:szCs w:val="20"/>
              </w:rPr>
              <w:t>%</w:t>
            </w:r>
          </w:p>
        </w:tc>
        <w:tc>
          <w:tcPr>
            <w:tcW w:w="1134" w:type="dxa"/>
            <w:tcBorders>
              <w:top w:val="single" w:sz="4" w:space="0" w:color="auto"/>
              <w:bottom w:val="single" w:sz="4" w:space="0" w:color="auto"/>
            </w:tcBorders>
            <w:shd w:val="clear" w:color="auto" w:fill="auto"/>
            <w:vAlign w:val="center"/>
          </w:tcPr>
          <w:p w:rsidR="0093445F" w:rsidRPr="00666D2F" w:rsidRDefault="00487EB2" w:rsidP="002C220E">
            <w:pPr>
              <w:pStyle w:val="Tabletext"/>
              <w:jc w:val="center"/>
              <w:rPr>
                <w:rFonts w:cs="Arial"/>
                <w:szCs w:val="20"/>
              </w:rPr>
            </w:pPr>
            <w:r>
              <w:rPr>
                <w:rFonts w:cs="Arial"/>
                <w:noProof/>
                <w:color w:val="000000"/>
                <w:szCs w:val="20"/>
                <w:highlight w:val="black"/>
              </w:rPr>
              <w:t>'''''''''''</w:t>
            </w:r>
            <w:r w:rsidR="0093445F" w:rsidRPr="00666D2F">
              <w:rPr>
                <w:rFonts w:cs="Arial"/>
                <w:szCs w:val="20"/>
              </w:rPr>
              <w:t>%</w:t>
            </w:r>
          </w:p>
        </w:tc>
        <w:tc>
          <w:tcPr>
            <w:tcW w:w="1134" w:type="dxa"/>
            <w:tcBorders>
              <w:top w:val="single" w:sz="4" w:space="0" w:color="auto"/>
              <w:bottom w:val="single" w:sz="4" w:space="0" w:color="auto"/>
            </w:tcBorders>
            <w:shd w:val="clear" w:color="auto" w:fill="auto"/>
            <w:vAlign w:val="center"/>
          </w:tcPr>
          <w:p w:rsidR="0093445F" w:rsidRPr="00666D2F" w:rsidRDefault="00487EB2" w:rsidP="002C220E">
            <w:pPr>
              <w:pStyle w:val="Tabletext"/>
              <w:jc w:val="center"/>
              <w:rPr>
                <w:rFonts w:cs="Arial"/>
                <w:szCs w:val="20"/>
              </w:rPr>
            </w:pPr>
            <w:r>
              <w:rPr>
                <w:rFonts w:cs="Arial"/>
                <w:noProof/>
                <w:color w:val="000000"/>
                <w:szCs w:val="20"/>
                <w:highlight w:val="black"/>
              </w:rPr>
              <w:t>''''''''''</w:t>
            </w:r>
            <w:r w:rsidR="0093445F" w:rsidRPr="00666D2F">
              <w:rPr>
                <w:rFonts w:cs="Arial"/>
                <w:szCs w:val="20"/>
              </w:rPr>
              <w:t>%</w:t>
            </w:r>
          </w:p>
        </w:tc>
        <w:tc>
          <w:tcPr>
            <w:tcW w:w="1134" w:type="dxa"/>
            <w:tcBorders>
              <w:top w:val="single" w:sz="4" w:space="0" w:color="auto"/>
              <w:bottom w:val="single" w:sz="4" w:space="0" w:color="auto"/>
            </w:tcBorders>
            <w:shd w:val="clear" w:color="auto" w:fill="auto"/>
            <w:vAlign w:val="center"/>
          </w:tcPr>
          <w:p w:rsidR="0093445F" w:rsidRPr="00666D2F" w:rsidRDefault="00487EB2" w:rsidP="002C220E">
            <w:pPr>
              <w:pStyle w:val="Tabletext"/>
              <w:jc w:val="center"/>
              <w:rPr>
                <w:rFonts w:cs="Arial"/>
                <w:szCs w:val="20"/>
              </w:rPr>
            </w:pPr>
            <w:r>
              <w:rPr>
                <w:rFonts w:cs="Arial"/>
                <w:noProof/>
                <w:color w:val="000000"/>
                <w:szCs w:val="20"/>
                <w:highlight w:val="black"/>
              </w:rPr>
              <w:t>'''''''''''</w:t>
            </w:r>
            <w:r w:rsidR="0093445F" w:rsidRPr="00666D2F">
              <w:rPr>
                <w:rFonts w:cs="Arial"/>
                <w:szCs w:val="20"/>
              </w:rPr>
              <w:t>%</w:t>
            </w:r>
          </w:p>
        </w:tc>
        <w:tc>
          <w:tcPr>
            <w:tcW w:w="1134" w:type="dxa"/>
            <w:tcBorders>
              <w:top w:val="single" w:sz="4" w:space="0" w:color="auto"/>
              <w:bottom w:val="single" w:sz="4" w:space="0" w:color="auto"/>
            </w:tcBorders>
            <w:shd w:val="clear" w:color="auto" w:fill="auto"/>
            <w:vAlign w:val="center"/>
          </w:tcPr>
          <w:p w:rsidR="0093445F" w:rsidRPr="00666D2F" w:rsidRDefault="00487EB2" w:rsidP="002C220E">
            <w:pPr>
              <w:pStyle w:val="Tabletext"/>
              <w:jc w:val="center"/>
              <w:rPr>
                <w:rFonts w:cs="Arial"/>
                <w:szCs w:val="20"/>
              </w:rPr>
            </w:pPr>
            <w:r>
              <w:rPr>
                <w:rFonts w:cs="Arial"/>
                <w:noProof/>
                <w:color w:val="000000"/>
                <w:szCs w:val="20"/>
                <w:highlight w:val="black"/>
              </w:rPr>
              <w:t>''''''''''</w:t>
            </w:r>
            <w:r w:rsidR="0093445F" w:rsidRPr="00666D2F">
              <w:rPr>
                <w:rFonts w:cs="Arial"/>
                <w:szCs w:val="20"/>
              </w:rPr>
              <w:t>%</w:t>
            </w:r>
          </w:p>
        </w:tc>
      </w:tr>
      <w:tr w:rsidR="0093445F" w:rsidRPr="00666D2F" w:rsidTr="002C220E">
        <w:tc>
          <w:tcPr>
            <w:tcW w:w="2263" w:type="dxa"/>
            <w:tcBorders>
              <w:bottom w:val="single" w:sz="4" w:space="0" w:color="auto"/>
            </w:tcBorders>
            <w:shd w:val="clear" w:color="auto" w:fill="auto"/>
            <w:vAlign w:val="center"/>
          </w:tcPr>
          <w:p w:rsidR="0093445F" w:rsidRPr="00666D2F" w:rsidRDefault="0093445F" w:rsidP="002C220E">
            <w:pPr>
              <w:pStyle w:val="Tabletext"/>
              <w:rPr>
                <w:szCs w:val="20"/>
              </w:rPr>
            </w:pPr>
            <w:r w:rsidRPr="00666D2F">
              <w:rPr>
                <w:szCs w:val="20"/>
              </w:rPr>
              <w:t>Total scripts</w:t>
            </w:r>
          </w:p>
        </w:tc>
        <w:tc>
          <w:tcPr>
            <w:tcW w:w="1134" w:type="dxa"/>
            <w:tcBorders>
              <w:top w:val="single" w:sz="4" w:space="0" w:color="auto"/>
              <w:left w:val="nil"/>
              <w:bottom w:val="single" w:sz="4" w:space="0" w:color="auto"/>
              <w:right w:val="single" w:sz="4" w:space="0" w:color="auto"/>
            </w:tcBorders>
            <w:shd w:val="clear" w:color="auto" w:fill="auto"/>
            <w:vAlign w:val="center"/>
          </w:tcPr>
          <w:p w:rsidR="0093445F" w:rsidRPr="00487EB2" w:rsidRDefault="00487EB2" w:rsidP="002C220E">
            <w:pPr>
              <w:pStyle w:val="Tabletext"/>
              <w:jc w:val="center"/>
              <w:rPr>
                <w:rFonts w:cs="Arial"/>
                <w:szCs w:val="20"/>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rFonts w:cs="Arial"/>
                <w:szCs w:val="20"/>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rFonts w:cs="Arial"/>
                <w:szCs w:val="20"/>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rFonts w:cs="Arial"/>
                <w:szCs w:val="20"/>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rFonts w:cs="Arial"/>
                <w:szCs w:val="20"/>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rFonts w:cs="Arial"/>
                <w:szCs w:val="20"/>
                <w:highlight w:val="black"/>
              </w:rPr>
            </w:pPr>
            <w:r>
              <w:rPr>
                <w:bCs/>
                <w:noProof/>
                <w:color w:val="000000"/>
                <w:highlight w:val="black"/>
              </w:rPr>
              <w:t>'''''''''''''''</w:t>
            </w:r>
          </w:p>
        </w:tc>
      </w:tr>
      <w:tr w:rsidR="0093445F" w:rsidRPr="00666D2F" w:rsidTr="002C220E">
        <w:tc>
          <w:tcPr>
            <w:tcW w:w="2263" w:type="dxa"/>
            <w:tcBorders>
              <w:bottom w:val="single" w:sz="4" w:space="0" w:color="auto"/>
            </w:tcBorders>
            <w:shd w:val="clear" w:color="auto" w:fill="auto"/>
            <w:vAlign w:val="center"/>
          </w:tcPr>
          <w:p w:rsidR="0093445F" w:rsidRPr="00666D2F" w:rsidRDefault="0093445F" w:rsidP="002C220E">
            <w:pPr>
              <w:pStyle w:val="Tabletext"/>
              <w:rPr>
                <w:szCs w:val="20"/>
              </w:rPr>
            </w:pPr>
            <w:r w:rsidRPr="00666D2F">
              <w:rPr>
                <w:szCs w:val="20"/>
              </w:rPr>
              <w:t>PBS/RPBS cost (list DPMQ $1,354.79 per implant)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t>$</w:t>
            </w:r>
            <w:r w:rsidR="00487EB2">
              <w:rPr>
                <w:noProof/>
                <w:color w:val="000000"/>
                <w:highlight w:val="black"/>
              </w:rPr>
              <w:t>'''''''''''''''''''''''''''</w:t>
            </w:r>
          </w:p>
        </w:tc>
      </w:tr>
      <w:tr w:rsidR="0093445F" w:rsidRPr="00666D2F" w:rsidTr="002C220E">
        <w:tc>
          <w:tcPr>
            <w:tcW w:w="2263" w:type="dxa"/>
            <w:tcBorders>
              <w:top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rPr>
                <w:szCs w:val="20"/>
              </w:rPr>
            </w:pPr>
            <w:r w:rsidRPr="00666D2F">
              <w:rPr>
                <w:szCs w:val="20"/>
              </w:rPr>
              <w:t>Patient copayment ($18.95)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rPr>
                <w:bCs/>
                <w:color w:val="000000"/>
                <w:szCs w:val="20"/>
              </w:rPr>
              <w:t>-$</w:t>
            </w:r>
            <w:r w:rsidR="00487EB2">
              <w:rPr>
                <w:bCs/>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rPr>
                <w:bCs/>
                <w:color w:val="000000"/>
                <w:szCs w:val="20"/>
              </w:rPr>
              <w:t>-$</w:t>
            </w:r>
            <w:r w:rsidR="00487EB2">
              <w:rPr>
                <w:bCs/>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rPr>
                <w:bCs/>
                <w:color w:val="000000"/>
                <w:szCs w:val="20"/>
              </w:rPr>
              <w:t>-$</w:t>
            </w:r>
            <w:r w:rsidR="00487EB2">
              <w:rPr>
                <w:bCs/>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rPr>
                <w:bCs/>
                <w:color w:val="000000"/>
                <w:szCs w:val="20"/>
              </w:rPr>
              <w:t>-$</w:t>
            </w:r>
            <w:r w:rsidR="00487EB2">
              <w:rPr>
                <w:bCs/>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rPr>
                <w:bCs/>
                <w:color w:val="000000"/>
                <w:szCs w:val="20"/>
              </w:rPr>
              <w:t>-$</w:t>
            </w:r>
            <w:r w:rsidR="00487EB2">
              <w:rPr>
                <w:bCs/>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rFonts w:cs="Arial"/>
                <w:szCs w:val="20"/>
              </w:rPr>
            </w:pPr>
            <w:r w:rsidRPr="00666D2F">
              <w:rPr>
                <w:bCs/>
                <w:color w:val="000000"/>
                <w:szCs w:val="20"/>
              </w:rPr>
              <w:t>-$</w:t>
            </w:r>
            <w:r w:rsidR="00487EB2">
              <w:rPr>
                <w:bCs/>
                <w:noProof/>
                <w:color w:val="000000"/>
                <w:szCs w:val="20"/>
                <w:highlight w:val="black"/>
              </w:rPr>
              <w:t>'''''''''''''''''''</w:t>
            </w:r>
          </w:p>
        </w:tc>
      </w:tr>
      <w:tr w:rsidR="0093445F" w:rsidRPr="00666D2F" w:rsidTr="002C220E">
        <w:tc>
          <w:tcPr>
            <w:tcW w:w="2263" w:type="dxa"/>
            <w:tcBorders>
              <w:top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rPr>
                <w:szCs w:val="20"/>
                <w:vertAlign w:val="superscript"/>
              </w:rPr>
            </w:pPr>
            <w:r w:rsidRPr="00666D2F">
              <w:rPr>
                <w:szCs w:val="20"/>
              </w:rPr>
              <w:t>Estimated rebate (</w:t>
            </w:r>
            <w:r w:rsidR="00487EB2">
              <w:rPr>
                <w:noProof/>
                <w:color w:val="000000"/>
                <w:szCs w:val="20"/>
                <w:highlight w:val="black"/>
              </w:rPr>
              <w:t>'''''''''''</w:t>
            </w:r>
            <w:r w:rsidRPr="00666D2F">
              <w:rPr>
                <w:szCs w:val="20"/>
              </w:rPr>
              <w:t>%)</w:t>
            </w:r>
            <w:r w:rsidRPr="00666D2F">
              <w:rPr>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93445F" w:rsidRPr="00666D2F" w:rsidRDefault="0093445F" w:rsidP="002C220E">
            <w:pPr>
              <w:pStyle w:val="Tabletext"/>
              <w:jc w:val="center"/>
              <w:rPr>
                <w:rFonts w:cs="Arial"/>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93445F" w:rsidRPr="00666D2F" w:rsidRDefault="0093445F" w:rsidP="002C220E">
            <w:pPr>
              <w:pStyle w:val="Tabletext"/>
              <w:jc w:val="center"/>
              <w:rPr>
                <w:rFonts w:cs="Arial"/>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93445F" w:rsidRPr="00666D2F" w:rsidRDefault="0093445F" w:rsidP="002C220E">
            <w:pPr>
              <w:pStyle w:val="Tabletext"/>
              <w:jc w:val="center"/>
              <w:rPr>
                <w:rFonts w:cs="Arial"/>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93445F" w:rsidRPr="00666D2F" w:rsidRDefault="0093445F" w:rsidP="002C220E">
            <w:pPr>
              <w:pStyle w:val="Tabletext"/>
              <w:jc w:val="center"/>
              <w:rPr>
                <w:rFonts w:cs="Arial"/>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93445F" w:rsidRPr="00666D2F" w:rsidRDefault="0093445F" w:rsidP="002C220E">
            <w:pPr>
              <w:pStyle w:val="Tabletext"/>
              <w:jc w:val="center"/>
              <w:rPr>
                <w:rFonts w:cs="Arial"/>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93445F" w:rsidRPr="00666D2F" w:rsidRDefault="0093445F" w:rsidP="002C220E">
            <w:pPr>
              <w:pStyle w:val="Tabletext"/>
              <w:jc w:val="center"/>
              <w:rPr>
                <w:rFonts w:cs="Arial"/>
                <w:szCs w:val="20"/>
              </w:rPr>
            </w:pPr>
            <w:r w:rsidRPr="00666D2F">
              <w:rPr>
                <w:color w:val="000000"/>
              </w:rPr>
              <w:t>-$</w:t>
            </w:r>
            <w:r w:rsidR="00487EB2">
              <w:rPr>
                <w:noProof/>
                <w:color w:val="000000"/>
                <w:highlight w:val="black"/>
              </w:rPr>
              <w:t>''''''''''''''''''''''</w:t>
            </w:r>
          </w:p>
        </w:tc>
      </w:tr>
      <w:tr w:rsidR="0093445F" w:rsidRPr="00666D2F" w:rsidTr="002C220E">
        <w:tc>
          <w:tcPr>
            <w:tcW w:w="2263" w:type="dxa"/>
            <w:tcBorders>
              <w:top w:val="single" w:sz="4" w:space="0" w:color="auto"/>
            </w:tcBorders>
            <w:shd w:val="clear" w:color="auto" w:fill="auto"/>
            <w:vAlign w:val="center"/>
          </w:tcPr>
          <w:p w:rsidR="0093445F" w:rsidRPr="00666D2F" w:rsidRDefault="0093445F" w:rsidP="002C220E">
            <w:pPr>
              <w:pStyle w:val="Tabletext"/>
              <w:rPr>
                <w:szCs w:val="20"/>
                <w:vertAlign w:val="superscript"/>
              </w:rPr>
            </w:pPr>
            <w:r w:rsidRPr="00666D2F">
              <w:rPr>
                <w:szCs w:val="20"/>
              </w:rPr>
              <w:t>PBS/RPBS cost after rebate</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bottom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r>
      <w:tr w:rsidR="0093445F" w:rsidRPr="00666D2F" w:rsidTr="002C220E">
        <w:tc>
          <w:tcPr>
            <w:tcW w:w="2263" w:type="dxa"/>
            <w:shd w:val="clear" w:color="auto" w:fill="auto"/>
            <w:vAlign w:val="center"/>
          </w:tcPr>
          <w:p w:rsidR="0093445F" w:rsidRPr="00666D2F" w:rsidRDefault="0093445F" w:rsidP="002C220E">
            <w:pPr>
              <w:pStyle w:val="Tabletext"/>
              <w:rPr>
                <w:szCs w:val="20"/>
              </w:rPr>
            </w:pPr>
            <w:r w:rsidRPr="00666D2F">
              <w:rPr>
                <w:szCs w:val="20"/>
              </w:rPr>
              <w:t>Additional cost of anti-glaucoma medications</w:t>
            </w:r>
            <w:r w:rsidRPr="00666D2F">
              <w:rPr>
                <w:szCs w:val="20"/>
                <w:vertAlign w:val="superscript"/>
              </w:rPr>
              <w:t>c</w:t>
            </w:r>
          </w:p>
        </w:tc>
        <w:tc>
          <w:tcPr>
            <w:tcW w:w="1134" w:type="dxa"/>
            <w:tcBorders>
              <w:top w:val="single" w:sz="4" w:space="0" w:color="auto"/>
              <w:left w:val="nil"/>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t>$</w:t>
            </w:r>
            <w:r w:rsidR="00487EB2">
              <w:rPr>
                <w:noProof/>
                <w:color w:val="000000"/>
                <w:highlight w:val="black"/>
              </w:rPr>
              <w:t>'''''''''''''''''</w:t>
            </w:r>
          </w:p>
        </w:tc>
      </w:tr>
      <w:tr w:rsidR="0093445F" w:rsidRPr="00666D2F" w:rsidTr="002C220E">
        <w:tc>
          <w:tcPr>
            <w:tcW w:w="9067" w:type="dxa"/>
            <w:gridSpan w:val="7"/>
            <w:tcBorders>
              <w:right w:val="single" w:sz="4" w:space="0" w:color="auto"/>
            </w:tcBorders>
            <w:shd w:val="clear" w:color="auto" w:fill="auto"/>
            <w:vAlign w:val="center"/>
          </w:tcPr>
          <w:p w:rsidR="0093445F" w:rsidRPr="00666D2F" w:rsidRDefault="0093445F" w:rsidP="002C220E">
            <w:pPr>
              <w:pStyle w:val="Tabletext"/>
              <w:rPr>
                <w:b/>
              </w:rPr>
            </w:pPr>
            <w:r w:rsidRPr="00666D2F">
              <w:rPr>
                <w:b/>
              </w:rPr>
              <w:t>Estimated VEGF inhibitor utilisation and costs substituted by dexamethasone</w:t>
            </w:r>
          </w:p>
        </w:tc>
      </w:tr>
      <w:tr w:rsidR="0093445F" w:rsidRPr="00666D2F" w:rsidTr="002C220E">
        <w:tc>
          <w:tcPr>
            <w:tcW w:w="2263" w:type="dxa"/>
            <w:shd w:val="clear" w:color="auto" w:fill="auto"/>
            <w:vAlign w:val="center"/>
          </w:tcPr>
          <w:p w:rsidR="0093445F" w:rsidRPr="00666D2F" w:rsidRDefault="0093445F" w:rsidP="002C220E">
            <w:pPr>
              <w:pStyle w:val="Tabletext"/>
              <w:rPr>
                <w:szCs w:val="20"/>
              </w:rPr>
            </w:pPr>
            <w:r w:rsidRPr="00666D2F">
              <w:rPr>
                <w:szCs w:val="20"/>
              </w:rPr>
              <w:t>Total scripts (</w:t>
            </w:r>
            <w:r w:rsidR="00487EB2">
              <w:rPr>
                <w:noProof/>
                <w:color w:val="000000"/>
                <w:szCs w:val="20"/>
                <w:highlight w:val="black"/>
              </w:rPr>
              <w:t>''''''''''</w:t>
            </w:r>
            <w:r w:rsidRPr="00666D2F">
              <w:rPr>
                <w:szCs w:val="20"/>
              </w:rPr>
              <w:t xml:space="preserve"> scripts per dexamethasone script)</w:t>
            </w:r>
          </w:p>
        </w:tc>
        <w:tc>
          <w:tcPr>
            <w:tcW w:w="1134" w:type="dxa"/>
            <w:tcBorders>
              <w:top w:val="single" w:sz="4" w:space="0" w:color="auto"/>
              <w:left w:val="nil"/>
              <w:bottom w:val="single" w:sz="4" w:space="0" w:color="auto"/>
              <w:right w:val="single" w:sz="4" w:space="0" w:color="auto"/>
            </w:tcBorders>
            <w:shd w:val="clear" w:color="auto" w:fill="auto"/>
            <w:vAlign w:val="center"/>
          </w:tcPr>
          <w:p w:rsidR="0093445F" w:rsidRPr="00487EB2" w:rsidRDefault="00487EB2" w:rsidP="002C220E">
            <w:pPr>
              <w:pStyle w:val="Tabletext"/>
              <w:jc w:val="center"/>
              <w:rPr>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highlight w:val="black"/>
              </w:rPr>
            </w:pPr>
            <w:r>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487EB2" w:rsidRDefault="00487EB2" w:rsidP="002C220E">
            <w:pPr>
              <w:pStyle w:val="Tabletext"/>
              <w:jc w:val="center"/>
              <w:rPr>
                <w:highlight w:val="black"/>
              </w:rPr>
            </w:pPr>
            <w:r>
              <w:rPr>
                <w:bCs/>
                <w:noProof/>
                <w:color w:val="000000"/>
                <w:highlight w:val="black"/>
              </w:rPr>
              <w:t>'''''''''''''''</w:t>
            </w:r>
          </w:p>
        </w:tc>
      </w:tr>
      <w:tr w:rsidR="0093445F" w:rsidRPr="00666D2F" w:rsidTr="002C220E">
        <w:tc>
          <w:tcPr>
            <w:tcW w:w="2263" w:type="dxa"/>
            <w:shd w:val="clear" w:color="auto" w:fill="auto"/>
            <w:vAlign w:val="center"/>
          </w:tcPr>
          <w:p w:rsidR="0093445F" w:rsidRPr="00666D2F" w:rsidRDefault="0093445F" w:rsidP="002C220E">
            <w:pPr>
              <w:pStyle w:val="Tabletext"/>
              <w:rPr>
                <w:szCs w:val="20"/>
              </w:rPr>
            </w:pPr>
            <w:r w:rsidRPr="00666D2F">
              <w:rPr>
                <w:szCs w:val="20"/>
              </w:rPr>
              <w:t>VEGF substitution cost offset (list DPMQ $</w:t>
            </w:r>
            <w:r w:rsidR="00487EB2">
              <w:rPr>
                <w:noProof/>
                <w:color w:val="000000"/>
                <w:szCs w:val="20"/>
                <w:highlight w:val="black"/>
              </w:rPr>
              <w:t>''''''''''''''''''''''</w:t>
            </w:r>
            <w:r w:rsidRPr="00666D2F">
              <w:rPr>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93445F" w:rsidRPr="00666D2F" w:rsidRDefault="0093445F" w:rsidP="002C220E">
            <w:pPr>
              <w:pStyle w:val="Tabletext"/>
              <w:jc w:val="center"/>
              <w:rPr>
                <w:szCs w:val="20"/>
              </w:rP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szCs w:val="20"/>
              </w:rP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szCs w:val="20"/>
              </w:rP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szCs w:val="20"/>
              </w:rP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szCs w:val="20"/>
              </w:rP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szCs w:val="20"/>
              </w:rPr>
            </w:pPr>
            <w:r w:rsidRPr="00666D2F">
              <w:rPr>
                <w:bCs/>
                <w:color w:val="000000"/>
              </w:rPr>
              <w:t>$</w:t>
            </w:r>
            <w:r w:rsidR="00487EB2">
              <w:rPr>
                <w:bCs/>
                <w:noProof/>
                <w:color w:val="000000"/>
                <w:highlight w:val="black"/>
              </w:rPr>
              <w:t>'''''''''''''''''''''''''''''</w:t>
            </w:r>
          </w:p>
        </w:tc>
      </w:tr>
      <w:tr w:rsidR="0093445F" w:rsidRPr="00666D2F" w:rsidTr="002C220E">
        <w:tc>
          <w:tcPr>
            <w:tcW w:w="2263" w:type="dxa"/>
            <w:tcBorders>
              <w:right w:val="single" w:sz="4" w:space="0" w:color="auto"/>
            </w:tcBorders>
            <w:shd w:val="clear" w:color="auto" w:fill="auto"/>
            <w:vAlign w:val="center"/>
          </w:tcPr>
          <w:p w:rsidR="0093445F" w:rsidRPr="00666D2F" w:rsidRDefault="0093445F" w:rsidP="002C220E">
            <w:pPr>
              <w:pStyle w:val="Tabletext"/>
              <w:rPr>
                <w:szCs w:val="20"/>
              </w:rPr>
            </w:pPr>
            <w:r w:rsidRPr="00666D2F">
              <w:rPr>
                <w:szCs w:val="20"/>
              </w:rPr>
              <w:t>Patient copayment ($18.95)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r>
      <w:tr w:rsidR="0093445F" w:rsidRPr="00666D2F" w:rsidTr="002C220E">
        <w:tc>
          <w:tcPr>
            <w:tcW w:w="2263" w:type="dxa"/>
            <w:shd w:val="clear" w:color="auto" w:fill="auto"/>
            <w:vAlign w:val="center"/>
          </w:tcPr>
          <w:p w:rsidR="0093445F" w:rsidRPr="00666D2F" w:rsidRDefault="0093445F" w:rsidP="002C220E">
            <w:pPr>
              <w:pStyle w:val="Tabletext"/>
              <w:rPr>
                <w:szCs w:val="20"/>
              </w:rPr>
            </w:pPr>
            <w:r w:rsidRPr="00666D2F">
              <w:rPr>
                <w:szCs w:val="20"/>
              </w:rPr>
              <w:t>Estimated rebate (</w:t>
            </w:r>
            <w:r w:rsidR="00487EB2">
              <w:rPr>
                <w:noProof/>
                <w:color w:val="000000"/>
                <w:szCs w:val="20"/>
                <w:highlight w:val="black"/>
              </w:rPr>
              <w:t>'''''''</w:t>
            </w:r>
            <w:r w:rsidRPr="00666D2F">
              <w:rPr>
                <w:szCs w:val="20"/>
              </w:rPr>
              <w:t>%)</w:t>
            </w:r>
            <w:r w:rsidRPr="00666D2F">
              <w:rPr>
                <w:szCs w:val="20"/>
                <w:vertAlign w:val="superscript"/>
              </w:rPr>
              <w:t>d</w:t>
            </w:r>
          </w:p>
        </w:tc>
        <w:tc>
          <w:tcPr>
            <w:tcW w:w="1134" w:type="dxa"/>
            <w:tcBorders>
              <w:top w:val="single" w:sz="4" w:space="0" w:color="auto"/>
              <w:left w:val="nil"/>
              <w:bottom w:val="single" w:sz="4" w:space="0" w:color="auto"/>
              <w:right w:val="single" w:sz="4" w:space="0" w:color="auto"/>
            </w:tcBorders>
            <w:shd w:val="clear" w:color="auto" w:fill="auto"/>
            <w:vAlign w:val="bottom"/>
          </w:tcPr>
          <w:p w:rsidR="0093445F" w:rsidRPr="00666D2F" w:rsidRDefault="0093445F" w:rsidP="002C220E">
            <w:pPr>
              <w:pStyle w:val="Tabletext"/>
              <w:jc w:val="cente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3445F" w:rsidRPr="00666D2F" w:rsidRDefault="0093445F" w:rsidP="002C220E">
            <w:pPr>
              <w:pStyle w:val="Tabletext"/>
              <w:jc w:val="cente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3445F" w:rsidRPr="00666D2F" w:rsidRDefault="0093445F" w:rsidP="002C220E">
            <w:pPr>
              <w:pStyle w:val="Tabletext"/>
              <w:jc w:val="cente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3445F" w:rsidRPr="00666D2F" w:rsidRDefault="0093445F" w:rsidP="002C220E">
            <w:pPr>
              <w:pStyle w:val="Tabletext"/>
              <w:jc w:val="cente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3445F" w:rsidRPr="00666D2F" w:rsidRDefault="0093445F" w:rsidP="002C220E">
            <w:pPr>
              <w:pStyle w:val="Tabletext"/>
              <w:jc w:val="cente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3445F" w:rsidRPr="00666D2F" w:rsidRDefault="0093445F" w:rsidP="002C220E">
            <w:pPr>
              <w:pStyle w:val="Tabletext"/>
              <w:jc w:val="center"/>
            </w:pPr>
            <w:r w:rsidRPr="00666D2F">
              <w:rPr>
                <w:color w:val="000000"/>
              </w:rPr>
              <w:t>-$</w:t>
            </w:r>
            <w:r w:rsidR="00487EB2">
              <w:rPr>
                <w:noProof/>
                <w:color w:val="000000"/>
                <w:highlight w:val="black"/>
              </w:rPr>
              <w:t>''''''''''''''''''''''''''</w:t>
            </w:r>
          </w:p>
        </w:tc>
      </w:tr>
      <w:tr w:rsidR="0093445F" w:rsidRPr="00666D2F" w:rsidTr="002C220E">
        <w:tc>
          <w:tcPr>
            <w:tcW w:w="2263" w:type="dxa"/>
            <w:tcBorders>
              <w:bottom w:val="double" w:sz="4" w:space="0" w:color="auto"/>
            </w:tcBorders>
            <w:shd w:val="clear" w:color="auto" w:fill="auto"/>
            <w:vAlign w:val="center"/>
          </w:tcPr>
          <w:p w:rsidR="0093445F" w:rsidRPr="00666D2F" w:rsidRDefault="0093445F" w:rsidP="002C220E">
            <w:pPr>
              <w:pStyle w:val="Tabletext"/>
              <w:rPr>
                <w:szCs w:val="20"/>
                <w:vertAlign w:val="superscript"/>
              </w:rPr>
            </w:pPr>
            <w:r w:rsidRPr="00666D2F">
              <w:rPr>
                <w:szCs w:val="20"/>
              </w:rPr>
              <w:t>VEGF substitution cost offset after rebate</w:t>
            </w:r>
          </w:p>
        </w:tc>
        <w:tc>
          <w:tcPr>
            <w:tcW w:w="1134" w:type="dxa"/>
            <w:tcBorders>
              <w:top w:val="single" w:sz="4" w:space="0" w:color="auto"/>
              <w:left w:val="nil"/>
              <w:bottom w:val="doub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93445F" w:rsidRPr="00666D2F" w:rsidRDefault="0093445F" w:rsidP="002C220E">
            <w:pPr>
              <w:pStyle w:val="Tabletext"/>
              <w:jc w:val="center"/>
            </w:pPr>
            <w:r w:rsidRPr="00666D2F">
              <w:rPr>
                <w:bCs/>
                <w:color w:val="000000"/>
              </w:rPr>
              <w:t>$</w:t>
            </w:r>
            <w:r w:rsidR="00487EB2">
              <w:rPr>
                <w:bCs/>
                <w:noProof/>
                <w:color w:val="000000"/>
                <w:highlight w:val="black"/>
              </w:rPr>
              <w:t>''''''''''''''''''''''''</w:t>
            </w:r>
          </w:p>
        </w:tc>
      </w:tr>
      <w:tr w:rsidR="0093445F" w:rsidRPr="00666D2F" w:rsidTr="002C220E">
        <w:tc>
          <w:tcPr>
            <w:tcW w:w="2263" w:type="dxa"/>
            <w:tcBorders>
              <w:top w:val="double" w:sz="4" w:space="0" w:color="auto"/>
            </w:tcBorders>
            <w:shd w:val="clear" w:color="auto" w:fill="auto"/>
            <w:vAlign w:val="center"/>
          </w:tcPr>
          <w:p w:rsidR="0093445F" w:rsidRPr="00666D2F" w:rsidRDefault="0093445F" w:rsidP="002C220E">
            <w:pPr>
              <w:pStyle w:val="Tabletext"/>
              <w:rPr>
                <w:b/>
                <w:szCs w:val="20"/>
              </w:rPr>
            </w:pPr>
            <w:r w:rsidRPr="00666D2F">
              <w:rPr>
                <w:b/>
                <w:szCs w:val="20"/>
              </w:rPr>
              <w:t xml:space="preserve">Net PBS/RPBS cost </w:t>
            </w:r>
          </w:p>
        </w:tc>
        <w:tc>
          <w:tcPr>
            <w:tcW w:w="1134" w:type="dxa"/>
            <w:tcBorders>
              <w:top w:val="double" w:sz="4" w:space="0" w:color="auto"/>
              <w:left w:val="nil"/>
              <w:bottom w:val="single" w:sz="4" w:space="0" w:color="auto"/>
              <w:right w:val="single" w:sz="4" w:space="0" w:color="auto"/>
            </w:tcBorders>
            <w:shd w:val="clear" w:color="auto" w:fill="auto"/>
            <w:vAlign w:val="center"/>
          </w:tcPr>
          <w:p w:rsidR="0093445F" w:rsidRPr="00666D2F" w:rsidRDefault="0093445F" w:rsidP="002C220E">
            <w:pPr>
              <w:pStyle w:val="Tabletext"/>
              <w:jc w:val="center"/>
              <w:rPr>
                <w:b/>
                <w:bCs/>
              </w:rPr>
            </w:pPr>
            <w:r w:rsidRPr="00666D2F">
              <w:rPr>
                <w:b/>
                <w:bCs/>
              </w:rPr>
              <w:t>-$</w:t>
            </w:r>
            <w:r w:rsidR="00487EB2">
              <w:rPr>
                <w:b/>
                <w:bCs/>
                <w:noProof/>
                <w:color w:val="000000"/>
                <w:highlight w:val="black"/>
              </w:rPr>
              <w:t>'''''''''''''''''''</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b/>
                <w:bCs/>
              </w:rPr>
            </w:pPr>
            <w:r w:rsidRPr="00666D2F">
              <w:rPr>
                <w:b/>
                <w:bCs/>
              </w:rPr>
              <w:t>-$</w:t>
            </w:r>
            <w:r w:rsidR="00487EB2">
              <w:rPr>
                <w:b/>
                <w:bCs/>
                <w:noProof/>
                <w:color w:val="000000"/>
                <w:highlight w:val="black"/>
              </w:rPr>
              <w:t>'''''''''''''''''''</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b/>
                <w:bCs/>
              </w:rPr>
            </w:pPr>
            <w:r w:rsidRPr="00666D2F">
              <w:rPr>
                <w:b/>
                <w:bCs/>
              </w:rPr>
              <w:t>-$</w:t>
            </w:r>
            <w:r w:rsidR="00487EB2">
              <w:rPr>
                <w:b/>
                <w:bCs/>
                <w:noProof/>
                <w:color w:val="000000"/>
                <w:highlight w:val="black"/>
              </w:rPr>
              <w:t>''''''''''''''''''</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b/>
                <w:bCs/>
              </w:rPr>
            </w:pPr>
            <w:r w:rsidRPr="00666D2F">
              <w:rPr>
                <w:b/>
                <w:bCs/>
              </w:rPr>
              <w:t>-$</w:t>
            </w:r>
            <w:r w:rsidR="00487EB2">
              <w:rPr>
                <w:b/>
                <w:bCs/>
                <w:noProof/>
                <w:color w:val="000000"/>
                <w:highlight w:val="black"/>
              </w:rPr>
              <w:t>''''''''''''''''''''</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b/>
                <w:bCs/>
              </w:rPr>
            </w:pPr>
            <w:r w:rsidRPr="00666D2F">
              <w:rPr>
                <w:b/>
                <w:bCs/>
              </w:rPr>
              <w:t>-$</w:t>
            </w:r>
            <w:r w:rsidR="00487EB2">
              <w:rPr>
                <w:b/>
                <w:bCs/>
                <w:noProof/>
                <w:color w:val="000000"/>
                <w:highlight w:val="black"/>
              </w:rPr>
              <w:t>'''''''''''''''''''</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rsidR="0093445F" w:rsidRPr="00666D2F" w:rsidRDefault="0093445F" w:rsidP="002C220E">
            <w:pPr>
              <w:pStyle w:val="Tabletext"/>
              <w:jc w:val="center"/>
              <w:rPr>
                <w:b/>
                <w:bCs/>
              </w:rPr>
            </w:pPr>
            <w:r w:rsidRPr="00666D2F">
              <w:rPr>
                <w:b/>
                <w:bCs/>
              </w:rPr>
              <w:t>-$</w:t>
            </w:r>
            <w:r w:rsidR="00487EB2">
              <w:rPr>
                <w:b/>
                <w:bCs/>
                <w:noProof/>
                <w:color w:val="000000"/>
                <w:highlight w:val="black"/>
              </w:rPr>
              <w:t>'''''''''''''''''''</w:t>
            </w:r>
          </w:p>
        </w:tc>
      </w:tr>
      <w:tr w:rsidR="0093445F" w:rsidRPr="00666D2F" w:rsidTr="002C220E">
        <w:tc>
          <w:tcPr>
            <w:tcW w:w="2263" w:type="dxa"/>
            <w:shd w:val="clear" w:color="auto" w:fill="auto"/>
            <w:vAlign w:val="center"/>
          </w:tcPr>
          <w:p w:rsidR="0093445F" w:rsidRPr="00666D2F" w:rsidRDefault="0093445F" w:rsidP="002C220E">
            <w:pPr>
              <w:pStyle w:val="Tabletext"/>
              <w:rPr>
                <w:szCs w:val="20"/>
                <w:vertAlign w:val="superscript"/>
              </w:rPr>
            </w:pPr>
            <w:r w:rsidRPr="00666D2F">
              <w:rPr>
                <w:szCs w:val="20"/>
              </w:rPr>
              <w:t>Dexamethasone administration costs (1 intravitreal injection plus 1 consultation, $</w:t>
            </w:r>
            <w:r w:rsidR="00487EB2">
              <w:rPr>
                <w:noProof/>
                <w:color w:val="000000"/>
                <w:szCs w:val="20"/>
                <w:highlight w:val="black"/>
              </w:rPr>
              <w:t>'''''''''''''''''</w:t>
            </w:r>
            <w:r w:rsidRPr="00666D2F">
              <w:rPr>
                <w:szCs w:val="20"/>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rFonts w:cs="Calibri"/>
                <w:bCs/>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rFonts w:cs="Calibri"/>
                <w:bCs/>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rFonts w:cs="Calibri"/>
                <w:bCs/>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rFonts w:cs="Calibri"/>
                <w:bCs/>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rFonts w:cs="Calibri"/>
                <w:bCs/>
                <w:szCs w:val="2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rFonts w:cs="Calibri"/>
                <w:bCs/>
                <w:szCs w:val="20"/>
              </w:rPr>
            </w:pPr>
            <w:r w:rsidRPr="00666D2F">
              <w:rPr>
                <w:color w:val="000000"/>
              </w:rPr>
              <w:t>$</w:t>
            </w:r>
            <w:r w:rsidR="00487EB2">
              <w:rPr>
                <w:noProof/>
                <w:color w:val="000000"/>
                <w:highlight w:val="black"/>
              </w:rPr>
              <w:t>'''''''''''''''''''''''</w:t>
            </w:r>
          </w:p>
        </w:tc>
      </w:tr>
      <w:tr w:rsidR="0093445F" w:rsidRPr="00666D2F" w:rsidTr="002C220E">
        <w:tc>
          <w:tcPr>
            <w:tcW w:w="2263" w:type="dxa"/>
            <w:shd w:val="clear" w:color="auto" w:fill="auto"/>
            <w:vAlign w:val="center"/>
          </w:tcPr>
          <w:p w:rsidR="0093445F" w:rsidRPr="00666D2F" w:rsidRDefault="0093445F" w:rsidP="002C220E">
            <w:pPr>
              <w:pStyle w:val="Tabletext"/>
              <w:rPr>
                <w:szCs w:val="20"/>
              </w:rPr>
            </w:pPr>
            <w:r w:rsidRPr="00666D2F">
              <w:rPr>
                <w:szCs w:val="20"/>
              </w:rPr>
              <w:t>Dexamethasone additional monitoring costs (3 visits per implant, $</w:t>
            </w:r>
            <w:r w:rsidR="00487EB2">
              <w:rPr>
                <w:noProof/>
                <w:color w:val="000000"/>
                <w:szCs w:val="20"/>
                <w:highlight w:val="black"/>
              </w:rPr>
              <w:t>''''''''''''''''</w:t>
            </w:r>
            <w:r w:rsidRPr="00666D2F">
              <w:rPr>
                <w:szCs w:val="20"/>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bCs/>
                <w:color w:val="00000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bCs/>
                <w:color w:val="00000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bCs/>
                <w:color w:val="00000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bCs/>
                <w:color w:val="00000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bCs/>
                <w:color w:val="000000"/>
              </w:rPr>
            </w:pPr>
            <w:r w:rsidRPr="00666D2F">
              <w:rPr>
                <w:color w:val="000000"/>
              </w:rPr>
              <w:t>$</w:t>
            </w:r>
            <w:r w:rsidR="00487EB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3445F" w:rsidRPr="00666D2F" w:rsidRDefault="0093445F" w:rsidP="002C220E">
            <w:pPr>
              <w:pStyle w:val="Tabletext"/>
              <w:jc w:val="center"/>
              <w:rPr>
                <w:bCs/>
                <w:color w:val="000000"/>
              </w:rPr>
            </w:pPr>
            <w:r w:rsidRPr="00666D2F">
              <w:rPr>
                <w:color w:val="000000"/>
              </w:rPr>
              <w:t>$</w:t>
            </w:r>
            <w:r w:rsidR="00487EB2">
              <w:rPr>
                <w:noProof/>
                <w:color w:val="000000"/>
                <w:highlight w:val="black"/>
              </w:rPr>
              <w:t>''''''''''''''''''''''</w:t>
            </w:r>
          </w:p>
        </w:tc>
      </w:tr>
      <w:tr w:rsidR="0093445F" w:rsidRPr="00107CC7" w:rsidTr="002C220E">
        <w:tc>
          <w:tcPr>
            <w:tcW w:w="2263" w:type="dxa"/>
            <w:shd w:val="clear" w:color="auto" w:fill="auto"/>
            <w:vAlign w:val="center"/>
          </w:tcPr>
          <w:p w:rsidR="0093445F" w:rsidRPr="00107CC7" w:rsidRDefault="0093445F" w:rsidP="002C220E">
            <w:pPr>
              <w:pStyle w:val="Tabletext"/>
              <w:rPr>
                <w:szCs w:val="20"/>
              </w:rPr>
            </w:pPr>
            <w:r w:rsidRPr="00107CC7">
              <w:rPr>
                <w:szCs w:val="20"/>
              </w:rPr>
              <w:t>VEGF cost offset (2.31 intravitreal injections and consultations, $</w:t>
            </w:r>
            <w:r w:rsidR="00487EB2">
              <w:rPr>
                <w:noProof/>
                <w:color w:val="000000"/>
                <w:szCs w:val="20"/>
                <w:highlight w:val="black"/>
              </w:rPr>
              <w:t>'''''''''''''''</w:t>
            </w:r>
            <w:r w:rsidRPr="00107CC7">
              <w:rPr>
                <w:szCs w:val="20"/>
              </w:rPr>
              <w:t xml:space="preserve"> per substituted VEGF script)</w:t>
            </w:r>
            <w:r w:rsidRPr="00107CC7">
              <w:rPr>
                <w:szCs w:val="20"/>
                <w:vertAlign w:val="superscript"/>
              </w:rPr>
              <w:t>e</w:t>
            </w:r>
            <w:r w:rsidRPr="00107CC7">
              <w:rPr>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93445F" w:rsidRPr="00107CC7" w:rsidRDefault="0093445F" w:rsidP="002C220E">
            <w:pPr>
              <w:pStyle w:val="Tabletext"/>
              <w:jc w:val="center"/>
              <w:rPr>
                <w:rFonts w:cs="Calibri"/>
                <w:bCs/>
                <w:szCs w:val="20"/>
              </w:rPr>
            </w:pPr>
            <w:r w:rsidRPr="00107CC7">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107CC7" w:rsidRDefault="0093445F" w:rsidP="002C220E">
            <w:pPr>
              <w:pStyle w:val="Tabletext"/>
              <w:jc w:val="center"/>
              <w:rPr>
                <w:rFonts w:cs="Calibri"/>
                <w:bCs/>
                <w:szCs w:val="20"/>
              </w:rPr>
            </w:pPr>
            <w:r w:rsidRPr="00107CC7">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107CC7" w:rsidRDefault="0093445F" w:rsidP="002C220E">
            <w:pPr>
              <w:pStyle w:val="Tabletext"/>
              <w:jc w:val="center"/>
              <w:rPr>
                <w:rFonts w:cs="Calibri"/>
                <w:bCs/>
                <w:szCs w:val="20"/>
              </w:rPr>
            </w:pPr>
            <w:r w:rsidRPr="00107CC7">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107CC7" w:rsidRDefault="0093445F" w:rsidP="002C220E">
            <w:pPr>
              <w:pStyle w:val="Tabletext"/>
              <w:jc w:val="center"/>
              <w:rPr>
                <w:rFonts w:cs="Calibri"/>
                <w:bCs/>
                <w:szCs w:val="20"/>
              </w:rPr>
            </w:pPr>
            <w:r w:rsidRPr="00107CC7">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107CC7" w:rsidRDefault="0093445F" w:rsidP="002C220E">
            <w:pPr>
              <w:pStyle w:val="Tabletext"/>
              <w:jc w:val="center"/>
              <w:rPr>
                <w:rFonts w:cs="Calibri"/>
                <w:bCs/>
                <w:szCs w:val="20"/>
              </w:rPr>
            </w:pPr>
            <w:r w:rsidRPr="00107CC7">
              <w:rPr>
                <w:bCs/>
                <w:color w:val="000000"/>
              </w:rPr>
              <w:t>-$</w:t>
            </w:r>
            <w:r w:rsidR="00487EB2">
              <w:rPr>
                <w:bCs/>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445F" w:rsidRPr="00107CC7" w:rsidRDefault="0093445F" w:rsidP="002C220E">
            <w:pPr>
              <w:pStyle w:val="Tabletext"/>
              <w:jc w:val="center"/>
              <w:rPr>
                <w:rFonts w:cs="Calibri"/>
                <w:bCs/>
                <w:szCs w:val="20"/>
              </w:rPr>
            </w:pPr>
            <w:r w:rsidRPr="00107CC7">
              <w:rPr>
                <w:bCs/>
                <w:color w:val="000000"/>
              </w:rPr>
              <w:t>-$</w:t>
            </w:r>
            <w:r w:rsidR="00487EB2">
              <w:rPr>
                <w:bCs/>
                <w:noProof/>
                <w:color w:val="000000"/>
                <w:highlight w:val="black"/>
              </w:rPr>
              <w:t>'''''''''''''''''''''</w:t>
            </w:r>
          </w:p>
        </w:tc>
      </w:tr>
      <w:tr w:rsidR="0093445F" w:rsidRPr="00107CC7" w:rsidTr="002C220E">
        <w:tc>
          <w:tcPr>
            <w:tcW w:w="2263" w:type="dxa"/>
            <w:shd w:val="clear" w:color="auto" w:fill="auto"/>
            <w:vAlign w:val="center"/>
          </w:tcPr>
          <w:p w:rsidR="0093445F" w:rsidRPr="00107CC7" w:rsidRDefault="0093445F" w:rsidP="002C220E">
            <w:pPr>
              <w:pStyle w:val="Tabletext"/>
              <w:rPr>
                <w:b/>
                <w:szCs w:val="20"/>
              </w:rPr>
            </w:pPr>
            <w:r w:rsidRPr="00107CC7">
              <w:rPr>
                <w:b/>
                <w:szCs w:val="20"/>
              </w:rPr>
              <w:t>Total cost to government</w:t>
            </w:r>
          </w:p>
        </w:tc>
        <w:tc>
          <w:tcPr>
            <w:tcW w:w="1134" w:type="dxa"/>
            <w:shd w:val="clear" w:color="auto" w:fill="auto"/>
            <w:vAlign w:val="center"/>
          </w:tcPr>
          <w:p w:rsidR="0093445F" w:rsidRPr="00107CC7" w:rsidRDefault="0093445F" w:rsidP="002C220E">
            <w:pPr>
              <w:pStyle w:val="Tabletext"/>
              <w:jc w:val="center"/>
              <w:rPr>
                <w:rFonts w:cs="Arial"/>
                <w:b/>
                <w:bCs/>
                <w:szCs w:val="20"/>
              </w:rPr>
            </w:pPr>
            <w:r w:rsidRPr="00107CC7">
              <w:rPr>
                <w:rFonts w:cs="Calibri"/>
                <w:b/>
                <w:bCs/>
                <w:szCs w:val="20"/>
              </w:rPr>
              <w:t>-$</w:t>
            </w:r>
            <w:r w:rsidR="00487EB2">
              <w:rPr>
                <w:rFonts w:cs="Calibri"/>
                <w:b/>
                <w:bCs/>
                <w:noProof/>
                <w:color w:val="000000"/>
                <w:szCs w:val="20"/>
                <w:highlight w:val="black"/>
              </w:rPr>
              <w:t>'''''''''''''''''''''</w:t>
            </w:r>
          </w:p>
        </w:tc>
        <w:tc>
          <w:tcPr>
            <w:tcW w:w="1134" w:type="dxa"/>
            <w:shd w:val="clear" w:color="auto" w:fill="auto"/>
            <w:vAlign w:val="center"/>
          </w:tcPr>
          <w:p w:rsidR="0093445F" w:rsidRPr="00107CC7" w:rsidRDefault="0093445F" w:rsidP="002C220E">
            <w:pPr>
              <w:pStyle w:val="Tabletext"/>
              <w:jc w:val="center"/>
              <w:rPr>
                <w:rFonts w:cs="Arial"/>
                <w:b/>
                <w:bCs/>
                <w:szCs w:val="20"/>
              </w:rPr>
            </w:pPr>
            <w:r w:rsidRPr="00107CC7">
              <w:rPr>
                <w:rFonts w:cs="Calibri"/>
                <w:b/>
                <w:bCs/>
                <w:szCs w:val="20"/>
              </w:rPr>
              <w:t>-$</w:t>
            </w:r>
            <w:r w:rsidR="00487EB2">
              <w:rPr>
                <w:rFonts w:cs="Calibri"/>
                <w:b/>
                <w:bCs/>
                <w:noProof/>
                <w:color w:val="000000"/>
                <w:szCs w:val="20"/>
                <w:highlight w:val="black"/>
              </w:rPr>
              <w:t>''''''''''''''''''</w:t>
            </w:r>
          </w:p>
        </w:tc>
        <w:tc>
          <w:tcPr>
            <w:tcW w:w="1134" w:type="dxa"/>
            <w:shd w:val="clear" w:color="auto" w:fill="auto"/>
            <w:vAlign w:val="center"/>
          </w:tcPr>
          <w:p w:rsidR="0093445F" w:rsidRPr="00107CC7" w:rsidRDefault="0093445F" w:rsidP="002C220E">
            <w:pPr>
              <w:pStyle w:val="Tabletext"/>
              <w:jc w:val="center"/>
              <w:rPr>
                <w:rFonts w:cs="Arial"/>
                <w:b/>
                <w:bCs/>
                <w:szCs w:val="20"/>
              </w:rPr>
            </w:pPr>
            <w:r w:rsidRPr="00107CC7">
              <w:rPr>
                <w:rFonts w:cs="Calibri"/>
                <w:b/>
                <w:bCs/>
                <w:szCs w:val="20"/>
              </w:rPr>
              <w:t>-$</w:t>
            </w:r>
            <w:r w:rsidR="00487EB2">
              <w:rPr>
                <w:rFonts w:cs="Calibri"/>
                <w:b/>
                <w:bCs/>
                <w:noProof/>
                <w:color w:val="000000"/>
                <w:szCs w:val="20"/>
                <w:highlight w:val="black"/>
              </w:rPr>
              <w:t>''''''''''''''''''</w:t>
            </w:r>
          </w:p>
        </w:tc>
        <w:tc>
          <w:tcPr>
            <w:tcW w:w="1134" w:type="dxa"/>
            <w:shd w:val="clear" w:color="auto" w:fill="auto"/>
            <w:vAlign w:val="center"/>
          </w:tcPr>
          <w:p w:rsidR="0093445F" w:rsidRPr="00107CC7" w:rsidRDefault="0093445F" w:rsidP="002C220E">
            <w:pPr>
              <w:pStyle w:val="Tabletext"/>
              <w:jc w:val="center"/>
              <w:rPr>
                <w:rFonts w:cs="Arial"/>
                <w:b/>
                <w:bCs/>
                <w:szCs w:val="20"/>
              </w:rPr>
            </w:pPr>
            <w:r w:rsidRPr="00107CC7">
              <w:rPr>
                <w:rFonts w:cs="Calibri"/>
                <w:b/>
                <w:bCs/>
                <w:szCs w:val="20"/>
              </w:rPr>
              <w:t>-$</w:t>
            </w:r>
            <w:r w:rsidR="00487EB2">
              <w:rPr>
                <w:rFonts w:cs="Calibri"/>
                <w:b/>
                <w:bCs/>
                <w:noProof/>
                <w:color w:val="000000"/>
                <w:szCs w:val="20"/>
                <w:highlight w:val="black"/>
              </w:rPr>
              <w:t>'''''''''''''''''''</w:t>
            </w:r>
          </w:p>
        </w:tc>
        <w:tc>
          <w:tcPr>
            <w:tcW w:w="1134" w:type="dxa"/>
            <w:shd w:val="clear" w:color="auto" w:fill="auto"/>
            <w:vAlign w:val="center"/>
          </w:tcPr>
          <w:p w:rsidR="0093445F" w:rsidRPr="00107CC7" w:rsidRDefault="0093445F" w:rsidP="002C220E">
            <w:pPr>
              <w:pStyle w:val="Tabletext"/>
              <w:jc w:val="center"/>
              <w:rPr>
                <w:rFonts w:cs="Arial"/>
                <w:b/>
                <w:bCs/>
                <w:szCs w:val="20"/>
              </w:rPr>
            </w:pPr>
            <w:r w:rsidRPr="00107CC7">
              <w:rPr>
                <w:rFonts w:cs="Calibri"/>
                <w:b/>
                <w:bCs/>
                <w:szCs w:val="20"/>
              </w:rPr>
              <w:t>-$</w:t>
            </w:r>
            <w:r w:rsidR="00487EB2">
              <w:rPr>
                <w:rFonts w:cs="Calibri"/>
                <w:b/>
                <w:bCs/>
                <w:noProof/>
                <w:color w:val="000000"/>
                <w:szCs w:val="20"/>
                <w:highlight w:val="black"/>
              </w:rPr>
              <w:t>''''''''''''''''''</w:t>
            </w:r>
          </w:p>
        </w:tc>
        <w:tc>
          <w:tcPr>
            <w:tcW w:w="1134" w:type="dxa"/>
            <w:shd w:val="clear" w:color="auto" w:fill="auto"/>
            <w:vAlign w:val="center"/>
          </w:tcPr>
          <w:p w:rsidR="0093445F" w:rsidRPr="00107CC7" w:rsidRDefault="0093445F" w:rsidP="002C220E">
            <w:pPr>
              <w:pStyle w:val="Tabletext"/>
              <w:jc w:val="center"/>
              <w:rPr>
                <w:rFonts w:cs="Arial"/>
                <w:b/>
                <w:bCs/>
                <w:szCs w:val="20"/>
              </w:rPr>
            </w:pPr>
            <w:r w:rsidRPr="00107CC7">
              <w:rPr>
                <w:rFonts w:cs="Calibri"/>
                <w:b/>
                <w:bCs/>
                <w:szCs w:val="20"/>
              </w:rPr>
              <w:t>-$</w:t>
            </w:r>
            <w:r w:rsidR="00487EB2">
              <w:rPr>
                <w:rFonts w:cs="Calibri"/>
                <w:b/>
                <w:bCs/>
                <w:noProof/>
                <w:color w:val="000000"/>
                <w:szCs w:val="20"/>
                <w:highlight w:val="black"/>
              </w:rPr>
              <w:t>''''''''''''''''''''</w:t>
            </w:r>
          </w:p>
        </w:tc>
      </w:tr>
    </w:tbl>
    <w:p w:rsidR="0093445F" w:rsidRPr="00107CC7" w:rsidRDefault="0093445F" w:rsidP="0093445F">
      <w:pPr>
        <w:rPr>
          <w:rFonts w:ascii="Arial Narrow" w:hAnsi="Arial Narrow"/>
          <w:sz w:val="18"/>
          <w:szCs w:val="18"/>
        </w:rPr>
      </w:pPr>
      <w:r w:rsidRPr="00107CC7">
        <w:rPr>
          <w:rFonts w:ascii="Arial Narrow" w:hAnsi="Arial Narrow"/>
          <w:sz w:val="18"/>
          <w:szCs w:val="18"/>
        </w:rPr>
        <w:t>Source: pp158-165 and ‘Economic and financial analyses – dexamethasone implant RVO March 2018’ Excel workbook of the submission</w:t>
      </w:r>
    </w:p>
    <w:p w:rsidR="0093445F" w:rsidRPr="00107CC7" w:rsidRDefault="0093445F" w:rsidP="0093445F">
      <w:pPr>
        <w:rPr>
          <w:rFonts w:ascii="Arial Narrow" w:hAnsi="Arial Narrow"/>
          <w:sz w:val="18"/>
          <w:szCs w:val="18"/>
        </w:rPr>
      </w:pPr>
      <w:r w:rsidRPr="00107CC7">
        <w:rPr>
          <w:rFonts w:ascii="Arial Narrow" w:hAnsi="Arial Narrow"/>
          <w:sz w:val="18"/>
          <w:szCs w:val="18"/>
        </w:rPr>
        <w:t>Abbreviations: IOP, intraocular pressure; RVO, retinal vein occlusion; VEGF, vascular endothelial growth factor inhibitor</w:t>
      </w:r>
    </w:p>
    <w:p w:rsidR="0093445F" w:rsidRPr="00107CC7" w:rsidRDefault="0093445F" w:rsidP="0093445F">
      <w:pPr>
        <w:rPr>
          <w:rFonts w:ascii="Arial Narrow" w:hAnsi="Arial Narrow"/>
          <w:sz w:val="18"/>
          <w:szCs w:val="18"/>
        </w:rPr>
      </w:pPr>
      <w:r w:rsidRPr="00107CC7">
        <w:rPr>
          <w:rFonts w:ascii="Arial Narrow" w:hAnsi="Arial Narrow"/>
          <w:sz w:val="18"/>
          <w:szCs w:val="18"/>
        </w:rPr>
        <w:t>a Based on 10% Medicare Sample analysis of ranibizumab and aflibercept scripts for branch and central retinal vein occlusion</w:t>
      </w:r>
    </w:p>
    <w:p w:rsidR="0093445F" w:rsidRPr="00107CC7" w:rsidRDefault="0093445F" w:rsidP="0093445F">
      <w:pPr>
        <w:rPr>
          <w:rFonts w:ascii="Arial Narrow" w:hAnsi="Arial Narrow"/>
          <w:sz w:val="18"/>
          <w:szCs w:val="18"/>
        </w:rPr>
      </w:pPr>
      <w:r w:rsidRPr="00107CC7">
        <w:rPr>
          <w:rFonts w:ascii="Arial Narrow" w:hAnsi="Arial Narrow"/>
          <w:sz w:val="18"/>
          <w:szCs w:val="18"/>
        </w:rPr>
        <w:t>b Rebate estimated as $</w:t>
      </w:r>
      <w:r w:rsidR="00487EB2">
        <w:rPr>
          <w:rFonts w:ascii="Arial Narrow" w:hAnsi="Arial Narrow"/>
          <w:noProof/>
          <w:color w:val="000000"/>
          <w:sz w:val="18"/>
          <w:szCs w:val="18"/>
          <w:highlight w:val="black"/>
        </w:rPr>
        <w:t>'''''''''''''''''''''</w:t>
      </w:r>
      <w:r w:rsidRPr="00107CC7">
        <w:rPr>
          <w:rFonts w:ascii="Arial Narrow" w:hAnsi="Arial Narrow"/>
          <w:sz w:val="18"/>
          <w:szCs w:val="18"/>
        </w:rPr>
        <w:t xml:space="preserve"> - $18.95 (average patient </w:t>
      </w:r>
      <w:r w:rsidR="006A0B29" w:rsidRPr="00107CC7">
        <w:rPr>
          <w:rFonts w:ascii="Arial Narrow" w:hAnsi="Arial Narrow"/>
          <w:sz w:val="18"/>
          <w:szCs w:val="18"/>
        </w:rPr>
        <w:t>co-payment</w:t>
      </w:r>
      <w:r w:rsidRPr="00107CC7">
        <w:rPr>
          <w:rFonts w:ascii="Arial Narrow" w:hAnsi="Arial Narrow"/>
          <w:sz w:val="18"/>
          <w:szCs w:val="18"/>
        </w:rPr>
        <w:t xml:space="preserve"> for ranibizumab and afilbercept for diabetic macular oedema) * </w:t>
      </w:r>
      <w:r w:rsidR="00487EB2">
        <w:rPr>
          <w:rFonts w:ascii="Arial Narrow" w:hAnsi="Arial Narrow"/>
          <w:noProof/>
          <w:color w:val="000000"/>
          <w:sz w:val="18"/>
          <w:szCs w:val="18"/>
          <w:highlight w:val="black"/>
        </w:rPr>
        <w:t>''''''''''</w:t>
      </w:r>
      <w:r w:rsidRPr="00107CC7">
        <w:rPr>
          <w:rFonts w:ascii="Arial Narrow" w:hAnsi="Arial Narrow"/>
          <w:sz w:val="18"/>
          <w:szCs w:val="18"/>
        </w:rPr>
        <w:t xml:space="preserve">% rebate on government expenditure </w:t>
      </w:r>
    </w:p>
    <w:p w:rsidR="0093445F" w:rsidRPr="00107CC7" w:rsidRDefault="0093445F" w:rsidP="0093445F">
      <w:pPr>
        <w:rPr>
          <w:rFonts w:ascii="Arial Narrow" w:hAnsi="Arial Narrow"/>
          <w:sz w:val="18"/>
          <w:szCs w:val="18"/>
        </w:rPr>
      </w:pPr>
      <w:r w:rsidRPr="00107CC7">
        <w:rPr>
          <w:rFonts w:ascii="Arial Narrow" w:hAnsi="Arial Narrow"/>
          <w:sz w:val="18"/>
          <w:szCs w:val="18"/>
        </w:rPr>
        <w:t xml:space="preserve">c Calculated based on </w:t>
      </w:r>
      <w:r w:rsidRPr="00B06CEE">
        <w:rPr>
          <w:rFonts w:ascii="Arial Narrow" w:hAnsi="Arial Narrow"/>
          <w:sz w:val="18"/>
          <w:szCs w:val="18"/>
        </w:rPr>
        <w:t>22.6</w:t>
      </w:r>
      <w:r w:rsidRPr="00107CC7">
        <w:rPr>
          <w:rFonts w:ascii="Arial Narrow" w:hAnsi="Arial Narrow"/>
          <w:sz w:val="18"/>
          <w:szCs w:val="18"/>
        </w:rPr>
        <w:t>% of dexamethasone scripts, 6 scripts per dexamethasone scripts and weighted DPMQ $</w:t>
      </w:r>
      <w:r w:rsidR="00487EB2">
        <w:rPr>
          <w:rFonts w:ascii="Arial Narrow" w:hAnsi="Arial Narrow"/>
          <w:noProof/>
          <w:color w:val="000000"/>
          <w:sz w:val="18"/>
          <w:szCs w:val="18"/>
          <w:highlight w:val="black"/>
        </w:rPr>
        <w:t>''''''''''''</w:t>
      </w:r>
      <w:r w:rsidRPr="00107CC7">
        <w:rPr>
          <w:rFonts w:ascii="Arial Narrow" w:hAnsi="Arial Narrow"/>
          <w:sz w:val="18"/>
          <w:szCs w:val="18"/>
        </w:rPr>
        <w:t xml:space="preserve"> less $18.95 copayment</w:t>
      </w:r>
    </w:p>
    <w:p w:rsidR="0093445F" w:rsidRPr="00107CC7" w:rsidRDefault="0093445F" w:rsidP="0093445F">
      <w:pPr>
        <w:rPr>
          <w:rFonts w:ascii="Arial Narrow" w:hAnsi="Arial Narrow"/>
          <w:sz w:val="18"/>
          <w:szCs w:val="18"/>
        </w:rPr>
      </w:pPr>
      <w:r w:rsidRPr="00107CC7">
        <w:rPr>
          <w:rFonts w:ascii="Arial Narrow" w:hAnsi="Arial Narrow"/>
          <w:sz w:val="18"/>
          <w:szCs w:val="18"/>
        </w:rPr>
        <w:t>d Assumed to be the same for ranibizumab and aflibercept in the submission</w:t>
      </w:r>
    </w:p>
    <w:p w:rsidR="0093445F" w:rsidRDefault="0093445F" w:rsidP="0093445F">
      <w:pPr>
        <w:rPr>
          <w:rFonts w:ascii="Arial Narrow" w:hAnsi="Arial Narrow"/>
          <w:sz w:val="18"/>
          <w:szCs w:val="18"/>
        </w:rPr>
      </w:pPr>
      <w:r w:rsidRPr="00107CC7">
        <w:rPr>
          <w:rFonts w:ascii="Arial Narrow" w:hAnsi="Arial Narrow"/>
          <w:sz w:val="18"/>
          <w:szCs w:val="18"/>
        </w:rPr>
        <w:t>e The MBS cost offsets associated with VEGF inhibitors were incorrectly estimated using the 100% schedule fee which was inconsistent with 85% rebate amount used to estimate MBS costs for dexamethasone</w:t>
      </w:r>
    </w:p>
    <w:p w:rsidR="00D02423" w:rsidRDefault="00D02423" w:rsidP="0093445F">
      <w:pPr>
        <w:rPr>
          <w:rFonts w:ascii="Arial Narrow" w:hAnsi="Arial Narrow"/>
          <w:sz w:val="18"/>
          <w:szCs w:val="18"/>
        </w:rPr>
      </w:pPr>
    </w:p>
    <w:p w:rsidR="00D02423" w:rsidRPr="00107CC7" w:rsidRDefault="00D02423" w:rsidP="009C4515">
      <w:pPr>
        <w:widowControl/>
        <w:spacing w:line="276" w:lineRule="auto"/>
        <w:rPr>
          <w:rFonts w:ascii="Arial Narrow" w:hAnsi="Arial Narrow"/>
          <w:sz w:val="18"/>
          <w:szCs w:val="18"/>
        </w:rPr>
      </w:pPr>
      <w:r w:rsidRPr="00D02423">
        <w:rPr>
          <w:rFonts w:asciiTheme="minorHAnsi" w:eastAsiaTheme="minorHAnsi" w:hAnsiTheme="minorHAnsi"/>
          <w:snapToGrid/>
          <w:szCs w:val="24"/>
        </w:rPr>
        <w:t>The red</w:t>
      </w:r>
      <w:r>
        <w:rPr>
          <w:rFonts w:asciiTheme="minorHAnsi" w:eastAsiaTheme="minorHAnsi" w:hAnsiTheme="minorHAnsi"/>
          <w:snapToGrid/>
          <w:szCs w:val="24"/>
        </w:rPr>
        <w:t>acted table shows that at year 6</w:t>
      </w:r>
      <w:r w:rsidRPr="00D02423">
        <w:rPr>
          <w:rFonts w:asciiTheme="minorHAnsi" w:eastAsiaTheme="minorHAnsi" w:hAnsiTheme="minorHAnsi"/>
          <w:snapToGrid/>
          <w:szCs w:val="24"/>
        </w:rPr>
        <w:t xml:space="preserve">, the estimated number of </w:t>
      </w:r>
      <w:r>
        <w:rPr>
          <w:rFonts w:asciiTheme="minorHAnsi" w:eastAsiaTheme="minorHAnsi" w:hAnsiTheme="minorHAnsi"/>
          <w:snapToGrid/>
          <w:szCs w:val="24"/>
        </w:rPr>
        <w:t xml:space="preserve">scripts </w:t>
      </w:r>
      <w:r w:rsidR="00F9755E">
        <w:rPr>
          <w:rFonts w:asciiTheme="minorHAnsi" w:eastAsiaTheme="minorHAnsi" w:hAnsiTheme="minorHAnsi"/>
          <w:snapToGrid/>
          <w:szCs w:val="24"/>
        </w:rPr>
        <w:t xml:space="preserve">is </w:t>
      </w:r>
      <w:r w:rsidRPr="00D02423">
        <w:rPr>
          <w:rFonts w:asciiTheme="minorHAnsi" w:eastAsiaTheme="minorHAnsi" w:hAnsiTheme="minorHAnsi"/>
          <w:snapToGrid/>
          <w:szCs w:val="24"/>
        </w:rPr>
        <w:t xml:space="preserve">10,000 – 50,000  and the net </w:t>
      </w:r>
      <w:r w:rsidR="00F9755E">
        <w:rPr>
          <w:rFonts w:asciiTheme="minorHAnsi" w:eastAsiaTheme="minorHAnsi" w:hAnsiTheme="minorHAnsi"/>
          <w:snapToGrid/>
          <w:szCs w:val="24"/>
        </w:rPr>
        <w:t>saving</w:t>
      </w:r>
      <w:r w:rsidRPr="00D02423">
        <w:rPr>
          <w:rFonts w:asciiTheme="minorHAnsi" w:eastAsiaTheme="minorHAnsi" w:hAnsiTheme="minorHAnsi"/>
          <w:snapToGrid/>
          <w:szCs w:val="24"/>
        </w:rPr>
        <w:t xml:space="preserve"> to the PBS would be </w:t>
      </w:r>
      <w:r w:rsidR="00F9755E" w:rsidRPr="00F9755E">
        <w:rPr>
          <w:rFonts w:asciiTheme="minorHAnsi" w:eastAsiaTheme="minorHAnsi" w:hAnsiTheme="minorHAnsi"/>
          <w:snapToGrid/>
          <w:szCs w:val="24"/>
        </w:rPr>
        <w:t>less than $10 million per year</w:t>
      </w:r>
      <w:r w:rsidR="00F9755E">
        <w:rPr>
          <w:rFonts w:asciiTheme="minorHAnsi" w:eastAsiaTheme="minorHAnsi" w:hAnsiTheme="minorHAnsi"/>
          <w:snapToGrid/>
          <w:szCs w:val="24"/>
        </w:rPr>
        <w:t>.</w:t>
      </w:r>
    </w:p>
    <w:p w:rsidR="0093445F" w:rsidRPr="0093445F" w:rsidRDefault="0093445F" w:rsidP="0093445F">
      <w:pPr>
        <w:widowControl/>
        <w:rPr>
          <w:highlight w:val="yellow"/>
        </w:rPr>
      </w:pPr>
    </w:p>
    <w:p w:rsidR="0093445F" w:rsidRPr="00107CC7" w:rsidRDefault="0093445F" w:rsidP="00361734">
      <w:pPr>
        <w:pStyle w:val="ListParagraph"/>
        <w:widowControl/>
        <w:numPr>
          <w:ilvl w:val="1"/>
          <w:numId w:val="1"/>
        </w:numPr>
      </w:pPr>
      <w:r w:rsidRPr="00107CC7">
        <w:t xml:space="preserve">The proposed listing of dexamethasone implant on the PBS/RPBS for macular oedema secondary to branch or central retinal vein occlusion was estimated to result in cost savings of up to </w:t>
      </w:r>
      <w:r w:rsidR="009A7843">
        <w:t xml:space="preserve">less than $10 </w:t>
      </w:r>
      <w:r w:rsidRPr="00107CC7">
        <w:t>million in the sixth year of listing ($</w:t>
      </w:r>
      <w:r w:rsidR="009A7843">
        <w:t>10</w:t>
      </w:r>
      <w:r w:rsidR="00287693">
        <w:t xml:space="preserve"> </w:t>
      </w:r>
      <w:r w:rsidR="009A7843">
        <w:t>-</w:t>
      </w:r>
      <w:r w:rsidR="00287693">
        <w:t>$</w:t>
      </w:r>
      <w:r w:rsidR="009A7843">
        <w:t>20</w:t>
      </w:r>
      <w:r w:rsidRPr="00107CC7">
        <w:t xml:space="preserve"> million based on published prices). The estimated cumulative cost savings to the PBS/RPBS over six years was $</w:t>
      </w:r>
      <w:r w:rsidR="009A7843">
        <w:t>10</w:t>
      </w:r>
      <w:r w:rsidR="006A3183">
        <w:t xml:space="preserve"> </w:t>
      </w:r>
      <w:r w:rsidR="009A7843">
        <w:t>-</w:t>
      </w:r>
      <w:r w:rsidR="006A3183">
        <w:t xml:space="preserve"> $</w:t>
      </w:r>
      <w:r w:rsidR="009A7843">
        <w:t>20</w:t>
      </w:r>
      <w:r w:rsidRPr="00107CC7">
        <w:t xml:space="preserve"> million ($</w:t>
      </w:r>
      <w:r w:rsidR="009A7843">
        <w:t>60</w:t>
      </w:r>
      <w:r w:rsidR="006A3183">
        <w:t xml:space="preserve"> </w:t>
      </w:r>
      <w:r w:rsidR="009A7843">
        <w:t>-</w:t>
      </w:r>
      <w:r w:rsidR="006A3183">
        <w:t xml:space="preserve"> $</w:t>
      </w:r>
      <w:r w:rsidR="009A7843">
        <w:t>100</w:t>
      </w:r>
      <w:r w:rsidRPr="00107CC7">
        <w:t xml:space="preserve"> million based on published prices).</w:t>
      </w:r>
    </w:p>
    <w:p w:rsidR="0093445F" w:rsidRDefault="0093445F" w:rsidP="00361734">
      <w:pPr>
        <w:pStyle w:val="ListParagraph"/>
        <w:widowControl/>
        <w:numPr>
          <w:ilvl w:val="1"/>
          <w:numId w:val="1"/>
        </w:numPr>
      </w:pPr>
      <w:r w:rsidRPr="00107CC7">
        <w:t>The proposed listing was associated with additional costs to non-PBS government expenditure due to adverse events (glaucoma, medication costs only) and additional monitoring costs. The proposed listing was also associated with cost savings due to a reduction in administration costs associated with substitution of VEGF inhibitors. The estimated cumulative cost savings to government was $</w:t>
      </w:r>
      <w:r w:rsidR="009C34FF">
        <w:t>30 - $6</w:t>
      </w:r>
      <w:r w:rsidR="006A3183">
        <w:t>0</w:t>
      </w:r>
      <w:r w:rsidRPr="00107CC7">
        <w:t xml:space="preserve"> million over six years ($</w:t>
      </w:r>
      <w:r w:rsidR="006A3183">
        <w:t>60 - $100</w:t>
      </w:r>
      <w:r w:rsidRPr="00107CC7">
        <w:t xml:space="preserve"> million based on published prices).</w:t>
      </w:r>
    </w:p>
    <w:p w:rsidR="008472ED" w:rsidRPr="008472ED" w:rsidRDefault="008472ED" w:rsidP="00361734">
      <w:pPr>
        <w:pStyle w:val="ListParagraph"/>
        <w:widowControl/>
        <w:numPr>
          <w:ilvl w:val="1"/>
          <w:numId w:val="1"/>
        </w:numPr>
        <w:rPr>
          <w:rFonts w:asciiTheme="minorHAnsi" w:hAnsiTheme="minorHAnsi"/>
          <w:b/>
          <w:szCs w:val="24"/>
        </w:rPr>
      </w:pPr>
      <w:r>
        <w:t xml:space="preserve">The </w:t>
      </w:r>
      <w:r w:rsidRPr="008472ED">
        <w:t>DUSC</w:t>
      </w:r>
      <w:r w:rsidRPr="00BE7C06">
        <w:rPr>
          <w:rFonts w:asciiTheme="minorHAnsi" w:hAnsiTheme="minorHAnsi"/>
          <w:szCs w:val="24"/>
        </w:rPr>
        <w:t xml:space="preserve"> considered the submission’s use of a market share approach, assuming that the use of dexamethasone as a second line treatment will substitute for existing listings of VEGF inhibitors, is inappropriate.</w:t>
      </w:r>
      <w:r>
        <w:rPr>
          <w:rFonts w:asciiTheme="minorHAnsi" w:hAnsiTheme="minorHAnsi"/>
          <w:szCs w:val="24"/>
        </w:rPr>
        <w:t xml:space="preserve"> </w:t>
      </w:r>
      <w:r w:rsidRPr="00BE7C06">
        <w:rPr>
          <w:rFonts w:asciiTheme="minorHAnsi" w:hAnsiTheme="minorHAnsi"/>
          <w:szCs w:val="24"/>
        </w:rPr>
        <w:t>As the introduction of dexamethasone will not reduce the use of first line therapy with VEGF inhibitors, its listing is likely to result in a net cost to government and not cost savings as estimated by the sponsor.</w:t>
      </w:r>
    </w:p>
    <w:p w:rsidR="008472ED" w:rsidRPr="00981468" w:rsidRDefault="008472ED" w:rsidP="008472ED">
      <w:pPr>
        <w:pStyle w:val="Heading2"/>
      </w:pPr>
      <w:bookmarkStart w:id="15" w:name="_Toc413139285"/>
      <w:bookmarkStart w:id="16" w:name="_Toc492997395"/>
      <w:bookmarkStart w:id="17" w:name="_Toc413139286"/>
      <w:bookmarkStart w:id="18" w:name="_Toc492997396"/>
      <w:r w:rsidRPr="00981468">
        <w:t>Quality use of medicines</w:t>
      </w:r>
      <w:bookmarkEnd w:id="15"/>
      <w:bookmarkEnd w:id="16"/>
    </w:p>
    <w:p w:rsidR="008472ED" w:rsidRPr="00BE7C06" w:rsidRDefault="008472ED" w:rsidP="00361734">
      <w:pPr>
        <w:pStyle w:val="ListParagraph"/>
        <w:widowControl/>
        <w:numPr>
          <w:ilvl w:val="1"/>
          <w:numId w:val="1"/>
        </w:numPr>
        <w:rPr>
          <w:rFonts w:asciiTheme="minorHAnsi" w:hAnsiTheme="minorHAnsi"/>
          <w:szCs w:val="24"/>
        </w:rPr>
      </w:pPr>
      <w:r w:rsidRPr="008472ED">
        <w:rPr>
          <w:rFonts w:asciiTheme="minorHAnsi" w:hAnsiTheme="minorHAnsi"/>
          <w:bCs/>
          <w:lang w:val="en-GB"/>
        </w:rPr>
        <w:t>DUSC commented that if the drug is marketed as an alternative for VEGF inhibitors in</w:t>
      </w:r>
      <w:r w:rsidRPr="00BE7C06">
        <w:rPr>
          <w:rFonts w:asciiTheme="minorHAnsi" w:hAnsiTheme="minorHAnsi"/>
          <w:szCs w:val="24"/>
        </w:rPr>
        <w:t xml:space="preserve"> non-</w:t>
      </w:r>
      <w:r w:rsidRPr="005C40B4">
        <w:rPr>
          <w:rFonts w:asciiTheme="minorHAnsi" w:hAnsiTheme="minorHAnsi"/>
          <w:szCs w:val="24"/>
        </w:rPr>
        <w:t>compliant patients for</w:t>
      </w:r>
      <w:r w:rsidRPr="00BE7C06">
        <w:rPr>
          <w:rFonts w:asciiTheme="minorHAnsi" w:hAnsiTheme="minorHAnsi"/>
          <w:szCs w:val="24"/>
        </w:rPr>
        <w:t xml:space="preserve"> whom less frequent treatments may be beneficial, many of these patients will then need to be treated for intraocular pressure (IOP). DUSC considered it is a QUM issue for non-compliant patients to require additional therapy for adverse events.</w:t>
      </w:r>
    </w:p>
    <w:p w:rsidR="008472ED" w:rsidRDefault="008472ED" w:rsidP="008472ED">
      <w:pPr>
        <w:pStyle w:val="Heading2"/>
      </w:pPr>
      <w:r w:rsidRPr="00981468">
        <w:t>Financial management – risk sharing arrangements</w:t>
      </w:r>
      <w:bookmarkEnd w:id="17"/>
      <w:bookmarkEnd w:id="18"/>
    </w:p>
    <w:p w:rsidR="008472ED" w:rsidRPr="008472ED" w:rsidRDefault="008472ED" w:rsidP="00361734">
      <w:pPr>
        <w:pStyle w:val="ListParagraph"/>
        <w:widowControl/>
        <w:numPr>
          <w:ilvl w:val="1"/>
          <w:numId w:val="1"/>
        </w:numPr>
      </w:pPr>
      <w:r>
        <w:t>The PBAC noted the pre-PBAC response off</w:t>
      </w:r>
      <w:r w:rsidR="001E26E7">
        <w:t xml:space="preserve">ered to address the potential financial issues by entering a risk share arrangement </w:t>
      </w:r>
      <w:r w:rsidR="00487EB2">
        <w:rPr>
          <w:rFonts w:asciiTheme="minorHAnsi" w:hAnsiTheme="minorHAnsi" w:cstheme="minorHAnsi"/>
          <w:noProof/>
          <w:color w:val="000000"/>
          <w:highlight w:val="black"/>
        </w:rPr>
        <w:t>''''''''''''''' '''''''''''''''''''''''' ''''' '''''''''''''''''''''''''''' ''''''''''''''' ''''''''''' '''''''' ''''' '''''''''''''''''''' '''' '''''''' ''''''' '''''' ''''''''''''''''''''''''' ''''''' '''''' ''''''''''''' '''''''''''''''''''''' '''''''' '''''''''''''''' '''' '''''' ''''''''''''''' ''''''''''' '''' ''''''''''''''''''''' '''''' '''''''''''''''''''''''''''' '''''''''''''''' '''' '''''''''''</w:t>
      </w:r>
    </w:p>
    <w:p w:rsidR="00C1342C" w:rsidRDefault="00415ABD" w:rsidP="005661AF">
      <w:pPr>
        <w:pStyle w:val="ListParagraph"/>
        <w:widowControl/>
        <w:rPr>
          <w:rFonts w:asciiTheme="minorHAnsi" w:hAnsiTheme="minorHAnsi"/>
          <w:i/>
        </w:rPr>
      </w:pPr>
      <w:r w:rsidRPr="008472ED">
        <w:rPr>
          <w:rFonts w:asciiTheme="minorHAnsi" w:hAnsiTheme="minorHAnsi"/>
          <w:i/>
        </w:rPr>
        <w:t>For more detail on PBAC’s view, see section 7 PBAC outcome.</w:t>
      </w:r>
    </w:p>
    <w:p w:rsidR="00C1342C" w:rsidRDefault="00C1342C">
      <w:pPr>
        <w:widowControl/>
        <w:jc w:val="left"/>
        <w:rPr>
          <w:rFonts w:asciiTheme="minorHAnsi" w:hAnsiTheme="minorHAnsi"/>
          <w:i/>
        </w:rPr>
      </w:pPr>
      <w:r>
        <w:rPr>
          <w:rFonts w:asciiTheme="minorHAnsi" w:hAnsiTheme="minorHAnsi"/>
          <w:i/>
        </w:rPr>
        <w:br w:type="page"/>
      </w:r>
    </w:p>
    <w:p w:rsidR="005661AF" w:rsidRPr="00830D61" w:rsidRDefault="005661AF" w:rsidP="00D005BF">
      <w:pPr>
        <w:pStyle w:val="PBACHeading1"/>
        <w:rPr>
          <w:rFonts w:cs="Times New Roman"/>
          <w:snapToGrid/>
          <w:color w:val="000000" w:themeColor="text1"/>
          <w:sz w:val="24"/>
        </w:rPr>
      </w:pPr>
      <w:r w:rsidRPr="00830D61">
        <w:t xml:space="preserve">PBAC </w:t>
      </w:r>
      <w:r w:rsidR="00B132F3">
        <w:t>o</w:t>
      </w:r>
      <w:r w:rsidRPr="00830D61">
        <w:t>utcome</w:t>
      </w:r>
    </w:p>
    <w:p w:rsidR="005661AF" w:rsidRDefault="005661AF" w:rsidP="00361734">
      <w:pPr>
        <w:numPr>
          <w:ilvl w:val="1"/>
          <w:numId w:val="1"/>
        </w:numPr>
        <w:spacing w:after="120"/>
        <w:rPr>
          <w:rFonts w:asciiTheme="minorHAnsi" w:hAnsiTheme="minorHAnsi"/>
          <w:bCs/>
          <w:lang w:val="en-GB"/>
        </w:rPr>
      </w:pPr>
      <w:r w:rsidRPr="00830D61">
        <w:rPr>
          <w:rFonts w:asciiTheme="minorHAnsi" w:hAnsiTheme="minorHAnsi"/>
          <w:bCs/>
          <w:lang w:val="en-GB"/>
        </w:rPr>
        <w:t xml:space="preserve">The PBAC recommended </w:t>
      </w:r>
      <w:r w:rsidR="00DC6335">
        <w:rPr>
          <w:rFonts w:asciiTheme="minorHAnsi" w:hAnsiTheme="minorHAnsi"/>
          <w:bCs/>
          <w:lang w:val="en-GB"/>
        </w:rPr>
        <w:t>extending the listing</w:t>
      </w:r>
      <w:r w:rsidRPr="00830D61">
        <w:rPr>
          <w:rFonts w:asciiTheme="minorHAnsi" w:hAnsiTheme="minorHAnsi"/>
          <w:bCs/>
          <w:lang w:val="en-GB"/>
        </w:rPr>
        <w:t xml:space="preserve"> of </w:t>
      </w:r>
      <w:r w:rsidR="00830D61" w:rsidRPr="00830D61">
        <w:rPr>
          <w:rFonts w:asciiTheme="minorHAnsi" w:hAnsiTheme="minorHAnsi"/>
          <w:bCs/>
          <w:lang w:val="en-GB"/>
        </w:rPr>
        <w:t xml:space="preserve">dexamethasone intravitreal injection 700 micrograms </w:t>
      </w:r>
      <w:r w:rsidR="00DC6335" w:rsidRPr="00363777">
        <w:rPr>
          <w:rFonts w:asciiTheme="minorHAnsi" w:hAnsiTheme="minorHAnsi"/>
          <w:bCs/>
          <w:lang w:val="en-GB"/>
        </w:rPr>
        <w:t>as</w:t>
      </w:r>
      <w:r w:rsidR="00DC6335">
        <w:rPr>
          <w:rFonts w:asciiTheme="minorHAnsi" w:hAnsiTheme="minorHAnsi"/>
          <w:bCs/>
          <w:lang w:val="en-GB"/>
        </w:rPr>
        <w:t xml:space="preserve"> an </w:t>
      </w:r>
      <w:r w:rsidR="00DC6335" w:rsidRPr="00363777">
        <w:rPr>
          <w:rFonts w:asciiTheme="minorHAnsi" w:hAnsiTheme="minorHAnsi"/>
          <w:bCs/>
          <w:lang w:val="en-GB"/>
        </w:rPr>
        <w:t xml:space="preserve">Authority required benefit </w:t>
      </w:r>
      <w:r w:rsidR="00830D61" w:rsidRPr="00830D61">
        <w:rPr>
          <w:rFonts w:asciiTheme="minorHAnsi" w:hAnsiTheme="minorHAnsi"/>
          <w:bCs/>
          <w:lang w:val="en-GB"/>
        </w:rPr>
        <w:t xml:space="preserve">for patients </w:t>
      </w:r>
      <w:r w:rsidR="00BA586A">
        <w:rPr>
          <w:rFonts w:asciiTheme="minorHAnsi" w:hAnsiTheme="minorHAnsi"/>
          <w:bCs/>
          <w:lang w:val="en-GB"/>
        </w:rPr>
        <w:t xml:space="preserve">with </w:t>
      </w:r>
      <w:r w:rsidR="00D06071">
        <w:rPr>
          <w:rFonts w:asciiTheme="minorHAnsi" w:hAnsiTheme="minorHAnsi"/>
          <w:bCs/>
          <w:lang w:val="en-GB"/>
        </w:rPr>
        <w:t>C</w:t>
      </w:r>
      <w:r w:rsidR="00BA586A">
        <w:rPr>
          <w:rFonts w:asciiTheme="minorHAnsi" w:hAnsiTheme="minorHAnsi"/>
          <w:bCs/>
          <w:lang w:val="en-GB"/>
        </w:rPr>
        <w:t xml:space="preserve">RVO </w:t>
      </w:r>
      <w:r w:rsidR="00D06071">
        <w:rPr>
          <w:rFonts w:asciiTheme="minorHAnsi" w:hAnsiTheme="minorHAnsi"/>
          <w:bCs/>
          <w:lang w:val="en-GB"/>
        </w:rPr>
        <w:t xml:space="preserve">or BRVO </w:t>
      </w:r>
      <w:r w:rsidR="00830D61" w:rsidRPr="00830D61">
        <w:rPr>
          <w:rFonts w:asciiTheme="minorHAnsi" w:hAnsiTheme="minorHAnsi"/>
          <w:bCs/>
          <w:lang w:val="en-GB"/>
        </w:rPr>
        <w:t>who have failed or are contraindicated to VEGF</w:t>
      </w:r>
      <w:r w:rsidR="00FD57D9">
        <w:rPr>
          <w:rFonts w:asciiTheme="minorHAnsi" w:hAnsiTheme="minorHAnsi"/>
          <w:bCs/>
          <w:lang w:val="en-GB"/>
        </w:rPr>
        <w:t xml:space="preserve"> </w:t>
      </w:r>
      <w:r w:rsidR="00830D61" w:rsidRPr="00830D61">
        <w:rPr>
          <w:rFonts w:asciiTheme="minorHAnsi" w:hAnsiTheme="minorHAnsi"/>
          <w:bCs/>
          <w:lang w:val="en-GB"/>
        </w:rPr>
        <w:t>inhibitors</w:t>
      </w:r>
      <w:r w:rsidR="00830D61">
        <w:rPr>
          <w:rFonts w:asciiTheme="minorHAnsi" w:hAnsiTheme="minorHAnsi"/>
          <w:bCs/>
          <w:lang w:val="en-GB"/>
        </w:rPr>
        <w:t>. This recommendation was based on</w:t>
      </w:r>
      <w:r w:rsidR="00830D61" w:rsidRPr="00830D61">
        <w:rPr>
          <w:rFonts w:asciiTheme="minorHAnsi" w:hAnsiTheme="minorHAnsi"/>
          <w:bCs/>
          <w:lang w:val="en-GB"/>
        </w:rPr>
        <w:t xml:space="preserve"> clinical need</w:t>
      </w:r>
      <w:r w:rsidR="00BA586A">
        <w:rPr>
          <w:rFonts w:asciiTheme="minorHAnsi" w:hAnsiTheme="minorHAnsi"/>
          <w:bCs/>
          <w:lang w:val="en-GB"/>
        </w:rPr>
        <w:t>,</w:t>
      </w:r>
      <w:r w:rsidR="00830D61">
        <w:rPr>
          <w:rFonts w:asciiTheme="minorHAnsi" w:hAnsiTheme="minorHAnsi"/>
          <w:bCs/>
          <w:lang w:val="en-GB"/>
        </w:rPr>
        <w:t xml:space="preserve"> acceptable clinical effectiveness compared to placebo</w:t>
      </w:r>
      <w:r w:rsidR="00BA586A">
        <w:rPr>
          <w:rFonts w:asciiTheme="minorHAnsi" w:hAnsiTheme="minorHAnsi"/>
          <w:bCs/>
          <w:lang w:val="en-GB"/>
        </w:rPr>
        <w:t xml:space="preserve">, and the broader context of the existing listing </w:t>
      </w:r>
      <w:r w:rsidR="00E84F30">
        <w:rPr>
          <w:rFonts w:asciiTheme="minorHAnsi" w:hAnsiTheme="minorHAnsi"/>
          <w:bCs/>
          <w:lang w:val="en-GB"/>
        </w:rPr>
        <w:t xml:space="preserve">of dexamethasone for </w:t>
      </w:r>
      <w:r w:rsidR="00BA586A">
        <w:rPr>
          <w:rFonts w:asciiTheme="minorHAnsi" w:hAnsiTheme="minorHAnsi"/>
          <w:bCs/>
          <w:lang w:val="en-GB"/>
        </w:rPr>
        <w:t>DMO</w:t>
      </w:r>
      <w:r w:rsidRPr="00830D61">
        <w:rPr>
          <w:rFonts w:asciiTheme="minorHAnsi" w:hAnsiTheme="minorHAnsi"/>
          <w:bCs/>
          <w:lang w:val="en-GB"/>
        </w:rPr>
        <w:t>.</w:t>
      </w:r>
      <w:r w:rsidR="00830D61" w:rsidRPr="00830D61">
        <w:rPr>
          <w:rFonts w:asciiTheme="minorHAnsi" w:hAnsiTheme="minorHAnsi"/>
          <w:bCs/>
          <w:lang w:val="en-GB"/>
        </w:rPr>
        <w:t xml:space="preserve"> The PBAC did not recommend extending the listing to patients </w:t>
      </w:r>
      <w:r w:rsidR="00BA586A">
        <w:rPr>
          <w:rFonts w:asciiTheme="minorHAnsi" w:hAnsiTheme="minorHAnsi"/>
          <w:bCs/>
          <w:lang w:val="en-GB"/>
        </w:rPr>
        <w:t xml:space="preserve">with RVO who are </w:t>
      </w:r>
      <w:r w:rsidR="009A2462">
        <w:rPr>
          <w:rFonts w:asciiTheme="minorHAnsi" w:hAnsiTheme="minorHAnsi"/>
          <w:bCs/>
          <w:lang w:val="en-GB"/>
        </w:rPr>
        <w:t xml:space="preserve">considered </w:t>
      </w:r>
      <w:r w:rsidR="00830D61" w:rsidRPr="00830D61">
        <w:rPr>
          <w:rFonts w:asciiTheme="minorHAnsi" w:hAnsiTheme="minorHAnsi"/>
          <w:bCs/>
          <w:lang w:val="en-GB"/>
        </w:rPr>
        <w:t>‘unsuitable’ for VEGF</w:t>
      </w:r>
      <w:r w:rsidR="00FD57D9">
        <w:rPr>
          <w:rFonts w:asciiTheme="minorHAnsi" w:hAnsiTheme="minorHAnsi"/>
          <w:bCs/>
          <w:lang w:val="en-GB"/>
        </w:rPr>
        <w:t xml:space="preserve"> </w:t>
      </w:r>
      <w:r w:rsidR="00830D61" w:rsidRPr="00830D61">
        <w:rPr>
          <w:rFonts w:asciiTheme="minorHAnsi" w:hAnsiTheme="minorHAnsi"/>
          <w:bCs/>
          <w:lang w:val="en-GB"/>
        </w:rPr>
        <w:t>inhibitors, due to the ambiguity</w:t>
      </w:r>
      <w:r w:rsidRPr="00830D61">
        <w:rPr>
          <w:rFonts w:asciiTheme="minorHAnsi" w:hAnsiTheme="minorHAnsi"/>
          <w:bCs/>
          <w:lang w:val="en-GB"/>
        </w:rPr>
        <w:t xml:space="preserve"> </w:t>
      </w:r>
      <w:r w:rsidR="00830D61" w:rsidRPr="00830D61">
        <w:rPr>
          <w:rFonts w:asciiTheme="minorHAnsi" w:hAnsiTheme="minorHAnsi"/>
          <w:bCs/>
          <w:lang w:val="en-GB"/>
        </w:rPr>
        <w:t xml:space="preserve">of the </w:t>
      </w:r>
      <w:r w:rsidR="00022A5C">
        <w:rPr>
          <w:rFonts w:asciiTheme="minorHAnsi" w:hAnsiTheme="minorHAnsi"/>
          <w:bCs/>
          <w:lang w:val="en-GB"/>
        </w:rPr>
        <w:t xml:space="preserve">proposed restriction </w:t>
      </w:r>
      <w:r w:rsidR="00830D61" w:rsidRPr="00830D61">
        <w:rPr>
          <w:rFonts w:asciiTheme="minorHAnsi" w:hAnsiTheme="minorHAnsi"/>
          <w:bCs/>
          <w:lang w:val="en-GB"/>
        </w:rPr>
        <w:t xml:space="preserve">wording leading to potential use of an inferior and </w:t>
      </w:r>
      <w:r w:rsidR="00540D12">
        <w:rPr>
          <w:rFonts w:asciiTheme="minorHAnsi" w:hAnsiTheme="minorHAnsi"/>
          <w:bCs/>
          <w:lang w:val="en-GB"/>
        </w:rPr>
        <w:t>more harmful</w:t>
      </w:r>
      <w:r w:rsidR="00830D61" w:rsidRPr="00830D61">
        <w:rPr>
          <w:rFonts w:asciiTheme="minorHAnsi" w:hAnsiTheme="minorHAnsi"/>
          <w:bCs/>
          <w:lang w:val="en-GB"/>
        </w:rPr>
        <w:t xml:space="preserve"> therapy</w:t>
      </w:r>
      <w:r w:rsidR="00022A5C">
        <w:rPr>
          <w:rFonts w:asciiTheme="minorHAnsi" w:hAnsiTheme="minorHAnsi"/>
          <w:bCs/>
          <w:lang w:val="en-GB"/>
        </w:rPr>
        <w:t xml:space="preserve"> than</w:t>
      </w:r>
      <w:r w:rsidR="00830D61">
        <w:rPr>
          <w:rFonts w:asciiTheme="minorHAnsi" w:hAnsiTheme="minorHAnsi"/>
          <w:bCs/>
          <w:lang w:val="en-GB"/>
        </w:rPr>
        <w:t xml:space="preserve"> a VEGF</w:t>
      </w:r>
      <w:r w:rsidR="00FD57D9">
        <w:rPr>
          <w:rFonts w:asciiTheme="minorHAnsi" w:hAnsiTheme="minorHAnsi"/>
          <w:bCs/>
          <w:lang w:val="en-GB"/>
        </w:rPr>
        <w:t xml:space="preserve"> </w:t>
      </w:r>
      <w:r w:rsidR="00830D61">
        <w:rPr>
          <w:rFonts w:asciiTheme="minorHAnsi" w:hAnsiTheme="minorHAnsi"/>
          <w:bCs/>
          <w:lang w:val="en-GB"/>
        </w:rPr>
        <w:t>inhibitor,</w:t>
      </w:r>
      <w:r w:rsidR="00830D61" w:rsidRPr="00830D61">
        <w:rPr>
          <w:rFonts w:asciiTheme="minorHAnsi" w:hAnsiTheme="minorHAnsi"/>
          <w:bCs/>
          <w:lang w:val="en-GB"/>
        </w:rPr>
        <w:t xml:space="preserve"> based </w:t>
      </w:r>
      <w:r w:rsidR="00BA586A">
        <w:rPr>
          <w:rFonts w:asciiTheme="minorHAnsi" w:hAnsiTheme="minorHAnsi"/>
          <w:bCs/>
          <w:lang w:val="en-GB"/>
        </w:rPr>
        <w:t xml:space="preserve">primarily </w:t>
      </w:r>
      <w:r w:rsidR="00830D61" w:rsidRPr="00830D61">
        <w:rPr>
          <w:rFonts w:asciiTheme="minorHAnsi" w:hAnsiTheme="minorHAnsi"/>
          <w:bCs/>
          <w:lang w:val="en-GB"/>
        </w:rPr>
        <w:t xml:space="preserve">on convenience. </w:t>
      </w:r>
      <w:r w:rsidR="00830D61">
        <w:rPr>
          <w:rFonts w:asciiTheme="minorHAnsi" w:hAnsiTheme="minorHAnsi"/>
          <w:bCs/>
          <w:lang w:val="en-GB"/>
        </w:rPr>
        <w:t xml:space="preserve">The clinical need for an alternative therapy for </w:t>
      </w:r>
      <w:r w:rsidR="00022A5C">
        <w:rPr>
          <w:rFonts w:asciiTheme="minorHAnsi" w:hAnsiTheme="minorHAnsi"/>
          <w:bCs/>
          <w:lang w:val="en-GB"/>
        </w:rPr>
        <w:t>patients who may respond to a VEGF</w:t>
      </w:r>
      <w:r w:rsidR="00FD57D9">
        <w:rPr>
          <w:rFonts w:asciiTheme="minorHAnsi" w:hAnsiTheme="minorHAnsi"/>
          <w:bCs/>
          <w:lang w:val="en-GB"/>
        </w:rPr>
        <w:t xml:space="preserve"> </w:t>
      </w:r>
      <w:r w:rsidR="00022A5C">
        <w:rPr>
          <w:rFonts w:asciiTheme="minorHAnsi" w:hAnsiTheme="minorHAnsi"/>
          <w:bCs/>
          <w:lang w:val="en-GB"/>
        </w:rPr>
        <w:t>inhibitor</w:t>
      </w:r>
      <w:r w:rsidR="00B132F3">
        <w:rPr>
          <w:rFonts w:asciiTheme="minorHAnsi" w:hAnsiTheme="minorHAnsi"/>
          <w:bCs/>
          <w:lang w:val="en-GB"/>
        </w:rPr>
        <w:t>,</w:t>
      </w:r>
      <w:r w:rsidR="00022A5C">
        <w:rPr>
          <w:rFonts w:asciiTheme="minorHAnsi" w:hAnsiTheme="minorHAnsi"/>
          <w:bCs/>
          <w:lang w:val="en-GB"/>
        </w:rPr>
        <w:t xml:space="preserve"> </w:t>
      </w:r>
      <w:r w:rsidR="00AA63CE">
        <w:rPr>
          <w:rFonts w:asciiTheme="minorHAnsi" w:hAnsiTheme="minorHAnsi"/>
          <w:bCs/>
          <w:lang w:val="en-GB"/>
        </w:rPr>
        <w:t xml:space="preserve">but </w:t>
      </w:r>
      <w:r w:rsidR="00B132F3">
        <w:rPr>
          <w:rFonts w:asciiTheme="minorHAnsi" w:hAnsiTheme="minorHAnsi"/>
          <w:bCs/>
          <w:lang w:val="en-GB"/>
        </w:rPr>
        <w:t>for</w:t>
      </w:r>
      <w:r w:rsidR="00AA63CE">
        <w:rPr>
          <w:rFonts w:asciiTheme="minorHAnsi" w:hAnsiTheme="minorHAnsi"/>
          <w:bCs/>
          <w:lang w:val="en-GB"/>
        </w:rPr>
        <w:t xml:space="preserve"> whom monthly injections </w:t>
      </w:r>
      <w:r w:rsidR="00B132F3">
        <w:rPr>
          <w:rFonts w:asciiTheme="minorHAnsi" w:hAnsiTheme="minorHAnsi"/>
          <w:bCs/>
          <w:lang w:val="en-GB"/>
        </w:rPr>
        <w:t>may be difficult,</w:t>
      </w:r>
      <w:r w:rsidR="00AA63CE">
        <w:rPr>
          <w:rFonts w:asciiTheme="minorHAnsi" w:hAnsiTheme="minorHAnsi"/>
          <w:bCs/>
          <w:lang w:val="en-GB"/>
        </w:rPr>
        <w:t xml:space="preserve"> </w:t>
      </w:r>
      <w:r w:rsidR="00022A5C">
        <w:rPr>
          <w:rFonts w:asciiTheme="minorHAnsi" w:hAnsiTheme="minorHAnsi"/>
          <w:bCs/>
          <w:lang w:val="en-GB"/>
        </w:rPr>
        <w:t xml:space="preserve">was not </w:t>
      </w:r>
      <w:r w:rsidR="00361734">
        <w:rPr>
          <w:rFonts w:asciiTheme="minorHAnsi" w:hAnsiTheme="minorHAnsi"/>
          <w:bCs/>
          <w:lang w:val="en-GB"/>
        </w:rPr>
        <w:t>adequately supported</w:t>
      </w:r>
      <w:r w:rsidR="00022A5C">
        <w:rPr>
          <w:rFonts w:asciiTheme="minorHAnsi" w:hAnsiTheme="minorHAnsi"/>
          <w:bCs/>
          <w:lang w:val="en-GB"/>
        </w:rPr>
        <w:t xml:space="preserve"> to make available a sub-optimal therapy for a g</w:t>
      </w:r>
      <w:r w:rsidR="00B132F3">
        <w:rPr>
          <w:rFonts w:asciiTheme="minorHAnsi" w:hAnsiTheme="minorHAnsi"/>
          <w:bCs/>
          <w:lang w:val="en-GB"/>
        </w:rPr>
        <w:t>enerally short-term condition.</w:t>
      </w:r>
    </w:p>
    <w:p w:rsidR="0070254B" w:rsidRDefault="0070254B" w:rsidP="00361734">
      <w:pPr>
        <w:numPr>
          <w:ilvl w:val="1"/>
          <w:numId w:val="1"/>
        </w:numPr>
        <w:spacing w:after="120"/>
        <w:rPr>
          <w:rFonts w:asciiTheme="minorHAnsi" w:hAnsiTheme="minorHAnsi"/>
          <w:bCs/>
          <w:lang w:val="en-GB"/>
        </w:rPr>
      </w:pPr>
      <w:r>
        <w:rPr>
          <w:rFonts w:asciiTheme="minorHAnsi" w:hAnsiTheme="minorHAnsi"/>
          <w:bCs/>
          <w:lang w:val="en-GB"/>
        </w:rPr>
        <w:t>The PBAC recommended an Authority Required (in writing) listing for initiation of treatment and an Authority Required (telephone) listing for continuing treatment.</w:t>
      </w:r>
    </w:p>
    <w:p w:rsidR="00DD0813" w:rsidRDefault="00FD57D9" w:rsidP="00361734">
      <w:pPr>
        <w:numPr>
          <w:ilvl w:val="1"/>
          <w:numId w:val="1"/>
        </w:numPr>
        <w:spacing w:after="120"/>
        <w:rPr>
          <w:rFonts w:asciiTheme="minorHAnsi" w:hAnsiTheme="minorHAnsi"/>
          <w:bCs/>
          <w:lang w:val="en-GB"/>
        </w:rPr>
      </w:pPr>
      <w:r>
        <w:rPr>
          <w:rFonts w:asciiTheme="minorHAnsi" w:hAnsiTheme="minorHAnsi"/>
          <w:bCs/>
          <w:lang w:val="en-GB"/>
        </w:rPr>
        <w:t xml:space="preserve">The PBAC </w:t>
      </w:r>
      <w:r w:rsidR="00D60CDD">
        <w:rPr>
          <w:rFonts w:asciiTheme="minorHAnsi" w:hAnsiTheme="minorHAnsi"/>
          <w:bCs/>
          <w:lang w:val="en-GB"/>
        </w:rPr>
        <w:t>noted the ESC concerns regarding the lack of definition of ‘contraindicated to’ and ‘</w:t>
      </w:r>
      <w:r w:rsidR="008648DE" w:rsidRPr="00EF0F01">
        <w:rPr>
          <w:lang w:eastAsia="en-AU"/>
        </w:rPr>
        <w:t>failed prior treatment with</w:t>
      </w:r>
      <w:r w:rsidR="00D60CDD">
        <w:rPr>
          <w:rFonts w:asciiTheme="minorHAnsi" w:hAnsiTheme="minorHAnsi"/>
          <w:bCs/>
          <w:lang w:val="en-GB"/>
        </w:rPr>
        <w:t>’ VEGF inhibitors</w:t>
      </w:r>
      <w:r w:rsidR="008648DE">
        <w:rPr>
          <w:rFonts w:asciiTheme="minorHAnsi" w:hAnsiTheme="minorHAnsi"/>
          <w:bCs/>
          <w:lang w:val="en-GB"/>
        </w:rPr>
        <w:t xml:space="preserve"> in the proposed PBS restriction</w:t>
      </w:r>
      <w:r w:rsidR="00D60CDD">
        <w:rPr>
          <w:rFonts w:asciiTheme="minorHAnsi" w:hAnsiTheme="minorHAnsi"/>
          <w:bCs/>
          <w:lang w:val="en-GB"/>
        </w:rPr>
        <w:t xml:space="preserve">. However, the PBAC </w:t>
      </w:r>
      <w:r w:rsidR="008648DE">
        <w:rPr>
          <w:rFonts w:asciiTheme="minorHAnsi" w:hAnsiTheme="minorHAnsi"/>
          <w:bCs/>
          <w:lang w:val="en-GB"/>
        </w:rPr>
        <w:t xml:space="preserve">considered </w:t>
      </w:r>
      <w:r w:rsidR="00666773">
        <w:rPr>
          <w:rFonts w:asciiTheme="minorHAnsi" w:hAnsiTheme="minorHAnsi"/>
          <w:bCs/>
          <w:lang w:val="en-GB"/>
        </w:rPr>
        <w:t xml:space="preserve">that </w:t>
      </w:r>
      <w:r w:rsidR="008648DE">
        <w:rPr>
          <w:rFonts w:asciiTheme="minorHAnsi" w:hAnsiTheme="minorHAnsi"/>
          <w:bCs/>
          <w:lang w:val="en-GB"/>
        </w:rPr>
        <w:t>there was a small but identifiable population</w:t>
      </w:r>
      <w:r w:rsidR="00BA586A">
        <w:rPr>
          <w:rFonts w:asciiTheme="minorHAnsi" w:hAnsiTheme="minorHAnsi"/>
          <w:bCs/>
          <w:lang w:val="en-GB"/>
        </w:rPr>
        <w:t xml:space="preserve"> with RVO for</w:t>
      </w:r>
      <w:r w:rsidR="008648DE">
        <w:rPr>
          <w:rFonts w:asciiTheme="minorHAnsi" w:hAnsiTheme="minorHAnsi"/>
          <w:bCs/>
          <w:lang w:val="en-GB"/>
        </w:rPr>
        <w:t xml:space="preserve"> whom the</w:t>
      </w:r>
      <w:r w:rsidR="000948E4">
        <w:rPr>
          <w:rFonts w:asciiTheme="minorHAnsi" w:hAnsiTheme="minorHAnsi"/>
          <w:bCs/>
          <w:lang w:val="en-GB"/>
        </w:rPr>
        <w:t xml:space="preserve">se subgroups </w:t>
      </w:r>
      <w:r w:rsidR="008648DE">
        <w:rPr>
          <w:rFonts w:asciiTheme="minorHAnsi" w:hAnsiTheme="minorHAnsi"/>
          <w:bCs/>
          <w:lang w:val="en-GB"/>
        </w:rPr>
        <w:t>re</w:t>
      </w:r>
      <w:r w:rsidR="000948E4">
        <w:rPr>
          <w:rFonts w:asciiTheme="minorHAnsi" w:hAnsiTheme="minorHAnsi"/>
          <w:bCs/>
          <w:lang w:val="en-GB"/>
        </w:rPr>
        <w:t>presented</w:t>
      </w:r>
      <w:r w:rsidR="008648DE">
        <w:rPr>
          <w:rFonts w:asciiTheme="minorHAnsi" w:hAnsiTheme="minorHAnsi"/>
          <w:bCs/>
          <w:lang w:val="en-GB"/>
        </w:rPr>
        <w:t xml:space="preserve"> a clinical need and </w:t>
      </w:r>
      <w:r>
        <w:rPr>
          <w:rFonts w:asciiTheme="minorHAnsi" w:hAnsiTheme="minorHAnsi"/>
          <w:bCs/>
          <w:lang w:val="en-GB"/>
        </w:rPr>
        <w:t>agreed with the proposed wording for the restriction</w:t>
      </w:r>
      <w:r w:rsidR="00D60CDD">
        <w:rPr>
          <w:rFonts w:asciiTheme="minorHAnsi" w:hAnsiTheme="minorHAnsi"/>
          <w:bCs/>
          <w:lang w:val="en-GB"/>
        </w:rPr>
        <w:t xml:space="preserve"> for these two subgroups, consistent with the current DMO listing. </w:t>
      </w:r>
      <w:r w:rsidR="009B1820">
        <w:rPr>
          <w:rFonts w:asciiTheme="minorHAnsi" w:hAnsiTheme="minorHAnsi"/>
          <w:bCs/>
          <w:lang w:val="en-GB"/>
        </w:rPr>
        <w:t xml:space="preserve">The PBAC </w:t>
      </w:r>
      <w:r w:rsidR="00BA586A">
        <w:rPr>
          <w:rFonts w:asciiTheme="minorHAnsi" w:hAnsiTheme="minorHAnsi"/>
          <w:bCs/>
          <w:lang w:val="en-GB"/>
        </w:rPr>
        <w:t xml:space="preserve">also </w:t>
      </w:r>
      <w:r w:rsidR="009B1820">
        <w:rPr>
          <w:rFonts w:asciiTheme="minorHAnsi" w:hAnsiTheme="minorHAnsi"/>
          <w:bCs/>
          <w:lang w:val="en-GB"/>
        </w:rPr>
        <w:t xml:space="preserve">noted </w:t>
      </w:r>
      <w:r w:rsidR="005C2FEC">
        <w:rPr>
          <w:rFonts w:asciiTheme="minorHAnsi" w:hAnsiTheme="minorHAnsi"/>
          <w:bCs/>
          <w:lang w:val="en-GB"/>
        </w:rPr>
        <w:t>that appropriate coordination was in place to amend</w:t>
      </w:r>
      <w:r w:rsidR="00666773">
        <w:rPr>
          <w:rFonts w:asciiTheme="minorHAnsi" w:hAnsiTheme="minorHAnsi"/>
          <w:bCs/>
          <w:lang w:val="en-GB"/>
        </w:rPr>
        <w:t xml:space="preserve"> the MBS item for the codependent technology of OCT</w:t>
      </w:r>
      <w:r w:rsidR="009B1820">
        <w:t>.</w:t>
      </w:r>
    </w:p>
    <w:p w:rsidR="00FD57D9" w:rsidRDefault="00D60CDD" w:rsidP="003709BA">
      <w:pPr>
        <w:numPr>
          <w:ilvl w:val="1"/>
          <w:numId w:val="1"/>
        </w:numPr>
        <w:spacing w:after="120"/>
        <w:rPr>
          <w:rFonts w:asciiTheme="minorHAnsi" w:hAnsiTheme="minorHAnsi"/>
          <w:bCs/>
          <w:lang w:val="en-GB"/>
        </w:rPr>
      </w:pPr>
      <w:r>
        <w:rPr>
          <w:rFonts w:asciiTheme="minorHAnsi" w:hAnsiTheme="minorHAnsi"/>
          <w:bCs/>
          <w:lang w:val="en-GB"/>
        </w:rPr>
        <w:t>For the ‘unsuitable’ for VEGF inhibitor subgroup</w:t>
      </w:r>
      <w:r w:rsidR="000948E4">
        <w:rPr>
          <w:rFonts w:asciiTheme="minorHAnsi" w:hAnsiTheme="minorHAnsi"/>
          <w:bCs/>
          <w:lang w:val="en-GB"/>
        </w:rPr>
        <w:t xml:space="preserve"> in the proposed PBS restriction</w:t>
      </w:r>
      <w:r w:rsidR="00666773">
        <w:rPr>
          <w:rFonts w:asciiTheme="minorHAnsi" w:hAnsiTheme="minorHAnsi"/>
          <w:bCs/>
          <w:lang w:val="en-GB"/>
        </w:rPr>
        <w:t>,</w:t>
      </w:r>
      <w:r>
        <w:rPr>
          <w:rFonts w:asciiTheme="minorHAnsi" w:hAnsiTheme="minorHAnsi"/>
          <w:bCs/>
          <w:lang w:val="en-GB"/>
        </w:rPr>
        <w:t xml:space="preserve"> the PBAC did not consider </w:t>
      </w:r>
      <w:r w:rsidR="003709BA" w:rsidRPr="003709BA">
        <w:rPr>
          <w:rFonts w:asciiTheme="minorHAnsi" w:hAnsiTheme="minorHAnsi"/>
          <w:bCs/>
          <w:lang w:val="en-GB"/>
        </w:rPr>
        <w:t>the residual unmet clinical need in RVO was analogous with that in DMO, based on the likely difference</w:t>
      </w:r>
      <w:r w:rsidR="00666773">
        <w:rPr>
          <w:rFonts w:asciiTheme="minorHAnsi" w:hAnsiTheme="minorHAnsi"/>
          <w:bCs/>
          <w:lang w:val="en-GB"/>
        </w:rPr>
        <w:t>s</w:t>
      </w:r>
      <w:r w:rsidR="003709BA" w:rsidRPr="003709BA">
        <w:rPr>
          <w:rFonts w:asciiTheme="minorHAnsi" w:hAnsiTheme="minorHAnsi"/>
          <w:bCs/>
          <w:lang w:val="en-GB"/>
        </w:rPr>
        <w:t xml:space="preserve"> in frequency </w:t>
      </w:r>
      <w:r w:rsidR="00666773">
        <w:rPr>
          <w:rFonts w:asciiTheme="minorHAnsi" w:hAnsiTheme="minorHAnsi"/>
          <w:bCs/>
          <w:lang w:val="en-GB"/>
        </w:rPr>
        <w:t xml:space="preserve">of administrations </w:t>
      </w:r>
      <w:r w:rsidR="003709BA" w:rsidRPr="003709BA">
        <w:rPr>
          <w:rFonts w:asciiTheme="minorHAnsi" w:hAnsiTheme="minorHAnsi"/>
          <w:bCs/>
          <w:lang w:val="en-GB"/>
        </w:rPr>
        <w:t>and duration of therapy</w:t>
      </w:r>
      <w:r w:rsidR="00DD0813">
        <w:rPr>
          <w:rFonts w:asciiTheme="minorHAnsi" w:hAnsiTheme="minorHAnsi"/>
          <w:bCs/>
          <w:lang w:val="en-GB"/>
        </w:rPr>
        <w:t xml:space="preserve">. Whilst acknowledging that, as highlighted in the hearing and the consumer comments, there will be a small group of patients with RVO </w:t>
      </w:r>
      <w:r w:rsidR="008648DE">
        <w:rPr>
          <w:rFonts w:asciiTheme="minorHAnsi" w:hAnsiTheme="minorHAnsi"/>
          <w:bCs/>
          <w:lang w:val="en-GB"/>
        </w:rPr>
        <w:t>who will require</w:t>
      </w:r>
      <w:r w:rsidR="00DD0813">
        <w:rPr>
          <w:rFonts w:asciiTheme="minorHAnsi" w:hAnsiTheme="minorHAnsi"/>
          <w:bCs/>
          <w:lang w:val="en-GB"/>
        </w:rPr>
        <w:t xml:space="preserve"> long-term therapy, for a majority of patients only short-term therapy would be required.</w:t>
      </w:r>
      <w:r w:rsidR="00A26880">
        <w:rPr>
          <w:rFonts w:asciiTheme="minorHAnsi" w:hAnsiTheme="minorHAnsi"/>
          <w:bCs/>
          <w:lang w:val="en-GB"/>
        </w:rPr>
        <w:t xml:space="preserve"> No evidence to support the requirement for long-term therapy in RVO was provided in the submission.</w:t>
      </w:r>
      <w:r w:rsidR="00DD0813">
        <w:rPr>
          <w:rFonts w:asciiTheme="minorHAnsi" w:hAnsiTheme="minorHAnsi"/>
          <w:bCs/>
          <w:lang w:val="en-GB"/>
        </w:rPr>
        <w:t xml:space="preserve"> The</w:t>
      </w:r>
      <w:r w:rsidR="000948E4">
        <w:rPr>
          <w:rFonts w:asciiTheme="minorHAnsi" w:hAnsiTheme="minorHAnsi"/>
          <w:bCs/>
          <w:lang w:val="en-GB"/>
        </w:rPr>
        <w:t xml:space="preserve"> PBAC was concerned that the</w:t>
      </w:r>
      <w:r w:rsidR="00DD0813">
        <w:rPr>
          <w:rFonts w:asciiTheme="minorHAnsi" w:hAnsiTheme="minorHAnsi"/>
          <w:bCs/>
          <w:lang w:val="en-GB"/>
        </w:rPr>
        <w:t xml:space="preserve">re is </w:t>
      </w:r>
      <w:r w:rsidR="000948E4">
        <w:rPr>
          <w:rFonts w:asciiTheme="minorHAnsi" w:hAnsiTheme="minorHAnsi"/>
          <w:bCs/>
          <w:lang w:val="en-GB"/>
        </w:rPr>
        <w:t xml:space="preserve">greater </w:t>
      </w:r>
      <w:r w:rsidR="00DD0813">
        <w:rPr>
          <w:rFonts w:asciiTheme="minorHAnsi" w:hAnsiTheme="minorHAnsi"/>
          <w:bCs/>
          <w:lang w:val="en-GB"/>
        </w:rPr>
        <w:t xml:space="preserve">potential for sub-optimal therapy with dexamethasone being prescribed under the ‘unsuitable’ criterion because it is more </w:t>
      </w:r>
      <w:r w:rsidR="00B6303E">
        <w:rPr>
          <w:rFonts w:asciiTheme="minorHAnsi" w:hAnsiTheme="minorHAnsi"/>
          <w:bCs/>
          <w:lang w:val="en-GB"/>
        </w:rPr>
        <w:t>desirable</w:t>
      </w:r>
      <w:r w:rsidR="00DD0813">
        <w:rPr>
          <w:rFonts w:asciiTheme="minorHAnsi" w:hAnsiTheme="minorHAnsi"/>
          <w:bCs/>
          <w:lang w:val="en-GB"/>
        </w:rPr>
        <w:t xml:space="preserve"> to both the patient and the </w:t>
      </w:r>
      <w:r w:rsidR="000A55FE">
        <w:rPr>
          <w:rFonts w:asciiTheme="minorHAnsi" w:hAnsiTheme="minorHAnsi"/>
          <w:bCs/>
          <w:lang w:val="en-GB"/>
        </w:rPr>
        <w:t xml:space="preserve">provider </w:t>
      </w:r>
      <w:r w:rsidR="00666773">
        <w:rPr>
          <w:rFonts w:asciiTheme="minorHAnsi" w:hAnsiTheme="minorHAnsi"/>
          <w:bCs/>
          <w:lang w:val="en-GB"/>
        </w:rPr>
        <w:t xml:space="preserve">for non-therapeutic reasons </w:t>
      </w:r>
      <w:r w:rsidR="00DD0813">
        <w:rPr>
          <w:rFonts w:asciiTheme="minorHAnsi" w:hAnsiTheme="minorHAnsi"/>
          <w:bCs/>
          <w:lang w:val="en-GB"/>
        </w:rPr>
        <w:t xml:space="preserve">to have less frequent </w:t>
      </w:r>
      <w:r w:rsidR="00666773">
        <w:rPr>
          <w:rFonts w:asciiTheme="minorHAnsi" w:hAnsiTheme="minorHAnsi"/>
          <w:bCs/>
          <w:lang w:val="en-GB"/>
        </w:rPr>
        <w:t>administrations</w:t>
      </w:r>
      <w:r w:rsidR="00DD0813">
        <w:rPr>
          <w:rFonts w:asciiTheme="minorHAnsi" w:hAnsiTheme="minorHAnsi"/>
          <w:bCs/>
          <w:lang w:val="en-GB"/>
        </w:rPr>
        <w:t xml:space="preserve">. The PBAC considered </w:t>
      </w:r>
      <w:r w:rsidR="00A26880">
        <w:rPr>
          <w:rFonts w:asciiTheme="minorHAnsi" w:hAnsiTheme="minorHAnsi"/>
          <w:bCs/>
          <w:lang w:val="en-GB"/>
        </w:rPr>
        <w:t>th</w:t>
      </w:r>
      <w:r w:rsidR="003709BA">
        <w:rPr>
          <w:rFonts w:asciiTheme="minorHAnsi" w:hAnsiTheme="minorHAnsi"/>
          <w:bCs/>
          <w:lang w:val="en-GB"/>
        </w:rPr>
        <w:t>at</w:t>
      </w:r>
      <w:r w:rsidR="00666773">
        <w:rPr>
          <w:rFonts w:asciiTheme="minorHAnsi" w:hAnsiTheme="minorHAnsi"/>
          <w:bCs/>
          <w:lang w:val="en-GB"/>
        </w:rPr>
        <w:t>,</w:t>
      </w:r>
      <w:r w:rsidR="00A26880">
        <w:rPr>
          <w:rFonts w:asciiTheme="minorHAnsi" w:hAnsiTheme="minorHAnsi"/>
          <w:bCs/>
          <w:lang w:val="en-GB"/>
        </w:rPr>
        <w:t xml:space="preserve"> </w:t>
      </w:r>
      <w:r w:rsidR="008648DE">
        <w:rPr>
          <w:rFonts w:asciiTheme="minorHAnsi" w:hAnsiTheme="minorHAnsi"/>
          <w:bCs/>
          <w:lang w:val="en-GB"/>
        </w:rPr>
        <w:t xml:space="preserve">for the </w:t>
      </w:r>
      <w:r w:rsidR="00666773">
        <w:rPr>
          <w:rFonts w:asciiTheme="minorHAnsi" w:hAnsiTheme="minorHAnsi"/>
          <w:bCs/>
          <w:lang w:val="en-GB"/>
        </w:rPr>
        <w:t xml:space="preserve">residual </w:t>
      </w:r>
      <w:r w:rsidR="008648DE">
        <w:rPr>
          <w:rFonts w:asciiTheme="minorHAnsi" w:hAnsiTheme="minorHAnsi"/>
          <w:bCs/>
          <w:lang w:val="en-GB"/>
        </w:rPr>
        <w:t>small group of patients unable to persist with long-term therapy with</w:t>
      </w:r>
      <w:r w:rsidR="00C23B0E">
        <w:rPr>
          <w:rFonts w:asciiTheme="minorHAnsi" w:hAnsiTheme="minorHAnsi"/>
          <w:bCs/>
          <w:lang w:val="en-GB"/>
        </w:rPr>
        <w:t xml:space="preserve"> a</w:t>
      </w:r>
      <w:r w:rsidR="008648DE">
        <w:rPr>
          <w:rFonts w:asciiTheme="minorHAnsi" w:hAnsiTheme="minorHAnsi"/>
          <w:bCs/>
          <w:lang w:val="en-GB"/>
        </w:rPr>
        <w:t xml:space="preserve"> VEGF inhibitor </w:t>
      </w:r>
      <w:r w:rsidR="00C23B0E">
        <w:rPr>
          <w:rFonts w:asciiTheme="minorHAnsi" w:hAnsiTheme="minorHAnsi"/>
          <w:bCs/>
          <w:lang w:val="en-GB"/>
        </w:rPr>
        <w:t xml:space="preserve">for </w:t>
      </w:r>
      <w:r w:rsidR="00C23B0E" w:rsidRPr="00C23B0E">
        <w:rPr>
          <w:rFonts w:asciiTheme="minorHAnsi" w:hAnsiTheme="minorHAnsi"/>
          <w:bCs/>
          <w:lang w:val="en-GB"/>
        </w:rPr>
        <w:t>whom the switch to dexamethasone may be a preferable clinical option, this could not be</w:t>
      </w:r>
      <w:r w:rsidR="00DD0813" w:rsidRPr="00C23B0E">
        <w:rPr>
          <w:rFonts w:asciiTheme="minorHAnsi" w:hAnsiTheme="minorHAnsi"/>
          <w:bCs/>
          <w:lang w:val="en-GB"/>
        </w:rPr>
        <w:t xml:space="preserve"> adequately managed </w:t>
      </w:r>
      <w:r w:rsidR="000948E4">
        <w:rPr>
          <w:rFonts w:asciiTheme="minorHAnsi" w:hAnsiTheme="minorHAnsi"/>
          <w:bCs/>
          <w:lang w:val="en-GB"/>
        </w:rPr>
        <w:t>via</w:t>
      </w:r>
      <w:r w:rsidR="00DD0813" w:rsidRPr="00C23B0E">
        <w:rPr>
          <w:rFonts w:asciiTheme="minorHAnsi" w:hAnsiTheme="minorHAnsi"/>
          <w:bCs/>
          <w:lang w:val="en-GB"/>
        </w:rPr>
        <w:t xml:space="preserve"> the proposed listin</w:t>
      </w:r>
      <w:r w:rsidR="00666773">
        <w:rPr>
          <w:rFonts w:asciiTheme="minorHAnsi" w:hAnsiTheme="minorHAnsi"/>
          <w:bCs/>
          <w:lang w:val="en-GB"/>
        </w:rPr>
        <w:t>g.</w:t>
      </w:r>
    </w:p>
    <w:p w:rsidR="00C1342C" w:rsidRPr="00C23B0E" w:rsidRDefault="00C1342C" w:rsidP="00C1342C">
      <w:pPr>
        <w:spacing w:after="120"/>
        <w:ind w:left="720"/>
        <w:rPr>
          <w:rFonts w:asciiTheme="minorHAnsi" w:hAnsiTheme="minorHAnsi"/>
          <w:bCs/>
          <w:lang w:val="en-GB"/>
        </w:rPr>
      </w:pPr>
    </w:p>
    <w:p w:rsidR="005661AF" w:rsidRPr="003B1C50" w:rsidRDefault="00C23B0E" w:rsidP="00361734">
      <w:pPr>
        <w:numPr>
          <w:ilvl w:val="1"/>
          <w:numId w:val="1"/>
        </w:numPr>
        <w:spacing w:after="120"/>
        <w:rPr>
          <w:rFonts w:asciiTheme="minorHAnsi" w:hAnsiTheme="minorHAnsi"/>
          <w:bCs/>
          <w:lang w:val="en-GB"/>
        </w:rPr>
      </w:pPr>
      <w:r w:rsidRPr="00C23B0E">
        <w:rPr>
          <w:rFonts w:asciiTheme="minorHAnsi" w:hAnsiTheme="minorHAnsi"/>
          <w:bCs/>
          <w:lang w:val="en-GB"/>
        </w:rPr>
        <w:t xml:space="preserve">The PBAC noted the potential increased risk of cataracts with repeated use of dexamethasone implant. The PBAC </w:t>
      </w:r>
      <w:r>
        <w:rPr>
          <w:rFonts w:asciiTheme="minorHAnsi" w:hAnsiTheme="minorHAnsi"/>
          <w:bCs/>
          <w:lang w:val="en-GB"/>
        </w:rPr>
        <w:t>also noted</w:t>
      </w:r>
      <w:r w:rsidRPr="00C23B0E">
        <w:rPr>
          <w:rFonts w:asciiTheme="minorHAnsi" w:hAnsiTheme="minorHAnsi"/>
          <w:bCs/>
          <w:lang w:val="en-GB"/>
        </w:rPr>
        <w:t xml:space="preserve"> the</w:t>
      </w:r>
      <w:r>
        <w:rPr>
          <w:rFonts w:asciiTheme="minorHAnsi" w:hAnsiTheme="minorHAnsi"/>
          <w:bCs/>
          <w:lang w:val="en-GB"/>
        </w:rPr>
        <w:t xml:space="preserve"> sponsor and consumer arguments for differentiating the RVO listing from the DMO listing</w:t>
      </w:r>
      <w:r w:rsidR="007B74E1">
        <w:rPr>
          <w:rFonts w:asciiTheme="minorHAnsi" w:hAnsiTheme="minorHAnsi"/>
          <w:bCs/>
          <w:lang w:val="en-GB"/>
        </w:rPr>
        <w:t xml:space="preserve"> and proposing not to specify that patients must have had or being scheduled to have cataract surgery</w:t>
      </w:r>
      <w:r>
        <w:rPr>
          <w:rFonts w:asciiTheme="minorHAnsi" w:hAnsiTheme="minorHAnsi"/>
          <w:bCs/>
          <w:lang w:val="en-GB"/>
        </w:rPr>
        <w:t>, which to an extent rel</w:t>
      </w:r>
      <w:r w:rsidR="003709BA">
        <w:rPr>
          <w:rFonts w:asciiTheme="minorHAnsi" w:hAnsiTheme="minorHAnsi"/>
          <w:bCs/>
          <w:lang w:val="en-GB"/>
        </w:rPr>
        <w:t>y</w:t>
      </w:r>
      <w:r>
        <w:rPr>
          <w:rFonts w:asciiTheme="minorHAnsi" w:hAnsiTheme="minorHAnsi"/>
          <w:bCs/>
          <w:lang w:val="en-GB"/>
        </w:rPr>
        <w:t xml:space="preserve"> on the likely short-term use of dexamethasone</w:t>
      </w:r>
      <w:r w:rsidR="005C2FEC">
        <w:rPr>
          <w:rFonts w:asciiTheme="minorHAnsi" w:hAnsiTheme="minorHAnsi"/>
          <w:bCs/>
          <w:lang w:val="en-GB"/>
        </w:rPr>
        <w:t xml:space="preserve"> in RVO</w:t>
      </w:r>
      <w:r>
        <w:rPr>
          <w:rFonts w:asciiTheme="minorHAnsi" w:hAnsiTheme="minorHAnsi"/>
          <w:bCs/>
          <w:lang w:val="en-GB"/>
        </w:rPr>
        <w:t xml:space="preserve">. The PBAC considered that </w:t>
      </w:r>
      <w:r w:rsidR="005C2FEC">
        <w:rPr>
          <w:rFonts w:asciiTheme="minorHAnsi" w:hAnsiTheme="minorHAnsi"/>
          <w:bCs/>
          <w:lang w:val="en-GB"/>
        </w:rPr>
        <w:t xml:space="preserve">this </w:t>
      </w:r>
      <w:r w:rsidR="007B74E1">
        <w:rPr>
          <w:rFonts w:asciiTheme="minorHAnsi" w:hAnsiTheme="minorHAnsi"/>
          <w:bCs/>
          <w:lang w:val="en-GB"/>
        </w:rPr>
        <w:t>short-term use was likely to represent the majority of dexamethasone use in RVO and</w:t>
      </w:r>
      <w:r w:rsidR="005C2FEC">
        <w:rPr>
          <w:rFonts w:asciiTheme="minorHAnsi" w:hAnsiTheme="minorHAnsi"/>
          <w:bCs/>
          <w:lang w:val="en-GB"/>
        </w:rPr>
        <w:t>,</w:t>
      </w:r>
      <w:r w:rsidR="007B74E1">
        <w:rPr>
          <w:rFonts w:asciiTheme="minorHAnsi" w:hAnsiTheme="minorHAnsi"/>
          <w:bCs/>
          <w:lang w:val="en-GB"/>
        </w:rPr>
        <w:t xml:space="preserve"> </w:t>
      </w:r>
      <w:r>
        <w:rPr>
          <w:rFonts w:asciiTheme="minorHAnsi" w:hAnsiTheme="minorHAnsi"/>
          <w:bCs/>
          <w:lang w:val="en-GB"/>
        </w:rPr>
        <w:t>without further evidence</w:t>
      </w:r>
      <w:r w:rsidR="007B74E1">
        <w:rPr>
          <w:rFonts w:asciiTheme="minorHAnsi" w:hAnsiTheme="minorHAnsi"/>
          <w:bCs/>
          <w:lang w:val="en-GB"/>
        </w:rPr>
        <w:t xml:space="preserve"> to support listing in only a pseudophakic subgroup, the listings for patients </w:t>
      </w:r>
      <w:r w:rsidR="005C2FEC">
        <w:rPr>
          <w:rFonts w:asciiTheme="minorHAnsi" w:hAnsiTheme="minorHAnsi"/>
          <w:bCs/>
          <w:lang w:val="en-GB"/>
        </w:rPr>
        <w:t xml:space="preserve">with RVO </w:t>
      </w:r>
      <w:r w:rsidR="00B6303E">
        <w:rPr>
          <w:rFonts w:asciiTheme="minorHAnsi" w:hAnsiTheme="minorHAnsi"/>
          <w:bCs/>
          <w:lang w:val="en-GB"/>
        </w:rPr>
        <w:t xml:space="preserve">who are </w:t>
      </w:r>
      <w:r w:rsidR="007B74E1">
        <w:rPr>
          <w:rFonts w:asciiTheme="minorHAnsi" w:hAnsiTheme="minorHAnsi"/>
          <w:bCs/>
          <w:lang w:val="en-GB"/>
        </w:rPr>
        <w:t xml:space="preserve">contraindicated to or </w:t>
      </w:r>
      <w:r w:rsidR="00B6303E">
        <w:rPr>
          <w:rFonts w:asciiTheme="minorHAnsi" w:hAnsiTheme="minorHAnsi"/>
          <w:bCs/>
          <w:lang w:val="en-GB"/>
        </w:rPr>
        <w:t xml:space="preserve">have </w:t>
      </w:r>
      <w:r w:rsidR="007B74E1">
        <w:rPr>
          <w:rFonts w:asciiTheme="minorHAnsi" w:hAnsiTheme="minorHAnsi"/>
          <w:bCs/>
          <w:lang w:val="en-GB"/>
        </w:rPr>
        <w:t xml:space="preserve">failed prior </w:t>
      </w:r>
      <w:r w:rsidR="007B74E1" w:rsidRPr="003B1C50">
        <w:rPr>
          <w:rFonts w:asciiTheme="minorHAnsi" w:hAnsiTheme="minorHAnsi"/>
          <w:bCs/>
          <w:lang w:val="en-GB"/>
        </w:rPr>
        <w:t xml:space="preserve">treatment with VEGF inhibitors </w:t>
      </w:r>
      <w:r w:rsidR="005C2FEC">
        <w:rPr>
          <w:rFonts w:asciiTheme="minorHAnsi" w:hAnsiTheme="minorHAnsi"/>
          <w:bCs/>
          <w:lang w:val="en-GB"/>
        </w:rPr>
        <w:t xml:space="preserve">would not need to refer to </w:t>
      </w:r>
      <w:r w:rsidR="007B74E1" w:rsidRPr="003B1C50">
        <w:rPr>
          <w:rFonts w:asciiTheme="minorHAnsi" w:hAnsiTheme="minorHAnsi"/>
          <w:bCs/>
          <w:lang w:val="en-GB"/>
        </w:rPr>
        <w:t>cataract surgery.</w:t>
      </w:r>
    </w:p>
    <w:p w:rsidR="00B6303E" w:rsidRPr="004B31E6" w:rsidRDefault="00B6303E" w:rsidP="00361734">
      <w:pPr>
        <w:numPr>
          <w:ilvl w:val="1"/>
          <w:numId w:val="1"/>
        </w:numPr>
        <w:spacing w:after="120"/>
        <w:rPr>
          <w:rFonts w:asciiTheme="minorHAnsi" w:hAnsiTheme="minorHAnsi"/>
          <w:bCs/>
          <w:lang w:val="en-GB"/>
        </w:rPr>
      </w:pPr>
      <w:r w:rsidRPr="003B1C50">
        <w:rPr>
          <w:rFonts w:asciiTheme="minorHAnsi" w:hAnsiTheme="minorHAnsi"/>
          <w:bCs/>
          <w:lang w:val="en-GB"/>
        </w:rPr>
        <w:t xml:space="preserve">The PBAC agreed with the nominated comparator of sham injection, or no treatment, for patients who have failed or are contraindicated to VEGF inhibitors. The PBAC noted </w:t>
      </w:r>
      <w:r w:rsidR="005C2FEC">
        <w:rPr>
          <w:rFonts w:asciiTheme="minorHAnsi" w:hAnsiTheme="minorHAnsi"/>
          <w:bCs/>
          <w:lang w:val="en-GB"/>
        </w:rPr>
        <w:t xml:space="preserve">that </w:t>
      </w:r>
      <w:r w:rsidRPr="003B1C50">
        <w:rPr>
          <w:rFonts w:asciiTheme="minorHAnsi" w:hAnsiTheme="minorHAnsi"/>
          <w:bCs/>
          <w:lang w:val="en-GB"/>
        </w:rPr>
        <w:t xml:space="preserve">the nominated comparator of VEGF inhibitor </w:t>
      </w:r>
      <w:r w:rsidR="000948E4" w:rsidRPr="003B1C50">
        <w:rPr>
          <w:rFonts w:asciiTheme="minorHAnsi" w:hAnsiTheme="minorHAnsi"/>
          <w:bCs/>
          <w:lang w:val="en-GB"/>
        </w:rPr>
        <w:t xml:space="preserve">the subgroup </w:t>
      </w:r>
      <w:r w:rsidR="000948E4">
        <w:rPr>
          <w:rFonts w:asciiTheme="minorHAnsi" w:hAnsiTheme="minorHAnsi"/>
          <w:bCs/>
          <w:lang w:val="en-GB"/>
        </w:rPr>
        <w:t>‘</w:t>
      </w:r>
      <w:r w:rsidR="000948E4" w:rsidRPr="003B1C50">
        <w:rPr>
          <w:rFonts w:asciiTheme="minorHAnsi" w:hAnsiTheme="minorHAnsi"/>
          <w:bCs/>
          <w:lang w:val="en-GB"/>
        </w:rPr>
        <w:t>unsuitable</w:t>
      </w:r>
      <w:r w:rsidR="000948E4">
        <w:rPr>
          <w:rFonts w:asciiTheme="minorHAnsi" w:hAnsiTheme="minorHAnsi"/>
          <w:bCs/>
          <w:lang w:val="en-GB"/>
        </w:rPr>
        <w:t>’</w:t>
      </w:r>
      <w:r w:rsidR="000948E4" w:rsidRPr="003B1C50">
        <w:rPr>
          <w:rFonts w:asciiTheme="minorHAnsi" w:hAnsiTheme="minorHAnsi"/>
          <w:bCs/>
          <w:lang w:val="en-GB"/>
        </w:rPr>
        <w:t xml:space="preserve"> for VEGF inhibitor </w:t>
      </w:r>
      <w:r w:rsidRPr="003B1C50">
        <w:rPr>
          <w:rFonts w:asciiTheme="minorHAnsi" w:hAnsiTheme="minorHAnsi"/>
          <w:bCs/>
          <w:lang w:val="en-GB"/>
        </w:rPr>
        <w:t>would position dexamethasone implant in the south-west quadrant (</w:t>
      </w:r>
      <w:r w:rsidR="005C2FEC">
        <w:rPr>
          <w:rFonts w:asciiTheme="minorHAnsi" w:hAnsiTheme="minorHAnsi"/>
          <w:bCs/>
          <w:lang w:val="en-GB"/>
        </w:rPr>
        <w:t xml:space="preserve">ie </w:t>
      </w:r>
      <w:r w:rsidRPr="003B1C50">
        <w:rPr>
          <w:rFonts w:asciiTheme="minorHAnsi" w:hAnsiTheme="minorHAnsi"/>
          <w:bCs/>
          <w:lang w:val="en-GB"/>
        </w:rPr>
        <w:t>a</w:t>
      </w:r>
      <w:r w:rsidR="005C2FEC">
        <w:rPr>
          <w:rFonts w:asciiTheme="minorHAnsi" w:hAnsiTheme="minorHAnsi"/>
          <w:bCs/>
          <w:lang w:val="en-GB"/>
        </w:rPr>
        <w:t xml:space="preserve"> clinically</w:t>
      </w:r>
      <w:r w:rsidRPr="003B1C50">
        <w:rPr>
          <w:rFonts w:asciiTheme="minorHAnsi" w:hAnsiTheme="minorHAnsi"/>
          <w:bCs/>
          <w:lang w:val="en-GB"/>
        </w:rPr>
        <w:t xml:space="preserve"> </w:t>
      </w:r>
      <w:r w:rsidRPr="004B31E6">
        <w:rPr>
          <w:rFonts w:asciiTheme="minorHAnsi" w:hAnsiTheme="minorHAnsi"/>
          <w:bCs/>
          <w:lang w:val="en-GB"/>
        </w:rPr>
        <w:t>inferior th</w:t>
      </w:r>
      <w:r w:rsidR="005C2FEC">
        <w:rPr>
          <w:rFonts w:asciiTheme="minorHAnsi" w:hAnsiTheme="minorHAnsi"/>
          <w:bCs/>
          <w:lang w:val="en-GB"/>
        </w:rPr>
        <w:t>erapy offered at a lower cost).</w:t>
      </w:r>
    </w:p>
    <w:p w:rsidR="004B31E6" w:rsidRPr="004B31E6" w:rsidRDefault="00EF0A1D" w:rsidP="00361734">
      <w:pPr>
        <w:numPr>
          <w:ilvl w:val="1"/>
          <w:numId w:val="1"/>
        </w:numPr>
        <w:spacing w:after="120"/>
        <w:rPr>
          <w:rFonts w:asciiTheme="minorHAnsi" w:hAnsiTheme="minorHAnsi"/>
          <w:bCs/>
          <w:lang w:val="en-GB"/>
        </w:rPr>
      </w:pPr>
      <w:r w:rsidRPr="004B31E6">
        <w:rPr>
          <w:rFonts w:asciiTheme="minorHAnsi" w:hAnsiTheme="minorHAnsi"/>
          <w:bCs/>
          <w:lang w:val="en-GB"/>
        </w:rPr>
        <w:t xml:space="preserve">The PBAC noted </w:t>
      </w:r>
      <w:r w:rsidR="005C2FEC">
        <w:rPr>
          <w:rFonts w:asciiTheme="minorHAnsi" w:hAnsiTheme="minorHAnsi"/>
          <w:bCs/>
          <w:lang w:val="en-GB"/>
        </w:rPr>
        <w:t xml:space="preserve">that, </w:t>
      </w:r>
      <w:r w:rsidR="00A216AE" w:rsidRPr="004B31E6">
        <w:rPr>
          <w:rFonts w:asciiTheme="minorHAnsi" w:hAnsiTheme="minorHAnsi"/>
          <w:bCs/>
          <w:lang w:val="en-GB"/>
        </w:rPr>
        <w:t xml:space="preserve">in </w:t>
      </w:r>
      <w:r w:rsidR="00DA7508" w:rsidRPr="004B31E6">
        <w:rPr>
          <w:rFonts w:asciiTheme="minorHAnsi" w:hAnsiTheme="minorHAnsi"/>
          <w:bCs/>
          <w:lang w:val="en-GB"/>
        </w:rPr>
        <w:t>the placebo-controlled trials (G</w:t>
      </w:r>
      <w:r w:rsidR="00DA7508" w:rsidRPr="004B31E6">
        <w:rPr>
          <w:rFonts w:cs="Calibri"/>
          <w:snapToGrid/>
          <w:szCs w:val="24"/>
          <w:lang w:val="en-US" w:eastAsia="en-AU"/>
        </w:rPr>
        <w:t>ENEVA 008, GENEVA 009, Trial 020)</w:t>
      </w:r>
      <w:r w:rsidR="005C2FEC">
        <w:rPr>
          <w:rFonts w:cs="Calibri"/>
          <w:snapToGrid/>
          <w:szCs w:val="24"/>
          <w:lang w:val="en-US" w:eastAsia="en-AU"/>
        </w:rPr>
        <w:t>,</w:t>
      </w:r>
      <w:r w:rsidR="00DA7508" w:rsidRPr="004B31E6">
        <w:rPr>
          <w:rFonts w:cs="Calibri"/>
          <w:snapToGrid/>
          <w:szCs w:val="24"/>
          <w:lang w:val="en-US" w:eastAsia="en-AU"/>
        </w:rPr>
        <w:t xml:space="preserve"> </w:t>
      </w:r>
      <w:r w:rsidR="00A216AE" w:rsidRPr="004B31E6">
        <w:rPr>
          <w:rFonts w:cs="Calibri"/>
          <w:snapToGrid/>
          <w:lang w:val="en-US" w:eastAsia="en-AU"/>
        </w:rPr>
        <w:t xml:space="preserve">treatment response was defined as 15 or more letters improvement </w:t>
      </w:r>
      <w:r w:rsidR="003709BA" w:rsidRPr="00AA68F3">
        <w:rPr>
          <w:rFonts w:cs="Calibri"/>
          <w:snapToGrid/>
          <w:lang w:val="en-US" w:eastAsia="en-AU"/>
        </w:rPr>
        <w:t>from baseline</w:t>
      </w:r>
      <w:r w:rsidR="00A216AE" w:rsidRPr="004B31E6">
        <w:rPr>
          <w:rFonts w:cs="Calibri"/>
          <w:snapToGrid/>
          <w:lang w:val="en-US" w:eastAsia="en-AU"/>
        </w:rPr>
        <w:t xml:space="preserve"> BCVA. The improvement</w:t>
      </w:r>
      <w:r w:rsidR="00E6326C" w:rsidRPr="004B31E6">
        <w:rPr>
          <w:rFonts w:cs="Calibri"/>
          <w:snapToGrid/>
          <w:lang w:val="en-US" w:eastAsia="en-AU"/>
        </w:rPr>
        <w:t>s</w:t>
      </w:r>
      <w:r w:rsidR="00A216AE" w:rsidRPr="004B31E6">
        <w:rPr>
          <w:rFonts w:cs="Calibri"/>
          <w:snapToGrid/>
          <w:lang w:val="en-US" w:eastAsia="en-AU"/>
        </w:rPr>
        <w:t xml:space="preserve"> in the dexamethasone implant group were statistically significant </w:t>
      </w:r>
      <w:r w:rsidR="00E6326C" w:rsidRPr="004B31E6">
        <w:rPr>
          <w:rFonts w:cs="Calibri"/>
          <w:snapToGrid/>
          <w:lang w:val="en-US" w:eastAsia="en-AU"/>
        </w:rPr>
        <w:t xml:space="preserve">compared to placebo </w:t>
      </w:r>
      <w:r w:rsidR="00A216AE" w:rsidRPr="004B31E6">
        <w:rPr>
          <w:rFonts w:cs="Calibri"/>
          <w:snapToGrid/>
          <w:lang w:val="en-US" w:eastAsia="en-AU"/>
        </w:rPr>
        <w:t xml:space="preserve">until 3 months. </w:t>
      </w:r>
      <w:r w:rsidR="00E6326C" w:rsidRPr="004B31E6">
        <w:rPr>
          <w:rFonts w:cs="Calibri"/>
          <w:snapToGrid/>
          <w:lang w:val="en-US" w:eastAsia="en-AU"/>
        </w:rPr>
        <w:t xml:space="preserve">For the secondary outcome of </w:t>
      </w:r>
      <w:r w:rsidR="00E6326C" w:rsidRPr="004B31E6">
        <w:rPr>
          <w:bCs/>
          <w:iCs/>
        </w:rPr>
        <w:t xml:space="preserve">mean change in BCVA from baseline, </w:t>
      </w:r>
      <w:r w:rsidR="00E6326C" w:rsidRPr="004B31E6">
        <w:rPr>
          <w:rFonts w:cs="Calibri"/>
          <w:snapToGrid/>
          <w:szCs w:val="24"/>
          <w:lang w:val="en-US" w:eastAsia="en-AU"/>
        </w:rPr>
        <w:t xml:space="preserve">the greatest change was measured at month 2, where the difference between treatment groups ranged from 6.4 to 8.9 letters. The PBAC considered this difference would provide a modest benefit for some patients, with </w:t>
      </w:r>
      <w:r w:rsidR="003B1C50" w:rsidRPr="004B31E6">
        <w:rPr>
          <w:rFonts w:cs="Calibri"/>
          <w:snapToGrid/>
          <w:szCs w:val="24"/>
          <w:lang w:val="en-US" w:eastAsia="en-AU"/>
        </w:rPr>
        <w:t xml:space="preserve">the efficacy of the dexamethasone implant </w:t>
      </w:r>
      <w:r w:rsidR="00E6326C" w:rsidRPr="004B31E6">
        <w:rPr>
          <w:rFonts w:cs="Calibri"/>
          <w:snapToGrid/>
          <w:szCs w:val="24"/>
          <w:lang w:val="en-US" w:eastAsia="en-AU"/>
        </w:rPr>
        <w:t xml:space="preserve">waning beyond month 3. </w:t>
      </w:r>
      <w:r w:rsidR="004B31E6">
        <w:rPr>
          <w:rFonts w:cs="Calibri"/>
          <w:snapToGrid/>
          <w:szCs w:val="24"/>
          <w:lang w:val="en-US" w:eastAsia="en-AU"/>
        </w:rPr>
        <w:t>The PB</w:t>
      </w:r>
      <w:r w:rsidR="003709BA">
        <w:rPr>
          <w:rFonts w:cs="Calibri"/>
          <w:snapToGrid/>
          <w:szCs w:val="24"/>
          <w:lang w:val="en-US" w:eastAsia="en-AU"/>
        </w:rPr>
        <w:t>A</w:t>
      </w:r>
      <w:r w:rsidR="004B31E6">
        <w:rPr>
          <w:rFonts w:cs="Calibri"/>
          <w:snapToGrid/>
          <w:szCs w:val="24"/>
          <w:lang w:val="en-US" w:eastAsia="en-AU"/>
        </w:rPr>
        <w:t xml:space="preserve">C noted the evidence from the non-randomised studies </w:t>
      </w:r>
      <w:r w:rsidR="004B31E6" w:rsidRPr="00014E52">
        <w:t>examin</w:t>
      </w:r>
      <w:r w:rsidR="004B31E6">
        <w:t>ing</w:t>
      </w:r>
      <w:r w:rsidR="004B31E6" w:rsidRPr="00014E52">
        <w:t xml:space="preserve"> the effectiveness of dexamethasone implant in</w:t>
      </w:r>
      <w:r w:rsidR="004B31E6">
        <w:t xml:space="preserve"> patients who had previously failed treatment with VEGF inhibitors was not conclusive.</w:t>
      </w:r>
    </w:p>
    <w:p w:rsidR="00A216AE" w:rsidRPr="004B31E6" w:rsidRDefault="00E6326C" w:rsidP="00361734">
      <w:pPr>
        <w:numPr>
          <w:ilvl w:val="1"/>
          <w:numId w:val="1"/>
        </w:numPr>
        <w:spacing w:after="120"/>
        <w:rPr>
          <w:rFonts w:asciiTheme="minorHAnsi" w:hAnsiTheme="minorHAnsi"/>
          <w:bCs/>
          <w:lang w:val="en-GB"/>
        </w:rPr>
      </w:pPr>
      <w:r w:rsidRPr="004B31E6">
        <w:rPr>
          <w:rFonts w:cs="Calibri"/>
          <w:snapToGrid/>
          <w:szCs w:val="24"/>
          <w:lang w:val="en-US" w:eastAsia="en-AU"/>
        </w:rPr>
        <w:t xml:space="preserve">The PBAC noted the inferior safety of dexamethasone versus placebo, with </w:t>
      </w:r>
      <w:r w:rsidR="003B1C50" w:rsidRPr="004B31E6">
        <w:rPr>
          <w:rFonts w:cs="Calibri"/>
          <w:snapToGrid/>
          <w:szCs w:val="24"/>
          <w:lang w:val="en-US" w:eastAsia="en-AU"/>
        </w:rPr>
        <w:t xml:space="preserve">the </w:t>
      </w:r>
      <w:r w:rsidRPr="004B31E6">
        <w:rPr>
          <w:rFonts w:cs="Calibri"/>
          <w:snapToGrid/>
          <w:szCs w:val="24"/>
          <w:lang w:val="en-US" w:eastAsia="en-AU"/>
        </w:rPr>
        <w:t>increased risk of IOP</w:t>
      </w:r>
      <w:r w:rsidR="003B1C50" w:rsidRPr="004B31E6">
        <w:rPr>
          <w:rFonts w:cs="Calibri"/>
          <w:snapToGrid/>
          <w:szCs w:val="24"/>
          <w:lang w:val="en-US" w:eastAsia="en-AU"/>
        </w:rPr>
        <w:t xml:space="preserve">, conjunctival </w:t>
      </w:r>
      <w:r w:rsidR="00A26880" w:rsidRPr="004B31E6">
        <w:rPr>
          <w:rFonts w:cs="Calibri"/>
          <w:snapToGrid/>
          <w:szCs w:val="24"/>
          <w:lang w:val="en-US" w:eastAsia="en-AU"/>
        </w:rPr>
        <w:t>haemorr</w:t>
      </w:r>
      <w:r w:rsidR="003B1C50" w:rsidRPr="004B31E6">
        <w:rPr>
          <w:rFonts w:cs="Calibri"/>
          <w:snapToGrid/>
          <w:szCs w:val="24"/>
          <w:lang w:val="en-US" w:eastAsia="en-AU"/>
        </w:rPr>
        <w:t>hage, cataract and ocular hypertension.</w:t>
      </w:r>
    </w:p>
    <w:p w:rsidR="003B1C50" w:rsidRPr="005F791E" w:rsidRDefault="003B1C50" w:rsidP="00361734">
      <w:pPr>
        <w:numPr>
          <w:ilvl w:val="1"/>
          <w:numId w:val="1"/>
        </w:numPr>
        <w:spacing w:after="120"/>
        <w:rPr>
          <w:rFonts w:asciiTheme="minorHAnsi" w:hAnsiTheme="minorHAnsi"/>
          <w:bCs/>
          <w:lang w:val="en-GB"/>
        </w:rPr>
      </w:pPr>
      <w:r w:rsidRPr="004B31E6">
        <w:rPr>
          <w:rFonts w:asciiTheme="minorHAnsi" w:hAnsiTheme="minorHAnsi"/>
          <w:bCs/>
          <w:lang w:val="en-GB"/>
        </w:rPr>
        <w:t>The PBAC noted the clinical comparison of dexamethasone implant and ranibizumab (trial</w:t>
      </w:r>
      <w:r w:rsidRPr="003B1C50">
        <w:rPr>
          <w:rFonts w:asciiTheme="minorHAnsi" w:hAnsiTheme="minorHAnsi"/>
          <w:bCs/>
          <w:lang w:val="en-GB"/>
        </w:rPr>
        <w:t xml:space="preserve"> data from COMO, COMRADE-B, COMRADE-C) demonstrated the inferior </w:t>
      </w:r>
      <w:r w:rsidRPr="005F791E">
        <w:rPr>
          <w:rFonts w:asciiTheme="minorHAnsi" w:hAnsiTheme="minorHAnsi"/>
          <w:bCs/>
          <w:lang w:val="en-GB"/>
        </w:rPr>
        <w:t>effectivenes</w:t>
      </w:r>
      <w:r w:rsidR="005C2FEC">
        <w:rPr>
          <w:rFonts w:asciiTheme="minorHAnsi" w:hAnsiTheme="minorHAnsi"/>
          <w:bCs/>
          <w:lang w:val="en-GB"/>
        </w:rPr>
        <w:t>s and safety of dexamethasone.</w:t>
      </w:r>
    </w:p>
    <w:p w:rsidR="00A26880" w:rsidRPr="00C32935" w:rsidRDefault="00E17CFF" w:rsidP="00361734">
      <w:pPr>
        <w:numPr>
          <w:ilvl w:val="1"/>
          <w:numId w:val="1"/>
        </w:numPr>
        <w:spacing w:after="120"/>
        <w:rPr>
          <w:rFonts w:asciiTheme="minorHAnsi" w:hAnsiTheme="minorHAnsi"/>
          <w:bCs/>
          <w:lang w:val="en-GB"/>
        </w:rPr>
      </w:pPr>
      <w:r w:rsidRPr="005F791E">
        <w:rPr>
          <w:rFonts w:asciiTheme="minorHAnsi" w:hAnsiTheme="minorHAnsi"/>
          <w:bCs/>
          <w:lang w:val="en-GB"/>
        </w:rPr>
        <w:t xml:space="preserve">The PBAC noted the ESC concerns regarding the approach to the cost analysis in the submission. The PBAC also noted the pre-PBAC response (p3) which highlighted </w:t>
      </w:r>
      <w:r w:rsidR="005B5775" w:rsidRPr="005F791E">
        <w:rPr>
          <w:rFonts w:asciiTheme="minorHAnsi" w:hAnsiTheme="minorHAnsi"/>
          <w:bCs/>
          <w:lang w:val="en-GB"/>
        </w:rPr>
        <w:t xml:space="preserve">that </w:t>
      </w:r>
      <w:r w:rsidRPr="005F791E">
        <w:rPr>
          <w:rFonts w:asciiTheme="minorHAnsi" w:hAnsiTheme="minorHAnsi"/>
          <w:bCs/>
          <w:lang w:val="en-GB"/>
        </w:rPr>
        <w:t xml:space="preserve">BCVA outcomes for dexamethasone implant versus sham were similar over 6 months in patients with RVO compared with DMO, </w:t>
      </w:r>
      <w:r w:rsidR="005B5775" w:rsidRPr="005F791E">
        <w:rPr>
          <w:rFonts w:asciiTheme="minorHAnsi" w:hAnsiTheme="minorHAnsi"/>
          <w:bCs/>
          <w:lang w:val="en-GB"/>
        </w:rPr>
        <w:t>and therefore</w:t>
      </w:r>
      <w:r w:rsidRPr="005F791E">
        <w:rPr>
          <w:rFonts w:asciiTheme="minorHAnsi" w:hAnsiTheme="minorHAnsi"/>
          <w:bCs/>
          <w:lang w:val="en-GB"/>
        </w:rPr>
        <w:t xml:space="preserve"> </w:t>
      </w:r>
      <w:r w:rsidR="005B5775" w:rsidRPr="005F791E">
        <w:rPr>
          <w:rFonts w:asciiTheme="minorHAnsi" w:hAnsiTheme="minorHAnsi"/>
          <w:bCs/>
          <w:lang w:val="en-GB"/>
        </w:rPr>
        <w:t>the</w:t>
      </w:r>
      <w:r w:rsidRPr="005F791E">
        <w:rPr>
          <w:rFonts w:asciiTheme="minorHAnsi" w:hAnsiTheme="minorHAnsi"/>
          <w:bCs/>
          <w:lang w:val="en-GB"/>
        </w:rPr>
        <w:t xml:space="preserve"> cost-effectiveness </w:t>
      </w:r>
      <w:r w:rsidR="002161FF" w:rsidRPr="005F791E">
        <w:rPr>
          <w:rFonts w:asciiTheme="minorHAnsi" w:hAnsiTheme="minorHAnsi"/>
          <w:bCs/>
          <w:lang w:val="en-GB"/>
        </w:rPr>
        <w:t xml:space="preserve">would </w:t>
      </w:r>
      <w:r w:rsidRPr="005F791E">
        <w:rPr>
          <w:rFonts w:asciiTheme="minorHAnsi" w:hAnsiTheme="minorHAnsi"/>
          <w:bCs/>
          <w:lang w:val="en-GB"/>
        </w:rPr>
        <w:t>be no worse in RVO than in DMO.</w:t>
      </w:r>
      <w:r w:rsidR="005B5775" w:rsidRPr="005F791E">
        <w:rPr>
          <w:rFonts w:asciiTheme="minorHAnsi" w:hAnsiTheme="minorHAnsi"/>
          <w:bCs/>
          <w:lang w:val="en-GB"/>
        </w:rPr>
        <w:t xml:space="preserve"> The PBAC </w:t>
      </w:r>
      <w:r w:rsidR="002161FF" w:rsidRPr="005F791E">
        <w:rPr>
          <w:rFonts w:asciiTheme="minorHAnsi" w:hAnsiTheme="minorHAnsi"/>
          <w:bCs/>
          <w:lang w:val="en-GB"/>
        </w:rPr>
        <w:t xml:space="preserve">noted the ESC remained concerned about the frequency </w:t>
      </w:r>
      <w:r w:rsidR="00666773">
        <w:rPr>
          <w:rFonts w:asciiTheme="minorHAnsi" w:hAnsiTheme="minorHAnsi"/>
          <w:bCs/>
          <w:lang w:val="en-GB"/>
        </w:rPr>
        <w:t xml:space="preserve">of administrations </w:t>
      </w:r>
      <w:r w:rsidR="002161FF" w:rsidRPr="005F791E">
        <w:rPr>
          <w:rFonts w:asciiTheme="minorHAnsi" w:hAnsiTheme="minorHAnsi"/>
          <w:bCs/>
          <w:lang w:val="en-GB"/>
        </w:rPr>
        <w:t>and duration of therapy, however, c</w:t>
      </w:r>
      <w:r w:rsidR="005B5775" w:rsidRPr="005F791E">
        <w:rPr>
          <w:rFonts w:asciiTheme="minorHAnsi" w:hAnsiTheme="minorHAnsi"/>
          <w:bCs/>
          <w:lang w:val="en-GB"/>
        </w:rPr>
        <w:t>onsidered th</w:t>
      </w:r>
      <w:r w:rsidR="005F791E" w:rsidRPr="005F791E">
        <w:rPr>
          <w:rFonts w:asciiTheme="minorHAnsi" w:hAnsiTheme="minorHAnsi"/>
          <w:bCs/>
          <w:lang w:val="en-GB"/>
        </w:rPr>
        <w:t>e submission</w:t>
      </w:r>
      <w:r w:rsidR="005C2FEC">
        <w:rPr>
          <w:rFonts w:asciiTheme="minorHAnsi" w:hAnsiTheme="minorHAnsi"/>
          <w:bCs/>
          <w:lang w:val="en-GB"/>
        </w:rPr>
        <w:t>’s</w:t>
      </w:r>
      <w:r w:rsidR="005B5775" w:rsidRPr="005F791E">
        <w:rPr>
          <w:rFonts w:asciiTheme="minorHAnsi" w:hAnsiTheme="minorHAnsi"/>
          <w:bCs/>
          <w:lang w:val="en-GB"/>
        </w:rPr>
        <w:t xml:space="preserve"> claim may </w:t>
      </w:r>
      <w:r w:rsidR="002161FF" w:rsidRPr="005F791E">
        <w:rPr>
          <w:rFonts w:asciiTheme="minorHAnsi" w:hAnsiTheme="minorHAnsi"/>
          <w:bCs/>
          <w:lang w:val="en-GB"/>
        </w:rPr>
        <w:t xml:space="preserve">still </w:t>
      </w:r>
      <w:r w:rsidR="005B5775" w:rsidRPr="005F791E">
        <w:rPr>
          <w:rFonts w:asciiTheme="minorHAnsi" w:hAnsiTheme="minorHAnsi"/>
          <w:bCs/>
          <w:lang w:val="en-GB"/>
        </w:rPr>
        <w:t xml:space="preserve">be acceptable given the duration </w:t>
      </w:r>
      <w:r w:rsidR="00666773">
        <w:rPr>
          <w:rFonts w:asciiTheme="minorHAnsi" w:hAnsiTheme="minorHAnsi"/>
          <w:bCs/>
          <w:lang w:val="en-GB"/>
        </w:rPr>
        <w:t xml:space="preserve">of therapy </w:t>
      </w:r>
      <w:r w:rsidR="005B5775" w:rsidRPr="005F791E">
        <w:rPr>
          <w:rFonts w:asciiTheme="minorHAnsi" w:hAnsiTheme="minorHAnsi"/>
          <w:bCs/>
          <w:lang w:val="en-GB"/>
        </w:rPr>
        <w:t>is likely to be less than with DMO</w:t>
      </w:r>
      <w:r w:rsidR="002161FF" w:rsidRPr="005F791E">
        <w:rPr>
          <w:rFonts w:asciiTheme="minorHAnsi" w:hAnsiTheme="minorHAnsi"/>
          <w:bCs/>
          <w:lang w:val="en-GB"/>
        </w:rPr>
        <w:t>,</w:t>
      </w:r>
      <w:r w:rsidR="005B5775" w:rsidRPr="005F791E">
        <w:rPr>
          <w:rFonts w:asciiTheme="minorHAnsi" w:hAnsiTheme="minorHAnsi"/>
          <w:bCs/>
          <w:lang w:val="en-GB"/>
        </w:rPr>
        <w:t xml:space="preserve"> based on the differences in the disease trajectory.</w:t>
      </w:r>
      <w:r w:rsidRPr="005F791E">
        <w:rPr>
          <w:rFonts w:asciiTheme="minorHAnsi" w:hAnsiTheme="minorHAnsi"/>
          <w:bCs/>
          <w:lang w:val="en-GB"/>
        </w:rPr>
        <w:t xml:space="preserve"> </w:t>
      </w:r>
      <w:r w:rsidR="005F791E">
        <w:rPr>
          <w:rFonts w:asciiTheme="minorHAnsi" w:hAnsiTheme="minorHAnsi"/>
          <w:bCs/>
          <w:lang w:val="en-GB"/>
        </w:rPr>
        <w:t xml:space="preserve">Overall, the PBAC considered the proposed cost of </w:t>
      </w:r>
      <w:r w:rsidR="005F791E" w:rsidRPr="00C32935">
        <w:rPr>
          <w:rFonts w:asciiTheme="minorHAnsi" w:hAnsiTheme="minorHAnsi"/>
          <w:bCs/>
          <w:lang w:val="en-GB"/>
        </w:rPr>
        <w:t>dexamethasone implant for RVO would be acceptable for the patients who have failed or are contraindicated to VEGF inhibitor therapy.</w:t>
      </w:r>
    </w:p>
    <w:p w:rsidR="005661AF" w:rsidRPr="00C32935" w:rsidRDefault="001E26E7" w:rsidP="00361734">
      <w:pPr>
        <w:numPr>
          <w:ilvl w:val="1"/>
          <w:numId w:val="1"/>
        </w:numPr>
        <w:spacing w:after="120"/>
        <w:rPr>
          <w:rFonts w:asciiTheme="minorHAnsi" w:hAnsiTheme="minorHAnsi"/>
          <w:bCs/>
          <w:lang w:val="en-GB"/>
        </w:rPr>
      </w:pPr>
      <w:r w:rsidRPr="00C32935">
        <w:rPr>
          <w:rFonts w:asciiTheme="minorHAnsi" w:hAnsiTheme="minorHAnsi"/>
          <w:bCs/>
          <w:lang w:val="en-GB"/>
        </w:rPr>
        <w:t xml:space="preserve">The PBAC </w:t>
      </w:r>
      <w:r w:rsidR="00C32935" w:rsidRPr="00C32935">
        <w:rPr>
          <w:rFonts w:asciiTheme="minorHAnsi" w:hAnsiTheme="minorHAnsi"/>
          <w:bCs/>
          <w:lang w:val="en-GB"/>
        </w:rPr>
        <w:t>agree</w:t>
      </w:r>
      <w:r w:rsidRPr="00C32935">
        <w:rPr>
          <w:rFonts w:asciiTheme="minorHAnsi" w:hAnsiTheme="minorHAnsi"/>
          <w:bCs/>
          <w:lang w:val="en-GB"/>
        </w:rPr>
        <w:t>d</w:t>
      </w:r>
      <w:r w:rsidR="00C32935" w:rsidRPr="00C32935">
        <w:rPr>
          <w:rFonts w:asciiTheme="minorHAnsi" w:hAnsiTheme="minorHAnsi"/>
          <w:bCs/>
          <w:lang w:val="en-GB"/>
        </w:rPr>
        <w:t xml:space="preserve"> with</w:t>
      </w:r>
      <w:r w:rsidRPr="00C32935">
        <w:rPr>
          <w:rFonts w:asciiTheme="minorHAnsi" w:hAnsiTheme="minorHAnsi"/>
          <w:bCs/>
          <w:lang w:val="en-GB"/>
        </w:rPr>
        <w:t xml:space="preserve"> the DUSC advice that the projected savings from substitution with VEGF inhibitors was unlikely to be achieved</w:t>
      </w:r>
      <w:r w:rsidR="009A2462">
        <w:rPr>
          <w:rFonts w:asciiTheme="minorHAnsi" w:hAnsiTheme="minorHAnsi"/>
          <w:bCs/>
          <w:lang w:val="en-GB"/>
        </w:rPr>
        <w:t xml:space="preserve">, especially given the committee’s decision not to recommend dexamethasone implant for patients with RVO considered </w:t>
      </w:r>
      <w:r w:rsidR="000948E4">
        <w:rPr>
          <w:rFonts w:asciiTheme="minorHAnsi" w:hAnsiTheme="minorHAnsi"/>
          <w:bCs/>
          <w:lang w:val="en-GB"/>
        </w:rPr>
        <w:t>‘</w:t>
      </w:r>
      <w:r w:rsidR="009A2462">
        <w:rPr>
          <w:rFonts w:asciiTheme="minorHAnsi" w:hAnsiTheme="minorHAnsi"/>
          <w:bCs/>
          <w:lang w:val="en-GB"/>
        </w:rPr>
        <w:t>unsuitable</w:t>
      </w:r>
      <w:r w:rsidR="000948E4">
        <w:rPr>
          <w:rFonts w:asciiTheme="minorHAnsi" w:hAnsiTheme="minorHAnsi"/>
          <w:bCs/>
          <w:lang w:val="en-GB"/>
        </w:rPr>
        <w:t>’</w:t>
      </w:r>
      <w:r w:rsidR="009A2462">
        <w:rPr>
          <w:rFonts w:asciiTheme="minorHAnsi" w:hAnsiTheme="minorHAnsi"/>
          <w:bCs/>
          <w:lang w:val="en-GB"/>
        </w:rPr>
        <w:t xml:space="preserve"> for VEGF inhibitor therapy</w:t>
      </w:r>
      <w:r w:rsidRPr="00C32935">
        <w:rPr>
          <w:rFonts w:asciiTheme="minorHAnsi" w:hAnsiTheme="minorHAnsi"/>
          <w:bCs/>
          <w:lang w:val="en-GB"/>
        </w:rPr>
        <w:t>. The PBAC agreed with DUSC that the addition of dexamethasone as a second-line therapy would result in an additional spend rather than a savings</w:t>
      </w:r>
      <w:r w:rsidR="008E28EA">
        <w:rPr>
          <w:rFonts w:asciiTheme="minorHAnsi" w:hAnsiTheme="minorHAnsi"/>
          <w:bCs/>
          <w:lang w:val="en-GB"/>
        </w:rPr>
        <w:t>, especially given that there should be no VEGF inhibitor offsets</w:t>
      </w:r>
      <w:r w:rsidRPr="00C32935">
        <w:rPr>
          <w:rFonts w:asciiTheme="minorHAnsi" w:hAnsiTheme="minorHAnsi"/>
          <w:bCs/>
          <w:lang w:val="en-GB"/>
        </w:rPr>
        <w:t xml:space="preserve">. The market share approach </w:t>
      </w:r>
      <w:r w:rsidR="00CA0349">
        <w:rPr>
          <w:rFonts w:asciiTheme="minorHAnsi" w:hAnsiTheme="minorHAnsi"/>
          <w:bCs/>
          <w:lang w:val="en-GB"/>
        </w:rPr>
        <w:t xml:space="preserve">used in the submission </w:t>
      </w:r>
      <w:r w:rsidRPr="00C32935">
        <w:rPr>
          <w:rFonts w:asciiTheme="minorHAnsi" w:hAnsiTheme="minorHAnsi"/>
          <w:bCs/>
          <w:lang w:val="en-GB"/>
        </w:rPr>
        <w:t>d</w:t>
      </w:r>
      <w:r w:rsidR="00BA586A">
        <w:rPr>
          <w:rFonts w:asciiTheme="minorHAnsi" w:hAnsiTheme="minorHAnsi"/>
          <w:bCs/>
          <w:lang w:val="en-GB"/>
        </w:rPr>
        <w:t>id</w:t>
      </w:r>
      <w:r w:rsidRPr="00C32935">
        <w:rPr>
          <w:rFonts w:asciiTheme="minorHAnsi" w:hAnsiTheme="minorHAnsi"/>
          <w:bCs/>
          <w:lang w:val="en-GB"/>
        </w:rPr>
        <w:t xml:space="preserve"> not allow for </w:t>
      </w:r>
      <w:r w:rsidR="000C025A" w:rsidRPr="00C32935">
        <w:rPr>
          <w:rFonts w:asciiTheme="minorHAnsi" w:hAnsiTheme="minorHAnsi"/>
          <w:bCs/>
          <w:lang w:val="en-GB"/>
        </w:rPr>
        <w:t>estimation</w:t>
      </w:r>
      <w:r w:rsidRPr="00C32935">
        <w:rPr>
          <w:rFonts w:asciiTheme="minorHAnsi" w:hAnsiTheme="minorHAnsi"/>
          <w:bCs/>
          <w:lang w:val="en-GB"/>
        </w:rPr>
        <w:t xml:space="preserve"> of the </w:t>
      </w:r>
      <w:r w:rsidR="008E28EA">
        <w:rPr>
          <w:rFonts w:asciiTheme="minorHAnsi" w:hAnsiTheme="minorHAnsi"/>
          <w:bCs/>
          <w:lang w:val="en-GB"/>
        </w:rPr>
        <w:t>subgroups</w:t>
      </w:r>
      <w:r w:rsidRPr="00C32935">
        <w:rPr>
          <w:rFonts w:asciiTheme="minorHAnsi" w:hAnsiTheme="minorHAnsi"/>
          <w:bCs/>
          <w:lang w:val="en-GB"/>
        </w:rPr>
        <w:t xml:space="preserve"> who have failed or a</w:t>
      </w:r>
      <w:r w:rsidR="00BA586A">
        <w:rPr>
          <w:rFonts w:asciiTheme="minorHAnsi" w:hAnsiTheme="minorHAnsi"/>
          <w:bCs/>
          <w:lang w:val="en-GB"/>
        </w:rPr>
        <w:t>re</w:t>
      </w:r>
      <w:r w:rsidRPr="00C32935">
        <w:rPr>
          <w:rFonts w:asciiTheme="minorHAnsi" w:hAnsiTheme="minorHAnsi"/>
          <w:bCs/>
          <w:lang w:val="en-GB"/>
        </w:rPr>
        <w:t xml:space="preserve"> contraindicated to VEGF inhibitors. The PBA</w:t>
      </w:r>
      <w:r w:rsidR="000C025A" w:rsidRPr="00C32935">
        <w:rPr>
          <w:rFonts w:asciiTheme="minorHAnsi" w:hAnsiTheme="minorHAnsi"/>
          <w:bCs/>
          <w:lang w:val="en-GB"/>
        </w:rPr>
        <w:t xml:space="preserve">C considered the expenditure </w:t>
      </w:r>
      <w:r w:rsidR="000948E4">
        <w:rPr>
          <w:rFonts w:asciiTheme="minorHAnsi" w:hAnsiTheme="minorHAnsi"/>
          <w:bCs/>
          <w:lang w:val="en-GB"/>
        </w:rPr>
        <w:t xml:space="preserve">on dexamethasone </w:t>
      </w:r>
      <w:r w:rsidR="000C025A" w:rsidRPr="00C32935">
        <w:rPr>
          <w:rFonts w:asciiTheme="minorHAnsi" w:hAnsiTheme="minorHAnsi"/>
          <w:bCs/>
          <w:lang w:val="en-GB"/>
        </w:rPr>
        <w:t>for the</w:t>
      </w:r>
      <w:r w:rsidR="00C32935" w:rsidRPr="00C32935">
        <w:rPr>
          <w:rFonts w:asciiTheme="minorHAnsi" w:hAnsiTheme="minorHAnsi"/>
          <w:bCs/>
          <w:lang w:val="en-GB"/>
        </w:rPr>
        <w:t>s</w:t>
      </w:r>
      <w:r w:rsidR="000C025A" w:rsidRPr="00C32935">
        <w:rPr>
          <w:rFonts w:asciiTheme="minorHAnsi" w:hAnsiTheme="minorHAnsi"/>
          <w:bCs/>
          <w:lang w:val="en-GB"/>
        </w:rPr>
        <w:t xml:space="preserve">e </w:t>
      </w:r>
      <w:r w:rsidR="00C32935" w:rsidRPr="00C32935">
        <w:rPr>
          <w:rFonts w:asciiTheme="minorHAnsi" w:hAnsiTheme="minorHAnsi"/>
          <w:bCs/>
          <w:lang w:val="en-GB"/>
        </w:rPr>
        <w:t>subgroups would need to be further negotiated with the sponsor and the Department before PBS listing</w:t>
      </w:r>
      <w:r w:rsidR="00BA586A">
        <w:rPr>
          <w:rFonts w:asciiTheme="minorHAnsi" w:hAnsiTheme="minorHAnsi"/>
          <w:bCs/>
          <w:lang w:val="en-GB"/>
        </w:rPr>
        <w:t>, and advised that th</w:t>
      </w:r>
      <w:r w:rsidR="008E28EA">
        <w:rPr>
          <w:rFonts w:asciiTheme="minorHAnsi" w:hAnsiTheme="minorHAnsi"/>
          <w:bCs/>
          <w:lang w:val="en-GB"/>
        </w:rPr>
        <w:t>e</w:t>
      </w:r>
      <w:r w:rsidR="009A2462">
        <w:rPr>
          <w:rFonts w:asciiTheme="minorHAnsi" w:hAnsiTheme="minorHAnsi"/>
          <w:bCs/>
          <w:lang w:val="en-GB"/>
        </w:rPr>
        <w:t xml:space="preserve"> expenditure</w:t>
      </w:r>
      <w:r w:rsidR="000948E4">
        <w:rPr>
          <w:rFonts w:asciiTheme="minorHAnsi" w:hAnsiTheme="minorHAnsi"/>
          <w:bCs/>
          <w:lang w:val="en-GB"/>
        </w:rPr>
        <w:t xml:space="preserve"> </w:t>
      </w:r>
      <w:r w:rsidR="008E28EA">
        <w:rPr>
          <w:rFonts w:asciiTheme="minorHAnsi" w:hAnsiTheme="minorHAnsi"/>
          <w:bCs/>
          <w:lang w:val="en-GB"/>
        </w:rPr>
        <w:t xml:space="preserve">on dexamethasone implant itself </w:t>
      </w:r>
      <w:r w:rsidR="000948E4">
        <w:rPr>
          <w:rFonts w:asciiTheme="minorHAnsi" w:hAnsiTheme="minorHAnsi"/>
          <w:bCs/>
          <w:lang w:val="en-GB"/>
        </w:rPr>
        <w:t>would be substantially less than that estimated by the submission</w:t>
      </w:r>
      <w:r w:rsidR="00C32935" w:rsidRPr="00C32935">
        <w:rPr>
          <w:rFonts w:asciiTheme="minorHAnsi" w:hAnsiTheme="minorHAnsi"/>
          <w:bCs/>
          <w:lang w:val="en-GB"/>
        </w:rPr>
        <w:t>.</w:t>
      </w:r>
    </w:p>
    <w:p w:rsidR="00C32935" w:rsidRPr="00A70600" w:rsidRDefault="00C32935" w:rsidP="00361734">
      <w:pPr>
        <w:numPr>
          <w:ilvl w:val="1"/>
          <w:numId w:val="1"/>
        </w:numPr>
        <w:spacing w:after="120"/>
        <w:rPr>
          <w:rFonts w:asciiTheme="minorHAnsi" w:hAnsiTheme="minorHAnsi"/>
          <w:bCs/>
          <w:lang w:val="en-GB"/>
        </w:rPr>
      </w:pPr>
      <w:r w:rsidRPr="00C32935">
        <w:rPr>
          <w:rFonts w:asciiTheme="minorHAnsi" w:hAnsiTheme="minorHAnsi"/>
          <w:bCs/>
          <w:lang w:val="en-GB"/>
        </w:rPr>
        <w:t xml:space="preserve">The PBAC considered </w:t>
      </w:r>
      <w:r w:rsidR="00E84F30">
        <w:rPr>
          <w:rFonts w:asciiTheme="minorHAnsi" w:hAnsiTheme="minorHAnsi"/>
          <w:bCs/>
          <w:lang w:val="en-GB"/>
        </w:rPr>
        <w:t xml:space="preserve">that revised </w:t>
      </w:r>
      <w:r w:rsidRPr="00C32935">
        <w:rPr>
          <w:rFonts w:asciiTheme="minorHAnsi" w:hAnsiTheme="minorHAnsi"/>
          <w:bCs/>
          <w:lang w:val="en-GB"/>
        </w:rPr>
        <w:t>expenditure cap</w:t>
      </w:r>
      <w:r w:rsidR="00E84F30">
        <w:rPr>
          <w:rFonts w:asciiTheme="minorHAnsi" w:hAnsiTheme="minorHAnsi"/>
          <w:bCs/>
          <w:lang w:val="en-GB"/>
        </w:rPr>
        <w:t>s</w:t>
      </w:r>
      <w:r w:rsidRPr="00C32935">
        <w:rPr>
          <w:rFonts w:asciiTheme="minorHAnsi" w:hAnsiTheme="minorHAnsi"/>
          <w:bCs/>
          <w:lang w:val="en-GB"/>
        </w:rPr>
        <w:t xml:space="preserve"> should be negotiated, with similar rebate arrangements as currently exist for DMO</w:t>
      </w:r>
      <w:r w:rsidR="007D4CFF">
        <w:rPr>
          <w:rFonts w:asciiTheme="minorHAnsi" w:hAnsiTheme="minorHAnsi"/>
          <w:bCs/>
          <w:lang w:val="en-GB"/>
        </w:rPr>
        <w:t xml:space="preserve">, but taking into account issues raised above to more appropriately </w:t>
      </w:r>
      <w:r w:rsidR="000948E4">
        <w:rPr>
          <w:rFonts w:asciiTheme="minorHAnsi" w:hAnsiTheme="minorHAnsi"/>
          <w:bCs/>
          <w:lang w:val="en-GB"/>
        </w:rPr>
        <w:t>restrict</w:t>
      </w:r>
      <w:r w:rsidR="007D4CFF">
        <w:rPr>
          <w:rFonts w:asciiTheme="minorHAnsi" w:hAnsiTheme="minorHAnsi"/>
          <w:bCs/>
          <w:lang w:val="en-GB"/>
        </w:rPr>
        <w:t xml:space="preserve"> the </w:t>
      </w:r>
      <w:r w:rsidR="00E84F30">
        <w:rPr>
          <w:rFonts w:asciiTheme="minorHAnsi" w:hAnsiTheme="minorHAnsi"/>
          <w:bCs/>
          <w:lang w:val="en-GB"/>
        </w:rPr>
        <w:t xml:space="preserve">RVO </w:t>
      </w:r>
      <w:r w:rsidR="007D4CFF">
        <w:rPr>
          <w:rFonts w:asciiTheme="minorHAnsi" w:hAnsiTheme="minorHAnsi"/>
          <w:bCs/>
          <w:lang w:val="en-GB"/>
        </w:rPr>
        <w:t>population</w:t>
      </w:r>
      <w:r w:rsidRPr="00C32935">
        <w:rPr>
          <w:rFonts w:asciiTheme="minorHAnsi" w:hAnsiTheme="minorHAnsi"/>
          <w:bCs/>
          <w:lang w:val="en-GB"/>
        </w:rPr>
        <w:t xml:space="preserve">. </w:t>
      </w:r>
      <w:r w:rsidR="007D4CFF">
        <w:rPr>
          <w:rFonts w:asciiTheme="minorHAnsi" w:hAnsiTheme="minorHAnsi"/>
          <w:bCs/>
          <w:lang w:val="en-GB"/>
        </w:rPr>
        <w:t>Although not a matter for the Committee, the PBAC noted that the</w:t>
      </w:r>
      <w:r w:rsidRPr="00C32935">
        <w:rPr>
          <w:rFonts w:asciiTheme="minorHAnsi" w:hAnsiTheme="minorHAnsi"/>
          <w:bCs/>
          <w:lang w:val="en-GB"/>
        </w:rPr>
        <w:t xml:space="preserve"> proposed risk share arrangement in the pre-PBAC response </w:t>
      </w:r>
      <w:r w:rsidR="00487EB2">
        <w:rPr>
          <w:rFonts w:asciiTheme="minorHAnsi" w:hAnsiTheme="minorHAnsi"/>
          <w:bCs/>
          <w:noProof/>
          <w:color w:val="000000"/>
          <w:highlight w:val="black"/>
          <w:lang w:val="en-GB"/>
        </w:rPr>
        <w:t>''''''''''''''''''''''''''''''' '''''''''''''''' '''''''' '''''''''''' ''''''''''''''''' ''''' ''''''''''''''''''''''''''''''''' '''''' ''''' '''''''''' ''''''''''' ''''' '''''''''''''''' '''''' ''''''''</w:t>
      </w:r>
      <w:r w:rsidR="00E84F30">
        <w:rPr>
          <w:rFonts w:asciiTheme="minorHAnsi" w:hAnsiTheme="minorHAnsi"/>
          <w:bCs/>
          <w:lang w:val="en-GB"/>
        </w:rPr>
        <w:t>.</w:t>
      </w:r>
    </w:p>
    <w:p w:rsidR="005661AF" w:rsidRPr="00A70600" w:rsidRDefault="005661AF" w:rsidP="00361734">
      <w:pPr>
        <w:numPr>
          <w:ilvl w:val="1"/>
          <w:numId w:val="1"/>
        </w:numPr>
        <w:spacing w:after="120"/>
        <w:rPr>
          <w:rFonts w:asciiTheme="minorHAnsi" w:hAnsiTheme="minorHAnsi"/>
          <w:bCs/>
          <w:lang w:val="en-GB"/>
        </w:rPr>
      </w:pPr>
      <w:r w:rsidRPr="00A70600">
        <w:rPr>
          <w:rFonts w:asciiTheme="minorHAnsi" w:hAnsiTheme="minorHAnsi"/>
          <w:bCs/>
          <w:lang w:val="en-GB"/>
        </w:rPr>
        <w:t xml:space="preserve">The PBAC advised that </w:t>
      </w:r>
      <w:r w:rsidR="00C32935" w:rsidRPr="00A70600">
        <w:rPr>
          <w:rFonts w:asciiTheme="minorHAnsi" w:hAnsiTheme="minorHAnsi"/>
          <w:bCs/>
          <w:lang w:val="en-GB"/>
        </w:rPr>
        <w:t xml:space="preserve">dexamethasone intravitreal injection 700 micrograms </w:t>
      </w:r>
      <w:r w:rsidRPr="00A70600">
        <w:rPr>
          <w:rFonts w:asciiTheme="minorHAnsi" w:hAnsiTheme="minorHAnsi"/>
          <w:bCs/>
          <w:lang w:val="en-GB"/>
        </w:rPr>
        <w:t>is</w:t>
      </w:r>
      <w:r w:rsidR="00C32935" w:rsidRPr="00A70600">
        <w:rPr>
          <w:bCs/>
          <w:lang w:val="en-GB"/>
        </w:rPr>
        <w:t xml:space="preserve"> not suitable for prescribing by nurse practitioners</w:t>
      </w:r>
      <w:r w:rsidR="00E84F30">
        <w:rPr>
          <w:rFonts w:asciiTheme="minorHAnsi" w:hAnsiTheme="minorHAnsi"/>
          <w:bCs/>
          <w:lang w:val="en-GB"/>
        </w:rPr>
        <w:t>.</w:t>
      </w:r>
    </w:p>
    <w:p w:rsidR="00CA0349" w:rsidRPr="00CA0349" w:rsidRDefault="00A70600" w:rsidP="00CA0349">
      <w:pPr>
        <w:numPr>
          <w:ilvl w:val="1"/>
          <w:numId w:val="1"/>
        </w:numPr>
        <w:spacing w:after="120"/>
        <w:rPr>
          <w:rFonts w:asciiTheme="minorHAnsi" w:hAnsiTheme="minorHAnsi"/>
          <w:bCs/>
          <w:lang w:val="en-GB"/>
        </w:rPr>
      </w:pPr>
      <w:r w:rsidRPr="00CA0349">
        <w:rPr>
          <w:rFonts w:asciiTheme="minorHAnsi" w:hAnsiTheme="minorHAnsi"/>
          <w:bCs/>
          <w:lang w:val="en-GB"/>
        </w:rPr>
        <w:t>The PBAC recommended that the Early Supply Rule should apply.</w:t>
      </w:r>
    </w:p>
    <w:p w:rsidR="00A70600" w:rsidRPr="00CA0349" w:rsidRDefault="00A70600" w:rsidP="00CA0349">
      <w:pPr>
        <w:numPr>
          <w:ilvl w:val="1"/>
          <w:numId w:val="1"/>
        </w:numPr>
        <w:spacing w:after="120"/>
        <w:rPr>
          <w:bCs/>
          <w:lang w:val="en-GB"/>
        </w:rPr>
      </w:pPr>
      <w:r w:rsidRPr="00CA0349">
        <w:rPr>
          <w:rFonts w:asciiTheme="minorHAnsi" w:hAnsiTheme="minorHAnsi"/>
          <w:bCs/>
          <w:lang w:val="en-GB"/>
        </w:rPr>
        <w:t>The re-submission is not eligible for an Independent Review, because the PBAC made a positive</w:t>
      </w:r>
      <w:r w:rsidRPr="00CA0349">
        <w:rPr>
          <w:bCs/>
          <w:lang w:val="en-GB"/>
        </w:rPr>
        <w:t xml:space="preserve"> recommendation.</w:t>
      </w:r>
    </w:p>
    <w:p w:rsidR="005661AF" w:rsidRPr="00CA0349" w:rsidRDefault="005661AF" w:rsidP="005661AF">
      <w:pPr>
        <w:spacing w:before="240"/>
        <w:rPr>
          <w:rFonts w:asciiTheme="minorHAnsi" w:hAnsiTheme="minorHAnsi"/>
          <w:b/>
          <w:bCs/>
          <w:lang w:val="en-GB"/>
        </w:rPr>
      </w:pPr>
      <w:r w:rsidRPr="00CA0349">
        <w:rPr>
          <w:rFonts w:asciiTheme="minorHAnsi" w:hAnsiTheme="minorHAnsi"/>
          <w:b/>
          <w:bCs/>
          <w:lang w:val="en-GB"/>
        </w:rPr>
        <w:t>Outcome:</w:t>
      </w:r>
    </w:p>
    <w:p w:rsidR="005661AF" w:rsidRPr="00CA0349" w:rsidRDefault="005661AF" w:rsidP="005661AF">
      <w:pPr>
        <w:rPr>
          <w:rFonts w:asciiTheme="minorHAnsi" w:hAnsiTheme="minorHAnsi"/>
          <w:bCs/>
          <w:lang w:val="en-GB"/>
        </w:rPr>
      </w:pPr>
      <w:r w:rsidRPr="00CA0349">
        <w:rPr>
          <w:rFonts w:asciiTheme="minorHAnsi" w:hAnsiTheme="minorHAnsi"/>
          <w:bCs/>
          <w:lang w:val="en-GB"/>
        </w:rPr>
        <w:t>Recommended</w:t>
      </w:r>
    </w:p>
    <w:p w:rsidR="005661AF" w:rsidRPr="00B132F3" w:rsidRDefault="005661AF" w:rsidP="00D005BF">
      <w:pPr>
        <w:numPr>
          <w:ilvl w:val="0"/>
          <w:numId w:val="1"/>
        </w:numPr>
        <w:spacing w:before="240" w:after="120"/>
        <w:outlineLvl w:val="0"/>
        <w:rPr>
          <w:rFonts w:asciiTheme="minorHAnsi" w:hAnsiTheme="minorHAnsi"/>
          <w:b/>
          <w:bCs/>
          <w:sz w:val="32"/>
          <w:lang w:val="en-GB"/>
        </w:rPr>
      </w:pPr>
      <w:r w:rsidRPr="009B7258">
        <w:rPr>
          <w:rFonts w:asciiTheme="minorHAnsi" w:hAnsiTheme="minorHAnsi"/>
          <w:b/>
          <w:bCs/>
          <w:sz w:val="32"/>
          <w:lang w:val="en-GB"/>
        </w:rPr>
        <w:t>Recommended listing</w:t>
      </w:r>
    </w:p>
    <w:p w:rsidR="005661AF" w:rsidRPr="009B7258" w:rsidRDefault="009B7258" w:rsidP="00361734">
      <w:pPr>
        <w:numPr>
          <w:ilvl w:val="1"/>
          <w:numId w:val="1"/>
        </w:numPr>
        <w:spacing w:after="120"/>
        <w:rPr>
          <w:rFonts w:asciiTheme="minorHAnsi" w:hAnsiTheme="minorHAnsi"/>
          <w:b/>
          <w:bCs/>
        </w:rPr>
      </w:pPr>
      <w:r w:rsidRPr="009B7258">
        <w:rPr>
          <w:rFonts w:asciiTheme="minorHAnsi" w:hAnsiTheme="minorHAnsi"/>
          <w:bCs/>
        </w:rPr>
        <w:t>Add new item:</w:t>
      </w:r>
    </w:p>
    <w:tbl>
      <w:tblPr>
        <w:tblW w:w="4977" w:type="pct"/>
        <w:tblInd w:w="28" w:type="dxa"/>
        <w:tblCellMar>
          <w:left w:w="28" w:type="dxa"/>
          <w:right w:w="28" w:type="dxa"/>
        </w:tblCellMar>
        <w:tblLook w:val="0000" w:firstRow="0" w:lastRow="0" w:firstColumn="0" w:lastColumn="0" w:noHBand="0" w:noVBand="0"/>
      </w:tblPr>
      <w:tblGrid>
        <w:gridCol w:w="1843"/>
        <w:gridCol w:w="1528"/>
        <w:gridCol w:w="1079"/>
        <w:gridCol w:w="837"/>
        <w:gridCol w:w="1512"/>
        <w:gridCol w:w="1139"/>
        <w:gridCol w:w="1103"/>
      </w:tblGrid>
      <w:tr w:rsidR="009169E7" w:rsidRPr="00413860" w:rsidTr="009169E7">
        <w:trPr>
          <w:cantSplit/>
          <w:trHeight w:val="463"/>
        </w:trPr>
        <w:tc>
          <w:tcPr>
            <w:tcW w:w="1864" w:type="pct"/>
            <w:gridSpan w:val="2"/>
            <w:tcBorders>
              <w:top w:val="single" w:sz="4" w:space="0" w:color="auto"/>
              <w:bottom w:val="single" w:sz="4" w:space="0" w:color="auto"/>
            </w:tcBorders>
            <w:vAlign w:val="center"/>
          </w:tcPr>
          <w:p w:rsidR="009169E7" w:rsidRPr="00C7151A" w:rsidRDefault="009169E7" w:rsidP="00932528">
            <w:pPr>
              <w:keepNext/>
              <w:jc w:val="left"/>
              <w:rPr>
                <w:rFonts w:ascii="Arial Narrow" w:hAnsi="Arial Narrow"/>
                <w:b/>
                <w:sz w:val="20"/>
              </w:rPr>
            </w:pPr>
            <w:r w:rsidRPr="00C7151A">
              <w:rPr>
                <w:rFonts w:ascii="Arial Narrow" w:hAnsi="Arial Narrow"/>
                <w:b/>
                <w:sz w:val="20"/>
              </w:rPr>
              <w:t>Name, Restriction,</w:t>
            </w:r>
          </w:p>
          <w:p w:rsidR="009169E7" w:rsidRPr="00C7151A" w:rsidRDefault="009169E7" w:rsidP="00932528">
            <w:pPr>
              <w:keepNext/>
              <w:jc w:val="left"/>
              <w:rPr>
                <w:rFonts w:ascii="Arial Narrow" w:hAnsi="Arial Narrow"/>
                <w:b/>
                <w:sz w:val="20"/>
              </w:rPr>
            </w:pPr>
            <w:r w:rsidRPr="00C7151A">
              <w:rPr>
                <w:rFonts w:ascii="Arial Narrow" w:hAnsi="Arial Narrow"/>
                <w:b/>
                <w:sz w:val="20"/>
              </w:rPr>
              <w:t>Manner of administration and form</w:t>
            </w:r>
          </w:p>
        </w:tc>
        <w:tc>
          <w:tcPr>
            <w:tcW w:w="597" w:type="pct"/>
            <w:tcBorders>
              <w:top w:val="single" w:sz="4" w:space="0" w:color="auto"/>
              <w:bottom w:val="single" w:sz="4" w:space="0" w:color="auto"/>
            </w:tcBorders>
            <w:vAlign w:val="center"/>
          </w:tcPr>
          <w:p w:rsidR="009169E7" w:rsidRPr="00C7151A" w:rsidRDefault="009169E7" w:rsidP="00932528">
            <w:pPr>
              <w:keepNext/>
              <w:jc w:val="center"/>
              <w:rPr>
                <w:rFonts w:ascii="Arial Narrow" w:hAnsi="Arial Narrow"/>
                <w:b/>
                <w:sz w:val="20"/>
              </w:rPr>
            </w:pPr>
            <w:r w:rsidRPr="00C7151A">
              <w:rPr>
                <w:rFonts w:ascii="Arial Narrow" w:hAnsi="Arial Narrow"/>
                <w:b/>
                <w:sz w:val="20"/>
              </w:rPr>
              <w:t>Max.</w:t>
            </w:r>
          </w:p>
          <w:p w:rsidR="009169E7" w:rsidRPr="00C7151A" w:rsidRDefault="009169E7" w:rsidP="00932528">
            <w:pPr>
              <w:keepNext/>
              <w:jc w:val="center"/>
              <w:rPr>
                <w:rFonts w:ascii="Arial Narrow" w:hAnsi="Arial Narrow"/>
                <w:b/>
                <w:sz w:val="20"/>
              </w:rPr>
            </w:pPr>
            <w:r w:rsidRPr="00C7151A">
              <w:rPr>
                <w:rFonts w:ascii="Arial Narrow" w:hAnsi="Arial Narrow"/>
                <w:b/>
                <w:sz w:val="20"/>
              </w:rPr>
              <w:t xml:space="preserve">Qty </w:t>
            </w:r>
          </w:p>
        </w:tc>
        <w:tc>
          <w:tcPr>
            <w:tcW w:w="463" w:type="pct"/>
            <w:tcBorders>
              <w:top w:val="single" w:sz="4" w:space="0" w:color="auto"/>
              <w:bottom w:val="single" w:sz="4" w:space="0" w:color="auto"/>
            </w:tcBorders>
            <w:vAlign w:val="center"/>
          </w:tcPr>
          <w:p w:rsidR="009169E7" w:rsidRPr="00C7151A" w:rsidRDefault="009169E7" w:rsidP="00932528">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9169E7" w:rsidRPr="00C7151A" w:rsidRDefault="009169E7" w:rsidP="00932528">
            <w:pPr>
              <w:keepNext/>
              <w:jc w:val="center"/>
              <w:rPr>
                <w:rFonts w:ascii="Arial Narrow" w:hAnsi="Arial Narrow"/>
                <w:b/>
                <w:sz w:val="20"/>
              </w:rPr>
            </w:pPr>
            <w:r w:rsidRPr="00C7151A">
              <w:rPr>
                <w:rFonts w:ascii="Arial Narrow" w:hAnsi="Arial Narrow"/>
                <w:b/>
                <w:sz w:val="20"/>
              </w:rPr>
              <w:t>Rpts</w:t>
            </w:r>
          </w:p>
        </w:tc>
        <w:tc>
          <w:tcPr>
            <w:tcW w:w="2076" w:type="pct"/>
            <w:gridSpan w:val="3"/>
            <w:tcBorders>
              <w:top w:val="single" w:sz="4" w:space="0" w:color="auto"/>
              <w:bottom w:val="single" w:sz="4" w:space="0" w:color="auto"/>
            </w:tcBorders>
            <w:vAlign w:val="center"/>
          </w:tcPr>
          <w:p w:rsidR="009169E7" w:rsidRPr="00C7151A" w:rsidRDefault="009169E7" w:rsidP="00932528">
            <w:pPr>
              <w:keepNext/>
              <w:jc w:val="center"/>
              <w:rPr>
                <w:rFonts w:ascii="Arial Narrow" w:hAnsi="Arial Narrow"/>
                <w:b/>
                <w:sz w:val="20"/>
                <w:lang w:val="fr-FR"/>
              </w:rPr>
            </w:pPr>
            <w:r w:rsidRPr="00C7151A">
              <w:rPr>
                <w:rFonts w:ascii="Arial Narrow" w:hAnsi="Arial Narrow"/>
                <w:b/>
                <w:sz w:val="20"/>
              </w:rPr>
              <w:t>Proprietary Name and Manufacturer</w:t>
            </w:r>
          </w:p>
        </w:tc>
      </w:tr>
      <w:tr w:rsidR="009169E7" w:rsidRPr="00413860" w:rsidTr="00932528">
        <w:trPr>
          <w:cantSplit/>
          <w:trHeight w:val="567"/>
        </w:trPr>
        <w:tc>
          <w:tcPr>
            <w:tcW w:w="1864" w:type="pct"/>
            <w:gridSpan w:val="2"/>
            <w:vAlign w:val="center"/>
          </w:tcPr>
          <w:p w:rsidR="009169E7" w:rsidRDefault="009169E7" w:rsidP="00932528">
            <w:pPr>
              <w:keepNext/>
              <w:jc w:val="left"/>
              <w:rPr>
                <w:rFonts w:ascii="Arial Narrow" w:hAnsi="Arial Narrow"/>
                <w:smallCaps/>
                <w:sz w:val="20"/>
              </w:rPr>
            </w:pPr>
          </w:p>
          <w:p w:rsidR="009169E7" w:rsidRDefault="009169E7" w:rsidP="00932528">
            <w:pPr>
              <w:keepNext/>
              <w:jc w:val="left"/>
              <w:rPr>
                <w:rFonts w:ascii="Arial Narrow" w:hAnsi="Arial Narrow"/>
                <w:smallCaps/>
                <w:sz w:val="20"/>
              </w:rPr>
            </w:pPr>
            <w:r>
              <w:rPr>
                <w:rFonts w:ascii="Arial Narrow" w:hAnsi="Arial Narrow"/>
                <w:smallCaps/>
                <w:sz w:val="20"/>
              </w:rPr>
              <w:t xml:space="preserve">Dexamethasone intravitreal implant, </w:t>
            </w:r>
          </w:p>
          <w:p w:rsidR="009169E7" w:rsidRPr="00EF0F01" w:rsidRDefault="009169E7" w:rsidP="00932528">
            <w:pPr>
              <w:keepNext/>
              <w:jc w:val="left"/>
              <w:rPr>
                <w:rFonts w:ascii="Arial Narrow" w:hAnsi="Arial Narrow"/>
                <w:sz w:val="20"/>
              </w:rPr>
            </w:pPr>
            <w:r w:rsidRPr="00EF0F01">
              <w:rPr>
                <w:rFonts w:ascii="Arial Narrow" w:hAnsi="Arial Narrow"/>
                <w:sz w:val="20"/>
              </w:rPr>
              <w:t>700 microgram</w:t>
            </w:r>
          </w:p>
          <w:p w:rsidR="009169E7" w:rsidRDefault="009169E7" w:rsidP="00932528">
            <w:pPr>
              <w:keepNext/>
              <w:jc w:val="left"/>
              <w:rPr>
                <w:rFonts w:ascii="Arial Narrow" w:hAnsi="Arial Narrow"/>
                <w:sz w:val="20"/>
              </w:rPr>
            </w:pPr>
          </w:p>
          <w:p w:rsidR="009169E7" w:rsidRPr="00591957" w:rsidRDefault="009169E7" w:rsidP="00932528">
            <w:pPr>
              <w:keepNext/>
              <w:jc w:val="left"/>
              <w:rPr>
                <w:rFonts w:ascii="Arial Narrow" w:hAnsi="Arial Narrow"/>
                <w:sz w:val="20"/>
              </w:rPr>
            </w:pPr>
          </w:p>
        </w:tc>
        <w:tc>
          <w:tcPr>
            <w:tcW w:w="597" w:type="pct"/>
            <w:vAlign w:val="center"/>
          </w:tcPr>
          <w:p w:rsidR="009169E7" w:rsidRPr="00591957" w:rsidRDefault="009169E7" w:rsidP="00932528">
            <w:pPr>
              <w:keepNext/>
              <w:jc w:val="center"/>
              <w:rPr>
                <w:rFonts w:ascii="Arial Narrow" w:hAnsi="Arial Narrow"/>
                <w:sz w:val="20"/>
              </w:rPr>
            </w:pPr>
            <w:r>
              <w:rPr>
                <w:rFonts w:ascii="Arial Narrow" w:hAnsi="Arial Narrow"/>
                <w:sz w:val="20"/>
              </w:rPr>
              <w:t>1</w:t>
            </w:r>
          </w:p>
        </w:tc>
        <w:tc>
          <w:tcPr>
            <w:tcW w:w="463" w:type="pct"/>
            <w:vAlign w:val="center"/>
          </w:tcPr>
          <w:p w:rsidR="009169E7" w:rsidRPr="00591957" w:rsidRDefault="009169E7" w:rsidP="00932528">
            <w:pPr>
              <w:keepNext/>
              <w:jc w:val="center"/>
              <w:rPr>
                <w:rFonts w:ascii="Arial Narrow" w:hAnsi="Arial Narrow"/>
                <w:sz w:val="20"/>
              </w:rPr>
            </w:pPr>
            <w:r>
              <w:rPr>
                <w:rFonts w:ascii="Arial Narrow" w:hAnsi="Arial Narrow"/>
                <w:sz w:val="20"/>
              </w:rPr>
              <w:t>1</w:t>
            </w:r>
          </w:p>
        </w:tc>
        <w:tc>
          <w:tcPr>
            <w:tcW w:w="836" w:type="pct"/>
            <w:vAlign w:val="center"/>
          </w:tcPr>
          <w:p w:rsidR="009169E7" w:rsidRPr="00591957" w:rsidRDefault="009169E7" w:rsidP="00932528">
            <w:pPr>
              <w:keepNext/>
              <w:jc w:val="center"/>
              <w:rPr>
                <w:rFonts w:ascii="Arial Narrow" w:hAnsi="Arial Narrow"/>
                <w:sz w:val="20"/>
              </w:rPr>
            </w:pPr>
            <w:r w:rsidRPr="00F1629D">
              <w:rPr>
                <w:rFonts w:ascii="Arial Narrow" w:hAnsi="Arial Narrow"/>
                <w:sz w:val="20"/>
              </w:rPr>
              <w:t>Ozurdex</w:t>
            </w:r>
            <w:r w:rsidRPr="00F1629D">
              <w:rPr>
                <w:rFonts w:ascii="Arial Narrow" w:hAnsi="Arial Narrow"/>
                <w:sz w:val="20"/>
                <w:vertAlign w:val="superscript"/>
              </w:rPr>
              <w:t>®</w:t>
            </w:r>
          </w:p>
        </w:tc>
        <w:tc>
          <w:tcPr>
            <w:tcW w:w="630" w:type="pct"/>
            <w:vAlign w:val="center"/>
          </w:tcPr>
          <w:p w:rsidR="009169E7" w:rsidRPr="00591957" w:rsidRDefault="009169E7" w:rsidP="00932528">
            <w:pPr>
              <w:keepNext/>
              <w:jc w:val="center"/>
              <w:rPr>
                <w:rFonts w:ascii="Arial Narrow" w:hAnsi="Arial Narrow"/>
                <w:sz w:val="20"/>
              </w:rPr>
            </w:pPr>
            <w:r w:rsidRPr="00F1629D">
              <w:rPr>
                <w:rFonts w:ascii="Arial Narrow" w:hAnsi="Arial Narrow"/>
                <w:sz w:val="20"/>
              </w:rPr>
              <w:t>Allergan</w:t>
            </w:r>
          </w:p>
        </w:tc>
        <w:tc>
          <w:tcPr>
            <w:tcW w:w="610" w:type="pct"/>
            <w:vAlign w:val="center"/>
          </w:tcPr>
          <w:p w:rsidR="009169E7" w:rsidRPr="00591957" w:rsidRDefault="009169E7" w:rsidP="009169E7">
            <w:pPr>
              <w:keepNext/>
              <w:jc w:val="center"/>
              <w:rPr>
                <w:rFonts w:ascii="Arial Narrow" w:hAnsi="Arial Narrow"/>
                <w:sz w:val="20"/>
              </w:rPr>
            </w:pP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9169E7" w:rsidRPr="00A30A33" w:rsidRDefault="009169E7" w:rsidP="00932528">
            <w:pPr>
              <w:pStyle w:val="Tabletext"/>
              <w:rPr>
                <w:lang w:eastAsia="en-AU"/>
              </w:rPr>
            </w:pPr>
            <w:r>
              <w:rPr>
                <w:lang w:eastAsia="en-AU"/>
              </w:rPr>
              <w:t>PBS indication:</w:t>
            </w:r>
          </w:p>
        </w:tc>
        <w:tc>
          <w:tcPr>
            <w:tcW w:w="3981" w:type="pct"/>
            <w:gridSpan w:val="6"/>
          </w:tcPr>
          <w:p w:rsidR="009169E7" w:rsidRPr="00A30A33" w:rsidRDefault="009169E7" w:rsidP="00932528">
            <w:pPr>
              <w:pStyle w:val="Tabletext"/>
              <w:rPr>
                <w:lang w:eastAsia="en-AU"/>
              </w:rPr>
            </w:pPr>
            <w:r w:rsidRPr="000C3AB6">
              <w:rPr>
                <w:rFonts w:cstheme="minorHAnsi"/>
                <w:szCs w:val="20"/>
              </w:rPr>
              <w:t>Branch retinal vein occlusion with macular oedema</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9169E7" w:rsidRPr="00A30A33" w:rsidRDefault="009169E7" w:rsidP="00932528">
            <w:pPr>
              <w:pStyle w:val="Tabletext"/>
              <w:rPr>
                <w:lang w:eastAsia="en-AU"/>
              </w:rPr>
            </w:pPr>
            <w:r>
              <w:rPr>
                <w:lang w:eastAsia="en-AU"/>
              </w:rPr>
              <w:t>Treatment phase:</w:t>
            </w:r>
          </w:p>
        </w:tc>
        <w:tc>
          <w:tcPr>
            <w:tcW w:w="3981" w:type="pct"/>
            <w:gridSpan w:val="6"/>
          </w:tcPr>
          <w:p w:rsidR="009169E7" w:rsidRPr="00A30A33" w:rsidRDefault="009169E7" w:rsidP="00932528">
            <w:pPr>
              <w:pStyle w:val="Tabletext"/>
              <w:rPr>
                <w:lang w:eastAsia="en-AU"/>
              </w:rPr>
            </w:pPr>
            <w:r w:rsidRPr="000C3AB6">
              <w:rPr>
                <w:rFonts w:cstheme="minorHAnsi"/>
                <w:szCs w:val="20"/>
              </w:rPr>
              <w:t>Initial treatment</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9169E7" w:rsidRPr="00A30A33" w:rsidRDefault="009169E7" w:rsidP="00932528">
            <w:pPr>
              <w:pStyle w:val="Tabletext"/>
              <w:rPr>
                <w:lang w:eastAsia="en-AU"/>
              </w:rPr>
            </w:pPr>
            <w:r w:rsidRPr="00A30A33">
              <w:rPr>
                <w:lang w:eastAsia="en-AU"/>
              </w:rPr>
              <w:t>Restriction</w:t>
            </w:r>
            <w:r>
              <w:rPr>
                <w:lang w:eastAsia="en-AU"/>
              </w:rPr>
              <w:t>:</w:t>
            </w:r>
          </w:p>
        </w:tc>
        <w:tc>
          <w:tcPr>
            <w:tcW w:w="3981" w:type="pct"/>
            <w:gridSpan w:val="6"/>
            <w:tcBorders>
              <w:top w:val="single" w:sz="4" w:space="0" w:color="auto"/>
              <w:left w:val="single" w:sz="4" w:space="0" w:color="auto"/>
              <w:bottom w:val="single" w:sz="4" w:space="0" w:color="auto"/>
              <w:right w:val="single" w:sz="4" w:space="0" w:color="auto"/>
            </w:tcBorders>
          </w:tcPr>
          <w:p w:rsidR="009169E7" w:rsidRPr="00EF0F01" w:rsidRDefault="009169E7" w:rsidP="00932528">
            <w:pPr>
              <w:pStyle w:val="Tabletext"/>
              <w:rPr>
                <w:lang w:eastAsia="en-AU"/>
              </w:rPr>
            </w:pPr>
            <w:r w:rsidRPr="00EF0F01">
              <w:rPr>
                <w:lang w:eastAsia="en-AU"/>
              </w:rPr>
              <w:fldChar w:fldCharType="begin">
                <w:ffData>
                  <w:name w:val=""/>
                  <w:enabled/>
                  <w:calcOnExit w:val="0"/>
                  <w:checkBox>
                    <w:sizeAuto/>
                    <w:default w:val="1"/>
                  </w:checkBox>
                </w:ffData>
              </w:fldChar>
            </w:r>
            <w:r w:rsidRPr="00EF0F01">
              <w:rPr>
                <w:lang w:eastAsia="en-AU"/>
              </w:rPr>
              <w:instrText xml:space="preserve"> FORMCHECKBOX </w:instrText>
            </w:r>
            <w:r w:rsidR="00487EB2">
              <w:rPr>
                <w:lang w:eastAsia="en-AU"/>
              </w:rPr>
            </w:r>
            <w:r w:rsidR="00487EB2">
              <w:rPr>
                <w:lang w:eastAsia="en-AU"/>
              </w:rPr>
              <w:fldChar w:fldCharType="separate"/>
            </w:r>
            <w:r w:rsidRPr="00EF0F01">
              <w:rPr>
                <w:lang w:eastAsia="en-AU"/>
              </w:rPr>
              <w:fldChar w:fldCharType="end"/>
            </w:r>
            <w:r w:rsidRPr="00EF0F01">
              <w:rPr>
                <w:lang w:eastAsia="en-AU"/>
              </w:rPr>
              <w:t>Authority Required - In Writing</w:t>
            </w:r>
          </w:p>
          <w:p w:rsidR="009169E7" w:rsidRPr="00A30A33" w:rsidRDefault="009169E7" w:rsidP="00932528">
            <w:pPr>
              <w:pStyle w:val="Tabletext"/>
              <w:rPr>
                <w:lang w:eastAsia="en-AU"/>
              </w:rPr>
            </w:pPr>
            <w:r>
              <w:rPr>
                <w:lang w:eastAsia="en-AU"/>
              </w:rPr>
              <w:fldChar w:fldCharType="begin">
                <w:ffData>
                  <w:name w:val="Check3"/>
                  <w:enabled/>
                  <w:calcOnExit w:val="0"/>
                  <w:checkBox>
                    <w:sizeAuto/>
                    <w:default w:val="0"/>
                  </w:checkBox>
                </w:ffData>
              </w:fldChar>
            </w:r>
            <w:r>
              <w:rPr>
                <w:lang w:eastAsia="en-AU"/>
              </w:rPr>
              <w:instrText xml:space="preserve"> </w:instrText>
            </w:r>
            <w:bookmarkStart w:id="19" w:name="Check3"/>
            <w:r>
              <w:rPr>
                <w:lang w:eastAsia="en-AU"/>
              </w:rPr>
              <w:instrText xml:space="preserve">FORMCHECKBOX </w:instrText>
            </w:r>
            <w:r w:rsidR="00487EB2">
              <w:rPr>
                <w:lang w:eastAsia="en-AU"/>
              </w:rPr>
            </w:r>
            <w:r w:rsidR="00487EB2">
              <w:rPr>
                <w:lang w:eastAsia="en-AU"/>
              </w:rPr>
              <w:fldChar w:fldCharType="separate"/>
            </w:r>
            <w:r>
              <w:rPr>
                <w:lang w:eastAsia="en-AU"/>
              </w:rPr>
              <w:fldChar w:fldCharType="end"/>
            </w:r>
            <w:bookmarkEnd w:id="19"/>
            <w:r w:rsidRPr="00EF0F01">
              <w:rPr>
                <w:lang w:eastAsia="en-AU"/>
              </w:rPr>
              <w:t>Authority Required - Telephone</w:t>
            </w:r>
          </w:p>
        </w:tc>
      </w:tr>
      <w:tr w:rsidR="009169E7" w:rsidRPr="001A632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9169E7" w:rsidRPr="00A30A33" w:rsidRDefault="009169E7" w:rsidP="00932528">
            <w:pPr>
              <w:pStyle w:val="Tabletext"/>
              <w:rPr>
                <w:lang w:eastAsia="en-AU"/>
              </w:rPr>
            </w:pPr>
            <w:r w:rsidRPr="00A30A33">
              <w:rPr>
                <w:lang w:eastAsia="en-AU"/>
              </w:rPr>
              <w:t>Treatment criteria</w:t>
            </w:r>
            <w:r>
              <w:rPr>
                <w:lang w:eastAsia="en-AU"/>
              </w:rPr>
              <w:t>:</w:t>
            </w:r>
          </w:p>
        </w:tc>
        <w:tc>
          <w:tcPr>
            <w:tcW w:w="3981" w:type="pct"/>
            <w:gridSpan w:val="6"/>
            <w:tcBorders>
              <w:top w:val="single" w:sz="4" w:space="0" w:color="auto"/>
              <w:left w:val="single" w:sz="4" w:space="0" w:color="auto"/>
              <w:bottom w:val="single" w:sz="4" w:space="0" w:color="auto"/>
              <w:right w:val="single" w:sz="4" w:space="0" w:color="auto"/>
            </w:tcBorders>
          </w:tcPr>
          <w:p w:rsidR="009169E7" w:rsidRPr="001A6323" w:rsidRDefault="009169E7" w:rsidP="00932528">
            <w:pPr>
              <w:pStyle w:val="Tabletext"/>
              <w:rPr>
                <w:lang w:eastAsia="en-AU"/>
              </w:rPr>
            </w:pPr>
            <w:r w:rsidRPr="001A6323">
              <w:rPr>
                <w:lang w:eastAsia="en-AU"/>
              </w:rPr>
              <w:t>Patient must be treated by an ophthalmologist or in consultation with an ophthalmologist.</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9169E7" w:rsidRPr="00A30A33" w:rsidRDefault="009169E7" w:rsidP="00932528">
            <w:pPr>
              <w:pStyle w:val="Tabletext"/>
              <w:rPr>
                <w:lang w:eastAsia="en-AU"/>
              </w:rPr>
            </w:pPr>
            <w:r w:rsidRPr="00A30A33">
              <w:rPr>
                <w:lang w:eastAsia="en-AU"/>
              </w:rPr>
              <w:t>Clinical criteria</w:t>
            </w:r>
            <w:r>
              <w:rPr>
                <w:lang w:eastAsia="en-AU"/>
              </w:rPr>
              <w:t>:</w:t>
            </w:r>
          </w:p>
        </w:tc>
        <w:tc>
          <w:tcPr>
            <w:tcW w:w="3981" w:type="pct"/>
            <w:gridSpan w:val="6"/>
            <w:tcBorders>
              <w:top w:val="single" w:sz="4" w:space="0" w:color="auto"/>
              <w:left w:val="single" w:sz="4" w:space="0" w:color="auto"/>
              <w:bottom w:val="single" w:sz="4" w:space="0" w:color="auto"/>
              <w:right w:val="single" w:sz="4" w:space="0" w:color="auto"/>
            </w:tcBorders>
          </w:tcPr>
          <w:p w:rsidR="009169E7" w:rsidRPr="00EF0F01" w:rsidRDefault="009169E7" w:rsidP="00932528">
            <w:pPr>
              <w:pStyle w:val="Tabletext"/>
              <w:rPr>
                <w:lang w:eastAsia="en-AU"/>
              </w:rPr>
            </w:pPr>
            <w:r w:rsidRPr="00EF0F01">
              <w:rPr>
                <w:lang w:eastAsia="en-AU"/>
              </w:rPr>
              <w:t xml:space="preserve">Patient must have visual impairment due to macular oedema secondary to branched retinal vein occlusion (BRVO), </w:t>
            </w:r>
            <w:r w:rsidRPr="00EF0F01">
              <w:rPr>
                <w:b/>
                <w:lang w:eastAsia="en-AU"/>
              </w:rPr>
              <w:t>AND</w:t>
            </w:r>
          </w:p>
          <w:p w:rsidR="009169E7" w:rsidRDefault="009169E7" w:rsidP="00932528">
            <w:pPr>
              <w:pStyle w:val="Tabletext"/>
              <w:rPr>
                <w:lang w:eastAsia="en-AU"/>
              </w:rPr>
            </w:pPr>
          </w:p>
          <w:p w:rsidR="009169E7" w:rsidRPr="00EF0F01" w:rsidRDefault="009169E7" w:rsidP="00932528">
            <w:pPr>
              <w:pStyle w:val="Tabletext"/>
              <w:rPr>
                <w:lang w:eastAsia="en-AU"/>
              </w:rPr>
            </w:pPr>
            <w:r w:rsidRPr="00EF0F01">
              <w:rPr>
                <w:lang w:eastAsia="en-AU"/>
              </w:rPr>
              <w:t xml:space="preserve">Patient must have documented visual impairment defined as a best-corrected visual acuity score between 73 and 20 letters based on the early treatment diabetic retinopathy study chart administered at a distance of 4 metres (approximate Snellen equivalent 20/40 to 20/400), in the eye proposed for treatment, </w:t>
            </w:r>
            <w:r w:rsidRPr="00EF0F01">
              <w:rPr>
                <w:b/>
                <w:lang w:eastAsia="en-AU"/>
              </w:rPr>
              <w:t>AND</w:t>
            </w:r>
          </w:p>
          <w:p w:rsidR="009169E7" w:rsidRDefault="009169E7" w:rsidP="00932528">
            <w:pPr>
              <w:pStyle w:val="Tabletext"/>
              <w:rPr>
                <w:lang w:eastAsia="en-AU"/>
              </w:rPr>
            </w:pPr>
          </w:p>
          <w:p w:rsidR="009169E7" w:rsidRPr="00EF0F01" w:rsidRDefault="009169E7" w:rsidP="00932528">
            <w:pPr>
              <w:pStyle w:val="Tabletext"/>
              <w:rPr>
                <w:lang w:eastAsia="en-AU"/>
              </w:rPr>
            </w:pPr>
            <w:r w:rsidRPr="00EF0F01">
              <w:rPr>
                <w:lang w:eastAsia="en-AU"/>
              </w:rPr>
              <w:t>The condition must be diagnosed by optical coherence tomography; OR</w:t>
            </w:r>
          </w:p>
          <w:p w:rsidR="009169E7" w:rsidRPr="00EF0F01" w:rsidRDefault="009169E7" w:rsidP="00932528">
            <w:pPr>
              <w:pStyle w:val="Tabletext"/>
              <w:rPr>
                <w:lang w:eastAsia="en-AU"/>
              </w:rPr>
            </w:pPr>
            <w:r w:rsidRPr="00EF0F01">
              <w:rPr>
                <w:lang w:eastAsia="en-AU"/>
              </w:rPr>
              <w:t xml:space="preserve">The condition must be diagnosed by fluorescein angiography, </w:t>
            </w:r>
            <w:r w:rsidRPr="00EF0F01">
              <w:rPr>
                <w:b/>
                <w:lang w:eastAsia="en-AU"/>
              </w:rPr>
              <w:t>AND</w:t>
            </w:r>
          </w:p>
          <w:p w:rsidR="009169E7" w:rsidRDefault="009169E7" w:rsidP="00932528">
            <w:pPr>
              <w:pStyle w:val="Tabletext"/>
              <w:rPr>
                <w:lang w:eastAsia="en-AU"/>
              </w:rPr>
            </w:pPr>
          </w:p>
          <w:p w:rsidR="009169E7" w:rsidRPr="00EF0F01" w:rsidRDefault="009169E7" w:rsidP="00932528">
            <w:pPr>
              <w:pStyle w:val="Tabletext"/>
              <w:rPr>
                <w:lang w:eastAsia="en-AU"/>
              </w:rPr>
            </w:pPr>
            <w:r w:rsidRPr="00EF0F01">
              <w:rPr>
                <w:lang w:eastAsia="en-AU"/>
              </w:rPr>
              <w:t>Patient must have a contraindication to vascular endothelial growth factor (VEGF) inhibitors; OR</w:t>
            </w:r>
          </w:p>
          <w:p w:rsidR="009169E7" w:rsidRPr="00EF0F01" w:rsidRDefault="009169E7" w:rsidP="00932528">
            <w:pPr>
              <w:pStyle w:val="Tabletext"/>
              <w:rPr>
                <w:lang w:eastAsia="en-AU"/>
              </w:rPr>
            </w:pPr>
            <w:r w:rsidRPr="00EF0F01">
              <w:rPr>
                <w:lang w:eastAsia="en-AU"/>
              </w:rPr>
              <w:t xml:space="preserve">Patient must have failed prior treatment with VEGF inhibitors, </w:t>
            </w:r>
            <w:r w:rsidRPr="00EF0F01">
              <w:rPr>
                <w:b/>
                <w:lang w:eastAsia="en-AU"/>
              </w:rPr>
              <w:t>AND</w:t>
            </w:r>
          </w:p>
          <w:p w:rsidR="009169E7" w:rsidRDefault="009169E7" w:rsidP="00932528">
            <w:pPr>
              <w:pStyle w:val="Tabletext"/>
              <w:rPr>
                <w:lang w:eastAsia="en-AU"/>
              </w:rPr>
            </w:pPr>
          </w:p>
          <w:p w:rsidR="009169E7" w:rsidRPr="00A30A33" w:rsidRDefault="009169E7" w:rsidP="00932528">
            <w:pPr>
              <w:pStyle w:val="Tabletext"/>
              <w:rPr>
                <w:lang w:eastAsia="en-AU"/>
              </w:rPr>
            </w:pPr>
            <w:r w:rsidRPr="00EF0F01">
              <w:rPr>
                <w:lang w:eastAsia="en-AU"/>
              </w:rPr>
              <w:t>The treatment must be the sole PBS-subsidised therapy for this condition.</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bottom w:val="single" w:sz="4" w:space="0" w:color="auto"/>
            </w:tcBorders>
          </w:tcPr>
          <w:p w:rsidR="009169E7" w:rsidRPr="00A30A33" w:rsidRDefault="009169E7" w:rsidP="00932528">
            <w:pPr>
              <w:pStyle w:val="Tabletext"/>
              <w:rPr>
                <w:lang w:eastAsia="en-AU"/>
              </w:rPr>
            </w:pPr>
            <w:r w:rsidRPr="000C3AB6">
              <w:t>Prescriber Instructions</w:t>
            </w:r>
          </w:p>
        </w:tc>
        <w:tc>
          <w:tcPr>
            <w:tcW w:w="3981" w:type="pct"/>
            <w:gridSpan w:val="6"/>
            <w:tcBorders>
              <w:bottom w:val="single" w:sz="4" w:space="0" w:color="auto"/>
            </w:tcBorders>
          </w:tcPr>
          <w:p w:rsidR="009169E7" w:rsidRPr="00E27A9F" w:rsidRDefault="009169E7" w:rsidP="00932528">
            <w:pPr>
              <w:pStyle w:val="Tabletext"/>
            </w:pPr>
            <w:r w:rsidRPr="00E27A9F">
              <w:t>Authority approval for initial treatment of each eye must be sought.</w:t>
            </w:r>
          </w:p>
          <w:p w:rsidR="009169E7" w:rsidRPr="00E27A9F" w:rsidRDefault="009169E7" w:rsidP="00932528">
            <w:pPr>
              <w:pStyle w:val="Tabletext"/>
            </w:pPr>
            <w:r w:rsidRPr="00E27A9F">
              <w:t>The first authority application for each eye must be made in writing or by telephone.</w:t>
            </w:r>
          </w:p>
          <w:p w:rsidR="009169E7" w:rsidRPr="00E27A9F" w:rsidRDefault="009169E7" w:rsidP="00932528">
            <w:pPr>
              <w:pStyle w:val="Tabletext"/>
            </w:pPr>
            <w:r w:rsidRPr="00E27A9F">
              <w:t>A written application must include:</w:t>
            </w:r>
          </w:p>
          <w:p w:rsidR="009169E7" w:rsidRPr="00E27A9F" w:rsidRDefault="009169E7" w:rsidP="00932528">
            <w:pPr>
              <w:pStyle w:val="Tabletext"/>
              <w:numPr>
                <w:ilvl w:val="0"/>
                <w:numId w:val="10"/>
              </w:numPr>
              <w:ind w:left="256" w:hanging="219"/>
            </w:pPr>
            <w:r w:rsidRPr="00E27A9F">
              <w:t>a completed authority prescription form;</w:t>
            </w:r>
          </w:p>
          <w:p w:rsidR="009169E7" w:rsidRDefault="009169E7" w:rsidP="00932528">
            <w:pPr>
              <w:pStyle w:val="Tabletext"/>
              <w:numPr>
                <w:ilvl w:val="0"/>
                <w:numId w:val="10"/>
              </w:numPr>
              <w:ind w:left="256" w:hanging="219"/>
            </w:pPr>
            <w:r w:rsidRPr="00E27A9F">
              <w:t>a completed Retinal Vein Occlusion Initial PBS authority application Supporting information form; and</w:t>
            </w:r>
          </w:p>
          <w:p w:rsidR="009169E7" w:rsidRPr="00E27A9F" w:rsidRDefault="009169E7" w:rsidP="00932528">
            <w:pPr>
              <w:pStyle w:val="Tabletext"/>
              <w:numPr>
                <w:ilvl w:val="0"/>
                <w:numId w:val="10"/>
              </w:numPr>
              <w:ind w:left="256" w:hanging="219"/>
            </w:pPr>
            <w:r w:rsidRPr="00E27A9F">
              <w:t>a copy of the optical coherence tomography or fluorescein angiogram report.</w:t>
            </w:r>
          </w:p>
          <w:p w:rsidR="009169E7" w:rsidRPr="00A30A33" w:rsidRDefault="009169E7" w:rsidP="00932528">
            <w:pPr>
              <w:pStyle w:val="Tabletext"/>
              <w:rPr>
                <w:color w:val="000000"/>
                <w:szCs w:val="24"/>
                <w:lang w:eastAsia="en-AU"/>
              </w:rPr>
            </w:pPr>
            <w:r w:rsidRPr="00E27A9F">
              <w:t xml:space="preserve">A telephone application must be made following submission by facsimile of a copy of a completed Retinal Vein Occlusion Initial PBS authority application Supporting information form and a copy of the optical coherence tomography or fluorescein </w:t>
            </w:r>
            <w:r>
              <w:t>angiogram report.</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rsidR="009169E7" w:rsidRPr="00A30A33" w:rsidRDefault="009169E7" w:rsidP="00932528">
            <w:pPr>
              <w:pStyle w:val="Tabletext"/>
              <w:rPr>
                <w:lang w:eastAsia="en-AU"/>
              </w:rPr>
            </w:pPr>
            <w:r w:rsidRPr="000C3AB6">
              <w:t>Administrative Advice</w:t>
            </w:r>
          </w:p>
        </w:tc>
        <w:tc>
          <w:tcPr>
            <w:tcW w:w="3981" w:type="pct"/>
            <w:gridSpan w:val="6"/>
            <w:tcBorders>
              <w:top w:val="single" w:sz="4" w:space="0" w:color="auto"/>
              <w:left w:val="single" w:sz="4" w:space="0" w:color="auto"/>
              <w:bottom w:val="single" w:sz="4" w:space="0" w:color="auto"/>
              <w:right w:val="single" w:sz="4" w:space="0" w:color="auto"/>
            </w:tcBorders>
          </w:tcPr>
          <w:p w:rsidR="009169E7" w:rsidRPr="00E27A9F" w:rsidRDefault="009169E7" w:rsidP="00932528">
            <w:pPr>
              <w:pStyle w:val="Tabletext"/>
            </w:pPr>
            <w:r w:rsidRPr="00F66D4D">
              <w:t>Note</w:t>
            </w:r>
            <w:r>
              <w:t xml:space="preserve">: </w:t>
            </w:r>
            <w:r w:rsidRPr="00E27A9F">
              <w:t>No increase in the maximum quantity or number of units may be authorised.</w:t>
            </w:r>
          </w:p>
          <w:p w:rsidR="009169E7" w:rsidRPr="00A30A33" w:rsidRDefault="009169E7" w:rsidP="00932528">
            <w:pPr>
              <w:pStyle w:val="Tabletext"/>
              <w:rPr>
                <w:color w:val="000000"/>
                <w:szCs w:val="24"/>
                <w:lang w:eastAsia="en-AU"/>
              </w:rPr>
            </w:pPr>
            <w:r w:rsidRPr="00F66D4D">
              <w:t>Note</w:t>
            </w:r>
            <w:r>
              <w:t xml:space="preserve">: </w:t>
            </w:r>
            <w:r w:rsidRPr="00F66D4D">
              <w:t>No increase in the maximum number of repeats may be authorised.</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tcPr>
          <w:p w:rsidR="009169E7" w:rsidRPr="000C3AB6" w:rsidRDefault="009169E7" w:rsidP="00932528">
            <w:pPr>
              <w:pStyle w:val="Tabletext"/>
            </w:pPr>
          </w:p>
        </w:tc>
        <w:tc>
          <w:tcPr>
            <w:tcW w:w="3981" w:type="pct"/>
            <w:gridSpan w:val="6"/>
            <w:tcBorders>
              <w:top w:val="single" w:sz="4" w:space="0" w:color="auto"/>
              <w:left w:val="single" w:sz="4" w:space="0" w:color="auto"/>
              <w:bottom w:val="single" w:sz="4" w:space="0" w:color="auto"/>
              <w:right w:val="single" w:sz="4" w:space="0" w:color="auto"/>
            </w:tcBorders>
          </w:tcPr>
          <w:p w:rsidR="009169E7" w:rsidRDefault="009169E7" w:rsidP="00ED37B5">
            <w:pPr>
              <w:pStyle w:val="Tabletext"/>
            </w:pPr>
            <w:r>
              <w:t xml:space="preserve">Any queries concerning the arrangements to prescribe may be directed to the Department of Human Services on 1800 700 270 (hours of operation 8 a.m. to 5 p.m. EST Monday to Friday). </w:t>
            </w:r>
          </w:p>
          <w:p w:rsidR="009169E7" w:rsidRDefault="009169E7" w:rsidP="00ED37B5">
            <w:pPr>
              <w:pStyle w:val="Tabletext"/>
            </w:pPr>
          </w:p>
          <w:p w:rsidR="009169E7" w:rsidRDefault="009169E7" w:rsidP="00ED37B5">
            <w:pPr>
              <w:pStyle w:val="Tabletext"/>
            </w:pPr>
            <w:r>
              <w:t xml:space="preserve">Prescribing information (including Authority Application forms and other relevant documentation as applicable) is available on the Department of Human Services website at www.humanservices.gov.au </w:t>
            </w:r>
          </w:p>
          <w:p w:rsidR="009169E7" w:rsidRDefault="009169E7" w:rsidP="00ED37B5">
            <w:pPr>
              <w:pStyle w:val="Tabletext"/>
            </w:pPr>
          </w:p>
          <w:p w:rsidR="009169E7" w:rsidRDefault="009169E7" w:rsidP="00ED37B5">
            <w:pPr>
              <w:pStyle w:val="Tabletext"/>
            </w:pPr>
            <w:r>
              <w:t xml:space="preserve">Applications for authority to prescribe should be forwarded to: </w:t>
            </w:r>
          </w:p>
          <w:p w:rsidR="009169E7" w:rsidRDefault="009169E7" w:rsidP="00ED37B5">
            <w:pPr>
              <w:pStyle w:val="Tabletext"/>
            </w:pPr>
            <w:r>
              <w:t>Department of Human Services</w:t>
            </w:r>
          </w:p>
          <w:p w:rsidR="009169E7" w:rsidRDefault="009169E7" w:rsidP="00ED37B5">
            <w:pPr>
              <w:pStyle w:val="Tabletext"/>
            </w:pPr>
            <w:r>
              <w:t xml:space="preserve">Complex Drugs </w:t>
            </w:r>
          </w:p>
          <w:p w:rsidR="009169E7" w:rsidRDefault="009169E7" w:rsidP="00ED37B5">
            <w:pPr>
              <w:pStyle w:val="Tabletext"/>
            </w:pPr>
            <w:r>
              <w:t xml:space="preserve">Reply Paid 9826 </w:t>
            </w:r>
          </w:p>
          <w:p w:rsidR="009169E7" w:rsidRPr="00F66D4D" w:rsidRDefault="009169E7" w:rsidP="00ED37B5">
            <w:pPr>
              <w:pStyle w:val="Tabletext"/>
            </w:pPr>
            <w:r>
              <w:t>HOBART TAS 7001</w:t>
            </w:r>
          </w:p>
        </w:tc>
      </w:tr>
      <w:tr w:rsidR="009169E7" w:rsidRPr="00A30A33" w:rsidTr="00932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tcPr>
          <w:p w:rsidR="009169E7" w:rsidRPr="000C3AB6" w:rsidRDefault="009169E7" w:rsidP="00932528">
            <w:pPr>
              <w:pStyle w:val="Tabletext"/>
            </w:pPr>
          </w:p>
        </w:tc>
        <w:tc>
          <w:tcPr>
            <w:tcW w:w="3981" w:type="pct"/>
            <w:gridSpan w:val="6"/>
            <w:tcBorders>
              <w:top w:val="single" w:sz="4" w:space="0" w:color="auto"/>
              <w:left w:val="single" w:sz="4" w:space="0" w:color="auto"/>
              <w:bottom w:val="single" w:sz="4" w:space="0" w:color="auto"/>
              <w:right w:val="single" w:sz="4" w:space="0" w:color="auto"/>
            </w:tcBorders>
          </w:tcPr>
          <w:p w:rsidR="009169E7" w:rsidRDefault="009169E7" w:rsidP="005A27B3">
            <w:pPr>
              <w:pStyle w:val="Tabletext"/>
              <w:tabs>
                <w:tab w:val="left" w:pos="951"/>
              </w:tabs>
            </w:pPr>
            <w:r w:rsidRPr="005A27B3">
              <w:t>The first authority application may be faxed to the Department of Human Services on 1300 093 177 (hours of operation 8 a.m. to 5 p.m. EST Monday to Friday). The Department will then contact the prescriber by telephone.</w:t>
            </w:r>
          </w:p>
        </w:tc>
      </w:tr>
    </w:tbl>
    <w:p w:rsidR="005661AF" w:rsidRDefault="005661AF" w:rsidP="00ED55C1">
      <w:pPr>
        <w:widowControl/>
        <w:rPr>
          <w:rFonts w:asciiTheme="minorHAnsi" w:hAnsiTheme="minorHAnsi"/>
          <w:bCs/>
        </w:rPr>
      </w:pP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7198"/>
      </w:tblGrid>
      <w:tr w:rsidR="00ED55C1"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ED55C1" w:rsidRPr="00A30A33" w:rsidRDefault="00ED55C1" w:rsidP="006A0B29">
            <w:pPr>
              <w:pStyle w:val="Tabletext"/>
              <w:rPr>
                <w:lang w:eastAsia="en-AU"/>
              </w:rPr>
            </w:pPr>
            <w:r>
              <w:rPr>
                <w:lang w:eastAsia="en-AU"/>
              </w:rPr>
              <w:t>PBS indication:</w:t>
            </w:r>
          </w:p>
        </w:tc>
        <w:tc>
          <w:tcPr>
            <w:tcW w:w="3981" w:type="pct"/>
          </w:tcPr>
          <w:p w:rsidR="00ED55C1" w:rsidRPr="00A30A33" w:rsidRDefault="00ED55C1" w:rsidP="006A0B29">
            <w:pPr>
              <w:pStyle w:val="Tabletext"/>
              <w:rPr>
                <w:lang w:eastAsia="en-AU"/>
              </w:rPr>
            </w:pPr>
            <w:r w:rsidRPr="000C3AB6">
              <w:rPr>
                <w:rFonts w:cstheme="minorHAnsi"/>
                <w:szCs w:val="20"/>
              </w:rPr>
              <w:t>Branch retinal vein occlusion with macular oedema</w:t>
            </w:r>
          </w:p>
        </w:tc>
      </w:tr>
      <w:tr w:rsidR="00ED55C1"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ED55C1" w:rsidRPr="00A30A33" w:rsidRDefault="00ED55C1" w:rsidP="006A0B29">
            <w:pPr>
              <w:pStyle w:val="Tabletext"/>
              <w:rPr>
                <w:lang w:eastAsia="en-AU"/>
              </w:rPr>
            </w:pPr>
            <w:r>
              <w:rPr>
                <w:lang w:eastAsia="en-AU"/>
              </w:rPr>
              <w:t>Treatment phase:</w:t>
            </w:r>
          </w:p>
        </w:tc>
        <w:tc>
          <w:tcPr>
            <w:tcW w:w="3981" w:type="pct"/>
          </w:tcPr>
          <w:p w:rsidR="00ED55C1" w:rsidRPr="00A30A33" w:rsidRDefault="00ED55C1" w:rsidP="006A0B29">
            <w:pPr>
              <w:pStyle w:val="Tabletext"/>
              <w:rPr>
                <w:lang w:eastAsia="en-AU"/>
              </w:rPr>
            </w:pPr>
            <w:r>
              <w:rPr>
                <w:rFonts w:cstheme="minorHAnsi"/>
                <w:szCs w:val="20"/>
              </w:rPr>
              <w:t>Continuing</w:t>
            </w:r>
            <w:r w:rsidRPr="000C3AB6">
              <w:rPr>
                <w:rFonts w:cstheme="minorHAnsi"/>
                <w:szCs w:val="20"/>
              </w:rPr>
              <w:t xml:space="preserve"> treatment</w:t>
            </w:r>
          </w:p>
        </w:tc>
      </w:tr>
      <w:tr w:rsidR="00ED55C1"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ED55C1" w:rsidRPr="00A30A33" w:rsidRDefault="00ED55C1" w:rsidP="006A0B29">
            <w:pPr>
              <w:pStyle w:val="Tabletext"/>
              <w:rPr>
                <w:lang w:eastAsia="en-AU"/>
              </w:rPr>
            </w:pPr>
            <w:r w:rsidRPr="00A30A33">
              <w:rPr>
                <w:lang w:eastAsia="en-AU"/>
              </w:rPr>
              <w:t>Restriction</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D55C1" w:rsidRPr="00EF0F01" w:rsidRDefault="00193BEF" w:rsidP="006A0B29">
            <w:pPr>
              <w:pStyle w:val="Tabletext"/>
              <w:rPr>
                <w:lang w:eastAsia="en-AU"/>
              </w:rPr>
            </w:pPr>
            <w:r>
              <w:rPr>
                <w:lang w:eastAsia="en-AU"/>
              </w:rPr>
              <w:fldChar w:fldCharType="begin">
                <w:ffData>
                  <w:name w:val=""/>
                  <w:enabled/>
                  <w:calcOnExit w:val="0"/>
                  <w:checkBox>
                    <w:sizeAuto/>
                    <w:default w:val="0"/>
                  </w:checkBox>
                </w:ffData>
              </w:fldChar>
            </w:r>
            <w:r>
              <w:rPr>
                <w:lang w:eastAsia="en-AU"/>
              </w:rPr>
              <w:instrText xml:space="preserve"> FORMCHECKBOX </w:instrText>
            </w:r>
            <w:r w:rsidR="00487EB2">
              <w:rPr>
                <w:lang w:eastAsia="en-AU"/>
              </w:rPr>
            </w:r>
            <w:r w:rsidR="00487EB2">
              <w:rPr>
                <w:lang w:eastAsia="en-AU"/>
              </w:rPr>
              <w:fldChar w:fldCharType="separate"/>
            </w:r>
            <w:r>
              <w:rPr>
                <w:lang w:eastAsia="en-AU"/>
              </w:rPr>
              <w:fldChar w:fldCharType="end"/>
            </w:r>
            <w:r w:rsidR="00ED55C1" w:rsidRPr="00EF0F01">
              <w:rPr>
                <w:lang w:eastAsia="en-AU"/>
              </w:rPr>
              <w:t>Authority Required - In Writing</w:t>
            </w:r>
          </w:p>
          <w:p w:rsidR="00ED55C1" w:rsidRPr="00A30A33" w:rsidRDefault="00193BEF" w:rsidP="006A0B29">
            <w:pPr>
              <w:pStyle w:val="Tabletext"/>
              <w:rPr>
                <w:lang w:eastAsia="en-AU"/>
              </w:rPr>
            </w:pPr>
            <w:r>
              <w:rPr>
                <w:lang w:eastAsia="en-AU"/>
              </w:rPr>
              <w:fldChar w:fldCharType="begin">
                <w:ffData>
                  <w:name w:val=""/>
                  <w:enabled/>
                  <w:calcOnExit w:val="0"/>
                  <w:checkBox>
                    <w:sizeAuto/>
                    <w:default w:val="1"/>
                  </w:checkBox>
                </w:ffData>
              </w:fldChar>
            </w:r>
            <w:r>
              <w:rPr>
                <w:lang w:eastAsia="en-AU"/>
              </w:rPr>
              <w:instrText xml:space="preserve"> FORMCHECKBOX </w:instrText>
            </w:r>
            <w:r w:rsidR="00487EB2">
              <w:rPr>
                <w:lang w:eastAsia="en-AU"/>
              </w:rPr>
            </w:r>
            <w:r w:rsidR="00487EB2">
              <w:rPr>
                <w:lang w:eastAsia="en-AU"/>
              </w:rPr>
              <w:fldChar w:fldCharType="separate"/>
            </w:r>
            <w:r>
              <w:rPr>
                <w:lang w:eastAsia="en-AU"/>
              </w:rPr>
              <w:fldChar w:fldCharType="end"/>
            </w:r>
            <w:r w:rsidR="00ED55C1" w:rsidRPr="00EF0F01">
              <w:rPr>
                <w:lang w:eastAsia="en-AU"/>
              </w:rPr>
              <w:t>Authority Required - Telephone</w:t>
            </w:r>
          </w:p>
        </w:tc>
      </w:tr>
      <w:tr w:rsidR="00ED55C1" w:rsidRPr="001A632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ED55C1" w:rsidRPr="00A30A33" w:rsidRDefault="00ED55C1" w:rsidP="006A0B29">
            <w:pPr>
              <w:pStyle w:val="Tabletext"/>
              <w:rPr>
                <w:lang w:eastAsia="en-AU"/>
              </w:rPr>
            </w:pPr>
            <w:r w:rsidRPr="00A30A33">
              <w:rPr>
                <w:lang w:eastAsia="en-AU"/>
              </w:rPr>
              <w:t>Treatment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D55C1" w:rsidRPr="001A6323" w:rsidRDefault="00ED55C1" w:rsidP="006A0B29">
            <w:pPr>
              <w:pStyle w:val="Tabletext"/>
              <w:rPr>
                <w:lang w:eastAsia="en-AU"/>
              </w:rPr>
            </w:pPr>
            <w:r w:rsidRPr="001A6323">
              <w:rPr>
                <w:lang w:eastAsia="en-AU"/>
              </w:rPr>
              <w:t>Patient must be treated by an ophthalmologist or in consultation with an ophthalmologist.</w:t>
            </w:r>
          </w:p>
        </w:tc>
      </w:tr>
      <w:tr w:rsidR="00ED55C1"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ED55C1" w:rsidRPr="00A30A33" w:rsidRDefault="00ED55C1" w:rsidP="006A0B29">
            <w:pPr>
              <w:pStyle w:val="Tabletext"/>
              <w:rPr>
                <w:lang w:eastAsia="en-AU"/>
              </w:rPr>
            </w:pPr>
            <w:r w:rsidRPr="00A30A33">
              <w:rPr>
                <w:lang w:eastAsia="en-AU"/>
              </w:rPr>
              <w:t>Clinical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D55C1" w:rsidRDefault="00193BEF" w:rsidP="006A0B29">
            <w:pPr>
              <w:pStyle w:val="Tabletext"/>
              <w:rPr>
                <w:lang w:eastAsia="en-AU"/>
              </w:rPr>
            </w:pPr>
            <w:r>
              <w:rPr>
                <w:lang w:eastAsia="en-AU"/>
              </w:rPr>
              <w:t xml:space="preserve">Patient must have </w:t>
            </w:r>
            <w:r w:rsidR="0015335E">
              <w:rPr>
                <w:lang w:eastAsia="en-AU"/>
              </w:rPr>
              <w:t>previously been treated with this drug for this condition.</w:t>
            </w:r>
          </w:p>
          <w:p w:rsidR="0015335E" w:rsidRDefault="0015335E" w:rsidP="006A0B29">
            <w:pPr>
              <w:pStyle w:val="Tabletext"/>
              <w:rPr>
                <w:lang w:eastAsia="en-AU"/>
              </w:rPr>
            </w:pPr>
          </w:p>
          <w:p w:rsidR="0015335E" w:rsidRDefault="0015335E" w:rsidP="006A0B29">
            <w:pPr>
              <w:pStyle w:val="Tabletext"/>
              <w:rPr>
                <w:lang w:eastAsia="en-AU"/>
              </w:rPr>
            </w:pPr>
            <w:r>
              <w:rPr>
                <w:lang w:eastAsia="en-AU"/>
              </w:rPr>
              <w:t>AND</w:t>
            </w:r>
          </w:p>
          <w:p w:rsidR="0015335E" w:rsidRDefault="0015335E" w:rsidP="006A0B29">
            <w:pPr>
              <w:pStyle w:val="Tabletext"/>
              <w:rPr>
                <w:lang w:eastAsia="en-AU"/>
              </w:rPr>
            </w:pPr>
          </w:p>
          <w:p w:rsidR="00ED55C1" w:rsidRPr="00A30A33" w:rsidRDefault="00ED55C1" w:rsidP="006A0B29">
            <w:pPr>
              <w:pStyle w:val="Tabletext"/>
              <w:rPr>
                <w:lang w:eastAsia="en-AU"/>
              </w:rPr>
            </w:pPr>
            <w:r w:rsidRPr="00EF0F01">
              <w:rPr>
                <w:lang w:eastAsia="en-AU"/>
              </w:rPr>
              <w:t>The treatment must be the sole PBS-subsidised therapy for this condition.</w:t>
            </w:r>
          </w:p>
        </w:tc>
      </w:tr>
      <w:tr w:rsidR="00ED55C1" w:rsidRPr="00A30A33" w:rsidTr="006A0B29">
        <w:trPr>
          <w:trHeight w:val="20"/>
        </w:trPr>
        <w:tc>
          <w:tcPr>
            <w:tcW w:w="1019" w:type="pct"/>
            <w:tcBorders>
              <w:bottom w:val="single" w:sz="4" w:space="0" w:color="auto"/>
            </w:tcBorders>
          </w:tcPr>
          <w:p w:rsidR="00ED55C1" w:rsidRPr="00A30A33" w:rsidRDefault="00E075FB" w:rsidP="006A0B29">
            <w:pPr>
              <w:pStyle w:val="Tabletext"/>
              <w:rPr>
                <w:lang w:eastAsia="en-AU"/>
              </w:rPr>
            </w:pPr>
            <w:r>
              <w:rPr>
                <w:lang w:eastAsia="en-AU"/>
              </w:rPr>
              <w:t>Administrative advice</w:t>
            </w:r>
          </w:p>
        </w:tc>
        <w:tc>
          <w:tcPr>
            <w:tcW w:w="3981" w:type="pct"/>
            <w:tcBorders>
              <w:bottom w:val="single" w:sz="4" w:space="0" w:color="auto"/>
            </w:tcBorders>
          </w:tcPr>
          <w:p w:rsidR="00ED55C1" w:rsidRPr="00A30A33" w:rsidRDefault="00E075FB" w:rsidP="006A0B29">
            <w:pPr>
              <w:pStyle w:val="Tabletext"/>
              <w:rPr>
                <w:color w:val="000000"/>
                <w:szCs w:val="24"/>
                <w:lang w:eastAsia="en-AU"/>
              </w:rPr>
            </w:pPr>
            <w:r w:rsidRPr="00E075FB">
              <w:rPr>
                <w:color w:val="000000"/>
                <w:szCs w:val="24"/>
                <w:lang w:eastAsia="en-AU"/>
              </w:rPr>
              <w:t>Authority applications for continuing treatment in the same eye may be made by telephone on 1800 700 270 (hours of operation 8 a.m. to 5 p.m. EST Monday to Friday).</w:t>
            </w:r>
          </w:p>
        </w:tc>
      </w:tr>
    </w:tbl>
    <w:p w:rsidR="00ED55C1" w:rsidRPr="00ED55C1" w:rsidRDefault="00ED55C1" w:rsidP="00ED55C1">
      <w:pPr>
        <w:widowControl/>
        <w:rPr>
          <w:rFonts w:asciiTheme="minorHAnsi" w:hAnsiTheme="minorHAnsi"/>
          <w:bCs/>
        </w:rPr>
      </w:pP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7198"/>
      </w:tblGrid>
      <w:tr w:rsidR="00E913DB"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hideMark/>
          </w:tcPr>
          <w:p w:rsidR="00E913DB" w:rsidRPr="00A30A33" w:rsidRDefault="00E913DB" w:rsidP="00932528">
            <w:pPr>
              <w:pStyle w:val="Tabletext"/>
              <w:rPr>
                <w:lang w:eastAsia="en-AU"/>
              </w:rPr>
            </w:pPr>
            <w:r>
              <w:rPr>
                <w:lang w:eastAsia="en-AU"/>
              </w:rPr>
              <w:t>PBS indication:</w:t>
            </w:r>
          </w:p>
        </w:tc>
        <w:tc>
          <w:tcPr>
            <w:tcW w:w="3981" w:type="pct"/>
          </w:tcPr>
          <w:p w:rsidR="00E913DB" w:rsidRPr="00A30A33" w:rsidRDefault="00E913DB" w:rsidP="00932528">
            <w:pPr>
              <w:pStyle w:val="Tabletext"/>
              <w:rPr>
                <w:lang w:eastAsia="en-AU"/>
              </w:rPr>
            </w:pPr>
            <w:r>
              <w:rPr>
                <w:rFonts w:cstheme="minorHAnsi"/>
                <w:szCs w:val="20"/>
              </w:rPr>
              <w:t>Central</w:t>
            </w:r>
            <w:r w:rsidRPr="000C3AB6">
              <w:rPr>
                <w:rFonts w:cstheme="minorHAnsi"/>
                <w:szCs w:val="20"/>
              </w:rPr>
              <w:t xml:space="preserve"> retinal vein occlusion with macular oedema</w:t>
            </w:r>
          </w:p>
        </w:tc>
      </w:tr>
      <w:tr w:rsidR="00E913DB"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hideMark/>
          </w:tcPr>
          <w:p w:rsidR="00E913DB" w:rsidRPr="00A30A33" w:rsidRDefault="00E913DB" w:rsidP="00932528">
            <w:pPr>
              <w:pStyle w:val="Tabletext"/>
              <w:rPr>
                <w:lang w:eastAsia="en-AU"/>
              </w:rPr>
            </w:pPr>
            <w:r>
              <w:rPr>
                <w:lang w:eastAsia="en-AU"/>
              </w:rPr>
              <w:t>Treatment phase:</w:t>
            </w:r>
          </w:p>
        </w:tc>
        <w:tc>
          <w:tcPr>
            <w:tcW w:w="3981" w:type="pct"/>
          </w:tcPr>
          <w:p w:rsidR="00E913DB" w:rsidRPr="00A30A33" w:rsidRDefault="00E913DB" w:rsidP="00932528">
            <w:pPr>
              <w:pStyle w:val="Tabletext"/>
              <w:rPr>
                <w:lang w:eastAsia="en-AU"/>
              </w:rPr>
            </w:pPr>
            <w:r w:rsidRPr="000C3AB6">
              <w:rPr>
                <w:rFonts w:cstheme="minorHAnsi"/>
                <w:szCs w:val="20"/>
              </w:rPr>
              <w:t>Initial treatment</w:t>
            </w:r>
          </w:p>
        </w:tc>
      </w:tr>
      <w:tr w:rsidR="00E913DB"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hideMark/>
          </w:tcPr>
          <w:p w:rsidR="00E913DB" w:rsidRPr="00A30A33" w:rsidRDefault="00E913DB" w:rsidP="00932528">
            <w:pPr>
              <w:pStyle w:val="Tabletext"/>
              <w:rPr>
                <w:lang w:eastAsia="en-AU"/>
              </w:rPr>
            </w:pPr>
            <w:r w:rsidRPr="00A30A33">
              <w:rPr>
                <w:lang w:eastAsia="en-AU"/>
              </w:rPr>
              <w:t>Restriction</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913DB" w:rsidRPr="00EF0F01" w:rsidRDefault="00E913DB" w:rsidP="00932528">
            <w:pPr>
              <w:pStyle w:val="Tabletext"/>
              <w:rPr>
                <w:lang w:eastAsia="en-AU"/>
              </w:rPr>
            </w:pPr>
            <w:r w:rsidRPr="00EF0F01">
              <w:rPr>
                <w:lang w:eastAsia="en-AU"/>
              </w:rPr>
              <w:fldChar w:fldCharType="begin">
                <w:ffData>
                  <w:name w:val=""/>
                  <w:enabled/>
                  <w:calcOnExit w:val="0"/>
                  <w:checkBox>
                    <w:sizeAuto/>
                    <w:default w:val="1"/>
                  </w:checkBox>
                </w:ffData>
              </w:fldChar>
            </w:r>
            <w:r w:rsidRPr="00EF0F01">
              <w:rPr>
                <w:lang w:eastAsia="en-AU"/>
              </w:rPr>
              <w:instrText xml:space="preserve"> FORMCHECKBOX </w:instrText>
            </w:r>
            <w:r w:rsidR="00487EB2">
              <w:rPr>
                <w:lang w:eastAsia="en-AU"/>
              </w:rPr>
            </w:r>
            <w:r w:rsidR="00487EB2">
              <w:rPr>
                <w:lang w:eastAsia="en-AU"/>
              </w:rPr>
              <w:fldChar w:fldCharType="separate"/>
            </w:r>
            <w:r w:rsidRPr="00EF0F01">
              <w:rPr>
                <w:lang w:eastAsia="en-AU"/>
              </w:rPr>
              <w:fldChar w:fldCharType="end"/>
            </w:r>
            <w:r w:rsidRPr="00EF0F01">
              <w:rPr>
                <w:lang w:eastAsia="en-AU"/>
              </w:rPr>
              <w:t>Authority Required - In Writing</w:t>
            </w:r>
          </w:p>
          <w:p w:rsidR="00E913DB" w:rsidRPr="00A30A33" w:rsidRDefault="006F3078" w:rsidP="00932528">
            <w:pPr>
              <w:pStyle w:val="Tabletext"/>
              <w:rPr>
                <w:lang w:eastAsia="en-AU"/>
              </w:rPr>
            </w:pPr>
            <w:r>
              <w:rPr>
                <w:lang w:eastAsia="en-AU"/>
              </w:rPr>
              <w:fldChar w:fldCharType="begin">
                <w:ffData>
                  <w:name w:val=""/>
                  <w:enabled/>
                  <w:calcOnExit w:val="0"/>
                  <w:checkBox>
                    <w:sizeAuto/>
                    <w:default w:val="0"/>
                  </w:checkBox>
                </w:ffData>
              </w:fldChar>
            </w:r>
            <w:r>
              <w:rPr>
                <w:lang w:eastAsia="en-AU"/>
              </w:rPr>
              <w:instrText xml:space="preserve"> FORMCHECKBOX </w:instrText>
            </w:r>
            <w:r w:rsidR="00487EB2">
              <w:rPr>
                <w:lang w:eastAsia="en-AU"/>
              </w:rPr>
            </w:r>
            <w:r w:rsidR="00487EB2">
              <w:rPr>
                <w:lang w:eastAsia="en-AU"/>
              </w:rPr>
              <w:fldChar w:fldCharType="separate"/>
            </w:r>
            <w:r>
              <w:rPr>
                <w:lang w:eastAsia="en-AU"/>
              </w:rPr>
              <w:fldChar w:fldCharType="end"/>
            </w:r>
            <w:r w:rsidR="00E913DB" w:rsidRPr="00EF0F01">
              <w:rPr>
                <w:lang w:eastAsia="en-AU"/>
              </w:rPr>
              <w:t>Authority Required - Telephone</w:t>
            </w:r>
          </w:p>
        </w:tc>
      </w:tr>
      <w:tr w:rsidR="00E913DB"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hideMark/>
          </w:tcPr>
          <w:p w:rsidR="00E913DB" w:rsidRPr="00A30A33" w:rsidRDefault="00E913DB" w:rsidP="00932528">
            <w:pPr>
              <w:pStyle w:val="Tabletext"/>
              <w:rPr>
                <w:lang w:eastAsia="en-AU"/>
              </w:rPr>
            </w:pPr>
            <w:r w:rsidRPr="00A30A33">
              <w:rPr>
                <w:lang w:eastAsia="en-AU"/>
              </w:rPr>
              <w:t>Treatment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913DB" w:rsidRPr="00E913DB" w:rsidRDefault="00E913DB" w:rsidP="00932528">
            <w:pPr>
              <w:pStyle w:val="Tabletext"/>
              <w:rPr>
                <w:lang w:eastAsia="en-AU"/>
              </w:rPr>
            </w:pPr>
            <w:r w:rsidRPr="00E913DB">
              <w:rPr>
                <w:lang w:eastAsia="en-AU"/>
              </w:rPr>
              <w:t>Patient must be treated by an ophthalmologist or in consultation with an ophthalmologist.</w:t>
            </w:r>
          </w:p>
        </w:tc>
      </w:tr>
      <w:tr w:rsidR="00E913DB"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hideMark/>
          </w:tcPr>
          <w:p w:rsidR="00E913DB" w:rsidRPr="00A30A33" w:rsidRDefault="00E913DB" w:rsidP="00932528">
            <w:pPr>
              <w:pStyle w:val="Tabletext"/>
              <w:rPr>
                <w:lang w:eastAsia="en-AU"/>
              </w:rPr>
            </w:pPr>
            <w:r w:rsidRPr="00A30A33">
              <w:rPr>
                <w:lang w:eastAsia="en-AU"/>
              </w:rPr>
              <w:t>Clinical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E913DB" w:rsidRPr="00EF0F01" w:rsidRDefault="00E913DB" w:rsidP="00932528">
            <w:pPr>
              <w:pStyle w:val="Tabletext"/>
              <w:rPr>
                <w:lang w:eastAsia="en-AU"/>
              </w:rPr>
            </w:pPr>
            <w:r w:rsidRPr="00EF0F01">
              <w:rPr>
                <w:lang w:eastAsia="en-AU"/>
              </w:rPr>
              <w:t xml:space="preserve">Patient must have visual impairment due to macular oedema secondary to </w:t>
            </w:r>
            <w:r>
              <w:rPr>
                <w:lang w:eastAsia="en-AU"/>
              </w:rPr>
              <w:t>central</w:t>
            </w:r>
            <w:r w:rsidRPr="00EF0F01">
              <w:rPr>
                <w:lang w:eastAsia="en-AU"/>
              </w:rPr>
              <w:t xml:space="preserve"> retinal </w:t>
            </w:r>
            <w:r>
              <w:rPr>
                <w:lang w:eastAsia="en-AU"/>
              </w:rPr>
              <w:t>vein occlusion (C</w:t>
            </w:r>
            <w:r w:rsidRPr="00EF0F01">
              <w:rPr>
                <w:lang w:eastAsia="en-AU"/>
              </w:rPr>
              <w:t xml:space="preserve">RVO), </w:t>
            </w:r>
            <w:r w:rsidRPr="00EF0F01">
              <w:rPr>
                <w:b/>
                <w:lang w:eastAsia="en-AU"/>
              </w:rPr>
              <w:t>AND</w:t>
            </w:r>
          </w:p>
          <w:p w:rsidR="00E913DB" w:rsidRDefault="00E913DB" w:rsidP="00932528">
            <w:pPr>
              <w:pStyle w:val="Tabletext"/>
              <w:rPr>
                <w:lang w:eastAsia="en-AU"/>
              </w:rPr>
            </w:pPr>
          </w:p>
          <w:p w:rsidR="00E913DB" w:rsidRPr="00EF0F01" w:rsidRDefault="00E913DB" w:rsidP="00932528">
            <w:pPr>
              <w:pStyle w:val="Tabletext"/>
              <w:rPr>
                <w:lang w:eastAsia="en-AU"/>
              </w:rPr>
            </w:pPr>
            <w:r w:rsidRPr="00EF0F01">
              <w:rPr>
                <w:lang w:eastAsia="en-AU"/>
              </w:rPr>
              <w:t>Patient must have documented visual impairment defined as a best-corrected visual acuity score between 73 and 2</w:t>
            </w:r>
            <w:r>
              <w:rPr>
                <w:lang w:eastAsia="en-AU"/>
              </w:rPr>
              <w:t>4</w:t>
            </w:r>
            <w:r w:rsidRPr="00EF0F01">
              <w:rPr>
                <w:lang w:eastAsia="en-AU"/>
              </w:rPr>
              <w:t xml:space="preserve"> letters based on the early treatment diabetic retinopathy study chart administered at a distance of 4 metres (approximate </w:t>
            </w:r>
            <w:r>
              <w:rPr>
                <w:lang w:eastAsia="en-AU"/>
              </w:rPr>
              <w:t>Snellen equivalent 20/40 to 20/320</w:t>
            </w:r>
            <w:r w:rsidRPr="00EF0F01">
              <w:rPr>
                <w:lang w:eastAsia="en-AU"/>
              </w:rPr>
              <w:t xml:space="preserve">), in the eye proposed for treatment, </w:t>
            </w:r>
            <w:r w:rsidRPr="00EF0F01">
              <w:rPr>
                <w:b/>
                <w:lang w:eastAsia="en-AU"/>
              </w:rPr>
              <w:t>AND</w:t>
            </w:r>
          </w:p>
          <w:p w:rsidR="00E913DB" w:rsidRDefault="00E913DB" w:rsidP="00932528">
            <w:pPr>
              <w:pStyle w:val="Tabletext"/>
              <w:rPr>
                <w:lang w:eastAsia="en-AU"/>
              </w:rPr>
            </w:pPr>
          </w:p>
          <w:p w:rsidR="00E913DB" w:rsidRPr="00EF0F01" w:rsidRDefault="00E913DB" w:rsidP="00932528">
            <w:pPr>
              <w:pStyle w:val="Tabletext"/>
              <w:rPr>
                <w:lang w:eastAsia="en-AU"/>
              </w:rPr>
            </w:pPr>
            <w:r w:rsidRPr="00EF0F01">
              <w:rPr>
                <w:lang w:eastAsia="en-AU"/>
              </w:rPr>
              <w:t>The condition must be diagnosed by optical coherence tomography; OR</w:t>
            </w:r>
          </w:p>
          <w:p w:rsidR="00E913DB" w:rsidRPr="00EF0F01" w:rsidRDefault="00E913DB" w:rsidP="00932528">
            <w:pPr>
              <w:pStyle w:val="Tabletext"/>
              <w:rPr>
                <w:lang w:eastAsia="en-AU"/>
              </w:rPr>
            </w:pPr>
            <w:r w:rsidRPr="00EF0F01">
              <w:rPr>
                <w:lang w:eastAsia="en-AU"/>
              </w:rPr>
              <w:t xml:space="preserve">The condition must be diagnosed by fluorescein angiography, </w:t>
            </w:r>
            <w:r w:rsidRPr="00EF0F01">
              <w:rPr>
                <w:b/>
                <w:lang w:eastAsia="en-AU"/>
              </w:rPr>
              <w:t>AND</w:t>
            </w:r>
          </w:p>
          <w:p w:rsidR="00E913DB" w:rsidRDefault="00E913DB" w:rsidP="00932528">
            <w:pPr>
              <w:pStyle w:val="Tabletext"/>
              <w:rPr>
                <w:lang w:eastAsia="en-AU"/>
              </w:rPr>
            </w:pPr>
          </w:p>
          <w:p w:rsidR="00E913DB" w:rsidRPr="00EF0F01" w:rsidRDefault="00E913DB" w:rsidP="00932528">
            <w:pPr>
              <w:pStyle w:val="Tabletext"/>
              <w:rPr>
                <w:lang w:eastAsia="en-AU"/>
              </w:rPr>
            </w:pPr>
            <w:r w:rsidRPr="00EF0F01">
              <w:rPr>
                <w:lang w:eastAsia="en-AU"/>
              </w:rPr>
              <w:t>Patient must have a contraindication to vascular endothelial growth factor (VEGF) inhibitors; OR</w:t>
            </w:r>
          </w:p>
          <w:p w:rsidR="00E913DB" w:rsidRPr="00EF0F01" w:rsidRDefault="00E913DB" w:rsidP="00932528">
            <w:pPr>
              <w:pStyle w:val="Tabletext"/>
              <w:rPr>
                <w:lang w:eastAsia="en-AU"/>
              </w:rPr>
            </w:pPr>
            <w:r w:rsidRPr="00EF0F01">
              <w:rPr>
                <w:lang w:eastAsia="en-AU"/>
              </w:rPr>
              <w:t xml:space="preserve">Patient must have failed prior treatment with VEGF inhibitors, </w:t>
            </w:r>
            <w:r w:rsidRPr="00EF0F01">
              <w:rPr>
                <w:b/>
                <w:lang w:eastAsia="en-AU"/>
              </w:rPr>
              <w:t>AND</w:t>
            </w:r>
          </w:p>
          <w:p w:rsidR="00E913DB" w:rsidRDefault="00E913DB" w:rsidP="00932528">
            <w:pPr>
              <w:pStyle w:val="Tabletext"/>
              <w:rPr>
                <w:lang w:eastAsia="en-AU"/>
              </w:rPr>
            </w:pPr>
          </w:p>
          <w:p w:rsidR="00E913DB" w:rsidRPr="00A30A33" w:rsidRDefault="00E913DB" w:rsidP="00932528">
            <w:pPr>
              <w:pStyle w:val="Tabletext"/>
              <w:rPr>
                <w:lang w:eastAsia="en-AU"/>
              </w:rPr>
            </w:pPr>
            <w:r w:rsidRPr="00EF0F01">
              <w:rPr>
                <w:lang w:eastAsia="en-AU"/>
              </w:rPr>
              <w:t>The treatment must be the sole PBS-subsidised therapy for this condition.</w:t>
            </w:r>
          </w:p>
        </w:tc>
      </w:tr>
      <w:tr w:rsidR="00E913DB" w:rsidRPr="00A30A33" w:rsidTr="00932528">
        <w:trPr>
          <w:trHeight w:val="20"/>
        </w:trPr>
        <w:tc>
          <w:tcPr>
            <w:tcW w:w="1019" w:type="pct"/>
            <w:tcBorders>
              <w:bottom w:val="single" w:sz="4" w:space="0" w:color="auto"/>
            </w:tcBorders>
          </w:tcPr>
          <w:p w:rsidR="00E913DB" w:rsidRPr="00A30A33" w:rsidRDefault="00E913DB" w:rsidP="00932528">
            <w:pPr>
              <w:pStyle w:val="Tabletext"/>
              <w:rPr>
                <w:lang w:eastAsia="en-AU"/>
              </w:rPr>
            </w:pPr>
            <w:r w:rsidRPr="000C3AB6">
              <w:t>Prescriber Instructions</w:t>
            </w:r>
          </w:p>
        </w:tc>
        <w:tc>
          <w:tcPr>
            <w:tcW w:w="3981" w:type="pct"/>
            <w:tcBorders>
              <w:bottom w:val="single" w:sz="4" w:space="0" w:color="auto"/>
            </w:tcBorders>
          </w:tcPr>
          <w:p w:rsidR="00E913DB" w:rsidRPr="00E27A9F" w:rsidRDefault="00E913DB" w:rsidP="00932528">
            <w:pPr>
              <w:pStyle w:val="Tabletext"/>
            </w:pPr>
            <w:r w:rsidRPr="00E27A9F">
              <w:t>Authority approval for initial treatment of each eye must be sought.</w:t>
            </w:r>
          </w:p>
          <w:p w:rsidR="00E913DB" w:rsidRPr="00E27A9F" w:rsidRDefault="00E913DB" w:rsidP="00932528">
            <w:pPr>
              <w:pStyle w:val="Tabletext"/>
            </w:pPr>
            <w:r w:rsidRPr="00E27A9F">
              <w:t>The first authority application for each eye must be made in writing or by telephone.</w:t>
            </w:r>
          </w:p>
          <w:p w:rsidR="00E913DB" w:rsidRPr="00E27A9F" w:rsidRDefault="00E913DB" w:rsidP="00932528">
            <w:pPr>
              <w:pStyle w:val="Tabletext"/>
            </w:pPr>
            <w:r w:rsidRPr="00E27A9F">
              <w:t>A written application must include:</w:t>
            </w:r>
          </w:p>
          <w:p w:rsidR="00E913DB" w:rsidRPr="00E27A9F" w:rsidRDefault="00E913DB" w:rsidP="00932528">
            <w:pPr>
              <w:pStyle w:val="Tabletext"/>
              <w:numPr>
                <w:ilvl w:val="0"/>
                <w:numId w:val="10"/>
              </w:numPr>
              <w:ind w:left="256" w:hanging="219"/>
            </w:pPr>
            <w:r w:rsidRPr="00E27A9F">
              <w:t>a completed authority prescription form;</w:t>
            </w:r>
          </w:p>
          <w:p w:rsidR="00E913DB" w:rsidRDefault="00E913DB" w:rsidP="00932528">
            <w:pPr>
              <w:pStyle w:val="Tabletext"/>
              <w:numPr>
                <w:ilvl w:val="0"/>
                <w:numId w:val="10"/>
              </w:numPr>
              <w:ind w:left="256" w:hanging="219"/>
            </w:pPr>
            <w:r w:rsidRPr="00E27A9F">
              <w:t>a completed Retinal Vein Occlusion Initial PBS authority application Supporting information form; and</w:t>
            </w:r>
          </w:p>
          <w:p w:rsidR="00E913DB" w:rsidRPr="00E27A9F" w:rsidRDefault="00E913DB" w:rsidP="00932528">
            <w:pPr>
              <w:pStyle w:val="Tabletext"/>
              <w:numPr>
                <w:ilvl w:val="0"/>
                <w:numId w:val="10"/>
              </w:numPr>
              <w:ind w:left="256" w:hanging="219"/>
            </w:pPr>
            <w:r w:rsidRPr="00E27A9F">
              <w:t>a copy of the optical coherence tomography or fluorescein angiogram report.</w:t>
            </w:r>
          </w:p>
          <w:p w:rsidR="00E913DB" w:rsidRPr="00A30A33" w:rsidRDefault="00E913DB" w:rsidP="00932528">
            <w:pPr>
              <w:pStyle w:val="Tabletext"/>
              <w:rPr>
                <w:color w:val="000000"/>
                <w:szCs w:val="24"/>
                <w:lang w:eastAsia="en-AU"/>
              </w:rPr>
            </w:pPr>
            <w:r w:rsidRPr="00E27A9F">
              <w:t xml:space="preserve">A telephone application must be made following submission by facsimile of a copy of a completed Retinal Vein Occlusion Initial PBS authority application Supporting information form and a copy of the optical coherence tomography or fluorescein angiogram report. </w:t>
            </w:r>
          </w:p>
        </w:tc>
      </w:tr>
      <w:tr w:rsidR="00E913DB"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hideMark/>
          </w:tcPr>
          <w:p w:rsidR="00E913DB" w:rsidRPr="00A30A33" w:rsidRDefault="00E913DB" w:rsidP="00932528">
            <w:pPr>
              <w:pStyle w:val="Tabletext"/>
              <w:rPr>
                <w:lang w:eastAsia="en-AU"/>
              </w:rPr>
            </w:pPr>
            <w:r w:rsidRPr="000C3AB6">
              <w:t>Administrative Advice</w:t>
            </w:r>
          </w:p>
        </w:tc>
        <w:tc>
          <w:tcPr>
            <w:tcW w:w="3981" w:type="pct"/>
            <w:tcBorders>
              <w:top w:val="single" w:sz="4" w:space="0" w:color="auto"/>
              <w:left w:val="single" w:sz="4" w:space="0" w:color="auto"/>
              <w:bottom w:val="single" w:sz="4" w:space="0" w:color="auto"/>
              <w:right w:val="single" w:sz="4" w:space="0" w:color="auto"/>
            </w:tcBorders>
          </w:tcPr>
          <w:p w:rsidR="00E913DB" w:rsidRPr="00E27A9F" w:rsidRDefault="00E913DB" w:rsidP="00932528">
            <w:pPr>
              <w:pStyle w:val="Tabletext"/>
            </w:pPr>
            <w:r w:rsidRPr="00F66D4D">
              <w:t>Note</w:t>
            </w:r>
            <w:r>
              <w:t xml:space="preserve">: </w:t>
            </w:r>
            <w:r w:rsidRPr="00E27A9F">
              <w:t>No increase in the maximum quantity or number of units may be authorised.</w:t>
            </w:r>
          </w:p>
          <w:p w:rsidR="00E913DB" w:rsidRPr="00A30A33" w:rsidRDefault="00E913DB" w:rsidP="00932528">
            <w:pPr>
              <w:pStyle w:val="Tabletext"/>
              <w:rPr>
                <w:color w:val="000000"/>
                <w:szCs w:val="24"/>
                <w:lang w:eastAsia="en-AU"/>
              </w:rPr>
            </w:pPr>
            <w:r w:rsidRPr="00F66D4D">
              <w:t>Note</w:t>
            </w:r>
            <w:r>
              <w:t xml:space="preserve">: </w:t>
            </w:r>
            <w:r w:rsidRPr="00F66D4D">
              <w:t>No increase in the maximum number of repeats may be authorised.</w:t>
            </w:r>
          </w:p>
        </w:tc>
      </w:tr>
      <w:tr w:rsidR="00BB49D8"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tcPr>
          <w:p w:rsidR="00BB49D8" w:rsidRPr="000C3AB6" w:rsidRDefault="00BB49D8" w:rsidP="00932528">
            <w:pPr>
              <w:pStyle w:val="Tabletext"/>
            </w:pPr>
          </w:p>
        </w:tc>
        <w:tc>
          <w:tcPr>
            <w:tcW w:w="3981" w:type="pct"/>
            <w:tcBorders>
              <w:top w:val="single" w:sz="4" w:space="0" w:color="auto"/>
              <w:left w:val="single" w:sz="4" w:space="0" w:color="auto"/>
              <w:bottom w:val="single" w:sz="4" w:space="0" w:color="auto"/>
              <w:right w:val="single" w:sz="4" w:space="0" w:color="auto"/>
            </w:tcBorders>
          </w:tcPr>
          <w:p w:rsidR="00BB49D8" w:rsidRDefault="00BB49D8" w:rsidP="00BB49D8">
            <w:pPr>
              <w:pStyle w:val="Tabletext"/>
            </w:pPr>
            <w:r>
              <w:t xml:space="preserve">Any queries concerning the arrangements to prescribe may be directed to the Department of Human Services on 1800 700 270 (hours of operation 8 a.m. to 5 p.m. EST Monday to Friday). </w:t>
            </w:r>
          </w:p>
          <w:p w:rsidR="00BB49D8" w:rsidRDefault="00BB49D8" w:rsidP="00BB49D8">
            <w:pPr>
              <w:pStyle w:val="Tabletext"/>
            </w:pPr>
          </w:p>
          <w:p w:rsidR="00BB49D8" w:rsidRDefault="00BB49D8" w:rsidP="00BB49D8">
            <w:pPr>
              <w:pStyle w:val="Tabletext"/>
            </w:pPr>
            <w:r>
              <w:t xml:space="preserve">Prescribing information (including Authority Application forms and other relevant documentation as applicable) is available on the Department of Human Services website at www.humanservices.gov.au </w:t>
            </w:r>
          </w:p>
          <w:p w:rsidR="00BB49D8" w:rsidRDefault="00BB49D8" w:rsidP="00BB49D8">
            <w:pPr>
              <w:pStyle w:val="Tabletext"/>
            </w:pPr>
          </w:p>
          <w:p w:rsidR="00BB49D8" w:rsidRDefault="00BB49D8" w:rsidP="00BB49D8">
            <w:pPr>
              <w:pStyle w:val="Tabletext"/>
            </w:pPr>
            <w:r>
              <w:t xml:space="preserve">Applications for authority to prescribe should be forwarded to: </w:t>
            </w:r>
          </w:p>
          <w:p w:rsidR="00BB49D8" w:rsidRDefault="00BB49D8" w:rsidP="00BB49D8">
            <w:pPr>
              <w:pStyle w:val="Tabletext"/>
            </w:pPr>
            <w:r>
              <w:t>Department of Human Services</w:t>
            </w:r>
          </w:p>
          <w:p w:rsidR="00BB49D8" w:rsidRDefault="00BB49D8" w:rsidP="00BB49D8">
            <w:pPr>
              <w:pStyle w:val="Tabletext"/>
            </w:pPr>
            <w:r>
              <w:t xml:space="preserve">Complex Drugs </w:t>
            </w:r>
          </w:p>
          <w:p w:rsidR="00BB49D8" w:rsidRDefault="00BB49D8" w:rsidP="00BB49D8">
            <w:pPr>
              <w:pStyle w:val="Tabletext"/>
            </w:pPr>
            <w:r>
              <w:t xml:space="preserve">Reply Paid 9826 </w:t>
            </w:r>
          </w:p>
          <w:p w:rsidR="00BB49D8" w:rsidRPr="00F66D4D" w:rsidRDefault="00BB49D8" w:rsidP="00BB49D8">
            <w:pPr>
              <w:pStyle w:val="Tabletext"/>
            </w:pPr>
            <w:r>
              <w:t>HOBART TAS 7001</w:t>
            </w:r>
          </w:p>
        </w:tc>
      </w:tr>
      <w:tr w:rsidR="00D1707F" w:rsidRPr="00A30A33" w:rsidTr="00932528">
        <w:trPr>
          <w:trHeight w:val="20"/>
        </w:trPr>
        <w:tc>
          <w:tcPr>
            <w:tcW w:w="1019" w:type="pct"/>
            <w:tcBorders>
              <w:top w:val="single" w:sz="4" w:space="0" w:color="auto"/>
              <w:left w:val="single" w:sz="4" w:space="0" w:color="auto"/>
              <w:bottom w:val="single" w:sz="4" w:space="0" w:color="auto"/>
              <w:right w:val="single" w:sz="4" w:space="0" w:color="auto"/>
            </w:tcBorders>
          </w:tcPr>
          <w:p w:rsidR="00D1707F" w:rsidRPr="000C3AB6" w:rsidRDefault="00D1707F" w:rsidP="00932528">
            <w:pPr>
              <w:pStyle w:val="Tabletext"/>
            </w:pPr>
          </w:p>
        </w:tc>
        <w:tc>
          <w:tcPr>
            <w:tcW w:w="3981" w:type="pct"/>
            <w:tcBorders>
              <w:top w:val="single" w:sz="4" w:space="0" w:color="auto"/>
              <w:left w:val="single" w:sz="4" w:space="0" w:color="auto"/>
              <w:bottom w:val="single" w:sz="4" w:space="0" w:color="auto"/>
              <w:right w:val="single" w:sz="4" w:space="0" w:color="auto"/>
            </w:tcBorders>
          </w:tcPr>
          <w:p w:rsidR="00D1707F" w:rsidRDefault="00D1707F" w:rsidP="00BB49D8">
            <w:pPr>
              <w:pStyle w:val="Tabletext"/>
            </w:pPr>
            <w:r w:rsidRPr="005A27B3">
              <w:t>The first authority application may be faxed to the Department of Human Services on 1300 093 177 (hours of operation 8 a.m. to 5 p.m. EST Monday to Friday). The Department will then contact the prescriber by telephone.</w:t>
            </w:r>
          </w:p>
        </w:tc>
      </w:tr>
    </w:tbl>
    <w:p w:rsidR="00E913DB" w:rsidRDefault="00E913DB" w:rsidP="00CB5C11">
      <w:pPr>
        <w:widowControl/>
        <w:rPr>
          <w:rFonts w:asciiTheme="minorHAnsi" w:hAnsiTheme="minorHAnsi"/>
          <w:bCs/>
        </w:rPr>
      </w:pP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7198"/>
      </w:tblGrid>
      <w:tr w:rsidR="00F23239"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F23239" w:rsidRPr="00A30A33" w:rsidRDefault="00F23239" w:rsidP="006A0B29">
            <w:pPr>
              <w:pStyle w:val="Tabletext"/>
              <w:rPr>
                <w:lang w:eastAsia="en-AU"/>
              </w:rPr>
            </w:pPr>
            <w:r>
              <w:rPr>
                <w:lang w:eastAsia="en-AU"/>
              </w:rPr>
              <w:t>PBS indication:</w:t>
            </w:r>
          </w:p>
        </w:tc>
        <w:tc>
          <w:tcPr>
            <w:tcW w:w="3981" w:type="pct"/>
          </w:tcPr>
          <w:p w:rsidR="00F23239" w:rsidRPr="00A30A33" w:rsidRDefault="00F23239" w:rsidP="006A0B29">
            <w:pPr>
              <w:pStyle w:val="Tabletext"/>
              <w:rPr>
                <w:lang w:eastAsia="en-AU"/>
              </w:rPr>
            </w:pPr>
            <w:r>
              <w:rPr>
                <w:rFonts w:cstheme="minorHAnsi"/>
                <w:szCs w:val="20"/>
              </w:rPr>
              <w:t>Central</w:t>
            </w:r>
            <w:r w:rsidRPr="000C3AB6">
              <w:rPr>
                <w:rFonts w:cstheme="minorHAnsi"/>
                <w:szCs w:val="20"/>
              </w:rPr>
              <w:t xml:space="preserve"> retinal vein occlusion with macular oedema</w:t>
            </w:r>
          </w:p>
        </w:tc>
      </w:tr>
      <w:tr w:rsidR="00F23239"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F23239" w:rsidRPr="00A30A33" w:rsidRDefault="00F23239" w:rsidP="006A0B29">
            <w:pPr>
              <w:pStyle w:val="Tabletext"/>
              <w:rPr>
                <w:lang w:eastAsia="en-AU"/>
              </w:rPr>
            </w:pPr>
            <w:r>
              <w:rPr>
                <w:lang w:eastAsia="en-AU"/>
              </w:rPr>
              <w:t>Treatment phase:</w:t>
            </w:r>
          </w:p>
        </w:tc>
        <w:tc>
          <w:tcPr>
            <w:tcW w:w="3981" w:type="pct"/>
          </w:tcPr>
          <w:p w:rsidR="00F23239" w:rsidRPr="00A30A33" w:rsidRDefault="00F23239" w:rsidP="006A0B29">
            <w:pPr>
              <w:pStyle w:val="Tabletext"/>
              <w:rPr>
                <w:lang w:eastAsia="en-AU"/>
              </w:rPr>
            </w:pPr>
            <w:r>
              <w:rPr>
                <w:rFonts w:cstheme="minorHAnsi"/>
                <w:szCs w:val="20"/>
              </w:rPr>
              <w:t>Continuing</w:t>
            </w:r>
            <w:r w:rsidRPr="000C3AB6">
              <w:rPr>
                <w:rFonts w:cstheme="minorHAnsi"/>
                <w:szCs w:val="20"/>
              </w:rPr>
              <w:t xml:space="preserve"> treatment</w:t>
            </w:r>
          </w:p>
        </w:tc>
      </w:tr>
      <w:tr w:rsidR="00F23239"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F23239" w:rsidRPr="00A30A33" w:rsidRDefault="00F23239" w:rsidP="006A0B29">
            <w:pPr>
              <w:pStyle w:val="Tabletext"/>
              <w:rPr>
                <w:lang w:eastAsia="en-AU"/>
              </w:rPr>
            </w:pPr>
            <w:r w:rsidRPr="00A30A33">
              <w:rPr>
                <w:lang w:eastAsia="en-AU"/>
              </w:rPr>
              <w:t>Restriction</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F23239" w:rsidRPr="00EF0F01" w:rsidRDefault="00F23239" w:rsidP="006A0B29">
            <w:pPr>
              <w:pStyle w:val="Tabletext"/>
              <w:rPr>
                <w:lang w:eastAsia="en-AU"/>
              </w:rPr>
            </w:pPr>
            <w:r>
              <w:rPr>
                <w:lang w:eastAsia="en-AU"/>
              </w:rPr>
              <w:fldChar w:fldCharType="begin">
                <w:ffData>
                  <w:name w:val=""/>
                  <w:enabled/>
                  <w:calcOnExit w:val="0"/>
                  <w:checkBox>
                    <w:sizeAuto/>
                    <w:default w:val="0"/>
                  </w:checkBox>
                </w:ffData>
              </w:fldChar>
            </w:r>
            <w:r>
              <w:rPr>
                <w:lang w:eastAsia="en-AU"/>
              </w:rPr>
              <w:instrText xml:space="preserve"> FORMCHECKBOX </w:instrText>
            </w:r>
            <w:r w:rsidR="00487EB2">
              <w:rPr>
                <w:lang w:eastAsia="en-AU"/>
              </w:rPr>
            </w:r>
            <w:r w:rsidR="00487EB2">
              <w:rPr>
                <w:lang w:eastAsia="en-AU"/>
              </w:rPr>
              <w:fldChar w:fldCharType="separate"/>
            </w:r>
            <w:r>
              <w:rPr>
                <w:lang w:eastAsia="en-AU"/>
              </w:rPr>
              <w:fldChar w:fldCharType="end"/>
            </w:r>
            <w:r w:rsidRPr="00EF0F01">
              <w:rPr>
                <w:lang w:eastAsia="en-AU"/>
              </w:rPr>
              <w:t>Authority Required - In Writing</w:t>
            </w:r>
          </w:p>
          <w:p w:rsidR="00F23239" w:rsidRPr="00A30A33" w:rsidRDefault="00F23239" w:rsidP="006A0B29">
            <w:pPr>
              <w:pStyle w:val="Tabletext"/>
              <w:rPr>
                <w:lang w:eastAsia="en-AU"/>
              </w:rPr>
            </w:pPr>
            <w:r>
              <w:rPr>
                <w:lang w:eastAsia="en-AU"/>
              </w:rPr>
              <w:fldChar w:fldCharType="begin">
                <w:ffData>
                  <w:name w:val=""/>
                  <w:enabled/>
                  <w:calcOnExit w:val="0"/>
                  <w:checkBox>
                    <w:sizeAuto/>
                    <w:default w:val="1"/>
                  </w:checkBox>
                </w:ffData>
              </w:fldChar>
            </w:r>
            <w:r>
              <w:rPr>
                <w:lang w:eastAsia="en-AU"/>
              </w:rPr>
              <w:instrText xml:space="preserve"> FORMCHECKBOX </w:instrText>
            </w:r>
            <w:r w:rsidR="00487EB2">
              <w:rPr>
                <w:lang w:eastAsia="en-AU"/>
              </w:rPr>
            </w:r>
            <w:r w:rsidR="00487EB2">
              <w:rPr>
                <w:lang w:eastAsia="en-AU"/>
              </w:rPr>
              <w:fldChar w:fldCharType="separate"/>
            </w:r>
            <w:r>
              <w:rPr>
                <w:lang w:eastAsia="en-AU"/>
              </w:rPr>
              <w:fldChar w:fldCharType="end"/>
            </w:r>
            <w:r w:rsidRPr="00EF0F01">
              <w:rPr>
                <w:lang w:eastAsia="en-AU"/>
              </w:rPr>
              <w:t>Authority Required - Telephone</w:t>
            </w:r>
          </w:p>
        </w:tc>
      </w:tr>
      <w:tr w:rsidR="00F23239" w:rsidRPr="001A632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F23239" w:rsidRPr="00A30A33" w:rsidRDefault="00F23239" w:rsidP="006A0B29">
            <w:pPr>
              <w:pStyle w:val="Tabletext"/>
              <w:rPr>
                <w:lang w:eastAsia="en-AU"/>
              </w:rPr>
            </w:pPr>
            <w:r w:rsidRPr="00A30A33">
              <w:rPr>
                <w:lang w:eastAsia="en-AU"/>
              </w:rPr>
              <w:t>Treatment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F23239" w:rsidRPr="001A6323" w:rsidRDefault="00F23239" w:rsidP="006A0B29">
            <w:pPr>
              <w:pStyle w:val="Tabletext"/>
              <w:rPr>
                <w:lang w:eastAsia="en-AU"/>
              </w:rPr>
            </w:pPr>
            <w:r w:rsidRPr="001A6323">
              <w:rPr>
                <w:lang w:eastAsia="en-AU"/>
              </w:rPr>
              <w:t>Patient must be treated by an ophthalmologist or in consultation with an ophthalmologist.</w:t>
            </w:r>
          </w:p>
        </w:tc>
      </w:tr>
      <w:tr w:rsidR="00F23239" w:rsidRPr="00A30A33" w:rsidTr="006A0B29">
        <w:trPr>
          <w:trHeight w:val="20"/>
        </w:trPr>
        <w:tc>
          <w:tcPr>
            <w:tcW w:w="1019" w:type="pct"/>
            <w:tcBorders>
              <w:top w:val="single" w:sz="4" w:space="0" w:color="auto"/>
              <w:left w:val="single" w:sz="4" w:space="0" w:color="auto"/>
              <w:bottom w:val="single" w:sz="4" w:space="0" w:color="auto"/>
              <w:right w:val="single" w:sz="4" w:space="0" w:color="auto"/>
            </w:tcBorders>
            <w:hideMark/>
          </w:tcPr>
          <w:p w:rsidR="00F23239" w:rsidRPr="00A30A33" w:rsidRDefault="00F23239" w:rsidP="006A0B29">
            <w:pPr>
              <w:pStyle w:val="Tabletext"/>
              <w:rPr>
                <w:lang w:eastAsia="en-AU"/>
              </w:rPr>
            </w:pPr>
            <w:r w:rsidRPr="00A30A33">
              <w:rPr>
                <w:lang w:eastAsia="en-AU"/>
              </w:rPr>
              <w:t>Clinical criteria</w:t>
            </w:r>
            <w:r>
              <w:rPr>
                <w:lang w:eastAsia="en-AU"/>
              </w:rPr>
              <w:t>:</w:t>
            </w:r>
          </w:p>
        </w:tc>
        <w:tc>
          <w:tcPr>
            <w:tcW w:w="3981" w:type="pct"/>
            <w:tcBorders>
              <w:top w:val="single" w:sz="4" w:space="0" w:color="auto"/>
              <w:left w:val="single" w:sz="4" w:space="0" w:color="auto"/>
              <w:bottom w:val="single" w:sz="4" w:space="0" w:color="auto"/>
              <w:right w:val="single" w:sz="4" w:space="0" w:color="auto"/>
            </w:tcBorders>
          </w:tcPr>
          <w:p w:rsidR="00F23239" w:rsidRDefault="00F23239" w:rsidP="006A0B29">
            <w:pPr>
              <w:pStyle w:val="Tabletext"/>
              <w:rPr>
                <w:lang w:eastAsia="en-AU"/>
              </w:rPr>
            </w:pPr>
            <w:r>
              <w:rPr>
                <w:lang w:eastAsia="en-AU"/>
              </w:rPr>
              <w:t>Patient must have previously been treated with this drug for this condition.</w:t>
            </w:r>
          </w:p>
          <w:p w:rsidR="00F23239" w:rsidRDefault="00F23239" w:rsidP="006A0B29">
            <w:pPr>
              <w:pStyle w:val="Tabletext"/>
              <w:rPr>
                <w:lang w:eastAsia="en-AU"/>
              </w:rPr>
            </w:pPr>
          </w:p>
          <w:p w:rsidR="00F23239" w:rsidRDefault="00F23239" w:rsidP="006A0B29">
            <w:pPr>
              <w:pStyle w:val="Tabletext"/>
              <w:rPr>
                <w:lang w:eastAsia="en-AU"/>
              </w:rPr>
            </w:pPr>
            <w:r>
              <w:rPr>
                <w:lang w:eastAsia="en-AU"/>
              </w:rPr>
              <w:t>AND</w:t>
            </w:r>
          </w:p>
          <w:p w:rsidR="00F23239" w:rsidRDefault="00F23239" w:rsidP="006A0B29">
            <w:pPr>
              <w:pStyle w:val="Tabletext"/>
              <w:rPr>
                <w:lang w:eastAsia="en-AU"/>
              </w:rPr>
            </w:pPr>
          </w:p>
          <w:p w:rsidR="00F23239" w:rsidRPr="00A30A33" w:rsidRDefault="00F23239" w:rsidP="006A0B29">
            <w:pPr>
              <w:pStyle w:val="Tabletext"/>
              <w:rPr>
                <w:lang w:eastAsia="en-AU"/>
              </w:rPr>
            </w:pPr>
            <w:r w:rsidRPr="00EF0F01">
              <w:rPr>
                <w:lang w:eastAsia="en-AU"/>
              </w:rPr>
              <w:t>The treatment must be the sole PBS-subsidised therapy for this condition.</w:t>
            </w:r>
          </w:p>
        </w:tc>
      </w:tr>
      <w:tr w:rsidR="00F23239" w:rsidRPr="00A30A33" w:rsidTr="006A0B29">
        <w:trPr>
          <w:trHeight w:val="20"/>
        </w:trPr>
        <w:tc>
          <w:tcPr>
            <w:tcW w:w="1019" w:type="pct"/>
            <w:tcBorders>
              <w:bottom w:val="single" w:sz="4" w:space="0" w:color="auto"/>
            </w:tcBorders>
          </w:tcPr>
          <w:p w:rsidR="00F23239" w:rsidRPr="00A30A33" w:rsidRDefault="00F23239" w:rsidP="006A0B29">
            <w:pPr>
              <w:pStyle w:val="Tabletext"/>
              <w:rPr>
                <w:lang w:eastAsia="en-AU"/>
              </w:rPr>
            </w:pPr>
            <w:r>
              <w:rPr>
                <w:lang w:eastAsia="en-AU"/>
              </w:rPr>
              <w:t>Administrative advice</w:t>
            </w:r>
          </w:p>
        </w:tc>
        <w:tc>
          <w:tcPr>
            <w:tcW w:w="3981" w:type="pct"/>
            <w:tcBorders>
              <w:bottom w:val="single" w:sz="4" w:space="0" w:color="auto"/>
            </w:tcBorders>
          </w:tcPr>
          <w:p w:rsidR="00F23239" w:rsidRPr="00A30A33" w:rsidRDefault="00F23239" w:rsidP="006A0B29">
            <w:pPr>
              <w:pStyle w:val="Tabletext"/>
              <w:rPr>
                <w:color w:val="000000"/>
                <w:szCs w:val="24"/>
                <w:lang w:eastAsia="en-AU"/>
              </w:rPr>
            </w:pPr>
            <w:r w:rsidRPr="00E075FB">
              <w:rPr>
                <w:color w:val="000000"/>
                <w:szCs w:val="24"/>
                <w:lang w:eastAsia="en-AU"/>
              </w:rPr>
              <w:t>Authority applications for continuing treatment in the same eye may be made by telephone on 1800 700 270 (hours of operation 8 a.m. to 5 p.m. EST Monday to Friday).</w:t>
            </w:r>
          </w:p>
        </w:tc>
      </w:tr>
    </w:tbl>
    <w:p w:rsidR="00CB5C11" w:rsidRPr="00CB5C11" w:rsidRDefault="00CB5C11" w:rsidP="00CB5C11">
      <w:pPr>
        <w:widowControl/>
        <w:rPr>
          <w:rFonts w:asciiTheme="minorHAnsi" w:hAnsiTheme="minorHAnsi"/>
          <w:bCs/>
        </w:rPr>
      </w:pPr>
    </w:p>
    <w:p w:rsidR="00631B05" w:rsidRPr="00707A87" w:rsidRDefault="00631B05" w:rsidP="00D005BF">
      <w:pPr>
        <w:pStyle w:val="PBACHeading1"/>
        <w:rPr>
          <w:rFonts w:eastAsiaTheme="minorHAnsi"/>
          <w:snapToGrid/>
        </w:rPr>
      </w:pPr>
      <w:r w:rsidRPr="00707A87">
        <w:t>Context</w:t>
      </w:r>
      <w:r w:rsidRPr="00707A87">
        <w:rPr>
          <w:rFonts w:eastAsiaTheme="minorHAnsi"/>
          <w:snapToGrid/>
        </w:rPr>
        <w:t xml:space="preserve"> for Decision</w:t>
      </w:r>
    </w:p>
    <w:p w:rsidR="00631B05" w:rsidRPr="00631B05" w:rsidRDefault="00631B05" w:rsidP="00631B05">
      <w:pPr>
        <w:widowControl/>
        <w:spacing w:line="276" w:lineRule="auto"/>
        <w:ind w:left="426"/>
        <w:rPr>
          <w:rFonts w:asciiTheme="minorHAnsi" w:eastAsiaTheme="minorHAnsi" w:hAnsiTheme="minorHAnsi"/>
          <w:snapToGrid/>
        </w:rPr>
      </w:pPr>
      <w:r w:rsidRPr="00631B05">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31B05" w:rsidRPr="00631B05" w:rsidRDefault="00631B05" w:rsidP="00D005BF">
      <w:pPr>
        <w:widowControl/>
        <w:spacing w:after="200" w:line="276" w:lineRule="auto"/>
        <w:rPr>
          <w:rFonts w:ascii="Arial" w:eastAsiaTheme="minorHAnsi" w:hAnsi="Arial"/>
          <w:snapToGrid/>
          <w:sz w:val="22"/>
        </w:rPr>
      </w:pPr>
    </w:p>
    <w:p w:rsidR="00631B05" w:rsidRPr="00707A87" w:rsidRDefault="00631B05" w:rsidP="00D005BF">
      <w:pPr>
        <w:pStyle w:val="PBACHeading1"/>
        <w:rPr>
          <w:rFonts w:eastAsiaTheme="minorHAnsi"/>
          <w:snapToGrid/>
        </w:rPr>
      </w:pPr>
      <w:r w:rsidRPr="00707A87">
        <w:rPr>
          <w:rFonts w:eastAsiaTheme="minorHAnsi"/>
          <w:snapToGrid/>
        </w:rPr>
        <w:t>Sponsor’s Comment</w:t>
      </w:r>
    </w:p>
    <w:p w:rsidR="00631B05" w:rsidRPr="00631B05" w:rsidRDefault="00631B05" w:rsidP="00631B05">
      <w:pPr>
        <w:widowControl/>
        <w:spacing w:after="120" w:line="276" w:lineRule="auto"/>
        <w:ind w:left="426"/>
        <w:rPr>
          <w:rFonts w:asciiTheme="minorHAnsi" w:eastAsiaTheme="minorHAnsi" w:hAnsiTheme="minorHAnsi"/>
          <w:bCs/>
          <w:snapToGrid/>
        </w:rPr>
      </w:pPr>
      <w:r w:rsidRPr="00631B05">
        <w:rPr>
          <w:rFonts w:asciiTheme="minorHAnsi" w:eastAsiaTheme="minorHAnsi" w:hAnsiTheme="minorHAnsi"/>
          <w:bCs/>
          <w:snapToGrid/>
        </w:rPr>
        <w:t>The sponsor had no comment.</w:t>
      </w:r>
    </w:p>
    <w:p w:rsidR="005661AF" w:rsidRPr="001F3FA9" w:rsidRDefault="005661AF" w:rsidP="005661AF">
      <w:pPr>
        <w:pStyle w:val="ListParagraph"/>
        <w:widowControl/>
      </w:pPr>
    </w:p>
    <w:sectPr w:rsidR="005661AF" w:rsidRPr="001F3FA9" w:rsidSect="00E8446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CEFD8C" w15:done="0"/>
  <w15:commentEx w15:paraId="6B24E285" w15:done="0"/>
  <w15:commentEx w15:paraId="3081A727" w15:done="0"/>
  <w15:commentEx w15:paraId="038BB486" w15:done="0"/>
  <w15:commentEx w15:paraId="5B66B979" w15:done="0"/>
  <w15:commentEx w15:paraId="66BDD8FC" w15:done="0"/>
  <w15:commentEx w15:paraId="1A620CC6" w15:done="0"/>
  <w15:commentEx w15:paraId="2499D088" w15:done="0"/>
  <w15:commentEx w15:paraId="72D9AC7E" w15:done="0"/>
  <w15:commentEx w15:paraId="063BFC40" w15:done="0"/>
  <w15:commentEx w15:paraId="756634E4" w15:done="0"/>
  <w15:commentEx w15:paraId="3E1E4D47" w15:done="0"/>
  <w15:commentEx w15:paraId="72D542B2" w15:done="0"/>
  <w15:commentEx w15:paraId="38C4FACB" w15:done="0"/>
  <w15:commentEx w15:paraId="4EDDAC30" w15:done="0"/>
  <w15:commentEx w15:paraId="279C2956" w15:done="0"/>
  <w15:commentEx w15:paraId="04361A30" w15:done="0"/>
  <w15:commentEx w15:paraId="60CB1FC0" w15:done="0"/>
  <w15:commentEx w15:paraId="3CFEB0AA" w15:done="0"/>
  <w15:commentEx w15:paraId="2CC9B60E" w15:done="0"/>
  <w15:commentEx w15:paraId="2450446A" w15:done="0"/>
  <w15:commentEx w15:paraId="4EB1E0DC" w15:done="0"/>
  <w15:commentEx w15:paraId="586991D2" w15:done="0"/>
  <w15:commentEx w15:paraId="00462720" w15:done="0"/>
  <w15:commentEx w15:paraId="672B55CA" w15:done="0"/>
  <w15:commentEx w15:paraId="7102441D" w15:done="0"/>
  <w15:commentEx w15:paraId="562B2B78" w15:done="0"/>
  <w15:commentEx w15:paraId="0E6DCE2F" w15:done="0"/>
  <w15:commentEx w15:paraId="66268AFB" w15:done="0"/>
  <w15:commentEx w15:paraId="7727A147" w15:done="0"/>
  <w15:commentEx w15:paraId="29ED3E24" w15:done="0"/>
  <w15:commentEx w15:paraId="7B2F5AB3" w15:done="0"/>
  <w15:commentEx w15:paraId="58D1E904" w15:done="0"/>
  <w15:commentEx w15:paraId="7F675678" w15:done="0"/>
  <w15:commentEx w15:paraId="625F1499" w15:done="0"/>
  <w15:commentEx w15:paraId="1CC84CA3" w15:done="0"/>
  <w15:commentEx w15:paraId="043A9774" w15:done="0"/>
  <w15:commentEx w15:paraId="1DA43C78" w15:done="0"/>
  <w15:commentEx w15:paraId="2E88B349" w15:done="0"/>
  <w15:commentEx w15:paraId="557C062F" w15:done="0"/>
  <w15:commentEx w15:paraId="73FE5D2A" w15:done="0"/>
  <w15:commentEx w15:paraId="36D3A44A" w15:done="0"/>
  <w15:commentEx w15:paraId="7807A5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B2" w:rsidRDefault="00487EB2" w:rsidP="00124A51">
      <w:r>
        <w:separator/>
      </w:r>
    </w:p>
    <w:p w:rsidR="00487EB2" w:rsidRDefault="00487EB2"/>
  </w:endnote>
  <w:endnote w:type="continuationSeparator" w:id="0">
    <w:p w:rsidR="00487EB2" w:rsidRDefault="00487EB2" w:rsidP="00124A51">
      <w:r>
        <w:continuationSeparator/>
      </w:r>
    </w:p>
    <w:p w:rsidR="00487EB2" w:rsidRDefault="00487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B2" w:rsidRDefault="00487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162923983"/>
      <w:docPartObj>
        <w:docPartGallery w:val="Page Numbers (Bottom of Page)"/>
        <w:docPartUnique/>
      </w:docPartObj>
    </w:sdtPr>
    <w:sdtEndPr>
      <w:rPr>
        <w:noProof/>
      </w:rPr>
    </w:sdtEndPr>
    <w:sdtContent>
      <w:p w:rsidR="00D005BF" w:rsidRPr="00E85791" w:rsidRDefault="00D005BF">
        <w:pPr>
          <w:pStyle w:val="Footer"/>
          <w:jc w:val="center"/>
          <w:rPr>
            <w:b/>
          </w:rPr>
        </w:pPr>
        <w:r w:rsidRPr="00E85791">
          <w:rPr>
            <w:b/>
          </w:rPr>
          <w:fldChar w:fldCharType="begin"/>
        </w:r>
        <w:r w:rsidRPr="00E85791">
          <w:rPr>
            <w:b/>
          </w:rPr>
          <w:instrText xml:space="preserve"> PAGE   \* MERGEFORMAT </w:instrText>
        </w:r>
        <w:r w:rsidRPr="00E85791">
          <w:rPr>
            <w:b/>
          </w:rPr>
          <w:fldChar w:fldCharType="separate"/>
        </w:r>
        <w:r w:rsidR="00487EB2">
          <w:rPr>
            <w:b/>
            <w:noProof/>
          </w:rPr>
          <w:t>1</w:t>
        </w:r>
        <w:r w:rsidRPr="00E85791">
          <w:rPr>
            <w:b/>
            <w:noProof/>
          </w:rPr>
          <w:fldChar w:fldCharType="end"/>
        </w:r>
      </w:p>
    </w:sdtContent>
  </w:sdt>
  <w:p w:rsidR="00D005BF" w:rsidRDefault="00D005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B2" w:rsidRDefault="00487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B2" w:rsidRDefault="00487EB2" w:rsidP="00124A51">
      <w:r>
        <w:separator/>
      </w:r>
    </w:p>
    <w:p w:rsidR="00487EB2" w:rsidRDefault="00487EB2"/>
  </w:footnote>
  <w:footnote w:type="continuationSeparator" w:id="0">
    <w:p w:rsidR="00487EB2" w:rsidRDefault="00487EB2" w:rsidP="00124A51">
      <w:r>
        <w:continuationSeparator/>
      </w:r>
    </w:p>
    <w:p w:rsidR="00487EB2" w:rsidRDefault="00487EB2"/>
  </w:footnote>
  <w:footnote w:id="1">
    <w:p w:rsidR="00D005BF" w:rsidRDefault="00D005BF" w:rsidP="00BA3C6B">
      <w:pPr>
        <w:pStyle w:val="FootnoteText"/>
      </w:pPr>
      <w:r>
        <w:rPr>
          <w:rStyle w:val="FootnoteReference"/>
        </w:rPr>
        <w:footnoteRef/>
      </w:r>
      <w:r>
        <w:t xml:space="preserve"> </w:t>
      </w:r>
      <w:r w:rsidRPr="001458DB">
        <w:t>https://www.rcophth.ac.uk/wp-content/uploads/2015/07/Retinal-Vein-Occlusion-RVO-Guidelines-July-2015.pdf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B2" w:rsidRDefault="00487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BF" w:rsidRPr="00F90A91" w:rsidRDefault="00D005BF" w:rsidP="00E85791">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Pr="00F90A91">
      <w:rPr>
        <w:rFonts w:asciiTheme="minorHAnsi" w:hAnsiTheme="minorHAnsi"/>
        <w:i/>
        <w:color w:val="808080"/>
        <w:sz w:val="22"/>
      </w:rPr>
      <w:t xml:space="preserve"> –</w:t>
    </w:r>
    <w:r>
      <w:rPr>
        <w:rFonts w:asciiTheme="minorHAnsi" w:hAnsiTheme="minorHAnsi"/>
        <w:i/>
        <w:color w:val="808080"/>
        <w:sz w:val="22"/>
      </w:rPr>
      <w:t xml:space="preserve"> March 2018 </w:t>
    </w:r>
    <w:r w:rsidRPr="00F90A91">
      <w:rPr>
        <w:rFonts w:asciiTheme="minorHAnsi" w:hAnsiTheme="minorHAnsi"/>
        <w:i/>
        <w:color w:val="808080"/>
        <w:sz w:val="22"/>
      </w:rPr>
      <w:t>PBAC Meeting</w:t>
    </w:r>
  </w:p>
  <w:p w:rsidR="00D005BF" w:rsidRPr="00E85791" w:rsidRDefault="00D005BF" w:rsidP="00E857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B2" w:rsidRDefault="00487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23F8"/>
    <w:multiLevelType w:val="hybridMultilevel"/>
    <w:tmpl w:val="1E7836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22955690"/>
    <w:multiLevelType w:val="hybridMultilevel"/>
    <w:tmpl w:val="1086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86A7EE8"/>
    <w:multiLevelType w:val="hybridMultilevel"/>
    <w:tmpl w:val="DA8856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8C51BB8"/>
    <w:multiLevelType w:val="multilevel"/>
    <w:tmpl w:val="467ED9C0"/>
    <w:lvl w:ilvl="0">
      <w:start w:val="1"/>
      <w:numFmt w:val="bullet"/>
      <w:lvlText w:val=""/>
      <w:lvlJc w:val="left"/>
      <w:pPr>
        <w:ind w:left="720" w:hanging="720"/>
      </w:pPr>
      <w:rPr>
        <w:rFonts w:ascii="Symbol" w:hAnsi="Symbol" w:hint="default"/>
        <w:b/>
      </w:rPr>
    </w:lvl>
    <w:lvl w:ilvl="1">
      <w:start w:val="1"/>
      <w:numFmt w:val="bullet"/>
      <w:lvlText w:val=""/>
      <w:lvlJc w:val="left"/>
      <w:pPr>
        <w:ind w:left="737" w:hanging="567"/>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4442297"/>
    <w:multiLevelType w:val="hybridMultilevel"/>
    <w:tmpl w:val="BE8CA750"/>
    <w:lvl w:ilvl="0" w:tplc="14E4BF3E">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A6FC7"/>
    <w:multiLevelType w:val="multilevel"/>
    <w:tmpl w:val="2E46B2E2"/>
    <w:lvl w:ilvl="0">
      <w:start w:val="1"/>
      <w:numFmt w:val="decimal"/>
      <w:lvlText w:val="%1"/>
      <w:lvlJc w:val="left"/>
      <w:pPr>
        <w:ind w:left="720" w:hanging="720"/>
      </w:pPr>
      <w:rPr>
        <w:rFonts w:hint="default"/>
        <w:b/>
      </w:rPr>
    </w:lvl>
    <w:lvl w:ilvl="1">
      <w:start w:val="1"/>
      <w:numFmt w:val="bullet"/>
      <w:lvlText w:val=""/>
      <w:lvlJc w:val="left"/>
      <w:pPr>
        <w:ind w:left="737" w:hanging="567"/>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3D978E0"/>
    <w:multiLevelType w:val="hybridMultilevel"/>
    <w:tmpl w:val="DECEFE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621F162D"/>
    <w:multiLevelType w:val="multilevel"/>
    <w:tmpl w:val="DF98612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D9B10F3"/>
    <w:multiLevelType w:val="multilevel"/>
    <w:tmpl w:val="E886251E"/>
    <w:lvl w:ilvl="0">
      <w:start w:val="1"/>
      <w:numFmt w:val="bullet"/>
      <w:lvlText w:val=""/>
      <w:lvlJc w:val="left"/>
      <w:pPr>
        <w:ind w:left="720" w:hanging="720"/>
      </w:pPr>
      <w:rPr>
        <w:rFonts w:ascii="Symbol" w:hAnsi="Symbol" w:hint="default"/>
        <w:b/>
      </w:rPr>
    </w:lvl>
    <w:lvl w:ilvl="1">
      <w:start w:val="1"/>
      <w:numFmt w:val="bullet"/>
      <w:lvlText w:val="o"/>
      <w:lvlJc w:val="left"/>
      <w:pPr>
        <w:ind w:left="737" w:hanging="567"/>
      </w:pPr>
      <w:rPr>
        <w:rFonts w:ascii="Courier New" w:hAnsi="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84D033C"/>
    <w:multiLevelType w:val="multilevel"/>
    <w:tmpl w:val="80FE1E6C"/>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5"/>
  </w:num>
  <w:num w:numId="4">
    <w:abstractNumId w:val="8"/>
  </w:num>
  <w:num w:numId="5">
    <w:abstractNumId w:val="3"/>
  </w:num>
  <w:num w:numId="6">
    <w:abstractNumId w:val="7"/>
  </w:num>
  <w:num w:numId="7">
    <w:abstractNumId w:val="6"/>
  </w:num>
  <w:num w:numId="8">
    <w:abstractNumId w:val="0"/>
  </w:num>
  <w:num w:numId="9">
    <w:abstractNumId w:val="2"/>
  </w:num>
  <w:num w:numId="10">
    <w:abstractNumId w:val="1"/>
  </w:num>
  <w:num w:numId="11">
    <w:abstractNumId w:val="9"/>
  </w:num>
  <w:num w:numId="12">
    <w:abstractNumId w:val="9"/>
  </w:num>
  <w:num w:numId="13">
    <w:abstractNumId w:val="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 Bevan">
    <w15:presenceInfo w15:providerId="AD" w15:userId="S-1-5-21-1451058757-1749049392-1947940980-49028"/>
  </w15:person>
  <w15:person w15:author="Danielle Lang">
    <w15:presenceInfo w15:providerId="AD" w15:userId="S-1-5-21-1451058757-1749049392-1947940980-40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xxt5wrt9xrrket0t1p5fw0p2xw0sxrsewf&quot;&gt;dexamethasone references&lt;record-ids&gt;&lt;item&gt;1&lt;/item&gt;&lt;item&gt;5&lt;/item&gt;&lt;item&gt;6&lt;/item&gt;&lt;item&gt;8&lt;/item&gt;&lt;item&gt;9&lt;/item&gt;&lt;item&gt;10&lt;/item&gt;&lt;item&gt;14&lt;/item&gt;&lt;item&gt;15&lt;/item&gt;&lt;/record-ids&gt;&lt;/item&gt;&lt;/Libraries&gt;"/>
  </w:docVars>
  <w:rsids>
    <w:rsidRoot w:val="00E65E79"/>
    <w:rsid w:val="00000790"/>
    <w:rsid w:val="0000110B"/>
    <w:rsid w:val="000017CB"/>
    <w:rsid w:val="00003499"/>
    <w:rsid w:val="000039B7"/>
    <w:rsid w:val="00006498"/>
    <w:rsid w:val="000106BD"/>
    <w:rsid w:val="000107AD"/>
    <w:rsid w:val="00011AD2"/>
    <w:rsid w:val="00013247"/>
    <w:rsid w:val="00014E52"/>
    <w:rsid w:val="00015886"/>
    <w:rsid w:val="000162EF"/>
    <w:rsid w:val="00020764"/>
    <w:rsid w:val="00020EC3"/>
    <w:rsid w:val="0002225F"/>
    <w:rsid w:val="00022A5C"/>
    <w:rsid w:val="00023763"/>
    <w:rsid w:val="00032830"/>
    <w:rsid w:val="00033863"/>
    <w:rsid w:val="00035DC0"/>
    <w:rsid w:val="00036829"/>
    <w:rsid w:val="00036CF9"/>
    <w:rsid w:val="00040895"/>
    <w:rsid w:val="00040A07"/>
    <w:rsid w:val="00043C37"/>
    <w:rsid w:val="00044D2C"/>
    <w:rsid w:val="00045017"/>
    <w:rsid w:val="00045A2B"/>
    <w:rsid w:val="0004678E"/>
    <w:rsid w:val="0004698F"/>
    <w:rsid w:val="00047C04"/>
    <w:rsid w:val="00050040"/>
    <w:rsid w:val="00051DBC"/>
    <w:rsid w:val="0005392D"/>
    <w:rsid w:val="000539D0"/>
    <w:rsid w:val="000543B5"/>
    <w:rsid w:val="00054621"/>
    <w:rsid w:val="000546D7"/>
    <w:rsid w:val="000636AF"/>
    <w:rsid w:val="00065625"/>
    <w:rsid w:val="00066360"/>
    <w:rsid w:val="00066F5E"/>
    <w:rsid w:val="00070F4F"/>
    <w:rsid w:val="00071248"/>
    <w:rsid w:val="000720B9"/>
    <w:rsid w:val="00072E11"/>
    <w:rsid w:val="00072E7F"/>
    <w:rsid w:val="000737F7"/>
    <w:rsid w:val="000748BC"/>
    <w:rsid w:val="0007672F"/>
    <w:rsid w:val="00076937"/>
    <w:rsid w:val="000774F0"/>
    <w:rsid w:val="00077FB8"/>
    <w:rsid w:val="00080909"/>
    <w:rsid w:val="000812CA"/>
    <w:rsid w:val="0008258D"/>
    <w:rsid w:val="00083E99"/>
    <w:rsid w:val="000855B7"/>
    <w:rsid w:val="000856C5"/>
    <w:rsid w:val="00090C7E"/>
    <w:rsid w:val="00090F61"/>
    <w:rsid w:val="00091780"/>
    <w:rsid w:val="00092600"/>
    <w:rsid w:val="0009262B"/>
    <w:rsid w:val="00093310"/>
    <w:rsid w:val="00094362"/>
    <w:rsid w:val="0009445C"/>
    <w:rsid w:val="000948E4"/>
    <w:rsid w:val="00094D15"/>
    <w:rsid w:val="00095FE5"/>
    <w:rsid w:val="00096284"/>
    <w:rsid w:val="000963FF"/>
    <w:rsid w:val="000964F6"/>
    <w:rsid w:val="00097052"/>
    <w:rsid w:val="000A0419"/>
    <w:rsid w:val="000A0581"/>
    <w:rsid w:val="000A18CE"/>
    <w:rsid w:val="000A2D53"/>
    <w:rsid w:val="000A4419"/>
    <w:rsid w:val="000A55FE"/>
    <w:rsid w:val="000A61A8"/>
    <w:rsid w:val="000A7D08"/>
    <w:rsid w:val="000B0670"/>
    <w:rsid w:val="000B0E75"/>
    <w:rsid w:val="000B25F3"/>
    <w:rsid w:val="000B3C71"/>
    <w:rsid w:val="000B407B"/>
    <w:rsid w:val="000B5B03"/>
    <w:rsid w:val="000B5F7B"/>
    <w:rsid w:val="000B6CAC"/>
    <w:rsid w:val="000B7612"/>
    <w:rsid w:val="000C025A"/>
    <w:rsid w:val="000C053D"/>
    <w:rsid w:val="000C1A2C"/>
    <w:rsid w:val="000C395F"/>
    <w:rsid w:val="000C3DDC"/>
    <w:rsid w:val="000C3DF9"/>
    <w:rsid w:val="000C6713"/>
    <w:rsid w:val="000C6B19"/>
    <w:rsid w:val="000C6DD1"/>
    <w:rsid w:val="000C7D4D"/>
    <w:rsid w:val="000D1BFC"/>
    <w:rsid w:val="000D281A"/>
    <w:rsid w:val="000D326A"/>
    <w:rsid w:val="000D51FB"/>
    <w:rsid w:val="000D5590"/>
    <w:rsid w:val="000E135D"/>
    <w:rsid w:val="000E1FF9"/>
    <w:rsid w:val="000E23D3"/>
    <w:rsid w:val="000E3484"/>
    <w:rsid w:val="000E5A31"/>
    <w:rsid w:val="000E64D4"/>
    <w:rsid w:val="000F00BA"/>
    <w:rsid w:val="000F1392"/>
    <w:rsid w:val="000F183A"/>
    <w:rsid w:val="000F316A"/>
    <w:rsid w:val="000F3C74"/>
    <w:rsid w:val="000F4BB8"/>
    <w:rsid w:val="000F5613"/>
    <w:rsid w:val="000F6DAA"/>
    <w:rsid w:val="000F7127"/>
    <w:rsid w:val="00100F8A"/>
    <w:rsid w:val="001013AF"/>
    <w:rsid w:val="00101768"/>
    <w:rsid w:val="00101A25"/>
    <w:rsid w:val="00103D70"/>
    <w:rsid w:val="00105AE2"/>
    <w:rsid w:val="00106B80"/>
    <w:rsid w:val="00107CC7"/>
    <w:rsid w:val="00107DBE"/>
    <w:rsid w:val="0011032E"/>
    <w:rsid w:val="0011297C"/>
    <w:rsid w:val="0011348B"/>
    <w:rsid w:val="00113EAA"/>
    <w:rsid w:val="00115982"/>
    <w:rsid w:val="00115B77"/>
    <w:rsid w:val="00116C53"/>
    <w:rsid w:val="00120903"/>
    <w:rsid w:val="00120925"/>
    <w:rsid w:val="00121799"/>
    <w:rsid w:val="00121B7C"/>
    <w:rsid w:val="001222FC"/>
    <w:rsid w:val="0012481B"/>
    <w:rsid w:val="00124A51"/>
    <w:rsid w:val="00126621"/>
    <w:rsid w:val="001301E9"/>
    <w:rsid w:val="001311D6"/>
    <w:rsid w:val="00131D82"/>
    <w:rsid w:val="00132ADF"/>
    <w:rsid w:val="00133D36"/>
    <w:rsid w:val="0013451A"/>
    <w:rsid w:val="001355B8"/>
    <w:rsid w:val="00136BCD"/>
    <w:rsid w:val="00137145"/>
    <w:rsid w:val="00137645"/>
    <w:rsid w:val="00140009"/>
    <w:rsid w:val="0014015A"/>
    <w:rsid w:val="00140E99"/>
    <w:rsid w:val="00145540"/>
    <w:rsid w:val="001456B0"/>
    <w:rsid w:val="001458DB"/>
    <w:rsid w:val="001472B5"/>
    <w:rsid w:val="00147462"/>
    <w:rsid w:val="00151CD9"/>
    <w:rsid w:val="00152619"/>
    <w:rsid w:val="0015335E"/>
    <w:rsid w:val="0015669C"/>
    <w:rsid w:val="00157130"/>
    <w:rsid w:val="001576B1"/>
    <w:rsid w:val="00160A4C"/>
    <w:rsid w:val="001616E7"/>
    <w:rsid w:val="00161D95"/>
    <w:rsid w:val="00161E0C"/>
    <w:rsid w:val="00162913"/>
    <w:rsid w:val="00163EFF"/>
    <w:rsid w:val="00165297"/>
    <w:rsid w:val="001661FB"/>
    <w:rsid w:val="00166806"/>
    <w:rsid w:val="00172E33"/>
    <w:rsid w:val="00173565"/>
    <w:rsid w:val="00173AF0"/>
    <w:rsid w:val="00173B07"/>
    <w:rsid w:val="00181D9C"/>
    <w:rsid w:val="00185080"/>
    <w:rsid w:val="0018752F"/>
    <w:rsid w:val="00193BEF"/>
    <w:rsid w:val="00195222"/>
    <w:rsid w:val="00195577"/>
    <w:rsid w:val="00196A1B"/>
    <w:rsid w:val="001975D8"/>
    <w:rsid w:val="001A3667"/>
    <w:rsid w:val="001A43FA"/>
    <w:rsid w:val="001A59FB"/>
    <w:rsid w:val="001A6132"/>
    <w:rsid w:val="001A6323"/>
    <w:rsid w:val="001A6354"/>
    <w:rsid w:val="001A7AE8"/>
    <w:rsid w:val="001B0699"/>
    <w:rsid w:val="001B204E"/>
    <w:rsid w:val="001B23C8"/>
    <w:rsid w:val="001B3443"/>
    <w:rsid w:val="001B4D20"/>
    <w:rsid w:val="001B5570"/>
    <w:rsid w:val="001B68F8"/>
    <w:rsid w:val="001B76CD"/>
    <w:rsid w:val="001C194B"/>
    <w:rsid w:val="001C2A9B"/>
    <w:rsid w:val="001C36F6"/>
    <w:rsid w:val="001C3AB8"/>
    <w:rsid w:val="001C4299"/>
    <w:rsid w:val="001C47C5"/>
    <w:rsid w:val="001C5F94"/>
    <w:rsid w:val="001C676A"/>
    <w:rsid w:val="001C6E66"/>
    <w:rsid w:val="001D074A"/>
    <w:rsid w:val="001D4858"/>
    <w:rsid w:val="001D7761"/>
    <w:rsid w:val="001E036C"/>
    <w:rsid w:val="001E0A95"/>
    <w:rsid w:val="001E0B8F"/>
    <w:rsid w:val="001E238E"/>
    <w:rsid w:val="001E2483"/>
    <w:rsid w:val="001E259D"/>
    <w:rsid w:val="001E26E7"/>
    <w:rsid w:val="001E285A"/>
    <w:rsid w:val="001E2B1E"/>
    <w:rsid w:val="001E30D4"/>
    <w:rsid w:val="001E34B8"/>
    <w:rsid w:val="001E52EB"/>
    <w:rsid w:val="001E61D2"/>
    <w:rsid w:val="001E740C"/>
    <w:rsid w:val="001E7804"/>
    <w:rsid w:val="001E7AE7"/>
    <w:rsid w:val="001F1235"/>
    <w:rsid w:val="001F1CB3"/>
    <w:rsid w:val="001F2431"/>
    <w:rsid w:val="001F27B7"/>
    <w:rsid w:val="001F38B5"/>
    <w:rsid w:val="001F3FA9"/>
    <w:rsid w:val="001F40FF"/>
    <w:rsid w:val="001F7361"/>
    <w:rsid w:val="002011B0"/>
    <w:rsid w:val="00203181"/>
    <w:rsid w:val="00203783"/>
    <w:rsid w:val="0020385F"/>
    <w:rsid w:val="0020606E"/>
    <w:rsid w:val="00207021"/>
    <w:rsid w:val="0020732F"/>
    <w:rsid w:val="00207D00"/>
    <w:rsid w:val="002105C1"/>
    <w:rsid w:val="002115BC"/>
    <w:rsid w:val="0021279D"/>
    <w:rsid w:val="002161FF"/>
    <w:rsid w:val="00216F7B"/>
    <w:rsid w:val="00222E8E"/>
    <w:rsid w:val="00223B49"/>
    <w:rsid w:val="00223FA7"/>
    <w:rsid w:val="00224DD4"/>
    <w:rsid w:val="00227630"/>
    <w:rsid w:val="002309CC"/>
    <w:rsid w:val="00230C48"/>
    <w:rsid w:val="00231499"/>
    <w:rsid w:val="00231688"/>
    <w:rsid w:val="0023209F"/>
    <w:rsid w:val="002345EC"/>
    <w:rsid w:val="0023629D"/>
    <w:rsid w:val="002362CD"/>
    <w:rsid w:val="00236E62"/>
    <w:rsid w:val="00237255"/>
    <w:rsid w:val="00240085"/>
    <w:rsid w:val="002424AF"/>
    <w:rsid w:val="002439DC"/>
    <w:rsid w:val="00244DC8"/>
    <w:rsid w:val="002452FB"/>
    <w:rsid w:val="002458BA"/>
    <w:rsid w:val="0024636C"/>
    <w:rsid w:val="002467AF"/>
    <w:rsid w:val="00247925"/>
    <w:rsid w:val="002506DE"/>
    <w:rsid w:val="00250B85"/>
    <w:rsid w:val="00254A98"/>
    <w:rsid w:val="00254DCF"/>
    <w:rsid w:val="0025534B"/>
    <w:rsid w:val="00255BB7"/>
    <w:rsid w:val="002573FC"/>
    <w:rsid w:val="00257541"/>
    <w:rsid w:val="0026080B"/>
    <w:rsid w:val="00260B0F"/>
    <w:rsid w:val="00262A1A"/>
    <w:rsid w:val="00262A87"/>
    <w:rsid w:val="00264D26"/>
    <w:rsid w:val="0026724B"/>
    <w:rsid w:val="00267535"/>
    <w:rsid w:val="00267642"/>
    <w:rsid w:val="00267AEA"/>
    <w:rsid w:val="002700E6"/>
    <w:rsid w:val="0027294B"/>
    <w:rsid w:val="00273033"/>
    <w:rsid w:val="00273F12"/>
    <w:rsid w:val="00274871"/>
    <w:rsid w:val="00275816"/>
    <w:rsid w:val="00275C5A"/>
    <w:rsid w:val="00277B5D"/>
    <w:rsid w:val="002806A8"/>
    <w:rsid w:val="002808EB"/>
    <w:rsid w:val="00281014"/>
    <w:rsid w:val="002815C4"/>
    <w:rsid w:val="00282095"/>
    <w:rsid w:val="00283FA3"/>
    <w:rsid w:val="00287693"/>
    <w:rsid w:val="00291696"/>
    <w:rsid w:val="00291B57"/>
    <w:rsid w:val="00293319"/>
    <w:rsid w:val="00293EDD"/>
    <w:rsid w:val="002949B3"/>
    <w:rsid w:val="002A14AB"/>
    <w:rsid w:val="002A2F50"/>
    <w:rsid w:val="002A3722"/>
    <w:rsid w:val="002A4374"/>
    <w:rsid w:val="002A4504"/>
    <w:rsid w:val="002A5656"/>
    <w:rsid w:val="002A62A8"/>
    <w:rsid w:val="002B0834"/>
    <w:rsid w:val="002B09A4"/>
    <w:rsid w:val="002B1C1F"/>
    <w:rsid w:val="002B4178"/>
    <w:rsid w:val="002B432F"/>
    <w:rsid w:val="002B5BB7"/>
    <w:rsid w:val="002B5FA8"/>
    <w:rsid w:val="002B61C2"/>
    <w:rsid w:val="002B62B3"/>
    <w:rsid w:val="002B6754"/>
    <w:rsid w:val="002B679D"/>
    <w:rsid w:val="002B6CCE"/>
    <w:rsid w:val="002B7965"/>
    <w:rsid w:val="002C08AC"/>
    <w:rsid w:val="002C0B0C"/>
    <w:rsid w:val="002C220E"/>
    <w:rsid w:val="002C2510"/>
    <w:rsid w:val="002C2775"/>
    <w:rsid w:val="002C27C1"/>
    <w:rsid w:val="002C5099"/>
    <w:rsid w:val="002C5327"/>
    <w:rsid w:val="002C5889"/>
    <w:rsid w:val="002C6BC0"/>
    <w:rsid w:val="002C7159"/>
    <w:rsid w:val="002C71CE"/>
    <w:rsid w:val="002D1233"/>
    <w:rsid w:val="002D1D58"/>
    <w:rsid w:val="002D2AA5"/>
    <w:rsid w:val="002D540B"/>
    <w:rsid w:val="002D547E"/>
    <w:rsid w:val="002D5611"/>
    <w:rsid w:val="002D577C"/>
    <w:rsid w:val="002D7351"/>
    <w:rsid w:val="002E15B9"/>
    <w:rsid w:val="002E2158"/>
    <w:rsid w:val="002E5249"/>
    <w:rsid w:val="002E7722"/>
    <w:rsid w:val="002F07BA"/>
    <w:rsid w:val="002F0DA9"/>
    <w:rsid w:val="002F15FA"/>
    <w:rsid w:val="002F37C4"/>
    <w:rsid w:val="002F3983"/>
    <w:rsid w:val="002F5BD4"/>
    <w:rsid w:val="002F643C"/>
    <w:rsid w:val="002F71C0"/>
    <w:rsid w:val="00301017"/>
    <w:rsid w:val="0030155F"/>
    <w:rsid w:val="00303E99"/>
    <w:rsid w:val="00305260"/>
    <w:rsid w:val="0030587B"/>
    <w:rsid w:val="00306A4D"/>
    <w:rsid w:val="00306D98"/>
    <w:rsid w:val="003073F1"/>
    <w:rsid w:val="0030786C"/>
    <w:rsid w:val="0031031A"/>
    <w:rsid w:val="00310981"/>
    <w:rsid w:val="003135C7"/>
    <w:rsid w:val="003136FE"/>
    <w:rsid w:val="00315498"/>
    <w:rsid w:val="00317A78"/>
    <w:rsid w:val="00322107"/>
    <w:rsid w:val="00322846"/>
    <w:rsid w:val="0032402B"/>
    <w:rsid w:val="00325A7C"/>
    <w:rsid w:val="00326DA7"/>
    <w:rsid w:val="003270E4"/>
    <w:rsid w:val="00330F5C"/>
    <w:rsid w:val="0033268F"/>
    <w:rsid w:val="00334503"/>
    <w:rsid w:val="003366C9"/>
    <w:rsid w:val="00336ADD"/>
    <w:rsid w:val="003371B0"/>
    <w:rsid w:val="00340DF1"/>
    <w:rsid w:val="00346C76"/>
    <w:rsid w:val="003517F9"/>
    <w:rsid w:val="0035349A"/>
    <w:rsid w:val="0035620E"/>
    <w:rsid w:val="00356C82"/>
    <w:rsid w:val="00357FA1"/>
    <w:rsid w:val="003610AD"/>
    <w:rsid w:val="00361734"/>
    <w:rsid w:val="003624C4"/>
    <w:rsid w:val="00364E4D"/>
    <w:rsid w:val="003654AC"/>
    <w:rsid w:val="003655BE"/>
    <w:rsid w:val="003672D4"/>
    <w:rsid w:val="003709BA"/>
    <w:rsid w:val="003710CF"/>
    <w:rsid w:val="0037358A"/>
    <w:rsid w:val="003750F6"/>
    <w:rsid w:val="003760FC"/>
    <w:rsid w:val="00377DDE"/>
    <w:rsid w:val="0038365C"/>
    <w:rsid w:val="0038369B"/>
    <w:rsid w:val="00383B78"/>
    <w:rsid w:val="00384BD8"/>
    <w:rsid w:val="00385A9D"/>
    <w:rsid w:val="0038606E"/>
    <w:rsid w:val="00386B1D"/>
    <w:rsid w:val="003902B1"/>
    <w:rsid w:val="003953D0"/>
    <w:rsid w:val="00396896"/>
    <w:rsid w:val="00396FD0"/>
    <w:rsid w:val="003A0721"/>
    <w:rsid w:val="003A07F3"/>
    <w:rsid w:val="003A1A7A"/>
    <w:rsid w:val="003A2392"/>
    <w:rsid w:val="003A2831"/>
    <w:rsid w:val="003A3ED1"/>
    <w:rsid w:val="003A5733"/>
    <w:rsid w:val="003A5F07"/>
    <w:rsid w:val="003B1C50"/>
    <w:rsid w:val="003B325F"/>
    <w:rsid w:val="003B4459"/>
    <w:rsid w:val="003B4707"/>
    <w:rsid w:val="003B5B61"/>
    <w:rsid w:val="003B5E50"/>
    <w:rsid w:val="003C14E2"/>
    <w:rsid w:val="003C1654"/>
    <w:rsid w:val="003C3ED3"/>
    <w:rsid w:val="003C6226"/>
    <w:rsid w:val="003C7D19"/>
    <w:rsid w:val="003D1828"/>
    <w:rsid w:val="003D1DE4"/>
    <w:rsid w:val="003D2422"/>
    <w:rsid w:val="003D2C85"/>
    <w:rsid w:val="003D39A1"/>
    <w:rsid w:val="003D3FBF"/>
    <w:rsid w:val="003D4A30"/>
    <w:rsid w:val="003D79BB"/>
    <w:rsid w:val="003D7C98"/>
    <w:rsid w:val="003E0543"/>
    <w:rsid w:val="003E212D"/>
    <w:rsid w:val="003E3C49"/>
    <w:rsid w:val="003E4FB4"/>
    <w:rsid w:val="003E5952"/>
    <w:rsid w:val="003E5DA0"/>
    <w:rsid w:val="003E614D"/>
    <w:rsid w:val="003F3E8C"/>
    <w:rsid w:val="003F4156"/>
    <w:rsid w:val="003F5AF6"/>
    <w:rsid w:val="00400B29"/>
    <w:rsid w:val="00401E16"/>
    <w:rsid w:val="004032FD"/>
    <w:rsid w:val="00404684"/>
    <w:rsid w:val="0040504B"/>
    <w:rsid w:val="00410708"/>
    <w:rsid w:val="00410EC7"/>
    <w:rsid w:val="00411B39"/>
    <w:rsid w:val="00412AB1"/>
    <w:rsid w:val="00412E8A"/>
    <w:rsid w:val="00413A1E"/>
    <w:rsid w:val="0041408A"/>
    <w:rsid w:val="00414476"/>
    <w:rsid w:val="00414C2E"/>
    <w:rsid w:val="004151CF"/>
    <w:rsid w:val="004155B1"/>
    <w:rsid w:val="00415ABD"/>
    <w:rsid w:val="00416364"/>
    <w:rsid w:val="004166C7"/>
    <w:rsid w:val="00420016"/>
    <w:rsid w:val="00420AA6"/>
    <w:rsid w:val="00420B9F"/>
    <w:rsid w:val="0042215D"/>
    <w:rsid w:val="00422260"/>
    <w:rsid w:val="0042413F"/>
    <w:rsid w:val="004242D9"/>
    <w:rsid w:val="00424D68"/>
    <w:rsid w:val="0042541E"/>
    <w:rsid w:val="00426B47"/>
    <w:rsid w:val="0042719E"/>
    <w:rsid w:val="004319F8"/>
    <w:rsid w:val="00431E55"/>
    <w:rsid w:val="004321F6"/>
    <w:rsid w:val="00432890"/>
    <w:rsid w:val="00433044"/>
    <w:rsid w:val="004368F3"/>
    <w:rsid w:val="004370E8"/>
    <w:rsid w:val="004375B9"/>
    <w:rsid w:val="00437A11"/>
    <w:rsid w:val="0044039B"/>
    <w:rsid w:val="00440527"/>
    <w:rsid w:val="00440ABD"/>
    <w:rsid w:val="004428D0"/>
    <w:rsid w:val="004438D0"/>
    <w:rsid w:val="004443A7"/>
    <w:rsid w:val="0044442C"/>
    <w:rsid w:val="00445941"/>
    <w:rsid w:val="004464EB"/>
    <w:rsid w:val="00447D26"/>
    <w:rsid w:val="00454B74"/>
    <w:rsid w:val="004551AC"/>
    <w:rsid w:val="00455D45"/>
    <w:rsid w:val="00456B99"/>
    <w:rsid w:val="00462B75"/>
    <w:rsid w:val="00464595"/>
    <w:rsid w:val="0046500E"/>
    <w:rsid w:val="00472A79"/>
    <w:rsid w:val="00473670"/>
    <w:rsid w:val="00473F19"/>
    <w:rsid w:val="00474425"/>
    <w:rsid w:val="00474612"/>
    <w:rsid w:val="00475E22"/>
    <w:rsid w:val="004773E4"/>
    <w:rsid w:val="0048088E"/>
    <w:rsid w:val="00482720"/>
    <w:rsid w:val="004835E7"/>
    <w:rsid w:val="004867E2"/>
    <w:rsid w:val="00487EB2"/>
    <w:rsid w:val="00491B3A"/>
    <w:rsid w:val="004920D3"/>
    <w:rsid w:val="00492CFD"/>
    <w:rsid w:val="00494418"/>
    <w:rsid w:val="00494DD5"/>
    <w:rsid w:val="004962D2"/>
    <w:rsid w:val="004A0250"/>
    <w:rsid w:val="004A0DA1"/>
    <w:rsid w:val="004A10B5"/>
    <w:rsid w:val="004A2897"/>
    <w:rsid w:val="004A4424"/>
    <w:rsid w:val="004A52E9"/>
    <w:rsid w:val="004A6597"/>
    <w:rsid w:val="004A7848"/>
    <w:rsid w:val="004B1CB4"/>
    <w:rsid w:val="004B2BF1"/>
    <w:rsid w:val="004B2F18"/>
    <w:rsid w:val="004B31E6"/>
    <w:rsid w:val="004B3DDB"/>
    <w:rsid w:val="004B44FD"/>
    <w:rsid w:val="004B579F"/>
    <w:rsid w:val="004B5CFC"/>
    <w:rsid w:val="004B6C2A"/>
    <w:rsid w:val="004B6E16"/>
    <w:rsid w:val="004B7203"/>
    <w:rsid w:val="004B774D"/>
    <w:rsid w:val="004C2328"/>
    <w:rsid w:val="004C3D52"/>
    <w:rsid w:val="004C4AED"/>
    <w:rsid w:val="004C53A1"/>
    <w:rsid w:val="004C6ADD"/>
    <w:rsid w:val="004C72D8"/>
    <w:rsid w:val="004C79B2"/>
    <w:rsid w:val="004D2B69"/>
    <w:rsid w:val="004D2C2D"/>
    <w:rsid w:val="004D6B5D"/>
    <w:rsid w:val="004D7227"/>
    <w:rsid w:val="004E0E7F"/>
    <w:rsid w:val="004E0EB8"/>
    <w:rsid w:val="004E2ADC"/>
    <w:rsid w:val="004E43B2"/>
    <w:rsid w:val="004E4A19"/>
    <w:rsid w:val="004E503A"/>
    <w:rsid w:val="004E77F2"/>
    <w:rsid w:val="004E7A40"/>
    <w:rsid w:val="004F0A6A"/>
    <w:rsid w:val="004F1D02"/>
    <w:rsid w:val="004F2679"/>
    <w:rsid w:val="004F2F21"/>
    <w:rsid w:val="004F44C4"/>
    <w:rsid w:val="004F48D7"/>
    <w:rsid w:val="004F4D84"/>
    <w:rsid w:val="004F6913"/>
    <w:rsid w:val="004F7865"/>
    <w:rsid w:val="00500511"/>
    <w:rsid w:val="005015D5"/>
    <w:rsid w:val="0050219B"/>
    <w:rsid w:val="005027AC"/>
    <w:rsid w:val="00502961"/>
    <w:rsid w:val="00503F17"/>
    <w:rsid w:val="00504051"/>
    <w:rsid w:val="00505417"/>
    <w:rsid w:val="005063BC"/>
    <w:rsid w:val="00506928"/>
    <w:rsid w:val="0050735A"/>
    <w:rsid w:val="005152B5"/>
    <w:rsid w:val="00516B2A"/>
    <w:rsid w:val="005177FD"/>
    <w:rsid w:val="00520DC0"/>
    <w:rsid w:val="00521319"/>
    <w:rsid w:val="00522BC8"/>
    <w:rsid w:val="00523C28"/>
    <w:rsid w:val="00524196"/>
    <w:rsid w:val="00524D80"/>
    <w:rsid w:val="00525D33"/>
    <w:rsid w:val="005277C4"/>
    <w:rsid w:val="0053017B"/>
    <w:rsid w:val="005324C7"/>
    <w:rsid w:val="00533FA9"/>
    <w:rsid w:val="00536F42"/>
    <w:rsid w:val="00537182"/>
    <w:rsid w:val="00540D12"/>
    <w:rsid w:val="00542743"/>
    <w:rsid w:val="00542C2D"/>
    <w:rsid w:val="005463DB"/>
    <w:rsid w:val="00547245"/>
    <w:rsid w:val="00547767"/>
    <w:rsid w:val="005513B1"/>
    <w:rsid w:val="00551867"/>
    <w:rsid w:val="00551985"/>
    <w:rsid w:val="00552BD3"/>
    <w:rsid w:val="005534C0"/>
    <w:rsid w:val="00555109"/>
    <w:rsid w:val="0055518E"/>
    <w:rsid w:val="0056406D"/>
    <w:rsid w:val="005661AF"/>
    <w:rsid w:val="0056696F"/>
    <w:rsid w:val="00567317"/>
    <w:rsid w:val="00567868"/>
    <w:rsid w:val="0057107A"/>
    <w:rsid w:val="00572269"/>
    <w:rsid w:val="0057244A"/>
    <w:rsid w:val="00572D3B"/>
    <w:rsid w:val="00573AEA"/>
    <w:rsid w:val="005750DF"/>
    <w:rsid w:val="00575196"/>
    <w:rsid w:val="00575D8D"/>
    <w:rsid w:val="00576972"/>
    <w:rsid w:val="00577C66"/>
    <w:rsid w:val="0058041C"/>
    <w:rsid w:val="005821AF"/>
    <w:rsid w:val="00582460"/>
    <w:rsid w:val="00583699"/>
    <w:rsid w:val="00585CDD"/>
    <w:rsid w:val="00587058"/>
    <w:rsid w:val="005908A5"/>
    <w:rsid w:val="005914E7"/>
    <w:rsid w:val="00591957"/>
    <w:rsid w:val="00592FD5"/>
    <w:rsid w:val="00595797"/>
    <w:rsid w:val="00597819"/>
    <w:rsid w:val="00597BF9"/>
    <w:rsid w:val="005A0E27"/>
    <w:rsid w:val="005A27B3"/>
    <w:rsid w:val="005A373D"/>
    <w:rsid w:val="005B01ED"/>
    <w:rsid w:val="005B0303"/>
    <w:rsid w:val="005B268D"/>
    <w:rsid w:val="005B276F"/>
    <w:rsid w:val="005B2ABB"/>
    <w:rsid w:val="005B373C"/>
    <w:rsid w:val="005B4BB8"/>
    <w:rsid w:val="005B5775"/>
    <w:rsid w:val="005B5857"/>
    <w:rsid w:val="005C1B83"/>
    <w:rsid w:val="005C2D55"/>
    <w:rsid w:val="005C2FEC"/>
    <w:rsid w:val="005C346B"/>
    <w:rsid w:val="005C3879"/>
    <w:rsid w:val="005C40B4"/>
    <w:rsid w:val="005C6811"/>
    <w:rsid w:val="005D044D"/>
    <w:rsid w:val="005D0ABD"/>
    <w:rsid w:val="005D18AD"/>
    <w:rsid w:val="005D26B4"/>
    <w:rsid w:val="005D3117"/>
    <w:rsid w:val="005D5666"/>
    <w:rsid w:val="005D7255"/>
    <w:rsid w:val="005E0B1B"/>
    <w:rsid w:val="005E544F"/>
    <w:rsid w:val="005E6AED"/>
    <w:rsid w:val="005E6CBC"/>
    <w:rsid w:val="005E6FBA"/>
    <w:rsid w:val="005E73C0"/>
    <w:rsid w:val="005F1093"/>
    <w:rsid w:val="005F2706"/>
    <w:rsid w:val="005F49F2"/>
    <w:rsid w:val="005F61B4"/>
    <w:rsid w:val="005F6A8F"/>
    <w:rsid w:val="005F791E"/>
    <w:rsid w:val="0060352E"/>
    <w:rsid w:val="00603DB9"/>
    <w:rsid w:val="00604337"/>
    <w:rsid w:val="00607669"/>
    <w:rsid w:val="00607AFD"/>
    <w:rsid w:val="00611715"/>
    <w:rsid w:val="00612F97"/>
    <w:rsid w:val="0061345D"/>
    <w:rsid w:val="006162BE"/>
    <w:rsid w:val="00616802"/>
    <w:rsid w:val="00617E12"/>
    <w:rsid w:val="0062007E"/>
    <w:rsid w:val="0062128A"/>
    <w:rsid w:val="00621477"/>
    <w:rsid w:val="00623353"/>
    <w:rsid w:val="00624AED"/>
    <w:rsid w:val="0062722F"/>
    <w:rsid w:val="0063037A"/>
    <w:rsid w:val="00630AB3"/>
    <w:rsid w:val="0063158F"/>
    <w:rsid w:val="00631B05"/>
    <w:rsid w:val="00631D6B"/>
    <w:rsid w:val="006330A1"/>
    <w:rsid w:val="00634311"/>
    <w:rsid w:val="0063479F"/>
    <w:rsid w:val="00634991"/>
    <w:rsid w:val="006353F0"/>
    <w:rsid w:val="006364A1"/>
    <w:rsid w:val="00637BFD"/>
    <w:rsid w:val="0064145F"/>
    <w:rsid w:val="00641C4E"/>
    <w:rsid w:val="00643167"/>
    <w:rsid w:val="00644609"/>
    <w:rsid w:val="006451FF"/>
    <w:rsid w:val="00645F65"/>
    <w:rsid w:val="006471CC"/>
    <w:rsid w:val="0065079F"/>
    <w:rsid w:val="00651863"/>
    <w:rsid w:val="006530B9"/>
    <w:rsid w:val="0065379F"/>
    <w:rsid w:val="00655746"/>
    <w:rsid w:val="006558D6"/>
    <w:rsid w:val="00661C6B"/>
    <w:rsid w:val="00662EC9"/>
    <w:rsid w:val="00664136"/>
    <w:rsid w:val="006661AE"/>
    <w:rsid w:val="00666773"/>
    <w:rsid w:val="00666D2F"/>
    <w:rsid w:val="0067003D"/>
    <w:rsid w:val="00670C70"/>
    <w:rsid w:val="006723BB"/>
    <w:rsid w:val="006736FC"/>
    <w:rsid w:val="006739EB"/>
    <w:rsid w:val="00674E42"/>
    <w:rsid w:val="00675A6C"/>
    <w:rsid w:val="0067672D"/>
    <w:rsid w:val="00682112"/>
    <w:rsid w:val="006864F6"/>
    <w:rsid w:val="00686957"/>
    <w:rsid w:val="0068709F"/>
    <w:rsid w:val="006872BA"/>
    <w:rsid w:val="0069019E"/>
    <w:rsid w:val="00691648"/>
    <w:rsid w:val="006917D7"/>
    <w:rsid w:val="00691B82"/>
    <w:rsid w:val="00694F44"/>
    <w:rsid w:val="00697A7A"/>
    <w:rsid w:val="006A0B29"/>
    <w:rsid w:val="006A3183"/>
    <w:rsid w:val="006A36D0"/>
    <w:rsid w:val="006A627B"/>
    <w:rsid w:val="006A7E5F"/>
    <w:rsid w:val="006B1735"/>
    <w:rsid w:val="006B261B"/>
    <w:rsid w:val="006B2C90"/>
    <w:rsid w:val="006B475D"/>
    <w:rsid w:val="006B5F3E"/>
    <w:rsid w:val="006B6546"/>
    <w:rsid w:val="006B6DD0"/>
    <w:rsid w:val="006C2A8E"/>
    <w:rsid w:val="006C45A2"/>
    <w:rsid w:val="006C5E6F"/>
    <w:rsid w:val="006D0BC4"/>
    <w:rsid w:val="006D3142"/>
    <w:rsid w:val="006D3C7D"/>
    <w:rsid w:val="006D4F44"/>
    <w:rsid w:val="006D5D5F"/>
    <w:rsid w:val="006D621A"/>
    <w:rsid w:val="006E1B87"/>
    <w:rsid w:val="006E32D3"/>
    <w:rsid w:val="006E6F7C"/>
    <w:rsid w:val="006E6F8D"/>
    <w:rsid w:val="006F306C"/>
    <w:rsid w:val="006F3078"/>
    <w:rsid w:val="006F3887"/>
    <w:rsid w:val="006F55AC"/>
    <w:rsid w:val="006F63A5"/>
    <w:rsid w:val="006F656B"/>
    <w:rsid w:val="00700003"/>
    <w:rsid w:val="0070142B"/>
    <w:rsid w:val="0070254B"/>
    <w:rsid w:val="0070276E"/>
    <w:rsid w:val="00702F8F"/>
    <w:rsid w:val="00705CCC"/>
    <w:rsid w:val="00707A87"/>
    <w:rsid w:val="00710D91"/>
    <w:rsid w:val="00711810"/>
    <w:rsid w:val="00711A36"/>
    <w:rsid w:val="0071529C"/>
    <w:rsid w:val="007154D3"/>
    <w:rsid w:val="00716C98"/>
    <w:rsid w:val="007172AD"/>
    <w:rsid w:val="0071734A"/>
    <w:rsid w:val="00717F04"/>
    <w:rsid w:val="00722B1B"/>
    <w:rsid w:val="0072416F"/>
    <w:rsid w:val="007246BC"/>
    <w:rsid w:val="00727C94"/>
    <w:rsid w:val="0073011B"/>
    <w:rsid w:val="00731EAE"/>
    <w:rsid w:val="0073377C"/>
    <w:rsid w:val="00733C38"/>
    <w:rsid w:val="00735033"/>
    <w:rsid w:val="00735328"/>
    <w:rsid w:val="00736716"/>
    <w:rsid w:val="0073685B"/>
    <w:rsid w:val="007472AA"/>
    <w:rsid w:val="00752142"/>
    <w:rsid w:val="007523F9"/>
    <w:rsid w:val="007557F9"/>
    <w:rsid w:val="00755AFC"/>
    <w:rsid w:val="007573E8"/>
    <w:rsid w:val="007601C0"/>
    <w:rsid w:val="00760C4E"/>
    <w:rsid w:val="00761F79"/>
    <w:rsid w:val="00764A6D"/>
    <w:rsid w:val="00765B1A"/>
    <w:rsid w:val="007779CD"/>
    <w:rsid w:val="00780E44"/>
    <w:rsid w:val="00782FA7"/>
    <w:rsid w:val="00783D02"/>
    <w:rsid w:val="007843F2"/>
    <w:rsid w:val="00786947"/>
    <w:rsid w:val="00786AFF"/>
    <w:rsid w:val="007903A0"/>
    <w:rsid w:val="00790D0A"/>
    <w:rsid w:val="0079146C"/>
    <w:rsid w:val="00793EFA"/>
    <w:rsid w:val="007968DD"/>
    <w:rsid w:val="007A0428"/>
    <w:rsid w:val="007A0438"/>
    <w:rsid w:val="007A0A12"/>
    <w:rsid w:val="007A132D"/>
    <w:rsid w:val="007A406F"/>
    <w:rsid w:val="007A4D02"/>
    <w:rsid w:val="007A5A07"/>
    <w:rsid w:val="007B0AE4"/>
    <w:rsid w:val="007B0D68"/>
    <w:rsid w:val="007B11DE"/>
    <w:rsid w:val="007B251D"/>
    <w:rsid w:val="007B2F73"/>
    <w:rsid w:val="007B3AE8"/>
    <w:rsid w:val="007B4E50"/>
    <w:rsid w:val="007B4F58"/>
    <w:rsid w:val="007B528D"/>
    <w:rsid w:val="007B6CAE"/>
    <w:rsid w:val="007B74E1"/>
    <w:rsid w:val="007B77D1"/>
    <w:rsid w:val="007B7FAF"/>
    <w:rsid w:val="007C0F8F"/>
    <w:rsid w:val="007C1CD9"/>
    <w:rsid w:val="007C23D6"/>
    <w:rsid w:val="007C361D"/>
    <w:rsid w:val="007C4596"/>
    <w:rsid w:val="007C4B84"/>
    <w:rsid w:val="007C4D13"/>
    <w:rsid w:val="007D004F"/>
    <w:rsid w:val="007D020D"/>
    <w:rsid w:val="007D0B38"/>
    <w:rsid w:val="007D136E"/>
    <w:rsid w:val="007D35D8"/>
    <w:rsid w:val="007D38E0"/>
    <w:rsid w:val="007D4CFF"/>
    <w:rsid w:val="007D5440"/>
    <w:rsid w:val="007D5E5D"/>
    <w:rsid w:val="007D5FFF"/>
    <w:rsid w:val="007E1CE2"/>
    <w:rsid w:val="007E1CE8"/>
    <w:rsid w:val="007E47E4"/>
    <w:rsid w:val="007E51D2"/>
    <w:rsid w:val="007F0F32"/>
    <w:rsid w:val="007F1017"/>
    <w:rsid w:val="007F19B6"/>
    <w:rsid w:val="007F3F3C"/>
    <w:rsid w:val="007F4A3F"/>
    <w:rsid w:val="007F4A5A"/>
    <w:rsid w:val="007F4A61"/>
    <w:rsid w:val="007F61C2"/>
    <w:rsid w:val="007F6D00"/>
    <w:rsid w:val="00803BA4"/>
    <w:rsid w:val="00805142"/>
    <w:rsid w:val="00807A86"/>
    <w:rsid w:val="00807A8B"/>
    <w:rsid w:val="00811383"/>
    <w:rsid w:val="00812149"/>
    <w:rsid w:val="00812CAC"/>
    <w:rsid w:val="008138B7"/>
    <w:rsid w:val="0081440B"/>
    <w:rsid w:val="00815107"/>
    <w:rsid w:val="00816161"/>
    <w:rsid w:val="008166EF"/>
    <w:rsid w:val="008178D1"/>
    <w:rsid w:val="00823E15"/>
    <w:rsid w:val="00825751"/>
    <w:rsid w:val="008264EB"/>
    <w:rsid w:val="00826CCB"/>
    <w:rsid w:val="00830D61"/>
    <w:rsid w:val="008317CD"/>
    <w:rsid w:val="0083182D"/>
    <w:rsid w:val="00831C1F"/>
    <w:rsid w:val="008327F6"/>
    <w:rsid w:val="0083360F"/>
    <w:rsid w:val="00833B05"/>
    <w:rsid w:val="008340BB"/>
    <w:rsid w:val="008362B4"/>
    <w:rsid w:val="00840CA2"/>
    <w:rsid w:val="00840E0E"/>
    <w:rsid w:val="00841177"/>
    <w:rsid w:val="008411F4"/>
    <w:rsid w:val="008418D5"/>
    <w:rsid w:val="0084334D"/>
    <w:rsid w:val="0084374F"/>
    <w:rsid w:val="0084388E"/>
    <w:rsid w:val="00844925"/>
    <w:rsid w:val="00846615"/>
    <w:rsid w:val="0084692A"/>
    <w:rsid w:val="008472ED"/>
    <w:rsid w:val="008476CF"/>
    <w:rsid w:val="00847DF5"/>
    <w:rsid w:val="00850818"/>
    <w:rsid w:val="00850FBF"/>
    <w:rsid w:val="00852938"/>
    <w:rsid w:val="0085309D"/>
    <w:rsid w:val="00853B91"/>
    <w:rsid w:val="00856897"/>
    <w:rsid w:val="00856E9A"/>
    <w:rsid w:val="0086016E"/>
    <w:rsid w:val="0086075D"/>
    <w:rsid w:val="0086102B"/>
    <w:rsid w:val="00862502"/>
    <w:rsid w:val="008648DE"/>
    <w:rsid w:val="008660D4"/>
    <w:rsid w:val="00866E97"/>
    <w:rsid w:val="00871FA9"/>
    <w:rsid w:val="008728B5"/>
    <w:rsid w:val="008728E9"/>
    <w:rsid w:val="008729AC"/>
    <w:rsid w:val="00872C51"/>
    <w:rsid w:val="008811A4"/>
    <w:rsid w:val="00881376"/>
    <w:rsid w:val="00881863"/>
    <w:rsid w:val="00882317"/>
    <w:rsid w:val="00882874"/>
    <w:rsid w:val="00883787"/>
    <w:rsid w:val="00884054"/>
    <w:rsid w:val="008863B9"/>
    <w:rsid w:val="00886CD2"/>
    <w:rsid w:val="00887306"/>
    <w:rsid w:val="00887C69"/>
    <w:rsid w:val="00892A36"/>
    <w:rsid w:val="00892DDB"/>
    <w:rsid w:val="00893239"/>
    <w:rsid w:val="00894489"/>
    <w:rsid w:val="00894957"/>
    <w:rsid w:val="00895F92"/>
    <w:rsid w:val="008963A5"/>
    <w:rsid w:val="008A29F3"/>
    <w:rsid w:val="008A2B94"/>
    <w:rsid w:val="008A2ECD"/>
    <w:rsid w:val="008A3363"/>
    <w:rsid w:val="008A3371"/>
    <w:rsid w:val="008A3C3E"/>
    <w:rsid w:val="008A4D11"/>
    <w:rsid w:val="008A56DB"/>
    <w:rsid w:val="008A5C9B"/>
    <w:rsid w:val="008A6218"/>
    <w:rsid w:val="008A79DE"/>
    <w:rsid w:val="008A7DD2"/>
    <w:rsid w:val="008B1757"/>
    <w:rsid w:val="008B242A"/>
    <w:rsid w:val="008B2E8D"/>
    <w:rsid w:val="008B3191"/>
    <w:rsid w:val="008B3823"/>
    <w:rsid w:val="008B3D9F"/>
    <w:rsid w:val="008B48CC"/>
    <w:rsid w:val="008B7D7E"/>
    <w:rsid w:val="008C09BB"/>
    <w:rsid w:val="008C478C"/>
    <w:rsid w:val="008C4E57"/>
    <w:rsid w:val="008C4F63"/>
    <w:rsid w:val="008C55E7"/>
    <w:rsid w:val="008C6884"/>
    <w:rsid w:val="008C7ECB"/>
    <w:rsid w:val="008D1B27"/>
    <w:rsid w:val="008D21B7"/>
    <w:rsid w:val="008D2DD5"/>
    <w:rsid w:val="008D38A4"/>
    <w:rsid w:val="008D4755"/>
    <w:rsid w:val="008D4C3D"/>
    <w:rsid w:val="008E0A4C"/>
    <w:rsid w:val="008E0D3C"/>
    <w:rsid w:val="008E1B9E"/>
    <w:rsid w:val="008E28EA"/>
    <w:rsid w:val="008E55AB"/>
    <w:rsid w:val="008F120A"/>
    <w:rsid w:val="008F1270"/>
    <w:rsid w:val="008F1AEB"/>
    <w:rsid w:val="008F27E0"/>
    <w:rsid w:val="008F48EB"/>
    <w:rsid w:val="008F4F0B"/>
    <w:rsid w:val="008F5A4E"/>
    <w:rsid w:val="008F712C"/>
    <w:rsid w:val="00901519"/>
    <w:rsid w:val="009025CA"/>
    <w:rsid w:val="00904336"/>
    <w:rsid w:val="009046C4"/>
    <w:rsid w:val="00905B04"/>
    <w:rsid w:val="009062A5"/>
    <w:rsid w:val="00911272"/>
    <w:rsid w:val="009135D6"/>
    <w:rsid w:val="00914C77"/>
    <w:rsid w:val="00915FF0"/>
    <w:rsid w:val="0091675C"/>
    <w:rsid w:val="009169E7"/>
    <w:rsid w:val="0092369B"/>
    <w:rsid w:val="00926485"/>
    <w:rsid w:val="00932528"/>
    <w:rsid w:val="0093445F"/>
    <w:rsid w:val="00934C1F"/>
    <w:rsid w:val="00937096"/>
    <w:rsid w:val="00943233"/>
    <w:rsid w:val="0094579A"/>
    <w:rsid w:val="009510A2"/>
    <w:rsid w:val="00951837"/>
    <w:rsid w:val="00953257"/>
    <w:rsid w:val="0095583A"/>
    <w:rsid w:val="00961089"/>
    <w:rsid w:val="00962CB9"/>
    <w:rsid w:val="00964312"/>
    <w:rsid w:val="00964992"/>
    <w:rsid w:val="0096542F"/>
    <w:rsid w:val="00965B8A"/>
    <w:rsid w:val="009717AC"/>
    <w:rsid w:val="00973F2C"/>
    <w:rsid w:val="00973F9D"/>
    <w:rsid w:val="00977215"/>
    <w:rsid w:val="00983E57"/>
    <w:rsid w:val="0098411B"/>
    <w:rsid w:val="0098675D"/>
    <w:rsid w:val="009872E3"/>
    <w:rsid w:val="009873D3"/>
    <w:rsid w:val="00987748"/>
    <w:rsid w:val="00987EAC"/>
    <w:rsid w:val="00987FB7"/>
    <w:rsid w:val="00992F91"/>
    <w:rsid w:val="00994027"/>
    <w:rsid w:val="009955F7"/>
    <w:rsid w:val="00996436"/>
    <w:rsid w:val="00996B1A"/>
    <w:rsid w:val="009A0C5F"/>
    <w:rsid w:val="009A0E3D"/>
    <w:rsid w:val="009A2462"/>
    <w:rsid w:val="009A3E2E"/>
    <w:rsid w:val="009A5B58"/>
    <w:rsid w:val="009A7843"/>
    <w:rsid w:val="009A7F10"/>
    <w:rsid w:val="009B1820"/>
    <w:rsid w:val="009B30A7"/>
    <w:rsid w:val="009B3A28"/>
    <w:rsid w:val="009B3E26"/>
    <w:rsid w:val="009B7258"/>
    <w:rsid w:val="009B742A"/>
    <w:rsid w:val="009B762B"/>
    <w:rsid w:val="009C192F"/>
    <w:rsid w:val="009C19B1"/>
    <w:rsid w:val="009C2DAE"/>
    <w:rsid w:val="009C34FF"/>
    <w:rsid w:val="009C40AE"/>
    <w:rsid w:val="009C4515"/>
    <w:rsid w:val="009C696C"/>
    <w:rsid w:val="009C6CEA"/>
    <w:rsid w:val="009C720B"/>
    <w:rsid w:val="009C7B85"/>
    <w:rsid w:val="009C7E60"/>
    <w:rsid w:val="009D0FFE"/>
    <w:rsid w:val="009D1594"/>
    <w:rsid w:val="009D5B91"/>
    <w:rsid w:val="009D6A34"/>
    <w:rsid w:val="009D7279"/>
    <w:rsid w:val="009D792E"/>
    <w:rsid w:val="009E01C1"/>
    <w:rsid w:val="009E0DFE"/>
    <w:rsid w:val="009E136E"/>
    <w:rsid w:val="009E4C07"/>
    <w:rsid w:val="009E5BF3"/>
    <w:rsid w:val="009E6774"/>
    <w:rsid w:val="009E7F89"/>
    <w:rsid w:val="009F067B"/>
    <w:rsid w:val="009F13E6"/>
    <w:rsid w:val="00A01184"/>
    <w:rsid w:val="00A01B11"/>
    <w:rsid w:val="00A027B1"/>
    <w:rsid w:val="00A032F0"/>
    <w:rsid w:val="00A03D43"/>
    <w:rsid w:val="00A04380"/>
    <w:rsid w:val="00A112BA"/>
    <w:rsid w:val="00A11CD0"/>
    <w:rsid w:val="00A1348D"/>
    <w:rsid w:val="00A13948"/>
    <w:rsid w:val="00A14CD4"/>
    <w:rsid w:val="00A1555B"/>
    <w:rsid w:val="00A155C5"/>
    <w:rsid w:val="00A15811"/>
    <w:rsid w:val="00A16AD8"/>
    <w:rsid w:val="00A200A1"/>
    <w:rsid w:val="00A216AE"/>
    <w:rsid w:val="00A21BD0"/>
    <w:rsid w:val="00A21CF3"/>
    <w:rsid w:val="00A2335D"/>
    <w:rsid w:val="00A260C0"/>
    <w:rsid w:val="00A26880"/>
    <w:rsid w:val="00A27AEC"/>
    <w:rsid w:val="00A27D1C"/>
    <w:rsid w:val="00A320DB"/>
    <w:rsid w:val="00A359FA"/>
    <w:rsid w:val="00A35D16"/>
    <w:rsid w:val="00A37BCD"/>
    <w:rsid w:val="00A40755"/>
    <w:rsid w:val="00A43C59"/>
    <w:rsid w:val="00A43F88"/>
    <w:rsid w:val="00A44265"/>
    <w:rsid w:val="00A4668E"/>
    <w:rsid w:val="00A46730"/>
    <w:rsid w:val="00A5046F"/>
    <w:rsid w:val="00A50ECD"/>
    <w:rsid w:val="00A518F3"/>
    <w:rsid w:val="00A52729"/>
    <w:rsid w:val="00A53675"/>
    <w:rsid w:val="00A541CB"/>
    <w:rsid w:val="00A564D7"/>
    <w:rsid w:val="00A56B6A"/>
    <w:rsid w:val="00A578DC"/>
    <w:rsid w:val="00A6008B"/>
    <w:rsid w:val="00A60DB9"/>
    <w:rsid w:val="00A62832"/>
    <w:rsid w:val="00A6725B"/>
    <w:rsid w:val="00A70600"/>
    <w:rsid w:val="00A70605"/>
    <w:rsid w:val="00A70BEB"/>
    <w:rsid w:val="00A73134"/>
    <w:rsid w:val="00A76774"/>
    <w:rsid w:val="00A777B2"/>
    <w:rsid w:val="00A80DF1"/>
    <w:rsid w:val="00A823D8"/>
    <w:rsid w:val="00A84E7B"/>
    <w:rsid w:val="00A8512B"/>
    <w:rsid w:val="00A86E8B"/>
    <w:rsid w:val="00A87164"/>
    <w:rsid w:val="00A8774E"/>
    <w:rsid w:val="00A93072"/>
    <w:rsid w:val="00A93953"/>
    <w:rsid w:val="00A93DB5"/>
    <w:rsid w:val="00A944A5"/>
    <w:rsid w:val="00A94DD5"/>
    <w:rsid w:val="00A959D8"/>
    <w:rsid w:val="00A96D2C"/>
    <w:rsid w:val="00AA0196"/>
    <w:rsid w:val="00AA113D"/>
    <w:rsid w:val="00AA2BA6"/>
    <w:rsid w:val="00AA453E"/>
    <w:rsid w:val="00AA5191"/>
    <w:rsid w:val="00AA5683"/>
    <w:rsid w:val="00AA62C6"/>
    <w:rsid w:val="00AA63CE"/>
    <w:rsid w:val="00AA68F3"/>
    <w:rsid w:val="00AA6C7D"/>
    <w:rsid w:val="00AA7FD6"/>
    <w:rsid w:val="00AB042A"/>
    <w:rsid w:val="00AB2D34"/>
    <w:rsid w:val="00AB3430"/>
    <w:rsid w:val="00AB4AD1"/>
    <w:rsid w:val="00AB74F8"/>
    <w:rsid w:val="00AB7CFA"/>
    <w:rsid w:val="00AC0937"/>
    <w:rsid w:val="00AC09D7"/>
    <w:rsid w:val="00AC5B48"/>
    <w:rsid w:val="00AC64A3"/>
    <w:rsid w:val="00AC7C0C"/>
    <w:rsid w:val="00AD6502"/>
    <w:rsid w:val="00AE0CCA"/>
    <w:rsid w:val="00AE1737"/>
    <w:rsid w:val="00AE357A"/>
    <w:rsid w:val="00AE5325"/>
    <w:rsid w:val="00AE65C3"/>
    <w:rsid w:val="00AF1315"/>
    <w:rsid w:val="00AF19BF"/>
    <w:rsid w:val="00AF1EB9"/>
    <w:rsid w:val="00AF28BB"/>
    <w:rsid w:val="00AF2DC3"/>
    <w:rsid w:val="00AF36A7"/>
    <w:rsid w:val="00AF4373"/>
    <w:rsid w:val="00AF4986"/>
    <w:rsid w:val="00AF565C"/>
    <w:rsid w:val="00AF62A8"/>
    <w:rsid w:val="00B0000E"/>
    <w:rsid w:val="00B02804"/>
    <w:rsid w:val="00B02B53"/>
    <w:rsid w:val="00B033E5"/>
    <w:rsid w:val="00B0355F"/>
    <w:rsid w:val="00B038F0"/>
    <w:rsid w:val="00B03A63"/>
    <w:rsid w:val="00B06CEE"/>
    <w:rsid w:val="00B10AE9"/>
    <w:rsid w:val="00B132F3"/>
    <w:rsid w:val="00B13D84"/>
    <w:rsid w:val="00B14EEB"/>
    <w:rsid w:val="00B16C72"/>
    <w:rsid w:val="00B201A4"/>
    <w:rsid w:val="00B213A6"/>
    <w:rsid w:val="00B24048"/>
    <w:rsid w:val="00B24D3B"/>
    <w:rsid w:val="00B24DF6"/>
    <w:rsid w:val="00B25D72"/>
    <w:rsid w:val="00B26DBD"/>
    <w:rsid w:val="00B26FDE"/>
    <w:rsid w:val="00B34FE2"/>
    <w:rsid w:val="00B357D8"/>
    <w:rsid w:val="00B37BFC"/>
    <w:rsid w:val="00B40023"/>
    <w:rsid w:val="00B40358"/>
    <w:rsid w:val="00B410E6"/>
    <w:rsid w:val="00B41614"/>
    <w:rsid w:val="00B42851"/>
    <w:rsid w:val="00B42F80"/>
    <w:rsid w:val="00B430DD"/>
    <w:rsid w:val="00B435CB"/>
    <w:rsid w:val="00B43A3F"/>
    <w:rsid w:val="00B4604B"/>
    <w:rsid w:val="00B463FB"/>
    <w:rsid w:val="00B46F94"/>
    <w:rsid w:val="00B47B3D"/>
    <w:rsid w:val="00B50DB8"/>
    <w:rsid w:val="00B52D64"/>
    <w:rsid w:val="00B53145"/>
    <w:rsid w:val="00B53654"/>
    <w:rsid w:val="00B53905"/>
    <w:rsid w:val="00B54B5B"/>
    <w:rsid w:val="00B5562E"/>
    <w:rsid w:val="00B57000"/>
    <w:rsid w:val="00B574A9"/>
    <w:rsid w:val="00B60939"/>
    <w:rsid w:val="00B60AFD"/>
    <w:rsid w:val="00B60E57"/>
    <w:rsid w:val="00B62472"/>
    <w:rsid w:val="00B62715"/>
    <w:rsid w:val="00B6303E"/>
    <w:rsid w:val="00B665CE"/>
    <w:rsid w:val="00B671B0"/>
    <w:rsid w:val="00B750C8"/>
    <w:rsid w:val="00B818A4"/>
    <w:rsid w:val="00B81943"/>
    <w:rsid w:val="00B82C1D"/>
    <w:rsid w:val="00B84117"/>
    <w:rsid w:val="00B85AA2"/>
    <w:rsid w:val="00B8649C"/>
    <w:rsid w:val="00B864ED"/>
    <w:rsid w:val="00B87F0A"/>
    <w:rsid w:val="00B87F37"/>
    <w:rsid w:val="00B90A86"/>
    <w:rsid w:val="00B90F4F"/>
    <w:rsid w:val="00B92D0B"/>
    <w:rsid w:val="00B94945"/>
    <w:rsid w:val="00B94D3E"/>
    <w:rsid w:val="00B95BE7"/>
    <w:rsid w:val="00BA1A7B"/>
    <w:rsid w:val="00BA1D68"/>
    <w:rsid w:val="00BA322D"/>
    <w:rsid w:val="00BA3C6B"/>
    <w:rsid w:val="00BA586A"/>
    <w:rsid w:val="00BA6CF9"/>
    <w:rsid w:val="00BA75C3"/>
    <w:rsid w:val="00BA7B66"/>
    <w:rsid w:val="00BB0021"/>
    <w:rsid w:val="00BB0BDD"/>
    <w:rsid w:val="00BB2A73"/>
    <w:rsid w:val="00BB49D8"/>
    <w:rsid w:val="00BB4A97"/>
    <w:rsid w:val="00BB4ACC"/>
    <w:rsid w:val="00BB703E"/>
    <w:rsid w:val="00BB7405"/>
    <w:rsid w:val="00BB7BF6"/>
    <w:rsid w:val="00BC3631"/>
    <w:rsid w:val="00BC4337"/>
    <w:rsid w:val="00BC4E1C"/>
    <w:rsid w:val="00BC64D2"/>
    <w:rsid w:val="00BC6E27"/>
    <w:rsid w:val="00BC78AC"/>
    <w:rsid w:val="00BD2E2C"/>
    <w:rsid w:val="00BD30CD"/>
    <w:rsid w:val="00BD68A3"/>
    <w:rsid w:val="00BD6938"/>
    <w:rsid w:val="00BD6CF3"/>
    <w:rsid w:val="00BE2180"/>
    <w:rsid w:val="00BE21F2"/>
    <w:rsid w:val="00BE3609"/>
    <w:rsid w:val="00BE4275"/>
    <w:rsid w:val="00BE6688"/>
    <w:rsid w:val="00BE7C06"/>
    <w:rsid w:val="00BE7FAD"/>
    <w:rsid w:val="00BF0F95"/>
    <w:rsid w:val="00BF16CA"/>
    <w:rsid w:val="00BF2433"/>
    <w:rsid w:val="00BF5E98"/>
    <w:rsid w:val="00BF61C9"/>
    <w:rsid w:val="00BF6C94"/>
    <w:rsid w:val="00C00424"/>
    <w:rsid w:val="00C018B6"/>
    <w:rsid w:val="00C022BF"/>
    <w:rsid w:val="00C06B83"/>
    <w:rsid w:val="00C070E4"/>
    <w:rsid w:val="00C107A9"/>
    <w:rsid w:val="00C12C14"/>
    <w:rsid w:val="00C1342C"/>
    <w:rsid w:val="00C13C31"/>
    <w:rsid w:val="00C14AA0"/>
    <w:rsid w:val="00C156F0"/>
    <w:rsid w:val="00C15797"/>
    <w:rsid w:val="00C200AA"/>
    <w:rsid w:val="00C222A1"/>
    <w:rsid w:val="00C22EED"/>
    <w:rsid w:val="00C237ED"/>
    <w:rsid w:val="00C23B0E"/>
    <w:rsid w:val="00C23F50"/>
    <w:rsid w:val="00C24632"/>
    <w:rsid w:val="00C24F90"/>
    <w:rsid w:val="00C25313"/>
    <w:rsid w:val="00C25418"/>
    <w:rsid w:val="00C25D9C"/>
    <w:rsid w:val="00C2778B"/>
    <w:rsid w:val="00C301FE"/>
    <w:rsid w:val="00C31649"/>
    <w:rsid w:val="00C32935"/>
    <w:rsid w:val="00C358CE"/>
    <w:rsid w:val="00C35F9D"/>
    <w:rsid w:val="00C40385"/>
    <w:rsid w:val="00C46338"/>
    <w:rsid w:val="00C46AC5"/>
    <w:rsid w:val="00C475AA"/>
    <w:rsid w:val="00C52030"/>
    <w:rsid w:val="00C527B3"/>
    <w:rsid w:val="00C537EB"/>
    <w:rsid w:val="00C54046"/>
    <w:rsid w:val="00C54678"/>
    <w:rsid w:val="00C54CD5"/>
    <w:rsid w:val="00C56602"/>
    <w:rsid w:val="00C6059D"/>
    <w:rsid w:val="00C61A5A"/>
    <w:rsid w:val="00C65576"/>
    <w:rsid w:val="00C66165"/>
    <w:rsid w:val="00C7151A"/>
    <w:rsid w:val="00C71F60"/>
    <w:rsid w:val="00C721DE"/>
    <w:rsid w:val="00C72241"/>
    <w:rsid w:val="00C72D2B"/>
    <w:rsid w:val="00C750C8"/>
    <w:rsid w:val="00C7560F"/>
    <w:rsid w:val="00C77F30"/>
    <w:rsid w:val="00C80A0E"/>
    <w:rsid w:val="00C81A00"/>
    <w:rsid w:val="00C8213F"/>
    <w:rsid w:val="00C8552E"/>
    <w:rsid w:val="00C85E4E"/>
    <w:rsid w:val="00C865A0"/>
    <w:rsid w:val="00C8797A"/>
    <w:rsid w:val="00C900B8"/>
    <w:rsid w:val="00C90C71"/>
    <w:rsid w:val="00C91EAE"/>
    <w:rsid w:val="00C931CF"/>
    <w:rsid w:val="00C938CF"/>
    <w:rsid w:val="00C93F1B"/>
    <w:rsid w:val="00C94C39"/>
    <w:rsid w:val="00C9624D"/>
    <w:rsid w:val="00C969DA"/>
    <w:rsid w:val="00CA0349"/>
    <w:rsid w:val="00CA0B1A"/>
    <w:rsid w:val="00CA1041"/>
    <w:rsid w:val="00CA2C77"/>
    <w:rsid w:val="00CA444F"/>
    <w:rsid w:val="00CA5245"/>
    <w:rsid w:val="00CA5446"/>
    <w:rsid w:val="00CA6829"/>
    <w:rsid w:val="00CA71F4"/>
    <w:rsid w:val="00CA7255"/>
    <w:rsid w:val="00CA7B09"/>
    <w:rsid w:val="00CB0BE8"/>
    <w:rsid w:val="00CB2F2A"/>
    <w:rsid w:val="00CB5B1A"/>
    <w:rsid w:val="00CB5C11"/>
    <w:rsid w:val="00CB6B22"/>
    <w:rsid w:val="00CB7F5F"/>
    <w:rsid w:val="00CC0AE3"/>
    <w:rsid w:val="00CC1B39"/>
    <w:rsid w:val="00CC1EDD"/>
    <w:rsid w:val="00CD0109"/>
    <w:rsid w:val="00CD03F9"/>
    <w:rsid w:val="00CD4354"/>
    <w:rsid w:val="00CD6ADC"/>
    <w:rsid w:val="00CE6274"/>
    <w:rsid w:val="00CE70B9"/>
    <w:rsid w:val="00CF0AF6"/>
    <w:rsid w:val="00CF0BB2"/>
    <w:rsid w:val="00CF149A"/>
    <w:rsid w:val="00CF1A15"/>
    <w:rsid w:val="00CF1F61"/>
    <w:rsid w:val="00CF2B8D"/>
    <w:rsid w:val="00CF3EF2"/>
    <w:rsid w:val="00CF456B"/>
    <w:rsid w:val="00CF5A22"/>
    <w:rsid w:val="00CF7E3D"/>
    <w:rsid w:val="00D005BF"/>
    <w:rsid w:val="00D00A4E"/>
    <w:rsid w:val="00D02423"/>
    <w:rsid w:val="00D0262E"/>
    <w:rsid w:val="00D027C4"/>
    <w:rsid w:val="00D041B9"/>
    <w:rsid w:val="00D04283"/>
    <w:rsid w:val="00D05209"/>
    <w:rsid w:val="00D0572A"/>
    <w:rsid w:val="00D05AAD"/>
    <w:rsid w:val="00D05E29"/>
    <w:rsid w:val="00D06071"/>
    <w:rsid w:val="00D110BD"/>
    <w:rsid w:val="00D13675"/>
    <w:rsid w:val="00D140DF"/>
    <w:rsid w:val="00D141E1"/>
    <w:rsid w:val="00D14C0D"/>
    <w:rsid w:val="00D151FB"/>
    <w:rsid w:val="00D15882"/>
    <w:rsid w:val="00D1707F"/>
    <w:rsid w:val="00D17D6C"/>
    <w:rsid w:val="00D264B7"/>
    <w:rsid w:val="00D2754D"/>
    <w:rsid w:val="00D27B27"/>
    <w:rsid w:val="00D32B11"/>
    <w:rsid w:val="00D33BE9"/>
    <w:rsid w:val="00D34B93"/>
    <w:rsid w:val="00D34E46"/>
    <w:rsid w:val="00D357FF"/>
    <w:rsid w:val="00D36ADE"/>
    <w:rsid w:val="00D36C64"/>
    <w:rsid w:val="00D40CF6"/>
    <w:rsid w:val="00D411F5"/>
    <w:rsid w:val="00D42121"/>
    <w:rsid w:val="00D424C7"/>
    <w:rsid w:val="00D42F41"/>
    <w:rsid w:val="00D436AA"/>
    <w:rsid w:val="00D43B2A"/>
    <w:rsid w:val="00D43D20"/>
    <w:rsid w:val="00D47575"/>
    <w:rsid w:val="00D52034"/>
    <w:rsid w:val="00D60CDD"/>
    <w:rsid w:val="00D707EF"/>
    <w:rsid w:val="00D70F16"/>
    <w:rsid w:val="00D71CE0"/>
    <w:rsid w:val="00D76A44"/>
    <w:rsid w:val="00D76E1F"/>
    <w:rsid w:val="00D8019F"/>
    <w:rsid w:val="00D815EF"/>
    <w:rsid w:val="00D83D5D"/>
    <w:rsid w:val="00D86530"/>
    <w:rsid w:val="00D8656E"/>
    <w:rsid w:val="00D87DDF"/>
    <w:rsid w:val="00D90781"/>
    <w:rsid w:val="00D91923"/>
    <w:rsid w:val="00D92196"/>
    <w:rsid w:val="00D93753"/>
    <w:rsid w:val="00D952EF"/>
    <w:rsid w:val="00D9743C"/>
    <w:rsid w:val="00DA1CBC"/>
    <w:rsid w:val="00DA24F2"/>
    <w:rsid w:val="00DA250E"/>
    <w:rsid w:val="00DA2D79"/>
    <w:rsid w:val="00DA3167"/>
    <w:rsid w:val="00DA4363"/>
    <w:rsid w:val="00DA4DC3"/>
    <w:rsid w:val="00DA5290"/>
    <w:rsid w:val="00DA6581"/>
    <w:rsid w:val="00DA73DA"/>
    <w:rsid w:val="00DA7508"/>
    <w:rsid w:val="00DA77A5"/>
    <w:rsid w:val="00DA7BE2"/>
    <w:rsid w:val="00DB484F"/>
    <w:rsid w:val="00DB4AD3"/>
    <w:rsid w:val="00DB74B9"/>
    <w:rsid w:val="00DC04F6"/>
    <w:rsid w:val="00DC0C69"/>
    <w:rsid w:val="00DC3C57"/>
    <w:rsid w:val="00DC5501"/>
    <w:rsid w:val="00DC6335"/>
    <w:rsid w:val="00DD0813"/>
    <w:rsid w:val="00DD273C"/>
    <w:rsid w:val="00DD2A37"/>
    <w:rsid w:val="00DD3F28"/>
    <w:rsid w:val="00DD4537"/>
    <w:rsid w:val="00DD4E15"/>
    <w:rsid w:val="00DD734F"/>
    <w:rsid w:val="00DD794C"/>
    <w:rsid w:val="00DE0825"/>
    <w:rsid w:val="00DE2D2B"/>
    <w:rsid w:val="00DE3138"/>
    <w:rsid w:val="00DE31E1"/>
    <w:rsid w:val="00DE3309"/>
    <w:rsid w:val="00DE37F8"/>
    <w:rsid w:val="00DE3A96"/>
    <w:rsid w:val="00DE4FCB"/>
    <w:rsid w:val="00DE5AC7"/>
    <w:rsid w:val="00DE64F6"/>
    <w:rsid w:val="00DE7832"/>
    <w:rsid w:val="00DF18FC"/>
    <w:rsid w:val="00DF33F7"/>
    <w:rsid w:val="00DF3F1B"/>
    <w:rsid w:val="00DF570E"/>
    <w:rsid w:val="00DF5D2B"/>
    <w:rsid w:val="00DF65E4"/>
    <w:rsid w:val="00DF7AF1"/>
    <w:rsid w:val="00E00E8E"/>
    <w:rsid w:val="00E05630"/>
    <w:rsid w:val="00E06DBB"/>
    <w:rsid w:val="00E075FB"/>
    <w:rsid w:val="00E10149"/>
    <w:rsid w:val="00E1250F"/>
    <w:rsid w:val="00E16372"/>
    <w:rsid w:val="00E17CFF"/>
    <w:rsid w:val="00E20486"/>
    <w:rsid w:val="00E206AD"/>
    <w:rsid w:val="00E20E4D"/>
    <w:rsid w:val="00E20ED6"/>
    <w:rsid w:val="00E21358"/>
    <w:rsid w:val="00E2249B"/>
    <w:rsid w:val="00E22A0D"/>
    <w:rsid w:val="00E25022"/>
    <w:rsid w:val="00E2771E"/>
    <w:rsid w:val="00E303AA"/>
    <w:rsid w:val="00E34948"/>
    <w:rsid w:val="00E34BFC"/>
    <w:rsid w:val="00E37569"/>
    <w:rsid w:val="00E41E30"/>
    <w:rsid w:val="00E42C59"/>
    <w:rsid w:val="00E43D70"/>
    <w:rsid w:val="00E46317"/>
    <w:rsid w:val="00E466F3"/>
    <w:rsid w:val="00E47B2C"/>
    <w:rsid w:val="00E50338"/>
    <w:rsid w:val="00E51542"/>
    <w:rsid w:val="00E51560"/>
    <w:rsid w:val="00E54347"/>
    <w:rsid w:val="00E5460F"/>
    <w:rsid w:val="00E55424"/>
    <w:rsid w:val="00E55BB5"/>
    <w:rsid w:val="00E62F7E"/>
    <w:rsid w:val="00E6326C"/>
    <w:rsid w:val="00E64785"/>
    <w:rsid w:val="00E65289"/>
    <w:rsid w:val="00E653E8"/>
    <w:rsid w:val="00E65E79"/>
    <w:rsid w:val="00E66BA2"/>
    <w:rsid w:val="00E67416"/>
    <w:rsid w:val="00E718B6"/>
    <w:rsid w:val="00E723BA"/>
    <w:rsid w:val="00E726B5"/>
    <w:rsid w:val="00E73581"/>
    <w:rsid w:val="00E7547A"/>
    <w:rsid w:val="00E76EBF"/>
    <w:rsid w:val="00E77581"/>
    <w:rsid w:val="00E81C4E"/>
    <w:rsid w:val="00E833F7"/>
    <w:rsid w:val="00E83AAC"/>
    <w:rsid w:val="00E83BDF"/>
    <w:rsid w:val="00E8446A"/>
    <w:rsid w:val="00E847C3"/>
    <w:rsid w:val="00E84F30"/>
    <w:rsid w:val="00E8527B"/>
    <w:rsid w:val="00E85791"/>
    <w:rsid w:val="00E870F3"/>
    <w:rsid w:val="00E87A1D"/>
    <w:rsid w:val="00E87F3C"/>
    <w:rsid w:val="00E90DD7"/>
    <w:rsid w:val="00E913DB"/>
    <w:rsid w:val="00E91E65"/>
    <w:rsid w:val="00E926A5"/>
    <w:rsid w:val="00E93AC3"/>
    <w:rsid w:val="00E94521"/>
    <w:rsid w:val="00E9468B"/>
    <w:rsid w:val="00E97078"/>
    <w:rsid w:val="00E97896"/>
    <w:rsid w:val="00EA17C3"/>
    <w:rsid w:val="00EA2CAA"/>
    <w:rsid w:val="00EA3864"/>
    <w:rsid w:val="00EA5FFD"/>
    <w:rsid w:val="00EA7E58"/>
    <w:rsid w:val="00EB0FE3"/>
    <w:rsid w:val="00EB1195"/>
    <w:rsid w:val="00EB12DA"/>
    <w:rsid w:val="00EB15B6"/>
    <w:rsid w:val="00EB2AD3"/>
    <w:rsid w:val="00EB45C5"/>
    <w:rsid w:val="00EB4809"/>
    <w:rsid w:val="00EB481E"/>
    <w:rsid w:val="00EB4916"/>
    <w:rsid w:val="00EB4D07"/>
    <w:rsid w:val="00EB5FC0"/>
    <w:rsid w:val="00EB6E44"/>
    <w:rsid w:val="00EC00C9"/>
    <w:rsid w:val="00EC2649"/>
    <w:rsid w:val="00EC377F"/>
    <w:rsid w:val="00EC48D3"/>
    <w:rsid w:val="00EC5B2B"/>
    <w:rsid w:val="00ED2BB7"/>
    <w:rsid w:val="00ED350F"/>
    <w:rsid w:val="00ED37B5"/>
    <w:rsid w:val="00ED40E1"/>
    <w:rsid w:val="00ED418E"/>
    <w:rsid w:val="00ED546B"/>
    <w:rsid w:val="00ED55C1"/>
    <w:rsid w:val="00ED57EA"/>
    <w:rsid w:val="00ED60CD"/>
    <w:rsid w:val="00ED6A05"/>
    <w:rsid w:val="00ED7873"/>
    <w:rsid w:val="00EE07D3"/>
    <w:rsid w:val="00EE22AF"/>
    <w:rsid w:val="00EE31A6"/>
    <w:rsid w:val="00EE5416"/>
    <w:rsid w:val="00EF0171"/>
    <w:rsid w:val="00EF0A1D"/>
    <w:rsid w:val="00EF0F01"/>
    <w:rsid w:val="00EF1B25"/>
    <w:rsid w:val="00EF2A16"/>
    <w:rsid w:val="00EF4747"/>
    <w:rsid w:val="00EF4BF8"/>
    <w:rsid w:val="00EF4EAD"/>
    <w:rsid w:val="00EF5DE6"/>
    <w:rsid w:val="00EF6928"/>
    <w:rsid w:val="00EF7697"/>
    <w:rsid w:val="00F01556"/>
    <w:rsid w:val="00F02253"/>
    <w:rsid w:val="00F024CE"/>
    <w:rsid w:val="00F0289C"/>
    <w:rsid w:val="00F037BD"/>
    <w:rsid w:val="00F03C2E"/>
    <w:rsid w:val="00F04A66"/>
    <w:rsid w:val="00F0516C"/>
    <w:rsid w:val="00F05A49"/>
    <w:rsid w:val="00F067A2"/>
    <w:rsid w:val="00F07BEA"/>
    <w:rsid w:val="00F105CE"/>
    <w:rsid w:val="00F1263A"/>
    <w:rsid w:val="00F13188"/>
    <w:rsid w:val="00F1383E"/>
    <w:rsid w:val="00F167C9"/>
    <w:rsid w:val="00F23239"/>
    <w:rsid w:val="00F239F4"/>
    <w:rsid w:val="00F243E9"/>
    <w:rsid w:val="00F24837"/>
    <w:rsid w:val="00F2575F"/>
    <w:rsid w:val="00F25CB9"/>
    <w:rsid w:val="00F27565"/>
    <w:rsid w:val="00F30A2F"/>
    <w:rsid w:val="00F310D4"/>
    <w:rsid w:val="00F31D5A"/>
    <w:rsid w:val="00F33DE9"/>
    <w:rsid w:val="00F340CE"/>
    <w:rsid w:val="00F3619A"/>
    <w:rsid w:val="00F404F4"/>
    <w:rsid w:val="00F40AAA"/>
    <w:rsid w:val="00F40BA7"/>
    <w:rsid w:val="00F412B6"/>
    <w:rsid w:val="00F46CB6"/>
    <w:rsid w:val="00F47811"/>
    <w:rsid w:val="00F47DE8"/>
    <w:rsid w:val="00F517F2"/>
    <w:rsid w:val="00F52F63"/>
    <w:rsid w:val="00F53315"/>
    <w:rsid w:val="00F542C1"/>
    <w:rsid w:val="00F55E73"/>
    <w:rsid w:val="00F55EDA"/>
    <w:rsid w:val="00F60092"/>
    <w:rsid w:val="00F61D55"/>
    <w:rsid w:val="00F6489C"/>
    <w:rsid w:val="00F65B9E"/>
    <w:rsid w:val="00F65F4B"/>
    <w:rsid w:val="00F7054F"/>
    <w:rsid w:val="00F70B11"/>
    <w:rsid w:val="00F70C9D"/>
    <w:rsid w:val="00F70EF1"/>
    <w:rsid w:val="00F71EFA"/>
    <w:rsid w:val="00F7268F"/>
    <w:rsid w:val="00F73155"/>
    <w:rsid w:val="00F74CD9"/>
    <w:rsid w:val="00F75698"/>
    <w:rsid w:val="00F80794"/>
    <w:rsid w:val="00F80A7B"/>
    <w:rsid w:val="00F80E5D"/>
    <w:rsid w:val="00F82E31"/>
    <w:rsid w:val="00F851CE"/>
    <w:rsid w:val="00F904A8"/>
    <w:rsid w:val="00F91219"/>
    <w:rsid w:val="00F9439F"/>
    <w:rsid w:val="00F965A0"/>
    <w:rsid w:val="00F967B3"/>
    <w:rsid w:val="00F9755E"/>
    <w:rsid w:val="00F97A78"/>
    <w:rsid w:val="00FA0B20"/>
    <w:rsid w:val="00FA10EE"/>
    <w:rsid w:val="00FA1CDD"/>
    <w:rsid w:val="00FA24E7"/>
    <w:rsid w:val="00FA28E6"/>
    <w:rsid w:val="00FA59E5"/>
    <w:rsid w:val="00FB20C0"/>
    <w:rsid w:val="00FB2830"/>
    <w:rsid w:val="00FB2FCB"/>
    <w:rsid w:val="00FB333E"/>
    <w:rsid w:val="00FB497B"/>
    <w:rsid w:val="00FB74A5"/>
    <w:rsid w:val="00FB7E56"/>
    <w:rsid w:val="00FC0A3B"/>
    <w:rsid w:val="00FC0DEF"/>
    <w:rsid w:val="00FC1074"/>
    <w:rsid w:val="00FC1884"/>
    <w:rsid w:val="00FC28AA"/>
    <w:rsid w:val="00FC371D"/>
    <w:rsid w:val="00FC3CCB"/>
    <w:rsid w:val="00FC46B9"/>
    <w:rsid w:val="00FC5F0B"/>
    <w:rsid w:val="00FC6A4B"/>
    <w:rsid w:val="00FC7040"/>
    <w:rsid w:val="00FC70F0"/>
    <w:rsid w:val="00FC74F8"/>
    <w:rsid w:val="00FD1789"/>
    <w:rsid w:val="00FD1975"/>
    <w:rsid w:val="00FD2100"/>
    <w:rsid w:val="00FD2CDC"/>
    <w:rsid w:val="00FD436C"/>
    <w:rsid w:val="00FD446D"/>
    <w:rsid w:val="00FD57D9"/>
    <w:rsid w:val="00FD6394"/>
    <w:rsid w:val="00FE0983"/>
    <w:rsid w:val="00FE0E6C"/>
    <w:rsid w:val="00FE499C"/>
    <w:rsid w:val="00FE70C3"/>
    <w:rsid w:val="00FF3DCF"/>
    <w:rsid w:val="00FF492C"/>
    <w:rsid w:val="00FF4A21"/>
    <w:rsid w:val="00FF515F"/>
    <w:rsid w:val="00FF578A"/>
    <w:rsid w:val="00FF5AA3"/>
    <w:rsid w:val="00FF5AD8"/>
    <w:rsid w:val="00FF687C"/>
    <w:rsid w:val="00FF79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qFormat="1"/>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B6E16"/>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005BF"/>
    <w:pPr>
      <w:numPr>
        <w:numId w:val="1"/>
      </w:numPr>
      <w:spacing w:before="12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aliases w:val="tate,ctdTable Text"/>
    <w:basedOn w:val="Normal"/>
    <w:link w:val="TableTextChar0"/>
    <w:qFormat/>
    <w:rsid w:val="00231499"/>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231499"/>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231499"/>
    <w:rPr>
      <w:rFonts w:ascii="Arial Narrow" w:eastAsiaTheme="minorHAnsi" w:hAnsi="Arial Narrow" w:cstheme="minorBidi"/>
      <w:szCs w:val="22"/>
      <w:lang w:eastAsia="en-US"/>
    </w:rPr>
  </w:style>
  <w:style w:type="paragraph" w:customStyle="1" w:styleId="Tablefootnote">
    <w:name w:val="Table footnote"/>
    <w:basedOn w:val="Normal"/>
    <w:qFormat/>
    <w:rsid w:val="00815107"/>
    <w:pPr>
      <w:adjustRightInd w:val="0"/>
      <w:spacing w:after="200"/>
      <w:contextualSpacing/>
      <w:jc w:val="left"/>
      <w:textAlignment w:val="baseline"/>
    </w:pPr>
    <w:rPr>
      <w:rFonts w:asciiTheme="minorHAnsi" w:hAnsiTheme="minorHAnsi" w:cs="Times New Roman"/>
      <w:snapToGrid/>
      <w:sz w:val="18"/>
      <w:szCs w:val="18"/>
    </w:rPr>
  </w:style>
  <w:style w:type="paragraph" w:customStyle="1" w:styleId="V50Instructions">
    <w:name w:val="V5.0 Instructions"/>
    <w:basedOn w:val="Normal"/>
    <w:link w:val="V50InstructionsChar"/>
    <w:qFormat/>
    <w:rsid w:val="007472AA"/>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7472AA"/>
    <w:rPr>
      <w:rFonts w:asciiTheme="minorHAnsi" w:eastAsiaTheme="minorHAnsi" w:hAnsiTheme="minorHAnsi" w:cstheme="minorBidi"/>
      <w:color w:val="4BACC6" w:themeColor="accent5"/>
      <w:sz w:val="24"/>
      <w:szCs w:val="22"/>
      <w:lang w:eastAsia="en-US"/>
    </w:rPr>
  </w:style>
  <w:style w:type="table" w:customStyle="1" w:styleId="TableGridbeth1">
    <w:name w:val="Table Gridbeth1"/>
    <w:basedOn w:val="TableNormal"/>
    <w:next w:val="TableGrid"/>
    <w:uiPriority w:val="39"/>
    <w:rsid w:val="00EC37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88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Bullets">
    <w:name w:val="V5.0 Instructions Bullets"/>
    <w:basedOn w:val="V50Instructions"/>
    <w:qFormat/>
    <w:rsid w:val="00412AB1"/>
    <w:pPr>
      <w:spacing w:before="0" w:after="0"/>
      <w:ind w:left="714" w:hanging="357"/>
    </w:pPr>
  </w:style>
  <w:style w:type="paragraph" w:customStyle="1" w:styleId="EndNoteBibliographyTitle">
    <w:name w:val="EndNote Bibliography Title"/>
    <w:basedOn w:val="Normal"/>
    <w:link w:val="EndNoteBibliographyTitleChar"/>
    <w:rsid w:val="0067003D"/>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67003D"/>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67003D"/>
    <w:rPr>
      <w:rFonts w:cs="Calibri"/>
      <w:noProof/>
      <w:lang w:val="en-US"/>
    </w:rPr>
  </w:style>
  <w:style w:type="character" w:customStyle="1" w:styleId="EndNoteBibliographyChar">
    <w:name w:val="EndNote Bibliography Char"/>
    <w:basedOn w:val="DefaultParagraphFont"/>
    <w:link w:val="EndNoteBibliography"/>
    <w:rsid w:val="0067003D"/>
    <w:rPr>
      <w:rFonts w:ascii="Calibri" w:hAnsi="Calibri" w:cs="Calibri"/>
      <w:noProof/>
      <w:snapToGrid w:val="0"/>
      <w:sz w:val="24"/>
      <w:szCs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712C"/>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sid w:val="001458DB"/>
    <w:rPr>
      <w:sz w:val="20"/>
      <w:szCs w:val="20"/>
    </w:rPr>
  </w:style>
  <w:style w:type="character" w:customStyle="1" w:styleId="FootnoteTextChar">
    <w:name w:val="Footnote Text Char"/>
    <w:basedOn w:val="DefaultParagraphFont"/>
    <w:link w:val="FootnoteText"/>
    <w:semiHidden/>
    <w:rsid w:val="001458DB"/>
    <w:rPr>
      <w:rFonts w:ascii="Calibri" w:hAnsi="Calibri" w:cs="Arial"/>
      <w:snapToGrid w:val="0"/>
      <w:lang w:eastAsia="en-US"/>
    </w:rPr>
  </w:style>
  <w:style w:type="character" w:styleId="FootnoteReference">
    <w:name w:val="footnote reference"/>
    <w:basedOn w:val="DefaultParagraphFont"/>
    <w:semiHidden/>
    <w:unhideWhenUsed/>
    <w:rsid w:val="001458DB"/>
    <w:rPr>
      <w:vertAlign w:val="superscript"/>
    </w:rPr>
  </w:style>
  <w:style w:type="paragraph" w:styleId="PlainText">
    <w:name w:val="Plain Text"/>
    <w:basedOn w:val="Normal"/>
    <w:link w:val="PlainTextChar"/>
    <w:uiPriority w:val="99"/>
    <w:rsid w:val="005661AF"/>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5661A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qFormat="1"/>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B6E16"/>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005BF"/>
    <w:pPr>
      <w:numPr>
        <w:numId w:val="1"/>
      </w:numPr>
      <w:spacing w:before="12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aliases w:val="tate,ctdTable Text"/>
    <w:basedOn w:val="Normal"/>
    <w:link w:val="TableTextChar0"/>
    <w:qFormat/>
    <w:rsid w:val="00231499"/>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231499"/>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231499"/>
    <w:rPr>
      <w:rFonts w:ascii="Arial Narrow" w:eastAsiaTheme="minorHAnsi" w:hAnsi="Arial Narrow" w:cstheme="minorBidi"/>
      <w:szCs w:val="22"/>
      <w:lang w:eastAsia="en-US"/>
    </w:rPr>
  </w:style>
  <w:style w:type="paragraph" w:customStyle="1" w:styleId="Tablefootnote">
    <w:name w:val="Table footnote"/>
    <w:basedOn w:val="Normal"/>
    <w:qFormat/>
    <w:rsid w:val="00815107"/>
    <w:pPr>
      <w:adjustRightInd w:val="0"/>
      <w:spacing w:after="200"/>
      <w:contextualSpacing/>
      <w:jc w:val="left"/>
      <w:textAlignment w:val="baseline"/>
    </w:pPr>
    <w:rPr>
      <w:rFonts w:asciiTheme="minorHAnsi" w:hAnsiTheme="minorHAnsi" w:cs="Times New Roman"/>
      <w:snapToGrid/>
      <w:sz w:val="18"/>
      <w:szCs w:val="18"/>
    </w:rPr>
  </w:style>
  <w:style w:type="paragraph" w:customStyle="1" w:styleId="V50Instructions">
    <w:name w:val="V5.0 Instructions"/>
    <w:basedOn w:val="Normal"/>
    <w:link w:val="V50InstructionsChar"/>
    <w:qFormat/>
    <w:rsid w:val="007472AA"/>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7472AA"/>
    <w:rPr>
      <w:rFonts w:asciiTheme="minorHAnsi" w:eastAsiaTheme="minorHAnsi" w:hAnsiTheme="minorHAnsi" w:cstheme="minorBidi"/>
      <w:color w:val="4BACC6" w:themeColor="accent5"/>
      <w:sz w:val="24"/>
      <w:szCs w:val="22"/>
      <w:lang w:eastAsia="en-US"/>
    </w:rPr>
  </w:style>
  <w:style w:type="table" w:customStyle="1" w:styleId="TableGridbeth1">
    <w:name w:val="Table Gridbeth1"/>
    <w:basedOn w:val="TableNormal"/>
    <w:next w:val="TableGrid"/>
    <w:uiPriority w:val="39"/>
    <w:rsid w:val="00EC37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882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Bullets">
    <w:name w:val="V5.0 Instructions Bullets"/>
    <w:basedOn w:val="V50Instructions"/>
    <w:qFormat/>
    <w:rsid w:val="00412AB1"/>
    <w:pPr>
      <w:spacing w:before="0" w:after="0"/>
      <w:ind w:left="714" w:hanging="357"/>
    </w:pPr>
  </w:style>
  <w:style w:type="paragraph" w:customStyle="1" w:styleId="EndNoteBibliographyTitle">
    <w:name w:val="EndNote Bibliography Title"/>
    <w:basedOn w:val="Normal"/>
    <w:link w:val="EndNoteBibliographyTitleChar"/>
    <w:rsid w:val="0067003D"/>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67003D"/>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67003D"/>
    <w:rPr>
      <w:rFonts w:cs="Calibri"/>
      <w:noProof/>
      <w:lang w:val="en-US"/>
    </w:rPr>
  </w:style>
  <w:style w:type="character" w:customStyle="1" w:styleId="EndNoteBibliographyChar">
    <w:name w:val="EndNote Bibliography Char"/>
    <w:basedOn w:val="DefaultParagraphFont"/>
    <w:link w:val="EndNoteBibliography"/>
    <w:rsid w:val="0067003D"/>
    <w:rPr>
      <w:rFonts w:ascii="Calibri" w:hAnsi="Calibri" w:cs="Calibri"/>
      <w:noProof/>
      <w:snapToGrid w:val="0"/>
      <w:sz w:val="24"/>
      <w:szCs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712C"/>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sid w:val="001458DB"/>
    <w:rPr>
      <w:sz w:val="20"/>
      <w:szCs w:val="20"/>
    </w:rPr>
  </w:style>
  <w:style w:type="character" w:customStyle="1" w:styleId="FootnoteTextChar">
    <w:name w:val="Footnote Text Char"/>
    <w:basedOn w:val="DefaultParagraphFont"/>
    <w:link w:val="FootnoteText"/>
    <w:semiHidden/>
    <w:rsid w:val="001458DB"/>
    <w:rPr>
      <w:rFonts w:ascii="Calibri" w:hAnsi="Calibri" w:cs="Arial"/>
      <w:snapToGrid w:val="0"/>
      <w:lang w:eastAsia="en-US"/>
    </w:rPr>
  </w:style>
  <w:style w:type="character" w:styleId="FootnoteReference">
    <w:name w:val="footnote reference"/>
    <w:basedOn w:val="DefaultParagraphFont"/>
    <w:semiHidden/>
    <w:unhideWhenUsed/>
    <w:rsid w:val="001458DB"/>
    <w:rPr>
      <w:vertAlign w:val="superscript"/>
    </w:rPr>
  </w:style>
  <w:style w:type="paragraph" w:styleId="PlainText">
    <w:name w:val="Plain Text"/>
    <w:basedOn w:val="Normal"/>
    <w:link w:val="PlainTextChar"/>
    <w:uiPriority w:val="99"/>
    <w:rsid w:val="005661AF"/>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5661A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77357">
      <w:bodyDiv w:val="1"/>
      <w:marLeft w:val="0"/>
      <w:marRight w:val="0"/>
      <w:marTop w:val="0"/>
      <w:marBottom w:val="0"/>
      <w:divBdr>
        <w:top w:val="none" w:sz="0" w:space="0" w:color="auto"/>
        <w:left w:val="none" w:sz="0" w:space="0" w:color="auto"/>
        <w:bottom w:val="none" w:sz="0" w:space="0" w:color="auto"/>
        <w:right w:val="none" w:sz="0" w:space="0" w:color="auto"/>
      </w:divBdr>
    </w:div>
    <w:div w:id="423454989">
      <w:bodyDiv w:val="1"/>
      <w:marLeft w:val="0"/>
      <w:marRight w:val="0"/>
      <w:marTop w:val="0"/>
      <w:marBottom w:val="0"/>
      <w:divBdr>
        <w:top w:val="none" w:sz="0" w:space="0" w:color="auto"/>
        <w:left w:val="none" w:sz="0" w:space="0" w:color="auto"/>
        <w:bottom w:val="none" w:sz="0" w:space="0" w:color="auto"/>
        <w:right w:val="none" w:sz="0" w:space="0" w:color="auto"/>
      </w:divBdr>
    </w:div>
    <w:div w:id="620648073">
      <w:bodyDiv w:val="1"/>
      <w:marLeft w:val="0"/>
      <w:marRight w:val="0"/>
      <w:marTop w:val="0"/>
      <w:marBottom w:val="0"/>
      <w:divBdr>
        <w:top w:val="none" w:sz="0" w:space="0" w:color="auto"/>
        <w:left w:val="none" w:sz="0" w:space="0" w:color="auto"/>
        <w:bottom w:val="none" w:sz="0" w:space="0" w:color="auto"/>
        <w:right w:val="none" w:sz="0" w:space="0" w:color="auto"/>
      </w:divBdr>
    </w:div>
    <w:div w:id="653534618">
      <w:bodyDiv w:val="1"/>
      <w:marLeft w:val="0"/>
      <w:marRight w:val="0"/>
      <w:marTop w:val="0"/>
      <w:marBottom w:val="0"/>
      <w:divBdr>
        <w:top w:val="none" w:sz="0" w:space="0" w:color="auto"/>
        <w:left w:val="none" w:sz="0" w:space="0" w:color="auto"/>
        <w:bottom w:val="none" w:sz="0" w:space="0" w:color="auto"/>
        <w:right w:val="none" w:sz="0" w:space="0" w:color="auto"/>
      </w:divBdr>
    </w:div>
    <w:div w:id="876891784">
      <w:bodyDiv w:val="1"/>
      <w:marLeft w:val="0"/>
      <w:marRight w:val="0"/>
      <w:marTop w:val="0"/>
      <w:marBottom w:val="0"/>
      <w:divBdr>
        <w:top w:val="none" w:sz="0" w:space="0" w:color="auto"/>
        <w:left w:val="none" w:sz="0" w:space="0" w:color="auto"/>
        <w:bottom w:val="none" w:sz="0" w:space="0" w:color="auto"/>
        <w:right w:val="none" w:sz="0" w:space="0" w:color="auto"/>
      </w:divBdr>
    </w:div>
    <w:div w:id="13578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4A3D-DB37-4A61-80CF-D6681D81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13132</Words>
  <Characters>76543</Characters>
  <Application>Microsoft Office Word</Application>
  <DocSecurity>0</DocSecurity>
  <Lines>2733</Lines>
  <Paragraphs>2085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2018-06-19T04:20:00Z</dcterms:created>
  <dcterms:modified xsi:type="dcterms:W3CDTF">2018-06-19T04:21:00Z</dcterms:modified>
</cp:coreProperties>
</file>