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298" w:rsidRPr="00D35D44" w:rsidRDefault="003629C1" w:rsidP="00274298">
      <w:pPr>
        <w:rPr>
          <w:b/>
          <w:sz w:val="36"/>
          <w:szCs w:val="36"/>
        </w:rPr>
      </w:pPr>
      <w:r w:rsidRPr="00D35D44">
        <w:rPr>
          <w:b/>
          <w:sz w:val="36"/>
          <w:szCs w:val="36"/>
        </w:rPr>
        <w:t>7.03</w:t>
      </w:r>
      <w:r w:rsidR="005F23FA" w:rsidRPr="00D35D44">
        <w:rPr>
          <w:b/>
          <w:sz w:val="36"/>
          <w:szCs w:val="36"/>
        </w:rPr>
        <w:t xml:space="preserve"> </w:t>
      </w:r>
      <w:r w:rsidR="00B60939" w:rsidRPr="00D35D44">
        <w:rPr>
          <w:b/>
          <w:sz w:val="36"/>
          <w:szCs w:val="36"/>
        </w:rPr>
        <w:tab/>
      </w:r>
      <w:r w:rsidR="00D4429C" w:rsidRPr="00D35D44">
        <w:rPr>
          <w:b/>
          <w:sz w:val="36"/>
          <w:szCs w:val="36"/>
        </w:rPr>
        <w:t>CETUXIMAB</w:t>
      </w:r>
      <w:r w:rsidR="00B60939" w:rsidRPr="00D35D44">
        <w:rPr>
          <w:b/>
          <w:sz w:val="36"/>
          <w:szCs w:val="36"/>
        </w:rPr>
        <w:t xml:space="preserve">, </w:t>
      </w:r>
      <w:r w:rsidR="00274298" w:rsidRPr="00D35D44">
        <w:rPr>
          <w:b/>
          <w:sz w:val="36"/>
          <w:szCs w:val="36"/>
        </w:rPr>
        <w:t>Solution for I.V. infusion 100 mg in 20 mL</w:t>
      </w:r>
    </w:p>
    <w:p w:rsidR="00F30DE2" w:rsidRDefault="00274298" w:rsidP="00274298">
      <w:pPr>
        <w:rPr>
          <w:b/>
          <w:sz w:val="36"/>
          <w:szCs w:val="36"/>
        </w:rPr>
      </w:pPr>
      <w:r w:rsidRPr="00D35D44">
        <w:rPr>
          <w:b/>
          <w:sz w:val="36"/>
          <w:szCs w:val="36"/>
        </w:rPr>
        <w:t>Solution for I.V. infusion 500 mg in 100 mL</w:t>
      </w:r>
      <w:r w:rsidR="00B60939" w:rsidRPr="00D35D44">
        <w:rPr>
          <w:b/>
          <w:sz w:val="36"/>
          <w:szCs w:val="36"/>
        </w:rPr>
        <w:t>,</w:t>
      </w:r>
    </w:p>
    <w:p w:rsidR="00B60939" w:rsidRPr="00D35D44" w:rsidRDefault="00B60939" w:rsidP="00274298">
      <w:pPr>
        <w:rPr>
          <w:b/>
          <w:sz w:val="36"/>
          <w:szCs w:val="36"/>
        </w:rPr>
      </w:pPr>
      <w:r w:rsidRPr="00D35D44">
        <w:rPr>
          <w:b/>
          <w:sz w:val="36"/>
          <w:szCs w:val="36"/>
        </w:rPr>
        <w:t xml:space="preserve"> </w:t>
      </w:r>
      <w:proofErr w:type="gramStart"/>
      <w:r w:rsidR="00D4429C" w:rsidRPr="00D35D44">
        <w:rPr>
          <w:b/>
          <w:sz w:val="36"/>
          <w:szCs w:val="36"/>
        </w:rPr>
        <w:t>Erbitux</w:t>
      </w:r>
      <w:r w:rsidRPr="00D35D44">
        <w:rPr>
          <w:b/>
          <w:sz w:val="36"/>
          <w:szCs w:val="36"/>
          <w:vertAlign w:val="superscript"/>
        </w:rPr>
        <w:t>®</w:t>
      </w:r>
      <w:r w:rsidRPr="00D35D44">
        <w:rPr>
          <w:b/>
          <w:sz w:val="36"/>
          <w:szCs w:val="36"/>
        </w:rPr>
        <w:t xml:space="preserve">, </w:t>
      </w:r>
      <w:r w:rsidR="00D4429C" w:rsidRPr="00D35D44">
        <w:rPr>
          <w:b/>
          <w:sz w:val="36"/>
          <w:szCs w:val="36"/>
        </w:rPr>
        <w:t xml:space="preserve">Merck </w:t>
      </w:r>
      <w:proofErr w:type="spellStart"/>
      <w:r w:rsidR="00D4429C" w:rsidRPr="00D35D44">
        <w:rPr>
          <w:b/>
          <w:sz w:val="36"/>
          <w:szCs w:val="36"/>
        </w:rPr>
        <w:t>Serono</w:t>
      </w:r>
      <w:proofErr w:type="spellEnd"/>
      <w:r w:rsidR="00D4429C" w:rsidRPr="00D35D44">
        <w:rPr>
          <w:b/>
          <w:sz w:val="36"/>
          <w:szCs w:val="36"/>
        </w:rPr>
        <w:t xml:space="preserve"> Australia</w:t>
      </w:r>
      <w:r w:rsidRPr="00D35D44">
        <w:rPr>
          <w:b/>
          <w:sz w:val="36"/>
          <w:szCs w:val="36"/>
        </w:rPr>
        <w:t>.</w:t>
      </w:r>
      <w:proofErr w:type="gramEnd"/>
    </w:p>
    <w:p w:rsidR="00D31920" w:rsidRPr="00D35D44" w:rsidRDefault="00D31920" w:rsidP="002E2883">
      <w:pPr>
        <w:pStyle w:val="Heading1"/>
      </w:pPr>
      <w:bookmarkStart w:id="0" w:name="_Toc500767921"/>
      <w:r w:rsidRPr="00D35D44">
        <w:t>Purpose of Application</w:t>
      </w:r>
      <w:bookmarkEnd w:id="0"/>
    </w:p>
    <w:p w:rsidR="00D31920" w:rsidRPr="00D35D44" w:rsidRDefault="009A60F8" w:rsidP="00250FAD">
      <w:pPr>
        <w:pStyle w:val="ListParagraph"/>
        <w:widowControl/>
        <w:numPr>
          <w:ilvl w:val="1"/>
          <w:numId w:val="2"/>
        </w:numPr>
        <w:spacing w:after="0"/>
        <w:contextualSpacing/>
        <w:rPr>
          <w:iCs/>
        </w:rPr>
      </w:pPr>
      <w:r w:rsidRPr="00D35D44">
        <w:t xml:space="preserve">The </w:t>
      </w:r>
      <w:r w:rsidR="00E92F82" w:rsidRPr="00D35D44">
        <w:t>re</w:t>
      </w:r>
      <w:r w:rsidRPr="00D35D44">
        <w:t xml:space="preserve">submission requested for a </w:t>
      </w:r>
      <w:r w:rsidR="00D31920" w:rsidRPr="00D35D44">
        <w:t>Section 100 (Efficient Funding of Chemotherapy</w:t>
      </w:r>
      <w:r w:rsidRPr="00D35D44">
        <w:t xml:space="preserve"> – Public and Private Hospital</w:t>
      </w:r>
      <w:r w:rsidR="00D31920" w:rsidRPr="00D35D44">
        <w:t>) listing for cetuximab, in combination with platinum-based chemotherapy (CT), for the treatment of patients with previously untreated recurrent and/or metastatic (RM) squamous cell carcinoma of the head and neck (SCCHN).</w:t>
      </w:r>
      <w:r w:rsidR="000120B1" w:rsidRPr="00D35D44">
        <w:t xml:space="preserve"> </w:t>
      </w:r>
      <w:r w:rsidR="00E92F82" w:rsidRPr="00D35D44">
        <w:rPr>
          <w:iCs/>
        </w:rPr>
        <w:t xml:space="preserve">The last consideration by the PBAC of cetuximab for this indication was in March </w:t>
      </w:r>
      <w:r w:rsidR="00FA215F" w:rsidRPr="00D35D44">
        <w:rPr>
          <w:iCs/>
        </w:rPr>
        <w:t>2016;</w:t>
      </w:r>
      <w:r w:rsidR="00E92F82" w:rsidRPr="00D35D44">
        <w:rPr>
          <w:iCs/>
        </w:rPr>
        <w:t xml:space="preserve"> however that submission had focused on a subgroup of RM SCCHN patients with oral cavity cancers</w:t>
      </w:r>
      <w:r w:rsidR="009D4E23" w:rsidRPr="00D35D44">
        <w:rPr>
          <w:iCs/>
        </w:rPr>
        <w:t>.</w:t>
      </w:r>
      <w:r w:rsidR="00E92F82" w:rsidRPr="00D35D44">
        <w:rPr>
          <w:iCs/>
        </w:rPr>
        <w:t xml:space="preserve"> </w:t>
      </w:r>
    </w:p>
    <w:p w:rsidR="00A90B55" w:rsidRPr="00A90B55" w:rsidRDefault="00851643" w:rsidP="002E2883">
      <w:pPr>
        <w:pStyle w:val="ListParagraph"/>
        <w:widowControl/>
        <w:numPr>
          <w:ilvl w:val="1"/>
          <w:numId w:val="2"/>
        </w:numPr>
        <w:spacing w:before="120" w:after="120"/>
        <w:rPr>
          <w:bCs/>
        </w:rPr>
      </w:pPr>
      <w:r w:rsidRPr="00D35D44">
        <w:rPr>
          <w:bCs/>
        </w:rPr>
        <w:t>The basis for listing wa</w:t>
      </w:r>
      <w:r w:rsidR="00D31920" w:rsidRPr="00D35D44">
        <w:rPr>
          <w:bCs/>
        </w:rPr>
        <w:t>s a cost effectiveness comparison to platinum CT only.</w:t>
      </w:r>
    </w:p>
    <w:p w:rsidR="00D31920" w:rsidRPr="00D35D44" w:rsidRDefault="00D31920" w:rsidP="00D31920">
      <w:pPr>
        <w:rPr>
          <w:rStyle w:val="CommentReference"/>
        </w:rPr>
      </w:pPr>
      <w:r w:rsidRPr="00D35D44">
        <w:rPr>
          <w:rStyle w:val="CommentReference"/>
        </w:rPr>
        <w:t>Table 1:</w:t>
      </w:r>
      <w:r w:rsidR="000120B1" w:rsidRPr="00D35D44">
        <w:rPr>
          <w:rStyle w:val="CommentReference"/>
        </w:rPr>
        <w:t xml:space="preserve"> </w:t>
      </w:r>
      <w:r w:rsidRPr="00D35D44">
        <w:rPr>
          <w:rStyle w:val="CommentReference"/>
        </w:rPr>
        <w:t xml:space="preserve">Key components of the clinical issue addressed by the </w:t>
      </w:r>
      <w:r w:rsidR="00C16925" w:rsidRPr="00D35D44">
        <w:rPr>
          <w:rStyle w:val="CommentReference"/>
        </w:rPr>
        <w:t>re</w:t>
      </w:r>
      <w:r w:rsidRPr="00D35D44">
        <w:rPr>
          <w:rStyle w:val="CommentReference"/>
        </w:rPr>
        <w:t>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8051"/>
      </w:tblGrid>
      <w:tr w:rsidR="00D31920" w:rsidRPr="00D35D44" w:rsidTr="00D4429C">
        <w:trPr>
          <w:cantSplit/>
          <w:tblHeader/>
        </w:trPr>
        <w:tc>
          <w:tcPr>
            <w:tcW w:w="1129" w:type="dxa"/>
            <w:shd w:val="clear" w:color="auto" w:fill="auto"/>
          </w:tcPr>
          <w:p w:rsidR="00D31920" w:rsidRPr="00D35D44" w:rsidRDefault="00D31920" w:rsidP="00453585">
            <w:pPr>
              <w:pStyle w:val="Tabletext"/>
              <w:rPr>
                <w:b/>
                <w:szCs w:val="20"/>
              </w:rPr>
            </w:pPr>
            <w:r w:rsidRPr="00D35D44">
              <w:rPr>
                <w:b/>
              </w:rPr>
              <w:t>Component</w:t>
            </w:r>
          </w:p>
        </w:tc>
        <w:tc>
          <w:tcPr>
            <w:tcW w:w="8051" w:type="dxa"/>
            <w:shd w:val="clear" w:color="auto" w:fill="auto"/>
          </w:tcPr>
          <w:p w:rsidR="00D31920" w:rsidRPr="00D35D44" w:rsidRDefault="00D31920" w:rsidP="00453585">
            <w:pPr>
              <w:pStyle w:val="Tabletext"/>
              <w:jc w:val="center"/>
              <w:rPr>
                <w:b/>
              </w:rPr>
            </w:pPr>
            <w:r w:rsidRPr="00D35D44">
              <w:rPr>
                <w:b/>
              </w:rPr>
              <w:t>Description</w:t>
            </w:r>
          </w:p>
        </w:tc>
      </w:tr>
      <w:tr w:rsidR="00D31920" w:rsidRPr="00D35D44" w:rsidTr="00D4429C">
        <w:trPr>
          <w:cantSplit/>
        </w:trPr>
        <w:tc>
          <w:tcPr>
            <w:tcW w:w="1129" w:type="dxa"/>
            <w:shd w:val="clear" w:color="auto" w:fill="auto"/>
            <w:vAlign w:val="center"/>
          </w:tcPr>
          <w:p w:rsidR="00D31920" w:rsidRPr="00D35D44" w:rsidRDefault="00D31920" w:rsidP="00453585">
            <w:pPr>
              <w:pStyle w:val="Tabletext"/>
              <w:rPr>
                <w:bCs/>
              </w:rPr>
            </w:pPr>
            <w:r w:rsidRPr="00D35D44">
              <w:rPr>
                <w:bCs/>
              </w:rPr>
              <w:t>Population</w:t>
            </w:r>
          </w:p>
        </w:tc>
        <w:tc>
          <w:tcPr>
            <w:tcW w:w="8051" w:type="dxa"/>
            <w:shd w:val="clear" w:color="auto" w:fill="auto"/>
            <w:vAlign w:val="center"/>
          </w:tcPr>
          <w:p w:rsidR="00D31920" w:rsidRPr="00D35D44" w:rsidRDefault="00D31920" w:rsidP="00453585">
            <w:pPr>
              <w:pStyle w:val="Tabletext"/>
              <w:rPr>
                <w:bCs/>
              </w:rPr>
            </w:pPr>
            <w:r w:rsidRPr="00D35D44">
              <w:rPr>
                <w:bCs/>
              </w:rPr>
              <w:t>Patients with recurrent or metastatic squamous cell carcinoma of the head and neck (RM SCCHN)</w:t>
            </w:r>
          </w:p>
        </w:tc>
      </w:tr>
      <w:tr w:rsidR="00D31920" w:rsidRPr="00D35D44" w:rsidTr="00D4429C">
        <w:trPr>
          <w:cantSplit/>
        </w:trPr>
        <w:tc>
          <w:tcPr>
            <w:tcW w:w="1129" w:type="dxa"/>
            <w:shd w:val="clear" w:color="auto" w:fill="auto"/>
            <w:vAlign w:val="center"/>
          </w:tcPr>
          <w:p w:rsidR="00D31920" w:rsidRPr="00D35D44" w:rsidRDefault="00D31920" w:rsidP="00453585">
            <w:pPr>
              <w:pStyle w:val="Tabletext"/>
              <w:rPr>
                <w:bCs/>
              </w:rPr>
            </w:pPr>
            <w:r w:rsidRPr="00D35D44">
              <w:rPr>
                <w:bCs/>
              </w:rPr>
              <w:t>Intervention</w:t>
            </w:r>
          </w:p>
        </w:tc>
        <w:tc>
          <w:tcPr>
            <w:tcW w:w="8051" w:type="dxa"/>
            <w:shd w:val="clear" w:color="auto" w:fill="auto"/>
            <w:vAlign w:val="center"/>
          </w:tcPr>
          <w:p w:rsidR="00D31920" w:rsidRPr="00D35D44" w:rsidRDefault="00D31920" w:rsidP="00453585">
            <w:pPr>
              <w:pStyle w:val="Tabletext"/>
              <w:rPr>
                <w:bCs/>
              </w:rPr>
            </w:pPr>
            <w:r w:rsidRPr="00D35D44">
              <w:rPr>
                <w:bCs/>
              </w:rPr>
              <w:t>Cetuximab plus platinum chemotherapy (cisplatin or carboplatin) plus 5-flurouracil (5-FU)</w:t>
            </w:r>
          </w:p>
        </w:tc>
      </w:tr>
      <w:tr w:rsidR="00D31920" w:rsidRPr="00D35D44" w:rsidTr="00D4429C">
        <w:trPr>
          <w:cantSplit/>
        </w:trPr>
        <w:tc>
          <w:tcPr>
            <w:tcW w:w="1129" w:type="dxa"/>
            <w:shd w:val="clear" w:color="auto" w:fill="auto"/>
            <w:vAlign w:val="center"/>
          </w:tcPr>
          <w:p w:rsidR="00D31920" w:rsidRPr="00D35D44" w:rsidRDefault="00D31920" w:rsidP="00453585">
            <w:pPr>
              <w:pStyle w:val="Tabletext"/>
              <w:rPr>
                <w:bCs/>
              </w:rPr>
            </w:pPr>
            <w:r w:rsidRPr="00D35D44">
              <w:rPr>
                <w:bCs/>
              </w:rPr>
              <w:t>Comparator</w:t>
            </w:r>
          </w:p>
        </w:tc>
        <w:tc>
          <w:tcPr>
            <w:tcW w:w="8051" w:type="dxa"/>
            <w:shd w:val="clear" w:color="auto" w:fill="auto"/>
            <w:vAlign w:val="center"/>
          </w:tcPr>
          <w:p w:rsidR="00D31920" w:rsidRPr="00D35D44" w:rsidRDefault="00D31920" w:rsidP="00453585">
            <w:pPr>
              <w:pStyle w:val="Tabletext"/>
              <w:rPr>
                <w:bCs/>
              </w:rPr>
            </w:pPr>
            <w:r w:rsidRPr="00D35D44">
              <w:rPr>
                <w:bCs/>
              </w:rPr>
              <w:t>Platinum based chemotherapy (CT) (cisplatin or carboplatin) plus 5-flurouracil (5-FU)</w:t>
            </w:r>
          </w:p>
        </w:tc>
      </w:tr>
      <w:tr w:rsidR="00D31920" w:rsidRPr="00D35D44" w:rsidTr="00D4429C">
        <w:trPr>
          <w:cantSplit/>
        </w:trPr>
        <w:tc>
          <w:tcPr>
            <w:tcW w:w="1129" w:type="dxa"/>
            <w:shd w:val="clear" w:color="auto" w:fill="auto"/>
            <w:vAlign w:val="center"/>
          </w:tcPr>
          <w:p w:rsidR="00D31920" w:rsidRPr="00D35D44" w:rsidRDefault="00D31920" w:rsidP="00453585">
            <w:pPr>
              <w:pStyle w:val="Tabletext"/>
              <w:rPr>
                <w:bCs/>
              </w:rPr>
            </w:pPr>
            <w:r w:rsidRPr="00D35D44">
              <w:rPr>
                <w:bCs/>
              </w:rPr>
              <w:t>Outcomes</w:t>
            </w:r>
          </w:p>
        </w:tc>
        <w:tc>
          <w:tcPr>
            <w:tcW w:w="8051" w:type="dxa"/>
            <w:shd w:val="clear" w:color="auto" w:fill="auto"/>
            <w:vAlign w:val="center"/>
          </w:tcPr>
          <w:p w:rsidR="00D31920" w:rsidRPr="00D35D44" w:rsidRDefault="00D31920" w:rsidP="00453585">
            <w:pPr>
              <w:pStyle w:val="Tabletext"/>
              <w:rPr>
                <w:bCs/>
              </w:rPr>
            </w:pPr>
            <w:r w:rsidRPr="00D35D44">
              <w:rPr>
                <w:bCs/>
              </w:rPr>
              <w:t xml:space="preserve">Overall survival (OS) is the primary outcome, progression free survival (PFS), response rate, quality of life, safety </w:t>
            </w:r>
          </w:p>
        </w:tc>
      </w:tr>
      <w:tr w:rsidR="00D31920" w:rsidRPr="00D35D44" w:rsidTr="00D4429C">
        <w:trPr>
          <w:cantSplit/>
        </w:trPr>
        <w:tc>
          <w:tcPr>
            <w:tcW w:w="1129" w:type="dxa"/>
            <w:shd w:val="clear" w:color="auto" w:fill="auto"/>
            <w:vAlign w:val="center"/>
          </w:tcPr>
          <w:p w:rsidR="00D31920" w:rsidRPr="00D35D44" w:rsidRDefault="00D31920" w:rsidP="00453585">
            <w:pPr>
              <w:pStyle w:val="Tabletext"/>
              <w:rPr>
                <w:bCs/>
              </w:rPr>
            </w:pPr>
            <w:r w:rsidRPr="00D35D44">
              <w:rPr>
                <w:bCs/>
              </w:rPr>
              <w:t>Clinical claim</w:t>
            </w:r>
          </w:p>
        </w:tc>
        <w:tc>
          <w:tcPr>
            <w:tcW w:w="8051" w:type="dxa"/>
            <w:shd w:val="clear" w:color="auto" w:fill="auto"/>
            <w:vAlign w:val="center"/>
          </w:tcPr>
          <w:p w:rsidR="00D31920" w:rsidRPr="00D35D44" w:rsidRDefault="00D31920" w:rsidP="00453585">
            <w:pPr>
              <w:pStyle w:val="Tabletext"/>
              <w:rPr>
                <w:bCs/>
              </w:rPr>
            </w:pPr>
            <w:r w:rsidRPr="00D35D44">
              <w:rPr>
                <w:bCs/>
              </w:rPr>
              <w:t xml:space="preserve">Cetuximab plus platinum CT and 5-FU followed by maintenance with cetuximab monotherapy is more effective than platinum CT </w:t>
            </w:r>
            <w:r w:rsidR="00BB539C">
              <w:rPr>
                <w:bCs/>
              </w:rPr>
              <w:t xml:space="preserve">and 5-FU </w:t>
            </w:r>
            <w:r w:rsidRPr="00D35D44">
              <w:rPr>
                <w:bCs/>
              </w:rPr>
              <w:t xml:space="preserve">only at improving OS, PFS and overall response rate with a manageable increase in adverse events. </w:t>
            </w:r>
          </w:p>
        </w:tc>
      </w:tr>
    </w:tbl>
    <w:p w:rsidR="00D31920" w:rsidRPr="00D35D44" w:rsidRDefault="00D31920" w:rsidP="00D31920">
      <w:pPr>
        <w:pStyle w:val="TableFooter"/>
        <w:rPr>
          <w:bCs/>
        </w:rPr>
      </w:pPr>
      <w:r w:rsidRPr="00D35D44">
        <w:rPr>
          <w:bCs/>
        </w:rPr>
        <w:t>Source: Table 1.1.1, p13 of the resubmission</w:t>
      </w:r>
    </w:p>
    <w:p w:rsidR="00D31920" w:rsidRPr="00D35D44" w:rsidRDefault="00D31920" w:rsidP="002E2883">
      <w:pPr>
        <w:pStyle w:val="Heading1"/>
      </w:pPr>
      <w:bookmarkStart w:id="1" w:name="_Toc500767922"/>
      <w:r w:rsidRPr="00D35D44">
        <w:t>Requested listing</w:t>
      </w:r>
      <w:bookmarkEnd w:id="1"/>
    </w:p>
    <w:p w:rsidR="00D31920" w:rsidRPr="00D35D44" w:rsidRDefault="00D31920" w:rsidP="00D31920">
      <w:pPr>
        <w:rPr>
          <w:bCs/>
        </w:rPr>
      </w:pPr>
    </w:p>
    <w:tbl>
      <w:tblPr>
        <w:tblW w:w="5009" w:type="pct"/>
        <w:tblInd w:w="28" w:type="dxa"/>
        <w:tblCellMar>
          <w:left w:w="28" w:type="dxa"/>
          <w:right w:w="28" w:type="dxa"/>
        </w:tblCellMar>
        <w:tblLook w:val="0000" w:firstRow="0" w:lastRow="0" w:firstColumn="0" w:lastColumn="0" w:noHBand="0" w:noVBand="0"/>
      </w:tblPr>
      <w:tblGrid>
        <w:gridCol w:w="1642"/>
        <w:gridCol w:w="1676"/>
        <w:gridCol w:w="1068"/>
        <w:gridCol w:w="830"/>
        <w:gridCol w:w="2029"/>
        <w:gridCol w:w="571"/>
        <w:gridCol w:w="1283"/>
      </w:tblGrid>
      <w:tr w:rsidR="00D31920" w:rsidRPr="00D35D44" w:rsidTr="00DB7326">
        <w:trPr>
          <w:cantSplit/>
          <w:trHeight w:val="463"/>
        </w:trPr>
        <w:tc>
          <w:tcPr>
            <w:tcW w:w="1823" w:type="pct"/>
            <w:gridSpan w:val="2"/>
            <w:tcBorders>
              <w:top w:val="single" w:sz="4" w:space="0" w:color="auto"/>
              <w:bottom w:val="single" w:sz="4" w:space="0" w:color="auto"/>
            </w:tcBorders>
            <w:vAlign w:val="center"/>
          </w:tcPr>
          <w:p w:rsidR="00D31920" w:rsidRPr="00D35D44" w:rsidRDefault="00D31920" w:rsidP="00453585">
            <w:pPr>
              <w:keepNext/>
              <w:jc w:val="left"/>
              <w:rPr>
                <w:rFonts w:ascii="Arial Narrow" w:hAnsi="Arial Narrow"/>
                <w:bCs/>
                <w:sz w:val="20"/>
              </w:rPr>
            </w:pPr>
            <w:r w:rsidRPr="00D35D44">
              <w:rPr>
                <w:rFonts w:ascii="Arial Narrow" w:hAnsi="Arial Narrow"/>
                <w:bCs/>
                <w:sz w:val="20"/>
              </w:rPr>
              <w:t>Name, Restriction,</w:t>
            </w:r>
          </w:p>
          <w:p w:rsidR="00D31920" w:rsidRPr="00D35D44" w:rsidRDefault="00D31920" w:rsidP="00453585">
            <w:pPr>
              <w:keepNext/>
              <w:jc w:val="left"/>
              <w:rPr>
                <w:rFonts w:ascii="Arial Narrow" w:hAnsi="Arial Narrow"/>
                <w:bCs/>
                <w:sz w:val="20"/>
              </w:rPr>
            </w:pPr>
            <w:r w:rsidRPr="00D35D44">
              <w:rPr>
                <w:rFonts w:ascii="Arial Narrow" w:hAnsi="Arial Narrow"/>
                <w:bCs/>
                <w:sz w:val="20"/>
              </w:rPr>
              <w:t>Manner of administration and form</w:t>
            </w:r>
          </w:p>
        </w:tc>
        <w:tc>
          <w:tcPr>
            <w:tcW w:w="587" w:type="pct"/>
            <w:tcBorders>
              <w:top w:val="single" w:sz="4" w:space="0" w:color="auto"/>
              <w:bottom w:val="single" w:sz="4" w:space="0" w:color="auto"/>
            </w:tcBorders>
            <w:vAlign w:val="center"/>
          </w:tcPr>
          <w:p w:rsidR="00D31920" w:rsidRPr="00D35D44" w:rsidRDefault="00D31920" w:rsidP="00453585">
            <w:pPr>
              <w:keepNext/>
              <w:jc w:val="center"/>
              <w:rPr>
                <w:rFonts w:ascii="Arial Narrow" w:hAnsi="Arial Narrow"/>
                <w:bCs/>
                <w:sz w:val="20"/>
              </w:rPr>
            </w:pPr>
            <w:r w:rsidRPr="00D35D44">
              <w:rPr>
                <w:rFonts w:ascii="Arial Narrow" w:hAnsi="Arial Narrow"/>
                <w:bCs/>
                <w:sz w:val="20"/>
              </w:rPr>
              <w:t>Max.</w:t>
            </w:r>
          </w:p>
          <w:p w:rsidR="00D31920" w:rsidRPr="00D35D44" w:rsidRDefault="00D4429C" w:rsidP="00D4429C">
            <w:pPr>
              <w:keepNext/>
              <w:jc w:val="center"/>
              <w:rPr>
                <w:rFonts w:ascii="Arial Narrow" w:hAnsi="Arial Narrow"/>
                <w:bCs/>
                <w:sz w:val="20"/>
              </w:rPr>
            </w:pPr>
            <w:proofErr w:type="spellStart"/>
            <w:r w:rsidRPr="00D35D44">
              <w:rPr>
                <w:rFonts w:ascii="Arial Narrow" w:hAnsi="Arial Narrow"/>
                <w:bCs/>
                <w:sz w:val="20"/>
              </w:rPr>
              <w:t>Amt</w:t>
            </w:r>
            <w:proofErr w:type="spellEnd"/>
          </w:p>
        </w:tc>
        <w:tc>
          <w:tcPr>
            <w:tcW w:w="456" w:type="pct"/>
            <w:tcBorders>
              <w:top w:val="single" w:sz="4" w:space="0" w:color="auto"/>
              <w:bottom w:val="single" w:sz="4" w:space="0" w:color="auto"/>
            </w:tcBorders>
            <w:vAlign w:val="center"/>
          </w:tcPr>
          <w:p w:rsidR="00D31920" w:rsidRPr="00D35D44" w:rsidRDefault="00D31920" w:rsidP="00453585">
            <w:pPr>
              <w:keepNext/>
              <w:jc w:val="center"/>
              <w:rPr>
                <w:rFonts w:ascii="Arial Narrow" w:hAnsi="Arial Narrow"/>
                <w:bCs/>
                <w:sz w:val="20"/>
              </w:rPr>
            </w:pPr>
            <w:r w:rsidRPr="00D35D44">
              <w:rPr>
                <w:rFonts w:ascii="Arial Narrow" w:hAnsi="Arial Narrow" w:cs="Times New Roman"/>
                <w:bCs/>
                <w:sz w:val="20"/>
              </w:rPr>
              <w:t>№</w:t>
            </w:r>
            <w:r w:rsidRPr="00D35D44">
              <w:rPr>
                <w:rFonts w:ascii="Arial Narrow" w:hAnsi="Arial Narrow"/>
                <w:bCs/>
                <w:sz w:val="20"/>
              </w:rPr>
              <w:t>.of</w:t>
            </w:r>
          </w:p>
          <w:p w:rsidR="00D31920" w:rsidRPr="00D35D44" w:rsidRDefault="00D31920" w:rsidP="00453585">
            <w:pPr>
              <w:keepNext/>
              <w:jc w:val="center"/>
              <w:rPr>
                <w:rFonts w:ascii="Arial Narrow" w:hAnsi="Arial Narrow"/>
                <w:bCs/>
                <w:sz w:val="20"/>
              </w:rPr>
            </w:pPr>
            <w:r w:rsidRPr="00D35D44">
              <w:rPr>
                <w:rFonts w:ascii="Arial Narrow" w:hAnsi="Arial Narrow"/>
                <w:bCs/>
                <w:sz w:val="20"/>
              </w:rPr>
              <w:t>Rpts</w:t>
            </w:r>
          </w:p>
        </w:tc>
        <w:tc>
          <w:tcPr>
            <w:tcW w:w="1115" w:type="pct"/>
            <w:tcBorders>
              <w:top w:val="single" w:sz="4" w:space="0" w:color="auto"/>
              <w:bottom w:val="single" w:sz="4" w:space="0" w:color="auto"/>
            </w:tcBorders>
            <w:vAlign w:val="center"/>
          </w:tcPr>
          <w:p w:rsidR="00DB7326" w:rsidRPr="00D35D44" w:rsidRDefault="00D4429C" w:rsidP="00DB7326">
            <w:pPr>
              <w:keepNext/>
              <w:jc w:val="left"/>
              <w:rPr>
                <w:rFonts w:ascii="Arial Narrow" w:hAnsi="Arial Narrow"/>
                <w:bCs/>
                <w:sz w:val="20"/>
              </w:rPr>
            </w:pPr>
            <w:r w:rsidRPr="00D35D44">
              <w:rPr>
                <w:rFonts w:ascii="Arial Narrow" w:hAnsi="Arial Narrow"/>
                <w:bCs/>
                <w:sz w:val="20"/>
              </w:rPr>
              <w:t>Dispensed Price</w:t>
            </w:r>
          </w:p>
          <w:p w:rsidR="00D31920" w:rsidRPr="00D35D44" w:rsidRDefault="00D4429C" w:rsidP="00DB7326">
            <w:pPr>
              <w:keepNext/>
              <w:ind w:left="282"/>
              <w:jc w:val="left"/>
              <w:rPr>
                <w:rFonts w:ascii="Arial Narrow" w:hAnsi="Arial Narrow"/>
                <w:bCs/>
                <w:sz w:val="20"/>
              </w:rPr>
            </w:pPr>
            <w:r w:rsidRPr="00D35D44">
              <w:rPr>
                <w:rFonts w:ascii="Arial Narrow" w:hAnsi="Arial Narrow"/>
                <w:bCs/>
                <w:sz w:val="20"/>
              </w:rPr>
              <w:t xml:space="preserve">Max </w:t>
            </w:r>
            <w:proofErr w:type="spellStart"/>
            <w:r w:rsidRPr="00D35D44">
              <w:rPr>
                <w:rFonts w:ascii="Arial Narrow" w:hAnsi="Arial Narrow"/>
                <w:bCs/>
                <w:sz w:val="20"/>
              </w:rPr>
              <w:t>Amt</w:t>
            </w:r>
            <w:proofErr w:type="spellEnd"/>
          </w:p>
        </w:tc>
        <w:tc>
          <w:tcPr>
            <w:tcW w:w="1018" w:type="pct"/>
            <w:gridSpan w:val="2"/>
            <w:tcBorders>
              <w:top w:val="single" w:sz="4" w:space="0" w:color="auto"/>
              <w:bottom w:val="single" w:sz="4" w:space="0" w:color="auto"/>
            </w:tcBorders>
            <w:vAlign w:val="center"/>
          </w:tcPr>
          <w:p w:rsidR="00D31920" w:rsidRPr="00D35D44" w:rsidRDefault="00D31920" w:rsidP="00453585">
            <w:pPr>
              <w:keepNext/>
              <w:jc w:val="center"/>
              <w:rPr>
                <w:rFonts w:ascii="Arial Narrow" w:hAnsi="Arial Narrow"/>
                <w:bCs/>
                <w:sz w:val="20"/>
              </w:rPr>
            </w:pPr>
            <w:r w:rsidRPr="00D35D44">
              <w:rPr>
                <w:rFonts w:ascii="Arial Narrow" w:hAnsi="Arial Narrow"/>
                <w:bCs/>
                <w:sz w:val="20"/>
              </w:rPr>
              <w:t>Proprietary Name and Manufacturer</w:t>
            </w:r>
          </w:p>
        </w:tc>
      </w:tr>
      <w:tr w:rsidR="00D31920" w:rsidRPr="00D35D44" w:rsidTr="00DB7326">
        <w:trPr>
          <w:cantSplit/>
          <w:trHeight w:val="567"/>
        </w:trPr>
        <w:tc>
          <w:tcPr>
            <w:tcW w:w="1823" w:type="pct"/>
            <w:gridSpan w:val="2"/>
          </w:tcPr>
          <w:p w:rsidR="00D31920" w:rsidRPr="00D35D44" w:rsidRDefault="00D31920" w:rsidP="00D4429C">
            <w:pPr>
              <w:rPr>
                <w:rFonts w:ascii="Arial Narrow" w:hAnsi="Arial Narrow"/>
                <w:sz w:val="20"/>
                <w:lang w:val="fr-FR" w:eastAsia="en-AU"/>
              </w:rPr>
            </w:pPr>
            <w:r w:rsidRPr="00D35D44">
              <w:rPr>
                <w:rFonts w:ascii="Arial Narrow" w:hAnsi="Arial Narrow"/>
                <w:smallCaps/>
                <w:sz w:val="20"/>
                <w:lang w:val="fr-FR" w:eastAsia="en-AU"/>
              </w:rPr>
              <w:t>CETUXIMAB</w:t>
            </w:r>
          </w:p>
          <w:p w:rsidR="00D31920" w:rsidRPr="00D35D44" w:rsidRDefault="00D31920" w:rsidP="00D4429C">
            <w:pPr>
              <w:rPr>
                <w:rFonts w:ascii="Arial Narrow" w:hAnsi="Arial Narrow"/>
                <w:sz w:val="20"/>
                <w:lang w:val="fr-FR" w:eastAsia="en-AU"/>
              </w:rPr>
            </w:pPr>
            <w:r w:rsidRPr="00D35D44">
              <w:rPr>
                <w:rFonts w:ascii="Arial Narrow" w:hAnsi="Arial Narrow"/>
                <w:sz w:val="20"/>
                <w:lang w:val="fr-FR" w:eastAsia="en-AU"/>
              </w:rPr>
              <w:t xml:space="preserve">Injection, 100 mg/20 </w:t>
            </w:r>
            <w:proofErr w:type="spellStart"/>
            <w:r w:rsidRPr="00D35D44">
              <w:rPr>
                <w:rFonts w:ascii="Arial Narrow" w:hAnsi="Arial Narrow"/>
                <w:sz w:val="20"/>
                <w:lang w:val="fr-FR" w:eastAsia="en-AU"/>
              </w:rPr>
              <w:t>mL</w:t>
            </w:r>
            <w:proofErr w:type="spellEnd"/>
          </w:p>
          <w:p w:rsidR="00D31920" w:rsidRPr="00D35D44" w:rsidRDefault="00D31920" w:rsidP="00D4429C">
            <w:pPr>
              <w:keepNext/>
              <w:jc w:val="left"/>
              <w:rPr>
                <w:rFonts w:ascii="Arial Narrow" w:hAnsi="Arial Narrow"/>
                <w:bCs/>
                <w:sz w:val="20"/>
                <w:lang w:val="fr-FR"/>
              </w:rPr>
            </w:pPr>
            <w:r w:rsidRPr="00D35D44">
              <w:rPr>
                <w:rFonts w:ascii="Arial Narrow" w:hAnsi="Arial Narrow"/>
                <w:sz w:val="20"/>
                <w:lang w:val="fr-FR" w:eastAsia="en-AU"/>
              </w:rPr>
              <w:t xml:space="preserve">Injection, 500 mg/100 </w:t>
            </w:r>
            <w:proofErr w:type="spellStart"/>
            <w:r w:rsidRPr="00D35D44">
              <w:rPr>
                <w:rFonts w:ascii="Arial Narrow" w:hAnsi="Arial Narrow"/>
                <w:sz w:val="20"/>
                <w:lang w:val="fr-FR" w:eastAsia="en-AU"/>
              </w:rPr>
              <w:t>mL</w:t>
            </w:r>
            <w:proofErr w:type="spellEnd"/>
          </w:p>
        </w:tc>
        <w:tc>
          <w:tcPr>
            <w:tcW w:w="587" w:type="pct"/>
          </w:tcPr>
          <w:p w:rsidR="00D31920" w:rsidRPr="00D35D44" w:rsidRDefault="00D31920" w:rsidP="00D4429C">
            <w:pPr>
              <w:keepNext/>
              <w:jc w:val="center"/>
              <w:rPr>
                <w:rFonts w:ascii="Arial Narrow" w:hAnsi="Arial Narrow"/>
                <w:bCs/>
                <w:sz w:val="20"/>
              </w:rPr>
            </w:pPr>
            <w:r w:rsidRPr="00D35D44">
              <w:rPr>
                <w:rFonts w:ascii="Arial Narrow" w:hAnsi="Arial Narrow"/>
                <w:sz w:val="20"/>
                <w:lang w:eastAsia="en-AU"/>
              </w:rPr>
              <w:t>880 mg</w:t>
            </w:r>
          </w:p>
        </w:tc>
        <w:tc>
          <w:tcPr>
            <w:tcW w:w="456" w:type="pct"/>
          </w:tcPr>
          <w:p w:rsidR="00D31920" w:rsidRPr="00D35D44" w:rsidRDefault="00D31920" w:rsidP="00D4429C">
            <w:pPr>
              <w:keepNext/>
              <w:jc w:val="center"/>
              <w:rPr>
                <w:rFonts w:ascii="Arial Narrow" w:hAnsi="Arial Narrow"/>
                <w:bCs/>
                <w:sz w:val="20"/>
              </w:rPr>
            </w:pPr>
            <w:r w:rsidRPr="00D35D44">
              <w:rPr>
                <w:rFonts w:ascii="Arial Narrow" w:hAnsi="Arial Narrow"/>
                <w:sz w:val="20"/>
                <w:lang w:eastAsia="en-AU"/>
              </w:rPr>
              <w:t>0</w:t>
            </w:r>
          </w:p>
        </w:tc>
        <w:tc>
          <w:tcPr>
            <w:tcW w:w="1115" w:type="pct"/>
            <w:vAlign w:val="center"/>
          </w:tcPr>
          <w:p w:rsidR="00D4429C" w:rsidRPr="00D35D44" w:rsidRDefault="00D4429C" w:rsidP="00D4429C">
            <w:pPr>
              <w:pStyle w:val="Tabletext"/>
              <w:rPr>
                <w:bCs/>
              </w:rPr>
            </w:pPr>
            <w:r w:rsidRPr="00D35D44">
              <w:rPr>
                <w:bCs/>
                <w:u w:val="single"/>
              </w:rPr>
              <w:t>published prices</w:t>
            </w:r>
            <w:r w:rsidRPr="00D35D44">
              <w:rPr>
                <w:bCs/>
              </w:rPr>
              <w:t>:</w:t>
            </w:r>
          </w:p>
          <w:p w:rsidR="00D31920" w:rsidRPr="00D35D44" w:rsidRDefault="00D31920" w:rsidP="00453585">
            <w:pPr>
              <w:pStyle w:val="Tabletext"/>
              <w:rPr>
                <w:bCs/>
              </w:rPr>
            </w:pPr>
            <w:r w:rsidRPr="00D35D44">
              <w:rPr>
                <w:bCs/>
              </w:rPr>
              <w:t>Public: $2,999.38</w:t>
            </w:r>
          </w:p>
          <w:p w:rsidR="00D31920" w:rsidRPr="00D35D44" w:rsidRDefault="00D31920" w:rsidP="00453585">
            <w:pPr>
              <w:pStyle w:val="Tabletext"/>
              <w:rPr>
                <w:bCs/>
              </w:rPr>
            </w:pPr>
            <w:r w:rsidRPr="00D35D44">
              <w:rPr>
                <w:bCs/>
              </w:rPr>
              <w:t>Private: $3,078.86</w:t>
            </w:r>
          </w:p>
          <w:p w:rsidR="00D31920" w:rsidRPr="00D35D44" w:rsidRDefault="00D4429C" w:rsidP="00453585">
            <w:pPr>
              <w:pStyle w:val="Tabletext"/>
              <w:rPr>
                <w:bCs/>
                <w:u w:val="single"/>
              </w:rPr>
            </w:pPr>
            <w:r w:rsidRPr="00D35D44">
              <w:rPr>
                <w:bCs/>
                <w:u w:val="single"/>
              </w:rPr>
              <w:t xml:space="preserve">effective </w:t>
            </w:r>
            <w:proofErr w:type="spellStart"/>
            <w:r w:rsidRPr="00D35D44">
              <w:rPr>
                <w:bCs/>
                <w:u w:val="single"/>
              </w:rPr>
              <w:t>price</w:t>
            </w:r>
            <w:r w:rsidR="00851643" w:rsidRPr="00D35D44">
              <w:rPr>
                <w:bCs/>
                <w:u w:val="single"/>
              </w:rPr>
              <w:t>s</w:t>
            </w:r>
            <w:r w:rsidRPr="00D35D44">
              <w:rPr>
                <w:bCs/>
                <w:u w:val="single"/>
                <w:vertAlign w:val="superscript"/>
              </w:rPr>
              <w:t>a</w:t>
            </w:r>
            <w:proofErr w:type="spellEnd"/>
          </w:p>
          <w:p w:rsidR="00D31920" w:rsidRPr="00D35D44" w:rsidRDefault="00D31920" w:rsidP="00453585">
            <w:pPr>
              <w:pStyle w:val="Tabletext"/>
              <w:rPr>
                <w:bCs/>
              </w:rPr>
            </w:pPr>
            <w:r w:rsidRPr="00D35D44">
              <w:rPr>
                <w:bCs/>
              </w:rPr>
              <w:t>Public: $</w:t>
            </w:r>
            <w:r w:rsidR="00A7601C">
              <w:rPr>
                <w:bCs/>
                <w:noProof/>
                <w:color w:val="000000"/>
                <w:highlight w:val="black"/>
              </w:rPr>
              <w:t>'''''''''''''''''''''</w:t>
            </w:r>
          </w:p>
          <w:p w:rsidR="00D31920" w:rsidRPr="00D35D44" w:rsidRDefault="00D4429C" w:rsidP="00D4429C">
            <w:pPr>
              <w:pStyle w:val="Tabletext"/>
              <w:rPr>
                <w:bCs/>
              </w:rPr>
            </w:pPr>
            <w:r w:rsidRPr="00D35D44">
              <w:rPr>
                <w:bCs/>
              </w:rPr>
              <w:t>Private: $</w:t>
            </w:r>
            <w:r w:rsidR="00A7601C">
              <w:rPr>
                <w:bCs/>
                <w:noProof/>
                <w:color w:val="000000"/>
                <w:highlight w:val="black"/>
              </w:rPr>
              <w:t>'''''''''''''''''''''</w:t>
            </w:r>
          </w:p>
        </w:tc>
        <w:tc>
          <w:tcPr>
            <w:tcW w:w="314" w:type="pct"/>
          </w:tcPr>
          <w:p w:rsidR="00D31920" w:rsidRPr="00D35D44" w:rsidRDefault="00D31920" w:rsidP="00E92F82">
            <w:pPr>
              <w:keepNext/>
              <w:jc w:val="center"/>
              <w:rPr>
                <w:rFonts w:ascii="Arial Narrow" w:hAnsi="Arial Narrow" w:cs="Times New Roman"/>
                <w:bCs/>
                <w:snapToGrid/>
                <w:sz w:val="20"/>
              </w:rPr>
            </w:pPr>
            <w:r w:rsidRPr="00D35D44">
              <w:rPr>
                <w:rFonts w:ascii="Arial Narrow" w:hAnsi="Arial Narrow" w:cs="Times New Roman"/>
                <w:bCs/>
                <w:snapToGrid/>
                <w:sz w:val="20"/>
              </w:rPr>
              <w:t>Erbitux</w:t>
            </w:r>
          </w:p>
        </w:tc>
        <w:tc>
          <w:tcPr>
            <w:tcW w:w="704" w:type="pct"/>
          </w:tcPr>
          <w:p w:rsidR="00D31920" w:rsidRPr="00D35D44" w:rsidRDefault="00D4429C" w:rsidP="00DB7326">
            <w:pPr>
              <w:keepNext/>
              <w:jc w:val="center"/>
              <w:rPr>
                <w:rFonts w:ascii="Arial Narrow" w:hAnsi="Arial Narrow"/>
                <w:bCs/>
                <w:sz w:val="20"/>
              </w:rPr>
            </w:pPr>
            <w:r w:rsidRPr="00D35D44">
              <w:rPr>
                <w:rFonts w:ascii="Arial Narrow" w:hAnsi="Arial Narrow"/>
                <w:sz w:val="20"/>
              </w:rPr>
              <w:t>Merck</w:t>
            </w:r>
            <w:r w:rsidR="00DB7326" w:rsidRPr="00D35D44">
              <w:rPr>
                <w:rFonts w:ascii="Arial Narrow" w:hAnsi="Arial Narrow"/>
                <w:sz w:val="20"/>
              </w:rPr>
              <w:t xml:space="preserve"> </w:t>
            </w:r>
            <w:proofErr w:type="spellStart"/>
            <w:r w:rsidR="00D31920" w:rsidRPr="00D35D44">
              <w:rPr>
                <w:rFonts w:ascii="Arial Narrow" w:hAnsi="Arial Narrow"/>
                <w:sz w:val="20"/>
              </w:rPr>
              <w:t>Serono</w:t>
            </w:r>
            <w:proofErr w:type="spellEnd"/>
            <w:r w:rsidR="00DB7326" w:rsidRPr="00D35D44">
              <w:rPr>
                <w:rFonts w:ascii="Arial Narrow" w:hAnsi="Arial Narrow"/>
                <w:sz w:val="20"/>
              </w:rPr>
              <w:t xml:space="preserve"> </w:t>
            </w:r>
            <w:proofErr w:type="spellStart"/>
            <w:r w:rsidR="00D31920" w:rsidRPr="00D35D44">
              <w:rPr>
                <w:rFonts w:ascii="Arial Narrow" w:hAnsi="Arial Narrow"/>
                <w:sz w:val="20"/>
              </w:rPr>
              <w:t>Aust</w:t>
            </w:r>
            <w:proofErr w:type="spellEnd"/>
          </w:p>
        </w:tc>
      </w:tr>
      <w:tr w:rsidR="00D31920" w:rsidRPr="00D35D44" w:rsidTr="00DB73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02" w:type="pct"/>
            <w:tcBorders>
              <w:top w:val="single" w:sz="4" w:space="0" w:color="auto"/>
              <w:left w:val="single" w:sz="4" w:space="0" w:color="auto"/>
              <w:bottom w:val="single" w:sz="4" w:space="0" w:color="auto"/>
              <w:right w:val="single" w:sz="4" w:space="0" w:color="auto"/>
            </w:tcBorders>
            <w:hideMark/>
          </w:tcPr>
          <w:p w:rsidR="00D31920" w:rsidRPr="00D35D44" w:rsidRDefault="00D31920" w:rsidP="00DC041C">
            <w:pPr>
              <w:pStyle w:val="Tabletext"/>
              <w:keepNext/>
              <w:rPr>
                <w:bCs/>
                <w:lang w:eastAsia="en-AU"/>
              </w:rPr>
            </w:pPr>
            <w:r w:rsidRPr="00D35D44">
              <w:rPr>
                <w:bCs/>
                <w:lang w:eastAsia="en-AU"/>
              </w:rPr>
              <w:lastRenderedPageBreak/>
              <w:t>Category/Program:</w:t>
            </w:r>
          </w:p>
        </w:tc>
        <w:tc>
          <w:tcPr>
            <w:tcW w:w="4098" w:type="pct"/>
            <w:gridSpan w:val="6"/>
            <w:tcBorders>
              <w:top w:val="single" w:sz="4" w:space="0" w:color="auto"/>
              <w:left w:val="single" w:sz="4" w:space="0" w:color="auto"/>
              <w:bottom w:val="single" w:sz="4" w:space="0" w:color="auto"/>
              <w:right w:val="single" w:sz="4" w:space="0" w:color="auto"/>
            </w:tcBorders>
          </w:tcPr>
          <w:p w:rsidR="00D31920" w:rsidRPr="00D35D44" w:rsidRDefault="00D31920" w:rsidP="00DC041C">
            <w:pPr>
              <w:keepNext/>
              <w:jc w:val="left"/>
              <w:rPr>
                <w:rFonts w:ascii="Arial Narrow" w:hAnsi="Arial Narrow"/>
                <w:sz w:val="20"/>
                <w:lang w:eastAsia="en-AU"/>
              </w:rPr>
            </w:pPr>
            <w:r w:rsidRPr="00D35D44">
              <w:rPr>
                <w:rFonts w:ascii="Arial Narrow" w:hAnsi="Arial Narrow"/>
                <w:sz w:val="20"/>
                <w:lang w:eastAsia="en-AU"/>
              </w:rPr>
              <w:t>Section 100 (Efficient Funding of Chemotherapy (EFC – Private Hospital)</w:t>
            </w:r>
          </w:p>
          <w:p w:rsidR="00D31920" w:rsidRPr="00D35D44" w:rsidRDefault="00D31920" w:rsidP="00DC041C">
            <w:pPr>
              <w:pStyle w:val="Tabletext"/>
              <w:keepNext/>
              <w:rPr>
                <w:bCs/>
                <w:lang w:eastAsia="en-AU"/>
              </w:rPr>
            </w:pPr>
            <w:r w:rsidRPr="00D35D44">
              <w:rPr>
                <w:lang w:eastAsia="en-AU"/>
              </w:rPr>
              <w:t>Section 100 (Efficient Funding of Chemotherapy (EFC – Public hospital)</w:t>
            </w:r>
          </w:p>
        </w:tc>
      </w:tr>
      <w:tr w:rsidR="00D31920" w:rsidRPr="00D35D44" w:rsidTr="00DB73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02" w:type="pct"/>
            <w:tcBorders>
              <w:top w:val="single" w:sz="4" w:space="0" w:color="auto"/>
              <w:left w:val="single" w:sz="4" w:space="0" w:color="auto"/>
              <w:bottom w:val="single" w:sz="4" w:space="0" w:color="auto"/>
              <w:right w:val="single" w:sz="4" w:space="0" w:color="auto"/>
            </w:tcBorders>
            <w:hideMark/>
          </w:tcPr>
          <w:p w:rsidR="00D31920" w:rsidRPr="00D35D44" w:rsidRDefault="00D31920" w:rsidP="00DC041C">
            <w:pPr>
              <w:pStyle w:val="Tabletext"/>
              <w:keepNext/>
              <w:rPr>
                <w:bCs/>
                <w:lang w:eastAsia="en-AU"/>
              </w:rPr>
            </w:pPr>
            <w:r w:rsidRPr="00D35D44">
              <w:rPr>
                <w:bCs/>
                <w:lang w:eastAsia="en-AU"/>
              </w:rPr>
              <w:t>PBS indication:</w:t>
            </w:r>
          </w:p>
        </w:tc>
        <w:tc>
          <w:tcPr>
            <w:tcW w:w="4098" w:type="pct"/>
            <w:gridSpan w:val="6"/>
            <w:tcBorders>
              <w:top w:val="single" w:sz="4" w:space="0" w:color="auto"/>
              <w:left w:val="single" w:sz="4" w:space="0" w:color="auto"/>
              <w:bottom w:val="single" w:sz="4" w:space="0" w:color="auto"/>
              <w:right w:val="single" w:sz="4" w:space="0" w:color="auto"/>
            </w:tcBorders>
          </w:tcPr>
          <w:p w:rsidR="00D31920" w:rsidRPr="00D35D44" w:rsidRDefault="00D31920" w:rsidP="00DC041C">
            <w:pPr>
              <w:pStyle w:val="Tabletext"/>
              <w:keepNext/>
              <w:rPr>
                <w:bCs/>
                <w:lang w:eastAsia="en-AU"/>
              </w:rPr>
            </w:pPr>
            <w:r w:rsidRPr="00D35D44">
              <w:rPr>
                <w:lang w:eastAsia="en-AU"/>
              </w:rPr>
              <w:t>Recurrent and/or metastatic squamous cell carcinoma of the head and neck</w:t>
            </w:r>
          </w:p>
        </w:tc>
      </w:tr>
      <w:tr w:rsidR="00D31920" w:rsidRPr="00D35D44" w:rsidTr="00DB73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02" w:type="pct"/>
            <w:tcBorders>
              <w:top w:val="single" w:sz="4" w:space="0" w:color="auto"/>
              <w:left w:val="single" w:sz="4" w:space="0" w:color="auto"/>
              <w:bottom w:val="single" w:sz="4" w:space="0" w:color="auto"/>
              <w:right w:val="single" w:sz="4" w:space="0" w:color="auto"/>
            </w:tcBorders>
            <w:hideMark/>
          </w:tcPr>
          <w:p w:rsidR="00D31920" w:rsidRPr="00D35D44" w:rsidRDefault="00D31920" w:rsidP="00DC041C">
            <w:pPr>
              <w:pStyle w:val="Tabletext"/>
              <w:keepNext/>
              <w:rPr>
                <w:bCs/>
                <w:lang w:eastAsia="en-AU"/>
              </w:rPr>
            </w:pPr>
            <w:r w:rsidRPr="00D35D44">
              <w:rPr>
                <w:bCs/>
                <w:lang w:eastAsia="en-AU"/>
              </w:rPr>
              <w:t>Treatment phase:</w:t>
            </w:r>
          </w:p>
        </w:tc>
        <w:tc>
          <w:tcPr>
            <w:tcW w:w="4098" w:type="pct"/>
            <w:gridSpan w:val="6"/>
            <w:tcBorders>
              <w:top w:val="single" w:sz="4" w:space="0" w:color="auto"/>
              <w:left w:val="single" w:sz="4" w:space="0" w:color="auto"/>
              <w:bottom w:val="single" w:sz="4" w:space="0" w:color="auto"/>
              <w:right w:val="single" w:sz="4" w:space="0" w:color="auto"/>
            </w:tcBorders>
          </w:tcPr>
          <w:p w:rsidR="00D31920" w:rsidRPr="00D35D44" w:rsidRDefault="00D31920" w:rsidP="00DC041C">
            <w:pPr>
              <w:pStyle w:val="Tabletext"/>
              <w:keepNext/>
              <w:rPr>
                <w:bCs/>
                <w:lang w:eastAsia="en-AU"/>
              </w:rPr>
            </w:pPr>
            <w:r w:rsidRPr="00D35D44">
              <w:rPr>
                <w:lang w:eastAsia="en-AU"/>
              </w:rPr>
              <w:t>Initial treatment</w:t>
            </w:r>
          </w:p>
        </w:tc>
      </w:tr>
      <w:tr w:rsidR="00D31920" w:rsidRPr="00D35D44" w:rsidTr="00DB73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02" w:type="pct"/>
            <w:tcBorders>
              <w:top w:val="single" w:sz="4" w:space="0" w:color="auto"/>
              <w:left w:val="single" w:sz="4" w:space="0" w:color="auto"/>
              <w:bottom w:val="single" w:sz="4" w:space="0" w:color="auto"/>
              <w:right w:val="single" w:sz="4" w:space="0" w:color="auto"/>
            </w:tcBorders>
            <w:hideMark/>
          </w:tcPr>
          <w:p w:rsidR="00D31920" w:rsidRPr="00D35D44" w:rsidRDefault="00D31920" w:rsidP="00DC041C">
            <w:pPr>
              <w:pStyle w:val="Tabletext"/>
              <w:keepNext/>
              <w:rPr>
                <w:bCs/>
                <w:lang w:eastAsia="en-AU"/>
              </w:rPr>
            </w:pPr>
            <w:r w:rsidRPr="00D35D44">
              <w:rPr>
                <w:bCs/>
                <w:lang w:eastAsia="en-AU"/>
              </w:rPr>
              <w:t>Restriction:</w:t>
            </w:r>
          </w:p>
        </w:tc>
        <w:tc>
          <w:tcPr>
            <w:tcW w:w="4098" w:type="pct"/>
            <w:gridSpan w:val="6"/>
            <w:tcBorders>
              <w:top w:val="single" w:sz="4" w:space="0" w:color="auto"/>
              <w:left w:val="single" w:sz="4" w:space="0" w:color="auto"/>
              <w:bottom w:val="single" w:sz="4" w:space="0" w:color="auto"/>
              <w:right w:val="single" w:sz="4" w:space="0" w:color="auto"/>
            </w:tcBorders>
          </w:tcPr>
          <w:p w:rsidR="00D31920" w:rsidRPr="00D35D44" w:rsidRDefault="00D31920" w:rsidP="00DC041C">
            <w:pPr>
              <w:keepNext/>
              <w:jc w:val="left"/>
              <w:rPr>
                <w:rFonts w:ascii="Arial Narrow" w:hAnsi="Arial Narrow"/>
                <w:bCs/>
                <w:sz w:val="20"/>
                <w:lang w:eastAsia="en-AU"/>
              </w:rPr>
            </w:pPr>
            <w:r w:rsidRPr="00D35D44">
              <w:rPr>
                <w:rFonts w:ascii="Arial Narrow" w:hAnsi="Arial Narrow"/>
                <w:bCs/>
                <w:sz w:val="20"/>
                <w:lang w:eastAsia="en-AU"/>
              </w:rPr>
              <w:fldChar w:fldCharType="begin">
                <w:ffData>
                  <w:name w:val=""/>
                  <w:enabled/>
                  <w:calcOnExit w:val="0"/>
                  <w:checkBox>
                    <w:sizeAuto/>
                    <w:default w:val="1"/>
                  </w:checkBox>
                </w:ffData>
              </w:fldChar>
            </w:r>
            <w:r w:rsidRPr="00D35D44">
              <w:rPr>
                <w:rFonts w:ascii="Arial Narrow" w:hAnsi="Arial Narrow"/>
                <w:bCs/>
                <w:sz w:val="20"/>
                <w:lang w:eastAsia="en-AU"/>
              </w:rPr>
              <w:instrText xml:space="preserve"> FORMCHECKBOX </w:instrText>
            </w:r>
            <w:r w:rsidR="002A3009">
              <w:rPr>
                <w:rFonts w:ascii="Arial Narrow" w:hAnsi="Arial Narrow"/>
                <w:bCs/>
                <w:sz w:val="20"/>
                <w:lang w:eastAsia="en-AU"/>
              </w:rPr>
            </w:r>
            <w:r w:rsidR="002A3009">
              <w:rPr>
                <w:rFonts w:ascii="Arial Narrow" w:hAnsi="Arial Narrow"/>
                <w:bCs/>
                <w:sz w:val="20"/>
                <w:lang w:eastAsia="en-AU"/>
              </w:rPr>
              <w:fldChar w:fldCharType="separate"/>
            </w:r>
            <w:r w:rsidRPr="00D35D44">
              <w:rPr>
                <w:rFonts w:ascii="Arial Narrow" w:hAnsi="Arial Narrow"/>
                <w:bCs/>
                <w:sz w:val="20"/>
                <w:lang w:eastAsia="en-AU"/>
              </w:rPr>
              <w:fldChar w:fldCharType="end"/>
            </w:r>
            <w:r w:rsidRPr="00D35D44">
              <w:rPr>
                <w:rFonts w:ascii="Arial Narrow" w:hAnsi="Arial Narrow"/>
                <w:bCs/>
                <w:sz w:val="20"/>
                <w:lang w:eastAsia="en-AU"/>
              </w:rPr>
              <w:t>Authority Required - In Writing</w:t>
            </w:r>
          </w:p>
          <w:p w:rsidR="00D31920" w:rsidRPr="00D35D44" w:rsidRDefault="00D31920" w:rsidP="00DC041C">
            <w:pPr>
              <w:keepNext/>
              <w:jc w:val="left"/>
              <w:rPr>
                <w:rFonts w:ascii="Arial Narrow" w:hAnsi="Arial Narrow"/>
                <w:bCs/>
                <w:sz w:val="20"/>
                <w:lang w:eastAsia="en-AU"/>
              </w:rPr>
            </w:pPr>
            <w:r w:rsidRPr="00D35D44">
              <w:rPr>
                <w:rFonts w:ascii="Arial Narrow" w:hAnsi="Arial Narrow"/>
                <w:bCs/>
                <w:sz w:val="20"/>
                <w:lang w:eastAsia="en-AU"/>
              </w:rPr>
              <w:fldChar w:fldCharType="begin">
                <w:ffData>
                  <w:name w:val="Check3"/>
                  <w:enabled/>
                  <w:calcOnExit w:val="0"/>
                  <w:checkBox>
                    <w:sizeAuto/>
                    <w:default w:val="1"/>
                  </w:checkBox>
                </w:ffData>
              </w:fldChar>
            </w:r>
            <w:r w:rsidRPr="00D35D44">
              <w:rPr>
                <w:rFonts w:ascii="Arial Narrow" w:hAnsi="Arial Narrow"/>
                <w:bCs/>
                <w:sz w:val="20"/>
                <w:lang w:eastAsia="en-AU"/>
              </w:rPr>
              <w:instrText xml:space="preserve"> FORMCHECKBOX </w:instrText>
            </w:r>
            <w:r w:rsidR="002A3009">
              <w:rPr>
                <w:rFonts w:ascii="Arial Narrow" w:hAnsi="Arial Narrow"/>
                <w:bCs/>
                <w:sz w:val="20"/>
                <w:lang w:eastAsia="en-AU"/>
              </w:rPr>
            </w:r>
            <w:r w:rsidR="002A3009">
              <w:rPr>
                <w:rFonts w:ascii="Arial Narrow" w:hAnsi="Arial Narrow"/>
                <w:bCs/>
                <w:sz w:val="20"/>
                <w:lang w:eastAsia="en-AU"/>
              </w:rPr>
              <w:fldChar w:fldCharType="separate"/>
            </w:r>
            <w:r w:rsidRPr="00D35D44">
              <w:rPr>
                <w:rFonts w:ascii="Arial Narrow" w:hAnsi="Arial Narrow"/>
                <w:bCs/>
                <w:sz w:val="20"/>
                <w:lang w:eastAsia="en-AU"/>
              </w:rPr>
              <w:fldChar w:fldCharType="end"/>
            </w:r>
            <w:r w:rsidRPr="00D35D44">
              <w:rPr>
                <w:rFonts w:ascii="Arial Narrow" w:hAnsi="Arial Narrow"/>
                <w:bCs/>
                <w:sz w:val="20"/>
                <w:lang w:eastAsia="en-AU"/>
              </w:rPr>
              <w:t>Authority Required - Telephone</w:t>
            </w:r>
          </w:p>
          <w:p w:rsidR="00D31920" w:rsidRPr="00D35D44" w:rsidRDefault="00D31920" w:rsidP="00DC041C">
            <w:pPr>
              <w:keepNext/>
              <w:jc w:val="left"/>
              <w:rPr>
                <w:rFonts w:ascii="Arial Narrow" w:hAnsi="Arial Narrow"/>
                <w:bCs/>
                <w:sz w:val="20"/>
                <w:lang w:eastAsia="en-AU"/>
              </w:rPr>
            </w:pPr>
            <w:r w:rsidRPr="00D35D44">
              <w:rPr>
                <w:rFonts w:ascii="Arial Narrow" w:hAnsi="Arial Narrow"/>
                <w:bCs/>
                <w:sz w:val="20"/>
                <w:lang w:eastAsia="en-AU"/>
              </w:rPr>
              <w:fldChar w:fldCharType="begin">
                <w:ffData>
                  <w:name w:val=""/>
                  <w:enabled/>
                  <w:calcOnExit w:val="0"/>
                  <w:checkBox>
                    <w:sizeAuto/>
                    <w:default w:val="1"/>
                  </w:checkBox>
                </w:ffData>
              </w:fldChar>
            </w:r>
            <w:r w:rsidRPr="00D35D44">
              <w:rPr>
                <w:rFonts w:ascii="Arial Narrow" w:hAnsi="Arial Narrow"/>
                <w:bCs/>
                <w:sz w:val="20"/>
                <w:lang w:eastAsia="en-AU"/>
              </w:rPr>
              <w:instrText xml:space="preserve"> FORMCHECKBOX </w:instrText>
            </w:r>
            <w:r w:rsidR="002A3009">
              <w:rPr>
                <w:rFonts w:ascii="Arial Narrow" w:hAnsi="Arial Narrow"/>
                <w:bCs/>
                <w:sz w:val="20"/>
                <w:lang w:eastAsia="en-AU"/>
              </w:rPr>
            </w:r>
            <w:r w:rsidR="002A3009">
              <w:rPr>
                <w:rFonts w:ascii="Arial Narrow" w:hAnsi="Arial Narrow"/>
                <w:bCs/>
                <w:sz w:val="20"/>
                <w:lang w:eastAsia="en-AU"/>
              </w:rPr>
              <w:fldChar w:fldCharType="separate"/>
            </w:r>
            <w:r w:rsidRPr="00D35D44">
              <w:rPr>
                <w:rFonts w:ascii="Arial Narrow" w:hAnsi="Arial Narrow"/>
                <w:bCs/>
                <w:sz w:val="20"/>
                <w:lang w:eastAsia="en-AU"/>
              </w:rPr>
              <w:fldChar w:fldCharType="end"/>
            </w:r>
            <w:r w:rsidRPr="00D35D44">
              <w:rPr>
                <w:rFonts w:ascii="Arial Narrow" w:hAnsi="Arial Narrow"/>
                <w:bCs/>
                <w:sz w:val="20"/>
                <w:lang w:eastAsia="en-AU"/>
              </w:rPr>
              <w:t>Authority Required – Emergency</w:t>
            </w:r>
          </w:p>
          <w:p w:rsidR="00D31920" w:rsidRPr="00D35D44" w:rsidRDefault="00D31920" w:rsidP="00DC041C">
            <w:pPr>
              <w:keepNext/>
              <w:jc w:val="left"/>
              <w:rPr>
                <w:rFonts w:ascii="Arial Narrow" w:hAnsi="Arial Narrow"/>
                <w:bCs/>
                <w:sz w:val="20"/>
                <w:lang w:eastAsia="en-AU"/>
              </w:rPr>
            </w:pPr>
            <w:r w:rsidRPr="00D35D44">
              <w:rPr>
                <w:rFonts w:ascii="Arial Narrow" w:hAnsi="Arial Narrow"/>
                <w:bCs/>
                <w:sz w:val="20"/>
                <w:lang w:eastAsia="en-AU"/>
              </w:rPr>
              <w:fldChar w:fldCharType="begin">
                <w:ffData>
                  <w:name w:val=""/>
                  <w:enabled/>
                  <w:calcOnExit w:val="0"/>
                  <w:checkBox>
                    <w:sizeAuto/>
                    <w:default w:val="1"/>
                  </w:checkBox>
                </w:ffData>
              </w:fldChar>
            </w:r>
            <w:r w:rsidRPr="00D35D44">
              <w:rPr>
                <w:rFonts w:ascii="Arial Narrow" w:hAnsi="Arial Narrow"/>
                <w:bCs/>
                <w:sz w:val="20"/>
                <w:lang w:eastAsia="en-AU"/>
              </w:rPr>
              <w:instrText xml:space="preserve"> FORMCHECKBOX </w:instrText>
            </w:r>
            <w:r w:rsidR="002A3009">
              <w:rPr>
                <w:rFonts w:ascii="Arial Narrow" w:hAnsi="Arial Narrow"/>
                <w:bCs/>
                <w:sz w:val="20"/>
                <w:lang w:eastAsia="en-AU"/>
              </w:rPr>
            </w:r>
            <w:r w:rsidR="002A3009">
              <w:rPr>
                <w:rFonts w:ascii="Arial Narrow" w:hAnsi="Arial Narrow"/>
                <w:bCs/>
                <w:sz w:val="20"/>
                <w:lang w:eastAsia="en-AU"/>
              </w:rPr>
              <w:fldChar w:fldCharType="separate"/>
            </w:r>
            <w:r w:rsidRPr="00D35D44">
              <w:rPr>
                <w:rFonts w:ascii="Arial Narrow" w:hAnsi="Arial Narrow"/>
                <w:bCs/>
                <w:sz w:val="20"/>
                <w:lang w:eastAsia="en-AU"/>
              </w:rPr>
              <w:fldChar w:fldCharType="end"/>
            </w:r>
            <w:r w:rsidRPr="00D35D44">
              <w:rPr>
                <w:rFonts w:ascii="Arial Narrow" w:hAnsi="Arial Narrow"/>
                <w:bCs/>
                <w:sz w:val="20"/>
                <w:lang w:eastAsia="en-AU"/>
              </w:rPr>
              <w:t>Authority Required - Electronic</w:t>
            </w:r>
          </w:p>
          <w:p w:rsidR="00D31920" w:rsidRPr="00D35D44" w:rsidRDefault="00D31920" w:rsidP="00DC041C">
            <w:pPr>
              <w:pStyle w:val="Tabletext"/>
              <w:keepNext/>
              <w:rPr>
                <w:bCs/>
                <w:lang w:eastAsia="en-AU"/>
              </w:rPr>
            </w:pPr>
            <w:r w:rsidRPr="00D35D44">
              <w:rPr>
                <w:bCs/>
                <w:lang w:eastAsia="en-AU"/>
              </w:rPr>
              <w:fldChar w:fldCharType="begin">
                <w:ffData>
                  <w:name w:val="Check5"/>
                  <w:enabled/>
                  <w:calcOnExit w:val="0"/>
                  <w:checkBox>
                    <w:sizeAuto/>
                    <w:default w:val="1"/>
                  </w:checkBox>
                </w:ffData>
              </w:fldChar>
            </w:r>
            <w:r w:rsidRPr="00D35D44">
              <w:rPr>
                <w:bCs/>
                <w:lang w:eastAsia="en-AU"/>
              </w:rPr>
              <w:instrText xml:space="preserve"> FORMCHECKBOX </w:instrText>
            </w:r>
            <w:r w:rsidR="002A3009">
              <w:rPr>
                <w:bCs/>
                <w:lang w:eastAsia="en-AU"/>
              </w:rPr>
            </w:r>
            <w:r w:rsidR="002A3009">
              <w:rPr>
                <w:bCs/>
                <w:lang w:eastAsia="en-AU"/>
              </w:rPr>
              <w:fldChar w:fldCharType="separate"/>
            </w:r>
            <w:r w:rsidRPr="00D35D44">
              <w:rPr>
                <w:bCs/>
                <w:lang w:eastAsia="en-AU"/>
              </w:rPr>
              <w:fldChar w:fldCharType="end"/>
            </w:r>
            <w:r w:rsidRPr="00D35D44">
              <w:rPr>
                <w:bCs/>
                <w:lang w:eastAsia="en-AU"/>
              </w:rPr>
              <w:t xml:space="preserve">Streamlined </w:t>
            </w:r>
          </w:p>
        </w:tc>
      </w:tr>
      <w:tr w:rsidR="00D31920" w:rsidRPr="00D35D44" w:rsidTr="00DB73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02" w:type="pct"/>
            <w:tcBorders>
              <w:top w:val="single" w:sz="4" w:space="0" w:color="auto"/>
              <w:left w:val="single" w:sz="4" w:space="0" w:color="auto"/>
              <w:bottom w:val="single" w:sz="4" w:space="0" w:color="auto"/>
              <w:right w:val="single" w:sz="4" w:space="0" w:color="auto"/>
            </w:tcBorders>
            <w:hideMark/>
          </w:tcPr>
          <w:p w:rsidR="00D31920" w:rsidRPr="00D35D44" w:rsidRDefault="00D31920" w:rsidP="00DC041C">
            <w:pPr>
              <w:pStyle w:val="Tabletext"/>
              <w:keepNext/>
              <w:rPr>
                <w:bCs/>
                <w:lang w:eastAsia="en-AU"/>
              </w:rPr>
            </w:pPr>
            <w:r w:rsidRPr="00D35D44">
              <w:rPr>
                <w:bCs/>
                <w:lang w:eastAsia="en-AU"/>
              </w:rPr>
              <w:t>Clinical criteria:</w:t>
            </w:r>
          </w:p>
        </w:tc>
        <w:tc>
          <w:tcPr>
            <w:tcW w:w="4098" w:type="pct"/>
            <w:gridSpan w:val="6"/>
            <w:tcBorders>
              <w:top w:val="single" w:sz="4" w:space="0" w:color="auto"/>
              <w:left w:val="single" w:sz="4" w:space="0" w:color="auto"/>
              <w:bottom w:val="single" w:sz="4" w:space="0" w:color="auto"/>
              <w:right w:val="single" w:sz="4" w:space="0" w:color="auto"/>
            </w:tcBorders>
          </w:tcPr>
          <w:p w:rsidR="00D31920" w:rsidRPr="00D35D44" w:rsidRDefault="00D31920" w:rsidP="00DC041C">
            <w:pPr>
              <w:pStyle w:val="Tabletext"/>
              <w:keepNext/>
              <w:rPr>
                <w:bCs/>
                <w:lang w:eastAsia="en-AU"/>
              </w:rPr>
            </w:pPr>
            <w:r w:rsidRPr="00D35D44">
              <w:rPr>
                <w:bCs/>
                <w:lang w:eastAsia="en-AU"/>
              </w:rPr>
              <w:t>The condition</w:t>
            </w:r>
            <w:r w:rsidR="00E00FD1">
              <w:rPr>
                <w:bCs/>
                <w:lang w:eastAsia="en-AU"/>
              </w:rPr>
              <w:t xml:space="preserve"> must</w:t>
            </w:r>
            <w:r w:rsidRPr="00D35D44">
              <w:rPr>
                <w:bCs/>
                <w:lang w:eastAsia="en-AU"/>
              </w:rPr>
              <w:t xml:space="preserve"> be recurrent or metastatic SCCHN</w:t>
            </w:r>
            <w:r w:rsidRPr="00D35D44">
              <w:rPr>
                <w:bCs/>
                <w:lang w:eastAsia="en-AU"/>
              </w:rPr>
              <w:br/>
              <w:t xml:space="preserve">AND </w:t>
            </w:r>
            <w:r w:rsidRPr="00D35D44">
              <w:rPr>
                <w:bCs/>
                <w:lang w:eastAsia="en-AU"/>
              </w:rPr>
              <w:br/>
              <w:t>The condition must be previously untreated</w:t>
            </w:r>
            <w:r w:rsidRPr="00D35D44">
              <w:rPr>
                <w:bCs/>
                <w:lang w:eastAsia="en-AU"/>
              </w:rPr>
              <w:br/>
              <w:t>AND</w:t>
            </w:r>
            <w:r w:rsidRPr="00D35D44">
              <w:rPr>
                <w:bCs/>
                <w:lang w:eastAsia="en-AU"/>
              </w:rPr>
              <w:br/>
              <w:t>The treatment must be commenced in combination with platinum-based chemotherapy</w:t>
            </w:r>
          </w:p>
        </w:tc>
      </w:tr>
    </w:tbl>
    <w:p w:rsidR="00487C7F" w:rsidRPr="00D35D44" w:rsidRDefault="00D31920" w:rsidP="00D31920">
      <w:pPr>
        <w:pStyle w:val="TableFooter"/>
        <w:rPr>
          <w:bCs/>
        </w:rPr>
      </w:pPr>
      <w:proofErr w:type="spellStart"/>
      <w:proofErr w:type="gramStart"/>
      <w:r w:rsidRPr="00D35D44">
        <w:rPr>
          <w:bCs/>
          <w:vertAlign w:val="superscript"/>
        </w:rPr>
        <w:t>a</w:t>
      </w:r>
      <w:proofErr w:type="spellEnd"/>
      <w:proofErr w:type="gramEnd"/>
      <w:r w:rsidR="00D4429C" w:rsidRPr="00D35D44">
        <w:rPr>
          <w:bCs/>
        </w:rPr>
        <w:t xml:space="preserve"> The resubmission nominated</w:t>
      </w:r>
      <w:r w:rsidRPr="00D35D44">
        <w:rPr>
          <w:bCs/>
        </w:rPr>
        <w:t xml:space="preserve"> a </w:t>
      </w:r>
      <w:r w:rsidR="00A7601C">
        <w:rPr>
          <w:bCs/>
          <w:noProof/>
          <w:color w:val="000000"/>
          <w:highlight w:val="black"/>
        </w:rPr>
        <w:t>'''''''''''</w:t>
      </w:r>
      <w:r w:rsidRPr="00D35D44">
        <w:rPr>
          <w:bCs/>
        </w:rPr>
        <w:t xml:space="preserve">% rebate from the published price, and also a cap of </w:t>
      </w:r>
      <w:r w:rsidR="00A7601C">
        <w:rPr>
          <w:bCs/>
          <w:noProof/>
          <w:color w:val="000000"/>
          <w:highlight w:val="black"/>
        </w:rPr>
        <w:t>'''''''</w:t>
      </w:r>
      <w:r w:rsidRPr="00DC6574">
        <w:rPr>
          <w:bCs/>
        </w:rPr>
        <w:t xml:space="preserve"> reimbursed infusions per patient</w:t>
      </w:r>
      <w:r w:rsidRPr="00D35D44">
        <w:rPr>
          <w:bCs/>
        </w:rPr>
        <w:t>.</w:t>
      </w:r>
      <w:r w:rsidR="00DC041C" w:rsidRPr="00D35D44">
        <w:rPr>
          <w:bCs/>
        </w:rPr>
        <w:t xml:space="preserve"> </w:t>
      </w:r>
    </w:p>
    <w:tbl>
      <w:tblPr>
        <w:tblW w:w="4977" w:type="pct"/>
        <w:tblInd w:w="28" w:type="dxa"/>
        <w:tblCellMar>
          <w:left w:w="28" w:type="dxa"/>
          <w:right w:w="28" w:type="dxa"/>
        </w:tblCellMar>
        <w:tblLook w:val="0000" w:firstRow="0" w:lastRow="0" w:firstColumn="0" w:lastColumn="0" w:noHBand="0" w:noVBand="0"/>
      </w:tblPr>
      <w:tblGrid>
        <w:gridCol w:w="1683"/>
        <w:gridCol w:w="1721"/>
        <w:gridCol w:w="1096"/>
        <w:gridCol w:w="852"/>
        <w:gridCol w:w="1528"/>
        <w:gridCol w:w="658"/>
        <w:gridCol w:w="1503"/>
      </w:tblGrid>
      <w:tr w:rsidR="00DC041C" w:rsidRPr="00D35D44" w:rsidTr="00DC041C">
        <w:trPr>
          <w:cantSplit/>
          <w:trHeight w:val="463"/>
        </w:trPr>
        <w:tc>
          <w:tcPr>
            <w:tcW w:w="1883" w:type="pct"/>
            <w:gridSpan w:val="2"/>
            <w:tcBorders>
              <w:bottom w:val="single" w:sz="4" w:space="0" w:color="auto"/>
            </w:tcBorders>
            <w:vAlign w:val="center"/>
          </w:tcPr>
          <w:p w:rsidR="00DC041C" w:rsidRPr="00D35D44" w:rsidRDefault="00DC041C" w:rsidP="00453585">
            <w:pPr>
              <w:keepNext/>
              <w:jc w:val="left"/>
              <w:rPr>
                <w:rFonts w:ascii="Arial Narrow" w:hAnsi="Arial Narrow"/>
                <w:bCs/>
                <w:sz w:val="20"/>
              </w:rPr>
            </w:pPr>
          </w:p>
        </w:tc>
        <w:tc>
          <w:tcPr>
            <w:tcW w:w="606" w:type="pct"/>
            <w:tcBorders>
              <w:bottom w:val="single" w:sz="4" w:space="0" w:color="auto"/>
            </w:tcBorders>
            <w:vAlign w:val="center"/>
          </w:tcPr>
          <w:p w:rsidR="00DC041C" w:rsidRPr="00D35D44" w:rsidRDefault="00DC041C" w:rsidP="00453585">
            <w:pPr>
              <w:keepNext/>
              <w:jc w:val="center"/>
              <w:rPr>
                <w:rFonts w:ascii="Arial Narrow" w:hAnsi="Arial Narrow"/>
                <w:bCs/>
                <w:sz w:val="20"/>
              </w:rPr>
            </w:pPr>
          </w:p>
        </w:tc>
        <w:tc>
          <w:tcPr>
            <w:tcW w:w="471" w:type="pct"/>
            <w:tcBorders>
              <w:bottom w:val="single" w:sz="4" w:space="0" w:color="auto"/>
            </w:tcBorders>
            <w:vAlign w:val="center"/>
          </w:tcPr>
          <w:p w:rsidR="00DC041C" w:rsidRPr="00D35D44" w:rsidRDefault="00DC041C" w:rsidP="00453585">
            <w:pPr>
              <w:keepNext/>
              <w:jc w:val="center"/>
              <w:rPr>
                <w:rFonts w:ascii="Arial Narrow" w:hAnsi="Arial Narrow" w:cs="Times New Roman"/>
                <w:bCs/>
                <w:sz w:val="20"/>
              </w:rPr>
            </w:pPr>
          </w:p>
        </w:tc>
        <w:tc>
          <w:tcPr>
            <w:tcW w:w="845" w:type="pct"/>
            <w:tcBorders>
              <w:bottom w:val="single" w:sz="4" w:space="0" w:color="auto"/>
            </w:tcBorders>
            <w:vAlign w:val="center"/>
          </w:tcPr>
          <w:p w:rsidR="00DC041C" w:rsidRPr="00D35D44" w:rsidRDefault="00DC041C" w:rsidP="00453585">
            <w:pPr>
              <w:keepNext/>
              <w:jc w:val="center"/>
              <w:rPr>
                <w:rFonts w:ascii="Arial Narrow" w:hAnsi="Arial Narrow"/>
                <w:bCs/>
                <w:sz w:val="20"/>
              </w:rPr>
            </w:pPr>
          </w:p>
        </w:tc>
        <w:tc>
          <w:tcPr>
            <w:tcW w:w="1196" w:type="pct"/>
            <w:gridSpan w:val="2"/>
            <w:tcBorders>
              <w:bottom w:val="single" w:sz="4" w:space="0" w:color="auto"/>
            </w:tcBorders>
            <w:vAlign w:val="center"/>
          </w:tcPr>
          <w:p w:rsidR="00DC041C" w:rsidRPr="00D35D44" w:rsidRDefault="00DC041C" w:rsidP="00453585">
            <w:pPr>
              <w:keepNext/>
              <w:jc w:val="center"/>
              <w:rPr>
                <w:rFonts w:ascii="Arial Narrow" w:hAnsi="Arial Narrow"/>
                <w:bCs/>
                <w:sz w:val="20"/>
              </w:rPr>
            </w:pPr>
          </w:p>
        </w:tc>
      </w:tr>
      <w:tr w:rsidR="00D31920" w:rsidRPr="00D35D44" w:rsidTr="00851643">
        <w:trPr>
          <w:cantSplit/>
          <w:trHeight w:val="463"/>
        </w:trPr>
        <w:tc>
          <w:tcPr>
            <w:tcW w:w="1883" w:type="pct"/>
            <w:gridSpan w:val="2"/>
            <w:tcBorders>
              <w:top w:val="single" w:sz="4" w:space="0" w:color="auto"/>
              <w:bottom w:val="single" w:sz="4" w:space="0" w:color="auto"/>
            </w:tcBorders>
            <w:vAlign w:val="center"/>
          </w:tcPr>
          <w:p w:rsidR="00D31920" w:rsidRPr="00D35D44" w:rsidRDefault="00D31920" w:rsidP="00453585">
            <w:pPr>
              <w:keepNext/>
              <w:jc w:val="left"/>
              <w:rPr>
                <w:rFonts w:ascii="Arial Narrow" w:hAnsi="Arial Narrow"/>
                <w:bCs/>
                <w:sz w:val="20"/>
              </w:rPr>
            </w:pPr>
            <w:r w:rsidRPr="00D35D44">
              <w:rPr>
                <w:rFonts w:ascii="Arial Narrow" w:hAnsi="Arial Narrow"/>
                <w:bCs/>
                <w:sz w:val="20"/>
              </w:rPr>
              <w:t>Name, Restriction,</w:t>
            </w:r>
          </w:p>
          <w:p w:rsidR="00D31920" w:rsidRPr="00D35D44" w:rsidRDefault="00D31920" w:rsidP="00453585">
            <w:pPr>
              <w:keepNext/>
              <w:jc w:val="left"/>
              <w:rPr>
                <w:rFonts w:ascii="Arial Narrow" w:hAnsi="Arial Narrow"/>
                <w:bCs/>
                <w:sz w:val="20"/>
              </w:rPr>
            </w:pPr>
            <w:r w:rsidRPr="00D35D44">
              <w:rPr>
                <w:rFonts w:ascii="Arial Narrow" w:hAnsi="Arial Narrow"/>
                <w:bCs/>
                <w:sz w:val="20"/>
              </w:rPr>
              <w:t>Manner of administration and form</w:t>
            </w:r>
          </w:p>
        </w:tc>
        <w:tc>
          <w:tcPr>
            <w:tcW w:w="606" w:type="pct"/>
            <w:tcBorders>
              <w:top w:val="single" w:sz="4" w:space="0" w:color="auto"/>
              <w:bottom w:val="single" w:sz="4" w:space="0" w:color="auto"/>
            </w:tcBorders>
            <w:vAlign w:val="center"/>
          </w:tcPr>
          <w:p w:rsidR="00D31920" w:rsidRPr="00D35D44" w:rsidRDefault="00D4429C" w:rsidP="00453585">
            <w:pPr>
              <w:keepNext/>
              <w:jc w:val="center"/>
              <w:rPr>
                <w:rFonts w:ascii="Arial Narrow" w:hAnsi="Arial Narrow"/>
                <w:bCs/>
                <w:sz w:val="20"/>
              </w:rPr>
            </w:pPr>
            <w:r w:rsidRPr="00D35D44">
              <w:rPr>
                <w:rFonts w:ascii="Arial Narrow" w:hAnsi="Arial Narrow"/>
                <w:bCs/>
                <w:sz w:val="20"/>
              </w:rPr>
              <w:t xml:space="preserve">Max </w:t>
            </w:r>
            <w:proofErr w:type="spellStart"/>
            <w:r w:rsidRPr="00D35D44">
              <w:rPr>
                <w:rFonts w:ascii="Arial Narrow" w:hAnsi="Arial Narrow"/>
                <w:bCs/>
                <w:sz w:val="20"/>
              </w:rPr>
              <w:t>Amt</w:t>
            </w:r>
            <w:proofErr w:type="spellEnd"/>
          </w:p>
        </w:tc>
        <w:tc>
          <w:tcPr>
            <w:tcW w:w="471" w:type="pct"/>
            <w:tcBorders>
              <w:top w:val="single" w:sz="4" w:space="0" w:color="auto"/>
              <w:bottom w:val="single" w:sz="4" w:space="0" w:color="auto"/>
            </w:tcBorders>
            <w:vAlign w:val="center"/>
          </w:tcPr>
          <w:p w:rsidR="00D31920" w:rsidRPr="00D35D44" w:rsidRDefault="00D31920" w:rsidP="00453585">
            <w:pPr>
              <w:keepNext/>
              <w:jc w:val="center"/>
              <w:rPr>
                <w:rFonts w:ascii="Arial Narrow" w:hAnsi="Arial Narrow"/>
                <w:bCs/>
                <w:sz w:val="20"/>
              </w:rPr>
            </w:pPr>
            <w:r w:rsidRPr="00D35D44">
              <w:rPr>
                <w:rFonts w:ascii="Arial Narrow" w:hAnsi="Arial Narrow" w:cs="Times New Roman"/>
                <w:bCs/>
                <w:sz w:val="20"/>
              </w:rPr>
              <w:t>№</w:t>
            </w:r>
            <w:r w:rsidRPr="00D35D44">
              <w:rPr>
                <w:rFonts w:ascii="Arial Narrow" w:hAnsi="Arial Narrow"/>
                <w:bCs/>
                <w:sz w:val="20"/>
              </w:rPr>
              <w:t>.of</w:t>
            </w:r>
          </w:p>
          <w:p w:rsidR="00D31920" w:rsidRPr="00D35D44" w:rsidRDefault="00D31920" w:rsidP="00453585">
            <w:pPr>
              <w:keepNext/>
              <w:jc w:val="center"/>
              <w:rPr>
                <w:rFonts w:ascii="Arial Narrow" w:hAnsi="Arial Narrow"/>
                <w:bCs/>
                <w:sz w:val="20"/>
              </w:rPr>
            </w:pPr>
            <w:r w:rsidRPr="00D35D44">
              <w:rPr>
                <w:rFonts w:ascii="Arial Narrow" w:hAnsi="Arial Narrow"/>
                <w:bCs/>
                <w:sz w:val="20"/>
              </w:rPr>
              <w:t>Rpts</w:t>
            </w:r>
          </w:p>
        </w:tc>
        <w:tc>
          <w:tcPr>
            <w:tcW w:w="845" w:type="pct"/>
            <w:tcBorders>
              <w:top w:val="single" w:sz="4" w:space="0" w:color="auto"/>
              <w:bottom w:val="single" w:sz="4" w:space="0" w:color="auto"/>
            </w:tcBorders>
            <w:vAlign w:val="center"/>
          </w:tcPr>
          <w:p w:rsidR="00D31920" w:rsidRPr="00D35D44" w:rsidRDefault="00D4429C" w:rsidP="00453585">
            <w:pPr>
              <w:keepNext/>
              <w:jc w:val="center"/>
              <w:rPr>
                <w:rFonts w:ascii="Arial Narrow" w:hAnsi="Arial Narrow"/>
                <w:bCs/>
                <w:sz w:val="20"/>
              </w:rPr>
            </w:pPr>
            <w:r w:rsidRPr="00D35D44">
              <w:rPr>
                <w:rFonts w:ascii="Arial Narrow" w:hAnsi="Arial Narrow"/>
                <w:bCs/>
                <w:sz w:val="20"/>
              </w:rPr>
              <w:t xml:space="preserve">Dispensed Price Max </w:t>
            </w:r>
            <w:proofErr w:type="spellStart"/>
            <w:r w:rsidRPr="00D35D44">
              <w:rPr>
                <w:rFonts w:ascii="Arial Narrow" w:hAnsi="Arial Narrow"/>
                <w:bCs/>
                <w:sz w:val="20"/>
              </w:rPr>
              <w:t>Amt</w:t>
            </w:r>
            <w:proofErr w:type="spellEnd"/>
          </w:p>
        </w:tc>
        <w:tc>
          <w:tcPr>
            <w:tcW w:w="1196" w:type="pct"/>
            <w:gridSpan w:val="2"/>
            <w:tcBorders>
              <w:top w:val="single" w:sz="4" w:space="0" w:color="auto"/>
              <w:bottom w:val="single" w:sz="4" w:space="0" w:color="auto"/>
            </w:tcBorders>
            <w:vAlign w:val="center"/>
          </w:tcPr>
          <w:p w:rsidR="00D31920" w:rsidRPr="00D35D44" w:rsidRDefault="00D31920" w:rsidP="00453585">
            <w:pPr>
              <w:keepNext/>
              <w:jc w:val="center"/>
              <w:rPr>
                <w:rFonts w:ascii="Arial Narrow" w:hAnsi="Arial Narrow"/>
                <w:bCs/>
                <w:sz w:val="20"/>
              </w:rPr>
            </w:pPr>
            <w:r w:rsidRPr="00D35D44">
              <w:rPr>
                <w:rFonts w:ascii="Arial Narrow" w:hAnsi="Arial Narrow"/>
                <w:bCs/>
                <w:sz w:val="20"/>
              </w:rPr>
              <w:t>Proprietary Name and Manufacturer</w:t>
            </w:r>
          </w:p>
        </w:tc>
      </w:tr>
      <w:tr w:rsidR="00D31920" w:rsidRPr="00D35D44" w:rsidTr="00851643">
        <w:trPr>
          <w:cantSplit/>
          <w:trHeight w:val="567"/>
        </w:trPr>
        <w:tc>
          <w:tcPr>
            <w:tcW w:w="1883" w:type="pct"/>
            <w:gridSpan w:val="2"/>
          </w:tcPr>
          <w:p w:rsidR="00D31920" w:rsidRPr="00D35D44" w:rsidRDefault="00D31920" w:rsidP="00851643">
            <w:pPr>
              <w:rPr>
                <w:rFonts w:ascii="Arial Narrow" w:hAnsi="Arial Narrow"/>
                <w:sz w:val="20"/>
                <w:lang w:val="fr-FR" w:eastAsia="en-AU"/>
              </w:rPr>
            </w:pPr>
            <w:r w:rsidRPr="00D35D44">
              <w:rPr>
                <w:rFonts w:ascii="Arial Narrow" w:hAnsi="Arial Narrow"/>
                <w:smallCaps/>
                <w:sz w:val="20"/>
                <w:lang w:val="fr-FR" w:eastAsia="en-AU"/>
              </w:rPr>
              <w:t>CETUXIMAB</w:t>
            </w:r>
          </w:p>
          <w:p w:rsidR="00D31920" w:rsidRPr="00D35D44" w:rsidRDefault="00D31920" w:rsidP="00851643">
            <w:pPr>
              <w:rPr>
                <w:rFonts w:ascii="Arial Narrow" w:hAnsi="Arial Narrow"/>
                <w:sz w:val="20"/>
                <w:lang w:val="fr-FR" w:eastAsia="en-AU"/>
              </w:rPr>
            </w:pPr>
            <w:r w:rsidRPr="00D35D44">
              <w:rPr>
                <w:rFonts w:ascii="Arial Narrow" w:hAnsi="Arial Narrow"/>
                <w:sz w:val="20"/>
                <w:lang w:val="fr-FR" w:eastAsia="en-AU"/>
              </w:rPr>
              <w:t xml:space="preserve">Injection, 100 mg/20 </w:t>
            </w:r>
            <w:proofErr w:type="spellStart"/>
            <w:r w:rsidRPr="00D35D44">
              <w:rPr>
                <w:rFonts w:ascii="Arial Narrow" w:hAnsi="Arial Narrow"/>
                <w:sz w:val="20"/>
                <w:lang w:val="fr-FR" w:eastAsia="en-AU"/>
              </w:rPr>
              <w:t>mL</w:t>
            </w:r>
            <w:proofErr w:type="spellEnd"/>
          </w:p>
          <w:p w:rsidR="00D31920" w:rsidRPr="00D35D44" w:rsidRDefault="00D31920" w:rsidP="00851643">
            <w:pPr>
              <w:keepNext/>
              <w:jc w:val="left"/>
              <w:rPr>
                <w:rFonts w:ascii="Arial Narrow" w:hAnsi="Arial Narrow"/>
                <w:bCs/>
                <w:sz w:val="20"/>
                <w:lang w:val="fr-FR"/>
              </w:rPr>
            </w:pPr>
            <w:r w:rsidRPr="00D35D44">
              <w:rPr>
                <w:rFonts w:ascii="Arial Narrow" w:hAnsi="Arial Narrow"/>
                <w:sz w:val="20"/>
                <w:lang w:val="fr-FR" w:eastAsia="en-AU"/>
              </w:rPr>
              <w:t xml:space="preserve">Injection, 500 mg/100 </w:t>
            </w:r>
            <w:proofErr w:type="spellStart"/>
            <w:r w:rsidRPr="00D35D44">
              <w:rPr>
                <w:rFonts w:ascii="Arial Narrow" w:hAnsi="Arial Narrow"/>
                <w:sz w:val="20"/>
                <w:lang w:val="fr-FR" w:eastAsia="en-AU"/>
              </w:rPr>
              <w:t>mL</w:t>
            </w:r>
            <w:proofErr w:type="spellEnd"/>
          </w:p>
        </w:tc>
        <w:tc>
          <w:tcPr>
            <w:tcW w:w="606" w:type="pct"/>
          </w:tcPr>
          <w:p w:rsidR="00D31920" w:rsidRPr="00D35D44" w:rsidRDefault="00D31920" w:rsidP="00D4429C">
            <w:pPr>
              <w:keepNext/>
              <w:jc w:val="center"/>
              <w:rPr>
                <w:rFonts w:ascii="Arial Narrow" w:hAnsi="Arial Narrow"/>
                <w:bCs/>
                <w:sz w:val="20"/>
              </w:rPr>
            </w:pPr>
            <w:r w:rsidRPr="00D35D44">
              <w:rPr>
                <w:rFonts w:ascii="Arial Narrow" w:hAnsi="Arial Narrow"/>
                <w:sz w:val="20"/>
                <w:lang w:eastAsia="en-AU"/>
              </w:rPr>
              <w:t>550 mg</w:t>
            </w:r>
          </w:p>
        </w:tc>
        <w:tc>
          <w:tcPr>
            <w:tcW w:w="471" w:type="pct"/>
          </w:tcPr>
          <w:p w:rsidR="00D31920" w:rsidRPr="00D35D44" w:rsidRDefault="00556591" w:rsidP="00D4429C">
            <w:pPr>
              <w:keepNext/>
              <w:jc w:val="center"/>
              <w:rPr>
                <w:rFonts w:ascii="Arial Narrow" w:hAnsi="Arial Narrow"/>
                <w:bCs/>
                <w:sz w:val="20"/>
              </w:rPr>
            </w:pPr>
            <w:r w:rsidRPr="00D35D44">
              <w:rPr>
                <w:rFonts w:ascii="Arial Narrow" w:hAnsi="Arial Narrow"/>
                <w:sz w:val="20"/>
                <w:lang w:eastAsia="en-AU"/>
              </w:rPr>
              <w:t>22</w:t>
            </w:r>
          </w:p>
        </w:tc>
        <w:tc>
          <w:tcPr>
            <w:tcW w:w="845" w:type="pct"/>
            <w:vAlign w:val="center"/>
          </w:tcPr>
          <w:p w:rsidR="00851643" w:rsidRPr="00D35D44" w:rsidRDefault="00851643" w:rsidP="00851643">
            <w:pPr>
              <w:pStyle w:val="Tabletext"/>
              <w:rPr>
                <w:bCs/>
                <w:u w:val="single"/>
              </w:rPr>
            </w:pPr>
            <w:r w:rsidRPr="00D35D44">
              <w:rPr>
                <w:bCs/>
                <w:u w:val="single"/>
              </w:rPr>
              <w:t>published price</w:t>
            </w:r>
          </w:p>
          <w:p w:rsidR="00D31920" w:rsidRPr="00D35D44" w:rsidRDefault="00D31920" w:rsidP="00453585">
            <w:pPr>
              <w:pStyle w:val="Tabletext"/>
              <w:rPr>
                <w:bCs/>
              </w:rPr>
            </w:pPr>
            <w:r w:rsidRPr="00D35D44">
              <w:rPr>
                <w:bCs/>
              </w:rPr>
              <w:t>Public: $2,027.53</w:t>
            </w:r>
          </w:p>
          <w:p w:rsidR="00D31920" w:rsidRPr="00D35D44" w:rsidRDefault="00D31920" w:rsidP="00453585">
            <w:pPr>
              <w:pStyle w:val="Tabletext"/>
              <w:rPr>
                <w:bCs/>
              </w:rPr>
            </w:pPr>
            <w:r w:rsidRPr="00D35D44">
              <w:rPr>
                <w:bCs/>
              </w:rPr>
              <w:t>Private: $2,093.39</w:t>
            </w:r>
          </w:p>
          <w:p w:rsidR="00D31920" w:rsidRPr="00D35D44" w:rsidRDefault="00851643" w:rsidP="00453585">
            <w:pPr>
              <w:pStyle w:val="Tabletext"/>
              <w:rPr>
                <w:bCs/>
                <w:u w:val="single"/>
              </w:rPr>
            </w:pPr>
            <w:r w:rsidRPr="00D35D44">
              <w:rPr>
                <w:bCs/>
                <w:u w:val="single"/>
              </w:rPr>
              <w:t xml:space="preserve">effective </w:t>
            </w:r>
            <w:proofErr w:type="spellStart"/>
            <w:r w:rsidRPr="00D35D44">
              <w:rPr>
                <w:bCs/>
                <w:u w:val="single"/>
              </w:rPr>
              <w:t>prices</w:t>
            </w:r>
            <w:r w:rsidRPr="00D35D44">
              <w:rPr>
                <w:bCs/>
                <w:u w:val="single"/>
                <w:vertAlign w:val="superscript"/>
              </w:rPr>
              <w:t>a</w:t>
            </w:r>
            <w:proofErr w:type="spellEnd"/>
          </w:p>
          <w:p w:rsidR="00D31920" w:rsidRPr="00D35D44" w:rsidRDefault="00D31920" w:rsidP="00453585">
            <w:pPr>
              <w:pStyle w:val="Tabletext"/>
              <w:rPr>
                <w:bCs/>
              </w:rPr>
            </w:pPr>
            <w:r w:rsidRPr="00D35D44">
              <w:rPr>
                <w:bCs/>
              </w:rPr>
              <w:t>Public: $</w:t>
            </w:r>
            <w:r w:rsidR="00A7601C">
              <w:rPr>
                <w:bCs/>
                <w:noProof/>
                <w:color w:val="000000"/>
                <w:highlight w:val="black"/>
              </w:rPr>
              <w:t>''''''''''''''''</w:t>
            </w:r>
          </w:p>
          <w:p w:rsidR="00D31920" w:rsidRPr="00D35D44" w:rsidRDefault="00851643" w:rsidP="00851643">
            <w:pPr>
              <w:pStyle w:val="Tabletext"/>
              <w:rPr>
                <w:bCs/>
              </w:rPr>
            </w:pPr>
            <w:r w:rsidRPr="00D35D44">
              <w:rPr>
                <w:bCs/>
              </w:rPr>
              <w:t>Private: $</w:t>
            </w:r>
            <w:r w:rsidR="00A7601C">
              <w:rPr>
                <w:bCs/>
                <w:noProof/>
                <w:color w:val="000000"/>
                <w:highlight w:val="black"/>
              </w:rPr>
              <w:t>'''''''''''''''''</w:t>
            </w:r>
          </w:p>
        </w:tc>
        <w:tc>
          <w:tcPr>
            <w:tcW w:w="364" w:type="pct"/>
          </w:tcPr>
          <w:p w:rsidR="00D31920" w:rsidRPr="00D35D44" w:rsidRDefault="00D31920" w:rsidP="00D4429C">
            <w:pPr>
              <w:keepNext/>
              <w:jc w:val="center"/>
              <w:rPr>
                <w:rFonts w:ascii="Arial Narrow" w:hAnsi="Arial Narrow"/>
                <w:bCs/>
                <w:sz w:val="20"/>
              </w:rPr>
            </w:pPr>
            <w:r w:rsidRPr="00D35D44">
              <w:rPr>
                <w:rFonts w:ascii="Arial Narrow" w:hAnsi="Arial Narrow"/>
                <w:sz w:val="20"/>
                <w:lang w:eastAsia="en-AU"/>
              </w:rPr>
              <w:t>Erbitux</w:t>
            </w:r>
          </w:p>
        </w:tc>
        <w:tc>
          <w:tcPr>
            <w:tcW w:w="832" w:type="pct"/>
          </w:tcPr>
          <w:p w:rsidR="00D4429C" w:rsidRPr="00D35D44" w:rsidRDefault="00D31920" w:rsidP="00D4429C">
            <w:pPr>
              <w:keepNext/>
              <w:jc w:val="center"/>
              <w:rPr>
                <w:rFonts w:ascii="Arial Narrow" w:hAnsi="Arial Narrow"/>
                <w:sz w:val="20"/>
              </w:rPr>
            </w:pPr>
            <w:r w:rsidRPr="00D35D44">
              <w:rPr>
                <w:rFonts w:ascii="Arial Narrow" w:hAnsi="Arial Narrow"/>
                <w:sz w:val="20"/>
              </w:rPr>
              <w:t>Merck</w:t>
            </w:r>
          </w:p>
          <w:p w:rsidR="00D4429C" w:rsidRPr="00D35D44" w:rsidRDefault="00D31920" w:rsidP="00D4429C">
            <w:pPr>
              <w:keepNext/>
              <w:jc w:val="center"/>
              <w:rPr>
                <w:rFonts w:ascii="Arial Narrow" w:hAnsi="Arial Narrow"/>
                <w:sz w:val="20"/>
              </w:rPr>
            </w:pPr>
            <w:proofErr w:type="spellStart"/>
            <w:r w:rsidRPr="00D35D44">
              <w:rPr>
                <w:rFonts w:ascii="Arial Narrow" w:hAnsi="Arial Narrow"/>
                <w:sz w:val="20"/>
              </w:rPr>
              <w:t>Serono</w:t>
            </w:r>
            <w:proofErr w:type="spellEnd"/>
          </w:p>
          <w:p w:rsidR="00D31920" w:rsidRPr="00D35D44" w:rsidRDefault="00D31920" w:rsidP="00D4429C">
            <w:pPr>
              <w:keepNext/>
              <w:jc w:val="center"/>
              <w:rPr>
                <w:rFonts w:ascii="Arial Narrow" w:hAnsi="Arial Narrow"/>
                <w:bCs/>
                <w:sz w:val="20"/>
              </w:rPr>
            </w:pPr>
            <w:proofErr w:type="spellStart"/>
            <w:r w:rsidRPr="00D35D44">
              <w:rPr>
                <w:rFonts w:ascii="Arial Narrow" w:hAnsi="Arial Narrow"/>
                <w:sz w:val="20"/>
              </w:rPr>
              <w:t>Aust</w:t>
            </w:r>
            <w:proofErr w:type="spellEnd"/>
          </w:p>
        </w:tc>
      </w:tr>
      <w:tr w:rsidR="00D31920" w:rsidRPr="00D35D44" w:rsidTr="008516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hideMark/>
          </w:tcPr>
          <w:p w:rsidR="00D31920" w:rsidRPr="00D35D44" w:rsidRDefault="00D31920" w:rsidP="00453585">
            <w:pPr>
              <w:pStyle w:val="Tabletext"/>
              <w:rPr>
                <w:bCs/>
                <w:lang w:eastAsia="en-AU"/>
              </w:rPr>
            </w:pPr>
            <w:r w:rsidRPr="00D35D44">
              <w:rPr>
                <w:bCs/>
                <w:lang w:eastAsia="en-AU"/>
              </w:rPr>
              <w:t>Category/Program:</w:t>
            </w:r>
          </w:p>
        </w:tc>
        <w:tc>
          <w:tcPr>
            <w:tcW w:w="4069" w:type="pct"/>
            <w:gridSpan w:val="6"/>
            <w:tcBorders>
              <w:top w:val="single" w:sz="4" w:space="0" w:color="auto"/>
              <w:left w:val="single" w:sz="4" w:space="0" w:color="auto"/>
              <w:bottom w:val="single" w:sz="4" w:space="0" w:color="auto"/>
              <w:right w:val="single" w:sz="4" w:space="0" w:color="auto"/>
            </w:tcBorders>
          </w:tcPr>
          <w:p w:rsidR="00D31920" w:rsidRPr="00D35D44" w:rsidRDefault="00D31920" w:rsidP="00453585">
            <w:pPr>
              <w:jc w:val="left"/>
              <w:rPr>
                <w:rFonts w:ascii="Arial Narrow" w:hAnsi="Arial Narrow"/>
                <w:sz w:val="20"/>
                <w:lang w:eastAsia="en-AU"/>
              </w:rPr>
            </w:pPr>
            <w:r w:rsidRPr="00D35D44">
              <w:rPr>
                <w:rFonts w:ascii="Arial Narrow" w:hAnsi="Arial Narrow"/>
                <w:sz w:val="20"/>
                <w:lang w:eastAsia="en-AU"/>
              </w:rPr>
              <w:t>Section 100 (Efficient Funding of Chemotherapy (EFC – Private Hospital)</w:t>
            </w:r>
          </w:p>
          <w:p w:rsidR="00D31920" w:rsidRPr="00D35D44" w:rsidRDefault="00D31920" w:rsidP="00453585">
            <w:pPr>
              <w:pStyle w:val="Tabletext"/>
              <w:rPr>
                <w:bCs/>
                <w:lang w:eastAsia="en-AU"/>
              </w:rPr>
            </w:pPr>
            <w:r w:rsidRPr="00D35D44">
              <w:rPr>
                <w:lang w:eastAsia="en-AU"/>
              </w:rPr>
              <w:t>Section 100 (Efficient Funding of Chemotherapy (EFC – Public hospital)</w:t>
            </w:r>
          </w:p>
        </w:tc>
      </w:tr>
      <w:tr w:rsidR="00D31920" w:rsidRPr="00D35D44" w:rsidTr="008516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hideMark/>
          </w:tcPr>
          <w:p w:rsidR="00D31920" w:rsidRPr="00D35D44" w:rsidRDefault="00D31920" w:rsidP="00453585">
            <w:pPr>
              <w:pStyle w:val="Tabletext"/>
              <w:rPr>
                <w:bCs/>
                <w:lang w:eastAsia="en-AU"/>
              </w:rPr>
            </w:pPr>
            <w:r w:rsidRPr="00D35D44">
              <w:rPr>
                <w:bCs/>
                <w:lang w:eastAsia="en-AU"/>
              </w:rPr>
              <w:t>PBS indication:</w:t>
            </w:r>
          </w:p>
        </w:tc>
        <w:tc>
          <w:tcPr>
            <w:tcW w:w="4069" w:type="pct"/>
            <w:gridSpan w:val="6"/>
            <w:tcBorders>
              <w:top w:val="single" w:sz="4" w:space="0" w:color="auto"/>
              <w:left w:val="single" w:sz="4" w:space="0" w:color="auto"/>
              <w:bottom w:val="single" w:sz="4" w:space="0" w:color="auto"/>
              <w:right w:val="single" w:sz="4" w:space="0" w:color="auto"/>
            </w:tcBorders>
          </w:tcPr>
          <w:p w:rsidR="00D31920" w:rsidRPr="00D35D44" w:rsidRDefault="00D31920" w:rsidP="00453585">
            <w:pPr>
              <w:pStyle w:val="Tabletext"/>
              <w:rPr>
                <w:bCs/>
                <w:lang w:eastAsia="en-AU"/>
              </w:rPr>
            </w:pPr>
            <w:r w:rsidRPr="00D35D44">
              <w:rPr>
                <w:lang w:eastAsia="en-AU"/>
              </w:rPr>
              <w:t>Recurrent and/or metastatic squamous cell carcinoma of the head and neck</w:t>
            </w:r>
          </w:p>
        </w:tc>
      </w:tr>
      <w:tr w:rsidR="00D31920" w:rsidRPr="00D35D44" w:rsidTr="008516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hideMark/>
          </w:tcPr>
          <w:p w:rsidR="00D31920" w:rsidRPr="00D35D44" w:rsidRDefault="00D31920" w:rsidP="00453585">
            <w:pPr>
              <w:pStyle w:val="Tabletext"/>
              <w:rPr>
                <w:bCs/>
                <w:lang w:eastAsia="en-AU"/>
              </w:rPr>
            </w:pPr>
            <w:r w:rsidRPr="00D35D44">
              <w:rPr>
                <w:bCs/>
                <w:lang w:eastAsia="en-AU"/>
              </w:rPr>
              <w:t>Treatment phase:</w:t>
            </w:r>
          </w:p>
        </w:tc>
        <w:tc>
          <w:tcPr>
            <w:tcW w:w="4069" w:type="pct"/>
            <w:gridSpan w:val="6"/>
            <w:tcBorders>
              <w:top w:val="single" w:sz="4" w:space="0" w:color="auto"/>
              <w:left w:val="single" w:sz="4" w:space="0" w:color="auto"/>
              <w:bottom w:val="single" w:sz="4" w:space="0" w:color="auto"/>
              <w:right w:val="single" w:sz="4" w:space="0" w:color="auto"/>
            </w:tcBorders>
          </w:tcPr>
          <w:p w:rsidR="00D31920" w:rsidRPr="00D35D44" w:rsidRDefault="00D31920" w:rsidP="00453585">
            <w:pPr>
              <w:pStyle w:val="Tabletext"/>
              <w:rPr>
                <w:bCs/>
                <w:lang w:eastAsia="en-AU"/>
              </w:rPr>
            </w:pPr>
            <w:r w:rsidRPr="00D35D44">
              <w:rPr>
                <w:lang w:eastAsia="en-AU"/>
              </w:rPr>
              <w:t>Continuing treatment</w:t>
            </w:r>
          </w:p>
        </w:tc>
      </w:tr>
      <w:tr w:rsidR="00D31920" w:rsidRPr="00D35D44" w:rsidTr="008516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hideMark/>
          </w:tcPr>
          <w:p w:rsidR="00D31920" w:rsidRPr="00D35D44" w:rsidRDefault="00D31920" w:rsidP="00453585">
            <w:pPr>
              <w:pStyle w:val="Tabletext"/>
              <w:rPr>
                <w:bCs/>
                <w:lang w:eastAsia="en-AU"/>
              </w:rPr>
            </w:pPr>
            <w:r w:rsidRPr="00D35D44">
              <w:rPr>
                <w:bCs/>
                <w:lang w:eastAsia="en-AU"/>
              </w:rPr>
              <w:t>Restriction:</w:t>
            </w:r>
          </w:p>
        </w:tc>
        <w:tc>
          <w:tcPr>
            <w:tcW w:w="4069" w:type="pct"/>
            <w:gridSpan w:val="6"/>
            <w:tcBorders>
              <w:top w:val="single" w:sz="4" w:space="0" w:color="auto"/>
              <w:left w:val="single" w:sz="4" w:space="0" w:color="auto"/>
              <w:bottom w:val="single" w:sz="4" w:space="0" w:color="auto"/>
              <w:right w:val="single" w:sz="4" w:space="0" w:color="auto"/>
            </w:tcBorders>
          </w:tcPr>
          <w:p w:rsidR="00D31920" w:rsidRPr="00D35D44" w:rsidRDefault="00D31920" w:rsidP="00453585">
            <w:pPr>
              <w:jc w:val="left"/>
              <w:rPr>
                <w:rFonts w:ascii="Arial Narrow" w:hAnsi="Arial Narrow"/>
                <w:bCs/>
                <w:sz w:val="20"/>
                <w:lang w:eastAsia="en-AU"/>
              </w:rPr>
            </w:pPr>
            <w:r w:rsidRPr="00D35D44">
              <w:rPr>
                <w:rFonts w:ascii="Arial Narrow" w:hAnsi="Arial Narrow"/>
                <w:bCs/>
                <w:sz w:val="20"/>
                <w:lang w:eastAsia="en-AU"/>
              </w:rPr>
              <w:fldChar w:fldCharType="begin">
                <w:ffData>
                  <w:name w:val=""/>
                  <w:enabled/>
                  <w:calcOnExit w:val="0"/>
                  <w:checkBox>
                    <w:sizeAuto/>
                    <w:default w:val="1"/>
                  </w:checkBox>
                </w:ffData>
              </w:fldChar>
            </w:r>
            <w:r w:rsidRPr="00D35D44">
              <w:rPr>
                <w:rFonts w:ascii="Arial Narrow" w:hAnsi="Arial Narrow"/>
                <w:bCs/>
                <w:sz w:val="20"/>
                <w:lang w:eastAsia="en-AU"/>
              </w:rPr>
              <w:instrText xml:space="preserve"> FORMCHECKBOX </w:instrText>
            </w:r>
            <w:r w:rsidR="002A3009">
              <w:rPr>
                <w:rFonts w:ascii="Arial Narrow" w:hAnsi="Arial Narrow"/>
                <w:bCs/>
                <w:sz w:val="20"/>
                <w:lang w:eastAsia="en-AU"/>
              </w:rPr>
            </w:r>
            <w:r w:rsidR="002A3009">
              <w:rPr>
                <w:rFonts w:ascii="Arial Narrow" w:hAnsi="Arial Narrow"/>
                <w:bCs/>
                <w:sz w:val="20"/>
                <w:lang w:eastAsia="en-AU"/>
              </w:rPr>
              <w:fldChar w:fldCharType="separate"/>
            </w:r>
            <w:r w:rsidRPr="00D35D44">
              <w:rPr>
                <w:rFonts w:ascii="Arial Narrow" w:hAnsi="Arial Narrow"/>
                <w:bCs/>
                <w:sz w:val="20"/>
                <w:lang w:eastAsia="en-AU"/>
              </w:rPr>
              <w:fldChar w:fldCharType="end"/>
            </w:r>
            <w:r w:rsidRPr="00D35D44">
              <w:rPr>
                <w:rFonts w:ascii="Arial Narrow" w:hAnsi="Arial Narrow"/>
                <w:bCs/>
                <w:sz w:val="20"/>
                <w:lang w:eastAsia="en-AU"/>
              </w:rPr>
              <w:t>Authority Required - In Writing</w:t>
            </w:r>
          </w:p>
          <w:p w:rsidR="00D31920" w:rsidRPr="00D35D44" w:rsidRDefault="00D31920" w:rsidP="00453585">
            <w:pPr>
              <w:jc w:val="left"/>
              <w:rPr>
                <w:rFonts w:ascii="Arial Narrow" w:hAnsi="Arial Narrow"/>
                <w:bCs/>
                <w:sz w:val="20"/>
                <w:lang w:eastAsia="en-AU"/>
              </w:rPr>
            </w:pPr>
            <w:r w:rsidRPr="00D35D44">
              <w:rPr>
                <w:rFonts w:ascii="Arial Narrow" w:hAnsi="Arial Narrow"/>
                <w:bCs/>
                <w:sz w:val="20"/>
                <w:lang w:eastAsia="en-AU"/>
              </w:rPr>
              <w:fldChar w:fldCharType="begin">
                <w:ffData>
                  <w:name w:val="Check3"/>
                  <w:enabled/>
                  <w:calcOnExit w:val="0"/>
                  <w:checkBox>
                    <w:sizeAuto/>
                    <w:default w:val="1"/>
                  </w:checkBox>
                </w:ffData>
              </w:fldChar>
            </w:r>
            <w:r w:rsidRPr="00D35D44">
              <w:rPr>
                <w:rFonts w:ascii="Arial Narrow" w:hAnsi="Arial Narrow"/>
                <w:bCs/>
                <w:sz w:val="20"/>
                <w:lang w:eastAsia="en-AU"/>
              </w:rPr>
              <w:instrText xml:space="preserve"> FORMCHECKBOX </w:instrText>
            </w:r>
            <w:r w:rsidR="002A3009">
              <w:rPr>
                <w:rFonts w:ascii="Arial Narrow" w:hAnsi="Arial Narrow"/>
                <w:bCs/>
                <w:sz w:val="20"/>
                <w:lang w:eastAsia="en-AU"/>
              </w:rPr>
            </w:r>
            <w:r w:rsidR="002A3009">
              <w:rPr>
                <w:rFonts w:ascii="Arial Narrow" w:hAnsi="Arial Narrow"/>
                <w:bCs/>
                <w:sz w:val="20"/>
                <w:lang w:eastAsia="en-AU"/>
              </w:rPr>
              <w:fldChar w:fldCharType="separate"/>
            </w:r>
            <w:r w:rsidRPr="00D35D44">
              <w:rPr>
                <w:rFonts w:ascii="Arial Narrow" w:hAnsi="Arial Narrow"/>
                <w:bCs/>
                <w:sz w:val="20"/>
                <w:lang w:eastAsia="en-AU"/>
              </w:rPr>
              <w:fldChar w:fldCharType="end"/>
            </w:r>
            <w:r w:rsidRPr="00D35D44">
              <w:rPr>
                <w:rFonts w:ascii="Arial Narrow" w:hAnsi="Arial Narrow"/>
                <w:bCs/>
                <w:sz w:val="20"/>
                <w:lang w:eastAsia="en-AU"/>
              </w:rPr>
              <w:t>Authority Required - Telephone</w:t>
            </w:r>
          </w:p>
          <w:p w:rsidR="00D31920" w:rsidRPr="00D35D44" w:rsidRDefault="00D31920" w:rsidP="00453585">
            <w:pPr>
              <w:jc w:val="left"/>
              <w:rPr>
                <w:rFonts w:ascii="Arial Narrow" w:hAnsi="Arial Narrow"/>
                <w:bCs/>
                <w:sz w:val="20"/>
                <w:lang w:eastAsia="en-AU"/>
              </w:rPr>
            </w:pPr>
            <w:r w:rsidRPr="00D35D44">
              <w:rPr>
                <w:rFonts w:ascii="Arial Narrow" w:hAnsi="Arial Narrow"/>
                <w:bCs/>
                <w:sz w:val="20"/>
                <w:lang w:eastAsia="en-AU"/>
              </w:rPr>
              <w:fldChar w:fldCharType="begin">
                <w:ffData>
                  <w:name w:val=""/>
                  <w:enabled/>
                  <w:calcOnExit w:val="0"/>
                  <w:checkBox>
                    <w:sizeAuto/>
                    <w:default w:val="1"/>
                  </w:checkBox>
                </w:ffData>
              </w:fldChar>
            </w:r>
            <w:r w:rsidRPr="00D35D44">
              <w:rPr>
                <w:rFonts w:ascii="Arial Narrow" w:hAnsi="Arial Narrow"/>
                <w:bCs/>
                <w:sz w:val="20"/>
                <w:lang w:eastAsia="en-AU"/>
              </w:rPr>
              <w:instrText xml:space="preserve"> FORMCHECKBOX </w:instrText>
            </w:r>
            <w:r w:rsidR="002A3009">
              <w:rPr>
                <w:rFonts w:ascii="Arial Narrow" w:hAnsi="Arial Narrow"/>
                <w:bCs/>
                <w:sz w:val="20"/>
                <w:lang w:eastAsia="en-AU"/>
              </w:rPr>
            </w:r>
            <w:r w:rsidR="002A3009">
              <w:rPr>
                <w:rFonts w:ascii="Arial Narrow" w:hAnsi="Arial Narrow"/>
                <w:bCs/>
                <w:sz w:val="20"/>
                <w:lang w:eastAsia="en-AU"/>
              </w:rPr>
              <w:fldChar w:fldCharType="separate"/>
            </w:r>
            <w:r w:rsidRPr="00D35D44">
              <w:rPr>
                <w:rFonts w:ascii="Arial Narrow" w:hAnsi="Arial Narrow"/>
                <w:bCs/>
                <w:sz w:val="20"/>
                <w:lang w:eastAsia="en-AU"/>
              </w:rPr>
              <w:fldChar w:fldCharType="end"/>
            </w:r>
            <w:r w:rsidRPr="00D35D44">
              <w:rPr>
                <w:rFonts w:ascii="Arial Narrow" w:hAnsi="Arial Narrow"/>
                <w:bCs/>
                <w:sz w:val="20"/>
                <w:lang w:eastAsia="en-AU"/>
              </w:rPr>
              <w:t>Authority Required – Emergency</w:t>
            </w:r>
          </w:p>
          <w:p w:rsidR="00D31920" w:rsidRPr="00D35D44" w:rsidRDefault="00D31920" w:rsidP="00453585">
            <w:pPr>
              <w:jc w:val="left"/>
              <w:rPr>
                <w:rFonts w:ascii="Arial Narrow" w:hAnsi="Arial Narrow"/>
                <w:bCs/>
                <w:sz w:val="20"/>
                <w:lang w:eastAsia="en-AU"/>
              </w:rPr>
            </w:pPr>
            <w:r w:rsidRPr="00D35D44">
              <w:rPr>
                <w:rFonts w:ascii="Arial Narrow" w:hAnsi="Arial Narrow"/>
                <w:bCs/>
                <w:sz w:val="20"/>
                <w:lang w:eastAsia="en-AU"/>
              </w:rPr>
              <w:fldChar w:fldCharType="begin">
                <w:ffData>
                  <w:name w:val=""/>
                  <w:enabled/>
                  <w:calcOnExit w:val="0"/>
                  <w:checkBox>
                    <w:sizeAuto/>
                    <w:default w:val="1"/>
                  </w:checkBox>
                </w:ffData>
              </w:fldChar>
            </w:r>
            <w:r w:rsidRPr="00D35D44">
              <w:rPr>
                <w:rFonts w:ascii="Arial Narrow" w:hAnsi="Arial Narrow"/>
                <w:bCs/>
                <w:sz w:val="20"/>
                <w:lang w:eastAsia="en-AU"/>
              </w:rPr>
              <w:instrText xml:space="preserve"> FORMCHECKBOX </w:instrText>
            </w:r>
            <w:r w:rsidR="002A3009">
              <w:rPr>
                <w:rFonts w:ascii="Arial Narrow" w:hAnsi="Arial Narrow"/>
                <w:bCs/>
                <w:sz w:val="20"/>
                <w:lang w:eastAsia="en-AU"/>
              </w:rPr>
            </w:r>
            <w:r w:rsidR="002A3009">
              <w:rPr>
                <w:rFonts w:ascii="Arial Narrow" w:hAnsi="Arial Narrow"/>
                <w:bCs/>
                <w:sz w:val="20"/>
                <w:lang w:eastAsia="en-AU"/>
              </w:rPr>
              <w:fldChar w:fldCharType="separate"/>
            </w:r>
            <w:r w:rsidRPr="00D35D44">
              <w:rPr>
                <w:rFonts w:ascii="Arial Narrow" w:hAnsi="Arial Narrow"/>
                <w:bCs/>
                <w:sz w:val="20"/>
                <w:lang w:eastAsia="en-AU"/>
              </w:rPr>
              <w:fldChar w:fldCharType="end"/>
            </w:r>
            <w:r w:rsidRPr="00D35D44">
              <w:rPr>
                <w:rFonts w:ascii="Arial Narrow" w:hAnsi="Arial Narrow"/>
                <w:bCs/>
                <w:sz w:val="20"/>
                <w:lang w:eastAsia="en-AU"/>
              </w:rPr>
              <w:t>Authority Required - Electronic</w:t>
            </w:r>
          </w:p>
          <w:p w:rsidR="00D31920" w:rsidRPr="00D35D44" w:rsidRDefault="00D31920" w:rsidP="00935089">
            <w:pPr>
              <w:pStyle w:val="Tabletext"/>
              <w:rPr>
                <w:bCs/>
                <w:lang w:eastAsia="en-AU"/>
              </w:rPr>
            </w:pPr>
            <w:r w:rsidRPr="00D35D44">
              <w:rPr>
                <w:bCs/>
                <w:lang w:eastAsia="en-AU"/>
              </w:rPr>
              <w:fldChar w:fldCharType="begin">
                <w:ffData>
                  <w:name w:val="Check5"/>
                  <w:enabled/>
                  <w:calcOnExit w:val="0"/>
                  <w:checkBox>
                    <w:sizeAuto/>
                    <w:default w:val="1"/>
                  </w:checkBox>
                </w:ffData>
              </w:fldChar>
            </w:r>
            <w:r w:rsidRPr="00D35D44">
              <w:rPr>
                <w:bCs/>
                <w:lang w:eastAsia="en-AU"/>
              </w:rPr>
              <w:instrText xml:space="preserve"> FORMCHECKBOX </w:instrText>
            </w:r>
            <w:r w:rsidR="002A3009">
              <w:rPr>
                <w:bCs/>
                <w:lang w:eastAsia="en-AU"/>
              </w:rPr>
            </w:r>
            <w:r w:rsidR="002A3009">
              <w:rPr>
                <w:bCs/>
                <w:lang w:eastAsia="en-AU"/>
              </w:rPr>
              <w:fldChar w:fldCharType="separate"/>
            </w:r>
            <w:r w:rsidRPr="00D35D44">
              <w:rPr>
                <w:bCs/>
                <w:lang w:eastAsia="en-AU"/>
              </w:rPr>
              <w:fldChar w:fldCharType="end"/>
            </w:r>
            <w:r w:rsidR="00935089">
              <w:rPr>
                <w:bCs/>
                <w:lang w:eastAsia="en-AU"/>
              </w:rPr>
              <w:t xml:space="preserve">Streamlined </w:t>
            </w:r>
          </w:p>
        </w:tc>
      </w:tr>
      <w:tr w:rsidR="00D31920" w:rsidRPr="00D35D44" w:rsidTr="008516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hideMark/>
          </w:tcPr>
          <w:p w:rsidR="00D31920" w:rsidRPr="00D35D44" w:rsidRDefault="00D31920" w:rsidP="00453585">
            <w:pPr>
              <w:pStyle w:val="Tabletext"/>
              <w:rPr>
                <w:bCs/>
                <w:lang w:eastAsia="en-AU"/>
              </w:rPr>
            </w:pPr>
            <w:r w:rsidRPr="00D35D44">
              <w:rPr>
                <w:bCs/>
                <w:lang w:eastAsia="en-AU"/>
              </w:rPr>
              <w:t>Clinical criteria:</w:t>
            </w:r>
          </w:p>
        </w:tc>
        <w:tc>
          <w:tcPr>
            <w:tcW w:w="4069" w:type="pct"/>
            <w:gridSpan w:val="6"/>
            <w:tcBorders>
              <w:top w:val="single" w:sz="4" w:space="0" w:color="auto"/>
              <w:left w:val="single" w:sz="4" w:space="0" w:color="auto"/>
              <w:bottom w:val="single" w:sz="4" w:space="0" w:color="auto"/>
              <w:right w:val="single" w:sz="4" w:space="0" w:color="auto"/>
            </w:tcBorders>
          </w:tcPr>
          <w:p w:rsidR="00D31920" w:rsidRPr="00D35D44" w:rsidRDefault="00D31920" w:rsidP="00453585">
            <w:pPr>
              <w:pStyle w:val="Tabletext"/>
              <w:rPr>
                <w:bCs/>
                <w:lang w:eastAsia="en-AU"/>
              </w:rPr>
            </w:pPr>
            <w:r w:rsidRPr="00D35D44">
              <w:rPr>
                <w:bCs/>
                <w:lang w:eastAsia="en-AU"/>
              </w:rPr>
              <w:t>Patient must have previously received PBS-subsidised treatment with this drug for this condition</w:t>
            </w:r>
            <w:r w:rsidRPr="00D35D44">
              <w:rPr>
                <w:bCs/>
                <w:lang w:eastAsia="en-AU"/>
              </w:rPr>
              <w:br/>
              <w:t>AND</w:t>
            </w:r>
            <w:r w:rsidRPr="00D35D44">
              <w:rPr>
                <w:bCs/>
                <w:lang w:eastAsia="en-AU"/>
              </w:rPr>
              <w:br/>
              <w:t>Patient must not have progressive disease</w:t>
            </w:r>
          </w:p>
        </w:tc>
      </w:tr>
    </w:tbl>
    <w:p w:rsidR="00D31920" w:rsidRPr="00D35D44" w:rsidRDefault="00D31920" w:rsidP="002E2883">
      <w:pPr>
        <w:pStyle w:val="TableFooter"/>
        <w:spacing w:after="120"/>
        <w:rPr>
          <w:bCs/>
        </w:rPr>
      </w:pPr>
      <w:proofErr w:type="spellStart"/>
      <w:proofErr w:type="gramStart"/>
      <w:r w:rsidRPr="00D35D44">
        <w:rPr>
          <w:bCs/>
          <w:vertAlign w:val="superscript"/>
        </w:rPr>
        <w:t>a</w:t>
      </w:r>
      <w:proofErr w:type="spellEnd"/>
      <w:proofErr w:type="gramEnd"/>
      <w:r w:rsidRPr="00D35D44">
        <w:rPr>
          <w:bCs/>
        </w:rPr>
        <w:t xml:space="preserve"> The resubmission nominates a </w:t>
      </w:r>
      <w:r w:rsidR="00A7601C">
        <w:rPr>
          <w:bCs/>
          <w:noProof/>
          <w:color w:val="000000"/>
          <w:highlight w:val="black"/>
        </w:rPr>
        <w:t>''''''''''</w:t>
      </w:r>
      <w:r w:rsidRPr="00D35D44">
        <w:rPr>
          <w:bCs/>
        </w:rPr>
        <w:t xml:space="preserve">% rebate from the published price, and also a cap of </w:t>
      </w:r>
      <w:r w:rsidR="00A7601C">
        <w:rPr>
          <w:bCs/>
          <w:noProof/>
          <w:color w:val="000000"/>
          <w:highlight w:val="black"/>
        </w:rPr>
        <w:t>'''''''</w:t>
      </w:r>
      <w:r w:rsidRPr="00DC6574">
        <w:rPr>
          <w:bCs/>
        </w:rPr>
        <w:t xml:space="preserve"> reimbursed infusions per patient</w:t>
      </w:r>
      <w:r w:rsidRPr="00D35D44">
        <w:rPr>
          <w:bCs/>
        </w:rPr>
        <w:t xml:space="preserve">. </w:t>
      </w:r>
    </w:p>
    <w:p w:rsidR="00D31920" w:rsidRDefault="00D31920" w:rsidP="00250FAD">
      <w:pPr>
        <w:pStyle w:val="ListParagraph"/>
        <w:widowControl/>
        <w:numPr>
          <w:ilvl w:val="1"/>
          <w:numId w:val="2"/>
        </w:numPr>
        <w:spacing w:after="0"/>
        <w:contextualSpacing/>
      </w:pPr>
      <w:r w:rsidRPr="002E2883">
        <w:t xml:space="preserve">The resubmission proposed a </w:t>
      </w:r>
      <w:r w:rsidR="005E3597">
        <w:rPr>
          <w:noProof/>
          <w:color w:val="000000"/>
          <w:highlight w:val="black"/>
        </w:rPr>
        <w:t>''''''''</w:t>
      </w:r>
      <w:r w:rsidRPr="002E2883">
        <w:t xml:space="preserve">% rebate on the </w:t>
      </w:r>
      <w:r w:rsidR="00DB7326" w:rsidRPr="002E2883">
        <w:t xml:space="preserve">nominated </w:t>
      </w:r>
      <w:r w:rsidRPr="002E2883">
        <w:t>published price</w:t>
      </w:r>
      <w:r w:rsidR="00851643" w:rsidRPr="002E2883">
        <w:t>s</w:t>
      </w:r>
      <w:r w:rsidRPr="002E2883">
        <w:t>.</w:t>
      </w:r>
      <w:r w:rsidR="000120B1" w:rsidRPr="002E2883">
        <w:t xml:space="preserve"> </w:t>
      </w:r>
      <w:r w:rsidRPr="002E2883">
        <w:t>This</w:t>
      </w:r>
      <w:r w:rsidRPr="00250FAD">
        <w:t xml:space="preserve"> was </w:t>
      </w:r>
      <w:r w:rsidR="00851643" w:rsidRPr="00250FAD">
        <w:t>increased</w:t>
      </w:r>
      <w:r w:rsidRPr="00250FAD">
        <w:t xml:space="preserve"> from the </w:t>
      </w:r>
      <w:r w:rsidR="009A60F8" w:rsidRPr="00250FAD">
        <w:t xml:space="preserve">proposed </w:t>
      </w:r>
      <w:r w:rsidRPr="00250FAD">
        <w:t>rebate</w:t>
      </w:r>
      <w:r w:rsidR="009A60F8" w:rsidRPr="00250FAD">
        <w:t xml:space="preserve"> of </w:t>
      </w:r>
      <w:r w:rsidR="00A7601C">
        <w:rPr>
          <w:noProof/>
          <w:color w:val="000000"/>
          <w:highlight w:val="black"/>
        </w:rPr>
        <w:t>''''''''</w:t>
      </w:r>
      <w:r w:rsidR="009A60F8" w:rsidRPr="00250FAD">
        <w:t xml:space="preserve">% </w:t>
      </w:r>
      <w:r w:rsidRPr="00250FAD">
        <w:t xml:space="preserve">in </w:t>
      </w:r>
      <w:r w:rsidR="00DB7326" w:rsidRPr="00250FAD">
        <w:t>its</w:t>
      </w:r>
      <w:r w:rsidRPr="00250FAD">
        <w:t xml:space="preserve"> March 2016 submission.</w:t>
      </w:r>
      <w:r w:rsidR="000120B1" w:rsidRPr="00250FAD">
        <w:t xml:space="preserve"> </w:t>
      </w:r>
      <w:r w:rsidR="0054786E" w:rsidRPr="00250FAD">
        <w:t>In the Pre-PBAC response the sponsor proposed a revised net effective price of $</w:t>
      </w:r>
      <w:r w:rsidR="00A7601C">
        <w:rPr>
          <w:noProof/>
          <w:color w:val="000000"/>
          <w:highlight w:val="black"/>
        </w:rPr>
        <w:t>'''''</w:t>
      </w:r>
      <w:r w:rsidR="0054786E" w:rsidRPr="00250FAD">
        <w:t xml:space="preserve"> per 100 mg vial, which is a further </w:t>
      </w:r>
      <w:r w:rsidR="00A7601C">
        <w:rPr>
          <w:noProof/>
          <w:color w:val="000000"/>
          <w:highlight w:val="black"/>
        </w:rPr>
        <w:t>''''''</w:t>
      </w:r>
      <w:r w:rsidR="0054786E" w:rsidRPr="00250FAD">
        <w:t xml:space="preserve">% reduction from the proposed price in the </w:t>
      </w:r>
      <w:r w:rsidR="005E5089">
        <w:t>March</w:t>
      </w:r>
      <w:r w:rsidR="005E5089" w:rsidRPr="00250FAD">
        <w:t xml:space="preserve"> </w:t>
      </w:r>
      <w:r w:rsidR="0054786E" w:rsidRPr="00487C7F">
        <w:t>201</w:t>
      </w:r>
      <w:r w:rsidR="005E5089">
        <w:t>8</w:t>
      </w:r>
      <w:r w:rsidR="0054786E" w:rsidRPr="00250FAD">
        <w:t xml:space="preserve"> resubmission. </w:t>
      </w:r>
      <w:r w:rsidRPr="00250FAD">
        <w:t>The resubmission also propose</w:t>
      </w:r>
      <w:r w:rsidR="00851643" w:rsidRPr="00250FAD">
        <w:t>d</w:t>
      </w:r>
      <w:r w:rsidRPr="00250FAD">
        <w:t xml:space="preserve"> a </w:t>
      </w:r>
      <w:r w:rsidR="009A60F8" w:rsidRPr="00250FAD">
        <w:t xml:space="preserve">subsidisation </w:t>
      </w:r>
      <w:r w:rsidRPr="00250FAD">
        <w:t xml:space="preserve">cap of </w:t>
      </w:r>
      <w:r w:rsidR="00A7601C">
        <w:rPr>
          <w:noProof/>
          <w:color w:val="000000"/>
          <w:highlight w:val="black"/>
        </w:rPr>
        <w:t>'''''</w:t>
      </w:r>
      <w:r w:rsidRPr="00DC6574">
        <w:t xml:space="preserve"> infusions for each patient</w:t>
      </w:r>
      <w:r w:rsidRPr="00250FAD">
        <w:t>.</w:t>
      </w:r>
      <w:r w:rsidR="000120B1" w:rsidRPr="00250FAD">
        <w:t xml:space="preserve"> </w:t>
      </w:r>
      <w:r w:rsidR="00FA215F" w:rsidRPr="00250FAD">
        <w:t>Details on how the cap will be implemented were</w:t>
      </w:r>
      <w:r w:rsidR="00851643" w:rsidRPr="00250FAD">
        <w:t xml:space="preserve"> not </w:t>
      </w:r>
      <w:r w:rsidRPr="00250FAD">
        <w:t>provided</w:t>
      </w:r>
      <w:r w:rsidR="00851643" w:rsidRPr="00250FAD">
        <w:t xml:space="preserve"> by the resubmission</w:t>
      </w:r>
      <w:r w:rsidRPr="00250FAD">
        <w:t>.</w:t>
      </w:r>
      <w:r w:rsidR="000120B1" w:rsidRPr="00250FAD">
        <w:t xml:space="preserve"> </w:t>
      </w:r>
      <w:r w:rsidRPr="00250FAD">
        <w:t>The comparison between the risk sharing agreements in the previous submission with the current</w:t>
      </w:r>
      <w:r w:rsidR="00851643" w:rsidRPr="00250FAD">
        <w:t xml:space="preserve"> resubmission is summarised in T</w:t>
      </w:r>
      <w:r w:rsidRPr="00250FAD">
        <w:t xml:space="preserve">able 2. </w:t>
      </w:r>
    </w:p>
    <w:p w:rsidR="00D31920" w:rsidRPr="00D35D44" w:rsidRDefault="00D31920" w:rsidP="002E2883">
      <w:pPr>
        <w:keepNext/>
        <w:keepLines/>
        <w:spacing w:before="120"/>
        <w:rPr>
          <w:rFonts w:ascii="Arial Narrow" w:hAnsi="Arial Narrow"/>
          <w:b/>
          <w:bCs/>
          <w:sz w:val="20"/>
          <w:szCs w:val="20"/>
        </w:rPr>
      </w:pPr>
      <w:r w:rsidRPr="00D35D44">
        <w:rPr>
          <w:rFonts w:ascii="Arial Narrow" w:hAnsi="Arial Narrow"/>
          <w:b/>
          <w:bCs/>
          <w:sz w:val="20"/>
          <w:szCs w:val="20"/>
        </w:rPr>
        <w:lastRenderedPageBreak/>
        <w:t>Table 2</w:t>
      </w:r>
      <w:r w:rsidR="00DB7326" w:rsidRPr="00D35D44">
        <w:rPr>
          <w:rFonts w:ascii="Arial Narrow" w:hAnsi="Arial Narrow"/>
          <w:b/>
          <w:bCs/>
          <w:sz w:val="20"/>
          <w:szCs w:val="20"/>
        </w:rPr>
        <w:t>:</w:t>
      </w:r>
      <w:r w:rsidRPr="00D35D44">
        <w:rPr>
          <w:rFonts w:ascii="Arial Narrow" w:hAnsi="Arial Narrow"/>
          <w:b/>
          <w:bCs/>
          <w:sz w:val="20"/>
          <w:szCs w:val="20"/>
        </w:rPr>
        <w:t xml:space="preserve"> Comparison of ex-manufacturer price per vial with previous submission</w:t>
      </w:r>
    </w:p>
    <w:tbl>
      <w:tblPr>
        <w:tblStyle w:val="TableGrid"/>
        <w:tblW w:w="0" w:type="auto"/>
        <w:tblLook w:val="04A0" w:firstRow="1" w:lastRow="0" w:firstColumn="1" w:lastColumn="0" w:noHBand="0" w:noVBand="1"/>
      </w:tblPr>
      <w:tblGrid>
        <w:gridCol w:w="948"/>
        <w:gridCol w:w="1382"/>
        <w:gridCol w:w="1383"/>
        <w:gridCol w:w="1382"/>
        <w:gridCol w:w="1383"/>
        <w:gridCol w:w="1382"/>
        <w:gridCol w:w="1383"/>
      </w:tblGrid>
      <w:tr w:rsidR="00D31920" w:rsidRPr="00D35D44" w:rsidTr="00851643">
        <w:tc>
          <w:tcPr>
            <w:tcW w:w="948" w:type="dxa"/>
            <w:vAlign w:val="center"/>
          </w:tcPr>
          <w:p w:rsidR="00D31920" w:rsidRPr="00D35D44" w:rsidRDefault="00D31920" w:rsidP="00851643">
            <w:pPr>
              <w:keepNext/>
              <w:keepLines/>
              <w:jc w:val="left"/>
              <w:rPr>
                <w:rFonts w:ascii="Arial Narrow" w:hAnsi="Arial Narrow"/>
                <w:b/>
                <w:sz w:val="20"/>
                <w:szCs w:val="20"/>
              </w:rPr>
            </w:pPr>
          </w:p>
        </w:tc>
        <w:tc>
          <w:tcPr>
            <w:tcW w:w="4147" w:type="dxa"/>
            <w:gridSpan w:val="3"/>
          </w:tcPr>
          <w:p w:rsidR="00D31920" w:rsidRPr="00D35D44" w:rsidRDefault="00D31920" w:rsidP="00851643">
            <w:pPr>
              <w:keepNext/>
              <w:keepLines/>
              <w:jc w:val="center"/>
              <w:rPr>
                <w:rFonts w:ascii="Arial Narrow" w:hAnsi="Arial Narrow"/>
                <w:b/>
                <w:sz w:val="20"/>
                <w:szCs w:val="20"/>
              </w:rPr>
            </w:pPr>
            <w:r w:rsidRPr="00D35D44">
              <w:rPr>
                <w:rFonts w:ascii="Arial Narrow" w:hAnsi="Arial Narrow"/>
                <w:b/>
                <w:sz w:val="20"/>
                <w:szCs w:val="20"/>
              </w:rPr>
              <w:t>March 2016 submission</w:t>
            </w:r>
          </w:p>
        </w:tc>
        <w:tc>
          <w:tcPr>
            <w:tcW w:w="4148" w:type="dxa"/>
            <w:gridSpan w:val="3"/>
          </w:tcPr>
          <w:p w:rsidR="00D31920" w:rsidRPr="00D35D44" w:rsidRDefault="005E5089" w:rsidP="005E5089">
            <w:pPr>
              <w:keepNext/>
              <w:keepLines/>
              <w:jc w:val="center"/>
              <w:rPr>
                <w:rFonts w:ascii="Arial Narrow" w:hAnsi="Arial Narrow"/>
                <w:b/>
                <w:sz w:val="20"/>
                <w:szCs w:val="20"/>
              </w:rPr>
            </w:pPr>
            <w:r>
              <w:rPr>
                <w:rFonts w:ascii="Arial Narrow" w:hAnsi="Arial Narrow"/>
                <w:b/>
                <w:sz w:val="20"/>
                <w:szCs w:val="20"/>
              </w:rPr>
              <w:t>March</w:t>
            </w:r>
            <w:r w:rsidR="00D31920" w:rsidRPr="00D35D44">
              <w:rPr>
                <w:rFonts w:ascii="Arial Narrow" w:hAnsi="Arial Narrow"/>
                <w:b/>
                <w:sz w:val="20"/>
                <w:szCs w:val="20"/>
              </w:rPr>
              <w:t xml:space="preserve"> </w:t>
            </w:r>
            <w:r w:rsidR="007A7A3D">
              <w:rPr>
                <w:rFonts w:ascii="Arial Narrow" w:hAnsi="Arial Narrow"/>
                <w:b/>
                <w:sz w:val="20"/>
                <w:szCs w:val="20"/>
              </w:rPr>
              <w:t>201</w:t>
            </w:r>
            <w:r>
              <w:rPr>
                <w:rFonts w:ascii="Arial Narrow" w:hAnsi="Arial Narrow"/>
                <w:b/>
                <w:sz w:val="20"/>
                <w:szCs w:val="20"/>
              </w:rPr>
              <w:t>8</w:t>
            </w:r>
            <w:r w:rsidR="00D31920" w:rsidRPr="00D35D44">
              <w:rPr>
                <w:rFonts w:ascii="Arial Narrow" w:hAnsi="Arial Narrow"/>
                <w:b/>
                <w:sz w:val="20"/>
                <w:szCs w:val="20"/>
              </w:rPr>
              <w:t xml:space="preserve"> resubmission</w:t>
            </w:r>
          </w:p>
        </w:tc>
      </w:tr>
      <w:tr w:rsidR="00D31920" w:rsidRPr="00D35D44" w:rsidTr="00851643">
        <w:tc>
          <w:tcPr>
            <w:tcW w:w="948" w:type="dxa"/>
            <w:vAlign w:val="center"/>
          </w:tcPr>
          <w:p w:rsidR="00D31920" w:rsidRPr="00D35D44" w:rsidRDefault="00D31920" w:rsidP="00851643">
            <w:pPr>
              <w:keepNext/>
              <w:keepLines/>
              <w:jc w:val="left"/>
              <w:rPr>
                <w:rFonts w:ascii="Arial Narrow" w:hAnsi="Arial Narrow"/>
                <w:b/>
                <w:sz w:val="20"/>
                <w:szCs w:val="20"/>
              </w:rPr>
            </w:pPr>
            <w:r w:rsidRPr="00D35D44">
              <w:rPr>
                <w:rFonts w:ascii="Arial Narrow" w:hAnsi="Arial Narrow"/>
                <w:b/>
                <w:sz w:val="20"/>
                <w:szCs w:val="20"/>
              </w:rPr>
              <w:t>Vial size</w:t>
            </w:r>
          </w:p>
        </w:tc>
        <w:tc>
          <w:tcPr>
            <w:tcW w:w="1382" w:type="dxa"/>
            <w:vAlign w:val="center"/>
          </w:tcPr>
          <w:p w:rsidR="00D31920" w:rsidRPr="00D35D44" w:rsidRDefault="00D31920" w:rsidP="00851643">
            <w:pPr>
              <w:keepNext/>
              <w:keepLines/>
              <w:jc w:val="center"/>
              <w:rPr>
                <w:rFonts w:ascii="Arial Narrow" w:hAnsi="Arial Narrow"/>
                <w:b/>
                <w:sz w:val="20"/>
                <w:szCs w:val="20"/>
              </w:rPr>
            </w:pPr>
            <w:r w:rsidRPr="00D35D44">
              <w:rPr>
                <w:rFonts w:ascii="Arial Narrow" w:hAnsi="Arial Narrow"/>
                <w:b/>
                <w:sz w:val="20"/>
                <w:szCs w:val="20"/>
              </w:rPr>
              <w:t>Published Price/Vial</w:t>
            </w:r>
          </w:p>
        </w:tc>
        <w:tc>
          <w:tcPr>
            <w:tcW w:w="1383" w:type="dxa"/>
            <w:vAlign w:val="center"/>
          </w:tcPr>
          <w:p w:rsidR="00D31920" w:rsidRPr="00D35D44" w:rsidRDefault="00D31920" w:rsidP="00851643">
            <w:pPr>
              <w:keepNext/>
              <w:keepLines/>
              <w:jc w:val="center"/>
              <w:rPr>
                <w:rFonts w:ascii="Arial Narrow" w:hAnsi="Arial Narrow"/>
                <w:b/>
                <w:sz w:val="20"/>
                <w:szCs w:val="20"/>
              </w:rPr>
            </w:pPr>
            <w:r w:rsidRPr="00D35D44">
              <w:rPr>
                <w:rFonts w:ascii="Arial Narrow" w:hAnsi="Arial Narrow"/>
                <w:b/>
                <w:sz w:val="20"/>
                <w:szCs w:val="20"/>
              </w:rPr>
              <w:t>Rebate</w:t>
            </w:r>
          </w:p>
        </w:tc>
        <w:tc>
          <w:tcPr>
            <w:tcW w:w="1382" w:type="dxa"/>
            <w:vAlign w:val="center"/>
          </w:tcPr>
          <w:p w:rsidR="00D31920" w:rsidRPr="00D35D44" w:rsidRDefault="00D31920" w:rsidP="00851643">
            <w:pPr>
              <w:keepNext/>
              <w:keepLines/>
              <w:jc w:val="center"/>
              <w:rPr>
                <w:rFonts w:ascii="Arial Narrow" w:hAnsi="Arial Narrow"/>
                <w:b/>
                <w:sz w:val="20"/>
                <w:szCs w:val="20"/>
              </w:rPr>
            </w:pPr>
            <w:r w:rsidRPr="00D35D44">
              <w:rPr>
                <w:rFonts w:ascii="Arial Narrow" w:hAnsi="Arial Narrow"/>
                <w:b/>
                <w:sz w:val="20"/>
                <w:szCs w:val="20"/>
              </w:rPr>
              <w:t>Effective Price/Vial</w:t>
            </w:r>
          </w:p>
        </w:tc>
        <w:tc>
          <w:tcPr>
            <w:tcW w:w="1383" w:type="dxa"/>
            <w:vAlign w:val="center"/>
          </w:tcPr>
          <w:p w:rsidR="00D31920" w:rsidRPr="00D35D44" w:rsidRDefault="00D31920" w:rsidP="00851643">
            <w:pPr>
              <w:keepNext/>
              <w:keepLines/>
              <w:jc w:val="center"/>
              <w:rPr>
                <w:rFonts w:ascii="Arial Narrow" w:hAnsi="Arial Narrow"/>
                <w:b/>
                <w:sz w:val="20"/>
                <w:szCs w:val="20"/>
              </w:rPr>
            </w:pPr>
            <w:r w:rsidRPr="00D35D44">
              <w:rPr>
                <w:rFonts w:ascii="Arial Narrow" w:hAnsi="Arial Narrow"/>
                <w:b/>
                <w:sz w:val="20"/>
                <w:szCs w:val="20"/>
              </w:rPr>
              <w:t>Published Price/Vial</w:t>
            </w:r>
          </w:p>
        </w:tc>
        <w:tc>
          <w:tcPr>
            <w:tcW w:w="1382" w:type="dxa"/>
            <w:vAlign w:val="center"/>
          </w:tcPr>
          <w:p w:rsidR="00D31920" w:rsidRPr="00D35D44" w:rsidRDefault="00D31920" w:rsidP="00851643">
            <w:pPr>
              <w:keepNext/>
              <w:keepLines/>
              <w:jc w:val="center"/>
              <w:rPr>
                <w:rFonts w:ascii="Arial Narrow" w:hAnsi="Arial Narrow"/>
                <w:b/>
                <w:sz w:val="20"/>
                <w:szCs w:val="20"/>
              </w:rPr>
            </w:pPr>
            <w:r w:rsidRPr="00D35D44">
              <w:rPr>
                <w:rFonts w:ascii="Arial Narrow" w:hAnsi="Arial Narrow"/>
                <w:b/>
                <w:sz w:val="20"/>
                <w:szCs w:val="20"/>
              </w:rPr>
              <w:t>Rebate</w:t>
            </w:r>
          </w:p>
        </w:tc>
        <w:tc>
          <w:tcPr>
            <w:tcW w:w="1383" w:type="dxa"/>
            <w:vAlign w:val="center"/>
          </w:tcPr>
          <w:p w:rsidR="00D31920" w:rsidRPr="00D35D44" w:rsidRDefault="00D31920" w:rsidP="00851643">
            <w:pPr>
              <w:keepNext/>
              <w:keepLines/>
              <w:jc w:val="center"/>
              <w:rPr>
                <w:rFonts w:ascii="Arial Narrow" w:hAnsi="Arial Narrow"/>
                <w:b/>
                <w:sz w:val="20"/>
                <w:szCs w:val="20"/>
              </w:rPr>
            </w:pPr>
            <w:r w:rsidRPr="00D35D44">
              <w:rPr>
                <w:rFonts w:ascii="Arial Narrow" w:hAnsi="Arial Narrow"/>
                <w:b/>
                <w:sz w:val="20"/>
                <w:szCs w:val="20"/>
              </w:rPr>
              <w:t>Effective Price/Vial</w:t>
            </w:r>
          </w:p>
        </w:tc>
      </w:tr>
      <w:tr w:rsidR="00D31920" w:rsidRPr="00D35D44" w:rsidTr="00851643">
        <w:tc>
          <w:tcPr>
            <w:tcW w:w="948" w:type="dxa"/>
            <w:vAlign w:val="center"/>
          </w:tcPr>
          <w:p w:rsidR="00D31920" w:rsidRPr="00D35D44" w:rsidRDefault="00D31920" w:rsidP="00851643">
            <w:pPr>
              <w:keepNext/>
              <w:keepLines/>
              <w:jc w:val="left"/>
              <w:rPr>
                <w:rFonts w:ascii="Arial Narrow" w:hAnsi="Arial Narrow"/>
                <w:bCs/>
                <w:sz w:val="20"/>
                <w:szCs w:val="20"/>
              </w:rPr>
            </w:pPr>
            <w:r w:rsidRPr="00D35D44">
              <w:rPr>
                <w:rFonts w:ascii="Arial Narrow" w:hAnsi="Arial Narrow"/>
                <w:bCs/>
                <w:sz w:val="20"/>
                <w:szCs w:val="20"/>
              </w:rPr>
              <w:t>100mg</w:t>
            </w:r>
          </w:p>
        </w:tc>
        <w:tc>
          <w:tcPr>
            <w:tcW w:w="1382" w:type="dxa"/>
            <w:vAlign w:val="center"/>
          </w:tcPr>
          <w:p w:rsidR="00D31920" w:rsidRPr="00D35D44" w:rsidRDefault="00D31920" w:rsidP="00851643">
            <w:pPr>
              <w:keepNext/>
              <w:keepLines/>
              <w:jc w:val="center"/>
              <w:rPr>
                <w:rFonts w:ascii="Arial Narrow" w:hAnsi="Arial Narrow"/>
                <w:bCs/>
                <w:sz w:val="20"/>
                <w:szCs w:val="20"/>
              </w:rPr>
            </w:pPr>
            <w:r w:rsidRPr="00D35D44">
              <w:rPr>
                <w:rFonts w:ascii="Arial Narrow" w:hAnsi="Arial Narrow"/>
                <w:bCs/>
                <w:sz w:val="20"/>
                <w:szCs w:val="20"/>
              </w:rPr>
              <w:t>$341.00</w:t>
            </w:r>
          </w:p>
        </w:tc>
        <w:tc>
          <w:tcPr>
            <w:tcW w:w="1383" w:type="dxa"/>
            <w:vAlign w:val="center"/>
          </w:tcPr>
          <w:p w:rsidR="00D31920" w:rsidRPr="00D35D44" w:rsidRDefault="00A7601C" w:rsidP="00851643">
            <w:pPr>
              <w:keepNext/>
              <w:keepLines/>
              <w:jc w:val="center"/>
              <w:rPr>
                <w:rFonts w:ascii="Arial Narrow" w:hAnsi="Arial Narrow"/>
                <w:bCs/>
                <w:sz w:val="20"/>
                <w:szCs w:val="20"/>
              </w:rPr>
            </w:pPr>
            <w:r>
              <w:rPr>
                <w:rFonts w:ascii="Arial Narrow" w:hAnsi="Arial Narrow"/>
                <w:bCs/>
                <w:noProof/>
                <w:color w:val="000000"/>
                <w:sz w:val="20"/>
                <w:szCs w:val="20"/>
                <w:highlight w:val="black"/>
              </w:rPr>
              <w:t>''''''''''</w:t>
            </w:r>
            <w:r w:rsidR="00D31920" w:rsidRPr="00D35D44">
              <w:rPr>
                <w:rFonts w:ascii="Arial Narrow" w:hAnsi="Arial Narrow"/>
                <w:bCs/>
                <w:sz w:val="20"/>
                <w:szCs w:val="20"/>
              </w:rPr>
              <w:t>%</w:t>
            </w:r>
          </w:p>
        </w:tc>
        <w:tc>
          <w:tcPr>
            <w:tcW w:w="1382" w:type="dxa"/>
            <w:vAlign w:val="center"/>
          </w:tcPr>
          <w:p w:rsidR="00D31920" w:rsidRPr="00D35D44" w:rsidRDefault="00D31920" w:rsidP="00851643">
            <w:pPr>
              <w:keepNext/>
              <w:keepLines/>
              <w:jc w:val="center"/>
              <w:rPr>
                <w:rFonts w:ascii="Arial Narrow" w:hAnsi="Arial Narrow"/>
                <w:bCs/>
                <w:sz w:val="20"/>
                <w:szCs w:val="20"/>
              </w:rPr>
            </w:pPr>
            <w:r w:rsidRPr="00D35D44">
              <w:rPr>
                <w:rFonts w:ascii="Arial Narrow" w:hAnsi="Arial Narrow"/>
                <w:bCs/>
                <w:sz w:val="20"/>
                <w:szCs w:val="20"/>
              </w:rPr>
              <w:t>$</w:t>
            </w:r>
            <w:r w:rsidR="00A7601C">
              <w:rPr>
                <w:rFonts w:ascii="Arial Narrow" w:hAnsi="Arial Narrow"/>
                <w:bCs/>
                <w:noProof/>
                <w:color w:val="000000"/>
                <w:sz w:val="20"/>
                <w:szCs w:val="20"/>
                <w:highlight w:val="black"/>
              </w:rPr>
              <w:t>''''''''''''''''</w:t>
            </w:r>
          </w:p>
        </w:tc>
        <w:tc>
          <w:tcPr>
            <w:tcW w:w="1383" w:type="dxa"/>
            <w:vAlign w:val="center"/>
          </w:tcPr>
          <w:p w:rsidR="00D31920" w:rsidRPr="00D35D44" w:rsidRDefault="00D31920" w:rsidP="00851643">
            <w:pPr>
              <w:keepNext/>
              <w:keepLines/>
              <w:jc w:val="center"/>
              <w:rPr>
                <w:rFonts w:ascii="Arial Narrow" w:hAnsi="Arial Narrow"/>
                <w:bCs/>
                <w:sz w:val="20"/>
                <w:szCs w:val="20"/>
              </w:rPr>
            </w:pPr>
            <w:r w:rsidRPr="00D35D44">
              <w:rPr>
                <w:rFonts w:ascii="Arial Narrow" w:hAnsi="Arial Narrow"/>
                <w:bCs/>
                <w:sz w:val="20"/>
                <w:szCs w:val="20"/>
              </w:rPr>
              <w:t>$323.95</w:t>
            </w:r>
          </w:p>
        </w:tc>
        <w:tc>
          <w:tcPr>
            <w:tcW w:w="1382" w:type="dxa"/>
            <w:vAlign w:val="center"/>
          </w:tcPr>
          <w:p w:rsidR="00D31920" w:rsidRPr="00D35D44" w:rsidRDefault="00A7601C" w:rsidP="00851643">
            <w:pPr>
              <w:keepNext/>
              <w:keepLines/>
              <w:jc w:val="center"/>
              <w:rPr>
                <w:rFonts w:ascii="Arial Narrow" w:hAnsi="Arial Narrow"/>
                <w:bCs/>
                <w:sz w:val="20"/>
                <w:szCs w:val="20"/>
              </w:rPr>
            </w:pPr>
            <w:r>
              <w:rPr>
                <w:rFonts w:ascii="Arial Narrow" w:hAnsi="Arial Narrow"/>
                <w:bCs/>
                <w:noProof/>
                <w:color w:val="000000"/>
                <w:sz w:val="20"/>
                <w:szCs w:val="20"/>
                <w:highlight w:val="black"/>
              </w:rPr>
              <w:t>'''''''''''</w:t>
            </w:r>
            <w:r w:rsidR="00D31920" w:rsidRPr="00D35D44">
              <w:rPr>
                <w:rFonts w:ascii="Arial Narrow" w:hAnsi="Arial Narrow"/>
                <w:bCs/>
                <w:sz w:val="20"/>
                <w:szCs w:val="20"/>
              </w:rPr>
              <w:t>%</w:t>
            </w:r>
          </w:p>
        </w:tc>
        <w:tc>
          <w:tcPr>
            <w:tcW w:w="1383" w:type="dxa"/>
            <w:vAlign w:val="center"/>
          </w:tcPr>
          <w:p w:rsidR="00D31920" w:rsidRPr="00D35D44" w:rsidRDefault="00D31920" w:rsidP="00851643">
            <w:pPr>
              <w:keepNext/>
              <w:keepLines/>
              <w:jc w:val="center"/>
              <w:rPr>
                <w:rFonts w:ascii="Arial Narrow" w:hAnsi="Arial Narrow"/>
                <w:bCs/>
                <w:sz w:val="20"/>
                <w:szCs w:val="20"/>
              </w:rPr>
            </w:pPr>
            <w:r w:rsidRPr="00D35D44">
              <w:rPr>
                <w:rFonts w:ascii="Arial Narrow" w:hAnsi="Arial Narrow"/>
                <w:bCs/>
                <w:sz w:val="20"/>
                <w:szCs w:val="20"/>
              </w:rPr>
              <w:t>$</w:t>
            </w:r>
            <w:r w:rsidR="00A7601C">
              <w:rPr>
                <w:rFonts w:ascii="Arial Narrow" w:hAnsi="Arial Narrow"/>
                <w:bCs/>
                <w:noProof/>
                <w:color w:val="000000"/>
                <w:sz w:val="20"/>
                <w:szCs w:val="20"/>
                <w:highlight w:val="black"/>
              </w:rPr>
              <w:t>''''''''''''''''''</w:t>
            </w:r>
            <w:r w:rsidR="001B3398">
              <w:rPr>
                <w:rFonts w:ascii="Arial Narrow" w:hAnsi="Arial Narrow"/>
                <w:bCs/>
                <w:sz w:val="20"/>
                <w:szCs w:val="20"/>
              </w:rPr>
              <w:t>*</w:t>
            </w:r>
          </w:p>
        </w:tc>
      </w:tr>
      <w:tr w:rsidR="00D31920" w:rsidRPr="00D35D44" w:rsidTr="00851643">
        <w:tc>
          <w:tcPr>
            <w:tcW w:w="948" w:type="dxa"/>
            <w:vAlign w:val="center"/>
          </w:tcPr>
          <w:p w:rsidR="00D31920" w:rsidRPr="00D35D44" w:rsidRDefault="00D31920" w:rsidP="00851643">
            <w:pPr>
              <w:keepNext/>
              <w:keepLines/>
              <w:jc w:val="left"/>
              <w:rPr>
                <w:rFonts w:ascii="Arial Narrow" w:hAnsi="Arial Narrow"/>
                <w:bCs/>
                <w:sz w:val="20"/>
                <w:szCs w:val="20"/>
              </w:rPr>
            </w:pPr>
            <w:r w:rsidRPr="00D35D44">
              <w:rPr>
                <w:rFonts w:ascii="Arial Narrow" w:hAnsi="Arial Narrow"/>
                <w:bCs/>
                <w:sz w:val="20"/>
                <w:szCs w:val="20"/>
              </w:rPr>
              <w:t>500mg</w:t>
            </w:r>
          </w:p>
        </w:tc>
        <w:tc>
          <w:tcPr>
            <w:tcW w:w="1382" w:type="dxa"/>
            <w:vAlign w:val="center"/>
          </w:tcPr>
          <w:p w:rsidR="00D31920" w:rsidRPr="00D35D44" w:rsidRDefault="00D31920" w:rsidP="00851643">
            <w:pPr>
              <w:keepNext/>
              <w:keepLines/>
              <w:jc w:val="center"/>
              <w:rPr>
                <w:rFonts w:ascii="Arial Narrow" w:hAnsi="Arial Narrow"/>
                <w:bCs/>
                <w:sz w:val="20"/>
                <w:szCs w:val="20"/>
              </w:rPr>
            </w:pPr>
            <w:r w:rsidRPr="00D35D44">
              <w:rPr>
                <w:rFonts w:ascii="Arial Narrow" w:hAnsi="Arial Narrow"/>
                <w:bCs/>
                <w:sz w:val="20"/>
                <w:szCs w:val="20"/>
              </w:rPr>
              <w:t>$1,705.00</w:t>
            </w:r>
          </w:p>
        </w:tc>
        <w:tc>
          <w:tcPr>
            <w:tcW w:w="1383" w:type="dxa"/>
            <w:vAlign w:val="center"/>
          </w:tcPr>
          <w:p w:rsidR="00D31920" w:rsidRPr="00D35D44" w:rsidRDefault="00A7601C" w:rsidP="00851643">
            <w:pPr>
              <w:keepNext/>
              <w:keepLines/>
              <w:jc w:val="center"/>
              <w:rPr>
                <w:rFonts w:ascii="Arial Narrow" w:hAnsi="Arial Narrow"/>
                <w:bCs/>
                <w:sz w:val="20"/>
                <w:szCs w:val="20"/>
              </w:rPr>
            </w:pPr>
            <w:r>
              <w:rPr>
                <w:rFonts w:ascii="Arial Narrow" w:hAnsi="Arial Narrow"/>
                <w:bCs/>
                <w:noProof/>
                <w:color w:val="000000"/>
                <w:sz w:val="20"/>
                <w:szCs w:val="20"/>
                <w:highlight w:val="black"/>
              </w:rPr>
              <w:t>''''''''''</w:t>
            </w:r>
            <w:r w:rsidR="00D31920" w:rsidRPr="00D35D44">
              <w:rPr>
                <w:rFonts w:ascii="Arial Narrow" w:hAnsi="Arial Narrow"/>
                <w:bCs/>
                <w:sz w:val="20"/>
                <w:szCs w:val="20"/>
              </w:rPr>
              <w:t>%</w:t>
            </w:r>
          </w:p>
        </w:tc>
        <w:tc>
          <w:tcPr>
            <w:tcW w:w="1382" w:type="dxa"/>
            <w:vAlign w:val="center"/>
          </w:tcPr>
          <w:p w:rsidR="00D31920" w:rsidRPr="00D35D44" w:rsidRDefault="00D31920" w:rsidP="00851643">
            <w:pPr>
              <w:keepNext/>
              <w:keepLines/>
              <w:jc w:val="center"/>
              <w:rPr>
                <w:rFonts w:ascii="Arial Narrow" w:hAnsi="Arial Narrow"/>
                <w:bCs/>
                <w:sz w:val="20"/>
                <w:szCs w:val="20"/>
              </w:rPr>
            </w:pPr>
            <w:r w:rsidRPr="00D35D44">
              <w:rPr>
                <w:rFonts w:ascii="Arial Narrow" w:hAnsi="Arial Narrow"/>
                <w:bCs/>
                <w:sz w:val="20"/>
                <w:szCs w:val="20"/>
              </w:rPr>
              <w:t>$</w:t>
            </w:r>
            <w:r w:rsidR="00A7601C">
              <w:rPr>
                <w:rFonts w:ascii="Arial Narrow" w:hAnsi="Arial Narrow"/>
                <w:bCs/>
                <w:noProof/>
                <w:color w:val="000000"/>
                <w:sz w:val="20"/>
                <w:szCs w:val="20"/>
                <w:highlight w:val="black"/>
              </w:rPr>
              <w:t>''''''''''''''''</w:t>
            </w:r>
          </w:p>
        </w:tc>
        <w:tc>
          <w:tcPr>
            <w:tcW w:w="1383" w:type="dxa"/>
            <w:vAlign w:val="center"/>
          </w:tcPr>
          <w:p w:rsidR="00D31920" w:rsidRPr="00D35D44" w:rsidRDefault="00D31920" w:rsidP="00851643">
            <w:pPr>
              <w:keepNext/>
              <w:keepLines/>
              <w:jc w:val="center"/>
              <w:rPr>
                <w:rFonts w:ascii="Arial Narrow" w:hAnsi="Arial Narrow"/>
                <w:bCs/>
                <w:sz w:val="20"/>
                <w:szCs w:val="20"/>
              </w:rPr>
            </w:pPr>
            <w:r w:rsidRPr="00D35D44">
              <w:rPr>
                <w:rFonts w:ascii="Arial Narrow" w:hAnsi="Arial Narrow"/>
                <w:bCs/>
                <w:sz w:val="20"/>
                <w:szCs w:val="20"/>
              </w:rPr>
              <w:t>$1,619.75</w:t>
            </w:r>
          </w:p>
        </w:tc>
        <w:tc>
          <w:tcPr>
            <w:tcW w:w="1382" w:type="dxa"/>
            <w:vAlign w:val="center"/>
          </w:tcPr>
          <w:p w:rsidR="00D31920" w:rsidRPr="00D35D44" w:rsidRDefault="00A7601C" w:rsidP="00851643">
            <w:pPr>
              <w:keepNext/>
              <w:keepLines/>
              <w:jc w:val="center"/>
              <w:rPr>
                <w:rFonts w:ascii="Arial Narrow" w:hAnsi="Arial Narrow"/>
                <w:bCs/>
                <w:sz w:val="20"/>
                <w:szCs w:val="20"/>
              </w:rPr>
            </w:pPr>
            <w:r>
              <w:rPr>
                <w:rFonts w:ascii="Arial Narrow" w:hAnsi="Arial Narrow"/>
                <w:bCs/>
                <w:noProof/>
                <w:color w:val="000000"/>
                <w:sz w:val="20"/>
                <w:szCs w:val="20"/>
                <w:highlight w:val="black"/>
              </w:rPr>
              <w:t>'''''''''''</w:t>
            </w:r>
            <w:r w:rsidR="00D31920" w:rsidRPr="00D35D44">
              <w:rPr>
                <w:rFonts w:ascii="Arial Narrow" w:hAnsi="Arial Narrow"/>
                <w:bCs/>
                <w:sz w:val="20"/>
                <w:szCs w:val="20"/>
              </w:rPr>
              <w:t>%</w:t>
            </w:r>
          </w:p>
        </w:tc>
        <w:tc>
          <w:tcPr>
            <w:tcW w:w="1383" w:type="dxa"/>
            <w:vAlign w:val="center"/>
          </w:tcPr>
          <w:p w:rsidR="00D31920" w:rsidRPr="00D35D44" w:rsidRDefault="00D31920" w:rsidP="00851643">
            <w:pPr>
              <w:keepNext/>
              <w:keepLines/>
              <w:jc w:val="center"/>
              <w:rPr>
                <w:rFonts w:ascii="Arial Narrow" w:hAnsi="Arial Narrow"/>
                <w:bCs/>
                <w:sz w:val="20"/>
                <w:szCs w:val="20"/>
              </w:rPr>
            </w:pPr>
            <w:r w:rsidRPr="00D35D44">
              <w:rPr>
                <w:rFonts w:ascii="Arial Narrow" w:hAnsi="Arial Narrow"/>
                <w:bCs/>
                <w:sz w:val="20"/>
                <w:szCs w:val="20"/>
              </w:rPr>
              <w:t>$</w:t>
            </w:r>
            <w:r w:rsidR="00A7601C">
              <w:rPr>
                <w:rFonts w:ascii="Arial Narrow" w:hAnsi="Arial Narrow"/>
                <w:bCs/>
                <w:noProof/>
                <w:color w:val="000000"/>
                <w:sz w:val="20"/>
                <w:szCs w:val="20"/>
                <w:highlight w:val="black"/>
              </w:rPr>
              <w:t>''''''''''''''''</w:t>
            </w:r>
            <w:r w:rsidR="004E439C">
              <w:rPr>
                <w:rFonts w:ascii="Arial Narrow" w:hAnsi="Arial Narrow"/>
                <w:bCs/>
                <w:sz w:val="20"/>
                <w:szCs w:val="20"/>
              </w:rPr>
              <w:t>*</w:t>
            </w:r>
          </w:p>
        </w:tc>
      </w:tr>
      <w:tr w:rsidR="00D31920" w:rsidRPr="00D35D44" w:rsidTr="00851643">
        <w:tc>
          <w:tcPr>
            <w:tcW w:w="948" w:type="dxa"/>
            <w:vAlign w:val="center"/>
          </w:tcPr>
          <w:p w:rsidR="00D31920" w:rsidRPr="00D35D44" w:rsidRDefault="00D31920" w:rsidP="00851643">
            <w:pPr>
              <w:keepNext/>
              <w:keepLines/>
              <w:jc w:val="left"/>
              <w:rPr>
                <w:rFonts w:ascii="Arial Narrow" w:hAnsi="Arial Narrow"/>
                <w:bCs/>
                <w:sz w:val="20"/>
                <w:szCs w:val="20"/>
              </w:rPr>
            </w:pPr>
            <w:r w:rsidRPr="00D35D44">
              <w:rPr>
                <w:rFonts w:ascii="Arial Narrow" w:hAnsi="Arial Narrow"/>
                <w:bCs/>
                <w:sz w:val="20"/>
                <w:szCs w:val="20"/>
              </w:rPr>
              <w:t>Dose cap</w:t>
            </w:r>
          </w:p>
        </w:tc>
        <w:tc>
          <w:tcPr>
            <w:tcW w:w="4147" w:type="dxa"/>
            <w:gridSpan w:val="3"/>
            <w:vAlign w:val="center"/>
          </w:tcPr>
          <w:p w:rsidR="00D31920" w:rsidRPr="00A7601C" w:rsidRDefault="00A7601C" w:rsidP="00851643">
            <w:pPr>
              <w:keepNext/>
              <w:keepLines/>
              <w:jc w:val="center"/>
              <w:rPr>
                <w:rFonts w:ascii="Arial Narrow" w:hAnsi="Arial Narrow"/>
                <w:bCs/>
                <w:sz w:val="20"/>
                <w:szCs w:val="20"/>
                <w:highlight w:val="black"/>
              </w:rPr>
            </w:pPr>
            <w:r>
              <w:rPr>
                <w:rFonts w:ascii="Arial Narrow" w:hAnsi="Arial Narrow"/>
                <w:bCs/>
                <w:noProof/>
                <w:color w:val="000000"/>
                <w:sz w:val="20"/>
                <w:szCs w:val="20"/>
                <w:highlight w:val="black"/>
              </w:rPr>
              <w:t>'''''''''''''''''''' '''''''''''''''''''''' ''''''''''''''''''''''' '''''''''''''''''' ''''' '''''''''''''''' ''''''''' '''''' ''''''''''''''''' ''''''''''''''''' ''''''''''''' ''''''''''' '''''' '''''''''''''''''</w:t>
            </w:r>
          </w:p>
        </w:tc>
        <w:tc>
          <w:tcPr>
            <w:tcW w:w="4148" w:type="dxa"/>
            <w:gridSpan w:val="3"/>
            <w:vAlign w:val="center"/>
          </w:tcPr>
          <w:p w:rsidR="00D31920" w:rsidRPr="00A7601C" w:rsidRDefault="00A7601C" w:rsidP="00851643">
            <w:pPr>
              <w:keepNext/>
              <w:keepLines/>
              <w:jc w:val="center"/>
              <w:rPr>
                <w:rFonts w:ascii="Arial Narrow" w:hAnsi="Arial Narrow"/>
                <w:bCs/>
                <w:sz w:val="20"/>
                <w:szCs w:val="20"/>
                <w:highlight w:val="black"/>
              </w:rPr>
            </w:pPr>
            <w:r>
              <w:rPr>
                <w:rFonts w:ascii="Arial Narrow" w:hAnsi="Arial Narrow"/>
                <w:bCs/>
                <w:noProof/>
                <w:color w:val="000000"/>
                <w:sz w:val="20"/>
                <w:szCs w:val="20"/>
                <w:highlight w:val="black"/>
              </w:rPr>
              <w:t>''''''''''''''''''''''''' '''''''' '''''' '''''''''''''''''''''' '''''''''' ''''' '''''''''''''''' '''''' '''''''''''''''''' ''''''''''''''''''' ''''''''''' '''''''''''' ''''' ''''''''''''''''''''''' '''''''''''''''''''''' '''''' ''''''''' ''''''''''''''''''''</w:t>
            </w:r>
          </w:p>
        </w:tc>
      </w:tr>
    </w:tbl>
    <w:p w:rsidR="001B3398" w:rsidRDefault="00D31920" w:rsidP="00D31920">
      <w:pPr>
        <w:keepNext/>
        <w:keepLines/>
        <w:rPr>
          <w:rFonts w:ascii="Arial Narrow" w:hAnsi="Arial Narrow"/>
          <w:bCs/>
          <w:sz w:val="18"/>
          <w:szCs w:val="18"/>
        </w:rPr>
      </w:pPr>
      <w:r w:rsidRPr="00652395">
        <w:rPr>
          <w:rFonts w:ascii="Arial Narrow" w:hAnsi="Arial Narrow"/>
          <w:bCs/>
          <w:sz w:val="18"/>
          <w:szCs w:val="18"/>
        </w:rPr>
        <w:t>Source: constructed during evaluation</w:t>
      </w:r>
    </w:p>
    <w:p w:rsidR="004E439C" w:rsidRPr="00652395" w:rsidRDefault="001B3398" w:rsidP="002E2883">
      <w:pPr>
        <w:keepNext/>
        <w:keepLines/>
        <w:spacing w:after="120"/>
        <w:rPr>
          <w:rFonts w:ascii="Arial Narrow" w:hAnsi="Arial Narrow"/>
          <w:bCs/>
          <w:sz w:val="18"/>
          <w:szCs w:val="18"/>
        </w:rPr>
      </w:pPr>
      <w:r>
        <w:rPr>
          <w:rFonts w:ascii="Arial Narrow" w:hAnsi="Arial Narrow"/>
          <w:bCs/>
          <w:sz w:val="18"/>
          <w:szCs w:val="18"/>
        </w:rPr>
        <w:t>*</w:t>
      </w:r>
      <w:r w:rsidR="00D31920" w:rsidRPr="00652395">
        <w:rPr>
          <w:rFonts w:ascii="Arial Narrow" w:hAnsi="Arial Narrow"/>
          <w:bCs/>
          <w:sz w:val="18"/>
          <w:szCs w:val="18"/>
        </w:rPr>
        <w:t xml:space="preserve"> </w:t>
      </w:r>
      <w:r>
        <w:rPr>
          <w:rFonts w:ascii="Arial Narrow" w:hAnsi="Arial Narrow"/>
          <w:bCs/>
          <w:sz w:val="18"/>
          <w:szCs w:val="18"/>
        </w:rPr>
        <w:t>Price proposed in the pre-PBAC response</w:t>
      </w:r>
      <w:r w:rsidR="004E439C">
        <w:rPr>
          <w:rFonts w:ascii="Arial Narrow" w:hAnsi="Arial Narrow"/>
          <w:bCs/>
          <w:sz w:val="18"/>
          <w:szCs w:val="18"/>
        </w:rPr>
        <w:t xml:space="preserve"> $</w:t>
      </w:r>
      <w:r w:rsidR="00A7601C">
        <w:rPr>
          <w:rFonts w:ascii="Arial Narrow" w:hAnsi="Arial Narrow"/>
          <w:bCs/>
          <w:noProof/>
          <w:color w:val="000000"/>
          <w:sz w:val="18"/>
          <w:szCs w:val="18"/>
          <w:highlight w:val="black"/>
        </w:rPr>
        <w:t>''''''</w:t>
      </w:r>
      <w:r w:rsidR="004E439C">
        <w:rPr>
          <w:rFonts w:ascii="Arial Narrow" w:hAnsi="Arial Narrow"/>
          <w:bCs/>
          <w:sz w:val="18"/>
          <w:szCs w:val="18"/>
        </w:rPr>
        <w:t>/100 mg vial, the equivalent price for the 500 mg vial would be $</w:t>
      </w:r>
      <w:r w:rsidR="00A7601C">
        <w:rPr>
          <w:rFonts w:ascii="Arial Narrow" w:hAnsi="Arial Narrow"/>
          <w:bCs/>
          <w:noProof/>
          <w:color w:val="000000"/>
          <w:sz w:val="18"/>
          <w:szCs w:val="18"/>
          <w:highlight w:val="black"/>
        </w:rPr>
        <w:t>'''''''''</w:t>
      </w:r>
      <w:r w:rsidR="004E439C">
        <w:rPr>
          <w:rFonts w:ascii="Arial Narrow" w:hAnsi="Arial Narrow"/>
          <w:bCs/>
          <w:sz w:val="18"/>
          <w:szCs w:val="18"/>
        </w:rPr>
        <w:t xml:space="preserve"> (5 x $</w:t>
      </w:r>
      <w:r w:rsidR="00A7601C">
        <w:rPr>
          <w:rFonts w:ascii="Arial Narrow" w:hAnsi="Arial Narrow"/>
          <w:bCs/>
          <w:noProof/>
          <w:color w:val="000000"/>
          <w:sz w:val="18"/>
          <w:szCs w:val="18"/>
          <w:highlight w:val="black"/>
        </w:rPr>
        <w:t>'''''''</w:t>
      </w:r>
      <w:r w:rsidR="004E439C">
        <w:rPr>
          <w:rFonts w:ascii="Arial Narrow" w:hAnsi="Arial Narrow"/>
          <w:bCs/>
          <w:sz w:val="18"/>
          <w:szCs w:val="18"/>
        </w:rPr>
        <w:t>).</w:t>
      </w:r>
    </w:p>
    <w:p w:rsidR="00D31920" w:rsidRPr="00D35D44" w:rsidRDefault="00D31920" w:rsidP="00846F9C">
      <w:pPr>
        <w:pStyle w:val="ListParagraph"/>
        <w:widowControl/>
        <w:numPr>
          <w:ilvl w:val="1"/>
          <w:numId w:val="2"/>
        </w:numPr>
        <w:rPr>
          <w:bCs/>
        </w:rPr>
      </w:pPr>
      <w:r w:rsidRPr="00D35D44">
        <w:rPr>
          <w:bCs/>
        </w:rPr>
        <w:t>The key difference</w:t>
      </w:r>
      <w:r w:rsidR="00851643" w:rsidRPr="00D35D44">
        <w:rPr>
          <w:bCs/>
        </w:rPr>
        <w:t>s</w:t>
      </w:r>
      <w:r w:rsidRPr="00D35D44">
        <w:rPr>
          <w:bCs/>
        </w:rPr>
        <w:t xml:space="preserve"> </w:t>
      </w:r>
      <w:r w:rsidR="008C6A5F" w:rsidRPr="00D35D44">
        <w:rPr>
          <w:bCs/>
        </w:rPr>
        <w:t xml:space="preserve">between </w:t>
      </w:r>
      <w:r w:rsidR="007B5578">
        <w:rPr>
          <w:bCs/>
        </w:rPr>
        <w:t xml:space="preserve">the </w:t>
      </w:r>
      <w:r w:rsidR="008C6A5F" w:rsidRPr="00D35D44">
        <w:rPr>
          <w:bCs/>
        </w:rPr>
        <w:t xml:space="preserve">proposed restriction and </w:t>
      </w:r>
      <w:r w:rsidR="00C34B5F">
        <w:rPr>
          <w:bCs/>
        </w:rPr>
        <w:t>that</w:t>
      </w:r>
      <w:r w:rsidR="00C34B5F" w:rsidRPr="00D35D44">
        <w:rPr>
          <w:bCs/>
        </w:rPr>
        <w:t xml:space="preserve"> </w:t>
      </w:r>
      <w:r w:rsidRPr="00D35D44">
        <w:rPr>
          <w:bCs/>
        </w:rPr>
        <w:t>requeste</w:t>
      </w:r>
      <w:r w:rsidR="00851643" w:rsidRPr="00D35D44">
        <w:rPr>
          <w:bCs/>
        </w:rPr>
        <w:t xml:space="preserve">d </w:t>
      </w:r>
      <w:r w:rsidR="008C6A5F" w:rsidRPr="00D35D44">
        <w:rPr>
          <w:bCs/>
        </w:rPr>
        <w:t xml:space="preserve">in the </w:t>
      </w:r>
      <w:r w:rsidR="00851643" w:rsidRPr="00D35D44">
        <w:rPr>
          <w:bCs/>
        </w:rPr>
        <w:t xml:space="preserve">March 2016 </w:t>
      </w:r>
      <w:r w:rsidR="008C6A5F" w:rsidRPr="00D35D44">
        <w:rPr>
          <w:bCs/>
        </w:rPr>
        <w:t xml:space="preserve">submission </w:t>
      </w:r>
      <w:r w:rsidR="00851643" w:rsidRPr="00D35D44">
        <w:rPr>
          <w:bCs/>
        </w:rPr>
        <w:t xml:space="preserve">were: </w:t>
      </w:r>
      <w:proofErr w:type="spellStart"/>
      <w:r w:rsidR="00851643" w:rsidRPr="00D35D44">
        <w:rPr>
          <w:bCs/>
        </w:rPr>
        <w:t>i</w:t>
      </w:r>
      <w:proofErr w:type="spellEnd"/>
      <w:r w:rsidR="00851643" w:rsidRPr="00D35D44">
        <w:rPr>
          <w:bCs/>
        </w:rPr>
        <w:t xml:space="preserve">) the expansion of the listing </w:t>
      </w:r>
      <w:r w:rsidRPr="00D35D44">
        <w:rPr>
          <w:bCs/>
        </w:rPr>
        <w:t xml:space="preserve">to include all patients with RM SCCHN </w:t>
      </w:r>
      <w:r w:rsidR="00851643" w:rsidRPr="00D35D44">
        <w:rPr>
          <w:bCs/>
        </w:rPr>
        <w:t xml:space="preserve">rather than limiting use to a subset of patients with </w:t>
      </w:r>
      <w:r w:rsidRPr="00D35D44">
        <w:rPr>
          <w:bCs/>
        </w:rPr>
        <w:t>oral cavity</w:t>
      </w:r>
      <w:r w:rsidR="00851643" w:rsidRPr="00D35D44">
        <w:rPr>
          <w:bCs/>
        </w:rPr>
        <w:t xml:space="preserve"> cancers only and ii)</w:t>
      </w:r>
      <w:r w:rsidRPr="00D35D44">
        <w:rPr>
          <w:bCs/>
        </w:rPr>
        <w:t xml:space="preserve"> </w:t>
      </w:r>
      <w:r w:rsidR="008C6A5F" w:rsidRPr="00D35D44">
        <w:rPr>
          <w:bCs/>
        </w:rPr>
        <w:t xml:space="preserve">the removal of the clinical criteria for patients to have </w:t>
      </w:r>
      <w:r w:rsidR="008C6A5F" w:rsidRPr="00D35D44">
        <w:t>World Health Organisation (WHO)</w:t>
      </w:r>
      <w:r w:rsidR="00636876" w:rsidRPr="00D35D44">
        <w:t>/</w:t>
      </w:r>
      <w:r w:rsidRPr="00D35D44">
        <w:t xml:space="preserve">Eastern Cooperative Oncology Group </w:t>
      </w:r>
      <w:r w:rsidRPr="00D35D44">
        <w:rPr>
          <w:bCs/>
        </w:rPr>
        <w:t>performance status</w:t>
      </w:r>
      <w:r w:rsidR="008C6A5F" w:rsidRPr="00D35D44">
        <w:rPr>
          <w:bCs/>
        </w:rPr>
        <w:t xml:space="preserve"> (ECOG PS)</w:t>
      </w:r>
      <w:r w:rsidRPr="00D35D44">
        <w:rPr>
          <w:bCs/>
        </w:rPr>
        <w:t xml:space="preserve"> </w:t>
      </w:r>
      <w:r w:rsidR="008C6A5F" w:rsidRPr="00D35D44">
        <w:rPr>
          <w:bCs/>
        </w:rPr>
        <w:t>of 0 or 1.</w:t>
      </w:r>
    </w:p>
    <w:p w:rsidR="00D31920" w:rsidRPr="00D35D44" w:rsidRDefault="008C6A5F" w:rsidP="00846F9C">
      <w:pPr>
        <w:pStyle w:val="ListParagraph"/>
        <w:widowControl/>
        <w:numPr>
          <w:ilvl w:val="1"/>
          <w:numId w:val="2"/>
        </w:numPr>
        <w:rPr>
          <w:bCs/>
        </w:rPr>
      </w:pPr>
      <w:r w:rsidRPr="00D35D44">
        <w:rPr>
          <w:bCs/>
        </w:rPr>
        <w:t xml:space="preserve">The lack of definition of a patient performance status meant the requested restriction was broader than the trial population. The main evidence supporting the resubmission </w:t>
      </w:r>
      <w:r w:rsidR="001F0990" w:rsidRPr="00D35D44">
        <w:rPr>
          <w:bCs/>
        </w:rPr>
        <w:t xml:space="preserve">(the EXTREME trial) </w:t>
      </w:r>
      <w:r w:rsidRPr="00D35D44">
        <w:rPr>
          <w:bCs/>
        </w:rPr>
        <w:t xml:space="preserve">had enrolled patients with </w:t>
      </w:r>
      <w:proofErr w:type="spellStart"/>
      <w:r w:rsidR="00D31920" w:rsidRPr="00D35D44">
        <w:rPr>
          <w:bCs/>
        </w:rPr>
        <w:t>Karnofsky</w:t>
      </w:r>
      <w:proofErr w:type="spellEnd"/>
      <w:r w:rsidR="00D31920" w:rsidRPr="00D35D44">
        <w:rPr>
          <w:bCs/>
        </w:rPr>
        <w:t xml:space="preserve"> performance score (KPS) </w:t>
      </w:r>
      <w:r w:rsidR="00D31920" w:rsidRPr="00D35D44">
        <w:rPr>
          <w:rFonts w:cs="Calibri"/>
          <w:bCs/>
        </w:rPr>
        <w:t>≥</w:t>
      </w:r>
      <w:r w:rsidR="00D31920" w:rsidRPr="00D35D44">
        <w:rPr>
          <w:bCs/>
        </w:rPr>
        <w:t xml:space="preserve"> 70, which corresponds to either ECOG </w:t>
      </w:r>
      <w:r w:rsidRPr="00D35D44">
        <w:rPr>
          <w:bCs/>
        </w:rPr>
        <w:t xml:space="preserve">PS of </w:t>
      </w:r>
      <w:r w:rsidR="00D31920" w:rsidRPr="00D35D44">
        <w:rPr>
          <w:bCs/>
        </w:rPr>
        <w:t>0-1</w:t>
      </w:r>
      <w:r w:rsidR="008F7556" w:rsidRPr="00D35D44">
        <w:rPr>
          <w:rStyle w:val="FootnoteReference"/>
          <w:bCs/>
        </w:rPr>
        <w:footnoteReference w:id="1"/>
      </w:r>
      <w:r w:rsidR="00D31920" w:rsidRPr="00D35D44">
        <w:rPr>
          <w:bCs/>
        </w:rPr>
        <w:t xml:space="preserve"> or 0-2</w:t>
      </w:r>
      <w:r w:rsidR="008F7556" w:rsidRPr="00D35D44">
        <w:rPr>
          <w:rStyle w:val="FootnoteReference"/>
          <w:bCs/>
        </w:rPr>
        <w:footnoteReference w:id="2"/>
      </w:r>
      <w:r w:rsidR="00D31920" w:rsidRPr="00D35D44">
        <w:rPr>
          <w:bCs/>
        </w:rPr>
        <w:t xml:space="preserve"> depending on publication.</w:t>
      </w:r>
      <w:r w:rsidR="000120B1" w:rsidRPr="00D35D44">
        <w:rPr>
          <w:bCs/>
        </w:rPr>
        <w:t xml:space="preserve"> </w:t>
      </w:r>
      <w:r w:rsidR="009A60F8" w:rsidRPr="00D35D44">
        <w:rPr>
          <w:bCs/>
        </w:rPr>
        <w:t>T</w:t>
      </w:r>
      <w:r w:rsidR="001F0990" w:rsidRPr="00D35D44">
        <w:rPr>
          <w:bCs/>
        </w:rPr>
        <w:t xml:space="preserve">here is a paucity of data for </w:t>
      </w:r>
      <w:r w:rsidRPr="00D35D44">
        <w:rPr>
          <w:bCs/>
        </w:rPr>
        <w:t xml:space="preserve">the efficacy of </w:t>
      </w:r>
      <w:r w:rsidR="00D31920" w:rsidRPr="00D35D44">
        <w:rPr>
          <w:bCs/>
        </w:rPr>
        <w:t xml:space="preserve">cetuximab in patients with </w:t>
      </w:r>
      <w:r w:rsidRPr="00D35D44">
        <w:rPr>
          <w:bCs/>
        </w:rPr>
        <w:t xml:space="preserve">KPS &lt;70 or </w:t>
      </w:r>
      <w:r w:rsidR="00D31920" w:rsidRPr="00D35D44">
        <w:rPr>
          <w:bCs/>
        </w:rPr>
        <w:t xml:space="preserve">ECOG </w:t>
      </w:r>
      <w:r w:rsidRPr="00D35D44">
        <w:rPr>
          <w:bCs/>
        </w:rPr>
        <w:t xml:space="preserve">PS </w:t>
      </w:r>
      <w:r w:rsidR="00D31920" w:rsidRPr="00D35D44">
        <w:rPr>
          <w:bCs/>
        </w:rPr>
        <w:t>&gt;2</w:t>
      </w:r>
      <w:r w:rsidRPr="00D35D44">
        <w:rPr>
          <w:bCs/>
        </w:rPr>
        <w:t>.</w:t>
      </w:r>
      <w:r w:rsidR="0054786E">
        <w:rPr>
          <w:bCs/>
        </w:rPr>
        <w:t xml:space="preserve"> The PBAC</w:t>
      </w:r>
      <w:r w:rsidR="009A7782">
        <w:rPr>
          <w:bCs/>
        </w:rPr>
        <w:t xml:space="preserve"> noted that the EXTREME trial enrolled patients with</w:t>
      </w:r>
      <w:r w:rsidR="007B5578">
        <w:rPr>
          <w:bCs/>
        </w:rPr>
        <w:t xml:space="preserve"> the equivalent of a</w:t>
      </w:r>
      <w:r w:rsidR="009A7782">
        <w:rPr>
          <w:bCs/>
        </w:rPr>
        <w:t xml:space="preserve"> performance status 0-2 and considered that inclusion of the </w:t>
      </w:r>
      <w:r w:rsidR="009A7782" w:rsidRPr="00D35D44">
        <w:rPr>
          <w:bCs/>
        </w:rPr>
        <w:t xml:space="preserve">clinical criteria for patients to have </w:t>
      </w:r>
      <w:r w:rsidR="009A7782">
        <w:rPr>
          <w:bCs/>
        </w:rPr>
        <w:t>ECOG PS</w:t>
      </w:r>
      <w:r w:rsidR="009A7782" w:rsidRPr="00D35D44">
        <w:rPr>
          <w:bCs/>
        </w:rPr>
        <w:t xml:space="preserve"> </w:t>
      </w:r>
      <w:r w:rsidR="009A7782">
        <w:rPr>
          <w:bCs/>
        </w:rPr>
        <w:t>of 0-2 would be appropriate</w:t>
      </w:r>
      <w:r w:rsidR="009A7782" w:rsidRPr="00D35D44">
        <w:rPr>
          <w:bCs/>
        </w:rPr>
        <w:t>.</w:t>
      </w:r>
      <w:r w:rsidR="009A7782">
        <w:rPr>
          <w:bCs/>
        </w:rPr>
        <w:t xml:space="preserve"> </w:t>
      </w:r>
    </w:p>
    <w:p w:rsidR="001F0990" w:rsidRDefault="001F0990" w:rsidP="00846F9C">
      <w:pPr>
        <w:pStyle w:val="ListParagraph"/>
        <w:widowControl/>
        <w:numPr>
          <w:ilvl w:val="1"/>
          <w:numId w:val="2"/>
        </w:numPr>
        <w:rPr>
          <w:bCs/>
        </w:rPr>
      </w:pPr>
      <w:r w:rsidRPr="00D35D44">
        <w:rPr>
          <w:bCs/>
        </w:rPr>
        <w:t>The requested condition “squamous cell carcinoma of the head and neck” (SCCHN) is not a defined term in the SNOWMED Clinical Terminology Australian Release.</w:t>
      </w:r>
      <w:r w:rsidR="000120B1" w:rsidRPr="00D35D44">
        <w:rPr>
          <w:bCs/>
        </w:rPr>
        <w:t xml:space="preserve"> </w:t>
      </w:r>
      <w:r w:rsidRPr="00D35D44">
        <w:rPr>
          <w:bCs/>
        </w:rPr>
        <w:t xml:space="preserve">Although some specific sites such as squamous cell carcinoma of the larynx/oropharynx/mouth/ buccal mucosa/lip/tongue are defined terms, these terms may not fully incorporate the intended treatment population. Existing cetuximab listings are for “metastatic colorectal cancer” and “Stage III, </w:t>
      </w:r>
      <w:proofErr w:type="spellStart"/>
      <w:r w:rsidRPr="00D35D44">
        <w:rPr>
          <w:bCs/>
        </w:rPr>
        <w:t>IVa</w:t>
      </w:r>
      <w:proofErr w:type="spellEnd"/>
      <w:r w:rsidRPr="00D35D44">
        <w:rPr>
          <w:bCs/>
        </w:rPr>
        <w:t xml:space="preserve"> or </w:t>
      </w:r>
      <w:proofErr w:type="spellStart"/>
      <w:r w:rsidRPr="00D35D44">
        <w:rPr>
          <w:bCs/>
        </w:rPr>
        <w:t>IVb</w:t>
      </w:r>
      <w:proofErr w:type="spellEnd"/>
      <w:r w:rsidRPr="00D35D44">
        <w:rPr>
          <w:bCs/>
        </w:rPr>
        <w:t xml:space="preserve"> squamous cell cancer of the larynx, oropharynx or hypopharynx”.</w:t>
      </w:r>
      <w:r w:rsidR="000120B1" w:rsidRPr="00D35D44">
        <w:rPr>
          <w:bCs/>
        </w:rPr>
        <w:t xml:space="preserve"> </w:t>
      </w:r>
      <w:r w:rsidRPr="00D35D44">
        <w:rPr>
          <w:bCs/>
        </w:rPr>
        <w:t>The</w:t>
      </w:r>
      <w:r w:rsidR="009A7782">
        <w:rPr>
          <w:bCs/>
        </w:rPr>
        <w:t xml:space="preserve"> PBAC</w:t>
      </w:r>
      <w:r w:rsidRPr="00D35D44">
        <w:rPr>
          <w:bCs/>
        </w:rPr>
        <w:t xml:space="preserve"> </w:t>
      </w:r>
      <w:r w:rsidR="009A7782">
        <w:rPr>
          <w:bCs/>
        </w:rPr>
        <w:t xml:space="preserve">considered that the </w:t>
      </w:r>
      <w:r w:rsidRPr="00D35D44">
        <w:rPr>
          <w:bCs/>
        </w:rPr>
        <w:t xml:space="preserve">requested indication in this resubmission </w:t>
      </w:r>
      <w:r w:rsidR="00000F3E">
        <w:rPr>
          <w:bCs/>
        </w:rPr>
        <w:t xml:space="preserve">should </w:t>
      </w:r>
      <w:r w:rsidR="00F62650">
        <w:rPr>
          <w:bCs/>
        </w:rPr>
        <w:t>be modified to read; r</w:t>
      </w:r>
      <w:r w:rsidR="00F62650" w:rsidRPr="00501C5A">
        <w:t>ecurrent or metastatic squamous cell carcinoma of the oral cavity, pharynx or larynx</w:t>
      </w:r>
      <w:r w:rsidR="00F62650">
        <w:t xml:space="preserve">. This is consistent with the trial population and with other requests for listing in these conditions. </w:t>
      </w:r>
    </w:p>
    <w:p w:rsidR="009A7782" w:rsidRDefault="009A7782" w:rsidP="00846F9C">
      <w:pPr>
        <w:pStyle w:val="ListParagraph"/>
        <w:widowControl/>
        <w:numPr>
          <w:ilvl w:val="1"/>
          <w:numId w:val="2"/>
        </w:numPr>
        <w:rPr>
          <w:bCs/>
        </w:rPr>
      </w:pPr>
      <w:r>
        <w:rPr>
          <w:bCs/>
        </w:rPr>
        <w:lastRenderedPageBreak/>
        <w:t xml:space="preserve">The PBAC </w:t>
      </w:r>
      <w:r w:rsidR="007B5578">
        <w:rPr>
          <w:bCs/>
        </w:rPr>
        <w:t xml:space="preserve">considered </w:t>
      </w:r>
      <w:r>
        <w:rPr>
          <w:bCs/>
        </w:rPr>
        <w:t xml:space="preserve">that </w:t>
      </w:r>
      <w:r w:rsidR="005C5182">
        <w:rPr>
          <w:bCs/>
        </w:rPr>
        <w:t xml:space="preserve">the clinical criterion </w:t>
      </w:r>
      <w:r w:rsidR="00134A25">
        <w:rPr>
          <w:bCs/>
        </w:rPr>
        <w:t>“</w:t>
      </w:r>
      <w:r w:rsidR="005C5182">
        <w:rPr>
          <w:bCs/>
        </w:rPr>
        <w:t>that the condition must be previously untreated</w:t>
      </w:r>
      <w:r w:rsidR="00134A25">
        <w:rPr>
          <w:bCs/>
        </w:rPr>
        <w:t>”</w:t>
      </w:r>
      <w:r w:rsidR="005C5182">
        <w:rPr>
          <w:bCs/>
        </w:rPr>
        <w:t xml:space="preserve"> should remain in the restriction. </w:t>
      </w:r>
    </w:p>
    <w:p w:rsidR="00C62E40" w:rsidRPr="00C62E40" w:rsidRDefault="00C62E40" w:rsidP="002E2883">
      <w:pPr>
        <w:pStyle w:val="BodyText"/>
        <w:ind w:left="510" w:firstLine="170"/>
        <w:rPr>
          <w:i/>
        </w:rPr>
      </w:pPr>
      <w:r w:rsidRPr="005C5182">
        <w:rPr>
          <w:i/>
        </w:rPr>
        <w:t>For more detail on PBAC’s view, see section 7 PBAC outcome.</w:t>
      </w:r>
    </w:p>
    <w:p w:rsidR="00D31920" w:rsidRPr="00250FAD" w:rsidRDefault="00D31920" w:rsidP="002E2883">
      <w:pPr>
        <w:pStyle w:val="Heading1"/>
      </w:pPr>
      <w:bookmarkStart w:id="2" w:name="_Toc500767923"/>
      <w:r w:rsidRPr="00250FAD">
        <w:t>Background</w:t>
      </w:r>
      <w:bookmarkEnd w:id="2"/>
    </w:p>
    <w:p w:rsidR="00D31920" w:rsidRPr="00250FAD" w:rsidRDefault="00D31920" w:rsidP="00250FAD">
      <w:pPr>
        <w:pStyle w:val="ListParagraph"/>
        <w:widowControl/>
        <w:numPr>
          <w:ilvl w:val="1"/>
          <w:numId w:val="2"/>
        </w:numPr>
        <w:rPr>
          <w:bCs/>
        </w:rPr>
      </w:pPr>
      <w:r w:rsidRPr="00250FAD">
        <w:rPr>
          <w:bCs/>
        </w:rPr>
        <w:t xml:space="preserve">Cetuximab was approved by the TGA for the treatment of patients </w:t>
      </w:r>
      <w:r w:rsidR="001F0990" w:rsidRPr="00250FAD">
        <w:rPr>
          <w:bCs/>
        </w:rPr>
        <w:t xml:space="preserve">with SCCHN </w:t>
      </w:r>
      <w:r w:rsidRPr="00250FAD">
        <w:rPr>
          <w:bCs/>
        </w:rPr>
        <w:t>in combination with platinum-based chemotherapy for recurrent or metastatic disease on 5 January 2010.</w:t>
      </w:r>
      <w:r w:rsidR="000120B1" w:rsidRPr="00250FAD">
        <w:rPr>
          <w:bCs/>
        </w:rPr>
        <w:t xml:space="preserve"> </w:t>
      </w:r>
      <w:r w:rsidRPr="00250FAD">
        <w:rPr>
          <w:bCs/>
        </w:rPr>
        <w:t>Cetuximab is also TGA</w:t>
      </w:r>
      <w:r w:rsidR="009A60F8" w:rsidRPr="00250FAD">
        <w:rPr>
          <w:bCs/>
        </w:rPr>
        <w:t>-</w:t>
      </w:r>
      <w:r w:rsidRPr="00250FAD">
        <w:rPr>
          <w:bCs/>
        </w:rPr>
        <w:t xml:space="preserve">approved for treatment of patients with </w:t>
      </w:r>
      <w:r w:rsidR="001D6E63" w:rsidRPr="00250FAD">
        <w:rPr>
          <w:bCs/>
        </w:rPr>
        <w:t>Epithelial Growth Factor Receptor (E</w:t>
      </w:r>
      <w:r w:rsidRPr="00250FAD">
        <w:rPr>
          <w:bCs/>
        </w:rPr>
        <w:t>GFR</w:t>
      </w:r>
      <w:r w:rsidR="001D6E63" w:rsidRPr="00250FAD">
        <w:rPr>
          <w:bCs/>
        </w:rPr>
        <w:t>)</w:t>
      </w:r>
      <w:r w:rsidRPr="00250FAD">
        <w:rPr>
          <w:bCs/>
        </w:rPr>
        <w:t xml:space="preserve">-expressing, RAS wild-type metastatic colorectal cancer (in combination with other agents or monotherapy) and for the treatment of patients with </w:t>
      </w:r>
      <w:r w:rsidR="001F0990" w:rsidRPr="00250FAD">
        <w:rPr>
          <w:bCs/>
        </w:rPr>
        <w:t xml:space="preserve">SCCHN </w:t>
      </w:r>
      <w:r w:rsidRPr="00250FAD">
        <w:rPr>
          <w:bCs/>
        </w:rPr>
        <w:t>in combination with radiotherapy</w:t>
      </w:r>
      <w:r w:rsidR="001F0990" w:rsidRPr="00250FAD">
        <w:rPr>
          <w:bCs/>
        </w:rPr>
        <w:t>.</w:t>
      </w:r>
    </w:p>
    <w:p w:rsidR="00D31920" w:rsidRPr="00D35D44" w:rsidRDefault="00D31920" w:rsidP="00846F9C">
      <w:pPr>
        <w:pStyle w:val="ListParagraph"/>
        <w:widowControl/>
        <w:numPr>
          <w:ilvl w:val="1"/>
          <w:numId w:val="2"/>
        </w:numPr>
        <w:rPr>
          <w:bCs/>
        </w:rPr>
      </w:pPr>
      <w:r w:rsidRPr="00D35D44">
        <w:t xml:space="preserve">Cetuximab, in combination with radiotherapy, is currently PBS-listed for the treatment of patients with Stage III, </w:t>
      </w:r>
      <w:proofErr w:type="spellStart"/>
      <w:r w:rsidRPr="00D35D44">
        <w:t>IVa</w:t>
      </w:r>
      <w:proofErr w:type="spellEnd"/>
      <w:r w:rsidRPr="00D35D44">
        <w:t xml:space="preserve"> or </w:t>
      </w:r>
      <w:proofErr w:type="spellStart"/>
      <w:r w:rsidRPr="00D35D44">
        <w:t>IVb</w:t>
      </w:r>
      <w:proofErr w:type="spellEnd"/>
      <w:r w:rsidRPr="00D35D44">
        <w:t xml:space="preserve"> squamous cell cancer of the larynx, oropharynx or hypopharynx, who are unable to tolerate or have a contraindication to cisplatin</w:t>
      </w:r>
      <w:r w:rsidR="001F0990" w:rsidRPr="00D35D44">
        <w:t>.</w:t>
      </w:r>
      <w:r w:rsidR="00B468B4">
        <w:t xml:space="preserve"> Cetuximab is also PBS listed for the treatment of metastatic colorectal cancer.</w:t>
      </w:r>
    </w:p>
    <w:p w:rsidR="00D31920" w:rsidRPr="001C30DB" w:rsidRDefault="00D31920" w:rsidP="002E2883">
      <w:pPr>
        <w:pStyle w:val="Heading2"/>
      </w:pPr>
      <w:r w:rsidRPr="001C30DB">
        <w:t>Previous PBAC consideration</w:t>
      </w:r>
    </w:p>
    <w:p w:rsidR="00D31920" w:rsidRPr="00D35D44" w:rsidRDefault="00D31920" w:rsidP="00846F9C">
      <w:pPr>
        <w:pStyle w:val="ListParagraph"/>
        <w:widowControl/>
        <w:numPr>
          <w:ilvl w:val="1"/>
          <w:numId w:val="2"/>
        </w:numPr>
        <w:rPr>
          <w:bCs/>
        </w:rPr>
      </w:pPr>
      <w:r w:rsidRPr="00D35D44">
        <w:rPr>
          <w:bCs/>
        </w:rPr>
        <w:t xml:space="preserve">Table 3 summarises the outstanding matters of concern noted by the ESC and the PBAC with respect to the March 2016 submission </w:t>
      </w:r>
      <w:r w:rsidR="00093E2D" w:rsidRPr="00D35D44">
        <w:rPr>
          <w:bCs/>
        </w:rPr>
        <w:t xml:space="preserve">for cetuximab for RM SCCHN </w:t>
      </w:r>
      <w:r w:rsidRPr="00D35D44">
        <w:rPr>
          <w:bCs/>
        </w:rPr>
        <w:t>and how they</w:t>
      </w:r>
      <w:r w:rsidR="00093E2D" w:rsidRPr="00D35D44">
        <w:rPr>
          <w:bCs/>
        </w:rPr>
        <w:t xml:space="preserve"> were </w:t>
      </w:r>
      <w:r w:rsidRPr="00D35D44">
        <w:rPr>
          <w:bCs/>
        </w:rPr>
        <w:t>addressed in the resubmission.</w:t>
      </w:r>
      <w:r w:rsidR="000120B1" w:rsidRPr="00D35D44">
        <w:rPr>
          <w:bCs/>
        </w:rPr>
        <w:t xml:space="preserve"> </w:t>
      </w:r>
    </w:p>
    <w:p w:rsidR="00D31920" w:rsidRPr="00D35D44" w:rsidRDefault="00D31920" w:rsidP="00A7601C">
      <w:pPr>
        <w:keepNext/>
        <w:rPr>
          <w:rStyle w:val="CommentReference"/>
        </w:rPr>
      </w:pPr>
      <w:r w:rsidRPr="00D35D44">
        <w:rPr>
          <w:rStyle w:val="CommentReference"/>
        </w:rPr>
        <w:lastRenderedPageBreak/>
        <w:t>Table 3:</w:t>
      </w:r>
      <w:r w:rsidR="000120B1" w:rsidRPr="00D35D44">
        <w:rPr>
          <w:rStyle w:val="CommentReference"/>
        </w:rPr>
        <w:t xml:space="preserve"> </w:t>
      </w:r>
      <w:r w:rsidRPr="00D35D44">
        <w:rPr>
          <w:rStyle w:val="CommentReference"/>
        </w:rPr>
        <w:t>Summary of outstanding matters of concern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49"/>
        <w:gridCol w:w="4406"/>
        <w:gridCol w:w="3028"/>
      </w:tblGrid>
      <w:tr w:rsidR="001D6E63" w:rsidRPr="00D35D44" w:rsidTr="00263698">
        <w:trPr>
          <w:tblHeader/>
        </w:trPr>
        <w:tc>
          <w:tcPr>
            <w:tcW w:w="1668" w:type="dxa"/>
            <w:vAlign w:val="center"/>
          </w:tcPr>
          <w:p w:rsidR="00D31920" w:rsidRPr="00D35D44" w:rsidRDefault="00D31920" w:rsidP="00A7601C">
            <w:pPr>
              <w:pStyle w:val="Tabletext"/>
              <w:keepNext/>
              <w:rPr>
                <w:b/>
              </w:rPr>
            </w:pPr>
            <w:r w:rsidRPr="00D35D44">
              <w:rPr>
                <w:b/>
              </w:rPr>
              <w:t>Component</w:t>
            </w:r>
          </w:p>
        </w:tc>
        <w:tc>
          <w:tcPr>
            <w:tcW w:w="4493" w:type="dxa"/>
            <w:vAlign w:val="center"/>
          </w:tcPr>
          <w:p w:rsidR="00D31920" w:rsidRPr="00D35D44" w:rsidRDefault="00D31920" w:rsidP="00A7601C">
            <w:pPr>
              <w:pStyle w:val="Tabletext"/>
              <w:keepNext/>
              <w:jc w:val="center"/>
              <w:rPr>
                <w:b/>
              </w:rPr>
            </w:pPr>
            <w:r w:rsidRPr="00D35D44">
              <w:rPr>
                <w:b/>
              </w:rPr>
              <w:t>Matter of concern</w:t>
            </w:r>
          </w:p>
        </w:tc>
        <w:tc>
          <w:tcPr>
            <w:tcW w:w="3081" w:type="dxa"/>
            <w:vAlign w:val="center"/>
          </w:tcPr>
          <w:p w:rsidR="00D31920" w:rsidRPr="00D35D44" w:rsidRDefault="00D31920" w:rsidP="00A7601C">
            <w:pPr>
              <w:pStyle w:val="Tabletext"/>
              <w:keepNext/>
              <w:jc w:val="center"/>
              <w:rPr>
                <w:b/>
              </w:rPr>
            </w:pPr>
            <w:r w:rsidRPr="00D35D44">
              <w:rPr>
                <w:b/>
              </w:rPr>
              <w:t>How the resubmission addresses it</w:t>
            </w:r>
          </w:p>
        </w:tc>
      </w:tr>
      <w:tr w:rsidR="001D6E63" w:rsidRPr="00D35D44" w:rsidTr="00263698">
        <w:tc>
          <w:tcPr>
            <w:tcW w:w="1668" w:type="dxa"/>
            <w:vAlign w:val="center"/>
          </w:tcPr>
          <w:p w:rsidR="00D31920" w:rsidRPr="00D35D44" w:rsidRDefault="00D31920" w:rsidP="00A7601C">
            <w:pPr>
              <w:pStyle w:val="Tabletext"/>
              <w:keepNext/>
              <w:rPr>
                <w:bCs/>
              </w:rPr>
            </w:pPr>
            <w:r w:rsidRPr="00D35D44">
              <w:rPr>
                <w:bCs/>
              </w:rPr>
              <w:t>Requested restriction population</w:t>
            </w:r>
          </w:p>
        </w:tc>
        <w:tc>
          <w:tcPr>
            <w:tcW w:w="4493" w:type="dxa"/>
            <w:vAlign w:val="center"/>
          </w:tcPr>
          <w:p w:rsidR="00D31920" w:rsidRPr="00D35D44" w:rsidRDefault="00D31920" w:rsidP="00A7601C">
            <w:pPr>
              <w:pStyle w:val="Tabletext"/>
              <w:keepNext/>
              <w:jc w:val="both"/>
              <w:rPr>
                <w:bCs/>
              </w:rPr>
            </w:pPr>
            <w:r w:rsidRPr="00D35D44">
              <w:rPr>
                <w:bCs/>
              </w:rPr>
              <w:t>The PBAC considered that the sponsor</w:t>
            </w:r>
            <w:r w:rsidR="00263698" w:rsidRPr="00D35D44">
              <w:rPr>
                <w:bCs/>
              </w:rPr>
              <w:t>’</w:t>
            </w:r>
            <w:r w:rsidRPr="00D35D44">
              <w:rPr>
                <w:bCs/>
              </w:rPr>
              <w:t xml:space="preserve">s request to limit cetuximab use to the subgroup </w:t>
            </w:r>
            <w:r w:rsidR="00263698" w:rsidRPr="00D35D44">
              <w:rPr>
                <w:bCs/>
              </w:rPr>
              <w:t xml:space="preserve">of patients with RM SCCHN of the oral cavity </w:t>
            </w:r>
            <w:r w:rsidRPr="00D35D44">
              <w:rPr>
                <w:bCs/>
              </w:rPr>
              <w:t>was not supported and that ITT analysis of the trial was more informative for determining the clinical benefit of cetuximab. (</w:t>
            </w:r>
            <w:proofErr w:type="gramStart"/>
            <w:r w:rsidR="00747D74" w:rsidRPr="00D35D44">
              <w:rPr>
                <w:bCs/>
              </w:rPr>
              <w:t>cetuximab</w:t>
            </w:r>
            <w:proofErr w:type="gramEnd"/>
            <w:r w:rsidR="00747D74" w:rsidRPr="00D35D44">
              <w:rPr>
                <w:bCs/>
              </w:rPr>
              <w:t xml:space="preserve"> </w:t>
            </w:r>
            <w:r w:rsidRPr="00D35D44">
              <w:rPr>
                <w:bCs/>
              </w:rPr>
              <w:t>March 2016 PSD 7.4).</w:t>
            </w:r>
            <w:r w:rsidR="000120B1" w:rsidRPr="00D35D44">
              <w:rPr>
                <w:bCs/>
              </w:rPr>
              <w:t xml:space="preserve"> </w:t>
            </w:r>
            <w:r w:rsidR="00263698" w:rsidRPr="00D35D44">
              <w:rPr>
                <w:bCs/>
              </w:rPr>
              <w:t>The PB</w:t>
            </w:r>
            <w:r w:rsidR="001C30DB">
              <w:rPr>
                <w:bCs/>
              </w:rPr>
              <w:t>AC</w:t>
            </w:r>
            <w:r w:rsidR="00263698" w:rsidRPr="00D35D44">
              <w:rPr>
                <w:bCs/>
              </w:rPr>
              <w:t xml:space="preserve"> also considered there to be a high risk of </w:t>
            </w:r>
            <w:r w:rsidRPr="00D35D44">
              <w:rPr>
                <w:bCs/>
              </w:rPr>
              <w:t>leakage from the oral cavity only population</w:t>
            </w:r>
            <w:r w:rsidR="00263698" w:rsidRPr="00D35D44">
              <w:rPr>
                <w:bCs/>
              </w:rPr>
              <w:t xml:space="preserve"> </w:t>
            </w:r>
            <w:r w:rsidRPr="00D35D44">
              <w:rPr>
                <w:bCs/>
              </w:rPr>
              <w:t>(</w:t>
            </w:r>
            <w:r w:rsidR="00747D74" w:rsidRPr="00D35D44">
              <w:rPr>
                <w:bCs/>
              </w:rPr>
              <w:t xml:space="preserve">cetuximab </w:t>
            </w:r>
            <w:r w:rsidRPr="00D35D44">
              <w:rPr>
                <w:bCs/>
              </w:rPr>
              <w:t>March 2016 PSD 7.2)</w:t>
            </w:r>
            <w:r w:rsidR="00263698" w:rsidRPr="00D35D44">
              <w:rPr>
                <w:bCs/>
              </w:rPr>
              <w:t>.</w:t>
            </w:r>
          </w:p>
        </w:tc>
        <w:tc>
          <w:tcPr>
            <w:tcW w:w="3081" w:type="dxa"/>
            <w:vAlign w:val="center"/>
          </w:tcPr>
          <w:p w:rsidR="00D31920" w:rsidRPr="00D35D44" w:rsidRDefault="00ED6D5D" w:rsidP="00A7601C">
            <w:pPr>
              <w:pStyle w:val="Tabletext"/>
              <w:keepNext/>
              <w:jc w:val="both"/>
              <w:rPr>
                <w:bCs/>
              </w:rPr>
            </w:pPr>
            <w:r w:rsidRPr="00D35D44">
              <w:rPr>
                <w:bCs/>
              </w:rPr>
              <w:t xml:space="preserve">The population in the requested </w:t>
            </w:r>
            <w:r w:rsidR="00D31920" w:rsidRPr="00D35D44">
              <w:rPr>
                <w:bCs/>
              </w:rPr>
              <w:t xml:space="preserve">restriction changed from oral cavity only </w:t>
            </w:r>
            <w:r w:rsidR="00263698" w:rsidRPr="00D35D44">
              <w:rPr>
                <w:bCs/>
              </w:rPr>
              <w:t xml:space="preserve">subpopulation </w:t>
            </w:r>
            <w:r w:rsidR="00D31920" w:rsidRPr="00D35D44">
              <w:rPr>
                <w:bCs/>
              </w:rPr>
              <w:t>to all patients with RM SCCHN</w:t>
            </w:r>
            <w:r w:rsidR="00263698" w:rsidRPr="00D35D44">
              <w:rPr>
                <w:bCs/>
              </w:rPr>
              <w:t>.</w:t>
            </w:r>
          </w:p>
        </w:tc>
      </w:tr>
      <w:tr w:rsidR="001D6E63" w:rsidRPr="00D35D44" w:rsidTr="00263698">
        <w:tc>
          <w:tcPr>
            <w:tcW w:w="1668" w:type="dxa"/>
            <w:vAlign w:val="center"/>
          </w:tcPr>
          <w:p w:rsidR="00D31920" w:rsidRPr="00D35D44" w:rsidRDefault="00D31920" w:rsidP="00A7601C">
            <w:pPr>
              <w:pStyle w:val="Tabletext"/>
              <w:keepNext/>
              <w:rPr>
                <w:bCs/>
              </w:rPr>
            </w:pPr>
            <w:r w:rsidRPr="00D35D44">
              <w:rPr>
                <w:bCs/>
              </w:rPr>
              <w:t>Previous treatment</w:t>
            </w:r>
          </w:p>
        </w:tc>
        <w:tc>
          <w:tcPr>
            <w:tcW w:w="4493" w:type="dxa"/>
            <w:vAlign w:val="center"/>
          </w:tcPr>
          <w:p w:rsidR="00D31920" w:rsidRPr="00D35D44" w:rsidRDefault="00D31920" w:rsidP="00A7601C">
            <w:pPr>
              <w:pStyle w:val="Tabletext"/>
              <w:keepNext/>
              <w:jc w:val="both"/>
              <w:rPr>
                <w:bCs/>
              </w:rPr>
            </w:pPr>
            <w:r w:rsidRPr="00D35D44">
              <w:rPr>
                <w:bCs/>
              </w:rPr>
              <w:t>The ESC noted that eligible patients may have received prior cetuximab.</w:t>
            </w:r>
            <w:r w:rsidR="000120B1" w:rsidRPr="00D35D44">
              <w:rPr>
                <w:bCs/>
              </w:rPr>
              <w:t xml:space="preserve"> </w:t>
            </w:r>
            <w:r w:rsidRPr="00D35D44">
              <w:rPr>
                <w:bCs/>
              </w:rPr>
              <w:t>The effect of prior cetuximab use was unknown.</w:t>
            </w:r>
            <w:r w:rsidR="000120B1" w:rsidRPr="00D35D44">
              <w:rPr>
                <w:bCs/>
              </w:rPr>
              <w:t xml:space="preserve"> </w:t>
            </w:r>
            <w:r w:rsidRPr="00D35D44">
              <w:rPr>
                <w:bCs/>
              </w:rPr>
              <w:t>The requested PBS-listing limited use of cetuximab in previously untreated patients, but the TGA-approved indication did no</w:t>
            </w:r>
            <w:r w:rsidR="00263698" w:rsidRPr="00D35D44">
              <w:rPr>
                <w:bCs/>
              </w:rPr>
              <w:t xml:space="preserve">t limit use to this population </w:t>
            </w:r>
            <w:r w:rsidRPr="00D35D44">
              <w:rPr>
                <w:bCs/>
              </w:rPr>
              <w:t>(</w:t>
            </w:r>
            <w:r w:rsidR="00ED6D5D" w:rsidRPr="00D35D44">
              <w:rPr>
                <w:bCs/>
              </w:rPr>
              <w:t>c</w:t>
            </w:r>
            <w:r w:rsidRPr="00D35D44">
              <w:rPr>
                <w:bCs/>
              </w:rPr>
              <w:t>etuximab March</w:t>
            </w:r>
            <w:r w:rsidR="000120B1" w:rsidRPr="00D35D44">
              <w:rPr>
                <w:bCs/>
              </w:rPr>
              <w:t xml:space="preserve"> 2016</w:t>
            </w:r>
            <w:r w:rsidRPr="00D35D44">
              <w:rPr>
                <w:bCs/>
              </w:rPr>
              <w:t xml:space="preserve"> </w:t>
            </w:r>
            <w:r w:rsidR="00ED6D5D" w:rsidRPr="00D35D44">
              <w:rPr>
                <w:bCs/>
              </w:rPr>
              <w:t>PSD 3.2</w:t>
            </w:r>
            <w:r w:rsidRPr="00D35D44">
              <w:rPr>
                <w:bCs/>
              </w:rPr>
              <w:t>)</w:t>
            </w:r>
            <w:r w:rsidR="00263698" w:rsidRPr="00D35D44">
              <w:rPr>
                <w:bCs/>
              </w:rPr>
              <w:t>.</w:t>
            </w:r>
          </w:p>
        </w:tc>
        <w:tc>
          <w:tcPr>
            <w:tcW w:w="3081" w:type="dxa"/>
            <w:vAlign w:val="center"/>
          </w:tcPr>
          <w:p w:rsidR="00D31920" w:rsidRPr="00D35D44" w:rsidRDefault="00D31920" w:rsidP="00A7601C">
            <w:pPr>
              <w:pStyle w:val="Tabletext"/>
              <w:keepNext/>
              <w:jc w:val="both"/>
              <w:rPr>
                <w:bCs/>
              </w:rPr>
            </w:pPr>
            <w:r w:rsidRPr="00D35D44">
              <w:rPr>
                <w:bCs/>
              </w:rPr>
              <w:t>The sponsor previously proposed to remove the clinical criterion of “previously untreated” to provide consistency with the TGA-approved indication</w:t>
            </w:r>
            <w:r w:rsidR="001D6E63" w:rsidRPr="00D35D44">
              <w:rPr>
                <w:bCs/>
              </w:rPr>
              <w:t xml:space="preserve"> (</w:t>
            </w:r>
            <w:r w:rsidR="00ED6D5D" w:rsidRPr="00D35D44">
              <w:rPr>
                <w:bCs/>
              </w:rPr>
              <w:t xml:space="preserve">cetuximab </w:t>
            </w:r>
            <w:r w:rsidR="000D0BC3" w:rsidRPr="00D35D44">
              <w:rPr>
                <w:bCs/>
              </w:rPr>
              <w:t xml:space="preserve">March 2016 </w:t>
            </w:r>
            <w:r w:rsidR="00ED6D5D" w:rsidRPr="00D35D44">
              <w:rPr>
                <w:bCs/>
              </w:rPr>
              <w:t>PSD 2.1</w:t>
            </w:r>
            <w:r w:rsidR="001D6E63" w:rsidRPr="00D35D44">
              <w:rPr>
                <w:bCs/>
              </w:rPr>
              <w:t>)</w:t>
            </w:r>
            <w:r w:rsidRPr="00D35D44">
              <w:rPr>
                <w:bCs/>
              </w:rPr>
              <w:t>.</w:t>
            </w:r>
            <w:r w:rsidR="000120B1" w:rsidRPr="00D35D44">
              <w:rPr>
                <w:bCs/>
              </w:rPr>
              <w:t xml:space="preserve"> </w:t>
            </w:r>
            <w:r w:rsidRPr="00D35D44">
              <w:rPr>
                <w:bCs/>
              </w:rPr>
              <w:t>However th</w:t>
            </w:r>
            <w:r w:rsidR="00263698" w:rsidRPr="00D35D44">
              <w:rPr>
                <w:bCs/>
              </w:rPr>
              <w:t>is clinical criterion remained</w:t>
            </w:r>
            <w:r w:rsidRPr="00D35D44">
              <w:rPr>
                <w:bCs/>
              </w:rPr>
              <w:t xml:space="preserve"> in the resubmission.</w:t>
            </w:r>
          </w:p>
        </w:tc>
      </w:tr>
      <w:tr w:rsidR="001D6E63" w:rsidRPr="00D35D44" w:rsidTr="00263698">
        <w:tc>
          <w:tcPr>
            <w:tcW w:w="1668" w:type="dxa"/>
            <w:vAlign w:val="center"/>
          </w:tcPr>
          <w:p w:rsidR="00D31920" w:rsidRPr="00D35D44" w:rsidRDefault="00D31920" w:rsidP="00A7601C">
            <w:pPr>
              <w:pStyle w:val="Tabletext"/>
              <w:keepNext/>
              <w:rPr>
                <w:bCs/>
              </w:rPr>
            </w:pPr>
            <w:r w:rsidRPr="00D35D44">
              <w:rPr>
                <w:bCs/>
              </w:rPr>
              <w:t>Magnitude of benefit</w:t>
            </w:r>
          </w:p>
        </w:tc>
        <w:tc>
          <w:tcPr>
            <w:tcW w:w="4493" w:type="dxa"/>
            <w:vAlign w:val="center"/>
          </w:tcPr>
          <w:p w:rsidR="00D31920" w:rsidRPr="00D35D44" w:rsidRDefault="00D31920" w:rsidP="00A7601C">
            <w:pPr>
              <w:pStyle w:val="Tabletext"/>
              <w:keepNext/>
              <w:jc w:val="both"/>
              <w:rPr>
                <w:bCs/>
              </w:rPr>
            </w:pPr>
            <w:r w:rsidRPr="00D35D44">
              <w:rPr>
                <w:bCs/>
              </w:rPr>
              <w:t>The PBAC considered that the claim of superior comparative effectiveness was reasonable for the overall ITT population with respect to overall survival, progression-free survival and response rates, although the magnitude of the benefit (such as a median survival of 2.7 months) was small (</w:t>
            </w:r>
            <w:r w:rsidR="00747D74" w:rsidRPr="00D35D44">
              <w:rPr>
                <w:bCs/>
              </w:rPr>
              <w:t xml:space="preserve">cetuximab </w:t>
            </w:r>
            <w:r w:rsidRPr="00D35D44">
              <w:rPr>
                <w:bCs/>
              </w:rPr>
              <w:t>March 2016 PSD 7.5)</w:t>
            </w:r>
            <w:r w:rsidR="00263698" w:rsidRPr="00D35D44">
              <w:rPr>
                <w:bCs/>
              </w:rPr>
              <w:t>.</w:t>
            </w:r>
          </w:p>
        </w:tc>
        <w:tc>
          <w:tcPr>
            <w:tcW w:w="3081" w:type="dxa"/>
            <w:vAlign w:val="center"/>
          </w:tcPr>
          <w:p w:rsidR="00D31920" w:rsidRPr="00D35D44" w:rsidRDefault="00D31920" w:rsidP="00A7601C">
            <w:pPr>
              <w:pStyle w:val="Tabletext"/>
              <w:keepNext/>
              <w:jc w:val="both"/>
              <w:rPr>
                <w:bCs/>
              </w:rPr>
            </w:pPr>
            <w:r w:rsidRPr="00D35D44">
              <w:rPr>
                <w:bCs/>
              </w:rPr>
              <w:t>Unchanged.</w:t>
            </w:r>
            <w:r w:rsidR="000120B1" w:rsidRPr="00D35D44">
              <w:rPr>
                <w:bCs/>
              </w:rPr>
              <w:t xml:space="preserve"> </w:t>
            </w:r>
            <w:r w:rsidR="00ED6D5D" w:rsidRPr="00D35D44">
              <w:rPr>
                <w:bCs/>
              </w:rPr>
              <w:t xml:space="preserve">The resubmission </w:t>
            </w:r>
            <w:r w:rsidRPr="00D35D44">
              <w:rPr>
                <w:bCs/>
              </w:rPr>
              <w:t>did not provide new clinical evidence</w:t>
            </w:r>
            <w:r w:rsidR="00263698" w:rsidRPr="00D35D44">
              <w:rPr>
                <w:bCs/>
              </w:rPr>
              <w:t xml:space="preserve"> for cetuximab</w:t>
            </w:r>
            <w:r w:rsidRPr="00D35D44">
              <w:rPr>
                <w:bCs/>
              </w:rPr>
              <w:t xml:space="preserve">. </w:t>
            </w:r>
          </w:p>
        </w:tc>
      </w:tr>
      <w:tr w:rsidR="001D6E63" w:rsidRPr="00D35D44" w:rsidTr="00263698">
        <w:tc>
          <w:tcPr>
            <w:tcW w:w="1668" w:type="dxa"/>
            <w:vAlign w:val="center"/>
          </w:tcPr>
          <w:p w:rsidR="00D31920" w:rsidRPr="00D35D44" w:rsidRDefault="00D31920" w:rsidP="00A7601C">
            <w:pPr>
              <w:pStyle w:val="Tabletext"/>
              <w:keepNext/>
              <w:rPr>
                <w:bCs/>
              </w:rPr>
            </w:pPr>
            <w:r w:rsidRPr="00D35D44">
              <w:rPr>
                <w:bCs/>
              </w:rPr>
              <w:t>Safety claim</w:t>
            </w:r>
          </w:p>
        </w:tc>
        <w:tc>
          <w:tcPr>
            <w:tcW w:w="4493" w:type="dxa"/>
            <w:vAlign w:val="center"/>
          </w:tcPr>
          <w:p w:rsidR="00D31920" w:rsidRPr="00D35D44" w:rsidRDefault="00D31920" w:rsidP="00A7601C">
            <w:pPr>
              <w:pStyle w:val="Tabletext"/>
              <w:keepNext/>
              <w:jc w:val="both"/>
              <w:rPr>
                <w:bCs/>
              </w:rPr>
            </w:pPr>
            <w:r w:rsidRPr="00D35D44">
              <w:rPr>
                <w:bCs/>
              </w:rPr>
              <w:t xml:space="preserve">The </w:t>
            </w:r>
            <w:r w:rsidR="0010624E" w:rsidRPr="00D35D44">
              <w:rPr>
                <w:bCs/>
              </w:rPr>
              <w:t xml:space="preserve">previous </w:t>
            </w:r>
            <w:r w:rsidRPr="00D35D44">
              <w:rPr>
                <w:bCs/>
              </w:rPr>
              <w:t>submission made no comparative safety claim</w:t>
            </w:r>
            <w:r w:rsidR="00263698" w:rsidRPr="00D35D44">
              <w:rPr>
                <w:bCs/>
              </w:rPr>
              <w:t>s</w:t>
            </w:r>
            <w:r w:rsidRPr="00D35D44">
              <w:rPr>
                <w:bCs/>
              </w:rPr>
              <w:t>.</w:t>
            </w:r>
            <w:r w:rsidR="000120B1" w:rsidRPr="00D35D44">
              <w:rPr>
                <w:bCs/>
              </w:rPr>
              <w:t xml:space="preserve"> </w:t>
            </w:r>
            <w:r w:rsidRPr="00D35D44">
              <w:rPr>
                <w:bCs/>
              </w:rPr>
              <w:t>The P</w:t>
            </w:r>
            <w:r w:rsidR="00263698" w:rsidRPr="00D35D44">
              <w:rPr>
                <w:bCs/>
              </w:rPr>
              <w:t>BAC considered cetuximab + CT to be</w:t>
            </w:r>
            <w:r w:rsidRPr="00D35D44">
              <w:rPr>
                <w:bCs/>
              </w:rPr>
              <w:t xml:space="preserve"> inferior in safety to CT only </w:t>
            </w:r>
            <w:r w:rsidR="00263698" w:rsidRPr="00D35D44">
              <w:rPr>
                <w:bCs/>
              </w:rPr>
              <w:t xml:space="preserve">treatment </w:t>
            </w:r>
            <w:r w:rsidRPr="00D35D44">
              <w:rPr>
                <w:bCs/>
              </w:rPr>
              <w:t>(</w:t>
            </w:r>
            <w:r w:rsidR="00747D74" w:rsidRPr="00D35D44">
              <w:rPr>
                <w:bCs/>
              </w:rPr>
              <w:t xml:space="preserve">cetuximab </w:t>
            </w:r>
            <w:r w:rsidRPr="00D35D44">
              <w:rPr>
                <w:bCs/>
              </w:rPr>
              <w:t>March 2016 PSD 7.6)</w:t>
            </w:r>
            <w:r w:rsidR="00263698" w:rsidRPr="00D35D44">
              <w:rPr>
                <w:bCs/>
              </w:rPr>
              <w:t>.</w:t>
            </w:r>
          </w:p>
        </w:tc>
        <w:tc>
          <w:tcPr>
            <w:tcW w:w="3081" w:type="dxa"/>
            <w:vAlign w:val="center"/>
          </w:tcPr>
          <w:p w:rsidR="00D31920" w:rsidRPr="00D35D44" w:rsidRDefault="00ED6D5D" w:rsidP="00A7601C">
            <w:pPr>
              <w:pStyle w:val="Tabletext"/>
              <w:keepNext/>
              <w:jc w:val="both"/>
              <w:rPr>
                <w:bCs/>
              </w:rPr>
            </w:pPr>
            <w:r w:rsidRPr="00D35D44">
              <w:rPr>
                <w:bCs/>
              </w:rPr>
              <w:t>The r</w:t>
            </w:r>
            <w:r w:rsidR="00263698" w:rsidRPr="00D35D44">
              <w:rPr>
                <w:bCs/>
              </w:rPr>
              <w:t xml:space="preserve">esubmission </w:t>
            </w:r>
            <w:r w:rsidR="00D31920" w:rsidRPr="00D35D44">
              <w:rPr>
                <w:bCs/>
              </w:rPr>
              <w:t>claim</w:t>
            </w:r>
            <w:r w:rsidR="00263698" w:rsidRPr="00D35D44">
              <w:rPr>
                <w:bCs/>
              </w:rPr>
              <w:t>ed</w:t>
            </w:r>
            <w:r w:rsidR="00D31920" w:rsidRPr="00D35D44">
              <w:rPr>
                <w:bCs/>
              </w:rPr>
              <w:t xml:space="preserve"> that cetuximab + CT is inferior in safety </w:t>
            </w:r>
            <w:r w:rsidR="00263698" w:rsidRPr="00D35D44">
              <w:rPr>
                <w:bCs/>
              </w:rPr>
              <w:t xml:space="preserve">compared to CT only </w:t>
            </w:r>
            <w:r w:rsidR="00D31920" w:rsidRPr="00D35D44">
              <w:rPr>
                <w:bCs/>
              </w:rPr>
              <w:t xml:space="preserve">with a manageable side effect profile. </w:t>
            </w:r>
          </w:p>
        </w:tc>
      </w:tr>
      <w:tr w:rsidR="001D6E63" w:rsidRPr="00D35D44" w:rsidTr="00263698">
        <w:tc>
          <w:tcPr>
            <w:tcW w:w="1668" w:type="dxa"/>
            <w:vAlign w:val="center"/>
          </w:tcPr>
          <w:p w:rsidR="00D31920" w:rsidRPr="00D35D44" w:rsidRDefault="00D31920" w:rsidP="00A7601C">
            <w:pPr>
              <w:pStyle w:val="Tabletext"/>
              <w:keepNext/>
              <w:rPr>
                <w:bCs/>
              </w:rPr>
            </w:pPr>
            <w:r w:rsidRPr="00D35D44">
              <w:rPr>
                <w:bCs/>
              </w:rPr>
              <w:t>Anti</w:t>
            </w:r>
            <w:r w:rsidR="00C16925" w:rsidRPr="00D35D44">
              <w:rPr>
                <w:bCs/>
              </w:rPr>
              <w:t>-</w:t>
            </w:r>
            <w:r w:rsidRPr="00D35D44">
              <w:rPr>
                <w:bCs/>
              </w:rPr>
              <w:t>EGFR antibody Class effect</w:t>
            </w:r>
          </w:p>
        </w:tc>
        <w:tc>
          <w:tcPr>
            <w:tcW w:w="4493" w:type="dxa"/>
            <w:vAlign w:val="center"/>
          </w:tcPr>
          <w:p w:rsidR="00D31920" w:rsidRPr="00D35D44" w:rsidRDefault="00D31920" w:rsidP="00A7601C">
            <w:pPr>
              <w:pStyle w:val="Tabletext"/>
              <w:keepNext/>
              <w:jc w:val="both"/>
              <w:rPr>
                <w:bCs/>
              </w:rPr>
            </w:pPr>
            <w:r w:rsidRPr="00D35D44">
              <w:rPr>
                <w:bCs/>
              </w:rPr>
              <w:t xml:space="preserve">The PBAC considered it would be helpful if additional evidence corroborating the benefit of anti-EGFR antibodies in the setting of </w:t>
            </w:r>
            <w:r w:rsidR="00263698" w:rsidRPr="00D35D44">
              <w:rPr>
                <w:bCs/>
              </w:rPr>
              <w:t xml:space="preserve">RM SCCHN could be identified </w:t>
            </w:r>
            <w:r w:rsidRPr="00D35D44">
              <w:rPr>
                <w:bCs/>
              </w:rPr>
              <w:t>(</w:t>
            </w:r>
            <w:r w:rsidR="00747D74" w:rsidRPr="00D35D44">
              <w:rPr>
                <w:bCs/>
              </w:rPr>
              <w:t xml:space="preserve">cetuximab </w:t>
            </w:r>
            <w:r w:rsidRPr="00D35D44">
              <w:rPr>
                <w:bCs/>
              </w:rPr>
              <w:t xml:space="preserve">March </w:t>
            </w:r>
            <w:r w:rsidR="00747D74" w:rsidRPr="00D35D44">
              <w:rPr>
                <w:bCs/>
              </w:rPr>
              <w:t xml:space="preserve">2016 </w:t>
            </w:r>
            <w:r w:rsidRPr="00D35D44">
              <w:rPr>
                <w:bCs/>
              </w:rPr>
              <w:t>PSD 7.7)</w:t>
            </w:r>
            <w:r w:rsidR="00263698" w:rsidRPr="00D35D44">
              <w:rPr>
                <w:bCs/>
              </w:rPr>
              <w:t>.</w:t>
            </w:r>
          </w:p>
        </w:tc>
        <w:tc>
          <w:tcPr>
            <w:tcW w:w="3081" w:type="dxa"/>
            <w:vAlign w:val="center"/>
          </w:tcPr>
          <w:p w:rsidR="00D31920" w:rsidRPr="00D35D44" w:rsidRDefault="00D31920" w:rsidP="00A7601C">
            <w:pPr>
              <w:pStyle w:val="Tabletext"/>
              <w:keepNext/>
              <w:jc w:val="both"/>
              <w:rPr>
                <w:bCs/>
              </w:rPr>
            </w:pPr>
            <w:r w:rsidRPr="00D35D44">
              <w:rPr>
                <w:bCs/>
              </w:rPr>
              <w:t>A literature s</w:t>
            </w:r>
            <w:r w:rsidR="00C16925" w:rsidRPr="00D35D44">
              <w:rPr>
                <w:bCs/>
              </w:rPr>
              <w:t>earch and meta-analysis of anti-</w:t>
            </w:r>
            <w:r w:rsidRPr="00D35D44">
              <w:rPr>
                <w:bCs/>
              </w:rPr>
              <w:t xml:space="preserve">EGFR antibodies in </w:t>
            </w:r>
            <w:r w:rsidR="00263698" w:rsidRPr="00D35D44">
              <w:rPr>
                <w:bCs/>
              </w:rPr>
              <w:t xml:space="preserve">first line </w:t>
            </w:r>
            <w:r w:rsidRPr="00D35D44">
              <w:rPr>
                <w:bCs/>
              </w:rPr>
              <w:t xml:space="preserve">RM SCCHN </w:t>
            </w:r>
            <w:r w:rsidR="00263698" w:rsidRPr="00D35D44">
              <w:rPr>
                <w:bCs/>
              </w:rPr>
              <w:t>was presented.</w:t>
            </w:r>
            <w:r w:rsidR="000120B1" w:rsidRPr="00D35D44">
              <w:rPr>
                <w:bCs/>
              </w:rPr>
              <w:t xml:space="preserve"> </w:t>
            </w:r>
            <w:r w:rsidR="00263698" w:rsidRPr="00D35D44">
              <w:rPr>
                <w:bCs/>
              </w:rPr>
              <w:t>Only trials for panitumumab were identified in addition to EXTREME for cetuximab.</w:t>
            </w:r>
          </w:p>
        </w:tc>
      </w:tr>
      <w:tr w:rsidR="001D6E63" w:rsidRPr="00D35D44" w:rsidTr="00263698">
        <w:tc>
          <w:tcPr>
            <w:tcW w:w="1668" w:type="dxa"/>
            <w:vAlign w:val="center"/>
          </w:tcPr>
          <w:p w:rsidR="00D31920" w:rsidRPr="00D35D44" w:rsidRDefault="00D31920" w:rsidP="00A7601C">
            <w:pPr>
              <w:pStyle w:val="Tabletext"/>
              <w:keepNext/>
              <w:rPr>
                <w:bCs/>
              </w:rPr>
            </w:pPr>
            <w:r w:rsidRPr="00D35D44">
              <w:rPr>
                <w:bCs/>
              </w:rPr>
              <w:t>Model uncertainties</w:t>
            </w:r>
          </w:p>
        </w:tc>
        <w:tc>
          <w:tcPr>
            <w:tcW w:w="4493" w:type="dxa"/>
            <w:vAlign w:val="center"/>
          </w:tcPr>
          <w:p w:rsidR="00D31920" w:rsidRPr="00D35D44" w:rsidRDefault="001D6E63" w:rsidP="00A7601C">
            <w:pPr>
              <w:pStyle w:val="Tabletext"/>
              <w:keepNext/>
              <w:jc w:val="both"/>
              <w:rPr>
                <w:bCs/>
              </w:rPr>
            </w:pPr>
            <w:r w:rsidRPr="00D35D44">
              <w:rPr>
                <w:bCs/>
              </w:rPr>
              <w:t xml:space="preserve">In addition </w:t>
            </w:r>
            <w:r w:rsidR="001158A5" w:rsidRPr="00D35D44">
              <w:rPr>
                <w:bCs/>
              </w:rPr>
              <w:t xml:space="preserve">to </w:t>
            </w:r>
            <w:r w:rsidRPr="00D35D44">
              <w:rPr>
                <w:bCs/>
              </w:rPr>
              <w:t>uncertain clinical input which affected the economic uncertainty</w:t>
            </w:r>
            <w:r w:rsidR="00D31920" w:rsidRPr="00D35D44">
              <w:rPr>
                <w:bCs/>
              </w:rPr>
              <w:t>, the PBAC also noted a number of other uncertainties in the model which favoured cetuximab including the choice of extrapolation method, the subgroup extrapolation in the context of limited data, the source of the utility values, an optimistic time horizon and drug administration costs.</w:t>
            </w:r>
            <w:r w:rsidR="00747D74" w:rsidRPr="00D35D44">
              <w:rPr>
                <w:bCs/>
              </w:rPr>
              <w:t>(cetuximab March 2016 PSD 7.8)</w:t>
            </w:r>
          </w:p>
        </w:tc>
        <w:tc>
          <w:tcPr>
            <w:tcW w:w="3081" w:type="dxa"/>
            <w:vAlign w:val="center"/>
          </w:tcPr>
          <w:p w:rsidR="00D31920" w:rsidRPr="00D35D44" w:rsidRDefault="00D31920" w:rsidP="00A7601C">
            <w:pPr>
              <w:pStyle w:val="Tabletext"/>
              <w:keepNext/>
              <w:jc w:val="both"/>
              <w:rPr>
                <w:bCs/>
              </w:rPr>
            </w:pPr>
            <w:r w:rsidRPr="00D35D44">
              <w:rPr>
                <w:bCs/>
              </w:rPr>
              <w:t xml:space="preserve">Extrapolation and time horizon </w:t>
            </w:r>
            <w:r w:rsidR="001D6E63" w:rsidRPr="00D35D44">
              <w:rPr>
                <w:bCs/>
              </w:rPr>
              <w:t>remain</w:t>
            </w:r>
            <w:r w:rsidR="009E7542" w:rsidRPr="00D35D44">
              <w:rPr>
                <w:bCs/>
              </w:rPr>
              <w:t>ed</w:t>
            </w:r>
            <w:r w:rsidR="001D6E63" w:rsidRPr="00D35D44">
              <w:rPr>
                <w:bCs/>
              </w:rPr>
              <w:t xml:space="preserve"> </w:t>
            </w:r>
            <w:r w:rsidRPr="00D35D44">
              <w:rPr>
                <w:bCs/>
              </w:rPr>
              <w:t>unchanged</w:t>
            </w:r>
            <w:r w:rsidR="001D6E63" w:rsidRPr="00D35D44">
              <w:rPr>
                <w:bCs/>
              </w:rPr>
              <w:t xml:space="preserve"> in the resubmission (</w:t>
            </w:r>
            <w:r w:rsidR="007B5578">
              <w:rPr>
                <w:bCs/>
              </w:rPr>
              <w:t>s</w:t>
            </w:r>
            <w:r w:rsidR="001D6E63" w:rsidRPr="00D35D44">
              <w:rPr>
                <w:bCs/>
              </w:rPr>
              <w:t xml:space="preserve">ee </w:t>
            </w:r>
            <w:r w:rsidR="007B5578">
              <w:rPr>
                <w:bCs/>
              </w:rPr>
              <w:t>e</w:t>
            </w:r>
            <w:r w:rsidR="001D6E63" w:rsidRPr="00D35D44">
              <w:rPr>
                <w:bCs/>
              </w:rPr>
              <w:t>conomic analysis)</w:t>
            </w:r>
            <w:r w:rsidRPr="00D35D44">
              <w:rPr>
                <w:bCs/>
              </w:rPr>
              <w:t>.</w:t>
            </w:r>
            <w:r w:rsidR="000120B1" w:rsidRPr="00D35D44">
              <w:rPr>
                <w:bCs/>
              </w:rPr>
              <w:t xml:space="preserve"> </w:t>
            </w:r>
            <w:r w:rsidR="009E7542" w:rsidRPr="00D35D44">
              <w:rPr>
                <w:bCs/>
              </w:rPr>
              <w:t xml:space="preserve">However, the utility </w:t>
            </w:r>
            <w:r w:rsidRPr="00D35D44">
              <w:rPr>
                <w:bCs/>
              </w:rPr>
              <w:t>source</w:t>
            </w:r>
            <w:r w:rsidR="001D6E63" w:rsidRPr="00D35D44">
              <w:rPr>
                <w:bCs/>
              </w:rPr>
              <w:t xml:space="preserve"> was</w:t>
            </w:r>
            <w:r w:rsidRPr="00D35D44">
              <w:rPr>
                <w:bCs/>
              </w:rPr>
              <w:t xml:space="preserve"> changed to </w:t>
            </w:r>
            <w:proofErr w:type="spellStart"/>
            <w:r w:rsidRPr="00D35D44">
              <w:rPr>
                <w:bCs/>
              </w:rPr>
              <w:t>Greenhalgh</w:t>
            </w:r>
            <w:proofErr w:type="spellEnd"/>
            <w:r w:rsidRPr="00D35D44">
              <w:rPr>
                <w:bCs/>
              </w:rPr>
              <w:t xml:space="preserve"> </w:t>
            </w:r>
            <w:r w:rsidR="00DD51BE" w:rsidRPr="00D35D44">
              <w:rPr>
                <w:bCs/>
              </w:rPr>
              <w:t xml:space="preserve">et al </w:t>
            </w:r>
            <w:r w:rsidRPr="00D35D44">
              <w:rPr>
                <w:bCs/>
              </w:rPr>
              <w:t>2008.</w:t>
            </w:r>
            <w:r w:rsidR="000120B1" w:rsidRPr="00D35D44">
              <w:rPr>
                <w:bCs/>
              </w:rPr>
              <w:t xml:space="preserve"> </w:t>
            </w:r>
            <w:r w:rsidR="001D6E63" w:rsidRPr="00D35D44">
              <w:rPr>
                <w:bCs/>
              </w:rPr>
              <w:t xml:space="preserve">Drug </w:t>
            </w:r>
            <w:r w:rsidRPr="00D35D44">
              <w:rPr>
                <w:bCs/>
              </w:rPr>
              <w:t xml:space="preserve">administration costs </w:t>
            </w:r>
            <w:r w:rsidR="001D6E63" w:rsidRPr="00D35D44">
              <w:rPr>
                <w:bCs/>
              </w:rPr>
              <w:t>were</w:t>
            </w:r>
            <w:r w:rsidRPr="00D35D44">
              <w:rPr>
                <w:bCs/>
              </w:rPr>
              <w:t xml:space="preserve"> further reduced and </w:t>
            </w:r>
            <w:r w:rsidR="00461238" w:rsidRPr="00D35D44">
              <w:rPr>
                <w:bCs/>
              </w:rPr>
              <w:t>were</w:t>
            </w:r>
            <w:r w:rsidR="001D6E63" w:rsidRPr="00D35D44">
              <w:rPr>
                <w:bCs/>
              </w:rPr>
              <w:t xml:space="preserve"> bias</w:t>
            </w:r>
            <w:r w:rsidR="00461238" w:rsidRPr="00D35D44">
              <w:rPr>
                <w:bCs/>
              </w:rPr>
              <w:t>ed</w:t>
            </w:r>
            <w:r w:rsidR="001D6E63" w:rsidRPr="00D35D44">
              <w:rPr>
                <w:bCs/>
              </w:rPr>
              <w:t xml:space="preserve"> in </w:t>
            </w:r>
            <w:r w:rsidRPr="00D35D44">
              <w:rPr>
                <w:bCs/>
              </w:rPr>
              <w:t xml:space="preserve">favour </w:t>
            </w:r>
            <w:r w:rsidR="001D6E63" w:rsidRPr="00D35D44">
              <w:rPr>
                <w:bCs/>
              </w:rPr>
              <w:t xml:space="preserve">of </w:t>
            </w:r>
            <w:r w:rsidRPr="00D35D44">
              <w:rPr>
                <w:bCs/>
              </w:rPr>
              <w:t xml:space="preserve">cetuximab. </w:t>
            </w:r>
          </w:p>
        </w:tc>
      </w:tr>
    </w:tbl>
    <w:p w:rsidR="00747D74" w:rsidRPr="00D35D44" w:rsidRDefault="00747D74" w:rsidP="00D31920">
      <w:pPr>
        <w:pStyle w:val="TableFooter"/>
        <w:rPr>
          <w:bCs/>
        </w:rPr>
      </w:pPr>
      <w:r w:rsidRPr="00D35D44">
        <w:rPr>
          <w:bCs/>
        </w:rPr>
        <w:t>Abbreviations RM = recurrent or metastatic, SCCHN = squamous cell carcinoma of the head and neck, ITT = intention to treat, PSD = public summary document, CT = chemotherapy, EGFR = epithelial growth factor receptor,</w:t>
      </w:r>
      <w:r w:rsidR="000120B1" w:rsidRPr="00D35D44">
        <w:rPr>
          <w:bCs/>
        </w:rPr>
        <w:t xml:space="preserve"> </w:t>
      </w:r>
    </w:p>
    <w:p w:rsidR="00D31920" w:rsidRPr="00D35D44" w:rsidRDefault="00D31920" w:rsidP="001C30DB">
      <w:pPr>
        <w:pStyle w:val="TableFooter"/>
        <w:spacing w:after="120"/>
        <w:rPr>
          <w:bCs/>
        </w:rPr>
      </w:pPr>
      <w:r w:rsidRPr="00D35D44">
        <w:rPr>
          <w:bCs/>
        </w:rPr>
        <w:t>Source: Cetuximab March 2016 PSD</w:t>
      </w:r>
    </w:p>
    <w:p w:rsidR="00C62E40" w:rsidRPr="00C62E40" w:rsidRDefault="00C62E40" w:rsidP="002E2883">
      <w:pPr>
        <w:pStyle w:val="BodyText"/>
        <w:ind w:left="680" w:firstLine="170"/>
        <w:rPr>
          <w:i/>
        </w:rPr>
      </w:pPr>
      <w:r w:rsidRPr="005C5182">
        <w:rPr>
          <w:i/>
        </w:rPr>
        <w:t>For more detail on PBAC’s view, see section 7 PBAC outcome.</w:t>
      </w:r>
    </w:p>
    <w:p w:rsidR="00D31920" w:rsidRPr="00D35D44" w:rsidRDefault="00D31920" w:rsidP="002E2883">
      <w:pPr>
        <w:pStyle w:val="Heading1"/>
      </w:pPr>
      <w:bookmarkStart w:id="3" w:name="_Toc500767924"/>
      <w:r w:rsidRPr="00D35D44">
        <w:t>Population and disease</w:t>
      </w:r>
      <w:bookmarkEnd w:id="3"/>
    </w:p>
    <w:p w:rsidR="00D31920" w:rsidRPr="00D35D44" w:rsidRDefault="00D31920" w:rsidP="00250FAD">
      <w:pPr>
        <w:pStyle w:val="ListParagraph"/>
        <w:widowControl/>
        <w:numPr>
          <w:ilvl w:val="1"/>
          <w:numId w:val="2"/>
        </w:numPr>
        <w:rPr>
          <w:bCs/>
        </w:rPr>
      </w:pPr>
      <w:r w:rsidRPr="00D35D44">
        <w:rPr>
          <w:bCs/>
        </w:rPr>
        <w:t>SCCHN was defined by the resubmission as cancers of the head and neck which originate from squamous cells found in mucosal lining of the upper aero digestive tract.</w:t>
      </w:r>
      <w:r w:rsidR="000120B1" w:rsidRPr="00D35D44">
        <w:rPr>
          <w:bCs/>
        </w:rPr>
        <w:t xml:space="preserve"> </w:t>
      </w:r>
      <w:r w:rsidRPr="00D35D44">
        <w:rPr>
          <w:bCs/>
        </w:rPr>
        <w:t>Sites for SCCHN include the oral cavity, nasal cavity, paranasal sinuses, pharynx and larynx.</w:t>
      </w:r>
      <w:r w:rsidR="000120B1" w:rsidRPr="00D35D44">
        <w:rPr>
          <w:bCs/>
        </w:rPr>
        <w:t xml:space="preserve"> </w:t>
      </w:r>
      <w:r w:rsidRPr="00D35D44">
        <w:rPr>
          <w:bCs/>
        </w:rPr>
        <w:t>Approximately 50-60% of SCCHN patients present with locally advanced or metastatic disease.</w:t>
      </w:r>
      <w:r w:rsidR="000120B1" w:rsidRPr="00D35D44">
        <w:rPr>
          <w:bCs/>
        </w:rPr>
        <w:t xml:space="preserve"> </w:t>
      </w:r>
      <w:r w:rsidRPr="00D35D44">
        <w:rPr>
          <w:bCs/>
        </w:rPr>
        <w:t>Median overall survival for patients with RM SCCHN treated with CT only had been reported at 6-9 months.</w:t>
      </w:r>
      <w:r w:rsidR="000120B1" w:rsidRPr="00D35D44">
        <w:rPr>
          <w:bCs/>
        </w:rPr>
        <w:t xml:space="preserve"> </w:t>
      </w:r>
    </w:p>
    <w:p w:rsidR="00D31920" w:rsidRDefault="001D6E63" w:rsidP="00846F9C">
      <w:pPr>
        <w:pStyle w:val="ListParagraph"/>
        <w:widowControl/>
        <w:numPr>
          <w:ilvl w:val="1"/>
          <w:numId w:val="2"/>
        </w:numPr>
        <w:rPr>
          <w:bCs/>
        </w:rPr>
      </w:pPr>
      <w:r w:rsidRPr="00D35D44">
        <w:rPr>
          <w:bCs/>
        </w:rPr>
        <w:lastRenderedPageBreak/>
        <w:t>The resubmission proposed</w:t>
      </w:r>
      <w:r w:rsidR="00D31920" w:rsidRPr="00D35D44">
        <w:rPr>
          <w:bCs/>
        </w:rPr>
        <w:t xml:space="preserve"> that cetuximab will be administered alongside platinum based CT in patients in whom systemic therapy for RM SCCHN is appropriate.</w:t>
      </w:r>
    </w:p>
    <w:p w:rsidR="00C62E40" w:rsidRPr="00A90B55" w:rsidRDefault="00C62E40" w:rsidP="002E2883">
      <w:pPr>
        <w:pStyle w:val="BodyText"/>
        <w:ind w:left="709"/>
        <w:rPr>
          <w:i/>
        </w:rPr>
      </w:pPr>
      <w:r w:rsidRPr="00A90B55">
        <w:rPr>
          <w:i/>
        </w:rPr>
        <w:t>For more detail on PBAC’s view, see section 7 PBAC outcome.</w:t>
      </w:r>
    </w:p>
    <w:p w:rsidR="00D31920" w:rsidRPr="00D35D44" w:rsidRDefault="00D31920" w:rsidP="002E2883">
      <w:pPr>
        <w:pStyle w:val="Heading1"/>
      </w:pPr>
      <w:bookmarkStart w:id="4" w:name="_Toc500767925"/>
      <w:r w:rsidRPr="00D35D44">
        <w:t>Comparator</w:t>
      </w:r>
      <w:bookmarkEnd w:id="4"/>
    </w:p>
    <w:p w:rsidR="00D31920" w:rsidRPr="00C62E40" w:rsidRDefault="00D31920" w:rsidP="00250FAD">
      <w:pPr>
        <w:pStyle w:val="ListParagraph"/>
        <w:widowControl/>
        <w:numPr>
          <w:ilvl w:val="1"/>
          <w:numId w:val="2"/>
        </w:numPr>
        <w:rPr>
          <w:bCs/>
        </w:rPr>
      </w:pPr>
      <w:r w:rsidRPr="00D35D44">
        <w:rPr>
          <w:rFonts w:cs="Calibri"/>
          <w:bCs/>
          <w:snapToGrid/>
          <w:szCs w:val="24"/>
          <w:lang w:eastAsia="en-AU"/>
        </w:rPr>
        <w:t>The nominated comparator was platinum CT only.</w:t>
      </w:r>
      <w:r w:rsidR="000120B1" w:rsidRPr="00D35D44">
        <w:rPr>
          <w:rFonts w:cs="Calibri"/>
          <w:bCs/>
          <w:snapToGrid/>
          <w:szCs w:val="24"/>
          <w:lang w:eastAsia="en-AU"/>
        </w:rPr>
        <w:t xml:space="preserve"> </w:t>
      </w:r>
      <w:r w:rsidR="00604941">
        <w:rPr>
          <w:rFonts w:cs="Calibri"/>
          <w:bCs/>
          <w:snapToGrid/>
          <w:szCs w:val="24"/>
          <w:lang w:eastAsia="en-AU"/>
        </w:rPr>
        <w:t>The PBAC</w:t>
      </w:r>
      <w:r w:rsidRPr="00613FE2">
        <w:rPr>
          <w:rFonts w:cs="Calibri"/>
          <w:bCs/>
          <w:snapToGrid/>
          <w:szCs w:val="24"/>
          <w:lang w:eastAsia="en-AU"/>
        </w:rPr>
        <w:t xml:space="preserve"> previously accepted this as the appropriate comparator for RM SCCHN in the oral cav</w:t>
      </w:r>
      <w:r w:rsidR="001D6E63" w:rsidRPr="00613FE2">
        <w:rPr>
          <w:rFonts w:cs="Calibri"/>
          <w:bCs/>
          <w:snapToGrid/>
          <w:szCs w:val="24"/>
          <w:lang w:eastAsia="en-AU"/>
        </w:rPr>
        <w:t>ity subgroup</w:t>
      </w:r>
      <w:r w:rsidR="000D348B" w:rsidRPr="00613FE2">
        <w:rPr>
          <w:rFonts w:cs="Calibri"/>
          <w:bCs/>
          <w:snapToGrid/>
          <w:szCs w:val="24"/>
          <w:lang w:eastAsia="en-AU"/>
        </w:rPr>
        <w:t xml:space="preserve"> and </w:t>
      </w:r>
      <w:r w:rsidR="00604941">
        <w:rPr>
          <w:rFonts w:cs="Calibri"/>
          <w:bCs/>
          <w:snapToGrid/>
          <w:szCs w:val="24"/>
          <w:lang w:eastAsia="en-AU"/>
        </w:rPr>
        <w:t>agreed with ESC that</w:t>
      </w:r>
      <w:r w:rsidR="000D348B" w:rsidRPr="00613FE2">
        <w:rPr>
          <w:rFonts w:cs="Calibri"/>
          <w:bCs/>
          <w:snapToGrid/>
          <w:szCs w:val="24"/>
          <w:lang w:eastAsia="en-AU"/>
        </w:rPr>
        <w:t xml:space="preserve"> t</w:t>
      </w:r>
      <w:r w:rsidRPr="00613FE2">
        <w:rPr>
          <w:rFonts w:cs="Calibri"/>
          <w:bCs/>
          <w:snapToGrid/>
          <w:szCs w:val="24"/>
          <w:lang w:eastAsia="en-AU"/>
        </w:rPr>
        <w:t xml:space="preserve">his </w:t>
      </w:r>
      <w:r w:rsidR="00604941">
        <w:rPr>
          <w:rFonts w:cs="Calibri"/>
          <w:bCs/>
          <w:snapToGrid/>
          <w:szCs w:val="24"/>
          <w:lang w:eastAsia="en-AU"/>
        </w:rPr>
        <w:t>is</w:t>
      </w:r>
      <w:r w:rsidR="001D6E63" w:rsidRPr="00613FE2">
        <w:rPr>
          <w:rFonts w:cs="Calibri"/>
          <w:bCs/>
          <w:snapToGrid/>
          <w:szCs w:val="24"/>
          <w:lang w:eastAsia="en-AU"/>
        </w:rPr>
        <w:t xml:space="preserve"> also </w:t>
      </w:r>
      <w:r w:rsidR="000D348B" w:rsidRPr="00613FE2">
        <w:rPr>
          <w:rFonts w:cs="Calibri"/>
          <w:bCs/>
          <w:snapToGrid/>
          <w:szCs w:val="24"/>
          <w:lang w:eastAsia="en-AU"/>
        </w:rPr>
        <w:t xml:space="preserve">the </w:t>
      </w:r>
      <w:r w:rsidR="001D6E63" w:rsidRPr="00613FE2">
        <w:rPr>
          <w:rFonts w:cs="Calibri"/>
          <w:bCs/>
          <w:snapToGrid/>
          <w:szCs w:val="24"/>
          <w:lang w:eastAsia="en-AU"/>
        </w:rPr>
        <w:t>appropriate comparator for the broader RM SCCHN population.</w:t>
      </w:r>
    </w:p>
    <w:p w:rsidR="00C62E40" w:rsidRPr="00B468B4" w:rsidRDefault="00C62E40" w:rsidP="002E2883">
      <w:pPr>
        <w:pStyle w:val="BodyText"/>
        <w:ind w:left="709"/>
        <w:rPr>
          <w:i/>
        </w:rPr>
      </w:pPr>
      <w:r w:rsidRPr="00B468B4">
        <w:rPr>
          <w:i/>
        </w:rPr>
        <w:t>For more detail on PBAC’s view, see section 7 PBAC outcome.</w:t>
      </w:r>
    </w:p>
    <w:p w:rsidR="00D31920" w:rsidRDefault="00D31920" w:rsidP="002E2883">
      <w:pPr>
        <w:pStyle w:val="Heading1"/>
      </w:pPr>
      <w:bookmarkStart w:id="5" w:name="_Toc500767926"/>
      <w:r w:rsidRPr="00D35D44">
        <w:t>Consideration of the evidence</w:t>
      </w:r>
      <w:bookmarkEnd w:id="5"/>
    </w:p>
    <w:p w:rsidR="00C62E40" w:rsidRPr="002E2883" w:rsidRDefault="00C62E40" w:rsidP="002E2883">
      <w:pPr>
        <w:pStyle w:val="Heading2"/>
      </w:pPr>
      <w:r w:rsidRPr="002E2883">
        <w:t>Sponsor hearing</w:t>
      </w:r>
    </w:p>
    <w:p w:rsidR="00C62E40" w:rsidRPr="00FB5D22" w:rsidRDefault="00C62E40" w:rsidP="00250FAD">
      <w:pPr>
        <w:numPr>
          <w:ilvl w:val="1"/>
          <w:numId w:val="2"/>
        </w:numPr>
        <w:spacing w:after="120"/>
        <w:rPr>
          <w:rFonts w:asciiTheme="minorHAnsi" w:hAnsiTheme="minorHAnsi"/>
          <w:bCs/>
        </w:rPr>
      </w:pPr>
      <w:r w:rsidRPr="00FB5D22">
        <w:rPr>
          <w:rFonts w:asciiTheme="minorHAnsi" w:hAnsiTheme="minorHAnsi"/>
          <w:bCs/>
        </w:rPr>
        <w:t xml:space="preserve">The sponsor requested a hearing for this item. </w:t>
      </w:r>
      <w:r w:rsidR="00FE21CE" w:rsidRPr="00FB5D22">
        <w:rPr>
          <w:rFonts w:asciiTheme="minorHAnsi" w:hAnsiTheme="minorHAnsi"/>
          <w:bCs/>
        </w:rPr>
        <w:t xml:space="preserve">The clinician outlined the </w:t>
      </w:r>
      <w:r w:rsidR="00FB5D22" w:rsidRPr="00FB5D22">
        <w:rPr>
          <w:rFonts w:asciiTheme="minorHAnsi" w:hAnsiTheme="minorHAnsi"/>
          <w:bCs/>
        </w:rPr>
        <w:t xml:space="preserve">impact of the disease on patients’ ability to talk, eat, and breath, giving context to the acceptability of a high level of AEs from treatment to prevent death from local disease. </w:t>
      </w:r>
      <w:r w:rsidRPr="00FB5D22">
        <w:rPr>
          <w:rFonts w:asciiTheme="minorHAnsi" w:hAnsiTheme="minorHAnsi"/>
          <w:bCs/>
        </w:rPr>
        <w:t xml:space="preserve">The clinician </w:t>
      </w:r>
      <w:r w:rsidR="00FB5D22" w:rsidRPr="00FB5D22">
        <w:rPr>
          <w:rFonts w:asciiTheme="minorHAnsi" w:hAnsiTheme="minorHAnsi"/>
          <w:bCs/>
        </w:rPr>
        <w:t xml:space="preserve">also </w:t>
      </w:r>
      <w:r w:rsidRPr="00FB5D22">
        <w:rPr>
          <w:rFonts w:asciiTheme="minorHAnsi" w:hAnsiTheme="minorHAnsi"/>
          <w:bCs/>
        </w:rPr>
        <w:t>discussed the</w:t>
      </w:r>
      <w:r w:rsidR="00FE21CE" w:rsidRPr="00FB5D22">
        <w:rPr>
          <w:rFonts w:asciiTheme="minorHAnsi" w:hAnsiTheme="minorHAnsi"/>
          <w:bCs/>
        </w:rPr>
        <w:t xml:space="preserve"> natural history of the disease</w:t>
      </w:r>
      <w:r w:rsidR="00FB5D22" w:rsidRPr="00FB5D22">
        <w:rPr>
          <w:rFonts w:asciiTheme="minorHAnsi" w:hAnsiTheme="minorHAnsi"/>
          <w:bCs/>
        </w:rPr>
        <w:t>,</w:t>
      </w:r>
      <w:r w:rsidR="004E439C">
        <w:rPr>
          <w:rFonts w:asciiTheme="minorHAnsi" w:hAnsiTheme="minorHAnsi"/>
          <w:bCs/>
        </w:rPr>
        <w:t xml:space="preserve"> noting that </w:t>
      </w:r>
      <w:r w:rsidR="00273A04">
        <w:rPr>
          <w:rFonts w:asciiTheme="minorHAnsi" w:hAnsiTheme="minorHAnsi"/>
          <w:bCs/>
        </w:rPr>
        <w:t xml:space="preserve">SCCHN caused by viral infection tends to have </w:t>
      </w:r>
      <w:r w:rsidR="00F6520E">
        <w:rPr>
          <w:rFonts w:asciiTheme="minorHAnsi" w:hAnsiTheme="minorHAnsi"/>
          <w:bCs/>
        </w:rPr>
        <w:t>a better prognosis</w:t>
      </w:r>
      <w:r w:rsidR="00273A04">
        <w:rPr>
          <w:rFonts w:asciiTheme="minorHAnsi" w:hAnsiTheme="minorHAnsi"/>
          <w:bCs/>
        </w:rPr>
        <w:t xml:space="preserve"> than that caused by tobacco use and alcohol consumption</w:t>
      </w:r>
      <w:r w:rsidR="00F6520E">
        <w:rPr>
          <w:rFonts w:asciiTheme="minorHAnsi" w:hAnsiTheme="minorHAnsi"/>
          <w:bCs/>
        </w:rPr>
        <w:t>,</w:t>
      </w:r>
      <w:r w:rsidR="00273A04">
        <w:rPr>
          <w:rFonts w:asciiTheme="minorHAnsi" w:hAnsiTheme="minorHAnsi"/>
          <w:bCs/>
        </w:rPr>
        <w:t xml:space="preserve"> and that cetuximab is effective in SCCHN from either cause. The clinician also discussed</w:t>
      </w:r>
      <w:r w:rsidR="00FE21CE" w:rsidRPr="00FB5D22">
        <w:rPr>
          <w:rFonts w:asciiTheme="minorHAnsi" w:hAnsiTheme="minorHAnsi"/>
          <w:bCs/>
        </w:rPr>
        <w:t xml:space="preserve"> </w:t>
      </w:r>
      <w:r w:rsidRPr="00FB5D22">
        <w:rPr>
          <w:rFonts w:asciiTheme="minorHAnsi" w:hAnsiTheme="minorHAnsi"/>
          <w:bCs/>
        </w:rPr>
        <w:t xml:space="preserve">how </w:t>
      </w:r>
      <w:r w:rsidR="00FB5D22" w:rsidRPr="00FB5D22">
        <w:rPr>
          <w:rFonts w:asciiTheme="minorHAnsi" w:hAnsiTheme="minorHAnsi"/>
          <w:bCs/>
        </w:rPr>
        <w:t>cetuximab</w:t>
      </w:r>
      <w:r w:rsidRPr="00FB5D22">
        <w:rPr>
          <w:rFonts w:asciiTheme="minorHAnsi" w:hAnsiTheme="minorHAnsi"/>
          <w:bCs/>
        </w:rPr>
        <w:t xml:space="preserve"> would be used in practice and addressed other matters in response to the Committee’s questions.</w:t>
      </w:r>
      <w:r w:rsidR="00FB5D22" w:rsidRPr="00FB5D22">
        <w:rPr>
          <w:rFonts w:asciiTheme="minorHAnsi" w:hAnsiTheme="minorHAnsi"/>
          <w:bCs/>
        </w:rPr>
        <w:t xml:space="preserve"> The clinic</w:t>
      </w:r>
      <w:r w:rsidR="00FB5D22">
        <w:rPr>
          <w:rFonts w:asciiTheme="minorHAnsi" w:hAnsiTheme="minorHAnsi"/>
          <w:bCs/>
        </w:rPr>
        <w:t>i</w:t>
      </w:r>
      <w:r w:rsidR="00FB5D22" w:rsidRPr="00FB5D22">
        <w:rPr>
          <w:rFonts w:asciiTheme="minorHAnsi" w:hAnsiTheme="minorHAnsi"/>
          <w:bCs/>
        </w:rPr>
        <w:t>an noted that over-recruitment in clinical trial</w:t>
      </w:r>
      <w:r w:rsidR="00FB5D22">
        <w:rPr>
          <w:rFonts w:asciiTheme="minorHAnsi" w:hAnsiTheme="minorHAnsi"/>
          <w:bCs/>
        </w:rPr>
        <w:t>s</w:t>
      </w:r>
      <w:r w:rsidR="00FB5D22" w:rsidRPr="00FB5D22">
        <w:rPr>
          <w:rFonts w:asciiTheme="minorHAnsi" w:hAnsiTheme="minorHAnsi"/>
          <w:bCs/>
        </w:rPr>
        <w:t xml:space="preserve"> suggests that the current standard of care is not considered best practice.</w:t>
      </w:r>
      <w:r w:rsidR="00FE21CE" w:rsidRPr="00FB5D22">
        <w:rPr>
          <w:rFonts w:asciiTheme="minorHAnsi" w:hAnsiTheme="minorHAnsi"/>
          <w:bCs/>
        </w:rPr>
        <w:t xml:space="preserve"> </w:t>
      </w:r>
      <w:r w:rsidRPr="00FB5D22">
        <w:rPr>
          <w:rFonts w:asciiTheme="minorHAnsi" w:hAnsiTheme="minorHAnsi"/>
          <w:bCs/>
        </w:rPr>
        <w:t>The PBAC considered that the hearing was informative as it provided a clinic</w:t>
      </w:r>
      <w:r w:rsidR="00FE21CE" w:rsidRPr="00FB5D22">
        <w:rPr>
          <w:rFonts w:asciiTheme="minorHAnsi" w:hAnsiTheme="minorHAnsi"/>
          <w:bCs/>
        </w:rPr>
        <w:t>al perspective and quality of life factors considered when treating patients with RM SCCHN.</w:t>
      </w:r>
    </w:p>
    <w:p w:rsidR="00C62E40" w:rsidRPr="00FB5D22" w:rsidRDefault="00C62E40" w:rsidP="002E2883">
      <w:pPr>
        <w:pStyle w:val="Heading2"/>
      </w:pPr>
      <w:r w:rsidRPr="00FB5D22">
        <w:t>Consumer comments</w:t>
      </w:r>
    </w:p>
    <w:p w:rsidR="00C62E40" w:rsidRPr="00FE21CE" w:rsidRDefault="00C62E40" w:rsidP="00846F9C">
      <w:pPr>
        <w:numPr>
          <w:ilvl w:val="1"/>
          <w:numId w:val="2"/>
        </w:numPr>
        <w:spacing w:after="120"/>
        <w:rPr>
          <w:rFonts w:asciiTheme="minorHAnsi" w:hAnsiTheme="minorHAnsi"/>
          <w:bCs/>
        </w:rPr>
      </w:pPr>
      <w:r w:rsidRPr="00FB5D22">
        <w:rPr>
          <w:rFonts w:asciiTheme="minorHAnsi" w:hAnsiTheme="minorHAnsi"/>
          <w:bCs/>
        </w:rPr>
        <w:t>The PBAC noted and welcomed the input from individuals (1), health care professionals (9) and organisations (1) via the Consumer</w:t>
      </w:r>
      <w:r w:rsidRPr="00FE21CE">
        <w:rPr>
          <w:rFonts w:asciiTheme="minorHAnsi" w:hAnsiTheme="minorHAnsi"/>
          <w:bCs/>
        </w:rPr>
        <w:t xml:space="preserve"> Comments facility on the PBS website. The comments described a range of benefits of treatment with </w:t>
      </w:r>
      <w:r w:rsidR="00CF4909" w:rsidRPr="00FE21CE">
        <w:rPr>
          <w:rFonts w:asciiTheme="minorHAnsi" w:hAnsiTheme="minorHAnsi"/>
          <w:bCs/>
        </w:rPr>
        <w:t>cetuximab</w:t>
      </w:r>
      <w:r w:rsidRPr="00FE21CE">
        <w:rPr>
          <w:rFonts w:asciiTheme="minorHAnsi" w:hAnsiTheme="minorHAnsi"/>
          <w:bCs/>
        </w:rPr>
        <w:t xml:space="preserve"> including the </w:t>
      </w:r>
      <w:r w:rsidR="00CF4909" w:rsidRPr="00FE21CE">
        <w:rPr>
          <w:rFonts w:asciiTheme="minorHAnsi" w:hAnsiTheme="minorHAnsi"/>
          <w:bCs/>
        </w:rPr>
        <w:t>r</w:t>
      </w:r>
      <w:r w:rsidR="0028284A" w:rsidRPr="00FE21CE">
        <w:rPr>
          <w:rFonts w:asciiTheme="minorHAnsi" w:hAnsiTheme="minorHAnsi"/>
          <w:bCs/>
        </w:rPr>
        <w:t>eduction in hospital admissions and</w:t>
      </w:r>
      <w:r w:rsidR="00CF4909" w:rsidRPr="00FE21CE">
        <w:rPr>
          <w:rFonts w:asciiTheme="minorHAnsi" w:hAnsiTheme="minorHAnsi"/>
          <w:bCs/>
        </w:rPr>
        <w:t xml:space="preserve"> medications, </w:t>
      </w:r>
      <w:r w:rsidR="0028284A" w:rsidRPr="00FE21CE">
        <w:rPr>
          <w:rFonts w:asciiTheme="minorHAnsi" w:hAnsiTheme="minorHAnsi"/>
          <w:bCs/>
        </w:rPr>
        <w:t xml:space="preserve">and </w:t>
      </w:r>
      <w:r w:rsidR="00CF4909" w:rsidRPr="00FE21CE">
        <w:rPr>
          <w:rFonts w:asciiTheme="minorHAnsi" w:hAnsiTheme="minorHAnsi"/>
          <w:bCs/>
        </w:rPr>
        <w:t xml:space="preserve">fewer side effects affecting the patient’s speech, ability to swallow and eat. The comments noted that many of these patients </w:t>
      </w:r>
      <w:r w:rsidR="0028284A" w:rsidRPr="00FE21CE">
        <w:rPr>
          <w:rFonts w:asciiTheme="minorHAnsi" w:hAnsiTheme="minorHAnsi"/>
          <w:bCs/>
        </w:rPr>
        <w:t xml:space="preserve">are younger, otherwise healthy individuals and that there is a need for additional, well-tolerated treatments in this patient population as current treatment options are limited. </w:t>
      </w:r>
    </w:p>
    <w:p w:rsidR="00D31920" w:rsidRDefault="00C62E40" w:rsidP="00846F9C">
      <w:pPr>
        <w:numPr>
          <w:ilvl w:val="1"/>
          <w:numId w:val="2"/>
        </w:numPr>
        <w:spacing w:after="120"/>
        <w:rPr>
          <w:rFonts w:asciiTheme="minorHAnsi" w:hAnsiTheme="minorHAnsi"/>
          <w:bCs/>
        </w:rPr>
      </w:pPr>
      <w:r w:rsidRPr="00FE21CE">
        <w:rPr>
          <w:rFonts w:asciiTheme="minorHAnsi" w:hAnsiTheme="minorHAnsi"/>
          <w:bCs/>
        </w:rPr>
        <w:t xml:space="preserve">The Medical Oncology Group of Australia (MOGA) also expressed its support for the </w:t>
      </w:r>
      <w:r w:rsidR="0028284A" w:rsidRPr="00FE21CE">
        <w:rPr>
          <w:rFonts w:asciiTheme="minorHAnsi" w:hAnsiTheme="minorHAnsi"/>
          <w:bCs/>
        </w:rPr>
        <w:t>cetuximab</w:t>
      </w:r>
      <w:r w:rsidRPr="00FE21CE">
        <w:rPr>
          <w:rFonts w:asciiTheme="minorHAnsi" w:hAnsiTheme="minorHAnsi"/>
          <w:bCs/>
        </w:rPr>
        <w:t xml:space="preserve"> submission</w:t>
      </w:r>
      <w:r w:rsidR="0028284A" w:rsidRPr="00FE21CE">
        <w:rPr>
          <w:rFonts w:asciiTheme="minorHAnsi" w:hAnsiTheme="minorHAnsi"/>
          <w:bCs/>
        </w:rPr>
        <w:t xml:space="preserve"> on the basis of </w:t>
      </w:r>
      <w:r w:rsidR="007B5578">
        <w:rPr>
          <w:rFonts w:asciiTheme="minorHAnsi" w:hAnsiTheme="minorHAnsi"/>
          <w:bCs/>
        </w:rPr>
        <w:t>an overall survival (</w:t>
      </w:r>
      <w:r w:rsidR="0028284A" w:rsidRPr="00FE21CE">
        <w:rPr>
          <w:rFonts w:asciiTheme="minorHAnsi" w:hAnsiTheme="minorHAnsi"/>
          <w:bCs/>
        </w:rPr>
        <w:t>OS</w:t>
      </w:r>
      <w:r w:rsidR="007B5578">
        <w:rPr>
          <w:rFonts w:asciiTheme="minorHAnsi" w:hAnsiTheme="minorHAnsi"/>
          <w:bCs/>
        </w:rPr>
        <w:t>)</w:t>
      </w:r>
      <w:r w:rsidR="0028284A" w:rsidRPr="00FE21CE">
        <w:rPr>
          <w:rFonts w:asciiTheme="minorHAnsi" w:hAnsiTheme="minorHAnsi"/>
          <w:bCs/>
        </w:rPr>
        <w:t xml:space="preserve"> and </w:t>
      </w:r>
      <w:r w:rsidR="007B5578">
        <w:rPr>
          <w:rFonts w:asciiTheme="minorHAnsi" w:hAnsiTheme="minorHAnsi"/>
          <w:bCs/>
        </w:rPr>
        <w:t>progression free survival (</w:t>
      </w:r>
      <w:r w:rsidR="0028284A" w:rsidRPr="00FE21CE">
        <w:rPr>
          <w:rFonts w:asciiTheme="minorHAnsi" w:hAnsiTheme="minorHAnsi"/>
          <w:bCs/>
        </w:rPr>
        <w:t>PFS</w:t>
      </w:r>
      <w:r w:rsidR="007B5578">
        <w:rPr>
          <w:rFonts w:asciiTheme="minorHAnsi" w:hAnsiTheme="minorHAnsi"/>
          <w:bCs/>
        </w:rPr>
        <w:t>)</w:t>
      </w:r>
      <w:r w:rsidR="0028284A" w:rsidRPr="00FE21CE">
        <w:rPr>
          <w:rFonts w:asciiTheme="minorHAnsi" w:hAnsiTheme="minorHAnsi"/>
          <w:bCs/>
        </w:rPr>
        <w:t xml:space="preserve"> benefit.</w:t>
      </w:r>
      <w:r w:rsidRPr="00FE21CE">
        <w:rPr>
          <w:rFonts w:asciiTheme="minorHAnsi" w:hAnsiTheme="minorHAnsi"/>
          <w:bCs/>
        </w:rPr>
        <w:t xml:space="preserve"> The PBAC noted that the MOGA presented the European Society for Medical Oncology Magnitude of Clinical Benefit Scale (ESMO-MCBS) for </w:t>
      </w:r>
      <w:r w:rsidR="0028284A" w:rsidRPr="00FE21CE">
        <w:rPr>
          <w:rFonts w:asciiTheme="minorHAnsi" w:hAnsiTheme="minorHAnsi"/>
          <w:bCs/>
        </w:rPr>
        <w:t>cetuximab</w:t>
      </w:r>
      <w:r w:rsidRPr="00FE21CE">
        <w:rPr>
          <w:rFonts w:asciiTheme="minorHAnsi" w:hAnsiTheme="minorHAnsi"/>
          <w:bCs/>
        </w:rPr>
        <w:t xml:space="preserve">, which was limited to </w:t>
      </w:r>
      <w:r w:rsidR="0028284A" w:rsidRPr="00FE21CE">
        <w:rPr>
          <w:rFonts w:asciiTheme="minorHAnsi" w:hAnsiTheme="minorHAnsi"/>
          <w:bCs/>
        </w:rPr>
        <w:t>3</w:t>
      </w:r>
      <w:r w:rsidRPr="00FE21CE">
        <w:rPr>
          <w:rFonts w:asciiTheme="minorHAnsi" w:hAnsiTheme="minorHAnsi"/>
          <w:bCs/>
        </w:rPr>
        <w:t xml:space="preserve"> (out of a maximum of 5, where 5 and 4 represent </w:t>
      </w:r>
      <w:r w:rsidRPr="00FE21CE">
        <w:rPr>
          <w:rFonts w:asciiTheme="minorHAnsi" w:hAnsiTheme="minorHAnsi"/>
          <w:bCs/>
        </w:rPr>
        <w:lastRenderedPageBreak/>
        <w:t>the grades with substantial improvement)</w:t>
      </w:r>
      <w:r w:rsidR="0028284A" w:rsidRPr="00FE21CE">
        <w:rPr>
          <w:rStyle w:val="FootnoteReference"/>
          <w:rFonts w:asciiTheme="minorHAnsi" w:hAnsiTheme="minorHAnsi"/>
          <w:bCs/>
        </w:rPr>
        <w:footnoteReference w:id="3"/>
      </w:r>
      <w:r w:rsidRPr="00FE21CE">
        <w:rPr>
          <w:rFonts w:asciiTheme="minorHAnsi" w:hAnsiTheme="minorHAnsi"/>
          <w:bCs/>
        </w:rPr>
        <w:t xml:space="preserve">, based on a comparison with </w:t>
      </w:r>
      <w:r w:rsidR="0028284A" w:rsidRPr="00FE21CE">
        <w:rPr>
          <w:rFonts w:asciiTheme="minorHAnsi" w:hAnsiTheme="minorHAnsi"/>
          <w:bCs/>
        </w:rPr>
        <w:t>chemotherapy alone</w:t>
      </w:r>
      <w:r w:rsidRPr="00FE21CE">
        <w:rPr>
          <w:rFonts w:asciiTheme="minorHAnsi" w:hAnsiTheme="minorHAnsi"/>
          <w:bCs/>
        </w:rPr>
        <w:t>.</w:t>
      </w:r>
    </w:p>
    <w:p w:rsidR="00D31920" w:rsidRPr="001C30DB" w:rsidRDefault="00D31920" w:rsidP="002E2883">
      <w:pPr>
        <w:pStyle w:val="Heading2"/>
      </w:pPr>
      <w:bookmarkStart w:id="6" w:name="_Toc500767927"/>
      <w:r w:rsidRPr="001C30DB">
        <w:t>Clinical trials</w:t>
      </w:r>
      <w:bookmarkEnd w:id="6"/>
    </w:p>
    <w:p w:rsidR="007A5DE2" w:rsidRPr="00613FE2" w:rsidRDefault="001D6E63" w:rsidP="00FB5D22">
      <w:pPr>
        <w:pStyle w:val="ListParagraph"/>
        <w:keepNext/>
        <w:keepLines/>
        <w:widowControl/>
        <w:numPr>
          <w:ilvl w:val="1"/>
          <w:numId w:val="2"/>
        </w:numPr>
        <w:rPr>
          <w:bCs/>
        </w:rPr>
      </w:pPr>
      <w:r w:rsidRPr="00D35D44">
        <w:rPr>
          <w:rFonts w:cs="Calibri"/>
          <w:bCs/>
          <w:snapToGrid/>
          <w:szCs w:val="24"/>
          <w:lang w:eastAsia="en-AU"/>
        </w:rPr>
        <w:t xml:space="preserve">The resubmission was </w:t>
      </w:r>
      <w:r w:rsidR="00D31920" w:rsidRPr="00D35D44">
        <w:rPr>
          <w:rFonts w:cs="Calibri"/>
          <w:bCs/>
          <w:snapToGrid/>
          <w:szCs w:val="24"/>
          <w:lang w:eastAsia="en-AU"/>
        </w:rPr>
        <w:t>based on one head-to-head trial comparing cetuximab + CT to CT only (n=442) (EXTREME).</w:t>
      </w:r>
      <w:r w:rsidR="000120B1" w:rsidRPr="00D35D44">
        <w:rPr>
          <w:rFonts w:cs="Calibri"/>
          <w:bCs/>
          <w:snapToGrid/>
          <w:szCs w:val="24"/>
          <w:lang w:eastAsia="en-AU"/>
        </w:rPr>
        <w:t xml:space="preserve"> </w:t>
      </w:r>
      <w:r w:rsidR="00173DFD" w:rsidRPr="00D35D44">
        <w:rPr>
          <w:rFonts w:cs="Calibri"/>
          <w:bCs/>
          <w:snapToGrid/>
          <w:szCs w:val="24"/>
          <w:lang w:eastAsia="en-AU"/>
        </w:rPr>
        <w:t xml:space="preserve">The </w:t>
      </w:r>
      <w:r w:rsidR="00E5420A" w:rsidRPr="00D35D44">
        <w:rPr>
          <w:rFonts w:cs="Calibri"/>
          <w:bCs/>
          <w:snapToGrid/>
          <w:szCs w:val="24"/>
          <w:lang w:eastAsia="en-AU"/>
        </w:rPr>
        <w:t>same</w:t>
      </w:r>
      <w:r w:rsidR="00D31920" w:rsidRPr="00D35D44">
        <w:rPr>
          <w:rFonts w:cs="Calibri"/>
          <w:bCs/>
          <w:snapToGrid/>
          <w:szCs w:val="24"/>
          <w:lang w:eastAsia="en-AU"/>
        </w:rPr>
        <w:t xml:space="preserve"> </w:t>
      </w:r>
      <w:r w:rsidR="004450DF" w:rsidRPr="00D35D44">
        <w:rPr>
          <w:rFonts w:cs="Calibri"/>
          <w:bCs/>
          <w:snapToGrid/>
          <w:szCs w:val="24"/>
          <w:lang w:eastAsia="en-AU"/>
        </w:rPr>
        <w:t xml:space="preserve">evidence </w:t>
      </w:r>
      <w:r w:rsidR="00533880" w:rsidRPr="00D35D44">
        <w:rPr>
          <w:rFonts w:cs="Calibri"/>
          <w:bCs/>
          <w:snapToGrid/>
          <w:szCs w:val="24"/>
          <w:lang w:eastAsia="en-AU"/>
        </w:rPr>
        <w:t>was presented in</w:t>
      </w:r>
      <w:r w:rsidR="004450DF" w:rsidRPr="00D35D44">
        <w:rPr>
          <w:rFonts w:cs="Calibri"/>
          <w:bCs/>
          <w:snapToGrid/>
          <w:szCs w:val="24"/>
          <w:lang w:eastAsia="en-AU"/>
        </w:rPr>
        <w:t xml:space="preserve"> </w:t>
      </w:r>
      <w:r w:rsidR="00D31920" w:rsidRPr="00D35D44">
        <w:rPr>
          <w:rFonts w:cs="Calibri"/>
          <w:bCs/>
          <w:snapToGrid/>
          <w:szCs w:val="24"/>
          <w:lang w:eastAsia="en-AU"/>
        </w:rPr>
        <w:t>the March 2016 submission.</w:t>
      </w:r>
      <w:r w:rsidR="000120B1" w:rsidRPr="00D35D44">
        <w:rPr>
          <w:rFonts w:cs="Calibri"/>
          <w:bCs/>
          <w:snapToGrid/>
          <w:szCs w:val="24"/>
          <w:lang w:eastAsia="en-AU"/>
        </w:rPr>
        <w:t xml:space="preserve"> </w:t>
      </w:r>
      <w:r w:rsidR="00C97273" w:rsidRPr="00613FE2">
        <w:rPr>
          <w:rFonts w:cs="Calibri"/>
          <w:bCs/>
          <w:snapToGrid/>
          <w:szCs w:val="24"/>
          <w:lang w:eastAsia="en-AU"/>
        </w:rPr>
        <w:t>The ESC noted that</w:t>
      </w:r>
      <w:r w:rsidR="00C97273">
        <w:rPr>
          <w:rFonts w:cs="Calibri"/>
          <w:bCs/>
          <w:snapToGrid/>
          <w:szCs w:val="24"/>
          <w:lang w:eastAsia="en-AU"/>
        </w:rPr>
        <w:t xml:space="preserve"> </w:t>
      </w:r>
      <w:r w:rsidR="00461238" w:rsidRPr="00D35D44">
        <w:rPr>
          <w:rFonts w:cs="Calibri"/>
          <w:bCs/>
          <w:iCs/>
          <w:snapToGrid/>
          <w:szCs w:val="24"/>
          <w:lang w:eastAsia="en-AU"/>
        </w:rPr>
        <w:t>following previous PBAC advice</w:t>
      </w:r>
      <w:r w:rsidR="00E5420A" w:rsidRPr="00D35D44">
        <w:rPr>
          <w:rFonts w:cs="Calibri"/>
          <w:bCs/>
          <w:iCs/>
          <w:snapToGrid/>
          <w:szCs w:val="24"/>
          <w:lang w:eastAsia="en-AU"/>
        </w:rPr>
        <w:t xml:space="preserve"> (cetuximab March 2016 PSD, 7.4)</w:t>
      </w:r>
      <w:r w:rsidR="00461238" w:rsidRPr="00D35D44">
        <w:rPr>
          <w:rFonts w:cs="Calibri"/>
          <w:bCs/>
          <w:iCs/>
          <w:snapToGrid/>
          <w:szCs w:val="24"/>
          <w:lang w:eastAsia="en-AU"/>
        </w:rPr>
        <w:t>, the submission</w:t>
      </w:r>
      <w:r w:rsidR="00B945A6" w:rsidRPr="00D35D44">
        <w:rPr>
          <w:rFonts w:cs="Calibri"/>
          <w:bCs/>
          <w:iCs/>
          <w:snapToGrid/>
          <w:szCs w:val="24"/>
          <w:lang w:eastAsia="en-AU"/>
        </w:rPr>
        <w:t xml:space="preserve"> sought listing for the whole trial population</w:t>
      </w:r>
      <w:r w:rsidR="001158A5" w:rsidRPr="00D35D44">
        <w:rPr>
          <w:rFonts w:cs="Calibri"/>
          <w:bCs/>
          <w:iCs/>
          <w:snapToGrid/>
          <w:szCs w:val="24"/>
          <w:lang w:eastAsia="en-AU"/>
        </w:rPr>
        <w:t xml:space="preserve"> </w:t>
      </w:r>
      <w:r w:rsidR="008612E2" w:rsidRPr="00D35D44">
        <w:rPr>
          <w:rFonts w:cs="Calibri"/>
          <w:bCs/>
          <w:iCs/>
          <w:snapToGrid/>
          <w:szCs w:val="24"/>
          <w:lang w:eastAsia="en-AU"/>
        </w:rPr>
        <w:t>rather than</w:t>
      </w:r>
      <w:r w:rsidR="007A5DE2" w:rsidRPr="00D35D44">
        <w:rPr>
          <w:rFonts w:cs="Calibri"/>
          <w:bCs/>
          <w:iCs/>
          <w:snapToGrid/>
          <w:szCs w:val="24"/>
          <w:lang w:eastAsia="en-AU"/>
        </w:rPr>
        <w:t xml:space="preserve"> the oral cavity subgroup </w:t>
      </w:r>
      <w:r w:rsidR="004450DF" w:rsidRPr="00D35D44">
        <w:rPr>
          <w:rFonts w:cs="Calibri"/>
          <w:bCs/>
          <w:iCs/>
          <w:snapToGrid/>
          <w:szCs w:val="24"/>
          <w:lang w:eastAsia="en-AU"/>
        </w:rPr>
        <w:t>in the trial</w:t>
      </w:r>
      <w:r w:rsidR="007A5DE2" w:rsidRPr="00613FE2">
        <w:rPr>
          <w:rFonts w:cs="Calibri"/>
          <w:bCs/>
          <w:iCs/>
          <w:snapToGrid/>
          <w:szCs w:val="24"/>
          <w:lang w:eastAsia="en-AU"/>
        </w:rPr>
        <w:t>.</w:t>
      </w:r>
      <w:r w:rsidR="00C97273" w:rsidRPr="00613FE2">
        <w:rPr>
          <w:rFonts w:cs="Calibri"/>
          <w:bCs/>
          <w:iCs/>
          <w:snapToGrid/>
          <w:szCs w:val="24"/>
          <w:lang w:eastAsia="en-AU"/>
        </w:rPr>
        <w:t xml:space="preserve"> The </w:t>
      </w:r>
      <w:r w:rsidR="008A6385">
        <w:rPr>
          <w:rFonts w:cs="Calibri"/>
          <w:bCs/>
          <w:iCs/>
          <w:snapToGrid/>
          <w:szCs w:val="24"/>
          <w:lang w:eastAsia="en-AU"/>
        </w:rPr>
        <w:t xml:space="preserve">PBAC agreed with </w:t>
      </w:r>
      <w:r w:rsidR="00C97273" w:rsidRPr="00613FE2">
        <w:rPr>
          <w:rFonts w:cs="Calibri"/>
          <w:bCs/>
          <w:iCs/>
          <w:snapToGrid/>
          <w:szCs w:val="24"/>
          <w:lang w:eastAsia="en-AU"/>
        </w:rPr>
        <w:t>ESC that this was appropriate.</w:t>
      </w:r>
    </w:p>
    <w:p w:rsidR="00D31920" w:rsidRPr="00D35D44" w:rsidRDefault="000668C5" w:rsidP="00846F9C">
      <w:pPr>
        <w:pStyle w:val="ListParagraph"/>
        <w:widowControl/>
        <w:numPr>
          <w:ilvl w:val="1"/>
          <w:numId w:val="2"/>
        </w:numPr>
        <w:rPr>
          <w:bCs/>
          <w:iCs/>
        </w:rPr>
      </w:pPr>
      <w:r w:rsidRPr="00D35D44">
        <w:rPr>
          <w:rFonts w:cs="Calibri"/>
          <w:bCs/>
          <w:iCs/>
          <w:snapToGrid/>
          <w:szCs w:val="24"/>
          <w:lang w:eastAsia="en-AU"/>
        </w:rPr>
        <w:t>Following previous PBAC advice</w:t>
      </w:r>
      <w:r w:rsidR="00990A68" w:rsidRPr="00D35D44">
        <w:rPr>
          <w:rFonts w:cs="Calibri"/>
          <w:bCs/>
          <w:iCs/>
          <w:snapToGrid/>
          <w:szCs w:val="24"/>
          <w:lang w:eastAsia="en-AU"/>
        </w:rPr>
        <w:t xml:space="preserve"> (cetuximab 2016 PSD, 7.7)</w:t>
      </w:r>
      <w:r w:rsidRPr="00D35D44">
        <w:rPr>
          <w:rFonts w:cs="Calibri"/>
          <w:bCs/>
          <w:iCs/>
          <w:snapToGrid/>
          <w:szCs w:val="24"/>
          <w:lang w:eastAsia="en-AU"/>
        </w:rPr>
        <w:t>,</w:t>
      </w:r>
      <w:r w:rsidR="007A5DE2" w:rsidRPr="00D35D44">
        <w:rPr>
          <w:rFonts w:cs="Calibri"/>
          <w:bCs/>
          <w:iCs/>
          <w:snapToGrid/>
          <w:szCs w:val="24"/>
          <w:lang w:eastAsia="en-AU"/>
        </w:rPr>
        <w:t xml:space="preserve"> an additional meta-analysis of anti-EGFR antibodies (cetuximab and panitu</w:t>
      </w:r>
      <w:r w:rsidR="002A24A7" w:rsidRPr="00D35D44">
        <w:rPr>
          <w:rFonts w:cs="Calibri"/>
          <w:bCs/>
          <w:iCs/>
          <w:snapToGrid/>
          <w:szCs w:val="24"/>
          <w:lang w:eastAsia="en-AU"/>
        </w:rPr>
        <w:t>mu</w:t>
      </w:r>
      <w:r w:rsidR="007A5DE2" w:rsidRPr="00D35D44">
        <w:rPr>
          <w:rFonts w:cs="Calibri"/>
          <w:bCs/>
          <w:iCs/>
          <w:snapToGrid/>
          <w:szCs w:val="24"/>
          <w:lang w:eastAsia="en-AU"/>
        </w:rPr>
        <w:t xml:space="preserve">mab) in RM SCCHN was also presented </w:t>
      </w:r>
      <w:r w:rsidRPr="00D35D44">
        <w:rPr>
          <w:rFonts w:cs="Calibri"/>
          <w:bCs/>
          <w:iCs/>
          <w:snapToGrid/>
          <w:szCs w:val="24"/>
          <w:lang w:eastAsia="en-AU"/>
        </w:rPr>
        <w:t xml:space="preserve">(see </w:t>
      </w:r>
      <w:r w:rsidR="007A5DE2" w:rsidRPr="00D35D44">
        <w:rPr>
          <w:rFonts w:cs="Calibri"/>
          <w:bCs/>
          <w:iCs/>
          <w:snapToGrid/>
          <w:szCs w:val="24"/>
          <w:lang w:eastAsia="en-AU"/>
        </w:rPr>
        <w:t>Section 2.6</w:t>
      </w:r>
      <w:r w:rsidRPr="00D35D44">
        <w:rPr>
          <w:rFonts w:cs="Calibri"/>
          <w:bCs/>
          <w:iCs/>
          <w:snapToGrid/>
          <w:szCs w:val="24"/>
          <w:lang w:eastAsia="en-AU"/>
        </w:rPr>
        <w:t>)</w:t>
      </w:r>
      <w:r w:rsidR="007A5DE2" w:rsidRPr="00D35D44">
        <w:rPr>
          <w:rFonts w:cs="Calibri"/>
          <w:bCs/>
          <w:iCs/>
          <w:snapToGrid/>
          <w:szCs w:val="24"/>
          <w:lang w:eastAsia="en-AU"/>
        </w:rPr>
        <w:t>.</w:t>
      </w:r>
      <w:r w:rsidR="000120B1" w:rsidRPr="00D35D44">
        <w:rPr>
          <w:rFonts w:cs="Calibri"/>
          <w:bCs/>
          <w:iCs/>
          <w:snapToGrid/>
          <w:szCs w:val="24"/>
          <w:lang w:eastAsia="en-AU"/>
        </w:rPr>
        <w:t xml:space="preserve"> </w:t>
      </w:r>
      <w:r w:rsidR="007A5DE2" w:rsidRPr="00D35D44">
        <w:rPr>
          <w:rFonts w:cs="Calibri"/>
          <w:bCs/>
          <w:iCs/>
          <w:snapToGrid/>
          <w:szCs w:val="24"/>
          <w:lang w:eastAsia="en-AU"/>
        </w:rPr>
        <w:t xml:space="preserve">Only trials for panitumumab </w:t>
      </w:r>
      <w:r w:rsidR="000D348B">
        <w:rPr>
          <w:rFonts w:cs="Calibri"/>
          <w:bCs/>
          <w:iCs/>
          <w:snapToGrid/>
          <w:szCs w:val="24"/>
          <w:lang w:eastAsia="en-AU"/>
        </w:rPr>
        <w:t>were</w:t>
      </w:r>
      <w:r w:rsidR="007A5DE2" w:rsidRPr="00D35D44">
        <w:rPr>
          <w:rFonts w:cs="Calibri"/>
          <w:bCs/>
          <w:iCs/>
          <w:snapToGrid/>
          <w:szCs w:val="24"/>
          <w:lang w:eastAsia="en-AU"/>
        </w:rPr>
        <w:t xml:space="preserve"> identified by the resubmission in addition to cetuximab in first line treatment of RM SCCHN.</w:t>
      </w:r>
      <w:r w:rsidR="007A5DE2" w:rsidRPr="00D35D44">
        <w:rPr>
          <w:rFonts w:cs="Calibri"/>
          <w:bCs/>
          <w:snapToGrid/>
          <w:szCs w:val="24"/>
          <w:lang w:eastAsia="en-AU"/>
        </w:rPr>
        <w:t xml:space="preserve"> </w:t>
      </w:r>
    </w:p>
    <w:p w:rsidR="00D31920" w:rsidRPr="00D35D44" w:rsidRDefault="00D31920" w:rsidP="00846F9C">
      <w:pPr>
        <w:pStyle w:val="ListParagraph"/>
        <w:widowControl/>
        <w:numPr>
          <w:ilvl w:val="1"/>
          <w:numId w:val="2"/>
        </w:numPr>
        <w:rPr>
          <w:bCs/>
        </w:rPr>
      </w:pPr>
      <w:r w:rsidRPr="00D35D44">
        <w:rPr>
          <w:rFonts w:cs="Calibri"/>
          <w:bCs/>
          <w:snapToGrid/>
          <w:szCs w:val="24"/>
          <w:lang w:eastAsia="en-AU"/>
        </w:rPr>
        <w:t xml:space="preserve">Details of the trials presented in the </w:t>
      </w:r>
      <w:r w:rsidR="0010624E" w:rsidRPr="00D35D44">
        <w:rPr>
          <w:rFonts w:cs="Calibri"/>
          <w:bCs/>
          <w:snapToGrid/>
          <w:szCs w:val="24"/>
          <w:lang w:eastAsia="en-AU"/>
        </w:rPr>
        <w:t>re</w:t>
      </w:r>
      <w:r w:rsidRPr="00D35D44">
        <w:rPr>
          <w:rFonts w:cs="Calibri"/>
          <w:bCs/>
          <w:snapToGrid/>
          <w:szCs w:val="24"/>
          <w:lang w:eastAsia="en-AU"/>
        </w:rPr>
        <w:t>submission ar</w:t>
      </w:r>
      <w:r w:rsidR="007A5DE2" w:rsidRPr="00D35D44">
        <w:rPr>
          <w:rFonts w:cs="Calibri"/>
          <w:bCs/>
          <w:snapToGrid/>
          <w:szCs w:val="24"/>
          <w:lang w:eastAsia="en-AU"/>
        </w:rPr>
        <w:t>e provided in the table below.</w:t>
      </w:r>
    </w:p>
    <w:p w:rsidR="00D31920" w:rsidRPr="00D35D44" w:rsidRDefault="00D31920" w:rsidP="002E2883">
      <w:pPr>
        <w:keepNext/>
        <w:rPr>
          <w:rStyle w:val="CommentReference"/>
        </w:rPr>
      </w:pPr>
      <w:r w:rsidRPr="00D35D44">
        <w:rPr>
          <w:rStyle w:val="CommentReference"/>
        </w:rPr>
        <w:lastRenderedPageBreak/>
        <w:t>Table 4:</w:t>
      </w:r>
      <w:r w:rsidR="000120B1" w:rsidRPr="00D35D44">
        <w:rPr>
          <w:rStyle w:val="CommentReference"/>
        </w:rPr>
        <w:t xml:space="preserve"> </w:t>
      </w:r>
      <w:r w:rsidRPr="00D35D44">
        <w:rPr>
          <w:rStyle w:val="CommentReference"/>
        </w:rPr>
        <w:t xml:space="preserve">Trials and associated reports presented in the </w:t>
      </w:r>
      <w:r w:rsidR="0010624E" w:rsidRPr="00D35D44">
        <w:rPr>
          <w:rStyle w:val="CommentReference"/>
        </w:rPr>
        <w:t>re</w:t>
      </w:r>
      <w:r w:rsidRPr="00D35D44">
        <w:rPr>
          <w:rStyle w:val="CommentReference"/>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85"/>
        <w:gridCol w:w="5813"/>
        <w:gridCol w:w="2285"/>
      </w:tblGrid>
      <w:tr w:rsidR="00D31920" w:rsidRPr="00D35D44" w:rsidTr="00453585">
        <w:trPr>
          <w:tblHeader/>
        </w:trPr>
        <w:tc>
          <w:tcPr>
            <w:tcW w:w="542" w:type="pct"/>
          </w:tcPr>
          <w:p w:rsidR="00D31920" w:rsidRPr="00D35D44" w:rsidRDefault="00D31920" w:rsidP="002E2883">
            <w:pPr>
              <w:keepNext/>
              <w:spacing w:afterLines="40" w:after="96"/>
              <w:jc w:val="left"/>
              <w:rPr>
                <w:rFonts w:ascii="Arial Narrow" w:hAnsi="Arial Narrow"/>
                <w:b/>
                <w:sz w:val="20"/>
              </w:rPr>
            </w:pPr>
            <w:r w:rsidRPr="00D35D44">
              <w:rPr>
                <w:rFonts w:ascii="Arial Narrow" w:hAnsi="Arial Narrow"/>
                <w:b/>
                <w:sz w:val="20"/>
              </w:rPr>
              <w:t>Trial ID</w:t>
            </w:r>
          </w:p>
        </w:tc>
        <w:tc>
          <w:tcPr>
            <w:tcW w:w="3200" w:type="pct"/>
          </w:tcPr>
          <w:p w:rsidR="00D31920" w:rsidRPr="00D35D44" w:rsidRDefault="00D31920" w:rsidP="002E2883">
            <w:pPr>
              <w:keepNext/>
              <w:spacing w:afterLines="40" w:after="96"/>
              <w:jc w:val="center"/>
              <w:rPr>
                <w:rFonts w:ascii="Arial Narrow" w:hAnsi="Arial Narrow"/>
                <w:b/>
                <w:sz w:val="20"/>
              </w:rPr>
            </w:pPr>
            <w:r w:rsidRPr="00D35D44">
              <w:rPr>
                <w:rFonts w:ascii="Arial Narrow" w:hAnsi="Arial Narrow"/>
                <w:b/>
                <w:sz w:val="20"/>
              </w:rPr>
              <w:t>Protocol title/ Publication title</w:t>
            </w:r>
          </w:p>
        </w:tc>
        <w:tc>
          <w:tcPr>
            <w:tcW w:w="1258" w:type="pct"/>
          </w:tcPr>
          <w:p w:rsidR="00D31920" w:rsidRPr="00D35D44" w:rsidRDefault="00D31920" w:rsidP="002E2883">
            <w:pPr>
              <w:keepNext/>
              <w:spacing w:afterLines="40" w:after="96"/>
              <w:jc w:val="center"/>
              <w:rPr>
                <w:rFonts w:ascii="Arial Narrow" w:hAnsi="Arial Narrow"/>
                <w:b/>
                <w:sz w:val="20"/>
              </w:rPr>
            </w:pPr>
            <w:r w:rsidRPr="00D35D44">
              <w:rPr>
                <w:rFonts w:ascii="Arial Narrow" w:hAnsi="Arial Narrow"/>
                <w:b/>
                <w:sz w:val="20"/>
              </w:rPr>
              <w:t>Publication citation</w:t>
            </w:r>
          </w:p>
        </w:tc>
      </w:tr>
      <w:tr w:rsidR="00D31920" w:rsidRPr="00D35D44" w:rsidTr="007A5DE2">
        <w:trPr>
          <w:trHeight w:val="192"/>
        </w:trPr>
        <w:tc>
          <w:tcPr>
            <w:tcW w:w="5000" w:type="pct"/>
            <w:gridSpan w:val="3"/>
          </w:tcPr>
          <w:p w:rsidR="00D31920" w:rsidRPr="00D35D44" w:rsidRDefault="00D31920" w:rsidP="002E2883">
            <w:pPr>
              <w:keepNext/>
              <w:spacing w:afterLines="40" w:after="96"/>
              <w:jc w:val="left"/>
              <w:rPr>
                <w:rFonts w:ascii="Arial Narrow" w:hAnsi="Arial Narrow"/>
                <w:b/>
                <w:sz w:val="20"/>
              </w:rPr>
            </w:pPr>
            <w:r w:rsidRPr="00D35D44">
              <w:rPr>
                <w:rFonts w:ascii="Arial Narrow" w:hAnsi="Arial Narrow"/>
                <w:b/>
                <w:sz w:val="20"/>
              </w:rPr>
              <w:t>Direct randomised trial</w:t>
            </w:r>
          </w:p>
        </w:tc>
      </w:tr>
      <w:tr w:rsidR="00D31920" w:rsidRPr="00D35D44" w:rsidTr="00453585">
        <w:tc>
          <w:tcPr>
            <w:tcW w:w="542" w:type="pct"/>
            <w:vMerge w:val="restart"/>
            <w:vAlign w:val="center"/>
          </w:tcPr>
          <w:p w:rsidR="00D31920" w:rsidRPr="00D35D44" w:rsidRDefault="00D31920" w:rsidP="002E2883">
            <w:pPr>
              <w:keepNext/>
              <w:spacing w:afterLines="40" w:after="96"/>
              <w:jc w:val="left"/>
              <w:rPr>
                <w:rFonts w:ascii="Arial Narrow" w:hAnsi="Arial Narrow"/>
                <w:b/>
                <w:sz w:val="20"/>
              </w:rPr>
            </w:pPr>
            <w:r w:rsidRPr="00D35D44">
              <w:rPr>
                <w:rFonts w:ascii="Arial Narrow" w:hAnsi="Arial Narrow"/>
                <w:b/>
                <w:sz w:val="20"/>
              </w:rPr>
              <w:t>EXTREME</w:t>
            </w:r>
          </w:p>
        </w:tc>
        <w:tc>
          <w:tcPr>
            <w:tcW w:w="3200" w:type="pct"/>
            <w:tcBorders>
              <w:bottom w:val="nil"/>
              <w:right w:val="single" w:sz="4" w:space="0" w:color="auto"/>
            </w:tcBorders>
          </w:tcPr>
          <w:p w:rsidR="00D31920" w:rsidRPr="00D35D44" w:rsidRDefault="00D31920" w:rsidP="002E2883">
            <w:pPr>
              <w:keepNext/>
              <w:spacing w:afterLines="40" w:after="96"/>
              <w:jc w:val="left"/>
              <w:rPr>
                <w:rFonts w:ascii="Arial Narrow" w:hAnsi="Arial Narrow"/>
                <w:sz w:val="20"/>
              </w:rPr>
            </w:pPr>
            <w:r w:rsidRPr="00D35D44">
              <w:rPr>
                <w:rFonts w:ascii="Arial Narrow" w:hAnsi="Arial Narrow"/>
                <w:sz w:val="20"/>
              </w:rPr>
              <w:t>Cetuximab (Erbitux</w:t>
            </w:r>
            <w:r w:rsidRPr="00D35D44">
              <w:rPr>
                <w:rFonts w:ascii="Arial Narrow" w:hAnsi="Arial Narrow"/>
                <w:sz w:val="20"/>
                <w:vertAlign w:val="superscript"/>
              </w:rPr>
              <w:t>®</w:t>
            </w:r>
            <w:r w:rsidRPr="00D35D44">
              <w:rPr>
                <w:rFonts w:ascii="Arial Narrow" w:hAnsi="Arial Narrow"/>
                <w:sz w:val="20"/>
              </w:rPr>
              <w:t xml:space="preserve">) in combination with cisplatin or carboplatin and 5-fluorouracil in the first-line treatment of subjects with recurrent and/or metastatic squamous cell carcinoma of the head and neck (“EXTREME”) (EMR 62 202-002) </w:t>
            </w:r>
          </w:p>
        </w:tc>
        <w:tc>
          <w:tcPr>
            <w:tcW w:w="1258" w:type="pct"/>
            <w:tcBorders>
              <w:left w:val="single" w:sz="4" w:space="0" w:color="auto"/>
              <w:bottom w:val="nil"/>
            </w:tcBorders>
          </w:tcPr>
          <w:p w:rsidR="00D31920" w:rsidRPr="00D35D44" w:rsidRDefault="00D31920" w:rsidP="002E2883">
            <w:pPr>
              <w:keepNext/>
              <w:spacing w:afterLines="40" w:after="96"/>
              <w:jc w:val="left"/>
              <w:rPr>
                <w:rFonts w:ascii="Arial Narrow" w:hAnsi="Arial Narrow"/>
                <w:sz w:val="20"/>
              </w:rPr>
            </w:pPr>
            <w:r w:rsidRPr="00D35D44">
              <w:rPr>
                <w:rFonts w:ascii="Arial Narrow" w:hAnsi="Arial Narrow"/>
                <w:sz w:val="20"/>
              </w:rPr>
              <w:t>8 February 2008</w:t>
            </w:r>
          </w:p>
        </w:tc>
      </w:tr>
      <w:tr w:rsidR="00D31920" w:rsidRPr="00D35D44" w:rsidTr="00301CC6">
        <w:trPr>
          <w:trHeight w:val="321"/>
        </w:trPr>
        <w:tc>
          <w:tcPr>
            <w:tcW w:w="542" w:type="pct"/>
            <w:vMerge/>
          </w:tcPr>
          <w:p w:rsidR="00D31920" w:rsidRPr="00D35D44" w:rsidRDefault="00D31920" w:rsidP="002E2883">
            <w:pPr>
              <w:keepNext/>
              <w:spacing w:afterLines="40" w:after="96"/>
              <w:jc w:val="left"/>
              <w:rPr>
                <w:rFonts w:ascii="Arial Narrow" w:hAnsi="Arial Narrow"/>
                <w:sz w:val="20"/>
              </w:rPr>
            </w:pPr>
          </w:p>
        </w:tc>
        <w:tc>
          <w:tcPr>
            <w:tcW w:w="3200" w:type="pct"/>
            <w:tcBorders>
              <w:top w:val="nil"/>
              <w:bottom w:val="nil"/>
              <w:right w:val="single" w:sz="4" w:space="0" w:color="auto"/>
            </w:tcBorders>
          </w:tcPr>
          <w:p w:rsidR="00D31920" w:rsidRPr="00D35D44" w:rsidRDefault="00D31920" w:rsidP="002E2883">
            <w:pPr>
              <w:keepNext/>
              <w:spacing w:afterLines="40" w:after="96"/>
              <w:jc w:val="left"/>
              <w:rPr>
                <w:rFonts w:ascii="Arial Narrow" w:hAnsi="Arial Narrow"/>
                <w:sz w:val="20"/>
              </w:rPr>
            </w:pPr>
            <w:proofErr w:type="spellStart"/>
            <w:r w:rsidRPr="00D35D44">
              <w:rPr>
                <w:rFonts w:ascii="Arial Narrow" w:hAnsi="Arial Narrow"/>
                <w:sz w:val="20"/>
              </w:rPr>
              <w:t>Vermorken</w:t>
            </w:r>
            <w:proofErr w:type="spellEnd"/>
            <w:r w:rsidRPr="00D35D44">
              <w:rPr>
                <w:rFonts w:ascii="Arial Narrow" w:hAnsi="Arial Narrow"/>
                <w:sz w:val="20"/>
              </w:rPr>
              <w:t xml:space="preserve"> JB </w:t>
            </w:r>
            <w:r w:rsidRPr="00D35D44">
              <w:rPr>
                <w:rFonts w:ascii="Arial Narrow" w:hAnsi="Arial Narrow"/>
                <w:iCs/>
                <w:sz w:val="20"/>
              </w:rPr>
              <w:t>et al.</w:t>
            </w:r>
            <w:r w:rsidRPr="00D35D44">
              <w:rPr>
                <w:rFonts w:ascii="Arial Narrow" w:hAnsi="Arial Narrow"/>
                <w:sz w:val="20"/>
              </w:rPr>
              <w:t xml:space="preserve"> Platinum-based chemotherapy plus cetuximab in head and neck cancer. </w:t>
            </w:r>
          </w:p>
        </w:tc>
        <w:tc>
          <w:tcPr>
            <w:tcW w:w="1258" w:type="pct"/>
            <w:tcBorders>
              <w:top w:val="nil"/>
              <w:left w:val="single" w:sz="4" w:space="0" w:color="auto"/>
              <w:bottom w:val="nil"/>
            </w:tcBorders>
          </w:tcPr>
          <w:p w:rsidR="00D31920" w:rsidRPr="00D35D44" w:rsidRDefault="00D31920" w:rsidP="002E2883">
            <w:pPr>
              <w:keepNext/>
              <w:spacing w:afterLines="40" w:after="96"/>
              <w:jc w:val="left"/>
              <w:rPr>
                <w:rFonts w:ascii="Arial Narrow" w:hAnsi="Arial Narrow"/>
                <w:sz w:val="20"/>
              </w:rPr>
            </w:pPr>
            <w:r w:rsidRPr="00D35D44">
              <w:rPr>
                <w:rFonts w:ascii="Arial Narrow" w:hAnsi="Arial Narrow"/>
                <w:iCs/>
                <w:sz w:val="20"/>
              </w:rPr>
              <w:t>New England Journal of Medicine</w:t>
            </w:r>
            <w:r w:rsidRPr="00D35D44">
              <w:rPr>
                <w:rFonts w:ascii="Arial Narrow" w:hAnsi="Arial Narrow"/>
                <w:sz w:val="20"/>
              </w:rPr>
              <w:t xml:space="preserve"> 2008; 359 (11): 1116-27</w:t>
            </w:r>
          </w:p>
        </w:tc>
      </w:tr>
      <w:tr w:rsidR="00D31920" w:rsidRPr="00D35D44" w:rsidTr="00453585">
        <w:tc>
          <w:tcPr>
            <w:tcW w:w="542" w:type="pct"/>
            <w:vMerge/>
          </w:tcPr>
          <w:p w:rsidR="00D31920" w:rsidRPr="00D35D44" w:rsidRDefault="00D31920" w:rsidP="002E2883">
            <w:pPr>
              <w:keepNext/>
              <w:spacing w:afterLines="40" w:after="96"/>
              <w:jc w:val="left"/>
              <w:rPr>
                <w:rFonts w:ascii="Arial Narrow" w:hAnsi="Arial Narrow"/>
                <w:sz w:val="20"/>
              </w:rPr>
            </w:pPr>
          </w:p>
        </w:tc>
        <w:tc>
          <w:tcPr>
            <w:tcW w:w="3200" w:type="pct"/>
            <w:tcBorders>
              <w:top w:val="nil"/>
              <w:bottom w:val="nil"/>
              <w:right w:val="single" w:sz="4" w:space="0" w:color="auto"/>
            </w:tcBorders>
          </w:tcPr>
          <w:p w:rsidR="00D31920" w:rsidRPr="00D35D44" w:rsidRDefault="00D31920" w:rsidP="002E2883">
            <w:pPr>
              <w:keepNext/>
              <w:spacing w:afterLines="40" w:after="96"/>
              <w:jc w:val="left"/>
              <w:rPr>
                <w:rFonts w:ascii="Arial Narrow" w:hAnsi="Arial Narrow"/>
                <w:sz w:val="20"/>
              </w:rPr>
            </w:pPr>
            <w:proofErr w:type="spellStart"/>
            <w:r w:rsidRPr="00D35D44">
              <w:rPr>
                <w:rFonts w:ascii="Arial Narrow" w:hAnsi="Arial Narrow"/>
                <w:sz w:val="20"/>
              </w:rPr>
              <w:t>Mésia</w:t>
            </w:r>
            <w:proofErr w:type="spellEnd"/>
            <w:r w:rsidRPr="00D35D44">
              <w:rPr>
                <w:rFonts w:ascii="Arial Narrow" w:hAnsi="Arial Narrow"/>
                <w:sz w:val="20"/>
              </w:rPr>
              <w:t xml:space="preserve"> R </w:t>
            </w:r>
            <w:r w:rsidRPr="00D35D44">
              <w:rPr>
                <w:rFonts w:ascii="Arial Narrow" w:hAnsi="Arial Narrow"/>
                <w:iCs/>
                <w:sz w:val="20"/>
              </w:rPr>
              <w:t>et al.</w:t>
            </w:r>
            <w:r w:rsidRPr="00D35D44">
              <w:rPr>
                <w:rFonts w:ascii="Arial Narrow" w:hAnsi="Arial Narrow"/>
                <w:sz w:val="20"/>
              </w:rPr>
              <w:t xml:space="preserve"> Quality of Life of patients receiving platinum-based chemotherapy plus cetuximab first line for recurrent and/or metastatic squamous cell carcinoma of the head and neck. </w:t>
            </w:r>
          </w:p>
        </w:tc>
        <w:tc>
          <w:tcPr>
            <w:tcW w:w="1258" w:type="pct"/>
            <w:tcBorders>
              <w:top w:val="nil"/>
              <w:left w:val="single" w:sz="4" w:space="0" w:color="auto"/>
              <w:bottom w:val="nil"/>
            </w:tcBorders>
          </w:tcPr>
          <w:p w:rsidR="00D31920" w:rsidRPr="00D35D44" w:rsidRDefault="00D31920" w:rsidP="002E2883">
            <w:pPr>
              <w:keepNext/>
              <w:spacing w:afterLines="40" w:after="96"/>
              <w:jc w:val="left"/>
              <w:rPr>
                <w:rFonts w:ascii="Arial Narrow" w:hAnsi="Arial Narrow"/>
                <w:sz w:val="20"/>
              </w:rPr>
            </w:pPr>
            <w:r w:rsidRPr="00D35D44">
              <w:rPr>
                <w:rFonts w:ascii="Arial Narrow" w:hAnsi="Arial Narrow"/>
                <w:iCs/>
                <w:sz w:val="20"/>
              </w:rPr>
              <w:t>Annals of Oncology</w:t>
            </w:r>
            <w:r w:rsidRPr="00D35D44">
              <w:rPr>
                <w:rFonts w:ascii="Arial Narrow" w:hAnsi="Arial Narrow"/>
                <w:sz w:val="20"/>
              </w:rPr>
              <w:t xml:space="preserve"> 2010; 21 (10): 1967-73</w:t>
            </w:r>
          </w:p>
        </w:tc>
      </w:tr>
      <w:tr w:rsidR="00D31920" w:rsidRPr="00D35D44" w:rsidTr="00453585">
        <w:tc>
          <w:tcPr>
            <w:tcW w:w="542" w:type="pct"/>
            <w:vMerge/>
          </w:tcPr>
          <w:p w:rsidR="00D31920" w:rsidRPr="00D35D44" w:rsidRDefault="00D31920" w:rsidP="002E2883">
            <w:pPr>
              <w:keepNext/>
              <w:spacing w:afterLines="40" w:after="96"/>
              <w:jc w:val="left"/>
              <w:rPr>
                <w:rFonts w:ascii="Arial Narrow" w:hAnsi="Arial Narrow"/>
                <w:sz w:val="20"/>
              </w:rPr>
            </w:pPr>
          </w:p>
        </w:tc>
        <w:tc>
          <w:tcPr>
            <w:tcW w:w="3200" w:type="pct"/>
            <w:tcBorders>
              <w:top w:val="nil"/>
              <w:bottom w:val="nil"/>
              <w:right w:val="single" w:sz="4" w:space="0" w:color="auto"/>
            </w:tcBorders>
          </w:tcPr>
          <w:p w:rsidR="00D31920" w:rsidRPr="00D35D44" w:rsidRDefault="00D31920" w:rsidP="002E2883">
            <w:pPr>
              <w:keepNext/>
              <w:spacing w:afterLines="40" w:after="96"/>
              <w:jc w:val="left"/>
              <w:rPr>
                <w:rFonts w:ascii="Arial Narrow" w:hAnsi="Arial Narrow"/>
                <w:sz w:val="20"/>
              </w:rPr>
            </w:pPr>
            <w:proofErr w:type="spellStart"/>
            <w:r w:rsidRPr="00D35D44">
              <w:rPr>
                <w:rFonts w:ascii="Arial Narrow" w:hAnsi="Arial Narrow"/>
                <w:sz w:val="20"/>
              </w:rPr>
              <w:t>Licitra</w:t>
            </w:r>
            <w:proofErr w:type="spellEnd"/>
            <w:r w:rsidRPr="00D35D44">
              <w:rPr>
                <w:rFonts w:ascii="Arial Narrow" w:hAnsi="Arial Narrow"/>
                <w:sz w:val="20"/>
              </w:rPr>
              <w:t xml:space="preserve"> L et al. Evaluation of EGFR copy number as a predictive biomarker for the efficacy of cetuximab in combination with chemotherapy in the first-line treatment of recurrent and/or metastatic squamous cell carcinoma of the head and neck: EXTREME study. </w:t>
            </w:r>
          </w:p>
        </w:tc>
        <w:tc>
          <w:tcPr>
            <w:tcW w:w="1258" w:type="pct"/>
            <w:tcBorders>
              <w:top w:val="nil"/>
              <w:left w:val="single" w:sz="4" w:space="0" w:color="auto"/>
              <w:bottom w:val="nil"/>
            </w:tcBorders>
          </w:tcPr>
          <w:p w:rsidR="00D31920" w:rsidRPr="00D35D44" w:rsidRDefault="00D31920" w:rsidP="002E2883">
            <w:pPr>
              <w:keepNext/>
              <w:spacing w:afterLines="40" w:after="96"/>
              <w:jc w:val="left"/>
              <w:rPr>
                <w:rFonts w:ascii="Arial Narrow" w:hAnsi="Arial Narrow"/>
                <w:sz w:val="20"/>
              </w:rPr>
            </w:pPr>
            <w:r w:rsidRPr="00D35D44">
              <w:rPr>
                <w:rFonts w:ascii="Arial Narrow" w:hAnsi="Arial Narrow"/>
                <w:iCs/>
                <w:sz w:val="20"/>
              </w:rPr>
              <w:t>Annals of Oncology</w:t>
            </w:r>
            <w:r w:rsidRPr="00D35D44">
              <w:rPr>
                <w:rFonts w:ascii="Arial Narrow" w:hAnsi="Arial Narrow"/>
                <w:sz w:val="20"/>
              </w:rPr>
              <w:t xml:space="preserve"> 2011; 22: 1078-87</w:t>
            </w:r>
          </w:p>
        </w:tc>
      </w:tr>
      <w:tr w:rsidR="00D31920" w:rsidRPr="00D35D44" w:rsidTr="00453585">
        <w:tc>
          <w:tcPr>
            <w:tcW w:w="542" w:type="pct"/>
            <w:vMerge/>
          </w:tcPr>
          <w:p w:rsidR="00D31920" w:rsidRPr="00D35D44" w:rsidRDefault="00D31920" w:rsidP="002E2883">
            <w:pPr>
              <w:keepNext/>
              <w:spacing w:afterLines="40" w:after="96"/>
              <w:jc w:val="left"/>
              <w:rPr>
                <w:rFonts w:ascii="Arial Narrow" w:hAnsi="Arial Narrow"/>
                <w:sz w:val="20"/>
              </w:rPr>
            </w:pPr>
          </w:p>
        </w:tc>
        <w:tc>
          <w:tcPr>
            <w:tcW w:w="3200" w:type="pct"/>
            <w:tcBorders>
              <w:top w:val="nil"/>
              <w:bottom w:val="nil"/>
              <w:right w:val="single" w:sz="4" w:space="0" w:color="auto"/>
            </w:tcBorders>
          </w:tcPr>
          <w:p w:rsidR="00D31920" w:rsidRPr="00D35D44" w:rsidRDefault="00D31920" w:rsidP="002E2883">
            <w:pPr>
              <w:keepNext/>
              <w:spacing w:afterLines="40" w:after="96"/>
              <w:jc w:val="left"/>
              <w:rPr>
                <w:rFonts w:ascii="Arial Narrow" w:hAnsi="Arial Narrow"/>
                <w:sz w:val="20"/>
              </w:rPr>
            </w:pPr>
            <w:proofErr w:type="spellStart"/>
            <w:r w:rsidRPr="00D35D44">
              <w:rPr>
                <w:rFonts w:ascii="Arial Narrow" w:hAnsi="Arial Narrow"/>
                <w:sz w:val="20"/>
              </w:rPr>
              <w:t>Licitra</w:t>
            </w:r>
            <w:proofErr w:type="spellEnd"/>
            <w:r w:rsidRPr="00D35D44">
              <w:rPr>
                <w:rFonts w:ascii="Arial Narrow" w:hAnsi="Arial Narrow"/>
                <w:sz w:val="20"/>
              </w:rPr>
              <w:t xml:space="preserve"> L </w:t>
            </w:r>
            <w:r w:rsidRPr="00D35D44">
              <w:rPr>
                <w:rFonts w:ascii="Arial Narrow" w:hAnsi="Arial Narrow"/>
                <w:iCs/>
                <w:sz w:val="20"/>
              </w:rPr>
              <w:t>et al.</w:t>
            </w:r>
            <w:r w:rsidRPr="00D35D44">
              <w:rPr>
                <w:rFonts w:ascii="Arial Narrow" w:hAnsi="Arial Narrow"/>
                <w:sz w:val="20"/>
              </w:rPr>
              <w:t xml:space="preserve"> Predictive value of epidermal growth factor receptor expression for first-line chemotherapy plus cetuximab in patients with head and neck and colorectal cancer: Analysis of data from the EXTREME and CRYSTAL studies. </w:t>
            </w:r>
          </w:p>
        </w:tc>
        <w:tc>
          <w:tcPr>
            <w:tcW w:w="1258" w:type="pct"/>
            <w:tcBorders>
              <w:top w:val="nil"/>
              <w:left w:val="single" w:sz="4" w:space="0" w:color="auto"/>
              <w:bottom w:val="nil"/>
            </w:tcBorders>
          </w:tcPr>
          <w:p w:rsidR="00D31920" w:rsidRPr="00D35D44" w:rsidRDefault="00D31920" w:rsidP="002E2883">
            <w:pPr>
              <w:keepNext/>
              <w:spacing w:afterLines="40" w:after="96"/>
              <w:jc w:val="left"/>
              <w:rPr>
                <w:rFonts w:ascii="Arial Narrow" w:hAnsi="Arial Narrow"/>
                <w:sz w:val="20"/>
              </w:rPr>
            </w:pPr>
            <w:r w:rsidRPr="00D35D44">
              <w:rPr>
                <w:rFonts w:ascii="Arial Narrow" w:hAnsi="Arial Narrow"/>
                <w:iCs/>
                <w:sz w:val="20"/>
              </w:rPr>
              <w:t>European Journal of Cancer</w:t>
            </w:r>
            <w:r w:rsidRPr="00D35D44">
              <w:rPr>
                <w:rFonts w:ascii="Arial Narrow" w:hAnsi="Arial Narrow"/>
                <w:sz w:val="20"/>
              </w:rPr>
              <w:t xml:space="preserve"> 2013; 49(6): 1161-8</w:t>
            </w:r>
          </w:p>
        </w:tc>
      </w:tr>
      <w:tr w:rsidR="00D31920" w:rsidRPr="00D35D44" w:rsidTr="00453585">
        <w:trPr>
          <w:trHeight w:val="60"/>
        </w:trPr>
        <w:tc>
          <w:tcPr>
            <w:tcW w:w="542" w:type="pct"/>
            <w:vMerge/>
          </w:tcPr>
          <w:p w:rsidR="00D31920" w:rsidRPr="00D35D44" w:rsidRDefault="00D31920" w:rsidP="002E2883">
            <w:pPr>
              <w:keepNext/>
              <w:spacing w:afterLines="40" w:after="96"/>
              <w:jc w:val="left"/>
              <w:rPr>
                <w:rFonts w:ascii="Arial Narrow" w:hAnsi="Arial Narrow"/>
                <w:sz w:val="20"/>
              </w:rPr>
            </w:pPr>
          </w:p>
        </w:tc>
        <w:tc>
          <w:tcPr>
            <w:tcW w:w="3200" w:type="pct"/>
            <w:tcBorders>
              <w:top w:val="nil"/>
              <w:right w:val="single" w:sz="4" w:space="0" w:color="auto"/>
            </w:tcBorders>
          </w:tcPr>
          <w:p w:rsidR="00D31920" w:rsidRPr="00D35D44" w:rsidRDefault="00D31920" w:rsidP="002E2883">
            <w:pPr>
              <w:keepNext/>
              <w:spacing w:afterLines="40" w:after="96"/>
              <w:jc w:val="left"/>
              <w:rPr>
                <w:rFonts w:ascii="Arial Narrow" w:hAnsi="Arial Narrow"/>
                <w:sz w:val="20"/>
              </w:rPr>
            </w:pPr>
            <w:proofErr w:type="spellStart"/>
            <w:r w:rsidRPr="00D35D44">
              <w:rPr>
                <w:rFonts w:ascii="Arial Narrow" w:hAnsi="Arial Narrow"/>
                <w:sz w:val="20"/>
              </w:rPr>
              <w:t>Vermorken</w:t>
            </w:r>
            <w:proofErr w:type="spellEnd"/>
            <w:r w:rsidRPr="00D35D44">
              <w:rPr>
                <w:rFonts w:ascii="Arial Narrow" w:hAnsi="Arial Narrow"/>
                <w:sz w:val="20"/>
              </w:rPr>
              <w:t xml:space="preserve"> JB </w:t>
            </w:r>
            <w:r w:rsidRPr="00D35D44">
              <w:rPr>
                <w:rFonts w:ascii="Arial Narrow" w:hAnsi="Arial Narrow"/>
                <w:iCs/>
                <w:sz w:val="20"/>
              </w:rPr>
              <w:t>et al</w:t>
            </w:r>
            <w:r w:rsidRPr="00D35D44">
              <w:rPr>
                <w:rFonts w:ascii="Arial Narrow" w:hAnsi="Arial Narrow"/>
                <w:sz w:val="20"/>
              </w:rPr>
              <w:t xml:space="preserve">. Impact of </w:t>
            </w:r>
            <w:proofErr w:type="spellStart"/>
            <w:r w:rsidRPr="00D35D44">
              <w:rPr>
                <w:rFonts w:ascii="Arial Narrow" w:hAnsi="Arial Narrow"/>
                <w:sz w:val="20"/>
              </w:rPr>
              <w:t>tumor</w:t>
            </w:r>
            <w:proofErr w:type="spellEnd"/>
            <w:r w:rsidRPr="00D35D44">
              <w:rPr>
                <w:rFonts w:ascii="Arial Narrow" w:hAnsi="Arial Narrow"/>
                <w:sz w:val="20"/>
              </w:rPr>
              <w:t xml:space="preserve"> HPV status on outcome in patients with recurrent and/or metastatic squamous cell carcinoma of the head and neck receiving chemotherapy with or without cetuximab: retrospective analysis of the phase III EXTREME trial. </w:t>
            </w:r>
          </w:p>
        </w:tc>
        <w:tc>
          <w:tcPr>
            <w:tcW w:w="1258" w:type="pct"/>
            <w:tcBorders>
              <w:top w:val="nil"/>
              <w:left w:val="single" w:sz="4" w:space="0" w:color="auto"/>
            </w:tcBorders>
          </w:tcPr>
          <w:p w:rsidR="00D31920" w:rsidRPr="00D35D44" w:rsidRDefault="00D31920" w:rsidP="002E2883">
            <w:pPr>
              <w:keepNext/>
              <w:spacing w:afterLines="40" w:after="96"/>
              <w:jc w:val="left"/>
              <w:rPr>
                <w:rFonts w:ascii="Arial Narrow" w:hAnsi="Arial Narrow"/>
                <w:sz w:val="20"/>
              </w:rPr>
            </w:pPr>
            <w:r w:rsidRPr="00D35D44">
              <w:rPr>
                <w:rFonts w:ascii="Arial Narrow" w:hAnsi="Arial Narrow"/>
                <w:iCs/>
                <w:sz w:val="20"/>
              </w:rPr>
              <w:t xml:space="preserve">Annals of Oncology </w:t>
            </w:r>
            <w:r w:rsidRPr="00D35D44">
              <w:rPr>
                <w:rFonts w:ascii="Arial Narrow" w:hAnsi="Arial Narrow"/>
                <w:sz w:val="20"/>
              </w:rPr>
              <w:t>2014; 25: 801–7</w:t>
            </w:r>
          </w:p>
        </w:tc>
      </w:tr>
      <w:tr w:rsidR="00D31920" w:rsidRPr="00D35D44" w:rsidTr="00453585">
        <w:trPr>
          <w:trHeight w:val="156"/>
        </w:trPr>
        <w:tc>
          <w:tcPr>
            <w:tcW w:w="5000" w:type="pct"/>
            <w:gridSpan w:val="3"/>
          </w:tcPr>
          <w:p w:rsidR="00D31920" w:rsidRPr="00D35D44" w:rsidRDefault="00D31920" w:rsidP="002E2883">
            <w:pPr>
              <w:keepNext/>
              <w:spacing w:afterLines="40" w:after="96"/>
              <w:jc w:val="left"/>
              <w:rPr>
                <w:rFonts w:ascii="Arial Narrow" w:hAnsi="Arial Narrow"/>
                <w:b/>
                <w:iCs/>
                <w:sz w:val="20"/>
              </w:rPr>
            </w:pPr>
            <w:r w:rsidRPr="00D35D44">
              <w:rPr>
                <w:rFonts w:ascii="Arial Narrow" w:hAnsi="Arial Narrow"/>
                <w:b/>
                <w:iCs/>
                <w:sz w:val="20"/>
              </w:rPr>
              <w:t>Other EGFR in RM SCCHN trials</w:t>
            </w:r>
          </w:p>
        </w:tc>
      </w:tr>
      <w:tr w:rsidR="00D31920" w:rsidRPr="00D35D44" w:rsidTr="00453585">
        <w:tc>
          <w:tcPr>
            <w:tcW w:w="542" w:type="pct"/>
          </w:tcPr>
          <w:p w:rsidR="00D31920" w:rsidRPr="00D35D44" w:rsidRDefault="00D31920" w:rsidP="002E2883">
            <w:pPr>
              <w:keepNext/>
              <w:spacing w:afterLines="40" w:after="96"/>
              <w:jc w:val="left"/>
              <w:rPr>
                <w:rFonts w:ascii="Arial Narrow" w:hAnsi="Arial Narrow"/>
                <w:b/>
                <w:sz w:val="20"/>
              </w:rPr>
            </w:pPr>
            <w:r w:rsidRPr="00D35D44">
              <w:rPr>
                <w:rFonts w:ascii="Arial Narrow" w:hAnsi="Arial Narrow"/>
                <w:b/>
                <w:sz w:val="20"/>
              </w:rPr>
              <w:t>SPECTRUM</w:t>
            </w:r>
          </w:p>
        </w:tc>
        <w:tc>
          <w:tcPr>
            <w:tcW w:w="3200" w:type="pct"/>
          </w:tcPr>
          <w:p w:rsidR="00D31920" w:rsidRPr="00D35D44" w:rsidRDefault="00D31920" w:rsidP="002E2883">
            <w:pPr>
              <w:keepNext/>
              <w:spacing w:afterLines="40" w:after="96"/>
              <w:jc w:val="left"/>
              <w:rPr>
                <w:rFonts w:ascii="Arial Narrow" w:hAnsi="Arial Narrow"/>
                <w:sz w:val="20"/>
              </w:rPr>
            </w:pPr>
            <w:proofErr w:type="spellStart"/>
            <w:r w:rsidRPr="00D35D44">
              <w:rPr>
                <w:rFonts w:ascii="Arial Narrow" w:hAnsi="Arial Narrow"/>
                <w:sz w:val="20"/>
              </w:rPr>
              <w:t>Vermorken</w:t>
            </w:r>
            <w:proofErr w:type="spellEnd"/>
            <w:r w:rsidRPr="00D35D44">
              <w:rPr>
                <w:rFonts w:ascii="Arial Narrow" w:hAnsi="Arial Narrow"/>
                <w:sz w:val="20"/>
              </w:rPr>
              <w:t xml:space="preserve"> JB(1), </w:t>
            </w:r>
            <w:proofErr w:type="spellStart"/>
            <w:r w:rsidRPr="00D35D44">
              <w:rPr>
                <w:rFonts w:ascii="Arial Narrow" w:hAnsi="Arial Narrow"/>
                <w:sz w:val="20"/>
              </w:rPr>
              <w:t>Stöhlmacher</w:t>
            </w:r>
            <w:proofErr w:type="spellEnd"/>
            <w:r w:rsidRPr="00D35D44">
              <w:rPr>
                <w:rFonts w:ascii="Arial Narrow" w:hAnsi="Arial Narrow"/>
                <w:sz w:val="20"/>
              </w:rPr>
              <w:t xml:space="preserve">-Williams J, </w:t>
            </w:r>
            <w:proofErr w:type="spellStart"/>
            <w:r w:rsidRPr="00D35D44">
              <w:rPr>
                <w:rFonts w:ascii="Arial Narrow" w:hAnsi="Arial Narrow"/>
                <w:sz w:val="20"/>
              </w:rPr>
              <w:t>Davidenko</w:t>
            </w:r>
            <w:proofErr w:type="spellEnd"/>
            <w:r w:rsidRPr="00D35D44">
              <w:rPr>
                <w:rFonts w:ascii="Arial Narrow" w:hAnsi="Arial Narrow"/>
                <w:sz w:val="20"/>
              </w:rPr>
              <w:t xml:space="preserve"> I, </w:t>
            </w:r>
            <w:proofErr w:type="spellStart"/>
            <w:r w:rsidRPr="00D35D44">
              <w:rPr>
                <w:rFonts w:ascii="Arial Narrow" w:hAnsi="Arial Narrow"/>
                <w:sz w:val="20"/>
              </w:rPr>
              <w:t>Licitra</w:t>
            </w:r>
            <w:proofErr w:type="spellEnd"/>
            <w:r w:rsidRPr="00D35D44">
              <w:rPr>
                <w:rFonts w:ascii="Arial Narrow" w:hAnsi="Arial Narrow"/>
                <w:sz w:val="20"/>
              </w:rPr>
              <w:t xml:space="preserve"> L, </w:t>
            </w:r>
            <w:proofErr w:type="spellStart"/>
            <w:r w:rsidRPr="00D35D44">
              <w:rPr>
                <w:rFonts w:ascii="Arial Narrow" w:hAnsi="Arial Narrow"/>
                <w:sz w:val="20"/>
              </w:rPr>
              <w:t>Winquist</w:t>
            </w:r>
            <w:proofErr w:type="spellEnd"/>
            <w:r w:rsidRPr="00D35D44">
              <w:rPr>
                <w:rFonts w:ascii="Arial Narrow" w:hAnsi="Arial Narrow"/>
                <w:sz w:val="20"/>
              </w:rPr>
              <w:t xml:space="preserve"> E, Villanueva C, </w:t>
            </w:r>
            <w:proofErr w:type="spellStart"/>
            <w:r w:rsidRPr="00D35D44">
              <w:rPr>
                <w:rFonts w:ascii="Arial Narrow" w:hAnsi="Arial Narrow"/>
                <w:sz w:val="20"/>
              </w:rPr>
              <w:t>Foa</w:t>
            </w:r>
            <w:proofErr w:type="spellEnd"/>
            <w:r w:rsidRPr="00D35D44">
              <w:rPr>
                <w:rFonts w:ascii="Arial Narrow" w:hAnsi="Arial Narrow"/>
                <w:sz w:val="20"/>
              </w:rPr>
              <w:t xml:space="preserve"> P, </w:t>
            </w:r>
            <w:proofErr w:type="spellStart"/>
            <w:r w:rsidRPr="00D35D44">
              <w:rPr>
                <w:rFonts w:ascii="Arial Narrow" w:hAnsi="Arial Narrow"/>
                <w:sz w:val="20"/>
              </w:rPr>
              <w:t>Rottey</w:t>
            </w:r>
            <w:proofErr w:type="spellEnd"/>
            <w:r w:rsidRPr="00D35D44">
              <w:rPr>
                <w:rFonts w:ascii="Arial Narrow" w:hAnsi="Arial Narrow"/>
                <w:sz w:val="20"/>
              </w:rPr>
              <w:t xml:space="preserve"> S, </w:t>
            </w:r>
            <w:proofErr w:type="spellStart"/>
            <w:r w:rsidRPr="00D35D44">
              <w:rPr>
                <w:rFonts w:ascii="Arial Narrow" w:hAnsi="Arial Narrow"/>
                <w:sz w:val="20"/>
              </w:rPr>
              <w:t>Skladowski</w:t>
            </w:r>
            <w:proofErr w:type="spellEnd"/>
            <w:r w:rsidRPr="00D35D44">
              <w:rPr>
                <w:rFonts w:ascii="Arial Narrow" w:hAnsi="Arial Narrow"/>
                <w:sz w:val="20"/>
              </w:rPr>
              <w:t xml:space="preserve"> K, Tahara M, </w:t>
            </w:r>
            <w:proofErr w:type="spellStart"/>
            <w:r w:rsidRPr="00D35D44">
              <w:rPr>
                <w:rFonts w:ascii="Arial Narrow" w:hAnsi="Arial Narrow"/>
                <w:sz w:val="20"/>
              </w:rPr>
              <w:t>Pai</w:t>
            </w:r>
            <w:proofErr w:type="spellEnd"/>
            <w:r w:rsidRPr="00D35D44">
              <w:rPr>
                <w:rFonts w:ascii="Arial Narrow" w:hAnsi="Arial Narrow"/>
                <w:sz w:val="20"/>
              </w:rPr>
              <w:t xml:space="preserve"> VR, </w:t>
            </w:r>
            <w:proofErr w:type="spellStart"/>
            <w:r w:rsidRPr="00D35D44">
              <w:rPr>
                <w:rFonts w:ascii="Arial Narrow" w:hAnsi="Arial Narrow"/>
                <w:sz w:val="20"/>
              </w:rPr>
              <w:t>Faivre</w:t>
            </w:r>
            <w:proofErr w:type="spellEnd"/>
            <w:r w:rsidRPr="00D35D44">
              <w:rPr>
                <w:rFonts w:ascii="Arial Narrow" w:hAnsi="Arial Narrow"/>
                <w:sz w:val="20"/>
              </w:rPr>
              <w:t xml:space="preserve"> S, </w:t>
            </w:r>
            <w:proofErr w:type="spellStart"/>
            <w:r w:rsidRPr="00D35D44">
              <w:rPr>
                <w:rFonts w:ascii="Arial Narrow" w:hAnsi="Arial Narrow"/>
                <w:sz w:val="20"/>
              </w:rPr>
              <w:t>Blajman</w:t>
            </w:r>
            <w:proofErr w:type="spellEnd"/>
            <w:r w:rsidR="000120B1" w:rsidRPr="00D35D44">
              <w:rPr>
                <w:rFonts w:ascii="Arial Narrow" w:hAnsi="Arial Narrow"/>
                <w:sz w:val="20"/>
              </w:rPr>
              <w:t xml:space="preserve"> </w:t>
            </w:r>
            <w:r w:rsidRPr="00D35D44">
              <w:rPr>
                <w:rFonts w:ascii="Arial Narrow" w:hAnsi="Arial Narrow"/>
                <w:sz w:val="20"/>
              </w:rPr>
              <w:t xml:space="preserve">CR, </w:t>
            </w:r>
            <w:proofErr w:type="spellStart"/>
            <w:r w:rsidRPr="00D35D44">
              <w:rPr>
                <w:rFonts w:ascii="Arial Narrow" w:hAnsi="Arial Narrow"/>
                <w:sz w:val="20"/>
              </w:rPr>
              <w:t>Forastiere</w:t>
            </w:r>
            <w:proofErr w:type="spellEnd"/>
            <w:r w:rsidRPr="00D35D44">
              <w:rPr>
                <w:rFonts w:ascii="Arial Narrow" w:hAnsi="Arial Narrow"/>
                <w:sz w:val="20"/>
              </w:rPr>
              <w:t xml:space="preserve"> AA, Stein BN, </w:t>
            </w:r>
            <w:proofErr w:type="spellStart"/>
            <w:r w:rsidRPr="00D35D44">
              <w:rPr>
                <w:rFonts w:ascii="Arial Narrow" w:hAnsi="Arial Narrow"/>
                <w:sz w:val="20"/>
              </w:rPr>
              <w:t>Oliner</w:t>
            </w:r>
            <w:proofErr w:type="spellEnd"/>
            <w:r w:rsidRPr="00D35D44">
              <w:rPr>
                <w:rFonts w:ascii="Arial Narrow" w:hAnsi="Arial Narrow"/>
                <w:sz w:val="20"/>
              </w:rPr>
              <w:t xml:space="preserve"> KS, Pan Z, Bach BA; SPECTRUM investigators. Cisplatin and fluorouracil with or without panitumumab in patients with recurrent or metastatic squamous-cell carcinoma of the head and neck (SPECTRUM): an open-label phase 3 randomised trial.</w:t>
            </w:r>
          </w:p>
        </w:tc>
        <w:tc>
          <w:tcPr>
            <w:tcW w:w="1258" w:type="pct"/>
          </w:tcPr>
          <w:p w:rsidR="00D31920" w:rsidRPr="00D35D44" w:rsidRDefault="00D31920" w:rsidP="002E2883">
            <w:pPr>
              <w:keepNext/>
              <w:spacing w:afterLines="40" w:after="96"/>
              <w:jc w:val="left"/>
              <w:rPr>
                <w:rFonts w:ascii="Arial Narrow" w:hAnsi="Arial Narrow"/>
                <w:sz w:val="20"/>
              </w:rPr>
            </w:pPr>
            <w:r w:rsidRPr="00D35D44">
              <w:rPr>
                <w:rFonts w:ascii="Arial Narrow" w:hAnsi="Arial Narrow"/>
                <w:sz w:val="20"/>
              </w:rPr>
              <w:t xml:space="preserve">Lancet </w:t>
            </w:r>
            <w:proofErr w:type="spellStart"/>
            <w:r w:rsidRPr="00D35D44">
              <w:rPr>
                <w:rFonts w:ascii="Arial Narrow" w:hAnsi="Arial Narrow"/>
                <w:sz w:val="20"/>
              </w:rPr>
              <w:t>Oncol</w:t>
            </w:r>
            <w:proofErr w:type="spellEnd"/>
            <w:r w:rsidRPr="00D35D44">
              <w:rPr>
                <w:rFonts w:ascii="Arial Narrow" w:hAnsi="Arial Narrow"/>
                <w:sz w:val="20"/>
              </w:rPr>
              <w:t>. 2013 Jul</w:t>
            </w:r>
            <w:proofErr w:type="gramStart"/>
            <w:r w:rsidRPr="00D35D44">
              <w:rPr>
                <w:rFonts w:ascii="Arial Narrow" w:hAnsi="Arial Narrow"/>
                <w:sz w:val="20"/>
              </w:rPr>
              <w:t>;14</w:t>
            </w:r>
            <w:proofErr w:type="gramEnd"/>
            <w:r w:rsidRPr="00D35D44">
              <w:rPr>
                <w:rFonts w:ascii="Arial Narrow" w:hAnsi="Arial Narrow"/>
                <w:sz w:val="20"/>
              </w:rPr>
              <w:t>(8):697-710.</w:t>
            </w:r>
          </w:p>
        </w:tc>
      </w:tr>
      <w:tr w:rsidR="008F7556" w:rsidRPr="00D35D44" w:rsidTr="00453585">
        <w:tc>
          <w:tcPr>
            <w:tcW w:w="542" w:type="pct"/>
          </w:tcPr>
          <w:p w:rsidR="008F7556" w:rsidRPr="00D35D44" w:rsidRDefault="008F7556" w:rsidP="002E2883">
            <w:pPr>
              <w:keepNext/>
              <w:spacing w:afterLines="40" w:after="96"/>
              <w:jc w:val="left"/>
              <w:rPr>
                <w:rFonts w:ascii="Arial Narrow" w:hAnsi="Arial Narrow"/>
                <w:b/>
                <w:sz w:val="20"/>
              </w:rPr>
            </w:pPr>
            <w:r w:rsidRPr="00D35D44">
              <w:rPr>
                <w:rFonts w:ascii="Arial Narrow" w:hAnsi="Arial Narrow"/>
                <w:b/>
                <w:sz w:val="20"/>
              </w:rPr>
              <w:t>PARTNER</w:t>
            </w:r>
          </w:p>
        </w:tc>
        <w:tc>
          <w:tcPr>
            <w:tcW w:w="3200" w:type="pct"/>
          </w:tcPr>
          <w:p w:rsidR="008F7556" w:rsidRPr="00D35D44" w:rsidRDefault="008F7556" w:rsidP="002E2883">
            <w:pPr>
              <w:keepNext/>
              <w:spacing w:afterLines="40" w:after="96"/>
              <w:jc w:val="left"/>
              <w:rPr>
                <w:rFonts w:ascii="Arial Narrow" w:hAnsi="Arial Narrow"/>
                <w:sz w:val="20"/>
              </w:rPr>
            </w:pPr>
            <w:r w:rsidRPr="00D35D44">
              <w:rPr>
                <w:rFonts w:ascii="Arial Narrow" w:hAnsi="Arial Narrow"/>
                <w:sz w:val="20"/>
              </w:rPr>
              <w:t xml:space="preserve">Wirth L.J., </w:t>
            </w:r>
            <w:proofErr w:type="spellStart"/>
            <w:r w:rsidRPr="00D35D44">
              <w:rPr>
                <w:rFonts w:ascii="Arial Narrow" w:hAnsi="Arial Narrow"/>
                <w:sz w:val="20"/>
              </w:rPr>
              <w:t>Dakhil</w:t>
            </w:r>
            <w:proofErr w:type="spellEnd"/>
            <w:r w:rsidRPr="00D35D44">
              <w:rPr>
                <w:rFonts w:ascii="Arial Narrow" w:hAnsi="Arial Narrow"/>
                <w:sz w:val="20"/>
              </w:rPr>
              <w:t xml:space="preserve"> S., </w:t>
            </w:r>
            <w:proofErr w:type="spellStart"/>
            <w:r w:rsidRPr="00D35D44">
              <w:rPr>
                <w:rFonts w:ascii="Arial Narrow" w:hAnsi="Arial Narrow"/>
                <w:sz w:val="20"/>
              </w:rPr>
              <w:t>Kornek</w:t>
            </w:r>
            <w:proofErr w:type="spellEnd"/>
            <w:r w:rsidRPr="00D35D44">
              <w:rPr>
                <w:rFonts w:ascii="Arial Narrow" w:hAnsi="Arial Narrow"/>
                <w:sz w:val="20"/>
              </w:rPr>
              <w:t xml:space="preserve"> G., Axelrod R., Adkins D., Pant S., O'Brien</w:t>
            </w:r>
            <w:r w:rsidR="000120B1" w:rsidRPr="00D35D44">
              <w:rPr>
                <w:rFonts w:ascii="Arial Narrow" w:hAnsi="Arial Narrow"/>
                <w:sz w:val="20"/>
              </w:rPr>
              <w:t xml:space="preserve"> </w:t>
            </w:r>
            <w:r w:rsidRPr="00D35D44">
              <w:rPr>
                <w:rFonts w:ascii="Arial Narrow" w:hAnsi="Arial Narrow"/>
                <w:sz w:val="20"/>
              </w:rPr>
              <w:t xml:space="preserve">P., </w:t>
            </w:r>
            <w:proofErr w:type="spellStart"/>
            <w:r w:rsidRPr="00D35D44">
              <w:rPr>
                <w:rFonts w:ascii="Arial Narrow" w:hAnsi="Arial Narrow"/>
                <w:sz w:val="20"/>
              </w:rPr>
              <w:t>Debruyne</w:t>
            </w:r>
            <w:proofErr w:type="spellEnd"/>
            <w:r w:rsidRPr="00D35D44">
              <w:rPr>
                <w:rFonts w:ascii="Arial Narrow" w:hAnsi="Arial Narrow"/>
                <w:sz w:val="20"/>
              </w:rPr>
              <w:t xml:space="preserve"> P.R., </w:t>
            </w:r>
            <w:proofErr w:type="spellStart"/>
            <w:r w:rsidRPr="00D35D44">
              <w:rPr>
                <w:rFonts w:ascii="Arial Narrow" w:hAnsi="Arial Narrow"/>
                <w:sz w:val="20"/>
              </w:rPr>
              <w:t>Oliner</w:t>
            </w:r>
            <w:proofErr w:type="spellEnd"/>
            <w:r w:rsidRPr="00D35D44">
              <w:rPr>
                <w:rFonts w:ascii="Arial Narrow" w:hAnsi="Arial Narrow"/>
                <w:sz w:val="20"/>
              </w:rPr>
              <w:t xml:space="preserve"> K.S., Dong J., </w:t>
            </w:r>
            <w:proofErr w:type="spellStart"/>
            <w:r w:rsidRPr="00D35D44">
              <w:rPr>
                <w:rFonts w:ascii="Arial Narrow" w:hAnsi="Arial Narrow"/>
                <w:sz w:val="20"/>
              </w:rPr>
              <w:t>Murugappan</w:t>
            </w:r>
            <w:proofErr w:type="spellEnd"/>
            <w:r w:rsidRPr="00D35D44">
              <w:rPr>
                <w:rFonts w:ascii="Arial Narrow" w:hAnsi="Arial Narrow"/>
                <w:sz w:val="20"/>
              </w:rPr>
              <w:t xml:space="preserve"> S. PARTNER: An open-label, randomized, phase 2 study of docetaxel/cisplatin</w:t>
            </w:r>
            <w:r w:rsidR="000120B1" w:rsidRPr="00D35D44">
              <w:rPr>
                <w:rFonts w:ascii="Arial Narrow" w:hAnsi="Arial Narrow"/>
                <w:sz w:val="20"/>
              </w:rPr>
              <w:t xml:space="preserve"> </w:t>
            </w:r>
            <w:r w:rsidRPr="00D35D44">
              <w:rPr>
                <w:rFonts w:ascii="Arial Narrow" w:hAnsi="Arial Narrow"/>
                <w:sz w:val="20"/>
              </w:rPr>
              <w:t>chemotherapy with or without panitumumab as first-line treatment for recurrent or metastatic squamous cell carcinoma of the head and neck</w:t>
            </w:r>
          </w:p>
        </w:tc>
        <w:tc>
          <w:tcPr>
            <w:tcW w:w="1258" w:type="pct"/>
          </w:tcPr>
          <w:p w:rsidR="008F7556" w:rsidRPr="00D35D44" w:rsidRDefault="008F7556" w:rsidP="002E2883">
            <w:pPr>
              <w:keepNext/>
              <w:spacing w:afterLines="40" w:after="96"/>
              <w:jc w:val="left"/>
              <w:rPr>
                <w:rFonts w:ascii="Arial Narrow" w:hAnsi="Arial Narrow"/>
                <w:sz w:val="20"/>
              </w:rPr>
            </w:pPr>
            <w:r w:rsidRPr="00D35D44">
              <w:rPr>
                <w:rFonts w:ascii="Arial Narrow" w:hAnsi="Arial Narrow"/>
                <w:sz w:val="20"/>
              </w:rPr>
              <w:t>Oral Oncology 2016 61 (31-40).</w:t>
            </w:r>
          </w:p>
        </w:tc>
      </w:tr>
    </w:tbl>
    <w:p w:rsidR="00736A4E" w:rsidRDefault="00D31920" w:rsidP="002E2883">
      <w:pPr>
        <w:pStyle w:val="TableFooter"/>
        <w:spacing w:after="120"/>
      </w:pPr>
      <w:r w:rsidRPr="00D35D44">
        <w:t>Source: Table 2.2-2, pp38-39 of the resubmission and Appendix 3 of the resubmission</w:t>
      </w:r>
    </w:p>
    <w:p w:rsidR="00D31920" w:rsidRPr="00D35D44" w:rsidRDefault="00D31920" w:rsidP="00846F9C">
      <w:pPr>
        <w:pStyle w:val="ListParagraph"/>
        <w:widowControl/>
        <w:numPr>
          <w:ilvl w:val="1"/>
          <w:numId w:val="2"/>
        </w:numPr>
        <w:rPr>
          <w:bCs/>
        </w:rPr>
      </w:pPr>
      <w:r w:rsidRPr="00D35D44">
        <w:rPr>
          <w:bCs/>
        </w:rPr>
        <w:t>The key features o</w:t>
      </w:r>
      <w:r w:rsidR="004F2351" w:rsidRPr="00D35D44">
        <w:rPr>
          <w:bCs/>
        </w:rPr>
        <w:t>f the direct randomised trials</w:t>
      </w:r>
      <w:r w:rsidRPr="00D35D44">
        <w:rPr>
          <w:bCs/>
        </w:rPr>
        <w:t xml:space="preserve"> are </w:t>
      </w:r>
      <w:r w:rsidR="007A5DE2" w:rsidRPr="00D35D44">
        <w:rPr>
          <w:bCs/>
        </w:rPr>
        <w:t xml:space="preserve">summarised in the table below. </w:t>
      </w:r>
    </w:p>
    <w:p w:rsidR="00D31920" w:rsidRPr="00D35D44" w:rsidRDefault="00D31920" w:rsidP="002E2883">
      <w:pPr>
        <w:keepNext/>
        <w:rPr>
          <w:rStyle w:val="CommentReference"/>
          <w:iCs/>
        </w:rPr>
      </w:pPr>
      <w:r w:rsidRPr="00D35D44">
        <w:rPr>
          <w:rStyle w:val="CommentReference"/>
          <w:iCs/>
        </w:rPr>
        <w:lastRenderedPageBreak/>
        <w:t>Table 5: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34"/>
        <w:gridCol w:w="840"/>
        <w:gridCol w:w="1413"/>
        <w:gridCol w:w="1121"/>
        <w:gridCol w:w="1551"/>
        <w:gridCol w:w="1124"/>
        <w:gridCol w:w="1700"/>
      </w:tblGrid>
      <w:tr w:rsidR="00D31920" w:rsidRPr="00D35D44" w:rsidTr="004F2351">
        <w:tc>
          <w:tcPr>
            <w:tcW w:w="734" w:type="pct"/>
            <w:shd w:val="clear" w:color="auto" w:fill="auto"/>
            <w:vAlign w:val="center"/>
          </w:tcPr>
          <w:p w:rsidR="00D31920" w:rsidRPr="00D35D44" w:rsidRDefault="00D31920" w:rsidP="002E2883">
            <w:pPr>
              <w:pStyle w:val="Tabletext"/>
              <w:keepNext/>
              <w:rPr>
                <w:b/>
                <w:iCs/>
              </w:rPr>
            </w:pPr>
            <w:r w:rsidRPr="00D35D44">
              <w:rPr>
                <w:b/>
                <w:iCs/>
              </w:rPr>
              <w:t>Trial</w:t>
            </w:r>
          </w:p>
        </w:tc>
        <w:tc>
          <w:tcPr>
            <w:tcW w:w="462" w:type="pct"/>
            <w:shd w:val="clear" w:color="auto" w:fill="auto"/>
            <w:vAlign w:val="center"/>
          </w:tcPr>
          <w:p w:rsidR="00D31920" w:rsidRPr="00D35D44" w:rsidRDefault="00D31920" w:rsidP="002E2883">
            <w:pPr>
              <w:pStyle w:val="Tabletext"/>
              <w:keepNext/>
              <w:jc w:val="center"/>
              <w:rPr>
                <w:b/>
                <w:iCs/>
              </w:rPr>
            </w:pPr>
            <w:r w:rsidRPr="00D35D44">
              <w:rPr>
                <w:b/>
                <w:iCs/>
              </w:rPr>
              <w:t>N</w:t>
            </w:r>
          </w:p>
        </w:tc>
        <w:tc>
          <w:tcPr>
            <w:tcW w:w="778" w:type="pct"/>
            <w:shd w:val="clear" w:color="auto" w:fill="auto"/>
            <w:vAlign w:val="center"/>
          </w:tcPr>
          <w:p w:rsidR="00D31920" w:rsidRPr="00D35D44" w:rsidRDefault="00D31920" w:rsidP="002E2883">
            <w:pPr>
              <w:pStyle w:val="Tabletext"/>
              <w:keepNext/>
              <w:jc w:val="center"/>
              <w:rPr>
                <w:b/>
                <w:iCs/>
              </w:rPr>
            </w:pPr>
            <w:r w:rsidRPr="00D35D44">
              <w:rPr>
                <w:b/>
                <w:iCs/>
              </w:rPr>
              <w:t>Design/ duration</w:t>
            </w:r>
          </w:p>
        </w:tc>
        <w:tc>
          <w:tcPr>
            <w:tcW w:w="617" w:type="pct"/>
            <w:shd w:val="clear" w:color="auto" w:fill="auto"/>
            <w:vAlign w:val="center"/>
          </w:tcPr>
          <w:p w:rsidR="00D31920" w:rsidRPr="00D35D44" w:rsidRDefault="00D31920" w:rsidP="002E2883">
            <w:pPr>
              <w:pStyle w:val="Tabletext"/>
              <w:keepNext/>
              <w:jc w:val="center"/>
              <w:rPr>
                <w:b/>
                <w:iCs/>
              </w:rPr>
            </w:pPr>
            <w:r w:rsidRPr="00D35D44">
              <w:rPr>
                <w:b/>
                <w:iCs/>
              </w:rPr>
              <w:t>Risk of bias</w:t>
            </w:r>
          </w:p>
        </w:tc>
        <w:tc>
          <w:tcPr>
            <w:tcW w:w="854" w:type="pct"/>
            <w:shd w:val="clear" w:color="auto" w:fill="auto"/>
            <w:vAlign w:val="center"/>
          </w:tcPr>
          <w:p w:rsidR="00D31920" w:rsidRPr="00D35D44" w:rsidRDefault="00D31920" w:rsidP="002E2883">
            <w:pPr>
              <w:pStyle w:val="Tabletext"/>
              <w:keepNext/>
              <w:jc w:val="center"/>
              <w:rPr>
                <w:b/>
                <w:iCs/>
              </w:rPr>
            </w:pPr>
            <w:r w:rsidRPr="00D35D44">
              <w:rPr>
                <w:b/>
                <w:iCs/>
              </w:rPr>
              <w:t>Patient population</w:t>
            </w:r>
          </w:p>
        </w:tc>
        <w:tc>
          <w:tcPr>
            <w:tcW w:w="619" w:type="pct"/>
            <w:shd w:val="clear" w:color="auto" w:fill="auto"/>
            <w:vAlign w:val="center"/>
          </w:tcPr>
          <w:p w:rsidR="00D31920" w:rsidRPr="00D35D44" w:rsidRDefault="00822769" w:rsidP="002E2883">
            <w:pPr>
              <w:pStyle w:val="Tabletext"/>
              <w:keepNext/>
              <w:jc w:val="center"/>
              <w:rPr>
                <w:b/>
                <w:iCs/>
              </w:rPr>
            </w:pPr>
            <w:r w:rsidRPr="00D35D44">
              <w:rPr>
                <w:b/>
                <w:iCs/>
              </w:rPr>
              <w:t>Outcomes</w:t>
            </w:r>
          </w:p>
        </w:tc>
        <w:tc>
          <w:tcPr>
            <w:tcW w:w="936" w:type="pct"/>
            <w:shd w:val="clear" w:color="auto" w:fill="auto"/>
            <w:vAlign w:val="center"/>
          </w:tcPr>
          <w:p w:rsidR="00D31920" w:rsidRPr="00D35D44" w:rsidRDefault="00D31920" w:rsidP="002E2883">
            <w:pPr>
              <w:pStyle w:val="Tabletext"/>
              <w:keepNext/>
              <w:jc w:val="center"/>
              <w:rPr>
                <w:b/>
                <w:iCs/>
              </w:rPr>
            </w:pPr>
            <w:r w:rsidRPr="00D35D44">
              <w:rPr>
                <w:b/>
                <w:iCs/>
              </w:rPr>
              <w:t>Use in modelled evaluation</w:t>
            </w:r>
          </w:p>
        </w:tc>
      </w:tr>
      <w:tr w:rsidR="00D31920" w:rsidRPr="00D35D44" w:rsidTr="00453585">
        <w:tc>
          <w:tcPr>
            <w:tcW w:w="5000" w:type="pct"/>
            <w:gridSpan w:val="7"/>
            <w:shd w:val="clear" w:color="auto" w:fill="auto"/>
            <w:vAlign w:val="center"/>
          </w:tcPr>
          <w:p w:rsidR="00D31920" w:rsidRPr="00D35D44" w:rsidRDefault="00822769" w:rsidP="002E2883">
            <w:pPr>
              <w:pStyle w:val="Tabletext"/>
              <w:keepNext/>
              <w:rPr>
                <w:b/>
                <w:iCs/>
              </w:rPr>
            </w:pPr>
            <w:r w:rsidRPr="00D35D44">
              <w:rPr>
                <w:b/>
                <w:iCs/>
              </w:rPr>
              <w:t>Cetuximab + CT</w:t>
            </w:r>
            <w:r w:rsidR="00DE76D4" w:rsidRPr="00D35D44">
              <w:rPr>
                <w:b/>
                <w:iCs/>
              </w:rPr>
              <w:t>(cisplatin or carboplatin + 5-FU)</w:t>
            </w:r>
            <w:r w:rsidRPr="00D35D44">
              <w:rPr>
                <w:b/>
                <w:iCs/>
              </w:rPr>
              <w:t xml:space="preserve"> vs CT only</w:t>
            </w:r>
            <w:r w:rsidR="006E2C88" w:rsidRPr="00D35D44">
              <w:rPr>
                <w:b/>
                <w:iCs/>
              </w:rPr>
              <w:t xml:space="preserve"> </w:t>
            </w:r>
            <w:r w:rsidR="00DE76D4" w:rsidRPr="00D35D44">
              <w:rPr>
                <w:b/>
                <w:iCs/>
              </w:rPr>
              <w:t>(cisplatin or carboplatin + 5-FU)</w:t>
            </w:r>
          </w:p>
        </w:tc>
      </w:tr>
      <w:tr w:rsidR="004F2351" w:rsidRPr="00D35D44" w:rsidTr="00EA5600">
        <w:tc>
          <w:tcPr>
            <w:tcW w:w="734" w:type="pct"/>
            <w:shd w:val="clear" w:color="auto" w:fill="auto"/>
            <w:vAlign w:val="center"/>
          </w:tcPr>
          <w:p w:rsidR="004F2351" w:rsidRPr="00D35D44" w:rsidRDefault="004F2351" w:rsidP="002E2883">
            <w:pPr>
              <w:pStyle w:val="Tabletext"/>
              <w:keepNext/>
              <w:rPr>
                <w:bCs/>
                <w:iCs/>
              </w:rPr>
            </w:pPr>
            <w:r w:rsidRPr="00D35D44">
              <w:rPr>
                <w:bCs/>
                <w:iCs/>
              </w:rPr>
              <w:t>EXTREME</w:t>
            </w:r>
          </w:p>
        </w:tc>
        <w:tc>
          <w:tcPr>
            <w:tcW w:w="462" w:type="pct"/>
            <w:shd w:val="clear" w:color="auto" w:fill="auto"/>
            <w:vAlign w:val="center"/>
          </w:tcPr>
          <w:p w:rsidR="004F2351" w:rsidRPr="00D35D44" w:rsidRDefault="004F2351" w:rsidP="002E2883">
            <w:pPr>
              <w:pStyle w:val="Tabletext"/>
              <w:keepNext/>
              <w:jc w:val="center"/>
              <w:rPr>
                <w:bCs/>
                <w:iCs/>
              </w:rPr>
            </w:pPr>
            <w:r w:rsidRPr="00D35D44">
              <w:rPr>
                <w:bCs/>
                <w:iCs/>
              </w:rPr>
              <w:t>442</w:t>
            </w:r>
          </w:p>
        </w:tc>
        <w:tc>
          <w:tcPr>
            <w:tcW w:w="778" w:type="pct"/>
            <w:shd w:val="clear" w:color="auto" w:fill="auto"/>
            <w:vAlign w:val="center"/>
          </w:tcPr>
          <w:p w:rsidR="004F2351" w:rsidRPr="00D35D44" w:rsidRDefault="004F2351" w:rsidP="002E2883">
            <w:pPr>
              <w:pStyle w:val="Tabletext"/>
              <w:keepNext/>
              <w:jc w:val="center"/>
              <w:rPr>
                <w:bCs/>
                <w:iCs/>
              </w:rPr>
            </w:pPr>
            <w:r w:rsidRPr="00D35D44">
              <w:rPr>
                <w:bCs/>
                <w:iCs/>
              </w:rPr>
              <w:t>R, OL</w:t>
            </w:r>
          </w:p>
          <w:p w:rsidR="00822769" w:rsidRPr="00D35D44" w:rsidRDefault="004F2351" w:rsidP="002E2883">
            <w:pPr>
              <w:pStyle w:val="Tabletext"/>
              <w:keepNext/>
              <w:jc w:val="center"/>
              <w:rPr>
                <w:bCs/>
                <w:iCs/>
                <w:vertAlign w:val="superscript"/>
              </w:rPr>
            </w:pPr>
            <w:r w:rsidRPr="00D35D44">
              <w:rPr>
                <w:bCs/>
                <w:iCs/>
              </w:rPr>
              <w:t xml:space="preserve">19 </w:t>
            </w:r>
            <w:proofErr w:type="spellStart"/>
            <w:r w:rsidRPr="00D35D44">
              <w:rPr>
                <w:bCs/>
                <w:iCs/>
              </w:rPr>
              <w:t>months</w:t>
            </w:r>
            <w:r w:rsidRPr="00D35D44">
              <w:rPr>
                <w:bCs/>
                <w:iCs/>
                <w:vertAlign w:val="superscript"/>
              </w:rPr>
              <w:t>a</w:t>
            </w:r>
            <w:proofErr w:type="spellEnd"/>
          </w:p>
        </w:tc>
        <w:tc>
          <w:tcPr>
            <w:tcW w:w="617" w:type="pct"/>
            <w:shd w:val="clear" w:color="auto" w:fill="auto"/>
            <w:vAlign w:val="center"/>
          </w:tcPr>
          <w:p w:rsidR="004F2351" w:rsidRPr="00D35D44" w:rsidRDefault="004F2351" w:rsidP="002E2883">
            <w:pPr>
              <w:pStyle w:val="Tabletext"/>
              <w:keepNext/>
              <w:jc w:val="center"/>
              <w:rPr>
                <w:bCs/>
                <w:iCs/>
              </w:rPr>
            </w:pPr>
            <w:r w:rsidRPr="00D35D44">
              <w:rPr>
                <w:bCs/>
                <w:iCs/>
              </w:rPr>
              <w:t>Low</w:t>
            </w:r>
          </w:p>
        </w:tc>
        <w:tc>
          <w:tcPr>
            <w:tcW w:w="854" w:type="pct"/>
            <w:shd w:val="clear" w:color="auto" w:fill="auto"/>
            <w:vAlign w:val="center"/>
          </w:tcPr>
          <w:p w:rsidR="004F2351" w:rsidRPr="00D35D44" w:rsidRDefault="004F2351" w:rsidP="002E2883">
            <w:pPr>
              <w:pStyle w:val="Tabletext"/>
              <w:keepNext/>
              <w:jc w:val="center"/>
              <w:rPr>
                <w:bCs/>
                <w:iCs/>
              </w:rPr>
            </w:pPr>
            <w:r w:rsidRPr="00D35D44">
              <w:rPr>
                <w:bCs/>
                <w:iCs/>
              </w:rPr>
              <w:t>First line RM SCCHN</w:t>
            </w:r>
          </w:p>
        </w:tc>
        <w:tc>
          <w:tcPr>
            <w:tcW w:w="619" w:type="pct"/>
            <w:shd w:val="clear" w:color="auto" w:fill="auto"/>
            <w:vAlign w:val="center"/>
          </w:tcPr>
          <w:p w:rsidR="004F2351" w:rsidRPr="00D35D44" w:rsidRDefault="004F2351" w:rsidP="002E2883">
            <w:pPr>
              <w:pStyle w:val="Tabletext"/>
              <w:keepNext/>
              <w:jc w:val="center"/>
              <w:rPr>
                <w:bCs/>
                <w:iCs/>
              </w:rPr>
            </w:pPr>
            <w:r w:rsidRPr="00D35D44">
              <w:rPr>
                <w:bCs/>
                <w:iCs/>
              </w:rPr>
              <w:t>OS, PFS, response</w:t>
            </w:r>
          </w:p>
        </w:tc>
        <w:tc>
          <w:tcPr>
            <w:tcW w:w="936" w:type="pct"/>
            <w:shd w:val="clear" w:color="auto" w:fill="auto"/>
            <w:vAlign w:val="center"/>
          </w:tcPr>
          <w:p w:rsidR="004F2351" w:rsidRPr="00D35D44" w:rsidRDefault="004F2351" w:rsidP="002E2883">
            <w:pPr>
              <w:pStyle w:val="Tabletext"/>
              <w:keepNext/>
              <w:jc w:val="center"/>
              <w:rPr>
                <w:bCs/>
                <w:iCs/>
              </w:rPr>
            </w:pPr>
            <w:r w:rsidRPr="00D35D44">
              <w:rPr>
                <w:bCs/>
                <w:iCs/>
              </w:rPr>
              <w:t>OS, PFS and response used in different steps</w:t>
            </w:r>
          </w:p>
        </w:tc>
      </w:tr>
      <w:tr w:rsidR="004F2351" w:rsidRPr="00D35D44" w:rsidTr="00453585">
        <w:tc>
          <w:tcPr>
            <w:tcW w:w="5000" w:type="pct"/>
            <w:gridSpan w:val="7"/>
            <w:shd w:val="clear" w:color="auto" w:fill="auto"/>
            <w:vAlign w:val="center"/>
          </w:tcPr>
          <w:p w:rsidR="004F2351" w:rsidRPr="00D35D44" w:rsidRDefault="004F2351" w:rsidP="002E2883">
            <w:pPr>
              <w:pStyle w:val="Tabletext"/>
              <w:keepNext/>
              <w:rPr>
                <w:bCs/>
                <w:iCs/>
              </w:rPr>
            </w:pPr>
            <w:r w:rsidRPr="00D35D44">
              <w:rPr>
                <w:b/>
                <w:iCs/>
              </w:rPr>
              <w:t xml:space="preserve">Panitumumab + CT </w:t>
            </w:r>
            <w:r w:rsidR="00DE76D4" w:rsidRPr="00D35D44">
              <w:rPr>
                <w:b/>
                <w:iCs/>
              </w:rPr>
              <w:t xml:space="preserve">(cisplatin or </w:t>
            </w:r>
            <w:proofErr w:type="spellStart"/>
            <w:r w:rsidR="00DE76D4" w:rsidRPr="00D35D44">
              <w:rPr>
                <w:b/>
                <w:iCs/>
              </w:rPr>
              <w:t>carboplatin</w:t>
            </w:r>
            <w:r w:rsidR="00DE76D4" w:rsidRPr="00D35D44">
              <w:rPr>
                <w:b/>
                <w:iCs/>
                <w:vertAlign w:val="superscript"/>
              </w:rPr>
              <w:t>b</w:t>
            </w:r>
            <w:proofErr w:type="spellEnd"/>
            <w:r w:rsidR="00DE76D4" w:rsidRPr="00D35D44">
              <w:rPr>
                <w:b/>
                <w:iCs/>
              </w:rPr>
              <w:t xml:space="preserve"> + 5-FU) </w:t>
            </w:r>
            <w:r w:rsidRPr="00D35D44">
              <w:rPr>
                <w:b/>
                <w:iCs/>
              </w:rPr>
              <w:t xml:space="preserve">vs CT only </w:t>
            </w:r>
            <w:r w:rsidR="00DE76D4" w:rsidRPr="00D35D44">
              <w:rPr>
                <w:b/>
                <w:iCs/>
              </w:rPr>
              <w:t xml:space="preserve">(cisplatin or </w:t>
            </w:r>
            <w:proofErr w:type="spellStart"/>
            <w:r w:rsidR="00DE76D4" w:rsidRPr="00D35D44">
              <w:rPr>
                <w:b/>
                <w:iCs/>
              </w:rPr>
              <w:t>carboplatin</w:t>
            </w:r>
            <w:r w:rsidR="00DE76D4" w:rsidRPr="00D35D44">
              <w:rPr>
                <w:b/>
                <w:iCs/>
                <w:vertAlign w:val="superscript"/>
              </w:rPr>
              <w:t>b</w:t>
            </w:r>
            <w:proofErr w:type="spellEnd"/>
            <w:r w:rsidR="00DE76D4" w:rsidRPr="00D35D44">
              <w:rPr>
                <w:b/>
                <w:iCs/>
              </w:rPr>
              <w:t xml:space="preserve"> + 5-FU)</w:t>
            </w:r>
          </w:p>
        </w:tc>
      </w:tr>
      <w:tr w:rsidR="004F2351" w:rsidRPr="00D35D44" w:rsidTr="004F2351">
        <w:tc>
          <w:tcPr>
            <w:tcW w:w="734" w:type="pct"/>
            <w:shd w:val="clear" w:color="auto" w:fill="auto"/>
            <w:vAlign w:val="center"/>
          </w:tcPr>
          <w:p w:rsidR="004F2351" w:rsidRPr="00D35D44" w:rsidRDefault="004F2351" w:rsidP="002E2883">
            <w:pPr>
              <w:pStyle w:val="Tabletext"/>
              <w:keepNext/>
              <w:rPr>
                <w:bCs/>
                <w:iCs/>
              </w:rPr>
            </w:pPr>
            <w:r w:rsidRPr="00D35D44">
              <w:rPr>
                <w:bCs/>
                <w:iCs/>
              </w:rPr>
              <w:t>SPECTRUM</w:t>
            </w:r>
          </w:p>
        </w:tc>
        <w:tc>
          <w:tcPr>
            <w:tcW w:w="462" w:type="pct"/>
            <w:shd w:val="clear" w:color="auto" w:fill="auto"/>
            <w:vAlign w:val="center"/>
          </w:tcPr>
          <w:p w:rsidR="004F2351" w:rsidRPr="00D35D44" w:rsidRDefault="004F2351" w:rsidP="002E2883">
            <w:pPr>
              <w:pStyle w:val="Tabletext"/>
              <w:keepNext/>
              <w:jc w:val="center"/>
              <w:rPr>
                <w:bCs/>
                <w:iCs/>
              </w:rPr>
            </w:pPr>
            <w:r w:rsidRPr="00D35D44">
              <w:rPr>
                <w:bCs/>
                <w:iCs/>
              </w:rPr>
              <w:t>657</w:t>
            </w:r>
          </w:p>
        </w:tc>
        <w:tc>
          <w:tcPr>
            <w:tcW w:w="778" w:type="pct"/>
            <w:shd w:val="clear" w:color="auto" w:fill="auto"/>
            <w:vAlign w:val="center"/>
          </w:tcPr>
          <w:p w:rsidR="004F2351" w:rsidRPr="00D35D44" w:rsidRDefault="004F2351" w:rsidP="002E2883">
            <w:pPr>
              <w:pStyle w:val="Tabletext"/>
              <w:keepNext/>
              <w:jc w:val="center"/>
              <w:rPr>
                <w:bCs/>
                <w:iCs/>
              </w:rPr>
            </w:pPr>
            <w:r w:rsidRPr="00D35D44">
              <w:rPr>
                <w:bCs/>
                <w:iCs/>
              </w:rPr>
              <w:t>R, OL</w:t>
            </w:r>
          </w:p>
          <w:p w:rsidR="004F2351" w:rsidRPr="00D35D44" w:rsidRDefault="004F2351" w:rsidP="002E2883">
            <w:pPr>
              <w:pStyle w:val="Tabletext"/>
              <w:keepNext/>
              <w:jc w:val="center"/>
              <w:rPr>
                <w:bCs/>
                <w:iCs/>
              </w:rPr>
            </w:pPr>
            <w:r w:rsidRPr="00D35D44">
              <w:rPr>
                <w:bCs/>
                <w:iCs/>
              </w:rPr>
              <w:t xml:space="preserve">18 </w:t>
            </w:r>
            <w:proofErr w:type="spellStart"/>
            <w:r w:rsidRPr="00D35D44">
              <w:rPr>
                <w:bCs/>
                <w:iCs/>
              </w:rPr>
              <w:t>months</w:t>
            </w:r>
            <w:r w:rsidR="00DE76D4" w:rsidRPr="00D35D44">
              <w:rPr>
                <w:bCs/>
                <w:iCs/>
                <w:vertAlign w:val="superscript"/>
              </w:rPr>
              <w:t>c</w:t>
            </w:r>
            <w:proofErr w:type="spellEnd"/>
          </w:p>
        </w:tc>
        <w:tc>
          <w:tcPr>
            <w:tcW w:w="617" w:type="pct"/>
            <w:shd w:val="clear" w:color="auto" w:fill="auto"/>
            <w:vAlign w:val="center"/>
          </w:tcPr>
          <w:p w:rsidR="004F2351" w:rsidRPr="00D35D44" w:rsidRDefault="004F2351" w:rsidP="002E2883">
            <w:pPr>
              <w:pStyle w:val="Tabletext"/>
              <w:keepNext/>
              <w:jc w:val="center"/>
              <w:rPr>
                <w:bCs/>
                <w:iCs/>
              </w:rPr>
            </w:pPr>
            <w:r w:rsidRPr="00D35D44">
              <w:rPr>
                <w:bCs/>
                <w:iCs/>
              </w:rPr>
              <w:t>Low</w:t>
            </w:r>
          </w:p>
        </w:tc>
        <w:tc>
          <w:tcPr>
            <w:tcW w:w="854" w:type="pct"/>
            <w:shd w:val="clear" w:color="auto" w:fill="auto"/>
            <w:vAlign w:val="center"/>
          </w:tcPr>
          <w:p w:rsidR="004F2351" w:rsidRPr="00D35D44" w:rsidRDefault="004F2351" w:rsidP="002E2883">
            <w:pPr>
              <w:pStyle w:val="Tabletext"/>
              <w:keepNext/>
              <w:jc w:val="center"/>
              <w:rPr>
                <w:bCs/>
                <w:iCs/>
              </w:rPr>
            </w:pPr>
            <w:r w:rsidRPr="00D35D44">
              <w:rPr>
                <w:bCs/>
                <w:iCs/>
              </w:rPr>
              <w:t>First line RM SCCHN</w:t>
            </w:r>
          </w:p>
        </w:tc>
        <w:tc>
          <w:tcPr>
            <w:tcW w:w="619" w:type="pct"/>
            <w:shd w:val="clear" w:color="auto" w:fill="auto"/>
            <w:vAlign w:val="center"/>
          </w:tcPr>
          <w:p w:rsidR="004F2351" w:rsidRPr="00D35D44" w:rsidRDefault="004F2351" w:rsidP="002E2883">
            <w:pPr>
              <w:pStyle w:val="Tabletext"/>
              <w:keepNext/>
              <w:jc w:val="center"/>
              <w:rPr>
                <w:bCs/>
                <w:iCs/>
              </w:rPr>
            </w:pPr>
            <w:r w:rsidRPr="00D35D44">
              <w:rPr>
                <w:bCs/>
                <w:iCs/>
              </w:rPr>
              <w:t>OS, PFS, response</w:t>
            </w:r>
          </w:p>
        </w:tc>
        <w:tc>
          <w:tcPr>
            <w:tcW w:w="936" w:type="pct"/>
            <w:shd w:val="clear" w:color="auto" w:fill="auto"/>
            <w:vAlign w:val="center"/>
          </w:tcPr>
          <w:p w:rsidR="004F2351" w:rsidRPr="00D35D44" w:rsidRDefault="004F2351" w:rsidP="002E2883">
            <w:pPr>
              <w:pStyle w:val="Tabletext"/>
              <w:keepNext/>
              <w:jc w:val="center"/>
              <w:rPr>
                <w:bCs/>
                <w:iCs/>
              </w:rPr>
            </w:pPr>
            <w:r w:rsidRPr="00D35D44">
              <w:rPr>
                <w:bCs/>
                <w:iCs/>
              </w:rPr>
              <w:t xml:space="preserve">Not used </w:t>
            </w:r>
          </w:p>
        </w:tc>
      </w:tr>
      <w:tr w:rsidR="00822769" w:rsidRPr="00D35D44" w:rsidTr="00822769">
        <w:tc>
          <w:tcPr>
            <w:tcW w:w="1" w:type="pct"/>
            <w:gridSpan w:val="7"/>
            <w:shd w:val="clear" w:color="auto" w:fill="auto"/>
            <w:vAlign w:val="center"/>
          </w:tcPr>
          <w:p w:rsidR="00822769" w:rsidRPr="00D35D44" w:rsidRDefault="00822769" w:rsidP="002E2883">
            <w:pPr>
              <w:pStyle w:val="Tabletext"/>
              <w:keepNext/>
              <w:rPr>
                <w:b/>
                <w:iCs/>
              </w:rPr>
            </w:pPr>
            <w:r w:rsidRPr="00D35D44">
              <w:rPr>
                <w:b/>
                <w:iCs/>
              </w:rPr>
              <w:t>Panitumumab + CT (</w:t>
            </w:r>
            <w:r w:rsidR="00DE76D4" w:rsidRPr="00D35D44">
              <w:rPr>
                <w:b/>
                <w:iCs/>
              </w:rPr>
              <w:t xml:space="preserve">cisplatin or </w:t>
            </w:r>
            <w:proofErr w:type="spellStart"/>
            <w:r w:rsidR="00DE76D4" w:rsidRPr="00D35D44">
              <w:rPr>
                <w:b/>
                <w:iCs/>
              </w:rPr>
              <w:t>carboplatin</w:t>
            </w:r>
            <w:r w:rsidR="00DE76D4" w:rsidRPr="00D35D44">
              <w:rPr>
                <w:b/>
                <w:iCs/>
                <w:vertAlign w:val="superscript"/>
              </w:rPr>
              <w:t>d</w:t>
            </w:r>
            <w:proofErr w:type="spellEnd"/>
            <w:r w:rsidR="00DE76D4" w:rsidRPr="00D35D44">
              <w:rPr>
                <w:b/>
                <w:iCs/>
              </w:rPr>
              <w:t xml:space="preserve"> +</w:t>
            </w:r>
            <w:r w:rsidR="000120B1" w:rsidRPr="00D35D44">
              <w:rPr>
                <w:b/>
                <w:iCs/>
              </w:rPr>
              <w:t xml:space="preserve"> </w:t>
            </w:r>
            <w:r w:rsidRPr="00D35D44">
              <w:rPr>
                <w:b/>
                <w:iCs/>
              </w:rPr>
              <w:t>docetaxel) vs CT only</w:t>
            </w:r>
            <w:r w:rsidR="00DE76D4" w:rsidRPr="00D35D44">
              <w:rPr>
                <w:b/>
                <w:iCs/>
              </w:rPr>
              <w:t xml:space="preserve"> (cisplatin or </w:t>
            </w:r>
            <w:proofErr w:type="spellStart"/>
            <w:r w:rsidR="00DE76D4" w:rsidRPr="00D35D44">
              <w:rPr>
                <w:b/>
                <w:iCs/>
              </w:rPr>
              <w:t>carboplatin</w:t>
            </w:r>
            <w:r w:rsidR="00DE76D4" w:rsidRPr="00D35D44">
              <w:rPr>
                <w:b/>
                <w:iCs/>
                <w:vertAlign w:val="superscript"/>
              </w:rPr>
              <w:t>d</w:t>
            </w:r>
            <w:proofErr w:type="spellEnd"/>
            <w:r w:rsidR="00DE76D4" w:rsidRPr="00D35D44">
              <w:rPr>
                <w:b/>
                <w:iCs/>
              </w:rPr>
              <w:t>+ docetaxel</w:t>
            </w:r>
            <w:r w:rsidR="006E2C88" w:rsidRPr="00D35D44">
              <w:rPr>
                <w:b/>
                <w:iCs/>
              </w:rPr>
              <w:t>)</w:t>
            </w:r>
            <w:r w:rsidR="00DE76D4" w:rsidRPr="00D35D44">
              <w:rPr>
                <w:b/>
                <w:iCs/>
              </w:rPr>
              <w:t xml:space="preserve"> </w:t>
            </w:r>
          </w:p>
        </w:tc>
      </w:tr>
      <w:tr w:rsidR="004F2351" w:rsidRPr="00D35D44" w:rsidTr="004F2351">
        <w:tc>
          <w:tcPr>
            <w:tcW w:w="734" w:type="pct"/>
            <w:shd w:val="clear" w:color="auto" w:fill="auto"/>
            <w:vAlign w:val="center"/>
          </w:tcPr>
          <w:p w:rsidR="004F2351" w:rsidRPr="00D35D44" w:rsidRDefault="004F2351" w:rsidP="002E2883">
            <w:pPr>
              <w:pStyle w:val="Tabletext"/>
              <w:keepNext/>
              <w:rPr>
                <w:bCs/>
                <w:iCs/>
              </w:rPr>
            </w:pPr>
            <w:r w:rsidRPr="00D35D44">
              <w:rPr>
                <w:bCs/>
                <w:iCs/>
              </w:rPr>
              <w:t>PARTNER</w:t>
            </w:r>
          </w:p>
        </w:tc>
        <w:tc>
          <w:tcPr>
            <w:tcW w:w="462" w:type="pct"/>
            <w:shd w:val="clear" w:color="auto" w:fill="auto"/>
            <w:vAlign w:val="center"/>
          </w:tcPr>
          <w:p w:rsidR="004F2351" w:rsidRPr="00D35D44" w:rsidRDefault="004F2351" w:rsidP="002E2883">
            <w:pPr>
              <w:pStyle w:val="Tabletext"/>
              <w:keepNext/>
              <w:jc w:val="center"/>
              <w:rPr>
                <w:bCs/>
                <w:iCs/>
              </w:rPr>
            </w:pPr>
            <w:r w:rsidRPr="00D35D44">
              <w:rPr>
                <w:bCs/>
                <w:iCs/>
              </w:rPr>
              <w:t>113</w:t>
            </w:r>
          </w:p>
        </w:tc>
        <w:tc>
          <w:tcPr>
            <w:tcW w:w="778" w:type="pct"/>
            <w:shd w:val="clear" w:color="auto" w:fill="auto"/>
            <w:vAlign w:val="center"/>
          </w:tcPr>
          <w:p w:rsidR="004F2351" w:rsidRPr="00D35D44" w:rsidRDefault="004F2351" w:rsidP="002E2883">
            <w:pPr>
              <w:pStyle w:val="Tabletext"/>
              <w:keepNext/>
              <w:jc w:val="center"/>
              <w:rPr>
                <w:bCs/>
                <w:iCs/>
              </w:rPr>
            </w:pPr>
            <w:r w:rsidRPr="00D35D44">
              <w:rPr>
                <w:bCs/>
                <w:iCs/>
              </w:rPr>
              <w:t>R, OL</w:t>
            </w:r>
          </w:p>
          <w:p w:rsidR="004F2351" w:rsidRPr="00D35D44" w:rsidRDefault="004F2351" w:rsidP="002E2883">
            <w:pPr>
              <w:pStyle w:val="Tabletext"/>
              <w:keepNext/>
              <w:jc w:val="center"/>
              <w:rPr>
                <w:bCs/>
                <w:iCs/>
              </w:rPr>
            </w:pPr>
            <w:r w:rsidRPr="00D35D44">
              <w:rPr>
                <w:bCs/>
                <w:iCs/>
              </w:rPr>
              <w:t xml:space="preserve">50 </w:t>
            </w:r>
            <w:proofErr w:type="spellStart"/>
            <w:r w:rsidRPr="00D35D44">
              <w:rPr>
                <w:bCs/>
                <w:iCs/>
              </w:rPr>
              <w:t>months</w:t>
            </w:r>
            <w:r w:rsidR="00DE76D4" w:rsidRPr="00D35D44">
              <w:rPr>
                <w:bCs/>
                <w:iCs/>
                <w:vertAlign w:val="superscript"/>
              </w:rPr>
              <w:t>e</w:t>
            </w:r>
            <w:proofErr w:type="spellEnd"/>
          </w:p>
        </w:tc>
        <w:tc>
          <w:tcPr>
            <w:tcW w:w="617" w:type="pct"/>
            <w:shd w:val="clear" w:color="auto" w:fill="auto"/>
            <w:vAlign w:val="center"/>
          </w:tcPr>
          <w:p w:rsidR="004F2351" w:rsidRPr="00D35D44" w:rsidRDefault="004F2351" w:rsidP="002E2883">
            <w:pPr>
              <w:pStyle w:val="Tabletext"/>
              <w:keepNext/>
              <w:jc w:val="center"/>
              <w:rPr>
                <w:bCs/>
                <w:iCs/>
              </w:rPr>
            </w:pPr>
            <w:proofErr w:type="spellStart"/>
            <w:r w:rsidRPr="00D35D44">
              <w:rPr>
                <w:bCs/>
                <w:iCs/>
              </w:rPr>
              <w:t>High</w:t>
            </w:r>
            <w:r w:rsidR="00DE76D4" w:rsidRPr="00D35D44">
              <w:rPr>
                <w:bCs/>
                <w:iCs/>
                <w:vertAlign w:val="superscript"/>
              </w:rPr>
              <w:t>f</w:t>
            </w:r>
            <w:proofErr w:type="spellEnd"/>
          </w:p>
        </w:tc>
        <w:tc>
          <w:tcPr>
            <w:tcW w:w="854" w:type="pct"/>
            <w:shd w:val="clear" w:color="auto" w:fill="auto"/>
            <w:vAlign w:val="center"/>
          </w:tcPr>
          <w:p w:rsidR="004F2351" w:rsidRPr="00D35D44" w:rsidRDefault="004F2351" w:rsidP="002E2883">
            <w:pPr>
              <w:pStyle w:val="Tabletext"/>
              <w:keepNext/>
              <w:jc w:val="center"/>
              <w:rPr>
                <w:bCs/>
                <w:iCs/>
              </w:rPr>
            </w:pPr>
            <w:r w:rsidRPr="00D35D44">
              <w:rPr>
                <w:bCs/>
                <w:iCs/>
              </w:rPr>
              <w:t>First line RM SCCHN</w:t>
            </w:r>
          </w:p>
        </w:tc>
        <w:tc>
          <w:tcPr>
            <w:tcW w:w="619" w:type="pct"/>
            <w:shd w:val="clear" w:color="auto" w:fill="auto"/>
            <w:vAlign w:val="center"/>
          </w:tcPr>
          <w:p w:rsidR="004F2351" w:rsidRPr="00D35D44" w:rsidRDefault="004F2351" w:rsidP="002E2883">
            <w:pPr>
              <w:pStyle w:val="Tabletext"/>
              <w:keepNext/>
              <w:jc w:val="center"/>
              <w:rPr>
                <w:bCs/>
                <w:iCs/>
              </w:rPr>
            </w:pPr>
            <w:r w:rsidRPr="00D35D44">
              <w:rPr>
                <w:bCs/>
                <w:iCs/>
              </w:rPr>
              <w:t xml:space="preserve">PFS, OS, response </w:t>
            </w:r>
          </w:p>
        </w:tc>
        <w:tc>
          <w:tcPr>
            <w:tcW w:w="936" w:type="pct"/>
            <w:shd w:val="clear" w:color="auto" w:fill="auto"/>
            <w:vAlign w:val="center"/>
          </w:tcPr>
          <w:p w:rsidR="004F2351" w:rsidRPr="00D35D44" w:rsidRDefault="004F2351" w:rsidP="002E2883">
            <w:pPr>
              <w:pStyle w:val="Tabletext"/>
              <w:keepNext/>
              <w:jc w:val="center"/>
              <w:rPr>
                <w:bCs/>
                <w:iCs/>
              </w:rPr>
            </w:pPr>
            <w:r w:rsidRPr="00D35D44">
              <w:rPr>
                <w:bCs/>
                <w:iCs/>
              </w:rPr>
              <w:t>Not used</w:t>
            </w:r>
          </w:p>
        </w:tc>
      </w:tr>
    </w:tbl>
    <w:p w:rsidR="004F2351" w:rsidRPr="00D35D44" w:rsidRDefault="007A5DE2" w:rsidP="004F2351">
      <w:pPr>
        <w:pStyle w:val="TableFooter"/>
        <w:rPr>
          <w:bCs/>
          <w:iCs/>
        </w:rPr>
      </w:pPr>
      <w:r w:rsidRPr="00D35D44">
        <w:rPr>
          <w:bCs/>
          <w:iCs/>
        </w:rPr>
        <w:t xml:space="preserve">Abbreviations: </w:t>
      </w:r>
      <w:r w:rsidR="004F2351" w:rsidRPr="00D35D44">
        <w:rPr>
          <w:bCs/>
          <w:iCs/>
        </w:rPr>
        <w:t>CT = Chemotherapy;</w:t>
      </w:r>
      <w:r w:rsidR="00DE76D4" w:rsidRPr="00D35D44">
        <w:rPr>
          <w:bCs/>
          <w:iCs/>
        </w:rPr>
        <w:t xml:space="preserve"> 5-FU = 5-fluorouracil;</w:t>
      </w:r>
      <w:r w:rsidR="004F2351" w:rsidRPr="00D35D44">
        <w:rPr>
          <w:bCs/>
          <w:iCs/>
        </w:rPr>
        <w:t xml:space="preserve"> RM = recurrent or metastatic; SCCHN = squamous cell carcinoma of the head and neck; OL=open label; OS=overall survival; PFS=progression-free survival; R=randomised.</w:t>
      </w:r>
    </w:p>
    <w:p w:rsidR="004F2351" w:rsidRPr="00D35D44" w:rsidRDefault="004F2351" w:rsidP="004F2351">
      <w:pPr>
        <w:pStyle w:val="TableFooter"/>
        <w:rPr>
          <w:bCs/>
          <w:iCs/>
        </w:rPr>
      </w:pPr>
      <w:proofErr w:type="gramStart"/>
      <w:r w:rsidRPr="00D35D44">
        <w:rPr>
          <w:bCs/>
          <w:iCs/>
          <w:vertAlign w:val="superscript"/>
        </w:rPr>
        <w:t>a</w:t>
      </w:r>
      <w:proofErr w:type="gramEnd"/>
      <w:r w:rsidRPr="00D35D44">
        <w:rPr>
          <w:bCs/>
          <w:iCs/>
        </w:rPr>
        <w:t xml:space="preserve"> Median follow up for cetuximab + CT arm 19.2 months and CT only arm 18.2 months. Maximum follow up for patient alive was 26 months</w:t>
      </w:r>
    </w:p>
    <w:p w:rsidR="00DE76D4" w:rsidRPr="00D35D44" w:rsidRDefault="004F2351" w:rsidP="00DE76D4">
      <w:pPr>
        <w:pStyle w:val="TableFooter"/>
        <w:rPr>
          <w:bCs/>
          <w:iCs/>
        </w:rPr>
      </w:pPr>
      <w:proofErr w:type="gramStart"/>
      <w:r w:rsidRPr="00D35D44">
        <w:rPr>
          <w:bCs/>
          <w:iCs/>
          <w:vertAlign w:val="superscript"/>
        </w:rPr>
        <w:t>b</w:t>
      </w:r>
      <w:proofErr w:type="gramEnd"/>
      <w:r w:rsidRPr="00D35D44">
        <w:rPr>
          <w:bCs/>
          <w:iCs/>
        </w:rPr>
        <w:t xml:space="preserve"> </w:t>
      </w:r>
      <w:r w:rsidR="00DE76D4" w:rsidRPr="00D35D44">
        <w:rPr>
          <w:bCs/>
          <w:iCs/>
        </w:rPr>
        <w:t xml:space="preserve">All patients started on cisplatin and may switch to carboplatin if creatinine clearance &lt;50mL/min or had &gt;grade 2 neurotoxic adverse event </w:t>
      </w:r>
    </w:p>
    <w:p w:rsidR="008F7556" w:rsidRPr="00D35D44" w:rsidRDefault="00DE76D4" w:rsidP="006E2C88">
      <w:pPr>
        <w:pStyle w:val="TableFooter"/>
        <w:ind w:left="165" w:hanging="165"/>
        <w:rPr>
          <w:bCs/>
          <w:iCs/>
        </w:rPr>
      </w:pPr>
      <w:proofErr w:type="gramStart"/>
      <w:r w:rsidRPr="00D35D44">
        <w:rPr>
          <w:bCs/>
          <w:iCs/>
          <w:vertAlign w:val="superscript"/>
        </w:rPr>
        <w:t>c</w:t>
      </w:r>
      <w:proofErr w:type="gramEnd"/>
      <w:r w:rsidR="008F7556" w:rsidRPr="00D35D44">
        <w:rPr>
          <w:bCs/>
          <w:iCs/>
          <w:vertAlign w:val="superscript"/>
        </w:rPr>
        <w:t xml:space="preserve"> </w:t>
      </w:r>
      <w:r w:rsidR="004F2351" w:rsidRPr="00D35D44">
        <w:rPr>
          <w:bCs/>
          <w:iCs/>
        </w:rPr>
        <w:t>Planned 18 months follow up per patient.</w:t>
      </w:r>
      <w:r w:rsidR="000120B1" w:rsidRPr="00D35D44">
        <w:rPr>
          <w:bCs/>
          <w:iCs/>
        </w:rPr>
        <w:t xml:space="preserve"> </w:t>
      </w:r>
      <w:r w:rsidR="004F2351" w:rsidRPr="00D35D44">
        <w:rPr>
          <w:bCs/>
          <w:iCs/>
        </w:rPr>
        <w:t xml:space="preserve">Median </w:t>
      </w:r>
      <w:proofErr w:type="gramStart"/>
      <w:r w:rsidR="004F2351" w:rsidRPr="00D35D44">
        <w:rPr>
          <w:bCs/>
          <w:iCs/>
        </w:rPr>
        <w:t>follow</w:t>
      </w:r>
      <w:proofErr w:type="gramEnd"/>
      <w:r w:rsidR="004F2351" w:rsidRPr="00D35D44">
        <w:rPr>
          <w:bCs/>
          <w:iCs/>
        </w:rPr>
        <w:t xml:space="preserve"> up in panitumumab + CT 44 weeks and CT only 35 weeks. </w:t>
      </w:r>
    </w:p>
    <w:p w:rsidR="00DE76D4" w:rsidRPr="00D35D44" w:rsidRDefault="00DE76D4" w:rsidP="006E2C88">
      <w:pPr>
        <w:pStyle w:val="TableFooter"/>
        <w:ind w:left="165" w:hanging="165"/>
        <w:rPr>
          <w:bCs/>
          <w:iCs/>
          <w:vertAlign w:val="superscript"/>
        </w:rPr>
      </w:pPr>
      <w:proofErr w:type="gramStart"/>
      <w:r w:rsidRPr="00D35D44">
        <w:rPr>
          <w:bCs/>
          <w:iCs/>
          <w:vertAlign w:val="superscript"/>
        </w:rPr>
        <w:t>d</w:t>
      </w:r>
      <w:proofErr w:type="gramEnd"/>
      <w:r w:rsidRPr="00D35D44">
        <w:rPr>
          <w:bCs/>
          <w:iCs/>
          <w:vertAlign w:val="superscript"/>
        </w:rPr>
        <w:t xml:space="preserve"> </w:t>
      </w:r>
      <w:r w:rsidRPr="00D35D44">
        <w:rPr>
          <w:bCs/>
          <w:iCs/>
        </w:rPr>
        <w:t>All patients started on cisplatin and may switch to carboplatin if creatinine clearance &lt;60mL/min or had &gt;grade 2 neurotoxic adverse event.</w:t>
      </w:r>
      <w:r w:rsidR="000120B1" w:rsidRPr="00D35D44">
        <w:rPr>
          <w:bCs/>
          <w:iCs/>
        </w:rPr>
        <w:t xml:space="preserve"> </w:t>
      </w:r>
      <w:r w:rsidRPr="00D35D44">
        <w:rPr>
          <w:bCs/>
          <w:iCs/>
        </w:rPr>
        <w:t>Patients in CT only arm could switch to panitumumab after progression of disease</w:t>
      </w:r>
    </w:p>
    <w:p w:rsidR="004F2351" w:rsidRPr="00D35D44" w:rsidRDefault="00DE76D4" w:rsidP="004F2351">
      <w:pPr>
        <w:pStyle w:val="TableFooter"/>
        <w:rPr>
          <w:bCs/>
          <w:iCs/>
        </w:rPr>
      </w:pPr>
      <w:proofErr w:type="gramStart"/>
      <w:r w:rsidRPr="00D35D44">
        <w:rPr>
          <w:bCs/>
          <w:iCs/>
          <w:vertAlign w:val="superscript"/>
        </w:rPr>
        <w:t>e</w:t>
      </w:r>
      <w:proofErr w:type="gramEnd"/>
      <w:r w:rsidR="004F2351" w:rsidRPr="00D35D44">
        <w:rPr>
          <w:bCs/>
          <w:iCs/>
          <w:vertAlign w:val="superscript"/>
        </w:rPr>
        <w:t xml:space="preserve"> </w:t>
      </w:r>
      <w:r w:rsidR="004F2351" w:rsidRPr="00D35D44">
        <w:rPr>
          <w:bCs/>
          <w:iCs/>
        </w:rPr>
        <w:t>Duration not specified in trial publication but Kaplan Meier curves showed data up to 50 months.</w:t>
      </w:r>
    </w:p>
    <w:p w:rsidR="004F2351" w:rsidRPr="00D35D44" w:rsidRDefault="00DE76D4" w:rsidP="004F2351">
      <w:pPr>
        <w:pStyle w:val="TableFooter"/>
        <w:rPr>
          <w:bCs/>
          <w:iCs/>
        </w:rPr>
      </w:pPr>
      <w:proofErr w:type="gramStart"/>
      <w:r w:rsidRPr="00D35D44">
        <w:rPr>
          <w:bCs/>
          <w:iCs/>
          <w:vertAlign w:val="superscript"/>
        </w:rPr>
        <w:t>f</w:t>
      </w:r>
      <w:proofErr w:type="gramEnd"/>
      <w:r w:rsidR="004F2351" w:rsidRPr="00D35D44">
        <w:rPr>
          <w:bCs/>
          <w:iCs/>
        </w:rPr>
        <w:t xml:space="preserve"> High due to cross over from CT only to panitumumab + CT and open label trial design introduce bias for subjective outcomes</w:t>
      </w:r>
    </w:p>
    <w:p w:rsidR="004F2351" w:rsidRPr="00D35D44" w:rsidRDefault="004F2351" w:rsidP="005E5089">
      <w:pPr>
        <w:pStyle w:val="TableFooter"/>
        <w:spacing w:after="120"/>
        <w:rPr>
          <w:bCs/>
          <w:iCs/>
          <w:sz w:val="20"/>
        </w:rPr>
      </w:pPr>
      <w:r w:rsidRPr="00D35D44">
        <w:rPr>
          <w:bCs/>
          <w:iCs/>
        </w:rPr>
        <w:t xml:space="preserve">Source: constructed during evaluation using information from </w:t>
      </w:r>
      <w:proofErr w:type="spellStart"/>
      <w:r w:rsidRPr="00D35D44">
        <w:rPr>
          <w:bCs/>
          <w:iCs/>
        </w:rPr>
        <w:t>Vermorken</w:t>
      </w:r>
      <w:proofErr w:type="spellEnd"/>
      <w:r w:rsidRPr="00D35D44">
        <w:rPr>
          <w:bCs/>
          <w:iCs/>
        </w:rPr>
        <w:t xml:space="preserve"> 2008, </w:t>
      </w:r>
      <w:proofErr w:type="spellStart"/>
      <w:r w:rsidRPr="00D35D44">
        <w:rPr>
          <w:bCs/>
          <w:iCs/>
        </w:rPr>
        <w:t>Vermorken</w:t>
      </w:r>
      <w:proofErr w:type="spellEnd"/>
      <w:r w:rsidRPr="00D35D44">
        <w:rPr>
          <w:bCs/>
          <w:iCs/>
        </w:rPr>
        <w:t xml:space="preserve"> 2013 and Wirth 2016</w:t>
      </w:r>
    </w:p>
    <w:p w:rsidR="00D31920" w:rsidRPr="00D35D44" w:rsidRDefault="000668C5" w:rsidP="00846F9C">
      <w:pPr>
        <w:pStyle w:val="ListParagraph"/>
        <w:widowControl/>
        <w:numPr>
          <w:ilvl w:val="1"/>
          <w:numId w:val="2"/>
        </w:numPr>
        <w:rPr>
          <w:bCs/>
        </w:rPr>
      </w:pPr>
      <w:r w:rsidRPr="00D35D44">
        <w:rPr>
          <w:bCs/>
        </w:rPr>
        <w:t>The</w:t>
      </w:r>
      <w:r w:rsidR="00EA5600" w:rsidRPr="00D35D44">
        <w:rPr>
          <w:bCs/>
        </w:rPr>
        <w:t xml:space="preserve"> EXTREME trial was an open label trial that compared </w:t>
      </w:r>
      <w:r w:rsidR="006E2C88" w:rsidRPr="00D35D44">
        <w:rPr>
          <w:bCs/>
        </w:rPr>
        <w:t>treatment</w:t>
      </w:r>
      <w:r w:rsidR="006B400D" w:rsidRPr="00D35D44">
        <w:rPr>
          <w:bCs/>
        </w:rPr>
        <w:t xml:space="preserve"> with </w:t>
      </w:r>
      <w:r w:rsidR="00EA5600" w:rsidRPr="00D35D44">
        <w:rPr>
          <w:bCs/>
        </w:rPr>
        <w:t>cetuximab + CT</w:t>
      </w:r>
      <w:r w:rsidR="006E2C88" w:rsidRPr="00D35D44">
        <w:rPr>
          <w:bCs/>
        </w:rPr>
        <w:t xml:space="preserve"> versus CT only</w:t>
      </w:r>
      <w:r w:rsidR="00296E5C" w:rsidRPr="00D35D44">
        <w:rPr>
          <w:bCs/>
        </w:rPr>
        <w:t xml:space="preserve"> in first line treatment of RM SCCHN</w:t>
      </w:r>
      <w:r w:rsidR="00EA5600" w:rsidRPr="00D35D44">
        <w:rPr>
          <w:bCs/>
        </w:rPr>
        <w:t>.</w:t>
      </w:r>
      <w:r w:rsidR="000120B1" w:rsidRPr="00D35D44">
        <w:rPr>
          <w:bCs/>
        </w:rPr>
        <w:t xml:space="preserve"> </w:t>
      </w:r>
      <w:r w:rsidR="006E2C88" w:rsidRPr="00D35D44">
        <w:rPr>
          <w:bCs/>
        </w:rPr>
        <w:t>The chemotherapy regimen administered in the trial consisted of carboplatin or cisplatin in combination with 5 –fluorouracil (5-FU).</w:t>
      </w:r>
      <w:r w:rsidR="000120B1" w:rsidRPr="00D35D44">
        <w:rPr>
          <w:bCs/>
        </w:rPr>
        <w:t xml:space="preserve"> </w:t>
      </w:r>
      <w:r w:rsidR="00EA5600" w:rsidRPr="00D35D44">
        <w:rPr>
          <w:bCs/>
        </w:rPr>
        <w:t xml:space="preserve">The </w:t>
      </w:r>
      <w:r w:rsidR="006B400D" w:rsidRPr="00D35D44">
        <w:rPr>
          <w:bCs/>
        </w:rPr>
        <w:t>overall median trial follow-</w:t>
      </w:r>
      <w:r w:rsidR="00822769" w:rsidRPr="00D35D44">
        <w:rPr>
          <w:bCs/>
        </w:rPr>
        <w:t>up</w:t>
      </w:r>
      <w:r w:rsidR="00822769" w:rsidRPr="00D35D44">
        <w:t xml:space="preserve"> was </w:t>
      </w:r>
      <w:r w:rsidR="00822769" w:rsidRPr="00D35D44">
        <w:rPr>
          <w:bCs/>
        </w:rPr>
        <w:t>19.2 and 18.2 months for cetuximab + CT and CT only arms of the trial</w:t>
      </w:r>
      <w:r w:rsidRPr="00D35D44">
        <w:rPr>
          <w:bCs/>
        </w:rPr>
        <w:t>, respectively</w:t>
      </w:r>
      <w:r w:rsidR="00822769" w:rsidRPr="00D35D44">
        <w:rPr>
          <w:bCs/>
        </w:rPr>
        <w:t>.</w:t>
      </w:r>
      <w:r w:rsidR="000120B1" w:rsidRPr="00D35D44">
        <w:rPr>
          <w:bCs/>
        </w:rPr>
        <w:t xml:space="preserve"> </w:t>
      </w:r>
      <w:r w:rsidR="00822769" w:rsidRPr="00D35D44">
        <w:rPr>
          <w:bCs/>
          <w:iCs/>
        </w:rPr>
        <w:t xml:space="preserve">Although </w:t>
      </w:r>
      <w:r w:rsidR="00D31920" w:rsidRPr="00D35D44">
        <w:rPr>
          <w:bCs/>
          <w:iCs/>
        </w:rPr>
        <w:t>the risk</w:t>
      </w:r>
      <w:r w:rsidR="00D31920" w:rsidRPr="00D35D44">
        <w:rPr>
          <w:bCs/>
        </w:rPr>
        <w:t xml:space="preserve"> of bias </w:t>
      </w:r>
      <w:r w:rsidR="00822769" w:rsidRPr="00D35D44">
        <w:rPr>
          <w:bCs/>
        </w:rPr>
        <w:t xml:space="preserve">was </w:t>
      </w:r>
      <w:r w:rsidR="00D31920" w:rsidRPr="00D35D44">
        <w:rPr>
          <w:bCs/>
        </w:rPr>
        <w:t xml:space="preserve">low </w:t>
      </w:r>
      <w:r w:rsidR="00822769" w:rsidRPr="00D35D44">
        <w:rPr>
          <w:bCs/>
        </w:rPr>
        <w:t>for the</w:t>
      </w:r>
      <w:r w:rsidR="00D31920" w:rsidRPr="00D35D44">
        <w:rPr>
          <w:bCs/>
        </w:rPr>
        <w:t xml:space="preserve"> primary out</w:t>
      </w:r>
      <w:r w:rsidR="00EA5600" w:rsidRPr="00D35D44">
        <w:rPr>
          <w:bCs/>
        </w:rPr>
        <w:t>come of OS</w:t>
      </w:r>
      <w:r w:rsidR="00822769" w:rsidRPr="00D35D44">
        <w:rPr>
          <w:bCs/>
        </w:rPr>
        <w:t xml:space="preserve"> which was an objective outcome</w:t>
      </w:r>
      <w:r w:rsidR="00996C5A" w:rsidRPr="00D35D44">
        <w:rPr>
          <w:bCs/>
        </w:rPr>
        <w:t xml:space="preserve">, </w:t>
      </w:r>
      <w:r w:rsidR="00301CC6" w:rsidRPr="00D35D44">
        <w:rPr>
          <w:bCs/>
        </w:rPr>
        <w:t>the open</w:t>
      </w:r>
      <w:r w:rsidR="00822769" w:rsidRPr="00D35D44">
        <w:rPr>
          <w:bCs/>
        </w:rPr>
        <w:t xml:space="preserve">-label design of the trial meant that </w:t>
      </w:r>
      <w:r w:rsidR="00D31920" w:rsidRPr="00D35D44">
        <w:rPr>
          <w:bCs/>
        </w:rPr>
        <w:t>more subjective outcome</w:t>
      </w:r>
      <w:r w:rsidR="00822769" w:rsidRPr="00D35D44">
        <w:rPr>
          <w:bCs/>
        </w:rPr>
        <w:t>s</w:t>
      </w:r>
      <w:r w:rsidR="00D31920" w:rsidRPr="00D35D44">
        <w:rPr>
          <w:bCs/>
        </w:rPr>
        <w:t xml:space="preserve"> such as PFS, response rate, quality of life </w:t>
      </w:r>
      <w:r w:rsidR="00822769" w:rsidRPr="00D35D44">
        <w:rPr>
          <w:bCs/>
        </w:rPr>
        <w:t xml:space="preserve">(QoL) </w:t>
      </w:r>
      <w:r w:rsidR="00D31920" w:rsidRPr="00D35D44">
        <w:rPr>
          <w:bCs/>
        </w:rPr>
        <w:t xml:space="preserve">and </w:t>
      </w:r>
      <w:r w:rsidR="00822769" w:rsidRPr="00D35D44">
        <w:rPr>
          <w:bCs/>
        </w:rPr>
        <w:t xml:space="preserve">self-reported </w:t>
      </w:r>
      <w:r w:rsidR="00D31920" w:rsidRPr="00D35D44">
        <w:rPr>
          <w:bCs/>
        </w:rPr>
        <w:t xml:space="preserve">adverse events </w:t>
      </w:r>
      <w:r w:rsidR="00822769" w:rsidRPr="00D35D44">
        <w:rPr>
          <w:bCs/>
        </w:rPr>
        <w:t>may be biased.</w:t>
      </w:r>
    </w:p>
    <w:p w:rsidR="00EA5600" w:rsidRDefault="00EA5600" w:rsidP="00846F9C">
      <w:pPr>
        <w:pStyle w:val="ListParagraph"/>
        <w:widowControl/>
        <w:numPr>
          <w:ilvl w:val="1"/>
          <w:numId w:val="2"/>
        </w:numPr>
        <w:rPr>
          <w:bCs/>
        </w:rPr>
      </w:pPr>
      <w:r w:rsidRPr="00D35D44">
        <w:rPr>
          <w:bCs/>
        </w:rPr>
        <w:t>SPECTRUM and PARTNER were two</w:t>
      </w:r>
      <w:r w:rsidR="00996C5A" w:rsidRPr="00D35D44">
        <w:rPr>
          <w:bCs/>
        </w:rPr>
        <w:t xml:space="preserve"> open label</w:t>
      </w:r>
      <w:r w:rsidRPr="00D35D44">
        <w:rPr>
          <w:bCs/>
        </w:rPr>
        <w:t xml:space="preserve"> trials of panitumumab (</w:t>
      </w:r>
      <w:r w:rsidR="00FA215F" w:rsidRPr="00D35D44">
        <w:rPr>
          <w:bCs/>
        </w:rPr>
        <w:t>an alternate anti-EGFR antibody</w:t>
      </w:r>
      <w:r w:rsidRPr="00D35D44">
        <w:rPr>
          <w:bCs/>
        </w:rPr>
        <w:t>) in</w:t>
      </w:r>
      <w:r w:rsidR="00C16925" w:rsidRPr="00D35D44">
        <w:rPr>
          <w:bCs/>
        </w:rPr>
        <w:t xml:space="preserve"> first line</w:t>
      </w:r>
      <w:r w:rsidRPr="00D35D44">
        <w:rPr>
          <w:bCs/>
        </w:rPr>
        <w:t xml:space="preserve"> RM SCCHN.</w:t>
      </w:r>
      <w:r w:rsidR="000120B1" w:rsidRPr="00D35D44">
        <w:rPr>
          <w:bCs/>
        </w:rPr>
        <w:t xml:space="preserve"> </w:t>
      </w:r>
      <w:r w:rsidRPr="00D35D44">
        <w:rPr>
          <w:bCs/>
        </w:rPr>
        <w:t xml:space="preserve">Both trials compared panitumumab + CT versus CT </w:t>
      </w:r>
      <w:r w:rsidR="00FA215F" w:rsidRPr="00D35D44">
        <w:rPr>
          <w:bCs/>
        </w:rPr>
        <w:t>only;</w:t>
      </w:r>
      <w:r w:rsidRPr="00D35D44">
        <w:rPr>
          <w:bCs/>
        </w:rPr>
        <w:t xml:space="preserve"> however PARTNER also permitted use of docetaxel in both treatment arms.</w:t>
      </w:r>
      <w:r w:rsidR="000120B1" w:rsidRPr="00D35D44">
        <w:rPr>
          <w:bCs/>
        </w:rPr>
        <w:t xml:space="preserve"> </w:t>
      </w:r>
      <w:r w:rsidR="00996C5A" w:rsidRPr="00D35D44">
        <w:rPr>
          <w:bCs/>
        </w:rPr>
        <w:t>Further, the</w:t>
      </w:r>
      <w:r w:rsidRPr="00D35D44">
        <w:rPr>
          <w:bCs/>
        </w:rPr>
        <w:t xml:space="preserve"> PARTNER trial had allowed patients treated with CT only to cross over and receive panitumumab after progression</w:t>
      </w:r>
      <w:r w:rsidR="000668C5" w:rsidRPr="00D35D44">
        <w:rPr>
          <w:bCs/>
        </w:rPr>
        <w:t>,</w:t>
      </w:r>
      <w:r w:rsidRPr="00D35D44">
        <w:rPr>
          <w:bCs/>
        </w:rPr>
        <w:t xml:space="preserve"> whereas in the EXTREME and SPECTRUM trials</w:t>
      </w:r>
      <w:r w:rsidR="00996C5A" w:rsidRPr="00D35D44">
        <w:rPr>
          <w:bCs/>
        </w:rPr>
        <w:t>,</w:t>
      </w:r>
      <w:r w:rsidRPr="00D35D44">
        <w:rPr>
          <w:bCs/>
        </w:rPr>
        <w:t xml:space="preserve"> crossover was not permitted.</w:t>
      </w:r>
      <w:r w:rsidR="000120B1" w:rsidRPr="00D35D44">
        <w:rPr>
          <w:bCs/>
        </w:rPr>
        <w:t xml:space="preserve"> </w:t>
      </w:r>
    </w:p>
    <w:p w:rsidR="00D31920" w:rsidRPr="009C7D07" w:rsidRDefault="00D31920" w:rsidP="002E2883">
      <w:pPr>
        <w:pStyle w:val="Heading2"/>
      </w:pPr>
      <w:bookmarkStart w:id="7" w:name="_Toc500767928"/>
      <w:r w:rsidRPr="009C7D07">
        <w:t>Comparative effectiveness</w:t>
      </w:r>
      <w:bookmarkEnd w:id="7"/>
    </w:p>
    <w:p w:rsidR="00D31920" w:rsidRPr="00D35D44" w:rsidRDefault="00D31920" w:rsidP="00846F9C">
      <w:pPr>
        <w:pStyle w:val="ListParagraph"/>
        <w:widowControl/>
        <w:numPr>
          <w:ilvl w:val="1"/>
          <w:numId w:val="2"/>
        </w:numPr>
        <w:rPr>
          <w:bCs/>
        </w:rPr>
      </w:pPr>
      <w:r w:rsidRPr="00D35D44">
        <w:rPr>
          <w:rFonts w:cs="Calibri"/>
          <w:bCs/>
          <w:snapToGrid/>
          <w:szCs w:val="24"/>
          <w:lang w:eastAsia="en-AU"/>
        </w:rPr>
        <w:t>The re</w:t>
      </w:r>
      <w:r w:rsidR="00296E5C" w:rsidRPr="00D35D44">
        <w:rPr>
          <w:rFonts w:cs="Calibri"/>
          <w:bCs/>
          <w:snapToGrid/>
          <w:szCs w:val="24"/>
          <w:lang w:eastAsia="en-AU"/>
        </w:rPr>
        <w:t>sults from the ITT population of</w:t>
      </w:r>
      <w:r w:rsidRPr="00D35D44">
        <w:rPr>
          <w:rFonts w:cs="Calibri"/>
          <w:bCs/>
          <w:snapToGrid/>
          <w:szCs w:val="24"/>
          <w:lang w:eastAsia="en-AU"/>
        </w:rPr>
        <w:t xml:space="preserve"> the EXTREME trial</w:t>
      </w:r>
      <w:r w:rsidR="000668C5" w:rsidRPr="00D35D44">
        <w:rPr>
          <w:rFonts w:cs="Calibri"/>
          <w:bCs/>
          <w:snapToGrid/>
          <w:szCs w:val="24"/>
          <w:lang w:eastAsia="en-AU"/>
        </w:rPr>
        <w:t xml:space="preserve">, unchanged from </w:t>
      </w:r>
      <w:r w:rsidR="00301CC6" w:rsidRPr="00D35D44">
        <w:rPr>
          <w:rFonts w:cs="Calibri"/>
          <w:bCs/>
          <w:snapToGrid/>
          <w:szCs w:val="24"/>
          <w:lang w:eastAsia="en-AU"/>
        </w:rPr>
        <w:t>the March</w:t>
      </w:r>
      <w:r w:rsidR="00296E5C" w:rsidRPr="00D35D44">
        <w:rPr>
          <w:rFonts w:cs="Calibri"/>
          <w:bCs/>
          <w:snapToGrid/>
          <w:szCs w:val="24"/>
          <w:lang w:eastAsia="en-AU"/>
        </w:rPr>
        <w:t xml:space="preserve"> 2016 </w:t>
      </w:r>
      <w:r w:rsidRPr="00D35D44">
        <w:rPr>
          <w:rFonts w:cs="Calibri"/>
          <w:bCs/>
          <w:snapToGrid/>
          <w:szCs w:val="24"/>
          <w:lang w:eastAsia="en-AU"/>
        </w:rPr>
        <w:t>submission</w:t>
      </w:r>
      <w:r w:rsidR="00136C7B" w:rsidRPr="00D35D44">
        <w:rPr>
          <w:rFonts w:cs="Calibri"/>
          <w:bCs/>
          <w:snapToGrid/>
          <w:szCs w:val="24"/>
          <w:lang w:eastAsia="en-AU"/>
        </w:rPr>
        <w:t>,</w:t>
      </w:r>
      <w:r w:rsidRPr="00D35D44">
        <w:rPr>
          <w:rFonts w:cs="Calibri"/>
          <w:bCs/>
          <w:snapToGrid/>
          <w:szCs w:val="24"/>
          <w:lang w:eastAsia="en-AU"/>
        </w:rPr>
        <w:t xml:space="preserve"> are summarised in Table 6.</w:t>
      </w:r>
    </w:p>
    <w:p w:rsidR="00D31920" w:rsidRPr="00D35D44" w:rsidRDefault="00D31920" w:rsidP="005E5089">
      <w:pPr>
        <w:keepNext/>
        <w:rPr>
          <w:rStyle w:val="CommentReference"/>
          <w:bCs/>
        </w:rPr>
      </w:pPr>
      <w:r w:rsidRPr="00D35D44">
        <w:rPr>
          <w:rStyle w:val="CommentReference"/>
          <w:bCs/>
        </w:rPr>
        <w:lastRenderedPageBreak/>
        <w:t>Table 6:</w:t>
      </w:r>
      <w:r w:rsidR="000120B1" w:rsidRPr="00D35D44">
        <w:rPr>
          <w:rStyle w:val="CommentReference"/>
          <w:bCs/>
        </w:rPr>
        <w:t xml:space="preserve"> </w:t>
      </w:r>
      <w:r w:rsidRPr="00D35D44">
        <w:rPr>
          <w:rStyle w:val="CommentReference"/>
          <w:bCs/>
        </w:rPr>
        <w:t>Summary of outcomes in</w:t>
      </w:r>
      <w:r w:rsidR="00296E5C" w:rsidRPr="00D35D44">
        <w:rPr>
          <w:rStyle w:val="CommentReference"/>
          <w:bCs/>
        </w:rPr>
        <w:t xml:space="preserve"> the</w:t>
      </w:r>
      <w:r w:rsidRPr="00D35D44">
        <w:rPr>
          <w:rStyle w:val="CommentReference"/>
          <w:bCs/>
        </w:rPr>
        <w:t xml:space="preserve"> EXTREME </w:t>
      </w:r>
      <w:r w:rsidR="00296E5C" w:rsidRPr="00D35D44">
        <w:rPr>
          <w:rStyle w:val="CommentReference"/>
          <w:bCs/>
        </w:rPr>
        <w:t>trial</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47"/>
        <w:gridCol w:w="1417"/>
        <w:gridCol w:w="1276"/>
        <w:gridCol w:w="992"/>
        <w:gridCol w:w="1701"/>
        <w:gridCol w:w="1310"/>
      </w:tblGrid>
      <w:tr w:rsidR="00D31920" w:rsidRPr="00D35D44" w:rsidTr="00453585">
        <w:tc>
          <w:tcPr>
            <w:tcW w:w="2547" w:type="dxa"/>
            <w:vAlign w:val="center"/>
          </w:tcPr>
          <w:p w:rsidR="00D31920" w:rsidRPr="00D35D44" w:rsidRDefault="00D31920" w:rsidP="005E5089">
            <w:pPr>
              <w:pStyle w:val="Tabletext"/>
              <w:keepNext/>
              <w:rPr>
                <w:bCs/>
              </w:rPr>
            </w:pPr>
          </w:p>
        </w:tc>
        <w:tc>
          <w:tcPr>
            <w:tcW w:w="1417" w:type="dxa"/>
            <w:vAlign w:val="center"/>
          </w:tcPr>
          <w:p w:rsidR="00D31920" w:rsidRPr="00D35D44" w:rsidRDefault="00D31920" w:rsidP="005E5089">
            <w:pPr>
              <w:pStyle w:val="Tabletext"/>
              <w:keepNext/>
              <w:jc w:val="center"/>
              <w:rPr>
                <w:b/>
                <w:bCs/>
              </w:rPr>
            </w:pPr>
            <w:r w:rsidRPr="00D35D44">
              <w:rPr>
                <w:b/>
                <w:bCs/>
              </w:rPr>
              <w:t xml:space="preserve">Cetuximab + </w:t>
            </w:r>
            <w:proofErr w:type="spellStart"/>
            <w:r w:rsidRPr="00D35D44">
              <w:rPr>
                <w:b/>
                <w:bCs/>
              </w:rPr>
              <w:t>CT</w:t>
            </w:r>
            <w:r w:rsidRPr="00D35D44">
              <w:rPr>
                <w:b/>
                <w:bCs/>
                <w:vertAlign w:val="superscript"/>
              </w:rPr>
              <w:t>a</w:t>
            </w:r>
            <w:proofErr w:type="spellEnd"/>
            <w:r w:rsidRPr="00D35D44">
              <w:rPr>
                <w:b/>
                <w:bCs/>
              </w:rPr>
              <w:t xml:space="preserve"> </w:t>
            </w:r>
          </w:p>
          <w:p w:rsidR="00D31920" w:rsidRPr="00D35D44" w:rsidRDefault="00D31920" w:rsidP="005E5089">
            <w:pPr>
              <w:pStyle w:val="Tabletext"/>
              <w:keepNext/>
              <w:jc w:val="center"/>
              <w:rPr>
                <w:b/>
                <w:bCs/>
              </w:rPr>
            </w:pPr>
            <w:proofErr w:type="gramStart"/>
            <w:r w:rsidRPr="00D35D44">
              <w:rPr>
                <w:b/>
                <w:bCs/>
              </w:rPr>
              <w:t>n/N</w:t>
            </w:r>
            <w:proofErr w:type="gramEnd"/>
            <w:r w:rsidRPr="00D35D44">
              <w:rPr>
                <w:b/>
                <w:bCs/>
              </w:rPr>
              <w:t xml:space="preserve"> (%)</w:t>
            </w:r>
          </w:p>
        </w:tc>
        <w:tc>
          <w:tcPr>
            <w:tcW w:w="1276" w:type="dxa"/>
            <w:vAlign w:val="center"/>
          </w:tcPr>
          <w:p w:rsidR="00D31920" w:rsidRPr="00D35D44" w:rsidRDefault="00D31920" w:rsidP="005E5089">
            <w:pPr>
              <w:pStyle w:val="Tabletext"/>
              <w:keepNext/>
              <w:jc w:val="center"/>
              <w:rPr>
                <w:b/>
                <w:bCs/>
                <w:vertAlign w:val="superscript"/>
              </w:rPr>
            </w:pPr>
            <w:r w:rsidRPr="00D35D44">
              <w:rPr>
                <w:b/>
                <w:bCs/>
              </w:rPr>
              <w:t xml:space="preserve">CT </w:t>
            </w:r>
            <w:proofErr w:type="spellStart"/>
            <w:r w:rsidRPr="00D35D44">
              <w:rPr>
                <w:b/>
                <w:bCs/>
              </w:rPr>
              <w:t>only</w:t>
            </w:r>
            <w:r w:rsidRPr="00D35D44">
              <w:rPr>
                <w:b/>
                <w:bCs/>
                <w:vertAlign w:val="superscript"/>
              </w:rPr>
              <w:t>b</w:t>
            </w:r>
            <w:proofErr w:type="spellEnd"/>
          </w:p>
          <w:p w:rsidR="00D31920" w:rsidRPr="00D35D44" w:rsidRDefault="00D31920" w:rsidP="005E5089">
            <w:pPr>
              <w:pStyle w:val="Tabletext"/>
              <w:keepNext/>
              <w:jc w:val="center"/>
              <w:rPr>
                <w:b/>
                <w:bCs/>
              </w:rPr>
            </w:pPr>
            <w:proofErr w:type="gramStart"/>
            <w:r w:rsidRPr="00D35D44">
              <w:rPr>
                <w:b/>
                <w:bCs/>
              </w:rPr>
              <w:t>n/N</w:t>
            </w:r>
            <w:proofErr w:type="gramEnd"/>
            <w:r w:rsidRPr="00D35D44">
              <w:rPr>
                <w:b/>
                <w:bCs/>
              </w:rPr>
              <w:t xml:space="preserve"> (%)</w:t>
            </w:r>
          </w:p>
        </w:tc>
        <w:tc>
          <w:tcPr>
            <w:tcW w:w="992" w:type="dxa"/>
            <w:vAlign w:val="center"/>
          </w:tcPr>
          <w:p w:rsidR="00D31920" w:rsidRPr="00D35D44" w:rsidRDefault="00D31920" w:rsidP="005E5089">
            <w:pPr>
              <w:pStyle w:val="Tabletext"/>
              <w:keepNext/>
              <w:jc w:val="center"/>
              <w:rPr>
                <w:b/>
                <w:bCs/>
              </w:rPr>
            </w:pPr>
            <w:r w:rsidRPr="00D35D44">
              <w:rPr>
                <w:b/>
                <w:bCs/>
              </w:rPr>
              <w:t>Absolute difference</w:t>
            </w:r>
          </w:p>
        </w:tc>
        <w:tc>
          <w:tcPr>
            <w:tcW w:w="1701" w:type="dxa"/>
            <w:vAlign w:val="center"/>
          </w:tcPr>
          <w:p w:rsidR="00D31920" w:rsidRPr="00D35D44" w:rsidRDefault="00D31920" w:rsidP="005E5089">
            <w:pPr>
              <w:pStyle w:val="Tabletext"/>
              <w:keepNext/>
              <w:jc w:val="center"/>
              <w:rPr>
                <w:b/>
                <w:bCs/>
              </w:rPr>
            </w:pPr>
            <w:r w:rsidRPr="00D35D44">
              <w:rPr>
                <w:b/>
                <w:bCs/>
              </w:rPr>
              <w:t>HR (95% CI)</w:t>
            </w:r>
          </w:p>
        </w:tc>
        <w:tc>
          <w:tcPr>
            <w:tcW w:w="1310" w:type="dxa"/>
          </w:tcPr>
          <w:p w:rsidR="00D31920" w:rsidRPr="00D35D44" w:rsidRDefault="00D31920" w:rsidP="005E5089">
            <w:pPr>
              <w:pStyle w:val="Tabletext"/>
              <w:keepNext/>
              <w:jc w:val="center"/>
              <w:rPr>
                <w:b/>
                <w:bCs/>
              </w:rPr>
            </w:pPr>
            <w:r w:rsidRPr="00D35D44">
              <w:rPr>
                <w:b/>
                <w:bCs/>
              </w:rPr>
              <w:t>Log</w:t>
            </w:r>
            <w:r w:rsidR="00296E5C" w:rsidRPr="00D35D44">
              <w:rPr>
                <w:b/>
                <w:bCs/>
              </w:rPr>
              <w:t>-</w:t>
            </w:r>
            <w:r w:rsidRPr="00D35D44">
              <w:rPr>
                <w:b/>
                <w:bCs/>
              </w:rPr>
              <w:t>rank p-value (stratified)</w:t>
            </w:r>
          </w:p>
        </w:tc>
      </w:tr>
      <w:tr w:rsidR="00D31920" w:rsidRPr="00D35D44" w:rsidTr="00453585">
        <w:tc>
          <w:tcPr>
            <w:tcW w:w="9243" w:type="dxa"/>
            <w:gridSpan w:val="6"/>
            <w:vAlign w:val="center"/>
          </w:tcPr>
          <w:p w:rsidR="00D31920" w:rsidRPr="00D35D44" w:rsidRDefault="00D31920" w:rsidP="005E5089">
            <w:pPr>
              <w:pStyle w:val="Tabletext"/>
              <w:keepNext/>
              <w:rPr>
                <w:b/>
                <w:bCs/>
              </w:rPr>
            </w:pPr>
            <w:r w:rsidRPr="00D35D44">
              <w:rPr>
                <w:b/>
                <w:bCs/>
              </w:rPr>
              <w:t>Overall survival</w:t>
            </w:r>
          </w:p>
        </w:tc>
      </w:tr>
      <w:tr w:rsidR="00D31920" w:rsidRPr="00D35D44" w:rsidTr="005E5089">
        <w:trPr>
          <w:trHeight w:val="230"/>
        </w:trPr>
        <w:tc>
          <w:tcPr>
            <w:tcW w:w="2547" w:type="dxa"/>
            <w:vAlign w:val="center"/>
          </w:tcPr>
          <w:p w:rsidR="00D31920" w:rsidRPr="00D35D44" w:rsidRDefault="00D31920" w:rsidP="005E5089">
            <w:pPr>
              <w:pStyle w:val="Tabletext"/>
              <w:keepNext/>
              <w:ind w:left="246"/>
              <w:rPr>
                <w:bCs/>
              </w:rPr>
            </w:pPr>
            <w:r w:rsidRPr="00D35D44">
              <w:rPr>
                <w:bCs/>
              </w:rPr>
              <w:t>No. of deaths</w:t>
            </w:r>
          </w:p>
        </w:tc>
        <w:tc>
          <w:tcPr>
            <w:tcW w:w="1417" w:type="dxa"/>
            <w:shd w:val="clear" w:color="auto" w:fill="auto"/>
            <w:vAlign w:val="center"/>
          </w:tcPr>
          <w:p w:rsidR="00D31920" w:rsidRPr="00D35D44" w:rsidRDefault="00D31920" w:rsidP="005E5089">
            <w:pPr>
              <w:pStyle w:val="Tabletext"/>
              <w:keepNext/>
              <w:jc w:val="center"/>
              <w:rPr>
                <w:bCs/>
              </w:rPr>
            </w:pPr>
            <w:r w:rsidRPr="00D35D44">
              <w:rPr>
                <w:bCs/>
              </w:rPr>
              <w:t>167/222 (75.2)</w:t>
            </w:r>
          </w:p>
        </w:tc>
        <w:tc>
          <w:tcPr>
            <w:tcW w:w="1276" w:type="dxa"/>
            <w:shd w:val="clear" w:color="auto" w:fill="auto"/>
            <w:vAlign w:val="center"/>
          </w:tcPr>
          <w:p w:rsidR="00D31920" w:rsidRPr="00D35D44" w:rsidRDefault="00D31920" w:rsidP="005E5089">
            <w:pPr>
              <w:pStyle w:val="Tabletext"/>
              <w:keepNext/>
              <w:jc w:val="center"/>
              <w:rPr>
                <w:bCs/>
              </w:rPr>
            </w:pPr>
            <w:r w:rsidRPr="00D35D44">
              <w:rPr>
                <w:bCs/>
              </w:rPr>
              <w:t>176/220 (80.0)</w:t>
            </w:r>
          </w:p>
        </w:tc>
        <w:tc>
          <w:tcPr>
            <w:tcW w:w="992" w:type="dxa"/>
            <w:shd w:val="clear" w:color="auto" w:fill="auto"/>
            <w:vAlign w:val="center"/>
          </w:tcPr>
          <w:p w:rsidR="00D31920" w:rsidRPr="00D35D44" w:rsidRDefault="00D31920" w:rsidP="005E5089">
            <w:pPr>
              <w:pStyle w:val="Tabletext"/>
              <w:keepNext/>
              <w:jc w:val="center"/>
              <w:rPr>
                <w:bCs/>
              </w:rPr>
            </w:pPr>
            <w:r w:rsidRPr="00D35D44">
              <w:rPr>
                <w:bCs/>
              </w:rPr>
              <w:t>-</w:t>
            </w:r>
          </w:p>
        </w:tc>
        <w:tc>
          <w:tcPr>
            <w:tcW w:w="1701" w:type="dxa"/>
            <w:shd w:val="clear" w:color="auto" w:fill="auto"/>
            <w:vAlign w:val="center"/>
          </w:tcPr>
          <w:p w:rsidR="00D31920" w:rsidRPr="00D35D44" w:rsidRDefault="00D31920" w:rsidP="005E5089">
            <w:pPr>
              <w:pStyle w:val="Tabletext"/>
              <w:keepNext/>
              <w:jc w:val="center"/>
              <w:rPr>
                <w:bCs/>
              </w:rPr>
            </w:pPr>
            <w:r w:rsidRPr="00D35D44">
              <w:rPr>
                <w:bCs/>
              </w:rPr>
              <w:t>NR</w:t>
            </w:r>
          </w:p>
        </w:tc>
        <w:tc>
          <w:tcPr>
            <w:tcW w:w="1310" w:type="dxa"/>
            <w:shd w:val="clear" w:color="auto" w:fill="auto"/>
          </w:tcPr>
          <w:p w:rsidR="00D31920" w:rsidRPr="00D35D44" w:rsidRDefault="00D31920" w:rsidP="005E5089">
            <w:pPr>
              <w:pStyle w:val="Tabletext"/>
              <w:keepNext/>
              <w:jc w:val="center"/>
              <w:rPr>
                <w:bCs/>
              </w:rPr>
            </w:pPr>
            <w:r w:rsidRPr="00D35D44">
              <w:rPr>
                <w:bCs/>
              </w:rPr>
              <w:t>NR</w:t>
            </w:r>
          </w:p>
        </w:tc>
      </w:tr>
      <w:tr w:rsidR="00D31920" w:rsidRPr="00D35D44" w:rsidTr="005E5089">
        <w:tc>
          <w:tcPr>
            <w:tcW w:w="2547" w:type="dxa"/>
            <w:vAlign w:val="center"/>
          </w:tcPr>
          <w:p w:rsidR="00D31920" w:rsidRPr="00D35D44" w:rsidRDefault="00D31920" w:rsidP="005E5089">
            <w:pPr>
              <w:pStyle w:val="Tabletext"/>
              <w:keepNext/>
              <w:ind w:left="246"/>
              <w:rPr>
                <w:bCs/>
              </w:rPr>
            </w:pPr>
            <w:r w:rsidRPr="00D35D44">
              <w:rPr>
                <w:bCs/>
              </w:rPr>
              <w:t>Median months OS (95% CI)</w:t>
            </w:r>
          </w:p>
        </w:tc>
        <w:tc>
          <w:tcPr>
            <w:tcW w:w="1417" w:type="dxa"/>
            <w:shd w:val="clear" w:color="auto" w:fill="auto"/>
            <w:vAlign w:val="center"/>
          </w:tcPr>
          <w:p w:rsidR="00D31920" w:rsidRPr="00D35D44" w:rsidRDefault="00D31920" w:rsidP="005E5089">
            <w:pPr>
              <w:pStyle w:val="Tabletext"/>
              <w:keepNext/>
              <w:jc w:val="center"/>
              <w:rPr>
                <w:bCs/>
              </w:rPr>
            </w:pPr>
            <w:r w:rsidRPr="00D35D44">
              <w:rPr>
                <w:bCs/>
              </w:rPr>
              <w:t>10.1 (8.6, 11.2)</w:t>
            </w:r>
          </w:p>
        </w:tc>
        <w:tc>
          <w:tcPr>
            <w:tcW w:w="1276" w:type="dxa"/>
            <w:shd w:val="clear" w:color="auto" w:fill="auto"/>
            <w:vAlign w:val="center"/>
          </w:tcPr>
          <w:p w:rsidR="00D31920" w:rsidRPr="00D35D44" w:rsidRDefault="00D31920" w:rsidP="005E5089">
            <w:pPr>
              <w:pStyle w:val="Tabletext"/>
              <w:keepNext/>
              <w:jc w:val="center"/>
              <w:rPr>
                <w:bCs/>
              </w:rPr>
            </w:pPr>
            <w:r w:rsidRPr="00D35D44">
              <w:rPr>
                <w:bCs/>
              </w:rPr>
              <w:t>7.4 (6.4, 8.3)</w:t>
            </w:r>
          </w:p>
        </w:tc>
        <w:tc>
          <w:tcPr>
            <w:tcW w:w="992" w:type="dxa"/>
            <w:shd w:val="clear" w:color="auto" w:fill="auto"/>
            <w:vAlign w:val="center"/>
          </w:tcPr>
          <w:p w:rsidR="00D31920" w:rsidRPr="00D35D44" w:rsidRDefault="00D31920" w:rsidP="005E5089">
            <w:pPr>
              <w:pStyle w:val="Tabletext"/>
              <w:keepNext/>
              <w:jc w:val="center"/>
              <w:rPr>
                <w:bCs/>
              </w:rPr>
            </w:pPr>
            <w:r w:rsidRPr="00D35D44">
              <w:rPr>
                <w:bCs/>
              </w:rPr>
              <w:t>2.7</w:t>
            </w:r>
          </w:p>
        </w:tc>
        <w:tc>
          <w:tcPr>
            <w:tcW w:w="1701" w:type="dxa"/>
            <w:shd w:val="clear" w:color="auto" w:fill="auto"/>
            <w:vAlign w:val="center"/>
          </w:tcPr>
          <w:p w:rsidR="00D31920" w:rsidRPr="00D35D44" w:rsidRDefault="00D31920" w:rsidP="005E5089">
            <w:pPr>
              <w:pStyle w:val="Tabletext"/>
              <w:keepNext/>
              <w:jc w:val="center"/>
              <w:rPr>
                <w:bCs/>
              </w:rPr>
            </w:pPr>
            <w:r w:rsidRPr="00D35D44">
              <w:rPr>
                <w:bCs/>
              </w:rPr>
              <w:t>0.797 (0.644,0.986)</w:t>
            </w:r>
          </w:p>
        </w:tc>
        <w:tc>
          <w:tcPr>
            <w:tcW w:w="1310" w:type="dxa"/>
            <w:shd w:val="clear" w:color="auto" w:fill="auto"/>
            <w:vAlign w:val="center"/>
          </w:tcPr>
          <w:p w:rsidR="00D31920" w:rsidRPr="00D35D44" w:rsidRDefault="00D31920" w:rsidP="005E5089">
            <w:pPr>
              <w:pStyle w:val="Tabletext"/>
              <w:keepNext/>
              <w:jc w:val="center"/>
              <w:rPr>
                <w:bCs/>
              </w:rPr>
            </w:pPr>
            <w:r w:rsidRPr="00D35D44">
              <w:rPr>
                <w:bCs/>
              </w:rPr>
              <w:t>0.036</w:t>
            </w:r>
          </w:p>
        </w:tc>
      </w:tr>
      <w:tr w:rsidR="00D31920" w:rsidRPr="00D35D44" w:rsidTr="005E5089">
        <w:tc>
          <w:tcPr>
            <w:tcW w:w="9243" w:type="dxa"/>
            <w:gridSpan w:val="6"/>
            <w:shd w:val="clear" w:color="auto" w:fill="auto"/>
            <w:vAlign w:val="center"/>
          </w:tcPr>
          <w:p w:rsidR="00D31920" w:rsidRPr="00D35D44" w:rsidRDefault="00D31920" w:rsidP="005E5089">
            <w:pPr>
              <w:pStyle w:val="Tabletext"/>
              <w:keepNext/>
              <w:rPr>
                <w:b/>
                <w:bCs/>
              </w:rPr>
            </w:pPr>
            <w:r w:rsidRPr="00D35D44">
              <w:rPr>
                <w:b/>
                <w:bCs/>
              </w:rPr>
              <w:t>Progression-free survival</w:t>
            </w:r>
          </w:p>
        </w:tc>
      </w:tr>
      <w:tr w:rsidR="00D31920" w:rsidRPr="00D35D44" w:rsidTr="005E5089">
        <w:tc>
          <w:tcPr>
            <w:tcW w:w="2547" w:type="dxa"/>
            <w:vAlign w:val="center"/>
          </w:tcPr>
          <w:p w:rsidR="00D31920" w:rsidRPr="00D35D44" w:rsidRDefault="00D31920" w:rsidP="005E5089">
            <w:pPr>
              <w:pStyle w:val="Tabletext"/>
              <w:keepNext/>
              <w:ind w:left="246"/>
              <w:rPr>
                <w:bCs/>
              </w:rPr>
            </w:pPr>
            <w:r w:rsidRPr="00D35D44">
              <w:rPr>
                <w:bCs/>
              </w:rPr>
              <w:t>No. progressed</w:t>
            </w:r>
          </w:p>
        </w:tc>
        <w:tc>
          <w:tcPr>
            <w:tcW w:w="1417" w:type="dxa"/>
            <w:shd w:val="clear" w:color="auto" w:fill="auto"/>
            <w:vAlign w:val="center"/>
          </w:tcPr>
          <w:p w:rsidR="00D31920" w:rsidRPr="00D35D44" w:rsidRDefault="00D31920" w:rsidP="005E5089">
            <w:pPr>
              <w:pStyle w:val="Tabletext"/>
              <w:keepNext/>
              <w:jc w:val="center"/>
              <w:rPr>
                <w:bCs/>
              </w:rPr>
            </w:pPr>
            <w:r w:rsidRPr="00D35D44">
              <w:rPr>
                <w:bCs/>
              </w:rPr>
              <w:t>168/222 (75.7)</w:t>
            </w:r>
          </w:p>
        </w:tc>
        <w:tc>
          <w:tcPr>
            <w:tcW w:w="1276" w:type="dxa"/>
            <w:shd w:val="clear" w:color="auto" w:fill="auto"/>
            <w:vAlign w:val="center"/>
          </w:tcPr>
          <w:p w:rsidR="00D31920" w:rsidRPr="00D35D44" w:rsidRDefault="00D31920" w:rsidP="005E5089">
            <w:pPr>
              <w:pStyle w:val="Tabletext"/>
              <w:keepNext/>
              <w:jc w:val="center"/>
              <w:rPr>
                <w:bCs/>
              </w:rPr>
            </w:pPr>
            <w:r w:rsidRPr="00D35D44">
              <w:rPr>
                <w:bCs/>
              </w:rPr>
              <w:t>173/220 (78.6)</w:t>
            </w:r>
          </w:p>
        </w:tc>
        <w:tc>
          <w:tcPr>
            <w:tcW w:w="992" w:type="dxa"/>
            <w:shd w:val="clear" w:color="auto" w:fill="auto"/>
            <w:vAlign w:val="center"/>
          </w:tcPr>
          <w:p w:rsidR="00D31920" w:rsidRPr="00D35D44" w:rsidRDefault="00D31920" w:rsidP="005E5089">
            <w:pPr>
              <w:pStyle w:val="Tabletext"/>
              <w:keepNext/>
              <w:jc w:val="center"/>
              <w:rPr>
                <w:bCs/>
              </w:rPr>
            </w:pPr>
            <w:r w:rsidRPr="00D35D44">
              <w:rPr>
                <w:bCs/>
              </w:rPr>
              <w:t>-</w:t>
            </w:r>
          </w:p>
        </w:tc>
        <w:tc>
          <w:tcPr>
            <w:tcW w:w="1701" w:type="dxa"/>
            <w:shd w:val="clear" w:color="auto" w:fill="auto"/>
            <w:vAlign w:val="center"/>
          </w:tcPr>
          <w:p w:rsidR="00D31920" w:rsidRPr="00D35D44" w:rsidRDefault="00D31920" w:rsidP="005E5089">
            <w:pPr>
              <w:pStyle w:val="Tabletext"/>
              <w:keepNext/>
              <w:jc w:val="center"/>
              <w:rPr>
                <w:bCs/>
              </w:rPr>
            </w:pPr>
            <w:r w:rsidRPr="00D35D44">
              <w:rPr>
                <w:bCs/>
              </w:rPr>
              <w:t>NR</w:t>
            </w:r>
          </w:p>
        </w:tc>
        <w:tc>
          <w:tcPr>
            <w:tcW w:w="1310" w:type="dxa"/>
            <w:shd w:val="clear" w:color="auto" w:fill="auto"/>
          </w:tcPr>
          <w:p w:rsidR="00D31920" w:rsidRPr="00D35D44" w:rsidRDefault="00D31920" w:rsidP="005E5089">
            <w:pPr>
              <w:pStyle w:val="Tabletext"/>
              <w:keepNext/>
              <w:jc w:val="center"/>
              <w:rPr>
                <w:bCs/>
              </w:rPr>
            </w:pPr>
            <w:r w:rsidRPr="00D35D44">
              <w:rPr>
                <w:bCs/>
              </w:rPr>
              <w:t>NR</w:t>
            </w:r>
          </w:p>
        </w:tc>
      </w:tr>
      <w:tr w:rsidR="00D31920" w:rsidRPr="00D35D44" w:rsidTr="005E5089">
        <w:tc>
          <w:tcPr>
            <w:tcW w:w="2547" w:type="dxa"/>
            <w:vAlign w:val="center"/>
          </w:tcPr>
          <w:p w:rsidR="00D31920" w:rsidRPr="00D35D44" w:rsidRDefault="00D31920" w:rsidP="005E5089">
            <w:pPr>
              <w:pStyle w:val="Tabletext"/>
              <w:keepNext/>
              <w:ind w:left="246"/>
              <w:rPr>
                <w:bCs/>
              </w:rPr>
            </w:pPr>
            <w:r w:rsidRPr="00D35D44">
              <w:rPr>
                <w:bCs/>
              </w:rPr>
              <w:t>Median PFS months (95% CI)</w:t>
            </w:r>
          </w:p>
        </w:tc>
        <w:tc>
          <w:tcPr>
            <w:tcW w:w="1417" w:type="dxa"/>
            <w:shd w:val="clear" w:color="auto" w:fill="auto"/>
            <w:vAlign w:val="center"/>
          </w:tcPr>
          <w:p w:rsidR="00D31920" w:rsidRPr="00D35D44" w:rsidRDefault="00D31920" w:rsidP="005E5089">
            <w:pPr>
              <w:pStyle w:val="Tabletext"/>
              <w:keepNext/>
              <w:jc w:val="center"/>
              <w:rPr>
                <w:bCs/>
              </w:rPr>
            </w:pPr>
            <w:r w:rsidRPr="00D35D44">
              <w:rPr>
                <w:bCs/>
              </w:rPr>
              <w:t>5.6 (5.0, 6.0)</w:t>
            </w:r>
          </w:p>
        </w:tc>
        <w:tc>
          <w:tcPr>
            <w:tcW w:w="1276" w:type="dxa"/>
            <w:shd w:val="clear" w:color="auto" w:fill="auto"/>
            <w:vAlign w:val="center"/>
          </w:tcPr>
          <w:p w:rsidR="00D31920" w:rsidRPr="00D35D44" w:rsidRDefault="00D31920" w:rsidP="005E5089">
            <w:pPr>
              <w:pStyle w:val="Tabletext"/>
              <w:keepNext/>
              <w:jc w:val="center"/>
              <w:rPr>
                <w:bCs/>
              </w:rPr>
            </w:pPr>
            <w:r w:rsidRPr="00D35D44">
              <w:rPr>
                <w:bCs/>
              </w:rPr>
              <w:t>3.3 (2.9, 4.3)</w:t>
            </w:r>
          </w:p>
        </w:tc>
        <w:tc>
          <w:tcPr>
            <w:tcW w:w="992" w:type="dxa"/>
            <w:shd w:val="clear" w:color="auto" w:fill="auto"/>
            <w:vAlign w:val="center"/>
          </w:tcPr>
          <w:p w:rsidR="00D31920" w:rsidRPr="00D35D44" w:rsidRDefault="00D31920" w:rsidP="005E5089">
            <w:pPr>
              <w:pStyle w:val="Tabletext"/>
              <w:keepNext/>
              <w:jc w:val="center"/>
              <w:rPr>
                <w:bCs/>
              </w:rPr>
            </w:pPr>
            <w:r w:rsidRPr="00D35D44">
              <w:rPr>
                <w:bCs/>
              </w:rPr>
              <w:t>2.3</w:t>
            </w:r>
          </w:p>
        </w:tc>
        <w:tc>
          <w:tcPr>
            <w:tcW w:w="1701" w:type="dxa"/>
            <w:shd w:val="clear" w:color="auto" w:fill="auto"/>
            <w:vAlign w:val="center"/>
          </w:tcPr>
          <w:p w:rsidR="00D31920" w:rsidRPr="00D35D44" w:rsidRDefault="00D31920" w:rsidP="005E5089">
            <w:pPr>
              <w:pStyle w:val="Tabletext"/>
              <w:keepNext/>
              <w:jc w:val="center"/>
              <w:rPr>
                <w:bCs/>
              </w:rPr>
            </w:pPr>
            <w:r w:rsidRPr="00D35D44">
              <w:rPr>
                <w:bCs/>
              </w:rPr>
              <w:t>0.538 (0.431,0.672)</w:t>
            </w:r>
          </w:p>
        </w:tc>
        <w:tc>
          <w:tcPr>
            <w:tcW w:w="1310" w:type="dxa"/>
            <w:shd w:val="clear" w:color="auto" w:fill="auto"/>
          </w:tcPr>
          <w:p w:rsidR="00D31920" w:rsidRPr="00D35D44" w:rsidRDefault="00D31920" w:rsidP="005E5089">
            <w:pPr>
              <w:pStyle w:val="Tabletext"/>
              <w:keepNext/>
              <w:jc w:val="center"/>
              <w:rPr>
                <w:bCs/>
              </w:rPr>
            </w:pPr>
            <w:r w:rsidRPr="00D35D44">
              <w:rPr>
                <w:bCs/>
              </w:rPr>
              <w:t>&lt;0.0001</w:t>
            </w:r>
          </w:p>
        </w:tc>
      </w:tr>
      <w:tr w:rsidR="00D31920" w:rsidRPr="00D35D44" w:rsidTr="005E5089">
        <w:tc>
          <w:tcPr>
            <w:tcW w:w="6232" w:type="dxa"/>
            <w:gridSpan w:val="4"/>
            <w:shd w:val="clear" w:color="auto" w:fill="auto"/>
            <w:vAlign w:val="center"/>
          </w:tcPr>
          <w:p w:rsidR="00D31920" w:rsidRPr="00D35D44" w:rsidRDefault="00D31920" w:rsidP="005E5089">
            <w:pPr>
              <w:pStyle w:val="Tabletext"/>
              <w:keepNext/>
              <w:jc w:val="center"/>
              <w:rPr>
                <w:bCs/>
              </w:rPr>
            </w:pPr>
          </w:p>
        </w:tc>
        <w:tc>
          <w:tcPr>
            <w:tcW w:w="1701" w:type="dxa"/>
            <w:shd w:val="clear" w:color="auto" w:fill="auto"/>
            <w:vAlign w:val="center"/>
          </w:tcPr>
          <w:p w:rsidR="00D31920" w:rsidRPr="00D35D44" w:rsidRDefault="00D31920" w:rsidP="005E5089">
            <w:pPr>
              <w:pStyle w:val="Tabletext"/>
              <w:keepNext/>
              <w:jc w:val="center"/>
              <w:rPr>
                <w:b/>
                <w:bCs/>
              </w:rPr>
            </w:pPr>
            <w:r w:rsidRPr="00D35D44">
              <w:rPr>
                <w:b/>
                <w:bCs/>
              </w:rPr>
              <w:t>OR(95%CI)</w:t>
            </w:r>
          </w:p>
        </w:tc>
        <w:tc>
          <w:tcPr>
            <w:tcW w:w="1310" w:type="dxa"/>
            <w:shd w:val="clear" w:color="auto" w:fill="auto"/>
          </w:tcPr>
          <w:p w:rsidR="00D31920" w:rsidRPr="00D35D44" w:rsidRDefault="00D31920" w:rsidP="005E5089">
            <w:pPr>
              <w:pStyle w:val="Tabletext"/>
              <w:keepNext/>
              <w:jc w:val="center"/>
              <w:rPr>
                <w:bCs/>
              </w:rPr>
            </w:pPr>
            <w:r w:rsidRPr="00D35D44">
              <w:rPr>
                <w:b/>
                <w:bCs/>
              </w:rPr>
              <w:t>CMH P-value</w:t>
            </w:r>
          </w:p>
        </w:tc>
      </w:tr>
      <w:tr w:rsidR="00D31920" w:rsidRPr="00D35D44" w:rsidTr="005E5089">
        <w:tc>
          <w:tcPr>
            <w:tcW w:w="2547" w:type="dxa"/>
            <w:vAlign w:val="center"/>
          </w:tcPr>
          <w:p w:rsidR="00D31920" w:rsidRPr="00D35D44" w:rsidRDefault="00D31920" w:rsidP="005E5089">
            <w:pPr>
              <w:pStyle w:val="Tabletext"/>
              <w:keepNext/>
              <w:rPr>
                <w:b/>
                <w:bCs/>
              </w:rPr>
            </w:pPr>
            <w:r w:rsidRPr="00D35D44">
              <w:rPr>
                <w:b/>
                <w:bCs/>
              </w:rPr>
              <w:t xml:space="preserve">Best overall </w:t>
            </w:r>
            <w:proofErr w:type="spellStart"/>
            <w:r w:rsidRPr="00D35D44">
              <w:rPr>
                <w:b/>
                <w:bCs/>
              </w:rPr>
              <w:t>response</w:t>
            </w:r>
            <w:r w:rsidRPr="00D35D44">
              <w:rPr>
                <w:b/>
                <w:bCs/>
                <w:vertAlign w:val="superscript"/>
              </w:rPr>
              <w:t>c</w:t>
            </w:r>
            <w:proofErr w:type="spellEnd"/>
          </w:p>
        </w:tc>
        <w:tc>
          <w:tcPr>
            <w:tcW w:w="1417" w:type="dxa"/>
            <w:shd w:val="clear" w:color="auto" w:fill="auto"/>
            <w:vAlign w:val="center"/>
          </w:tcPr>
          <w:p w:rsidR="00D31920" w:rsidRPr="00D35D44" w:rsidRDefault="00D31920" w:rsidP="005E5089">
            <w:pPr>
              <w:pStyle w:val="Tabletext"/>
              <w:keepNext/>
              <w:jc w:val="center"/>
              <w:rPr>
                <w:bCs/>
              </w:rPr>
            </w:pPr>
            <w:r w:rsidRPr="00D35D44">
              <w:rPr>
                <w:bCs/>
              </w:rPr>
              <w:t>79/222 (35.6)</w:t>
            </w:r>
          </w:p>
        </w:tc>
        <w:tc>
          <w:tcPr>
            <w:tcW w:w="1276" w:type="dxa"/>
            <w:shd w:val="clear" w:color="auto" w:fill="auto"/>
            <w:vAlign w:val="center"/>
          </w:tcPr>
          <w:p w:rsidR="00D31920" w:rsidRPr="00D35D44" w:rsidRDefault="00D31920" w:rsidP="005E5089">
            <w:pPr>
              <w:pStyle w:val="Tabletext"/>
              <w:keepNext/>
              <w:jc w:val="center"/>
              <w:rPr>
                <w:bCs/>
              </w:rPr>
            </w:pPr>
            <w:r w:rsidRPr="00D35D44">
              <w:rPr>
                <w:bCs/>
              </w:rPr>
              <w:t>43/220 (19.5)</w:t>
            </w:r>
          </w:p>
        </w:tc>
        <w:tc>
          <w:tcPr>
            <w:tcW w:w="992" w:type="dxa"/>
            <w:shd w:val="clear" w:color="auto" w:fill="auto"/>
            <w:vAlign w:val="center"/>
          </w:tcPr>
          <w:p w:rsidR="00D31920" w:rsidRPr="00D35D44" w:rsidRDefault="00D31920" w:rsidP="005E5089">
            <w:pPr>
              <w:pStyle w:val="Tabletext"/>
              <w:keepNext/>
              <w:jc w:val="center"/>
              <w:rPr>
                <w:bCs/>
              </w:rPr>
            </w:pPr>
            <w:r w:rsidRPr="00D35D44">
              <w:rPr>
                <w:bCs/>
              </w:rPr>
              <w:t>16.1%</w:t>
            </w:r>
          </w:p>
        </w:tc>
        <w:tc>
          <w:tcPr>
            <w:tcW w:w="1701" w:type="dxa"/>
            <w:shd w:val="clear" w:color="auto" w:fill="auto"/>
            <w:vAlign w:val="center"/>
          </w:tcPr>
          <w:p w:rsidR="00D31920" w:rsidRPr="00D35D44" w:rsidRDefault="00D31920" w:rsidP="005E5089">
            <w:pPr>
              <w:pStyle w:val="Tabletext"/>
              <w:keepNext/>
              <w:jc w:val="center"/>
              <w:rPr>
                <w:bCs/>
              </w:rPr>
            </w:pPr>
            <w:r w:rsidRPr="00D35D44">
              <w:rPr>
                <w:bCs/>
              </w:rPr>
              <w:t>2.326 (1.504, 3.600)</w:t>
            </w:r>
          </w:p>
        </w:tc>
        <w:tc>
          <w:tcPr>
            <w:tcW w:w="1310" w:type="dxa"/>
            <w:shd w:val="clear" w:color="auto" w:fill="auto"/>
            <w:vAlign w:val="center"/>
          </w:tcPr>
          <w:p w:rsidR="00D31920" w:rsidRPr="00D35D44" w:rsidRDefault="00D31920" w:rsidP="005E5089">
            <w:pPr>
              <w:pStyle w:val="Tabletext"/>
              <w:keepNext/>
              <w:jc w:val="center"/>
              <w:rPr>
                <w:bCs/>
              </w:rPr>
            </w:pPr>
            <w:r w:rsidRPr="00D35D44">
              <w:rPr>
                <w:bCs/>
              </w:rPr>
              <w:t>0.0001</w:t>
            </w:r>
          </w:p>
        </w:tc>
      </w:tr>
      <w:tr w:rsidR="00D31920" w:rsidRPr="00D35D44" w:rsidTr="005E5089">
        <w:tc>
          <w:tcPr>
            <w:tcW w:w="2547" w:type="dxa"/>
            <w:vAlign w:val="center"/>
          </w:tcPr>
          <w:p w:rsidR="00D31920" w:rsidRPr="00D35D44" w:rsidRDefault="00D31920" w:rsidP="005E5089">
            <w:pPr>
              <w:pStyle w:val="Tabletext"/>
              <w:keepNext/>
              <w:ind w:left="246"/>
              <w:rPr>
                <w:bCs/>
              </w:rPr>
            </w:pPr>
            <w:r w:rsidRPr="00D35D44">
              <w:rPr>
                <w:bCs/>
              </w:rPr>
              <w:t>Complete response</w:t>
            </w:r>
          </w:p>
        </w:tc>
        <w:tc>
          <w:tcPr>
            <w:tcW w:w="1417" w:type="dxa"/>
            <w:shd w:val="clear" w:color="auto" w:fill="auto"/>
            <w:vAlign w:val="center"/>
          </w:tcPr>
          <w:p w:rsidR="00D31920" w:rsidRPr="00D35D44" w:rsidRDefault="00D31920" w:rsidP="005E5089">
            <w:pPr>
              <w:pStyle w:val="Tabletext"/>
              <w:keepNext/>
              <w:jc w:val="center"/>
              <w:rPr>
                <w:bCs/>
              </w:rPr>
            </w:pPr>
            <w:r w:rsidRPr="00D35D44">
              <w:rPr>
                <w:bCs/>
              </w:rPr>
              <w:t>15/222 (6.8)</w:t>
            </w:r>
          </w:p>
        </w:tc>
        <w:tc>
          <w:tcPr>
            <w:tcW w:w="1276" w:type="dxa"/>
            <w:shd w:val="clear" w:color="auto" w:fill="auto"/>
            <w:vAlign w:val="center"/>
          </w:tcPr>
          <w:p w:rsidR="00D31920" w:rsidRPr="00D35D44" w:rsidRDefault="00D31920" w:rsidP="005E5089">
            <w:pPr>
              <w:pStyle w:val="Tabletext"/>
              <w:keepNext/>
              <w:jc w:val="center"/>
              <w:rPr>
                <w:bCs/>
              </w:rPr>
            </w:pPr>
            <w:r w:rsidRPr="00D35D44">
              <w:rPr>
                <w:bCs/>
              </w:rPr>
              <w:t>2/220 (0.9)</w:t>
            </w:r>
          </w:p>
        </w:tc>
        <w:tc>
          <w:tcPr>
            <w:tcW w:w="992" w:type="dxa"/>
            <w:shd w:val="clear" w:color="auto" w:fill="auto"/>
            <w:vAlign w:val="center"/>
          </w:tcPr>
          <w:p w:rsidR="00D31920" w:rsidRPr="00D35D44" w:rsidRDefault="00D31920" w:rsidP="005E5089">
            <w:pPr>
              <w:pStyle w:val="Tabletext"/>
              <w:keepNext/>
              <w:jc w:val="center"/>
              <w:rPr>
                <w:bCs/>
              </w:rPr>
            </w:pPr>
            <w:r w:rsidRPr="00D35D44">
              <w:rPr>
                <w:bCs/>
              </w:rPr>
              <w:t>5.9%</w:t>
            </w:r>
          </w:p>
        </w:tc>
        <w:tc>
          <w:tcPr>
            <w:tcW w:w="1701" w:type="dxa"/>
            <w:shd w:val="clear" w:color="auto" w:fill="auto"/>
            <w:vAlign w:val="center"/>
          </w:tcPr>
          <w:p w:rsidR="00D31920" w:rsidRPr="00D35D44" w:rsidRDefault="00D31920" w:rsidP="005E5089">
            <w:pPr>
              <w:pStyle w:val="Tabletext"/>
              <w:keepNext/>
              <w:jc w:val="center"/>
              <w:rPr>
                <w:bCs/>
              </w:rPr>
            </w:pPr>
            <w:r w:rsidRPr="00D35D44">
              <w:rPr>
                <w:bCs/>
              </w:rPr>
              <w:t>NR</w:t>
            </w:r>
          </w:p>
        </w:tc>
        <w:tc>
          <w:tcPr>
            <w:tcW w:w="1310" w:type="dxa"/>
            <w:shd w:val="clear" w:color="auto" w:fill="auto"/>
          </w:tcPr>
          <w:p w:rsidR="00D31920" w:rsidRPr="00D35D44" w:rsidRDefault="00D31920" w:rsidP="005E5089">
            <w:pPr>
              <w:pStyle w:val="Tabletext"/>
              <w:keepNext/>
              <w:jc w:val="center"/>
              <w:rPr>
                <w:bCs/>
              </w:rPr>
            </w:pPr>
            <w:r w:rsidRPr="00D35D44">
              <w:rPr>
                <w:bCs/>
              </w:rPr>
              <w:t>NR</w:t>
            </w:r>
          </w:p>
        </w:tc>
      </w:tr>
      <w:tr w:rsidR="00D31920" w:rsidRPr="00D35D44" w:rsidTr="005E5089">
        <w:tc>
          <w:tcPr>
            <w:tcW w:w="2547" w:type="dxa"/>
            <w:vAlign w:val="center"/>
          </w:tcPr>
          <w:p w:rsidR="00D31920" w:rsidRPr="00D35D44" w:rsidRDefault="00D31920" w:rsidP="005E5089">
            <w:pPr>
              <w:pStyle w:val="Tabletext"/>
              <w:keepNext/>
              <w:ind w:left="246"/>
              <w:rPr>
                <w:bCs/>
              </w:rPr>
            </w:pPr>
            <w:r w:rsidRPr="00D35D44">
              <w:rPr>
                <w:bCs/>
              </w:rPr>
              <w:t>Partial response</w:t>
            </w:r>
          </w:p>
        </w:tc>
        <w:tc>
          <w:tcPr>
            <w:tcW w:w="1417" w:type="dxa"/>
            <w:shd w:val="clear" w:color="auto" w:fill="auto"/>
            <w:vAlign w:val="center"/>
          </w:tcPr>
          <w:p w:rsidR="00D31920" w:rsidRPr="00D35D44" w:rsidRDefault="00D31920" w:rsidP="005E5089">
            <w:pPr>
              <w:pStyle w:val="Tabletext"/>
              <w:keepNext/>
              <w:jc w:val="center"/>
              <w:rPr>
                <w:bCs/>
              </w:rPr>
            </w:pPr>
            <w:r w:rsidRPr="00D35D44">
              <w:rPr>
                <w:bCs/>
              </w:rPr>
              <w:t>64/222 (28.8)</w:t>
            </w:r>
          </w:p>
        </w:tc>
        <w:tc>
          <w:tcPr>
            <w:tcW w:w="1276" w:type="dxa"/>
            <w:shd w:val="clear" w:color="auto" w:fill="auto"/>
            <w:vAlign w:val="center"/>
          </w:tcPr>
          <w:p w:rsidR="00D31920" w:rsidRPr="00D35D44" w:rsidRDefault="00D31920" w:rsidP="005E5089">
            <w:pPr>
              <w:pStyle w:val="Tabletext"/>
              <w:keepNext/>
              <w:jc w:val="center"/>
              <w:rPr>
                <w:bCs/>
              </w:rPr>
            </w:pPr>
            <w:r w:rsidRPr="00D35D44">
              <w:rPr>
                <w:bCs/>
              </w:rPr>
              <w:t>41/220 (18.6)</w:t>
            </w:r>
          </w:p>
        </w:tc>
        <w:tc>
          <w:tcPr>
            <w:tcW w:w="992" w:type="dxa"/>
            <w:shd w:val="clear" w:color="auto" w:fill="auto"/>
            <w:vAlign w:val="center"/>
          </w:tcPr>
          <w:p w:rsidR="00D31920" w:rsidRPr="00D35D44" w:rsidRDefault="00D31920" w:rsidP="005E5089">
            <w:pPr>
              <w:pStyle w:val="Tabletext"/>
              <w:keepNext/>
              <w:jc w:val="center"/>
              <w:rPr>
                <w:bCs/>
              </w:rPr>
            </w:pPr>
            <w:r w:rsidRPr="00D35D44">
              <w:rPr>
                <w:bCs/>
              </w:rPr>
              <w:t>10.2%</w:t>
            </w:r>
          </w:p>
        </w:tc>
        <w:tc>
          <w:tcPr>
            <w:tcW w:w="1701" w:type="dxa"/>
            <w:shd w:val="clear" w:color="auto" w:fill="auto"/>
            <w:vAlign w:val="center"/>
          </w:tcPr>
          <w:p w:rsidR="00D31920" w:rsidRPr="00D35D44" w:rsidRDefault="00D31920" w:rsidP="005E5089">
            <w:pPr>
              <w:pStyle w:val="Tabletext"/>
              <w:keepNext/>
              <w:jc w:val="center"/>
              <w:rPr>
                <w:bCs/>
              </w:rPr>
            </w:pPr>
            <w:r w:rsidRPr="00D35D44">
              <w:rPr>
                <w:bCs/>
              </w:rPr>
              <w:t>NR</w:t>
            </w:r>
          </w:p>
        </w:tc>
        <w:tc>
          <w:tcPr>
            <w:tcW w:w="1310" w:type="dxa"/>
            <w:shd w:val="clear" w:color="auto" w:fill="auto"/>
          </w:tcPr>
          <w:p w:rsidR="00D31920" w:rsidRPr="00D35D44" w:rsidRDefault="00D31920" w:rsidP="005E5089">
            <w:pPr>
              <w:pStyle w:val="Tabletext"/>
              <w:keepNext/>
              <w:jc w:val="center"/>
              <w:rPr>
                <w:bCs/>
              </w:rPr>
            </w:pPr>
            <w:r w:rsidRPr="00D35D44">
              <w:rPr>
                <w:bCs/>
              </w:rPr>
              <w:t>NR</w:t>
            </w:r>
          </w:p>
        </w:tc>
      </w:tr>
    </w:tbl>
    <w:p w:rsidR="00D31920" w:rsidRPr="00D35D44" w:rsidRDefault="00D31920" w:rsidP="00D31920">
      <w:pPr>
        <w:pStyle w:val="TableFooter"/>
        <w:rPr>
          <w:bCs/>
        </w:rPr>
      </w:pPr>
      <w:r w:rsidRPr="00D35D44">
        <w:rPr>
          <w:szCs w:val="18"/>
        </w:rPr>
        <w:t xml:space="preserve">Abbreviations: NR = not reported, OR=odds ratio, HR=hazard ratio, CMH = Cochran-Mantel-Haenszel test (stratified by previous CT and by KPS) </w:t>
      </w:r>
    </w:p>
    <w:p w:rsidR="00D31920" w:rsidRPr="00D35D44" w:rsidRDefault="00D31920" w:rsidP="00D31920">
      <w:pPr>
        <w:pStyle w:val="TableFooter"/>
        <w:rPr>
          <w:bCs/>
        </w:rPr>
      </w:pPr>
      <w:proofErr w:type="gramStart"/>
      <w:r w:rsidRPr="00D35D44">
        <w:rPr>
          <w:bCs/>
          <w:vertAlign w:val="superscript"/>
        </w:rPr>
        <w:t>a</w:t>
      </w:r>
      <w:proofErr w:type="gramEnd"/>
      <w:r w:rsidRPr="00D35D44">
        <w:rPr>
          <w:bCs/>
          <w:vertAlign w:val="superscript"/>
        </w:rPr>
        <w:tab/>
        <w:t xml:space="preserve"> </w:t>
      </w:r>
      <w:r w:rsidRPr="00D35D44">
        <w:rPr>
          <w:bCs/>
        </w:rPr>
        <w:t>follow up 19.1 months</w:t>
      </w:r>
    </w:p>
    <w:p w:rsidR="00D31920" w:rsidRPr="00D35D44" w:rsidRDefault="00D31920" w:rsidP="00D31920">
      <w:pPr>
        <w:pStyle w:val="TableFooter"/>
        <w:rPr>
          <w:bCs/>
        </w:rPr>
      </w:pPr>
      <w:proofErr w:type="gramStart"/>
      <w:r w:rsidRPr="00D35D44">
        <w:rPr>
          <w:bCs/>
          <w:vertAlign w:val="superscript"/>
        </w:rPr>
        <w:t>b</w:t>
      </w:r>
      <w:proofErr w:type="gramEnd"/>
      <w:r w:rsidRPr="00D35D44">
        <w:rPr>
          <w:bCs/>
          <w:vertAlign w:val="superscript"/>
        </w:rPr>
        <w:tab/>
        <w:t xml:space="preserve"> </w:t>
      </w:r>
      <w:r w:rsidRPr="00D35D44">
        <w:rPr>
          <w:bCs/>
        </w:rPr>
        <w:t>follow up 18.2 months</w:t>
      </w:r>
    </w:p>
    <w:p w:rsidR="00D31920" w:rsidRPr="00D35D44" w:rsidRDefault="00D31920" w:rsidP="00D31920">
      <w:pPr>
        <w:pStyle w:val="TableFooter"/>
        <w:rPr>
          <w:szCs w:val="18"/>
        </w:rPr>
      </w:pPr>
      <w:proofErr w:type="gramStart"/>
      <w:r w:rsidRPr="00D35D44">
        <w:rPr>
          <w:bCs/>
          <w:vertAlign w:val="superscript"/>
        </w:rPr>
        <w:t>c</w:t>
      </w:r>
      <w:proofErr w:type="gramEnd"/>
      <w:r w:rsidRPr="00D35D44">
        <w:rPr>
          <w:bCs/>
          <w:vertAlign w:val="superscript"/>
        </w:rPr>
        <w:t xml:space="preserve"> </w:t>
      </w:r>
      <w:r w:rsidRPr="00D35D44">
        <w:rPr>
          <w:bCs/>
          <w:vertAlign w:val="superscript"/>
        </w:rPr>
        <w:tab/>
      </w:r>
      <w:r w:rsidRPr="00D35D44">
        <w:rPr>
          <w:szCs w:val="18"/>
        </w:rPr>
        <w:t>defined as number of patients with complete or partial response persisting for at least 4 weeks</w:t>
      </w:r>
    </w:p>
    <w:p w:rsidR="00D31920" w:rsidRPr="00D35D44" w:rsidRDefault="00D31920" w:rsidP="005E5089">
      <w:pPr>
        <w:pStyle w:val="TableFooter"/>
        <w:spacing w:after="120"/>
        <w:rPr>
          <w:bCs/>
          <w:sz w:val="20"/>
        </w:rPr>
      </w:pPr>
      <w:r w:rsidRPr="00D35D44">
        <w:rPr>
          <w:bCs/>
        </w:rPr>
        <w:t xml:space="preserve">Source: Table 2.5.1, p55, Table </w:t>
      </w:r>
      <w:r w:rsidR="00296E5C" w:rsidRPr="00D35D44">
        <w:rPr>
          <w:bCs/>
        </w:rPr>
        <w:t>2.5.2, p</w:t>
      </w:r>
      <w:r w:rsidRPr="00D35D44">
        <w:rPr>
          <w:bCs/>
        </w:rPr>
        <w:t xml:space="preserve">56 and Table </w:t>
      </w:r>
      <w:r w:rsidR="00296E5C" w:rsidRPr="00D35D44">
        <w:rPr>
          <w:bCs/>
        </w:rPr>
        <w:t>2.5.3, p</w:t>
      </w:r>
      <w:r w:rsidRPr="00D35D44">
        <w:rPr>
          <w:bCs/>
        </w:rPr>
        <w:t xml:space="preserve">58 of the resubmission. </w:t>
      </w:r>
    </w:p>
    <w:p w:rsidR="00296E5C" w:rsidRPr="00D35D44" w:rsidRDefault="00296E5C" w:rsidP="00846F9C">
      <w:pPr>
        <w:pStyle w:val="ListParagraph"/>
        <w:numPr>
          <w:ilvl w:val="1"/>
          <w:numId w:val="2"/>
        </w:numPr>
        <w:rPr>
          <w:bCs/>
        </w:rPr>
      </w:pPr>
      <w:r w:rsidRPr="00D35D44">
        <w:rPr>
          <w:bCs/>
        </w:rPr>
        <w:t>Kaplan Meier estimates for OS and PFS</w:t>
      </w:r>
      <w:r w:rsidR="00136C7B" w:rsidRPr="00D35D44">
        <w:rPr>
          <w:bCs/>
        </w:rPr>
        <w:t xml:space="preserve"> from the EXTREME trial, unchanged from the previous submission,</w:t>
      </w:r>
      <w:r w:rsidRPr="00D35D44">
        <w:rPr>
          <w:bCs/>
        </w:rPr>
        <w:t xml:space="preserve"> are presented in Figures 1 and 2 respectively.</w:t>
      </w:r>
    </w:p>
    <w:p w:rsidR="00296E5C" w:rsidRPr="00D35D44" w:rsidRDefault="00296E5C" w:rsidP="00296E5C">
      <w:pPr>
        <w:keepNext/>
        <w:keepLines/>
        <w:rPr>
          <w:rFonts w:ascii="Arial Narrow" w:hAnsi="Arial Narrow"/>
          <w:b/>
          <w:sz w:val="20"/>
          <w:szCs w:val="20"/>
        </w:rPr>
      </w:pPr>
      <w:r w:rsidRPr="005E5089">
        <w:rPr>
          <w:rFonts w:ascii="Arial Narrow" w:hAnsi="Arial Narrow"/>
          <w:b/>
          <w:sz w:val="20"/>
          <w:szCs w:val="20"/>
        </w:rPr>
        <w:t>Figure 1: Kaplan Meier Estimates of overall survival for the EXTREME ITT population</w:t>
      </w:r>
    </w:p>
    <w:p w:rsidR="00296E5C" w:rsidRPr="00D35D44" w:rsidRDefault="00296E5C" w:rsidP="00296E5C">
      <w:pPr>
        <w:pStyle w:val="ListParagraph"/>
        <w:keepNext/>
        <w:keepLines/>
        <w:ind w:left="142"/>
        <w:rPr>
          <w:bCs/>
        </w:rPr>
      </w:pPr>
      <w:r w:rsidRPr="00D35D44">
        <w:rPr>
          <w:bCs/>
          <w:noProof/>
          <w:lang w:eastAsia="en-AU"/>
        </w:rPr>
        <w:drawing>
          <wp:inline distT="0" distB="0" distL="0" distR="0" wp14:anchorId="76D9CDFD" wp14:editId="1CC0643D">
            <wp:extent cx="5100784" cy="317182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37720" cy="3194793"/>
                    </a:xfrm>
                    <a:prstGeom prst="rect">
                      <a:avLst/>
                    </a:prstGeom>
                  </pic:spPr>
                </pic:pic>
              </a:graphicData>
            </a:graphic>
          </wp:inline>
        </w:drawing>
      </w:r>
    </w:p>
    <w:p w:rsidR="00296E5C" w:rsidRPr="00D35D44" w:rsidRDefault="00296E5C" w:rsidP="00296E5C">
      <w:pPr>
        <w:keepNext/>
        <w:keepLines/>
        <w:rPr>
          <w:rFonts w:ascii="Arial Narrow" w:hAnsi="Arial Narrow"/>
          <w:bCs/>
          <w:sz w:val="18"/>
          <w:szCs w:val="18"/>
        </w:rPr>
      </w:pPr>
      <w:r w:rsidRPr="00D35D44">
        <w:rPr>
          <w:rFonts w:ascii="Arial Narrow" w:hAnsi="Arial Narrow"/>
          <w:bCs/>
          <w:sz w:val="18"/>
          <w:szCs w:val="18"/>
        </w:rPr>
        <w:t>ITT = Intention to Treat</w:t>
      </w:r>
    </w:p>
    <w:p w:rsidR="00296E5C" w:rsidRPr="00D35D44" w:rsidRDefault="00296E5C" w:rsidP="00296E5C">
      <w:pPr>
        <w:keepNext/>
        <w:keepLines/>
        <w:rPr>
          <w:rFonts w:ascii="Arial Narrow" w:hAnsi="Arial Narrow"/>
          <w:bCs/>
          <w:sz w:val="18"/>
          <w:szCs w:val="18"/>
        </w:rPr>
      </w:pPr>
      <w:r w:rsidRPr="00D35D44">
        <w:rPr>
          <w:rFonts w:ascii="Arial Narrow" w:hAnsi="Arial Narrow"/>
          <w:bCs/>
          <w:sz w:val="18"/>
          <w:szCs w:val="18"/>
        </w:rPr>
        <w:t>Source: Figure 2.5.1, p55 of the resubmission</w:t>
      </w:r>
    </w:p>
    <w:p w:rsidR="00296E5C" w:rsidRPr="00D35D44" w:rsidRDefault="00296E5C" w:rsidP="00296E5C"/>
    <w:p w:rsidR="00296E5C" w:rsidRPr="00D35D44" w:rsidRDefault="00296E5C" w:rsidP="006E2C88">
      <w:pPr>
        <w:keepNext/>
        <w:keepLines/>
        <w:rPr>
          <w:rFonts w:ascii="Arial Narrow" w:hAnsi="Arial Narrow"/>
          <w:b/>
          <w:sz w:val="20"/>
          <w:szCs w:val="18"/>
        </w:rPr>
      </w:pPr>
      <w:r w:rsidRPr="005E5089">
        <w:rPr>
          <w:rFonts w:ascii="Arial Narrow" w:hAnsi="Arial Narrow"/>
          <w:b/>
          <w:sz w:val="20"/>
          <w:szCs w:val="18"/>
        </w:rPr>
        <w:lastRenderedPageBreak/>
        <w:t>Figure 2: Kaplan Meier Estimates of progression free survival in EXTREME</w:t>
      </w:r>
    </w:p>
    <w:p w:rsidR="00296E5C" w:rsidRPr="00D35D44" w:rsidRDefault="00296E5C" w:rsidP="006E2C88">
      <w:pPr>
        <w:pStyle w:val="ListParagraph"/>
        <w:keepNext/>
        <w:keepLines/>
        <w:ind w:left="0"/>
        <w:rPr>
          <w:bCs/>
        </w:rPr>
      </w:pPr>
      <w:r w:rsidRPr="00D35D44">
        <w:rPr>
          <w:bCs/>
          <w:noProof/>
          <w:lang w:eastAsia="en-AU"/>
        </w:rPr>
        <w:drawing>
          <wp:inline distT="0" distB="0" distL="0" distR="0" wp14:anchorId="1BD23F45" wp14:editId="6BD1FC00">
            <wp:extent cx="5465368" cy="2975212"/>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TREME PFS ITT KM curves pp103.PNG"/>
                    <pic:cNvPicPr/>
                  </pic:nvPicPr>
                  <pic:blipFill>
                    <a:blip r:embed="rId10">
                      <a:extLst>
                        <a:ext uri="{28A0092B-C50C-407E-A947-70E740481C1C}">
                          <a14:useLocalDpi xmlns:a14="http://schemas.microsoft.com/office/drawing/2010/main" val="0"/>
                        </a:ext>
                      </a:extLst>
                    </a:blip>
                    <a:stretch>
                      <a:fillRect/>
                    </a:stretch>
                  </pic:blipFill>
                  <pic:spPr>
                    <a:xfrm>
                      <a:off x="0" y="0"/>
                      <a:ext cx="5527357" cy="3008957"/>
                    </a:xfrm>
                    <a:prstGeom prst="rect">
                      <a:avLst/>
                    </a:prstGeom>
                  </pic:spPr>
                </pic:pic>
              </a:graphicData>
            </a:graphic>
          </wp:inline>
        </w:drawing>
      </w:r>
    </w:p>
    <w:p w:rsidR="00296E5C" w:rsidRPr="00D35D44" w:rsidRDefault="00296E5C" w:rsidP="006E2C88">
      <w:pPr>
        <w:keepNext/>
        <w:keepLines/>
        <w:rPr>
          <w:rFonts w:ascii="Arial Narrow" w:hAnsi="Arial Narrow"/>
          <w:bCs/>
          <w:sz w:val="18"/>
          <w:szCs w:val="18"/>
        </w:rPr>
      </w:pPr>
      <w:r w:rsidRPr="00D35D44">
        <w:rPr>
          <w:rFonts w:ascii="Arial Narrow" w:hAnsi="Arial Narrow"/>
          <w:bCs/>
          <w:sz w:val="18"/>
          <w:szCs w:val="18"/>
        </w:rPr>
        <w:t>ITT = Intention to Treat; CT = Chemotherapy; CET = cetuximab; HR = Hazard Ratio; PFS = progression free survival</w:t>
      </w:r>
    </w:p>
    <w:p w:rsidR="00296E5C" w:rsidRPr="00D35D44" w:rsidRDefault="00296E5C" w:rsidP="005E5089">
      <w:pPr>
        <w:keepNext/>
        <w:keepLines/>
        <w:spacing w:after="120"/>
        <w:rPr>
          <w:rFonts w:ascii="Arial Narrow" w:hAnsi="Arial Narrow"/>
          <w:bCs/>
          <w:sz w:val="18"/>
          <w:szCs w:val="18"/>
        </w:rPr>
      </w:pPr>
      <w:r w:rsidRPr="00D35D44">
        <w:rPr>
          <w:rFonts w:ascii="Arial Narrow" w:hAnsi="Arial Narrow"/>
          <w:bCs/>
          <w:sz w:val="18"/>
          <w:szCs w:val="18"/>
        </w:rPr>
        <w:t xml:space="preserve">Source: Figure 2.5.2, p57 of the resubmission </w:t>
      </w:r>
    </w:p>
    <w:p w:rsidR="005650C3" w:rsidRPr="00D35D44" w:rsidRDefault="00A10672" w:rsidP="00846F9C">
      <w:pPr>
        <w:pStyle w:val="ListParagraph"/>
        <w:numPr>
          <w:ilvl w:val="1"/>
          <w:numId w:val="2"/>
        </w:numPr>
        <w:rPr>
          <w:bCs/>
        </w:rPr>
      </w:pPr>
      <w:r w:rsidRPr="00D35D44">
        <w:rPr>
          <w:bCs/>
        </w:rPr>
        <w:t xml:space="preserve">Quality of life </w:t>
      </w:r>
      <w:r w:rsidR="00341B2C" w:rsidRPr="00D35D44">
        <w:rPr>
          <w:bCs/>
        </w:rPr>
        <w:t xml:space="preserve">(QoL) </w:t>
      </w:r>
      <w:r w:rsidRPr="00D35D44">
        <w:rPr>
          <w:bCs/>
        </w:rPr>
        <w:t>outcomes in EXTREME were measured using the Quality of Life Questionnaire Core 30 (QLQ-C30</w:t>
      </w:r>
      <w:r w:rsidR="00F41982" w:rsidRPr="00D35D44">
        <w:rPr>
          <w:rStyle w:val="FootnoteReference"/>
          <w:bCs/>
        </w:rPr>
        <w:footnoteReference w:id="4"/>
      </w:r>
      <w:r w:rsidRPr="00D35D44">
        <w:rPr>
          <w:bCs/>
        </w:rPr>
        <w:t>)</w:t>
      </w:r>
      <w:r w:rsidR="005650C3" w:rsidRPr="00D35D44">
        <w:rPr>
          <w:bCs/>
        </w:rPr>
        <w:t xml:space="preserve"> and a head and neck module with 35 questions</w:t>
      </w:r>
      <w:r w:rsidRPr="00D35D44">
        <w:rPr>
          <w:bCs/>
        </w:rPr>
        <w:t xml:space="preserve"> (QLQ-H&amp;N35)</w:t>
      </w:r>
      <w:r w:rsidR="005650C3" w:rsidRPr="00D35D44">
        <w:rPr>
          <w:bCs/>
        </w:rPr>
        <w:t>.</w:t>
      </w:r>
      <w:r w:rsidR="000120B1" w:rsidRPr="00D35D44">
        <w:rPr>
          <w:bCs/>
        </w:rPr>
        <w:t xml:space="preserve"> </w:t>
      </w:r>
      <w:r w:rsidR="006B40DD" w:rsidRPr="00D35D44">
        <w:rPr>
          <w:bCs/>
          <w:iCs/>
        </w:rPr>
        <w:t xml:space="preserve">Of particular interest is the </w:t>
      </w:r>
      <w:r w:rsidR="00F41982" w:rsidRPr="00D35D44">
        <w:rPr>
          <w:bCs/>
          <w:iCs/>
        </w:rPr>
        <w:t xml:space="preserve">results of the </w:t>
      </w:r>
      <w:r w:rsidR="005650C3" w:rsidRPr="00D35D44">
        <w:rPr>
          <w:bCs/>
          <w:iCs/>
        </w:rPr>
        <w:t>QLQ-C30</w:t>
      </w:r>
      <w:r w:rsidR="006B40DD" w:rsidRPr="00D35D44">
        <w:rPr>
          <w:bCs/>
          <w:iCs/>
        </w:rPr>
        <w:t>, which</w:t>
      </w:r>
      <w:r w:rsidR="005650C3" w:rsidRPr="00D35D44">
        <w:rPr>
          <w:bCs/>
          <w:iCs/>
        </w:rPr>
        <w:t xml:space="preserve"> were converted into EQ-5D scores using a crosswalk algorithm </w:t>
      </w:r>
      <w:r w:rsidR="00F41982" w:rsidRPr="00D35D44">
        <w:rPr>
          <w:bCs/>
          <w:iCs/>
        </w:rPr>
        <w:t xml:space="preserve">originally designed for </w:t>
      </w:r>
      <w:r w:rsidR="005650C3" w:rsidRPr="00D35D44">
        <w:rPr>
          <w:bCs/>
          <w:iCs/>
        </w:rPr>
        <w:t>pancreatic cancer</w:t>
      </w:r>
      <w:r w:rsidR="00AD62F6" w:rsidRPr="00D35D44">
        <w:rPr>
          <w:bCs/>
          <w:iCs/>
        </w:rPr>
        <w:t xml:space="preserve">, the converted utility values were reported in </w:t>
      </w:r>
      <w:proofErr w:type="spellStart"/>
      <w:r w:rsidR="00AD62F6" w:rsidRPr="00D35D44">
        <w:rPr>
          <w:bCs/>
          <w:iCs/>
        </w:rPr>
        <w:t>G</w:t>
      </w:r>
      <w:r w:rsidR="005650C3" w:rsidRPr="00D35D44">
        <w:rPr>
          <w:bCs/>
          <w:iCs/>
        </w:rPr>
        <w:t>reenhalgh</w:t>
      </w:r>
      <w:proofErr w:type="spellEnd"/>
      <w:r w:rsidR="005650C3" w:rsidRPr="00D35D44">
        <w:rPr>
          <w:bCs/>
          <w:iCs/>
        </w:rPr>
        <w:t xml:space="preserve"> et al 2008</w:t>
      </w:r>
      <w:r w:rsidR="00AD62F6" w:rsidRPr="00D35D44">
        <w:rPr>
          <w:bCs/>
          <w:iCs/>
        </w:rPr>
        <w:t xml:space="preserve"> and were applied in the economic evaluation</w:t>
      </w:r>
      <w:r w:rsidR="005650C3" w:rsidRPr="00D35D44">
        <w:rPr>
          <w:bCs/>
          <w:iCs/>
        </w:rPr>
        <w:t>.</w:t>
      </w:r>
      <w:r w:rsidR="005650C3" w:rsidRPr="00D35D44">
        <w:rPr>
          <w:bCs/>
        </w:rPr>
        <w:t xml:space="preserve"> </w:t>
      </w:r>
      <w:r w:rsidR="00EF06F9" w:rsidRPr="00D35D44">
        <w:rPr>
          <w:bCs/>
        </w:rPr>
        <w:t xml:space="preserve">The algorithm uses </w:t>
      </w:r>
      <w:r w:rsidR="00F70408" w:rsidRPr="00D35D44">
        <w:rPr>
          <w:bCs/>
        </w:rPr>
        <w:t>o</w:t>
      </w:r>
      <w:r w:rsidR="00F41982" w:rsidRPr="00D35D44">
        <w:rPr>
          <w:bCs/>
        </w:rPr>
        <w:t xml:space="preserve">nly responses to 6 of the 30 questions </w:t>
      </w:r>
      <w:r w:rsidR="00072B04" w:rsidRPr="00D35D44">
        <w:rPr>
          <w:bCs/>
        </w:rPr>
        <w:t xml:space="preserve">from the QLQ-C30 </w:t>
      </w:r>
      <w:r w:rsidR="00F70408" w:rsidRPr="00D35D44">
        <w:rPr>
          <w:bCs/>
        </w:rPr>
        <w:t>to estimate the EQ-5D</w:t>
      </w:r>
      <w:r w:rsidR="00F41982" w:rsidRPr="00D35D44">
        <w:rPr>
          <w:bCs/>
        </w:rPr>
        <w:t>.</w:t>
      </w:r>
    </w:p>
    <w:p w:rsidR="00A10672" w:rsidRPr="00D35D44" w:rsidRDefault="00F41982" w:rsidP="00846F9C">
      <w:pPr>
        <w:pStyle w:val="ListParagraph"/>
        <w:numPr>
          <w:ilvl w:val="1"/>
          <w:numId w:val="2"/>
        </w:numPr>
        <w:rPr>
          <w:bCs/>
        </w:rPr>
      </w:pPr>
      <w:r w:rsidRPr="00D35D44">
        <w:rPr>
          <w:bCs/>
        </w:rPr>
        <w:t xml:space="preserve">Detailed per item </w:t>
      </w:r>
      <w:r w:rsidR="00357660" w:rsidRPr="00D35D44">
        <w:rPr>
          <w:bCs/>
        </w:rPr>
        <w:t xml:space="preserve">QLQ-C30 </w:t>
      </w:r>
      <w:r w:rsidRPr="00D35D44">
        <w:rPr>
          <w:bCs/>
        </w:rPr>
        <w:t>response</w:t>
      </w:r>
      <w:r w:rsidR="00357660" w:rsidRPr="00D35D44">
        <w:rPr>
          <w:bCs/>
        </w:rPr>
        <w:t>s</w:t>
      </w:r>
      <w:r w:rsidRPr="00D35D44">
        <w:rPr>
          <w:bCs/>
        </w:rPr>
        <w:t xml:space="preserve"> were not reported in the resubmission.</w:t>
      </w:r>
      <w:r w:rsidR="000120B1" w:rsidRPr="00D35D44">
        <w:rPr>
          <w:bCs/>
        </w:rPr>
        <w:t xml:space="preserve"> </w:t>
      </w:r>
      <w:r w:rsidRPr="00D35D44">
        <w:rPr>
          <w:bCs/>
        </w:rPr>
        <w:t xml:space="preserve">The reported summary scores </w:t>
      </w:r>
      <w:r w:rsidR="00357660" w:rsidRPr="00D35D44">
        <w:rPr>
          <w:bCs/>
        </w:rPr>
        <w:t xml:space="preserve">indicated </w:t>
      </w:r>
      <w:r w:rsidR="00C16925" w:rsidRPr="00D35D44">
        <w:rPr>
          <w:bCs/>
        </w:rPr>
        <w:t xml:space="preserve">that </w:t>
      </w:r>
      <w:r w:rsidR="00357660" w:rsidRPr="00D35D44">
        <w:rPr>
          <w:bCs/>
        </w:rPr>
        <w:t xml:space="preserve">although </w:t>
      </w:r>
      <w:r w:rsidR="005650C3" w:rsidRPr="00D35D44">
        <w:rPr>
          <w:bCs/>
        </w:rPr>
        <w:t>participants in the cetuximab +</w:t>
      </w:r>
      <w:r w:rsidR="00EE071B">
        <w:rPr>
          <w:bCs/>
        </w:rPr>
        <w:t xml:space="preserve"> </w:t>
      </w:r>
      <w:r w:rsidR="005650C3" w:rsidRPr="00D35D44">
        <w:rPr>
          <w:bCs/>
        </w:rPr>
        <w:t>CT treatment arm reported higher mean scores over a six-month period compared to patients in the CT only treatment group, the mean differences were numerically small and not statistically significant w</w:t>
      </w:r>
      <w:r w:rsidR="00357660" w:rsidRPr="00D35D44">
        <w:rPr>
          <w:bCs/>
        </w:rPr>
        <w:t>ith wide confidence intervals.</w:t>
      </w:r>
    </w:p>
    <w:p w:rsidR="00072B04" w:rsidRPr="00B84E84" w:rsidRDefault="00A10672" w:rsidP="00846F9C">
      <w:pPr>
        <w:pStyle w:val="ListParagraph"/>
        <w:numPr>
          <w:ilvl w:val="1"/>
          <w:numId w:val="2"/>
        </w:numPr>
        <w:rPr>
          <w:bCs/>
          <w:i/>
          <w:iCs/>
        </w:rPr>
      </w:pPr>
      <w:r w:rsidRPr="00D35D44">
        <w:rPr>
          <w:bCs/>
          <w:iCs/>
        </w:rPr>
        <w:t xml:space="preserve">Based on the conversion by </w:t>
      </w:r>
      <w:proofErr w:type="spellStart"/>
      <w:r w:rsidRPr="00D35D44">
        <w:rPr>
          <w:bCs/>
          <w:iCs/>
        </w:rPr>
        <w:t>Greenhalgh</w:t>
      </w:r>
      <w:proofErr w:type="spellEnd"/>
      <w:r w:rsidRPr="00D35D44">
        <w:rPr>
          <w:bCs/>
          <w:iCs/>
        </w:rPr>
        <w:t xml:space="preserve"> et al 2008, patients </w:t>
      </w:r>
      <w:r w:rsidR="00C16925" w:rsidRPr="00D35D44">
        <w:rPr>
          <w:bCs/>
          <w:iCs/>
        </w:rPr>
        <w:t xml:space="preserve">in the PF health state </w:t>
      </w:r>
      <w:r w:rsidR="006B40DD" w:rsidRPr="00D35D44">
        <w:rPr>
          <w:bCs/>
          <w:iCs/>
        </w:rPr>
        <w:t>treated with cetuximab + CT had</w:t>
      </w:r>
      <w:r w:rsidRPr="00D35D44">
        <w:rPr>
          <w:bCs/>
          <w:iCs/>
        </w:rPr>
        <w:t xml:space="preserve"> a higher </w:t>
      </w:r>
      <w:r w:rsidR="00341B2C" w:rsidRPr="00D35D44">
        <w:rPr>
          <w:bCs/>
          <w:iCs/>
        </w:rPr>
        <w:t>QoL</w:t>
      </w:r>
      <w:r w:rsidRPr="00D35D44">
        <w:rPr>
          <w:bCs/>
          <w:iCs/>
        </w:rPr>
        <w:t xml:space="preserve"> versus those trea</w:t>
      </w:r>
      <w:r w:rsidR="006B40DD" w:rsidRPr="00D35D44">
        <w:rPr>
          <w:bCs/>
          <w:iCs/>
        </w:rPr>
        <w:t>ted with CT only (0.69 vs 0.65).</w:t>
      </w:r>
      <w:r w:rsidR="000120B1" w:rsidRPr="00D35D44">
        <w:rPr>
          <w:bCs/>
          <w:iCs/>
        </w:rPr>
        <w:t xml:space="preserve"> </w:t>
      </w:r>
      <w:r w:rsidR="006B40DD" w:rsidRPr="00D35D44">
        <w:rPr>
          <w:bCs/>
          <w:iCs/>
        </w:rPr>
        <w:t>T</w:t>
      </w:r>
      <w:r w:rsidRPr="00D35D44">
        <w:rPr>
          <w:bCs/>
          <w:iCs/>
        </w:rPr>
        <w:t>hese differential utilities were then applied in the modelled economic evaluation.</w:t>
      </w:r>
      <w:r w:rsidR="000120B1" w:rsidRPr="00D35D44">
        <w:rPr>
          <w:bCs/>
          <w:iCs/>
        </w:rPr>
        <w:t xml:space="preserve"> </w:t>
      </w:r>
      <w:r w:rsidR="00B84E84" w:rsidRPr="00613FE2">
        <w:rPr>
          <w:bCs/>
          <w:iCs/>
        </w:rPr>
        <w:t>The ESC advised that this was not appropriate,</w:t>
      </w:r>
      <w:r w:rsidR="00072B04" w:rsidRPr="00613FE2">
        <w:rPr>
          <w:bCs/>
          <w:iCs/>
        </w:rPr>
        <w:t xml:space="preserve"> as:</w:t>
      </w:r>
    </w:p>
    <w:p w:rsidR="00072B04" w:rsidRPr="00D35D44" w:rsidRDefault="00072B04" w:rsidP="00736A4E">
      <w:pPr>
        <w:pStyle w:val="ListParagraph"/>
        <w:numPr>
          <w:ilvl w:val="0"/>
          <w:numId w:val="5"/>
        </w:numPr>
        <w:spacing w:after="120"/>
        <w:ind w:left="1497" w:hanging="357"/>
        <w:rPr>
          <w:bCs/>
          <w:iCs/>
        </w:rPr>
      </w:pPr>
      <w:r w:rsidRPr="00D35D44">
        <w:rPr>
          <w:bCs/>
          <w:iCs/>
        </w:rPr>
        <w:lastRenderedPageBreak/>
        <w:t>There was no</w:t>
      </w:r>
      <w:r w:rsidR="00AD62F6" w:rsidRPr="00D35D44">
        <w:rPr>
          <w:bCs/>
          <w:iCs/>
        </w:rPr>
        <w:t xml:space="preserve"> </w:t>
      </w:r>
      <w:r w:rsidR="006B40DD" w:rsidRPr="00D35D44">
        <w:rPr>
          <w:bCs/>
          <w:iCs/>
        </w:rPr>
        <w:t>stati</w:t>
      </w:r>
      <w:r w:rsidR="00357660" w:rsidRPr="00D35D44">
        <w:rPr>
          <w:bCs/>
          <w:iCs/>
        </w:rPr>
        <w:t>stically significant difference</w:t>
      </w:r>
      <w:r w:rsidR="006B40DD" w:rsidRPr="00D35D44">
        <w:rPr>
          <w:bCs/>
          <w:iCs/>
        </w:rPr>
        <w:t xml:space="preserve"> between cetuximab + CT and CT only </w:t>
      </w:r>
      <w:r w:rsidR="00357660" w:rsidRPr="00D35D44">
        <w:rPr>
          <w:bCs/>
          <w:iCs/>
        </w:rPr>
        <w:t xml:space="preserve">treatment arms </w:t>
      </w:r>
      <w:r w:rsidR="00B32349">
        <w:rPr>
          <w:bCs/>
          <w:iCs/>
        </w:rPr>
        <w:t>for</w:t>
      </w:r>
      <w:r w:rsidR="006B40DD" w:rsidRPr="00D35D44">
        <w:rPr>
          <w:bCs/>
          <w:iCs/>
        </w:rPr>
        <w:t xml:space="preserve"> the QLQ-C30</w:t>
      </w:r>
      <w:r w:rsidRPr="00D35D44">
        <w:rPr>
          <w:bCs/>
          <w:iCs/>
        </w:rPr>
        <w:t>;</w:t>
      </w:r>
    </w:p>
    <w:p w:rsidR="00072B04" w:rsidRPr="00D35D44" w:rsidRDefault="006B40DD" w:rsidP="00736A4E">
      <w:pPr>
        <w:pStyle w:val="ListParagraph"/>
        <w:numPr>
          <w:ilvl w:val="0"/>
          <w:numId w:val="5"/>
        </w:numPr>
        <w:spacing w:after="120"/>
        <w:ind w:left="1497" w:hanging="357"/>
        <w:rPr>
          <w:bCs/>
          <w:iCs/>
        </w:rPr>
      </w:pPr>
      <w:r w:rsidRPr="00D35D44">
        <w:rPr>
          <w:bCs/>
          <w:iCs/>
        </w:rPr>
        <w:t xml:space="preserve">only 44% of patients had both an evaluable baseline and </w:t>
      </w:r>
      <w:r w:rsidR="00357660" w:rsidRPr="00D35D44">
        <w:rPr>
          <w:bCs/>
          <w:iCs/>
        </w:rPr>
        <w:t xml:space="preserve">a </w:t>
      </w:r>
      <w:r w:rsidRPr="00D35D44">
        <w:rPr>
          <w:bCs/>
          <w:iCs/>
        </w:rPr>
        <w:t>post-baseline assessme</w:t>
      </w:r>
      <w:r w:rsidR="00357660" w:rsidRPr="00D35D44">
        <w:rPr>
          <w:bCs/>
          <w:iCs/>
        </w:rPr>
        <w:t>nt</w:t>
      </w:r>
      <w:r w:rsidR="00072B04" w:rsidRPr="00D35D44">
        <w:rPr>
          <w:bCs/>
          <w:iCs/>
        </w:rPr>
        <w:t xml:space="preserve"> in the EXTREME trial; and</w:t>
      </w:r>
    </w:p>
    <w:p w:rsidR="00A10672" w:rsidRPr="00D35D44" w:rsidRDefault="00357660" w:rsidP="00736A4E">
      <w:pPr>
        <w:pStyle w:val="ListParagraph"/>
        <w:numPr>
          <w:ilvl w:val="0"/>
          <w:numId w:val="5"/>
        </w:numPr>
        <w:spacing w:after="120"/>
        <w:ind w:left="1497" w:hanging="357"/>
        <w:rPr>
          <w:bCs/>
          <w:iCs/>
        </w:rPr>
      </w:pPr>
      <w:r w:rsidRPr="00D35D44">
        <w:rPr>
          <w:bCs/>
          <w:iCs/>
        </w:rPr>
        <w:t>QoL responses may have been biased due to the open label nature of the trial.</w:t>
      </w:r>
    </w:p>
    <w:p w:rsidR="006B40DD" w:rsidRPr="00D35D44" w:rsidRDefault="006B40DD" w:rsidP="00846F9C">
      <w:pPr>
        <w:pStyle w:val="ListParagraph"/>
        <w:numPr>
          <w:ilvl w:val="1"/>
          <w:numId w:val="2"/>
        </w:numPr>
        <w:rPr>
          <w:bCs/>
        </w:rPr>
      </w:pPr>
      <w:r w:rsidRPr="00D35D44">
        <w:rPr>
          <w:iCs/>
        </w:rPr>
        <w:t>In the QLQ-H&amp;N35, the addition of cetuximab to CT improve</w:t>
      </w:r>
      <w:r w:rsidR="00285D40" w:rsidRPr="00D35D44">
        <w:rPr>
          <w:iCs/>
        </w:rPr>
        <w:t>d</w:t>
      </w:r>
      <w:r w:rsidRPr="00D35D44">
        <w:rPr>
          <w:iCs/>
        </w:rPr>
        <w:t xml:space="preserve"> the scores for pain (p=0.0083), swallowing (p=0.0034), speech problems (p=0.0029) and social eating (p=0.0182) at the Cycle 3 assessment after adjusting for differences at baseline.</w:t>
      </w:r>
      <w:r w:rsidR="000120B1" w:rsidRPr="00D35D44">
        <w:rPr>
          <w:iCs/>
        </w:rPr>
        <w:t xml:space="preserve"> </w:t>
      </w:r>
      <w:r w:rsidRPr="00D35D44">
        <w:rPr>
          <w:iCs/>
        </w:rPr>
        <w:t>There were no significant differences in the outcomes for other items.</w:t>
      </w:r>
    </w:p>
    <w:p w:rsidR="00357660" w:rsidRPr="00D35D44" w:rsidRDefault="00357660" w:rsidP="002E2883">
      <w:pPr>
        <w:pStyle w:val="Heading3"/>
        <w:spacing w:before="120" w:after="120"/>
        <w:rPr>
          <w:b/>
          <w:bCs/>
          <w:u w:val="none"/>
        </w:rPr>
      </w:pPr>
      <w:r w:rsidRPr="00D35D44">
        <w:rPr>
          <w:b/>
          <w:bCs/>
          <w:u w:val="none"/>
        </w:rPr>
        <w:t>Meta-analyses (anti-EGFR antibodies)</w:t>
      </w:r>
    </w:p>
    <w:p w:rsidR="00BB539C" w:rsidRPr="00613FE2" w:rsidRDefault="00D31920" w:rsidP="00846F9C">
      <w:pPr>
        <w:pStyle w:val="ListParagraph"/>
        <w:numPr>
          <w:ilvl w:val="1"/>
          <w:numId w:val="2"/>
        </w:numPr>
        <w:rPr>
          <w:bCs/>
        </w:rPr>
      </w:pPr>
      <w:r w:rsidRPr="00613FE2">
        <w:rPr>
          <w:bCs/>
        </w:rPr>
        <w:t xml:space="preserve">The </w:t>
      </w:r>
      <w:r w:rsidR="008C3A51" w:rsidRPr="00613FE2">
        <w:rPr>
          <w:bCs/>
        </w:rPr>
        <w:t xml:space="preserve">ESC </w:t>
      </w:r>
      <w:r w:rsidR="007B5578">
        <w:rPr>
          <w:bCs/>
        </w:rPr>
        <w:t xml:space="preserve">and PBAC </w:t>
      </w:r>
      <w:r w:rsidR="008C3A51" w:rsidRPr="00613FE2">
        <w:rPr>
          <w:bCs/>
        </w:rPr>
        <w:t>noted that</w:t>
      </w:r>
      <w:r w:rsidR="00F6520E">
        <w:rPr>
          <w:bCs/>
        </w:rPr>
        <w:t xml:space="preserve"> the</w:t>
      </w:r>
      <w:r w:rsidR="008C3A51" w:rsidRPr="00613FE2">
        <w:rPr>
          <w:bCs/>
        </w:rPr>
        <w:t xml:space="preserve"> </w:t>
      </w:r>
      <w:r w:rsidRPr="00613FE2">
        <w:rPr>
          <w:bCs/>
        </w:rPr>
        <w:t xml:space="preserve">resubmission presented a meta-analysis of the EXTREME </w:t>
      </w:r>
      <w:r w:rsidR="00BB539C" w:rsidRPr="00613FE2">
        <w:rPr>
          <w:bCs/>
        </w:rPr>
        <w:t xml:space="preserve">and SPECTRUM </w:t>
      </w:r>
      <w:r w:rsidR="001519A1" w:rsidRPr="00613FE2">
        <w:rPr>
          <w:bCs/>
        </w:rPr>
        <w:t xml:space="preserve">(another trial identified for other anti-EGFR antibodies in first line treatment of RM SCCHN </w:t>
      </w:r>
      <w:r w:rsidR="00BB539C" w:rsidRPr="00613FE2">
        <w:rPr>
          <w:bCs/>
        </w:rPr>
        <w:t>trial</w:t>
      </w:r>
      <w:r w:rsidR="001519A1" w:rsidRPr="00613FE2">
        <w:rPr>
          <w:bCs/>
        </w:rPr>
        <w:t>s)</w:t>
      </w:r>
      <w:r w:rsidR="00BB539C" w:rsidRPr="00613FE2">
        <w:rPr>
          <w:bCs/>
        </w:rPr>
        <w:t xml:space="preserve">, </w:t>
      </w:r>
      <w:r w:rsidR="008C3A51" w:rsidRPr="00613FE2">
        <w:rPr>
          <w:bCs/>
        </w:rPr>
        <w:t>following previous PBAC advice (cetuximab March 2016 PSD, 7.7)</w:t>
      </w:r>
      <w:r w:rsidRPr="00613FE2">
        <w:rPr>
          <w:bCs/>
        </w:rPr>
        <w:t>.</w:t>
      </w:r>
      <w:r w:rsidR="000120B1" w:rsidRPr="00613FE2">
        <w:rPr>
          <w:bCs/>
        </w:rPr>
        <w:t xml:space="preserve"> </w:t>
      </w:r>
    </w:p>
    <w:p w:rsidR="00D31920" w:rsidRPr="00D35D44" w:rsidRDefault="00C97273" w:rsidP="00846F9C">
      <w:pPr>
        <w:pStyle w:val="ListParagraph"/>
        <w:numPr>
          <w:ilvl w:val="1"/>
          <w:numId w:val="2"/>
        </w:numPr>
        <w:rPr>
          <w:bCs/>
        </w:rPr>
      </w:pPr>
      <w:r w:rsidRPr="00613FE2">
        <w:rPr>
          <w:bCs/>
        </w:rPr>
        <w:t>The ESC noted that</w:t>
      </w:r>
      <w:r>
        <w:rPr>
          <w:bCs/>
        </w:rPr>
        <w:t xml:space="preserve"> </w:t>
      </w:r>
      <w:r w:rsidR="00914AB0" w:rsidRPr="00D35D44">
        <w:rPr>
          <w:bCs/>
        </w:rPr>
        <w:t>PARTNER</w:t>
      </w:r>
      <w:r w:rsidR="00D31920" w:rsidRPr="00D35D44">
        <w:rPr>
          <w:bCs/>
        </w:rPr>
        <w:t xml:space="preserve"> was excluded from the </w:t>
      </w:r>
      <w:r w:rsidR="00DE76D4" w:rsidRPr="00D35D44">
        <w:rPr>
          <w:bCs/>
        </w:rPr>
        <w:t xml:space="preserve">primary </w:t>
      </w:r>
      <w:r w:rsidR="00D31920" w:rsidRPr="00D35D44">
        <w:rPr>
          <w:bCs/>
        </w:rPr>
        <w:t xml:space="preserve">meta-analysis by the resubmission as patients </w:t>
      </w:r>
      <w:r w:rsidR="00C06523" w:rsidRPr="00D35D44">
        <w:rPr>
          <w:bCs/>
        </w:rPr>
        <w:t xml:space="preserve">in the </w:t>
      </w:r>
      <w:r w:rsidR="00D31920" w:rsidRPr="00D35D44">
        <w:rPr>
          <w:bCs/>
        </w:rPr>
        <w:t>CT only</w:t>
      </w:r>
      <w:r w:rsidR="00C06523" w:rsidRPr="00D35D44">
        <w:rPr>
          <w:bCs/>
        </w:rPr>
        <w:t xml:space="preserve"> treatment arm</w:t>
      </w:r>
      <w:r w:rsidR="00D31920" w:rsidRPr="00D35D44">
        <w:rPr>
          <w:bCs/>
        </w:rPr>
        <w:t xml:space="preserve"> could cross over and receive panitumumab after progression whereas in the EXTREME and SPECTRUM trials crossover was not</w:t>
      </w:r>
      <w:r w:rsidR="00C06523" w:rsidRPr="00D35D44">
        <w:rPr>
          <w:bCs/>
        </w:rPr>
        <w:t xml:space="preserve"> explicitly</w:t>
      </w:r>
      <w:r w:rsidR="000A0CB2" w:rsidRPr="00D35D44">
        <w:rPr>
          <w:bCs/>
        </w:rPr>
        <w:t xml:space="preserve"> permitted</w:t>
      </w:r>
      <w:r w:rsidR="00FF45D3" w:rsidRPr="00D35D44">
        <w:rPr>
          <w:bCs/>
        </w:rPr>
        <w:t xml:space="preserve"> even though a proportion of patients treated with CT only (6.4%) in EXTREME </w:t>
      </w:r>
      <w:r w:rsidR="00E865BA" w:rsidRPr="00D35D44">
        <w:rPr>
          <w:bCs/>
        </w:rPr>
        <w:t xml:space="preserve">were treated </w:t>
      </w:r>
      <w:r w:rsidR="00AD62F6" w:rsidRPr="00D35D44">
        <w:rPr>
          <w:bCs/>
        </w:rPr>
        <w:t>with cetuximab</w:t>
      </w:r>
      <w:r w:rsidR="00FF45D3" w:rsidRPr="00D35D44">
        <w:rPr>
          <w:bCs/>
        </w:rPr>
        <w:t xml:space="preserve"> after progression</w:t>
      </w:r>
      <w:r w:rsidR="00C06523" w:rsidRPr="00D35D44">
        <w:rPr>
          <w:bCs/>
        </w:rPr>
        <w:t>.</w:t>
      </w:r>
      <w:r w:rsidR="00EE071B">
        <w:rPr>
          <w:bCs/>
        </w:rPr>
        <w:t xml:space="preserve"> The PBAC considered that exclusion of the PARTNER trial from the primary meta-analysis was appropriate given these differences.</w:t>
      </w:r>
      <w:r w:rsidR="000120B1" w:rsidRPr="00D35D44">
        <w:rPr>
          <w:bCs/>
        </w:rPr>
        <w:t xml:space="preserve"> </w:t>
      </w:r>
      <w:r w:rsidR="00C06523" w:rsidRPr="00D35D44">
        <w:rPr>
          <w:bCs/>
        </w:rPr>
        <w:t>R</w:t>
      </w:r>
      <w:r w:rsidR="000A0CB2" w:rsidRPr="00D35D44">
        <w:rPr>
          <w:bCs/>
        </w:rPr>
        <w:t xml:space="preserve">esults of both analyses </w:t>
      </w:r>
      <w:r w:rsidR="00C06523" w:rsidRPr="00D35D44">
        <w:rPr>
          <w:bCs/>
        </w:rPr>
        <w:t>are summarised in Table 7.</w:t>
      </w:r>
    </w:p>
    <w:p w:rsidR="00A103C2" w:rsidRPr="00F41990" w:rsidRDefault="00A103C2" w:rsidP="00A103C2">
      <w:pPr>
        <w:pStyle w:val="PBACHeading1"/>
        <w:numPr>
          <w:ilvl w:val="0"/>
          <w:numId w:val="0"/>
        </w:numPr>
        <w:rPr>
          <w:b w:val="0"/>
        </w:rPr>
      </w:pPr>
      <w:r w:rsidRPr="00F41990">
        <w:rPr>
          <w:rStyle w:val="CommentReference"/>
          <w:b/>
          <w:bCs/>
        </w:rPr>
        <w:t>Table 7: Results of the pooled analysis of EXTREME, SPECTRUM and PARTNER</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85" w:type="dxa"/>
        </w:tblCellMar>
        <w:tblLook w:val="04A0" w:firstRow="1" w:lastRow="0" w:firstColumn="1" w:lastColumn="0" w:noHBand="0" w:noVBand="1"/>
      </w:tblPr>
      <w:tblGrid>
        <w:gridCol w:w="1271"/>
        <w:gridCol w:w="851"/>
        <w:gridCol w:w="2268"/>
        <w:gridCol w:w="2105"/>
        <w:gridCol w:w="2573"/>
      </w:tblGrid>
      <w:tr w:rsidR="00A103C2" w:rsidRPr="0000718B" w:rsidTr="001519A1">
        <w:trPr>
          <w:tblHeader/>
          <w:jc w:val="center"/>
        </w:trPr>
        <w:tc>
          <w:tcPr>
            <w:tcW w:w="6495" w:type="dxa"/>
            <w:gridSpan w:val="4"/>
            <w:shd w:val="clear" w:color="auto" w:fill="auto"/>
            <w:vAlign w:val="center"/>
          </w:tcPr>
          <w:p w:rsidR="00A103C2" w:rsidRPr="0000718B" w:rsidRDefault="00A103C2" w:rsidP="001519A1">
            <w:pPr>
              <w:pStyle w:val="Tabletext"/>
              <w:keepNext/>
              <w:rPr>
                <w:b/>
                <w:bCs/>
              </w:rPr>
            </w:pPr>
            <w:r w:rsidRPr="0000718B">
              <w:rPr>
                <w:b/>
                <w:bCs/>
              </w:rPr>
              <w:t>Overall Survival, median months</w:t>
            </w:r>
            <w:r>
              <w:rPr>
                <w:b/>
                <w:bCs/>
              </w:rPr>
              <w:t xml:space="preserve"> </w:t>
            </w:r>
            <w:r w:rsidRPr="0000718B">
              <w:rPr>
                <w:b/>
                <w:bCs/>
              </w:rPr>
              <w:t>(95%CI)</w:t>
            </w:r>
          </w:p>
        </w:tc>
        <w:tc>
          <w:tcPr>
            <w:tcW w:w="2573" w:type="dxa"/>
            <w:vMerge w:val="restart"/>
            <w:shd w:val="clear" w:color="auto" w:fill="auto"/>
            <w:vAlign w:val="center"/>
          </w:tcPr>
          <w:p w:rsidR="00A103C2" w:rsidRPr="0000718B" w:rsidRDefault="00A103C2" w:rsidP="001519A1">
            <w:pPr>
              <w:pStyle w:val="Tabletext"/>
              <w:jc w:val="center"/>
              <w:rPr>
                <w:b/>
                <w:bCs/>
              </w:rPr>
            </w:pPr>
            <w:r w:rsidRPr="0000718B">
              <w:rPr>
                <w:b/>
                <w:bCs/>
              </w:rPr>
              <w:t>Hazard Ratio</w:t>
            </w:r>
          </w:p>
        </w:tc>
      </w:tr>
      <w:tr w:rsidR="00A103C2" w:rsidRPr="0000718B" w:rsidTr="001519A1">
        <w:trPr>
          <w:tblHeader/>
          <w:jc w:val="center"/>
        </w:trPr>
        <w:tc>
          <w:tcPr>
            <w:tcW w:w="1271" w:type="dxa"/>
            <w:shd w:val="clear" w:color="auto" w:fill="auto"/>
            <w:vAlign w:val="center"/>
          </w:tcPr>
          <w:p w:rsidR="00A103C2" w:rsidRPr="0000718B" w:rsidRDefault="00A103C2" w:rsidP="001519A1">
            <w:pPr>
              <w:pStyle w:val="Tabletext"/>
              <w:rPr>
                <w:bCs/>
              </w:rPr>
            </w:pPr>
            <w:r w:rsidRPr="0000718B">
              <w:rPr>
                <w:b/>
                <w:bCs/>
              </w:rPr>
              <w:t>Trials</w:t>
            </w:r>
          </w:p>
        </w:tc>
        <w:tc>
          <w:tcPr>
            <w:tcW w:w="851" w:type="dxa"/>
            <w:shd w:val="clear" w:color="auto" w:fill="auto"/>
            <w:vAlign w:val="center"/>
          </w:tcPr>
          <w:p w:rsidR="00A103C2" w:rsidRPr="0000718B" w:rsidRDefault="00A103C2" w:rsidP="001519A1">
            <w:pPr>
              <w:pStyle w:val="Tabletext"/>
              <w:jc w:val="center"/>
              <w:rPr>
                <w:b/>
              </w:rPr>
            </w:pPr>
            <w:r w:rsidRPr="0000718B">
              <w:rPr>
                <w:b/>
              </w:rPr>
              <w:t>N</w:t>
            </w:r>
          </w:p>
        </w:tc>
        <w:tc>
          <w:tcPr>
            <w:tcW w:w="2268" w:type="dxa"/>
            <w:shd w:val="clear" w:color="auto" w:fill="auto"/>
            <w:vAlign w:val="center"/>
          </w:tcPr>
          <w:p w:rsidR="00A103C2" w:rsidRPr="0000718B" w:rsidRDefault="00A103C2" w:rsidP="001519A1">
            <w:pPr>
              <w:pStyle w:val="Tabletext"/>
              <w:jc w:val="center"/>
              <w:rPr>
                <w:b/>
              </w:rPr>
            </w:pPr>
            <w:r>
              <w:rPr>
                <w:b/>
              </w:rPr>
              <w:t>Anti-</w:t>
            </w:r>
            <w:r w:rsidRPr="0000718B">
              <w:rPr>
                <w:b/>
              </w:rPr>
              <w:t xml:space="preserve">EGFR </w:t>
            </w:r>
            <w:proofErr w:type="spellStart"/>
            <w:r>
              <w:rPr>
                <w:b/>
              </w:rPr>
              <w:t>antibody</w:t>
            </w:r>
            <w:r w:rsidRPr="0000718B">
              <w:rPr>
                <w:b/>
                <w:vertAlign w:val="superscript"/>
              </w:rPr>
              <w:t>a</w:t>
            </w:r>
            <w:proofErr w:type="spellEnd"/>
            <w:r w:rsidRPr="0000718B">
              <w:rPr>
                <w:b/>
              </w:rPr>
              <w:t xml:space="preserve">, N </w:t>
            </w:r>
          </w:p>
        </w:tc>
        <w:tc>
          <w:tcPr>
            <w:tcW w:w="2105" w:type="dxa"/>
            <w:shd w:val="clear" w:color="auto" w:fill="auto"/>
            <w:vAlign w:val="center"/>
          </w:tcPr>
          <w:p w:rsidR="00A103C2" w:rsidRPr="0000718B" w:rsidRDefault="00A103C2" w:rsidP="001519A1">
            <w:pPr>
              <w:pStyle w:val="Tabletext"/>
              <w:jc w:val="center"/>
              <w:rPr>
                <w:b/>
              </w:rPr>
            </w:pPr>
            <w:r w:rsidRPr="0000718B">
              <w:rPr>
                <w:b/>
              </w:rPr>
              <w:t>CT only, N</w:t>
            </w:r>
          </w:p>
        </w:tc>
        <w:tc>
          <w:tcPr>
            <w:tcW w:w="2573" w:type="dxa"/>
            <w:vMerge/>
            <w:shd w:val="clear" w:color="auto" w:fill="auto"/>
            <w:vAlign w:val="center"/>
          </w:tcPr>
          <w:p w:rsidR="00A103C2" w:rsidRPr="0000718B" w:rsidRDefault="00A103C2" w:rsidP="001519A1">
            <w:pPr>
              <w:pStyle w:val="Tabletext"/>
              <w:jc w:val="center"/>
              <w:rPr>
                <w:bCs/>
              </w:rPr>
            </w:pPr>
          </w:p>
        </w:tc>
      </w:tr>
      <w:tr w:rsidR="00A103C2" w:rsidRPr="0000718B" w:rsidTr="005E5089">
        <w:trPr>
          <w:jc w:val="center"/>
        </w:trPr>
        <w:tc>
          <w:tcPr>
            <w:tcW w:w="1271" w:type="dxa"/>
            <w:shd w:val="clear" w:color="auto" w:fill="auto"/>
            <w:vAlign w:val="center"/>
          </w:tcPr>
          <w:p w:rsidR="00A103C2" w:rsidRPr="0000718B" w:rsidRDefault="00A103C2" w:rsidP="001519A1">
            <w:pPr>
              <w:pStyle w:val="Tabletext"/>
              <w:rPr>
                <w:bCs/>
              </w:rPr>
            </w:pPr>
            <w:r w:rsidRPr="0000718B">
              <w:rPr>
                <w:bCs/>
              </w:rPr>
              <w:t>EXTREME</w:t>
            </w:r>
          </w:p>
        </w:tc>
        <w:tc>
          <w:tcPr>
            <w:tcW w:w="851" w:type="dxa"/>
            <w:shd w:val="clear" w:color="auto" w:fill="auto"/>
            <w:vAlign w:val="center"/>
          </w:tcPr>
          <w:p w:rsidR="00A103C2" w:rsidRPr="0000718B" w:rsidRDefault="00A103C2" w:rsidP="001519A1">
            <w:pPr>
              <w:pStyle w:val="Tabletext"/>
              <w:jc w:val="center"/>
              <w:rPr>
                <w:bCs/>
              </w:rPr>
            </w:pPr>
            <w:r w:rsidRPr="0000718B">
              <w:rPr>
                <w:bCs/>
              </w:rPr>
              <w:t>442</w:t>
            </w:r>
          </w:p>
        </w:tc>
        <w:tc>
          <w:tcPr>
            <w:tcW w:w="2268" w:type="dxa"/>
            <w:shd w:val="clear" w:color="auto" w:fill="auto"/>
            <w:vAlign w:val="center"/>
          </w:tcPr>
          <w:p w:rsidR="00A103C2" w:rsidRPr="0000718B" w:rsidRDefault="00A103C2" w:rsidP="001519A1">
            <w:pPr>
              <w:pStyle w:val="Tabletext"/>
              <w:jc w:val="center"/>
              <w:rPr>
                <w:bCs/>
              </w:rPr>
            </w:pPr>
            <w:r w:rsidRPr="0000718B">
              <w:t>10.1 (8.6, 11.2), N=222</w:t>
            </w:r>
          </w:p>
        </w:tc>
        <w:tc>
          <w:tcPr>
            <w:tcW w:w="2105" w:type="dxa"/>
            <w:shd w:val="clear" w:color="auto" w:fill="auto"/>
            <w:vAlign w:val="center"/>
          </w:tcPr>
          <w:p w:rsidR="00A103C2" w:rsidRPr="0000718B" w:rsidRDefault="00A103C2" w:rsidP="001519A1">
            <w:pPr>
              <w:pStyle w:val="Tabletext"/>
              <w:jc w:val="center"/>
              <w:rPr>
                <w:bCs/>
              </w:rPr>
            </w:pPr>
            <w:r w:rsidRPr="0000718B">
              <w:t>7.4 (6.4, 8.3), N=220</w:t>
            </w:r>
          </w:p>
        </w:tc>
        <w:tc>
          <w:tcPr>
            <w:tcW w:w="2573" w:type="dxa"/>
            <w:shd w:val="clear" w:color="auto" w:fill="auto"/>
            <w:vAlign w:val="center"/>
          </w:tcPr>
          <w:p w:rsidR="00A103C2" w:rsidRPr="0000718B" w:rsidRDefault="00A103C2" w:rsidP="001519A1">
            <w:pPr>
              <w:pStyle w:val="Tabletext"/>
              <w:jc w:val="center"/>
              <w:rPr>
                <w:b/>
                <w:bCs/>
              </w:rPr>
            </w:pPr>
            <w:r w:rsidRPr="0000718B">
              <w:rPr>
                <w:b/>
                <w:bCs/>
              </w:rPr>
              <w:t>0.80 (0.64, 0.99)</w:t>
            </w:r>
          </w:p>
        </w:tc>
      </w:tr>
      <w:tr w:rsidR="00A103C2" w:rsidRPr="0000718B" w:rsidTr="001519A1">
        <w:trPr>
          <w:jc w:val="center"/>
        </w:trPr>
        <w:tc>
          <w:tcPr>
            <w:tcW w:w="1271" w:type="dxa"/>
            <w:shd w:val="clear" w:color="auto" w:fill="auto"/>
            <w:vAlign w:val="center"/>
          </w:tcPr>
          <w:p w:rsidR="00A103C2" w:rsidRPr="0000718B" w:rsidRDefault="00A103C2" w:rsidP="001519A1">
            <w:pPr>
              <w:pStyle w:val="Tabletext"/>
              <w:rPr>
                <w:bCs/>
              </w:rPr>
            </w:pPr>
            <w:r w:rsidRPr="0000718B">
              <w:rPr>
                <w:bCs/>
              </w:rPr>
              <w:t>SPECTRUM</w:t>
            </w:r>
          </w:p>
        </w:tc>
        <w:tc>
          <w:tcPr>
            <w:tcW w:w="851" w:type="dxa"/>
            <w:shd w:val="clear" w:color="auto" w:fill="auto"/>
          </w:tcPr>
          <w:p w:rsidR="00A103C2" w:rsidRPr="0000718B" w:rsidRDefault="00A103C2" w:rsidP="001519A1">
            <w:pPr>
              <w:pStyle w:val="Tabletext"/>
              <w:jc w:val="center"/>
              <w:rPr>
                <w:bCs/>
              </w:rPr>
            </w:pPr>
            <w:r w:rsidRPr="0000718B">
              <w:rPr>
                <w:bCs/>
              </w:rPr>
              <w:t>657</w:t>
            </w:r>
          </w:p>
        </w:tc>
        <w:tc>
          <w:tcPr>
            <w:tcW w:w="2268" w:type="dxa"/>
            <w:shd w:val="clear" w:color="auto" w:fill="auto"/>
          </w:tcPr>
          <w:p w:rsidR="00A103C2" w:rsidRPr="0000718B" w:rsidRDefault="00A103C2" w:rsidP="001519A1">
            <w:pPr>
              <w:pStyle w:val="Tabletext"/>
              <w:jc w:val="center"/>
              <w:rPr>
                <w:bCs/>
              </w:rPr>
            </w:pPr>
            <w:r w:rsidRPr="0000718B">
              <w:t>11.1 (9.8, 12.2), N=327</w:t>
            </w:r>
          </w:p>
        </w:tc>
        <w:tc>
          <w:tcPr>
            <w:tcW w:w="2105" w:type="dxa"/>
            <w:shd w:val="clear" w:color="auto" w:fill="auto"/>
          </w:tcPr>
          <w:p w:rsidR="00A103C2" w:rsidRPr="0000718B" w:rsidRDefault="00A103C2" w:rsidP="001519A1">
            <w:pPr>
              <w:pStyle w:val="Tabletext"/>
              <w:jc w:val="center"/>
              <w:rPr>
                <w:bCs/>
              </w:rPr>
            </w:pPr>
            <w:r w:rsidRPr="0000718B">
              <w:t>9.0 (8.1, 11.2), N=330</w:t>
            </w:r>
          </w:p>
        </w:tc>
        <w:tc>
          <w:tcPr>
            <w:tcW w:w="2573" w:type="dxa"/>
            <w:shd w:val="clear" w:color="auto" w:fill="auto"/>
            <w:vAlign w:val="center"/>
          </w:tcPr>
          <w:p w:rsidR="00A103C2" w:rsidRPr="0000718B" w:rsidRDefault="00A103C2" w:rsidP="001519A1">
            <w:pPr>
              <w:pStyle w:val="Tabletext"/>
              <w:jc w:val="center"/>
              <w:rPr>
                <w:bCs/>
              </w:rPr>
            </w:pPr>
            <w:r w:rsidRPr="0000718B">
              <w:rPr>
                <w:bCs/>
              </w:rPr>
              <w:t>0.87 (0.73, 1.05)</w:t>
            </w:r>
          </w:p>
        </w:tc>
      </w:tr>
      <w:tr w:rsidR="00A103C2" w:rsidRPr="0000718B" w:rsidTr="001519A1">
        <w:trPr>
          <w:jc w:val="center"/>
        </w:trPr>
        <w:tc>
          <w:tcPr>
            <w:tcW w:w="1271" w:type="dxa"/>
            <w:shd w:val="clear" w:color="auto" w:fill="auto"/>
            <w:vAlign w:val="center"/>
          </w:tcPr>
          <w:p w:rsidR="00A103C2" w:rsidRPr="0000718B" w:rsidRDefault="00A103C2" w:rsidP="001519A1">
            <w:pPr>
              <w:pStyle w:val="Tabletext"/>
              <w:rPr>
                <w:bCs/>
              </w:rPr>
            </w:pPr>
            <w:r w:rsidRPr="0000718B">
              <w:rPr>
                <w:bCs/>
              </w:rPr>
              <w:t>PARTNER</w:t>
            </w:r>
          </w:p>
        </w:tc>
        <w:tc>
          <w:tcPr>
            <w:tcW w:w="851" w:type="dxa"/>
            <w:shd w:val="clear" w:color="auto" w:fill="auto"/>
          </w:tcPr>
          <w:p w:rsidR="00A103C2" w:rsidRPr="0000718B" w:rsidRDefault="00A103C2" w:rsidP="001519A1">
            <w:pPr>
              <w:pStyle w:val="Tabletext"/>
              <w:jc w:val="center"/>
              <w:rPr>
                <w:bCs/>
                <w:vertAlign w:val="superscript"/>
              </w:rPr>
            </w:pPr>
            <w:r w:rsidRPr="0000718B">
              <w:rPr>
                <w:bCs/>
              </w:rPr>
              <w:t>103</w:t>
            </w:r>
            <w:r w:rsidRPr="0000718B">
              <w:rPr>
                <w:bCs/>
                <w:vertAlign w:val="superscript"/>
              </w:rPr>
              <w:t>b</w:t>
            </w:r>
          </w:p>
        </w:tc>
        <w:tc>
          <w:tcPr>
            <w:tcW w:w="2268" w:type="dxa"/>
            <w:shd w:val="clear" w:color="auto" w:fill="auto"/>
          </w:tcPr>
          <w:p w:rsidR="00A103C2" w:rsidRPr="0000718B" w:rsidRDefault="00A103C2" w:rsidP="001519A1">
            <w:pPr>
              <w:pStyle w:val="Tabletext"/>
              <w:jc w:val="center"/>
            </w:pPr>
            <w:r w:rsidRPr="0000718B">
              <w:t>12.9 (9.4, 18.5), N=52</w:t>
            </w:r>
          </w:p>
        </w:tc>
        <w:tc>
          <w:tcPr>
            <w:tcW w:w="2105" w:type="dxa"/>
            <w:shd w:val="clear" w:color="auto" w:fill="auto"/>
          </w:tcPr>
          <w:p w:rsidR="00A103C2" w:rsidRPr="0000718B" w:rsidRDefault="00A103C2" w:rsidP="001519A1">
            <w:pPr>
              <w:pStyle w:val="Tabletext"/>
              <w:jc w:val="center"/>
            </w:pPr>
            <w:r w:rsidRPr="0000718B">
              <w:t>13.8 (11.8, 22.9), N=51</w:t>
            </w:r>
          </w:p>
        </w:tc>
        <w:tc>
          <w:tcPr>
            <w:tcW w:w="2573" w:type="dxa"/>
            <w:shd w:val="clear" w:color="auto" w:fill="auto"/>
            <w:vAlign w:val="center"/>
          </w:tcPr>
          <w:p w:rsidR="00A103C2" w:rsidRPr="0000718B" w:rsidRDefault="00A103C2" w:rsidP="001519A1">
            <w:pPr>
              <w:pStyle w:val="Tabletext"/>
              <w:jc w:val="center"/>
              <w:rPr>
                <w:bCs/>
              </w:rPr>
            </w:pPr>
            <w:r w:rsidRPr="0000718B">
              <w:rPr>
                <w:bCs/>
              </w:rPr>
              <w:t>1.10 (0.71, 1.72)</w:t>
            </w:r>
          </w:p>
        </w:tc>
      </w:tr>
      <w:tr w:rsidR="00A103C2" w:rsidRPr="0000718B" w:rsidTr="001519A1">
        <w:trPr>
          <w:jc w:val="center"/>
        </w:trPr>
        <w:tc>
          <w:tcPr>
            <w:tcW w:w="6495" w:type="dxa"/>
            <w:gridSpan w:val="4"/>
            <w:shd w:val="clear" w:color="auto" w:fill="auto"/>
            <w:vAlign w:val="center"/>
          </w:tcPr>
          <w:p w:rsidR="00A103C2" w:rsidRPr="0000718B" w:rsidRDefault="00A103C2" w:rsidP="001519A1">
            <w:pPr>
              <w:pStyle w:val="Tabletext"/>
              <w:jc w:val="right"/>
              <w:rPr>
                <w:b/>
              </w:rPr>
            </w:pPr>
            <w:r w:rsidRPr="0000718B">
              <w:rPr>
                <w:b/>
                <w:bCs/>
              </w:rPr>
              <w:t>Pooled (EXTREME + SPECTRUM), I</w:t>
            </w:r>
            <w:r w:rsidRPr="0000718B">
              <w:rPr>
                <w:b/>
                <w:bCs/>
                <w:vertAlign w:val="superscript"/>
              </w:rPr>
              <w:t>2</w:t>
            </w:r>
            <w:r w:rsidRPr="0000718B">
              <w:rPr>
                <w:b/>
                <w:bCs/>
              </w:rPr>
              <w:t>=0%; p=0.02</w:t>
            </w:r>
          </w:p>
        </w:tc>
        <w:tc>
          <w:tcPr>
            <w:tcW w:w="2573" w:type="dxa"/>
            <w:shd w:val="clear" w:color="auto" w:fill="auto"/>
            <w:vAlign w:val="center"/>
          </w:tcPr>
          <w:p w:rsidR="00A103C2" w:rsidRPr="0000718B" w:rsidRDefault="00A103C2" w:rsidP="001519A1">
            <w:pPr>
              <w:pStyle w:val="Tabletext"/>
              <w:jc w:val="center"/>
              <w:rPr>
                <w:b/>
                <w:bCs/>
              </w:rPr>
            </w:pPr>
            <w:r w:rsidRPr="0000718B">
              <w:rPr>
                <w:b/>
                <w:bCs/>
              </w:rPr>
              <w:t>0.84 (0.73, 0.97)</w:t>
            </w:r>
          </w:p>
        </w:tc>
      </w:tr>
      <w:tr w:rsidR="00A103C2" w:rsidRPr="0000718B" w:rsidTr="001519A1">
        <w:trPr>
          <w:jc w:val="center"/>
        </w:trPr>
        <w:tc>
          <w:tcPr>
            <w:tcW w:w="6495" w:type="dxa"/>
            <w:gridSpan w:val="4"/>
            <w:shd w:val="clear" w:color="auto" w:fill="auto"/>
            <w:vAlign w:val="center"/>
          </w:tcPr>
          <w:p w:rsidR="00A103C2" w:rsidRPr="0000718B" w:rsidRDefault="00A103C2" w:rsidP="001519A1">
            <w:pPr>
              <w:pStyle w:val="Tabletext"/>
              <w:jc w:val="right"/>
              <w:rPr>
                <w:b/>
                <w:bCs/>
              </w:rPr>
            </w:pPr>
            <w:r w:rsidRPr="0000718B">
              <w:rPr>
                <w:b/>
                <w:bCs/>
              </w:rPr>
              <w:t>Pooled (EXTREME + SPECTRUM+ PARTNER), I</w:t>
            </w:r>
            <w:r w:rsidRPr="0000718B">
              <w:rPr>
                <w:b/>
                <w:bCs/>
                <w:vertAlign w:val="superscript"/>
              </w:rPr>
              <w:t>2</w:t>
            </w:r>
            <w:r w:rsidRPr="0000718B">
              <w:rPr>
                <w:b/>
                <w:bCs/>
              </w:rPr>
              <w:t xml:space="preserve">=0%; p=0.03 </w:t>
            </w:r>
          </w:p>
        </w:tc>
        <w:tc>
          <w:tcPr>
            <w:tcW w:w="2573" w:type="dxa"/>
            <w:shd w:val="clear" w:color="auto" w:fill="auto"/>
            <w:vAlign w:val="center"/>
          </w:tcPr>
          <w:p w:rsidR="00A103C2" w:rsidRPr="0000718B" w:rsidRDefault="00A103C2" w:rsidP="001519A1">
            <w:pPr>
              <w:pStyle w:val="Tabletext"/>
              <w:jc w:val="center"/>
              <w:rPr>
                <w:b/>
                <w:bCs/>
              </w:rPr>
            </w:pPr>
            <w:r w:rsidRPr="0000718B">
              <w:rPr>
                <w:b/>
                <w:bCs/>
              </w:rPr>
              <w:t>0.86 (0.76, 0.99)</w:t>
            </w:r>
          </w:p>
        </w:tc>
      </w:tr>
      <w:tr w:rsidR="00A103C2" w:rsidRPr="0000718B" w:rsidTr="001519A1">
        <w:trPr>
          <w:jc w:val="center"/>
        </w:trPr>
        <w:tc>
          <w:tcPr>
            <w:tcW w:w="6495" w:type="dxa"/>
            <w:gridSpan w:val="4"/>
            <w:shd w:val="clear" w:color="auto" w:fill="auto"/>
            <w:vAlign w:val="center"/>
          </w:tcPr>
          <w:p w:rsidR="00A103C2" w:rsidRPr="0000718B" w:rsidRDefault="00A103C2" w:rsidP="001519A1">
            <w:pPr>
              <w:pStyle w:val="Tabletext"/>
              <w:rPr>
                <w:b/>
              </w:rPr>
            </w:pPr>
            <w:r w:rsidRPr="0000718B">
              <w:rPr>
                <w:b/>
              </w:rPr>
              <w:t xml:space="preserve">Progression Free Survival, </w:t>
            </w:r>
            <w:r w:rsidRPr="0000718B">
              <w:rPr>
                <w:b/>
                <w:bCs/>
              </w:rPr>
              <w:t>median months(95%CI)</w:t>
            </w:r>
          </w:p>
        </w:tc>
        <w:tc>
          <w:tcPr>
            <w:tcW w:w="2573" w:type="dxa"/>
            <w:shd w:val="clear" w:color="auto" w:fill="auto"/>
            <w:vAlign w:val="center"/>
          </w:tcPr>
          <w:p w:rsidR="00A103C2" w:rsidRPr="0000718B" w:rsidRDefault="00A103C2" w:rsidP="001519A1">
            <w:pPr>
              <w:pStyle w:val="Tabletext"/>
              <w:jc w:val="center"/>
              <w:rPr>
                <w:bCs/>
              </w:rPr>
            </w:pPr>
          </w:p>
        </w:tc>
      </w:tr>
      <w:tr w:rsidR="00A103C2" w:rsidRPr="0000718B" w:rsidTr="005E5089">
        <w:trPr>
          <w:jc w:val="center"/>
        </w:trPr>
        <w:tc>
          <w:tcPr>
            <w:tcW w:w="1271" w:type="dxa"/>
            <w:shd w:val="clear" w:color="auto" w:fill="auto"/>
            <w:vAlign w:val="center"/>
          </w:tcPr>
          <w:p w:rsidR="00A103C2" w:rsidRPr="0000718B" w:rsidRDefault="00A103C2" w:rsidP="001519A1">
            <w:pPr>
              <w:pStyle w:val="Tabletext"/>
              <w:rPr>
                <w:bCs/>
              </w:rPr>
            </w:pPr>
            <w:r w:rsidRPr="0000718B">
              <w:rPr>
                <w:bCs/>
              </w:rPr>
              <w:t>EXTREME</w:t>
            </w:r>
          </w:p>
        </w:tc>
        <w:tc>
          <w:tcPr>
            <w:tcW w:w="851" w:type="dxa"/>
            <w:shd w:val="clear" w:color="auto" w:fill="auto"/>
            <w:vAlign w:val="center"/>
          </w:tcPr>
          <w:p w:rsidR="00A103C2" w:rsidRPr="0000718B" w:rsidRDefault="00A103C2" w:rsidP="001519A1">
            <w:pPr>
              <w:pStyle w:val="Tabletext"/>
              <w:jc w:val="center"/>
              <w:rPr>
                <w:bCs/>
              </w:rPr>
            </w:pPr>
            <w:r w:rsidRPr="0000718B">
              <w:rPr>
                <w:bCs/>
              </w:rPr>
              <w:t>442</w:t>
            </w:r>
          </w:p>
        </w:tc>
        <w:tc>
          <w:tcPr>
            <w:tcW w:w="2268" w:type="dxa"/>
            <w:shd w:val="clear" w:color="auto" w:fill="auto"/>
            <w:vAlign w:val="center"/>
          </w:tcPr>
          <w:p w:rsidR="00A103C2" w:rsidRPr="0000718B" w:rsidRDefault="00A103C2" w:rsidP="001519A1">
            <w:pPr>
              <w:pStyle w:val="Tabletext"/>
              <w:jc w:val="center"/>
            </w:pPr>
            <w:r w:rsidRPr="0000718B">
              <w:t>5.6 (5.0, 6.0), N=222</w:t>
            </w:r>
          </w:p>
        </w:tc>
        <w:tc>
          <w:tcPr>
            <w:tcW w:w="2105" w:type="dxa"/>
            <w:shd w:val="clear" w:color="auto" w:fill="auto"/>
            <w:vAlign w:val="center"/>
          </w:tcPr>
          <w:p w:rsidR="00A103C2" w:rsidRPr="0000718B" w:rsidRDefault="00A103C2" w:rsidP="001519A1">
            <w:pPr>
              <w:pStyle w:val="Tabletext"/>
              <w:jc w:val="center"/>
            </w:pPr>
            <w:r w:rsidRPr="0000718B">
              <w:t>3.3 (2.9, 4.3), N=220</w:t>
            </w:r>
          </w:p>
        </w:tc>
        <w:tc>
          <w:tcPr>
            <w:tcW w:w="2573" w:type="dxa"/>
            <w:shd w:val="clear" w:color="auto" w:fill="auto"/>
            <w:vAlign w:val="center"/>
          </w:tcPr>
          <w:p w:rsidR="00A103C2" w:rsidRPr="0000718B" w:rsidRDefault="00A103C2" w:rsidP="001519A1">
            <w:pPr>
              <w:pStyle w:val="Tabletext"/>
              <w:jc w:val="center"/>
              <w:rPr>
                <w:b/>
                <w:bCs/>
              </w:rPr>
            </w:pPr>
            <w:r w:rsidRPr="0000718B">
              <w:rPr>
                <w:b/>
                <w:bCs/>
              </w:rPr>
              <w:t>0.54 (0.43, 0.67)</w:t>
            </w:r>
          </w:p>
        </w:tc>
      </w:tr>
      <w:tr w:rsidR="00A103C2" w:rsidRPr="0000718B" w:rsidTr="001519A1">
        <w:trPr>
          <w:jc w:val="center"/>
        </w:trPr>
        <w:tc>
          <w:tcPr>
            <w:tcW w:w="1271" w:type="dxa"/>
            <w:shd w:val="clear" w:color="auto" w:fill="auto"/>
            <w:vAlign w:val="center"/>
          </w:tcPr>
          <w:p w:rsidR="00A103C2" w:rsidRPr="0000718B" w:rsidRDefault="00A103C2" w:rsidP="001519A1">
            <w:pPr>
              <w:pStyle w:val="Tabletext"/>
              <w:rPr>
                <w:bCs/>
              </w:rPr>
            </w:pPr>
            <w:r w:rsidRPr="0000718B">
              <w:rPr>
                <w:bCs/>
              </w:rPr>
              <w:t>SPECTRUM</w:t>
            </w:r>
          </w:p>
        </w:tc>
        <w:tc>
          <w:tcPr>
            <w:tcW w:w="851" w:type="dxa"/>
            <w:shd w:val="clear" w:color="auto" w:fill="auto"/>
          </w:tcPr>
          <w:p w:rsidR="00A103C2" w:rsidRPr="0000718B" w:rsidRDefault="00A103C2" w:rsidP="001519A1">
            <w:pPr>
              <w:pStyle w:val="Tabletext"/>
              <w:jc w:val="center"/>
              <w:rPr>
                <w:bCs/>
              </w:rPr>
            </w:pPr>
            <w:r w:rsidRPr="0000718B">
              <w:rPr>
                <w:bCs/>
              </w:rPr>
              <w:t>657</w:t>
            </w:r>
          </w:p>
        </w:tc>
        <w:tc>
          <w:tcPr>
            <w:tcW w:w="2268" w:type="dxa"/>
            <w:shd w:val="clear" w:color="auto" w:fill="auto"/>
          </w:tcPr>
          <w:p w:rsidR="00A103C2" w:rsidRPr="0000718B" w:rsidRDefault="00A103C2" w:rsidP="001519A1">
            <w:pPr>
              <w:pStyle w:val="Tabletext"/>
              <w:jc w:val="center"/>
            </w:pPr>
            <w:r w:rsidRPr="0000718B">
              <w:t>5.8 (5.6, 6.6), N=327</w:t>
            </w:r>
          </w:p>
        </w:tc>
        <w:tc>
          <w:tcPr>
            <w:tcW w:w="2105" w:type="dxa"/>
            <w:shd w:val="clear" w:color="auto" w:fill="auto"/>
          </w:tcPr>
          <w:p w:rsidR="00A103C2" w:rsidRPr="0000718B" w:rsidRDefault="00A103C2" w:rsidP="001519A1">
            <w:pPr>
              <w:pStyle w:val="Tabletext"/>
              <w:jc w:val="center"/>
            </w:pPr>
            <w:r w:rsidRPr="0000718B">
              <w:t>4.6 (4.1, 5.4), N=330</w:t>
            </w:r>
          </w:p>
        </w:tc>
        <w:tc>
          <w:tcPr>
            <w:tcW w:w="2573" w:type="dxa"/>
            <w:shd w:val="clear" w:color="auto" w:fill="auto"/>
            <w:vAlign w:val="center"/>
          </w:tcPr>
          <w:p w:rsidR="00A103C2" w:rsidRPr="0000718B" w:rsidRDefault="00A103C2" w:rsidP="001519A1">
            <w:pPr>
              <w:pStyle w:val="Tabletext"/>
              <w:jc w:val="center"/>
              <w:rPr>
                <w:b/>
                <w:bCs/>
              </w:rPr>
            </w:pPr>
            <w:r w:rsidRPr="0000718B">
              <w:rPr>
                <w:b/>
                <w:bCs/>
              </w:rPr>
              <w:t>0.78 (0.66, 0.92)</w:t>
            </w:r>
          </w:p>
        </w:tc>
      </w:tr>
      <w:tr w:rsidR="00A103C2" w:rsidRPr="0000718B" w:rsidTr="001519A1">
        <w:trPr>
          <w:jc w:val="center"/>
        </w:trPr>
        <w:tc>
          <w:tcPr>
            <w:tcW w:w="1271" w:type="dxa"/>
            <w:shd w:val="clear" w:color="auto" w:fill="auto"/>
            <w:vAlign w:val="center"/>
          </w:tcPr>
          <w:p w:rsidR="00A103C2" w:rsidRPr="0000718B" w:rsidRDefault="00A103C2" w:rsidP="001519A1">
            <w:pPr>
              <w:pStyle w:val="Tabletext"/>
              <w:rPr>
                <w:bCs/>
              </w:rPr>
            </w:pPr>
            <w:r w:rsidRPr="0000718B">
              <w:rPr>
                <w:bCs/>
              </w:rPr>
              <w:t>PARTNER</w:t>
            </w:r>
          </w:p>
        </w:tc>
        <w:tc>
          <w:tcPr>
            <w:tcW w:w="851" w:type="dxa"/>
            <w:shd w:val="clear" w:color="auto" w:fill="auto"/>
          </w:tcPr>
          <w:p w:rsidR="00A103C2" w:rsidRPr="0000718B" w:rsidRDefault="00A103C2" w:rsidP="001519A1">
            <w:pPr>
              <w:pStyle w:val="Tabletext"/>
              <w:jc w:val="center"/>
              <w:rPr>
                <w:bCs/>
                <w:vertAlign w:val="superscript"/>
              </w:rPr>
            </w:pPr>
            <w:r w:rsidRPr="0000718B">
              <w:rPr>
                <w:bCs/>
              </w:rPr>
              <w:t>103</w:t>
            </w:r>
            <w:r w:rsidRPr="0000718B">
              <w:rPr>
                <w:bCs/>
                <w:vertAlign w:val="superscript"/>
              </w:rPr>
              <w:t>b</w:t>
            </w:r>
          </w:p>
        </w:tc>
        <w:tc>
          <w:tcPr>
            <w:tcW w:w="2268" w:type="dxa"/>
            <w:shd w:val="clear" w:color="auto" w:fill="auto"/>
            <w:vAlign w:val="center"/>
          </w:tcPr>
          <w:p w:rsidR="00A103C2" w:rsidRPr="0000718B" w:rsidRDefault="00A103C2" w:rsidP="001519A1">
            <w:pPr>
              <w:pStyle w:val="Tabletext"/>
              <w:jc w:val="center"/>
            </w:pPr>
            <w:r w:rsidRPr="0000718B">
              <w:t>6.9 (4.7, 8.3), N=52</w:t>
            </w:r>
          </w:p>
        </w:tc>
        <w:tc>
          <w:tcPr>
            <w:tcW w:w="2105" w:type="dxa"/>
            <w:shd w:val="clear" w:color="auto" w:fill="auto"/>
            <w:vAlign w:val="center"/>
          </w:tcPr>
          <w:p w:rsidR="00A103C2" w:rsidRPr="0000718B" w:rsidRDefault="00A103C2" w:rsidP="001519A1">
            <w:pPr>
              <w:pStyle w:val="Tabletext"/>
              <w:jc w:val="center"/>
            </w:pPr>
            <w:r w:rsidRPr="0000718B">
              <w:t>5.5 (4.1,6.8), N=51</w:t>
            </w:r>
          </w:p>
        </w:tc>
        <w:tc>
          <w:tcPr>
            <w:tcW w:w="2573" w:type="dxa"/>
            <w:shd w:val="clear" w:color="auto" w:fill="auto"/>
            <w:vAlign w:val="center"/>
          </w:tcPr>
          <w:p w:rsidR="00A103C2" w:rsidRPr="002D23AC" w:rsidRDefault="00A103C2" w:rsidP="001519A1">
            <w:pPr>
              <w:pStyle w:val="Tabletext"/>
              <w:jc w:val="center"/>
              <w:rPr>
                <w:bCs/>
              </w:rPr>
            </w:pPr>
            <w:r w:rsidRPr="002D23AC">
              <w:rPr>
                <w:bCs/>
              </w:rPr>
              <w:t>0.63 (0.40, 1.00)</w:t>
            </w:r>
          </w:p>
        </w:tc>
      </w:tr>
      <w:tr w:rsidR="00A103C2" w:rsidRPr="0000718B" w:rsidTr="001519A1">
        <w:trPr>
          <w:jc w:val="center"/>
        </w:trPr>
        <w:tc>
          <w:tcPr>
            <w:tcW w:w="6495" w:type="dxa"/>
            <w:gridSpan w:val="4"/>
            <w:shd w:val="clear" w:color="auto" w:fill="auto"/>
            <w:vAlign w:val="center"/>
          </w:tcPr>
          <w:p w:rsidR="00A103C2" w:rsidRPr="0000718B" w:rsidRDefault="00A103C2" w:rsidP="001519A1">
            <w:pPr>
              <w:pStyle w:val="Tabletext"/>
              <w:jc w:val="right"/>
              <w:rPr>
                <w:b/>
              </w:rPr>
            </w:pPr>
            <w:r w:rsidRPr="0000718B">
              <w:rPr>
                <w:b/>
                <w:bCs/>
              </w:rPr>
              <w:t>Pooled (EXTREME + SPECTRUM), I</w:t>
            </w:r>
            <w:r w:rsidRPr="0000718B">
              <w:rPr>
                <w:b/>
                <w:bCs/>
                <w:vertAlign w:val="superscript"/>
              </w:rPr>
              <w:t>2</w:t>
            </w:r>
            <w:r w:rsidRPr="0000718B">
              <w:rPr>
                <w:b/>
                <w:bCs/>
              </w:rPr>
              <w:t>=85%; p=0.02</w:t>
            </w:r>
          </w:p>
        </w:tc>
        <w:tc>
          <w:tcPr>
            <w:tcW w:w="2573" w:type="dxa"/>
            <w:shd w:val="clear" w:color="auto" w:fill="auto"/>
            <w:vAlign w:val="center"/>
          </w:tcPr>
          <w:p w:rsidR="00A103C2" w:rsidRPr="0000718B" w:rsidRDefault="00A103C2" w:rsidP="001519A1">
            <w:pPr>
              <w:pStyle w:val="Tabletext"/>
              <w:jc w:val="center"/>
              <w:rPr>
                <w:b/>
                <w:bCs/>
              </w:rPr>
            </w:pPr>
            <w:r w:rsidRPr="0000718B">
              <w:rPr>
                <w:b/>
                <w:bCs/>
              </w:rPr>
              <w:t>0.65 (0.64, 0.94)</w:t>
            </w:r>
          </w:p>
        </w:tc>
      </w:tr>
      <w:tr w:rsidR="00A103C2" w:rsidRPr="0000718B" w:rsidTr="001519A1">
        <w:trPr>
          <w:jc w:val="center"/>
        </w:trPr>
        <w:tc>
          <w:tcPr>
            <w:tcW w:w="6495" w:type="dxa"/>
            <w:gridSpan w:val="4"/>
            <w:shd w:val="clear" w:color="auto" w:fill="auto"/>
            <w:vAlign w:val="center"/>
          </w:tcPr>
          <w:p w:rsidR="00A103C2" w:rsidRPr="00F6520E" w:rsidRDefault="00A103C2" w:rsidP="001519A1">
            <w:pPr>
              <w:pStyle w:val="Tabletext"/>
              <w:jc w:val="right"/>
              <w:rPr>
                <w:b/>
                <w:bCs/>
              </w:rPr>
            </w:pPr>
            <w:r w:rsidRPr="00F6520E">
              <w:rPr>
                <w:b/>
                <w:bCs/>
              </w:rPr>
              <w:t>Pooled (EXTREME + SPECTRUM+ PARTNER), I</w:t>
            </w:r>
            <w:r w:rsidRPr="00F6520E">
              <w:rPr>
                <w:b/>
                <w:bCs/>
                <w:vertAlign w:val="superscript"/>
              </w:rPr>
              <w:t>2</w:t>
            </w:r>
            <w:r w:rsidRPr="00F6520E">
              <w:rPr>
                <w:b/>
                <w:bCs/>
              </w:rPr>
              <w:t>=71%; p=0.002</w:t>
            </w:r>
          </w:p>
        </w:tc>
        <w:tc>
          <w:tcPr>
            <w:tcW w:w="2573" w:type="dxa"/>
            <w:shd w:val="clear" w:color="auto" w:fill="auto"/>
            <w:vAlign w:val="center"/>
          </w:tcPr>
          <w:p w:rsidR="00A103C2" w:rsidRPr="00F6520E" w:rsidRDefault="00A103C2" w:rsidP="001519A1">
            <w:pPr>
              <w:pStyle w:val="Tabletext"/>
              <w:jc w:val="center"/>
              <w:rPr>
                <w:b/>
                <w:bCs/>
              </w:rPr>
            </w:pPr>
            <w:r w:rsidRPr="00F6520E">
              <w:rPr>
                <w:b/>
                <w:bCs/>
              </w:rPr>
              <w:t>0.65 (0.49, 0.85)</w:t>
            </w:r>
          </w:p>
        </w:tc>
      </w:tr>
      <w:tr w:rsidR="00A103C2" w:rsidRPr="0000718B" w:rsidTr="001519A1">
        <w:trPr>
          <w:jc w:val="center"/>
        </w:trPr>
        <w:tc>
          <w:tcPr>
            <w:tcW w:w="6495" w:type="dxa"/>
            <w:gridSpan w:val="4"/>
            <w:shd w:val="clear" w:color="auto" w:fill="auto"/>
            <w:vAlign w:val="center"/>
          </w:tcPr>
          <w:p w:rsidR="00A103C2" w:rsidRPr="0000718B" w:rsidRDefault="00A103C2" w:rsidP="001519A1">
            <w:pPr>
              <w:pStyle w:val="Tabletext"/>
              <w:rPr>
                <w:b/>
                <w:vertAlign w:val="superscript"/>
              </w:rPr>
            </w:pPr>
            <w:r w:rsidRPr="0000718B">
              <w:rPr>
                <w:b/>
              </w:rPr>
              <w:t>Best overall response, proportion</w:t>
            </w:r>
            <w:r>
              <w:rPr>
                <w:b/>
              </w:rPr>
              <w:t xml:space="preserve"> </w:t>
            </w:r>
            <w:r w:rsidRPr="0000718B">
              <w:rPr>
                <w:b/>
              </w:rPr>
              <w:t>(95%CI)</w:t>
            </w:r>
            <w:r w:rsidRPr="0000718B">
              <w:rPr>
                <w:b/>
                <w:vertAlign w:val="superscript"/>
              </w:rPr>
              <w:t>c</w:t>
            </w:r>
          </w:p>
        </w:tc>
        <w:tc>
          <w:tcPr>
            <w:tcW w:w="2573" w:type="dxa"/>
            <w:shd w:val="clear" w:color="auto" w:fill="auto"/>
            <w:vAlign w:val="center"/>
          </w:tcPr>
          <w:p w:rsidR="00A103C2" w:rsidRPr="0000718B" w:rsidRDefault="00A103C2" w:rsidP="001519A1">
            <w:pPr>
              <w:pStyle w:val="Tabletext"/>
              <w:jc w:val="center"/>
              <w:rPr>
                <w:b/>
                <w:bCs/>
              </w:rPr>
            </w:pPr>
            <w:r w:rsidRPr="0000718B">
              <w:rPr>
                <w:b/>
                <w:bCs/>
              </w:rPr>
              <w:t>Odds Ratio</w:t>
            </w:r>
          </w:p>
        </w:tc>
      </w:tr>
      <w:tr w:rsidR="00A103C2" w:rsidRPr="0000718B" w:rsidTr="005E5089">
        <w:trPr>
          <w:jc w:val="center"/>
        </w:trPr>
        <w:tc>
          <w:tcPr>
            <w:tcW w:w="1271" w:type="dxa"/>
            <w:shd w:val="clear" w:color="auto" w:fill="auto"/>
            <w:vAlign w:val="center"/>
          </w:tcPr>
          <w:p w:rsidR="00A103C2" w:rsidRPr="0000718B" w:rsidRDefault="00A103C2" w:rsidP="001519A1">
            <w:pPr>
              <w:pStyle w:val="Tabletext"/>
              <w:rPr>
                <w:bCs/>
              </w:rPr>
            </w:pPr>
            <w:r w:rsidRPr="0000718B">
              <w:rPr>
                <w:bCs/>
              </w:rPr>
              <w:t>EXTREME</w:t>
            </w:r>
          </w:p>
        </w:tc>
        <w:tc>
          <w:tcPr>
            <w:tcW w:w="851" w:type="dxa"/>
            <w:shd w:val="clear" w:color="auto" w:fill="auto"/>
          </w:tcPr>
          <w:p w:rsidR="00A103C2" w:rsidRPr="0000718B" w:rsidRDefault="00A103C2" w:rsidP="001519A1">
            <w:pPr>
              <w:pStyle w:val="Tabletext"/>
              <w:jc w:val="center"/>
              <w:rPr>
                <w:bCs/>
              </w:rPr>
            </w:pPr>
            <w:r w:rsidRPr="0000718B">
              <w:rPr>
                <w:bCs/>
              </w:rPr>
              <w:t>442</w:t>
            </w:r>
          </w:p>
        </w:tc>
        <w:tc>
          <w:tcPr>
            <w:tcW w:w="2268" w:type="dxa"/>
            <w:shd w:val="clear" w:color="auto" w:fill="auto"/>
            <w:vAlign w:val="center"/>
          </w:tcPr>
          <w:p w:rsidR="00A103C2" w:rsidRPr="0000718B" w:rsidRDefault="00A103C2" w:rsidP="001519A1">
            <w:pPr>
              <w:pStyle w:val="Tabletext"/>
              <w:jc w:val="center"/>
            </w:pPr>
            <w:r w:rsidRPr="0000718B">
              <w:t>35.6% (29.3,42.3), N=222</w:t>
            </w:r>
          </w:p>
        </w:tc>
        <w:tc>
          <w:tcPr>
            <w:tcW w:w="2105" w:type="dxa"/>
            <w:shd w:val="clear" w:color="auto" w:fill="auto"/>
            <w:vAlign w:val="center"/>
          </w:tcPr>
          <w:p w:rsidR="00A103C2" w:rsidRPr="0000718B" w:rsidRDefault="00A103C2" w:rsidP="001519A1">
            <w:pPr>
              <w:pStyle w:val="Tabletext"/>
              <w:jc w:val="center"/>
            </w:pPr>
            <w:r w:rsidRPr="0000718B">
              <w:t>19.5% (14.5,25.4), N=220</w:t>
            </w:r>
          </w:p>
        </w:tc>
        <w:tc>
          <w:tcPr>
            <w:tcW w:w="2573" w:type="dxa"/>
            <w:shd w:val="clear" w:color="auto" w:fill="auto"/>
            <w:vAlign w:val="center"/>
          </w:tcPr>
          <w:p w:rsidR="00A103C2" w:rsidRPr="0000718B" w:rsidRDefault="00A103C2" w:rsidP="001519A1">
            <w:pPr>
              <w:pStyle w:val="Tabletext"/>
              <w:jc w:val="center"/>
              <w:rPr>
                <w:b/>
                <w:bCs/>
              </w:rPr>
            </w:pPr>
            <w:r w:rsidRPr="0000718B">
              <w:rPr>
                <w:b/>
                <w:bCs/>
              </w:rPr>
              <w:t>2.27 (1.48, 3.50)</w:t>
            </w:r>
          </w:p>
        </w:tc>
      </w:tr>
      <w:tr w:rsidR="00A103C2" w:rsidRPr="0000718B" w:rsidTr="001519A1">
        <w:trPr>
          <w:jc w:val="center"/>
        </w:trPr>
        <w:tc>
          <w:tcPr>
            <w:tcW w:w="1271" w:type="dxa"/>
            <w:shd w:val="clear" w:color="auto" w:fill="auto"/>
            <w:vAlign w:val="center"/>
          </w:tcPr>
          <w:p w:rsidR="00A103C2" w:rsidRPr="0000718B" w:rsidRDefault="00A103C2" w:rsidP="001519A1">
            <w:pPr>
              <w:pStyle w:val="Tabletext"/>
              <w:rPr>
                <w:bCs/>
              </w:rPr>
            </w:pPr>
            <w:r w:rsidRPr="0000718B">
              <w:rPr>
                <w:bCs/>
              </w:rPr>
              <w:t>SPECTRUM</w:t>
            </w:r>
          </w:p>
        </w:tc>
        <w:tc>
          <w:tcPr>
            <w:tcW w:w="851" w:type="dxa"/>
            <w:shd w:val="clear" w:color="auto" w:fill="auto"/>
          </w:tcPr>
          <w:p w:rsidR="00A103C2" w:rsidRPr="00A103C2" w:rsidRDefault="00A103C2" w:rsidP="001519A1">
            <w:pPr>
              <w:pStyle w:val="Tabletext"/>
              <w:jc w:val="center"/>
              <w:rPr>
                <w:bCs/>
                <w:i/>
              </w:rPr>
            </w:pPr>
            <w:r w:rsidRPr="00A103C2">
              <w:rPr>
                <w:bCs/>
                <w:i/>
              </w:rPr>
              <w:t>566</w:t>
            </w:r>
            <w:r>
              <w:rPr>
                <w:bCs/>
                <w:i/>
              </w:rPr>
              <w:t>^</w:t>
            </w:r>
          </w:p>
        </w:tc>
        <w:tc>
          <w:tcPr>
            <w:tcW w:w="2268" w:type="dxa"/>
            <w:shd w:val="clear" w:color="auto" w:fill="auto"/>
            <w:vAlign w:val="center"/>
          </w:tcPr>
          <w:p w:rsidR="00A103C2" w:rsidRPr="0000718B" w:rsidRDefault="00A103C2" w:rsidP="001519A1">
            <w:pPr>
              <w:pStyle w:val="Tabletext"/>
              <w:jc w:val="center"/>
            </w:pPr>
            <w:r w:rsidRPr="0000718B">
              <w:t>36% (31,42), N=</w:t>
            </w:r>
            <w:r w:rsidRPr="00A103C2">
              <w:rPr>
                <w:i/>
              </w:rPr>
              <w:t>278</w:t>
            </w:r>
            <w:r>
              <w:rPr>
                <w:i/>
              </w:rPr>
              <w:t>^</w:t>
            </w:r>
          </w:p>
        </w:tc>
        <w:tc>
          <w:tcPr>
            <w:tcW w:w="2105" w:type="dxa"/>
            <w:shd w:val="clear" w:color="auto" w:fill="auto"/>
            <w:vAlign w:val="center"/>
          </w:tcPr>
          <w:p w:rsidR="00A103C2" w:rsidRPr="0000718B" w:rsidRDefault="00A103C2" w:rsidP="001519A1">
            <w:pPr>
              <w:pStyle w:val="Tabletext"/>
              <w:jc w:val="center"/>
            </w:pPr>
            <w:r w:rsidRPr="0000718B">
              <w:t>25%(20,31), N =</w:t>
            </w:r>
            <w:r w:rsidRPr="00A103C2">
              <w:rPr>
                <w:i/>
              </w:rPr>
              <w:t>288</w:t>
            </w:r>
            <w:r>
              <w:rPr>
                <w:i/>
              </w:rPr>
              <w:t>^</w:t>
            </w:r>
          </w:p>
        </w:tc>
        <w:tc>
          <w:tcPr>
            <w:tcW w:w="2573" w:type="dxa"/>
            <w:shd w:val="clear" w:color="auto" w:fill="auto"/>
            <w:vAlign w:val="center"/>
          </w:tcPr>
          <w:p w:rsidR="00A103C2" w:rsidRPr="0000718B" w:rsidRDefault="00A103C2" w:rsidP="001519A1">
            <w:pPr>
              <w:pStyle w:val="Tabletext"/>
              <w:jc w:val="center"/>
              <w:rPr>
                <w:b/>
                <w:bCs/>
              </w:rPr>
            </w:pPr>
            <w:r w:rsidRPr="0000718B">
              <w:rPr>
                <w:b/>
                <w:bCs/>
              </w:rPr>
              <w:t>1.68 (1.17, 2.41)</w:t>
            </w:r>
          </w:p>
        </w:tc>
      </w:tr>
      <w:tr w:rsidR="00A103C2" w:rsidRPr="0000718B" w:rsidTr="001519A1">
        <w:trPr>
          <w:jc w:val="center"/>
        </w:trPr>
        <w:tc>
          <w:tcPr>
            <w:tcW w:w="6495" w:type="dxa"/>
            <w:gridSpan w:val="4"/>
            <w:shd w:val="clear" w:color="auto" w:fill="auto"/>
            <w:vAlign w:val="center"/>
          </w:tcPr>
          <w:p w:rsidR="00A103C2" w:rsidRPr="0000718B" w:rsidRDefault="00A103C2" w:rsidP="001519A1">
            <w:pPr>
              <w:pStyle w:val="Tabletext"/>
              <w:jc w:val="right"/>
            </w:pPr>
            <w:r w:rsidRPr="0000718B">
              <w:rPr>
                <w:b/>
                <w:bCs/>
              </w:rPr>
              <w:t>Pooled EGFR inhibitor, I</w:t>
            </w:r>
            <w:r w:rsidRPr="0000718B">
              <w:rPr>
                <w:b/>
                <w:bCs/>
                <w:vertAlign w:val="superscript"/>
              </w:rPr>
              <w:t>2</w:t>
            </w:r>
            <w:r w:rsidRPr="0000718B">
              <w:rPr>
                <w:b/>
                <w:bCs/>
              </w:rPr>
              <w:t>=10%; p&lt;0.0001</w:t>
            </w:r>
          </w:p>
        </w:tc>
        <w:tc>
          <w:tcPr>
            <w:tcW w:w="2573" w:type="dxa"/>
            <w:shd w:val="clear" w:color="auto" w:fill="auto"/>
            <w:vAlign w:val="center"/>
          </w:tcPr>
          <w:p w:rsidR="00A103C2" w:rsidRPr="0000718B" w:rsidRDefault="00A103C2" w:rsidP="001519A1">
            <w:pPr>
              <w:pStyle w:val="Tabletext"/>
              <w:jc w:val="center"/>
              <w:rPr>
                <w:b/>
                <w:bCs/>
              </w:rPr>
            </w:pPr>
            <w:r w:rsidRPr="0000718B">
              <w:rPr>
                <w:b/>
                <w:bCs/>
              </w:rPr>
              <w:t>1.91 (1.42, 2.56)</w:t>
            </w:r>
          </w:p>
        </w:tc>
      </w:tr>
    </w:tbl>
    <w:p w:rsidR="00A103C2" w:rsidRPr="00A103C2" w:rsidRDefault="00A103C2" w:rsidP="00A103C2">
      <w:pPr>
        <w:pStyle w:val="PBACHeading1"/>
        <w:numPr>
          <w:ilvl w:val="0"/>
          <w:numId w:val="0"/>
        </w:numPr>
        <w:ind w:left="720" w:hanging="720"/>
        <w:rPr>
          <w:rFonts w:ascii="Arial Narrow" w:hAnsi="Arial Narrow"/>
          <w:b w:val="0"/>
          <w:bCs/>
          <w:sz w:val="18"/>
          <w:szCs w:val="18"/>
        </w:rPr>
      </w:pPr>
      <w:r w:rsidRPr="00A103C2">
        <w:rPr>
          <w:rFonts w:ascii="Arial Narrow" w:hAnsi="Arial Narrow"/>
          <w:b w:val="0"/>
          <w:bCs/>
          <w:sz w:val="18"/>
          <w:szCs w:val="18"/>
        </w:rPr>
        <w:t>Abbreviations: CI = confidence int</w:t>
      </w:r>
      <w:r>
        <w:rPr>
          <w:rFonts w:ascii="Arial Narrow" w:hAnsi="Arial Narrow"/>
          <w:b w:val="0"/>
          <w:bCs/>
          <w:sz w:val="18"/>
          <w:szCs w:val="18"/>
        </w:rPr>
        <w:t xml:space="preserve">erval, EGRF = Epithelial Growth </w:t>
      </w:r>
      <w:r w:rsidRPr="00A103C2">
        <w:rPr>
          <w:rFonts w:ascii="Arial Narrow" w:hAnsi="Arial Narrow"/>
          <w:b w:val="0"/>
          <w:bCs/>
          <w:sz w:val="18"/>
          <w:szCs w:val="18"/>
        </w:rPr>
        <w:t xml:space="preserve">Factor Receptor inhibitor, CT = chemotherapy </w:t>
      </w:r>
    </w:p>
    <w:p w:rsidR="00A103C2" w:rsidRDefault="00A103C2" w:rsidP="005E5089">
      <w:pPr>
        <w:pStyle w:val="PBACHeading1"/>
        <w:numPr>
          <w:ilvl w:val="0"/>
          <w:numId w:val="0"/>
        </w:numPr>
        <w:spacing w:after="120"/>
        <w:ind w:left="720" w:hanging="720"/>
        <w:rPr>
          <w:rFonts w:ascii="Arial Narrow" w:hAnsi="Arial Narrow"/>
          <w:b w:val="0"/>
          <w:bCs/>
          <w:sz w:val="18"/>
          <w:szCs w:val="18"/>
        </w:rPr>
      </w:pPr>
      <w:r w:rsidRPr="00A103C2">
        <w:rPr>
          <w:rFonts w:ascii="Arial Narrow" w:hAnsi="Arial Narrow"/>
          <w:b w:val="0"/>
          <w:bCs/>
          <w:sz w:val="18"/>
          <w:szCs w:val="18"/>
        </w:rPr>
        <w:t>Source: Figures 2.6.2, 2.6.4 and 2.6.6, pp82-</w:t>
      </w:r>
      <w:r>
        <w:rPr>
          <w:rFonts w:ascii="Arial Narrow" w:hAnsi="Arial Narrow"/>
          <w:b w:val="0"/>
          <w:bCs/>
          <w:sz w:val="18"/>
          <w:szCs w:val="18"/>
        </w:rPr>
        <w:t xml:space="preserve">83 of the resubmission, </w:t>
      </w:r>
      <w:proofErr w:type="spellStart"/>
      <w:r w:rsidRPr="00A103C2">
        <w:rPr>
          <w:rFonts w:ascii="Arial Narrow" w:hAnsi="Arial Narrow"/>
          <w:b w:val="0"/>
          <w:bCs/>
          <w:sz w:val="18"/>
          <w:szCs w:val="18"/>
        </w:rPr>
        <w:t>Vermorken</w:t>
      </w:r>
      <w:proofErr w:type="spellEnd"/>
      <w:r w:rsidRPr="00A103C2">
        <w:rPr>
          <w:rFonts w:ascii="Arial Narrow" w:hAnsi="Arial Narrow"/>
          <w:b w:val="0"/>
          <w:bCs/>
          <w:sz w:val="18"/>
          <w:szCs w:val="18"/>
        </w:rPr>
        <w:t xml:space="preserve"> 2008 and </w:t>
      </w:r>
      <w:proofErr w:type="spellStart"/>
      <w:r w:rsidRPr="00A103C2">
        <w:rPr>
          <w:rFonts w:ascii="Arial Narrow" w:hAnsi="Arial Narrow"/>
          <w:b w:val="0"/>
          <w:bCs/>
          <w:sz w:val="18"/>
          <w:szCs w:val="18"/>
        </w:rPr>
        <w:t>Vermorken</w:t>
      </w:r>
      <w:proofErr w:type="spellEnd"/>
      <w:r w:rsidRPr="00A103C2">
        <w:rPr>
          <w:rFonts w:ascii="Arial Narrow" w:hAnsi="Arial Narrow"/>
          <w:b w:val="0"/>
          <w:bCs/>
          <w:sz w:val="18"/>
          <w:szCs w:val="18"/>
        </w:rPr>
        <w:t xml:space="preserve"> 2013</w:t>
      </w:r>
    </w:p>
    <w:p w:rsidR="00DE76D4" w:rsidRPr="00D35D44" w:rsidRDefault="00DE76D4" w:rsidP="00D31920">
      <w:pPr>
        <w:pStyle w:val="TableFooter"/>
        <w:rPr>
          <w:szCs w:val="18"/>
        </w:rPr>
      </w:pPr>
    </w:p>
    <w:p w:rsidR="00D31920" w:rsidRPr="00A90B55" w:rsidRDefault="000A0CB2" w:rsidP="00846F9C">
      <w:pPr>
        <w:pStyle w:val="ListParagraph"/>
        <w:numPr>
          <w:ilvl w:val="1"/>
          <w:numId w:val="2"/>
        </w:numPr>
        <w:rPr>
          <w:bCs/>
        </w:rPr>
      </w:pPr>
      <w:r w:rsidRPr="00A90B55">
        <w:rPr>
          <w:bCs/>
        </w:rPr>
        <w:lastRenderedPageBreak/>
        <w:t xml:space="preserve">Neither of the panitumumab trials </w:t>
      </w:r>
      <w:r w:rsidR="00D31920" w:rsidRPr="00A90B55">
        <w:rPr>
          <w:bCs/>
        </w:rPr>
        <w:t>report</w:t>
      </w:r>
      <w:r w:rsidR="00DE76D4" w:rsidRPr="00A90B55">
        <w:rPr>
          <w:bCs/>
        </w:rPr>
        <w:t>ed</w:t>
      </w:r>
      <w:r w:rsidR="00D31920" w:rsidRPr="00A90B55">
        <w:rPr>
          <w:bCs/>
        </w:rPr>
        <w:t xml:space="preserve"> statistically significant differences in OS between patients treated with panitumumab + CT and CT only.</w:t>
      </w:r>
      <w:r w:rsidR="000120B1" w:rsidRPr="00A90B55">
        <w:rPr>
          <w:bCs/>
        </w:rPr>
        <w:t xml:space="preserve"> </w:t>
      </w:r>
      <w:r w:rsidR="00D31920" w:rsidRPr="00A90B55">
        <w:rPr>
          <w:bCs/>
          <w:iCs/>
        </w:rPr>
        <w:t xml:space="preserve">This may be </w:t>
      </w:r>
      <w:r w:rsidR="00285D40" w:rsidRPr="00A90B55">
        <w:rPr>
          <w:bCs/>
          <w:iCs/>
        </w:rPr>
        <w:t xml:space="preserve">attributed </w:t>
      </w:r>
      <w:r w:rsidR="00D31920" w:rsidRPr="00A90B55">
        <w:rPr>
          <w:bCs/>
          <w:iCs/>
        </w:rPr>
        <w:t xml:space="preserve">to the higher OS observed in the CT only arm in SPECTRUM compared to EXTREME (point estimate </w:t>
      </w:r>
      <w:r w:rsidR="006F2F4C" w:rsidRPr="00A90B55">
        <w:rPr>
          <w:bCs/>
          <w:iCs/>
        </w:rPr>
        <w:t xml:space="preserve">for median of </w:t>
      </w:r>
      <w:r w:rsidR="00D31920" w:rsidRPr="00A90B55">
        <w:rPr>
          <w:bCs/>
          <w:iCs/>
        </w:rPr>
        <w:t>9.0 months vs 7.4 months)</w:t>
      </w:r>
      <w:r w:rsidR="00DE76D4" w:rsidRPr="00A90B55">
        <w:rPr>
          <w:bCs/>
          <w:iCs/>
        </w:rPr>
        <w:t xml:space="preserve"> and</w:t>
      </w:r>
      <w:r w:rsidRPr="00A90B55">
        <w:rPr>
          <w:bCs/>
          <w:iCs/>
        </w:rPr>
        <w:t xml:space="preserve"> significant </w:t>
      </w:r>
      <w:r w:rsidR="00DE76D4" w:rsidRPr="00A90B55">
        <w:rPr>
          <w:bCs/>
          <w:iCs/>
        </w:rPr>
        <w:t>crossover from the CT only arm to the panitumumab treatment arm</w:t>
      </w:r>
      <w:r w:rsidRPr="00A90B55">
        <w:rPr>
          <w:bCs/>
          <w:iCs/>
        </w:rPr>
        <w:t xml:space="preserve"> (55%)</w:t>
      </w:r>
      <w:r w:rsidR="00DE76D4" w:rsidRPr="00A90B55">
        <w:rPr>
          <w:bCs/>
          <w:iCs/>
        </w:rPr>
        <w:t xml:space="preserve"> in PARTNER </w:t>
      </w:r>
      <w:r w:rsidRPr="00A90B55">
        <w:rPr>
          <w:bCs/>
          <w:iCs/>
        </w:rPr>
        <w:t xml:space="preserve">which </w:t>
      </w:r>
      <w:r w:rsidR="00DE76D4" w:rsidRPr="00A90B55">
        <w:rPr>
          <w:bCs/>
          <w:iCs/>
        </w:rPr>
        <w:t>confound</w:t>
      </w:r>
      <w:r w:rsidR="00285D40" w:rsidRPr="00A90B55">
        <w:rPr>
          <w:bCs/>
          <w:iCs/>
        </w:rPr>
        <w:t>ed</w:t>
      </w:r>
      <w:r w:rsidR="00DE76D4" w:rsidRPr="00A90B55">
        <w:rPr>
          <w:bCs/>
          <w:iCs/>
        </w:rPr>
        <w:t xml:space="preserve"> </w:t>
      </w:r>
      <w:r w:rsidR="00285D40" w:rsidRPr="00A90B55">
        <w:rPr>
          <w:bCs/>
          <w:iCs/>
        </w:rPr>
        <w:t xml:space="preserve">the OS </w:t>
      </w:r>
      <w:r w:rsidR="00DE76D4" w:rsidRPr="00A90B55">
        <w:rPr>
          <w:bCs/>
          <w:iCs/>
        </w:rPr>
        <w:t>results</w:t>
      </w:r>
      <w:r w:rsidRPr="00A90B55">
        <w:rPr>
          <w:bCs/>
          <w:iCs/>
        </w:rPr>
        <w:t>.</w:t>
      </w:r>
      <w:r w:rsidR="000120B1" w:rsidRPr="00A90B55">
        <w:rPr>
          <w:bCs/>
          <w:iCs/>
        </w:rPr>
        <w:t xml:space="preserve"> </w:t>
      </w:r>
      <w:r w:rsidR="003211C0" w:rsidRPr="00A90B55">
        <w:rPr>
          <w:bCs/>
          <w:iCs/>
        </w:rPr>
        <w:t xml:space="preserve">Patients </w:t>
      </w:r>
      <w:r w:rsidR="006C2907" w:rsidRPr="00A90B55">
        <w:rPr>
          <w:bCs/>
          <w:iCs/>
        </w:rPr>
        <w:t xml:space="preserve">in </w:t>
      </w:r>
      <w:r w:rsidRPr="00A90B55">
        <w:rPr>
          <w:bCs/>
          <w:iCs/>
        </w:rPr>
        <w:t xml:space="preserve">the </w:t>
      </w:r>
      <w:r w:rsidR="006C2907" w:rsidRPr="00A90B55">
        <w:rPr>
          <w:bCs/>
          <w:iCs/>
        </w:rPr>
        <w:t xml:space="preserve">CT only arm in PARTNER had </w:t>
      </w:r>
      <w:r w:rsidR="00E34E5C" w:rsidRPr="00A90B55">
        <w:rPr>
          <w:bCs/>
          <w:iCs/>
        </w:rPr>
        <w:t xml:space="preserve">a </w:t>
      </w:r>
      <w:r w:rsidR="006C2907" w:rsidRPr="00A90B55">
        <w:rPr>
          <w:bCs/>
          <w:iCs/>
        </w:rPr>
        <w:t xml:space="preserve">longer </w:t>
      </w:r>
      <w:r w:rsidRPr="00A90B55">
        <w:rPr>
          <w:bCs/>
          <w:iCs/>
        </w:rPr>
        <w:t>median OS</w:t>
      </w:r>
      <w:r w:rsidR="006C2907" w:rsidRPr="00A90B55">
        <w:rPr>
          <w:bCs/>
          <w:iCs/>
        </w:rPr>
        <w:t xml:space="preserve"> </w:t>
      </w:r>
      <w:r w:rsidR="00EE071B" w:rsidRPr="00A90B55">
        <w:rPr>
          <w:bCs/>
          <w:iCs/>
        </w:rPr>
        <w:t>(</w:t>
      </w:r>
      <w:r w:rsidR="00EE071B" w:rsidRPr="00A90B55">
        <w:t xml:space="preserve">13.8 months; CI: 11.8, 22.9) </w:t>
      </w:r>
      <w:r w:rsidR="006C2907" w:rsidRPr="00A90B55">
        <w:rPr>
          <w:bCs/>
          <w:iCs/>
        </w:rPr>
        <w:t>than patie</w:t>
      </w:r>
      <w:r w:rsidRPr="00A90B55">
        <w:rPr>
          <w:bCs/>
          <w:iCs/>
        </w:rPr>
        <w:t>nts in the panitumumab + CT arm</w:t>
      </w:r>
      <w:r w:rsidR="00E34E5C" w:rsidRPr="00A90B55">
        <w:rPr>
          <w:bCs/>
          <w:iCs/>
        </w:rPr>
        <w:t xml:space="preserve"> (12.9</w:t>
      </w:r>
      <w:r w:rsidR="00AD62F6" w:rsidRPr="00A90B55">
        <w:rPr>
          <w:bCs/>
          <w:iCs/>
        </w:rPr>
        <w:t xml:space="preserve"> months</w:t>
      </w:r>
      <w:r w:rsidR="00E34E5C" w:rsidRPr="00A90B55">
        <w:rPr>
          <w:bCs/>
          <w:iCs/>
        </w:rPr>
        <w:t>; CI: 9.4, 18.5)</w:t>
      </w:r>
      <w:r w:rsidRPr="00A90B55">
        <w:rPr>
          <w:bCs/>
          <w:iCs/>
        </w:rPr>
        <w:t>.</w:t>
      </w:r>
    </w:p>
    <w:p w:rsidR="00DE5590" w:rsidRPr="00A90B55" w:rsidRDefault="00D31920" w:rsidP="00846F9C">
      <w:pPr>
        <w:pStyle w:val="ListParagraph"/>
        <w:numPr>
          <w:ilvl w:val="1"/>
          <w:numId w:val="2"/>
        </w:numPr>
        <w:rPr>
          <w:bCs/>
        </w:rPr>
      </w:pPr>
      <w:r w:rsidRPr="00A90B55">
        <w:rPr>
          <w:bCs/>
        </w:rPr>
        <w:t xml:space="preserve">The pooled </w:t>
      </w:r>
      <w:r w:rsidR="00C16925" w:rsidRPr="00A90B55">
        <w:rPr>
          <w:bCs/>
        </w:rPr>
        <w:t>anti-</w:t>
      </w:r>
      <w:r w:rsidRPr="00A90B55">
        <w:rPr>
          <w:bCs/>
        </w:rPr>
        <w:t xml:space="preserve">EGFR </w:t>
      </w:r>
      <w:r w:rsidR="00C16925" w:rsidRPr="00A90B55">
        <w:rPr>
          <w:bCs/>
        </w:rPr>
        <w:t xml:space="preserve">antibody </w:t>
      </w:r>
      <w:r w:rsidRPr="00A90B55">
        <w:rPr>
          <w:bCs/>
        </w:rPr>
        <w:t>trials in RM SCCHN show</w:t>
      </w:r>
      <w:r w:rsidR="00285D40" w:rsidRPr="00A90B55">
        <w:rPr>
          <w:bCs/>
        </w:rPr>
        <w:t>ed</w:t>
      </w:r>
      <w:r w:rsidRPr="00A90B55">
        <w:rPr>
          <w:bCs/>
        </w:rPr>
        <w:t xml:space="preserve"> statistically significant differences in the outcomes of OS, PFS and best overall respons</w:t>
      </w:r>
      <w:r w:rsidR="00C16925" w:rsidRPr="00A90B55">
        <w:rPr>
          <w:bCs/>
        </w:rPr>
        <w:t>e in patients treated with anti-</w:t>
      </w:r>
      <w:r w:rsidRPr="00A90B55">
        <w:rPr>
          <w:bCs/>
        </w:rPr>
        <w:t>EGFR antibodies + CT compared to CT only.</w:t>
      </w:r>
      <w:r w:rsidR="000120B1" w:rsidRPr="00A90B55">
        <w:rPr>
          <w:bCs/>
        </w:rPr>
        <w:t xml:space="preserve"> </w:t>
      </w:r>
      <w:r w:rsidR="005C7D5D" w:rsidRPr="00A90B55">
        <w:rPr>
          <w:bCs/>
        </w:rPr>
        <w:t>However, the clinical significance of the results remains uncertain.</w:t>
      </w:r>
      <w:r w:rsidR="00DE5590" w:rsidRPr="00A90B55">
        <w:rPr>
          <w:bCs/>
        </w:rPr>
        <w:t xml:space="preserve"> </w:t>
      </w:r>
      <w:r w:rsidR="005C7D5D" w:rsidRPr="00A90B55">
        <w:rPr>
          <w:bCs/>
        </w:rPr>
        <w:t>The pooled results indicated a</w:t>
      </w:r>
      <w:r w:rsidR="00D2741C">
        <w:rPr>
          <w:bCs/>
        </w:rPr>
        <w:t xml:space="preserve"> </w:t>
      </w:r>
      <w:r w:rsidR="005C7D5D" w:rsidRPr="00A90B55">
        <w:rPr>
          <w:bCs/>
        </w:rPr>
        <w:t>smaller incremental benefit compared to the results of the EXTREME trial.</w:t>
      </w:r>
      <w:r w:rsidR="000839BA" w:rsidRPr="00A90B55">
        <w:rPr>
          <w:bCs/>
        </w:rPr>
        <w:t xml:space="preserve"> The PBAC noted that </w:t>
      </w:r>
      <w:r w:rsidR="007B5578">
        <w:rPr>
          <w:bCs/>
        </w:rPr>
        <w:t>the</w:t>
      </w:r>
      <w:r w:rsidR="000839BA" w:rsidRPr="00A90B55">
        <w:rPr>
          <w:bCs/>
        </w:rPr>
        <w:t xml:space="preserve"> difference in OS for patients in the CT alone arm</w:t>
      </w:r>
      <w:r w:rsidR="007B5578">
        <w:rPr>
          <w:bCs/>
        </w:rPr>
        <w:t xml:space="preserve"> for the EXTREME and SPECTRUM trials</w:t>
      </w:r>
      <w:r w:rsidR="00087D2E">
        <w:rPr>
          <w:bCs/>
        </w:rPr>
        <w:t xml:space="preserve"> and </w:t>
      </w:r>
      <w:r w:rsidR="007B5578">
        <w:rPr>
          <w:bCs/>
        </w:rPr>
        <w:t xml:space="preserve">considered that </w:t>
      </w:r>
      <w:r w:rsidR="00087D2E">
        <w:rPr>
          <w:bCs/>
        </w:rPr>
        <w:t>this complicated interpretation of the meta-analysis results</w:t>
      </w:r>
      <w:r w:rsidR="00933E3D" w:rsidRPr="00A90B55">
        <w:rPr>
          <w:bCs/>
        </w:rPr>
        <w:t xml:space="preserve">. </w:t>
      </w:r>
      <w:r w:rsidR="00087D2E">
        <w:rPr>
          <w:bCs/>
        </w:rPr>
        <w:t>Overall, t</w:t>
      </w:r>
      <w:r w:rsidR="00EE071B" w:rsidRPr="00A90B55">
        <w:rPr>
          <w:bCs/>
        </w:rPr>
        <w:t xml:space="preserve">he PBAC considered that </w:t>
      </w:r>
      <w:r w:rsidR="00EA07ED" w:rsidRPr="00A90B55">
        <w:rPr>
          <w:bCs/>
        </w:rPr>
        <w:t xml:space="preserve">the </w:t>
      </w:r>
      <w:r w:rsidR="00933E3D" w:rsidRPr="00A90B55">
        <w:rPr>
          <w:bCs/>
        </w:rPr>
        <w:t xml:space="preserve">EXTREME trial may present the </w:t>
      </w:r>
      <w:r w:rsidR="007B5578">
        <w:rPr>
          <w:bCs/>
        </w:rPr>
        <w:t xml:space="preserve">most favourable results </w:t>
      </w:r>
      <w:r w:rsidR="00933E3D" w:rsidRPr="00A90B55">
        <w:rPr>
          <w:bCs/>
        </w:rPr>
        <w:t>for the EGFR + CT combination in patients with RM SCCHN.</w:t>
      </w:r>
    </w:p>
    <w:p w:rsidR="00D31920" w:rsidRPr="00A90B55" w:rsidRDefault="00D31920" w:rsidP="002E2883">
      <w:pPr>
        <w:pStyle w:val="Heading2"/>
      </w:pPr>
      <w:bookmarkStart w:id="8" w:name="_Toc500767929"/>
      <w:r w:rsidRPr="00A90B55">
        <w:t>Comparative harms</w:t>
      </w:r>
      <w:bookmarkEnd w:id="8"/>
    </w:p>
    <w:p w:rsidR="00D31920" w:rsidRPr="00D35D44" w:rsidRDefault="00D31920" w:rsidP="00846F9C">
      <w:pPr>
        <w:pStyle w:val="ListParagraph"/>
        <w:widowControl/>
        <w:numPr>
          <w:ilvl w:val="1"/>
          <w:numId w:val="2"/>
        </w:numPr>
        <w:rPr>
          <w:bCs/>
          <w:iCs/>
        </w:rPr>
      </w:pPr>
      <w:r w:rsidRPr="00A90B55">
        <w:rPr>
          <w:bCs/>
        </w:rPr>
        <w:t>Adverse events which wer</w:t>
      </w:r>
      <w:r w:rsidR="005C7D5D" w:rsidRPr="00A90B55">
        <w:rPr>
          <w:bCs/>
        </w:rPr>
        <w:t>e statistically significantly (p</w:t>
      </w:r>
      <w:r w:rsidRPr="00A90B55">
        <w:rPr>
          <w:bCs/>
        </w:rPr>
        <w:t xml:space="preserve"> ≤ 0.05) different between</w:t>
      </w:r>
      <w:r w:rsidRPr="00D35D44">
        <w:rPr>
          <w:bCs/>
        </w:rPr>
        <w:t xml:space="preserve"> treatment arms in EXTREME are summarised in</w:t>
      </w:r>
      <w:r w:rsidR="005C7D5D" w:rsidRPr="00D35D44">
        <w:rPr>
          <w:bCs/>
        </w:rPr>
        <w:t xml:space="preserve"> Table </w:t>
      </w:r>
      <w:r w:rsidR="00A67632" w:rsidRPr="00D35D44">
        <w:rPr>
          <w:bCs/>
        </w:rPr>
        <w:t>8 below</w:t>
      </w:r>
      <w:r w:rsidR="005C7D5D" w:rsidRPr="00D35D44">
        <w:rPr>
          <w:bCs/>
        </w:rPr>
        <w:t xml:space="preserve">. </w:t>
      </w:r>
      <w:r w:rsidR="005C7D5D" w:rsidRPr="00D35D44">
        <w:rPr>
          <w:bCs/>
          <w:iCs/>
        </w:rPr>
        <w:t>These results had previously been presented in the March 2016 submission</w:t>
      </w:r>
      <w:r w:rsidR="00285D40" w:rsidRPr="00D35D44">
        <w:rPr>
          <w:bCs/>
          <w:iCs/>
        </w:rPr>
        <w:t>;</w:t>
      </w:r>
      <w:r w:rsidR="005C7D5D" w:rsidRPr="00D35D44">
        <w:rPr>
          <w:bCs/>
          <w:iCs/>
        </w:rPr>
        <w:t xml:space="preserve"> however</w:t>
      </w:r>
      <w:r w:rsidR="00285D40" w:rsidRPr="00D35D44">
        <w:rPr>
          <w:bCs/>
          <w:iCs/>
        </w:rPr>
        <w:t>,</w:t>
      </w:r>
      <w:r w:rsidR="005C7D5D" w:rsidRPr="00D35D44">
        <w:rPr>
          <w:bCs/>
          <w:iCs/>
        </w:rPr>
        <w:t xml:space="preserve"> additional statistical comparisons were conducted during th</w:t>
      </w:r>
      <w:r w:rsidR="007B5578">
        <w:rPr>
          <w:bCs/>
          <w:iCs/>
        </w:rPr>
        <w:t>e</w:t>
      </w:r>
      <w:r w:rsidR="005C7D5D" w:rsidRPr="00D35D44">
        <w:rPr>
          <w:bCs/>
          <w:iCs/>
        </w:rPr>
        <w:t xml:space="preserve"> evaluation</w:t>
      </w:r>
      <w:r w:rsidR="007B5578">
        <w:rPr>
          <w:bCs/>
          <w:iCs/>
        </w:rPr>
        <w:t xml:space="preserve"> of this submission</w:t>
      </w:r>
      <w:r w:rsidRPr="00D35D44">
        <w:rPr>
          <w:bCs/>
          <w:iCs/>
        </w:rPr>
        <w:t>.</w:t>
      </w:r>
    </w:p>
    <w:p w:rsidR="00D31920" w:rsidRPr="00D35D44" w:rsidRDefault="00D31920" w:rsidP="005E5089">
      <w:pPr>
        <w:pStyle w:val="ListParagraph"/>
        <w:keepNext/>
        <w:spacing w:after="0"/>
        <w:ind w:left="0"/>
        <w:rPr>
          <w:rStyle w:val="CommentReference"/>
        </w:rPr>
      </w:pPr>
      <w:r w:rsidRPr="00D35D44">
        <w:rPr>
          <w:rStyle w:val="CommentReference"/>
        </w:rPr>
        <w:lastRenderedPageBreak/>
        <w:t>Table 8:</w:t>
      </w:r>
      <w:r w:rsidR="000120B1" w:rsidRPr="00D35D44">
        <w:rPr>
          <w:rStyle w:val="CommentReference"/>
        </w:rPr>
        <w:t xml:space="preserve"> </w:t>
      </w:r>
      <w:r w:rsidRPr="00D35D44">
        <w:rPr>
          <w:rStyle w:val="CommentReference"/>
        </w:rPr>
        <w:t>Summary of statistically significant adverse events in the EXTREME trial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2365"/>
        <w:gridCol w:w="1535"/>
        <w:gridCol w:w="1805"/>
      </w:tblGrid>
      <w:tr w:rsidR="00D31920" w:rsidRPr="00D35D44" w:rsidTr="005C7D5D">
        <w:trPr>
          <w:tblHeader/>
        </w:trPr>
        <w:tc>
          <w:tcPr>
            <w:tcW w:w="3312" w:type="dxa"/>
            <w:vAlign w:val="center"/>
          </w:tcPr>
          <w:p w:rsidR="00D31920" w:rsidRPr="00D35D44" w:rsidRDefault="00D31920" w:rsidP="005E5089">
            <w:pPr>
              <w:pStyle w:val="Tabletext"/>
              <w:keepNext/>
              <w:rPr>
                <w:b/>
              </w:rPr>
            </w:pPr>
            <w:r w:rsidRPr="00D35D44">
              <w:rPr>
                <w:b/>
              </w:rPr>
              <w:t>Trial ID</w:t>
            </w:r>
          </w:p>
        </w:tc>
        <w:tc>
          <w:tcPr>
            <w:tcW w:w="2365" w:type="dxa"/>
            <w:vAlign w:val="center"/>
          </w:tcPr>
          <w:p w:rsidR="00D31920" w:rsidRPr="00D35D44" w:rsidRDefault="00D31920" w:rsidP="005E5089">
            <w:pPr>
              <w:pStyle w:val="Tabletext"/>
              <w:keepNext/>
              <w:jc w:val="center"/>
              <w:rPr>
                <w:b/>
              </w:rPr>
            </w:pPr>
            <w:r w:rsidRPr="00D35D44">
              <w:rPr>
                <w:b/>
              </w:rPr>
              <w:t>Cetuximab + CT</w:t>
            </w:r>
            <w:r w:rsidR="002A24A7" w:rsidRPr="00D35D44">
              <w:rPr>
                <w:b/>
              </w:rPr>
              <w:t xml:space="preserve"> </w:t>
            </w:r>
            <w:r w:rsidRPr="00D35D44">
              <w:rPr>
                <w:b/>
              </w:rPr>
              <w:t>(n= 219)</w:t>
            </w:r>
          </w:p>
          <w:p w:rsidR="00D31920" w:rsidRPr="00D35D44" w:rsidRDefault="00D31920" w:rsidP="005E5089">
            <w:pPr>
              <w:pStyle w:val="Tabletext"/>
              <w:keepNext/>
              <w:jc w:val="center"/>
              <w:rPr>
                <w:b/>
              </w:rPr>
            </w:pPr>
            <w:proofErr w:type="gramStart"/>
            <w:r w:rsidRPr="00D35D44">
              <w:rPr>
                <w:b/>
              </w:rPr>
              <w:t>n(</w:t>
            </w:r>
            <w:proofErr w:type="gramEnd"/>
            <w:r w:rsidRPr="00D35D44">
              <w:rPr>
                <w:b/>
              </w:rPr>
              <w:t>%)</w:t>
            </w:r>
          </w:p>
        </w:tc>
        <w:tc>
          <w:tcPr>
            <w:tcW w:w="1535" w:type="dxa"/>
            <w:vAlign w:val="center"/>
          </w:tcPr>
          <w:p w:rsidR="00D31920" w:rsidRPr="00D35D44" w:rsidRDefault="00D31920" w:rsidP="005E5089">
            <w:pPr>
              <w:pStyle w:val="Tabletext"/>
              <w:keepNext/>
              <w:jc w:val="center"/>
              <w:rPr>
                <w:b/>
              </w:rPr>
            </w:pPr>
            <w:r w:rsidRPr="00D35D44">
              <w:rPr>
                <w:b/>
              </w:rPr>
              <w:t>CT only (n=215)</w:t>
            </w:r>
          </w:p>
          <w:p w:rsidR="00D31920" w:rsidRPr="00D35D44" w:rsidRDefault="00D31920" w:rsidP="005E5089">
            <w:pPr>
              <w:pStyle w:val="Tabletext"/>
              <w:keepNext/>
              <w:jc w:val="center"/>
              <w:rPr>
                <w:b/>
              </w:rPr>
            </w:pPr>
            <w:proofErr w:type="gramStart"/>
            <w:r w:rsidRPr="00D35D44">
              <w:rPr>
                <w:b/>
              </w:rPr>
              <w:t>n(</w:t>
            </w:r>
            <w:proofErr w:type="gramEnd"/>
            <w:r w:rsidRPr="00D35D44">
              <w:rPr>
                <w:b/>
              </w:rPr>
              <w:t>%)</w:t>
            </w:r>
          </w:p>
        </w:tc>
        <w:tc>
          <w:tcPr>
            <w:tcW w:w="1805" w:type="dxa"/>
            <w:vAlign w:val="center"/>
          </w:tcPr>
          <w:p w:rsidR="00D31920" w:rsidRPr="00D35D44" w:rsidRDefault="00D31920" w:rsidP="005E5089">
            <w:pPr>
              <w:pStyle w:val="Tabletext"/>
              <w:keepNext/>
              <w:jc w:val="center"/>
              <w:rPr>
                <w:b/>
              </w:rPr>
            </w:pPr>
            <w:r w:rsidRPr="00D35D44">
              <w:rPr>
                <w:b/>
              </w:rPr>
              <w:t>RD (95% CI)</w:t>
            </w:r>
          </w:p>
        </w:tc>
      </w:tr>
      <w:tr w:rsidR="00D31920" w:rsidRPr="00D35D44" w:rsidTr="005E5089">
        <w:tc>
          <w:tcPr>
            <w:tcW w:w="3312" w:type="dxa"/>
            <w:shd w:val="clear" w:color="auto" w:fill="auto"/>
          </w:tcPr>
          <w:p w:rsidR="00D31920" w:rsidRPr="00D35D44" w:rsidRDefault="00D31920" w:rsidP="005E5089">
            <w:pPr>
              <w:pStyle w:val="Tabletext"/>
              <w:keepNext/>
              <w:rPr>
                <w:bCs/>
              </w:rPr>
            </w:pPr>
            <w:r w:rsidRPr="00D35D44">
              <w:rPr>
                <w:sz w:val="18"/>
                <w:szCs w:val="18"/>
              </w:rPr>
              <w:t>Any AE</w:t>
            </w:r>
          </w:p>
        </w:tc>
        <w:tc>
          <w:tcPr>
            <w:tcW w:w="2365" w:type="dxa"/>
            <w:shd w:val="clear" w:color="auto" w:fill="auto"/>
          </w:tcPr>
          <w:p w:rsidR="00D31920" w:rsidRPr="00D35D44" w:rsidRDefault="00D31920" w:rsidP="005E5089">
            <w:pPr>
              <w:pStyle w:val="Tabletext"/>
              <w:keepNext/>
              <w:jc w:val="center"/>
              <w:rPr>
                <w:bCs/>
              </w:rPr>
            </w:pPr>
            <w:r w:rsidRPr="00D35D44">
              <w:rPr>
                <w:sz w:val="18"/>
                <w:szCs w:val="18"/>
              </w:rPr>
              <w:t>218 (99.5)</w:t>
            </w:r>
          </w:p>
        </w:tc>
        <w:tc>
          <w:tcPr>
            <w:tcW w:w="1535" w:type="dxa"/>
            <w:shd w:val="clear" w:color="auto" w:fill="auto"/>
          </w:tcPr>
          <w:p w:rsidR="00D31920" w:rsidRPr="00D35D44" w:rsidRDefault="00D31920" w:rsidP="005E5089">
            <w:pPr>
              <w:pStyle w:val="Tabletext"/>
              <w:keepNext/>
              <w:jc w:val="center"/>
              <w:rPr>
                <w:bCs/>
              </w:rPr>
            </w:pPr>
            <w:r w:rsidRPr="00D35D44">
              <w:rPr>
                <w:sz w:val="18"/>
                <w:szCs w:val="18"/>
              </w:rPr>
              <w:t>208 (96.7)</w:t>
            </w:r>
          </w:p>
        </w:tc>
        <w:tc>
          <w:tcPr>
            <w:tcW w:w="1805" w:type="dxa"/>
            <w:vAlign w:val="center"/>
          </w:tcPr>
          <w:p w:rsidR="00D31920" w:rsidRPr="00D35D44" w:rsidRDefault="00D31920" w:rsidP="005E5089">
            <w:pPr>
              <w:pStyle w:val="Tabletext"/>
              <w:keepNext/>
              <w:jc w:val="center"/>
              <w:rPr>
                <w:b/>
                <w:bCs/>
              </w:rPr>
            </w:pPr>
            <w:r w:rsidRPr="00D35D44">
              <w:rPr>
                <w:b/>
                <w:bCs/>
                <w:iCs/>
                <w:sz w:val="18"/>
                <w:szCs w:val="18"/>
              </w:rPr>
              <w:t>0.03 (0.003, 0.05)</w:t>
            </w:r>
          </w:p>
        </w:tc>
      </w:tr>
      <w:tr w:rsidR="005C7D5D" w:rsidRPr="00D35D44" w:rsidTr="005E5089">
        <w:tc>
          <w:tcPr>
            <w:tcW w:w="3312" w:type="dxa"/>
            <w:shd w:val="clear" w:color="auto" w:fill="auto"/>
          </w:tcPr>
          <w:p w:rsidR="005C7D5D" w:rsidRPr="00D35D44" w:rsidRDefault="005C7D5D" w:rsidP="005E5089">
            <w:pPr>
              <w:pStyle w:val="Tabletext"/>
              <w:keepNext/>
              <w:rPr>
                <w:bCs/>
              </w:rPr>
            </w:pPr>
            <w:r w:rsidRPr="00D35D44">
              <w:rPr>
                <w:sz w:val="18"/>
                <w:szCs w:val="18"/>
              </w:rPr>
              <w:t>AE leading to discontinuation of treatment</w:t>
            </w:r>
          </w:p>
        </w:tc>
        <w:tc>
          <w:tcPr>
            <w:tcW w:w="2365" w:type="dxa"/>
            <w:shd w:val="clear" w:color="auto" w:fill="auto"/>
          </w:tcPr>
          <w:p w:rsidR="005C7D5D" w:rsidRPr="00D35D44" w:rsidRDefault="005C7D5D" w:rsidP="005E5089">
            <w:pPr>
              <w:pStyle w:val="Tabletext"/>
              <w:keepNext/>
              <w:jc w:val="center"/>
              <w:rPr>
                <w:bCs/>
              </w:rPr>
            </w:pPr>
            <w:r w:rsidRPr="00D35D44">
              <w:rPr>
                <w:sz w:val="18"/>
                <w:szCs w:val="18"/>
              </w:rPr>
              <w:t>66 (30.1)</w:t>
            </w:r>
          </w:p>
        </w:tc>
        <w:tc>
          <w:tcPr>
            <w:tcW w:w="1535" w:type="dxa"/>
            <w:shd w:val="clear" w:color="auto" w:fill="auto"/>
          </w:tcPr>
          <w:p w:rsidR="005C7D5D" w:rsidRPr="00D35D44" w:rsidRDefault="005C7D5D" w:rsidP="005E5089">
            <w:pPr>
              <w:pStyle w:val="Tabletext"/>
              <w:keepNext/>
              <w:jc w:val="center"/>
              <w:rPr>
                <w:bCs/>
              </w:rPr>
            </w:pPr>
            <w:r w:rsidRPr="00D35D44">
              <w:rPr>
                <w:sz w:val="18"/>
                <w:szCs w:val="18"/>
              </w:rPr>
              <w:t>38 (17.7)</w:t>
            </w:r>
          </w:p>
        </w:tc>
        <w:tc>
          <w:tcPr>
            <w:tcW w:w="1805" w:type="dxa"/>
            <w:vAlign w:val="center"/>
          </w:tcPr>
          <w:p w:rsidR="005C7D5D" w:rsidRPr="00D35D44" w:rsidRDefault="005C7D5D" w:rsidP="005E5089">
            <w:pPr>
              <w:pStyle w:val="Tabletext"/>
              <w:keepNext/>
              <w:jc w:val="center"/>
              <w:rPr>
                <w:b/>
                <w:bCs/>
              </w:rPr>
            </w:pPr>
            <w:r w:rsidRPr="00D35D44">
              <w:rPr>
                <w:b/>
                <w:bCs/>
                <w:iCs/>
                <w:sz w:val="18"/>
                <w:szCs w:val="18"/>
              </w:rPr>
              <w:t>0.12 (0.05, 20.40)</w:t>
            </w:r>
          </w:p>
        </w:tc>
      </w:tr>
      <w:tr w:rsidR="005C7D5D" w:rsidRPr="00D35D44" w:rsidTr="005E5089">
        <w:tc>
          <w:tcPr>
            <w:tcW w:w="3312" w:type="dxa"/>
            <w:shd w:val="clear" w:color="auto" w:fill="auto"/>
          </w:tcPr>
          <w:p w:rsidR="005C7D5D" w:rsidRPr="00D35D44" w:rsidRDefault="005C7D5D" w:rsidP="005E5089">
            <w:pPr>
              <w:pStyle w:val="Tabletext"/>
              <w:keepNext/>
              <w:rPr>
                <w:sz w:val="18"/>
                <w:szCs w:val="18"/>
              </w:rPr>
            </w:pPr>
            <w:r w:rsidRPr="00D35D44">
              <w:rPr>
                <w:sz w:val="18"/>
                <w:szCs w:val="18"/>
              </w:rPr>
              <w:t>Any grade 3 or 4 AE</w:t>
            </w:r>
          </w:p>
        </w:tc>
        <w:tc>
          <w:tcPr>
            <w:tcW w:w="2365" w:type="dxa"/>
            <w:shd w:val="clear" w:color="auto" w:fill="auto"/>
          </w:tcPr>
          <w:p w:rsidR="005C7D5D" w:rsidRPr="00D35D44" w:rsidRDefault="005C7D5D" w:rsidP="005E5089">
            <w:pPr>
              <w:pStyle w:val="Tabletext"/>
              <w:keepNext/>
              <w:jc w:val="center"/>
              <w:rPr>
                <w:sz w:val="18"/>
                <w:szCs w:val="18"/>
              </w:rPr>
            </w:pPr>
            <w:r w:rsidRPr="00D35D44">
              <w:rPr>
                <w:sz w:val="18"/>
                <w:szCs w:val="18"/>
              </w:rPr>
              <w:t>179 (81.7)</w:t>
            </w:r>
          </w:p>
        </w:tc>
        <w:tc>
          <w:tcPr>
            <w:tcW w:w="1535" w:type="dxa"/>
            <w:shd w:val="clear" w:color="auto" w:fill="auto"/>
          </w:tcPr>
          <w:p w:rsidR="005C7D5D" w:rsidRPr="00D35D44" w:rsidRDefault="005C7D5D" w:rsidP="005E5089">
            <w:pPr>
              <w:pStyle w:val="Tabletext"/>
              <w:keepNext/>
              <w:jc w:val="center"/>
              <w:rPr>
                <w:sz w:val="18"/>
                <w:szCs w:val="18"/>
              </w:rPr>
            </w:pPr>
            <w:r w:rsidRPr="00D35D44">
              <w:rPr>
                <w:sz w:val="18"/>
                <w:szCs w:val="18"/>
              </w:rPr>
              <w:t>164 (76.3)</w:t>
            </w:r>
          </w:p>
        </w:tc>
        <w:tc>
          <w:tcPr>
            <w:tcW w:w="1805" w:type="dxa"/>
            <w:vAlign w:val="center"/>
          </w:tcPr>
          <w:p w:rsidR="005C7D5D" w:rsidRPr="00D35D44" w:rsidRDefault="005C7D5D" w:rsidP="005E5089">
            <w:pPr>
              <w:pStyle w:val="Tabletext"/>
              <w:keepNext/>
              <w:jc w:val="center"/>
              <w:rPr>
                <w:b/>
                <w:bCs/>
                <w:iCs/>
                <w:sz w:val="18"/>
                <w:szCs w:val="18"/>
              </w:rPr>
            </w:pPr>
            <w:r w:rsidRPr="00D35D44">
              <w:rPr>
                <w:iCs/>
                <w:sz w:val="18"/>
                <w:szCs w:val="18"/>
              </w:rPr>
              <w:t>0.05 (-0.02, 1.31)</w:t>
            </w:r>
          </w:p>
        </w:tc>
      </w:tr>
      <w:tr w:rsidR="005C7D5D" w:rsidRPr="00D35D44" w:rsidTr="005E5089">
        <w:tc>
          <w:tcPr>
            <w:tcW w:w="3312" w:type="dxa"/>
            <w:shd w:val="clear" w:color="auto" w:fill="auto"/>
          </w:tcPr>
          <w:p w:rsidR="005C7D5D" w:rsidRPr="00D35D44" w:rsidRDefault="005C7D5D" w:rsidP="005E5089">
            <w:pPr>
              <w:pStyle w:val="Tabletext"/>
              <w:keepNext/>
              <w:rPr>
                <w:sz w:val="18"/>
                <w:szCs w:val="18"/>
              </w:rPr>
            </w:pPr>
            <w:r w:rsidRPr="00D35D44">
              <w:rPr>
                <w:sz w:val="18"/>
                <w:szCs w:val="18"/>
              </w:rPr>
              <w:t>AE leading to death</w:t>
            </w:r>
          </w:p>
        </w:tc>
        <w:tc>
          <w:tcPr>
            <w:tcW w:w="2365" w:type="dxa"/>
            <w:shd w:val="clear" w:color="auto" w:fill="auto"/>
          </w:tcPr>
          <w:p w:rsidR="005C7D5D" w:rsidRPr="00D35D44" w:rsidRDefault="005C7D5D" w:rsidP="005E5089">
            <w:pPr>
              <w:pStyle w:val="Tabletext"/>
              <w:keepNext/>
              <w:jc w:val="center"/>
              <w:rPr>
                <w:sz w:val="18"/>
                <w:szCs w:val="18"/>
              </w:rPr>
            </w:pPr>
            <w:r w:rsidRPr="00D35D44">
              <w:rPr>
                <w:sz w:val="18"/>
                <w:szCs w:val="18"/>
              </w:rPr>
              <w:t>34 (15.5)</w:t>
            </w:r>
          </w:p>
        </w:tc>
        <w:tc>
          <w:tcPr>
            <w:tcW w:w="1535" w:type="dxa"/>
            <w:shd w:val="clear" w:color="auto" w:fill="auto"/>
          </w:tcPr>
          <w:p w:rsidR="005C7D5D" w:rsidRPr="00D35D44" w:rsidRDefault="005C7D5D" w:rsidP="005E5089">
            <w:pPr>
              <w:pStyle w:val="Tabletext"/>
              <w:keepNext/>
              <w:jc w:val="center"/>
              <w:rPr>
                <w:sz w:val="18"/>
                <w:szCs w:val="18"/>
              </w:rPr>
            </w:pPr>
            <w:r w:rsidRPr="00D35D44">
              <w:rPr>
                <w:sz w:val="18"/>
                <w:szCs w:val="18"/>
              </w:rPr>
              <w:t>33 (15.3)</w:t>
            </w:r>
          </w:p>
        </w:tc>
        <w:tc>
          <w:tcPr>
            <w:tcW w:w="1805" w:type="dxa"/>
            <w:vAlign w:val="center"/>
          </w:tcPr>
          <w:p w:rsidR="005C7D5D" w:rsidRPr="00D35D44" w:rsidRDefault="005C7D5D" w:rsidP="005E5089">
            <w:pPr>
              <w:pStyle w:val="Tabletext"/>
              <w:keepNext/>
              <w:jc w:val="center"/>
              <w:rPr>
                <w:iCs/>
                <w:sz w:val="18"/>
                <w:szCs w:val="18"/>
              </w:rPr>
            </w:pPr>
            <w:r w:rsidRPr="00D35D44">
              <w:rPr>
                <w:iCs/>
                <w:sz w:val="18"/>
                <w:szCs w:val="18"/>
              </w:rPr>
              <w:t>0.002 (-0.67, 0.07)</w:t>
            </w:r>
          </w:p>
        </w:tc>
      </w:tr>
      <w:tr w:rsidR="005C7D5D" w:rsidRPr="00D35D44" w:rsidTr="005E5089">
        <w:tc>
          <w:tcPr>
            <w:tcW w:w="3312" w:type="dxa"/>
            <w:shd w:val="clear" w:color="auto" w:fill="auto"/>
            <w:vAlign w:val="center"/>
          </w:tcPr>
          <w:p w:rsidR="005C7D5D" w:rsidRPr="00D35D44" w:rsidRDefault="005C7D5D" w:rsidP="005E5089">
            <w:pPr>
              <w:pStyle w:val="Tabletext"/>
              <w:keepNext/>
              <w:rPr>
                <w:bCs/>
              </w:rPr>
            </w:pPr>
            <w:r w:rsidRPr="00D35D44">
              <w:rPr>
                <w:bCs/>
              </w:rPr>
              <w:t>Anaemia (any)</w:t>
            </w:r>
          </w:p>
        </w:tc>
        <w:tc>
          <w:tcPr>
            <w:tcW w:w="2365" w:type="dxa"/>
            <w:shd w:val="clear" w:color="auto" w:fill="auto"/>
            <w:vAlign w:val="center"/>
          </w:tcPr>
          <w:p w:rsidR="005C7D5D" w:rsidRPr="00D35D44" w:rsidRDefault="005C7D5D" w:rsidP="005E5089">
            <w:pPr>
              <w:pStyle w:val="Tabletext"/>
              <w:keepNext/>
              <w:jc w:val="center"/>
              <w:rPr>
                <w:bCs/>
              </w:rPr>
            </w:pPr>
            <w:r w:rsidRPr="00D35D44">
              <w:rPr>
                <w:bCs/>
              </w:rPr>
              <w:t>93 (42.5)</w:t>
            </w:r>
          </w:p>
        </w:tc>
        <w:tc>
          <w:tcPr>
            <w:tcW w:w="1535" w:type="dxa"/>
            <w:shd w:val="clear" w:color="auto" w:fill="auto"/>
            <w:vAlign w:val="center"/>
          </w:tcPr>
          <w:p w:rsidR="005C7D5D" w:rsidRPr="00D35D44" w:rsidRDefault="005C7D5D" w:rsidP="005E5089">
            <w:pPr>
              <w:pStyle w:val="Tabletext"/>
              <w:keepNext/>
              <w:jc w:val="center"/>
              <w:rPr>
                <w:bCs/>
              </w:rPr>
            </w:pPr>
            <w:r w:rsidRPr="00D35D44">
              <w:rPr>
                <w:bCs/>
              </w:rPr>
              <w:t>114 (53.0)</w:t>
            </w:r>
          </w:p>
        </w:tc>
        <w:tc>
          <w:tcPr>
            <w:tcW w:w="1805" w:type="dxa"/>
            <w:vAlign w:val="center"/>
          </w:tcPr>
          <w:p w:rsidR="005C7D5D" w:rsidRPr="00D35D44" w:rsidRDefault="005C7D5D" w:rsidP="005E5089">
            <w:pPr>
              <w:pStyle w:val="Tabletext"/>
              <w:keepNext/>
              <w:jc w:val="center"/>
              <w:rPr>
                <w:b/>
                <w:bCs/>
              </w:rPr>
            </w:pPr>
            <w:r w:rsidRPr="00D35D44">
              <w:rPr>
                <w:b/>
                <w:bCs/>
                <w:iCs/>
                <w:sz w:val="18"/>
                <w:szCs w:val="18"/>
              </w:rPr>
              <w:t>-0.11 (-0.20, -0.12)</w:t>
            </w:r>
          </w:p>
        </w:tc>
      </w:tr>
      <w:tr w:rsidR="005C7D5D" w:rsidRPr="00D35D44" w:rsidTr="005E5089">
        <w:tc>
          <w:tcPr>
            <w:tcW w:w="3312" w:type="dxa"/>
            <w:shd w:val="clear" w:color="auto" w:fill="auto"/>
            <w:vAlign w:val="center"/>
          </w:tcPr>
          <w:p w:rsidR="005C7D5D" w:rsidRPr="00D35D44" w:rsidRDefault="005C7D5D" w:rsidP="005E5089">
            <w:pPr>
              <w:pStyle w:val="Tabletext"/>
              <w:keepNext/>
              <w:rPr>
                <w:bCs/>
              </w:rPr>
            </w:pPr>
            <w:r w:rsidRPr="00D35D44">
              <w:rPr>
                <w:bCs/>
              </w:rPr>
              <w:t xml:space="preserve">Rash </w:t>
            </w:r>
          </w:p>
          <w:p w:rsidR="005C7D5D" w:rsidRPr="00D35D44" w:rsidRDefault="005C7D5D" w:rsidP="005E5089">
            <w:pPr>
              <w:pStyle w:val="Tabletext"/>
              <w:keepNext/>
              <w:ind w:left="169"/>
              <w:rPr>
                <w:bCs/>
              </w:rPr>
            </w:pPr>
            <w:r w:rsidRPr="00D35D44">
              <w:rPr>
                <w:bCs/>
              </w:rPr>
              <w:t>-Any</w:t>
            </w:r>
          </w:p>
          <w:p w:rsidR="005C7D5D" w:rsidRPr="00D35D44" w:rsidRDefault="005C7D5D" w:rsidP="005E5089">
            <w:pPr>
              <w:pStyle w:val="Tabletext"/>
              <w:keepNext/>
              <w:ind w:left="169"/>
              <w:rPr>
                <w:bCs/>
              </w:rPr>
            </w:pPr>
            <w:r w:rsidRPr="00D35D44">
              <w:rPr>
                <w:bCs/>
              </w:rPr>
              <w:t xml:space="preserve">-Grade </w:t>
            </w:r>
            <w:r w:rsidR="00A11F66">
              <w:rPr>
                <w:bCs/>
              </w:rPr>
              <w:t>¾</w:t>
            </w:r>
          </w:p>
        </w:tc>
        <w:tc>
          <w:tcPr>
            <w:tcW w:w="2365" w:type="dxa"/>
            <w:shd w:val="clear" w:color="auto" w:fill="auto"/>
            <w:vAlign w:val="center"/>
          </w:tcPr>
          <w:p w:rsidR="005C7D5D" w:rsidRPr="00D35D44" w:rsidRDefault="005C7D5D" w:rsidP="005E5089">
            <w:pPr>
              <w:pStyle w:val="Tabletext"/>
              <w:keepNext/>
              <w:jc w:val="center"/>
              <w:rPr>
                <w:bCs/>
              </w:rPr>
            </w:pPr>
          </w:p>
          <w:p w:rsidR="005C7D5D" w:rsidRPr="00D35D44" w:rsidRDefault="005C7D5D" w:rsidP="005E5089">
            <w:pPr>
              <w:pStyle w:val="Tabletext"/>
              <w:keepNext/>
              <w:jc w:val="center"/>
              <w:rPr>
                <w:bCs/>
              </w:rPr>
            </w:pPr>
            <w:r w:rsidRPr="00D35D44">
              <w:rPr>
                <w:bCs/>
              </w:rPr>
              <w:t>61 (27.9)</w:t>
            </w:r>
          </w:p>
          <w:p w:rsidR="005C7D5D" w:rsidRPr="00D35D44" w:rsidRDefault="005C7D5D" w:rsidP="005E5089">
            <w:pPr>
              <w:pStyle w:val="Tabletext"/>
              <w:keepNext/>
              <w:jc w:val="center"/>
              <w:rPr>
                <w:bCs/>
              </w:rPr>
            </w:pPr>
            <w:r w:rsidRPr="00D35D44">
              <w:rPr>
                <w:bCs/>
              </w:rPr>
              <w:t>11 (5.0)</w:t>
            </w:r>
          </w:p>
        </w:tc>
        <w:tc>
          <w:tcPr>
            <w:tcW w:w="1535" w:type="dxa"/>
            <w:shd w:val="clear" w:color="auto" w:fill="auto"/>
            <w:vAlign w:val="center"/>
          </w:tcPr>
          <w:p w:rsidR="005C7D5D" w:rsidRPr="00D35D44" w:rsidRDefault="005C7D5D" w:rsidP="005E5089">
            <w:pPr>
              <w:pStyle w:val="Tabletext"/>
              <w:keepNext/>
              <w:jc w:val="center"/>
              <w:rPr>
                <w:bCs/>
              </w:rPr>
            </w:pPr>
          </w:p>
          <w:p w:rsidR="005C7D5D" w:rsidRPr="00D35D44" w:rsidRDefault="005C7D5D" w:rsidP="005E5089">
            <w:pPr>
              <w:pStyle w:val="Tabletext"/>
              <w:keepNext/>
              <w:jc w:val="center"/>
              <w:rPr>
                <w:bCs/>
              </w:rPr>
            </w:pPr>
            <w:r w:rsidRPr="00D35D44">
              <w:rPr>
                <w:bCs/>
              </w:rPr>
              <w:t>4 (1.9)</w:t>
            </w:r>
          </w:p>
          <w:p w:rsidR="005C7D5D" w:rsidRPr="00D35D44" w:rsidRDefault="005C7D5D" w:rsidP="005E5089">
            <w:pPr>
              <w:pStyle w:val="Tabletext"/>
              <w:keepNext/>
              <w:jc w:val="center"/>
              <w:rPr>
                <w:bCs/>
              </w:rPr>
            </w:pPr>
            <w:r w:rsidRPr="00D35D44">
              <w:rPr>
                <w:bCs/>
              </w:rPr>
              <w:t>0 (0)</w:t>
            </w:r>
          </w:p>
        </w:tc>
        <w:tc>
          <w:tcPr>
            <w:tcW w:w="1805" w:type="dxa"/>
            <w:vAlign w:val="center"/>
          </w:tcPr>
          <w:p w:rsidR="005C7D5D" w:rsidRPr="00D35D44" w:rsidRDefault="005C7D5D" w:rsidP="005E5089">
            <w:pPr>
              <w:pStyle w:val="Tabletext"/>
              <w:keepNext/>
              <w:jc w:val="center"/>
              <w:rPr>
                <w:b/>
                <w:bCs/>
              </w:rPr>
            </w:pPr>
          </w:p>
          <w:p w:rsidR="005C7D5D" w:rsidRPr="00D35D44" w:rsidRDefault="005C7D5D" w:rsidP="005E5089">
            <w:pPr>
              <w:pStyle w:val="Tabletext"/>
              <w:keepNext/>
              <w:jc w:val="center"/>
              <w:rPr>
                <w:b/>
                <w:bCs/>
              </w:rPr>
            </w:pPr>
            <w:r w:rsidRPr="00D35D44">
              <w:rPr>
                <w:b/>
                <w:bCs/>
              </w:rPr>
              <w:t>0.26 (0.2, 0.33)</w:t>
            </w:r>
          </w:p>
          <w:p w:rsidR="005C7D5D" w:rsidRPr="00D35D44" w:rsidRDefault="005C7D5D" w:rsidP="005E5089">
            <w:pPr>
              <w:pStyle w:val="Tabletext"/>
              <w:keepNext/>
              <w:jc w:val="center"/>
              <w:rPr>
                <w:b/>
                <w:bCs/>
              </w:rPr>
            </w:pPr>
            <w:r w:rsidRPr="00D35D44">
              <w:rPr>
                <w:b/>
                <w:bCs/>
              </w:rPr>
              <w:t>0.05 (0.03, 0.09)</w:t>
            </w:r>
          </w:p>
        </w:tc>
      </w:tr>
      <w:tr w:rsidR="005C7D5D" w:rsidRPr="00D35D44" w:rsidTr="005E5089">
        <w:tc>
          <w:tcPr>
            <w:tcW w:w="3312" w:type="dxa"/>
            <w:shd w:val="clear" w:color="auto" w:fill="auto"/>
            <w:vAlign w:val="center"/>
          </w:tcPr>
          <w:p w:rsidR="005C7D5D" w:rsidRPr="00D35D44" w:rsidRDefault="005C7D5D" w:rsidP="005E5089">
            <w:pPr>
              <w:pStyle w:val="Tabletext"/>
              <w:keepNext/>
              <w:rPr>
                <w:bCs/>
              </w:rPr>
            </w:pPr>
            <w:r w:rsidRPr="00D35D44">
              <w:rPr>
                <w:bCs/>
              </w:rPr>
              <w:t>Diarrhoea (any)</w:t>
            </w:r>
          </w:p>
        </w:tc>
        <w:tc>
          <w:tcPr>
            <w:tcW w:w="2365" w:type="dxa"/>
            <w:shd w:val="clear" w:color="auto" w:fill="auto"/>
            <w:vAlign w:val="center"/>
          </w:tcPr>
          <w:p w:rsidR="005C7D5D" w:rsidRPr="00D35D44" w:rsidRDefault="005C7D5D" w:rsidP="005E5089">
            <w:pPr>
              <w:pStyle w:val="Tabletext"/>
              <w:keepNext/>
              <w:jc w:val="center"/>
              <w:rPr>
                <w:bCs/>
              </w:rPr>
            </w:pPr>
            <w:r w:rsidRPr="00D35D44">
              <w:rPr>
                <w:bCs/>
              </w:rPr>
              <w:t>57 (26.0)</w:t>
            </w:r>
          </w:p>
        </w:tc>
        <w:tc>
          <w:tcPr>
            <w:tcW w:w="1535" w:type="dxa"/>
            <w:shd w:val="clear" w:color="auto" w:fill="auto"/>
            <w:vAlign w:val="center"/>
          </w:tcPr>
          <w:p w:rsidR="005C7D5D" w:rsidRPr="00D35D44" w:rsidRDefault="005C7D5D" w:rsidP="005E5089">
            <w:pPr>
              <w:pStyle w:val="Tabletext"/>
              <w:keepNext/>
              <w:jc w:val="center"/>
              <w:rPr>
                <w:bCs/>
              </w:rPr>
            </w:pPr>
            <w:r w:rsidRPr="00D35D44">
              <w:rPr>
                <w:bCs/>
              </w:rPr>
              <w:t>35 (16.3)</w:t>
            </w:r>
          </w:p>
        </w:tc>
        <w:tc>
          <w:tcPr>
            <w:tcW w:w="1805" w:type="dxa"/>
            <w:vAlign w:val="center"/>
          </w:tcPr>
          <w:p w:rsidR="005C7D5D" w:rsidRPr="00D35D44" w:rsidRDefault="005C7D5D" w:rsidP="005E5089">
            <w:pPr>
              <w:pStyle w:val="Tabletext"/>
              <w:keepNext/>
              <w:jc w:val="center"/>
              <w:rPr>
                <w:b/>
                <w:bCs/>
              </w:rPr>
            </w:pPr>
            <w:r w:rsidRPr="00D35D44">
              <w:rPr>
                <w:b/>
                <w:bCs/>
              </w:rPr>
              <w:t>0.10 (0.02, 0.17)</w:t>
            </w:r>
          </w:p>
        </w:tc>
      </w:tr>
      <w:tr w:rsidR="005C7D5D" w:rsidRPr="00D35D44" w:rsidTr="005E5089">
        <w:tc>
          <w:tcPr>
            <w:tcW w:w="3312" w:type="dxa"/>
            <w:shd w:val="clear" w:color="auto" w:fill="auto"/>
            <w:vAlign w:val="center"/>
          </w:tcPr>
          <w:p w:rsidR="005C7D5D" w:rsidRPr="00D35D44" w:rsidRDefault="005C7D5D" w:rsidP="005E5089">
            <w:pPr>
              <w:pStyle w:val="Tabletext"/>
              <w:keepNext/>
              <w:rPr>
                <w:bCs/>
              </w:rPr>
            </w:pPr>
            <w:r w:rsidRPr="00D35D44">
              <w:rPr>
                <w:bCs/>
              </w:rPr>
              <w:t>Anorexia</w:t>
            </w:r>
          </w:p>
          <w:p w:rsidR="005C7D5D" w:rsidRPr="00D35D44" w:rsidRDefault="005C7D5D" w:rsidP="005E5089">
            <w:pPr>
              <w:pStyle w:val="Tabletext"/>
              <w:keepNext/>
              <w:ind w:left="169"/>
              <w:rPr>
                <w:bCs/>
              </w:rPr>
            </w:pPr>
            <w:r w:rsidRPr="00D35D44">
              <w:rPr>
                <w:bCs/>
              </w:rPr>
              <w:t>-Any</w:t>
            </w:r>
          </w:p>
          <w:p w:rsidR="005C7D5D" w:rsidRPr="00D35D44" w:rsidRDefault="005C7D5D" w:rsidP="005E5089">
            <w:pPr>
              <w:pStyle w:val="Tabletext"/>
              <w:keepNext/>
              <w:ind w:left="169"/>
              <w:rPr>
                <w:bCs/>
              </w:rPr>
            </w:pPr>
            <w:r w:rsidRPr="00D35D44">
              <w:rPr>
                <w:bCs/>
              </w:rPr>
              <w:t xml:space="preserve">-Grade </w:t>
            </w:r>
            <w:r w:rsidR="00A11F66">
              <w:rPr>
                <w:bCs/>
              </w:rPr>
              <w:t>¾</w:t>
            </w:r>
          </w:p>
        </w:tc>
        <w:tc>
          <w:tcPr>
            <w:tcW w:w="2365" w:type="dxa"/>
            <w:shd w:val="clear" w:color="auto" w:fill="auto"/>
            <w:vAlign w:val="center"/>
          </w:tcPr>
          <w:p w:rsidR="005C7D5D" w:rsidRPr="00D35D44" w:rsidRDefault="005C7D5D" w:rsidP="005E5089">
            <w:pPr>
              <w:pStyle w:val="Tabletext"/>
              <w:keepNext/>
              <w:jc w:val="center"/>
              <w:rPr>
                <w:bCs/>
              </w:rPr>
            </w:pPr>
          </w:p>
          <w:p w:rsidR="005C7D5D" w:rsidRPr="00D35D44" w:rsidRDefault="005C7D5D" w:rsidP="005E5089">
            <w:pPr>
              <w:pStyle w:val="Tabletext"/>
              <w:keepNext/>
              <w:jc w:val="center"/>
              <w:rPr>
                <w:bCs/>
              </w:rPr>
            </w:pPr>
            <w:r w:rsidRPr="00D35D44">
              <w:rPr>
                <w:bCs/>
              </w:rPr>
              <w:t>55 (25.1)</w:t>
            </w:r>
          </w:p>
          <w:p w:rsidR="005C7D5D" w:rsidRPr="00D35D44" w:rsidRDefault="005C7D5D" w:rsidP="005E5089">
            <w:pPr>
              <w:pStyle w:val="Tabletext"/>
              <w:keepNext/>
              <w:jc w:val="center"/>
              <w:rPr>
                <w:bCs/>
              </w:rPr>
            </w:pPr>
            <w:r w:rsidRPr="00D35D44">
              <w:rPr>
                <w:bCs/>
              </w:rPr>
              <w:t>11 (5.0)</w:t>
            </w:r>
          </w:p>
        </w:tc>
        <w:tc>
          <w:tcPr>
            <w:tcW w:w="1535" w:type="dxa"/>
            <w:shd w:val="clear" w:color="auto" w:fill="auto"/>
            <w:vAlign w:val="center"/>
          </w:tcPr>
          <w:p w:rsidR="005C7D5D" w:rsidRPr="00D35D44" w:rsidRDefault="005C7D5D" w:rsidP="005E5089">
            <w:pPr>
              <w:pStyle w:val="Tabletext"/>
              <w:keepNext/>
              <w:jc w:val="center"/>
              <w:rPr>
                <w:bCs/>
              </w:rPr>
            </w:pPr>
          </w:p>
          <w:p w:rsidR="005C7D5D" w:rsidRPr="00D35D44" w:rsidRDefault="005C7D5D" w:rsidP="005E5089">
            <w:pPr>
              <w:pStyle w:val="Tabletext"/>
              <w:keepNext/>
              <w:jc w:val="center"/>
              <w:rPr>
                <w:bCs/>
              </w:rPr>
            </w:pPr>
            <w:r w:rsidRPr="00D35D44">
              <w:rPr>
                <w:bCs/>
              </w:rPr>
              <w:t>31 (14.4)</w:t>
            </w:r>
          </w:p>
          <w:p w:rsidR="005C7D5D" w:rsidRPr="00D35D44" w:rsidRDefault="005C7D5D" w:rsidP="005E5089">
            <w:pPr>
              <w:pStyle w:val="Tabletext"/>
              <w:keepNext/>
              <w:jc w:val="center"/>
              <w:rPr>
                <w:bCs/>
              </w:rPr>
            </w:pPr>
            <w:r w:rsidRPr="00D35D44">
              <w:rPr>
                <w:bCs/>
              </w:rPr>
              <w:t>3 (1.5)</w:t>
            </w:r>
          </w:p>
        </w:tc>
        <w:tc>
          <w:tcPr>
            <w:tcW w:w="1805" w:type="dxa"/>
            <w:vAlign w:val="center"/>
          </w:tcPr>
          <w:p w:rsidR="005C7D5D" w:rsidRPr="00D35D44" w:rsidRDefault="005C7D5D" w:rsidP="005E5089">
            <w:pPr>
              <w:pStyle w:val="Tabletext"/>
              <w:keepNext/>
              <w:jc w:val="center"/>
              <w:rPr>
                <w:b/>
                <w:bCs/>
              </w:rPr>
            </w:pPr>
          </w:p>
          <w:p w:rsidR="005C7D5D" w:rsidRPr="00D35D44" w:rsidRDefault="005C7D5D" w:rsidP="005E5089">
            <w:pPr>
              <w:pStyle w:val="Tabletext"/>
              <w:keepNext/>
              <w:jc w:val="center"/>
              <w:rPr>
                <w:b/>
                <w:bCs/>
              </w:rPr>
            </w:pPr>
            <w:r w:rsidRPr="00D35D44">
              <w:rPr>
                <w:b/>
                <w:bCs/>
              </w:rPr>
              <w:t>0.11 (0.03, 0.18)</w:t>
            </w:r>
          </w:p>
          <w:p w:rsidR="005C7D5D" w:rsidRPr="00D35D44" w:rsidRDefault="005C7D5D" w:rsidP="005E5089">
            <w:pPr>
              <w:pStyle w:val="Tabletext"/>
              <w:keepNext/>
              <w:jc w:val="center"/>
              <w:rPr>
                <w:b/>
                <w:bCs/>
              </w:rPr>
            </w:pPr>
            <w:r w:rsidRPr="00D35D44">
              <w:rPr>
                <w:b/>
                <w:bCs/>
              </w:rPr>
              <w:t>0.04 (0.003, 0.08)</w:t>
            </w:r>
          </w:p>
        </w:tc>
      </w:tr>
      <w:tr w:rsidR="005C7D5D" w:rsidRPr="00D35D44" w:rsidTr="005E5089">
        <w:tc>
          <w:tcPr>
            <w:tcW w:w="3312" w:type="dxa"/>
            <w:shd w:val="clear" w:color="auto" w:fill="auto"/>
            <w:vAlign w:val="center"/>
          </w:tcPr>
          <w:p w:rsidR="005C7D5D" w:rsidRPr="00D35D44" w:rsidRDefault="005C7D5D" w:rsidP="005E5089">
            <w:pPr>
              <w:pStyle w:val="Tabletext"/>
              <w:keepNext/>
              <w:rPr>
                <w:bCs/>
              </w:rPr>
            </w:pPr>
            <w:r w:rsidRPr="00D35D44">
              <w:rPr>
                <w:bCs/>
              </w:rPr>
              <w:t>Pyrexia (any)</w:t>
            </w:r>
          </w:p>
        </w:tc>
        <w:tc>
          <w:tcPr>
            <w:tcW w:w="2365" w:type="dxa"/>
            <w:shd w:val="clear" w:color="auto" w:fill="auto"/>
            <w:vAlign w:val="center"/>
          </w:tcPr>
          <w:p w:rsidR="005C7D5D" w:rsidRPr="00D35D44" w:rsidRDefault="005C7D5D" w:rsidP="005E5089">
            <w:pPr>
              <w:pStyle w:val="Tabletext"/>
              <w:keepNext/>
              <w:jc w:val="center"/>
              <w:rPr>
                <w:bCs/>
              </w:rPr>
            </w:pPr>
            <w:r w:rsidRPr="00D35D44">
              <w:rPr>
                <w:bCs/>
              </w:rPr>
              <w:t>49 (22.4)</w:t>
            </w:r>
          </w:p>
        </w:tc>
        <w:tc>
          <w:tcPr>
            <w:tcW w:w="1535" w:type="dxa"/>
            <w:shd w:val="clear" w:color="auto" w:fill="auto"/>
            <w:vAlign w:val="center"/>
          </w:tcPr>
          <w:p w:rsidR="005C7D5D" w:rsidRPr="00D35D44" w:rsidRDefault="005C7D5D" w:rsidP="005E5089">
            <w:pPr>
              <w:pStyle w:val="Tabletext"/>
              <w:keepNext/>
              <w:jc w:val="center"/>
              <w:rPr>
                <w:bCs/>
              </w:rPr>
            </w:pPr>
            <w:r w:rsidRPr="00D35D44">
              <w:rPr>
                <w:bCs/>
              </w:rPr>
              <w:t>28 (13.0)</w:t>
            </w:r>
          </w:p>
        </w:tc>
        <w:tc>
          <w:tcPr>
            <w:tcW w:w="1805" w:type="dxa"/>
            <w:vAlign w:val="center"/>
          </w:tcPr>
          <w:p w:rsidR="005C7D5D" w:rsidRPr="00D35D44" w:rsidRDefault="005C7D5D" w:rsidP="005E5089">
            <w:pPr>
              <w:pStyle w:val="Tabletext"/>
              <w:keepNext/>
              <w:jc w:val="center"/>
              <w:rPr>
                <w:b/>
                <w:bCs/>
              </w:rPr>
            </w:pPr>
            <w:r w:rsidRPr="00D35D44">
              <w:rPr>
                <w:b/>
                <w:bCs/>
              </w:rPr>
              <w:t>0.09 (0.02, 0.17)</w:t>
            </w:r>
          </w:p>
        </w:tc>
      </w:tr>
      <w:tr w:rsidR="005C7D5D" w:rsidRPr="00D35D44" w:rsidTr="005E5089">
        <w:tc>
          <w:tcPr>
            <w:tcW w:w="3312" w:type="dxa"/>
            <w:shd w:val="clear" w:color="auto" w:fill="auto"/>
            <w:vAlign w:val="center"/>
          </w:tcPr>
          <w:p w:rsidR="005C7D5D" w:rsidRPr="00D35D44" w:rsidRDefault="005C7D5D" w:rsidP="005E5089">
            <w:pPr>
              <w:pStyle w:val="Tabletext"/>
              <w:keepNext/>
              <w:rPr>
                <w:bCs/>
              </w:rPr>
            </w:pPr>
            <w:r w:rsidRPr="00D35D44">
              <w:rPr>
                <w:bCs/>
              </w:rPr>
              <w:t>Acne (any)</w:t>
            </w:r>
          </w:p>
        </w:tc>
        <w:tc>
          <w:tcPr>
            <w:tcW w:w="2365" w:type="dxa"/>
            <w:shd w:val="clear" w:color="auto" w:fill="auto"/>
            <w:vAlign w:val="center"/>
          </w:tcPr>
          <w:p w:rsidR="005C7D5D" w:rsidRPr="00D35D44" w:rsidRDefault="005C7D5D" w:rsidP="005E5089">
            <w:pPr>
              <w:pStyle w:val="Tabletext"/>
              <w:keepNext/>
              <w:jc w:val="center"/>
              <w:rPr>
                <w:bCs/>
              </w:rPr>
            </w:pPr>
            <w:r w:rsidRPr="00D35D44">
              <w:rPr>
                <w:bCs/>
              </w:rPr>
              <w:t>48 (21.9)</w:t>
            </w:r>
          </w:p>
        </w:tc>
        <w:tc>
          <w:tcPr>
            <w:tcW w:w="1535" w:type="dxa"/>
            <w:shd w:val="clear" w:color="auto" w:fill="auto"/>
            <w:vAlign w:val="center"/>
          </w:tcPr>
          <w:p w:rsidR="005C7D5D" w:rsidRPr="00D35D44" w:rsidRDefault="005C7D5D" w:rsidP="005E5089">
            <w:pPr>
              <w:pStyle w:val="Tabletext"/>
              <w:keepNext/>
              <w:jc w:val="center"/>
              <w:rPr>
                <w:bCs/>
              </w:rPr>
            </w:pPr>
            <w:r w:rsidRPr="00D35D44">
              <w:rPr>
                <w:bCs/>
              </w:rPr>
              <w:t>0</w:t>
            </w:r>
          </w:p>
        </w:tc>
        <w:tc>
          <w:tcPr>
            <w:tcW w:w="1805" w:type="dxa"/>
            <w:vAlign w:val="center"/>
          </w:tcPr>
          <w:p w:rsidR="005C7D5D" w:rsidRPr="00D35D44" w:rsidRDefault="005C7D5D" w:rsidP="005E5089">
            <w:pPr>
              <w:pStyle w:val="Tabletext"/>
              <w:keepNext/>
              <w:jc w:val="center"/>
              <w:rPr>
                <w:b/>
                <w:bCs/>
              </w:rPr>
            </w:pPr>
            <w:r w:rsidRPr="00D35D44">
              <w:rPr>
                <w:b/>
                <w:bCs/>
              </w:rPr>
              <w:t>0.22 (0.17, 0.28)</w:t>
            </w:r>
          </w:p>
        </w:tc>
      </w:tr>
      <w:tr w:rsidR="005C7D5D" w:rsidRPr="00D35D44" w:rsidTr="005E5089">
        <w:tc>
          <w:tcPr>
            <w:tcW w:w="3312" w:type="dxa"/>
            <w:shd w:val="clear" w:color="auto" w:fill="auto"/>
            <w:vAlign w:val="center"/>
          </w:tcPr>
          <w:p w:rsidR="005C7D5D" w:rsidRPr="00D35D44" w:rsidRDefault="005C7D5D" w:rsidP="005E5089">
            <w:pPr>
              <w:pStyle w:val="Tabletext"/>
              <w:keepNext/>
              <w:rPr>
                <w:bCs/>
              </w:rPr>
            </w:pPr>
            <w:r w:rsidRPr="00D35D44">
              <w:rPr>
                <w:bCs/>
              </w:rPr>
              <w:t>Dermatitis acneiform (any)</w:t>
            </w:r>
          </w:p>
        </w:tc>
        <w:tc>
          <w:tcPr>
            <w:tcW w:w="2365" w:type="dxa"/>
            <w:shd w:val="clear" w:color="auto" w:fill="auto"/>
            <w:vAlign w:val="center"/>
          </w:tcPr>
          <w:p w:rsidR="005C7D5D" w:rsidRPr="00D35D44" w:rsidRDefault="005C7D5D" w:rsidP="005E5089">
            <w:pPr>
              <w:pStyle w:val="Tabletext"/>
              <w:keepNext/>
              <w:jc w:val="center"/>
              <w:rPr>
                <w:bCs/>
              </w:rPr>
            </w:pPr>
            <w:r w:rsidRPr="00D35D44">
              <w:rPr>
                <w:bCs/>
              </w:rPr>
              <w:t>32 (14.6)</w:t>
            </w:r>
          </w:p>
        </w:tc>
        <w:tc>
          <w:tcPr>
            <w:tcW w:w="1535" w:type="dxa"/>
            <w:shd w:val="clear" w:color="auto" w:fill="auto"/>
            <w:vAlign w:val="center"/>
          </w:tcPr>
          <w:p w:rsidR="005C7D5D" w:rsidRPr="00D35D44" w:rsidRDefault="005C7D5D" w:rsidP="005E5089">
            <w:pPr>
              <w:pStyle w:val="Tabletext"/>
              <w:keepNext/>
              <w:jc w:val="center"/>
              <w:rPr>
                <w:bCs/>
              </w:rPr>
            </w:pPr>
            <w:r w:rsidRPr="00D35D44">
              <w:rPr>
                <w:bCs/>
              </w:rPr>
              <w:t>0</w:t>
            </w:r>
          </w:p>
        </w:tc>
        <w:tc>
          <w:tcPr>
            <w:tcW w:w="1805" w:type="dxa"/>
            <w:vAlign w:val="center"/>
          </w:tcPr>
          <w:p w:rsidR="005C7D5D" w:rsidRPr="00D35D44" w:rsidRDefault="005C7D5D" w:rsidP="005E5089">
            <w:pPr>
              <w:pStyle w:val="Tabletext"/>
              <w:keepNext/>
              <w:jc w:val="center"/>
              <w:rPr>
                <w:b/>
                <w:bCs/>
              </w:rPr>
            </w:pPr>
            <w:r w:rsidRPr="00D35D44">
              <w:rPr>
                <w:b/>
                <w:bCs/>
              </w:rPr>
              <w:t>0.15 (0.11, 0.20)</w:t>
            </w:r>
          </w:p>
        </w:tc>
      </w:tr>
      <w:tr w:rsidR="005C7D5D" w:rsidRPr="00D35D44" w:rsidTr="005E5089">
        <w:tc>
          <w:tcPr>
            <w:tcW w:w="3312" w:type="dxa"/>
            <w:shd w:val="clear" w:color="auto" w:fill="auto"/>
            <w:vAlign w:val="center"/>
          </w:tcPr>
          <w:p w:rsidR="005C7D5D" w:rsidRPr="00D35D44" w:rsidRDefault="005C7D5D" w:rsidP="005E5089">
            <w:pPr>
              <w:pStyle w:val="Tabletext"/>
              <w:keepNext/>
              <w:rPr>
                <w:bCs/>
              </w:rPr>
            </w:pPr>
            <w:r w:rsidRPr="00D35D44">
              <w:rPr>
                <w:bCs/>
              </w:rPr>
              <w:t>Dry skin</w:t>
            </w:r>
          </w:p>
        </w:tc>
        <w:tc>
          <w:tcPr>
            <w:tcW w:w="2365" w:type="dxa"/>
            <w:shd w:val="clear" w:color="auto" w:fill="auto"/>
            <w:vAlign w:val="center"/>
          </w:tcPr>
          <w:p w:rsidR="005C7D5D" w:rsidRPr="00D35D44" w:rsidRDefault="005C7D5D" w:rsidP="005E5089">
            <w:pPr>
              <w:pStyle w:val="Tabletext"/>
              <w:keepNext/>
              <w:jc w:val="center"/>
              <w:rPr>
                <w:bCs/>
              </w:rPr>
            </w:pPr>
            <w:r w:rsidRPr="00D35D44">
              <w:rPr>
                <w:bCs/>
              </w:rPr>
              <w:t>30 (13.7)</w:t>
            </w:r>
          </w:p>
        </w:tc>
        <w:tc>
          <w:tcPr>
            <w:tcW w:w="1535" w:type="dxa"/>
            <w:shd w:val="clear" w:color="auto" w:fill="auto"/>
            <w:vAlign w:val="center"/>
          </w:tcPr>
          <w:p w:rsidR="005C7D5D" w:rsidRPr="00D35D44" w:rsidRDefault="005C7D5D" w:rsidP="005E5089">
            <w:pPr>
              <w:pStyle w:val="Tabletext"/>
              <w:keepNext/>
              <w:jc w:val="center"/>
              <w:rPr>
                <w:bCs/>
              </w:rPr>
            </w:pPr>
            <w:r w:rsidRPr="00D35D44">
              <w:rPr>
                <w:bCs/>
              </w:rPr>
              <w:t>1 (0.5)</w:t>
            </w:r>
          </w:p>
        </w:tc>
        <w:tc>
          <w:tcPr>
            <w:tcW w:w="1805" w:type="dxa"/>
            <w:vAlign w:val="center"/>
          </w:tcPr>
          <w:p w:rsidR="005C7D5D" w:rsidRPr="00D35D44" w:rsidRDefault="005C7D5D" w:rsidP="005E5089">
            <w:pPr>
              <w:pStyle w:val="Tabletext"/>
              <w:keepNext/>
              <w:jc w:val="center"/>
              <w:rPr>
                <w:b/>
                <w:bCs/>
              </w:rPr>
            </w:pPr>
            <w:r w:rsidRPr="00D35D44">
              <w:rPr>
                <w:b/>
                <w:bCs/>
              </w:rPr>
              <w:t>0.13 (0.09, 0.19)</w:t>
            </w:r>
          </w:p>
        </w:tc>
      </w:tr>
      <w:tr w:rsidR="005C7D5D" w:rsidRPr="00D35D44" w:rsidTr="005E5089">
        <w:tc>
          <w:tcPr>
            <w:tcW w:w="3312" w:type="dxa"/>
            <w:shd w:val="clear" w:color="auto" w:fill="auto"/>
            <w:vAlign w:val="center"/>
          </w:tcPr>
          <w:p w:rsidR="005C7D5D" w:rsidRPr="00D35D44" w:rsidRDefault="005C7D5D" w:rsidP="005E5089">
            <w:pPr>
              <w:pStyle w:val="Tabletext"/>
              <w:keepNext/>
              <w:rPr>
                <w:bCs/>
              </w:rPr>
            </w:pPr>
            <w:r w:rsidRPr="00D35D44">
              <w:rPr>
                <w:bCs/>
              </w:rPr>
              <w:t>Hypocalcaemia</w:t>
            </w:r>
          </w:p>
          <w:p w:rsidR="005C7D5D" w:rsidRPr="00D35D44" w:rsidRDefault="005C7D5D" w:rsidP="005E5089">
            <w:pPr>
              <w:pStyle w:val="Tabletext"/>
              <w:keepNext/>
              <w:ind w:left="169"/>
              <w:rPr>
                <w:bCs/>
              </w:rPr>
            </w:pPr>
            <w:r w:rsidRPr="00D35D44">
              <w:rPr>
                <w:bCs/>
              </w:rPr>
              <w:t>-Any</w:t>
            </w:r>
          </w:p>
          <w:p w:rsidR="005C7D5D" w:rsidRPr="00D35D44" w:rsidRDefault="005C7D5D" w:rsidP="005E5089">
            <w:pPr>
              <w:pStyle w:val="Tabletext"/>
              <w:keepNext/>
              <w:ind w:left="169"/>
              <w:rPr>
                <w:bCs/>
              </w:rPr>
            </w:pPr>
            <w:r w:rsidRPr="00D35D44">
              <w:rPr>
                <w:bCs/>
              </w:rPr>
              <w:t xml:space="preserve">-Grade </w:t>
            </w:r>
            <w:r w:rsidR="00A11F66">
              <w:rPr>
                <w:bCs/>
              </w:rPr>
              <w:t>¾</w:t>
            </w:r>
          </w:p>
        </w:tc>
        <w:tc>
          <w:tcPr>
            <w:tcW w:w="2365" w:type="dxa"/>
            <w:shd w:val="clear" w:color="auto" w:fill="auto"/>
            <w:vAlign w:val="center"/>
          </w:tcPr>
          <w:p w:rsidR="005C7D5D" w:rsidRPr="00D35D44" w:rsidRDefault="005C7D5D" w:rsidP="005E5089">
            <w:pPr>
              <w:pStyle w:val="Tabletext"/>
              <w:keepNext/>
              <w:jc w:val="center"/>
              <w:rPr>
                <w:bCs/>
              </w:rPr>
            </w:pPr>
          </w:p>
          <w:p w:rsidR="005C7D5D" w:rsidRPr="00D35D44" w:rsidRDefault="005C7D5D" w:rsidP="005E5089">
            <w:pPr>
              <w:pStyle w:val="Tabletext"/>
              <w:keepNext/>
              <w:jc w:val="center"/>
              <w:rPr>
                <w:bCs/>
              </w:rPr>
            </w:pPr>
            <w:r w:rsidRPr="00D35D44">
              <w:rPr>
                <w:bCs/>
              </w:rPr>
              <w:t>27 (12.3)</w:t>
            </w:r>
          </w:p>
          <w:p w:rsidR="005C7D5D" w:rsidRPr="00D35D44" w:rsidRDefault="005C7D5D" w:rsidP="005E5089">
            <w:pPr>
              <w:pStyle w:val="Tabletext"/>
              <w:keepNext/>
              <w:jc w:val="center"/>
              <w:rPr>
                <w:bCs/>
              </w:rPr>
            </w:pPr>
            <w:r w:rsidRPr="00D35D44">
              <w:rPr>
                <w:bCs/>
              </w:rPr>
              <w:t>9 (4.1)</w:t>
            </w:r>
          </w:p>
        </w:tc>
        <w:tc>
          <w:tcPr>
            <w:tcW w:w="1535" w:type="dxa"/>
            <w:shd w:val="clear" w:color="auto" w:fill="auto"/>
            <w:vAlign w:val="center"/>
          </w:tcPr>
          <w:p w:rsidR="005C7D5D" w:rsidRPr="00D35D44" w:rsidRDefault="005C7D5D" w:rsidP="005E5089">
            <w:pPr>
              <w:pStyle w:val="Tabletext"/>
              <w:keepNext/>
              <w:jc w:val="center"/>
              <w:rPr>
                <w:bCs/>
              </w:rPr>
            </w:pPr>
          </w:p>
          <w:p w:rsidR="005C7D5D" w:rsidRPr="00D35D44" w:rsidRDefault="005C7D5D" w:rsidP="005E5089">
            <w:pPr>
              <w:pStyle w:val="Tabletext"/>
              <w:keepNext/>
              <w:jc w:val="center"/>
              <w:rPr>
                <w:bCs/>
              </w:rPr>
            </w:pPr>
            <w:r w:rsidRPr="00D35D44">
              <w:rPr>
                <w:bCs/>
              </w:rPr>
              <w:t>10 (4.7)</w:t>
            </w:r>
          </w:p>
          <w:p w:rsidR="005C7D5D" w:rsidRPr="00D35D44" w:rsidRDefault="005C7D5D" w:rsidP="005E5089">
            <w:pPr>
              <w:pStyle w:val="Tabletext"/>
              <w:keepNext/>
              <w:jc w:val="center"/>
              <w:rPr>
                <w:bCs/>
              </w:rPr>
            </w:pPr>
            <w:r w:rsidRPr="00D35D44">
              <w:rPr>
                <w:bCs/>
              </w:rPr>
              <w:t>2 (0.9)</w:t>
            </w:r>
          </w:p>
        </w:tc>
        <w:tc>
          <w:tcPr>
            <w:tcW w:w="1805" w:type="dxa"/>
            <w:vAlign w:val="center"/>
          </w:tcPr>
          <w:p w:rsidR="005C7D5D" w:rsidRPr="00D35D44" w:rsidRDefault="005C7D5D" w:rsidP="005E5089">
            <w:pPr>
              <w:pStyle w:val="Tabletext"/>
              <w:keepNext/>
              <w:jc w:val="center"/>
              <w:rPr>
                <w:b/>
                <w:bCs/>
              </w:rPr>
            </w:pPr>
          </w:p>
          <w:p w:rsidR="005C7D5D" w:rsidRPr="00D35D44" w:rsidRDefault="005C7D5D" w:rsidP="005E5089">
            <w:pPr>
              <w:pStyle w:val="Tabletext"/>
              <w:keepNext/>
              <w:jc w:val="center"/>
              <w:rPr>
                <w:b/>
                <w:bCs/>
              </w:rPr>
            </w:pPr>
            <w:r w:rsidRPr="00D35D44">
              <w:rPr>
                <w:b/>
                <w:bCs/>
              </w:rPr>
              <w:t>0.08 (0.03, 0.13)</w:t>
            </w:r>
          </w:p>
          <w:p w:rsidR="005C7D5D" w:rsidRPr="00D35D44" w:rsidRDefault="005C7D5D" w:rsidP="005E5089">
            <w:pPr>
              <w:pStyle w:val="Tabletext"/>
              <w:keepNext/>
              <w:jc w:val="center"/>
              <w:rPr>
                <w:b/>
                <w:bCs/>
              </w:rPr>
            </w:pPr>
            <w:r w:rsidRPr="00D35D44">
              <w:rPr>
                <w:b/>
                <w:bCs/>
              </w:rPr>
              <w:t>0.03 (0.003, 0.07)</w:t>
            </w:r>
          </w:p>
        </w:tc>
      </w:tr>
      <w:tr w:rsidR="005C7D5D" w:rsidRPr="00D35D44" w:rsidTr="005E5089">
        <w:tc>
          <w:tcPr>
            <w:tcW w:w="3312" w:type="dxa"/>
            <w:shd w:val="clear" w:color="auto" w:fill="auto"/>
            <w:vAlign w:val="center"/>
          </w:tcPr>
          <w:p w:rsidR="005C7D5D" w:rsidRPr="00D35D44" w:rsidRDefault="005C7D5D" w:rsidP="005E5089">
            <w:pPr>
              <w:pStyle w:val="Tabletext"/>
              <w:keepNext/>
              <w:rPr>
                <w:bCs/>
              </w:rPr>
            </w:pPr>
            <w:r w:rsidRPr="00D35D44">
              <w:rPr>
                <w:bCs/>
              </w:rPr>
              <w:t>Hypomagnesaemia</w:t>
            </w:r>
          </w:p>
          <w:p w:rsidR="005C7D5D" w:rsidRPr="00D35D44" w:rsidRDefault="005C7D5D" w:rsidP="005E5089">
            <w:pPr>
              <w:pStyle w:val="Tabletext"/>
              <w:keepNext/>
              <w:ind w:left="169"/>
              <w:rPr>
                <w:bCs/>
              </w:rPr>
            </w:pPr>
            <w:r w:rsidRPr="00D35D44">
              <w:rPr>
                <w:bCs/>
              </w:rPr>
              <w:t>-Any</w:t>
            </w:r>
          </w:p>
          <w:p w:rsidR="005C7D5D" w:rsidRPr="00D35D44" w:rsidRDefault="005C7D5D" w:rsidP="005E5089">
            <w:pPr>
              <w:pStyle w:val="Tabletext"/>
              <w:keepNext/>
              <w:ind w:left="169"/>
              <w:rPr>
                <w:bCs/>
              </w:rPr>
            </w:pPr>
            <w:r w:rsidRPr="00D35D44">
              <w:rPr>
                <w:bCs/>
              </w:rPr>
              <w:t xml:space="preserve">-Grade </w:t>
            </w:r>
            <w:r w:rsidR="00A11F66">
              <w:rPr>
                <w:bCs/>
              </w:rPr>
              <w:t>¾</w:t>
            </w:r>
          </w:p>
        </w:tc>
        <w:tc>
          <w:tcPr>
            <w:tcW w:w="2365" w:type="dxa"/>
            <w:shd w:val="clear" w:color="auto" w:fill="auto"/>
            <w:vAlign w:val="center"/>
          </w:tcPr>
          <w:p w:rsidR="005C7D5D" w:rsidRPr="00D35D44" w:rsidRDefault="005C7D5D" w:rsidP="005E5089">
            <w:pPr>
              <w:pStyle w:val="Tabletext"/>
              <w:keepNext/>
              <w:jc w:val="center"/>
              <w:rPr>
                <w:bCs/>
              </w:rPr>
            </w:pPr>
          </w:p>
          <w:p w:rsidR="005C7D5D" w:rsidRPr="00D35D44" w:rsidRDefault="005C7D5D" w:rsidP="005E5089">
            <w:pPr>
              <w:pStyle w:val="Tabletext"/>
              <w:keepNext/>
              <w:jc w:val="center"/>
              <w:rPr>
                <w:bCs/>
              </w:rPr>
            </w:pPr>
            <w:r w:rsidRPr="00D35D44">
              <w:rPr>
                <w:bCs/>
              </w:rPr>
              <w:t>24 (11.0)</w:t>
            </w:r>
          </w:p>
          <w:p w:rsidR="005C7D5D" w:rsidRPr="00D35D44" w:rsidRDefault="005C7D5D" w:rsidP="005E5089">
            <w:pPr>
              <w:pStyle w:val="Tabletext"/>
              <w:keepNext/>
              <w:jc w:val="center"/>
              <w:rPr>
                <w:bCs/>
              </w:rPr>
            </w:pPr>
            <w:r w:rsidRPr="00D35D44">
              <w:rPr>
                <w:bCs/>
              </w:rPr>
              <w:t>11 (5.0)</w:t>
            </w:r>
          </w:p>
        </w:tc>
        <w:tc>
          <w:tcPr>
            <w:tcW w:w="1535" w:type="dxa"/>
            <w:shd w:val="clear" w:color="auto" w:fill="auto"/>
            <w:vAlign w:val="center"/>
          </w:tcPr>
          <w:p w:rsidR="005C7D5D" w:rsidRPr="00D35D44" w:rsidRDefault="005C7D5D" w:rsidP="005E5089">
            <w:pPr>
              <w:pStyle w:val="Tabletext"/>
              <w:keepNext/>
              <w:jc w:val="center"/>
              <w:rPr>
                <w:bCs/>
              </w:rPr>
            </w:pPr>
          </w:p>
          <w:p w:rsidR="005C7D5D" w:rsidRPr="00D35D44" w:rsidRDefault="005C7D5D" w:rsidP="005E5089">
            <w:pPr>
              <w:pStyle w:val="Tabletext"/>
              <w:keepNext/>
              <w:jc w:val="center"/>
              <w:rPr>
                <w:bCs/>
              </w:rPr>
            </w:pPr>
            <w:r w:rsidRPr="00D35D44">
              <w:rPr>
                <w:bCs/>
              </w:rPr>
              <w:t>11 (5.1)</w:t>
            </w:r>
          </w:p>
          <w:p w:rsidR="005C7D5D" w:rsidRPr="00D35D44" w:rsidRDefault="005C7D5D" w:rsidP="005E5089">
            <w:pPr>
              <w:pStyle w:val="Tabletext"/>
              <w:keepNext/>
              <w:jc w:val="center"/>
              <w:rPr>
                <w:bCs/>
              </w:rPr>
            </w:pPr>
            <w:r w:rsidRPr="00D35D44">
              <w:rPr>
                <w:bCs/>
              </w:rPr>
              <w:t>3 (1.4)</w:t>
            </w:r>
          </w:p>
        </w:tc>
        <w:tc>
          <w:tcPr>
            <w:tcW w:w="1805" w:type="dxa"/>
            <w:vAlign w:val="center"/>
          </w:tcPr>
          <w:p w:rsidR="005C7D5D" w:rsidRPr="00D35D44" w:rsidRDefault="005C7D5D" w:rsidP="005E5089">
            <w:pPr>
              <w:pStyle w:val="Tabletext"/>
              <w:keepNext/>
              <w:jc w:val="center"/>
              <w:rPr>
                <w:b/>
                <w:bCs/>
              </w:rPr>
            </w:pPr>
          </w:p>
          <w:p w:rsidR="005C7D5D" w:rsidRPr="00D35D44" w:rsidRDefault="005C7D5D" w:rsidP="005E5089">
            <w:pPr>
              <w:pStyle w:val="Tabletext"/>
              <w:keepNext/>
              <w:jc w:val="center"/>
              <w:rPr>
                <w:b/>
                <w:bCs/>
              </w:rPr>
            </w:pPr>
            <w:r w:rsidRPr="00D35D44">
              <w:rPr>
                <w:b/>
                <w:bCs/>
              </w:rPr>
              <w:t>0.06 (0.007, 0.11)</w:t>
            </w:r>
          </w:p>
          <w:p w:rsidR="005C7D5D" w:rsidRPr="00D35D44" w:rsidRDefault="005C7D5D" w:rsidP="005E5089">
            <w:pPr>
              <w:pStyle w:val="Tabletext"/>
              <w:keepNext/>
              <w:jc w:val="center"/>
              <w:rPr>
                <w:b/>
                <w:bCs/>
              </w:rPr>
            </w:pPr>
            <w:r w:rsidRPr="00D35D44">
              <w:rPr>
                <w:b/>
                <w:bCs/>
              </w:rPr>
              <w:t>0.04 (0.003, 0.08)</w:t>
            </w:r>
          </w:p>
        </w:tc>
      </w:tr>
      <w:tr w:rsidR="005C7D5D" w:rsidRPr="00D35D44" w:rsidTr="005E5089">
        <w:tc>
          <w:tcPr>
            <w:tcW w:w="3312" w:type="dxa"/>
            <w:shd w:val="clear" w:color="auto" w:fill="auto"/>
            <w:vAlign w:val="center"/>
          </w:tcPr>
          <w:p w:rsidR="005C7D5D" w:rsidRPr="00D35D44" w:rsidRDefault="005C7D5D" w:rsidP="005E5089">
            <w:pPr>
              <w:pStyle w:val="Tabletext"/>
              <w:keepNext/>
              <w:rPr>
                <w:bCs/>
              </w:rPr>
            </w:pPr>
            <w:r w:rsidRPr="00D35D44">
              <w:rPr>
                <w:bCs/>
              </w:rPr>
              <w:t>Sepsis (including septic shock), Grade 3/4</w:t>
            </w:r>
          </w:p>
        </w:tc>
        <w:tc>
          <w:tcPr>
            <w:tcW w:w="2365" w:type="dxa"/>
            <w:shd w:val="clear" w:color="auto" w:fill="auto"/>
            <w:vAlign w:val="center"/>
          </w:tcPr>
          <w:p w:rsidR="005C7D5D" w:rsidRPr="00D35D44" w:rsidRDefault="005C7D5D" w:rsidP="005E5089">
            <w:pPr>
              <w:pStyle w:val="Tabletext"/>
              <w:keepNext/>
              <w:jc w:val="center"/>
              <w:rPr>
                <w:bCs/>
              </w:rPr>
            </w:pPr>
            <w:r w:rsidRPr="00D35D44">
              <w:rPr>
                <w:bCs/>
              </w:rPr>
              <w:t>9 (4.1)</w:t>
            </w:r>
          </w:p>
        </w:tc>
        <w:tc>
          <w:tcPr>
            <w:tcW w:w="1535" w:type="dxa"/>
            <w:shd w:val="clear" w:color="auto" w:fill="auto"/>
            <w:vAlign w:val="center"/>
          </w:tcPr>
          <w:p w:rsidR="005C7D5D" w:rsidRPr="00D35D44" w:rsidRDefault="005C7D5D" w:rsidP="005E5089">
            <w:pPr>
              <w:pStyle w:val="Tabletext"/>
              <w:keepNext/>
              <w:jc w:val="center"/>
              <w:rPr>
                <w:bCs/>
              </w:rPr>
            </w:pPr>
            <w:r w:rsidRPr="00D35D44">
              <w:rPr>
                <w:bCs/>
              </w:rPr>
              <w:t>1 (0.5)</w:t>
            </w:r>
          </w:p>
        </w:tc>
        <w:tc>
          <w:tcPr>
            <w:tcW w:w="1805" w:type="dxa"/>
            <w:vAlign w:val="center"/>
          </w:tcPr>
          <w:p w:rsidR="005C7D5D" w:rsidRPr="00D35D44" w:rsidRDefault="005C7D5D" w:rsidP="005E5089">
            <w:pPr>
              <w:pStyle w:val="Tabletext"/>
              <w:keepNext/>
              <w:jc w:val="center"/>
              <w:rPr>
                <w:b/>
                <w:bCs/>
              </w:rPr>
            </w:pPr>
            <w:r w:rsidRPr="00D35D44">
              <w:rPr>
                <w:b/>
                <w:bCs/>
              </w:rPr>
              <w:t>0.04 (0.01, 0.08)</w:t>
            </w:r>
          </w:p>
        </w:tc>
      </w:tr>
    </w:tbl>
    <w:p w:rsidR="00D31920" w:rsidRPr="00D35D44" w:rsidRDefault="00D35D44" w:rsidP="00D31920">
      <w:pPr>
        <w:pStyle w:val="TableFooter"/>
        <w:rPr>
          <w:iCs/>
          <w:sz w:val="16"/>
          <w:szCs w:val="16"/>
        </w:rPr>
      </w:pPr>
      <w:r w:rsidRPr="00D35D44">
        <w:rPr>
          <w:iCs/>
          <w:sz w:val="16"/>
          <w:szCs w:val="16"/>
        </w:rPr>
        <w:t>RD results</w:t>
      </w:r>
      <w:r w:rsidR="00D31920" w:rsidRPr="00D35D44">
        <w:rPr>
          <w:iCs/>
          <w:sz w:val="16"/>
          <w:szCs w:val="16"/>
        </w:rPr>
        <w:t xml:space="preserve"> of statistical comparisons conducted during the evaluation </w:t>
      </w:r>
      <w:proofErr w:type="spellStart"/>
      <w:r w:rsidR="00D31920" w:rsidRPr="00D35D44">
        <w:rPr>
          <w:iCs/>
          <w:sz w:val="16"/>
          <w:szCs w:val="16"/>
        </w:rPr>
        <w:t>statsdirect</w:t>
      </w:r>
      <w:proofErr w:type="spellEnd"/>
      <w:r w:rsidR="00D31920" w:rsidRPr="00D35D44">
        <w:rPr>
          <w:iCs/>
          <w:sz w:val="16"/>
          <w:szCs w:val="16"/>
        </w:rPr>
        <w:t xml:space="preserve"> v3.1.11 </w:t>
      </w:r>
    </w:p>
    <w:p w:rsidR="00D31920" w:rsidRPr="00D35D44" w:rsidRDefault="00D31920" w:rsidP="00D31920">
      <w:pPr>
        <w:pStyle w:val="TableFooter"/>
        <w:rPr>
          <w:sz w:val="16"/>
          <w:szCs w:val="16"/>
        </w:rPr>
      </w:pPr>
      <w:r w:rsidRPr="00D35D44">
        <w:rPr>
          <w:sz w:val="16"/>
          <w:szCs w:val="16"/>
        </w:rPr>
        <w:t xml:space="preserve">Abbreviations: AE = adverse event; CT = chemotherapy; NR = not reported, RD = Risk difference </w:t>
      </w:r>
    </w:p>
    <w:p w:rsidR="00D31920" w:rsidRPr="00D35D44" w:rsidRDefault="00D31920" w:rsidP="00D31920">
      <w:pPr>
        <w:pStyle w:val="TableFooter"/>
        <w:ind w:left="142" w:hanging="142"/>
        <w:rPr>
          <w:iCs/>
          <w:sz w:val="16"/>
          <w:szCs w:val="16"/>
        </w:rPr>
      </w:pPr>
      <w:proofErr w:type="gramStart"/>
      <w:r w:rsidRPr="00D35D44">
        <w:rPr>
          <w:iCs/>
          <w:sz w:val="16"/>
          <w:szCs w:val="16"/>
          <w:vertAlign w:val="superscript"/>
        </w:rPr>
        <w:t>a</w:t>
      </w:r>
      <w:proofErr w:type="gramEnd"/>
      <w:r w:rsidR="000120B1" w:rsidRPr="00D35D44">
        <w:rPr>
          <w:iCs/>
          <w:sz w:val="16"/>
          <w:szCs w:val="16"/>
        </w:rPr>
        <w:t xml:space="preserve"> </w:t>
      </w:r>
      <w:r w:rsidRPr="00D35D44">
        <w:rPr>
          <w:iCs/>
          <w:sz w:val="16"/>
          <w:szCs w:val="16"/>
        </w:rPr>
        <w:t xml:space="preserve">AEs reported in ≥10% of subjects or Grade 3 or 4 AEs reported in ≥5% of subjects in either group. NR values for Grade 3 or 4 were values &lt; 5%, and not included in the main body of the trial report (appendices not provided in the </w:t>
      </w:r>
      <w:r w:rsidR="005C7D5D" w:rsidRPr="00D35D44">
        <w:rPr>
          <w:iCs/>
          <w:sz w:val="16"/>
          <w:szCs w:val="16"/>
        </w:rPr>
        <w:t>resubmission</w:t>
      </w:r>
      <w:r w:rsidRPr="00D35D44">
        <w:rPr>
          <w:iCs/>
          <w:sz w:val="16"/>
          <w:szCs w:val="16"/>
        </w:rPr>
        <w:t>).</w:t>
      </w:r>
    </w:p>
    <w:p w:rsidR="005C7D5D" w:rsidRPr="00D35D44" w:rsidRDefault="005C7D5D" w:rsidP="005E5089">
      <w:pPr>
        <w:pStyle w:val="TableFooter"/>
        <w:spacing w:after="120"/>
        <w:rPr>
          <w:sz w:val="16"/>
          <w:szCs w:val="16"/>
        </w:rPr>
      </w:pPr>
      <w:r w:rsidRPr="00D35D44">
        <w:rPr>
          <w:sz w:val="16"/>
          <w:szCs w:val="16"/>
        </w:rPr>
        <w:t xml:space="preserve">Source: Tables 2.5.12, p69; table 2.5.14, p71 table </w:t>
      </w:r>
      <w:proofErr w:type="gramStart"/>
      <w:r w:rsidRPr="00D35D44">
        <w:rPr>
          <w:sz w:val="16"/>
          <w:szCs w:val="16"/>
        </w:rPr>
        <w:t>2.5.15 ,p72</w:t>
      </w:r>
      <w:proofErr w:type="gramEnd"/>
      <w:r w:rsidRPr="00D35D44">
        <w:rPr>
          <w:sz w:val="16"/>
          <w:szCs w:val="16"/>
        </w:rPr>
        <w:t xml:space="preserve"> and table 2.5.17, p74 of the resubmission, Table 12.12; p128 of the trial report; </w:t>
      </w:r>
      <w:proofErr w:type="spellStart"/>
      <w:r w:rsidRPr="00D35D44">
        <w:rPr>
          <w:sz w:val="16"/>
          <w:szCs w:val="16"/>
        </w:rPr>
        <w:t>Vermo</w:t>
      </w:r>
      <w:r w:rsidR="002A24A7" w:rsidRPr="00D35D44">
        <w:rPr>
          <w:sz w:val="16"/>
          <w:szCs w:val="16"/>
        </w:rPr>
        <w:t>r</w:t>
      </w:r>
      <w:r w:rsidRPr="00D35D44">
        <w:rPr>
          <w:sz w:val="16"/>
          <w:szCs w:val="16"/>
        </w:rPr>
        <w:t>ken</w:t>
      </w:r>
      <w:proofErr w:type="spellEnd"/>
      <w:r w:rsidRPr="00D35D44">
        <w:rPr>
          <w:sz w:val="16"/>
          <w:szCs w:val="16"/>
        </w:rPr>
        <w:t xml:space="preserve"> 2008</w:t>
      </w:r>
    </w:p>
    <w:p w:rsidR="00D31920" w:rsidRPr="00D35D44" w:rsidRDefault="004B053D" w:rsidP="00846F9C">
      <w:pPr>
        <w:pStyle w:val="ListParagraph"/>
        <w:widowControl/>
        <w:numPr>
          <w:ilvl w:val="1"/>
          <w:numId w:val="2"/>
        </w:numPr>
        <w:rPr>
          <w:bCs/>
        </w:rPr>
      </w:pPr>
      <w:r w:rsidRPr="00D35D44">
        <w:rPr>
          <w:bCs/>
        </w:rPr>
        <w:t xml:space="preserve">There </w:t>
      </w:r>
      <w:r w:rsidR="00A67632" w:rsidRPr="00D35D44">
        <w:rPr>
          <w:bCs/>
        </w:rPr>
        <w:t>were</w:t>
      </w:r>
      <w:r w:rsidRPr="00D35D44">
        <w:rPr>
          <w:bCs/>
        </w:rPr>
        <w:t xml:space="preserve"> statistically </w:t>
      </w:r>
      <w:r w:rsidR="005C7D5D" w:rsidRPr="00D35D44">
        <w:rPr>
          <w:bCs/>
        </w:rPr>
        <w:t>significant</w:t>
      </w:r>
      <w:r w:rsidR="00A67632" w:rsidRPr="00D35D44">
        <w:rPr>
          <w:bCs/>
        </w:rPr>
        <w:t>ly</w:t>
      </w:r>
      <w:r w:rsidR="00D31920" w:rsidRPr="00D35D44">
        <w:rPr>
          <w:bCs/>
        </w:rPr>
        <w:t xml:space="preserve"> more patients treated with cetuximab + CT</w:t>
      </w:r>
      <w:r w:rsidR="007B5578">
        <w:rPr>
          <w:bCs/>
        </w:rPr>
        <w:t xml:space="preserve"> who</w:t>
      </w:r>
      <w:r w:rsidR="00D31920" w:rsidRPr="00D35D44">
        <w:rPr>
          <w:bCs/>
        </w:rPr>
        <w:t xml:space="preserve"> experienced rash, diarrhoea, anorexia, pyrexia, acne, dermatitis acneiform, dry skin, hypocalcaemia and hypomagnesaemia </w:t>
      </w:r>
      <w:r w:rsidRPr="00D35D44">
        <w:rPr>
          <w:bCs/>
        </w:rPr>
        <w:t xml:space="preserve">in patients treated with cetuximab + CT, </w:t>
      </w:r>
      <w:r w:rsidR="00D31920" w:rsidRPr="00D35D44">
        <w:rPr>
          <w:bCs/>
        </w:rPr>
        <w:t xml:space="preserve">compared to patients </w:t>
      </w:r>
      <w:r w:rsidRPr="00D35D44">
        <w:rPr>
          <w:bCs/>
        </w:rPr>
        <w:t xml:space="preserve">those </w:t>
      </w:r>
      <w:r w:rsidR="00D31920" w:rsidRPr="00D35D44">
        <w:rPr>
          <w:bCs/>
        </w:rPr>
        <w:t>treated with CT only.</w:t>
      </w:r>
      <w:r w:rsidR="000120B1" w:rsidRPr="00D35D44">
        <w:rPr>
          <w:bCs/>
        </w:rPr>
        <w:t xml:space="preserve"> </w:t>
      </w:r>
    </w:p>
    <w:p w:rsidR="00D31920" w:rsidRPr="00D35D44" w:rsidRDefault="00D31920" w:rsidP="00846F9C">
      <w:pPr>
        <w:pStyle w:val="ListParagraph"/>
        <w:widowControl/>
        <w:numPr>
          <w:ilvl w:val="1"/>
          <w:numId w:val="2"/>
        </w:numPr>
        <w:rPr>
          <w:bCs/>
        </w:rPr>
      </w:pPr>
      <w:r w:rsidRPr="00D35D44">
        <w:rPr>
          <w:bCs/>
        </w:rPr>
        <w:t>In terms of grade 3 and 4 adverse events, there were also statistically s</w:t>
      </w:r>
      <w:r w:rsidR="005C7D5D" w:rsidRPr="00D35D44">
        <w:rPr>
          <w:bCs/>
        </w:rPr>
        <w:t>ignificantly</w:t>
      </w:r>
      <w:r w:rsidR="007B5578">
        <w:rPr>
          <w:bCs/>
        </w:rPr>
        <w:t xml:space="preserve"> more patients who experienced</w:t>
      </w:r>
      <w:r w:rsidRPr="00D35D44">
        <w:rPr>
          <w:bCs/>
        </w:rPr>
        <w:t xml:space="preserve"> rash,</w:t>
      </w:r>
      <w:r w:rsidR="005C7D5D" w:rsidRPr="00D35D44">
        <w:rPr>
          <w:bCs/>
        </w:rPr>
        <w:t xml:space="preserve"> </w:t>
      </w:r>
      <w:r w:rsidRPr="00D35D44">
        <w:rPr>
          <w:bCs/>
        </w:rPr>
        <w:t>anorexia, hypocalcaemia and hypomagnesemia events for those treated with cetuximab +CT compared with patients treated with CT only.</w:t>
      </w:r>
    </w:p>
    <w:p w:rsidR="00D31920" w:rsidRPr="00D35D44" w:rsidRDefault="00D31920" w:rsidP="00846F9C">
      <w:pPr>
        <w:pStyle w:val="ListParagraph"/>
        <w:widowControl/>
        <w:numPr>
          <w:ilvl w:val="1"/>
          <w:numId w:val="2"/>
        </w:numPr>
        <w:rPr>
          <w:bCs/>
        </w:rPr>
      </w:pPr>
      <w:r w:rsidRPr="00D35D44">
        <w:rPr>
          <w:bCs/>
        </w:rPr>
        <w:t xml:space="preserve">The PBAC </w:t>
      </w:r>
      <w:r w:rsidR="004B053D" w:rsidRPr="00D35D44">
        <w:rPr>
          <w:bCs/>
        </w:rPr>
        <w:t xml:space="preserve">had </w:t>
      </w:r>
      <w:r w:rsidRPr="00D35D44">
        <w:rPr>
          <w:bCs/>
        </w:rPr>
        <w:t>previously considered that the addition of cetuximab to platinum-based chemotherapy is inferior to platinum-based chemotherapy alone in terms of comparative safety (</w:t>
      </w:r>
      <w:r w:rsidR="00285D40" w:rsidRPr="00D35D44">
        <w:rPr>
          <w:bCs/>
        </w:rPr>
        <w:t xml:space="preserve">cetuximab </w:t>
      </w:r>
      <w:r w:rsidRPr="00D35D44">
        <w:rPr>
          <w:bCs/>
        </w:rPr>
        <w:t xml:space="preserve">March 2016 </w:t>
      </w:r>
      <w:r w:rsidR="00C16925" w:rsidRPr="00D35D44">
        <w:rPr>
          <w:bCs/>
        </w:rPr>
        <w:t>public summary document (</w:t>
      </w:r>
      <w:r w:rsidRPr="00D35D44">
        <w:rPr>
          <w:bCs/>
        </w:rPr>
        <w:t>PSD</w:t>
      </w:r>
      <w:r w:rsidR="00C16925" w:rsidRPr="00D35D44">
        <w:rPr>
          <w:bCs/>
        </w:rPr>
        <w:t>)</w:t>
      </w:r>
      <w:r w:rsidRPr="00D35D44">
        <w:rPr>
          <w:bCs/>
        </w:rPr>
        <w:t xml:space="preserve"> 7.6)</w:t>
      </w:r>
      <w:r w:rsidR="00C712F8" w:rsidRPr="00D35D44">
        <w:rPr>
          <w:bCs/>
        </w:rPr>
        <w:t>.</w:t>
      </w:r>
    </w:p>
    <w:p w:rsidR="00D31920" w:rsidRPr="009C7D07" w:rsidRDefault="00D31920" w:rsidP="002E2883">
      <w:pPr>
        <w:pStyle w:val="Heading2"/>
      </w:pPr>
      <w:bookmarkStart w:id="9" w:name="_Toc500767930"/>
      <w:r w:rsidRPr="009C7D07">
        <w:t>Benefits/harms</w:t>
      </w:r>
      <w:bookmarkEnd w:id="9"/>
    </w:p>
    <w:p w:rsidR="00D31920" w:rsidRPr="00D35D44" w:rsidRDefault="00D31920" w:rsidP="00846F9C">
      <w:pPr>
        <w:pStyle w:val="ListParagraph"/>
        <w:widowControl/>
        <w:numPr>
          <w:ilvl w:val="1"/>
          <w:numId w:val="2"/>
        </w:numPr>
        <w:rPr>
          <w:bCs/>
        </w:rPr>
      </w:pPr>
      <w:r w:rsidRPr="00D35D44">
        <w:rPr>
          <w:rFonts w:cs="Calibri"/>
          <w:bCs/>
          <w:snapToGrid/>
          <w:szCs w:val="24"/>
          <w:lang w:eastAsia="en-AU"/>
        </w:rPr>
        <w:t xml:space="preserve">The relative benefits and harms for cetuximab + CT compared to CT only reported in the EXTREME trial </w:t>
      </w:r>
      <w:r w:rsidR="00E00FD1">
        <w:rPr>
          <w:rFonts w:cs="Calibri"/>
          <w:bCs/>
          <w:snapToGrid/>
          <w:szCs w:val="24"/>
          <w:lang w:eastAsia="en-AU"/>
        </w:rPr>
        <w:t>are</w:t>
      </w:r>
      <w:r w:rsidRPr="00D35D44">
        <w:rPr>
          <w:rFonts w:cs="Calibri"/>
          <w:bCs/>
          <w:snapToGrid/>
          <w:szCs w:val="24"/>
          <w:lang w:eastAsia="en-AU"/>
        </w:rPr>
        <w:t xml:space="preserve"> summarised in Table 9.</w:t>
      </w:r>
    </w:p>
    <w:p w:rsidR="00736A4E" w:rsidRDefault="00736A4E">
      <w:pPr>
        <w:widowControl/>
        <w:jc w:val="left"/>
        <w:rPr>
          <w:rStyle w:val="CommentReference"/>
        </w:rPr>
      </w:pPr>
      <w:r>
        <w:rPr>
          <w:rStyle w:val="CommentReference"/>
        </w:rPr>
        <w:br w:type="page"/>
      </w:r>
    </w:p>
    <w:p w:rsidR="00D31920" w:rsidRPr="0000718B" w:rsidRDefault="00D31920" w:rsidP="00D31920">
      <w:pPr>
        <w:rPr>
          <w:rStyle w:val="CommentReference"/>
        </w:rPr>
      </w:pPr>
      <w:r w:rsidRPr="0000718B">
        <w:rPr>
          <w:rStyle w:val="CommentReference"/>
        </w:rPr>
        <w:lastRenderedPageBreak/>
        <w:t>Table 9: Summary of comparative benefits and harms for cetuximab + CT and CT only</w:t>
      </w:r>
    </w:p>
    <w:tbl>
      <w:tblPr>
        <w:tblW w:w="5000" w:type="pct"/>
        <w:tblLayout w:type="fixed"/>
        <w:tblCellMar>
          <w:left w:w="28" w:type="dxa"/>
          <w:right w:w="28" w:type="dxa"/>
        </w:tblCellMar>
        <w:tblLook w:val="04A0" w:firstRow="1" w:lastRow="0" w:firstColumn="1" w:lastColumn="0" w:noHBand="0" w:noVBand="1"/>
      </w:tblPr>
      <w:tblGrid>
        <w:gridCol w:w="1150"/>
        <w:gridCol w:w="701"/>
        <w:gridCol w:w="1001"/>
        <w:gridCol w:w="285"/>
        <w:gridCol w:w="451"/>
        <w:gridCol w:w="545"/>
        <w:gridCol w:w="574"/>
        <w:gridCol w:w="857"/>
        <w:gridCol w:w="999"/>
        <w:gridCol w:w="160"/>
        <w:gridCol w:w="963"/>
        <w:gridCol w:w="22"/>
        <w:gridCol w:w="1375"/>
      </w:tblGrid>
      <w:tr w:rsidR="00D31920" w:rsidRPr="0000718B" w:rsidTr="005E5089">
        <w:trPr>
          <w:trHeight w:val="150"/>
        </w:trPr>
        <w:tc>
          <w:tcPr>
            <w:tcW w:w="6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rPr>
                <w:rFonts w:ascii="Arial Narrow" w:hAnsi="Arial Narrow"/>
                <w:b/>
                <w:color w:val="000000"/>
                <w:sz w:val="20"/>
                <w:szCs w:val="18"/>
              </w:rPr>
            </w:pPr>
            <w:r w:rsidRPr="0000718B">
              <w:rPr>
                <w:rFonts w:ascii="Arial Narrow" w:hAnsi="Arial Narrow"/>
                <w:b/>
                <w:color w:val="000000"/>
                <w:sz w:val="20"/>
                <w:szCs w:val="18"/>
              </w:rPr>
              <w:t>Trial</w:t>
            </w:r>
          </w:p>
        </w:tc>
        <w:tc>
          <w:tcPr>
            <w:tcW w:w="93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color w:val="000000"/>
                <w:sz w:val="20"/>
                <w:szCs w:val="18"/>
              </w:rPr>
            </w:pPr>
            <w:r w:rsidRPr="0000718B">
              <w:rPr>
                <w:rFonts w:ascii="Arial Narrow" w:hAnsi="Arial Narrow"/>
                <w:b/>
                <w:color w:val="000000"/>
                <w:sz w:val="20"/>
                <w:szCs w:val="18"/>
              </w:rPr>
              <w:t>Cetuximab + CT</w:t>
            </w:r>
          </w:p>
          <w:p w:rsidR="00D31920" w:rsidRPr="0000718B" w:rsidRDefault="00D31920" w:rsidP="00453585">
            <w:pPr>
              <w:jc w:val="center"/>
              <w:rPr>
                <w:rFonts w:ascii="Arial Narrow" w:hAnsi="Arial Narrow"/>
                <w:b/>
                <w:color w:val="000000"/>
                <w:sz w:val="20"/>
                <w:szCs w:val="18"/>
              </w:rPr>
            </w:pPr>
            <w:r w:rsidRPr="0000718B">
              <w:rPr>
                <w:rFonts w:ascii="Arial Narrow" w:hAnsi="Arial Narrow"/>
                <w:b/>
                <w:color w:val="000000"/>
                <w:sz w:val="20"/>
                <w:szCs w:val="18"/>
              </w:rPr>
              <w:t>n/N</w:t>
            </w:r>
          </w:p>
        </w:tc>
        <w:tc>
          <w:tcPr>
            <w:tcW w:w="40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color w:val="000000"/>
                <w:sz w:val="20"/>
                <w:szCs w:val="18"/>
              </w:rPr>
            </w:pPr>
            <w:r w:rsidRPr="0000718B">
              <w:rPr>
                <w:rFonts w:ascii="Arial Narrow" w:hAnsi="Arial Narrow"/>
                <w:b/>
                <w:color w:val="000000"/>
                <w:sz w:val="20"/>
                <w:szCs w:val="18"/>
              </w:rPr>
              <w:t>CT only</w:t>
            </w:r>
          </w:p>
          <w:p w:rsidR="00D31920" w:rsidRPr="0000718B" w:rsidRDefault="00D31920" w:rsidP="00453585">
            <w:pPr>
              <w:jc w:val="center"/>
              <w:rPr>
                <w:rFonts w:ascii="Arial Narrow" w:hAnsi="Arial Narrow"/>
                <w:b/>
                <w:color w:val="000000"/>
                <w:sz w:val="20"/>
                <w:szCs w:val="18"/>
              </w:rPr>
            </w:pPr>
            <w:r w:rsidRPr="0000718B">
              <w:rPr>
                <w:rFonts w:ascii="Arial Narrow" w:hAnsi="Arial Narrow"/>
                <w:b/>
                <w:color w:val="000000"/>
                <w:sz w:val="20"/>
                <w:szCs w:val="18"/>
              </w:rPr>
              <w:t>n/N</w:t>
            </w:r>
          </w:p>
        </w:tc>
        <w:tc>
          <w:tcPr>
            <w:tcW w:w="1088"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color w:val="000000"/>
                <w:sz w:val="20"/>
                <w:szCs w:val="18"/>
              </w:rPr>
            </w:pPr>
            <w:r w:rsidRPr="0000718B">
              <w:rPr>
                <w:rFonts w:ascii="Arial Narrow" w:hAnsi="Arial Narrow"/>
                <w:b/>
                <w:color w:val="000000"/>
                <w:sz w:val="20"/>
                <w:szCs w:val="18"/>
              </w:rPr>
              <w:t>OR</w:t>
            </w:r>
          </w:p>
          <w:p w:rsidR="00D31920" w:rsidRPr="0000718B" w:rsidRDefault="00D31920" w:rsidP="00453585">
            <w:pPr>
              <w:jc w:val="center"/>
              <w:rPr>
                <w:rFonts w:ascii="Arial Narrow" w:hAnsi="Arial Narrow"/>
                <w:b/>
                <w:color w:val="000000"/>
                <w:sz w:val="20"/>
                <w:szCs w:val="18"/>
              </w:rPr>
            </w:pPr>
            <w:r w:rsidRPr="0000718B">
              <w:rPr>
                <w:rFonts w:ascii="Arial Narrow" w:hAnsi="Arial Narrow"/>
                <w:b/>
                <w:color w:val="000000"/>
                <w:sz w:val="20"/>
                <w:szCs w:val="18"/>
              </w:rPr>
              <w:t>(95% CI)</w:t>
            </w:r>
          </w:p>
        </w:tc>
        <w:tc>
          <w:tcPr>
            <w:tcW w:w="118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color w:val="000000"/>
                <w:sz w:val="20"/>
                <w:szCs w:val="18"/>
              </w:rPr>
            </w:pPr>
            <w:r w:rsidRPr="0000718B">
              <w:rPr>
                <w:rFonts w:ascii="Arial Narrow" w:hAnsi="Arial Narrow"/>
                <w:b/>
                <w:color w:val="000000"/>
                <w:sz w:val="20"/>
                <w:szCs w:val="18"/>
              </w:rPr>
              <w:t>Event rate/100 patients</w:t>
            </w:r>
            <w:r w:rsidR="00A81FAF" w:rsidRPr="0000718B">
              <w:rPr>
                <w:rFonts w:ascii="Arial Narrow" w:hAnsi="Arial Narrow"/>
                <w:b/>
                <w:color w:val="000000"/>
                <w:sz w:val="20"/>
                <w:szCs w:val="18"/>
              </w:rPr>
              <w:t xml:space="preserve"> </w:t>
            </w:r>
            <w:r w:rsidRPr="0000718B">
              <w:rPr>
                <w:rFonts w:ascii="Arial Narrow" w:hAnsi="Arial Narrow"/>
                <w:b/>
                <w:color w:val="000000"/>
                <w:sz w:val="20"/>
                <w:szCs w:val="18"/>
                <w:vertAlign w:val="superscript"/>
              </w:rPr>
              <w:t>a</w:t>
            </w:r>
            <w:r w:rsidRPr="0000718B">
              <w:rPr>
                <w:rFonts w:ascii="Arial Narrow" w:hAnsi="Arial Narrow"/>
                <w:b/>
                <w:color w:val="000000"/>
                <w:sz w:val="20"/>
                <w:szCs w:val="18"/>
              </w:rPr>
              <w:t xml:space="preserve"> </w:t>
            </w:r>
          </w:p>
        </w:tc>
        <w:tc>
          <w:tcPr>
            <w:tcW w:w="75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color w:val="000000"/>
                <w:sz w:val="20"/>
                <w:szCs w:val="18"/>
              </w:rPr>
            </w:pPr>
            <w:r w:rsidRPr="0000718B">
              <w:rPr>
                <w:rFonts w:ascii="Arial Narrow" w:hAnsi="Arial Narrow"/>
                <w:b/>
                <w:color w:val="000000"/>
                <w:sz w:val="20"/>
                <w:szCs w:val="18"/>
              </w:rPr>
              <w:t>RD</w:t>
            </w:r>
          </w:p>
          <w:p w:rsidR="00D31920" w:rsidRPr="0000718B" w:rsidRDefault="00D31920" w:rsidP="00453585">
            <w:pPr>
              <w:jc w:val="center"/>
              <w:rPr>
                <w:rFonts w:ascii="Arial Narrow" w:hAnsi="Arial Narrow"/>
                <w:b/>
                <w:color w:val="000000"/>
                <w:sz w:val="20"/>
                <w:szCs w:val="18"/>
              </w:rPr>
            </w:pPr>
            <w:r w:rsidRPr="0000718B">
              <w:rPr>
                <w:rFonts w:ascii="Arial Narrow" w:hAnsi="Arial Narrow"/>
                <w:b/>
                <w:color w:val="000000"/>
                <w:sz w:val="20"/>
                <w:szCs w:val="18"/>
              </w:rPr>
              <w:t>(95% CI)</w:t>
            </w:r>
          </w:p>
        </w:tc>
      </w:tr>
      <w:tr w:rsidR="00D31920" w:rsidRPr="0000718B" w:rsidTr="005E5089">
        <w:trPr>
          <w:trHeight w:val="315"/>
        </w:trPr>
        <w:tc>
          <w:tcPr>
            <w:tcW w:w="633" w:type="pct"/>
            <w:vMerge/>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rPr>
                <w:rFonts w:ascii="Arial Narrow" w:hAnsi="Arial Narrow"/>
                <w:b/>
                <w:color w:val="000000"/>
                <w:sz w:val="20"/>
                <w:szCs w:val="18"/>
              </w:rPr>
            </w:pPr>
          </w:p>
        </w:tc>
        <w:tc>
          <w:tcPr>
            <w:tcW w:w="937"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color w:val="000000"/>
                <w:sz w:val="20"/>
                <w:szCs w:val="18"/>
              </w:rPr>
            </w:pPr>
          </w:p>
        </w:tc>
        <w:tc>
          <w:tcPr>
            <w:tcW w:w="405"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color w:val="000000"/>
                <w:sz w:val="20"/>
                <w:szCs w:val="18"/>
              </w:rPr>
            </w:pPr>
          </w:p>
        </w:tc>
        <w:tc>
          <w:tcPr>
            <w:tcW w:w="1088" w:type="pct"/>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color w:val="000000"/>
                <w:sz w:val="20"/>
                <w:szCs w:val="18"/>
              </w:rPr>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color w:val="000000"/>
                <w:sz w:val="20"/>
                <w:szCs w:val="18"/>
              </w:rPr>
            </w:pPr>
            <w:r w:rsidRPr="0000718B">
              <w:rPr>
                <w:rFonts w:ascii="Arial Narrow" w:hAnsi="Arial Narrow"/>
                <w:b/>
                <w:color w:val="000000"/>
                <w:sz w:val="20"/>
                <w:szCs w:val="18"/>
              </w:rPr>
              <w:t>Cetuximab + CT</w:t>
            </w:r>
          </w:p>
        </w:tc>
        <w:tc>
          <w:tcPr>
            <w:tcW w:w="63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color w:val="000000"/>
                <w:sz w:val="20"/>
                <w:szCs w:val="18"/>
              </w:rPr>
            </w:pPr>
            <w:r w:rsidRPr="0000718B">
              <w:rPr>
                <w:rFonts w:ascii="Arial Narrow" w:hAnsi="Arial Narrow"/>
                <w:b/>
                <w:color w:val="000000"/>
                <w:sz w:val="20"/>
                <w:szCs w:val="18"/>
              </w:rPr>
              <w:t>CT only</w:t>
            </w:r>
          </w:p>
        </w:tc>
        <w:tc>
          <w:tcPr>
            <w:tcW w:w="7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color w:val="000000"/>
                <w:sz w:val="20"/>
                <w:szCs w:val="18"/>
              </w:rPr>
            </w:pPr>
          </w:p>
        </w:tc>
      </w:tr>
      <w:tr w:rsidR="00D31920" w:rsidRPr="0000718B" w:rsidTr="005E5089">
        <w:tc>
          <w:tcPr>
            <w:tcW w:w="5000" w:type="pct"/>
            <w:gridSpan w:val="13"/>
            <w:tcBorders>
              <w:top w:val="single" w:sz="4" w:space="0" w:color="auto"/>
              <w:left w:val="single" w:sz="4" w:space="0" w:color="auto"/>
              <w:bottom w:val="double" w:sz="4" w:space="0" w:color="auto"/>
              <w:right w:val="single" w:sz="4" w:space="0" w:color="auto"/>
            </w:tcBorders>
            <w:shd w:val="clear" w:color="auto" w:fill="auto"/>
            <w:vAlign w:val="center"/>
          </w:tcPr>
          <w:p w:rsidR="00D31920" w:rsidRPr="0000718B" w:rsidRDefault="00D31920" w:rsidP="00453585">
            <w:pPr>
              <w:rPr>
                <w:rFonts w:ascii="Arial Narrow" w:hAnsi="Arial Narrow"/>
                <w:b/>
                <w:color w:val="000000"/>
                <w:sz w:val="20"/>
                <w:szCs w:val="18"/>
              </w:rPr>
            </w:pPr>
            <w:r w:rsidRPr="0000718B">
              <w:rPr>
                <w:rFonts w:ascii="Arial Narrow" w:hAnsi="Arial Narrow"/>
                <w:b/>
                <w:color w:val="000000"/>
                <w:sz w:val="20"/>
                <w:szCs w:val="18"/>
              </w:rPr>
              <w:t>Benefits</w:t>
            </w:r>
          </w:p>
        </w:tc>
      </w:tr>
      <w:tr w:rsidR="00D31920" w:rsidRPr="0000718B" w:rsidTr="005E5089">
        <w:tc>
          <w:tcPr>
            <w:tcW w:w="5000" w:type="pct"/>
            <w:gridSpan w:val="13"/>
            <w:tcBorders>
              <w:top w:val="doub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rPr>
                <w:rFonts w:ascii="Arial Narrow" w:hAnsi="Arial Narrow"/>
                <w:b/>
                <w:color w:val="000000"/>
                <w:sz w:val="20"/>
                <w:szCs w:val="18"/>
                <w:vertAlign w:val="superscript"/>
              </w:rPr>
            </w:pPr>
            <w:r w:rsidRPr="0000718B">
              <w:rPr>
                <w:rFonts w:ascii="Arial Narrow" w:hAnsi="Arial Narrow"/>
                <w:b/>
                <w:color w:val="000000"/>
                <w:sz w:val="20"/>
                <w:szCs w:val="18"/>
              </w:rPr>
              <w:t xml:space="preserve">Proportion </w:t>
            </w:r>
            <w:r w:rsidR="00A81FAF" w:rsidRPr="0000718B">
              <w:rPr>
                <w:rFonts w:ascii="Arial Narrow" w:hAnsi="Arial Narrow"/>
                <w:b/>
                <w:color w:val="000000"/>
                <w:sz w:val="20"/>
                <w:szCs w:val="18"/>
              </w:rPr>
              <w:t>of best overall r</w:t>
            </w:r>
            <w:r w:rsidRPr="0000718B">
              <w:rPr>
                <w:rFonts w:ascii="Arial Narrow" w:hAnsi="Arial Narrow"/>
                <w:b/>
                <w:color w:val="000000"/>
                <w:sz w:val="20"/>
                <w:szCs w:val="18"/>
              </w:rPr>
              <w:t>esponse</w:t>
            </w:r>
            <w:r w:rsidR="00A81FAF" w:rsidRPr="0000718B">
              <w:rPr>
                <w:rFonts w:ascii="Arial Narrow" w:hAnsi="Arial Narrow"/>
                <w:b/>
                <w:color w:val="000000"/>
                <w:sz w:val="20"/>
                <w:szCs w:val="18"/>
              </w:rPr>
              <w:t xml:space="preserve"> </w:t>
            </w:r>
            <w:r w:rsidRPr="0000718B">
              <w:rPr>
                <w:rFonts w:ascii="Arial Narrow" w:hAnsi="Arial Narrow"/>
                <w:b/>
                <w:color w:val="000000"/>
                <w:sz w:val="20"/>
                <w:szCs w:val="18"/>
                <w:vertAlign w:val="superscript"/>
              </w:rPr>
              <w:t>b</w:t>
            </w:r>
          </w:p>
        </w:tc>
      </w:tr>
      <w:tr w:rsidR="00D31920" w:rsidRPr="0000718B" w:rsidTr="005E5089">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rPr>
                <w:rFonts w:ascii="Arial Narrow" w:hAnsi="Arial Narrow"/>
                <w:b/>
                <w:color w:val="000000"/>
                <w:sz w:val="20"/>
                <w:szCs w:val="18"/>
              </w:rPr>
            </w:pPr>
            <w:r w:rsidRPr="0000718B">
              <w:rPr>
                <w:rFonts w:ascii="Arial Narrow" w:hAnsi="Arial Narrow"/>
                <w:b/>
                <w:color w:val="000000"/>
                <w:sz w:val="20"/>
                <w:szCs w:val="18"/>
              </w:rPr>
              <w:t>EXTREME</w:t>
            </w:r>
          </w:p>
        </w:tc>
        <w:tc>
          <w:tcPr>
            <w:tcW w:w="9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szCs w:val="18"/>
              </w:rPr>
            </w:pPr>
            <w:r w:rsidRPr="0000718B">
              <w:rPr>
                <w:rFonts w:ascii="Arial Narrow" w:hAnsi="Arial Narrow"/>
                <w:bCs/>
                <w:color w:val="000000"/>
                <w:sz w:val="20"/>
                <w:szCs w:val="18"/>
              </w:rPr>
              <w:t>79/222</w:t>
            </w:r>
          </w:p>
        </w:tc>
        <w:tc>
          <w:tcPr>
            <w:tcW w:w="4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szCs w:val="18"/>
              </w:rPr>
            </w:pPr>
            <w:r w:rsidRPr="0000718B">
              <w:rPr>
                <w:rFonts w:ascii="Arial Narrow" w:hAnsi="Arial Narrow"/>
                <w:bCs/>
                <w:color w:val="000000"/>
                <w:sz w:val="20"/>
                <w:szCs w:val="18"/>
              </w:rPr>
              <w:t>43/220</w:t>
            </w:r>
          </w:p>
        </w:tc>
        <w:tc>
          <w:tcPr>
            <w:tcW w:w="108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szCs w:val="18"/>
              </w:rPr>
            </w:pPr>
            <w:r w:rsidRPr="0000718B">
              <w:rPr>
                <w:rFonts w:ascii="Arial Narrow" w:hAnsi="Arial Narrow"/>
                <w:bCs/>
                <w:color w:val="000000"/>
                <w:sz w:val="20"/>
                <w:szCs w:val="18"/>
              </w:rPr>
              <w:t>2.326 (1.504, 3.60)</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szCs w:val="18"/>
              </w:rPr>
            </w:pPr>
            <w:r w:rsidRPr="0000718B">
              <w:rPr>
                <w:rFonts w:ascii="Arial Narrow" w:hAnsi="Arial Narrow"/>
                <w:bCs/>
                <w:color w:val="000000"/>
                <w:sz w:val="20"/>
                <w:szCs w:val="18"/>
              </w:rPr>
              <w:t>35.6</w:t>
            </w:r>
          </w:p>
        </w:tc>
        <w:tc>
          <w:tcPr>
            <w:tcW w:w="63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szCs w:val="18"/>
              </w:rPr>
            </w:pPr>
            <w:r w:rsidRPr="0000718B">
              <w:rPr>
                <w:rFonts w:ascii="Arial Narrow" w:hAnsi="Arial Narrow"/>
                <w:bCs/>
                <w:color w:val="000000"/>
                <w:sz w:val="20"/>
                <w:szCs w:val="18"/>
              </w:rPr>
              <w:t>19.5</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i/>
                <w:iCs/>
                <w:color w:val="000000"/>
                <w:sz w:val="20"/>
                <w:szCs w:val="18"/>
              </w:rPr>
            </w:pPr>
            <w:r w:rsidRPr="0000718B">
              <w:rPr>
                <w:rFonts w:ascii="Arial Narrow" w:hAnsi="Arial Narrow"/>
                <w:b/>
                <w:i/>
                <w:iCs/>
                <w:color w:val="000000"/>
                <w:sz w:val="20"/>
                <w:szCs w:val="18"/>
              </w:rPr>
              <w:t>0.16 (0.08, 0.24)</w:t>
            </w:r>
          </w:p>
        </w:tc>
      </w:tr>
      <w:tr w:rsidR="00D31920" w:rsidRPr="0000718B" w:rsidTr="005E5089">
        <w:tc>
          <w:tcPr>
            <w:tcW w:w="5000" w:type="pct"/>
            <w:gridSpan w:val="13"/>
            <w:tcBorders>
              <w:top w:val="doub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rPr>
                <w:rFonts w:ascii="Arial Narrow" w:hAnsi="Arial Narrow"/>
                <w:b/>
                <w:color w:val="000000"/>
                <w:sz w:val="20"/>
                <w:szCs w:val="18"/>
              </w:rPr>
            </w:pPr>
            <w:r w:rsidRPr="0000718B">
              <w:rPr>
                <w:rFonts w:ascii="Arial Narrow" w:hAnsi="Arial Narrow"/>
                <w:b/>
                <w:color w:val="000000"/>
                <w:sz w:val="20"/>
                <w:szCs w:val="18"/>
              </w:rPr>
              <w:t>Overall Survival</w:t>
            </w:r>
          </w:p>
        </w:tc>
      </w:tr>
      <w:tr w:rsidR="00D31920" w:rsidRPr="0000718B" w:rsidTr="005E5089">
        <w:tc>
          <w:tcPr>
            <w:tcW w:w="10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063D98" w:rsidP="00063D98">
            <w:pPr>
              <w:jc w:val="left"/>
              <w:rPr>
                <w:rFonts w:ascii="Arial Narrow" w:hAnsi="Arial Narrow"/>
                <w:b/>
                <w:color w:val="000000"/>
                <w:sz w:val="20"/>
                <w:szCs w:val="18"/>
              </w:rPr>
            </w:pPr>
            <w:r w:rsidRPr="0000718B">
              <w:rPr>
                <w:rFonts w:ascii="Arial Narrow" w:hAnsi="Arial Narrow"/>
                <w:b/>
                <w:color w:val="000000"/>
                <w:sz w:val="20"/>
                <w:szCs w:val="18"/>
              </w:rPr>
              <w:t>EXTREME</w:t>
            </w:r>
          </w:p>
        </w:tc>
        <w:tc>
          <w:tcPr>
            <w:tcW w:w="7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A81FAF" w:rsidP="00453585">
            <w:pPr>
              <w:jc w:val="center"/>
              <w:rPr>
                <w:rFonts w:ascii="Arial Narrow" w:hAnsi="Arial Narrow"/>
                <w:b/>
                <w:color w:val="000000"/>
                <w:sz w:val="20"/>
                <w:szCs w:val="18"/>
              </w:rPr>
            </w:pPr>
            <w:proofErr w:type="spellStart"/>
            <w:r w:rsidRPr="0000718B">
              <w:rPr>
                <w:rFonts w:ascii="Arial Narrow" w:hAnsi="Arial Narrow"/>
                <w:b/>
                <w:color w:val="000000"/>
                <w:sz w:val="20"/>
                <w:szCs w:val="18"/>
              </w:rPr>
              <w:t>Cet</w:t>
            </w:r>
            <w:proofErr w:type="spellEnd"/>
            <w:r w:rsidR="00D31920" w:rsidRPr="0000718B">
              <w:rPr>
                <w:rFonts w:ascii="Arial Narrow" w:hAnsi="Arial Narrow"/>
                <w:b/>
                <w:color w:val="000000"/>
                <w:sz w:val="20"/>
                <w:szCs w:val="18"/>
              </w:rPr>
              <w:t xml:space="preserve"> + CT</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color w:val="000000"/>
                <w:sz w:val="20"/>
                <w:szCs w:val="18"/>
              </w:rPr>
            </w:pPr>
            <w:r w:rsidRPr="0000718B">
              <w:rPr>
                <w:rFonts w:ascii="Arial Narrow" w:hAnsi="Arial Narrow"/>
                <w:b/>
                <w:color w:val="000000"/>
                <w:sz w:val="20"/>
                <w:szCs w:val="18"/>
              </w:rPr>
              <w:t>CT only</w:t>
            </w:r>
          </w:p>
        </w:tc>
        <w:tc>
          <w:tcPr>
            <w:tcW w:w="11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color w:val="000000"/>
                <w:sz w:val="20"/>
                <w:szCs w:val="18"/>
              </w:rPr>
            </w:pPr>
            <w:r w:rsidRPr="0000718B">
              <w:rPr>
                <w:rFonts w:ascii="Arial Narrow" w:hAnsi="Arial Narrow"/>
                <w:b/>
                <w:color w:val="000000"/>
                <w:sz w:val="20"/>
                <w:szCs w:val="18"/>
              </w:rPr>
              <w:t>Absolute difference</w:t>
            </w:r>
          </w:p>
        </w:tc>
        <w:tc>
          <w:tcPr>
            <w:tcW w:w="129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color w:val="000000"/>
                <w:sz w:val="20"/>
                <w:szCs w:val="18"/>
              </w:rPr>
            </w:pPr>
            <w:r w:rsidRPr="0000718B">
              <w:rPr>
                <w:rFonts w:ascii="Arial Narrow" w:hAnsi="Arial Narrow"/>
                <w:b/>
                <w:color w:val="000000"/>
                <w:sz w:val="20"/>
                <w:szCs w:val="18"/>
              </w:rPr>
              <w:t>HR (95% CI)</w:t>
            </w:r>
          </w:p>
        </w:tc>
      </w:tr>
      <w:tr w:rsidR="00D31920" w:rsidRPr="0000718B" w:rsidTr="005E5089">
        <w:tc>
          <w:tcPr>
            <w:tcW w:w="10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rPr>
                <w:rFonts w:ascii="Arial Narrow" w:hAnsi="Arial Narrow"/>
                <w:bCs/>
                <w:color w:val="000000"/>
                <w:sz w:val="20"/>
                <w:szCs w:val="18"/>
              </w:rPr>
            </w:pPr>
            <w:r w:rsidRPr="0000718B">
              <w:rPr>
                <w:rFonts w:ascii="Arial Narrow" w:hAnsi="Arial Narrow"/>
                <w:bCs/>
                <w:color w:val="000000"/>
                <w:sz w:val="20"/>
                <w:szCs w:val="18"/>
              </w:rPr>
              <w:t>Deaths* n/N (%)</w:t>
            </w:r>
          </w:p>
        </w:tc>
        <w:tc>
          <w:tcPr>
            <w:tcW w:w="7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sz w:val="20"/>
              </w:rPr>
            </w:pPr>
            <w:r w:rsidRPr="0000718B">
              <w:rPr>
                <w:rFonts w:ascii="Arial Narrow" w:hAnsi="Arial Narrow"/>
                <w:bCs/>
                <w:sz w:val="20"/>
              </w:rPr>
              <w:t>167/222 (75.2)</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sz w:val="20"/>
              </w:rPr>
            </w:pPr>
            <w:r w:rsidRPr="0000718B">
              <w:rPr>
                <w:rFonts w:ascii="Arial Narrow" w:hAnsi="Arial Narrow"/>
                <w:bCs/>
                <w:sz w:val="20"/>
              </w:rPr>
              <w:t>176/220 (80.0)</w:t>
            </w:r>
          </w:p>
        </w:tc>
        <w:tc>
          <w:tcPr>
            <w:tcW w:w="11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szCs w:val="18"/>
              </w:rPr>
            </w:pPr>
            <w:r w:rsidRPr="0000718B">
              <w:rPr>
                <w:rFonts w:ascii="Arial Narrow" w:hAnsi="Arial Narrow"/>
                <w:bCs/>
                <w:color w:val="000000"/>
                <w:sz w:val="20"/>
                <w:szCs w:val="18"/>
              </w:rPr>
              <w:t>4.8</w:t>
            </w:r>
          </w:p>
        </w:tc>
        <w:tc>
          <w:tcPr>
            <w:tcW w:w="129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szCs w:val="18"/>
              </w:rPr>
            </w:pPr>
            <w:r w:rsidRPr="0000718B">
              <w:rPr>
                <w:rFonts w:ascii="Arial Narrow" w:hAnsi="Arial Narrow"/>
                <w:bCs/>
                <w:sz w:val="20"/>
              </w:rPr>
              <w:t>NR</w:t>
            </w:r>
          </w:p>
        </w:tc>
      </w:tr>
      <w:tr w:rsidR="00D31920" w:rsidRPr="0000718B" w:rsidTr="005E5089">
        <w:tc>
          <w:tcPr>
            <w:tcW w:w="1019" w:type="pct"/>
            <w:gridSpan w:val="2"/>
            <w:tcBorders>
              <w:top w:val="single" w:sz="4" w:space="0" w:color="auto"/>
              <w:left w:val="single" w:sz="4" w:space="0" w:color="auto"/>
              <w:bottom w:val="double" w:sz="4" w:space="0" w:color="auto"/>
              <w:right w:val="single" w:sz="4" w:space="0" w:color="auto"/>
            </w:tcBorders>
            <w:shd w:val="clear" w:color="auto" w:fill="auto"/>
            <w:vAlign w:val="center"/>
          </w:tcPr>
          <w:p w:rsidR="00D31920" w:rsidRPr="0000718B" w:rsidRDefault="00D31920" w:rsidP="00453585">
            <w:pPr>
              <w:rPr>
                <w:rFonts w:ascii="Arial Narrow" w:hAnsi="Arial Narrow"/>
                <w:bCs/>
                <w:color w:val="000000"/>
                <w:sz w:val="20"/>
                <w:szCs w:val="18"/>
              </w:rPr>
            </w:pPr>
            <w:r w:rsidRPr="0000718B">
              <w:rPr>
                <w:rFonts w:ascii="Arial Narrow" w:hAnsi="Arial Narrow"/>
                <w:bCs/>
                <w:color w:val="000000"/>
                <w:sz w:val="20"/>
                <w:szCs w:val="18"/>
              </w:rPr>
              <w:t>Median months (95%CI)</w:t>
            </w:r>
          </w:p>
        </w:tc>
        <w:tc>
          <w:tcPr>
            <w:tcW w:w="708" w:type="pct"/>
            <w:gridSpan w:val="2"/>
            <w:tcBorders>
              <w:top w:val="single" w:sz="4" w:space="0" w:color="auto"/>
              <w:left w:val="single" w:sz="4" w:space="0" w:color="auto"/>
              <w:bottom w:val="doub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sz w:val="20"/>
              </w:rPr>
            </w:pPr>
            <w:r w:rsidRPr="0000718B">
              <w:rPr>
                <w:rFonts w:ascii="Arial Narrow" w:hAnsi="Arial Narrow"/>
                <w:bCs/>
                <w:sz w:val="20"/>
              </w:rPr>
              <w:t>10.1 (8.6, 11.2)</w:t>
            </w:r>
          </w:p>
        </w:tc>
        <w:tc>
          <w:tcPr>
            <w:tcW w:w="864" w:type="pct"/>
            <w:gridSpan w:val="3"/>
            <w:tcBorders>
              <w:top w:val="single" w:sz="4" w:space="0" w:color="auto"/>
              <w:left w:val="single" w:sz="4" w:space="0" w:color="auto"/>
              <w:bottom w:val="doub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sz w:val="20"/>
              </w:rPr>
            </w:pPr>
            <w:r w:rsidRPr="0000718B">
              <w:rPr>
                <w:rFonts w:ascii="Arial Narrow" w:hAnsi="Arial Narrow"/>
                <w:bCs/>
                <w:sz w:val="20"/>
              </w:rPr>
              <w:t>7.4 (6.4, 8.3)</w:t>
            </w:r>
          </w:p>
        </w:tc>
        <w:tc>
          <w:tcPr>
            <w:tcW w:w="1110" w:type="pct"/>
            <w:gridSpan w:val="3"/>
            <w:tcBorders>
              <w:top w:val="single" w:sz="4" w:space="0" w:color="auto"/>
              <w:left w:val="single" w:sz="4" w:space="0" w:color="auto"/>
              <w:bottom w:val="doub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szCs w:val="18"/>
              </w:rPr>
            </w:pPr>
            <w:r w:rsidRPr="0000718B">
              <w:rPr>
                <w:rFonts w:ascii="Arial Narrow" w:hAnsi="Arial Narrow"/>
                <w:bCs/>
                <w:color w:val="000000"/>
                <w:sz w:val="20"/>
                <w:szCs w:val="18"/>
              </w:rPr>
              <w:t>2.7</w:t>
            </w:r>
          </w:p>
        </w:tc>
        <w:tc>
          <w:tcPr>
            <w:tcW w:w="1299" w:type="pct"/>
            <w:gridSpan w:val="3"/>
            <w:tcBorders>
              <w:top w:val="single" w:sz="4" w:space="0" w:color="auto"/>
              <w:left w:val="single" w:sz="4" w:space="0" w:color="auto"/>
              <w:bottom w:val="doub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bCs/>
                <w:color w:val="000000"/>
                <w:sz w:val="20"/>
                <w:szCs w:val="18"/>
              </w:rPr>
            </w:pPr>
            <w:r w:rsidRPr="0000718B">
              <w:rPr>
                <w:rFonts w:ascii="Arial Narrow" w:hAnsi="Arial Narrow"/>
                <w:b/>
                <w:bCs/>
                <w:color w:val="000000"/>
                <w:sz w:val="20"/>
                <w:szCs w:val="18"/>
              </w:rPr>
              <w:t>0.797 (0.644, 0.986)</w:t>
            </w:r>
          </w:p>
        </w:tc>
      </w:tr>
      <w:tr w:rsidR="00D31920" w:rsidRPr="0000718B" w:rsidTr="005E5089">
        <w:tc>
          <w:tcPr>
            <w:tcW w:w="5000" w:type="pct"/>
            <w:gridSpan w:val="13"/>
            <w:tcBorders>
              <w:top w:val="double" w:sz="4" w:space="0" w:color="auto"/>
              <w:left w:val="single" w:sz="4" w:space="0" w:color="auto"/>
              <w:bottom w:val="single" w:sz="4" w:space="0" w:color="auto"/>
              <w:right w:val="single" w:sz="4" w:space="0" w:color="auto"/>
            </w:tcBorders>
            <w:shd w:val="clear" w:color="auto" w:fill="auto"/>
            <w:vAlign w:val="center"/>
          </w:tcPr>
          <w:p w:rsidR="00D31920" w:rsidRPr="0000718B" w:rsidRDefault="00063D98" w:rsidP="00063D98">
            <w:pPr>
              <w:rPr>
                <w:rFonts w:ascii="Arial Narrow" w:hAnsi="Arial Narrow"/>
                <w:b/>
                <w:color w:val="000000"/>
                <w:sz w:val="20"/>
                <w:szCs w:val="18"/>
              </w:rPr>
            </w:pPr>
            <w:r w:rsidRPr="0000718B">
              <w:rPr>
                <w:rFonts w:ascii="Arial Narrow" w:hAnsi="Arial Narrow"/>
                <w:b/>
                <w:color w:val="000000"/>
                <w:sz w:val="20"/>
                <w:szCs w:val="18"/>
              </w:rPr>
              <w:t>Progression free survival</w:t>
            </w:r>
          </w:p>
        </w:tc>
      </w:tr>
      <w:tr w:rsidR="00D31920" w:rsidRPr="0000718B" w:rsidTr="005E5089">
        <w:tc>
          <w:tcPr>
            <w:tcW w:w="10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063D98" w:rsidP="00063D98">
            <w:pPr>
              <w:jc w:val="left"/>
              <w:rPr>
                <w:rFonts w:ascii="Arial Narrow" w:hAnsi="Arial Narrow"/>
                <w:bCs/>
                <w:color w:val="000000"/>
                <w:sz w:val="20"/>
                <w:szCs w:val="18"/>
              </w:rPr>
            </w:pPr>
            <w:r w:rsidRPr="0000718B">
              <w:rPr>
                <w:rFonts w:ascii="Arial Narrow" w:hAnsi="Arial Narrow"/>
                <w:bCs/>
                <w:color w:val="000000"/>
                <w:sz w:val="20"/>
                <w:szCs w:val="18"/>
              </w:rPr>
              <w:t xml:space="preserve">EXTREME </w:t>
            </w:r>
          </w:p>
        </w:tc>
        <w:tc>
          <w:tcPr>
            <w:tcW w:w="7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A81FAF" w:rsidP="00453585">
            <w:pPr>
              <w:jc w:val="center"/>
              <w:rPr>
                <w:rFonts w:ascii="Arial Narrow" w:hAnsi="Arial Narrow"/>
                <w:b/>
                <w:color w:val="000000"/>
                <w:sz w:val="20"/>
                <w:szCs w:val="18"/>
              </w:rPr>
            </w:pPr>
            <w:proofErr w:type="spellStart"/>
            <w:r w:rsidRPr="0000718B">
              <w:rPr>
                <w:rFonts w:ascii="Arial Narrow" w:hAnsi="Arial Narrow"/>
                <w:b/>
                <w:color w:val="000000"/>
                <w:sz w:val="20"/>
                <w:szCs w:val="18"/>
              </w:rPr>
              <w:t>Cet</w:t>
            </w:r>
            <w:proofErr w:type="spellEnd"/>
            <w:r w:rsidR="00D31920" w:rsidRPr="0000718B">
              <w:rPr>
                <w:rFonts w:ascii="Arial Narrow" w:hAnsi="Arial Narrow"/>
                <w:b/>
                <w:color w:val="000000"/>
                <w:sz w:val="20"/>
                <w:szCs w:val="18"/>
              </w:rPr>
              <w:t xml:space="preserve"> + CT</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color w:val="000000"/>
                <w:sz w:val="20"/>
                <w:szCs w:val="18"/>
              </w:rPr>
            </w:pPr>
            <w:r w:rsidRPr="0000718B">
              <w:rPr>
                <w:rFonts w:ascii="Arial Narrow" w:hAnsi="Arial Narrow"/>
                <w:b/>
                <w:color w:val="000000"/>
                <w:sz w:val="20"/>
                <w:szCs w:val="18"/>
              </w:rPr>
              <w:t>CT only</w:t>
            </w:r>
          </w:p>
        </w:tc>
        <w:tc>
          <w:tcPr>
            <w:tcW w:w="11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color w:val="000000"/>
                <w:sz w:val="20"/>
                <w:szCs w:val="18"/>
              </w:rPr>
            </w:pPr>
            <w:r w:rsidRPr="0000718B">
              <w:rPr>
                <w:rFonts w:ascii="Arial Narrow" w:hAnsi="Arial Narrow"/>
                <w:b/>
                <w:color w:val="000000"/>
                <w:sz w:val="20"/>
                <w:szCs w:val="18"/>
              </w:rPr>
              <w:t>Absolute difference</w:t>
            </w:r>
          </w:p>
        </w:tc>
        <w:tc>
          <w:tcPr>
            <w:tcW w:w="129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color w:val="000000"/>
                <w:sz w:val="20"/>
                <w:szCs w:val="18"/>
              </w:rPr>
            </w:pPr>
            <w:r w:rsidRPr="0000718B">
              <w:rPr>
                <w:rFonts w:ascii="Arial Narrow" w:hAnsi="Arial Narrow"/>
                <w:b/>
                <w:color w:val="000000"/>
                <w:sz w:val="20"/>
                <w:szCs w:val="18"/>
              </w:rPr>
              <w:t>HR (95% CI)</w:t>
            </w:r>
          </w:p>
        </w:tc>
      </w:tr>
      <w:tr w:rsidR="00D31920" w:rsidRPr="0000718B" w:rsidTr="005E5089">
        <w:tc>
          <w:tcPr>
            <w:tcW w:w="10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rPr>
                <w:rFonts w:ascii="Arial Narrow" w:hAnsi="Arial Narrow"/>
                <w:bCs/>
                <w:color w:val="000000"/>
                <w:sz w:val="20"/>
                <w:szCs w:val="18"/>
              </w:rPr>
            </w:pPr>
            <w:r w:rsidRPr="0000718B">
              <w:rPr>
                <w:rFonts w:ascii="Arial Narrow" w:hAnsi="Arial Narrow"/>
                <w:bCs/>
                <w:color w:val="000000"/>
                <w:sz w:val="20"/>
                <w:szCs w:val="18"/>
              </w:rPr>
              <w:t>No progressed* n/N (%)</w:t>
            </w:r>
          </w:p>
        </w:tc>
        <w:tc>
          <w:tcPr>
            <w:tcW w:w="7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sz w:val="20"/>
              </w:rPr>
            </w:pPr>
            <w:r w:rsidRPr="0000718B">
              <w:rPr>
                <w:rFonts w:ascii="Arial Narrow" w:hAnsi="Arial Narrow"/>
                <w:bCs/>
                <w:sz w:val="20"/>
              </w:rPr>
              <w:t>168/222 (75.7)</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sz w:val="20"/>
              </w:rPr>
            </w:pPr>
            <w:r w:rsidRPr="0000718B">
              <w:rPr>
                <w:rFonts w:ascii="Arial Narrow" w:hAnsi="Arial Narrow"/>
                <w:bCs/>
                <w:sz w:val="20"/>
              </w:rPr>
              <w:t>173/220 (78.6)</w:t>
            </w:r>
          </w:p>
        </w:tc>
        <w:tc>
          <w:tcPr>
            <w:tcW w:w="11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szCs w:val="18"/>
              </w:rPr>
            </w:pPr>
            <w:r w:rsidRPr="0000718B">
              <w:rPr>
                <w:rFonts w:ascii="Arial Narrow" w:hAnsi="Arial Narrow"/>
                <w:bCs/>
                <w:color w:val="000000"/>
                <w:sz w:val="20"/>
                <w:szCs w:val="18"/>
              </w:rPr>
              <w:t>2.9</w:t>
            </w:r>
          </w:p>
        </w:tc>
        <w:tc>
          <w:tcPr>
            <w:tcW w:w="129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szCs w:val="18"/>
              </w:rPr>
            </w:pPr>
            <w:r w:rsidRPr="0000718B">
              <w:rPr>
                <w:rFonts w:ascii="Arial Narrow" w:hAnsi="Arial Narrow"/>
                <w:bCs/>
                <w:color w:val="000000"/>
                <w:sz w:val="20"/>
                <w:szCs w:val="18"/>
              </w:rPr>
              <w:t>NR</w:t>
            </w:r>
          </w:p>
        </w:tc>
      </w:tr>
      <w:tr w:rsidR="00D31920" w:rsidRPr="0000718B" w:rsidTr="005E5089">
        <w:tc>
          <w:tcPr>
            <w:tcW w:w="1019" w:type="pct"/>
            <w:gridSpan w:val="2"/>
            <w:tcBorders>
              <w:top w:val="single" w:sz="4" w:space="0" w:color="auto"/>
              <w:left w:val="single" w:sz="4" w:space="0" w:color="auto"/>
              <w:bottom w:val="double" w:sz="4" w:space="0" w:color="auto"/>
              <w:right w:val="single" w:sz="4" w:space="0" w:color="auto"/>
            </w:tcBorders>
            <w:shd w:val="clear" w:color="auto" w:fill="auto"/>
            <w:vAlign w:val="center"/>
          </w:tcPr>
          <w:p w:rsidR="00D31920" w:rsidRPr="0000718B" w:rsidRDefault="00D31920" w:rsidP="00453585">
            <w:pPr>
              <w:rPr>
                <w:rFonts w:ascii="Arial Narrow" w:hAnsi="Arial Narrow"/>
                <w:bCs/>
                <w:color w:val="000000"/>
                <w:sz w:val="20"/>
                <w:szCs w:val="18"/>
              </w:rPr>
            </w:pPr>
            <w:r w:rsidRPr="0000718B">
              <w:rPr>
                <w:rFonts w:ascii="Arial Narrow" w:hAnsi="Arial Narrow"/>
                <w:bCs/>
                <w:color w:val="000000"/>
                <w:sz w:val="20"/>
                <w:szCs w:val="18"/>
              </w:rPr>
              <w:t>Median months (95%CI)</w:t>
            </w:r>
          </w:p>
        </w:tc>
        <w:tc>
          <w:tcPr>
            <w:tcW w:w="708" w:type="pct"/>
            <w:gridSpan w:val="2"/>
            <w:tcBorders>
              <w:top w:val="single" w:sz="4" w:space="0" w:color="auto"/>
              <w:left w:val="single" w:sz="4" w:space="0" w:color="auto"/>
              <w:bottom w:val="doub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sz w:val="20"/>
              </w:rPr>
            </w:pPr>
            <w:r w:rsidRPr="0000718B">
              <w:rPr>
                <w:rFonts w:ascii="Arial Narrow" w:hAnsi="Arial Narrow"/>
                <w:bCs/>
                <w:sz w:val="20"/>
              </w:rPr>
              <w:t>5.6 (5.0, 6.0)</w:t>
            </w:r>
          </w:p>
        </w:tc>
        <w:tc>
          <w:tcPr>
            <w:tcW w:w="864" w:type="pct"/>
            <w:gridSpan w:val="3"/>
            <w:tcBorders>
              <w:top w:val="single" w:sz="4" w:space="0" w:color="auto"/>
              <w:left w:val="single" w:sz="4" w:space="0" w:color="auto"/>
              <w:bottom w:val="doub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sz w:val="20"/>
              </w:rPr>
            </w:pPr>
            <w:r w:rsidRPr="0000718B">
              <w:rPr>
                <w:rFonts w:ascii="Arial Narrow" w:hAnsi="Arial Narrow"/>
                <w:bCs/>
                <w:sz w:val="20"/>
              </w:rPr>
              <w:t>3.3 (2.9, 4.3)</w:t>
            </w:r>
          </w:p>
        </w:tc>
        <w:tc>
          <w:tcPr>
            <w:tcW w:w="1110" w:type="pct"/>
            <w:gridSpan w:val="3"/>
            <w:tcBorders>
              <w:top w:val="single" w:sz="4" w:space="0" w:color="auto"/>
              <w:left w:val="single" w:sz="4" w:space="0" w:color="auto"/>
              <w:bottom w:val="doub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szCs w:val="18"/>
              </w:rPr>
            </w:pPr>
            <w:r w:rsidRPr="0000718B">
              <w:rPr>
                <w:rFonts w:ascii="Arial Narrow" w:hAnsi="Arial Narrow"/>
                <w:bCs/>
                <w:color w:val="000000"/>
                <w:sz w:val="20"/>
                <w:szCs w:val="18"/>
              </w:rPr>
              <w:t>2.3</w:t>
            </w:r>
          </w:p>
        </w:tc>
        <w:tc>
          <w:tcPr>
            <w:tcW w:w="1299" w:type="pct"/>
            <w:gridSpan w:val="3"/>
            <w:tcBorders>
              <w:top w:val="single" w:sz="4" w:space="0" w:color="auto"/>
              <w:left w:val="single" w:sz="4" w:space="0" w:color="auto"/>
              <w:bottom w:val="doub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bCs/>
                <w:color w:val="000000"/>
                <w:sz w:val="20"/>
                <w:szCs w:val="18"/>
              </w:rPr>
            </w:pPr>
            <w:r w:rsidRPr="0000718B">
              <w:rPr>
                <w:rFonts w:ascii="Arial Narrow" w:hAnsi="Arial Narrow"/>
                <w:b/>
                <w:bCs/>
                <w:color w:val="000000"/>
                <w:sz w:val="20"/>
                <w:szCs w:val="18"/>
              </w:rPr>
              <w:t>0.538 (0.431, 0.672)</w:t>
            </w:r>
          </w:p>
        </w:tc>
      </w:tr>
      <w:tr w:rsidR="00D31920" w:rsidRPr="0000718B" w:rsidTr="005E5089">
        <w:tc>
          <w:tcPr>
            <w:tcW w:w="5000" w:type="pct"/>
            <w:gridSpan w:val="13"/>
            <w:tcBorders>
              <w:top w:val="doub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rPr>
                <w:rFonts w:ascii="Arial Narrow" w:hAnsi="Arial Narrow"/>
                <w:b/>
                <w:color w:val="000000"/>
                <w:sz w:val="20"/>
                <w:szCs w:val="18"/>
              </w:rPr>
            </w:pPr>
            <w:r w:rsidRPr="0000718B">
              <w:rPr>
                <w:rFonts w:ascii="Arial Narrow" w:hAnsi="Arial Narrow"/>
                <w:b/>
                <w:color w:val="000000"/>
                <w:sz w:val="20"/>
                <w:szCs w:val="18"/>
              </w:rPr>
              <w:t xml:space="preserve">Harms </w:t>
            </w:r>
          </w:p>
        </w:tc>
      </w:tr>
      <w:tr w:rsidR="00D31920" w:rsidRPr="0000718B" w:rsidTr="005E5089">
        <w:trPr>
          <w:trHeight w:val="70"/>
        </w:trPr>
        <w:tc>
          <w:tcPr>
            <w:tcW w:w="101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063D98" w:rsidP="00453585">
            <w:pPr>
              <w:rPr>
                <w:rFonts w:ascii="Arial Narrow" w:hAnsi="Arial Narrow"/>
                <w:b/>
                <w:color w:val="000000"/>
                <w:sz w:val="20"/>
                <w:szCs w:val="18"/>
              </w:rPr>
            </w:pPr>
            <w:r w:rsidRPr="0000718B">
              <w:rPr>
                <w:rFonts w:ascii="Arial Narrow" w:hAnsi="Arial Narrow"/>
                <w:b/>
                <w:color w:val="000000"/>
                <w:sz w:val="20"/>
                <w:szCs w:val="18"/>
              </w:rPr>
              <w:t>EXTREME</w:t>
            </w:r>
          </w:p>
        </w:tc>
        <w:tc>
          <w:tcPr>
            <w:tcW w:w="70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A81FAF" w:rsidP="00453585">
            <w:pPr>
              <w:jc w:val="center"/>
              <w:rPr>
                <w:rFonts w:ascii="Arial Narrow" w:hAnsi="Arial Narrow"/>
                <w:b/>
                <w:color w:val="000000"/>
                <w:sz w:val="20"/>
                <w:szCs w:val="18"/>
              </w:rPr>
            </w:pPr>
            <w:proofErr w:type="spellStart"/>
            <w:r w:rsidRPr="0000718B">
              <w:rPr>
                <w:rFonts w:ascii="Arial Narrow" w:hAnsi="Arial Narrow"/>
                <w:b/>
                <w:color w:val="000000"/>
                <w:sz w:val="20"/>
                <w:szCs w:val="18"/>
              </w:rPr>
              <w:t>Cet</w:t>
            </w:r>
            <w:proofErr w:type="spellEnd"/>
            <w:r w:rsidR="00D31920" w:rsidRPr="0000718B">
              <w:rPr>
                <w:rFonts w:ascii="Arial Narrow" w:hAnsi="Arial Narrow"/>
                <w:b/>
                <w:color w:val="000000"/>
                <w:sz w:val="20"/>
                <w:szCs w:val="18"/>
              </w:rPr>
              <w:t xml:space="preserve"> + CT</w:t>
            </w:r>
          </w:p>
          <w:p w:rsidR="00D31920" w:rsidRPr="0000718B" w:rsidRDefault="00D31920" w:rsidP="00453585">
            <w:pPr>
              <w:jc w:val="center"/>
              <w:rPr>
                <w:rFonts w:ascii="Arial Narrow" w:hAnsi="Arial Narrow"/>
                <w:b/>
                <w:color w:val="000000"/>
                <w:sz w:val="20"/>
                <w:szCs w:val="18"/>
              </w:rPr>
            </w:pPr>
            <w:r w:rsidRPr="0000718B">
              <w:rPr>
                <w:rFonts w:ascii="Arial Narrow" w:hAnsi="Arial Narrow"/>
                <w:b/>
                <w:color w:val="000000"/>
                <w:sz w:val="20"/>
                <w:szCs w:val="18"/>
              </w:rPr>
              <w:t>n/N</w:t>
            </w:r>
          </w:p>
        </w:tc>
        <w:tc>
          <w:tcPr>
            <w:tcW w:w="54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color w:val="000000"/>
                <w:sz w:val="20"/>
                <w:szCs w:val="18"/>
              </w:rPr>
            </w:pPr>
            <w:r w:rsidRPr="0000718B">
              <w:rPr>
                <w:rFonts w:ascii="Arial Narrow" w:hAnsi="Arial Narrow"/>
                <w:b/>
                <w:color w:val="000000"/>
                <w:sz w:val="20"/>
                <w:szCs w:val="18"/>
              </w:rPr>
              <w:t>CT only</w:t>
            </w:r>
          </w:p>
          <w:p w:rsidR="00D31920" w:rsidRPr="0000718B" w:rsidRDefault="00D31920" w:rsidP="00453585">
            <w:pPr>
              <w:jc w:val="center"/>
              <w:rPr>
                <w:rFonts w:ascii="Arial Narrow" w:hAnsi="Arial Narrow"/>
                <w:b/>
                <w:color w:val="000000"/>
                <w:sz w:val="20"/>
                <w:szCs w:val="18"/>
              </w:rPr>
            </w:pPr>
            <w:r w:rsidRPr="0000718B">
              <w:rPr>
                <w:rFonts w:ascii="Arial Narrow" w:hAnsi="Arial Narrow"/>
                <w:b/>
                <w:color w:val="000000"/>
                <w:sz w:val="20"/>
                <w:szCs w:val="18"/>
              </w:rPr>
              <w:t>n/N</w:t>
            </w:r>
          </w:p>
        </w:tc>
        <w:tc>
          <w:tcPr>
            <w:tcW w:w="78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A81FAF">
            <w:pPr>
              <w:jc w:val="center"/>
              <w:rPr>
                <w:rFonts w:ascii="Arial Narrow" w:hAnsi="Arial Narrow"/>
                <w:b/>
                <w:color w:val="000000"/>
                <w:sz w:val="20"/>
                <w:szCs w:val="18"/>
              </w:rPr>
            </w:pPr>
            <w:r w:rsidRPr="0000718B">
              <w:rPr>
                <w:rFonts w:ascii="Arial Narrow" w:hAnsi="Arial Narrow"/>
                <w:b/>
                <w:color w:val="000000"/>
                <w:sz w:val="20"/>
                <w:szCs w:val="18"/>
              </w:rPr>
              <w:t>RR</w:t>
            </w:r>
            <w:r w:rsidR="007B5578">
              <w:rPr>
                <w:rFonts w:ascii="Arial Narrow" w:hAnsi="Arial Narrow"/>
                <w:b/>
                <w:color w:val="000000"/>
                <w:sz w:val="20"/>
                <w:szCs w:val="18"/>
              </w:rPr>
              <w:t xml:space="preserve"> </w:t>
            </w:r>
            <w:r w:rsidRPr="0000718B">
              <w:rPr>
                <w:rFonts w:ascii="Arial Narrow" w:hAnsi="Arial Narrow"/>
                <w:b/>
                <w:color w:val="000000"/>
                <w:sz w:val="20"/>
                <w:szCs w:val="18"/>
              </w:rPr>
              <w:t>(95% CI)</w:t>
            </w:r>
          </w:p>
        </w:tc>
        <w:tc>
          <w:tcPr>
            <w:tcW w:w="116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color w:val="000000"/>
                <w:sz w:val="20"/>
                <w:szCs w:val="18"/>
              </w:rPr>
            </w:pPr>
            <w:r w:rsidRPr="0000718B">
              <w:rPr>
                <w:rFonts w:ascii="Arial Narrow" w:hAnsi="Arial Narrow"/>
                <w:b/>
                <w:color w:val="000000"/>
                <w:sz w:val="20"/>
                <w:szCs w:val="18"/>
              </w:rPr>
              <w:t xml:space="preserve">Event rate/100 patients* </w:t>
            </w:r>
          </w:p>
        </w:tc>
        <w:tc>
          <w:tcPr>
            <w:tcW w:w="76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color w:val="000000"/>
                <w:sz w:val="20"/>
                <w:szCs w:val="18"/>
              </w:rPr>
            </w:pPr>
            <w:r w:rsidRPr="0000718B">
              <w:rPr>
                <w:rFonts w:ascii="Arial Narrow" w:hAnsi="Arial Narrow"/>
                <w:b/>
                <w:color w:val="000000"/>
                <w:sz w:val="20"/>
                <w:szCs w:val="18"/>
              </w:rPr>
              <w:t>RD</w:t>
            </w:r>
          </w:p>
          <w:p w:rsidR="00D31920" w:rsidRPr="0000718B" w:rsidRDefault="00D31920" w:rsidP="00453585">
            <w:pPr>
              <w:jc w:val="center"/>
              <w:rPr>
                <w:rFonts w:ascii="Arial Narrow" w:hAnsi="Arial Narrow"/>
                <w:b/>
                <w:color w:val="000000"/>
                <w:sz w:val="20"/>
                <w:szCs w:val="18"/>
              </w:rPr>
            </w:pPr>
            <w:r w:rsidRPr="0000718B">
              <w:rPr>
                <w:rFonts w:ascii="Arial Narrow" w:hAnsi="Arial Narrow"/>
                <w:b/>
                <w:color w:val="000000"/>
                <w:sz w:val="20"/>
                <w:szCs w:val="18"/>
              </w:rPr>
              <w:t>(95% CI)</w:t>
            </w:r>
          </w:p>
        </w:tc>
      </w:tr>
      <w:tr w:rsidR="00D31920" w:rsidRPr="0000718B" w:rsidTr="005E5089">
        <w:trPr>
          <w:trHeight w:val="56"/>
        </w:trPr>
        <w:tc>
          <w:tcPr>
            <w:tcW w:w="1019"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rPr>
                <w:rFonts w:ascii="Arial Narrow" w:hAnsi="Arial Narrow"/>
                <w:b/>
                <w:color w:val="000000"/>
                <w:sz w:val="20"/>
                <w:szCs w:val="18"/>
              </w:rPr>
            </w:pPr>
          </w:p>
        </w:tc>
        <w:tc>
          <w:tcPr>
            <w:tcW w:w="708"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color w:val="000000"/>
                <w:sz w:val="20"/>
                <w:szCs w:val="18"/>
              </w:rPr>
            </w:pPr>
          </w:p>
        </w:tc>
        <w:tc>
          <w:tcPr>
            <w:tcW w:w="548"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color w:val="000000"/>
                <w:sz w:val="20"/>
                <w:szCs w:val="18"/>
              </w:rPr>
            </w:pPr>
          </w:p>
        </w:tc>
        <w:tc>
          <w:tcPr>
            <w:tcW w:w="788"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color w:val="000000"/>
                <w:sz w:val="20"/>
                <w:szCs w:val="18"/>
              </w:rPr>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A81FAF">
            <w:pPr>
              <w:jc w:val="center"/>
              <w:rPr>
                <w:rFonts w:ascii="Arial Narrow" w:hAnsi="Arial Narrow"/>
                <w:b/>
                <w:color w:val="000000"/>
                <w:sz w:val="20"/>
                <w:szCs w:val="18"/>
              </w:rPr>
            </w:pPr>
            <w:proofErr w:type="spellStart"/>
            <w:r w:rsidRPr="0000718B">
              <w:rPr>
                <w:rFonts w:ascii="Arial Narrow" w:hAnsi="Arial Narrow"/>
                <w:b/>
                <w:color w:val="000000"/>
                <w:sz w:val="20"/>
                <w:szCs w:val="18"/>
              </w:rPr>
              <w:t>Cet</w:t>
            </w:r>
            <w:proofErr w:type="spellEnd"/>
            <w:r w:rsidRPr="0000718B">
              <w:rPr>
                <w:rFonts w:ascii="Arial Narrow" w:hAnsi="Arial Narrow"/>
                <w:b/>
                <w:color w:val="000000"/>
                <w:sz w:val="20"/>
                <w:szCs w:val="18"/>
              </w:rPr>
              <w:t xml:space="preserve"> + CT</w:t>
            </w:r>
          </w:p>
        </w:tc>
        <w:tc>
          <w:tcPr>
            <w:tcW w:w="6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color w:val="000000"/>
                <w:sz w:val="20"/>
                <w:szCs w:val="18"/>
              </w:rPr>
            </w:pPr>
            <w:r w:rsidRPr="0000718B">
              <w:rPr>
                <w:rFonts w:ascii="Arial Narrow" w:hAnsi="Arial Narrow"/>
                <w:b/>
                <w:color w:val="000000"/>
                <w:sz w:val="20"/>
                <w:szCs w:val="18"/>
              </w:rPr>
              <w:t>CT only</w:t>
            </w:r>
          </w:p>
        </w:tc>
        <w:tc>
          <w:tcPr>
            <w:tcW w:w="769"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color w:val="000000"/>
                <w:sz w:val="20"/>
                <w:szCs w:val="18"/>
              </w:rPr>
            </w:pPr>
          </w:p>
        </w:tc>
      </w:tr>
      <w:tr w:rsidR="00D31920" w:rsidRPr="0000718B" w:rsidTr="005E5089">
        <w:tc>
          <w:tcPr>
            <w:tcW w:w="10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rPr>
                <w:rFonts w:ascii="Arial Narrow" w:hAnsi="Arial Narrow"/>
                <w:bCs/>
                <w:color w:val="000000"/>
                <w:sz w:val="20"/>
                <w:szCs w:val="20"/>
              </w:rPr>
            </w:pPr>
            <w:r w:rsidRPr="0000718B">
              <w:rPr>
                <w:rFonts w:ascii="Arial Narrow" w:hAnsi="Arial Narrow"/>
                <w:bCs/>
                <w:sz w:val="20"/>
                <w:szCs w:val="20"/>
              </w:rPr>
              <w:t>Anaemia (any)</w:t>
            </w:r>
          </w:p>
        </w:tc>
        <w:tc>
          <w:tcPr>
            <w:tcW w:w="7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szCs w:val="18"/>
              </w:rPr>
            </w:pPr>
            <w:r w:rsidRPr="0000718B">
              <w:rPr>
                <w:rFonts w:ascii="Arial Narrow" w:hAnsi="Arial Narrow"/>
                <w:bCs/>
                <w:color w:val="000000"/>
                <w:sz w:val="20"/>
                <w:szCs w:val="18"/>
              </w:rPr>
              <w:t>93/219</w:t>
            </w:r>
          </w:p>
        </w:tc>
        <w:tc>
          <w:tcPr>
            <w:tcW w:w="5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szCs w:val="18"/>
              </w:rPr>
            </w:pPr>
            <w:r w:rsidRPr="0000718B">
              <w:rPr>
                <w:rFonts w:ascii="Arial Narrow" w:hAnsi="Arial Narrow"/>
                <w:bCs/>
                <w:color w:val="000000"/>
                <w:sz w:val="20"/>
                <w:szCs w:val="18"/>
              </w:rPr>
              <w:t>114/215</w:t>
            </w:r>
          </w:p>
        </w:tc>
        <w:tc>
          <w:tcPr>
            <w:tcW w:w="7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i/>
                <w:iCs/>
                <w:color w:val="000000"/>
                <w:sz w:val="20"/>
                <w:szCs w:val="18"/>
              </w:rPr>
            </w:pPr>
            <w:r w:rsidRPr="0000718B">
              <w:rPr>
                <w:rFonts w:ascii="Arial Narrow" w:hAnsi="Arial Narrow"/>
                <w:b/>
                <w:i/>
                <w:iCs/>
                <w:color w:val="000000"/>
                <w:sz w:val="20"/>
                <w:szCs w:val="18"/>
              </w:rPr>
              <w:t>0.80 (0.66, 0.98)</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szCs w:val="18"/>
              </w:rPr>
            </w:pPr>
            <w:r w:rsidRPr="0000718B">
              <w:rPr>
                <w:rFonts w:ascii="Arial Narrow" w:hAnsi="Arial Narrow"/>
                <w:bCs/>
                <w:color w:val="000000"/>
                <w:sz w:val="20"/>
                <w:szCs w:val="18"/>
              </w:rPr>
              <w:t>42.5</w:t>
            </w:r>
          </w:p>
        </w:tc>
        <w:tc>
          <w:tcPr>
            <w:tcW w:w="6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szCs w:val="18"/>
              </w:rPr>
            </w:pPr>
            <w:r w:rsidRPr="0000718B">
              <w:rPr>
                <w:rFonts w:ascii="Arial Narrow" w:hAnsi="Arial Narrow"/>
                <w:bCs/>
                <w:color w:val="000000"/>
                <w:sz w:val="20"/>
                <w:szCs w:val="18"/>
              </w:rPr>
              <w:t>53.0</w:t>
            </w:r>
          </w:p>
        </w:tc>
        <w:tc>
          <w:tcPr>
            <w:tcW w:w="7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A81FAF">
            <w:pPr>
              <w:jc w:val="center"/>
              <w:rPr>
                <w:rFonts w:ascii="Arial Narrow" w:hAnsi="Arial Narrow"/>
                <w:b/>
                <w:i/>
                <w:iCs/>
                <w:color w:val="000000"/>
                <w:sz w:val="20"/>
                <w:szCs w:val="18"/>
              </w:rPr>
            </w:pPr>
            <w:r w:rsidRPr="0000718B">
              <w:rPr>
                <w:rFonts w:ascii="Arial Narrow" w:hAnsi="Arial Narrow"/>
                <w:b/>
                <w:i/>
                <w:iCs/>
                <w:color w:val="000000"/>
                <w:sz w:val="20"/>
                <w:szCs w:val="18"/>
              </w:rPr>
              <w:t>-0.11(-0.20, -0.12)</w:t>
            </w:r>
          </w:p>
        </w:tc>
      </w:tr>
      <w:tr w:rsidR="00D31920" w:rsidRPr="0000718B" w:rsidTr="005E5089">
        <w:tc>
          <w:tcPr>
            <w:tcW w:w="10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pStyle w:val="Tabletext"/>
              <w:rPr>
                <w:bCs/>
                <w:szCs w:val="20"/>
              </w:rPr>
            </w:pPr>
            <w:r w:rsidRPr="0000718B">
              <w:rPr>
                <w:bCs/>
                <w:szCs w:val="20"/>
              </w:rPr>
              <w:t xml:space="preserve">Rash </w:t>
            </w:r>
          </w:p>
          <w:p w:rsidR="00D31920" w:rsidRPr="0000718B" w:rsidRDefault="00A81FAF" w:rsidP="00A81FAF">
            <w:pPr>
              <w:pStyle w:val="Tabletext"/>
              <w:ind w:left="107"/>
              <w:rPr>
                <w:bCs/>
                <w:szCs w:val="20"/>
              </w:rPr>
            </w:pPr>
            <w:r w:rsidRPr="0000718B">
              <w:rPr>
                <w:bCs/>
                <w:szCs w:val="20"/>
              </w:rPr>
              <w:t>-</w:t>
            </w:r>
            <w:r w:rsidR="00D31920" w:rsidRPr="0000718B">
              <w:rPr>
                <w:bCs/>
                <w:szCs w:val="20"/>
              </w:rPr>
              <w:t>Any</w:t>
            </w:r>
          </w:p>
          <w:p w:rsidR="00D31920" w:rsidRPr="0000718B" w:rsidRDefault="00A81FAF" w:rsidP="005D0418">
            <w:pPr>
              <w:pStyle w:val="Tabletext"/>
              <w:ind w:left="107"/>
              <w:rPr>
                <w:bCs/>
                <w:color w:val="000000"/>
                <w:szCs w:val="20"/>
              </w:rPr>
            </w:pPr>
            <w:r w:rsidRPr="0000718B">
              <w:rPr>
                <w:bCs/>
                <w:szCs w:val="20"/>
              </w:rPr>
              <w:t>-</w:t>
            </w:r>
            <w:r w:rsidR="00D31920" w:rsidRPr="0000718B">
              <w:rPr>
                <w:bCs/>
                <w:szCs w:val="20"/>
              </w:rPr>
              <w:t>Grade 3</w:t>
            </w:r>
            <w:r w:rsidR="005D0418">
              <w:rPr>
                <w:bCs/>
                <w:szCs w:val="20"/>
              </w:rPr>
              <w:t xml:space="preserve"> or </w:t>
            </w:r>
            <w:r w:rsidR="00D31920" w:rsidRPr="0000718B">
              <w:rPr>
                <w:bCs/>
                <w:szCs w:val="20"/>
              </w:rPr>
              <w:t>4</w:t>
            </w:r>
          </w:p>
        </w:tc>
        <w:tc>
          <w:tcPr>
            <w:tcW w:w="7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61/219</w:t>
            </w: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11/219</w:t>
            </w:r>
          </w:p>
        </w:tc>
        <w:tc>
          <w:tcPr>
            <w:tcW w:w="5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4/215</w:t>
            </w: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0/215</w:t>
            </w:r>
          </w:p>
        </w:tc>
        <w:tc>
          <w:tcPr>
            <w:tcW w:w="7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i/>
                <w:iCs/>
                <w:color w:val="000000"/>
                <w:sz w:val="20"/>
              </w:rPr>
            </w:pPr>
          </w:p>
          <w:p w:rsidR="00D31920" w:rsidRPr="0000718B" w:rsidRDefault="00D31920" w:rsidP="00453585">
            <w:pPr>
              <w:jc w:val="center"/>
              <w:rPr>
                <w:rFonts w:ascii="Arial Narrow" w:hAnsi="Arial Narrow"/>
                <w:b/>
                <w:i/>
                <w:iCs/>
                <w:color w:val="000000"/>
                <w:sz w:val="20"/>
              </w:rPr>
            </w:pPr>
            <w:r w:rsidRPr="0000718B">
              <w:rPr>
                <w:rFonts w:ascii="Arial Narrow" w:hAnsi="Arial Narrow"/>
                <w:b/>
                <w:i/>
                <w:iCs/>
                <w:color w:val="000000"/>
                <w:sz w:val="20"/>
              </w:rPr>
              <w:t>15.0 (5.8, 39)</w:t>
            </w:r>
          </w:p>
          <w:p w:rsidR="00D31920" w:rsidRPr="0000718B" w:rsidRDefault="00D31920" w:rsidP="00453585">
            <w:pPr>
              <w:jc w:val="center"/>
              <w:rPr>
                <w:rFonts w:ascii="Arial Narrow" w:hAnsi="Arial Narrow"/>
                <w:b/>
                <w:i/>
                <w:iCs/>
                <w:color w:val="000000"/>
                <w:sz w:val="20"/>
              </w:rPr>
            </w:pPr>
            <w:r w:rsidRPr="0000718B">
              <w:rPr>
                <w:rFonts w:ascii="Arial Narrow" w:hAnsi="Arial Narrow"/>
                <w:b/>
                <w:i/>
                <w:iCs/>
                <w:color w:val="000000"/>
                <w:sz w:val="20"/>
              </w:rPr>
              <w:t xml:space="preserve">22.8 (2.85, </w:t>
            </w:r>
            <w:proofErr w:type="spellStart"/>
            <w:r w:rsidRPr="0000718B">
              <w:rPr>
                <w:rFonts w:ascii="Arial Narrow" w:hAnsi="Arial Narrow"/>
                <w:b/>
                <w:i/>
                <w:iCs/>
                <w:color w:val="000000"/>
                <w:sz w:val="20"/>
              </w:rPr>
              <w:t>inf</w:t>
            </w:r>
            <w:proofErr w:type="spellEnd"/>
            <w:r w:rsidRPr="0000718B">
              <w:rPr>
                <w:rFonts w:ascii="Arial Narrow" w:hAnsi="Arial Narrow"/>
                <w:b/>
                <w:i/>
                <w:iCs/>
                <w:color w:val="000000"/>
                <w:sz w:val="20"/>
              </w:rPr>
              <w:t>)</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27.9</w:t>
            </w: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5</w:t>
            </w:r>
            <w:r w:rsidR="00A81FAF" w:rsidRPr="0000718B">
              <w:rPr>
                <w:rFonts w:ascii="Arial Narrow" w:hAnsi="Arial Narrow"/>
                <w:bCs/>
                <w:color w:val="000000"/>
                <w:sz w:val="20"/>
              </w:rPr>
              <w:t>.0</w:t>
            </w:r>
          </w:p>
        </w:tc>
        <w:tc>
          <w:tcPr>
            <w:tcW w:w="6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1.9</w:t>
            </w: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0</w:t>
            </w:r>
          </w:p>
        </w:tc>
        <w:tc>
          <w:tcPr>
            <w:tcW w:w="7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i/>
                <w:iCs/>
                <w:color w:val="000000"/>
                <w:sz w:val="20"/>
              </w:rPr>
            </w:pPr>
          </w:p>
          <w:p w:rsidR="00D31920" w:rsidRPr="0000718B" w:rsidRDefault="00D31920" w:rsidP="00453585">
            <w:pPr>
              <w:jc w:val="center"/>
              <w:rPr>
                <w:rFonts w:ascii="Arial Narrow" w:hAnsi="Arial Narrow"/>
                <w:b/>
                <w:i/>
                <w:iCs/>
                <w:color w:val="000000"/>
                <w:sz w:val="20"/>
              </w:rPr>
            </w:pPr>
            <w:r w:rsidRPr="0000718B">
              <w:rPr>
                <w:rFonts w:ascii="Arial Narrow" w:hAnsi="Arial Narrow"/>
                <w:b/>
                <w:i/>
                <w:iCs/>
                <w:color w:val="000000"/>
                <w:sz w:val="20"/>
              </w:rPr>
              <w:t>0.26 (0.2, 0.33)</w:t>
            </w:r>
          </w:p>
          <w:p w:rsidR="00D31920" w:rsidRPr="0000718B" w:rsidRDefault="00D31920" w:rsidP="00453585">
            <w:pPr>
              <w:jc w:val="center"/>
              <w:rPr>
                <w:rFonts w:ascii="Arial Narrow" w:hAnsi="Arial Narrow"/>
                <w:b/>
                <w:i/>
                <w:iCs/>
                <w:color w:val="000000"/>
                <w:sz w:val="20"/>
              </w:rPr>
            </w:pPr>
            <w:r w:rsidRPr="0000718B">
              <w:rPr>
                <w:rFonts w:ascii="Arial Narrow" w:hAnsi="Arial Narrow"/>
                <w:b/>
                <w:i/>
                <w:iCs/>
                <w:color w:val="000000"/>
                <w:sz w:val="20"/>
              </w:rPr>
              <w:t>0.05 (0.03, 0.09)</w:t>
            </w:r>
          </w:p>
        </w:tc>
      </w:tr>
      <w:tr w:rsidR="00D31920" w:rsidRPr="0000718B" w:rsidTr="005E5089">
        <w:tc>
          <w:tcPr>
            <w:tcW w:w="10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rPr>
                <w:rFonts w:ascii="Arial Narrow" w:hAnsi="Arial Narrow"/>
                <w:bCs/>
                <w:color w:val="000000"/>
                <w:sz w:val="20"/>
                <w:szCs w:val="20"/>
              </w:rPr>
            </w:pPr>
            <w:r w:rsidRPr="0000718B">
              <w:rPr>
                <w:rFonts w:ascii="Arial Narrow" w:hAnsi="Arial Narrow"/>
                <w:bCs/>
                <w:sz w:val="20"/>
                <w:szCs w:val="20"/>
              </w:rPr>
              <w:t>Diarrhoea (any)</w:t>
            </w:r>
          </w:p>
        </w:tc>
        <w:tc>
          <w:tcPr>
            <w:tcW w:w="7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57/219</w:t>
            </w:r>
          </w:p>
        </w:tc>
        <w:tc>
          <w:tcPr>
            <w:tcW w:w="5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35/215</w:t>
            </w:r>
          </w:p>
        </w:tc>
        <w:tc>
          <w:tcPr>
            <w:tcW w:w="7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i/>
                <w:iCs/>
                <w:color w:val="000000"/>
                <w:sz w:val="20"/>
              </w:rPr>
            </w:pPr>
            <w:r w:rsidRPr="0000718B">
              <w:rPr>
                <w:rFonts w:ascii="Arial Narrow" w:hAnsi="Arial Narrow"/>
                <w:b/>
                <w:i/>
                <w:iCs/>
                <w:color w:val="000000"/>
                <w:sz w:val="20"/>
              </w:rPr>
              <w:t>1.60 (1.10,2.33)</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26.0</w:t>
            </w:r>
          </w:p>
        </w:tc>
        <w:tc>
          <w:tcPr>
            <w:tcW w:w="6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16.3</w:t>
            </w:r>
          </w:p>
        </w:tc>
        <w:tc>
          <w:tcPr>
            <w:tcW w:w="7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i/>
                <w:iCs/>
                <w:color w:val="000000"/>
                <w:sz w:val="20"/>
              </w:rPr>
            </w:pPr>
            <w:r w:rsidRPr="0000718B">
              <w:rPr>
                <w:rFonts w:ascii="Arial Narrow" w:hAnsi="Arial Narrow"/>
                <w:b/>
                <w:i/>
                <w:iCs/>
                <w:color w:val="000000"/>
                <w:sz w:val="20"/>
              </w:rPr>
              <w:t>0.10 (0.02, 0.17)</w:t>
            </w:r>
          </w:p>
        </w:tc>
      </w:tr>
      <w:tr w:rsidR="00D31920" w:rsidRPr="0000718B" w:rsidTr="005E5089">
        <w:tc>
          <w:tcPr>
            <w:tcW w:w="10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A81FAF">
            <w:pPr>
              <w:pStyle w:val="Tabletext"/>
              <w:rPr>
                <w:bCs/>
                <w:szCs w:val="20"/>
              </w:rPr>
            </w:pPr>
            <w:r w:rsidRPr="0000718B">
              <w:rPr>
                <w:bCs/>
                <w:szCs w:val="20"/>
              </w:rPr>
              <w:t>Anorexia</w:t>
            </w:r>
          </w:p>
          <w:p w:rsidR="00D31920" w:rsidRPr="0000718B" w:rsidRDefault="00A81FAF" w:rsidP="00A81FAF">
            <w:pPr>
              <w:pStyle w:val="Tabletext"/>
              <w:ind w:left="107"/>
              <w:rPr>
                <w:bCs/>
                <w:szCs w:val="20"/>
              </w:rPr>
            </w:pPr>
            <w:r w:rsidRPr="0000718B">
              <w:rPr>
                <w:bCs/>
                <w:szCs w:val="20"/>
              </w:rPr>
              <w:t>-</w:t>
            </w:r>
            <w:r w:rsidR="00D31920" w:rsidRPr="0000718B">
              <w:rPr>
                <w:bCs/>
                <w:szCs w:val="20"/>
              </w:rPr>
              <w:t>Any</w:t>
            </w:r>
          </w:p>
          <w:p w:rsidR="00D31920" w:rsidRPr="0000718B" w:rsidRDefault="00A81FAF" w:rsidP="005D0418">
            <w:pPr>
              <w:pStyle w:val="Tabletext"/>
              <w:ind w:left="107"/>
              <w:rPr>
                <w:bCs/>
                <w:szCs w:val="20"/>
              </w:rPr>
            </w:pPr>
            <w:r w:rsidRPr="0000718B">
              <w:rPr>
                <w:bCs/>
                <w:szCs w:val="20"/>
              </w:rPr>
              <w:t>-</w:t>
            </w:r>
            <w:r w:rsidR="00D31920" w:rsidRPr="0000718B">
              <w:rPr>
                <w:bCs/>
                <w:szCs w:val="20"/>
              </w:rPr>
              <w:t>Grade 3</w:t>
            </w:r>
            <w:r w:rsidR="005D0418">
              <w:rPr>
                <w:bCs/>
                <w:szCs w:val="20"/>
              </w:rPr>
              <w:t xml:space="preserve"> or </w:t>
            </w:r>
            <w:r w:rsidR="00D31920" w:rsidRPr="0000718B">
              <w:rPr>
                <w:bCs/>
                <w:szCs w:val="20"/>
              </w:rPr>
              <w:t>4</w:t>
            </w:r>
          </w:p>
        </w:tc>
        <w:tc>
          <w:tcPr>
            <w:tcW w:w="7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55/219</w:t>
            </w: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11/219</w:t>
            </w:r>
          </w:p>
        </w:tc>
        <w:tc>
          <w:tcPr>
            <w:tcW w:w="5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31/215</w:t>
            </w: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3/215</w:t>
            </w:r>
          </w:p>
        </w:tc>
        <w:tc>
          <w:tcPr>
            <w:tcW w:w="7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i/>
                <w:iCs/>
                <w:color w:val="000000"/>
                <w:sz w:val="20"/>
              </w:rPr>
            </w:pPr>
          </w:p>
          <w:p w:rsidR="00D31920" w:rsidRPr="0000718B" w:rsidRDefault="00D31920" w:rsidP="00453585">
            <w:pPr>
              <w:jc w:val="center"/>
              <w:rPr>
                <w:rFonts w:ascii="Arial Narrow" w:hAnsi="Arial Narrow"/>
                <w:b/>
                <w:i/>
                <w:iCs/>
                <w:color w:val="000000"/>
                <w:sz w:val="20"/>
              </w:rPr>
            </w:pPr>
            <w:r w:rsidRPr="0000718B">
              <w:rPr>
                <w:rFonts w:ascii="Arial Narrow" w:hAnsi="Arial Narrow"/>
                <w:b/>
                <w:i/>
                <w:iCs/>
                <w:color w:val="000000"/>
                <w:sz w:val="20"/>
              </w:rPr>
              <w:t>1.74 (1.18, 2.59)</w:t>
            </w:r>
          </w:p>
          <w:p w:rsidR="00D31920" w:rsidRPr="0000718B" w:rsidRDefault="00D31920" w:rsidP="00453585">
            <w:pPr>
              <w:jc w:val="center"/>
              <w:rPr>
                <w:rFonts w:ascii="Arial Narrow" w:hAnsi="Arial Narrow"/>
                <w:b/>
                <w:i/>
                <w:iCs/>
                <w:color w:val="000000"/>
                <w:sz w:val="20"/>
              </w:rPr>
            </w:pPr>
            <w:r w:rsidRPr="0000718B">
              <w:rPr>
                <w:rFonts w:ascii="Arial Narrow" w:hAnsi="Arial Narrow"/>
                <w:b/>
                <w:i/>
                <w:iCs/>
                <w:color w:val="000000"/>
                <w:sz w:val="20"/>
              </w:rPr>
              <w:t>3.60 (1.10, 11.88)</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25.1</w:t>
            </w: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5</w:t>
            </w:r>
          </w:p>
        </w:tc>
        <w:tc>
          <w:tcPr>
            <w:tcW w:w="6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14.4</w:t>
            </w: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1.5</w:t>
            </w:r>
          </w:p>
        </w:tc>
        <w:tc>
          <w:tcPr>
            <w:tcW w:w="7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i/>
                <w:iCs/>
                <w:color w:val="000000"/>
                <w:sz w:val="20"/>
              </w:rPr>
            </w:pPr>
          </w:p>
          <w:p w:rsidR="00D31920" w:rsidRPr="0000718B" w:rsidRDefault="00D31920" w:rsidP="00453585">
            <w:pPr>
              <w:jc w:val="center"/>
              <w:rPr>
                <w:rFonts w:ascii="Arial Narrow" w:hAnsi="Arial Narrow"/>
                <w:b/>
                <w:i/>
                <w:iCs/>
                <w:color w:val="000000"/>
                <w:sz w:val="20"/>
              </w:rPr>
            </w:pPr>
            <w:r w:rsidRPr="0000718B">
              <w:rPr>
                <w:rFonts w:ascii="Arial Narrow" w:hAnsi="Arial Narrow"/>
                <w:b/>
                <w:i/>
                <w:iCs/>
                <w:color w:val="000000"/>
                <w:sz w:val="20"/>
              </w:rPr>
              <w:t>0.11 (0.03, 0.18)</w:t>
            </w:r>
          </w:p>
          <w:p w:rsidR="00D31920" w:rsidRPr="0000718B" w:rsidRDefault="00D31920" w:rsidP="00453585">
            <w:pPr>
              <w:jc w:val="center"/>
              <w:rPr>
                <w:rFonts w:ascii="Arial Narrow" w:hAnsi="Arial Narrow"/>
                <w:b/>
                <w:i/>
                <w:iCs/>
                <w:color w:val="000000"/>
                <w:sz w:val="20"/>
              </w:rPr>
            </w:pPr>
            <w:r w:rsidRPr="0000718B">
              <w:rPr>
                <w:rFonts w:ascii="Arial Narrow" w:hAnsi="Arial Narrow"/>
                <w:b/>
                <w:i/>
                <w:iCs/>
                <w:color w:val="000000"/>
                <w:sz w:val="20"/>
              </w:rPr>
              <w:t>0.04 (0.003,0.08)</w:t>
            </w:r>
          </w:p>
        </w:tc>
      </w:tr>
      <w:tr w:rsidR="00D31920" w:rsidRPr="0000718B" w:rsidTr="005E5089">
        <w:tc>
          <w:tcPr>
            <w:tcW w:w="10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rPr>
                <w:rFonts w:ascii="Arial Narrow" w:hAnsi="Arial Narrow"/>
                <w:bCs/>
                <w:color w:val="000000"/>
                <w:sz w:val="20"/>
                <w:szCs w:val="20"/>
              </w:rPr>
            </w:pPr>
            <w:r w:rsidRPr="0000718B">
              <w:rPr>
                <w:rFonts w:ascii="Arial Narrow" w:hAnsi="Arial Narrow"/>
                <w:bCs/>
                <w:sz w:val="20"/>
                <w:szCs w:val="20"/>
              </w:rPr>
              <w:t>Pyrexia (any)</w:t>
            </w:r>
          </w:p>
        </w:tc>
        <w:tc>
          <w:tcPr>
            <w:tcW w:w="7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49/219</w:t>
            </w:r>
          </w:p>
        </w:tc>
        <w:tc>
          <w:tcPr>
            <w:tcW w:w="5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28/218</w:t>
            </w:r>
          </w:p>
        </w:tc>
        <w:tc>
          <w:tcPr>
            <w:tcW w:w="7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i/>
                <w:iCs/>
                <w:color w:val="000000"/>
                <w:sz w:val="20"/>
              </w:rPr>
            </w:pPr>
            <w:r w:rsidRPr="0000718B">
              <w:rPr>
                <w:rFonts w:ascii="Arial Narrow" w:hAnsi="Arial Narrow"/>
                <w:b/>
                <w:i/>
                <w:iCs/>
                <w:color w:val="000000"/>
                <w:sz w:val="20"/>
              </w:rPr>
              <w:t>1.72 (1.13, 2.63)</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22.4</w:t>
            </w:r>
          </w:p>
        </w:tc>
        <w:tc>
          <w:tcPr>
            <w:tcW w:w="6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13.0</w:t>
            </w:r>
          </w:p>
        </w:tc>
        <w:tc>
          <w:tcPr>
            <w:tcW w:w="7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i/>
                <w:iCs/>
                <w:color w:val="000000"/>
                <w:sz w:val="20"/>
              </w:rPr>
            </w:pPr>
            <w:r w:rsidRPr="0000718B">
              <w:rPr>
                <w:rFonts w:ascii="Arial Narrow" w:hAnsi="Arial Narrow"/>
                <w:b/>
                <w:i/>
                <w:iCs/>
                <w:color w:val="000000"/>
                <w:sz w:val="20"/>
              </w:rPr>
              <w:t>0.09 (0.02, 0.17)</w:t>
            </w:r>
          </w:p>
        </w:tc>
      </w:tr>
      <w:tr w:rsidR="00D31920" w:rsidRPr="0000718B" w:rsidTr="005E5089">
        <w:tc>
          <w:tcPr>
            <w:tcW w:w="10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rPr>
                <w:rFonts w:ascii="Arial Narrow" w:hAnsi="Arial Narrow"/>
                <w:bCs/>
                <w:color w:val="000000"/>
                <w:sz w:val="20"/>
                <w:szCs w:val="20"/>
              </w:rPr>
            </w:pPr>
            <w:r w:rsidRPr="0000718B">
              <w:rPr>
                <w:rFonts w:ascii="Arial Narrow" w:hAnsi="Arial Narrow"/>
                <w:bCs/>
                <w:sz w:val="20"/>
                <w:szCs w:val="20"/>
              </w:rPr>
              <w:t>Acne (any)</w:t>
            </w:r>
          </w:p>
        </w:tc>
        <w:tc>
          <w:tcPr>
            <w:tcW w:w="7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48/219</w:t>
            </w:r>
          </w:p>
        </w:tc>
        <w:tc>
          <w:tcPr>
            <w:tcW w:w="5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0/215</w:t>
            </w:r>
          </w:p>
        </w:tc>
        <w:tc>
          <w:tcPr>
            <w:tcW w:w="7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i/>
                <w:iCs/>
                <w:color w:val="000000"/>
                <w:sz w:val="20"/>
              </w:rPr>
            </w:pPr>
            <w:r w:rsidRPr="0000718B">
              <w:rPr>
                <w:rFonts w:ascii="Arial Narrow" w:hAnsi="Arial Narrow"/>
                <w:b/>
                <w:i/>
                <w:iCs/>
                <w:color w:val="000000"/>
                <w:sz w:val="20"/>
              </w:rPr>
              <w:t xml:space="preserve">96.12 (12.47, </w:t>
            </w:r>
            <w:proofErr w:type="spellStart"/>
            <w:r w:rsidRPr="0000718B">
              <w:rPr>
                <w:rFonts w:ascii="Arial Narrow" w:hAnsi="Arial Narrow"/>
                <w:b/>
                <w:i/>
                <w:iCs/>
                <w:color w:val="000000"/>
                <w:sz w:val="20"/>
              </w:rPr>
              <w:t>inf</w:t>
            </w:r>
            <w:proofErr w:type="spellEnd"/>
            <w:r w:rsidRPr="0000718B">
              <w:rPr>
                <w:rFonts w:ascii="Arial Narrow" w:hAnsi="Arial Narrow"/>
                <w:b/>
                <w:i/>
                <w:iCs/>
                <w:color w:val="000000"/>
                <w:sz w:val="20"/>
              </w:rPr>
              <w:t>)</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21.9</w:t>
            </w:r>
          </w:p>
        </w:tc>
        <w:tc>
          <w:tcPr>
            <w:tcW w:w="6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0</w:t>
            </w:r>
          </w:p>
        </w:tc>
        <w:tc>
          <w:tcPr>
            <w:tcW w:w="7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i/>
                <w:iCs/>
                <w:color w:val="000000"/>
                <w:sz w:val="20"/>
              </w:rPr>
            </w:pPr>
            <w:r w:rsidRPr="0000718B">
              <w:rPr>
                <w:rFonts w:ascii="Arial Narrow" w:hAnsi="Arial Narrow"/>
                <w:b/>
                <w:i/>
                <w:iCs/>
                <w:color w:val="000000"/>
                <w:sz w:val="20"/>
              </w:rPr>
              <w:t>0.22 (0.17, 0.28)</w:t>
            </w:r>
          </w:p>
        </w:tc>
      </w:tr>
      <w:tr w:rsidR="00D31920" w:rsidRPr="0000718B" w:rsidTr="005E5089">
        <w:tc>
          <w:tcPr>
            <w:tcW w:w="10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rPr>
                <w:rFonts w:ascii="Arial Narrow" w:hAnsi="Arial Narrow"/>
                <w:bCs/>
                <w:color w:val="000000"/>
                <w:sz w:val="20"/>
                <w:szCs w:val="20"/>
              </w:rPr>
            </w:pPr>
            <w:r w:rsidRPr="0000718B">
              <w:rPr>
                <w:rFonts w:ascii="Arial Narrow" w:hAnsi="Arial Narrow"/>
                <w:bCs/>
                <w:sz w:val="20"/>
                <w:szCs w:val="20"/>
              </w:rPr>
              <w:t>Dermatitis acneiform (any)</w:t>
            </w:r>
          </w:p>
        </w:tc>
        <w:tc>
          <w:tcPr>
            <w:tcW w:w="7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32/219</w:t>
            </w:r>
          </w:p>
        </w:tc>
        <w:tc>
          <w:tcPr>
            <w:tcW w:w="5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0/215</w:t>
            </w:r>
          </w:p>
        </w:tc>
        <w:tc>
          <w:tcPr>
            <w:tcW w:w="7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i/>
                <w:iCs/>
                <w:color w:val="000000"/>
                <w:sz w:val="20"/>
              </w:rPr>
            </w:pPr>
            <w:r w:rsidRPr="0000718B">
              <w:rPr>
                <w:rFonts w:ascii="Arial Narrow" w:hAnsi="Arial Narrow"/>
                <w:b/>
                <w:i/>
                <w:iCs/>
                <w:color w:val="000000"/>
                <w:sz w:val="20"/>
              </w:rPr>
              <w:t xml:space="preserve">64.62 (8.31, </w:t>
            </w:r>
            <w:proofErr w:type="spellStart"/>
            <w:r w:rsidRPr="0000718B">
              <w:rPr>
                <w:rFonts w:ascii="Arial Narrow" w:hAnsi="Arial Narrow"/>
                <w:b/>
                <w:i/>
                <w:iCs/>
                <w:color w:val="000000"/>
                <w:sz w:val="20"/>
              </w:rPr>
              <w:t>inf</w:t>
            </w:r>
            <w:proofErr w:type="spellEnd"/>
            <w:r w:rsidRPr="0000718B">
              <w:rPr>
                <w:rFonts w:ascii="Arial Narrow" w:hAnsi="Arial Narrow"/>
                <w:b/>
                <w:i/>
                <w:iCs/>
                <w:color w:val="000000"/>
                <w:sz w:val="20"/>
              </w:rPr>
              <w:t>)</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14.6</w:t>
            </w:r>
          </w:p>
        </w:tc>
        <w:tc>
          <w:tcPr>
            <w:tcW w:w="6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0</w:t>
            </w:r>
          </w:p>
        </w:tc>
        <w:tc>
          <w:tcPr>
            <w:tcW w:w="7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i/>
                <w:iCs/>
                <w:color w:val="000000"/>
                <w:sz w:val="20"/>
              </w:rPr>
            </w:pPr>
            <w:r w:rsidRPr="0000718B">
              <w:rPr>
                <w:rFonts w:ascii="Arial Narrow" w:hAnsi="Arial Narrow"/>
                <w:b/>
                <w:i/>
                <w:iCs/>
                <w:color w:val="000000"/>
                <w:sz w:val="20"/>
              </w:rPr>
              <w:t>0.15 (0.11, 0.20)</w:t>
            </w:r>
          </w:p>
        </w:tc>
      </w:tr>
      <w:tr w:rsidR="00D31920" w:rsidRPr="0000718B" w:rsidTr="005E5089">
        <w:tc>
          <w:tcPr>
            <w:tcW w:w="10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rPr>
                <w:rFonts w:ascii="Arial Narrow" w:hAnsi="Arial Narrow"/>
                <w:bCs/>
                <w:color w:val="000000"/>
                <w:sz w:val="20"/>
                <w:szCs w:val="20"/>
              </w:rPr>
            </w:pPr>
            <w:r w:rsidRPr="0000718B">
              <w:rPr>
                <w:rFonts w:ascii="Arial Narrow" w:hAnsi="Arial Narrow"/>
                <w:bCs/>
                <w:sz w:val="20"/>
                <w:szCs w:val="20"/>
              </w:rPr>
              <w:t>Dry skin</w:t>
            </w:r>
          </w:p>
        </w:tc>
        <w:tc>
          <w:tcPr>
            <w:tcW w:w="7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30/219</w:t>
            </w:r>
          </w:p>
        </w:tc>
        <w:tc>
          <w:tcPr>
            <w:tcW w:w="5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1/215</w:t>
            </w:r>
          </w:p>
        </w:tc>
        <w:tc>
          <w:tcPr>
            <w:tcW w:w="7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A81FAF" w:rsidP="00453585">
            <w:pPr>
              <w:jc w:val="center"/>
              <w:rPr>
                <w:rFonts w:ascii="Arial Narrow" w:hAnsi="Arial Narrow"/>
                <w:b/>
                <w:i/>
                <w:iCs/>
                <w:color w:val="000000"/>
                <w:sz w:val="20"/>
              </w:rPr>
            </w:pPr>
            <w:r w:rsidRPr="0000718B">
              <w:rPr>
                <w:rFonts w:ascii="Arial Narrow" w:hAnsi="Arial Narrow"/>
                <w:b/>
                <w:i/>
                <w:iCs/>
                <w:color w:val="000000"/>
                <w:sz w:val="20"/>
              </w:rPr>
              <w:t>29.45 (5.18,</w:t>
            </w:r>
            <w:r w:rsidR="00D31920" w:rsidRPr="0000718B">
              <w:rPr>
                <w:rFonts w:ascii="Arial Narrow" w:hAnsi="Arial Narrow"/>
                <w:b/>
                <w:i/>
                <w:iCs/>
                <w:color w:val="000000"/>
                <w:sz w:val="20"/>
              </w:rPr>
              <w:t>170.1)</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13.7</w:t>
            </w:r>
          </w:p>
        </w:tc>
        <w:tc>
          <w:tcPr>
            <w:tcW w:w="6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0.5</w:t>
            </w:r>
          </w:p>
        </w:tc>
        <w:tc>
          <w:tcPr>
            <w:tcW w:w="7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i/>
                <w:iCs/>
                <w:color w:val="000000"/>
                <w:sz w:val="20"/>
              </w:rPr>
            </w:pPr>
            <w:r w:rsidRPr="0000718B">
              <w:rPr>
                <w:rFonts w:ascii="Arial Narrow" w:hAnsi="Arial Narrow"/>
                <w:b/>
                <w:i/>
                <w:iCs/>
                <w:color w:val="000000"/>
                <w:sz w:val="20"/>
              </w:rPr>
              <w:t>0.13 (0.09, 0.19)</w:t>
            </w:r>
          </w:p>
        </w:tc>
      </w:tr>
      <w:tr w:rsidR="00D31920" w:rsidRPr="0000718B" w:rsidTr="005E5089">
        <w:tc>
          <w:tcPr>
            <w:tcW w:w="10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pStyle w:val="Tabletext"/>
              <w:rPr>
                <w:bCs/>
                <w:szCs w:val="20"/>
              </w:rPr>
            </w:pPr>
            <w:r w:rsidRPr="0000718B">
              <w:rPr>
                <w:bCs/>
                <w:szCs w:val="20"/>
              </w:rPr>
              <w:t>Hypocalcaemia</w:t>
            </w:r>
          </w:p>
          <w:p w:rsidR="00D31920" w:rsidRPr="0000718B" w:rsidRDefault="00A81FAF" w:rsidP="00A81FAF">
            <w:pPr>
              <w:pStyle w:val="Tabletext"/>
              <w:ind w:left="107"/>
              <w:rPr>
                <w:bCs/>
                <w:szCs w:val="20"/>
              </w:rPr>
            </w:pPr>
            <w:r w:rsidRPr="0000718B">
              <w:rPr>
                <w:bCs/>
                <w:szCs w:val="20"/>
              </w:rPr>
              <w:t>-</w:t>
            </w:r>
            <w:r w:rsidR="00D31920" w:rsidRPr="0000718B">
              <w:rPr>
                <w:bCs/>
                <w:szCs w:val="20"/>
              </w:rPr>
              <w:t>Any</w:t>
            </w:r>
          </w:p>
          <w:p w:rsidR="00D31920" w:rsidRPr="0000718B" w:rsidRDefault="00A81FAF" w:rsidP="00A81FAF">
            <w:pPr>
              <w:pStyle w:val="Tabletext"/>
              <w:ind w:left="107"/>
              <w:rPr>
                <w:bCs/>
                <w:color w:val="000000"/>
                <w:szCs w:val="20"/>
              </w:rPr>
            </w:pPr>
            <w:r w:rsidRPr="0000718B">
              <w:rPr>
                <w:bCs/>
                <w:szCs w:val="20"/>
              </w:rPr>
              <w:t>-</w:t>
            </w:r>
            <w:r w:rsidR="00D31920" w:rsidRPr="0000718B">
              <w:rPr>
                <w:bCs/>
                <w:szCs w:val="20"/>
              </w:rPr>
              <w:t>Grade 3</w:t>
            </w:r>
            <w:r w:rsidR="005D0418">
              <w:rPr>
                <w:bCs/>
                <w:szCs w:val="20"/>
              </w:rPr>
              <w:t xml:space="preserve"> or </w:t>
            </w:r>
            <w:r w:rsidR="00D31920" w:rsidRPr="0000718B">
              <w:rPr>
                <w:bCs/>
                <w:szCs w:val="20"/>
              </w:rPr>
              <w:t>4</w:t>
            </w:r>
          </w:p>
        </w:tc>
        <w:tc>
          <w:tcPr>
            <w:tcW w:w="7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27/219</w:t>
            </w: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9/219</w:t>
            </w:r>
          </w:p>
        </w:tc>
        <w:tc>
          <w:tcPr>
            <w:tcW w:w="5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10/215</w:t>
            </w: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2/215</w:t>
            </w:r>
          </w:p>
        </w:tc>
        <w:tc>
          <w:tcPr>
            <w:tcW w:w="7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i/>
                <w:iCs/>
                <w:color w:val="000000"/>
                <w:sz w:val="20"/>
              </w:rPr>
            </w:pPr>
          </w:p>
          <w:p w:rsidR="00D31920" w:rsidRPr="0000718B" w:rsidRDefault="00D31920" w:rsidP="00453585">
            <w:pPr>
              <w:jc w:val="center"/>
              <w:rPr>
                <w:rFonts w:ascii="Arial Narrow" w:hAnsi="Arial Narrow"/>
                <w:b/>
                <w:i/>
                <w:iCs/>
                <w:color w:val="000000"/>
                <w:sz w:val="20"/>
              </w:rPr>
            </w:pPr>
            <w:r w:rsidRPr="0000718B">
              <w:rPr>
                <w:rFonts w:ascii="Arial Narrow" w:hAnsi="Arial Narrow"/>
                <w:b/>
                <w:i/>
                <w:iCs/>
                <w:color w:val="000000"/>
                <w:sz w:val="20"/>
              </w:rPr>
              <w:t>2.65 (1.34, 5.29)</w:t>
            </w:r>
          </w:p>
          <w:p w:rsidR="00D31920" w:rsidRPr="0000718B" w:rsidRDefault="00D31920" w:rsidP="00453585">
            <w:pPr>
              <w:jc w:val="center"/>
              <w:rPr>
                <w:rFonts w:ascii="Arial Narrow" w:hAnsi="Arial Narrow"/>
                <w:b/>
                <w:i/>
                <w:iCs/>
                <w:color w:val="000000"/>
                <w:sz w:val="20"/>
              </w:rPr>
            </w:pPr>
            <w:r w:rsidRPr="0000718B">
              <w:rPr>
                <w:rFonts w:ascii="Arial Narrow" w:hAnsi="Arial Narrow"/>
                <w:b/>
                <w:i/>
                <w:iCs/>
                <w:color w:val="000000"/>
                <w:sz w:val="20"/>
              </w:rPr>
              <w:t>4.42 (1.09, 18.01)</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12.3</w:t>
            </w: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4.1</w:t>
            </w:r>
          </w:p>
        </w:tc>
        <w:tc>
          <w:tcPr>
            <w:tcW w:w="6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4.7</w:t>
            </w: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0.9</w:t>
            </w:r>
          </w:p>
        </w:tc>
        <w:tc>
          <w:tcPr>
            <w:tcW w:w="7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i/>
                <w:iCs/>
                <w:color w:val="000000"/>
                <w:sz w:val="20"/>
              </w:rPr>
            </w:pPr>
          </w:p>
          <w:p w:rsidR="00D31920" w:rsidRPr="0000718B" w:rsidRDefault="00D31920" w:rsidP="00453585">
            <w:pPr>
              <w:jc w:val="center"/>
              <w:rPr>
                <w:rFonts w:ascii="Arial Narrow" w:hAnsi="Arial Narrow"/>
                <w:b/>
                <w:i/>
                <w:iCs/>
                <w:color w:val="000000"/>
                <w:sz w:val="20"/>
              </w:rPr>
            </w:pPr>
            <w:r w:rsidRPr="0000718B">
              <w:rPr>
                <w:rFonts w:ascii="Arial Narrow" w:hAnsi="Arial Narrow"/>
                <w:b/>
                <w:i/>
                <w:iCs/>
                <w:color w:val="000000"/>
                <w:sz w:val="20"/>
              </w:rPr>
              <w:t>0.08 (0.03, 0.13)</w:t>
            </w:r>
          </w:p>
          <w:p w:rsidR="00D31920" w:rsidRPr="0000718B" w:rsidRDefault="00D31920" w:rsidP="00453585">
            <w:pPr>
              <w:jc w:val="center"/>
              <w:rPr>
                <w:rFonts w:ascii="Arial Narrow" w:hAnsi="Arial Narrow"/>
                <w:b/>
                <w:i/>
                <w:iCs/>
                <w:color w:val="000000"/>
                <w:sz w:val="20"/>
              </w:rPr>
            </w:pPr>
            <w:r w:rsidRPr="0000718B">
              <w:rPr>
                <w:rFonts w:ascii="Arial Narrow" w:hAnsi="Arial Narrow"/>
                <w:b/>
                <w:i/>
                <w:iCs/>
                <w:color w:val="000000"/>
                <w:sz w:val="20"/>
              </w:rPr>
              <w:t>0.03 (0.003, 0.07)</w:t>
            </w:r>
          </w:p>
        </w:tc>
      </w:tr>
      <w:tr w:rsidR="00D31920" w:rsidRPr="0000718B" w:rsidTr="005E5089">
        <w:tc>
          <w:tcPr>
            <w:tcW w:w="10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pStyle w:val="Tabletext"/>
              <w:rPr>
                <w:bCs/>
                <w:szCs w:val="20"/>
              </w:rPr>
            </w:pPr>
            <w:r w:rsidRPr="0000718B">
              <w:rPr>
                <w:bCs/>
                <w:szCs w:val="20"/>
              </w:rPr>
              <w:t>Hypomagnesaemia</w:t>
            </w:r>
          </w:p>
          <w:p w:rsidR="00D31920" w:rsidRPr="0000718B" w:rsidRDefault="00A81FAF" w:rsidP="00A81FAF">
            <w:pPr>
              <w:pStyle w:val="Tabletext"/>
              <w:ind w:left="107"/>
              <w:rPr>
                <w:bCs/>
                <w:szCs w:val="20"/>
              </w:rPr>
            </w:pPr>
            <w:r w:rsidRPr="0000718B">
              <w:rPr>
                <w:bCs/>
                <w:szCs w:val="20"/>
              </w:rPr>
              <w:t>-</w:t>
            </w:r>
            <w:r w:rsidR="00D31920" w:rsidRPr="0000718B">
              <w:rPr>
                <w:bCs/>
                <w:szCs w:val="20"/>
              </w:rPr>
              <w:t>Any</w:t>
            </w:r>
          </w:p>
          <w:p w:rsidR="00D31920" w:rsidRPr="0000718B" w:rsidRDefault="00A81FAF" w:rsidP="00A81FAF">
            <w:pPr>
              <w:pStyle w:val="Tabletext"/>
              <w:ind w:left="107"/>
              <w:rPr>
                <w:bCs/>
                <w:color w:val="000000"/>
                <w:szCs w:val="20"/>
              </w:rPr>
            </w:pPr>
            <w:r w:rsidRPr="0000718B">
              <w:rPr>
                <w:bCs/>
                <w:szCs w:val="20"/>
              </w:rPr>
              <w:t>-</w:t>
            </w:r>
            <w:r w:rsidR="00D31920" w:rsidRPr="0000718B">
              <w:rPr>
                <w:bCs/>
                <w:szCs w:val="20"/>
              </w:rPr>
              <w:t>Grade 3</w:t>
            </w:r>
            <w:r w:rsidR="005D0418">
              <w:rPr>
                <w:bCs/>
                <w:szCs w:val="20"/>
              </w:rPr>
              <w:t xml:space="preserve"> or </w:t>
            </w:r>
            <w:r w:rsidR="00D31920" w:rsidRPr="0000718B">
              <w:rPr>
                <w:bCs/>
                <w:szCs w:val="20"/>
              </w:rPr>
              <w:t>4</w:t>
            </w:r>
          </w:p>
        </w:tc>
        <w:tc>
          <w:tcPr>
            <w:tcW w:w="7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24/219</w:t>
            </w: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11/219</w:t>
            </w:r>
          </w:p>
        </w:tc>
        <w:tc>
          <w:tcPr>
            <w:tcW w:w="5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11/215</w:t>
            </w: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3/215</w:t>
            </w:r>
          </w:p>
        </w:tc>
        <w:tc>
          <w:tcPr>
            <w:tcW w:w="7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i/>
                <w:iCs/>
                <w:color w:val="000000"/>
                <w:sz w:val="20"/>
              </w:rPr>
            </w:pPr>
          </w:p>
          <w:p w:rsidR="00D31920" w:rsidRPr="0000718B" w:rsidRDefault="00D31920" w:rsidP="00453585">
            <w:pPr>
              <w:jc w:val="center"/>
              <w:rPr>
                <w:rFonts w:ascii="Arial Narrow" w:hAnsi="Arial Narrow"/>
                <w:b/>
                <w:i/>
                <w:iCs/>
                <w:color w:val="000000"/>
                <w:sz w:val="20"/>
              </w:rPr>
            </w:pPr>
            <w:r w:rsidRPr="0000718B">
              <w:rPr>
                <w:rFonts w:ascii="Arial Narrow" w:hAnsi="Arial Narrow"/>
                <w:b/>
                <w:i/>
                <w:iCs/>
                <w:color w:val="000000"/>
                <w:sz w:val="20"/>
              </w:rPr>
              <w:t>2.14 (1.09, 4.22)</w:t>
            </w:r>
          </w:p>
          <w:p w:rsidR="00D31920" w:rsidRPr="0000718B" w:rsidRDefault="00D31920" w:rsidP="00453585">
            <w:pPr>
              <w:jc w:val="center"/>
              <w:rPr>
                <w:rFonts w:ascii="Arial Narrow" w:hAnsi="Arial Narrow"/>
                <w:b/>
                <w:i/>
                <w:iCs/>
                <w:color w:val="000000"/>
                <w:sz w:val="20"/>
              </w:rPr>
            </w:pPr>
            <w:r w:rsidRPr="0000718B">
              <w:rPr>
                <w:rFonts w:ascii="Arial Narrow" w:hAnsi="Arial Narrow"/>
                <w:b/>
                <w:i/>
                <w:iCs/>
                <w:color w:val="000000"/>
                <w:sz w:val="20"/>
              </w:rPr>
              <w:t>3.60 (1.10, 11.88)</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11</w:t>
            </w:r>
            <w:r w:rsidR="00A81FAF" w:rsidRPr="0000718B">
              <w:rPr>
                <w:rFonts w:ascii="Arial Narrow" w:hAnsi="Arial Narrow"/>
                <w:bCs/>
                <w:color w:val="000000"/>
                <w:sz w:val="20"/>
              </w:rPr>
              <w:t>.0</w:t>
            </w: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5</w:t>
            </w:r>
            <w:r w:rsidR="00A81FAF" w:rsidRPr="0000718B">
              <w:rPr>
                <w:rFonts w:ascii="Arial Narrow" w:hAnsi="Arial Narrow"/>
                <w:bCs/>
                <w:color w:val="000000"/>
                <w:sz w:val="20"/>
              </w:rPr>
              <w:t>.0</w:t>
            </w:r>
          </w:p>
        </w:tc>
        <w:tc>
          <w:tcPr>
            <w:tcW w:w="6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5.1</w:t>
            </w:r>
          </w:p>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1.4</w:t>
            </w:r>
          </w:p>
        </w:tc>
        <w:tc>
          <w:tcPr>
            <w:tcW w:w="7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i/>
                <w:iCs/>
                <w:color w:val="000000"/>
                <w:sz w:val="20"/>
              </w:rPr>
            </w:pPr>
          </w:p>
          <w:p w:rsidR="00D31920" w:rsidRPr="0000718B" w:rsidRDefault="00D31920" w:rsidP="00453585">
            <w:pPr>
              <w:jc w:val="center"/>
              <w:rPr>
                <w:rFonts w:ascii="Arial Narrow" w:hAnsi="Arial Narrow"/>
                <w:b/>
                <w:i/>
                <w:iCs/>
                <w:color w:val="000000"/>
                <w:sz w:val="20"/>
              </w:rPr>
            </w:pPr>
            <w:r w:rsidRPr="0000718B">
              <w:rPr>
                <w:rFonts w:ascii="Arial Narrow" w:hAnsi="Arial Narrow"/>
                <w:b/>
                <w:i/>
                <w:iCs/>
                <w:color w:val="000000"/>
                <w:sz w:val="20"/>
              </w:rPr>
              <w:t>0.06 (0.007, 0.11)</w:t>
            </w:r>
          </w:p>
          <w:p w:rsidR="00D31920" w:rsidRPr="0000718B" w:rsidRDefault="00D31920" w:rsidP="00453585">
            <w:pPr>
              <w:jc w:val="center"/>
              <w:rPr>
                <w:rFonts w:ascii="Arial Narrow" w:hAnsi="Arial Narrow"/>
                <w:b/>
                <w:i/>
                <w:iCs/>
                <w:color w:val="000000"/>
                <w:sz w:val="20"/>
              </w:rPr>
            </w:pPr>
            <w:r w:rsidRPr="0000718B">
              <w:rPr>
                <w:rFonts w:ascii="Arial Narrow" w:hAnsi="Arial Narrow"/>
                <w:b/>
                <w:i/>
                <w:iCs/>
                <w:color w:val="000000"/>
                <w:sz w:val="20"/>
              </w:rPr>
              <w:t>0.04 (0.003, 0.08)</w:t>
            </w:r>
          </w:p>
        </w:tc>
      </w:tr>
      <w:tr w:rsidR="00D31920" w:rsidRPr="0000718B" w:rsidTr="005E5089">
        <w:tc>
          <w:tcPr>
            <w:tcW w:w="10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rPr>
                <w:rFonts w:ascii="Arial Narrow" w:hAnsi="Arial Narrow"/>
                <w:bCs/>
                <w:color w:val="000000"/>
                <w:sz w:val="20"/>
                <w:szCs w:val="20"/>
              </w:rPr>
            </w:pPr>
            <w:r w:rsidRPr="0000718B">
              <w:rPr>
                <w:rFonts w:ascii="Arial Narrow" w:hAnsi="Arial Narrow"/>
                <w:bCs/>
                <w:sz w:val="20"/>
                <w:szCs w:val="20"/>
              </w:rPr>
              <w:t>Sepsis (including septic shock), Grade 3</w:t>
            </w:r>
            <w:r w:rsidR="005D0418">
              <w:rPr>
                <w:rFonts w:ascii="Arial Narrow" w:hAnsi="Arial Narrow"/>
                <w:bCs/>
                <w:sz w:val="20"/>
                <w:szCs w:val="20"/>
              </w:rPr>
              <w:t xml:space="preserve"> or</w:t>
            </w:r>
            <w:r w:rsidR="008643C0">
              <w:rPr>
                <w:rFonts w:ascii="Arial Narrow" w:hAnsi="Arial Narrow"/>
                <w:bCs/>
                <w:sz w:val="20"/>
                <w:szCs w:val="20"/>
              </w:rPr>
              <w:t xml:space="preserve"> </w:t>
            </w:r>
            <w:r w:rsidRPr="0000718B">
              <w:rPr>
                <w:rFonts w:ascii="Arial Narrow" w:hAnsi="Arial Narrow"/>
                <w:bCs/>
                <w:sz w:val="20"/>
                <w:szCs w:val="20"/>
              </w:rPr>
              <w:t>4</w:t>
            </w:r>
          </w:p>
        </w:tc>
        <w:tc>
          <w:tcPr>
            <w:tcW w:w="7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9/219</w:t>
            </w:r>
          </w:p>
        </w:tc>
        <w:tc>
          <w:tcPr>
            <w:tcW w:w="5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1/215</w:t>
            </w:r>
          </w:p>
        </w:tc>
        <w:tc>
          <w:tcPr>
            <w:tcW w:w="7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i/>
                <w:iCs/>
                <w:color w:val="000000"/>
                <w:sz w:val="20"/>
              </w:rPr>
            </w:pPr>
            <w:r w:rsidRPr="0000718B">
              <w:rPr>
                <w:rFonts w:ascii="Arial Narrow" w:hAnsi="Arial Narrow"/>
                <w:b/>
                <w:i/>
                <w:iCs/>
                <w:color w:val="000000"/>
                <w:sz w:val="20"/>
              </w:rPr>
              <w:t>8.84 (1.47, 53.73)</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4.1</w:t>
            </w:r>
          </w:p>
        </w:tc>
        <w:tc>
          <w:tcPr>
            <w:tcW w:w="6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Cs/>
                <w:color w:val="000000"/>
                <w:sz w:val="20"/>
              </w:rPr>
            </w:pPr>
            <w:r w:rsidRPr="0000718B">
              <w:rPr>
                <w:rFonts w:ascii="Arial Narrow" w:hAnsi="Arial Narrow"/>
                <w:bCs/>
                <w:color w:val="000000"/>
                <w:sz w:val="20"/>
              </w:rPr>
              <w:t>0.5</w:t>
            </w:r>
          </w:p>
        </w:tc>
        <w:tc>
          <w:tcPr>
            <w:tcW w:w="7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1920" w:rsidRPr="0000718B" w:rsidRDefault="00D31920" w:rsidP="00453585">
            <w:pPr>
              <w:jc w:val="center"/>
              <w:rPr>
                <w:rFonts w:ascii="Arial Narrow" w:hAnsi="Arial Narrow"/>
                <w:b/>
                <w:i/>
                <w:iCs/>
                <w:color w:val="000000"/>
                <w:sz w:val="20"/>
              </w:rPr>
            </w:pPr>
            <w:r w:rsidRPr="0000718B">
              <w:rPr>
                <w:rFonts w:ascii="Arial Narrow" w:hAnsi="Arial Narrow"/>
                <w:b/>
                <w:i/>
                <w:iCs/>
                <w:color w:val="000000"/>
                <w:sz w:val="20"/>
              </w:rPr>
              <w:t>0.04 (0.01, 0.08)</w:t>
            </w:r>
          </w:p>
        </w:tc>
      </w:tr>
    </w:tbl>
    <w:p w:rsidR="00D31920" w:rsidRPr="0000718B" w:rsidRDefault="00D31920" w:rsidP="00A81FAF">
      <w:pPr>
        <w:pStyle w:val="TableFooter"/>
        <w:rPr>
          <w:i/>
          <w:iCs/>
          <w:sz w:val="16"/>
          <w:szCs w:val="16"/>
        </w:rPr>
      </w:pPr>
      <w:r w:rsidRPr="0000718B">
        <w:rPr>
          <w:i/>
          <w:iCs/>
          <w:sz w:val="16"/>
          <w:szCs w:val="16"/>
        </w:rPr>
        <w:t xml:space="preserve">Italic indicates results of statistical comparisons conducted during the evaluation </w:t>
      </w:r>
      <w:proofErr w:type="spellStart"/>
      <w:r w:rsidR="00A81FAF" w:rsidRPr="0000718B">
        <w:rPr>
          <w:i/>
          <w:iCs/>
          <w:sz w:val="16"/>
          <w:szCs w:val="16"/>
        </w:rPr>
        <w:t>StatsD</w:t>
      </w:r>
      <w:r w:rsidRPr="0000718B">
        <w:rPr>
          <w:i/>
          <w:iCs/>
          <w:sz w:val="16"/>
          <w:szCs w:val="16"/>
        </w:rPr>
        <w:t>irect</w:t>
      </w:r>
      <w:proofErr w:type="spellEnd"/>
      <w:r w:rsidRPr="0000718B">
        <w:rPr>
          <w:i/>
          <w:iCs/>
          <w:sz w:val="16"/>
          <w:szCs w:val="16"/>
        </w:rPr>
        <w:t xml:space="preserve"> </w:t>
      </w:r>
      <w:r w:rsidR="00A81FAF" w:rsidRPr="0000718B">
        <w:rPr>
          <w:i/>
          <w:iCs/>
          <w:sz w:val="16"/>
          <w:szCs w:val="16"/>
        </w:rPr>
        <w:t>V</w:t>
      </w:r>
      <w:r w:rsidRPr="0000718B">
        <w:rPr>
          <w:i/>
          <w:iCs/>
          <w:sz w:val="16"/>
          <w:szCs w:val="16"/>
        </w:rPr>
        <w:t>3.1.11</w:t>
      </w:r>
      <w:r w:rsidR="006B400D" w:rsidRPr="0000718B">
        <w:rPr>
          <w:i/>
          <w:iCs/>
          <w:sz w:val="16"/>
          <w:szCs w:val="16"/>
        </w:rPr>
        <w:t>. Text in bold indicate statistically significant difference</w:t>
      </w:r>
      <w:r w:rsidR="000120B1">
        <w:rPr>
          <w:i/>
          <w:iCs/>
          <w:sz w:val="16"/>
          <w:szCs w:val="16"/>
        </w:rPr>
        <w:t xml:space="preserve"> </w:t>
      </w:r>
    </w:p>
    <w:p w:rsidR="00A81FAF" w:rsidRPr="0000718B" w:rsidRDefault="00A81FAF" w:rsidP="00A81FAF">
      <w:pPr>
        <w:pStyle w:val="TableFooter"/>
        <w:rPr>
          <w:bCs/>
        </w:rPr>
      </w:pPr>
      <w:r w:rsidRPr="0000718B">
        <w:rPr>
          <w:bCs/>
        </w:rPr>
        <w:t xml:space="preserve">Abbreviations: </w:t>
      </w:r>
      <w:proofErr w:type="spellStart"/>
      <w:proofErr w:type="gramStart"/>
      <w:r w:rsidRPr="0000718B">
        <w:rPr>
          <w:bCs/>
        </w:rPr>
        <w:t>Cet</w:t>
      </w:r>
      <w:proofErr w:type="spellEnd"/>
      <w:r w:rsidRPr="0000718B">
        <w:rPr>
          <w:bCs/>
        </w:rPr>
        <w:t>=</w:t>
      </w:r>
      <w:proofErr w:type="gramEnd"/>
      <w:r w:rsidRPr="0000718B">
        <w:rPr>
          <w:bCs/>
        </w:rPr>
        <w:t xml:space="preserve">cetuximab, CT = chemotherapy; RD = risk difference; RR = risk ratio; </w:t>
      </w:r>
      <w:proofErr w:type="spellStart"/>
      <w:r w:rsidRPr="0000718B">
        <w:rPr>
          <w:bCs/>
        </w:rPr>
        <w:t>inf</w:t>
      </w:r>
      <w:proofErr w:type="spellEnd"/>
      <w:r w:rsidRPr="0000718B">
        <w:rPr>
          <w:bCs/>
        </w:rPr>
        <w:t xml:space="preserve"> = infinite. </w:t>
      </w:r>
    </w:p>
    <w:p w:rsidR="00D31920" w:rsidRPr="0000718B" w:rsidRDefault="00D31920" w:rsidP="00D31920">
      <w:pPr>
        <w:pStyle w:val="TableFooter"/>
        <w:rPr>
          <w:bCs/>
        </w:rPr>
      </w:pPr>
      <w:proofErr w:type="gramStart"/>
      <w:r w:rsidRPr="0000718B">
        <w:rPr>
          <w:bCs/>
          <w:vertAlign w:val="superscript"/>
        </w:rPr>
        <w:t>a</w:t>
      </w:r>
      <w:proofErr w:type="gramEnd"/>
      <w:r w:rsidRPr="0000718B">
        <w:rPr>
          <w:bCs/>
        </w:rPr>
        <w:t xml:space="preserve"> Median duration of follow-up: cetuximab + CT 19.1 months, CT only 18.2 months</w:t>
      </w:r>
    </w:p>
    <w:p w:rsidR="00D31920" w:rsidRPr="0000718B" w:rsidRDefault="00A81FAF" w:rsidP="00D31920">
      <w:pPr>
        <w:pStyle w:val="TableFooter"/>
        <w:rPr>
          <w:bCs/>
        </w:rPr>
      </w:pPr>
      <w:proofErr w:type="gramStart"/>
      <w:r w:rsidRPr="0000718B">
        <w:rPr>
          <w:bCs/>
          <w:vertAlign w:val="superscript"/>
        </w:rPr>
        <w:t>b</w:t>
      </w:r>
      <w:proofErr w:type="gramEnd"/>
      <w:r w:rsidRPr="0000718B">
        <w:rPr>
          <w:bCs/>
          <w:vertAlign w:val="superscript"/>
        </w:rPr>
        <w:t xml:space="preserve"> </w:t>
      </w:r>
      <w:r w:rsidR="00D31920" w:rsidRPr="0000718B">
        <w:rPr>
          <w:szCs w:val="18"/>
        </w:rPr>
        <w:t>defined as number of patients with complete or partial response persisting for at least 4 weeks</w:t>
      </w:r>
      <w:r w:rsidR="00D31920" w:rsidRPr="0000718B">
        <w:rPr>
          <w:bCs/>
        </w:rPr>
        <w:t xml:space="preserve"> </w:t>
      </w:r>
    </w:p>
    <w:p w:rsidR="00A81FAF" w:rsidRDefault="00A81FAF" w:rsidP="005E5089">
      <w:pPr>
        <w:pStyle w:val="TableFooter"/>
        <w:spacing w:after="120"/>
        <w:rPr>
          <w:sz w:val="16"/>
          <w:szCs w:val="16"/>
        </w:rPr>
      </w:pPr>
      <w:r w:rsidRPr="0000718B">
        <w:rPr>
          <w:bCs/>
        </w:rPr>
        <w:t xml:space="preserve">Source: </w:t>
      </w:r>
      <w:r w:rsidRPr="0000718B">
        <w:rPr>
          <w:sz w:val="16"/>
          <w:szCs w:val="16"/>
        </w:rPr>
        <w:t xml:space="preserve">Tables 2.5.12, p69; table 2.5.14, p71 table </w:t>
      </w:r>
      <w:proofErr w:type="gramStart"/>
      <w:r w:rsidRPr="0000718B">
        <w:rPr>
          <w:sz w:val="16"/>
          <w:szCs w:val="16"/>
        </w:rPr>
        <w:t>2.5.15 ,p72</w:t>
      </w:r>
      <w:proofErr w:type="gramEnd"/>
      <w:r w:rsidRPr="0000718B">
        <w:rPr>
          <w:sz w:val="16"/>
          <w:szCs w:val="16"/>
        </w:rPr>
        <w:t xml:space="preserve"> and table 2.5.17, p74 of the resubmission, Table 12.12; p128 of the trial report; </w:t>
      </w:r>
      <w:proofErr w:type="spellStart"/>
      <w:r w:rsidRPr="0000718B">
        <w:rPr>
          <w:sz w:val="16"/>
          <w:szCs w:val="16"/>
        </w:rPr>
        <w:t>Vermo</w:t>
      </w:r>
      <w:r w:rsidR="002A24A7">
        <w:rPr>
          <w:sz w:val="16"/>
          <w:szCs w:val="16"/>
        </w:rPr>
        <w:t>r</w:t>
      </w:r>
      <w:r w:rsidRPr="0000718B">
        <w:rPr>
          <w:sz w:val="16"/>
          <w:szCs w:val="16"/>
        </w:rPr>
        <w:t>ken</w:t>
      </w:r>
      <w:proofErr w:type="spellEnd"/>
      <w:r w:rsidRPr="0000718B">
        <w:rPr>
          <w:sz w:val="16"/>
          <w:szCs w:val="16"/>
        </w:rPr>
        <w:t xml:space="preserve"> 2008 </w:t>
      </w:r>
    </w:p>
    <w:p w:rsidR="00D31920" w:rsidRPr="002E2883" w:rsidRDefault="00D31920" w:rsidP="00063D98">
      <w:pPr>
        <w:pStyle w:val="ListParagraph"/>
        <w:widowControl/>
        <w:numPr>
          <w:ilvl w:val="1"/>
          <w:numId w:val="2"/>
        </w:numPr>
        <w:spacing w:before="120" w:after="120"/>
        <w:rPr>
          <w:bCs/>
        </w:rPr>
      </w:pPr>
      <w:r w:rsidRPr="00D35D44">
        <w:t xml:space="preserve">On the basis of direct evidence presented by the resubmission, </w:t>
      </w:r>
      <w:r w:rsidR="00063D98" w:rsidRPr="00D35D44">
        <w:t>treatment with cetuximab + CT compared with CT only resulted in</w:t>
      </w:r>
      <w:r w:rsidR="004667BC" w:rsidRPr="00D35D44">
        <w:t xml:space="preserve"> a</w:t>
      </w:r>
      <w:r w:rsidR="00063D98" w:rsidRPr="00D35D44">
        <w:t xml:space="preserve"> statistically significant increase in overall survival (median of approximately 2.7 months) and progression free </w:t>
      </w:r>
      <w:r w:rsidR="008402C9" w:rsidRPr="00D35D44">
        <w:t>survival</w:t>
      </w:r>
      <w:r w:rsidR="00063D98" w:rsidRPr="00D35D44">
        <w:t xml:space="preserve"> (median of approximately 2.3 months). </w:t>
      </w:r>
    </w:p>
    <w:p w:rsidR="00D31920" w:rsidRPr="00D35D44" w:rsidRDefault="00D31920" w:rsidP="00846F9C">
      <w:pPr>
        <w:pStyle w:val="ListParagraph"/>
        <w:widowControl/>
        <w:numPr>
          <w:ilvl w:val="1"/>
          <w:numId w:val="2"/>
        </w:numPr>
        <w:spacing w:after="0"/>
        <w:rPr>
          <w:bCs/>
        </w:rPr>
      </w:pPr>
      <w:r w:rsidRPr="00D35D44">
        <w:rPr>
          <w:bCs/>
        </w:rPr>
        <w:t xml:space="preserve">On the basis of direct evidence presented </w:t>
      </w:r>
      <w:r w:rsidR="00063D98" w:rsidRPr="00D35D44">
        <w:rPr>
          <w:bCs/>
        </w:rPr>
        <w:t>in the re</w:t>
      </w:r>
      <w:r w:rsidRPr="00D35D44">
        <w:rPr>
          <w:bCs/>
        </w:rPr>
        <w:t xml:space="preserve">submission, for every 100 patients treated with cetuximab + CT in comparison to CT only over a median duration of </w:t>
      </w:r>
      <w:r w:rsidRPr="00D35D44">
        <w:rPr>
          <w:bCs/>
        </w:rPr>
        <w:lastRenderedPageBreak/>
        <w:t>follow-up</w:t>
      </w:r>
      <w:r w:rsidR="004667BC" w:rsidRPr="00D35D44">
        <w:rPr>
          <w:bCs/>
        </w:rPr>
        <w:t xml:space="preserve"> of</w:t>
      </w:r>
      <w:r w:rsidRPr="00D35D44">
        <w:rPr>
          <w:bCs/>
        </w:rPr>
        <w:t xml:space="preserve"> 19.1 months for patients treated with cetuximab + CT and 18.2 months for CT only</w:t>
      </w:r>
      <w:r w:rsidR="00063D98" w:rsidRPr="00D35D44">
        <w:rPr>
          <w:bCs/>
        </w:rPr>
        <w:t>, approximately</w:t>
      </w:r>
      <w:r w:rsidRPr="00D35D44">
        <w:rPr>
          <w:bCs/>
        </w:rPr>
        <w:t>:</w:t>
      </w:r>
    </w:p>
    <w:p w:rsidR="00D31920" w:rsidRPr="00D35D44" w:rsidRDefault="00D31920" w:rsidP="00D31920">
      <w:pPr>
        <w:pStyle w:val="ListParagraph"/>
        <w:widowControl/>
        <w:numPr>
          <w:ilvl w:val="0"/>
          <w:numId w:val="1"/>
        </w:numPr>
        <w:spacing w:after="0"/>
        <w:ind w:left="993" w:hanging="284"/>
        <w:contextualSpacing/>
      </w:pPr>
      <w:r w:rsidRPr="00D35D44">
        <w:t>16 additional patients would have a complete or partial response for at least 4 weeks</w:t>
      </w:r>
      <w:r w:rsidR="009315D8" w:rsidRPr="00D35D44">
        <w:t>;</w:t>
      </w:r>
      <w:r w:rsidRPr="00D35D44">
        <w:t xml:space="preserve"> </w:t>
      </w:r>
    </w:p>
    <w:p w:rsidR="00D31920" w:rsidRPr="00D35D44" w:rsidRDefault="00D31920" w:rsidP="00D31920">
      <w:pPr>
        <w:pStyle w:val="ListParagraph"/>
        <w:widowControl/>
        <w:numPr>
          <w:ilvl w:val="0"/>
          <w:numId w:val="1"/>
        </w:numPr>
        <w:spacing w:after="0"/>
        <w:ind w:left="993" w:hanging="284"/>
        <w:contextualSpacing/>
      </w:pPr>
      <w:r w:rsidRPr="00D35D44">
        <w:t>26 additional patients would experience any rash and 5 additional patients would experience Grade 3 or 4 rash;</w:t>
      </w:r>
    </w:p>
    <w:p w:rsidR="00D31920" w:rsidRPr="00D35D44" w:rsidRDefault="00D31920" w:rsidP="00D31920">
      <w:pPr>
        <w:pStyle w:val="ListParagraph"/>
        <w:widowControl/>
        <w:numPr>
          <w:ilvl w:val="0"/>
          <w:numId w:val="1"/>
        </w:numPr>
        <w:spacing w:after="0"/>
        <w:ind w:left="993" w:hanging="284"/>
        <w:contextualSpacing/>
      </w:pPr>
      <w:r w:rsidRPr="00D35D44">
        <w:t>10 additional patients would experience diarrhoea;</w:t>
      </w:r>
    </w:p>
    <w:p w:rsidR="00D31920" w:rsidRPr="00D35D44" w:rsidRDefault="00D31920" w:rsidP="00D31920">
      <w:pPr>
        <w:pStyle w:val="ListParagraph"/>
        <w:widowControl/>
        <w:numPr>
          <w:ilvl w:val="0"/>
          <w:numId w:val="1"/>
        </w:numPr>
        <w:spacing w:after="0"/>
        <w:ind w:left="993" w:hanging="284"/>
        <w:contextualSpacing/>
      </w:pPr>
      <w:r w:rsidRPr="00D35D44">
        <w:t>11 additional patients would experience any anorexia and 4 additional patients would experience Grade 3 or 4 anorexia;</w:t>
      </w:r>
    </w:p>
    <w:p w:rsidR="00D31920" w:rsidRPr="00D35D44" w:rsidRDefault="00D31920" w:rsidP="00D31920">
      <w:pPr>
        <w:pStyle w:val="ListParagraph"/>
        <w:widowControl/>
        <w:numPr>
          <w:ilvl w:val="0"/>
          <w:numId w:val="1"/>
        </w:numPr>
        <w:spacing w:after="0"/>
        <w:ind w:left="993" w:hanging="284"/>
        <w:contextualSpacing/>
      </w:pPr>
      <w:r w:rsidRPr="00D35D44">
        <w:t>9 additional patients would experience pyrexia;</w:t>
      </w:r>
    </w:p>
    <w:p w:rsidR="00D31920" w:rsidRPr="00D35D44" w:rsidRDefault="00D31920" w:rsidP="00D31920">
      <w:pPr>
        <w:pStyle w:val="ListParagraph"/>
        <w:widowControl/>
        <w:numPr>
          <w:ilvl w:val="0"/>
          <w:numId w:val="1"/>
        </w:numPr>
        <w:spacing w:after="0"/>
        <w:ind w:left="993" w:hanging="284"/>
        <w:contextualSpacing/>
      </w:pPr>
      <w:r w:rsidRPr="00D35D44">
        <w:t>22 additional patients would experience any acne;</w:t>
      </w:r>
    </w:p>
    <w:p w:rsidR="00D31920" w:rsidRPr="00D35D44" w:rsidRDefault="00D31920" w:rsidP="00D31920">
      <w:pPr>
        <w:pStyle w:val="ListParagraph"/>
        <w:widowControl/>
        <w:numPr>
          <w:ilvl w:val="0"/>
          <w:numId w:val="1"/>
        </w:numPr>
        <w:spacing w:after="0"/>
        <w:ind w:left="993" w:hanging="284"/>
        <w:contextualSpacing/>
      </w:pPr>
      <w:r w:rsidRPr="00D35D44">
        <w:t>15 additional patients would experience dermatitis acneiform;</w:t>
      </w:r>
    </w:p>
    <w:p w:rsidR="00D31920" w:rsidRPr="00D35D44" w:rsidRDefault="00D31920" w:rsidP="00D31920">
      <w:pPr>
        <w:pStyle w:val="ListParagraph"/>
        <w:widowControl/>
        <w:numPr>
          <w:ilvl w:val="0"/>
          <w:numId w:val="1"/>
        </w:numPr>
        <w:spacing w:after="0"/>
        <w:ind w:left="993" w:hanging="284"/>
        <w:contextualSpacing/>
      </w:pPr>
      <w:r w:rsidRPr="00D35D44">
        <w:t>26 additional patients would experience dry skin;</w:t>
      </w:r>
    </w:p>
    <w:p w:rsidR="00D31920" w:rsidRPr="00D35D44" w:rsidRDefault="00D31920" w:rsidP="00D31920">
      <w:pPr>
        <w:pStyle w:val="ListParagraph"/>
        <w:widowControl/>
        <w:numPr>
          <w:ilvl w:val="0"/>
          <w:numId w:val="1"/>
        </w:numPr>
        <w:spacing w:after="0"/>
        <w:ind w:left="993" w:hanging="284"/>
        <w:contextualSpacing/>
      </w:pPr>
      <w:r w:rsidRPr="00D35D44">
        <w:t>8 additional patients would experience any hypocalcaemia and 3 additional patients would experience Grade 3 or 4 hypocalcaemia;</w:t>
      </w:r>
    </w:p>
    <w:p w:rsidR="00D31920" w:rsidRPr="00D35D44" w:rsidRDefault="00D31920" w:rsidP="00D31920">
      <w:pPr>
        <w:pStyle w:val="ListParagraph"/>
        <w:widowControl/>
        <w:numPr>
          <w:ilvl w:val="0"/>
          <w:numId w:val="1"/>
        </w:numPr>
        <w:spacing w:after="0"/>
        <w:ind w:left="993" w:hanging="284"/>
        <w:contextualSpacing/>
      </w:pPr>
      <w:r w:rsidRPr="00D35D44">
        <w:t xml:space="preserve">6 additional patients would experience any hypomagnesaemia and 4 additional patients would experience Grade 3 or 4 </w:t>
      </w:r>
      <w:r w:rsidR="009315D8" w:rsidRPr="00D35D44">
        <w:t>hypomagnesaemia</w:t>
      </w:r>
      <w:r w:rsidRPr="00D35D44">
        <w:t>; and</w:t>
      </w:r>
    </w:p>
    <w:p w:rsidR="009315D8" w:rsidRPr="00D35D44" w:rsidRDefault="00D31920" w:rsidP="009315D8">
      <w:pPr>
        <w:pStyle w:val="ListParagraph"/>
        <w:widowControl/>
        <w:numPr>
          <w:ilvl w:val="0"/>
          <w:numId w:val="1"/>
        </w:numPr>
        <w:spacing w:after="0"/>
        <w:ind w:left="993" w:hanging="284"/>
        <w:contextualSpacing/>
      </w:pPr>
      <w:r w:rsidRPr="00D35D44">
        <w:t>4 additional sepsis events (including septic shock)</w:t>
      </w:r>
      <w:r w:rsidR="009315D8" w:rsidRPr="00D35D44">
        <w:t>, however</w:t>
      </w:r>
    </w:p>
    <w:p w:rsidR="00D31920" w:rsidRPr="00D35D44" w:rsidRDefault="009315D8" w:rsidP="009315D8">
      <w:pPr>
        <w:pStyle w:val="ListParagraph"/>
        <w:widowControl/>
        <w:numPr>
          <w:ilvl w:val="0"/>
          <w:numId w:val="1"/>
        </w:numPr>
        <w:spacing w:after="0"/>
        <w:ind w:left="993" w:hanging="284"/>
        <w:contextualSpacing/>
      </w:pPr>
      <w:r w:rsidRPr="00D35D44">
        <w:t xml:space="preserve">11 </w:t>
      </w:r>
      <w:r w:rsidRPr="00D35D44">
        <w:rPr>
          <w:u w:val="single"/>
        </w:rPr>
        <w:t>fewer</w:t>
      </w:r>
      <w:r w:rsidRPr="00D35D44">
        <w:t xml:space="preserve"> patients would experience anaemia.</w:t>
      </w:r>
    </w:p>
    <w:p w:rsidR="00D31920" w:rsidRPr="00D35D44" w:rsidRDefault="00D31920" w:rsidP="002E2883">
      <w:pPr>
        <w:pStyle w:val="Heading2"/>
      </w:pPr>
      <w:bookmarkStart w:id="10" w:name="_Toc500767931"/>
      <w:r w:rsidRPr="009C7D07">
        <w:t>Clinical claim</w:t>
      </w:r>
      <w:bookmarkEnd w:id="10"/>
    </w:p>
    <w:p w:rsidR="00D31920" w:rsidRPr="00D35D44" w:rsidRDefault="00D31920" w:rsidP="00846F9C">
      <w:pPr>
        <w:pStyle w:val="ListParagraph"/>
        <w:widowControl/>
        <w:numPr>
          <w:ilvl w:val="1"/>
          <w:numId w:val="2"/>
        </w:numPr>
        <w:rPr>
          <w:bCs/>
        </w:rPr>
      </w:pPr>
      <w:r w:rsidRPr="00D35D44">
        <w:rPr>
          <w:bCs/>
        </w:rPr>
        <w:t xml:space="preserve">The resubmission </w:t>
      </w:r>
      <w:r w:rsidR="006843DE" w:rsidRPr="00D35D44">
        <w:rPr>
          <w:bCs/>
        </w:rPr>
        <w:t xml:space="preserve">claimed that </w:t>
      </w:r>
      <w:r w:rsidRPr="00D35D44">
        <w:rPr>
          <w:bCs/>
        </w:rPr>
        <w:t>cetuximab</w:t>
      </w:r>
      <w:r w:rsidR="004B053D" w:rsidRPr="00D35D44">
        <w:rPr>
          <w:bCs/>
        </w:rPr>
        <w:t xml:space="preserve"> in combination</w:t>
      </w:r>
      <w:r w:rsidRPr="00D35D44">
        <w:rPr>
          <w:bCs/>
        </w:rPr>
        <w:t xml:space="preserve"> with platinum based CT </w:t>
      </w:r>
      <w:r w:rsidR="006843DE" w:rsidRPr="00D35D44">
        <w:rPr>
          <w:bCs/>
        </w:rPr>
        <w:t xml:space="preserve">for the treatment of </w:t>
      </w:r>
      <w:r w:rsidRPr="00D35D44">
        <w:rPr>
          <w:bCs/>
        </w:rPr>
        <w:t xml:space="preserve">RM SCCHN </w:t>
      </w:r>
      <w:r w:rsidR="006843DE" w:rsidRPr="00D35D44">
        <w:rPr>
          <w:bCs/>
        </w:rPr>
        <w:t xml:space="preserve">was </w:t>
      </w:r>
      <w:r w:rsidRPr="00D35D44">
        <w:rPr>
          <w:bCs/>
        </w:rPr>
        <w:t xml:space="preserve">superior in terms of effectiveness </w:t>
      </w:r>
      <w:r w:rsidR="004B053D" w:rsidRPr="00D35D44">
        <w:rPr>
          <w:bCs/>
        </w:rPr>
        <w:t xml:space="preserve">and inferior in terms of safety </w:t>
      </w:r>
      <w:r w:rsidRPr="00D35D44">
        <w:rPr>
          <w:bCs/>
        </w:rPr>
        <w:t>compared with platinum based CT only</w:t>
      </w:r>
      <w:r w:rsidR="006843DE" w:rsidRPr="00D35D44">
        <w:rPr>
          <w:bCs/>
        </w:rPr>
        <w:t>.</w:t>
      </w:r>
      <w:r w:rsidRPr="00D35D44">
        <w:rPr>
          <w:bCs/>
        </w:rPr>
        <w:t xml:space="preserve"> </w:t>
      </w:r>
      <w:r w:rsidR="006843DE" w:rsidRPr="00D35D44">
        <w:rPr>
          <w:bCs/>
        </w:rPr>
        <w:t xml:space="preserve">The resubmission described the safety profile of cetuximab </w:t>
      </w:r>
      <w:r w:rsidR="005D0418" w:rsidRPr="00D35D44">
        <w:rPr>
          <w:bCs/>
        </w:rPr>
        <w:t>as ‘</w:t>
      </w:r>
      <w:r w:rsidRPr="00D35D44">
        <w:rPr>
          <w:bCs/>
        </w:rPr>
        <w:t>manageable</w:t>
      </w:r>
      <w:r w:rsidR="006843DE" w:rsidRPr="00D35D44">
        <w:rPr>
          <w:bCs/>
        </w:rPr>
        <w:t>’</w:t>
      </w:r>
      <w:r w:rsidR="005D0418" w:rsidRPr="00D35D44">
        <w:rPr>
          <w:bCs/>
        </w:rPr>
        <w:t>.</w:t>
      </w:r>
      <w:r w:rsidR="000120B1" w:rsidRPr="00D35D44">
        <w:rPr>
          <w:bCs/>
        </w:rPr>
        <w:t xml:space="preserve"> </w:t>
      </w:r>
    </w:p>
    <w:p w:rsidR="009460A5" w:rsidRDefault="009460A5" w:rsidP="00846F9C">
      <w:pPr>
        <w:pStyle w:val="ListParagraph"/>
        <w:numPr>
          <w:ilvl w:val="1"/>
          <w:numId w:val="2"/>
        </w:numPr>
        <w:rPr>
          <w:bCs/>
        </w:rPr>
      </w:pPr>
      <w:r>
        <w:rPr>
          <w:bCs/>
        </w:rPr>
        <w:t>The PBAC</w:t>
      </w:r>
      <w:r w:rsidR="00D31920" w:rsidRPr="00D35D44">
        <w:rPr>
          <w:bCs/>
        </w:rPr>
        <w:t xml:space="preserve"> previously considered that the claim of superior comparative effectiveness was reasonable for the ITT population with respect to overall survival, progression-free survival and response rates, although the magnitude of the benefit was small (cetuximab March 2016 PSD 7.5).</w:t>
      </w:r>
      <w:r w:rsidR="000120B1" w:rsidRPr="00D35D44">
        <w:rPr>
          <w:bCs/>
        </w:rPr>
        <w:t xml:space="preserve"> </w:t>
      </w:r>
    </w:p>
    <w:p w:rsidR="00D31920" w:rsidRPr="00C97273" w:rsidRDefault="00D31920" w:rsidP="00846F9C">
      <w:pPr>
        <w:pStyle w:val="ListParagraph"/>
        <w:numPr>
          <w:ilvl w:val="1"/>
          <w:numId w:val="2"/>
        </w:numPr>
        <w:rPr>
          <w:bCs/>
        </w:rPr>
      </w:pPr>
      <w:r w:rsidRPr="00D35D44">
        <w:t xml:space="preserve">The PBAC also </w:t>
      </w:r>
      <w:r w:rsidR="009460A5">
        <w:t xml:space="preserve">previously </w:t>
      </w:r>
      <w:r w:rsidRPr="00D35D44">
        <w:t>considered that the addition of cetuximab to platinum-based chemotherapy is inferior to platinum-based chemotherapy alone in terms of comparative safety for the ITT population, but the adverse event profile to cetuximab i</w:t>
      </w:r>
      <w:r w:rsidR="005F23FA" w:rsidRPr="00D35D44">
        <w:t>s widely known and well managed</w:t>
      </w:r>
      <w:r w:rsidRPr="00D35D44">
        <w:t xml:space="preserve"> (cetuximab March 2016 PSD 7.6)</w:t>
      </w:r>
      <w:r w:rsidR="005F23FA" w:rsidRPr="00D35D44">
        <w:t>.</w:t>
      </w:r>
    </w:p>
    <w:p w:rsidR="005B3E02" w:rsidRPr="009460A5" w:rsidRDefault="00C97273" w:rsidP="00846F9C">
      <w:pPr>
        <w:pStyle w:val="ListParagraph"/>
        <w:numPr>
          <w:ilvl w:val="1"/>
          <w:numId w:val="2"/>
        </w:numPr>
        <w:rPr>
          <w:bCs/>
        </w:rPr>
      </w:pPr>
      <w:r w:rsidRPr="00613FE2">
        <w:t xml:space="preserve">The </w:t>
      </w:r>
      <w:r w:rsidR="009460A5">
        <w:t xml:space="preserve">PBAC agreed with </w:t>
      </w:r>
      <w:r w:rsidRPr="00613FE2">
        <w:t xml:space="preserve">ESC that although the resubmission appropriately presented evidence for the ITT population </w:t>
      </w:r>
      <w:r w:rsidR="004E34DD" w:rsidRPr="00613FE2">
        <w:t xml:space="preserve">and a meta-analysis with other anti-EGFR antibodies, </w:t>
      </w:r>
      <w:r w:rsidRPr="00613FE2">
        <w:t>there was no compelling evidence provided in the resubmission that should necessitate any change to PBAC’s previous conclusions about the clinical claim.</w:t>
      </w:r>
    </w:p>
    <w:p w:rsidR="00D31920" w:rsidRPr="009C7D07" w:rsidRDefault="00D31920" w:rsidP="002E2883">
      <w:pPr>
        <w:pStyle w:val="Heading2"/>
      </w:pPr>
      <w:bookmarkStart w:id="11" w:name="_Toc500767932"/>
      <w:r w:rsidRPr="009C7D07">
        <w:t>Economic analysis</w:t>
      </w:r>
      <w:bookmarkEnd w:id="11"/>
      <w:r w:rsidRPr="009C7D07">
        <w:t xml:space="preserve"> </w:t>
      </w:r>
    </w:p>
    <w:p w:rsidR="00845267" w:rsidRPr="00D35D44" w:rsidRDefault="00D31920" w:rsidP="001B334A">
      <w:pPr>
        <w:pStyle w:val="ListParagraph"/>
        <w:keepNext/>
        <w:widowControl/>
        <w:numPr>
          <w:ilvl w:val="1"/>
          <w:numId w:val="2"/>
        </w:numPr>
        <w:rPr>
          <w:bCs/>
          <w:iCs/>
        </w:rPr>
      </w:pPr>
      <w:r w:rsidRPr="00D35D44">
        <w:rPr>
          <w:rFonts w:cs="Calibri"/>
          <w:bCs/>
          <w:snapToGrid/>
          <w:szCs w:val="24"/>
          <w:lang w:eastAsia="en-AU"/>
        </w:rPr>
        <w:t>The resubmission presented a stepped economic evaluation</w:t>
      </w:r>
      <w:r w:rsidR="003752FC" w:rsidRPr="00D35D44">
        <w:rPr>
          <w:rFonts w:cs="Calibri"/>
          <w:bCs/>
          <w:snapToGrid/>
          <w:szCs w:val="24"/>
          <w:lang w:eastAsia="en-AU"/>
        </w:rPr>
        <w:t xml:space="preserve"> including a</w:t>
      </w:r>
      <w:r w:rsidRPr="00D35D44">
        <w:rPr>
          <w:rFonts w:cs="Calibri"/>
          <w:bCs/>
          <w:snapToGrid/>
          <w:szCs w:val="24"/>
          <w:lang w:eastAsia="en-AU"/>
        </w:rPr>
        <w:t xml:space="preserve"> trial-based </w:t>
      </w:r>
      <w:r w:rsidR="003752FC" w:rsidRPr="00D35D44">
        <w:rPr>
          <w:rFonts w:cs="Calibri"/>
          <w:bCs/>
          <w:snapToGrid/>
          <w:szCs w:val="24"/>
          <w:lang w:eastAsia="en-AU"/>
        </w:rPr>
        <w:t xml:space="preserve">cost per additional responder </w:t>
      </w:r>
      <w:r w:rsidR="00845267" w:rsidRPr="00D35D44">
        <w:rPr>
          <w:rFonts w:cs="Calibri"/>
          <w:bCs/>
          <w:snapToGrid/>
          <w:szCs w:val="24"/>
          <w:lang w:eastAsia="en-AU"/>
        </w:rPr>
        <w:t xml:space="preserve">analysis </w:t>
      </w:r>
      <w:r w:rsidR="003752FC" w:rsidRPr="00D35D44">
        <w:rPr>
          <w:rFonts w:cs="Calibri"/>
          <w:bCs/>
          <w:snapToGrid/>
          <w:szCs w:val="24"/>
          <w:lang w:eastAsia="en-AU"/>
        </w:rPr>
        <w:t xml:space="preserve">based on results of the EXTREME trial, </w:t>
      </w:r>
      <w:r w:rsidR="003752FC" w:rsidRPr="00D35D44">
        <w:rPr>
          <w:rFonts w:cs="Calibri"/>
          <w:bCs/>
          <w:snapToGrid/>
          <w:szCs w:val="24"/>
          <w:lang w:eastAsia="en-AU"/>
        </w:rPr>
        <w:lastRenderedPageBreak/>
        <w:t>followed by an extrapolated modelled economic evaluation using partition</w:t>
      </w:r>
      <w:r w:rsidRPr="00D35D44">
        <w:rPr>
          <w:rFonts w:cs="Calibri"/>
          <w:bCs/>
          <w:snapToGrid/>
          <w:szCs w:val="24"/>
          <w:lang w:eastAsia="en-AU"/>
        </w:rPr>
        <w:t xml:space="preserve"> survival analysis</w:t>
      </w:r>
      <w:r w:rsidR="00845267" w:rsidRPr="00D35D44">
        <w:rPr>
          <w:rFonts w:cs="Calibri"/>
          <w:bCs/>
          <w:snapToGrid/>
          <w:szCs w:val="24"/>
          <w:lang w:eastAsia="en-AU"/>
        </w:rPr>
        <w:t>.</w:t>
      </w:r>
      <w:r w:rsidR="000120B1" w:rsidRPr="00D35D44">
        <w:rPr>
          <w:rFonts w:cs="Calibri"/>
          <w:bCs/>
          <w:snapToGrid/>
          <w:szCs w:val="24"/>
          <w:lang w:eastAsia="en-AU"/>
        </w:rPr>
        <w:t xml:space="preserve"> </w:t>
      </w:r>
      <w:r w:rsidR="00845267" w:rsidRPr="00D35D44">
        <w:rPr>
          <w:rFonts w:cs="Calibri"/>
          <w:bCs/>
          <w:snapToGrid/>
          <w:szCs w:val="24"/>
          <w:lang w:eastAsia="en-AU"/>
        </w:rPr>
        <w:t xml:space="preserve">The modelled structure was unchanged from the March 2016 submission, </w:t>
      </w:r>
      <w:r w:rsidR="00845267" w:rsidRPr="00D35D44">
        <w:rPr>
          <w:bCs/>
          <w:iCs/>
        </w:rPr>
        <w:t>however previously it was referred to as an area under the curve (AUC) analysis.</w:t>
      </w:r>
      <w:r w:rsidR="000120B1" w:rsidRPr="00D35D44">
        <w:rPr>
          <w:bCs/>
          <w:iCs/>
        </w:rPr>
        <w:t xml:space="preserve"> </w:t>
      </w:r>
      <w:proofErr w:type="gramStart"/>
      <w:r w:rsidR="00845267" w:rsidRPr="00D35D44">
        <w:rPr>
          <w:bCs/>
          <w:iCs/>
        </w:rPr>
        <w:t xml:space="preserve">Time to event data (OS and PFS) from EXTREME </w:t>
      </w:r>
      <w:r w:rsidR="001C6711">
        <w:rPr>
          <w:bCs/>
          <w:iCs/>
        </w:rPr>
        <w:t>were</w:t>
      </w:r>
      <w:proofErr w:type="gramEnd"/>
      <w:r w:rsidR="001C6711" w:rsidRPr="00D35D44">
        <w:rPr>
          <w:bCs/>
          <w:iCs/>
        </w:rPr>
        <w:t xml:space="preserve"> </w:t>
      </w:r>
      <w:r w:rsidR="00845267" w:rsidRPr="00D35D44">
        <w:rPr>
          <w:bCs/>
          <w:iCs/>
        </w:rPr>
        <w:t>applied for the first 12 months for PFS and 18.7 months for OS.</w:t>
      </w:r>
      <w:r w:rsidR="000120B1" w:rsidRPr="00D35D44">
        <w:rPr>
          <w:bCs/>
          <w:iCs/>
        </w:rPr>
        <w:t xml:space="preserve"> </w:t>
      </w:r>
      <w:r w:rsidR="00845267" w:rsidRPr="00D35D44">
        <w:rPr>
          <w:bCs/>
          <w:iCs/>
        </w:rPr>
        <w:t>After 12 and 18.7 months, PFS and OS were extrapolated to five years using log logistic parametric distributions.</w:t>
      </w:r>
      <w:r w:rsidR="000120B1" w:rsidRPr="00D35D44">
        <w:rPr>
          <w:bCs/>
        </w:rPr>
        <w:t xml:space="preserve"> </w:t>
      </w:r>
    </w:p>
    <w:p w:rsidR="00D31920" w:rsidRPr="00D35D44" w:rsidRDefault="003752FC" w:rsidP="00846F9C">
      <w:pPr>
        <w:pStyle w:val="ListParagraph"/>
        <w:widowControl/>
        <w:numPr>
          <w:ilvl w:val="1"/>
          <w:numId w:val="2"/>
        </w:numPr>
        <w:rPr>
          <w:bCs/>
        </w:rPr>
      </w:pPr>
      <w:r w:rsidRPr="00D35D44">
        <w:rPr>
          <w:rFonts w:cs="Calibri"/>
          <w:bCs/>
          <w:snapToGrid/>
          <w:szCs w:val="24"/>
          <w:lang w:eastAsia="en-AU"/>
        </w:rPr>
        <w:t xml:space="preserve">The main differences versus the March 2016 submission were: </w:t>
      </w:r>
      <w:proofErr w:type="spellStart"/>
      <w:r w:rsidRPr="00D35D44">
        <w:rPr>
          <w:rFonts w:cs="Calibri"/>
          <w:bCs/>
          <w:snapToGrid/>
          <w:szCs w:val="24"/>
          <w:lang w:eastAsia="en-AU"/>
        </w:rPr>
        <w:t>i</w:t>
      </w:r>
      <w:proofErr w:type="spellEnd"/>
      <w:r w:rsidRPr="00D35D44">
        <w:rPr>
          <w:rFonts w:cs="Calibri"/>
          <w:bCs/>
          <w:snapToGrid/>
          <w:szCs w:val="24"/>
          <w:lang w:eastAsia="en-AU"/>
        </w:rPr>
        <w:t xml:space="preserve">) the resubmission updated the modelled population to reflect the more appropriate </w:t>
      </w:r>
      <w:r w:rsidR="00D31920" w:rsidRPr="00D35D44">
        <w:rPr>
          <w:rFonts w:cs="Calibri"/>
          <w:bCs/>
          <w:snapToGrid/>
          <w:szCs w:val="24"/>
          <w:lang w:eastAsia="en-AU"/>
        </w:rPr>
        <w:t xml:space="preserve">ITT </w:t>
      </w:r>
      <w:r w:rsidRPr="00D35D44">
        <w:rPr>
          <w:rFonts w:cs="Calibri"/>
          <w:bCs/>
          <w:snapToGrid/>
          <w:szCs w:val="24"/>
          <w:lang w:eastAsia="en-AU"/>
        </w:rPr>
        <w:t xml:space="preserve">population and ii) </w:t>
      </w:r>
      <w:r w:rsidR="005F2922" w:rsidRPr="00D35D44">
        <w:rPr>
          <w:rFonts w:cs="Calibri"/>
          <w:bCs/>
          <w:snapToGrid/>
          <w:szCs w:val="24"/>
          <w:lang w:eastAsia="en-AU"/>
        </w:rPr>
        <w:t xml:space="preserve">the resubmission </w:t>
      </w:r>
      <w:r w:rsidR="00845267" w:rsidRPr="00D35D44">
        <w:rPr>
          <w:rFonts w:cs="Calibri"/>
          <w:bCs/>
          <w:snapToGrid/>
          <w:szCs w:val="24"/>
          <w:lang w:eastAsia="en-AU"/>
        </w:rPr>
        <w:t xml:space="preserve">nominated </w:t>
      </w:r>
      <w:proofErr w:type="spellStart"/>
      <w:r w:rsidR="005F2922" w:rsidRPr="00D35D44">
        <w:rPr>
          <w:rFonts w:cs="Calibri"/>
          <w:bCs/>
          <w:snapToGrid/>
          <w:szCs w:val="24"/>
          <w:lang w:eastAsia="en-AU"/>
        </w:rPr>
        <w:t>Greenhalgh</w:t>
      </w:r>
      <w:proofErr w:type="spellEnd"/>
      <w:r w:rsidR="005F2922" w:rsidRPr="00D35D44">
        <w:rPr>
          <w:rFonts w:cs="Calibri"/>
          <w:bCs/>
          <w:snapToGrid/>
          <w:szCs w:val="24"/>
          <w:lang w:eastAsia="en-AU"/>
        </w:rPr>
        <w:t xml:space="preserve"> et al 2008</w:t>
      </w:r>
      <w:r w:rsidR="00B92B93" w:rsidRPr="00D35D44">
        <w:rPr>
          <w:rFonts w:cs="Calibri"/>
          <w:bCs/>
          <w:snapToGrid/>
          <w:szCs w:val="24"/>
          <w:lang w:eastAsia="en-AU"/>
        </w:rPr>
        <w:t xml:space="preserve"> </w:t>
      </w:r>
      <w:r w:rsidR="00845267" w:rsidRPr="00D35D44">
        <w:rPr>
          <w:rFonts w:cs="Calibri"/>
          <w:bCs/>
          <w:snapToGrid/>
          <w:szCs w:val="24"/>
          <w:lang w:eastAsia="en-AU"/>
        </w:rPr>
        <w:t xml:space="preserve">for </w:t>
      </w:r>
      <w:r w:rsidR="005F2922" w:rsidRPr="00D35D44">
        <w:rPr>
          <w:rFonts w:cs="Calibri"/>
          <w:bCs/>
          <w:snapToGrid/>
          <w:szCs w:val="24"/>
          <w:lang w:eastAsia="en-AU"/>
        </w:rPr>
        <w:t xml:space="preserve">source of </w:t>
      </w:r>
      <w:r w:rsidRPr="00D35D44">
        <w:rPr>
          <w:rFonts w:cs="Calibri"/>
          <w:bCs/>
          <w:snapToGrid/>
          <w:szCs w:val="24"/>
          <w:lang w:eastAsia="en-AU"/>
        </w:rPr>
        <w:t>health state uti</w:t>
      </w:r>
      <w:r w:rsidR="00845267" w:rsidRPr="00D35D44">
        <w:rPr>
          <w:rFonts w:cs="Calibri"/>
          <w:bCs/>
          <w:snapToGrid/>
          <w:szCs w:val="24"/>
          <w:lang w:eastAsia="en-AU"/>
        </w:rPr>
        <w:t>lities.</w:t>
      </w:r>
      <w:r w:rsidR="000120B1" w:rsidRPr="00D35D44">
        <w:rPr>
          <w:rFonts w:cs="Calibri"/>
          <w:bCs/>
          <w:snapToGrid/>
          <w:szCs w:val="24"/>
          <w:lang w:eastAsia="en-AU"/>
        </w:rPr>
        <w:t xml:space="preserve"> </w:t>
      </w:r>
      <w:r w:rsidRPr="00D35D44">
        <w:rPr>
          <w:rFonts w:cs="Calibri"/>
          <w:bCs/>
          <w:snapToGrid/>
          <w:szCs w:val="24"/>
          <w:lang w:eastAsia="en-AU"/>
        </w:rPr>
        <w:t xml:space="preserve">A </w:t>
      </w:r>
      <w:r w:rsidR="00D31920" w:rsidRPr="00D35D44">
        <w:rPr>
          <w:rFonts w:cs="Calibri"/>
          <w:bCs/>
          <w:snapToGrid/>
          <w:szCs w:val="24"/>
          <w:lang w:eastAsia="en-AU"/>
        </w:rPr>
        <w:t xml:space="preserve">summary of the model structure </w:t>
      </w:r>
      <w:r w:rsidR="00845267" w:rsidRPr="00D35D44">
        <w:rPr>
          <w:rFonts w:cs="Calibri"/>
          <w:bCs/>
          <w:snapToGrid/>
          <w:szCs w:val="24"/>
          <w:lang w:eastAsia="en-AU"/>
        </w:rPr>
        <w:t xml:space="preserve">and rationale </w:t>
      </w:r>
      <w:r w:rsidR="00D31920" w:rsidRPr="00D35D44">
        <w:rPr>
          <w:rFonts w:cs="Calibri"/>
          <w:bCs/>
          <w:snapToGrid/>
          <w:szCs w:val="24"/>
          <w:lang w:eastAsia="en-AU"/>
        </w:rPr>
        <w:t>is presented in Table 10.</w:t>
      </w:r>
    </w:p>
    <w:p w:rsidR="00D31920" w:rsidRPr="00D35D44" w:rsidRDefault="00D31920" w:rsidP="00A0505C">
      <w:pPr>
        <w:keepNext/>
        <w:rPr>
          <w:rStyle w:val="CommentReference"/>
        </w:rPr>
      </w:pPr>
      <w:r w:rsidRPr="00D35D44">
        <w:rPr>
          <w:rStyle w:val="CommentReference"/>
        </w:rPr>
        <w:t>Table 10: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37"/>
        <w:gridCol w:w="7946"/>
      </w:tblGrid>
      <w:tr w:rsidR="00D31920" w:rsidRPr="00D35D44" w:rsidTr="008402C9">
        <w:trPr>
          <w:tblHeader/>
        </w:trPr>
        <w:tc>
          <w:tcPr>
            <w:tcW w:w="626" w:type="pct"/>
            <w:shd w:val="clear" w:color="auto" w:fill="auto"/>
            <w:vAlign w:val="center"/>
          </w:tcPr>
          <w:p w:rsidR="00D31920" w:rsidRPr="00D35D44" w:rsidRDefault="00D31920" w:rsidP="00A0505C">
            <w:pPr>
              <w:pStyle w:val="Tabletext"/>
              <w:keepNext/>
              <w:rPr>
                <w:b/>
              </w:rPr>
            </w:pPr>
            <w:r w:rsidRPr="00D35D44">
              <w:rPr>
                <w:b/>
              </w:rPr>
              <w:t>Component</w:t>
            </w:r>
          </w:p>
        </w:tc>
        <w:tc>
          <w:tcPr>
            <w:tcW w:w="4374" w:type="pct"/>
            <w:shd w:val="clear" w:color="auto" w:fill="auto"/>
            <w:vAlign w:val="center"/>
          </w:tcPr>
          <w:p w:rsidR="00D31920" w:rsidRPr="00D35D44" w:rsidRDefault="00D31920" w:rsidP="00A0505C">
            <w:pPr>
              <w:pStyle w:val="Tabletext"/>
              <w:keepNext/>
              <w:jc w:val="center"/>
              <w:rPr>
                <w:b/>
              </w:rPr>
            </w:pPr>
            <w:r w:rsidRPr="00D35D44">
              <w:rPr>
                <w:b/>
              </w:rPr>
              <w:t>Summary</w:t>
            </w:r>
          </w:p>
        </w:tc>
      </w:tr>
      <w:tr w:rsidR="00C712F8" w:rsidRPr="00D35D44" w:rsidTr="008402C9">
        <w:tc>
          <w:tcPr>
            <w:tcW w:w="626" w:type="pct"/>
            <w:shd w:val="clear" w:color="auto" w:fill="auto"/>
            <w:vAlign w:val="center"/>
          </w:tcPr>
          <w:p w:rsidR="00C712F8" w:rsidRPr="00D35D44" w:rsidRDefault="00C712F8" w:rsidP="00A0505C">
            <w:pPr>
              <w:pStyle w:val="Tabletext"/>
              <w:keepNext/>
              <w:rPr>
                <w:bCs/>
              </w:rPr>
            </w:pPr>
            <w:r w:rsidRPr="00D35D44">
              <w:rPr>
                <w:bCs/>
              </w:rPr>
              <w:t>Type of analysis</w:t>
            </w:r>
          </w:p>
        </w:tc>
        <w:tc>
          <w:tcPr>
            <w:tcW w:w="4374" w:type="pct"/>
            <w:shd w:val="clear" w:color="auto" w:fill="auto"/>
            <w:vAlign w:val="center"/>
          </w:tcPr>
          <w:p w:rsidR="00C712F8" w:rsidRPr="00D35D44" w:rsidRDefault="00C712F8" w:rsidP="00A0505C">
            <w:pPr>
              <w:pStyle w:val="Tabletext"/>
              <w:keepNext/>
              <w:jc w:val="both"/>
              <w:rPr>
                <w:bCs/>
              </w:rPr>
            </w:pPr>
            <w:r w:rsidRPr="00D35D44">
              <w:rPr>
                <w:bCs/>
                <w:iCs/>
              </w:rPr>
              <w:t xml:space="preserve">The submission presented a </w:t>
            </w:r>
            <w:r w:rsidR="001C6711">
              <w:rPr>
                <w:bCs/>
                <w:iCs/>
              </w:rPr>
              <w:t>partitioned survival analysis</w:t>
            </w:r>
            <w:r w:rsidRPr="00D35D44">
              <w:rPr>
                <w:bCs/>
                <w:iCs/>
              </w:rPr>
              <w:t>.</w:t>
            </w:r>
            <w:r w:rsidR="000120B1" w:rsidRPr="00D35D44">
              <w:rPr>
                <w:bCs/>
                <w:iCs/>
              </w:rPr>
              <w:t xml:space="preserve"> </w:t>
            </w:r>
            <w:r w:rsidRPr="00D35D44">
              <w:rPr>
                <w:bCs/>
                <w:iCs/>
              </w:rPr>
              <w:t>Time to event data (OS and PFS) from EXTREME was applied for the first 12 months for PFS and 18.7 months for OS.</w:t>
            </w:r>
            <w:r w:rsidR="000120B1" w:rsidRPr="00D35D44">
              <w:rPr>
                <w:bCs/>
                <w:iCs/>
              </w:rPr>
              <w:t xml:space="preserve"> </w:t>
            </w:r>
            <w:r w:rsidRPr="00D35D44">
              <w:rPr>
                <w:bCs/>
                <w:iCs/>
              </w:rPr>
              <w:t>After 12 and 18.7 months, PFS and OS were extrapolated to five years in both arms using log logistic parametric distributions.</w:t>
            </w:r>
            <w:r w:rsidR="000120B1" w:rsidRPr="00D35D44">
              <w:rPr>
                <w:bCs/>
              </w:rPr>
              <w:t xml:space="preserve"> </w:t>
            </w:r>
          </w:p>
        </w:tc>
      </w:tr>
      <w:tr w:rsidR="00D31920" w:rsidRPr="00D35D44" w:rsidTr="008402C9">
        <w:tc>
          <w:tcPr>
            <w:tcW w:w="626" w:type="pct"/>
            <w:shd w:val="clear" w:color="auto" w:fill="auto"/>
            <w:vAlign w:val="center"/>
          </w:tcPr>
          <w:p w:rsidR="00D31920" w:rsidRPr="00D35D44" w:rsidRDefault="00D31920" w:rsidP="00A0505C">
            <w:pPr>
              <w:pStyle w:val="Tabletext"/>
              <w:keepNext/>
              <w:rPr>
                <w:bCs/>
              </w:rPr>
            </w:pPr>
            <w:r w:rsidRPr="00D35D44">
              <w:rPr>
                <w:bCs/>
              </w:rPr>
              <w:t>Time horizon</w:t>
            </w:r>
          </w:p>
        </w:tc>
        <w:tc>
          <w:tcPr>
            <w:tcW w:w="4374" w:type="pct"/>
            <w:shd w:val="clear" w:color="auto" w:fill="auto"/>
            <w:vAlign w:val="center"/>
          </w:tcPr>
          <w:p w:rsidR="00D31920" w:rsidRPr="00D35D44" w:rsidRDefault="00FA215F" w:rsidP="00A0505C">
            <w:pPr>
              <w:pStyle w:val="Tabletext"/>
              <w:keepNext/>
              <w:jc w:val="both"/>
              <w:rPr>
                <w:bCs/>
              </w:rPr>
            </w:pPr>
            <w:r w:rsidRPr="00D35D44">
              <w:rPr>
                <w:bCs/>
              </w:rPr>
              <w:t xml:space="preserve">Five year in the model base case versus a median follow up of 19.1 and 18.2 months respectively in the cetuximab+ CT and CT only arms of the EXTREME trial. </w:t>
            </w:r>
            <w:r w:rsidR="008402C9" w:rsidRPr="00D35D44">
              <w:rPr>
                <w:bCs/>
              </w:rPr>
              <w:t>The time horizon wa</w:t>
            </w:r>
            <w:r w:rsidR="00D31920" w:rsidRPr="00D35D44">
              <w:rPr>
                <w:bCs/>
              </w:rPr>
              <w:t>s unchanged from the pr</w:t>
            </w:r>
            <w:r w:rsidR="008402C9" w:rsidRPr="00D35D44">
              <w:rPr>
                <w:bCs/>
              </w:rPr>
              <w:t>evious submission.</w:t>
            </w:r>
            <w:r w:rsidR="000120B1" w:rsidRPr="00D35D44">
              <w:rPr>
                <w:bCs/>
              </w:rPr>
              <w:t xml:space="preserve"> </w:t>
            </w:r>
            <w:r w:rsidR="008402C9" w:rsidRPr="00D35D44">
              <w:rPr>
                <w:bCs/>
              </w:rPr>
              <w:t>The PBAC had</w:t>
            </w:r>
            <w:r w:rsidR="00D31920" w:rsidRPr="00D35D44">
              <w:rPr>
                <w:bCs/>
              </w:rPr>
              <w:t xml:space="preserve"> previously considered a </w:t>
            </w:r>
            <w:r w:rsidR="008402C9" w:rsidRPr="00D35D44">
              <w:rPr>
                <w:bCs/>
              </w:rPr>
              <w:t>five-year</w:t>
            </w:r>
            <w:r w:rsidR="00D31920" w:rsidRPr="00D35D44">
              <w:rPr>
                <w:bCs/>
              </w:rPr>
              <w:t xml:space="preserve"> time horizo</w:t>
            </w:r>
            <w:r w:rsidR="008402C9" w:rsidRPr="00D35D44">
              <w:rPr>
                <w:bCs/>
              </w:rPr>
              <w:t>n to be optimistic.</w:t>
            </w:r>
            <w:r w:rsidR="000120B1" w:rsidRPr="00D35D44">
              <w:rPr>
                <w:bCs/>
              </w:rPr>
              <w:t xml:space="preserve"> </w:t>
            </w:r>
            <w:r w:rsidR="008402C9" w:rsidRPr="00D35D44">
              <w:rPr>
                <w:bCs/>
              </w:rPr>
              <w:t>The model wa</w:t>
            </w:r>
            <w:r w:rsidR="00D31920" w:rsidRPr="00D35D44">
              <w:rPr>
                <w:bCs/>
              </w:rPr>
              <w:t>s sensit</w:t>
            </w:r>
            <w:r w:rsidR="008402C9" w:rsidRPr="00D35D44">
              <w:rPr>
                <w:bCs/>
              </w:rPr>
              <w:t>ive to the time horizon.</w:t>
            </w:r>
          </w:p>
        </w:tc>
      </w:tr>
      <w:tr w:rsidR="00D31920" w:rsidRPr="00D35D44" w:rsidTr="008402C9">
        <w:tc>
          <w:tcPr>
            <w:tcW w:w="626" w:type="pct"/>
            <w:shd w:val="clear" w:color="auto" w:fill="auto"/>
            <w:vAlign w:val="center"/>
          </w:tcPr>
          <w:p w:rsidR="00D31920" w:rsidRPr="00D35D44" w:rsidRDefault="00D31920" w:rsidP="00A0505C">
            <w:pPr>
              <w:pStyle w:val="Tabletext"/>
              <w:keepNext/>
              <w:rPr>
                <w:bCs/>
              </w:rPr>
            </w:pPr>
            <w:r w:rsidRPr="00D35D44">
              <w:rPr>
                <w:bCs/>
              </w:rPr>
              <w:t>Outcomes</w:t>
            </w:r>
          </w:p>
        </w:tc>
        <w:tc>
          <w:tcPr>
            <w:tcW w:w="4374" w:type="pct"/>
            <w:shd w:val="clear" w:color="auto" w:fill="auto"/>
            <w:vAlign w:val="center"/>
          </w:tcPr>
          <w:p w:rsidR="00D31920" w:rsidRPr="00D35D44" w:rsidRDefault="00D31920" w:rsidP="007B5578">
            <w:pPr>
              <w:pStyle w:val="Tabletext"/>
              <w:keepNext/>
              <w:jc w:val="both"/>
              <w:rPr>
                <w:bCs/>
              </w:rPr>
            </w:pPr>
            <w:r w:rsidRPr="00D35D44">
              <w:rPr>
                <w:bCs/>
              </w:rPr>
              <w:t>Responder, life year gained and QALY gained.</w:t>
            </w:r>
            <w:r w:rsidR="000120B1" w:rsidRPr="00D35D44">
              <w:rPr>
                <w:bCs/>
              </w:rPr>
              <w:t xml:space="preserve"> </w:t>
            </w:r>
          </w:p>
        </w:tc>
      </w:tr>
      <w:tr w:rsidR="00D31920" w:rsidRPr="00D35D44" w:rsidTr="008402C9">
        <w:tc>
          <w:tcPr>
            <w:tcW w:w="626" w:type="pct"/>
            <w:shd w:val="clear" w:color="auto" w:fill="auto"/>
            <w:vAlign w:val="center"/>
          </w:tcPr>
          <w:p w:rsidR="00D31920" w:rsidRPr="00D35D44" w:rsidRDefault="00D31920" w:rsidP="00A0505C">
            <w:pPr>
              <w:pStyle w:val="Tabletext"/>
              <w:keepNext/>
              <w:rPr>
                <w:bCs/>
              </w:rPr>
            </w:pPr>
            <w:r w:rsidRPr="00D35D44">
              <w:rPr>
                <w:bCs/>
              </w:rPr>
              <w:t>Methods used to generate results</w:t>
            </w:r>
          </w:p>
        </w:tc>
        <w:tc>
          <w:tcPr>
            <w:tcW w:w="4374" w:type="pct"/>
            <w:shd w:val="clear" w:color="auto" w:fill="auto"/>
            <w:vAlign w:val="center"/>
          </w:tcPr>
          <w:p w:rsidR="00D31920" w:rsidRPr="00D35D44" w:rsidRDefault="008402C9" w:rsidP="00A0505C">
            <w:pPr>
              <w:pStyle w:val="Tabletext"/>
              <w:keepNext/>
              <w:jc w:val="both"/>
              <w:rPr>
                <w:bCs/>
              </w:rPr>
            </w:pPr>
            <w:r w:rsidRPr="00D35D44">
              <w:rPr>
                <w:bCs/>
              </w:rPr>
              <w:t>Partition survival analysis</w:t>
            </w:r>
            <w:r w:rsidR="00CC5C4F" w:rsidRPr="00D35D44">
              <w:rPr>
                <w:bCs/>
              </w:rPr>
              <w:t>, using time to event data from the EXTREME trial plus parametric extrapolation to 5 years.</w:t>
            </w:r>
            <w:r w:rsidR="000120B1" w:rsidRPr="00D35D44">
              <w:rPr>
                <w:bCs/>
              </w:rPr>
              <w:t xml:space="preserve"> </w:t>
            </w:r>
            <w:r w:rsidR="00D31920" w:rsidRPr="00D35D44">
              <w:rPr>
                <w:bCs/>
              </w:rPr>
              <w:t xml:space="preserve">AUC analysis </w:t>
            </w:r>
            <w:r w:rsidR="00CC5C4F" w:rsidRPr="00D35D44">
              <w:rPr>
                <w:bCs/>
              </w:rPr>
              <w:t xml:space="preserve">were then </w:t>
            </w:r>
            <w:r w:rsidR="00D31920" w:rsidRPr="00D35D44">
              <w:rPr>
                <w:bCs/>
              </w:rPr>
              <w:t>undertaken to estimate accumulated life years with and without disease progression.</w:t>
            </w:r>
            <w:r w:rsidR="000120B1" w:rsidRPr="00D35D44">
              <w:rPr>
                <w:bCs/>
              </w:rPr>
              <w:t xml:space="preserve"> </w:t>
            </w:r>
            <w:r w:rsidR="00CC5C4F" w:rsidRPr="00D35D44">
              <w:rPr>
                <w:bCs/>
              </w:rPr>
              <w:t>Progressed disease was estimated as the difference between OS and PFS.</w:t>
            </w:r>
            <w:r w:rsidR="000120B1" w:rsidRPr="00D35D44">
              <w:rPr>
                <w:bCs/>
              </w:rPr>
              <w:t xml:space="preserve"> </w:t>
            </w:r>
            <w:r w:rsidR="00CC5C4F" w:rsidRPr="00D35D44">
              <w:rPr>
                <w:bCs/>
              </w:rPr>
              <w:t xml:space="preserve">QALYs were then estimated by applying health state utility </w:t>
            </w:r>
            <w:r w:rsidR="00D31920" w:rsidRPr="00D35D44">
              <w:rPr>
                <w:bCs/>
              </w:rPr>
              <w:t xml:space="preserve">values from </w:t>
            </w:r>
            <w:proofErr w:type="spellStart"/>
            <w:r w:rsidR="00D31920" w:rsidRPr="00D35D44">
              <w:rPr>
                <w:bCs/>
              </w:rPr>
              <w:t>G</w:t>
            </w:r>
            <w:r w:rsidR="007A00F6" w:rsidRPr="00D35D44">
              <w:rPr>
                <w:bCs/>
              </w:rPr>
              <w:t>reenhalgh</w:t>
            </w:r>
            <w:proofErr w:type="spellEnd"/>
            <w:r w:rsidR="007A00F6" w:rsidRPr="00D35D44">
              <w:rPr>
                <w:bCs/>
              </w:rPr>
              <w:t xml:space="preserve"> </w:t>
            </w:r>
            <w:r w:rsidR="00DD51BE" w:rsidRPr="00D35D44">
              <w:rPr>
                <w:bCs/>
              </w:rPr>
              <w:t>et al 2008</w:t>
            </w:r>
            <w:r w:rsidR="00D31920" w:rsidRPr="00D35D44">
              <w:rPr>
                <w:bCs/>
              </w:rPr>
              <w:t xml:space="preserve"> </w:t>
            </w:r>
            <w:r w:rsidR="00CC5C4F" w:rsidRPr="00D35D44">
              <w:rPr>
                <w:bCs/>
              </w:rPr>
              <w:t xml:space="preserve">which reported the results of </w:t>
            </w:r>
            <w:r w:rsidR="00D4388C" w:rsidRPr="00D35D44">
              <w:rPr>
                <w:bCs/>
              </w:rPr>
              <w:t xml:space="preserve">the </w:t>
            </w:r>
            <w:r w:rsidR="00CC5C4F" w:rsidRPr="00D35D44">
              <w:rPr>
                <w:bCs/>
              </w:rPr>
              <w:t>submission to NICE.</w:t>
            </w:r>
            <w:r w:rsidR="000120B1" w:rsidRPr="00D35D44">
              <w:rPr>
                <w:bCs/>
              </w:rPr>
              <w:t xml:space="preserve"> </w:t>
            </w:r>
            <w:r w:rsidR="000D708F" w:rsidRPr="00D35D44">
              <w:rPr>
                <w:bCs/>
                <w:iCs/>
              </w:rPr>
              <w:t xml:space="preserve">The </w:t>
            </w:r>
            <w:r w:rsidR="008F7556" w:rsidRPr="00D35D44">
              <w:rPr>
                <w:bCs/>
                <w:iCs/>
              </w:rPr>
              <w:t xml:space="preserve">ESC </w:t>
            </w:r>
            <w:r w:rsidR="000D708F" w:rsidRPr="00D35D44">
              <w:rPr>
                <w:bCs/>
                <w:iCs/>
              </w:rPr>
              <w:t xml:space="preserve">had previously expressed concerns </w:t>
            </w:r>
            <w:r w:rsidR="008F7556" w:rsidRPr="00D35D44">
              <w:rPr>
                <w:bCs/>
                <w:iCs/>
              </w:rPr>
              <w:t xml:space="preserve">that utilities reported in </w:t>
            </w:r>
            <w:proofErr w:type="spellStart"/>
            <w:r w:rsidR="000D708F" w:rsidRPr="00D35D44">
              <w:rPr>
                <w:bCs/>
              </w:rPr>
              <w:t>Paleri</w:t>
            </w:r>
            <w:proofErr w:type="spellEnd"/>
            <w:r w:rsidR="000D708F" w:rsidRPr="00D35D44">
              <w:rPr>
                <w:bCs/>
              </w:rPr>
              <w:t xml:space="preserve"> 2008 (used in the March 2016 model) </w:t>
            </w:r>
            <w:r w:rsidR="00282E75" w:rsidRPr="00D35D44">
              <w:rPr>
                <w:bCs/>
              </w:rPr>
              <w:t xml:space="preserve">were </w:t>
            </w:r>
            <w:r w:rsidR="008F7556" w:rsidRPr="00D35D44">
              <w:rPr>
                <w:bCs/>
              </w:rPr>
              <w:t xml:space="preserve">not robust </w:t>
            </w:r>
            <w:r w:rsidR="000D708F" w:rsidRPr="00D35D44">
              <w:rPr>
                <w:bCs/>
              </w:rPr>
              <w:t xml:space="preserve">since the health state utilities </w:t>
            </w:r>
            <w:r w:rsidR="008F7556" w:rsidRPr="00D35D44">
              <w:rPr>
                <w:bCs/>
              </w:rPr>
              <w:t xml:space="preserve">in </w:t>
            </w:r>
            <w:proofErr w:type="spellStart"/>
            <w:r w:rsidR="008F7556" w:rsidRPr="00D35D44">
              <w:rPr>
                <w:bCs/>
              </w:rPr>
              <w:t>Paleri</w:t>
            </w:r>
            <w:proofErr w:type="spellEnd"/>
            <w:r w:rsidR="008F7556" w:rsidRPr="00D35D44">
              <w:rPr>
                <w:bCs/>
              </w:rPr>
              <w:t xml:space="preserve"> </w:t>
            </w:r>
            <w:r w:rsidR="00D4388C" w:rsidRPr="00D35D44">
              <w:rPr>
                <w:bCs/>
              </w:rPr>
              <w:t xml:space="preserve">2008 </w:t>
            </w:r>
            <w:r w:rsidR="008F7556" w:rsidRPr="00D35D44">
              <w:rPr>
                <w:bCs/>
              </w:rPr>
              <w:t>w</w:t>
            </w:r>
            <w:r w:rsidR="00D4388C" w:rsidRPr="00D35D44">
              <w:rPr>
                <w:bCs/>
              </w:rPr>
              <w:t>ere</w:t>
            </w:r>
            <w:r w:rsidR="008F7556" w:rsidRPr="00D35D44">
              <w:rPr>
                <w:bCs/>
              </w:rPr>
              <w:t xml:space="preserve"> obtained from a consensus of two UK clinicians for good and poor symptom control with palliative care.</w:t>
            </w:r>
            <w:r w:rsidR="000120B1" w:rsidRPr="00D35D44">
              <w:rPr>
                <w:bCs/>
              </w:rPr>
              <w:t xml:space="preserve"> </w:t>
            </w:r>
            <w:r w:rsidR="00CC5C4F" w:rsidRPr="00D35D44">
              <w:rPr>
                <w:bCs/>
                <w:iCs/>
              </w:rPr>
              <w:t>Model structure was identical to the March 2016 submission.</w:t>
            </w:r>
          </w:p>
        </w:tc>
      </w:tr>
      <w:tr w:rsidR="00D31920" w:rsidRPr="00D35D44" w:rsidTr="008402C9">
        <w:trPr>
          <w:trHeight w:val="485"/>
        </w:trPr>
        <w:tc>
          <w:tcPr>
            <w:tcW w:w="626" w:type="pct"/>
            <w:shd w:val="clear" w:color="auto" w:fill="auto"/>
            <w:vAlign w:val="center"/>
          </w:tcPr>
          <w:p w:rsidR="00D31920" w:rsidRPr="00D35D44" w:rsidRDefault="00AF1B27" w:rsidP="00A0505C">
            <w:pPr>
              <w:pStyle w:val="Tabletext"/>
              <w:keepNext/>
              <w:rPr>
                <w:bCs/>
              </w:rPr>
            </w:pPr>
            <w:r>
              <w:rPr>
                <w:bCs/>
              </w:rPr>
              <w:t xml:space="preserve"> Extrapolation</w:t>
            </w:r>
          </w:p>
        </w:tc>
        <w:tc>
          <w:tcPr>
            <w:tcW w:w="4374" w:type="pct"/>
            <w:shd w:val="clear" w:color="auto" w:fill="auto"/>
            <w:vAlign w:val="center"/>
          </w:tcPr>
          <w:p w:rsidR="00D31920" w:rsidRPr="00D35D44" w:rsidRDefault="00D31920" w:rsidP="00A0505C">
            <w:pPr>
              <w:pStyle w:val="Tabletext"/>
              <w:keepNext/>
              <w:jc w:val="both"/>
              <w:rPr>
                <w:bCs/>
              </w:rPr>
            </w:pPr>
            <w:r w:rsidRPr="00D35D44">
              <w:rPr>
                <w:bCs/>
              </w:rPr>
              <w:t>Time to event data (OS and PFS) from EXTREME was applied for the first 12 months for PFS and 18.7 months for OS.</w:t>
            </w:r>
            <w:r w:rsidR="000120B1" w:rsidRPr="00D35D44">
              <w:rPr>
                <w:bCs/>
              </w:rPr>
              <w:t xml:space="preserve"> </w:t>
            </w:r>
            <w:r w:rsidRPr="00D35D44">
              <w:rPr>
                <w:bCs/>
              </w:rPr>
              <w:t>After 12 and 18.7 months, PFS and OS were extrapolated to five years using log logistic parametric distributions.</w:t>
            </w:r>
            <w:r w:rsidR="000120B1" w:rsidRPr="00D35D44">
              <w:rPr>
                <w:bCs/>
              </w:rPr>
              <w:t xml:space="preserve"> </w:t>
            </w:r>
            <w:r w:rsidR="00CC5C4F" w:rsidRPr="00D35D44">
              <w:rPr>
                <w:bCs/>
              </w:rPr>
              <w:t xml:space="preserve">The extrapolation function was chosen </w:t>
            </w:r>
            <w:r w:rsidRPr="00D35D44">
              <w:rPr>
                <w:bCs/>
              </w:rPr>
              <w:t>among six possible parametric functions (exponential, Weibull, log logistic, log normal, Gamma and Gompertz).</w:t>
            </w:r>
            <w:r w:rsidR="000120B1" w:rsidRPr="00D35D44">
              <w:rPr>
                <w:bCs/>
              </w:rPr>
              <w:t xml:space="preserve"> </w:t>
            </w:r>
            <w:r w:rsidR="00CC5C4F" w:rsidRPr="00D35D44">
              <w:rPr>
                <w:bCs/>
                <w:iCs/>
              </w:rPr>
              <w:t xml:space="preserve">The previous submission had also used the </w:t>
            </w:r>
            <w:r w:rsidRPr="00D35D44">
              <w:rPr>
                <w:bCs/>
                <w:iCs/>
              </w:rPr>
              <w:t xml:space="preserve">log logistic function </w:t>
            </w:r>
            <w:r w:rsidR="00CC5C4F" w:rsidRPr="00D35D44">
              <w:rPr>
                <w:bCs/>
                <w:iCs/>
              </w:rPr>
              <w:t xml:space="preserve">to </w:t>
            </w:r>
            <w:r w:rsidRPr="00D35D44">
              <w:rPr>
                <w:bCs/>
                <w:iCs/>
              </w:rPr>
              <w:t>extrapolate</w:t>
            </w:r>
            <w:r w:rsidR="00CC5C4F" w:rsidRPr="00D35D44">
              <w:rPr>
                <w:bCs/>
                <w:iCs/>
              </w:rPr>
              <w:t xml:space="preserve"> time to event data for the ITT population.</w:t>
            </w:r>
          </w:p>
        </w:tc>
      </w:tr>
    </w:tbl>
    <w:p w:rsidR="00CC5C4F" w:rsidRPr="00D35D44" w:rsidRDefault="00CC5C4F" w:rsidP="00124F5B">
      <w:pPr>
        <w:pStyle w:val="TableFooter"/>
        <w:rPr>
          <w:bCs/>
        </w:rPr>
      </w:pPr>
      <w:r w:rsidRPr="00D35D44">
        <w:rPr>
          <w:bCs/>
        </w:rPr>
        <w:t xml:space="preserve">Abbreviations: </w:t>
      </w:r>
      <w:r w:rsidR="00124F5B" w:rsidRPr="00D35D44">
        <w:rPr>
          <w:bCs/>
        </w:rPr>
        <w:t xml:space="preserve">CT = chemotherapy, QALY = quality adjusted life year, AUC = area under curve, OS = overall survival, PFS = progression free survival, </w:t>
      </w:r>
      <w:r w:rsidRPr="00D35D44">
        <w:rPr>
          <w:bCs/>
        </w:rPr>
        <w:t>NICE</w:t>
      </w:r>
      <w:r w:rsidR="00124F5B" w:rsidRPr="00D35D44">
        <w:rPr>
          <w:bCs/>
        </w:rPr>
        <w:t xml:space="preserve"> = National institute for Health and Care Excellence </w:t>
      </w:r>
    </w:p>
    <w:p w:rsidR="00D31920" w:rsidRPr="00D35D44" w:rsidRDefault="00D31920" w:rsidP="001B334A">
      <w:pPr>
        <w:pStyle w:val="TableFooter"/>
        <w:spacing w:after="120"/>
        <w:rPr>
          <w:bCs/>
        </w:rPr>
      </w:pPr>
      <w:r w:rsidRPr="00D35D44">
        <w:rPr>
          <w:bCs/>
        </w:rPr>
        <w:t>Source: Table</w:t>
      </w:r>
      <w:r w:rsidR="001B334A">
        <w:rPr>
          <w:bCs/>
        </w:rPr>
        <w:t xml:space="preserve"> 3.1.1, p91 of the resubmission</w:t>
      </w:r>
    </w:p>
    <w:p w:rsidR="00D31920" w:rsidRPr="00D35D44" w:rsidRDefault="00D31920" w:rsidP="00846F9C">
      <w:pPr>
        <w:pStyle w:val="ListParagraph"/>
        <w:widowControl/>
        <w:numPr>
          <w:ilvl w:val="1"/>
          <w:numId w:val="2"/>
        </w:numPr>
        <w:rPr>
          <w:bCs/>
        </w:rPr>
      </w:pPr>
      <w:r w:rsidRPr="00D35D44">
        <w:rPr>
          <w:bCs/>
        </w:rPr>
        <w:t xml:space="preserve">The key drivers </w:t>
      </w:r>
      <w:r w:rsidR="00CC5C4F" w:rsidRPr="00D35D44">
        <w:rPr>
          <w:bCs/>
        </w:rPr>
        <w:t xml:space="preserve">of the modelled economic evaluation are </w:t>
      </w:r>
      <w:r w:rsidRPr="00D35D44">
        <w:rPr>
          <w:bCs/>
        </w:rPr>
        <w:t xml:space="preserve">summarised in Table 11. </w:t>
      </w:r>
    </w:p>
    <w:p w:rsidR="00D31920" w:rsidRPr="00D35D44" w:rsidRDefault="00D31920" w:rsidP="001B334A">
      <w:pPr>
        <w:keepNext/>
        <w:rPr>
          <w:rStyle w:val="CommentReference"/>
        </w:rPr>
      </w:pPr>
      <w:r w:rsidRPr="00D35D44">
        <w:rPr>
          <w:rStyle w:val="CommentReference"/>
        </w:rPr>
        <w:lastRenderedPageBreak/>
        <w:t>Table 11: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7"/>
        <w:gridCol w:w="6569"/>
        <w:gridCol w:w="1377"/>
      </w:tblGrid>
      <w:tr w:rsidR="00D31920" w:rsidRPr="00D35D44" w:rsidTr="00B92B93">
        <w:trPr>
          <w:tblHeader/>
        </w:trPr>
        <w:tc>
          <w:tcPr>
            <w:tcW w:w="626" w:type="pct"/>
            <w:shd w:val="clear" w:color="auto" w:fill="auto"/>
            <w:vAlign w:val="center"/>
          </w:tcPr>
          <w:p w:rsidR="00D31920" w:rsidRPr="00D35D44" w:rsidRDefault="00D31920" w:rsidP="001B334A">
            <w:pPr>
              <w:pStyle w:val="Tabletext"/>
              <w:keepNext/>
              <w:rPr>
                <w:b/>
              </w:rPr>
            </w:pPr>
            <w:r w:rsidRPr="00D35D44">
              <w:rPr>
                <w:b/>
              </w:rPr>
              <w:t>Description</w:t>
            </w:r>
          </w:p>
        </w:tc>
        <w:tc>
          <w:tcPr>
            <w:tcW w:w="3616" w:type="pct"/>
            <w:shd w:val="clear" w:color="auto" w:fill="auto"/>
            <w:vAlign w:val="center"/>
          </w:tcPr>
          <w:p w:rsidR="00D31920" w:rsidRPr="00D35D44" w:rsidRDefault="00D31920" w:rsidP="001B334A">
            <w:pPr>
              <w:pStyle w:val="Tabletext"/>
              <w:keepNext/>
              <w:jc w:val="center"/>
              <w:rPr>
                <w:b/>
              </w:rPr>
            </w:pPr>
            <w:r w:rsidRPr="00D35D44">
              <w:rPr>
                <w:b/>
              </w:rPr>
              <w:t>Method/Value</w:t>
            </w:r>
          </w:p>
        </w:tc>
        <w:tc>
          <w:tcPr>
            <w:tcW w:w="758" w:type="pct"/>
            <w:shd w:val="clear" w:color="auto" w:fill="auto"/>
            <w:vAlign w:val="center"/>
          </w:tcPr>
          <w:p w:rsidR="00D31920" w:rsidRPr="00D35D44" w:rsidRDefault="00D31920" w:rsidP="001B334A">
            <w:pPr>
              <w:pStyle w:val="Tabletext"/>
              <w:keepNext/>
              <w:jc w:val="center"/>
              <w:rPr>
                <w:b/>
                <w:iCs/>
              </w:rPr>
            </w:pPr>
            <w:r w:rsidRPr="00D35D44">
              <w:rPr>
                <w:b/>
                <w:iCs/>
              </w:rPr>
              <w:t>Impact</w:t>
            </w:r>
          </w:p>
        </w:tc>
      </w:tr>
      <w:tr w:rsidR="00D31920" w:rsidRPr="00D35D44" w:rsidTr="00B92B93">
        <w:tc>
          <w:tcPr>
            <w:tcW w:w="626" w:type="pct"/>
            <w:shd w:val="clear" w:color="auto" w:fill="auto"/>
            <w:vAlign w:val="center"/>
          </w:tcPr>
          <w:p w:rsidR="00D31920" w:rsidRPr="00D35D44" w:rsidRDefault="00D31920" w:rsidP="001B334A">
            <w:pPr>
              <w:pStyle w:val="Tabletext"/>
              <w:keepNext/>
              <w:rPr>
                <w:bCs/>
              </w:rPr>
            </w:pPr>
            <w:r w:rsidRPr="00D35D44">
              <w:rPr>
                <w:bCs/>
              </w:rPr>
              <w:t>Extrapolation</w:t>
            </w:r>
          </w:p>
        </w:tc>
        <w:tc>
          <w:tcPr>
            <w:tcW w:w="3616" w:type="pct"/>
            <w:shd w:val="clear" w:color="auto" w:fill="auto"/>
            <w:vAlign w:val="center"/>
          </w:tcPr>
          <w:p w:rsidR="00D31920" w:rsidRPr="00D35D44" w:rsidRDefault="00A06CE5" w:rsidP="001B334A">
            <w:pPr>
              <w:pStyle w:val="Tabletext"/>
              <w:keepNext/>
            </w:pPr>
            <w:r w:rsidRPr="00D35D44">
              <w:rPr>
                <w:bCs/>
              </w:rPr>
              <w:t xml:space="preserve">The method used to extrapolate time to event data had a significant impact on the ICER. Results of extrapolations conducted during the evaluation using alternate parametric survival functions illustrated that </w:t>
            </w:r>
            <w:r w:rsidRPr="00D35D44">
              <w:t xml:space="preserve">while most curves appeared to follow the Kaplan-Meier trial-based curves, their extrapolated </w:t>
            </w:r>
            <w:r w:rsidR="007B5578">
              <w:t>estimates</w:t>
            </w:r>
            <w:r w:rsidR="007B5578" w:rsidRPr="00D35D44">
              <w:t xml:space="preserve"> </w:t>
            </w:r>
            <w:r w:rsidRPr="00D35D44">
              <w:t>varied greatly.</w:t>
            </w:r>
            <w:r w:rsidR="000120B1" w:rsidRPr="00D35D44">
              <w:t xml:space="preserve"> </w:t>
            </w:r>
            <w:r w:rsidRPr="00D35D44">
              <w:t>The reported AIC values were also similar across several parametric functions with no</w:t>
            </w:r>
            <w:r w:rsidR="00282E75" w:rsidRPr="00D35D44">
              <w:t xml:space="preserve"> function having a</w:t>
            </w:r>
            <w:r w:rsidRPr="00D35D44">
              <w:t xml:space="preserve"> clear</w:t>
            </w:r>
            <w:r w:rsidR="00282E75" w:rsidRPr="00D35D44">
              <w:t xml:space="preserve"> superior fit</w:t>
            </w:r>
            <w:r w:rsidR="000D708F" w:rsidRPr="00D35D44">
              <w:t>.</w:t>
            </w:r>
            <w:r w:rsidR="000120B1" w:rsidRPr="00D35D44">
              <w:t xml:space="preserve"> </w:t>
            </w:r>
            <w:r w:rsidR="000D708F" w:rsidRPr="00D35D44">
              <w:t xml:space="preserve">Compared with Weibull extrapolation which was used in the </w:t>
            </w:r>
            <w:r w:rsidR="000D708F" w:rsidRPr="00D35D44">
              <w:rPr>
                <w:iCs/>
              </w:rPr>
              <w:t>model evaluated by NICE</w:t>
            </w:r>
            <w:r w:rsidR="000D708F" w:rsidRPr="00D35D44">
              <w:t>, extrapolation using the log logistic function allowed individuals to prolong time spent in</w:t>
            </w:r>
            <w:r w:rsidR="008F4D78" w:rsidRPr="00D35D44">
              <w:t xml:space="preserve"> their</w:t>
            </w:r>
            <w:r w:rsidR="000D708F" w:rsidRPr="00D35D44">
              <w:t xml:space="preserve"> current health state, with an elongated tail (see Figure 3 below).</w:t>
            </w:r>
            <w:r w:rsidR="000120B1" w:rsidRPr="00D35D44">
              <w:t xml:space="preserve"> </w:t>
            </w:r>
            <w:r w:rsidR="000D708F" w:rsidRPr="00D35D44">
              <w:t>This significantly favoured cetuximab + CT, since a higher proportion of individuals were in PFS and OS at the truncation point of the Kaplan Meier curves, an elongated tail in the survival function would ensure more benefit would accrue to patient in the cetuximab + CT arm over time compared to CT o</w:t>
            </w:r>
            <w:r w:rsidR="00681ED6" w:rsidRPr="00D35D44">
              <w:t>nly.</w:t>
            </w:r>
          </w:p>
        </w:tc>
        <w:tc>
          <w:tcPr>
            <w:tcW w:w="758" w:type="pct"/>
            <w:shd w:val="clear" w:color="auto" w:fill="auto"/>
            <w:vAlign w:val="center"/>
          </w:tcPr>
          <w:p w:rsidR="00D31920" w:rsidRPr="00D35D44" w:rsidRDefault="00CC5C4F" w:rsidP="001B334A">
            <w:pPr>
              <w:pStyle w:val="Tabletext"/>
              <w:keepNext/>
              <w:jc w:val="center"/>
              <w:rPr>
                <w:bCs/>
                <w:iCs/>
              </w:rPr>
            </w:pPr>
            <w:r w:rsidRPr="00D35D44">
              <w:rPr>
                <w:bCs/>
                <w:iCs/>
              </w:rPr>
              <w:t>High</w:t>
            </w:r>
            <w:r w:rsidR="00AE282D" w:rsidRPr="00D35D44">
              <w:rPr>
                <w:bCs/>
                <w:iCs/>
              </w:rPr>
              <w:t>,</w:t>
            </w:r>
            <w:r w:rsidR="000120B1" w:rsidRPr="00D35D44">
              <w:rPr>
                <w:bCs/>
                <w:iCs/>
              </w:rPr>
              <w:t xml:space="preserve"> </w:t>
            </w:r>
            <w:r w:rsidR="00A760A6" w:rsidRPr="00D35D44">
              <w:rPr>
                <w:bCs/>
                <w:iCs/>
              </w:rPr>
              <w:t>f</w:t>
            </w:r>
            <w:r w:rsidRPr="00D35D44">
              <w:rPr>
                <w:bCs/>
                <w:iCs/>
              </w:rPr>
              <w:t>avoured</w:t>
            </w:r>
            <w:r w:rsidR="00D31920" w:rsidRPr="00D35D44">
              <w:rPr>
                <w:bCs/>
                <w:iCs/>
              </w:rPr>
              <w:t xml:space="preserve"> cetuximab</w:t>
            </w:r>
          </w:p>
        </w:tc>
      </w:tr>
      <w:tr w:rsidR="00D31920" w:rsidRPr="00D35D44" w:rsidTr="00B92B93">
        <w:tc>
          <w:tcPr>
            <w:tcW w:w="626" w:type="pct"/>
            <w:shd w:val="clear" w:color="auto" w:fill="auto"/>
            <w:vAlign w:val="center"/>
          </w:tcPr>
          <w:p w:rsidR="00D31920" w:rsidRPr="00D35D44" w:rsidRDefault="00D31920" w:rsidP="001B334A">
            <w:pPr>
              <w:pStyle w:val="Tabletext"/>
              <w:keepNext/>
              <w:rPr>
                <w:bCs/>
              </w:rPr>
            </w:pPr>
            <w:r w:rsidRPr="00D35D44">
              <w:rPr>
                <w:bCs/>
              </w:rPr>
              <w:t>Utilities</w:t>
            </w:r>
          </w:p>
        </w:tc>
        <w:tc>
          <w:tcPr>
            <w:tcW w:w="3616" w:type="pct"/>
            <w:shd w:val="clear" w:color="auto" w:fill="auto"/>
            <w:vAlign w:val="center"/>
          </w:tcPr>
          <w:p w:rsidR="00D31920" w:rsidRPr="00D35D44" w:rsidRDefault="00D31920" w:rsidP="001B334A">
            <w:pPr>
              <w:pStyle w:val="Tabletext"/>
              <w:keepNext/>
              <w:rPr>
                <w:bCs/>
              </w:rPr>
            </w:pPr>
            <w:r w:rsidRPr="00D35D44">
              <w:rPr>
                <w:bCs/>
              </w:rPr>
              <w:t>Different to the previous submission, which use</w:t>
            </w:r>
            <w:r w:rsidR="000D708F" w:rsidRPr="00D35D44">
              <w:rPr>
                <w:bCs/>
              </w:rPr>
              <w:t>d utility value</w:t>
            </w:r>
            <w:r w:rsidR="008F4D78" w:rsidRPr="00D35D44">
              <w:rPr>
                <w:bCs/>
              </w:rPr>
              <w:t>s</w:t>
            </w:r>
            <w:r w:rsidR="000D708F" w:rsidRPr="00D35D44">
              <w:rPr>
                <w:bCs/>
              </w:rPr>
              <w:t xml:space="preserve"> reported by </w:t>
            </w:r>
            <w:proofErr w:type="spellStart"/>
            <w:r w:rsidR="000D708F" w:rsidRPr="00D35D44">
              <w:rPr>
                <w:bCs/>
              </w:rPr>
              <w:t>Paleri</w:t>
            </w:r>
            <w:proofErr w:type="spellEnd"/>
            <w:r w:rsidR="000D708F" w:rsidRPr="00D35D44">
              <w:rPr>
                <w:bCs/>
              </w:rPr>
              <w:t xml:space="preserve"> 2008, health state </w:t>
            </w:r>
            <w:r w:rsidRPr="00D35D44">
              <w:rPr>
                <w:bCs/>
              </w:rPr>
              <w:t>utilit</w:t>
            </w:r>
            <w:r w:rsidR="000D708F" w:rsidRPr="00D35D44">
              <w:rPr>
                <w:bCs/>
              </w:rPr>
              <w:t>ies</w:t>
            </w:r>
            <w:r w:rsidR="008F4D78" w:rsidRPr="00D35D44">
              <w:rPr>
                <w:bCs/>
              </w:rPr>
              <w:t xml:space="preserve"> applied in the model </w:t>
            </w:r>
            <w:r w:rsidR="000D708F" w:rsidRPr="00D35D44">
              <w:rPr>
                <w:bCs/>
              </w:rPr>
              <w:t xml:space="preserve">were obtained </w:t>
            </w:r>
            <w:r w:rsidR="00681ED6" w:rsidRPr="00D35D44">
              <w:rPr>
                <w:bCs/>
              </w:rPr>
              <w:t xml:space="preserve">from </w:t>
            </w:r>
            <w:proofErr w:type="spellStart"/>
            <w:r w:rsidR="000D708F" w:rsidRPr="00D35D44">
              <w:rPr>
                <w:bCs/>
              </w:rPr>
              <w:t>Greenhalgh</w:t>
            </w:r>
            <w:proofErr w:type="spellEnd"/>
            <w:r w:rsidR="000D708F" w:rsidRPr="00D35D44">
              <w:rPr>
                <w:bCs/>
              </w:rPr>
              <w:t xml:space="preserve"> et al 2008.</w:t>
            </w:r>
            <w:r w:rsidR="000120B1" w:rsidRPr="00D35D44">
              <w:rPr>
                <w:bCs/>
              </w:rPr>
              <w:t xml:space="preserve"> </w:t>
            </w:r>
            <w:r w:rsidR="000D708F" w:rsidRPr="00D35D44">
              <w:rPr>
                <w:bCs/>
              </w:rPr>
              <w:t xml:space="preserve">These utilities </w:t>
            </w:r>
            <w:r w:rsidR="00681ED6" w:rsidRPr="00D35D44">
              <w:rPr>
                <w:bCs/>
              </w:rPr>
              <w:t xml:space="preserve">were estimated </w:t>
            </w:r>
            <w:r w:rsidRPr="00D35D44">
              <w:rPr>
                <w:bCs/>
              </w:rPr>
              <w:t xml:space="preserve">from </w:t>
            </w:r>
            <w:r w:rsidR="000D708F" w:rsidRPr="00D35D44">
              <w:rPr>
                <w:bCs/>
              </w:rPr>
              <w:t xml:space="preserve">results </w:t>
            </w:r>
            <w:r w:rsidR="00681ED6" w:rsidRPr="00D35D44">
              <w:rPr>
                <w:bCs/>
              </w:rPr>
              <w:t xml:space="preserve">of </w:t>
            </w:r>
            <w:r w:rsidRPr="00D35D44">
              <w:rPr>
                <w:bCs/>
              </w:rPr>
              <w:t xml:space="preserve">the QLQ-C30 </w:t>
            </w:r>
            <w:r w:rsidR="00681ED6" w:rsidRPr="00D35D44">
              <w:rPr>
                <w:bCs/>
              </w:rPr>
              <w:t xml:space="preserve">questionnaire </w:t>
            </w:r>
            <w:r w:rsidR="000D708F" w:rsidRPr="00D35D44">
              <w:rPr>
                <w:bCs/>
              </w:rPr>
              <w:t xml:space="preserve">in </w:t>
            </w:r>
            <w:r w:rsidR="00681ED6" w:rsidRPr="00D35D44">
              <w:rPr>
                <w:bCs/>
              </w:rPr>
              <w:t xml:space="preserve">the </w:t>
            </w:r>
            <w:r w:rsidR="000D708F" w:rsidRPr="00D35D44">
              <w:rPr>
                <w:bCs/>
              </w:rPr>
              <w:t>EXTREME</w:t>
            </w:r>
            <w:r w:rsidR="00681ED6" w:rsidRPr="00D35D44">
              <w:rPr>
                <w:bCs/>
              </w:rPr>
              <w:t xml:space="preserve"> trial via a </w:t>
            </w:r>
            <w:r w:rsidRPr="00D35D44">
              <w:rPr>
                <w:bCs/>
              </w:rPr>
              <w:t>cross</w:t>
            </w:r>
            <w:r w:rsidR="000D708F" w:rsidRPr="00D35D44">
              <w:rPr>
                <w:bCs/>
              </w:rPr>
              <w:t>-</w:t>
            </w:r>
            <w:r w:rsidR="00681ED6" w:rsidRPr="00D35D44">
              <w:rPr>
                <w:bCs/>
              </w:rPr>
              <w:t xml:space="preserve">walk algorithm converting them to </w:t>
            </w:r>
            <w:r w:rsidRPr="00D35D44">
              <w:rPr>
                <w:bCs/>
              </w:rPr>
              <w:t xml:space="preserve">EQ-5D </w:t>
            </w:r>
            <w:r w:rsidR="000D708F" w:rsidRPr="00D35D44">
              <w:rPr>
                <w:bCs/>
              </w:rPr>
              <w:t>utility values</w:t>
            </w:r>
            <w:r w:rsidRPr="00D35D44">
              <w:rPr>
                <w:bCs/>
              </w:rPr>
              <w:t>.</w:t>
            </w:r>
            <w:r w:rsidR="000120B1" w:rsidRPr="00D35D44">
              <w:rPr>
                <w:bCs/>
              </w:rPr>
              <w:t xml:space="preserve"> </w:t>
            </w:r>
            <w:r w:rsidR="00681ED6" w:rsidRPr="00D35D44">
              <w:rPr>
                <w:bCs/>
              </w:rPr>
              <w:t>A higher</w:t>
            </w:r>
            <w:r w:rsidR="00A940D5" w:rsidRPr="00D35D44">
              <w:rPr>
                <w:bCs/>
              </w:rPr>
              <w:t xml:space="preserve"> mean</w:t>
            </w:r>
            <w:r w:rsidR="00681ED6" w:rsidRPr="00D35D44">
              <w:rPr>
                <w:bCs/>
              </w:rPr>
              <w:t xml:space="preserve"> utility </w:t>
            </w:r>
            <w:r w:rsidR="00A940D5" w:rsidRPr="00D35D44">
              <w:rPr>
                <w:bCs/>
              </w:rPr>
              <w:t>value</w:t>
            </w:r>
            <w:r w:rsidR="008F4D78" w:rsidRPr="00D35D44">
              <w:rPr>
                <w:bCs/>
              </w:rPr>
              <w:t xml:space="preserve"> was</w:t>
            </w:r>
            <w:r w:rsidR="00A940D5" w:rsidRPr="00D35D44">
              <w:rPr>
                <w:bCs/>
              </w:rPr>
              <w:t xml:space="preserve"> estimated for </w:t>
            </w:r>
            <w:r w:rsidRPr="00D35D44">
              <w:rPr>
                <w:bCs/>
              </w:rPr>
              <w:t xml:space="preserve">patients </w:t>
            </w:r>
            <w:r w:rsidR="00681ED6" w:rsidRPr="00D35D44">
              <w:rPr>
                <w:bCs/>
              </w:rPr>
              <w:t xml:space="preserve">in </w:t>
            </w:r>
            <w:r w:rsidR="008F4D78" w:rsidRPr="00D35D44">
              <w:rPr>
                <w:bCs/>
              </w:rPr>
              <w:t xml:space="preserve">the </w:t>
            </w:r>
            <w:r w:rsidRPr="00D35D44">
              <w:rPr>
                <w:bCs/>
              </w:rPr>
              <w:t xml:space="preserve">cetuximab + CT </w:t>
            </w:r>
            <w:r w:rsidR="00681ED6" w:rsidRPr="00D35D44">
              <w:rPr>
                <w:bCs/>
              </w:rPr>
              <w:t xml:space="preserve">arm of the model </w:t>
            </w:r>
            <w:r w:rsidRPr="00D35D44">
              <w:rPr>
                <w:bCs/>
              </w:rPr>
              <w:t>(0.69) compared to CT only (0.65)</w:t>
            </w:r>
            <w:r w:rsidR="00681ED6" w:rsidRPr="00D35D44">
              <w:rPr>
                <w:bCs/>
              </w:rPr>
              <w:t xml:space="preserve"> in the PF health state</w:t>
            </w:r>
            <w:r w:rsidRPr="00D35D44">
              <w:rPr>
                <w:bCs/>
              </w:rPr>
              <w:t>.</w:t>
            </w:r>
            <w:r w:rsidR="000120B1" w:rsidRPr="00D35D44">
              <w:rPr>
                <w:bCs/>
              </w:rPr>
              <w:t xml:space="preserve"> </w:t>
            </w:r>
            <w:r w:rsidR="00B84E84" w:rsidRPr="00613FE2">
              <w:rPr>
                <w:bCs/>
              </w:rPr>
              <w:t>The ESC considered that this was</w:t>
            </w:r>
            <w:r w:rsidR="00681ED6" w:rsidRPr="00613FE2">
              <w:rPr>
                <w:bCs/>
              </w:rPr>
              <w:t xml:space="preserve"> not appropriate</w:t>
            </w:r>
            <w:r w:rsidR="00A940D5" w:rsidRPr="00613FE2">
              <w:rPr>
                <w:bCs/>
              </w:rPr>
              <w:t xml:space="preserve"> and was not conservative.</w:t>
            </w:r>
            <w:r w:rsidR="000120B1" w:rsidRPr="00613FE2">
              <w:rPr>
                <w:bCs/>
              </w:rPr>
              <w:t xml:space="preserve"> </w:t>
            </w:r>
            <w:r w:rsidR="00A940D5" w:rsidRPr="00D35D44">
              <w:rPr>
                <w:bCs/>
              </w:rPr>
              <w:t>T</w:t>
            </w:r>
            <w:r w:rsidR="00681ED6" w:rsidRPr="00D35D44">
              <w:rPr>
                <w:bCs/>
              </w:rPr>
              <w:t xml:space="preserve">here were </w:t>
            </w:r>
            <w:r w:rsidRPr="00D35D44">
              <w:rPr>
                <w:bCs/>
              </w:rPr>
              <w:t>no statistically significant difference</w:t>
            </w:r>
            <w:r w:rsidR="00681ED6" w:rsidRPr="00D35D44">
              <w:rPr>
                <w:bCs/>
              </w:rPr>
              <w:t>s</w:t>
            </w:r>
            <w:r w:rsidRPr="00D35D44">
              <w:rPr>
                <w:bCs/>
              </w:rPr>
              <w:t xml:space="preserve"> between</w:t>
            </w:r>
            <w:r w:rsidR="00681ED6" w:rsidRPr="00D35D44">
              <w:rPr>
                <w:bCs/>
              </w:rPr>
              <w:t xml:space="preserve"> the two treatment groups in summary</w:t>
            </w:r>
            <w:r w:rsidRPr="00D35D44">
              <w:rPr>
                <w:bCs/>
              </w:rPr>
              <w:t xml:space="preserve"> QLQ-C30</w:t>
            </w:r>
            <w:r w:rsidR="00681ED6" w:rsidRPr="00D35D44">
              <w:rPr>
                <w:bCs/>
              </w:rPr>
              <w:t xml:space="preserve"> scores, the </w:t>
            </w:r>
            <w:r w:rsidR="00A940D5" w:rsidRPr="00D35D44">
              <w:rPr>
                <w:bCs/>
              </w:rPr>
              <w:t>estimated</w:t>
            </w:r>
            <w:r w:rsidR="00681ED6" w:rsidRPr="00D35D44">
              <w:rPr>
                <w:bCs/>
              </w:rPr>
              <w:t xml:space="preserve"> utility values also had wide confidence intervals and were not significantly different.</w:t>
            </w:r>
            <w:r w:rsidR="000120B1" w:rsidRPr="00D35D44">
              <w:rPr>
                <w:bCs/>
              </w:rPr>
              <w:t xml:space="preserve"> </w:t>
            </w:r>
            <w:r w:rsidR="00681ED6" w:rsidRPr="00D35D44">
              <w:rPr>
                <w:bCs/>
              </w:rPr>
              <w:t>The model was</w:t>
            </w:r>
            <w:r w:rsidRPr="00D35D44">
              <w:rPr>
                <w:bCs/>
              </w:rPr>
              <w:t xml:space="preserve"> sensitive to the as</w:t>
            </w:r>
            <w:r w:rsidR="00681ED6" w:rsidRPr="00D35D44">
              <w:rPr>
                <w:bCs/>
              </w:rPr>
              <w:t>sumption of differential utilities for the PF health state</w:t>
            </w:r>
            <w:r w:rsidRPr="00D35D44">
              <w:rPr>
                <w:bCs/>
              </w:rPr>
              <w:t>.</w:t>
            </w:r>
            <w:r w:rsidR="000120B1" w:rsidRPr="00D35D44">
              <w:rPr>
                <w:bCs/>
              </w:rPr>
              <w:t xml:space="preserve"> </w:t>
            </w:r>
            <w:r w:rsidR="00A940D5" w:rsidRPr="00D35D44">
              <w:rPr>
                <w:bCs/>
              </w:rPr>
              <w:t>By contrast i</w:t>
            </w:r>
            <w:r w:rsidR="00681ED6" w:rsidRPr="00D35D44">
              <w:rPr>
                <w:bCs/>
              </w:rPr>
              <w:t xml:space="preserve">n the PD health state, the same health state utility was </w:t>
            </w:r>
            <w:r w:rsidR="00A940D5" w:rsidRPr="00D35D44">
              <w:rPr>
                <w:bCs/>
              </w:rPr>
              <w:t xml:space="preserve">more appropriately </w:t>
            </w:r>
            <w:r w:rsidR="00681ED6" w:rsidRPr="00D35D44">
              <w:rPr>
                <w:bCs/>
              </w:rPr>
              <w:t xml:space="preserve">applied </w:t>
            </w:r>
            <w:r w:rsidRPr="00D35D44">
              <w:rPr>
                <w:bCs/>
              </w:rPr>
              <w:t xml:space="preserve">(0.52) irrespective of </w:t>
            </w:r>
            <w:r w:rsidR="00681ED6" w:rsidRPr="00D35D44">
              <w:rPr>
                <w:bCs/>
              </w:rPr>
              <w:t>treatment assignment.</w:t>
            </w:r>
          </w:p>
        </w:tc>
        <w:tc>
          <w:tcPr>
            <w:tcW w:w="758" w:type="pct"/>
            <w:shd w:val="clear" w:color="auto" w:fill="auto"/>
            <w:vAlign w:val="center"/>
          </w:tcPr>
          <w:p w:rsidR="00D31920" w:rsidRPr="00D35D44" w:rsidRDefault="0060605A" w:rsidP="001B334A">
            <w:pPr>
              <w:pStyle w:val="Tabletext"/>
              <w:keepNext/>
              <w:jc w:val="center"/>
              <w:rPr>
                <w:bCs/>
                <w:iCs/>
              </w:rPr>
            </w:pPr>
            <w:r>
              <w:rPr>
                <w:bCs/>
                <w:iCs/>
              </w:rPr>
              <w:t>Moderate</w:t>
            </w:r>
            <w:r w:rsidR="00D31920" w:rsidRPr="00D35D44">
              <w:rPr>
                <w:bCs/>
                <w:iCs/>
              </w:rPr>
              <w:t>, favours cetuximab</w:t>
            </w:r>
          </w:p>
        </w:tc>
      </w:tr>
      <w:tr w:rsidR="00D31920" w:rsidRPr="00D35D44" w:rsidTr="00B92B93">
        <w:tc>
          <w:tcPr>
            <w:tcW w:w="626" w:type="pct"/>
            <w:shd w:val="clear" w:color="auto" w:fill="auto"/>
            <w:vAlign w:val="center"/>
          </w:tcPr>
          <w:p w:rsidR="00D31920" w:rsidRPr="00D35D44" w:rsidRDefault="00D31920" w:rsidP="001B334A">
            <w:pPr>
              <w:pStyle w:val="Tabletext"/>
              <w:keepNext/>
              <w:rPr>
                <w:bCs/>
              </w:rPr>
            </w:pPr>
            <w:r w:rsidRPr="00D35D44">
              <w:rPr>
                <w:bCs/>
              </w:rPr>
              <w:t>Time horizon</w:t>
            </w:r>
          </w:p>
        </w:tc>
        <w:tc>
          <w:tcPr>
            <w:tcW w:w="3616" w:type="pct"/>
            <w:shd w:val="clear" w:color="auto" w:fill="auto"/>
            <w:vAlign w:val="center"/>
          </w:tcPr>
          <w:p w:rsidR="00D31920" w:rsidRPr="00D35D44" w:rsidRDefault="00D31920" w:rsidP="001B334A">
            <w:pPr>
              <w:pStyle w:val="Tabletext"/>
              <w:keepNext/>
              <w:rPr>
                <w:bCs/>
              </w:rPr>
            </w:pPr>
            <w:r w:rsidRPr="00D35D44">
              <w:rPr>
                <w:bCs/>
              </w:rPr>
              <w:t xml:space="preserve">As for </w:t>
            </w:r>
            <w:r w:rsidR="00110B9F" w:rsidRPr="00D35D44">
              <w:rPr>
                <w:bCs/>
              </w:rPr>
              <w:t xml:space="preserve">the </w:t>
            </w:r>
            <w:r w:rsidRPr="00D35D44">
              <w:rPr>
                <w:bCs/>
              </w:rPr>
              <w:t xml:space="preserve">previous submission, a </w:t>
            </w:r>
            <w:r w:rsidR="00A940D5" w:rsidRPr="00D35D44">
              <w:rPr>
                <w:bCs/>
              </w:rPr>
              <w:t>five-year</w:t>
            </w:r>
            <w:r w:rsidRPr="00D35D44">
              <w:rPr>
                <w:bCs/>
              </w:rPr>
              <w:t xml:space="preserve"> time horizon was chosen for the base case.</w:t>
            </w:r>
            <w:r w:rsidR="000120B1" w:rsidRPr="00D35D44">
              <w:rPr>
                <w:bCs/>
              </w:rPr>
              <w:t xml:space="preserve"> </w:t>
            </w:r>
            <w:r w:rsidRPr="00D35D44">
              <w:rPr>
                <w:bCs/>
              </w:rPr>
              <w:t>The resubmission justifie</w:t>
            </w:r>
            <w:r w:rsidR="00A940D5" w:rsidRPr="00D35D44">
              <w:rPr>
                <w:bCs/>
              </w:rPr>
              <w:t>d</w:t>
            </w:r>
            <w:r w:rsidRPr="00D35D44">
              <w:rPr>
                <w:bCs/>
              </w:rPr>
              <w:t xml:space="preserve"> this </w:t>
            </w:r>
            <w:r w:rsidR="00A940D5" w:rsidRPr="00D35D44">
              <w:rPr>
                <w:bCs/>
              </w:rPr>
              <w:t xml:space="preserve">choice </w:t>
            </w:r>
            <w:r w:rsidRPr="00D35D44">
              <w:rPr>
                <w:bCs/>
              </w:rPr>
              <w:t xml:space="preserve">by </w:t>
            </w:r>
            <w:r w:rsidR="00A940D5" w:rsidRPr="00D35D44">
              <w:rPr>
                <w:bCs/>
              </w:rPr>
              <w:t>claiming that lifetime models wer</w:t>
            </w:r>
            <w:r w:rsidRPr="00D35D44">
              <w:rPr>
                <w:bCs/>
              </w:rPr>
              <w:t>e more common in RM SCCHN in identified publications, and the PBAC ha</w:t>
            </w:r>
            <w:r w:rsidR="00A940D5" w:rsidRPr="00D35D44">
              <w:rPr>
                <w:bCs/>
              </w:rPr>
              <w:t xml:space="preserve">d previously </w:t>
            </w:r>
            <w:r w:rsidR="002A24A7" w:rsidRPr="00D35D44">
              <w:rPr>
                <w:bCs/>
              </w:rPr>
              <w:t>accepted</w:t>
            </w:r>
            <w:r w:rsidR="00A940D5" w:rsidRPr="00D35D44">
              <w:rPr>
                <w:bCs/>
              </w:rPr>
              <w:t xml:space="preserve"> </w:t>
            </w:r>
            <w:r w:rsidR="002A24A7" w:rsidRPr="00D35D44">
              <w:rPr>
                <w:bCs/>
              </w:rPr>
              <w:t>five-year</w:t>
            </w:r>
            <w:r w:rsidRPr="00D35D44">
              <w:rPr>
                <w:bCs/>
              </w:rPr>
              <w:t xml:space="preserve"> time horizons for metastatic prostate cancer (abiraterone July 2012) and non-small cell lung carcinoma (nivolumab March 2017).</w:t>
            </w:r>
            <w:r w:rsidR="000120B1" w:rsidRPr="00D35D44">
              <w:rPr>
                <w:bCs/>
              </w:rPr>
              <w:t xml:space="preserve"> </w:t>
            </w:r>
            <w:r w:rsidR="00A940D5" w:rsidRPr="00D35D44">
              <w:rPr>
                <w:bCs/>
              </w:rPr>
              <w:t>It was noted that</w:t>
            </w:r>
            <w:r w:rsidRPr="00D35D44">
              <w:rPr>
                <w:bCs/>
              </w:rPr>
              <w:t xml:space="preserve"> the median overall survival reported in these two considerations were notably longer than the median overall survival reported in the EXTREME trial.</w:t>
            </w:r>
            <w:r w:rsidR="000120B1" w:rsidRPr="00D35D44">
              <w:rPr>
                <w:bCs/>
              </w:rPr>
              <w:t xml:space="preserve"> </w:t>
            </w:r>
            <w:r w:rsidR="00A940D5" w:rsidRPr="00D35D44">
              <w:rPr>
                <w:bCs/>
              </w:rPr>
              <w:t xml:space="preserve">The ICER was </w:t>
            </w:r>
            <w:r w:rsidR="00110B9F" w:rsidRPr="00D35D44">
              <w:rPr>
                <w:bCs/>
              </w:rPr>
              <w:t xml:space="preserve">sensitive to </w:t>
            </w:r>
            <w:r w:rsidR="00A940D5" w:rsidRPr="00D35D44">
              <w:rPr>
                <w:bCs/>
              </w:rPr>
              <w:t xml:space="preserve">assumptions around time </w:t>
            </w:r>
            <w:proofErr w:type="gramStart"/>
            <w:r w:rsidR="00A940D5" w:rsidRPr="00D35D44">
              <w:rPr>
                <w:bCs/>
              </w:rPr>
              <w:t>horizon,</w:t>
            </w:r>
            <w:proofErr w:type="gramEnd"/>
            <w:r w:rsidR="00A940D5" w:rsidRPr="00D35D44">
              <w:rPr>
                <w:bCs/>
              </w:rPr>
              <w:t xml:space="preserve"> however the magnitude of the effect was significantly less than the impact of the choice of extrapolation.</w:t>
            </w:r>
            <w:r w:rsidR="000120B1" w:rsidRPr="00D35D44">
              <w:rPr>
                <w:bCs/>
              </w:rPr>
              <w:t xml:space="preserve"> </w:t>
            </w:r>
            <w:r w:rsidR="00A940D5" w:rsidRPr="00D35D44">
              <w:rPr>
                <w:bCs/>
                <w:iCs/>
              </w:rPr>
              <w:t xml:space="preserve">While the ICER decreases </w:t>
            </w:r>
            <w:r w:rsidR="007B5578">
              <w:rPr>
                <w:bCs/>
                <w:iCs/>
              </w:rPr>
              <w:t>substantially</w:t>
            </w:r>
            <w:r w:rsidR="007B5578" w:rsidRPr="00D35D44">
              <w:rPr>
                <w:bCs/>
                <w:iCs/>
              </w:rPr>
              <w:t xml:space="preserve"> </w:t>
            </w:r>
            <w:r w:rsidR="00A940D5" w:rsidRPr="00D35D44">
              <w:rPr>
                <w:bCs/>
                <w:iCs/>
              </w:rPr>
              <w:t>beyond a 1 year time horizon it stabilised by 3.5 years, in contrast, differences due to extrapolation function used persisted well beyond 5 years (see Figure 4).</w:t>
            </w:r>
            <w:r w:rsidR="00B84E84">
              <w:rPr>
                <w:bCs/>
                <w:iCs/>
              </w:rPr>
              <w:t xml:space="preserve"> </w:t>
            </w:r>
          </w:p>
        </w:tc>
        <w:tc>
          <w:tcPr>
            <w:tcW w:w="758" w:type="pct"/>
            <w:shd w:val="clear" w:color="auto" w:fill="auto"/>
            <w:vAlign w:val="center"/>
          </w:tcPr>
          <w:p w:rsidR="00D31920" w:rsidRPr="00D35D44" w:rsidRDefault="00B84E84" w:rsidP="001B334A">
            <w:pPr>
              <w:pStyle w:val="Tabletext"/>
              <w:keepNext/>
              <w:jc w:val="center"/>
              <w:rPr>
                <w:bCs/>
                <w:iCs/>
              </w:rPr>
            </w:pPr>
            <w:r w:rsidRPr="00B84E84">
              <w:rPr>
                <w:bCs/>
                <w:i/>
                <w:iCs/>
              </w:rPr>
              <w:t>Moderate</w:t>
            </w:r>
            <w:r w:rsidR="00D31920" w:rsidRPr="00B84E84">
              <w:rPr>
                <w:bCs/>
                <w:i/>
                <w:iCs/>
              </w:rPr>
              <w:t>,</w:t>
            </w:r>
            <w:r w:rsidR="00D31920" w:rsidRPr="00D35D44">
              <w:rPr>
                <w:bCs/>
                <w:iCs/>
              </w:rPr>
              <w:t xml:space="preserve"> favours cetuximab</w:t>
            </w:r>
          </w:p>
        </w:tc>
      </w:tr>
      <w:tr w:rsidR="00D31920" w:rsidRPr="00D35D44" w:rsidTr="00B92B93">
        <w:tc>
          <w:tcPr>
            <w:tcW w:w="626" w:type="pct"/>
            <w:shd w:val="clear" w:color="auto" w:fill="auto"/>
            <w:vAlign w:val="center"/>
          </w:tcPr>
          <w:p w:rsidR="00D31920" w:rsidRPr="00D35D44" w:rsidRDefault="00D31920" w:rsidP="001B334A">
            <w:pPr>
              <w:pStyle w:val="Tabletext"/>
              <w:keepNext/>
              <w:rPr>
                <w:bCs/>
              </w:rPr>
            </w:pPr>
            <w:r w:rsidRPr="00D35D44">
              <w:rPr>
                <w:bCs/>
              </w:rPr>
              <w:t>Assumed cetuximab doses</w:t>
            </w:r>
          </w:p>
        </w:tc>
        <w:tc>
          <w:tcPr>
            <w:tcW w:w="3616" w:type="pct"/>
            <w:shd w:val="clear" w:color="auto" w:fill="auto"/>
            <w:vAlign w:val="center"/>
          </w:tcPr>
          <w:p w:rsidR="00D31920" w:rsidRPr="00D35D44" w:rsidRDefault="00D31920" w:rsidP="001B334A">
            <w:pPr>
              <w:pStyle w:val="Tabletext"/>
              <w:keepNext/>
              <w:rPr>
                <w:bCs/>
              </w:rPr>
            </w:pPr>
            <w:r w:rsidRPr="00D35D44">
              <w:rPr>
                <w:bCs/>
              </w:rPr>
              <w:t>The resubmission assume</w:t>
            </w:r>
            <w:r w:rsidR="00A940D5" w:rsidRPr="00D35D44">
              <w:rPr>
                <w:bCs/>
              </w:rPr>
              <w:t>d</w:t>
            </w:r>
            <w:r w:rsidRPr="00D35D44">
              <w:rPr>
                <w:bCs/>
              </w:rPr>
              <w:t xml:space="preserve"> that the subsequent dose of cetuximab is 400</w:t>
            </w:r>
            <w:r w:rsidR="00F20A00" w:rsidRPr="00D35D44">
              <w:rPr>
                <w:bCs/>
              </w:rPr>
              <w:t xml:space="preserve"> </w:t>
            </w:r>
            <w:r w:rsidRPr="00D35D44">
              <w:rPr>
                <w:bCs/>
              </w:rPr>
              <w:t>mg weekly, based on the mean dose of cetuximab used in the EXTREME trial (406</w:t>
            </w:r>
            <w:r w:rsidR="00F20A00" w:rsidRPr="00D35D44">
              <w:rPr>
                <w:bCs/>
              </w:rPr>
              <w:t xml:space="preserve"> </w:t>
            </w:r>
            <w:r w:rsidRPr="00D35D44">
              <w:rPr>
                <w:bCs/>
              </w:rPr>
              <w:t>mg).</w:t>
            </w:r>
            <w:r w:rsidR="000120B1" w:rsidRPr="00D35D44">
              <w:rPr>
                <w:bCs/>
              </w:rPr>
              <w:t xml:space="preserve"> </w:t>
            </w:r>
            <w:r w:rsidRPr="00D35D44">
              <w:rPr>
                <w:bCs/>
              </w:rPr>
              <w:t>However, applying the mean body surface area of 1.75</w:t>
            </w:r>
            <w:r w:rsidR="00F20A00" w:rsidRPr="00D35D44">
              <w:rPr>
                <w:bCs/>
              </w:rPr>
              <w:t xml:space="preserve"> </w:t>
            </w:r>
            <w:r w:rsidRPr="00D35D44">
              <w:rPr>
                <w:bCs/>
              </w:rPr>
              <w:t>m</w:t>
            </w:r>
            <w:r w:rsidRPr="00D35D44">
              <w:rPr>
                <w:bCs/>
                <w:vertAlign w:val="superscript"/>
              </w:rPr>
              <w:t>2</w:t>
            </w:r>
            <w:r w:rsidRPr="00D35D44">
              <w:rPr>
                <w:bCs/>
              </w:rPr>
              <w:t xml:space="preserve"> from the EXTREME trial to the recommended cetuximab dose of 250</w:t>
            </w:r>
            <w:r w:rsidR="00F20A00" w:rsidRPr="00D35D44">
              <w:rPr>
                <w:bCs/>
              </w:rPr>
              <w:t xml:space="preserve"> </w:t>
            </w:r>
            <w:r w:rsidRPr="00D35D44">
              <w:rPr>
                <w:bCs/>
              </w:rPr>
              <w:t>mg/m</w:t>
            </w:r>
            <w:r w:rsidRPr="00D35D44">
              <w:rPr>
                <w:bCs/>
                <w:vertAlign w:val="superscript"/>
              </w:rPr>
              <w:t>2</w:t>
            </w:r>
            <w:r w:rsidRPr="00D35D44">
              <w:rPr>
                <w:bCs/>
              </w:rPr>
              <w:t>, a dose of 432.5</w:t>
            </w:r>
            <w:r w:rsidR="00F20A00" w:rsidRPr="00D35D44">
              <w:rPr>
                <w:bCs/>
              </w:rPr>
              <w:t xml:space="preserve"> </w:t>
            </w:r>
            <w:r w:rsidRPr="00D35D44">
              <w:rPr>
                <w:bCs/>
              </w:rPr>
              <w:t>mg is estimated, which would require 500</w:t>
            </w:r>
            <w:r w:rsidR="00F20A00" w:rsidRPr="00D35D44">
              <w:rPr>
                <w:bCs/>
              </w:rPr>
              <w:t xml:space="preserve"> </w:t>
            </w:r>
            <w:r w:rsidRPr="00D35D44">
              <w:rPr>
                <w:bCs/>
              </w:rPr>
              <w:t>mg of cetuximab under the efficient funding of chemotherapy scheme.</w:t>
            </w:r>
            <w:r w:rsidR="000120B1" w:rsidRPr="00D35D44">
              <w:rPr>
                <w:bCs/>
              </w:rPr>
              <w:t xml:space="preserve"> </w:t>
            </w:r>
            <w:r w:rsidRPr="00D35D44">
              <w:rPr>
                <w:bCs/>
              </w:rPr>
              <w:t>The previous submission used mean doses from the oral cavity population i</w:t>
            </w:r>
            <w:r w:rsidR="00A940D5" w:rsidRPr="00D35D44">
              <w:rPr>
                <w:bCs/>
              </w:rPr>
              <w:t>nstead of the ITT population.</w:t>
            </w:r>
          </w:p>
        </w:tc>
        <w:tc>
          <w:tcPr>
            <w:tcW w:w="758" w:type="pct"/>
            <w:shd w:val="clear" w:color="auto" w:fill="auto"/>
            <w:vAlign w:val="center"/>
          </w:tcPr>
          <w:p w:rsidR="00D31920" w:rsidRPr="00D35D44" w:rsidRDefault="0060605A" w:rsidP="001B334A">
            <w:pPr>
              <w:pStyle w:val="Tabletext"/>
              <w:keepNext/>
              <w:jc w:val="center"/>
              <w:rPr>
                <w:bCs/>
                <w:iCs/>
              </w:rPr>
            </w:pPr>
            <w:r>
              <w:rPr>
                <w:bCs/>
                <w:iCs/>
              </w:rPr>
              <w:t>Moderate</w:t>
            </w:r>
            <w:r w:rsidR="00D31920" w:rsidRPr="00D35D44">
              <w:rPr>
                <w:bCs/>
                <w:iCs/>
              </w:rPr>
              <w:t>, favours cetuximab</w:t>
            </w:r>
          </w:p>
        </w:tc>
      </w:tr>
      <w:tr w:rsidR="00D31920" w:rsidRPr="00D35D44" w:rsidTr="00B92B93">
        <w:tc>
          <w:tcPr>
            <w:tcW w:w="626" w:type="pct"/>
            <w:shd w:val="clear" w:color="auto" w:fill="auto"/>
            <w:vAlign w:val="center"/>
          </w:tcPr>
          <w:p w:rsidR="00D31920" w:rsidRPr="00D35D44" w:rsidRDefault="00697515" w:rsidP="001B334A">
            <w:pPr>
              <w:pStyle w:val="Tabletext"/>
              <w:keepNext/>
              <w:rPr>
                <w:bCs/>
              </w:rPr>
            </w:pPr>
            <w:r w:rsidRPr="00D35D44">
              <w:rPr>
                <w:bCs/>
              </w:rPr>
              <w:t>Method used to assign costs</w:t>
            </w:r>
          </w:p>
        </w:tc>
        <w:tc>
          <w:tcPr>
            <w:tcW w:w="3616" w:type="pct"/>
            <w:shd w:val="clear" w:color="auto" w:fill="auto"/>
            <w:vAlign w:val="center"/>
          </w:tcPr>
          <w:p w:rsidR="00D31920" w:rsidRPr="00D35D44" w:rsidRDefault="00D31920" w:rsidP="001B334A">
            <w:pPr>
              <w:pStyle w:val="Tabletext"/>
              <w:keepNext/>
              <w:rPr>
                <w:bCs/>
              </w:rPr>
            </w:pPr>
            <w:r w:rsidRPr="00D35D44">
              <w:rPr>
                <w:bCs/>
              </w:rPr>
              <w:t xml:space="preserve">As for the previous submission, with the exception of palliative care costs which are assigned as patients die in the model, all other expected costs (drug, administration, treatment for adverse events, treatment </w:t>
            </w:r>
            <w:r w:rsidR="00697515" w:rsidRPr="00D35D44">
              <w:rPr>
                <w:bCs/>
              </w:rPr>
              <w:t>post progression) are applied on</w:t>
            </w:r>
            <w:r w:rsidRPr="00D35D44">
              <w:rPr>
                <w:bCs/>
              </w:rPr>
              <w:t xml:space="preserve"> the first day</w:t>
            </w:r>
            <w:r w:rsidR="00697515" w:rsidRPr="00D35D44">
              <w:rPr>
                <w:bCs/>
              </w:rPr>
              <w:t xml:space="preserve"> in the model</w:t>
            </w:r>
            <w:r w:rsidRPr="00D35D44">
              <w:rPr>
                <w:bCs/>
              </w:rPr>
              <w:t>.</w:t>
            </w:r>
            <w:r w:rsidR="000120B1" w:rsidRPr="00D35D44">
              <w:rPr>
                <w:bCs/>
              </w:rPr>
              <w:t xml:space="preserve"> </w:t>
            </w:r>
            <w:r w:rsidR="00697515" w:rsidRPr="00D35D44">
              <w:rPr>
                <w:bCs/>
              </w:rPr>
              <w:t>This is generally not considered to be the appropriate methodology to capture continuing treatment costs.</w:t>
            </w:r>
            <w:r w:rsidR="000120B1" w:rsidRPr="00D35D44">
              <w:rPr>
                <w:bCs/>
              </w:rPr>
              <w:t xml:space="preserve"> </w:t>
            </w:r>
            <w:r w:rsidR="00697515" w:rsidRPr="00D35D44">
              <w:rPr>
                <w:bCs/>
              </w:rPr>
              <w:t>An alternative approach that applied cost over time was therefore conducted during the evaluation.</w:t>
            </w:r>
            <w:r w:rsidR="000120B1" w:rsidRPr="00D35D44">
              <w:rPr>
                <w:bCs/>
              </w:rPr>
              <w:t xml:space="preserve"> </w:t>
            </w:r>
            <w:r w:rsidR="00697515" w:rsidRPr="00D35D44">
              <w:rPr>
                <w:bCs/>
              </w:rPr>
              <w:t>The alternate approach would also permit the testing of a scenario which assumed that all patients receive cetuximab as long as they remain PF.</w:t>
            </w:r>
            <w:r w:rsidR="000120B1" w:rsidRPr="00D35D44">
              <w:rPr>
                <w:bCs/>
              </w:rPr>
              <w:t xml:space="preserve"> </w:t>
            </w:r>
            <w:r w:rsidR="00697515" w:rsidRPr="00D35D44">
              <w:rPr>
                <w:bCs/>
              </w:rPr>
              <w:t xml:space="preserve">The approach </w:t>
            </w:r>
            <w:r w:rsidR="00B92B93" w:rsidRPr="00D35D44">
              <w:rPr>
                <w:bCs/>
              </w:rPr>
              <w:t xml:space="preserve">adopted by the resubmission </w:t>
            </w:r>
            <w:r w:rsidR="001F5AFF" w:rsidRPr="00D35D44">
              <w:rPr>
                <w:bCs/>
              </w:rPr>
              <w:t>using average</w:t>
            </w:r>
            <w:r w:rsidR="00B92B93" w:rsidRPr="00D35D44">
              <w:rPr>
                <w:bCs/>
              </w:rPr>
              <w:t xml:space="preserve"> treatment costs </w:t>
            </w:r>
            <w:r w:rsidR="001F5AFF" w:rsidRPr="00D35D44">
              <w:rPr>
                <w:bCs/>
              </w:rPr>
              <w:t xml:space="preserve">from the EXTREME trial </w:t>
            </w:r>
            <w:r w:rsidR="00697515" w:rsidRPr="00D35D44">
              <w:rPr>
                <w:bCs/>
              </w:rPr>
              <w:t>would have incorporated reduced doses and costs due to some patients not receiving treatments</w:t>
            </w:r>
            <w:r w:rsidR="00684743" w:rsidRPr="00D35D44">
              <w:rPr>
                <w:bCs/>
              </w:rPr>
              <w:t xml:space="preserve"> for adverse events</w:t>
            </w:r>
            <w:r w:rsidR="00697515" w:rsidRPr="00D35D44">
              <w:rPr>
                <w:bCs/>
              </w:rPr>
              <w:t xml:space="preserve"> in the PF state in the EXTREME trial.</w:t>
            </w:r>
          </w:p>
        </w:tc>
        <w:tc>
          <w:tcPr>
            <w:tcW w:w="758" w:type="pct"/>
            <w:shd w:val="clear" w:color="auto" w:fill="auto"/>
            <w:vAlign w:val="center"/>
          </w:tcPr>
          <w:p w:rsidR="00D31920" w:rsidRPr="00D35D44" w:rsidRDefault="00D31920" w:rsidP="001B334A">
            <w:pPr>
              <w:pStyle w:val="Tabletext"/>
              <w:keepNext/>
              <w:jc w:val="center"/>
              <w:rPr>
                <w:bCs/>
                <w:iCs/>
              </w:rPr>
            </w:pPr>
            <w:r w:rsidRPr="00D35D44">
              <w:rPr>
                <w:bCs/>
                <w:iCs/>
              </w:rPr>
              <w:t>High, favours cetuximab</w:t>
            </w:r>
          </w:p>
        </w:tc>
      </w:tr>
    </w:tbl>
    <w:p w:rsidR="00C25B7C" w:rsidRPr="00D35D44" w:rsidRDefault="00C25B7C" w:rsidP="00C25B7C">
      <w:pPr>
        <w:pStyle w:val="TableFooter"/>
        <w:rPr>
          <w:bCs/>
        </w:rPr>
      </w:pPr>
      <w:r w:rsidRPr="00D35D44">
        <w:rPr>
          <w:bCs/>
        </w:rPr>
        <w:t xml:space="preserve">Abbreviations: ICER = incremental cost effectiveness ratio, AIC = </w:t>
      </w:r>
      <w:proofErr w:type="spellStart"/>
      <w:r w:rsidRPr="00D35D44">
        <w:rPr>
          <w:bCs/>
        </w:rPr>
        <w:t>Aikaike</w:t>
      </w:r>
      <w:proofErr w:type="spellEnd"/>
      <w:r w:rsidRPr="00D35D44">
        <w:rPr>
          <w:bCs/>
        </w:rPr>
        <w:t xml:space="preserve"> Information Criterion, NICE = National institute for Health and </w:t>
      </w:r>
      <w:r w:rsidRPr="00D35D44">
        <w:rPr>
          <w:bCs/>
        </w:rPr>
        <w:lastRenderedPageBreak/>
        <w:t xml:space="preserve">Care Excellence, CT = chemotherapy, QALY = quality adjusted life year, OS = overall survival, PFS = progression free survival, QLQ-C30 = Quality of Life Questionnaire Core 30, EQ-5D = </w:t>
      </w:r>
      <w:proofErr w:type="spellStart"/>
      <w:r w:rsidRPr="00D35D44">
        <w:rPr>
          <w:bCs/>
        </w:rPr>
        <w:t>EuroQol</w:t>
      </w:r>
      <w:proofErr w:type="spellEnd"/>
      <w:r w:rsidRPr="00D35D44">
        <w:rPr>
          <w:bCs/>
        </w:rPr>
        <w:t xml:space="preserve"> five dimensions, PF = ‘free from progression’, PD = “progressed”, RM = recurrent or metastatic, SCCHN = squamous cell carcinoma of the head and neck, ITT = intention to treat </w:t>
      </w:r>
    </w:p>
    <w:p w:rsidR="00D31920" w:rsidRDefault="00D31920" w:rsidP="00D31920">
      <w:pPr>
        <w:pStyle w:val="TableFooter"/>
        <w:rPr>
          <w:bCs/>
          <w:szCs w:val="20"/>
        </w:rPr>
      </w:pPr>
      <w:r w:rsidRPr="00D35D44">
        <w:rPr>
          <w:bCs/>
        </w:rPr>
        <w:t xml:space="preserve">Source: </w:t>
      </w:r>
      <w:r w:rsidRPr="00D35D44">
        <w:rPr>
          <w:bCs/>
          <w:szCs w:val="20"/>
        </w:rPr>
        <w:t>Table 3.9.1, p119 of the resubmission and additional sensitivity analysis conducted during evaluation using Attachment 8 Economic Evaluation to the resubmission</w:t>
      </w:r>
    </w:p>
    <w:p w:rsidR="00D31920" w:rsidRPr="00D35D44" w:rsidRDefault="00D31920" w:rsidP="002E2883">
      <w:pPr>
        <w:keepNext/>
        <w:spacing w:before="120"/>
        <w:rPr>
          <w:rFonts w:ascii="Arial Narrow" w:hAnsi="Arial Narrow"/>
          <w:b/>
          <w:iCs/>
          <w:sz w:val="20"/>
          <w:szCs w:val="20"/>
        </w:rPr>
      </w:pPr>
      <w:r w:rsidRPr="00D35D44">
        <w:rPr>
          <w:rFonts w:ascii="Arial Narrow" w:hAnsi="Arial Narrow"/>
          <w:b/>
          <w:iCs/>
          <w:sz w:val="20"/>
          <w:szCs w:val="20"/>
        </w:rPr>
        <w:t xml:space="preserve">Figure </w:t>
      </w:r>
      <w:r w:rsidR="00A940D5" w:rsidRPr="00D35D44">
        <w:rPr>
          <w:rFonts w:ascii="Arial Narrow" w:hAnsi="Arial Narrow"/>
          <w:b/>
          <w:iCs/>
          <w:sz w:val="20"/>
          <w:szCs w:val="20"/>
        </w:rPr>
        <w:t>3</w:t>
      </w:r>
      <w:r w:rsidRPr="00D35D44">
        <w:rPr>
          <w:rFonts w:ascii="Arial Narrow" w:hAnsi="Arial Narrow"/>
          <w:b/>
          <w:iCs/>
          <w:sz w:val="20"/>
          <w:szCs w:val="20"/>
        </w:rPr>
        <w:t>: Comparison of extrapolation of EXTREME ITT with log</w:t>
      </w:r>
      <w:r w:rsidR="00697515" w:rsidRPr="00D35D44">
        <w:rPr>
          <w:rFonts w:ascii="Arial Narrow" w:hAnsi="Arial Narrow"/>
          <w:b/>
          <w:iCs/>
          <w:sz w:val="20"/>
          <w:szCs w:val="20"/>
        </w:rPr>
        <w:t xml:space="preserve"> </w:t>
      </w:r>
      <w:r w:rsidRPr="00D35D44">
        <w:rPr>
          <w:rFonts w:ascii="Arial Narrow" w:hAnsi="Arial Narrow"/>
          <w:b/>
          <w:iCs/>
          <w:sz w:val="20"/>
          <w:szCs w:val="20"/>
        </w:rPr>
        <w:t xml:space="preserve">logistic and Weibull </w:t>
      </w:r>
      <w:r w:rsidR="0067461A" w:rsidRPr="00D35D44">
        <w:rPr>
          <w:rFonts w:ascii="Arial Narrow" w:hAnsi="Arial Narrow"/>
          <w:b/>
          <w:iCs/>
          <w:sz w:val="20"/>
          <w:szCs w:val="20"/>
        </w:rPr>
        <w:t>parametric survival functions</w:t>
      </w:r>
    </w:p>
    <w:p w:rsidR="00D31920" w:rsidRPr="00D35D44" w:rsidRDefault="004F2351" w:rsidP="00D31920">
      <w:pPr>
        <w:rPr>
          <w:bCs/>
          <w:iCs/>
        </w:rPr>
      </w:pPr>
      <w:r w:rsidRPr="00D35D44">
        <w:rPr>
          <w:bCs/>
          <w:iCs/>
          <w:noProof/>
          <w:lang w:eastAsia="en-AU"/>
        </w:rPr>
        <w:drawing>
          <wp:inline distT="0" distB="0" distL="0" distR="0" wp14:anchorId="71BD8635" wp14:editId="0ED282FD">
            <wp:extent cx="5724525" cy="3657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3657600"/>
                    </a:xfrm>
                    <a:prstGeom prst="rect">
                      <a:avLst/>
                    </a:prstGeom>
                    <a:noFill/>
                    <a:ln>
                      <a:noFill/>
                    </a:ln>
                  </pic:spPr>
                </pic:pic>
              </a:graphicData>
            </a:graphic>
          </wp:inline>
        </w:drawing>
      </w:r>
    </w:p>
    <w:p w:rsidR="00D31920" w:rsidRPr="00D35D44" w:rsidRDefault="00D31920" w:rsidP="00D31920">
      <w:pPr>
        <w:rPr>
          <w:rFonts w:ascii="Arial Narrow" w:hAnsi="Arial Narrow"/>
          <w:bCs/>
          <w:iCs/>
          <w:sz w:val="20"/>
          <w:szCs w:val="20"/>
        </w:rPr>
      </w:pPr>
      <w:r w:rsidRPr="00D35D44">
        <w:rPr>
          <w:rFonts w:ascii="Arial Narrow" w:hAnsi="Arial Narrow"/>
          <w:bCs/>
          <w:iCs/>
          <w:sz w:val="20"/>
          <w:szCs w:val="20"/>
        </w:rPr>
        <w:t>Abbreviations: OS=overall survival, PFS=progression free survival, CT = Chemotherapy</w:t>
      </w:r>
    </w:p>
    <w:p w:rsidR="00D31920" w:rsidRPr="00D35D44" w:rsidRDefault="00D31920" w:rsidP="002E2883">
      <w:pPr>
        <w:spacing w:after="120"/>
        <w:rPr>
          <w:rFonts w:ascii="Arial Narrow" w:hAnsi="Arial Narrow"/>
          <w:bCs/>
          <w:iCs/>
          <w:sz w:val="20"/>
          <w:szCs w:val="20"/>
        </w:rPr>
      </w:pPr>
      <w:r w:rsidRPr="00D35D44">
        <w:rPr>
          <w:rFonts w:ascii="Arial Narrow" w:hAnsi="Arial Narrow"/>
          <w:bCs/>
          <w:iCs/>
          <w:sz w:val="20"/>
          <w:szCs w:val="20"/>
        </w:rPr>
        <w:t xml:space="preserve">Source: constructed during evaluation using data from Attachment 3b and Attachment 8 of resubmission </w:t>
      </w:r>
    </w:p>
    <w:p w:rsidR="00D31920" w:rsidRPr="00D35D44" w:rsidRDefault="00D31920" w:rsidP="00846F9C">
      <w:pPr>
        <w:pStyle w:val="ListParagraph"/>
        <w:widowControl/>
        <w:numPr>
          <w:ilvl w:val="1"/>
          <w:numId w:val="2"/>
        </w:numPr>
        <w:rPr>
          <w:bCs/>
        </w:rPr>
      </w:pPr>
      <w:r w:rsidRPr="00D35D44">
        <w:rPr>
          <w:bCs/>
        </w:rPr>
        <w:t>The results of the stepped economic eval</w:t>
      </w:r>
      <w:r w:rsidR="0067461A" w:rsidRPr="00D35D44">
        <w:rPr>
          <w:bCs/>
        </w:rPr>
        <w:t>uation are presented in Table 12</w:t>
      </w:r>
      <w:r w:rsidRPr="00D35D44">
        <w:rPr>
          <w:bCs/>
        </w:rPr>
        <w:t xml:space="preserve">. </w:t>
      </w:r>
    </w:p>
    <w:p w:rsidR="00D31920" w:rsidRPr="00D35D44" w:rsidRDefault="0067461A" w:rsidP="00D31920">
      <w:pPr>
        <w:keepNext/>
        <w:widowControl/>
        <w:rPr>
          <w:b/>
        </w:rPr>
      </w:pPr>
      <w:r w:rsidRPr="00D35D44">
        <w:rPr>
          <w:rStyle w:val="CommentReference"/>
        </w:rPr>
        <w:t>Table 12</w:t>
      </w:r>
      <w:r w:rsidR="00D31920" w:rsidRPr="00D35D44">
        <w:rPr>
          <w:rStyle w:val="CommentReference"/>
        </w:rPr>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78"/>
        <w:gridCol w:w="2469"/>
        <w:gridCol w:w="2314"/>
        <w:gridCol w:w="1522"/>
      </w:tblGrid>
      <w:tr w:rsidR="00D31920" w:rsidRPr="00D35D44" w:rsidTr="00453585">
        <w:trPr>
          <w:tblHeader/>
        </w:trPr>
        <w:tc>
          <w:tcPr>
            <w:tcW w:w="1529" w:type="pct"/>
            <w:vAlign w:val="center"/>
          </w:tcPr>
          <w:p w:rsidR="00D31920" w:rsidRPr="00D35D44" w:rsidRDefault="00D31920" w:rsidP="00453585">
            <w:pPr>
              <w:pStyle w:val="Tabletext"/>
              <w:rPr>
                <w:b/>
              </w:rPr>
            </w:pPr>
            <w:r w:rsidRPr="00D35D44">
              <w:rPr>
                <w:b/>
              </w:rPr>
              <w:t>Step and component</w:t>
            </w:r>
          </w:p>
        </w:tc>
        <w:tc>
          <w:tcPr>
            <w:tcW w:w="1359" w:type="pct"/>
            <w:vAlign w:val="center"/>
          </w:tcPr>
          <w:p w:rsidR="00D31920" w:rsidRPr="00D35D44" w:rsidRDefault="00D31920" w:rsidP="00453585">
            <w:pPr>
              <w:pStyle w:val="Tabletext"/>
              <w:jc w:val="center"/>
              <w:rPr>
                <w:b/>
              </w:rPr>
            </w:pPr>
            <w:r w:rsidRPr="00D35D44">
              <w:rPr>
                <w:b/>
              </w:rPr>
              <w:t>Cetuximab + CT</w:t>
            </w:r>
          </w:p>
        </w:tc>
        <w:tc>
          <w:tcPr>
            <w:tcW w:w="1274" w:type="pct"/>
            <w:vAlign w:val="center"/>
          </w:tcPr>
          <w:p w:rsidR="00D31920" w:rsidRPr="00D35D44" w:rsidRDefault="00D31920" w:rsidP="00453585">
            <w:pPr>
              <w:pStyle w:val="Tabletext"/>
              <w:jc w:val="center"/>
              <w:rPr>
                <w:b/>
              </w:rPr>
            </w:pPr>
            <w:r w:rsidRPr="00D35D44">
              <w:rPr>
                <w:b/>
              </w:rPr>
              <w:t>CT only</w:t>
            </w:r>
          </w:p>
        </w:tc>
        <w:tc>
          <w:tcPr>
            <w:tcW w:w="838" w:type="pct"/>
            <w:vAlign w:val="center"/>
          </w:tcPr>
          <w:p w:rsidR="00D31920" w:rsidRPr="00D35D44" w:rsidRDefault="00D31920" w:rsidP="00453585">
            <w:pPr>
              <w:pStyle w:val="Tabletext"/>
              <w:jc w:val="center"/>
              <w:rPr>
                <w:b/>
              </w:rPr>
            </w:pPr>
            <w:r w:rsidRPr="00D35D44">
              <w:rPr>
                <w:b/>
              </w:rPr>
              <w:t>Increment</w:t>
            </w:r>
          </w:p>
        </w:tc>
      </w:tr>
      <w:tr w:rsidR="00D31920" w:rsidRPr="00D35D44" w:rsidTr="00453585">
        <w:tc>
          <w:tcPr>
            <w:tcW w:w="5000" w:type="pct"/>
            <w:gridSpan w:val="4"/>
            <w:vAlign w:val="center"/>
          </w:tcPr>
          <w:p w:rsidR="00D31920" w:rsidRPr="00D35D44" w:rsidRDefault="00D31920" w:rsidP="00453585">
            <w:pPr>
              <w:pStyle w:val="Tabletext"/>
              <w:rPr>
                <w:b/>
                <w:snapToGrid w:val="0"/>
              </w:rPr>
            </w:pPr>
            <w:r w:rsidRPr="00D35D44">
              <w:rPr>
                <w:b/>
                <w:snapToGrid w:val="0"/>
              </w:rPr>
              <w:t>Step 1: trial-based costs and responders (trial duration 19.1 months median follow up in cetuximab + CT and 18.2 months in CT only</w:t>
            </w:r>
          </w:p>
        </w:tc>
      </w:tr>
      <w:tr w:rsidR="00D31920" w:rsidRPr="00D35D44" w:rsidTr="00453585">
        <w:tc>
          <w:tcPr>
            <w:tcW w:w="1529" w:type="pct"/>
            <w:vAlign w:val="center"/>
          </w:tcPr>
          <w:p w:rsidR="00D31920" w:rsidRPr="00D35D44" w:rsidRDefault="00D31920" w:rsidP="00453585">
            <w:pPr>
              <w:pStyle w:val="Tabletext"/>
              <w:rPr>
                <w:bCs/>
              </w:rPr>
            </w:pPr>
            <w:r w:rsidRPr="00D35D44">
              <w:rPr>
                <w:bCs/>
              </w:rPr>
              <w:t>Costs</w:t>
            </w:r>
          </w:p>
        </w:tc>
        <w:tc>
          <w:tcPr>
            <w:tcW w:w="1359" w:type="pct"/>
            <w:vAlign w:val="center"/>
          </w:tcPr>
          <w:p w:rsidR="00D31920" w:rsidRPr="00D35D44" w:rsidRDefault="00D31920" w:rsidP="00453585">
            <w:pPr>
              <w:pStyle w:val="Tabletext"/>
              <w:jc w:val="center"/>
              <w:rPr>
                <w:bCs/>
              </w:rPr>
            </w:pPr>
            <w:r w:rsidRPr="00D35D44">
              <w:rPr>
                <w:bCs/>
              </w:rPr>
              <w:t>$</w:t>
            </w:r>
            <w:r w:rsidR="00A7601C">
              <w:rPr>
                <w:bCs/>
                <w:noProof/>
                <w:color w:val="000000"/>
                <w:highlight w:val="black"/>
              </w:rPr>
              <w:t>'''''''''''''''</w:t>
            </w:r>
          </w:p>
        </w:tc>
        <w:tc>
          <w:tcPr>
            <w:tcW w:w="1274" w:type="pct"/>
            <w:vAlign w:val="center"/>
          </w:tcPr>
          <w:p w:rsidR="00D31920" w:rsidRPr="00D35D44" w:rsidRDefault="00D31920" w:rsidP="00453585">
            <w:pPr>
              <w:pStyle w:val="Tabletext"/>
              <w:jc w:val="center"/>
              <w:rPr>
                <w:bCs/>
              </w:rPr>
            </w:pPr>
            <w:r w:rsidRPr="00D35D44">
              <w:rPr>
                <w:bCs/>
              </w:rPr>
              <w:t>$1,480</w:t>
            </w:r>
          </w:p>
        </w:tc>
        <w:tc>
          <w:tcPr>
            <w:tcW w:w="838" w:type="pct"/>
            <w:vAlign w:val="center"/>
          </w:tcPr>
          <w:p w:rsidR="00D31920" w:rsidRPr="00D35D44" w:rsidRDefault="00D31920" w:rsidP="00453585">
            <w:pPr>
              <w:pStyle w:val="Tabletext"/>
              <w:jc w:val="center"/>
              <w:rPr>
                <w:bCs/>
              </w:rPr>
            </w:pPr>
            <w:r w:rsidRPr="00D35D44">
              <w:rPr>
                <w:bCs/>
              </w:rPr>
              <w:t>$</w:t>
            </w:r>
            <w:r w:rsidR="00A7601C">
              <w:rPr>
                <w:bCs/>
                <w:noProof/>
                <w:color w:val="000000"/>
                <w:highlight w:val="black"/>
              </w:rPr>
              <w:t>''''''''''''''''</w:t>
            </w:r>
          </w:p>
        </w:tc>
      </w:tr>
      <w:tr w:rsidR="00D31920" w:rsidRPr="00D35D44" w:rsidTr="00453585">
        <w:tc>
          <w:tcPr>
            <w:tcW w:w="1529" w:type="pct"/>
            <w:vAlign w:val="center"/>
          </w:tcPr>
          <w:p w:rsidR="00D31920" w:rsidRPr="00D35D44" w:rsidRDefault="00D31920" w:rsidP="00453585">
            <w:pPr>
              <w:pStyle w:val="Tabletext"/>
              <w:rPr>
                <w:bCs/>
              </w:rPr>
            </w:pPr>
            <w:r w:rsidRPr="00D35D44">
              <w:rPr>
                <w:bCs/>
              </w:rPr>
              <w:t>Percentage of responders</w:t>
            </w:r>
          </w:p>
        </w:tc>
        <w:tc>
          <w:tcPr>
            <w:tcW w:w="1359" w:type="pct"/>
            <w:vAlign w:val="center"/>
          </w:tcPr>
          <w:p w:rsidR="00D31920" w:rsidRPr="00D35D44" w:rsidRDefault="00D31920" w:rsidP="00453585">
            <w:pPr>
              <w:pStyle w:val="Tabletext"/>
              <w:jc w:val="center"/>
              <w:rPr>
                <w:bCs/>
              </w:rPr>
            </w:pPr>
            <w:r w:rsidRPr="00D35D44">
              <w:rPr>
                <w:bCs/>
              </w:rPr>
              <w:t>35.6%</w:t>
            </w:r>
          </w:p>
        </w:tc>
        <w:tc>
          <w:tcPr>
            <w:tcW w:w="1274" w:type="pct"/>
            <w:vAlign w:val="center"/>
          </w:tcPr>
          <w:p w:rsidR="00D31920" w:rsidRPr="00D35D44" w:rsidRDefault="00D31920" w:rsidP="00453585">
            <w:pPr>
              <w:pStyle w:val="Tabletext"/>
              <w:jc w:val="center"/>
              <w:rPr>
                <w:bCs/>
              </w:rPr>
            </w:pPr>
            <w:r w:rsidRPr="00D35D44">
              <w:rPr>
                <w:bCs/>
              </w:rPr>
              <w:t>19.5%</w:t>
            </w:r>
          </w:p>
        </w:tc>
        <w:tc>
          <w:tcPr>
            <w:tcW w:w="838" w:type="pct"/>
            <w:vAlign w:val="center"/>
          </w:tcPr>
          <w:p w:rsidR="00D31920" w:rsidRPr="00D35D44" w:rsidRDefault="00D31920" w:rsidP="00453585">
            <w:pPr>
              <w:pStyle w:val="Tabletext"/>
              <w:jc w:val="center"/>
              <w:rPr>
                <w:bCs/>
              </w:rPr>
            </w:pPr>
            <w:r w:rsidRPr="00D35D44">
              <w:rPr>
                <w:bCs/>
              </w:rPr>
              <w:t>16.1%</w:t>
            </w:r>
          </w:p>
        </w:tc>
      </w:tr>
      <w:tr w:rsidR="00D31920" w:rsidRPr="00D35D44" w:rsidTr="00453585">
        <w:tc>
          <w:tcPr>
            <w:tcW w:w="4162" w:type="pct"/>
            <w:gridSpan w:val="3"/>
            <w:vAlign w:val="center"/>
          </w:tcPr>
          <w:p w:rsidR="00D31920" w:rsidRPr="00D35D44" w:rsidRDefault="00D31920" w:rsidP="00453585">
            <w:pPr>
              <w:pStyle w:val="Tabletext"/>
              <w:rPr>
                <w:bCs/>
                <w:snapToGrid w:val="0"/>
              </w:rPr>
            </w:pPr>
            <w:r w:rsidRPr="00D35D44">
              <w:rPr>
                <w:bCs/>
              </w:rPr>
              <w:t>Incremental cost per additional responder gained</w:t>
            </w:r>
          </w:p>
        </w:tc>
        <w:tc>
          <w:tcPr>
            <w:tcW w:w="838" w:type="pct"/>
            <w:vAlign w:val="center"/>
          </w:tcPr>
          <w:p w:rsidR="00D31920" w:rsidRPr="00D35D44" w:rsidRDefault="00D31920" w:rsidP="00453585">
            <w:pPr>
              <w:pStyle w:val="Tabletext"/>
              <w:jc w:val="center"/>
              <w:rPr>
                <w:bCs/>
              </w:rPr>
            </w:pPr>
            <w:r w:rsidRPr="00D35D44">
              <w:rPr>
                <w:bCs/>
              </w:rPr>
              <w:t>$</w:t>
            </w:r>
            <w:r w:rsidR="00A7601C">
              <w:rPr>
                <w:bCs/>
                <w:noProof/>
                <w:color w:val="000000"/>
                <w:highlight w:val="black"/>
              </w:rPr>
              <w:t>''''''''''''''''</w:t>
            </w:r>
          </w:p>
        </w:tc>
      </w:tr>
      <w:tr w:rsidR="00D31920" w:rsidRPr="00D35D44" w:rsidTr="00453585">
        <w:tc>
          <w:tcPr>
            <w:tcW w:w="5000" w:type="pct"/>
            <w:gridSpan w:val="4"/>
            <w:vAlign w:val="center"/>
          </w:tcPr>
          <w:p w:rsidR="00D31920" w:rsidRPr="00D35D44" w:rsidRDefault="00D31920" w:rsidP="00453585">
            <w:pPr>
              <w:pStyle w:val="Tabletext"/>
              <w:rPr>
                <w:b/>
                <w:snapToGrid w:val="0"/>
              </w:rPr>
            </w:pPr>
            <w:r w:rsidRPr="00D35D44">
              <w:rPr>
                <w:b/>
                <w:snapToGrid w:val="0"/>
              </w:rPr>
              <w:t xml:space="preserve">Step 2: </w:t>
            </w:r>
            <w:r w:rsidRPr="00D35D44">
              <w:rPr>
                <w:b/>
              </w:rPr>
              <w:t xml:space="preserve">Extrapolated life year gain (5 year time horizon) </w:t>
            </w:r>
          </w:p>
        </w:tc>
      </w:tr>
      <w:tr w:rsidR="00D31920" w:rsidRPr="00D35D44" w:rsidTr="00453585">
        <w:tc>
          <w:tcPr>
            <w:tcW w:w="1529" w:type="pct"/>
            <w:vAlign w:val="center"/>
          </w:tcPr>
          <w:p w:rsidR="00D31920" w:rsidRPr="00D35D44" w:rsidRDefault="00D31920" w:rsidP="00453585">
            <w:pPr>
              <w:pStyle w:val="Tabletext"/>
              <w:rPr>
                <w:bCs/>
              </w:rPr>
            </w:pPr>
            <w:r w:rsidRPr="00D35D44">
              <w:rPr>
                <w:bCs/>
              </w:rPr>
              <w:t>Costs</w:t>
            </w:r>
          </w:p>
        </w:tc>
        <w:tc>
          <w:tcPr>
            <w:tcW w:w="1359" w:type="pct"/>
            <w:vAlign w:val="center"/>
          </w:tcPr>
          <w:p w:rsidR="00D31920" w:rsidRPr="00D35D44" w:rsidRDefault="00D31920" w:rsidP="00453585">
            <w:pPr>
              <w:pStyle w:val="Tabletext"/>
              <w:jc w:val="center"/>
              <w:rPr>
                <w:bCs/>
              </w:rPr>
            </w:pPr>
            <w:r w:rsidRPr="00D35D44">
              <w:rPr>
                <w:bCs/>
              </w:rPr>
              <w:t>$</w:t>
            </w:r>
            <w:r w:rsidR="00A7601C">
              <w:rPr>
                <w:bCs/>
                <w:noProof/>
                <w:color w:val="000000"/>
                <w:highlight w:val="black"/>
              </w:rPr>
              <w:t>'''''''''''''''</w:t>
            </w:r>
          </w:p>
        </w:tc>
        <w:tc>
          <w:tcPr>
            <w:tcW w:w="1274" w:type="pct"/>
            <w:vAlign w:val="center"/>
          </w:tcPr>
          <w:p w:rsidR="00D31920" w:rsidRPr="00D35D44" w:rsidRDefault="00D31920" w:rsidP="00453585">
            <w:pPr>
              <w:pStyle w:val="Tabletext"/>
              <w:jc w:val="center"/>
              <w:rPr>
                <w:bCs/>
              </w:rPr>
            </w:pPr>
            <w:r w:rsidRPr="00D35D44">
              <w:rPr>
                <w:bCs/>
              </w:rPr>
              <w:t>$12,233</w:t>
            </w:r>
          </w:p>
        </w:tc>
        <w:tc>
          <w:tcPr>
            <w:tcW w:w="838" w:type="pct"/>
            <w:vAlign w:val="center"/>
          </w:tcPr>
          <w:p w:rsidR="00D31920" w:rsidRPr="00D35D44" w:rsidRDefault="00D31920" w:rsidP="00453585">
            <w:pPr>
              <w:pStyle w:val="Tabletext"/>
              <w:jc w:val="center"/>
              <w:rPr>
                <w:bCs/>
              </w:rPr>
            </w:pPr>
            <w:r w:rsidRPr="00D35D44">
              <w:rPr>
                <w:bCs/>
              </w:rPr>
              <w:t>$</w:t>
            </w:r>
            <w:r w:rsidR="00A7601C">
              <w:rPr>
                <w:bCs/>
                <w:noProof/>
                <w:color w:val="000000"/>
                <w:highlight w:val="black"/>
              </w:rPr>
              <w:t>''''''''''''''''</w:t>
            </w:r>
          </w:p>
        </w:tc>
      </w:tr>
      <w:tr w:rsidR="00D31920" w:rsidRPr="00D35D44" w:rsidTr="00453585">
        <w:tc>
          <w:tcPr>
            <w:tcW w:w="1529" w:type="pct"/>
            <w:vAlign w:val="center"/>
          </w:tcPr>
          <w:p w:rsidR="00D31920" w:rsidRPr="00D35D44" w:rsidRDefault="00D31920" w:rsidP="00453585">
            <w:pPr>
              <w:pStyle w:val="Tabletext"/>
              <w:rPr>
                <w:bCs/>
              </w:rPr>
            </w:pPr>
            <w:r w:rsidRPr="00D35D44">
              <w:rPr>
                <w:bCs/>
              </w:rPr>
              <w:t>Life years gain</w:t>
            </w:r>
          </w:p>
        </w:tc>
        <w:tc>
          <w:tcPr>
            <w:tcW w:w="1359" w:type="pct"/>
            <w:vAlign w:val="center"/>
          </w:tcPr>
          <w:p w:rsidR="00D31920" w:rsidRPr="00D35D44" w:rsidRDefault="00D31920" w:rsidP="00453585">
            <w:pPr>
              <w:pStyle w:val="Tabletext"/>
              <w:jc w:val="center"/>
              <w:rPr>
                <w:bCs/>
              </w:rPr>
            </w:pPr>
            <w:r w:rsidRPr="00D35D44">
              <w:rPr>
                <w:bCs/>
              </w:rPr>
              <w:t>1.173</w:t>
            </w:r>
          </w:p>
        </w:tc>
        <w:tc>
          <w:tcPr>
            <w:tcW w:w="1274" w:type="pct"/>
            <w:vAlign w:val="center"/>
          </w:tcPr>
          <w:p w:rsidR="00D31920" w:rsidRPr="00D35D44" w:rsidRDefault="00D31920" w:rsidP="00453585">
            <w:pPr>
              <w:pStyle w:val="Tabletext"/>
              <w:jc w:val="center"/>
              <w:rPr>
                <w:bCs/>
              </w:rPr>
            </w:pPr>
            <w:r w:rsidRPr="00D35D44">
              <w:rPr>
                <w:bCs/>
              </w:rPr>
              <w:t>0.925</w:t>
            </w:r>
          </w:p>
        </w:tc>
        <w:tc>
          <w:tcPr>
            <w:tcW w:w="838" w:type="pct"/>
            <w:vAlign w:val="center"/>
          </w:tcPr>
          <w:p w:rsidR="00D31920" w:rsidRPr="00D35D44" w:rsidRDefault="00D31920" w:rsidP="00453585">
            <w:pPr>
              <w:pStyle w:val="Tabletext"/>
              <w:jc w:val="center"/>
              <w:rPr>
                <w:bCs/>
              </w:rPr>
            </w:pPr>
            <w:r w:rsidRPr="00D35D44">
              <w:rPr>
                <w:bCs/>
              </w:rPr>
              <w:t>0.248</w:t>
            </w:r>
          </w:p>
        </w:tc>
      </w:tr>
      <w:tr w:rsidR="00D31920" w:rsidRPr="00D35D44" w:rsidTr="00453585">
        <w:tc>
          <w:tcPr>
            <w:tcW w:w="4162" w:type="pct"/>
            <w:gridSpan w:val="3"/>
            <w:vAlign w:val="center"/>
          </w:tcPr>
          <w:p w:rsidR="00D31920" w:rsidRPr="00D35D44" w:rsidRDefault="00D31920" w:rsidP="00453585">
            <w:pPr>
              <w:pStyle w:val="Tabletext"/>
              <w:rPr>
                <w:bCs/>
                <w:snapToGrid w:val="0"/>
              </w:rPr>
            </w:pPr>
            <w:r w:rsidRPr="00D35D44">
              <w:rPr>
                <w:bCs/>
              </w:rPr>
              <w:t>Incremental cost per additional life year gained</w:t>
            </w:r>
          </w:p>
        </w:tc>
        <w:tc>
          <w:tcPr>
            <w:tcW w:w="838" w:type="pct"/>
            <w:vAlign w:val="center"/>
          </w:tcPr>
          <w:p w:rsidR="00D31920" w:rsidRPr="00D35D44" w:rsidRDefault="00D31920" w:rsidP="00453585">
            <w:pPr>
              <w:pStyle w:val="Tabletext"/>
              <w:jc w:val="center"/>
              <w:rPr>
                <w:bCs/>
              </w:rPr>
            </w:pPr>
            <w:r w:rsidRPr="00D35D44">
              <w:rPr>
                <w:bCs/>
              </w:rPr>
              <w:t>$</w:t>
            </w:r>
            <w:r w:rsidR="00A7601C">
              <w:rPr>
                <w:bCs/>
                <w:noProof/>
                <w:color w:val="000000"/>
                <w:highlight w:val="black"/>
              </w:rPr>
              <w:t>'''''''''''''''''</w:t>
            </w:r>
          </w:p>
        </w:tc>
      </w:tr>
      <w:tr w:rsidR="00D31920" w:rsidRPr="00D35D44" w:rsidTr="00453585">
        <w:tc>
          <w:tcPr>
            <w:tcW w:w="5000" w:type="pct"/>
            <w:gridSpan w:val="4"/>
            <w:vAlign w:val="center"/>
          </w:tcPr>
          <w:p w:rsidR="00D31920" w:rsidRPr="00D35D44" w:rsidRDefault="00D31920" w:rsidP="00453585">
            <w:pPr>
              <w:pStyle w:val="Tabletext"/>
              <w:rPr>
                <w:bCs/>
                <w:snapToGrid w:val="0"/>
              </w:rPr>
            </w:pPr>
            <w:r w:rsidRPr="00D35D44">
              <w:rPr>
                <w:b/>
                <w:snapToGrid w:val="0"/>
              </w:rPr>
              <w:t xml:space="preserve">Step 2: </w:t>
            </w:r>
            <w:r w:rsidRPr="00D35D44">
              <w:rPr>
                <w:b/>
              </w:rPr>
              <w:t>Extrapolated QALY gain (5 year time horizon)</w:t>
            </w:r>
          </w:p>
        </w:tc>
      </w:tr>
      <w:tr w:rsidR="00D31920" w:rsidRPr="00D35D44" w:rsidTr="00453585">
        <w:tc>
          <w:tcPr>
            <w:tcW w:w="1529" w:type="pct"/>
            <w:vAlign w:val="center"/>
          </w:tcPr>
          <w:p w:rsidR="00D31920" w:rsidRPr="00D35D44" w:rsidRDefault="00D31920" w:rsidP="00453585">
            <w:pPr>
              <w:pStyle w:val="Tabletext"/>
              <w:rPr>
                <w:bCs/>
              </w:rPr>
            </w:pPr>
            <w:r w:rsidRPr="00D35D44">
              <w:rPr>
                <w:bCs/>
              </w:rPr>
              <w:t>Costs</w:t>
            </w:r>
          </w:p>
        </w:tc>
        <w:tc>
          <w:tcPr>
            <w:tcW w:w="1359" w:type="pct"/>
            <w:vAlign w:val="center"/>
          </w:tcPr>
          <w:p w:rsidR="00D31920" w:rsidRPr="00D35D44" w:rsidRDefault="00D31920" w:rsidP="00453585">
            <w:pPr>
              <w:pStyle w:val="Tabletext"/>
              <w:jc w:val="center"/>
              <w:rPr>
                <w:bCs/>
              </w:rPr>
            </w:pPr>
            <w:r w:rsidRPr="00D35D44">
              <w:rPr>
                <w:bCs/>
              </w:rPr>
              <w:t>$</w:t>
            </w:r>
            <w:r w:rsidR="00A7601C">
              <w:rPr>
                <w:bCs/>
                <w:noProof/>
                <w:color w:val="000000"/>
                <w:highlight w:val="black"/>
              </w:rPr>
              <w:t>'''''''''''''''''</w:t>
            </w:r>
          </w:p>
        </w:tc>
        <w:tc>
          <w:tcPr>
            <w:tcW w:w="1274" w:type="pct"/>
            <w:vAlign w:val="center"/>
          </w:tcPr>
          <w:p w:rsidR="00D31920" w:rsidRPr="00D35D44" w:rsidRDefault="00D31920" w:rsidP="00453585">
            <w:pPr>
              <w:pStyle w:val="Tabletext"/>
              <w:jc w:val="center"/>
              <w:rPr>
                <w:bCs/>
              </w:rPr>
            </w:pPr>
            <w:r w:rsidRPr="00D35D44">
              <w:rPr>
                <w:bCs/>
              </w:rPr>
              <w:t>$12,233</w:t>
            </w:r>
          </w:p>
        </w:tc>
        <w:tc>
          <w:tcPr>
            <w:tcW w:w="838" w:type="pct"/>
            <w:vAlign w:val="center"/>
          </w:tcPr>
          <w:p w:rsidR="00D31920" w:rsidRPr="00D35D44" w:rsidRDefault="00D31920" w:rsidP="00453585">
            <w:pPr>
              <w:pStyle w:val="Tabletext"/>
              <w:jc w:val="center"/>
              <w:rPr>
                <w:bCs/>
              </w:rPr>
            </w:pPr>
            <w:r w:rsidRPr="00D35D44">
              <w:rPr>
                <w:bCs/>
              </w:rPr>
              <w:t>$</w:t>
            </w:r>
            <w:r w:rsidR="00A7601C">
              <w:rPr>
                <w:bCs/>
                <w:noProof/>
                <w:color w:val="000000"/>
                <w:highlight w:val="black"/>
              </w:rPr>
              <w:t>''''''''''''''''</w:t>
            </w:r>
          </w:p>
        </w:tc>
      </w:tr>
      <w:tr w:rsidR="00D31920" w:rsidRPr="00D35D44" w:rsidTr="00453585">
        <w:tc>
          <w:tcPr>
            <w:tcW w:w="1529" w:type="pct"/>
            <w:vAlign w:val="center"/>
          </w:tcPr>
          <w:p w:rsidR="00D31920" w:rsidRPr="00D35D44" w:rsidRDefault="00D31920" w:rsidP="00453585">
            <w:pPr>
              <w:pStyle w:val="Tabletext"/>
              <w:rPr>
                <w:bCs/>
              </w:rPr>
            </w:pPr>
            <w:r w:rsidRPr="00D35D44">
              <w:rPr>
                <w:bCs/>
              </w:rPr>
              <w:t>QALY</w:t>
            </w:r>
          </w:p>
        </w:tc>
        <w:tc>
          <w:tcPr>
            <w:tcW w:w="1359" w:type="pct"/>
            <w:vAlign w:val="center"/>
          </w:tcPr>
          <w:p w:rsidR="00D31920" w:rsidRPr="00D35D44" w:rsidRDefault="00D31920" w:rsidP="00453585">
            <w:pPr>
              <w:pStyle w:val="Tabletext"/>
              <w:jc w:val="center"/>
              <w:rPr>
                <w:bCs/>
              </w:rPr>
            </w:pPr>
            <w:r w:rsidRPr="00D35D44">
              <w:rPr>
                <w:bCs/>
              </w:rPr>
              <w:t>0.705</w:t>
            </w:r>
          </w:p>
        </w:tc>
        <w:tc>
          <w:tcPr>
            <w:tcW w:w="1274" w:type="pct"/>
            <w:vAlign w:val="center"/>
          </w:tcPr>
          <w:p w:rsidR="00D31920" w:rsidRPr="00D35D44" w:rsidRDefault="00D31920" w:rsidP="00453585">
            <w:pPr>
              <w:pStyle w:val="Tabletext"/>
              <w:jc w:val="center"/>
              <w:rPr>
                <w:bCs/>
              </w:rPr>
            </w:pPr>
            <w:r w:rsidRPr="00D35D44">
              <w:rPr>
                <w:bCs/>
              </w:rPr>
              <w:t>0.527</w:t>
            </w:r>
          </w:p>
        </w:tc>
        <w:tc>
          <w:tcPr>
            <w:tcW w:w="838" w:type="pct"/>
            <w:vAlign w:val="center"/>
          </w:tcPr>
          <w:p w:rsidR="00D31920" w:rsidRPr="00D35D44" w:rsidRDefault="00D31920" w:rsidP="00453585">
            <w:pPr>
              <w:pStyle w:val="Tabletext"/>
              <w:jc w:val="center"/>
              <w:rPr>
                <w:bCs/>
              </w:rPr>
            </w:pPr>
            <w:r w:rsidRPr="00D35D44">
              <w:rPr>
                <w:bCs/>
              </w:rPr>
              <w:t>0.178</w:t>
            </w:r>
          </w:p>
        </w:tc>
      </w:tr>
      <w:tr w:rsidR="00D31920" w:rsidRPr="00D35D44" w:rsidTr="00453585">
        <w:tc>
          <w:tcPr>
            <w:tcW w:w="4162" w:type="pct"/>
            <w:gridSpan w:val="3"/>
            <w:vAlign w:val="center"/>
          </w:tcPr>
          <w:p w:rsidR="00D31920" w:rsidRPr="00D35D44" w:rsidRDefault="00D31920" w:rsidP="00453585">
            <w:pPr>
              <w:pStyle w:val="Tabletext"/>
              <w:rPr>
                <w:bCs/>
              </w:rPr>
            </w:pPr>
            <w:r w:rsidRPr="00D35D44">
              <w:rPr>
                <w:bCs/>
              </w:rPr>
              <w:t>Incremental cost per QALY gained</w:t>
            </w:r>
          </w:p>
        </w:tc>
        <w:tc>
          <w:tcPr>
            <w:tcW w:w="838" w:type="pct"/>
            <w:vAlign w:val="center"/>
          </w:tcPr>
          <w:p w:rsidR="00D31920" w:rsidRPr="00D35D44" w:rsidRDefault="00D31920" w:rsidP="00453585">
            <w:pPr>
              <w:pStyle w:val="Tabletext"/>
              <w:jc w:val="center"/>
              <w:rPr>
                <w:bCs/>
              </w:rPr>
            </w:pPr>
            <w:r w:rsidRPr="00D35D44">
              <w:rPr>
                <w:bCs/>
              </w:rPr>
              <w:t>$</w:t>
            </w:r>
            <w:r w:rsidR="00A7601C">
              <w:rPr>
                <w:bCs/>
                <w:noProof/>
                <w:color w:val="000000"/>
                <w:highlight w:val="black"/>
              </w:rPr>
              <w:t>'''''''''''''''</w:t>
            </w:r>
          </w:p>
        </w:tc>
      </w:tr>
    </w:tbl>
    <w:p w:rsidR="00D31920" w:rsidRPr="00D35D44" w:rsidRDefault="00D31920" w:rsidP="00D31920">
      <w:pPr>
        <w:pStyle w:val="TableFooter"/>
        <w:rPr>
          <w:bCs/>
        </w:rPr>
      </w:pPr>
      <w:r w:rsidRPr="00D35D44">
        <w:rPr>
          <w:bCs/>
        </w:rPr>
        <w:t xml:space="preserve">CT = chemotherapy </w:t>
      </w:r>
    </w:p>
    <w:p w:rsidR="00D31920" w:rsidRPr="00D35D44" w:rsidRDefault="00D31920" w:rsidP="001B334A">
      <w:pPr>
        <w:pStyle w:val="TableFooter"/>
        <w:spacing w:after="120"/>
        <w:rPr>
          <w:rStyle w:val="CommentReference"/>
          <w:b w:val="0"/>
          <w:bCs/>
        </w:rPr>
      </w:pPr>
      <w:r w:rsidRPr="00D35D44">
        <w:rPr>
          <w:bCs/>
        </w:rPr>
        <w:t xml:space="preserve">Source: Tables 3.8.4 and 3.8.5, p118 of the resubmission </w:t>
      </w:r>
    </w:p>
    <w:p w:rsidR="00D31920" w:rsidRDefault="00D31920" w:rsidP="00846F9C">
      <w:pPr>
        <w:pStyle w:val="ListParagraph"/>
        <w:widowControl/>
        <w:numPr>
          <w:ilvl w:val="1"/>
          <w:numId w:val="2"/>
        </w:numPr>
        <w:rPr>
          <w:bCs/>
        </w:rPr>
      </w:pPr>
      <w:r w:rsidRPr="00D35D44">
        <w:rPr>
          <w:bCs/>
        </w:rPr>
        <w:lastRenderedPageBreak/>
        <w:t xml:space="preserve">The ICER for the ITT population in the previous submission was </w:t>
      </w:r>
      <w:r w:rsidR="001B334A">
        <w:rPr>
          <w:bCs/>
        </w:rPr>
        <w:t xml:space="preserve">$105,000/QALY - $200,000/QALY </w:t>
      </w:r>
      <w:r w:rsidRPr="00D35D44">
        <w:rPr>
          <w:bCs/>
        </w:rPr>
        <w:t>(</w:t>
      </w:r>
      <w:r w:rsidR="002753DC">
        <w:rPr>
          <w:bCs/>
        </w:rPr>
        <w:t>i</w:t>
      </w:r>
      <w:r w:rsidRPr="00D35D44">
        <w:rPr>
          <w:bCs/>
        </w:rPr>
        <w:t xml:space="preserve">ncremental cost </w:t>
      </w:r>
      <w:r w:rsidR="001B334A">
        <w:rPr>
          <w:bCs/>
        </w:rPr>
        <w:t>$15,000 - $45,000</w:t>
      </w:r>
      <w:r w:rsidRPr="00D35D44">
        <w:rPr>
          <w:bCs/>
        </w:rPr>
        <w:t>, incremental QALY gain 0.190).</w:t>
      </w:r>
      <w:r w:rsidR="000120B1" w:rsidRPr="00D35D44">
        <w:rPr>
          <w:bCs/>
        </w:rPr>
        <w:t xml:space="preserve"> </w:t>
      </w:r>
      <w:r w:rsidRPr="00D35D44">
        <w:rPr>
          <w:bCs/>
        </w:rPr>
        <w:t xml:space="preserve">The decrease in </w:t>
      </w:r>
      <w:r w:rsidR="0067461A" w:rsidRPr="00D35D44">
        <w:rPr>
          <w:bCs/>
        </w:rPr>
        <w:t xml:space="preserve">base case </w:t>
      </w:r>
      <w:r w:rsidRPr="00D35D44">
        <w:rPr>
          <w:bCs/>
        </w:rPr>
        <w:t xml:space="preserve">ICER </w:t>
      </w:r>
      <w:r w:rsidR="0067461A" w:rsidRPr="00D35D44">
        <w:rPr>
          <w:bCs/>
        </w:rPr>
        <w:t xml:space="preserve">in this resubmission was </w:t>
      </w:r>
      <w:r w:rsidRPr="00D35D44">
        <w:rPr>
          <w:bCs/>
        </w:rPr>
        <w:t>mainly due to a lower incremental cost driven by the increase in confidential rebate</w:t>
      </w:r>
      <w:r w:rsidR="009F0BE1" w:rsidRPr="00D35D44">
        <w:rPr>
          <w:bCs/>
        </w:rPr>
        <w:t xml:space="preserve"> resulting in a</w:t>
      </w:r>
      <w:r w:rsidR="005D31D3" w:rsidRPr="00D35D44">
        <w:rPr>
          <w:bCs/>
        </w:rPr>
        <w:t xml:space="preserve"> lower effective price</w:t>
      </w:r>
      <w:r w:rsidR="009F0BE1" w:rsidRPr="00D35D44">
        <w:rPr>
          <w:bCs/>
        </w:rPr>
        <w:t>,</w:t>
      </w:r>
      <w:r w:rsidRPr="00D35D44">
        <w:rPr>
          <w:bCs/>
        </w:rPr>
        <w:t xml:space="preserve"> and a lower dose cap for cetuximab</w:t>
      </w:r>
      <w:r w:rsidR="00D9123A" w:rsidRPr="00D35D44">
        <w:rPr>
          <w:bCs/>
        </w:rPr>
        <w:t xml:space="preserve">. </w:t>
      </w:r>
      <w:r w:rsidR="00BB539C">
        <w:rPr>
          <w:bCs/>
        </w:rPr>
        <w:t>Additionally, the revised economic model included</w:t>
      </w:r>
      <w:r w:rsidRPr="00D35D44">
        <w:rPr>
          <w:bCs/>
        </w:rPr>
        <w:t xml:space="preserve"> lower assumed administration costs and higher assumed palliative cost (which was disproportionately applied to the CT only arm).</w:t>
      </w:r>
      <w:r w:rsidR="000120B1" w:rsidRPr="00D35D44">
        <w:rPr>
          <w:bCs/>
        </w:rPr>
        <w:t xml:space="preserve"> </w:t>
      </w:r>
      <w:r w:rsidRPr="00D35D44">
        <w:rPr>
          <w:bCs/>
        </w:rPr>
        <w:t xml:space="preserve">The resubmission also reported a lower QALY increment which was the result of using utilities reported in </w:t>
      </w:r>
      <w:proofErr w:type="spellStart"/>
      <w:r w:rsidRPr="00D35D44">
        <w:rPr>
          <w:bCs/>
        </w:rPr>
        <w:t>Greenhalg</w:t>
      </w:r>
      <w:r w:rsidR="0067461A" w:rsidRPr="00D35D44">
        <w:rPr>
          <w:bCs/>
        </w:rPr>
        <w:t>h</w:t>
      </w:r>
      <w:proofErr w:type="spellEnd"/>
      <w:r w:rsidR="0067461A" w:rsidRPr="00D35D44">
        <w:rPr>
          <w:bCs/>
        </w:rPr>
        <w:t xml:space="preserve"> </w:t>
      </w:r>
      <w:r w:rsidR="00DD51BE" w:rsidRPr="00D35D44">
        <w:rPr>
          <w:bCs/>
        </w:rPr>
        <w:t xml:space="preserve">et al </w:t>
      </w:r>
      <w:r w:rsidR="0067461A" w:rsidRPr="00D35D44">
        <w:rPr>
          <w:bCs/>
        </w:rPr>
        <w:t xml:space="preserve">2008 instead of </w:t>
      </w:r>
      <w:proofErr w:type="spellStart"/>
      <w:r w:rsidR="0067461A" w:rsidRPr="00D35D44">
        <w:rPr>
          <w:bCs/>
        </w:rPr>
        <w:t>Paleri</w:t>
      </w:r>
      <w:proofErr w:type="spellEnd"/>
      <w:r w:rsidR="0067461A" w:rsidRPr="00D35D44">
        <w:rPr>
          <w:bCs/>
        </w:rPr>
        <w:t xml:space="preserve"> 2008. </w:t>
      </w:r>
    </w:p>
    <w:p w:rsidR="001B334A" w:rsidRDefault="00D31920" w:rsidP="001B334A">
      <w:pPr>
        <w:pStyle w:val="ListParagraph"/>
        <w:widowControl/>
        <w:numPr>
          <w:ilvl w:val="1"/>
          <w:numId w:val="2"/>
        </w:numPr>
        <w:rPr>
          <w:bCs/>
        </w:rPr>
      </w:pPr>
      <w:r w:rsidRPr="001B334A">
        <w:rPr>
          <w:bCs/>
        </w:rPr>
        <w:t>The incremental QALY gain reported in the resubmission for cetuximab +</w:t>
      </w:r>
      <w:r w:rsidR="004171B2" w:rsidRPr="001B334A">
        <w:rPr>
          <w:bCs/>
        </w:rPr>
        <w:t xml:space="preserve"> </w:t>
      </w:r>
      <w:r w:rsidRPr="001B334A">
        <w:rPr>
          <w:bCs/>
        </w:rPr>
        <w:t>CT over CT only was significantly higher than comparable published models which specifically investigated the addition of cetuximab to platinum based CT in RM SCCHN.</w:t>
      </w:r>
      <w:r w:rsidR="000120B1" w:rsidRPr="001B334A">
        <w:rPr>
          <w:bCs/>
        </w:rPr>
        <w:t xml:space="preserve"> </w:t>
      </w:r>
      <w:r w:rsidRPr="001B334A">
        <w:rPr>
          <w:bCs/>
        </w:rPr>
        <w:t xml:space="preserve">The resubmission’s estimate of 0.178 QALY gain over five years was almost double that reported in </w:t>
      </w:r>
      <w:proofErr w:type="spellStart"/>
      <w:r w:rsidRPr="001B334A">
        <w:rPr>
          <w:bCs/>
        </w:rPr>
        <w:t>Hannouf</w:t>
      </w:r>
      <w:proofErr w:type="spellEnd"/>
      <w:r w:rsidRPr="001B334A">
        <w:rPr>
          <w:bCs/>
        </w:rPr>
        <w:t xml:space="preserve"> et al 2012 </w:t>
      </w:r>
      <w:r w:rsidR="004F2351" w:rsidRPr="001B334A">
        <w:rPr>
          <w:bCs/>
        </w:rPr>
        <w:t>(</w:t>
      </w:r>
      <w:r w:rsidR="0067461A" w:rsidRPr="001B334A">
        <w:rPr>
          <w:bCs/>
        </w:rPr>
        <w:t>0.093 over 3 years) or</w:t>
      </w:r>
      <w:r w:rsidRPr="001B334A">
        <w:rPr>
          <w:bCs/>
        </w:rPr>
        <w:t xml:space="preserve"> 25% higher than </w:t>
      </w:r>
      <w:proofErr w:type="spellStart"/>
      <w:r w:rsidRPr="001B334A">
        <w:rPr>
          <w:bCs/>
        </w:rPr>
        <w:t>Greenhalgh</w:t>
      </w:r>
      <w:proofErr w:type="spellEnd"/>
      <w:r w:rsidRPr="001B334A">
        <w:rPr>
          <w:bCs/>
        </w:rPr>
        <w:t xml:space="preserve"> et al 2008 (</w:t>
      </w:r>
      <w:r w:rsidR="0067461A" w:rsidRPr="001B334A">
        <w:rPr>
          <w:bCs/>
        </w:rPr>
        <w:t xml:space="preserve">of </w:t>
      </w:r>
      <w:r w:rsidRPr="001B334A">
        <w:rPr>
          <w:bCs/>
        </w:rPr>
        <w:t xml:space="preserve">0.142 </w:t>
      </w:r>
      <w:r w:rsidR="0067461A" w:rsidRPr="001B334A">
        <w:rPr>
          <w:bCs/>
        </w:rPr>
        <w:t xml:space="preserve">over a </w:t>
      </w:r>
      <w:r w:rsidRPr="001B334A">
        <w:rPr>
          <w:bCs/>
        </w:rPr>
        <w:t>lifetime).</w:t>
      </w:r>
    </w:p>
    <w:p w:rsidR="00BE69DF" w:rsidRPr="001B334A" w:rsidRDefault="0067461A" w:rsidP="001B334A">
      <w:pPr>
        <w:pStyle w:val="ListParagraph"/>
        <w:widowControl/>
        <w:numPr>
          <w:ilvl w:val="1"/>
          <w:numId w:val="2"/>
        </w:numPr>
        <w:rPr>
          <w:bCs/>
        </w:rPr>
      </w:pPr>
      <w:r w:rsidRPr="001B334A">
        <w:rPr>
          <w:iCs/>
        </w:rPr>
        <w:t>F</w:t>
      </w:r>
      <w:r w:rsidR="00D31920" w:rsidRPr="001B334A">
        <w:rPr>
          <w:iCs/>
        </w:rPr>
        <w:t xml:space="preserve">avourable assumptions </w:t>
      </w:r>
      <w:r w:rsidR="005A271E" w:rsidRPr="001B334A">
        <w:rPr>
          <w:iCs/>
        </w:rPr>
        <w:t>(including but not limited to assumed cetuximab doses, method to assign costs and estimate</w:t>
      </w:r>
      <w:r w:rsidR="002C361F" w:rsidRPr="001B334A">
        <w:rPr>
          <w:iCs/>
        </w:rPr>
        <w:t>d</w:t>
      </w:r>
      <w:r w:rsidR="005A271E" w:rsidRPr="001B334A">
        <w:rPr>
          <w:iCs/>
        </w:rPr>
        <w:t xml:space="preserve"> administration costs) </w:t>
      </w:r>
      <w:r w:rsidR="003211C0" w:rsidRPr="001B334A">
        <w:rPr>
          <w:iCs/>
        </w:rPr>
        <w:t>potentially</w:t>
      </w:r>
      <w:r w:rsidR="00D31920" w:rsidRPr="001B334A">
        <w:rPr>
          <w:iCs/>
        </w:rPr>
        <w:t xml:space="preserve"> resulted in the </w:t>
      </w:r>
      <w:r w:rsidRPr="001B334A">
        <w:rPr>
          <w:iCs/>
        </w:rPr>
        <w:t>lower ICER estimated.</w:t>
      </w:r>
      <w:r w:rsidR="000120B1" w:rsidRPr="001B334A">
        <w:rPr>
          <w:iCs/>
        </w:rPr>
        <w:t xml:space="preserve"> </w:t>
      </w:r>
      <w:r w:rsidR="00D31920" w:rsidRPr="001B334A">
        <w:rPr>
          <w:iCs/>
        </w:rPr>
        <w:t>F</w:t>
      </w:r>
      <w:r w:rsidRPr="001B334A">
        <w:rPr>
          <w:bCs/>
        </w:rPr>
        <w:t>igure 4, constructed during the evaluation illustrates the impact of varying both parametric survival function used to extrapolate PFS and OS and the time horizon on the estimated ICER.</w:t>
      </w:r>
    </w:p>
    <w:p w:rsidR="00A0505C" w:rsidRPr="00A0505C" w:rsidRDefault="00D31920" w:rsidP="00A0505C">
      <w:pPr>
        <w:keepNext/>
        <w:widowControl/>
        <w:rPr>
          <w:rStyle w:val="CommentReference"/>
          <w:iCs/>
        </w:rPr>
      </w:pPr>
      <w:r w:rsidRPr="00A0505C">
        <w:rPr>
          <w:rStyle w:val="CommentReference"/>
          <w:iCs/>
        </w:rPr>
        <w:t xml:space="preserve">Figure </w:t>
      </w:r>
      <w:r w:rsidR="00A940D5" w:rsidRPr="00A0505C">
        <w:rPr>
          <w:rStyle w:val="CommentReference"/>
          <w:iCs/>
        </w:rPr>
        <w:t>4:</w:t>
      </w:r>
      <w:r w:rsidRPr="00A0505C">
        <w:rPr>
          <w:rStyle w:val="CommentReference"/>
          <w:iCs/>
        </w:rPr>
        <w:t xml:space="preserve"> ICER for different extrapolation method</w:t>
      </w:r>
      <w:r w:rsidR="00DF5D17" w:rsidRPr="00A0505C">
        <w:rPr>
          <w:rStyle w:val="CommentReference"/>
          <w:iCs/>
        </w:rPr>
        <w:t xml:space="preserve">s </w:t>
      </w:r>
      <w:r w:rsidRPr="00A0505C">
        <w:rPr>
          <w:rStyle w:val="CommentReference"/>
          <w:iCs/>
        </w:rPr>
        <w:t>over different time horizons</w:t>
      </w:r>
    </w:p>
    <w:p w:rsidR="00D31920" w:rsidRPr="00A7601C" w:rsidRDefault="00A7601C" w:rsidP="00D31920">
      <w:pPr>
        <w:widowControl/>
        <w:rPr>
          <w:bCs/>
        </w:rPr>
      </w:pPr>
      <w:r>
        <w:rPr>
          <w:bCs/>
          <w:noProof/>
          <w:snapToGrid/>
          <w:lang w:eastAsia="en-AU"/>
        </w:rPr>
        <w:drawing>
          <wp:inline distT="0" distB="0" distL="0" distR="0" wp14:anchorId="3CF7CE65" wp14:editId="09B5D229">
            <wp:extent cx="5732145" cy="3684905"/>
            <wp:effectExtent l="0" t="0" r="1905"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32145" cy="3684905"/>
                    </a:xfrm>
                    <a:prstGeom prst="rect">
                      <a:avLst/>
                    </a:prstGeom>
                  </pic:spPr>
                </pic:pic>
              </a:graphicData>
            </a:graphic>
          </wp:inline>
        </w:drawing>
      </w:r>
    </w:p>
    <w:p w:rsidR="00D31920" w:rsidRPr="00A0505C" w:rsidRDefault="00D31920" w:rsidP="006C5945">
      <w:pPr>
        <w:keepNext/>
        <w:widowControl/>
        <w:spacing w:after="120"/>
        <w:rPr>
          <w:rStyle w:val="CommentReference"/>
          <w:b w:val="0"/>
          <w:bCs/>
          <w:iCs/>
          <w:sz w:val="18"/>
          <w:szCs w:val="18"/>
        </w:rPr>
      </w:pPr>
      <w:r w:rsidRPr="00A0505C">
        <w:rPr>
          <w:rStyle w:val="CommentReference"/>
          <w:b w:val="0"/>
          <w:bCs/>
          <w:iCs/>
          <w:sz w:val="18"/>
          <w:szCs w:val="18"/>
        </w:rPr>
        <w:lastRenderedPageBreak/>
        <w:t>Source: constructed during evaluation using parameters in Attachment 3b and Attachment 8 of the resubmission</w:t>
      </w:r>
    </w:p>
    <w:p w:rsidR="00D31920" w:rsidRPr="00D35D44" w:rsidRDefault="00D31920" w:rsidP="00846F9C">
      <w:pPr>
        <w:pStyle w:val="ListParagraph"/>
        <w:widowControl/>
        <w:numPr>
          <w:ilvl w:val="1"/>
          <w:numId w:val="2"/>
        </w:numPr>
        <w:rPr>
          <w:bCs/>
        </w:rPr>
      </w:pPr>
      <w:r w:rsidRPr="00D35D44">
        <w:rPr>
          <w:bCs/>
        </w:rPr>
        <w:t xml:space="preserve">As illustrated in </w:t>
      </w:r>
      <w:r w:rsidR="00314262" w:rsidRPr="00D35D44">
        <w:rPr>
          <w:bCs/>
        </w:rPr>
        <w:t>Figure 4</w:t>
      </w:r>
      <w:r w:rsidRPr="00D35D44">
        <w:rPr>
          <w:bCs/>
        </w:rPr>
        <w:t>, the choice of the funct</w:t>
      </w:r>
      <w:r w:rsidR="00314262" w:rsidRPr="00D35D44">
        <w:rPr>
          <w:bCs/>
        </w:rPr>
        <w:t>ional form for extrapolation had</w:t>
      </w:r>
      <w:r w:rsidRPr="00D35D44">
        <w:rPr>
          <w:bCs/>
        </w:rPr>
        <w:t xml:space="preserve"> a significant impact on the resultant ICER, mainly via variations in the estimated survival and QALY gain in the cetuximab + CT arm after 1 year for PFS and 18.7 months for OS.</w:t>
      </w:r>
      <w:r w:rsidR="000120B1" w:rsidRPr="00D35D44">
        <w:rPr>
          <w:bCs/>
        </w:rPr>
        <w:t xml:space="preserve"> </w:t>
      </w:r>
      <w:r w:rsidRPr="00D35D44">
        <w:rPr>
          <w:bCs/>
        </w:rPr>
        <w:t xml:space="preserve">The expected costs </w:t>
      </w:r>
      <w:r w:rsidR="00D9123A" w:rsidRPr="00D35D44">
        <w:rPr>
          <w:bCs/>
        </w:rPr>
        <w:t xml:space="preserve">did </w:t>
      </w:r>
      <w:r w:rsidRPr="00D35D44">
        <w:rPr>
          <w:bCs/>
        </w:rPr>
        <w:t xml:space="preserve">not change </w:t>
      </w:r>
      <w:r w:rsidR="00B92B93" w:rsidRPr="00D35D44">
        <w:rPr>
          <w:bCs/>
        </w:rPr>
        <w:t>considerably, as</w:t>
      </w:r>
      <w:r w:rsidRPr="00D35D44">
        <w:rPr>
          <w:bCs/>
        </w:rPr>
        <w:t xml:space="preserve"> all expected drug, administration and adverse event costs were assigned upfront</w:t>
      </w:r>
      <w:r w:rsidR="00D9123A" w:rsidRPr="00D35D44">
        <w:rPr>
          <w:bCs/>
        </w:rPr>
        <w:t>,</w:t>
      </w:r>
      <w:r w:rsidRPr="00D35D44">
        <w:rPr>
          <w:bCs/>
        </w:rPr>
        <w:t xml:space="preserve"> </w:t>
      </w:r>
      <w:r w:rsidR="00D9123A" w:rsidRPr="00D35D44">
        <w:rPr>
          <w:bCs/>
        </w:rPr>
        <w:t xml:space="preserve">with </w:t>
      </w:r>
      <w:r w:rsidRPr="00D35D44">
        <w:rPr>
          <w:bCs/>
        </w:rPr>
        <w:t>the only variation of cost over time was palliative costs.</w:t>
      </w:r>
      <w:r w:rsidR="000120B1" w:rsidRPr="00D35D44">
        <w:rPr>
          <w:bCs/>
        </w:rPr>
        <w:t xml:space="preserve"> </w:t>
      </w:r>
    </w:p>
    <w:p w:rsidR="00FE5ED7" w:rsidRDefault="00314262" w:rsidP="00846F9C">
      <w:pPr>
        <w:pStyle w:val="ListParagraph"/>
        <w:widowControl/>
        <w:numPr>
          <w:ilvl w:val="0"/>
          <w:numId w:val="7"/>
        </w:numPr>
        <w:rPr>
          <w:bCs/>
          <w:iCs/>
        </w:rPr>
      </w:pPr>
      <w:r w:rsidRPr="00284483">
        <w:rPr>
          <w:bCs/>
          <w:iCs/>
        </w:rPr>
        <w:t xml:space="preserve">The difference in ICER at 5 years between the most optimistic and the most pessimistic curves was </w:t>
      </w:r>
      <w:r w:rsidR="006C5945">
        <w:rPr>
          <w:bCs/>
          <w:iCs/>
        </w:rPr>
        <w:t>$15,000/QALY - $45,000/QALY</w:t>
      </w:r>
      <w:r w:rsidRPr="00284483">
        <w:rPr>
          <w:bCs/>
          <w:iCs/>
        </w:rPr>
        <w:t>.</w:t>
      </w:r>
      <w:r w:rsidR="000120B1" w:rsidRPr="00284483">
        <w:rPr>
          <w:bCs/>
          <w:iCs/>
        </w:rPr>
        <w:t xml:space="preserve"> </w:t>
      </w:r>
      <w:r w:rsidR="006A267A" w:rsidRPr="00284483">
        <w:rPr>
          <w:bCs/>
          <w:iCs/>
        </w:rPr>
        <w:t>A</w:t>
      </w:r>
      <w:r w:rsidR="005D31D3" w:rsidRPr="00284483">
        <w:rPr>
          <w:bCs/>
          <w:iCs/>
        </w:rPr>
        <w:t xml:space="preserve">ssuming </w:t>
      </w:r>
      <w:r w:rsidRPr="00284483">
        <w:rPr>
          <w:bCs/>
          <w:iCs/>
        </w:rPr>
        <w:t xml:space="preserve">the Weibull functional form, which was nominated as the best fit in </w:t>
      </w:r>
      <w:proofErr w:type="spellStart"/>
      <w:r w:rsidRPr="00284483">
        <w:rPr>
          <w:bCs/>
          <w:iCs/>
        </w:rPr>
        <w:t>Greenhalgh</w:t>
      </w:r>
      <w:proofErr w:type="spellEnd"/>
      <w:r w:rsidRPr="00284483">
        <w:rPr>
          <w:bCs/>
          <w:iCs/>
        </w:rPr>
        <w:t xml:space="preserve"> </w:t>
      </w:r>
      <w:r w:rsidR="00DD51BE" w:rsidRPr="00284483">
        <w:rPr>
          <w:bCs/>
          <w:iCs/>
        </w:rPr>
        <w:t xml:space="preserve">et al </w:t>
      </w:r>
      <w:r w:rsidRPr="00284483">
        <w:rPr>
          <w:bCs/>
          <w:iCs/>
        </w:rPr>
        <w:t xml:space="preserve">2008 and had similar visual fit and AIC as the log logistic function, resulted in an increase in the ICER by 25% to </w:t>
      </w:r>
      <w:r w:rsidR="006C5945">
        <w:rPr>
          <w:bCs/>
          <w:iCs/>
        </w:rPr>
        <w:t>$45,000/QALY - $75,000/QALY</w:t>
      </w:r>
      <w:r w:rsidRPr="00284483">
        <w:rPr>
          <w:bCs/>
          <w:iCs/>
        </w:rPr>
        <w:t xml:space="preserve"> from a base case of </w:t>
      </w:r>
      <w:r w:rsidR="006C5945">
        <w:rPr>
          <w:bCs/>
          <w:iCs/>
        </w:rPr>
        <w:t>$45,000/QALY - $75,000/QALY</w:t>
      </w:r>
      <w:r w:rsidRPr="00284483">
        <w:rPr>
          <w:bCs/>
          <w:iCs/>
        </w:rPr>
        <w:t>.</w:t>
      </w:r>
      <w:r w:rsidR="00910839" w:rsidRPr="00284483">
        <w:rPr>
          <w:bCs/>
          <w:iCs/>
        </w:rPr>
        <w:t xml:space="preserve"> When the Gamma function was adopted, the ICER was found to increase further to </w:t>
      </w:r>
      <w:r w:rsidR="006C5945">
        <w:rPr>
          <w:bCs/>
          <w:iCs/>
        </w:rPr>
        <w:t xml:space="preserve">$75,000/QALY - $105,000/QALY </w:t>
      </w:r>
      <w:r w:rsidR="00910839" w:rsidRPr="00284483">
        <w:rPr>
          <w:bCs/>
          <w:iCs/>
        </w:rPr>
        <w:t>over 5 years.</w:t>
      </w:r>
      <w:r w:rsidRPr="00284483">
        <w:rPr>
          <w:bCs/>
          <w:iCs/>
        </w:rPr>
        <w:t xml:space="preserve"> Given that the resubmission did not provide a strong justification for why the log logistic function should be chosen over other functional forms, the ICER was considered </w:t>
      </w:r>
      <w:r w:rsidR="00DD7DC3">
        <w:rPr>
          <w:bCs/>
          <w:iCs/>
        </w:rPr>
        <w:t xml:space="preserve">by ESC to be </w:t>
      </w:r>
      <w:r w:rsidRPr="00284483">
        <w:rPr>
          <w:bCs/>
          <w:iCs/>
        </w:rPr>
        <w:t>highly uncertain.</w:t>
      </w:r>
      <w:r w:rsidR="00E2138F">
        <w:rPr>
          <w:bCs/>
          <w:iCs/>
        </w:rPr>
        <w:t xml:space="preserve"> </w:t>
      </w:r>
    </w:p>
    <w:p w:rsidR="00BD440C" w:rsidRPr="00613FE2" w:rsidRDefault="00284483" w:rsidP="00846F9C">
      <w:pPr>
        <w:pStyle w:val="ListParagraph"/>
        <w:widowControl/>
        <w:numPr>
          <w:ilvl w:val="0"/>
          <w:numId w:val="7"/>
        </w:numPr>
        <w:rPr>
          <w:bCs/>
          <w:iCs/>
        </w:rPr>
      </w:pPr>
      <w:r w:rsidRPr="00613FE2">
        <w:rPr>
          <w:bCs/>
          <w:iCs/>
        </w:rPr>
        <w:t xml:space="preserve">The ESC considered that the Weibull or the Gompertz function would be the most appropriate method of extrapolation based on visual inspection, while the gamma function would be the more appropriate method based on the AIC values provided in the submission. </w:t>
      </w:r>
      <w:r w:rsidR="00E2138F" w:rsidRPr="00613FE2">
        <w:rPr>
          <w:bCs/>
          <w:iCs/>
        </w:rPr>
        <w:t xml:space="preserve">The </w:t>
      </w:r>
      <w:r w:rsidR="006C5945" w:rsidRPr="00613FE2">
        <w:rPr>
          <w:bCs/>
          <w:iCs/>
        </w:rPr>
        <w:t xml:space="preserve">Pre-Sub-Committee Response </w:t>
      </w:r>
      <w:r w:rsidR="006C5945">
        <w:rPr>
          <w:bCs/>
          <w:iCs/>
        </w:rPr>
        <w:t>(</w:t>
      </w:r>
      <w:r w:rsidR="0059169B" w:rsidRPr="00613FE2">
        <w:rPr>
          <w:bCs/>
          <w:iCs/>
        </w:rPr>
        <w:t>PSCR</w:t>
      </w:r>
      <w:r w:rsidR="006C5945">
        <w:rPr>
          <w:bCs/>
          <w:iCs/>
        </w:rPr>
        <w:t>)</w:t>
      </w:r>
      <w:r w:rsidR="0059169B" w:rsidRPr="00613FE2">
        <w:rPr>
          <w:bCs/>
          <w:iCs/>
        </w:rPr>
        <w:t xml:space="preserve"> stated that the gamma function should be excluded from consideration as the OS curve for CT alone crosses above the OS curve for cetuximab. Given there </w:t>
      </w:r>
      <w:r w:rsidR="00B627D8" w:rsidRPr="00613FE2">
        <w:rPr>
          <w:bCs/>
          <w:iCs/>
        </w:rPr>
        <w:t>wa</w:t>
      </w:r>
      <w:r w:rsidR="0059169B" w:rsidRPr="00613FE2">
        <w:rPr>
          <w:bCs/>
          <w:iCs/>
        </w:rPr>
        <w:t xml:space="preserve">s no plausible rationale for cetuximab patients to die substantially faster than patients on CT alone, </w:t>
      </w:r>
      <w:r w:rsidR="00B627D8" w:rsidRPr="00613FE2">
        <w:rPr>
          <w:bCs/>
          <w:iCs/>
        </w:rPr>
        <w:t>t</w:t>
      </w:r>
      <w:r w:rsidR="0059169B" w:rsidRPr="00613FE2">
        <w:rPr>
          <w:bCs/>
          <w:iCs/>
        </w:rPr>
        <w:t xml:space="preserve">he PSCR contended that the curves generated by the </w:t>
      </w:r>
      <w:r w:rsidR="002D25EF" w:rsidRPr="00613FE2">
        <w:rPr>
          <w:bCs/>
          <w:iCs/>
        </w:rPr>
        <w:t>g</w:t>
      </w:r>
      <w:r w:rsidR="0059169B" w:rsidRPr="00613FE2">
        <w:rPr>
          <w:bCs/>
          <w:iCs/>
        </w:rPr>
        <w:t xml:space="preserve">amma </w:t>
      </w:r>
      <w:r w:rsidR="002D25EF" w:rsidRPr="00613FE2">
        <w:rPr>
          <w:bCs/>
          <w:iCs/>
        </w:rPr>
        <w:t xml:space="preserve">function </w:t>
      </w:r>
      <w:r w:rsidR="0059169B" w:rsidRPr="00613FE2">
        <w:rPr>
          <w:bCs/>
          <w:iCs/>
        </w:rPr>
        <w:t>were not clinically meaningful.</w:t>
      </w:r>
    </w:p>
    <w:p w:rsidR="00A07564" w:rsidRDefault="00284483" w:rsidP="00A07564">
      <w:pPr>
        <w:pStyle w:val="ListParagraph"/>
        <w:widowControl/>
        <w:numPr>
          <w:ilvl w:val="0"/>
          <w:numId w:val="7"/>
        </w:numPr>
        <w:rPr>
          <w:bCs/>
          <w:iCs/>
        </w:rPr>
      </w:pPr>
      <w:r w:rsidRPr="00613FE2">
        <w:rPr>
          <w:bCs/>
          <w:iCs/>
        </w:rPr>
        <w:t>The ESC was concerned that the AIC value provided in the submission for the Gompertz function was disproportionately high compared to the other functions.</w:t>
      </w:r>
      <w:r w:rsidR="0059169B" w:rsidRPr="00613FE2">
        <w:rPr>
          <w:bCs/>
          <w:iCs/>
        </w:rPr>
        <w:t xml:space="preserve"> </w:t>
      </w:r>
      <w:r w:rsidR="00FE5ED7">
        <w:rPr>
          <w:bCs/>
          <w:iCs/>
        </w:rPr>
        <w:t>In the pre-PBAC response the sponsor advised that w</w:t>
      </w:r>
      <w:r w:rsidR="00FE5ED7" w:rsidRPr="00FE5ED7">
        <w:rPr>
          <w:bCs/>
          <w:iCs/>
        </w:rPr>
        <w:t>ith the exception of the Gompertz, the AIC statistics summari</w:t>
      </w:r>
      <w:r w:rsidR="00FE5ED7">
        <w:rPr>
          <w:bCs/>
          <w:iCs/>
        </w:rPr>
        <w:t>s</w:t>
      </w:r>
      <w:r w:rsidR="00FE5ED7" w:rsidRPr="00FE5ED7">
        <w:rPr>
          <w:bCs/>
          <w:iCs/>
        </w:rPr>
        <w:t xml:space="preserve">ed </w:t>
      </w:r>
      <w:r w:rsidR="00FE5ED7">
        <w:rPr>
          <w:bCs/>
          <w:iCs/>
        </w:rPr>
        <w:t xml:space="preserve">in </w:t>
      </w:r>
      <w:r w:rsidR="00FE5ED7" w:rsidRPr="00FE5ED7">
        <w:rPr>
          <w:bCs/>
          <w:iCs/>
        </w:rPr>
        <w:t>the Commentary were calculated on logged data, whereas the Gompertz was based on unlogged data.</w:t>
      </w:r>
      <w:r w:rsidR="00FE5ED7">
        <w:rPr>
          <w:bCs/>
          <w:iCs/>
        </w:rPr>
        <w:t xml:space="preserve"> The sponsor noted that w</w:t>
      </w:r>
      <w:r w:rsidR="00FE5ED7" w:rsidRPr="00FE5ED7">
        <w:rPr>
          <w:bCs/>
          <w:iCs/>
        </w:rPr>
        <w:t>hen unlogged data are used for all distributions, the AIC for the Gompertz is of a similar magnitude to the other distributions</w:t>
      </w:r>
      <w:r w:rsidR="00FE5ED7">
        <w:rPr>
          <w:bCs/>
          <w:iCs/>
        </w:rPr>
        <w:t>.</w:t>
      </w:r>
      <w:r w:rsidR="00A07564" w:rsidRPr="00A07564">
        <w:rPr>
          <w:bCs/>
          <w:iCs/>
        </w:rPr>
        <w:t xml:space="preserve"> </w:t>
      </w:r>
    </w:p>
    <w:p w:rsidR="00E340B0" w:rsidRPr="00E340B0" w:rsidRDefault="00E340B0" w:rsidP="00A11F66">
      <w:pPr>
        <w:pStyle w:val="ListParagraph"/>
        <w:numPr>
          <w:ilvl w:val="1"/>
          <w:numId w:val="2"/>
        </w:numPr>
        <w:rPr>
          <w:bCs/>
          <w:iCs/>
        </w:rPr>
      </w:pPr>
      <w:r>
        <w:rPr>
          <w:bCs/>
          <w:iCs/>
        </w:rPr>
        <w:t>The pre-PBAC response identified that based on the AIC, the Weibull and log logistic functions provide the best fit to OS data for cetuximab and chemotherapy arms, respectively</w:t>
      </w:r>
      <w:r w:rsidR="002753DC">
        <w:rPr>
          <w:bCs/>
          <w:iCs/>
        </w:rPr>
        <w:t>,</w:t>
      </w:r>
      <w:r>
        <w:rPr>
          <w:bCs/>
          <w:iCs/>
        </w:rPr>
        <w:t xml:space="preserve"> and </w:t>
      </w:r>
      <w:r w:rsidRPr="00A07564">
        <w:rPr>
          <w:bCs/>
          <w:iCs/>
        </w:rPr>
        <w:t xml:space="preserve">based on BIC the log logistic provides the best fit for OS in the chemotherapy arm, whilst the exponential provides the best fit for the cetuximab arm. </w:t>
      </w:r>
      <w:r>
        <w:rPr>
          <w:bCs/>
          <w:iCs/>
        </w:rPr>
        <w:t>Therefore the sponsor contended that</w:t>
      </w:r>
      <w:r w:rsidRPr="00A07564">
        <w:rPr>
          <w:bCs/>
          <w:iCs/>
        </w:rPr>
        <w:t xml:space="preserve"> no function has a clearly superior fit overall.</w:t>
      </w:r>
      <w:r>
        <w:rPr>
          <w:bCs/>
          <w:iCs/>
        </w:rPr>
        <w:t xml:space="preserve"> The PBAC considered that given this uncertainty the more conservative Weibull curve was most appropriate for the base case.</w:t>
      </w:r>
    </w:p>
    <w:p w:rsidR="00284483" w:rsidRPr="00A07564" w:rsidRDefault="00A07564" w:rsidP="002753DC">
      <w:pPr>
        <w:pStyle w:val="ListParagraph"/>
        <w:numPr>
          <w:ilvl w:val="1"/>
          <w:numId w:val="2"/>
        </w:numPr>
        <w:rPr>
          <w:bCs/>
          <w:iCs/>
        </w:rPr>
      </w:pPr>
      <w:r w:rsidRPr="00613FE2">
        <w:rPr>
          <w:bCs/>
          <w:iCs/>
        </w:rPr>
        <w:lastRenderedPageBreak/>
        <w:t xml:space="preserve">The PSCR argued that since at least eight patients from the ITT population of EXTREME were alive at five years, a five-year time horizon was data driven and appropriate. </w:t>
      </w:r>
    </w:p>
    <w:p w:rsidR="00DA5C9A" w:rsidRPr="00D35D44" w:rsidRDefault="00DA5C9A" w:rsidP="00846F9C">
      <w:pPr>
        <w:pStyle w:val="ListParagraph"/>
        <w:numPr>
          <w:ilvl w:val="1"/>
          <w:numId w:val="2"/>
        </w:numPr>
        <w:rPr>
          <w:bCs/>
          <w:iCs/>
        </w:rPr>
      </w:pPr>
      <w:r w:rsidRPr="00D35D44">
        <w:rPr>
          <w:bCs/>
          <w:iCs/>
        </w:rPr>
        <w:t>The resubmission assumed that the subsequent dose of cetuximab is 400 mg weekly, based on the mean dose of cetuximab used in the EXTREME trial (406 mg). Given that the recommended dose in the PI is 250</w:t>
      </w:r>
      <w:r w:rsidR="00783289">
        <w:rPr>
          <w:bCs/>
          <w:iCs/>
        </w:rPr>
        <w:t xml:space="preserve"> </w:t>
      </w:r>
      <w:r w:rsidRPr="00D35D44">
        <w:rPr>
          <w:bCs/>
          <w:iCs/>
        </w:rPr>
        <w:t>mg/m</w:t>
      </w:r>
      <w:r w:rsidRPr="00D35D44">
        <w:rPr>
          <w:bCs/>
          <w:iCs/>
          <w:vertAlign w:val="superscript"/>
        </w:rPr>
        <w:t>2</w:t>
      </w:r>
      <w:r w:rsidRPr="00D35D44">
        <w:rPr>
          <w:bCs/>
          <w:iCs/>
        </w:rPr>
        <w:t>, assuming a</w:t>
      </w:r>
      <w:r w:rsidR="00D76B20">
        <w:rPr>
          <w:bCs/>
          <w:iCs/>
        </w:rPr>
        <w:t xml:space="preserve"> body surface area</w:t>
      </w:r>
      <w:r w:rsidRPr="00D35D44">
        <w:rPr>
          <w:bCs/>
          <w:iCs/>
        </w:rPr>
        <w:t xml:space="preserve"> </w:t>
      </w:r>
      <w:r w:rsidR="00D76B20">
        <w:rPr>
          <w:bCs/>
          <w:iCs/>
        </w:rPr>
        <w:t>(</w:t>
      </w:r>
      <w:r w:rsidRPr="00D35D44">
        <w:rPr>
          <w:bCs/>
          <w:iCs/>
        </w:rPr>
        <w:t>BSA</w:t>
      </w:r>
      <w:r w:rsidR="00D76B20">
        <w:rPr>
          <w:bCs/>
          <w:iCs/>
        </w:rPr>
        <w:t>)</w:t>
      </w:r>
      <w:r w:rsidRPr="00D35D44">
        <w:rPr>
          <w:bCs/>
          <w:iCs/>
        </w:rPr>
        <w:t xml:space="preserve"> of 1.75</w:t>
      </w:r>
      <w:r w:rsidR="00783289">
        <w:rPr>
          <w:bCs/>
          <w:iCs/>
        </w:rPr>
        <w:t xml:space="preserve"> </w:t>
      </w:r>
      <w:r w:rsidRPr="00D35D44">
        <w:rPr>
          <w:bCs/>
          <w:iCs/>
        </w:rPr>
        <w:t>m</w:t>
      </w:r>
      <w:r w:rsidRPr="00D35D44">
        <w:rPr>
          <w:bCs/>
          <w:iCs/>
          <w:vertAlign w:val="superscript"/>
        </w:rPr>
        <w:t>2</w:t>
      </w:r>
      <w:r w:rsidRPr="00D35D44">
        <w:rPr>
          <w:bCs/>
          <w:iCs/>
        </w:rPr>
        <w:t xml:space="preserve"> would result in a dose of 437.5</w:t>
      </w:r>
      <w:r w:rsidR="00783289">
        <w:rPr>
          <w:bCs/>
          <w:iCs/>
        </w:rPr>
        <w:t xml:space="preserve"> </w:t>
      </w:r>
      <w:r w:rsidRPr="00D35D44">
        <w:rPr>
          <w:bCs/>
          <w:iCs/>
        </w:rPr>
        <w:t xml:space="preserve">mg, which would necessitate 1 × </w:t>
      </w:r>
      <w:r w:rsidRPr="00783289">
        <w:t>500</w:t>
      </w:r>
      <w:r w:rsidR="00783289">
        <w:t xml:space="preserve"> </w:t>
      </w:r>
      <w:r w:rsidRPr="00783289">
        <w:t>mg</w:t>
      </w:r>
      <w:r w:rsidRPr="00D35D44">
        <w:rPr>
          <w:bCs/>
          <w:iCs/>
        </w:rPr>
        <w:t xml:space="preserve"> vial instead of the 4 × 100</w:t>
      </w:r>
      <w:r w:rsidR="00783289">
        <w:rPr>
          <w:bCs/>
          <w:iCs/>
        </w:rPr>
        <w:t xml:space="preserve"> </w:t>
      </w:r>
      <w:r w:rsidRPr="00D35D44">
        <w:rPr>
          <w:bCs/>
          <w:iCs/>
        </w:rPr>
        <w:t>mg assumed in the base case</w:t>
      </w:r>
      <w:r w:rsidRPr="00613FE2">
        <w:rPr>
          <w:bCs/>
          <w:i/>
          <w:iCs/>
        </w:rPr>
        <w:t>.</w:t>
      </w:r>
      <w:r w:rsidR="003D35D3" w:rsidRPr="00613FE2">
        <w:rPr>
          <w:i/>
        </w:rPr>
        <w:t xml:space="preserve"> </w:t>
      </w:r>
      <w:r w:rsidR="00E8206E" w:rsidRPr="00613FE2">
        <w:t>The PSCR argued that trial-based dosing data showed that fewer milligrams were required per subsequent infusion, and hence 4</w:t>
      </w:r>
      <w:r w:rsidR="00783289">
        <w:t xml:space="preserve"> </w:t>
      </w:r>
      <w:r w:rsidR="00E8206E" w:rsidRPr="00613FE2">
        <w:t>x</w:t>
      </w:r>
      <w:r w:rsidR="00783289">
        <w:t xml:space="preserve"> </w:t>
      </w:r>
      <w:r w:rsidR="00E8206E" w:rsidRPr="00613FE2">
        <w:t>100</w:t>
      </w:r>
      <w:r w:rsidR="009E6876" w:rsidRPr="00613FE2">
        <w:t xml:space="preserve"> </w:t>
      </w:r>
      <w:r w:rsidR="00E8206E" w:rsidRPr="00613FE2">
        <w:t xml:space="preserve">mg vials were sufficient in the ITT population. </w:t>
      </w:r>
      <w:r w:rsidR="003D35D3" w:rsidRPr="00613FE2">
        <w:rPr>
          <w:bCs/>
          <w:iCs/>
        </w:rPr>
        <w:t xml:space="preserve">The ESC </w:t>
      </w:r>
      <w:r w:rsidR="00E8206E" w:rsidRPr="00613FE2">
        <w:rPr>
          <w:bCs/>
          <w:iCs/>
        </w:rPr>
        <w:t>dis</w:t>
      </w:r>
      <w:r w:rsidR="003D35D3" w:rsidRPr="00613FE2">
        <w:rPr>
          <w:bCs/>
          <w:iCs/>
        </w:rPr>
        <w:t>agreed, and advised that a dose of 400</w:t>
      </w:r>
      <w:r w:rsidR="00783289">
        <w:rPr>
          <w:bCs/>
          <w:iCs/>
        </w:rPr>
        <w:t xml:space="preserve"> </w:t>
      </w:r>
      <w:r w:rsidR="003D35D3" w:rsidRPr="00613FE2">
        <w:rPr>
          <w:bCs/>
          <w:iCs/>
        </w:rPr>
        <w:t>mg of cetuximab would underestimate the actual usage of cetuximab in the proposed setting at the recommended dose.</w:t>
      </w:r>
      <w:r w:rsidR="003D35D3" w:rsidRPr="00613FE2">
        <w:rPr>
          <w:bCs/>
          <w:i/>
          <w:iCs/>
        </w:rPr>
        <w:t xml:space="preserve"> </w:t>
      </w:r>
      <w:r w:rsidRPr="00D35D44">
        <w:rPr>
          <w:bCs/>
          <w:iCs/>
        </w:rPr>
        <w:t xml:space="preserve">When the subsequent cetuximab dose of 500 mg was applied instead of 400 mg, the ICER increased from </w:t>
      </w:r>
      <w:r w:rsidR="006C5945">
        <w:rPr>
          <w:bCs/>
          <w:iCs/>
        </w:rPr>
        <w:t>$45,000/QALY - $75,000/QALY</w:t>
      </w:r>
      <w:r w:rsidR="006C5945" w:rsidRPr="00D35D44" w:rsidDel="006C5945">
        <w:rPr>
          <w:bCs/>
          <w:iCs/>
        </w:rPr>
        <w:t xml:space="preserve"> </w:t>
      </w:r>
      <w:r w:rsidRPr="00D35D44">
        <w:rPr>
          <w:bCs/>
          <w:iCs/>
        </w:rPr>
        <w:t xml:space="preserve">to </w:t>
      </w:r>
      <w:r w:rsidR="006C5945">
        <w:rPr>
          <w:bCs/>
          <w:iCs/>
        </w:rPr>
        <w:t>$45,000/QALY - $75,000/QALY</w:t>
      </w:r>
      <w:r w:rsidRPr="00D35D44">
        <w:rPr>
          <w:bCs/>
          <w:iCs/>
        </w:rPr>
        <w:t>.</w:t>
      </w:r>
      <w:r w:rsidR="00A07564">
        <w:rPr>
          <w:bCs/>
          <w:iCs/>
        </w:rPr>
        <w:t xml:space="preserve"> In the pre-PBAC response the sponsor indicated that an analysis of individual patient level data demonstrated that </w:t>
      </w:r>
      <w:r w:rsidR="00A07564" w:rsidRPr="00A07564">
        <w:rPr>
          <w:bCs/>
          <w:iCs/>
        </w:rPr>
        <w:t>81% of patients would require 1</w:t>
      </w:r>
      <w:r w:rsidR="00A07564">
        <w:rPr>
          <w:bCs/>
          <w:iCs/>
        </w:rPr>
        <w:t xml:space="preserve"> </w:t>
      </w:r>
      <w:r w:rsidR="00A07564" w:rsidRPr="00A07564">
        <w:rPr>
          <w:bCs/>
          <w:iCs/>
        </w:rPr>
        <w:t>x</w:t>
      </w:r>
      <w:r w:rsidR="00A07564">
        <w:rPr>
          <w:bCs/>
          <w:iCs/>
        </w:rPr>
        <w:t xml:space="preserve"> </w:t>
      </w:r>
      <w:r w:rsidR="00A07564" w:rsidRPr="00A07564">
        <w:rPr>
          <w:bCs/>
          <w:iCs/>
        </w:rPr>
        <w:t>500</w:t>
      </w:r>
      <w:r w:rsidR="00A07564">
        <w:rPr>
          <w:bCs/>
          <w:iCs/>
        </w:rPr>
        <w:t xml:space="preserve"> </w:t>
      </w:r>
      <w:r w:rsidR="00A07564" w:rsidRPr="00A07564">
        <w:rPr>
          <w:bCs/>
          <w:iCs/>
        </w:rPr>
        <w:t>mg vial</w:t>
      </w:r>
      <w:r w:rsidR="00A07564">
        <w:rPr>
          <w:bCs/>
          <w:iCs/>
        </w:rPr>
        <w:t xml:space="preserve"> and therefore the revised base case should assume that for </w:t>
      </w:r>
      <w:r w:rsidR="00A07564" w:rsidRPr="00A07564">
        <w:rPr>
          <w:bCs/>
          <w:iCs/>
        </w:rPr>
        <w:t>subsequent cetuximab infusions, 81% of patients receive 1</w:t>
      </w:r>
      <w:r w:rsidR="00A07564">
        <w:rPr>
          <w:bCs/>
          <w:iCs/>
        </w:rPr>
        <w:t xml:space="preserve"> </w:t>
      </w:r>
      <w:r w:rsidR="00A07564" w:rsidRPr="00A07564">
        <w:rPr>
          <w:bCs/>
          <w:iCs/>
        </w:rPr>
        <w:t>x</w:t>
      </w:r>
      <w:r w:rsidR="00A07564">
        <w:rPr>
          <w:bCs/>
          <w:iCs/>
        </w:rPr>
        <w:t xml:space="preserve"> </w:t>
      </w:r>
      <w:r w:rsidR="00A07564" w:rsidRPr="00A07564">
        <w:rPr>
          <w:bCs/>
          <w:iCs/>
        </w:rPr>
        <w:t>500</w:t>
      </w:r>
      <w:r w:rsidR="00A07564">
        <w:rPr>
          <w:bCs/>
          <w:iCs/>
        </w:rPr>
        <w:t xml:space="preserve"> </w:t>
      </w:r>
      <w:r w:rsidR="00A07564" w:rsidRPr="00A07564">
        <w:rPr>
          <w:bCs/>
          <w:iCs/>
        </w:rPr>
        <w:t>mg vial and the remaining 19% receive 4</w:t>
      </w:r>
      <w:r w:rsidR="00A07564">
        <w:rPr>
          <w:bCs/>
          <w:iCs/>
        </w:rPr>
        <w:t xml:space="preserve"> </w:t>
      </w:r>
      <w:r w:rsidR="00A07564" w:rsidRPr="00A07564">
        <w:rPr>
          <w:bCs/>
          <w:iCs/>
        </w:rPr>
        <w:t>x</w:t>
      </w:r>
      <w:r w:rsidR="00A07564">
        <w:rPr>
          <w:bCs/>
          <w:iCs/>
        </w:rPr>
        <w:t xml:space="preserve"> </w:t>
      </w:r>
      <w:r w:rsidR="00A07564" w:rsidRPr="00A07564">
        <w:rPr>
          <w:bCs/>
          <w:iCs/>
        </w:rPr>
        <w:t>100</w:t>
      </w:r>
      <w:r w:rsidR="00A07564">
        <w:rPr>
          <w:bCs/>
          <w:iCs/>
        </w:rPr>
        <w:t xml:space="preserve"> </w:t>
      </w:r>
      <w:r w:rsidR="00A07564" w:rsidRPr="00A07564">
        <w:rPr>
          <w:bCs/>
          <w:iCs/>
        </w:rPr>
        <w:t>mg vials</w:t>
      </w:r>
      <w:r w:rsidR="00A07564">
        <w:rPr>
          <w:bCs/>
          <w:iCs/>
        </w:rPr>
        <w:t>. The PBAC agreed with the sponsor that th</w:t>
      </w:r>
      <w:r w:rsidR="002753DC">
        <w:rPr>
          <w:bCs/>
          <w:iCs/>
        </w:rPr>
        <w:t>ese data were</w:t>
      </w:r>
      <w:r w:rsidR="00A07564">
        <w:rPr>
          <w:bCs/>
          <w:iCs/>
        </w:rPr>
        <w:t xml:space="preserve"> appropriate</w:t>
      </w:r>
      <w:r w:rsidR="002753DC">
        <w:rPr>
          <w:bCs/>
          <w:iCs/>
        </w:rPr>
        <w:t xml:space="preserve"> to inform </w:t>
      </w:r>
      <w:r w:rsidR="00520E36">
        <w:rPr>
          <w:bCs/>
          <w:iCs/>
        </w:rPr>
        <w:t>the base case</w:t>
      </w:r>
      <w:r w:rsidR="00A07564">
        <w:rPr>
          <w:bCs/>
          <w:iCs/>
        </w:rPr>
        <w:t>.</w:t>
      </w:r>
    </w:p>
    <w:p w:rsidR="00193DC0" w:rsidRPr="00613FE2" w:rsidRDefault="001516D8" w:rsidP="008831C7">
      <w:pPr>
        <w:pStyle w:val="ListParagraph"/>
        <w:widowControl/>
        <w:numPr>
          <w:ilvl w:val="1"/>
          <w:numId w:val="2"/>
        </w:numPr>
        <w:spacing w:after="120"/>
        <w:rPr>
          <w:iCs/>
        </w:rPr>
      </w:pPr>
      <w:r w:rsidRPr="00613FE2">
        <w:rPr>
          <w:iCs/>
        </w:rPr>
        <w:t>The PSCR stated that the addition of cetuximab significantly improved QLQ-H&amp;N35 scores for pain, swallowing, speech problems and social eating. As such the PSCR argued that since these symptoms are highly pertinent to this population, significant improvement in these symptoms supported a higher progression-free utility score for patients treated with cetuximab</w:t>
      </w:r>
      <w:r w:rsidR="00F74CC1" w:rsidRPr="00613FE2">
        <w:rPr>
          <w:iCs/>
        </w:rPr>
        <w:t xml:space="preserve"> </w:t>
      </w:r>
      <w:r w:rsidRPr="00613FE2">
        <w:rPr>
          <w:iCs/>
        </w:rPr>
        <w:t>+</w:t>
      </w:r>
      <w:r w:rsidR="00F74CC1" w:rsidRPr="00613FE2">
        <w:rPr>
          <w:iCs/>
        </w:rPr>
        <w:t xml:space="preserve"> </w:t>
      </w:r>
      <w:r w:rsidRPr="00613FE2">
        <w:rPr>
          <w:iCs/>
        </w:rPr>
        <w:t xml:space="preserve">CT. </w:t>
      </w:r>
      <w:r w:rsidR="00193DC0" w:rsidRPr="00613FE2">
        <w:rPr>
          <w:iCs/>
        </w:rPr>
        <w:t>The ESC considered that the assumption of differential utilities for patients treated with cetuximab + CT versus CT only in the progression-free health state (utility values of 0.69 and 0.65 respectively) was inappropriate, noting the observed increase in a wide range of AEs</w:t>
      </w:r>
      <w:r w:rsidR="00526C76" w:rsidRPr="00613FE2">
        <w:rPr>
          <w:iCs/>
        </w:rPr>
        <w:t>,</w:t>
      </w:r>
      <w:r w:rsidR="00193DC0" w:rsidRPr="00613FE2">
        <w:rPr>
          <w:iCs/>
        </w:rPr>
        <w:t xml:space="preserve"> and that only 44% of the questionnaires (across both QLQ-C30 and QLQ-H&amp;N35) had both an evaluable baseline and post-baseline assessment. </w:t>
      </w:r>
      <w:r w:rsidR="006A6802">
        <w:rPr>
          <w:iCs/>
        </w:rPr>
        <w:t xml:space="preserve">The PBAC noted </w:t>
      </w:r>
      <w:r w:rsidR="0044335D">
        <w:rPr>
          <w:iCs/>
        </w:rPr>
        <w:t xml:space="preserve">that </w:t>
      </w:r>
      <w:r w:rsidR="006A6802">
        <w:rPr>
          <w:iCs/>
        </w:rPr>
        <w:t xml:space="preserve">the assumption of differential utility values for the pre-progression state </w:t>
      </w:r>
      <w:r w:rsidR="0044335D">
        <w:rPr>
          <w:iCs/>
        </w:rPr>
        <w:t xml:space="preserve">in the two arms </w:t>
      </w:r>
      <w:r w:rsidR="006A6802">
        <w:rPr>
          <w:iCs/>
        </w:rPr>
        <w:t>increased the uncertainty in the ICER</w:t>
      </w:r>
      <w:r w:rsidR="0044335D">
        <w:rPr>
          <w:iCs/>
        </w:rPr>
        <w:t>. The consequence of this assumption was a lower</w:t>
      </w:r>
      <w:r w:rsidR="00C11234">
        <w:rPr>
          <w:iCs/>
        </w:rPr>
        <w:t xml:space="preserve"> ICER than </w:t>
      </w:r>
      <w:r w:rsidR="0044335D">
        <w:rPr>
          <w:iCs/>
        </w:rPr>
        <w:t xml:space="preserve">would have been obtained if the </w:t>
      </w:r>
      <w:r w:rsidR="00C11234">
        <w:rPr>
          <w:iCs/>
        </w:rPr>
        <w:t xml:space="preserve">PFS </w:t>
      </w:r>
      <w:r w:rsidR="0044335D">
        <w:rPr>
          <w:iCs/>
        </w:rPr>
        <w:t xml:space="preserve">utility was held constant </w:t>
      </w:r>
      <w:r w:rsidR="00C11234">
        <w:rPr>
          <w:iCs/>
        </w:rPr>
        <w:t>irrespective of treatment exposure. Having noted these concerns</w:t>
      </w:r>
      <w:r w:rsidR="0044335D">
        <w:rPr>
          <w:iCs/>
        </w:rPr>
        <w:t>,</w:t>
      </w:r>
      <w:r w:rsidR="00C11234">
        <w:rPr>
          <w:iCs/>
        </w:rPr>
        <w:t xml:space="preserve"> the PBAC</w:t>
      </w:r>
      <w:r w:rsidR="00404FD9">
        <w:rPr>
          <w:iCs/>
        </w:rPr>
        <w:t xml:space="preserve"> </w:t>
      </w:r>
      <w:r w:rsidR="00C11234">
        <w:rPr>
          <w:iCs/>
        </w:rPr>
        <w:t xml:space="preserve">accepted the differential PFS utilities </w:t>
      </w:r>
      <w:r w:rsidR="00404FD9">
        <w:rPr>
          <w:iCs/>
        </w:rPr>
        <w:t>in the base case analysis given they were sourced from the clinical trial.</w:t>
      </w:r>
    </w:p>
    <w:p w:rsidR="00F9061A" w:rsidRPr="00F9061A" w:rsidRDefault="00F9061A" w:rsidP="00846F9C">
      <w:pPr>
        <w:pStyle w:val="ListParagraph"/>
        <w:widowControl/>
        <w:numPr>
          <w:ilvl w:val="1"/>
          <w:numId w:val="2"/>
        </w:numPr>
        <w:contextualSpacing/>
        <w:rPr>
          <w:i/>
          <w:iCs/>
        </w:rPr>
      </w:pPr>
      <w:r w:rsidRPr="00F310CC">
        <w:rPr>
          <w:bCs/>
          <w:iCs/>
        </w:rPr>
        <w:t xml:space="preserve">The resubmission applied an average treatment cost from the EXTREME trial upfront to each treatment arm rather than allowing costs to accrue over time. </w:t>
      </w:r>
    </w:p>
    <w:p w:rsidR="00962FB9" w:rsidRPr="00613FE2" w:rsidRDefault="00962FB9" w:rsidP="00846F9C">
      <w:pPr>
        <w:pStyle w:val="ListParagraph"/>
        <w:widowControl/>
        <w:numPr>
          <w:ilvl w:val="0"/>
          <w:numId w:val="7"/>
        </w:numPr>
        <w:spacing w:before="240"/>
        <w:rPr>
          <w:iCs/>
        </w:rPr>
      </w:pPr>
      <w:r w:rsidRPr="00613FE2">
        <w:rPr>
          <w:iCs/>
        </w:rPr>
        <w:t xml:space="preserve">The ESC considered that the method used in the resubmission to assign costs in the model was inappropriate. The ESC considered that if costs were to be adjusted to allow for time off treatment or time on reduced doses, data should </w:t>
      </w:r>
      <w:r w:rsidRPr="00613FE2">
        <w:rPr>
          <w:iCs/>
        </w:rPr>
        <w:lastRenderedPageBreak/>
        <w:t>be presented to show the pattern of time off treatment or time on reduced doses, as patients with treated AEs may recommence treatment at the full dose and remain on full dose until disease progression, especially given that the resubmission had argued that the side effects of cetuximab would be manageable. As such, the ESC considered that applying costs over time and assuming all patients would continue to receive cetuximab in the PF health state would be more appropriate.</w:t>
      </w:r>
    </w:p>
    <w:p w:rsidR="000206A4" w:rsidRDefault="00962FB9" w:rsidP="00846F9C">
      <w:pPr>
        <w:pStyle w:val="ListParagraph"/>
        <w:widowControl/>
        <w:numPr>
          <w:ilvl w:val="0"/>
          <w:numId w:val="7"/>
        </w:numPr>
        <w:rPr>
          <w:iCs/>
        </w:rPr>
      </w:pPr>
      <w:r w:rsidRPr="00613FE2">
        <w:rPr>
          <w:iCs/>
        </w:rPr>
        <w:t xml:space="preserve">The ESC noted </w:t>
      </w:r>
      <w:r w:rsidR="00F9061A" w:rsidRPr="00613FE2">
        <w:rPr>
          <w:iCs/>
        </w:rPr>
        <w:t xml:space="preserve">an ICER of </w:t>
      </w:r>
      <w:r w:rsidR="008831C7">
        <w:rPr>
          <w:iCs/>
        </w:rPr>
        <w:t>$45,000/QALY - $75,000/QALY</w:t>
      </w:r>
      <w:r w:rsidR="00F9061A" w:rsidRPr="00613FE2">
        <w:rPr>
          <w:iCs/>
        </w:rPr>
        <w:t xml:space="preserve"> was derived from the sensitivity analysis</w:t>
      </w:r>
      <w:r w:rsidR="002753DC">
        <w:rPr>
          <w:iCs/>
        </w:rPr>
        <w:t xml:space="preserve"> in which costs were accrued over time</w:t>
      </w:r>
      <w:r w:rsidR="00F9061A" w:rsidRPr="00613FE2">
        <w:rPr>
          <w:iCs/>
        </w:rPr>
        <w:t xml:space="preserve"> compared to a base case of </w:t>
      </w:r>
      <w:r w:rsidR="008831C7">
        <w:rPr>
          <w:iCs/>
        </w:rPr>
        <w:t>$45,000/QALY - $75,000/QALY</w:t>
      </w:r>
      <w:r w:rsidR="008831C7" w:rsidRPr="00613FE2">
        <w:rPr>
          <w:iCs/>
        </w:rPr>
        <w:t xml:space="preserve"> </w:t>
      </w:r>
      <w:r w:rsidR="00F9061A" w:rsidRPr="00613FE2">
        <w:rPr>
          <w:iCs/>
        </w:rPr>
        <w:t>in the resubmission.</w:t>
      </w:r>
    </w:p>
    <w:p w:rsidR="00AA42E7" w:rsidRPr="00613FE2" w:rsidRDefault="00AA42E7" w:rsidP="00846F9C">
      <w:pPr>
        <w:pStyle w:val="ListParagraph"/>
        <w:widowControl/>
        <w:numPr>
          <w:ilvl w:val="0"/>
          <w:numId w:val="7"/>
        </w:numPr>
        <w:rPr>
          <w:iCs/>
        </w:rPr>
      </w:pPr>
      <w:r>
        <w:rPr>
          <w:iCs/>
        </w:rPr>
        <w:t xml:space="preserve">The pre-PBAC response argued that </w:t>
      </w:r>
      <w:r w:rsidRPr="00AA42E7">
        <w:rPr>
          <w:iCs/>
        </w:rPr>
        <w:t>PFS is not an accurate proxy for time-on-treatment</w:t>
      </w:r>
      <w:r>
        <w:rPr>
          <w:iCs/>
        </w:rPr>
        <w:t xml:space="preserve"> as it does not account for patients who cease treatment early or have treatment interruptions due to AEs or circumstances other than progression. </w:t>
      </w:r>
      <w:r w:rsidR="00273A04">
        <w:rPr>
          <w:iCs/>
        </w:rPr>
        <w:t xml:space="preserve">The sponsor noted that in the EXTREME trial the median PFS in the cetuximab arm was 24.3 weeks but a median of only </w:t>
      </w:r>
      <w:r w:rsidR="00A7601C">
        <w:rPr>
          <w:iCs/>
          <w:noProof/>
          <w:color w:val="000000"/>
          <w:highlight w:val="black"/>
        </w:rPr>
        <w:t>''''''</w:t>
      </w:r>
      <w:r w:rsidR="00273A04">
        <w:rPr>
          <w:iCs/>
        </w:rPr>
        <w:t xml:space="preserve"> infusions of cetuximab were received. Therefore t</w:t>
      </w:r>
      <w:r>
        <w:rPr>
          <w:iCs/>
        </w:rPr>
        <w:t xml:space="preserve">he sponsor proposed that the modelled costs should be reduced </w:t>
      </w:r>
      <w:r w:rsidR="002753DC">
        <w:rPr>
          <w:iCs/>
        </w:rPr>
        <w:t xml:space="preserve">by a factor of </w:t>
      </w:r>
      <w:r w:rsidR="00A7601C">
        <w:rPr>
          <w:iCs/>
          <w:noProof/>
          <w:color w:val="000000"/>
          <w:highlight w:val="black"/>
        </w:rPr>
        <w:t>'''''''</w:t>
      </w:r>
      <w:r>
        <w:rPr>
          <w:iCs/>
        </w:rPr>
        <w:t xml:space="preserve"> </w:t>
      </w:r>
      <w:r w:rsidR="00273A04">
        <w:rPr>
          <w:iCs/>
        </w:rPr>
        <w:t>(</w:t>
      </w:r>
      <w:r w:rsidR="00A7601C">
        <w:rPr>
          <w:iCs/>
          <w:noProof/>
          <w:color w:val="000000"/>
          <w:highlight w:val="black"/>
        </w:rPr>
        <w:t>'''''</w:t>
      </w:r>
      <w:r w:rsidR="00273A04">
        <w:rPr>
          <w:iCs/>
        </w:rPr>
        <w:t xml:space="preserve">÷24.3) </w:t>
      </w:r>
      <w:r w:rsidR="002753DC">
        <w:rPr>
          <w:iCs/>
        </w:rPr>
        <w:t xml:space="preserve">compared to </w:t>
      </w:r>
      <w:r>
        <w:rPr>
          <w:iCs/>
        </w:rPr>
        <w:t>the PFS duration. The PBAC considered that</w:t>
      </w:r>
      <w:r w:rsidR="00805DF1">
        <w:rPr>
          <w:iCs/>
        </w:rPr>
        <w:t xml:space="preserve"> </w:t>
      </w:r>
      <w:r>
        <w:rPr>
          <w:iCs/>
        </w:rPr>
        <w:t>there may be some reduction in the cost from</w:t>
      </w:r>
      <w:r w:rsidR="00245698">
        <w:rPr>
          <w:iCs/>
        </w:rPr>
        <w:t xml:space="preserve"> actual time on treatment</w:t>
      </w:r>
      <w:r w:rsidR="00805DF1">
        <w:rPr>
          <w:iCs/>
        </w:rPr>
        <w:t xml:space="preserve"> and that this should be incorporated into the base case</w:t>
      </w:r>
      <w:r w:rsidR="00245698">
        <w:rPr>
          <w:iCs/>
        </w:rPr>
        <w:t xml:space="preserve">, </w:t>
      </w:r>
      <w:r w:rsidR="00805DF1">
        <w:rPr>
          <w:iCs/>
        </w:rPr>
        <w:t xml:space="preserve">though the Committee noted that </w:t>
      </w:r>
      <w:r w:rsidR="002753DC">
        <w:rPr>
          <w:iCs/>
        </w:rPr>
        <w:t xml:space="preserve">the factor </w:t>
      </w:r>
      <w:r w:rsidR="00805DF1">
        <w:rPr>
          <w:iCs/>
        </w:rPr>
        <w:t xml:space="preserve">is somewhat uncertain as it </w:t>
      </w:r>
      <w:r w:rsidR="002753DC">
        <w:rPr>
          <w:iCs/>
        </w:rPr>
        <w:t xml:space="preserve">was crudely determined, unable to be verified and </w:t>
      </w:r>
      <w:r>
        <w:rPr>
          <w:iCs/>
        </w:rPr>
        <w:t xml:space="preserve"> </w:t>
      </w:r>
      <w:r w:rsidR="00805DF1">
        <w:rPr>
          <w:iCs/>
        </w:rPr>
        <w:t>may not</w:t>
      </w:r>
      <w:r w:rsidR="00245698">
        <w:rPr>
          <w:iCs/>
        </w:rPr>
        <w:t xml:space="preserve"> be as low as </w:t>
      </w:r>
      <w:r w:rsidR="00A7601C">
        <w:rPr>
          <w:iCs/>
          <w:noProof/>
          <w:color w:val="000000"/>
          <w:highlight w:val="black"/>
        </w:rPr>
        <w:t>''''''</w:t>
      </w:r>
      <w:r w:rsidR="00245698">
        <w:rPr>
          <w:iCs/>
        </w:rPr>
        <w:t xml:space="preserve">. </w:t>
      </w:r>
      <w:r>
        <w:rPr>
          <w:iCs/>
        </w:rPr>
        <w:t xml:space="preserve"> </w:t>
      </w:r>
    </w:p>
    <w:p w:rsidR="00D31920" w:rsidRPr="00D35D44" w:rsidRDefault="00D31920" w:rsidP="00846F9C">
      <w:pPr>
        <w:pStyle w:val="ListParagraph"/>
        <w:widowControl/>
        <w:numPr>
          <w:ilvl w:val="1"/>
          <w:numId w:val="2"/>
        </w:numPr>
        <w:spacing w:after="0"/>
        <w:contextualSpacing/>
        <w:rPr>
          <w:iCs/>
        </w:rPr>
      </w:pPr>
      <w:r w:rsidRPr="00D35D44">
        <w:rPr>
          <w:iCs/>
        </w:rPr>
        <w:t xml:space="preserve">The results of the univariate sensitivity analyses </w:t>
      </w:r>
      <w:r w:rsidR="008B34FE" w:rsidRPr="00D35D44">
        <w:rPr>
          <w:iCs/>
        </w:rPr>
        <w:t xml:space="preserve">are summarised in Table 13, the results </w:t>
      </w:r>
      <w:r w:rsidRPr="00D35D44">
        <w:rPr>
          <w:iCs/>
        </w:rPr>
        <w:t>indicate that the model was sensitive to the dose of subsequent cetuximab and its administration costs, the shortening of the time horizon, assumption of differential utility values depending on treatment and the assumption that drug costs are applied upfront r</w:t>
      </w:r>
      <w:r w:rsidR="00314262" w:rsidRPr="00D35D44">
        <w:rPr>
          <w:iCs/>
        </w:rPr>
        <w:t>ather than incurred over time</w:t>
      </w:r>
      <w:r w:rsidR="00747D74" w:rsidRPr="00D35D44">
        <w:rPr>
          <w:iCs/>
        </w:rPr>
        <w:t xml:space="preserve"> and assuming all patients receive cetuximab as long as they remain in the PF health state</w:t>
      </w:r>
      <w:r w:rsidR="00B92B93" w:rsidRPr="00D35D44">
        <w:rPr>
          <w:iCs/>
        </w:rPr>
        <w:t xml:space="preserve"> (see also Table 11)</w:t>
      </w:r>
      <w:r w:rsidR="00314262" w:rsidRPr="00D35D44">
        <w:rPr>
          <w:iCs/>
        </w:rPr>
        <w:t>.</w:t>
      </w:r>
    </w:p>
    <w:p w:rsidR="00D31920" w:rsidRPr="0000718B" w:rsidRDefault="008B34FE" w:rsidP="00E66A38">
      <w:pPr>
        <w:keepNext/>
        <w:keepLines/>
        <w:widowControl/>
        <w:rPr>
          <w:rFonts w:ascii="Arial Narrow" w:hAnsi="Arial Narrow"/>
          <w:b/>
          <w:bCs/>
          <w:sz w:val="20"/>
          <w:szCs w:val="20"/>
        </w:rPr>
      </w:pPr>
      <w:r w:rsidRPr="0000718B">
        <w:rPr>
          <w:rFonts w:ascii="Arial Narrow" w:hAnsi="Arial Narrow"/>
          <w:b/>
          <w:bCs/>
          <w:sz w:val="20"/>
          <w:szCs w:val="20"/>
        </w:rPr>
        <w:lastRenderedPageBreak/>
        <w:t>Table 13</w:t>
      </w:r>
      <w:r w:rsidR="00866C5C">
        <w:rPr>
          <w:rFonts w:ascii="Arial Narrow" w:hAnsi="Arial Narrow"/>
          <w:b/>
          <w:bCs/>
          <w:sz w:val="20"/>
          <w:szCs w:val="20"/>
        </w:rPr>
        <w:t>:</w:t>
      </w:r>
      <w:r w:rsidR="00D31920" w:rsidRPr="0000718B">
        <w:rPr>
          <w:rFonts w:ascii="Arial Narrow" w:hAnsi="Arial Narrow"/>
          <w:b/>
          <w:bCs/>
          <w:sz w:val="20"/>
          <w:szCs w:val="20"/>
        </w:rPr>
        <w:t xml:space="preserve"> Univariate sensitivity analyses of the resubmission’s economic model</w:t>
      </w:r>
    </w:p>
    <w:tbl>
      <w:tblPr>
        <w:tblStyle w:val="TableGrid"/>
        <w:tblW w:w="0" w:type="auto"/>
        <w:tblCellMar>
          <w:left w:w="28" w:type="dxa"/>
          <w:right w:w="28" w:type="dxa"/>
        </w:tblCellMar>
        <w:tblLook w:val="04A0" w:firstRow="1" w:lastRow="0" w:firstColumn="1" w:lastColumn="0" w:noHBand="0" w:noVBand="1"/>
      </w:tblPr>
      <w:tblGrid>
        <w:gridCol w:w="5758"/>
        <w:gridCol w:w="1084"/>
        <w:gridCol w:w="1070"/>
        <w:gridCol w:w="1171"/>
      </w:tblGrid>
      <w:tr w:rsidR="00D31920" w:rsidRPr="0000718B" w:rsidTr="00453585">
        <w:tc>
          <w:tcPr>
            <w:tcW w:w="5758" w:type="dxa"/>
          </w:tcPr>
          <w:p w:rsidR="00D31920" w:rsidRPr="0000718B" w:rsidRDefault="00D31920" w:rsidP="00E66A38">
            <w:pPr>
              <w:keepNext/>
              <w:keepLines/>
              <w:widowControl/>
              <w:rPr>
                <w:rFonts w:ascii="Arial Narrow" w:hAnsi="Arial Narrow"/>
                <w:b/>
                <w:bCs/>
                <w:sz w:val="20"/>
                <w:szCs w:val="20"/>
              </w:rPr>
            </w:pPr>
            <w:r w:rsidRPr="0000718B">
              <w:rPr>
                <w:rFonts w:ascii="Arial Narrow" w:hAnsi="Arial Narrow"/>
                <w:b/>
                <w:bCs/>
                <w:sz w:val="20"/>
                <w:szCs w:val="20"/>
              </w:rPr>
              <w:t>Scenario</w:t>
            </w:r>
          </w:p>
        </w:tc>
        <w:tc>
          <w:tcPr>
            <w:tcW w:w="1084" w:type="dxa"/>
            <w:vAlign w:val="center"/>
          </w:tcPr>
          <w:p w:rsidR="00D31920" w:rsidRPr="0000718B" w:rsidRDefault="00D31920" w:rsidP="00E66A38">
            <w:pPr>
              <w:keepNext/>
              <w:keepLines/>
              <w:widowControl/>
              <w:jc w:val="center"/>
              <w:rPr>
                <w:rFonts w:ascii="Arial Narrow" w:hAnsi="Arial Narrow"/>
                <w:b/>
                <w:bCs/>
                <w:sz w:val="20"/>
                <w:szCs w:val="20"/>
              </w:rPr>
            </w:pPr>
            <w:r w:rsidRPr="0000718B">
              <w:rPr>
                <w:rFonts w:ascii="Arial Narrow" w:hAnsi="Arial Narrow"/>
                <w:b/>
                <w:bCs/>
                <w:sz w:val="20"/>
                <w:szCs w:val="20"/>
              </w:rPr>
              <w:t>Incremental Cost</w:t>
            </w:r>
          </w:p>
        </w:tc>
        <w:tc>
          <w:tcPr>
            <w:tcW w:w="1070" w:type="dxa"/>
            <w:vAlign w:val="center"/>
          </w:tcPr>
          <w:p w:rsidR="00D31920" w:rsidRPr="0000718B" w:rsidRDefault="00D31920" w:rsidP="00E66A38">
            <w:pPr>
              <w:keepNext/>
              <w:keepLines/>
              <w:widowControl/>
              <w:jc w:val="center"/>
              <w:rPr>
                <w:rFonts w:ascii="Arial Narrow" w:hAnsi="Arial Narrow"/>
                <w:b/>
                <w:bCs/>
                <w:sz w:val="20"/>
                <w:szCs w:val="20"/>
              </w:rPr>
            </w:pPr>
            <w:r w:rsidRPr="0000718B">
              <w:rPr>
                <w:rFonts w:ascii="Arial Narrow" w:hAnsi="Arial Narrow"/>
                <w:b/>
                <w:bCs/>
                <w:sz w:val="20"/>
                <w:szCs w:val="20"/>
              </w:rPr>
              <w:t>Incremental QALY</w:t>
            </w:r>
          </w:p>
        </w:tc>
        <w:tc>
          <w:tcPr>
            <w:tcW w:w="1171" w:type="dxa"/>
            <w:vAlign w:val="center"/>
          </w:tcPr>
          <w:p w:rsidR="00D31920" w:rsidRPr="0000718B" w:rsidRDefault="00D31920" w:rsidP="00E66A38">
            <w:pPr>
              <w:keepNext/>
              <w:keepLines/>
              <w:widowControl/>
              <w:jc w:val="center"/>
              <w:rPr>
                <w:rFonts w:ascii="Arial Narrow" w:hAnsi="Arial Narrow"/>
                <w:b/>
                <w:bCs/>
                <w:sz w:val="20"/>
                <w:szCs w:val="20"/>
              </w:rPr>
            </w:pPr>
            <w:r w:rsidRPr="0000718B">
              <w:rPr>
                <w:rFonts w:ascii="Arial Narrow" w:hAnsi="Arial Narrow"/>
                <w:b/>
                <w:bCs/>
                <w:sz w:val="20"/>
                <w:szCs w:val="20"/>
              </w:rPr>
              <w:t>ICER</w:t>
            </w:r>
          </w:p>
        </w:tc>
      </w:tr>
      <w:tr w:rsidR="00D31920" w:rsidRPr="0000718B" w:rsidTr="00453585">
        <w:tc>
          <w:tcPr>
            <w:tcW w:w="5758" w:type="dxa"/>
          </w:tcPr>
          <w:p w:rsidR="00D31920" w:rsidRPr="0000718B" w:rsidRDefault="00D31920" w:rsidP="00E66A38">
            <w:pPr>
              <w:keepNext/>
              <w:keepLines/>
              <w:widowControl/>
              <w:rPr>
                <w:rFonts w:ascii="Arial Narrow" w:hAnsi="Arial Narrow"/>
                <w:bCs/>
                <w:sz w:val="20"/>
                <w:szCs w:val="20"/>
              </w:rPr>
            </w:pPr>
            <w:r w:rsidRPr="0000718B">
              <w:rPr>
                <w:rFonts w:ascii="Arial Narrow" w:hAnsi="Arial Narrow"/>
                <w:bCs/>
                <w:sz w:val="20"/>
                <w:szCs w:val="20"/>
              </w:rPr>
              <w:t>Base case</w:t>
            </w:r>
          </w:p>
        </w:tc>
        <w:tc>
          <w:tcPr>
            <w:tcW w:w="1084" w:type="dxa"/>
            <w:vAlign w:val="center"/>
          </w:tcPr>
          <w:p w:rsidR="00D31920" w:rsidRPr="0000718B" w:rsidRDefault="00D31920" w:rsidP="00E66A38">
            <w:pPr>
              <w:keepNext/>
              <w:keepLines/>
              <w:widowControl/>
              <w:jc w:val="center"/>
              <w:rPr>
                <w:rFonts w:ascii="Arial Narrow" w:hAnsi="Arial Narrow"/>
                <w:bCs/>
                <w:sz w:val="20"/>
                <w:szCs w:val="20"/>
              </w:rPr>
            </w:pPr>
            <w:r w:rsidRPr="0000718B">
              <w:rPr>
                <w:rFonts w:ascii="Arial Narrow" w:hAnsi="Arial Narrow"/>
                <w:bCs/>
                <w:sz w:val="20"/>
                <w:szCs w:val="20"/>
              </w:rPr>
              <w:t>$</w:t>
            </w:r>
            <w:r w:rsidR="00A7601C">
              <w:rPr>
                <w:rFonts w:ascii="Arial Narrow" w:hAnsi="Arial Narrow"/>
                <w:bCs/>
                <w:noProof/>
                <w:color w:val="000000"/>
                <w:sz w:val="20"/>
                <w:szCs w:val="20"/>
                <w:highlight w:val="black"/>
              </w:rPr>
              <w:t>''''''''''''''''</w:t>
            </w:r>
          </w:p>
        </w:tc>
        <w:tc>
          <w:tcPr>
            <w:tcW w:w="1070" w:type="dxa"/>
            <w:vAlign w:val="center"/>
          </w:tcPr>
          <w:p w:rsidR="00D31920" w:rsidRPr="0000718B" w:rsidRDefault="00D31920" w:rsidP="00E66A38">
            <w:pPr>
              <w:keepNext/>
              <w:keepLines/>
              <w:widowControl/>
              <w:jc w:val="center"/>
              <w:rPr>
                <w:rFonts w:ascii="Arial Narrow" w:hAnsi="Arial Narrow"/>
                <w:bCs/>
                <w:sz w:val="20"/>
                <w:szCs w:val="20"/>
              </w:rPr>
            </w:pPr>
            <w:r w:rsidRPr="0000718B">
              <w:rPr>
                <w:rFonts w:ascii="Arial Narrow" w:hAnsi="Arial Narrow"/>
                <w:bCs/>
                <w:sz w:val="20"/>
                <w:szCs w:val="20"/>
              </w:rPr>
              <w:t>0.178</w:t>
            </w:r>
          </w:p>
        </w:tc>
        <w:tc>
          <w:tcPr>
            <w:tcW w:w="1171" w:type="dxa"/>
            <w:vAlign w:val="center"/>
          </w:tcPr>
          <w:p w:rsidR="00D31920" w:rsidRPr="0000718B" w:rsidRDefault="00D31920" w:rsidP="00E66A38">
            <w:pPr>
              <w:keepNext/>
              <w:keepLines/>
              <w:widowControl/>
              <w:jc w:val="center"/>
              <w:rPr>
                <w:rFonts w:ascii="Arial Narrow" w:hAnsi="Arial Narrow"/>
                <w:bCs/>
                <w:sz w:val="20"/>
                <w:szCs w:val="20"/>
              </w:rPr>
            </w:pPr>
            <w:r w:rsidRPr="0000718B">
              <w:rPr>
                <w:rFonts w:ascii="Arial Narrow" w:hAnsi="Arial Narrow"/>
                <w:bCs/>
                <w:sz w:val="20"/>
                <w:szCs w:val="20"/>
              </w:rPr>
              <w:t>$</w:t>
            </w:r>
            <w:r w:rsidR="00A7601C">
              <w:rPr>
                <w:rFonts w:ascii="Arial Narrow" w:hAnsi="Arial Narrow"/>
                <w:bCs/>
                <w:noProof/>
                <w:color w:val="000000"/>
                <w:sz w:val="20"/>
                <w:szCs w:val="20"/>
                <w:highlight w:val="black"/>
              </w:rPr>
              <w:t>''''''''''''''''</w:t>
            </w:r>
          </w:p>
        </w:tc>
      </w:tr>
      <w:tr w:rsidR="00D31920" w:rsidRPr="0000718B" w:rsidTr="00453585">
        <w:tc>
          <w:tcPr>
            <w:tcW w:w="5758" w:type="dxa"/>
          </w:tcPr>
          <w:p w:rsidR="00D31920" w:rsidRPr="0000718B" w:rsidRDefault="00D31920" w:rsidP="00E66A38">
            <w:pPr>
              <w:keepNext/>
              <w:keepLines/>
              <w:widowControl/>
              <w:rPr>
                <w:rFonts w:ascii="Arial Narrow" w:hAnsi="Arial Narrow"/>
                <w:bCs/>
                <w:sz w:val="20"/>
                <w:szCs w:val="20"/>
              </w:rPr>
            </w:pPr>
            <w:r w:rsidRPr="0000718B">
              <w:rPr>
                <w:rFonts w:ascii="Arial Narrow" w:hAnsi="Arial Narrow"/>
                <w:bCs/>
                <w:sz w:val="20"/>
                <w:szCs w:val="20"/>
              </w:rPr>
              <w:t>Time horizon 3 years (base case 5 years)</w:t>
            </w:r>
          </w:p>
        </w:tc>
        <w:tc>
          <w:tcPr>
            <w:tcW w:w="1084" w:type="dxa"/>
            <w:vAlign w:val="center"/>
          </w:tcPr>
          <w:p w:rsidR="00D31920" w:rsidRPr="0000718B" w:rsidRDefault="00D31920" w:rsidP="00E66A38">
            <w:pPr>
              <w:keepNext/>
              <w:keepLines/>
              <w:widowControl/>
              <w:jc w:val="center"/>
              <w:rPr>
                <w:rFonts w:ascii="Arial Narrow" w:hAnsi="Arial Narrow"/>
                <w:bCs/>
                <w:sz w:val="20"/>
                <w:szCs w:val="20"/>
              </w:rPr>
            </w:pPr>
            <w:r w:rsidRPr="0000718B">
              <w:rPr>
                <w:rFonts w:ascii="Arial Narrow" w:hAnsi="Arial Narrow"/>
                <w:bCs/>
                <w:sz w:val="20"/>
                <w:szCs w:val="20"/>
              </w:rPr>
              <w:t>$</w:t>
            </w:r>
            <w:r w:rsidR="00A7601C">
              <w:rPr>
                <w:rFonts w:ascii="Arial Narrow" w:hAnsi="Arial Narrow"/>
                <w:bCs/>
                <w:noProof/>
                <w:color w:val="000000"/>
                <w:sz w:val="20"/>
                <w:szCs w:val="20"/>
                <w:highlight w:val="black"/>
              </w:rPr>
              <w:t>'''''''''''''''</w:t>
            </w:r>
          </w:p>
        </w:tc>
        <w:tc>
          <w:tcPr>
            <w:tcW w:w="1070" w:type="dxa"/>
            <w:vAlign w:val="center"/>
          </w:tcPr>
          <w:p w:rsidR="00D31920" w:rsidRPr="0000718B" w:rsidRDefault="00D31920" w:rsidP="00E66A38">
            <w:pPr>
              <w:keepNext/>
              <w:keepLines/>
              <w:widowControl/>
              <w:jc w:val="center"/>
              <w:rPr>
                <w:rFonts w:ascii="Arial Narrow" w:hAnsi="Arial Narrow"/>
                <w:bCs/>
                <w:sz w:val="20"/>
                <w:szCs w:val="20"/>
              </w:rPr>
            </w:pPr>
            <w:r w:rsidRPr="0000718B">
              <w:rPr>
                <w:rFonts w:ascii="Arial Narrow" w:hAnsi="Arial Narrow"/>
                <w:bCs/>
                <w:sz w:val="20"/>
                <w:szCs w:val="20"/>
              </w:rPr>
              <w:t>0.149</w:t>
            </w:r>
          </w:p>
        </w:tc>
        <w:tc>
          <w:tcPr>
            <w:tcW w:w="1171" w:type="dxa"/>
            <w:vAlign w:val="center"/>
          </w:tcPr>
          <w:p w:rsidR="00D31920" w:rsidRPr="0000718B" w:rsidRDefault="00D31920" w:rsidP="00E66A38">
            <w:pPr>
              <w:keepNext/>
              <w:keepLines/>
              <w:widowControl/>
              <w:jc w:val="center"/>
              <w:rPr>
                <w:rFonts w:ascii="Arial Narrow" w:hAnsi="Arial Narrow"/>
                <w:bCs/>
                <w:sz w:val="20"/>
                <w:szCs w:val="20"/>
              </w:rPr>
            </w:pPr>
            <w:r w:rsidRPr="0000718B">
              <w:rPr>
                <w:rFonts w:ascii="Arial Narrow" w:hAnsi="Arial Narrow"/>
                <w:bCs/>
                <w:sz w:val="20"/>
                <w:szCs w:val="20"/>
              </w:rPr>
              <w:t>$</w:t>
            </w:r>
            <w:r w:rsidR="00A7601C">
              <w:rPr>
                <w:rFonts w:ascii="Arial Narrow" w:hAnsi="Arial Narrow"/>
                <w:bCs/>
                <w:noProof/>
                <w:color w:val="000000"/>
                <w:sz w:val="20"/>
                <w:szCs w:val="20"/>
                <w:highlight w:val="black"/>
              </w:rPr>
              <w:t>''''''''''''''''</w:t>
            </w:r>
          </w:p>
        </w:tc>
      </w:tr>
      <w:tr w:rsidR="00D31920" w:rsidRPr="0000718B" w:rsidTr="00453585">
        <w:tc>
          <w:tcPr>
            <w:tcW w:w="5758" w:type="dxa"/>
          </w:tcPr>
          <w:p w:rsidR="00D31920" w:rsidRPr="0000718B" w:rsidRDefault="00D31920" w:rsidP="00E66A38">
            <w:pPr>
              <w:keepNext/>
              <w:keepLines/>
              <w:widowControl/>
              <w:rPr>
                <w:rFonts w:ascii="Arial Narrow" w:hAnsi="Arial Narrow"/>
                <w:bCs/>
                <w:sz w:val="20"/>
                <w:szCs w:val="20"/>
              </w:rPr>
            </w:pPr>
            <w:r w:rsidRPr="0000718B">
              <w:rPr>
                <w:rFonts w:ascii="Arial Narrow" w:hAnsi="Arial Narrow"/>
                <w:bCs/>
                <w:sz w:val="20"/>
                <w:szCs w:val="20"/>
              </w:rPr>
              <w:t>Time horizon 10 years (base case 5 years)</w:t>
            </w:r>
          </w:p>
        </w:tc>
        <w:tc>
          <w:tcPr>
            <w:tcW w:w="1084" w:type="dxa"/>
            <w:vAlign w:val="center"/>
          </w:tcPr>
          <w:p w:rsidR="00D31920" w:rsidRPr="0000718B" w:rsidRDefault="00D31920" w:rsidP="00E66A38">
            <w:pPr>
              <w:keepNext/>
              <w:keepLines/>
              <w:widowControl/>
              <w:jc w:val="center"/>
              <w:rPr>
                <w:rFonts w:ascii="Arial Narrow" w:hAnsi="Arial Narrow"/>
                <w:bCs/>
                <w:sz w:val="20"/>
                <w:szCs w:val="20"/>
              </w:rPr>
            </w:pPr>
            <w:r w:rsidRPr="0000718B">
              <w:rPr>
                <w:rFonts w:ascii="Arial Narrow" w:hAnsi="Arial Narrow"/>
                <w:bCs/>
                <w:sz w:val="20"/>
                <w:szCs w:val="20"/>
              </w:rPr>
              <w:t>$</w:t>
            </w:r>
            <w:r w:rsidR="00A7601C">
              <w:rPr>
                <w:rFonts w:ascii="Arial Narrow" w:hAnsi="Arial Narrow"/>
                <w:bCs/>
                <w:noProof/>
                <w:color w:val="000000"/>
                <w:sz w:val="20"/>
                <w:szCs w:val="20"/>
                <w:highlight w:val="black"/>
              </w:rPr>
              <w:t>'''''''''''''''</w:t>
            </w:r>
          </w:p>
        </w:tc>
        <w:tc>
          <w:tcPr>
            <w:tcW w:w="1070" w:type="dxa"/>
            <w:vAlign w:val="center"/>
          </w:tcPr>
          <w:p w:rsidR="00D31920" w:rsidRPr="0000718B" w:rsidRDefault="00D31920" w:rsidP="00E66A38">
            <w:pPr>
              <w:keepNext/>
              <w:keepLines/>
              <w:widowControl/>
              <w:jc w:val="center"/>
              <w:rPr>
                <w:rFonts w:ascii="Arial Narrow" w:hAnsi="Arial Narrow"/>
                <w:bCs/>
                <w:sz w:val="20"/>
                <w:szCs w:val="20"/>
              </w:rPr>
            </w:pPr>
            <w:r w:rsidRPr="0000718B">
              <w:rPr>
                <w:rFonts w:ascii="Arial Narrow" w:hAnsi="Arial Narrow"/>
                <w:bCs/>
                <w:sz w:val="20"/>
                <w:szCs w:val="20"/>
              </w:rPr>
              <w:t>0.207</w:t>
            </w:r>
          </w:p>
        </w:tc>
        <w:tc>
          <w:tcPr>
            <w:tcW w:w="1171" w:type="dxa"/>
            <w:vAlign w:val="center"/>
          </w:tcPr>
          <w:p w:rsidR="00D31920" w:rsidRPr="0000718B" w:rsidRDefault="00D31920" w:rsidP="00E66A38">
            <w:pPr>
              <w:keepNext/>
              <w:keepLines/>
              <w:widowControl/>
              <w:jc w:val="center"/>
              <w:rPr>
                <w:rFonts w:ascii="Arial Narrow" w:hAnsi="Arial Narrow"/>
                <w:bCs/>
                <w:sz w:val="20"/>
                <w:szCs w:val="20"/>
              </w:rPr>
            </w:pPr>
            <w:r w:rsidRPr="0000718B">
              <w:rPr>
                <w:rFonts w:ascii="Arial Narrow" w:hAnsi="Arial Narrow"/>
                <w:bCs/>
                <w:sz w:val="20"/>
                <w:szCs w:val="20"/>
              </w:rPr>
              <w:t>$</w:t>
            </w:r>
            <w:r w:rsidR="00A7601C">
              <w:rPr>
                <w:rFonts w:ascii="Arial Narrow" w:hAnsi="Arial Narrow"/>
                <w:bCs/>
                <w:noProof/>
                <w:color w:val="000000"/>
                <w:sz w:val="20"/>
                <w:szCs w:val="20"/>
                <w:highlight w:val="black"/>
              </w:rPr>
              <w:t>'''''''''''''''</w:t>
            </w:r>
          </w:p>
        </w:tc>
      </w:tr>
      <w:tr w:rsidR="00D31920" w:rsidRPr="0000718B" w:rsidTr="00453585">
        <w:tc>
          <w:tcPr>
            <w:tcW w:w="5758" w:type="dxa"/>
          </w:tcPr>
          <w:p w:rsidR="00D31920" w:rsidRPr="0000718B" w:rsidRDefault="00D31920" w:rsidP="00E66A38">
            <w:pPr>
              <w:keepNext/>
              <w:keepLines/>
              <w:widowControl/>
              <w:rPr>
                <w:rFonts w:ascii="Arial Narrow" w:hAnsi="Arial Narrow"/>
                <w:bCs/>
                <w:sz w:val="20"/>
                <w:szCs w:val="20"/>
              </w:rPr>
            </w:pPr>
            <w:r w:rsidRPr="0000718B">
              <w:rPr>
                <w:rFonts w:ascii="Arial Narrow" w:hAnsi="Arial Narrow"/>
                <w:bCs/>
                <w:sz w:val="20"/>
                <w:szCs w:val="20"/>
              </w:rPr>
              <w:t>Assume 1×500mg vial for subsequent cetuximab dosing in cetuximab arm (base case 4×100mg vials)</w:t>
            </w:r>
          </w:p>
        </w:tc>
        <w:tc>
          <w:tcPr>
            <w:tcW w:w="1084" w:type="dxa"/>
            <w:vAlign w:val="center"/>
          </w:tcPr>
          <w:p w:rsidR="00D31920" w:rsidRPr="0000718B" w:rsidRDefault="00D31920" w:rsidP="00E66A38">
            <w:pPr>
              <w:keepNext/>
              <w:keepLines/>
              <w:widowControl/>
              <w:jc w:val="center"/>
              <w:rPr>
                <w:rFonts w:ascii="Arial Narrow" w:hAnsi="Arial Narrow"/>
                <w:bCs/>
                <w:sz w:val="20"/>
                <w:szCs w:val="20"/>
              </w:rPr>
            </w:pPr>
            <w:r w:rsidRPr="0000718B">
              <w:rPr>
                <w:rFonts w:ascii="Arial Narrow" w:hAnsi="Arial Narrow"/>
                <w:bCs/>
                <w:sz w:val="20"/>
                <w:szCs w:val="20"/>
              </w:rPr>
              <w:t>$</w:t>
            </w:r>
            <w:r w:rsidR="00A7601C">
              <w:rPr>
                <w:rFonts w:ascii="Arial Narrow" w:hAnsi="Arial Narrow"/>
                <w:bCs/>
                <w:noProof/>
                <w:color w:val="000000"/>
                <w:sz w:val="20"/>
                <w:szCs w:val="20"/>
                <w:highlight w:val="black"/>
              </w:rPr>
              <w:t>''''''''''''''''''</w:t>
            </w:r>
          </w:p>
        </w:tc>
        <w:tc>
          <w:tcPr>
            <w:tcW w:w="1070" w:type="dxa"/>
            <w:vAlign w:val="center"/>
          </w:tcPr>
          <w:p w:rsidR="00D31920" w:rsidRPr="0000718B" w:rsidRDefault="00D31920" w:rsidP="00E66A38">
            <w:pPr>
              <w:keepNext/>
              <w:keepLines/>
              <w:widowControl/>
              <w:jc w:val="center"/>
              <w:rPr>
                <w:rFonts w:ascii="Arial Narrow" w:hAnsi="Arial Narrow"/>
                <w:bCs/>
                <w:sz w:val="20"/>
                <w:szCs w:val="20"/>
              </w:rPr>
            </w:pPr>
            <w:r w:rsidRPr="0000718B">
              <w:rPr>
                <w:rFonts w:ascii="Arial Narrow" w:hAnsi="Arial Narrow"/>
                <w:bCs/>
                <w:sz w:val="20"/>
                <w:szCs w:val="20"/>
              </w:rPr>
              <w:t>0.178</w:t>
            </w:r>
          </w:p>
        </w:tc>
        <w:tc>
          <w:tcPr>
            <w:tcW w:w="1171" w:type="dxa"/>
            <w:vAlign w:val="center"/>
          </w:tcPr>
          <w:p w:rsidR="00D31920" w:rsidRPr="0000718B" w:rsidRDefault="00D31920" w:rsidP="00E66A38">
            <w:pPr>
              <w:keepNext/>
              <w:keepLines/>
              <w:widowControl/>
              <w:jc w:val="center"/>
              <w:rPr>
                <w:rFonts w:ascii="Arial Narrow" w:hAnsi="Arial Narrow"/>
                <w:bCs/>
                <w:sz w:val="20"/>
                <w:szCs w:val="20"/>
              </w:rPr>
            </w:pPr>
            <w:r w:rsidRPr="0000718B">
              <w:rPr>
                <w:rFonts w:ascii="Arial Narrow" w:hAnsi="Arial Narrow"/>
                <w:bCs/>
                <w:sz w:val="20"/>
                <w:szCs w:val="20"/>
              </w:rPr>
              <w:t>$</w:t>
            </w:r>
            <w:r w:rsidR="00A7601C">
              <w:rPr>
                <w:rFonts w:ascii="Arial Narrow" w:hAnsi="Arial Narrow"/>
                <w:bCs/>
                <w:noProof/>
                <w:color w:val="000000"/>
                <w:sz w:val="20"/>
                <w:szCs w:val="20"/>
                <w:highlight w:val="black"/>
              </w:rPr>
              <w:t>''''''''''''''''</w:t>
            </w:r>
          </w:p>
        </w:tc>
      </w:tr>
      <w:tr w:rsidR="00D31920" w:rsidRPr="0000718B" w:rsidTr="00453585">
        <w:tc>
          <w:tcPr>
            <w:tcW w:w="5758" w:type="dxa"/>
          </w:tcPr>
          <w:p w:rsidR="00D31920" w:rsidRPr="00367400" w:rsidRDefault="00D31920" w:rsidP="00E66A38">
            <w:pPr>
              <w:keepNext/>
              <w:keepLines/>
              <w:widowControl/>
              <w:rPr>
                <w:rFonts w:ascii="Arial Narrow" w:hAnsi="Arial Narrow"/>
                <w:bCs/>
                <w:iCs/>
                <w:sz w:val="20"/>
                <w:szCs w:val="20"/>
              </w:rPr>
            </w:pPr>
            <w:r w:rsidRPr="00367400">
              <w:rPr>
                <w:rFonts w:ascii="Arial Narrow" w:hAnsi="Arial Narrow"/>
                <w:bCs/>
                <w:iCs/>
                <w:sz w:val="20"/>
                <w:szCs w:val="20"/>
              </w:rPr>
              <w:t xml:space="preserve">Overall Utilities from </w:t>
            </w:r>
            <w:proofErr w:type="spellStart"/>
            <w:r w:rsidRPr="00367400">
              <w:rPr>
                <w:rFonts w:ascii="Arial Narrow" w:hAnsi="Arial Narrow"/>
                <w:bCs/>
                <w:iCs/>
                <w:sz w:val="20"/>
                <w:szCs w:val="20"/>
              </w:rPr>
              <w:t>Greenhalgh</w:t>
            </w:r>
            <w:proofErr w:type="spellEnd"/>
            <w:r w:rsidRPr="00367400">
              <w:rPr>
                <w:rFonts w:ascii="Arial Narrow" w:hAnsi="Arial Narrow"/>
                <w:bCs/>
                <w:iCs/>
                <w:sz w:val="20"/>
                <w:szCs w:val="20"/>
              </w:rPr>
              <w:t xml:space="preserve"> </w:t>
            </w:r>
            <w:r w:rsidR="00DD51BE" w:rsidRPr="00367400">
              <w:rPr>
                <w:rFonts w:ascii="Arial Narrow" w:hAnsi="Arial Narrow"/>
                <w:bCs/>
                <w:iCs/>
                <w:sz w:val="20"/>
                <w:szCs w:val="20"/>
              </w:rPr>
              <w:t xml:space="preserve">et al </w:t>
            </w:r>
            <w:r w:rsidRPr="00367400">
              <w:rPr>
                <w:rFonts w:ascii="Arial Narrow" w:hAnsi="Arial Narrow"/>
                <w:bCs/>
                <w:iCs/>
                <w:sz w:val="20"/>
                <w:szCs w:val="20"/>
              </w:rPr>
              <w:t>2008 PFS = 0.67, Progressed = 0.52 (base case treatment specific utilities for PFS: PFS Cetuximab = 0.69, PFS CT = 0.65, Progressed = 0.52)</w:t>
            </w:r>
          </w:p>
        </w:tc>
        <w:tc>
          <w:tcPr>
            <w:tcW w:w="1084" w:type="dxa"/>
            <w:vAlign w:val="center"/>
          </w:tcPr>
          <w:p w:rsidR="00D31920" w:rsidRPr="00367400" w:rsidRDefault="00D31920" w:rsidP="00E66A38">
            <w:pPr>
              <w:keepNext/>
              <w:keepLines/>
              <w:widowControl/>
              <w:jc w:val="center"/>
              <w:rPr>
                <w:rFonts w:ascii="Arial Narrow" w:hAnsi="Arial Narrow"/>
                <w:bCs/>
                <w:iCs/>
                <w:sz w:val="20"/>
                <w:szCs w:val="20"/>
              </w:rPr>
            </w:pPr>
            <w:r w:rsidRPr="00367400">
              <w:rPr>
                <w:rFonts w:ascii="Arial Narrow" w:hAnsi="Arial Narrow"/>
                <w:bCs/>
                <w:iCs/>
                <w:sz w:val="20"/>
                <w:szCs w:val="20"/>
              </w:rPr>
              <w:t>$</w:t>
            </w:r>
            <w:r w:rsidR="00A7601C">
              <w:rPr>
                <w:rFonts w:ascii="Arial Narrow" w:hAnsi="Arial Narrow"/>
                <w:bCs/>
                <w:iCs/>
                <w:noProof/>
                <w:color w:val="000000"/>
                <w:sz w:val="20"/>
                <w:szCs w:val="20"/>
                <w:highlight w:val="black"/>
              </w:rPr>
              <w:t>''''''''''''''''</w:t>
            </w:r>
          </w:p>
        </w:tc>
        <w:tc>
          <w:tcPr>
            <w:tcW w:w="1070" w:type="dxa"/>
            <w:vAlign w:val="center"/>
          </w:tcPr>
          <w:p w:rsidR="00D31920" w:rsidRPr="00367400" w:rsidRDefault="00D31920" w:rsidP="00E66A38">
            <w:pPr>
              <w:keepNext/>
              <w:keepLines/>
              <w:widowControl/>
              <w:jc w:val="center"/>
              <w:rPr>
                <w:rFonts w:ascii="Arial Narrow" w:hAnsi="Arial Narrow"/>
                <w:bCs/>
                <w:iCs/>
                <w:sz w:val="20"/>
                <w:szCs w:val="20"/>
              </w:rPr>
            </w:pPr>
            <w:r w:rsidRPr="00367400">
              <w:rPr>
                <w:rFonts w:ascii="Arial Narrow" w:hAnsi="Arial Narrow"/>
                <w:bCs/>
                <w:iCs/>
                <w:sz w:val="20"/>
                <w:szCs w:val="20"/>
              </w:rPr>
              <w:t>0.160</w:t>
            </w:r>
          </w:p>
        </w:tc>
        <w:tc>
          <w:tcPr>
            <w:tcW w:w="1171" w:type="dxa"/>
            <w:vAlign w:val="center"/>
          </w:tcPr>
          <w:p w:rsidR="00D31920" w:rsidRPr="00367400" w:rsidRDefault="00D31920" w:rsidP="00E66A38">
            <w:pPr>
              <w:keepNext/>
              <w:keepLines/>
              <w:widowControl/>
              <w:jc w:val="center"/>
              <w:rPr>
                <w:rFonts w:ascii="Arial Narrow" w:hAnsi="Arial Narrow"/>
                <w:bCs/>
                <w:iCs/>
                <w:sz w:val="20"/>
                <w:szCs w:val="20"/>
              </w:rPr>
            </w:pPr>
            <w:r w:rsidRPr="00367400">
              <w:rPr>
                <w:rFonts w:ascii="Arial Narrow" w:hAnsi="Arial Narrow"/>
                <w:bCs/>
                <w:iCs/>
                <w:sz w:val="20"/>
                <w:szCs w:val="20"/>
              </w:rPr>
              <w:t>$</w:t>
            </w:r>
            <w:r w:rsidR="00A7601C">
              <w:rPr>
                <w:rFonts w:ascii="Arial Narrow" w:hAnsi="Arial Narrow"/>
                <w:bCs/>
                <w:iCs/>
                <w:noProof/>
                <w:color w:val="000000"/>
                <w:sz w:val="20"/>
                <w:szCs w:val="20"/>
                <w:highlight w:val="black"/>
              </w:rPr>
              <w:t>'''''''''''''''''</w:t>
            </w:r>
          </w:p>
        </w:tc>
      </w:tr>
      <w:tr w:rsidR="00D31920" w:rsidRPr="0000718B" w:rsidTr="00453585">
        <w:tc>
          <w:tcPr>
            <w:tcW w:w="5758" w:type="dxa"/>
          </w:tcPr>
          <w:p w:rsidR="00D31920" w:rsidRPr="00367400" w:rsidRDefault="00D31920" w:rsidP="00E66A38">
            <w:pPr>
              <w:keepNext/>
              <w:keepLines/>
              <w:widowControl/>
              <w:rPr>
                <w:rFonts w:ascii="Arial Narrow" w:hAnsi="Arial Narrow"/>
                <w:bCs/>
                <w:iCs/>
                <w:sz w:val="20"/>
                <w:szCs w:val="20"/>
              </w:rPr>
            </w:pPr>
            <w:r w:rsidRPr="00367400">
              <w:rPr>
                <w:rFonts w:ascii="Arial Narrow" w:hAnsi="Arial Narrow"/>
                <w:bCs/>
                <w:iCs/>
                <w:sz w:val="20"/>
                <w:szCs w:val="20"/>
              </w:rPr>
              <w:t>Assume patients receiving infusions in public hospitals (50.2%) incur additional $200.33 per infusion based on IHPA cost for non-admitted patients treated in public hospital for chemotherapy treatment (base case: not considered)</w:t>
            </w:r>
          </w:p>
        </w:tc>
        <w:tc>
          <w:tcPr>
            <w:tcW w:w="1084" w:type="dxa"/>
            <w:vAlign w:val="center"/>
          </w:tcPr>
          <w:p w:rsidR="00D31920" w:rsidRPr="00367400" w:rsidRDefault="00D31920" w:rsidP="00E66A38">
            <w:pPr>
              <w:keepNext/>
              <w:keepLines/>
              <w:widowControl/>
              <w:jc w:val="center"/>
              <w:rPr>
                <w:rFonts w:ascii="Arial Narrow" w:hAnsi="Arial Narrow"/>
                <w:bCs/>
                <w:iCs/>
                <w:sz w:val="20"/>
                <w:szCs w:val="20"/>
              </w:rPr>
            </w:pPr>
            <w:r w:rsidRPr="00367400">
              <w:rPr>
                <w:rFonts w:ascii="Arial Narrow" w:hAnsi="Arial Narrow"/>
                <w:bCs/>
                <w:iCs/>
                <w:sz w:val="20"/>
                <w:szCs w:val="20"/>
              </w:rPr>
              <w:t>$</w:t>
            </w:r>
            <w:r w:rsidR="00A7601C">
              <w:rPr>
                <w:rFonts w:ascii="Arial Narrow" w:hAnsi="Arial Narrow"/>
                <w:bCs/>
                <w:iCs/>
                <w:noProof/>
                <w:color w:val="000000"/>
                <w:sz w:val="20"/>
                <w:szCs w:val="20"/>
                <w:highlight w:val="black"/>
              </w:rPr>
              <w:t>'''''''''''''''''</w:t>
            </w:r>
          </w:p>
        </w:tc>
        <w:tc>
          <w:tcPr>
            <w:tcW w:w="1070" w:type="dxa"/>
            <w:vAlign w:val="center"/>
          </w:tcPr>
          <w:p w:rsidR="00D31920" w:rsidRPr="00367400" w:rsidRDefault="00D31920" w:rsidP="00E66A38">
            <w:pPr>
              <w:keepNext/>
              <w:keepLines/>
              <w:widowControl/>
              <w:jc w:val="center"/>
              <w:rPr>
                <w:rFonts w:ascii="Arial Narrow" w:hAnsi="Arial Narrow"/>
                <w:bCs/>
                <w:iCs/>
                <w:sz w:val="20"/>
                <w:szCs w:val="20"/>
              </w:rPr>
            </w:pPr>
            <w:r w:rsidRPr="00367400">
              <w:rPr>
                <w:rFonts w:ascii="Arial Narrow" w:hAnsi="Arial Narrow"/>
                <w:bCs/>
                <w:iCs/>
                <w:sz w:val="20"/>
                <w:szCs w:val="20"/>
              </w:rPr>
              <w:t>0.178</w:t>
            </w:r>
          </w:p>
        </w:tc>
        <w:tc>
          <w:tcPr>
            <w:tcW w:w="1171" w:type="dxa"/>
            <w:vAlign w:val="center"/>
          </w:tcPr>
          <w:p w:rsidR="00D31920" w:rsidRPr="00367400" w:rsidRDefault="00D31920" w:rsidP="00E66A38">
            <w:pPr>
              <w:keepNext/>
              <w:keepLines/>
              <w:widowControl/>
              <w:jc w:val="center"/>
              <w:rPr>
                <w:rFonts w:ascii="Arial Narrow" w:hAnsi="Arial Narrow"/>
                <w:bCs/>
                <w:iCs/>
                <w:sz w:val="20"/>
                <w:szCs w:val="20"/>
              </w:rPr>
            </w:pPr>
            <w:r w:rsidRPr="00367400">
              <w:rPr>
                <w:rFonts w:ascii="Arial Narrow" w:hAnsi="Arial Narrow"/>
                <w:bCs/>
                <w:iCs/>
                <w:sz w:val="20"/>
                <w:szCs w:val="20"/>
              </w:rPr>
              <w:t>$</w:t>
            </w:r>
            <w:r w:rsidR="00A7601C">
              <w:rPr>
                <w:rFonts w:ascii="Arial Narrow" w:hAnsi="Arial Narrow"/>
                <w:bCs/>
                <w:iCs/>
                <w:noProof/>
                <w:color w:val="000000"/>
                <w:sz w:val="20"/>
                <w:szCs w:val="20"/>
                <w:highlight w:val="black"/>
              </w:rPr>
              <w:t>'''''''''''''''</w:t>
            </w:r>
          </w:p>
        </w:tc>
      </w:tr>
      <w:tr w:rsidR="00D31920" w:rsidRPr="0000718B" w:rsidTr="00453585">
        <w:tc>
          <w:tcPr>
            <w:tcW w:w="5758" w:type="dxa"/>
          </w:tcPr>
          <w:p w:rsidR="00D31920" w:rsidRPr="00367400" w:rsidRDefault="00D31920" w:rsidP="00E66A38">
            <w:pPr>
              <w:keepNext/>
              <w:keepLines/>
              <w:widowControl/>
              <w:rPr>
                <w:rFonts w:ascii="Arial Narrow" w:hAnsi="Arial Narrow"/>
                <w:bCs/>
                <w:iCs/>
                <w:sz w:val="20"/>
                <w:szCs w:val="20"/>
              </w:rPr>
            </w:pPr>
            <w:r w:rsidRPr="00367400">
              <w:rPr>
                <w:rFonts w:ascii="Arial Narrow" w:hAnsi="Arial Narrow"/>
                <w:bCs/>
                <w:iCs/>
                <w:sz w:val="20"/>
                <w:szCs w:val="20"/>
              </w:rPr>
              <w:t>Assume infusion cost is same as previous submission ($</w:t>
            </w:r>
            <w:r w:rsidR="00A7601C">
              <w:rPr>
                <w:rFonts w:ascii="Arial Narrow" w:hAnsi="Arial Narrow"/>
                <w:bCs/>
                <w:iCs/>
                <w:noProof/>
                <w:color w:val="000000"/>
                <w:sz w:val="20"/>
                <w:szCs w:val="20"/>
                <w:highlight w:val="black"/>
              </w:rPr>
              <w:t>'''''''''''''''''</w:t>
            </w:r>
            <w:r w:rsidRPr="00367400">
              <w:rPr>
                <w:rFonts w:ascii="Arial Narrow" w:hAnsi="Arial Narrow"/>
                <w:bCs/>
                <w:iCs/>
                <w:sz w:val="20"/>
                <w:szCs w:val="20"/>
              </w:rPr>
              <w:t>) (base case $97.95 for cetuximab</w:t>
            </w:r>
            <w:r w:rsidR="000120B1" w:rsidRPr="00367400">
              <w:rPr>
                <w:rFonts w:ascii="Arial Narrow" w:hAnsi="Arial Narrow"/>
                <w:bCs/>
                <w:iCs/>
                <w:sz w:val="20"/>
                <w:szCs w:val="20"/>
              </w:rPr>
              <w:t xml:space="preserve"> </w:t>
            </w:r>
            <w:r w:rsidRPr="00367400">
              <w:rPr>
                <w:rFonts w:ascii="Arial Narrow" w:hAnsi="Arial Narrow"/>
                <w:bCs/>
                <w:iCs/>
                <w:sz w:val="20"/>
                <w:szCs w:val="20"/>
              </w:rPr>
              <w:sym w:font="Symbol" w:char="F0B1"/>
            </w:r>
            <w:r w:rsidRPr="00367400">
              <w:rPr>
                <w:rFonts w:ascii="Arial Narrow" w:hAnsi="Arial Narrow"/>
                <w:bCs/>
                <w:iCs/>
                <w:sz w:val="20"/>
                <w:szCs w:val="20"/>
              </w:rPr>
              <w:t xml:space="preserve"> CT and $65.05 for cetuximab monotherapy)</w:t>
            </w:r>
          </w:p>
        </w:tc>
        <w:tc>
          <w:tcPr>
            <w:tcW w:w="1084" w:type="dxa"/>
            <w:vAlign w:val="center"/>
          </w:tcPr>
          <w:p w:rsidR="00D31920" w:rsidRPr="00367400" w:rsidRDefault="00D31920" w:rsidP="00E66A38">
            <w:pPr>
              <w:keepNext/>
              <w:keepLines/>
              <w:widowControl/>
              <w:jc w:val="center"/>
              <w:rPr>
                <w:rFonts w:ascii="Arial Narrow" w:hAnsi="Arial Narrow"/>
                <w:bCs/>
                <w:iCs/>
                <w:sz w:val="20"/>
                <w:szCs w:val="20"/>
              </w:rPr>
            </w:pPr>
            <w:r w:rsidRPr="00367400">
              <w:rPr>
                <w:rFonts w:ascii="Arial Narrow" w:hAnsi="Arial Narrow"/>
                <w:bCs/>
                <w:iCs/>
                <w:sz w:val="20"/>
                <w:szCs w:val="20"/>
              </w:rPr>
              <w:t>$</w:t>
            </w:r>
            <w:r w:rsidR="00A7601C">
              <w:rPr>
                <w:rFonts w:ascii="Arial Narrow" w:hAnsi="Arial Narrow"/>
                <w:bCs/>
                <w:iCs/>
                <w:noProof/>
                <w:color w:val="000000"/>
                <w:sz w:val="20"/>
                <w:szCs w:val="20"/>
                <w:highlight w:val="black"/>
              </w:rPr>
              <w:t>'''''''''''''''''</w:t>
            </w:r>
          </w:p>
        </w:tc>
        <w:tc>
          <w:tcPr>
            <w:tcW w:w="1070" w:type="dxa"/>
            <w:vAlign w:val="center"/>
          </w:tcPr>
          <w:p w:rsidR="00D31920" w:rsidRPr="00367400" w:rsidRDefault="00D31920" w:rsidP="00E66A38">
            <w:pPr>
              <w:keepNext/>
              <w:keepLines/>
              <w:widowControl/>
              <w:jc w:val="center"/>
              <w:rPr>
                <w:rFonts w:ascii="Arial Narrow" w:hAnsi="Arial Narrow"/>
                <w:bCs/>
                <w:iCs/>
                <w:sz w:val="20"/>
                <w:szCs w:val="20"/>
              </w:rPr>
            </w:pPr>
            <w:r w:rsidRPr="00367400">
              <w:rPr>
                <w:rFonts w:ascii="Arial Narrow" w:hAnsi="Arial Narrow"/>
                <w:bCs/>
                <w:iCs/>
                <w:sz w:val="20"/>
                <w:szCs w:val="20"/>
              </w:rPr>
              <w:t>0.178</w:t>
            </w:r>
          </w:p>
        </w:tc>
        <w:tc>
          <w:tcPr>
            <w:tcW w:w="1171" w:type="dxa"/>
            <w:vAlign w:val="center"/>
          </w:tcPr>
          <w:p w:rsidR="00D31920" w:rsidRPr="00367400" w:rsidRDefault="00D31920" w:rsidP="00E66A38">
            <w:pPr>
              <w:keepNext/>
              <w:keepLines/>
              <w:widowControl/>
              <w:jc w:val="center"/>
              <w:rPr>
                <w:rFonts w:ascii="Arial Narrow" w:hAnsi="Arial Narrow"/>
                <w:bCs/>
                <w:iCs/>
                <w:sz w:val="20"/>
                <w:szCs w:val="20"/>
              </w:rPr>
            </w:pPr>
            <w:r w:rsidRPr="00367400">
              <w:rPr>
                <w:rFonts w:ascii="Arial Narrow" w:hAnsi="Arial Narrow"/>
                <w:bCs/>
                <w:iCs/>
                <w:sz w:val="20"/>
                <w:szCs w:val="20"/>
              </w:rPr>
              <w:t>$</w:t>
            </w:r>
            <w:r w:rsidR="00A7601C">
              <w:rPr>
                <w:rFonts w:ascii="Arial Narrow" w:hAnsi="Arial Narrow"/>
                <w:bCs/>
                <w:iCs/>
                <w:noProof/>
                <w:color w:val="000000"/>
                <w:sz w:val="20"/>
                <w:szCs w:val="20"/>
                <w:highlight w:val="black"/>
              </w:rPr>
              <w:t>''''''''''''''''</w:t>
            </w:r>
          </w:p>
        </w:tc>
      </w:tr>
      <w:tr w:rsidR="001519A1" w:rsidRPr="0000718B" w:rsidTr="00453585">
        <w:tc>
          <w:tcPr>
            <w:tcW w:w="5758" w:type="dxa"/>
          </w:tcPr>
          <w:p w:rsidR="001519A1" w:rsidRPr="00367400" w:rsidRDefault="001519A1" w:rsidP="00E66A38">
            <w:pPr>
              <w:keepNext/>
              <w:keepLines/>
              <w:widowControl/>
              <w:rPr>
                <w:rFonts w:ascii="Arial Narrow" w:hAnsi="Arial Narrow"/>
                <w:bCs/>
                <w:iCs/>
                <w:sz w:val="20"/>
                <w:szCs w:val="20"/>
              </w:rPr>
            </w:pPr>
            <w:r w:rsidRPr="00367400">
              <w:rPr>
                <w:rFonts w:ascii="Arial Narrow" w:hAnsi="Arial Narrow"/>
                <w:bCs/>
                <w:iCs/>
                <w:sz w:val="20"/>
                <w:szCs w:val="20"/>
              </w:rPr>
              <w:t>Assume that all costs are incurred over time^ (base case: all expected costs except for palliative costs were incurred at the start of model)</w:t>
            </w:r>
          </w:p>
        </w:tc>
        <w:tc>
          <w:tcPr>
            <w:tcW w:w="1084" w:type="dxa"/>
            <w:vAlign w:val="center"/>
          </w:tcPr>
          <w:p w:rsidR="001519A1" w:rsidRPr="002B4EE2" w:rsidRDefault="001519A1" w:rsidP="00E66A38">
            <w:pPr>
              <w:keepNext/>
              <w:keepLines/>
              <w:widowControl/>
              <w:jc w:val="center"/>
              <w:rPr>
                <w:rFonts w:ascii="Arial Narrow" w:hAnsi="Arial Narrow"/>
                <w:bCs/>
                <w:iCs/>
                <w:sz w:val="20"/>
                <w:szCs w:val="20"/>
              </w:rPr>
            </w:pPr>
            <w:r w:rsidRPr="002B4EE2">
              <w:rPr>
                <w:rFonts w:ascii="Arial Narrow" w:hAnsi="Arial Narrow"/>
                <w:bCs/>
                <w:iCs/>
                <w:sz w:val="20"/>
              </w:rPr>
              <w:t>$</w:t>
            </w:r>
            <w:r w:rsidR="00A7601C">
              <w:rPr>
                <w:rFonts w:ascii="Arial Narrow" w:hAnsi="Arial Narrow"/>
                <w:bCs/>
                <w:iCs/>
                <w:noProof/>
                <w:color w:val="000000"/>
                <w:sz w:val="20"/>
                <w:highlight w:val="black"/>
              </w:rPr>
              <w:t>''''''''''''''''</w:t>
            </w:r>
          </w:p>
        </w:tc>
        <w:tc>
          <w:tcPr>
            <w:tcW w:w="1070" w:type="dxa"/>
            <w:vAlign w:val="center"/>
          </w:tcPr>
          <w:p w:rsidR="001519A1" w:rsidRPr="002B4EE2" w:rsidRDefault="001519A1" w:rsidP="00E66A38">
            <w:pPr>
              <w:keepNext/>
              <w:keepLines/>
              <w:widowControl/>
              <w:jc w:val="center"/>
              <w:rPr>
                <w:rFonts w:ascii="Arial Narrow" w:hAnsi="Arial Narrow"/>
                <w:bCs/>
                <w:iCs/>
                <w:sz w:val="20"/>
                <w:szCs w:val="20"/>
              </w:rPr>
            </w:pPr>
            <w:r w:rsidRPr="002B4EE2">
              <w:rPr>
                <w:rFonts w:ascii="Arial Narrow" w:hAnsi="Arial Narrow"/>
                <w:bCs/>
                <w:iCs/>
                <w:sz w:val="20"/>
              </w:rPr>
              <w:t>0.178</w:t>
            </w:r>
          </w:p>
        </w:tc>
        <w:tc>
          <w:tcPr>
            <w:tcW w:w="1171" w:type="dxa"/>
            <w:vAlign w:val="center"/>
          </w:tcPr>
          <w:p w:rsidR="001519A1" w:rsidRPr="002B4EE2" w:rsidRDefault="001519A1" w:rsidP="00E66A38">
            <w:pPr>
              <w:keepNext/>
              <w:keepLines/>
              <w:widowControl/>
              <w:jc w:val="center"/>
              <w:rPr>
                <w:rFonts w:ascii="Arial Narrow" w:hAnsi="Arial Narrow"/>
                <w:bCs/>
                <w:iCs/>
                <w:sz w:val="20"/>
                <w:szCs w:val="20"/>
              </w:rPr>
            </w:pPr>
            <w:r w:rsidRPr="002B4EE2">
              <w:rPr>
                <w:rFonts w:ascii="Arial Narrow" w:hAnsi="Arial Narrow"/>
                <w:bCs/>
                <w:iCs/>
                <w:sz w:val="20"/>
              </w:rPr>
              <w:t>$</w:t>
            </w:r>
            <w:r w:rsidR="00A7601C">
              <w:rPr>
                <w:rFonts w:ascii="Arial Narrow" w:hAnsi="Arial Narrow"/>
                <w:bCs/>
                <w:iCs/>
                <w:noProof/>
                <w:color w:val="000000"/>
                <w:sz w:val="20"/>
                <w:highlight w:val="black"/>
              </w:rPr>
              <w:t>'''''''''''''''</w:t>
            </w:r>
          </w:p>
        </w:tc>
      </w:tr>
    </w:tbl>
    <w:p w:rsidR="00D31920" w:rsidRPr="0023232D" w:rsidRDefault="00D31920" w:rsidP="00E66A38">
      <w:pPr>
        <w:keepNext/>
        <w:keepLines/>
        <w:rPr>
          <w:rFonts w:ascii="Arial Narrow" w:hAnsi="Arial Narrow"/>
          <w:bCs/>
          <w:sz w:val="18"/>
          <w:szCs w:val="18"/>
        </w:rPr>
      </w:pPr>
      <w:r w:rsidRPr="0023232D">
        <w:rPr>
          <w:rFonts w:ascii="Arial Narrow" w:hAnsi="Arial Narrow"/>
          <w:bCs/>
          <w:sz w:val="18"/>
          <w:szCs w:val="18"/>
        </w:rPr>
        <w:t>Abbreviations: ICER = Incremental Cost Effectiveness Ration; CET = cetuximab + chemotherapy arm; CT = chemotherapy only arm; PFS = Progression Free Survival; IHPA = Independent Hospital Pricing Authority</w:t>
      </w:r>
      <w:r w:rsidR="000120B1" w:rsidRPr="0023232D">
        <w:rPr>
          <w:rFonts w:ascii="Arial Narrow" w:hAnsi="Arial Narrow"/>
          <w:bCs/>
          <w:sz w:val="18"/>
          <w:szCs w:val="18"/>
        </w:rPr>
        <w:t xml:space="preserve"> </w:t>
      </w:r>
    </w:p>
    <w:p w:rsidR="00B73885" w:rsidRPr="0023232D" w:rsidRDefault="00B73885" w:rsidP="00E66A38">
      <w:pPr>
        <w:keepNext/>
        <w:keepLines/>
        <w:rPr>
          <w:rFonts w:ascii="Arial Narrow" w:hAnsi="Arial Narrow"/>
          <w:bCs/>
          <w:sz w:val="18"/>
          <w:szCs w:val="18"/>
        </w:rPr>
      </w:pPr>
      <w:r w:rsidRPr="0023232D">
        <w:rPr>
          <w:rFonts w:ascii="Arial Narrow" w:hAnsi="Arial Narrow"/>
          <w:bCs/>
          <w:sz w:val="18"/>
          <w:szCs w:val="18"/>
        </w:rPr>
        <w:t>^</w:t>
      </w:r>
      <w:r w:rsidRPr="0023232D">
        <w:rPr>
          <w:sz w:val="18"/>
          <w:szCs w:val="18"/>
        </w:rPr>
        <w:t xml:space="preserve"> </w:t>
      </w:r>
      <w:proofErr w:type="gramStart"/>
      <w:r w:rsidRPr="0023232D">
        <w:rPr>
          <w:rFonts w:ascii="Arial Narrow" w:hAnsi="Arial Narrow"/>
          <w:bCs/>
          <w:sz w:val="18"/>
          <w:szCs w:val="18"/>
        </w:rPr>
        <w:t>also</w:t>
      </w:r>
      <w:proofErr w:type="gramEnd"/>
      <w:r w:rsidRPr="0023232D">
        <w:rPr>
          <w:rFonts w:ascii="Arial Narrow" w:hAnsi="Arial Narrow"/>
          <w:bCs/>
          <w:sz w:val="18"/>
          <w:szCs w:val="18"/>
        </w:rPr>
        <w:t xml:space="preserve"> assuming that all patients receive cetuximab as long as they remain in free from progression (PF) health state</w:t>
      </w:r>
    </w:p>
    <w:p w:rsidR="00D31920" w:rsidRDefault="00D31920" w:rsidP="008831C7">
      <w:pPr>
        <w:keepNext/>
        <w:keepLines/>
        <w:spacing w:after="120"/>
        <w:rPr>
          <w:rFonts w:ascii="Arial Narrow" w:hAnsi="Arial Narrow"/>
          <w:bCs/>
          <w:sz w:val="18"/>
          <w:szCs w:val="18"/>
        </w:rPr>
      </w:pPr>
      <w:r w:rsidRPr="0023232D">
        <w:rPr>
          <w:rFonts w:ascii="Arial Narrow" w:hAnsi="Arial Narrow"/>
          <w:bCs/>
          <w:sz w:val="18"/>
          <w:szCs w:val="18"/>
        </w:rPr>
        <w:t>Source: Table 3.9.1, p119 of the resubmission</w:t>
      </w:r>
      <w:r w:rsidR="00367400" w:rsidRPr="0023232D">
        <w:rPr>
          <w:rFonts w:ascii="Arial Narrow" w:hAnsi="Arial Narrow"/>
          <w:bCs/>
          <w:sz w:val="18"/>
          <w:szCs w:val="18"/>
        </w:rPr>
        <w:t xml:space="preserve"> and constructed during evaluation</w:t>
      </w:r>
    </w:p>
    <w:p w:rsidR="00D32317" w:rsidRPr="00D32317" w:rsidRDefault="00D32317" w:rsidP="008831C7">
      <w:pPr>
        <w:keepNext/>
        <w:keepLines/>
        <w:spacing w:after="120"/>
        <w:rPr>
          <w:rFonts w:asciiTheme="minorHAnsi" w:hAnsiTheme="minorHAnsi"/>
          <w:bCs/>
          <w:szCs w:val="24"/>
        </w:rPr>
      </w:pPr>
      <w:r>
        <w:rPr>
          <w:rFonts w:asciiTheme="minorHAnsi" w:hAnsiTheme="minorHAnsi"/>
          <w:bCs/>
          <w:szCs w:val="24"/>
        </w:rPr>
        <w:t>The redacted table shows ICERs in the range of $45,000/QALY - $75,000/QALY.</w:t>
      </w:r>
    </w:p>
    <w:p w:rsidR="00D31920" w:rsidRPr="00D35D44" w:rsidRDefault="00D31920" w:rsidP="00846F9C">
      <w:pPr>
        <w:pStyle w:val="ListParagraph"/>
        <w:widowControl/>
        <w:numPr>
          <w:ilvl w:val="1"/>
          <w:numId w:val="2"/>
        </w:numPr>
        <w:rPr>
          <w:bCs/>
        </w:rPr>
      </w:pPr>
      <w:r w:rsidRPr="00D35D44">
        <w:rPr>
          <w:bCs/>
        </w:rPr>
        <w:t>The results of a series of multivariate analyses which considered the effects of a combination of the key assumptions identified in the univariate sensitivity an</w:t>
      </w:r>
      <w:r w:rsidR="008B34FE" w:rsidRPr="00D35D44">
        <w:rPr>
          <w:bCs/>
        </w:rPr>
        <w:t>alyses are presented in Table 14</w:t>
      </w:r>
      <w:r w:rsidRPr="00D35D44">
        <w:rPr>
          <w:bCs/>
        </w:rPr>
        <w:t>.</w:t>
      </w:r>
      <w:r w:rsidR="000120B1" w:rsidRPr="00D35D44">
        <w:rPr>
          <w:bCs/>
        </w:rPr>
        <w:t xml:space="preserve"> </w:t>
      </w:r>
    </w:p>
    <w:p w:rsidR="00D31920" w:rsidRPr="00367400" w:rsidRDefault="00D31920" w:rsidP="008B34FE">
      <w:pPr>
        <w:rPr>
          <w:rFonts w:ascii="Arial Narrow" w:hAnsi="Arial Narrow"/>
          <w:b/>
          <w:iCs/>
          <w:sz w:val="20"/>
          <w:szCs w:val="20"/>
        </w:rPr>
      </w:pPr>
      <w:r w:rsidRPr="00367400">
        <w:rPr>
          <w:rFonts w:ascii="Arial Narrow" w:hAnsi="Arial Narrow"/>
          <w:b/>
          <w:iCs/>
          <w:sz w:val="20"/>
          <w:szCs w:val="20"/>
        </w:rPr>
        <w:t>Table 1</w:t>
      </w:r>
      <w:r w:rsidR="008B34FE" w:rsidRPr="00367400">
        <w:rPr>
          <w:rFonts w:ascii="Arial Narrow" w:hAnsi="Arial Narrow"/>
          <w:b/>
          <w:iCs/>
          <w:sz w:val="20"/>
          <w:szCs w:val="20"/>
        </w:rPr>
        <w:t>4:</w:t>
      </w:r>
      <w:r w:rsidRPr="00367400">
        <w:rPr>
          <w:rFonts w:ascii="Arial Narrow" w:hAnsi="Arial Narrow"/>
          <w:b/>
          <w:iCs/>
          <w:sz w:val="20"/>
          <w:szCs w:val="20"/>
        </w:rPr>
        <w:t xml:space="preserve"> Multivariate Sensitivity analyses conducted during the evaluation</w:t>
      </w:r>
    </w:p>
    <w:tbl>
      <w:tblPr>
        <w:tblStyle w:val="TableGrid"/>
        <w:tblW w:w="0" w:type="auto"/>
        <w:tblCellMar>
          <w:left w:w="28" w:type="dxa"/>
          <w:right w:w="28" w:type="dxa"/>
        </w:tblCellMar>
        <w:tblLook w:val="04A0" w:firstRow="1" w:lastRow="0" w:firstColumn="1" w:lastColumn="0" w:noHBand="0" w:noVBand="1"/>
      </w:tblPr>
      <w:tblGrid>
        <w:gridCol w:w="5438"/>
        <w:gridCol w:w="1124"/>
        <w:gridCol w:w="1124"/>
        <w:gridCol w:w="1397"/>
      </w:tblGrid>
      <w:tr w:rsidR="00D31920" w:rsidRPr="00367400" w:rsidTr="00033C81">
        <w:tc>
          <w:tcPr>
            <w:tcW w:w="5438" w:type="dxa"/>
          </w:tcPr>
          <w:p w:rsidR="00D31920" w:rsidRPr="00367400" w:rsidRDefault="00D31920" w:rsidP="00453585">
            <w:pPr>
              <w:rPr>
                <w:rFonts w:ascii="Arial Narrow" w:hAnsi="Arial Narrow"/>
                <w:b/>
                <w:bCs/>
                <w:sz w:val="20"/>
                <w:szCs w:val="20"/>
              </w:rPr>
            </w:pPr>
            <w:r w:rsidRPr="00367400">
              <w:rPr>
                <w:rFonts w:ascii="Arial Narrow" w:hAnsi="Arial Narrow"/>
                <w:b/>
                <w:bCs/>
                <w:sz w:val="20"/>
                <w:szCs w:val="20"/>
              </w:rPr>
              <w:t>Scenario</w:t>
            </w:r>
          </w:p>
        </w:tc>
        <w:tc>
          <w:tcPr>
            <w:tcW w:w="1124" w:type="dxa"/>
          </w:tcPr>
          <w:p w:rsidR="00D31920" w:rsidRPr="00367400" w:rsidRDefault="00D31920" w:rsidP="00453585">
            <w:pPr>
              <w:jc w:val="center"/>
              <w:rPr>
                <w:rFonts w:ascii="Arial Narrow" w:hAnsi="Arial Narrow"/>
                <w:b/>
                <w:bCs/>
                <w:sz w:val="20"/>
                <w:szCs w:val="20"/>
              </w:rPr>
            </w:pPr>
            <w:r w:rsidRPr="00367400">
              <w:rPr>
                <w:rFonts w:ascii="Arial Narrow" w:hAnsi="Arial Narrow"/>
                <w:b/>
                <w:bCs/>
                <w:sz w:val="20"/>
                <w:szCs w:val="20"/>
              </w:rPr>
              <w:t>Incremental Cost</w:t>
            </w:r>
          </w:p>
        </w:tc>
        <w:tc>
          <w:tcPr>
            <w:tcW w:w="1124" w:type="dxa"/>
          </w:tcPr>
          <w:p w:rsidR="00D31920" w:rsidRPr="00367400" w:rsidRDefault="00D31920" w:rsidP="00453585">
            <w:pPr>
              <w:jc w:val="center"/>
              <w:rPr>
                <w:rFonts w:ascii="Arial Narrow" w:hAnsi="Arial Narrow"/>
                <w:b/>
                <w:bCs/>
                <w:sz w:val="20"/>
                <w:szCs w:val="20"/>
              </w:rPr>
            </w:pPr>
            <w:r w:rsidRPr="00367400">
              <w:rPr>
                <w:rFonts w:ascii="Arial Narrow" w:hAnsi="Arial Narrow"/>
                <w:b/>
                <w:bCs/>
                <w:sz w:val="20"/>
                <w:szCs w:val="20"/>
              </w:rPr>
              <w:t>Incremental QALY</w:t>
            </w:r>
          </w:p>
        </w:tc>
        <w:tc>
          <w:tcPr>
            <w:tcW w:w="1397" w:type="dxa"/>
          </w:tcPr>
          <w:p w:rsidR="00D31920" w:rsidRPr="00367400" w:rsidRDefault="00D31920" w:rsidP="00453585">
            <w:pPr>
              <w:jc w:val="center"/>
              <w:rPr>
                <w:rFonts w:ascii="Arial Narrow" w:hAnsi="Arial Narrow"/>
                <w:b/>
                <w:bCs/>
                <w:sz w:val="20"/>
                <w:szCs w:val="20"/>
              </w:rPr>
            </w:pPr>
            <w:r w:rsidRPr="00367400">
              <w:rPr>
                <w:rFonts w:ascii="Arial Narrow" w:hAnsi="Arial Narrow"/>
                <w:b/>
                <w:bCs/>
                <w:sz w:val="20"/>
                <w:szCs w:val="20"/>
              </w:rPr>
              <w:t>ICER</w:t>
            </w:r>
          </w:p>
        </w:tc>
      </w:tr>
      <w:tr w:rsidR="00D31920" w:rsidRPr="00367400" w:rsidTr="00033C81">
        <w:tc>
          <w:tcPr>
            <w:tcW w:w="5438" w:type="dxa"/>
          </w:tcPr>
          <w:p w:rsidR="00D31920" w:rsidRPr="00367400" w:rsidRDefault="00D31920" w:rsidP="00453585">
            <w:pPr>
              <w:rPr>
                <w:rFonts w:ascii="Arial Narrow" w:hAnsi="Arial Narrow"/>
                <w:bCs/>
                <w:sz w:val="20"/>
                <w:szCs w:val="20"/>
              </w:rPr>
            </w:pPr>
            <w:r w:rsidRPr="00367400">
              <w:rPr>
                <w:rFonts w:ascii="Arial Narrow" w:hAnsi="Arial Narrow"/>
                <w:bCs/>
                <w:sz w:val="20"/>
                <w:szCs w:val="20"/>
              </w:rPr>
              <w:t>Base case</w:t>
            </w:r>
          </w:p>
        </w:tc>
        <w:tc>
          <w:tcPr>
            <w:tcW w:w="1124" w:type="dxa"/>
            <w:vAlign w:val="center"/>
          </w:tcPr>
          <w:p w:rsidR="00D31920" w:rsidRPr="00367400" w:rsidRDefault="00D31920" w:rsidP="00453585">
            <w:pPr>
              <w:jc w:val="center"/>
              <w:rPr>
                <w:rFonts w:ascii="Arial Narrow" w:hAnsi="Arial Narrow"/>
                <w:bCs/>
                <w:iCs/>
                <w:sz w:val="20"/>
                <w:szCs w:val="20"/>
              </w:rPr>
            </w:pPr>
            <w:r w:rsidRPr="00367400">
              <w:rPr>
                <w:rFonts w:ascii="Arial Narrow" w:hAnsi="Arial Narrow"/>
                <w:bCs/>
                <w:iCs/>
                <w:sz w:val="20"/>
                <w:szCs w:val="20"/>
              </w:rPr>
              <w:t>$</w:t>
            </w:r>
            <w:r w:rsidR="00A7601C">
              <w:rPr>
                <w:rFonts w:ascii="Arial Narrow" w:hAnsi="Arial Narrow"/>
                <w:bCs/>
                <w:iCs/>
                <w:noProof/>
                <w:color w:val="000000"/>
                <w:sz w:val="20"/>
                <w:szCs w:val="20"/>
                <w:highlight w:val="black"/>
              </w:rPr>
              <w:t>''''''''''''''''''</w:t>
            </w:r>
          </w:p>
        </w:tc>
        <w:tc>
          <w:tcPr>
            <w:tcW w:w="1124" w:type="dxa"/>
            <w:vAlign w:val="center"/>
          </w:tcPr>
          <w:p w:rsidR="00D31920" w:rsidRPr="00367400" w:rsidRDefault="00D31920" w:rsidP="00453585">
            <w:pPr>
              <w:jc w:val="center"/>
              <w:rPr>
                <w:rFonts w:ascii="Arial Narrow" w:hAnsi="Arial Narrow"/>
                <w:bCs/>
                <w:iCs/>
                <w:sz w:val="20"/>
                <w:szCs w:val="20"/>
              </w:rPr>
            </w:pPr>
            <w:r w:rsidRPr="00367400">
              <w:rPr>
                <w:rFonts w:ascii="Arial Narrow" w:hAnsi="Arial Narrow"/>
                <w:bCs/>
                <w:iCs/>
                <w:sz w:val="20"/>
                <w:szCs w:val="20"/>
              </w:rPr>
              <w:t>0.178</w:t>
            </w:r>
          </w:p>
        </w:tc>
        <w:tc>
          <w:tcPr>
            <w:tcW w:w="1397" w:type="dxa"/>
            <w:vAlign w:val="center"/>
          </w:tcPr>
          <w:p w:rsidR="00D31920" w:rsidRPr="00367400" w:rsidRDefault="00D31920" w:rsidP="00453585">
            <w:pPr>
              <w:jc w:val="center"/>
              <w:rPr>
                <w:rFonts w:ascii="Arial Narrow" w:hAnsi="Arial Narrow"/>
                <w:bCs/>
                <w:iCs/>
                <w:sz w:val="20"/>
                <w:szCs w:val="20"/>
              </w:rPr>
            </w:pPr>
            <w:r w:rsidRPr="00367400">
              <w:rPr>
                <w:rFonts w:ascii="Arial Narrow" w:hAnsi="Arial Narrow"/>
                <w:bCs/>
                <w:iCs/>
                <w:sz w:val="20"/>
                <w:szCs w:val="20"/>
              </w:rPr>
              <w:t>$</w:t>
            </w:r>
            <w:r w:rsidR="00A7601C">
              <w:rPr>
                <w:rFonts w:ascii="Arial Narrow" w:hAnsi="Arial Narrow"/>
                <w:bCs/>
                <w:iCs/>
                <w:noProof/>
                <w:color w:val="000000"/>
                <w:sz w:val="20"/>
                <w:szCs w:val="20"/>
                <w:highlight w:val="black"/>
              </w:rPr>
              <w:t>''''''''''''''''</w:t>
            </w:r>
          </w:p>
        </w:tc>
      </w:tr>
      <w:tr w:rsidR="00D31920" w:rsidRPr="00367400" w:rsidTr="00033C81">
        <w:tc>
          <w:tcPr>
            <w:tcW w:w="5438" w:type="dxa"/>
          </w:tcPr>
          <w:p w:rsidR="00D31920" w:rsidRPr="00367400" w:rsidRDefault="00D31920" w:rsidP="00453585">
            <w:pPr>
              <w:rPr>
                <w:rFonts w:ascii="Arial Narrow" w:hAnsi="Arial Narrow"/>
                <w:bCs/>
                <w:iCs/>
                <w:sz w:val="20"/>
                <w:szCs w:val="20"/>
              </w:rPr>
            </w:pPr>
            <w:r w:rsidRPr="00367400">
              <w:rPr>
                <w:rFonts w:ascii="Arial Narrow" w:hAnsi="Arial Narrow"/>
                <w:bCs/>
                <w:iCs/>
                <w:sz w:val="20"/>
                <w:szCs w:val="20"/>
              </w:rPr>
              <w:t>Assume 1×500mg vial for subsequent cetuximab dosing, time horizon of 3 years</w:t>
            </w:r>
          </w:p>
        </w:tc>
        <w:tc>
          <w:tcPr>
            <w:tcW w:w="1124" w:type="dxa"/>
            <w:vAlign w:val="center"/>
          </w:tcPr>
          <w:p w:rsidR="00D31920" w:rsidRPr="00367400" w:rsidRDefault="00D31920" w:rsidP="00453585">
            <w:pPr>
              <w:jc w:val="center"/>
              <w:rPr>
                <w:rFonts w:ascii="Arial Narrow" w:hAnsi="Arial Narrow"/>
                <w:bCs/>
                <w:iCs/>
                <w:sz w:val="20"/>
                <w:szCs w:val="20"/>
              </w:rPr>
            </w:pPr>
            <w:r w:rsidRPr="00367400">
              <w:rPr>
                <w:rFonts w:ascii="Arial Narrow" w:hAnsi="Arial Narrow"/>
                <w:bCs/>
                <w:iCs/>
                <w:sz w:val="20"/>
                <w:szCs w:val="20"/>
              </w:rPr>
              <w:t>$</w:t>
            </w:r>
            <w:r w:rsidR="00A7601C">
              <w:rPr>
                <w:rFonts w:ascii="Arial Narrow" w:hAnsi="Arial Narrow"/>
                <w:bCs/>
                <w:iCs/>
                <w:noProof/>
                <w:color w:val="000000"/>
                <w:sz w:val="20"/>
                <w:szCs w:val="20"/>
                <w:highlight w:val="black"/>
              </w:rPr>
              <w:t>''''''''''''''''</w:t>
            </w:r>
          </w:p>
        </w:tc>
        <w:tc>
          <w:tcPr>
            <w:tcW w:w="1124" w:type="dxa"/>
            <w:vAlign w:val="center"/>
          </w:tcPr>
          <w:p w:rsidR="00D31920" w:rsidRPr="00367400" w:rsidRDefault="00D31920" w:rsidP="00453585">
            <w:pPr>
              <w:jc w:val="center"/>
              <w:rPr>
                <w:rFonts w:ascii="Arial Narrow" w:hAnsi="Arial Narrow"/>
                <w:bCs/>
                <w:iCs/>
                <w:sz w:val="20"/>
                <w:szCs w:val="20"/>
              </w:rPr>
            </w:pPr>
            <w:r w:rsidRPr="00367400">
              <w:rPr>
                <w:rFonts w:ascii="Arial Narrow" w:hAnsi="Arial Narrow"/>
                <w:bCs/>
                <w:iCs/>
                <w:sz w:val="20"/>
                <w:szCs w:val="20"/>
              </w:rPr>
              <w:t>0.149</w:t>
            </w:r>
          </w:p>
        </w:tc>
        <w:tc>
          <w:tcPr>
            <w:tcW w:w="1397" w:type="dxa"/>
            <w:vAlign w:val="center"/>
          </w:tcPr>
          <w:p w:rsidR="00D31920" w:rsidRPr="00367400" w:rsidRDefault="00D31920" w:rsidP="00453585">
            <w:pPr>
              <w:jc w:val="center"/>
              <w:rPr>
                <w:rFonts w:ascii="Arial Narrow" w:hAnsi="Arial Narrow"/>
                <w:bCs/>
                <w:iCs/>
                <w:sz w:val="20"/>
                <w:szCs w:val="20"/>
              </w:rPr>
            </w:pPr>
            <w:r w:rsidRPr="00367400">
              <w:rPr>
                <w:rFonts w:ascii="Arial Narrow" w:hAnsi="Arial Narrow"/>
                <w:bCs/>
                <w:iCs/>
                <w:sz w:val="20"/>
                <w:szCs w:val="20"/>
              </w:rPr>
              <w:t>$</w:t>
            </w:r>
            <w:r w:rsidR="00A7601C">
              <w:rPr>
                <w:rFonts w:ascii="Arial Narrow" w:hAnsi="Arial Narrow"/>
                <w:bCs/>
                <w:iCs/>
                <w:noProof/>
                <w:color w:val="000000"/>
                <w:sz w:val="20"/>
                <w:szCs w:val="20"/>
                <w:highlight w:val="black"/>
              </w:rPr>
              <w:t>'''''''''''''''</w:t>
            </w:r>
          </w:p>
        </w:tc>
      </w:tr>
      <w:tr w:rsidR="00D31920" w:rsidRPr="00367400" w:rsidTr="00033C81">
        <w:tc>
          <w:tcPr>
            <w:tcW w:w="5438" w:type="dxa"/>
          </w:tcPr>
          <w:p w:rsidR="00D31920" w:rsidRPr="00367400" w:rsidRDefault="00D31920" w:rsidP="00453585">
            <w:pPr>
              <w:rPr>
                <w:rFonts w:ascii="Arial Narrow" w:hAnsi="Arial Narrow"/>
                <w:bCs/>
                <w:iCs/>
                <w:sz w:val="20"/>
                <w:szCs w:val="20"/>
              </w:rPr>
            </w:pPr>
            <w:r w:rsidRPr="00367400">
              <w:rPr>
                <w:rFonts w:ascii="Arial Narrow" w:hAnsi="Arial Narrow"/>
                <w:bCs/>
                <w:iCs/>
                <w:sz w:val="20"/>
                <w:szCs w:val="20"/>
              </w:rPr>
              <w:t>Assume 1×500mg vial for subsequent cetuximab dosing, extrapolation with Weibull</w:t>
            </w:r>
          </w:p>
        </w:tc>
        <w:tc>
          <w:tcPr>
            <w:tcW w:w="1124" w:type="dxa"/>
            <w:vAlign w:val="center"/>
          </w:tcPr>
          <w:p w:rsidR="00D31920" w:rsidRPr="00367400" w:rsidRDefault="00D31920" w:rsidP="00453585">
            <w:pPr>
              <w:jc w:val="center"/>
              <w:rPr>
                <w:rFonts w:ascii="Arial Narrow" w:hAnsi="Arial Narrow"/>
                <w:bCs/>
                <w:iCs/>
                <w:sz w:val="20"/>
                <w:szCs w:val="20"/>
              </w:rPr>
            </w:pPr>
            <w:r w:rsidRPr="00367400">
              <w:rPr>
                <w:rFonts w:ascii="Arial Narrow" w:hAnsi="Arial Narrow"/>
                <w:bCs/>
                <w:iCs/>
                <w:sz w:val="20"/>
                <w:szCs w:val="20"/>
              </w:rPr>
              <w:t>$</w:t>
            </w:r>
            <w:r w:rsidR="00A7601C">
              <w:rPr>
                <w:rFonts w:ascii="Arial Narrow" w:hAnsi="Arial Narrow"/>
                <w:bCs/>
                <w:iCs/>
                <w:noProof/>
                <w:color w:val="000000"/>
                <w:sz w:val="20"/>
                <w:szCs w:val="20"/>
                <w:highlight w:val="black"/>
              </w:rPr>
              <w:t>''''''''''''''''</w:t>
            </w:r>
          </w:p>
        </w:tc>
        <w:tc>
          <w:tcPr>
            <w:tcW w:w="1124" w:type="dxa"/>
            <w:vAlign w:val="center"/>
          </w:tcPr>
          <w:p w:rsidR="00D31920" w:rsidRPr="00367400" w:rsidRDefault="00D31920" w:rsidP="00453585">
            <w:pPr>
              <w:jc w:val="center"/>
              <w:rPr>
                <w:rFonts w:ascii="Arial Narrow" w:hAnsi="Arial Narrow"/>
                <w:bCs/>
                <w:iCs/>
                <w:sz w:val="20"/>
                <w:szCs w:val="20"/>
              </w:rPr>
            </w:pPr>
            <w:r w:rsidRPr="00367400">
              <w:rPr>
                <w:rFonts w:ascii="Arial Narrow" w:hAnsi="Arial Narrow"/>
                <w:bCs/>
                <w:iCs/>
                <w:sz w:val="20"/>
                <w:szCs w:val="20"/>
              </w:rPr>
              <w:t>0.146</w:t>
            </w:r>
          </w:p>
        </w:tc>
        <w:tc>
          <w:tcPr>
            <w:tcW w:w="1397" w:type="dxa"/>
            <w:vAlign w:val="center"/>
          </w:tcPr>
          <w:p w:rsidR="00D31920" w:rsidRPr="00367400" w:rsidRDefault="00D31920" w:rsidP="00453585">
            <w:pPr>
              <w:jc w:val="center"/>
              <w:rPr>
                <w:rFonts w:ascii="Arial Narrow" w:hAnsi="Arial Narrow"/>
                <w:bCs/>
                <w:iCs/>
                <w:sz w:val="20"/>
                <w:szCs w:val="20"/>
              </w:rPr>
            </w:pPr>
            <w:r w:rsidRPr="00367400">
              <w:rPr>
                <w:rFonts w:ascii="Arial Narrow" w:hAnsi="Arial Narrow"/>
                <w:bCs/>
                <w:iCs/>
                <w:sz w:val="20"/>
                <w:szCs w:val="20"/>
              </w:rPr>
              <w:t>$</w:t>
            </w:r>
            <w:r w:rsidR="00A7601C">
              <w:rPr>
                <w:rFonts w:ascii="Arial Narrow" w:hAnsi="Arial Narrow"/>
                <w:bCs/>
                <w:iCs/>
                <w:noProof/>
                <w:color w:val="000000"/>
                <w:sz w:val="20"/>
                <w:szCs w:val="20"/>
                <w:highlight w:val="black"/>
              </w:rPr>
              <w:t>''''''''''''''''</w:t>
            </w:r>
          </w:p>
        </w:tc>
      </w:tr>
      <w:tr w:rsidR="00D31920" w:rsidRPr="00367400" w:rsidTr="00033C81">
        <w:tc>
          <w:tcPr>
            <w:tcW w:w="5438" w:type="dxa"/>
          </w:tcPr>
          <w:p w:rsidR="00D31920" w:rsidRPr="00367400" w:rsidRDefault="00D31920" w:rsidP="00453585">
            <w:pPr>
              <w:rPr>
                <w:rFonts w:ascii="Arial Narrow" w:hAnsi="Arial Narrow"/>
                <w:bCs/>
                <w:iCs/>
                <w:sz w:val="20"/>
                <w:szCs w:val="20"/>
              </w:rPr>
            </w:pPr>
            <w:r w:rsidRPr="00367400">
              <w:rPr>
                <w:rFonts w:ascii="Arial Narrow" w:hAnsi="Arial Narrow"/>
                <w:bCs/>
                <w:iCs/>
                <w:sz w:val="20"/>
                <w:szCs w:val="20"/>
              </w:rPr>
              <w:t>Assume 1×500mg vial for subsequent cetuximab dosing, extrapolation with Weibull, time horizon 3 years</w:t>
            </w:r>
          </w:p>
        </w:tc>
        <w:tc>
          <w:tcPr>
            <w:tcW w:w="1124" w:type="dxa"/>
            <w:vAlign w:val="center"/>
          </w:tcPr>
          <w:p w:rsidR="00D31920" w:rsidRPr="00367400" w:rsidRDefault="00D31920" w:rsidP="00453585">
            <w:pPr>
              <w:jc w:val="center"/>
              <w:rPr>
                <w:rFonts w:ascii="Arial Narrow" w:hAnsi="Arial Narrow"/>
                <w:bCs/>
                <w:iCs/>
                <w:sz w:val="20"/>
                <w:szCs w:val="20"/>
              </w:rPr>
            </w:pPr>
            <w:r w:rsidRPr="00367400">
              <w:rPr>
                <w:rFonts w:ascii="Arial Narrow" w:hAnsi="Arial Narrow"/>
                <w:bCs/>
                <w:iCs/>
                <w:sz w:val="20"/>
                <w:szCs w:val="20"/>
              </w:rPr>
              <w:t>$</w:t>
            </w:r>
            <w:r w:rsidR="00A7601C">
              <w:rPr>
                <w:rFonts w:ascii="Arial Narrow" w:hAnsi="Arial Narrow"/>
                <w:bCs/>
                <w:iCs/>
                <w:noProof/>
                <w:color w:val="000000"/>
                <w:sz w:val="20"/>
                <w:szCs w:val="20"/>
                <w:highlight w:val="black"/>
              </w:rPr>
              <w:t>''''''''''''''''</w:t>
            </w:r>
          </w:p>
        </w:tc>
        <w:tc>
          <w:tcPr>
            <w:tcW w:w="1124" w:type="dxa"/>
            <w:vAlign w:val="center"/>
          </w:tcPr>
          <w:p w:rsidR="00D31920" w:rsidRPr="00367400" w:rsidRDefault="00D31920" w:rsidP="00453585">
            <w:pPr>
              <w:jc w:val="center"/>
              <w:rPr>
                <w:rFonts w:ascii="Arial Narrow" w:hAnsi="Arial Narrow"/>
                <w:bCs/>
                <w:iCs/>
                <w:sz w:val="20"/>
                <w:szCs w:val="20"/>
              </w:rPr>
            </w:pPr>
            <w:r w:rsidRPr="00367400">
              <w:rPr>
                <w:rFonts w:ascii="Arial Narrow" w:hAnsi="Arial Narrow"/>
                <w:bCs/>
                <w:iCs/>
                <w:sz w:val="20"/>
                <w:szCs w:val="20"/>
              </w:rPr>
              <w:t>0.138</w:t>
            </w:r>
          </w:p>
        </w:tc>
        <w:tc>
          <w:tcPr>
            <w:tcW w:w="1397" w:type="dxa"/>
            <w:vAlign w:val="center"/>
          </w:tcPr>
          <w:p w:rsidR="00D31920" w:rsidRPr="00367400" w:rsidRDefault="00D31920" w:rsidP="00453585">
            <w:pPr>
              <w:jc w:val="center"/>
              <w:rPr>
                <w:rFonts w:ascii="Arial Narrow" w:hAnsi="Arial Narrow"/>
                <w:bCs/>
                <w:iCs/>
                <w:sz w:val="20"/>
                <w:szCs w:val="20"/>
              </w:rPr>
            </w:pPr>
            <w:r w:rsidRPr="00367400">
              <w:rPr>
                <w:rFonts w:ascii="Arial Narrow" w:hAnsi="Arial Narrow"/>
                <w:bCs/>
                <w:iCs/>
                <w:sz w:val="20"/>
                <w:szCs w:val="20"/>
              </w:rPr>
              <w:t>$</w:t>
            </w:r>
            <w:r w:rsidR="00A7601C">
              <w:rPr>
                <w:rFonts w:ascii="Arial Narrow" w:hAnsi="Arial Narrow"/>
                <w:bCs/>
                <w:iCs/>
                <w:noProof/>
                <w:color w:val="000000"/>
                <w:sz w:val="20"/>
                <w:szCs w:val="20"/>
                <w:highlight w:val="black"/>
              </w:rPr>
              <w:t>''''''''''''''''''</w:t>
            </w:r>
          </w:p>
        </w:tc>
      </w:tr>
      <w:tr w:rsidR="00CC23AA" w:rsidRPr="00367400" w:rsidTr="00033C81">
        <w:tc>
          <w:tcPr>
            <w:tcW w:w="5438" w:type="dxa"/>
          </w:tcPr>
          <w:p w:rsidR="00CC23AA" w:rsidRPr="00367400" w:rsidRDefault="00CC23AA" w:rsidP="00453585">
            <w:pPr>
              <w:rPr>
                <w:rFonts w:ascii="Arial Narrow" w:hAnsi="Arial Narrow"/>
                <w:bCs/>
                <w:iCs/>
                <w:sz w:val="20"/>
                <w:szCs w:val="20"/>
              </w:rPr>
            </w:pPr>
            <w:r w:rsidRPr="00367400">
              <w:rPr>
                <w:rFonts w:ascii="Arial Narrow" w:hAnsi="Arial Narrow"/>
                <w:bCs/>
                <w:iCs/>
                <w:sz w:val="20"/>
                <w:szCs w:val="20"/>
              </w:rPr>
              <w:t>Assume extrapolation with Weibull, cost accrued over time^</w:t>
            </w:r>
          </w:p>
        </w:tc>
        <w:tc>
          <w:tcPr>
            <w:tcW w:w="1124" w:type="dxa"/>
            <w:vAlign w:val="center"/>
          </w:tcPr>
          <w:p w:rsidR="00CC23AA" w:rsidRPr="002B4EE2" w:rsidRDefault="00CC23AA" w:rsidP="00453585">
            <w:pPr>
              <w:jc w:val="center"/>
              <w:rPr>
                <w:rFonts w:ascii="Arial Narrow" w:hAnsi="Arial Narrow"/>
                <w:bCs/>
                <w:iCs/>
                <w:sz w:val="20"/>
                <w:szCs w:val="20"/>
              </w:rPr>
            </w:pPr>
            <w:r w:rsidRPr="002B4EE2">
              <w:rPr>
                <w:rFonts w:ascii="Arial Narrow" w:hAnsi="Arial Narrow"/>
                <w:bCs/>
                <w:iCs/>
                <w:sz w:val="20"/>
              </w:rPr>
              <w:t>$</w:t>
            </w:r>
            <w:r w:rsidR="00A7601C">
              <w:rPr>
                <w:rFonts w:ascii="Arial Narrow" w:hAnsi="Arial Narrow"/>
                <w:bCs/>
                <w:iCs/>
                <w:noProof/>
                <w:color w:val="000000"/>
                <w:sz w:val="20"/>
                <w:highlight w:val="black"/>
              </w:rPr>
              <w:t>'''''''''''''''</w:t>
            </w:r>
          </w:p>
        </w:tc>
        <w:tc>
          <w:tcPr>
            <w:tcW w:w="1124" w:type="dxa"/>
            <w:vAlign w:val="center"/>
          </w:tcPr>
          <w:p w:rsidR="00CC23AA" w:rsidRPr="002B4EE2" w:rsidRDefault="00CC23AA" w:rsidP="00453585">
            <w:pPr>
              <w:jc w:val="center"/>
              <w:rPr>
                <w:rFonts w:ascii="Arial Narrow" w:hAnsi="Arial Narrow"/>
                <w:bCs/>
                <w:iCs/>
                <w:sz w:val="20"/>
                <w:szCs w:val="20"/>
              </w:rPr>
            </w:pPr>
            <w:r w:rsidRPr="002B4EE2">
              <w:rPr>
                <w:rFonts w:ascii="Arial Narrow" w:hAnsi="Arial Narrow"/>
                <w:bCs/>
                <w:iCs/>
                <w:sz w:val="20"/>
              </w:rPr>
              <w:t>0.146</w:t>
            </w:r>
          </w:p>
        </w:tc>
        <w:tc>
          <w:tcPr>
            <w:tcW w:w="1397" w:type="dxa"/>
            <w:vAlign w:val="center"/>
          </w:tcPr>
          <w:p w:rsidR="00CC23AA" w:rsidRPr="002B4EE2" w:rsidRDefault="00CC23AA" w:rsidP="00453585">
            <w:pPr>
              <w:jc w:val="center"/>
              <w:rPr>
                <w:rFonts w:ascii="Arial Narrow" w:hAnsi="Arial Narrow"/>
                <w:bCs/>
                <w:iCs/>
                <w:sz w:val="20"/>
                <w:szCs w:val="20"/>
              </w:rPr>
            </w:pPr>
            <w:r w:rsidRPr="002B4EE2">
              <w:rPr>
                <w:rFonts w:ascii="Arial Narrow" w:hAnsi="Arial Narrow"/>
                <w:bCs/>
                <w:iCs/>
                <w:sz w:val="20"/>
              </w:rPr>
              <w:t>$</w:t>
            </w:r>
            <w:r w:rsidR="00A7601C">
              <w:rPr>
                <w:rFonts w:ascii="Arial Narrow" w:hAnsi="Arial Narrow"/>
                <w:bCs/>
                <w:iCs/>
                <w:noProof/>
                <w:color w:val="000000"/>
                <w:sz w:val="20"/>
                <w:highlight w:val="black"/>
              </w:rPr>
              <w:t>'''''''''''''''''</w:t>
            </w:r>
            <w:r w:rsidRPr="002B4EE2">
              <w:rPr>
                <w:rFonts w:ascii="Arial Narrow" w:hAnsi="Arial Narrow"/>
                <w:bCs/>
                <w:iCs/>
                <w:sz w:val="20"/>
              </w:rPr>
              <w:t>^</w:t>
            </w:r>
          </w:p>
        </w:tc>
      </w:tr>
      <w:tr w:rsidR="00CC23AA" w:rsidRPr="00367400" w:rsidTr="00033C81">
        <w:tc>
          <w:tcPr>
            <w:tcW w:w="5438" w:type="dxa"/>
          </w:tcPr>
          <w:p w:rsidR="00CC23AA" w:rsidRPr="00367400" w:rsidRDefault="00CC23AA" w:rsidP="00453585">
            <w:pPr>
              <w:rPr>
                <w:rFonts w:ascii="Arial Narrow" w:hAnsi="Arial Narrow"/>
                <w:bCs/>
                <w:iCs/>
                <w:sz w:val="20"/>
                <w:szCs w:val="20"/>
              </w:rPr>
            </w:pPr>
            <w:r w:rsidRPr="00367400">
              <w:rPr>
                <w:rFonts w:ascii="Arial Narrow" w:hAnsi="Arial Narrow"/>
                <w:bCs/>
                <w:iCs/>
                <w:sz w:val="20"/>
                <w:szCs w:val="20"/>
              </w:rPr>
              <w:t>Assume 1×500mg vial for subsequent cetuximab dosing, extrapolation with Weibull, cost accrued over time^</w:t>
            </w:r>
          </w:p>
        </w:tc>
        <w:tc>
          <w:tcPr>
            <w:tcW w:w="1124" w:type="dxa"/>
            <w:vAlign w:val="center"/>
          </w:tcPr>
          <w:p w:rsidR="00CC23AA" w:rsidRPr="002B4EE2" w:rsidRDefault="00CC23AA" w:rsidP="00453585">
            <w:pPr>
              <w:jc w:val="center"/>
              <w:rPr>
                <w:rFonts w:ascii="Arial Narrow" w:hAnsi="Arial Narrow"/>
                <w:bCs/>
                <w:iCs/>
                <w:sz w:val="20"/>
                <w:szCs w:val="20"/>
              </w:rPr>
            </w:pPr>
            <w:r w:rsidRPr="002B4EE2">
              <w:rPr>
                <w:rFonts w:ascii="Arial Narrow" w:hAnsi="Arial Narrow"/>
                <w:bCs/>
                <w:iCs/>
                <w:sz w:val="20"/>
              </w:rPr>
              <w:t>$</w:t>
            </w:r>
            <w:r w:rsidR="00A7601C">
              <w:rPr>
                <w:rFonts w:ascii="Arial Narrow" w:hAnsi="Arial Narrow"/>
                <w:bCs/>
                <w:iCs/>
                <w:noProof/>
                <w:color w:val="000000"/>
                <w:sz w:val="20"/>
                <w:highlight w:val="black"/>
              </w:rPr>
              <w:t>'''''''''''''''</w:t>
            </w:r>
          </w:p>
        </w:tc>
        <w:tc>
          <w:tcPr>
            <w:tcW w:w="1124" w:type="dxa"/>
            <w:vAlign w:val="center"/>
          </w:tcPr>
          <w:p w:rsidR="00CC23AA" w:rsidRPr="002B4EE2" w:rsidRDefault="00CC23AA" w:rsidP="00453585">
            <w:pPr>
              <w:jc w:val="center"/>
              <w:rPr>
                <w:rFonts w:ascii="Arial Narrow" w:hAnsi="Arial Narrow"/>
                <w:bCs/>
                <w:iCs/>
                <w:sz w:val="20"/>
                <w:szCs w:val="20"/>
              </w:rPr>
            </w:pPr>
            <w:r w:rsidRPr="002B4EE2">
              <w:rPr>
                <w:rFonts w:ascii="Arial Narrow" w:hAnsi="Arial Narrow"/>
                <w:bCs/>
                <w:iCs/>
                <w:sz w:val="20"/>
              </w:rPr>
              <w:t>0.146</w:t>
            </w:r>
          </w:p>
        </w:tc>
        <w:tc>
          <w:tcPr>
            <w:tcW w:w="1397" w:type="dxa"/>
            <w:vAlign w:val="center"/>
          </w:tcPr>
          <w:p w:rsidR="00CC23AA" w:rsidRPr="002B4EE2" w:rsidRDefault="00CC23AA" w:rsidP="00453585">
            <w:pPr>
              <w:jc w:val="center"/>
              <w:rPr>
                <w:rFonts w:ascii="Arial Narrow" w:hAnsi="Arial Narrow"/>
                <w:bCs/>
                <w:iCs/>
                <w:sz w:val="20"/>
                <w:szCs w:val="20"/>
              </w:rPr>
            </w:pPr>
            <w:r w:rsidRPr="002B4EE2">
              <w:rPr>
                <w:rFonts w:ascii="Arial Narrow" w:hAnsi="Arial Narrow"/>
                <w:bCs/>
                <w:iCs/>
                <w:sz w:val="20"/>
              </w:rPr>
              <w:t>$</w:t>
            </w:r>
            <w:r w:rsidR="00A7601C">
              <w:rPr>
                <w:rFonts w:ascii="Arial Narrow" w:hAnsi="Arial Narrow"/>
                <w:bCs/>
                <w:iCs/>
                <w:noProof/>
                <w:color w:val="000000"/>
                <w:sz w:val="20"/>
                <w:highlight w:val="black"/>
              </w:rPr>
              <w:t>''''''''''''''''''</w:t>
            </w:r>
            <w:r w:rsidRPr="002B4EE2">
              <w:rPr>
                <w:rFonts w:ascii="Arial Narrow" w:hAnsi="Arial Narrow"/>
                <w:bCs/>
                <w:iCs/>
                <w:sz w:val="20"/>
              </w:rPr>
              <w:t>^</w:t>
            </w:r>
          </w:p>
        </w:tc>
      </w:tr>
      <w:tr w:rsidR="00CC23AA" w:rsidRPr="00367400" w:rsidTr="00033C81">
        <w:tc>
          <w:tcPr>
            <w:tcW w:w="5438" w:type="dxa"/>
          </w:tcPr>
          <w:p w:rsidR="00CC23AA" w:rsidRPr="00367400" w:rsidRDefault="00CC23AA" w:rsidP="00453585">
            <w:pPr>
              <w:rPr>
                <w:rFonts w:ascii="Arial Narrow" w:hAnsi="Arial Narrow"/>
                <w:bCs/>
                <w:iCs/>
                <w:sz w:val="20"/>
                <w:szCs w:val="20"/>
              </w:rPr>
            </w:pPr>
            <w:r w:rsidRPr="00367400">
              <w:rPr>
                <w:rFonts w:ascii="Arial Narrow" w:hAnsi="Arial Narrow"/>
                <w:bCs/>
                <w:iCs/>
                <w:sz w:val="20"/>
                <w:szCs w:val="20"/>
              </w:rPr>
              <w:t>Assume 1×500mg vial for subsequent cetuximab dosing, extrapolation with Weibull, cost accrued over time^, time horizon 3 years</w:t>
            </w:r>
          </w:p>
        </w:tc>
        <w:tc>
          <w:tcPr>
            <w:tcW w:w="1124" w:type="dxa"/>
            <w:vAlign w:val="center"/>
          </w:tcPr>
          <w:p w:rsidR="00CC23AA" w:rsidRPr="002B4EE2" w:rsidRDefault="00CC23AA" w:rsidP="00453585">
            <w:pPr>
              <w:jc w:val="center"/>
              <w:rPr>
                <w:rFonts w:ascii="Arial Narrow" w:hAnsi="Arial Narrow"/>
                <w:bCs/>
                <w:iCs/>
                <w:sz w:val="20"/>
                <w:szCs w:val="20"/>
              </w:rPr>
            </w:pPr>
            <w:r w:rsidRPr="002B4EE2">
              <w:rPr>
                <w:rFonts w:ascii="Arial Narrow" w:hAnsi="Arial Narrow"/>
                <w:bCs/>
                <w:iCs/>
                <w:sz w:val="20"/>
              </w:rPr>
              <w:t>$</w:t>
            </w:r>
            <w:r w:rsidR="00A7601C">
              <w:rPr>
                <w:rFonts w:ascii="Arial Narrow" w:hAnsi="Arial Narrow"/>
                <w:bCs/>
                <w:iCs/>
                <w:noProof/>
                <w:color w:val="000000"/>
                <w:sz w:val="20"/>
                <w:highlight w:val="black"/>
              </w:rPr>
              <w:t>'''''''''''''''''</w:t>
            </w:r>
          </w:p>
        </w:tc>
        <w:tc>
          <w:tcPr>
            <w:tcW w:w="1124" w:type="dxa"/>
            <w:vAlign w:val="center"/>
          </w:tcPr>
          <w:p w:rsidR="00CC23AA" w:rsidRPr="002B4EE2" w:rsidRDefault="00CC23AA" w:rsidP="00453585">
            <w:pPr>
              <w:jc w:val="center"/>
              <w:rPr>
                <w:rFonts w:ascii="Arial Narrow" w:hAnsi="Arial Narrow"/>
                <w:bCs/>
                <w:iCs/>
                <w:sz w:val="20"/>
                <w:szCs w:val="20"/>
              </w:rPr>
            </w:pPr>
            <w:r w:rsidRPr="002B4EE2">
              <w:rPr>
                <w:rFonts w:ascii="Arial Narrow" w:hAnsi="Arial Narrow"/>
                <w:bCs/>
                <w:iCs/>
                <w:sz w:val="20"/>
              </w:rPr>
              <w:t>0.138</w:t>
            </w:r>
          </w:p>
        </w:tc>
        <w:tc>
          <w:tcPr>
            <w:tcW w:w="1397" w:type="dxa"/>
            <w:vAlign w:val="center"/>
          </w:tcPr>
          <w:p w:rsidR="00CC23AA" w:rsidRPr="002B4EE2" w:rsidRDefault="00CC23AA" w:rsidP="00453585">
            <w:pPr>
              <w:jc w:val="center"/>
              <w:rPr>
                <w:rFonts w:ascii="Arial Narrow" w:hAnsi="Arial Narrow"/>
                <w:bCs/>
                <w:iCs/>
                <w:sz w:val="20"/>
                <w:szCs w:val="20"/>
              </w:rPr>
            </w:pPr>
            <w:r w:rsidRPr="002B4EE2">
              <w:rPr>
                <w:rFonts w:ascii="Arial Narrow" w:hAnsi="Arial Narrow"/>
                <w:bCs/>
                <w:iCs/>
                <w:sz w:val="20"/>
              </w:rPr>
              <w:t>$</w:t>
            </w:r>
            <w:r w:rsidR="00A7601C">
              <w:rPr>
                <w:rFonts w:ascii="Arial Narrow" w:hAnsi="Arial Narrow"/>
                <w:bCs/>
                <w:iCs/>
                <w:noProof/>
                <w:color w:val="000000"/>
                <w:sz w:val="20"/>
                <w:highlight w:val="black"/>
              </w:rPr>
              <w:t>'''''''''''''''''''''</w:t>
            </w:r>
            <w:r w:rsidRPr="002B4EE2">
              <w:rPr>
                <w:rFonts w:ascii="Arial Narrow" w:hAnsi="Arial Narrow"/>
                <w:bCs/>
                <w:iCs/>
                <w:sz w:val="20"/>
              </w:rPr>
              <w:t>^</w:t>
            </w:r>
          </w:p>
        </w:tc>
      </w:tr>
      <w:tr w:rsidR="00033C81" w:rsidRPr="004F3CBE" w:rsidTr="00033C81">
        <w:tc>
          <w:tcPr>
            <w:tcW w:w="5438" w:type="dxa"/>
          </w:tcPr>
          <w:p w:rsidR="00033C81" w:rsidRPr="004F3CBE" w:rsidRDefault="00033C81" w:rsidP="00F7300D">
            <w:pPr>
              <w:rPr>
                <w:rFonts w:ascii="Arial Narrow" w:hAnsi="Arial Narrow"/>
                <w:bCs/>
                <w:iCs/>
                <w:sz w:val="20"/>
                <w:szCs w:val="20"/>
              </w:rPr>
            </w:pPr>
            <w:r w:rsidRPr="004F3CBE">
              <w:rPr>
                <w:rFonts w:ascii="Arial Narrow" w:hAnsi="Arial Narrow"/>
                <w:bCs/>
                <w:iCs/>
                <w:sz w:val="20"/>
                <w:szCs w:val="20"/>
              </w:rPr>
              <w:t xml:space="preserve">Assume 1×500mg vial for subsequent cetuximab dosing, extrapolation with Weibull, cost accrued over time^, </w:t>
            </w:r>
            <w:r w:rsidRPr="004F3CBE">
              <w:rPr>
                <w:rFonts w:ascii="Arial Narrow" w:hAnsi="Arial Narrow"/>
                <w:bCs/>
                <w:iCs/>
                <w:sz w:val="20"/>
              </w:rPr>
              <w:t xml:space="preserve">overall utilities from </w:t>
            </w:r>
            <w:proofErr w:type="spellStart"/>
            <w:r w:rsidRPr="004F3CBE">
              <w:rPr>
                <w:rFonts w:ascii="Arial Narrow" w:hAnsi="Arial Narrow"/>
                <w:bCs/>
                <w:iCs/>
                <w:sz w:val="20"/>
              </w:rPr>
              <w:t>Greenhalgh</w:t>
            </w:r>
            <w:proofErr w:type="spellEnd"/>
            <w:r w:rsidRPr="004F3CBE">
              <w:rPr>
                <w:rFonts w:ascii="Arial Narrow" w:hAnsi="Arial Narrow"/>
                <w:bCs/>
                <w:iCs/>
                <w:sz w:val="20"/>
              </w:rPr>
              <w:t xml:space="preserve"> et al 2008</w:t>
            </w:r>
          </w:p>
        </w:tc>
        <w:tc>
          <w:tcPr>
            <w:tcW w:w="1124" w:type="dxa"/>
            <w:vAlign w:val="center"/>
          </w:tcPr>
          <w:p w:rsidR="00033C81" w:rsidRPr="004F3CBE" w:rsidRDefault="00033C81" w:rsidP="00453585">
            <w:pPr>
              <w:jc w:val="center"/>
              <w:rPr>
                <w:rFonts w:ascii="Arial Narrow" w:hAnsi="Arial Narrow"/>
                <w:bCs/>
                <w:iCs/>
                <w:sz w:val="20"/>
                <w:szCs w:val="20"/>
              </w:rPr>
            </w:pPr>
            <w:r w:rsidRPr="004F3CBE">
              <w:rPr>
                <w:rFonts w:ascii="Arial Narrow" w:hAnsi="Arial Narrow"/>
                <w:bCs/>
                <w:iCs/>
                <w:sz w:val="20"/>
              </w:rPr>
              <w:t>$</w:t>
            </w:r>
            <w:r w:rsidR="00A7601C">
              <w:rPr>
                <w:rFonts w:ascii="Arial Narrow" w:hAnsi="Arial Narrow"/>
                <w:bCs/>
                <w:iCs/>
                <w:noProof/>
                <w:color w:val="000000"/>
                <w:sz w:val="20"/>
                <w:highlight w:val="black"/>
              </w:rPr>
              <w:t>''''''''''''''''</w:t>
            </w:r>
          </w:p>
        </w:tc>
        <w:tc>
          <w:tcPr>
            <w:tcW w:w="1124" w:type="dxa"/>
            <w:vAlign w:val="center"/>
          </w:tcPr>
          <w:p w:rsidR="00033C81" w:rsidRPr="004F3CBE" w:rsidRDefault="00033C81" w:rsidP="00453585">
            <w:pPr>
              <w:jc w:val="center"/>
              <w:rPr>
                <w:rFonts w:ascii="Arial Narrow" w:hAnsi="Arial Narrow"/>
                <w:bCs/>
                <w:iCs/>
                <w:sz w:val="20"/>
                <w:szCs w:val="20"/>
              </w:rPr>
            </w:pPr>
            <w:r w:rsidRPr="004F3CBE">
              <w:rPr>
                <w:rFonts w:ascii="Arial Narrow" w:hAnsi="Arial Narrow"/>
                <w:bCs/>
                <w:iCs/>
                <w:sz w:val="20"/>
              </w:rPr>
              <w:t>0.129</w:t>
            </w:r>
          </w:p>
        </w:tc>
        <w:tc>
          <w:tcPr>
            <w:tcW w:w="1397" w:type="dxa"/>
            <w:vAlign w:val="center"/>
          </w:tcPr>
          <w:p w:rsidR="00033C81" w:rsidRPr="004F3CBE" w:rsidRDefault="00033C81" w:rsidP="002B4EE2">
            <w:pPr>
              <w:jc w:val="center"/>
              <w:rPr>
                <w:rFonts w:ascii="Arial Narrow" w:hAnsi="Arial Narrow"/>
                <w:bCs/>
                <w:iCs/>
                <w:sz w:val="20"/>
                <w:szCs w:val="20"/>
              </w:rPr>
            </w:pPr>
            <w:r w:rsidRPr="004F3CBE">
              <w:rPr>
                <w:rFonts w:ascii="Arial Narrow" w:hAnsi="Arial Narrow"/>
                <w:bCs/>
                <w:iCs/>
                <w:sz w:val="20"/>
              </w:rPr>
              <w:t>$</w:t>
            </w:r>
            <w:r w:rsidR="00A7601C">
              <w:rPr>
                <w:rFonts w:ascii="Arial Narrow" w:hAnsi="Arial Narrow"/>
                <w:bCs/>
                <w:iCs/>
                <w:noProof/>
                <w:color w:val="000000"/>
                <w:sz w:val="20"/>
                <w:highlight w:val="black"/>
              </w:rPr>
              <w:t>''''''''''''''''''''</w:t>
            </w:r>
          </w:p>
        </w:tc>
      </w:tr>
    </w:tbl>
    <w:p w:rsidR="00D31920" w:rsidRPr="0023232D" w:rsidRDefault="00D31920" w:rsidP="00D31920">
      <w:pPr>
        <w:rPr>
          <w:rFonts w:ascii="Arial Narrow" w:hAnsi="Arial Narrow"/>
          <w:bCs/>
          <w:sz w:val="18"/>
          <w:szCs w:val="18"/>
        </w:rPr>
      </w:pPr>
      <w:r w:rsidRPr="0023232D">
        <w:rPr>
          <w:rFonts w:ascii="Arial Narrow" w:hAnsi="Arial Narrow"/>
          <w:bCs/>
          <w:sz w:val="18"/>
          <w:szCs w:val="18"/>
        </w:rPr>
        <w:t xml:space="preserve">Abbreviations: ICER = Incremental Cost Effectiveness Ratio; </w:t>
      </w:r>
    </w:p>
    <w:p w:rsidR="00B73885" w:rsidRDefault="00B73885" w:rsidP="00B73885">
      <w:pPr>
        <w:rPr>
          <w:rFonts w:ascii="Arial Narrow" w:hAnsi="Arial Narrow"/>
          <w:bCs/>
          <w:sz w:val="18"/>
          <w:szCs w:val="18"/>
        </w:rPr>
      </w:pPr>
      <w:r w:rsidRPr="0023232D">
        <w:rPr>
          <w:rFonts w:ascii="Arial Narrow" w:hAnsi="Arial Narrow"/>
          <w:bCs/>
          <w:sz w:val="18"/>
          <w:szCs w:val="18"/>
        </w:rPr>
        <w:t>^</w:t>
      </w:r>
      <w:r w:rsidRPr="0023232D">
        <w:rPr>
          <w:sz w:val="18"/>
          <w:szCs w:val="18"/>
        </w:rPr>
        <w:t xml:space="preserve"> </w:t>
      </w:r>
      <w:proofErr w:type="gramStart"/>
      <w:r w:rsidRPr="0023232D">
        <w:rPr>
          <w:rFonts w:ascii="Arial Narrow" w:hAnsi="Arial Narrow"/>
          <w:bCs/>
          <w:sz w:val="18"/>
          <w:szCs w:val="18"/>
        </w:rPr>
        <w:t>also</w:t>
      </w:r>
      <w:proofErr w:type="gramEnd"/>
      <w:r w:rsidRPr="0023232D">
        <w:rPr>
          <w:rFonts w:ascii="Arial Narrow" w:hAnsi="Arial Narrow"/>
          <w:bCs/>
          <w:sz w:val="18"/>
          <w:szCs w:val="18"/>
        </w:rPr>
        <w:t xml:space="preserve"> assuming that all patients receive cetuximab as long as they remain in free from progression (PF) health state</w:t>
      </w:r>
    </w:p>
    <w:p w:rsidR="00D31920" w:rsidRDefault="00D31920" w:rsidP="008831C7">
      <w:pPr>
        <w:spacing w:after="120"/>
        <w:rPr>
          <w:rFonts w:ascii="Arial Narrow" w:hAnsi="Arial Narrow"/>
          <w:bCs/>
          <w:sz w:val="18"/>
          <w:szCs w:val="18"/>
        </w:rPr>
      </w:pPr>
      <w:r w:rsidRPr="0023232D">
        <w:rPr>
          <w:rFonts w:ascii="Arial Narrow" w:hAnsi="Arial Narrow"/>
          <w:bCs/>
          <w:sz w:val="18"/>
          <w:szCs w:val="18"/>
        </w:rPr>
        <w:t xml:space="preserve">Source: Constructed during evaluation </w:t>
      </w:r>
    </w:p>
    <w:p w:rsidR="00D32317" w:rsidRPr="00D32317" w:rsidRDefault="00D32317" w:rsidP="008831C7">
      <w:pPr>
        <w:spacing w:after="120"/>
        <w:rPr>
          <w:rFonts w:asciiTheme="minorHAnsi" w:hAnsiTheme="minorHAnsi"/>
          <w:bCs/>
          <w:szCs w:val="24"/>
        </w:rPr>
      </w:pPr>
      <w:r>
        <w:rPr>
          <w:rFonts w:asciiTheme="minorHAnsi" w:hAnsiTheme="minorHAnsi"/>
          <w:bCs/>
          <w:szCs w:val="24"/>
        </w:rPr>
        <w:t>The redacted table shows ICERs in the range of $45,000/QALY - $200,000/QALY.</w:t>
      </w:r>
    </w:p>
    <w:p w:rsidR="0023232D" w:rsidRPr="00613FE2" w:rsidRDefault="0023232D" w:rsidP="00846F9C">
      <w:pPr>
        <w:pStyle w:val="ListParagraph"/>
        <w:numPr>
          <w:ilvl w:val="1"/>
          <w:numId w:val="2"/>
        </w:numPr>
        <w:rPr>
          <w:bCs/>
        </w:rPr>
      </w:pPr>
      <w:r w:rsidRPr="00613FE2">
        <w:rPr>
          <w:bCs/>
        </w:rPr>
        <w:t>The ESC noted that a</w:t>
      </w:r>
      <w:r w:rsidR="001519A1" w:rsidRPr="00613FE2">
        <w:rPr>
          <w:bCs/>
        </w:rPr>
        <w:t xml:space="preserve">n additional multivariate sensitivity analysis </w:t>
      </w:r>
      <w:r w:rsidRPr="00613FE2">
        <w:rPr>
          <w:bCs/>
        </w:rPr>
        <w:t>assuming (</w:t>
      </w:r>
      <w:proofErr w:type="spellStart"/>
      <w:r w:rsidRPr="00613FE2">
        <w:rPr>
          <w:bCs/>
        </w:rPr>
        <w:t>i</w:t>
      </w:r>
      <w:proofErr w:type="spellEnd"/>
      <w:r w:rsidRPr="00613FE2">
        <w:rPr>
          <w:bCs/>
        </w:rPr>
        <w:t xml:space="preserve">) </w:t>
      </w:r>
      <w:r w:rsidRPr="00613FE2">
        <w:rPr>
          <w:bCs/>
        </w:rPr>
        <w:lastRenderedPageBreak/>
        <w:t>1×500</w:t>
      </w:r>
      <w:r w:rsidR="004F3CBE">
        <w:rPr>
          <w:bCs/>
        </w:rPr>
        <w:t> </w:t>
      </w:r>
      <w:r w:rsidRPr="00613FE2">
        <w:rPr>
          <w:bCs/>
        </w:rPr>
        <w:t xml:space="preserve">mg vial for subsequent cetuximab dosing; (ii) extrapolation using the Weibull function; (iii) using costs accrued over time; </w:t>
      </w:r>
      <w:r w:rsidR="00F7300D" w:rsidRPr="00613FE2">
        <w:rPr>
          <w:bCs/>
        </w:rPr>
        <w:t xml:space="preserve">and </w:t>
      </w:r>
      <w:r w:rsidRPr="00613FE2">
        <w:rPr>
          <w:bCs/>
        </w:rPr>
        <w:t>(iv) equal utility values in both arms for the progression-free state</w:t>
      </w:r>
      <w:r w:rsidR="00FB55F7" w:rsidRPr="00613FE2">
        <w:rPr>
          <w:bCs/>
        </w:rPr>
        <w:t>,</w:t>
      </w:r>
      <w:r w:rsidR="00F7300D" w:rsidRPr="00613FE2">
        <w:rPr>
          <w:bCs/>
        </w:rPr>
        <w:t xml:space="preserve"> </w:t>
      </w:r>
      <w:r w:rsidRPr="00613FE2">
        <w:rPr>
          <w:bCs/>
        </w:rPr>
        <w:t xml:space="preserve">resulted in an ICER of </w:t>
      </w:r>
      <w:r w:rsidR="008831C7">
        <w:rPr>
          <w:bCs/>
        </w:rPr>
        <w:t>$105,000 - $200,000</w:t>
      </w:r>
      <w:r w:rsidR="00CC23AA" w:rsidRPr="00613FE2">
        <w:rPr>
          <w:bCs/>
        </w:rPr>
        <w:t xml:space="preserve"> per QALY gained</w:t>
      </w:r>
      <w:r w:rsidRPr="00613FE2">
        <w:rPr>
          <w:bCs/>
        </w:rPr>
        <w:t>. The ESC advised that this was the most realistic ICER based on the evidence presented in the submission.</w:t>
      </w:r>
    </w:p>
    <w:p w:rsidR="00137FC5" w:rsidRDefault="00137FC5" w:rsidP="00846F9C">
      <w:pPr>
        <w:pStyle w:val="ListParagraph"/>
        <w:numPr>
          <w:ilvl w:val="1"/>
          <w:numId w:val="2"/>
        </w:numPr>
        <w:rPr>
          <w:bCs/>
        </w:rPr>
      </w:pPr>
      <w:r w:rsidRPr="00613FE2">
        <w:rPr>
          <w:bCs/>
        </w:rPr>
        <w:t xml:space="preserve">The ESC further noted that, keeping all other assumptions the same, using the Gompertz function instead of Weibull in the above multivariate analysis resulted in an ICER of </w:t>
      </w:r>
      <w:r w:rsidR="008831C7">
        <w:rPr>
          <w:bCs/>
        </w:rPr>
        <w:t>$105,000 - $200,000 per QALY gained</w:t>
      </w:r>
      <w:r w:rsidRPr="00613FE2">
        <w:rPr>
          <w:bCs/>
        </w:rPr>
        <w:t>.</w:t>
      </w:r>
    </w:p>
    <w:p w:rsidR="00D2741C" w:rsidRDefault="0008141B" w:rsidP="00D2741C">
      <w:pPr>
        <w:pStyle w:val="ListParagraph"/>
        <w:numPr>
          <w:ilvl w:val="1"/>
          <w:numId w:val="2"/>
        </w:numPr>
        <w:rPr>
          <w:rFonts w:asciiTheme="minorHAnsi" w:hAnsiTheme="minorHAnsi"/>
          <w:bCs/>
          <w:lang w:val="en-GB"/>
        </w:rPr>
      </w:pPr>
      <w:bookmarkStart w:id="12" w:name="_Toc500767933"/>
      <w:r w:rsidRPr="0008141B">
        <w:rPr>
          <w:bCs/>
        </w:rPr>
        <w:t>In the Pre-PBAC response the sponsor proposed a revised net effective price of $</w:t>
      </w:r>
      <w:r w:rsidR="00A7601C">
        <w:rPr>
          <w:bCs/>
          <w:noProof/>
          <w:color w:val="000000"/>
          <w:highlight w:val="black"/>
        </w:rPr>
        <w:t>'''''</w:t>
      </w:r>
      <w:r w:rsidRPr="0008141B">
        <w:rPr>
          <w:bCs/>
        </w:rPr>
        <w:t xml:space="preserve"> per 100 mg vial, which is a further </w:t>
      </w:r>
      <w:r w:rsidR="00A7601C">
        <w:rPr>
          <w:bCs/>
          <w:noProof/>
          <w:color w:val="000000"/>
          <w:highlight w:val="black"/>
        </w:rPr>
        <w:t>'''''</w:t>
      </w:r>
      <w:r w:rsidRPr="0008141B">
        <w:rPr>
          <w:bCs/>
        </w:rPr>
        <w:t xml:space="preserve">% reduction from the proposed price in the </w:t>
      </w:r>
      <w:r w:rsidR="005E5089">
        <w:rPr>
          <w:bCs/>
        </w:rPr>
        <w:t>March</w:t>
      </w:r>
      <w:r w:rsidR="005E5089" w:rsidRPr="0008141B">
        <w:rPr>
          <w:bCs/>
        </w:rPr>
        <w:t xml:space="preserve"> </w:t>
      </w:r>
      <w:r w:rsidRPr="0008141B">
        <w:rPr>
          <w:bCs/>
        </w:rPr>
        <w:t>2018 resubmission</w:t>
      </w:r>
      <w:r>
        <w:rPr>
          <w:bCs/>
        </w:rPr>
        <w:t>, recognising the remaining areas of economic uncertainty</w:t>
      </w:r>
      <w:r w:rsidRPr="0008141B">
        <w:rPr>
          <w:bCs/>
        </w:rPr>
        <w:t>.</w:t>
      </w:r>
      <w:r>
        <w:rPr>
          <w:bCs/>
        </w:rPr>
        <w:t xml:space="preserve"> </w:t>
      </w:r>
      <w:r w:rsidR="002C7647">
        <w:rPr>
          <w:bCs/>
        </w:rPr>
        <w:t>Table 15 presents the multivariate sensitivity analyses</w:t>
      </w:r>
      <w:r w:rsidRPr="0008141B">
        <w:rPr>
          <w:bCs/>
        </w:rPr>
        <w:t xml:space="preserve"> </w:t>
      </w:r>
      <w:r w:rsidR="002C7647">
        <w:rPr>
          <w:bCs/>
        </w:rPr>
        <w:t>as provided in the pre-PBAC re</w:t>
      </w:r>
      <w:r w:rsidR="0065718B">
        <w:rPr>
          <w:bCs/>
        </w:rPr>
        <w:t>sponse</w:t>
      </w:r>
      <w:r w:rsidR="00361E07">
        <w:rPr>
          <w:bCs/>
        </w:rPr>
        <w:t xml:space="preserve"> and with the proposed reduced effective price</w:t>
      </w:r>
      <w:r w:rsidR="002C7647">
        <w:rPr>
          <w:bCs/>
        </w:rPr>
        <w:t>.</w:t>
      </w:r>
      <w:r w:rsidR="00D2741C">
        <w:rPr>
          <w:rFonts w:asciiTheme="minorHAnsi" w:hAnsiTheme="minorHAnsi"/>
          <w:bCs/>
          <w:lang w:val="en-GB"/>
        </w:rPr>
        <w:t xml:space="preserve"> </w:t>
      </w:r>
    </w:p>
    <w:p w:rsidR="002C7647" w:rsidRPr="002C7647" w:rsidRDefault="002C7647" w:rsidP="00E66A38">
      <w:pPr>
        <w:keepNext/>
        <w:keepLines/>
        <w:rPr>
          <w:rFonts w:ascii="Arial Narrow" w:hAnsi="Arial Narrow"/>
          <w:b/>
          <w:iCs/>
          <w:sz w:val="20"/>
          <w:szCs w:val="20"/>
        </w:rPr>
      </w:pPr>
      <w:r w:rsidRPr="002C7647">
        <w:rPr>
          <w:rFonts w:ascii="Arial Narrow" w:hAnsi="Arial Narrow"/>
          <w:b/>
          <w:iCs/>
          <w:sz w:val="20"/>
          <w:szCs w:val="20"/>
        </w:rPr>
        <w:t>Table 1</w:t>
      </w:r>
      <w:r>
        <w:rPr>
          <w:rFonts w:ascii="Arial Narrow" w:hAnsi="Arial Narrow"/>
          <w:b/>
          <w:iCs/>
          <w:sz w:val="20"/>
          <w:szCs w:val="20"/>
        </w:rPr>
        <w:t>5</w:t>
      </w:r>
      <w:r w:rsidRPr="002C7647">
        <w:rPr>
          <w:rFonts w:ascii="Arial Narrow" w:hAnsi="Arial Narrow"/>
          <w:b/>
          <w:iCs/>
          <w:sz w:val="20"/>
          <w:szCs w:val="20"/>
        </w:rPr>
        <w:t xml:space="preserve">: Generation of the revised </w:t>
      </w:r>
      <w:proofErr w:type="spellStart"/>
      <w:r w:rsidRPr="002C7647">
        <w:rPr>
          <w:rFonts w:ascii="Arial Narrow" w:hAnsi="Arial Narrow"/>
          <w:b/>
          <w:iCs/>
          <w:sz w:val="20"/>
          <w:szCs w:val="20"/>
        </w:rPr>
        <w:t>basecase</w:t>
      </w:r>
      <w:proofErr w:type="spellEnd"/>
      <w:r w:rsidRPr="002C7647">
        <w:rPr>
          <w:rFonts w:ascii="Arial Narrow" w:hAnsi="Arial Narrow"/>
          <w:b/>
          <w:iCs/>
          <w:sz w:val="20"/>
          <w:szCs w:val="20"/>
        </w:rPr>
        <w:t xml:space="preserve"> ICER’s at net price of $</w:t>
      </w:r>
      <w:r w:rsidR="00A7601C">
        <w:rPr>
          <w:rFonts w:ascii="Arial Narrow" w:hAnsi="Arial Narrow"/>
          <w:b/>
          <w:iCs/>
          <w:noProof/>
          <w:color w:val="000000"/>
          <w:sz w:val="20"/>
          <w:szCs w:val="20"/>
          <w:highlight w:val="black"/>
        </w:rPr>
        <w:t>'''''''</w:t>
      </w:r>
      <w:r w:rsidRPr="002C7647">
        <w:rPr>
          <w:rFonts w:ascii="Arial Narrow" w:hAnsi="Arial Narrow"/>
          <w:b/>
          <w:iCs/>
          <w:sz w:val="20"/>
          <w:szCs w:val="20"/>
        </w:rPr>
        <w:t>/100mg vial and $</w:t>
      </w:r>
      <w:r w:rsidR="00A7601C">
        <w:rPr>
          <w:rFonts w:ascii="Arial Narrow" w:hAnsi="Arial Narrow"/>
          <w:b/>
          <w:iCs/>
          <w:noProof/>
          <w:color w:val="000000"/>
          <w:sz w:val="20"/>
          <w:szCs w:val="20"/>
          <w:highlight w:val="black"/>
        </w:rPr>
        <w:t>'''''</w:t>
      </w:r>
      <w:r w:rsidRPr="002C7647">
        <w:rPr>
          <w:rFonts w:ascii="Arial Narrow" w:hAnsi="Arial Narrow"/>
          <w:b/>
          <w:iCs/>
          <w:sz w:val="20"/>
          <w:szCs w:val="20"/>
        </w:rPr>
        <w:t>/100mg</w:t>
      </w:r>
    </w:p>
    <w:tbl>
      <w:tblPr>
        <w:tblW w:w="5000" w:type="pct"/>
        <w:tblLayout w:type="fixed"/>
        <w:tblCellMar>
          <w:left w:w="0" w:type="dxa"/>
          <w:right w:w="0" w:type="dxa"/>
        </w:tblCellMar>
        <w:tblLook w:val="04A0" w:firstRow="1" w:lastRow="0" w:firstColumn="1" w:lastColumn="0" w:noHBand="0" w:noVBand="1"/>
      </w:tblPr>
      <w:tblGrid>
        <w:gridCol w:w="2943"/>
        <w:gridCol w:w="1050"/>
        <w:gridCol w:w="1050"/>
        <w:gridCol w:w="1050"/>
        <w:gridCol w:w="1050"/>
        <w:gridCol w:w="1050"/>
        <w:gridCol w:w="1050"/>
      </w:tblGrid>
      <w:tr w:rsidR="002C7647" w:rsidRPr="00361E07" w:rsidTr="00AA07C9">
        <w:trPr>
          <w:trHeight w:val="390"/>
        </w:trPr>
        <w:tc>
          <w:tcPr>
            <w:tcW w:w="2943"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2C7647" w:rsidRPr="00361E07" w:rsidRDefault="002C7647" w:rsidP="00E66A38">
            <w:pPr>
              <w:keepNext/>
              <w:keepLines/>
              <w:jc w:val="center"/>
              <w:rPr>
                <w:rFonts w:ascii="Arial Narrow" w:eastAsiaTheme="minorHAnsi" w:hAnsi="Arial Narrow"/>
                <w:b/>
                <w:bCs/>
                <w:sz w:val="20"/>
                <w:szCs w:val="20"/>
                <w:lang w:eastAsia="en-AU"/>
              </w:rPr>
            </w:pPr>
          </w:p>
        </w:tc>
        <w:tc>
          <w:tcPr>
            <w:tcW w:w="315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647" w:rsidRPr="00361E07" w:rsidRDefault="002C7647" w:rsidP="00E66A38">
            <w:pPr>
              <w:keepNext/>
              <w:keepLines/>
              <w:jc w:val="center"/>
              <w:rPr>
                <w:rFonts w:ascii="Arial Narrow" w:eastAsiaTheme="minorHAnsi" w:hAnsi="Arial Narrow"/>
                <w:b/>
                <w:bCs/>
                <w:color w:val="000000"/>
                <w:sz w:val="20"/>
                <w:szCs w:val="20"/>
                <w:lang w:eastAsia="en-AU"/>
              </w:rPr>
            </w:pPr>
            <w:r w:rsidRPr="00361E07">
              <w:rPr>
                <w:rFonts w:ascii="Arial Narrow" w:hAnsi="Arial Narrow"/>
                <w:b/>
                <w:bCs/>
                <w:color w:val="000000"/>
                <w:sz w:val="20"/>
                <w:szCs w:val="20"/>
                <w:lang w:eastAsia="en-AU"/>
              </w:rPr>
              <w:t>Submission Price: $</w:t>
            </w:r>
            <w:r w:rsidR="00A7601C">
              <w:rPr>
                <w:rFonts w:ascii="Arial Narrow" w:hAnsi="Arial Narrow"/>
                <w:b/>
                <w:bCs/>
                <w:noProof/>
                <w:color w:val="000000"/>
                <w:sz w:val="20"/>
                <w:szCs w:val="20"/>
                <w:highlight w:val="black"/>
                <w:lang w:eastAsia="en-AU"/>
              </w:rPr>
              <w:t>'''''''''</w:t>
            </w:r>
            <w:r w:rsidRPr="00361E07">
              <w:rPr>
                <w:rFonts w:ascii="Arial Narrow" w:hAnsi="Arial Narrow"/>
                <w:b/>
                <w:bCs/>
                <w:color w:val="000000"/>
                <w:sz w:val="20"/>
                <w:szCs w:val="20"/>
                <w:lang w:eastAsia="en-AU"/>
              </w:rPr>
              <w:t>/100mg</w:t>
            </w:r>
          </w:p>
        </w:tc>
        <w:tc>
          <w:tcPr>
            <w:tcW w:w="315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647" w:rsidRPr="00361E07" w:rsidRDefault="002C7647" w:rsidP="007D1BE0">
            <w:pPr>
              <w:keepNext/>
              <w:keepLines/>
              <w:jc w:val="center"/>
              <w:rPr>
                <w:rFonts w:ascii="Arial Narrow" w:eastAsiaTheme="minorHAnsi" w:hAnsi="Arial Narrow"/>
                <w:b/>
                <w:bCs/>
                <w:iCs/>
                <w:color w:val="000000"/>
                <w:sz w:val="20"/>
                <w:szCs w:val="20"/>
                <w:lang w:eastAsia="en-AU"/>
              </w:rPr>
            </w:pPr>
            <w:r w:rsidRPr="00361E07">
              <w:rPr>
                <w:rFonts w:ascii="Arial Narrow" w:hAnsi="Arial Narrow"/>
                <w:b/>
                <w:bCs/>
                <w:iCs/>
                <w:color w:val="000000"/>
                <w:sz w:val="20"/>
                <w:szCs w:val="20"/>
                <w:lang w:eastAsia="en-AU"/>
              </w:rPr>
              <w:t>Pre-PBAC Price: $</w:t>
            </w:r>
            <w:r w:rsidR="00A7601C">
              <w:rPr>
                <w:rFonts w:ascii="Arial Narrow" w:hAnsi="Arial Narrow"/>
                <w:b/>
                <w:bCs/>
                <w:iCs/>
                <w:noProof/>
                <w:color w:val="000000"/>
                <w:sz w:val="20"/>
                <w:szCs w:val="20"/>
                <w:highlight w:val="black"/>
                <w:lang w:eastAsia="en-AU"/>
              </w:rPr>
              <w:t>''''</w:t>
            </w:r>
            <w:r w:rsidRPr="00361E07">
              <w:rPr>
                <w:rFonts w:ascii="Arial Narrow" w:hAnsi="Arial Narrow"/>
                <w:b/>
                <w:bCs/>
                <w:iCs/>
                <w:color w:val="000000"/>
                <w:sz w:val="20"/>
                <w:szCs w:val="20"/>
                <w:lang w:eastAsia="en-AU"/>
              </w:rPr>
              <w:t>/</w:t>
            </w:r>
            <w:r w:rsidR="007D1BE0" w:rsidRPr="00361E07">
              <w:rPr>
                <w:rFonts w:ascii="Arial Narrow" w:hAnsi="Arial Narrow"/>
                <w:b/>
                <w:bCs/>
                <w:iCs/>
                <w:color w:val="000000"/>
                <w:sz w:val="20"/>
                <w:szCs w:val="20"/>
                <w:lang w:eastAsia="en-AU"/>
              </w:rPr>
              <w:t>100mg</w:t>
            </w:r>
            <w:r w:rsidR="007D1BE0">
              <w:rPr>
                <w:rFonts w:ascii="Arial Narrow" w:hAnsi="Arial Narrow"/>
                <w:b/>
                <w:bCs/>
                <w:iCs/>
                <w:color w:val="000000"/>
                <w:sz w:val="20"/>
                <w:szCs w:val="20"/>
                <w:vertAlign w:val="superscript"/>
                <w:lang w:eastAsia="en-AU"/>
              </w:rPr>
              <w:t>c</w:t>
            </w:r>
          </w:p>
        </w:tc>
      </w:tr>
      <w:tr w:rsidR="002C7647" w:rsidRPr="00361E07" w:rsidTr="00AA07C9">
        <w:trPr>
          <w:trHeight w:val="267"/>
        </w:trPr>
        <w:tc>
          <w:tcPr>
            <w:tcW w:w="2943" w:type="dxa"/>
            <w:vMerge/>
            <w:tcBorders>
              <w:top w:val="single" w:sz="8" w:space="0" w:color="auto"/>
              <w:left w:val="single" w:sz="8" w:space="0" w:color="auto"/>
              <w:bottom w:val="single" w:sz="8" w:space="0" w:color="auto"/>
              <w:right w:val="single" w:sz="8" w:space="0" w:color="auto"/>
            </w:tcBorders>
            <w:vAlign w:val="center"/>
            <w:hideMark/>
          </w:tcPr>
          <w:p w:rsidR="002C7647" w:rsidRPr="00361E07" w:rsidRDefault="002C7647" w:rsidP="00E66A38">
            <w:pPr>
              <w:keepNext/>
              <w:keepLines/>
              <w:rPr>
                <w:rFonts w:ascii="Arial Narrow" w:eastAsiaTheme="minorHAnsi" w:hAnsi="Arial Narrow"/>
                <w:b/>
                <w:bCs/>
                <w:sz w:val="20"/>
                <w:szCs w:val="20"/>
                <w:lang w:eastAsia="en-AU"/>
              </w:rPr>
            </w:pP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7647" w:rsidRPr="00361E07" w:rsidRDefault="002C7647" w:rsidP="00E66A38">
            <w:pPr>
              <w:keepNext/>
              <w:keepLines/>
              <w:jc w:val="center"/>
              <w:rPr>
                <w:rFonts w:ascii="Arial Narrow" w:eastAsiaTheme="minorHAnsi" w:hAnsi="Arial Narrow"/>
                <w:b/>
                <w:bCs/>
                <w:color w:val="000000"/>
                <w:sz w:val="20"/>
                <w:szCs w:val="20"/>
                <w:lang w:eastAsia="en-AU"/>
              </w:rPr>
            </w:pPr>
            <w:r w:rsidRPr="00361E07">
              <w:rPr>
                <w:rFonts w:ascii="Arial Narrow" w:hAnsi="Arial Narrow"/>
                <w:b/>
                <w:bCs/>
                <w:color w:val="000000"/>
                <w:sz w:val="20"/>
                <w:szCs w:val="20"/>
                <w:lang w:eastAsia="en-AU"/>
              </w:rPr>
              <w:t>log logistic</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7647" w:rsidRPr="00361E07" w:rsidRDefault="002C7647" w:rsidP="00E66A38">
            <w:pPr>
              <w:keepNext/>
              <w:keepLines/>
              <w:jc w:val="center"/>
              <w:rPr>
                <w:rFonts w:ascii="Arial Narrow" w:eastAsiaTheme="minorHAnsi" w:hAnsi="Arial Narrow"/>
                <w:b/>
                <w:bCs/>
                <w:color w:val="000000"/>
                <w:sz w:val="20"/>
                <w:szCs w:val="20"/>
                <w:lang w:eastAsia="en-AU"/>
              </w:rPr>
            </w:pPr>
            <w:r w:rsidRPr="00361E07">
              <w:rPr>
                <w:rFonts w:ascii="Arial Narrow" w:hAnsi="Arial Narrow"/>
                <w:b/>
                <w:bCs/>
                <w:color w:val="000000"/>
                <w:sz w:val="20"/>
                <w:szCs w:val="20"/>
                <w:lang w:eastAsia="en-AU"/>
              </w:rPr>
              <w:t>Weibull</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7647" w:rsidRPr="00361E07" w:rsidRDefault="002C7647" w:rsidP="00E66A38">
            <w:pPr>
              <w:keepNext/>
              <w:keepLines/>
              <w:jc w:val="center"/>
              <w:rPr>
                <w:rFonts w:ascii="Arial Narrow" w:eastAsiaTheme="minorHAnsi" w:hAnsi="Arial Narrow"/>
                <w:b/>
                <w:bCs/>
                <w:iCs/>
                <w:color w:val="000000"/>
                <w:sz w:val="20"/>
                <w:szCs w:val="20"/>
                <w:lang w:eastAsia="en-AU"/>
              </w:rPr>
            </w:pPr>
            <w:r w:rsidRPr="00361E07">
              <w:rPr>
                <w:rFonts w:ascii="Arial Narrow" w:hAnsi="Arial Narrow"/>
                <w:b/>
                <w:bCs/>
                <w:iCs/>
                <w:color w:val="000000"/>
                <w:sz w:val="20"/>
                <w:szCs w:val="20"/>
                <w:lang w:eastAsia="en-AU"/>
              </w:rPr>
              <w:t>Gompertz</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7647" w:rsidRPr="00361E07" w:rsidRDefault="002C7647" w:rsidP="00E66A38">
            <w:pPr>
              <w:keepNext/>
              <w:keepLines/>
              <w:jc w:val="center"/>
              <w:rPr>
                <w:rFonts w:ascii="Arial Narrow" w:eastAsiaTheme="minorHAnsi" w:hAnsi="Arial Narrow"/>
                <w:b/>
                <w:bCs/>
                <w:iCs/>
                <w:color w:val="000000"/>
                <w:sz w:val="20"/>
                <w:szCs w:val="20"/>
                <w:lang w:eastAsia="en-AU"/>
              </w:rPr>
            </w:pPr>
            <w:r w:rsidRPr="00361E07">
              <w:rPr>
                <w:rFonts w:ascii="Arial Narrow" w:hAnsi="Arial Narrow"/>
                <w:b/>
                <w:bCs/>
                <w:iCs/>
                <w:color w:val="000000"/>
                <w:sz w:val="20"/>
                <w:szCs w:val="20"/>
                <w:lang w:eastAsia="en-AU"/>
              </w:rPr>
              <w:t>log logistic</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7647" w:rsidRPr="00361E07" w:rsidRDefault="002C7647" w:rsidP="00E66A38">
            <w:pPr>
              <w:keepNext/>
              <w:keepLines/>
              <w:jc w:val="center"/>
              <w:rPr>
                <w:rFonts w:ascii="Arial Narrow" w:eastAsiaTheme="minorHAnsi" w:hAnsi="Arial Narrow"/>
                <w:b/>
                <w:bCs/>
                <w:iCs/>
                <w:color w:val="000000"/>
                <w:sz w:val="20"/>
                <w:szCs w:val="20"/>
                <w:lang w:eastAsia="en-AU"/>
              </w:rPr>
            </w:pPr>
            <w:r w:rsidRPr="00361E07">
              <w:rPr>
                <w:rFonts w:ascii="Arial Narrow" w:hAnsi="Arial Narrow"/>
                <w:b/>
                <w:bCs/>
                <w:iCs/>
                <w:color w:val="000000"/>
                <w:sz w:val="20"/>
                <w:szCs w:val="20"/>
                <w:lang w:eastAsia="en-AU"/>
              </w:rPr>
              <w:t>Weibull</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7647" w:rsidRPr="00361E07" w:rsidRDefault="002C7647" w:rsidP="00E66A38">
            <w:pPr>
              <w:keepNext/>
              <w:keepLines/>
              <w:jc w:val="center"/>
              <w:rPr>
                <w:rFonts w:ascii="Arial Narrow" w:eastAsiaTheme="minorHAnsi" w:hAnsi="Arial Narrow"/>
                <w:b/>
                <w:bCs/>
                <w:iCs/>
                <w:color w:val="000000"/>
                <w:sz w:val="20"/>
                <w:szCs w:val="20"/>
                <w:lang w:eastAsia="en-AU"/>
              </w:rPr>
            </w:pPr>
            <w:r w:rsidRPr="00361E07">
              <w:rPr>
                <w:rFonts w:ascii="Arial Narrow" w:hAnsi="Arial Narrow"/>
                <w:b/>
                <w:bCs/>
                <w:iCs/>
                <w:color w:val="000000"/>
                <w:sz w:val="20"/>
                <w:szCs w:val="20"/>
                <w:lang w:eastAsia="en-AU"/>
              </w:rPr>
              <w:t>Gompertz</w:t>
            </w:r>
          </w:p>
        </w:tc>
      </w:tr>
      <w:tr w:rsidR="00AA07C9" w:rsidRPr="00361E07" w:rsidTr="00AA07C9">
        <w:trPr>
          <w:trHeight w:val="816"/>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C7647" w:rsidRPr="00361E07" w:rsidRDefault="002C7647" w:rsidP="007D1BE0">
            <w:pPr>
              <w:pStyle w:val="ListParagraph"/>
              <w:keepNext/>
              <w:keepLines/>
              <w:spacing w:after="0"/>
              <w:ind w:left="57"/>
              <w:contextualSpacing/>
              <w:rPr>
                <w:rFonts w:ascii="Arial Narrow" w:hAnsi="Arial Narrow"/>
                <w:sz w:val="20"/>
                <w:szCs w:val="20"/>
                <w:lang w:eastAsia="en-AU"/>
              </w:rPr>
            </w:pPr>
            <w:r w:rsidRPr="00361E07">
              <w:rPr>
                <w:rFonts w:ascii="Arial Narrow" w:hAnsi="Arial Narrow"/>
                <w:sz w:val="20"/>
                <w:szCs w:val="20"/>
                <w:lang w:eastAsia="en-AU"/>
              </w:rPr>
              <w:t>1</w:t>
            </w:r>
            <w:r w:rsidRPr="00361E07">
              <w:rPr>
                <w:rFonts w:ascii="Arial Narrow" w:hAnsi="Arial Narrow"/>
                <w:color w:val="1F497D"/>
                <w:sz w:val="20"/>
                <w:szCs w:val="20"/>
                <w:lang w:eastAsia="en-AU"/>
              </w:rPr>
              <w:t>. </w:t>
            </w:r>
            <w:r w:rsidRPr="00361E07">
              <w:rPr>
                <w:rFonts w:ascii="Arial Narrow" w:hAnsi="Arial Narrow"/>
                <w:sz w:val="20"/>
                <w:szCs w:val="20"/>
                <w:lang w:eastAsia="en-AU"/>
              </w:rPr>
              <w:t xml:space="preserve">ESC proposed multivariate base case (Assuming 1×500mg vial in 100% of subsequent cetuximab infusions, cost accrued over </w:t>
            </w:r>
            <w:proofErr w:type="spellStart"/>
            <w:r w:rsidRPr="00361E07">
              <w:rPr>
                <w:rFonts w:ascii="Arial Narrow" w:hAnsi="Arial Narrow"/>
                <w:sz w:val="20"/>
                <w:szCs w:val="20"/>
                <w:lang w:eastAsia="en-AU"/>
              </w:rPr>
              <w:t>time</w:t>
            </w:r>
            <w:r w:rsidR="007D1BE0" w:rsidRPr="007D1BE0">
              <w:rPr>
                <w:rFonts w:ascii="Arial Narrow" w:hAnsi="Arial Narrow"/>
                <w:sz w:val="20"/>
                <w:szCs w:val="20"/>
                <w:vertAlign w:val="superscript"/>
                <w:lang w:eastAsia="en-AU"/>
              </w:rPr>
              <w:t>a</w:t>
            </w:r>
            <w:proofErr w:type="spellEnd"/>
            <w:r w:rsidR="007D1BE0" w:rsidRPr="00361E07">
              <w:rPr>
                <w:rFonts w:ascii="Arial Narrow" w:hAnsi="Arial Narrow"/>
                <w:sz w:val="20"/>
                <w:szCs w:val="20"/>
                <w:lang w:eastAsia="en-AU"/>
              </w:rPr>
              <w:t xml:space="preserve">, </w:t>
            </w:r>
            <w:r w:rsidRPr="00361E07">
              <w:rPr>
                <w:rFonts w:ascii="Arial Narrow" w:hAnsi="Arial Narrow"/>
                <w:sz w:val="20"/>
                <w:szCs w:val="20"/>
                <w:lang w:eastAsia="en-AU"/>
              </w:rPr>
              <w:t xml:space="preserve">overall utilities from </w:t>
            </w:r>
            <w:proofErr w:type="spellStart"/>
            <w:r w:rsidRPr="00361E07">
              <w:rPr>
                <w:rFonts w:ascii="Arial Narrow" w:hAnsi="Arial Narrow"/>
                <w:sz w:val="20"/>
                <w:szCs w:val="20"/>
                <w:lang w:eastAsia="en-AU"/>
              </w:rPr>
              <w:t>Greenhalgh</w:t>
            </w:r>
            <w:proofErr w:type="spellEnd"/>
            <w:r w:rsidRPr="00361E07">
              <w:rPr>
                <w:rFonts w:ascii="Arial Narrow" w:hAnsi="Arial Narrow"/>
                <w:sz w:val="20"/>
                <w:szCs w:val="20"/>
                <w:lang w:eastAsia="en-AU"/>
              </w:rPr>
              <w:t xml:space="preserve"> et al 2008)</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C7647" w:rsidRPr="00361E07" w:rsidRDefault="002C7647" w:rsidP="007D1BE0">
            <w:pPr>
              <w:keepNext/>
              <w:keepLines/>
              <w:jc w:val="center"/>
              <w:rPr>
                <w:rFonts w:ascii="Arial Narrow" w:eastAsiaTheme="minorHAnsi" w:hAnsi="Arial Narrow"/>
                <w:iCs/>
                <w:color w:val="000000"/>
                <w:sz w:val="20"/>
                <w:szCs w:val="20"/>
                <w:vertAlign w:val="superscript"/>
                <w:lang w:eastAsia="en-AU"/>
              </w:rPr>
            </w:pPr>
            <w:r w:rsidRPr="00361E07">
              <w:rPr>
                <w:rFonts w:ascii="Arial Narrow" w:hAnsi="Arial Narrow"/>
                <w:iCs/>
                <w:color w:val="000000"/>
                <w:sz w:val="20"/>
                <w:szCs w:val="20"/>
                <w:lang w:eastAsia="en-AU"/>
              </w:rPr>
              <w:t>$</w:t>
            </w:r>
            <w:r w:rsidR="00A7601C">
              <w:rPr>
                <w:rFonts w:ascii="Arial Narrow" w:hAnsi="Arial Narrow"/>
                <w:iCs/>
                <w:noProof/>
                <w:color w:val="000000"/>
                <w:sz w:val="20"/>
                <w:szCs w:val="20"/>
                <w:highlight w:val="black"/>
                <w:lang w:eastAsia="en-AU"/>
              </w:rPr>
              <w:t>''''''''''''''''</w:t>
            </w:r>
            <w:r w:rsidR="007D1BE0">
              <w:rPr>
                <w:rFonts w:ascii="Arial Narrow" w:hAnsi="Arial Narrow"/>
                <w:iCs/>
                <w:color w:val="000000"/>
                <w:sz w:val="20"/>
                <w:szCs w:val="20"/>
                <w:vertAlign w:val="superscript"/>
                <w:lang w:eastAsia="en-AU"/>
              </w:rPr>
              <w:t>b</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C7647" w:rsidRPr="00361E07" w:rsidRDefault="002C7647" w:rsidP="007D1BE0">
            <w:pPr>
              <w:keepNext/>
              <w:keepLines/>
              <w:jc w:val="center"/>
              <w:rPr>
                <w:rFonts w:ascii="Arial Narrow" w:eastAsiaTheme="minorHAnsi" w:hAnsi="Arial Narrow"/>
                <w:iCs/>
                <w:color w:val="000000"/>
                <w:sz w:val="20"/>
                <w:szCs w:val="20"/>
                <w:lang w:eastAsia="en-AU"/>
              </w:rPr>
            </w:pPr>
            <w:r w:rsidRPr="00361E07">
              <w:rPr>
                <w:rFonts w:ascii="Arial Narrow" w:hAnsi="Arial Narrow"/>
                <w:iCs/>
                <w:color w:val="000000"/>
                <w:sz w:val="20"/>
                <w:szCs w:val="20"/>
                <w:lang w:eastAsia="en-AU"/>
              </w:rPr>
              <w:t>$</w:t>
            </w:r>
            <w:r w:rsidR="00A7601C">
              <w:rPr>
                <w:rFonts w:ascii="Arial Narrow" w:hAnsi="Arial Narrow"/>
                <w:iCs/>
                <w:noProof/>
                <w:color w:val="000000"/>
                <w:sz w:val="20"/>
                <w:szCs w:val="20"/>
                <w:highlight w:val="black"/>
                <w:lang w:eastAsia="en-AU"/>
              </w:rPr>
              <w:t>''''''''''''''''''''</w:t>
            </w:r>
            <w:r w:rsidR="007D1BE0">
              <w:rPr>
                <w:rFonts w:ascii="Arial Narrow" w:hAnsi="Arial Narrow"/>
                <w:iCs/>
                <w:color w:val="000000"/>
                <w:sz w:val="20"/>
                <w:szCs w:val="20"/>
                <w:vertAlign w:val="superscript"/>
                <w:lang w:eastAsia="en-AU"/>
              </w:rPr>
              <w:t>b</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7647" w:rsidRPr="00361E07" w:rsidRDefault="002C7647" w:rsidP="007D1BE0">
            <w:pPr>
              <w:keepNext/>
              <w:keepLines/>
              <w:jc w:val="center"/>
              <w:rPr>
                <w:rFonts w:ascii="Arial Narrow" w:eastAsiaTheme="minorHAnsi" w:hAnsi="Arial Narrow"/>
                <w:iCs/>
                <w:color w:val="000000"/>
                <w:sz w:val="20"/>
                <w:szCs w:val="20"/>
                <w:vertAlign w:val="superscript"/>
                <w:lang w:eastAsia="en-AU"/>
              </w:rPr>
            </w:pPr>
            <w:r w:rsidRPr="00361E07">
              <w:rPr>
                <w:rFonts w:ascii="Arial Narrow" w:hAnsi="Arial Narrow"/>
                <w:iCs/>
                <w:color w:val="000000"/>
                <w:sz w:val="20"/>
                <w:szCs w:val="20"/>
                <w:lang w:eastAsia="en-AU"/>
              </w:rPr>
              <w:t>$</w:t>
            </w:r>
            <w:r w:rsidR="00A7601C">
              <w:rPr>
                <w:rFonts w:ascii="Arial Narrow" w:hAnsi="Arial Narrow"/>
                <w:iCs/>
                <w:noProof/>
                <w:color w:val="000000"/>
                <w:sz w:val="20"/>
                <w:szCs w:val="20"/>
                <w:highlight w:val="black"/>
                <w:lang w:eastAsia="en-AU"/>
              </w:rPr>
              <w:t>''''''''''''''''''''</w:t>
            </w:r>
            <w:r w:rsidR="007D1BE0">
              <w:rPr>
                <w:rFonts w:ascii="Arial Narrow" w:hAnsi="Arial Narrow"/>
                <w:iCs/>
                <w:color w:val="000000"/>
                <w:sz w:val="20"/>
                <w:szCs w:val="20"/>
                <w:vertAlign w:val="superscript"/>
                <w:lang w:eastAsia="en-AU"/>
              </w:rPr>
              <w:t>b</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7647" w:rsidRPr="00361E07" w:rsidRDefault="002C7647" w:rsidP="00E66A38">
            <w:pPr>
              <w:keepNext/>
              <w:keepLines/>
              <w:jc w:val="center"/>
              <w:rPr>
                <w:rFonts w:ascii="Arial Narrow" w:eastAsiaTheme="minorHAnsi" w:hAnsi="Arial Narrow"/>
                <w:iCs/>
                <w:color w:val="000000"/>
                <w:sz w:val="20"/>
                <w:szCs w:val="20"/>
                <w:lang w:eastAsia="en-AU"/>
              </w:rPr>
            </w:pPr>
            <w:r w:rsidRPr="00361E07">
              <w:rPr>
                <w:rFonts w:ascii="Arial Narrow" w:hAnsi="Arial Narrow"/>
                <w:iCs/>
                <w:color w:val="000000"/>
                <w:sz w:val="20"/>
                <w:szCs w:val="20"/>
                <w:lang w:eastAsia="en-AU"/>
              </w:rPr>
              <w:t>$</w:t>
            </w:r>
            <w:r w:rsidR="00A7601C">
              <w:rPr>
                <w:rFonts w:ascii="Arial Narrow" w:hAnsi="Arial Narrow"/>
                <w:iCs/>
                <w:noProof/>
                <w:color w:val="000000"/>
                <w:sz w:val="20"/>
                <w:szCs w:val="20"/>
                <w:highlight w:val="black"/>
                <w:lang w:eastAsia="en-AU"/>
              </w:rPr>
              <w:t>'''''''''''''''</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7647" w:rsidRPr="00361E07" w:rsidRDefault="002C7647" w:rsidP="00E66A38">
            <w:pPr>
              <w:keepNext/>
              <w:keepLines/>
              <w:jc w:val="center"/>
              <w:rPr>
                <w:rFonts w:ascii="Arial Narrow" w:eastAsiaTheme="minorHAnsi" w:hAnsi="Arial Narrow"/>
                <w:iCs/>
                <w:color w:val="000000"/>
                <w:sz w:val="20"/>
                <w:szCs w:val="20"/>
                <w:lang w:eastAsia="en-AU"/>
              </w:rPr>
            </w:pPr>
            <w:r w:rsidRPr="00361E07">
              <w:rPr>
                <w:rFonts w:ascii="Arial Narrow" w:hAnsi="Arial Narrow"/>
                <w:iCs/>
                <w:color w:val="000000"/>
                <w:sz w:val="20"/>
                <w:szCs w:val="20"/>
                <w:lang w:eastAsia="en-AU"/>
              </w:rPr>
              <w:t>$</w:t>
            </w:r>
            <w:r w:rsidR="00A7601C">
              <w:rPr>
                <w:rFonts w:ascii="Arial Narrow" w:hAnsi="Arial Narrow"/>
                <w:iCs/>
                <w:noProof/>
                <w:color w:val="000000"/>
                <w:sz w:val="20"/>
                <w:szCs w:val="20"/>
                <w:highlight w:val="black"/>
                <w:lang w:eastAsia="en-AU"/>
              </w:rPr>
              <w:t>''''''''''''''''''</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7647" w:rsidRPr="00361E07" w:rsidRDefault="002C7647" w:rsidP="00E66A38">
            <w:pPr>
              <w:keepNext/>
              <w:keepLines/>
              <w:jc w:val="center"/>
              <w:rPr>
                <w:rFonts w:ascii="Arial Narrow" w:eastAsiaTheme="minorHAnsi" w:hAnsi="Arial Narrow"/>
                <w:iCs/>
                <w:color w:val="000000"/>
                <w:sz w:val="20"/>
                <w:szCs w:val="20"/>
                <w:lang w:eastAsia="en-AU"/>
              </w:rPr>
            </w:pPr>
            <w:r w:rsidRPr="00361E07">
              <w:rPr>
                <w:rFonts w:ascii="Arial Narrow" w:hAnsi="Arial Narrow"/>
                <w:iCs/>
                <w:color w:val="000000"/>
                <w:sz w:val="20"/>
                <w:szCs w:val="20"/>
                <w:lang w:eastAsia="en-AU"/>
              </w:rPr>
              <w:t>$</w:t>
            </w:r>
            <w:r w:rsidR="00A7601C">
              <w:rPr>
                <w:rFonts w:ascii="Arial Narrow" w:hAnsi="Arial Narrow"/>
                <w:iCs/>
                <w:noProof/>
                <w:color w:val="000000"/>
                <w:sz w:val="20"/>
                <w:szCs w:val="20"/>
                <w:highlight w:val="black"/>
                <w:lang w:eastAsia="en-AU"/>
              </w:rPr>
              <w:t>''''''''''''''''''''</w:t>
            </w:r>
          </w:p>
        </w:tc>
      </w:tr>
      <w:tr w:rsidR="00AA07C9" w:rsidRPr="00361E07" w:rsidTr="00AA07C9">
        <w:trPr>
          <w:trHeight w:val="474"/>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C7647" w:rsidRPr="00361E07" w:rsidRDefault="002C7647" w:rsidP="00BF58F1">
            <w:pPr>
              <w:pStyle w:val="ListParagraph"/>
              <w:keepNext/>
              <w:keepLines/>
              <w:spacing w:after="0"/>
              <w:ind w:left="57"/>
              <w:contextualSpacing/>
              <w:rPr>
                <w:rFonts w:ascii="Arial Narrow" w:hAnsi="Arial Narrow"/>
                <w:sz w:val="20"/>
                <w:szCs w:val="20"/>
                <w:lang w:eastAsia="en-AU"/>
              </w:rPr>
            </w:pPr>
            <w:r w:rsidRPr="00361E07">
              <w:rPr>
                <w:rFonts w:ascii="Arial Narrow" w:hAnsi="Arial Narrow"/>
                <w:sz w:val="20"/>
                <w:szCs w:val="20"/>
                <w:lang w:eastAsia="en-AU"/>
              </w:rPr>
              <w:t>2.</w:t>
            </w:r>
            <w:r w:rsidR="0065718B" w:rsidRPr="00361E07">
              <w:rPr>
                <w:rFonts w:ascii="Arial Narrow" w:hAnsi="Arial Narrow"/>
                <w:sz w:val="20"/>
                <w:szCs w:val="20"/>
                <w:lang w:eastAsia="en-AU"/>
              </w:rPr>
              <w:t xml:space="preserve"> </w:t>
            </w:r>
            <w:r w:rsidRPr="00361E07">
              <w:rPr>
                <w:rFonts w:ascii="Arial Narrow" w:hAnsi="Arial Narrow"/>
                <w:sz w:val="20"/>
                <w:szCs w:val="20"/>
                <w:lang w:eastAsia="en-AU"/>
              </w:rPr>
              <w:t xml:space="preserve">As for 1 but trial based utility values used </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C7647" w:rsidRPr="00361E07" w:rsidRDefault="002C7647" w:rsidP="00E66A38">
            <w:pPr>
              <w:keepNext/>
              <w:keepLines/>
              <w:jc w:val="center"/>
              <w:rPr>
                <w:rFonts w:ascii="Arial Narrow" w:eastAsiaTheme="minorHAnsi" w:hAnsi="Arial Narrow"/>
                <w:color w:val="000000"/>
                <w:sz w:val="20"/>
                <w:szCs w:val="20"/>
                <w:lang w:eastAsia="en-AU"/>
              </w:rPr>
            </w:pPr>
            <w:r w:rsidRPr="00361E07">
              <w:rPr>
                <w:rFonts w:ascii="Arial Narrow" w:hAnsi="Arial Narrow"/>
                <w:color w:val="000000"/>
                <w:sz w:val="20"/>
                <w:szCs w:val="20"/>
                <w:lang w:eastAsia="en-AU"/>
              </w:rPr>
              <w:t>$</w:t>
            </w:r>
            <w:r w:rsidR="00A7601C">
              <w:rPr>
                <w:rFonts w:ascii="Arial Narrow" w:hAnsi="Arial Narrow"/>
                <w:noProof/>
                <w:color w:val="000000"/>
                <w:sz w:val="20"/>
                <w:szCs w:val="20"/>
                <w:highlight w:val="black"/>
                <w:lang w:eastAsia="en-AU"/>
              </w:rPr>
              <w:t>''''''''''''''''''</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C7647" w:rsidRPr="00361E07" w:rsidRDefault="002C7647" w:rsidP="00361E07">
            <w:pPr>
              <w:keepNext/>
              <w:keepLines/>
              <w:jc w:val="center"/>
              <w:rPr>
                <w:rFonts w:ascii="Arial Narrow" w:eastAsiaTheme="minorHAnsi" w:hAnsi="Arial Narrow"/>
                <w:iCs/>
                <w:color w:val="000000"/>
                <w:sz w:val="20"/>
                <w:szCs w:val="20"/>
                <w:lang w:eastAsia="en-AU"/>
              </w:rPr>
            </w:pPr>
            <w:r w:rsidRPr="00361E07">
              <w:rPr>
                <w:rFonts w:ascii="Arial Narrow" w:hAnsi="Arial Narrow"/>
                <w:iCs/>
                <w:color w:val="000000"/>
                <w:sz w:val="20"/>
                <w:szCs w:val="20"/>
                <w:lang w:eastAsia="en-AU"/>
              </w:rPr>
              <w:t>$</w:t>
            </w:r>
            <w:r w:rsidR="00A7601C">
              <w:rPr>
                <w:rFonts w:ascii="Arial Narrow" w:hAnsi="Arial Narrow"/>
                <w:iCs/>
                <w:noProof/>
                <w:color w:val="000000"/>
                <w:sz w:val="20"/>
                <w:szCs w:val="20"/>
                <w:highlight w:val="black"/>
                <w:lang w:eastAsia="en-AU"/>
              </w:rPr>
              <w:t>''''''''''''''''''''</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7647" w:rsidRPr="00361E07" w:rsidRDefault="002C7647" w:rsidP="00E66A38">
            <w:pPr>
              <w:keepNext/>
              <w:keepLines/>
              <w:jc w:val="center"/>
              <w:rPr>
                <w:rFonts w:ascii="Arial Narrow" w:eastAsiaTheme="minorHAnsi" w:hAnsi="Arial Narrow"/>
                <w:iCs/>
                <w:color w:val="000000"/>
                <w:sz w:val="20"/>
                <w:szCs w:val="20"/>
                <w:lang w:eastAsia="en-AU"/>
              </w:rPr>
            </w:pPr>
            <w:r w:rsidRPr="00361E07">
              <w:rPr>
                <w:rFonts w:ascii="Arial Narrow" w:hAnsi="Arial Narrow"/>
                <w:iCs/>
                <w:color w:val="000000"/>
                <w:sz w:val="20"/>
                <w:szCs w:val="20"/>
                <w:lang w:eastAsia="en-AU"/>
              </w:rPr>
              <w:t>$</w:t>
            </w:r>
            <w:r w:rsidR="00A7601C">
              <w:rPr>
                <w:rFonts w:ascii="Arial Narrow" w:hAnsi="Arial Narrow"/>
                <w:iCs/>
                <w:noProof/>
                <w:color w:val="000000"/>
                <w:sz w:val="20"/>
                <w:szCs w:val="20"/>
                <w:highlight w:val="black"/>
                <w:lang w:eastAsia="en-AU"/>
              </w:rPr>
              <w:t>''''''''''''''''''''</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7647" w:rsidRPr="00361E07" w:rsidRDefault="002C7647" w:rsidP="00E66A38">
            <w:pPr>
              <w:keepNext/>
              <w:keepLines/>
              <w:jc w:val="center"/>
              <w:rPr>
                <w:rFonts w:ascii="Arial Narrow" w:eastAsiaTheme="minorHAnsi" w:hAnsi="Arial Narrow"/>
                <w:iCs/>
                <w:color w:val="000000"/>
                <w:sz w:val="20"/>
                <w:szCs w:val="20"/>
                <w:lang w:eastAsia="en-AU"/>
              </w:rPr>
            </w:pPr>
            <w:r w:rsidRPr="00361E07">
              <w:rPr>
                <w:rFonts w:ascii="Arial Narrow" w:hAnsi="Arial Narrow"/>
                <w:iCs/>
                <w:color w:val="000000"/>
                <w:sz w:val="20"/>
                <w:szCs w:val="20"/>
                <w:lang w:eastAsia="en-AU"/>
              </w:rPr>
              <w:t>$</w:t>
            </w:r>
            <w:r w:rsidR="00A7601C">
              <w:rPr>
                <w:rFonts w:ascii="Arial Narrow" w:hAnsi="Arial Narrow"/>
                <w:iCs/>
                <w:noProof/>
                <w:color w:val="000000"/>
                <w:sz w:val="20"/>
                <w:szCs w:val="20"/>
                <w:highlight w:val="black"/>
                <w:lang w:eastAsia="en-AU"/>
              </w:rPr>
              <w:t>''''''''''''''''</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7647" w:rsidRPr="00361E07" w:rsidRDefault="002C7647" w:rsidP="00E66A38">
            <w:pPr>
              <w:keepNext/>
              <w:keepLines/>
              <w:jc w:val="center"/>
              <w:rPr>
                <w:rFonts w:ascii="Arial Narrow" w:eastAsiaTheme="minorHAnsi" w:hAnsi="Arial Narrow"/>
                <w:iCs/>
                <w:color w:val="000000"/>
                <w:sz w:val="20"/>
                <w:szCs w:val="20"/>
                <w:lang w:eastAsia="en-AU"/>
              </w:rPr>
            </w:pPr>
            <w:r w:rsidRPr="00361E07">
              <w:rPr>
                <w:rFonts w:ascii="Arial Narrow" w:hAnsi="Arial Narrow"/>
                <w:iCs/>
                <w:color w:val="000000"/>
                <w:sz w:val="20"/>
                <w:szCs w:val="20"/>
                <w:lang w:eastAsia="en-AU"/>
              </w:rPr>
              <w:t>$</w:t>
            </w:r>
            <w:r w:rsidR="00A7601C">
              <w:rPr>
                <w:rFonts w:ascii="Arial Narrow" w:hAnsi="Arial Narrow"/>
                <w:iCs/>
                <w:noProof/>
                <w:color w:val="000000"/>
                <w:sz w:val="20"/>
                <w:szCs w:val="20"/>
                <w:highlight w:val="black"/>
                <w:lang w:eastAsia="en-AU"/>
              </w:rPr>
              <w:t>''''''''''''''''</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7647" w:rsidRPr="00361E07" w:rsidRDefault="002C7647" w:rsidP="00E66A38">
            <w:pPr>
              <w:keepNext/>
              <w:keepLines/>
              <w:jc w:val="center"/>
              <w:rPr>
                <w:rFonts w:ascii="Arial Narrow" w:eastAsiaTheme="minorHAnsi" w:hAnsi="Arial Narrow"/>
                <w:iCs/>
                <w:color w:val="000000"/>
                <w:sz w:val="20"/>
                <w:szCs w:val="20"/>
                <w:lang w:eastAsia="en-AU"/>
              </w:rPr>
            </w:pPr>
            <w:r w:rsidRPr="00361E07">
              <w:rPr>
                <w:rFonts w:ascii="Arial Narrow" w:hAnsi="Arial Narrow"/>
                <w:iCs/>
                <w:color w:val="000000"/>
                <w:sz w:val="20"/>
                <w:szCs w:val="20"/>
                <w:lang w:eastAsia="en-AU"/>
              </w:rPr>
              <w:t>$</w:t>
            </w:r>
            <w:r w:rsidR="00A7601C">
              <w:rPr>
                <w:rFonts w:ascii="Arial Narrow" w:hAnsi="Arial Narrow"/>
                <w:iCs/>
                <w:noProof/>
                <w:color w:val="000000"/>
                <w:sz w:val="20"/>
                <w:szCs w:val="20"/>
                <w:highlight w:val="black"/>
                <w:lang w:eastAsia="en-AU"/>
              </w:rPr>
              <w:t>'''''''''''''''''''''</w:t>
            </w:r>
          </w:p>
        </w:tc>
      </w:tr>
      <w:tr w:rsidR="00AA07C9" w:rsidRPr="00361E07" w:rsidTr="00AA07C9">
        <w:trPr>
          <w:trHeight w:val="536"/>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C7647" w:rsidRPr="00361E07" w:rsidRDefault="002C7647" w:rsidP="00E66A38">
            <w:pPr>
              <w:pStyle w:val="ListParagraph"/>
              <w:keepNext/>
              <w:keepLines/>
              <w:spacing w:after="0"/>
              <w:ind w:left="57"/>
              <w:contextualSpacing/>
              <w:rPr>
                <w:rFonts w:ascii="Arial Narrow" w:hAnsi="Arial Narrow"/>
                <w:sz w:val="20"/>
                <w:szCs w:val="20"/>
                <w:lang w:eastAsia="en-AU"/>
              </w:rPr>
            </w:pPr>
            <w:r w:rsidRPr="00361E07">
              <w:rPr>
                <w:rFonts w:ascii="Arial Narrow" w:hAnsi="Arial Narrow"/>
                <w:sz w:val="20"/>
                <w:szCs w:val="20"/>
                <w:lang w:eastAsia="en-AU"/>
              </w:rPr>
              <w:t xml:space="preserve">3. As for 2 but only </w:t>
            </w:r>
            <w:r w:rsidR="00A7601C">
              <w:rPr>
                <w:rFonts w:ascii="Arial Narrow" w:hAnsi="Arial Narrow"/>
                <w:noProof/>
                <w:color w:val="000000"/>
                <w:sz w:val="20"/>
                <w:szCs w:val="20"/>
                <w:highlight w:val="black"/>
                <w:lang w:eastAsia="en-AU"/>
              </w:rPr>
              <w:t>''''''</w:t>
            </w:r>
            <w:r w:rsidRPr="00361E07">
              <w:rPr>
                <w:rFonts w:ascii="Arial Narrow" w:hAnsi="Arial Narrow"/>
                <w:sz w:val="20"/>
                <w:szCs w:val="20"/>
                <w:lang w:eastAsia="en-AU"/>
              </w:rPr>
              <w:t>% of patients receive 1×500mg vial for subsequent cetuximab dosing (based on IPD analysis)</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C7647" w:rsidRPr="00361E07" w:rsidRDefault="002C7647" w:rsidP="00E66A38">
            <w:pPr>
              <w:keepNext/>
              <w:keepLines/>
              <w:jc w:val="center"/>
              <w:rPr>
                <w:rFonts w:ascii="Arial Narrow" w:eastAsiaTheme="minorHAnsi" w:hAnsi="Arial Narrow"/>
                <w:color w:val="000000"/>
                <w:sz w:val="20"/>
                <w:szCs w:val="20"/>
                <w:lang w:eastAsia="en-AU"/>
              </w:rPr>
            </w:pPr>
            <w:r w:rsidRPr="00361E07">
              <w:rPr>
                <w:rFonts w:ascii="Arial Narrow" w:hAnsi="Arial Narrow"/>
                <w:color w:val="000000"/>
                <w:sz w:val="20"/>
                <w:szCs w:val="20"/>
                <w:lang w:eastAsia="en-AU"/>
              </w:rPr>
              <w:t>$</w:t>
            </w:r>
            <w:r w:rsidR="00A7601C">
              <w:rPr>
                <w:rFonts w:ascii="Arial Narrow" w:hAnsi="Arial Narrow"/>
                <w:noProof/>
                <w:color w:val="000000"/>
                <w:sz w:val="20"/>
                <w:szCs w:val="20"/>
                <w:highlight w:val="black"/>
                <w:lang w:eastAsia="en-AU"/>
              </w:rPr>
              <w:t>''''''''''''''''</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C7647" w:rsidRPr="00361E07" w:rsidRDefault="002C7647" w:rsidP="00E66A38">
            <w:pPr>
              <w:keepNext/>
              <w:keepLines/>
              <w:jc w:val="center"/>
              <w:rPr>
                <w:rFonts w:ascii="Arial Narrow" w:eastAsiaTheme="minorHAnsi" w:hAnsi="Arial Narrow"/>
                <w:iCs/>
                <w:color w:val="000000"/>
                <w:sz w:val="20"/>
                <w:szCs w:val="20"/>
                <w:lang w:eastAsia="en-AU"/>
              </w:rPr>
            </w:pPr>
            <w:r w:rsidRPr="00361E07">
              <w:rPr>
                <w:rFonts w:ascii="Arial Narrow" w:hAnsi="Arial Narrow"/>
                <w:iCs/>
                <w:color w:val="000000"/>
                <w:sz w:val="20"/>
                <w:szCs w:val="20"/>
                <w:lang w:eastAsia="en-AU"/>
              </w:rPr>
              <w:t>$</w:t>
            </w:r>
            <w:r w:rsidR="00A7601C">
              <w:rPr>
                <w:rFonts w:ascii="Arial Narrow" w:hAnsi="Arial Narrow"/>
                <w:iCs/>
                <w:noProof/>
                <w:color w:val="000000"/>
                <w:sz w:val="20"/>
                <w:szCs w:val="20"/>
                <w:highlight w:val="black"/>
                <w:lang w:eastAsia="en-AU"/>
              </w:rPr>
              <w:t>''''''''''''''''''''''</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7647" w:rsidRPr="00361E07" w:rsidRDefault="002C7647" w:rsidP="00E66A38">
            <w:pPr>
              <w:keepNext/>
              <w:keepLines/>
              <w:jc w:val="center"/>
              <w:rPr>
                <w:rFonts w:ascii="Arial Narrow" w:eastAsiaTheme="minorHAnsi" w:hAnsi="Arial Narrow"/>
                <w:iCs/>
                <w:color w:val="000000"/>
                <w:sz w:val="20"/>
                <w:szCs w:val="20"/>
                <w:lang w:eastAsia="en-AU"/>
              </w:rPr>
            </w:pPr>
            <w:r w:rsidRPr="00361E07">
              <w:rPr>
                <w:rFonts w:ascii="Arial Narrow" w:hAnsi="Arial Narrow"/>
                <w:iCs/>
                <w:color w:val="000000"/>
                <w:sz w:val="20"/>
                <w:szCs w:val="20"/>
                <w:lang w:eastAsia="en-AU"/>
              </w:rPr>
              <w:t>$</w:t>
            </w:r>
            <w:r w:rsidR="00A7601C">
              <w:rPr>
                <w:rFonts w:ascii="Arial Narrow" w:hAnsi="Arial Narrow"/>
                <w:iCs/>
                <w:noProof/>
                <w:color w:val="000000"/>
                <w:sz w:val="20"/>
                <w:szCs w:val="20"/>
                <w:highlight w:val="black"/>
                <w:lang w:eastAsia="en-AU"/>
              </w:rPr>
              <w:t>'''''''''''''''''''''</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7647" w:rsidRPr="00361E07" w:rsidRDefault="002C7647" w:rsidP="00E66A38">
            <w:pPr>
              <w:keepNext/>
              <w:keepLines/>
              <w:jc w:val="center"/>
              <w:rPr>
                <w:rFonts w:ascii="Arial Narrow" w:eastAsiaTheme="minorHAnsi" w:hAnsi="Arial Narrow"/>
                <w:iCs/>
                <w:color w:val="000000"/>
                <w:sz w:val="20"/>
                <w:szCs w:val="20"/>
                <w:lang w:eastAsia="en-AU"/>
              </w:rPr>
            </w:pPr>
            <w:r w:rsidRPr="00361E07">
              <w:rPr>
                <w:rFonts w:ascii="Arial Narrow" w:hAnsi="Arial Narrow"/>
                <w:iCs/>
                <w:color w:val="000000"/>
                <w:sz w:val="20"/>
                <w:szCs w:val="20"/>
                <w:lang w:eastAsia="en-AU"/>
              </w:rPr>
              <w:t>$</w:t>
            </w:r>
            <w:r w:rsidR="00A7601C">
              <w:rPr>
                <w:rFonts w:ascii="Arial Narrow" w:hAnsi="Arial Narrow"/>
                <w:iCs/>
                <w:noProof/>
                <w:color w:val="000000"/>
                <w:sz w:val="20"/>
                <w:szCs w:val="20"/>
                <w:highlight w:val="black"/>
                <w:lang w:eastAsia="en-AU"/>
              </w:rPr>
              <w:t>'''''''''''''''</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7647" w:rsidRPr="00361E07" w:rsidRDefault="002C7647" w:rsidP="00E66A38">
            <w:pPr>
              <w:keepNext/>
              <w:keepLines/>
              <w:jc w:val="center"/>
              <w:rPr>
                <w:rFonts w:ascii="Arial Narrow" w:eastAsiaTheme="minorHAnsi" w:hAnsi="Arial Narrow"/>
                <w:iCs/>
                <w:color w:val="000000"/>
                <w:sz w:val="20"/>
                <w:szCs w:val="20"/>
                <w:lang w:eastAsia="en-AU"/>
              </w:rPr>
            </w:pPr>
            <w:r w:rsidRPr="00361E07">
              <w:rPr>
                <w:rFonts w:ascii="Arial Narrow" w:hAnsi="Arial Narrow"/>
                <w:iCs/>
                <w:color w:val="000000"/>
                <w:sz w:val="20"/>
                <w:szCs w:val="20"/>
                <w:lang w:eastAsia="en-AU"/>
              </w:rPr>
              <w:t>$</w:t>
            </w:r>
            <w:r w:rsidR="00A7601C">
              <w:rPr>
                <w:rFonts w:ascii="Arial Narrow" w:hAnsi="Arial Narrow"/>
                <w:iCs/>
                <w:noProof/>
                <w:color w:val="000000"/>
                <w:sz w:val="20"/>
                <w:szCs w:val="20"/>
                <w:highlight w:val="black"/>
                <w:lang w:eastAsia="en-AU"/>
              </w:rPr>
              <w:t>''''''''''''''''</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7647" w:rsidRPr="00361E07" w:rsidRDefault="002C7647" w:rsidP="00E66A38">
            <w:pPr>
              <w:keepNext/>
              <w:keepLines/>
              <w:jc w:val="center"/>
              <w:rPr>
                <w:rFonts w:ascii="Arial Narrow" w:eastAsiaTheme="minorHAnsi" w:hAnsi="Arial Narrow"/>
                <w:iCs/>
                <w:color w:val="000000"/>
                <w:sz w:val="20"/>
                <w:szCs w:val="20"/>
                <w:lang w:eastAsia="en-AU"/>
              </w:rPr>
            </w:pPr>
            <w:r w:rsidRPr="00361E07">
              <w:rPr>
                <w:rFonts w:ascii="Arial Narrow" w:hAnsi="Arial Narrow"/>
                <w:iCs/>
                <w:color w:val="000000"/>
                <w:sz w:val="20"/>
                <w:szCs w:val="20"/>
                <w:lang w:eastAsia="en-AU"/>
              </w:rPr>
              <w:t>$</w:t>
            </w:r>
            <w:r w:rsidR="00A7601C">
              <w:rPr>
                <w:rFonts w:ascii="Arial Narrow" w:hAnsi="Arial Narrow"/>
                <w:iCs/>
                <w:noProof/>
                <w:color w:val="000000"/>
                <w:sz w:val="20"/>
                <w:szCs w:val="20"/>
                <w:highlight w:val="black"/>
                <w:lang w:eastAsia="en-AU"/>
              </w:rPr>
              <w:t>'''''''''''''''''</w:t>
            </w:r>
          </w:p>
        </w:tc>
      </w:tr>
    </w:tbl>
    <w:p w:rsidR="002C7647" w:rsidRPr="002C7647" w:rsidRDefault="007D1BE0" w:rsidP="00E66A38">
      <w:pPr>
        <w:keepNext/>
        <w:keepLines/>
        <w:rPr>
          <w:rFonts w:ascii="Arial Narrow" w:hAnsi="Arial Narrow"/>
          <w:bCs/>
          <w:sz w:val="18"/>
          <w:szCs w:val="18"/>
        </w:rPr>
      </w:pPr>
      <w:proofErr w:type="spellStart"/>
      <w:proofErr w:type="gramStart"/>
      <w:r w:rsidRPr="007D1BE0">
        <w:rPr>
          <w:rFonts w:ascii="Arial Narrow" w:hAnsi="Arial Narrow"/>
          <w:bCs/>
          <w:sz w:val="18"/>
          <w:szCs w:val="18"/>
          <w:vertAlign w:val="superscript"/>
        </w:rPr>
        <w:t>a</w:t>
      </w:r>
      <w:proofErr w:type="spellEnd"/>
      <w:proofErr w:type="gramEnd"/>
      <w:r w:rsidRPr="002C7647">
        <w:rPr>
          <w:rFonts w:ascii="Arial Narrow" w:hAnsi="Arial Narrow"/>
          <w:bCs/>
          <w:sz w:val="18"/>
          <w:szCs w:val="18"/>
        </w:rPr>
        <w:t xml:space="preserve"> </w:t>
      </w:r>
      <w:r w:rsidR="002C7647" w:rsidRPr="002C7647">
        <w:rPr>
          <w:rFonts w:ascii="Arial Narrow" w:hAnsi="Arial Narrow"/>
          <w:bCs/>
          <w:sz w:val="18"/>
          <w:szCs w:val="18"/>
        </w:rPr>
        <w:t>assuming that all patients receive cetuximab as long as they remain in free from progression (PF) health state.</w:t>
      </w:r>
    </w:p>
    <w:p w:rsidR="002C7647" w:rsidRDefault="007D1BE0" w:rsidP="00E66A38">
      <w:pPr>
        <w:keepNext/>
        <w:keepLines/>
        <w:rPr>
          <w:rFonts w:ascii="Arial Narrow" w:hAnsi="Arial Narrow"/>
          <w:bCs/>
          <w:sz w:val="18"/>
          <w:szCs w:val="18"/>
        </w:rPr>
      </w:pPr>
      <w:proofErr w:type="gramStart"/>
      <w:r w:rsidRPr="007D1BE0">
        <w:rPr>
          <w:rFonts w:ascii="Arial Narrow" w:hAnsi="Arial Narrow"/>
          <w:bCs/>
          <w:sz w:val="18"/>
          <w:szCs w:val="18"/>
          <w:vertAlign w:val="superscript"/>
        </w:rPr>
        <w:t>b</w:t>
      </w:r>
      <w:proofErr w:type="gramEnd"/>
      <w:r w:rsidRPr="002C7647">
        <w:rPr>
          <w:rFonts w:ascii="Arial Narrow" w:hAnsi="Arial Narrow"/>
          <w:bCs/>
          <w:sz w:val="18"/>
          <w:szCs w:val="18"/>
        </w:rPr>
        <w:t xml:space="preserve"> </w:t>
      </w:r>
      <w:r w:rsidR="002C7647" w:rsidRPr="002C7647">
        <w:rPr>
          <w:rFonts w:ascii="Arial Narrow" w:hAnsi="Arial Narrow"/>
          <w:bCs/>
          <w:sz w:val="18"/>
          <w:szCs w:val="18"/>
        </w:rPr>
        <w:t>note incorrect numbers were reported in the Pre-PBAC response by sponsor (</w:t>
      </w:r>
      <w:proofErr w:type="spellStart"/>
      <w:r w:rsidR="002C7647" w:rsidRPr="002C7647">
        <w:rPr>
          <w:rFonts w:ascii="Arial Narrow" w:hAnsi="Arial Narrow"/>
          <w:bCs/>
          <w:sz w:val="18"/>
          <w:szCs w:val="18"/>
        </w:rPr>
        <w:t>ie</w:t>
      </w:r>
      <w:proofErr w:type="spellEnd"/>
      <w:r w:rsidR="002C7647" w:rsidRPr="002C7647">
        <w:rPr>
          <w:rFonts w:ascii="Arial Narrow" w:hAnsi="Arial Narrow"/>
          <w:bCs/>
          <w:sz w:val="18"/>
          <w:szCs w:val="18"/>
        </w:rPr>
        <w:t>, Weibull reported for log logistic and Gompertz for Weibull)</w:t>
      </w:r>
    </w:p>
    <w:p w:rsidR="004F3CBE" w:rsidRPr="002C7647" w:rsidRDefault="007D1BE0" w:rsidP="00D32317">
      <w:pPr>
        <w:keepNext/>
        <w:keepLines/>
        <w:spacing w:after="120"/>
        <w:rPr>
          <w:rFonts w:ascii="Arial Narrow" w:hAnsi="Arial Narrow"/>
          <w:bCs/>
          <w:sz w:val="18"/>
          <w:szCs w:val="18"/>
        </w:rPr>
      </w:pPr>
      <w:proofErr w:type="gramStart"/>
      <w:r w:rsidRPr="007D1BE0">
        <w:rPr>
          <w:rFonts w:ascii="Arial Narrow" w:hAnsi="Arial Narrow"/>
          <w:bCs/>
          <w:sz w:val="18"/>
          <w:szCs w:val="18"/>
          <w:vertAlign w:val="superscript"/>
        </w:rPr>
        <w:t>c</w:t>
      </w:r>
      <w:proofErr w:type="gramEnd"/>
      <w:r>
        <w:rPr>
          <w:rFonts w:ascii="Arial Narrow" w:hAnsi="Arial Narrow"/>
          <w:bCs/>
          <w:sz w:val="18"/>
          <w:szCs w:val="18"/>
        </w:rPr>
        <w:t xml:space="preserve"> </w:t>
      </w:r>
      <w:r w:rsidR="004F3CBE">
        <w:rPr>
          <w:rFonts w:ascii="Arial Narrow" w:hAnsi="Arial Narrow"/>
          <w:bCs/>
          <w:sz w:val="18"/>
          <w:szCs w:val="18"/>
        </w:rPr>
        <w:t>not included in pre</w:t>
      </w:r>
      <w:r w:rsidR="008831C7">
        <w:rPr>
          <w:rFonts w:ascii="Arial Narrow" w:hAnsi="Arial Narrow"/>
          <w:bCs/>
          <w:sz w:val="18"/>
          <w:szCs w:val="18"/>
        </w:rPr>
        <w:t>-</w:t>
      </w:r>
      <w:r w:rsidR="004F3CBE">
        <w:rPr>
          <w:rFonts w:ascii="Arial Narrow" w:hAnsi="Arial Narrow"/>
          <w:bCs/>
          <w:sz w:val="18"/>
          <w:szCs w:val="18"/>
        </w:rPr>
        <w:t>PBAC response, ICERs provided by the department of health</w:t>
      </w:r>
    </w:p>
    <w:p w:rsidR="0008141B" w:rsidRDefault="00D32317" w:rsidP="00D32317">
      <w:pPr>
        <w:tabs>
          <w:tab w:val="left" w:pos="5071"/>
        </w:tabs>
        <w:spacing w:after="120"/>
        <w:rPr>
          <w:bCs/>
        </w:rPr>
      </w:pPr>
      <w:r>
        <w:rPr>
          <w:bCs/>
        </w:rPr>
        <w:t>The redacted table shows ICERs in the range of $75,000</w:t>
      </w:r>
      <w:r w:rsidR="009D1C53">
        <w:rPr>
          <w:bCs/>
        </w:rPr>
        <w:tab/>
      </w:r>
      <w:r>
        <w:rPr>
          <w:bCs/>
        </w:rPr>
        <w:t>/QALY - $200,000/QALY.</w:t>
      </w:r>
    </w:p>
    <w:p w:rsidR="00361E07" w:rsidRPr="009D1C53" w:rsidRDefault="00361E07" w:rsidP="00D32317">
      <w:pPr>
        <w:pStyle w:val="ListParagraph"/>
        <w:numPr>
          <w:ilvl w:val="1"/>
          <w:numId w:val="2"/>
        </w:numPr>
        <w:spacing w:after="0"/>
        <w:rPr>
          <w:bCs/>
        </w:rPr>
      </w:pPr>
      <w:r>
        <w:rPr>
          <w:bCs/>
        </w:rPr>
        <w:t xml:space="preserve">The </w:t>
      </w:r>
      <w:r w:rsidRPr="0065718B">
        <w:rPr>
          <w:bCs/>
        </w:rPr>
        <w:t>PBAC considered that the base case ICER initially presented in the resubmission was underestimated due to the factors identified in the commentary and as noted by the ESC</w:t>
      </w:r>
      <w:r w:rsidRPr="009D1C53">
        <w:rPr>
          <w:bCs/>
        </w:rPr>
        <w:t>. The PBAC considered the base case should incorporate the following assumptions:</w:t>
      </w:r>
    </w:p>
    <w:p w:rsidR="00361E07" w:rsidRPr="00EF28D9" w:rsidRDefault="00361E07" w:rsidP="00361E07">
      <w:pPr>
        <w:numPr>
          <w:ilvl w:val="2"/>
          <w:numId w:val="2"/>
        </w:numPr>
        <w:spacing w:after="120"/>
        <w:ind w:left="1020" w:hanging="340"/>
        <w:contextualSpacing/>
        <w:rPr>
          <w:rFonts w:asciiTheme="minorHAnsi" w:hAnsiTheme="minorHAnsi"/>
          <w:bCs/>
          <w:lang w:val="en-GB"/>
        </w:rPr>
      </w:pPr>
      <w:r w:rsidRPr="00EF28D9">
        <w:rPr>
          <w:rFonts w:asciiTheme="minorHAnsi" w:hAnsiTheme="minorHAnsi"/>
          <w:bCs/>
          <w:lang w:val="en-GB"/>
        </w:rPr>
        <w:t>Costs calculated using the accrued cost method, assuming that for</w:t>
      </w:r>
      <w:r w:rsidRPr="00EF28D9">
        <w:rPr>
          <w:bCs/>
          <w:iCs/>
        </w:rPr>
        <w:t xml:space="preserve"> subsequent cetuximab infusions, </w:t>
      </w:r>
      <w:r w:rsidR="00A7601C">
        <w:rPr>
          <w:bCs/>
          <w:iCs/>
          <w:noProof/>
          <w:color w:val="000000"/>
          <w:highlight w:val="black"/>
        </w:rPr>
        <w:t>'''''</w:t>
      </w:r>
      <w:r w:rsidRPr="00EF28D9">
        <w:rPr>
          <w:bCs/>
          <w:iCs/>
        </w:rPr>
        <w:t xml:space="preserve">% of patients receive 1 x 500 mg vial and the remaining </w:t>
      </w:r>
      <w:r w:rsidR="00A7601C">
        <w:rPr>
          <w:bCs/>
          <w:iCs/>
          <w:noProof/>
          <w:color w:val="000000"/>
          <w:highlight w:val="black"/>
        </w:rPr>
        <w:t>'''''</w:t>
      </w:r>
      <w:r w:rsidRPr="00EF28D9">
        <w:rPr>
          <w:bCs/>
          <w:iCs/>
        </w:rPr>
        <w:t>% receive 4 x 100 mg vials;</w:t>
      </w:r>
    </w:p>
    <w:p w:rsidR="00361E07" w:rsidRPr="00EF28D9" w:rsidRDefault="00361E07" w:rsidP="00361E07">
      <w:pPr>
        <w:numPr>
          <w:ilvl w:val="2"/>
          <w:numId w:val="2"/>
        </w:numPr>
        <w:spacing w:after="120"/>
        <w:ind w:left="1020" w:hanging="340"/>
        <w:contextualSpacing/>
        <w:rPr>
          <w:rFonts w:asciiTheme="minorHAnsi" w:hAnsiTheme="minorHAnsi"/>
          <w:bCs/>
          <w:lang w:val="en-GB"/>
        </w:rPr>
      </w:pPr>
      <w:r w:rsidRPr="00EF28D9">
        <w:rPr>
          <w:bCs/>
          <w:iCs/>
        </w:rPr>
        <w:t>Differential utilities (trial-based utility values as per submission);</w:t>
      </w:r>
    </w:p>
    <w:p w:rsidR="00BA6217" w:rsidRPr="00BA6217" w:rsidRDefault="00361E07" w:rsidP="00361E07">
      <w:pPr>
        <w:numPr>
          <w:ilvl w:val="2"/>
          <w:numId w:val="2"/>
        </w:numPr>
        <w:spacing w:after="120"/>
        <w:ind w:left="1020" w:hanging="340"/>
        <w:contextualSpacing/>
        <w:rPr>
          <w:rFonts w:asciiTheme="minorHAnsi" w:hAnsiTheme="minorHAnsi"/>
          <w:bCs/>
          <w:lang w:val="en-GB"/>
        </w:rPr>
      </w:pPr>
      <w:r w:rsidRPr="00EF28D9">
        <w:rPr>
          <w:bCs/>
          <w:iCs/>
        </w:rPr>
        <w:t>A 5 year time horizon;</w:t>
      </w:r>
      <w:r w:rsidR="004F3CBE">
        <w:rPr>
          <w:bCs/>
          <w:iCs/>
        </w:rPr>
        <w:t xml:space="preserve"> </w:t>
      </w:r>
    </w:p>
    <w:p w:rsidR="00805C6E" w:rsidRPr="00805C6E" w:rsidRDefault="00A7601C" w:rsidP="00361E07">
      <w:pPr>
        <w:numPr>
          <w:ilvl w:val="2"/>
          <w:numId w:val="2"/>
        </w:numPr>
        <w:spacing w:after="120"/>
        <w:ind w:left="1020" w:hanging="340"/>
        <w:contextualSpacing/>
        <w:rPr>
          <w:rFonts w:asciiTheme="minorHAnsi" w:hAnsiTheme="minorHAnsi"/>
          <w:bCs/>
          <w:lang w:val="en-GB"/>
        </w:rPr>
      </w:pPr>
      <w:r>
        <w:rPr>
          <w:bCs/>
          <w:iCs/>
          <w:noProof/>
          <w:color w:val="000000"/>
          <w:highlight w:val="black"/>
        </w:rPr>
        <w:t>'''''</w:t>
      </w:r>
      <w:r w:rsidR="00BA6217">
        <w:rPr>
          <w:bCs/>
          <w:iCs/>
        </w:rPr>
        <w:t xml:space="preserve">% fortnightly dosing; </w:t>
      </w:r>
    </w:p>
    <w:p w:rsidR="00361E07" w:rsidRPr="00EF28D9" w:rsidRDefault="00805C6E" w:rsidP="00361E07">
      <w:pPr>
        <w:numPr>
          <w:ilvl w:val="2"/>
          <w:numId w:val="2"/>
        </w:numPr>
        <w:spacing w:after="120"/>
        <w:ind w:left="1020" w:hanging="340"/>
        <w:contextualSpacing/>
        <w:rPr>
          <w:rFonts w:asciiTheme="minorHAnsi" w:hAnsiTheme="minorHAnsi"/>
          <w:bCs/>
          <w:lang w:val="en-GB"/>
        </w:rPr>
      </w:pPr>
      <w:r>
        <w:rPr>
          <w:bCs/>
          <w:iCs/>
        </w:rPr>
        <w:lastRenderedPageBreak/>
        <w:t xml:space="preserve">Applying a ratio of </w:t>
      </w:r>
      <w:r w:rsidR="00A7601C">
        <w:rPr>
          <w:bCs/>
          <w:iCs/>
          <w:noProof/>
          <w:color w:val="000000"/>
          <w:highlight w:val="black"/>
        </w:rPr>
        <w:t>'''''</w:t>
      </w:r>
      <w:r>
        <w:rPr>
          <w:bCs/>
          <w:iCs/>
        </w:rPr>
        <w:t>/24.3 (</w:t>
      </w:r>
      <w:r w:rsidR="00A7601C">
        <w:rPr>
          <w:bCs/>
          <w:iCs/>
          <w:noProof/>
          <w:color w:val="000000"/>
          <w:highlight w:val="black"/>
        </w:rPr>
        <w:t>''''''</w:t>
      </w:r>
      <w:r>
        <w:rPr>
          <w:bCs/>
          <w:iCs/>
        </w:rPr>
        <w:t xml:space="preserve">) to account for </w:t>
      </w:r>
      <w:r w:rsidR="00452A0E">
        <w:rPr>
          <w:bCs/>
          <w:iCs/>
        </w:rPr>
        <w:t>not all patients receiving treatment up until the time of progression</w:t>
      </w:r>
      <w:r>
        <w:rPr>
          <w:bCs/>
          <w:iCs/>
        </w:rPr>
        <w:t xml:space="preserve">; </w:t>
      </w:r>
      <w:r w:rsidR="004F3CBE">
        <w:rPr>
          <w:bCs/>
          <w:iCs/>
        </w:rPr>
        <w:t>and</w:t>
      </w:r>
    </w:p>
    <w:p w:rsidR="00361E07" w:rsidRPr="00F953DB" w:rsidRDefault="00361E07" w:rsidP="00361E07">
      <w:pPr>
        <w:numPr>
          <w:ilvl w:val="2"/>
          <w:numId w:val="2"/>
        </w:numPr>
        <w:spacing w:after="120"/>
        <w:ind w:left="1020" w:hanging="340"/>
        <w:rPr>
          <w:rFonts w:asciiTheme="minorHAnsi" w:hAnsiTheme="minorHAnsi"/>
          <w:bCs/>
          <w:lang w:val="en-GB"/>
        </w:rPr>
      </w:pPr>
      <w:proofErr w:type="gramStart"/>
      <w:r w:rsidRPr="00EF28D9">
        <w:rPr>
          <w:bCs/>
          <w:iCs/>
        </w:rPr>
        <w:t xml:space="preserve">Extrapolation </w:t>
      </w:r>
      <w:r w:rsidR="004F3CBE">
        <w:rPr>
          <w:bCs/>
          <w:iCs/>
        </w:rPr>
        <w:t>using</w:t>
      </w:r>
      <w:r w:rsidRPr="00EF28D9">
        <w:rPr>
          <w:bCs/>
          <w:iCs/>
        </w:rPr>
        <w:t xml:space="preserve"> the Weibull function</w:t>
      </w:r>
      <w:proofErr w:type="gramEnd"/>
      <w:r w:rsidRPr="00EF28D9">
        <w:rPr>
          <w:bCs/>
          <w:iCs/>
        </w:rPr>
        <w:t>.</w:t>
      </w:r>
    </w:p>
    <w:p w:rsidR="00F953DB" w:rsidRPr="00D32317" w:rsidRDefault="00F953DB" w:rsidP="00D32317">
      <w:pPr>
        <w:pStyle w:val="ListParagraph"/>
        <w:keepNext/>
        <w:widowControl/>
        <w:numPr>
          <w:ilvl w:val="1"/>
          <w:numId w:val="2"/>
        </w:numPr>
        <w:rPr>
          <w:bCs/>
          <w:iCs/>
        </w:rPr>
      </w:pPr>
      <w:r>
        <w:rPr>
          <w:bCs/>
          <w:iCs/>
        </w:rPr>
        <w:t>The PBAC noted this corresponded to scenario 3</w:t>
      </w:r>
      <w:r w:rsidR="00452A0E">
        <w:rPr>
          <w:bCs/>
          <w:iCs/>
        </w:rPr>
        <w:t xml:space="preserve"> (with Weibull extrapolation)</w:t>
      </w:r>
      <w:r>
        <w:rPr>
          <w:bCs/>
          <w:iCs/>
        </w:rPr>
        <w:t xml:space="preserve"> in Table 15 </w:t>
      </w:r>
      <w:r w:rsidR="00BA6217">
        <w:rPr>
          <w:bCs/>
          <w:iCs/>
        </w:rPr>
        <w:t xml:space="preserve">with the addition of fortnightly dosing in </w:t>
      </w:r>
      <w:r w:rsidR="00A7601C">
        <w:rPr>
          <w:bCs/>
          <w:iCs/>
          <w:noProof/>
          <w:color w:val="000000"/>
          <w:highlight w:val="black"/>
        </w:rPr>
        <w:t>'''''</w:t>
      </w:r>
      <w:r w:rsidR="00BA6217">
        <w:rPr>
          <w:bCs/>
          <w:iCs/>
        </w:rPr>
        <w:t>% of patients</w:t>
      </w:r>
      <w:r w:rsidR="00805C6E">
        <w:rPr>
          <w:bCs/>
          <w:iCs/>
        </w:rPr>
        <w:t xml:space="preserve"> and factoring in the ratio of treatment duration to PFS (</w:t>
      </w:r>
      <w:r w:rsidR="00A7601C">
        <w:rPr>
          <w:bCs/>
          <w:iCs/>
          <w:noProof/>
          <w:color w:val="000000"/>
          <w:highlight w:val="black"/>
        </w:rPr>
        <w:t>''''''</w:t>
      </w:r>
      <w:r w:rsidR="00805C6E">
        <w:rPr>
          <w:bCs/>
          <w:iCs/>
        </w:rPr>
        <w:t>)</w:t>
      </w:r>
      <w:r w:rsidR="00BA6217">
        <w:rPr>
          <w:bCs/>
          <w:iCs/>
        </w:rPr>
        <w:t xml:space="preserve">. </w:t>
      </w:r>
      <w:r w:rsidR="00805C6E">
        <w:rPr>
          <w:bCs/>
          <w:iCs/>
        </w:rPr>
        <w:t>Using the revised price of $</w:t>
      </w:r>
      <w:r w:rsidR="00A7601C">
        <w:rPr>
          <w:bCs/>
          <w:iCs/>
          <w:noProof/>
          <w:color w:val="000000"/>
          <w:highlight w:val="black"/>
        </w:rPr>
        <w:t>'''''</w:t>
      </w:r>
      <w:r w:rsidR="00805C6E">
        <w:rPr>
          <w:bCs/>
          <w:iCs/>
        </w:rPr>
        <w:t xml:space="preserve"> per vial, t</w:t>
      </w:r>
      <w:r w:rsidR="00BA6217">
        <w:rPr>
          <w:bCs/>
          <w:iCs/>
        </w:rPr>
        <w:t xml:space="preserve">he inclusion of fortnightly dosing reduces the ICER from </w:t>
      </w:r>
      <w:r w:rsidR="00D32317">
        <w:rPr>
          <w:bCs/>
          <w:iCs/>
        </w:rPr>
        <w:t>$75,000/QALY - $105,000/QALY</w:t>
      </w:r>
      <w:r w:rsidR="00BA6217" w:rsidRPr="00D32317">
        <w:rPr>
          <w:bCs/>
          <w:iCs/>
        </w:rPr>
        <w:t xml:space="preserve"> for scenario 3 to </w:t>
      </w:r>
      <w:r w:rsidR="00D32317">
        <w:rPr>
          <w:bCs/>
          <w:iCs/>
        </w:rPr>
        <w:t>$75,000/QALY - $105,000/QALY</w:t>
      </w:r>
      <w:r w:rsidR="00D32317" w:rsidRPr="00D32317">
        <w:rPr>
          <w:bCs/>
          <w:iCs/>
        </w:rPr>
        <w:t xml:space="preserve"> </w:t>
      </w:r>
      <w:r w:rsidR="00805C6E" w:rsidRPr="00D32317">
        <w:rPr>
          <w:bCs/>
          <w:iCs/>
        </w:rPr>
        <w:t xml:space="preserve">and the </w:t>
      </w:r>
      <w:r w:rsidR="0029520C" w:rsidRPr="00D32317">
        <w:rPr>
          <w:bCs/>
          <w:iCs/>
        </w:rPr>
        <w:t xml:space="preserve">application of the </w:t>
      </w:r>
      <w:r w:rsidR="00A7601C">
        <w:rPr>
          <w:bCs/>
          <w:iCs/>
          <w:noProof/>
          <w:color w:val="000000"/>
          <w:highlight w:val="black"/>
        </w:rPr>
        <w:t>''''''</w:t>
      </w:r>
      <w:r w:rsidR="0029520C" w:rsidRPr="00D32317">
        <w:rPr>
          <w:bCs/>
          <w:iCs/>
        </w:rPr>
        <w:t xml:space="preserve"> ratio to account for a treatment-free interval prior to progression reduces the ICER further to </w:t>
      </w:r>
      <w:r w:rsidR="00D32317">
        <w:rPr>
          <w:bCs/>
          <w:iCs/>
        </w:rPr>
        <w:t>$45,000/QALY - $75,000/QALY</w:t>
      </w:r>
      <w:r w:rsidR="00DC041C">
        <w:rPr>
          <w:bCs/>
          <w:iCs/>
        </w:rPr>
        <w:t>.</w:t>
      </w:r>
    </w:p>
    <w:p w:rsidR="00D31920" w:rsidRPr="009C7D07" w:rsidRDefault="00D31920" w:rsidP="00866C5C">
      <w:pPr>
        <w:pStyle w:val="Heading2"/>
      </w:pPr>
      <w:r w:rsidRPr="009C7D07">
        <w:t>Drug cost/patient/course: $</w:t>
      </w:r>
      <w:bookmarkEnd w:id="12"/>
      <w:r w:rsidR="00A7601C">
        <w:rPr>
          <w:noProof/>
          <w:color w:val="000000"/>
          <w:highlight w:val="black"/>
        </w:rPr>
        <w:t>''''''''''</w:t>
      </w:r>
      <w:r w:rsidR="00BF58F1">
        <w:t xml:space="preserve"> (based on price proposed in the resubmission)</w:t>
      </w:r>
    </w:p>
    <w:p w:rsidR="00D31920" w:rsidRPr="00D35D44" w:rsidRDefault="00D31920" w:rsidP="00846F9C">
      <w:pPr>
        <w:pStyle w:val="ListParagraph"/>
        <w:keepNext/>
        <w:widowControl/>
        <w:numPr>
          <w:ilvl w:val="1"/>
          <w:numId w:val="2"/>
        </w:numPr>
        <w:rPr>
          <w:bCs/>
        </w:rPr>
      </w:pPr>
      <w:r w:rsidRPr="00D35D44">
        <w:rPr>
          <w:bCs/>
          <w:iCs/>
        </w:rPr>
        <w:t xml:space="preserve">Even though cetuximab is intended to be administered until disease progression, the resubmission proposed a cap of </w:t>
      </w:r>
      <w:r w:rsidR="00A7601C">
        <w:rPr>
          <w:bCs/>
          <w:iCs/>
          <w:noProof/>
          <w:color w:val="000000"/>
          <w:highlight w:val="black"/>
        </w:rPr>
        <w:t>'''''</w:t>
      </w:r>
      <w:r w:rsidRPr="00DC6574">
        <w:rPr>
          <w:bCs/>
          <w:iCs/>
        </w:rPr>
        <w:t xml:space="preserve"> </w:t>
      </w:r>
      <w:r w:rsidR="00A46AEE" w:rsidRPr="00DC6574">
        <w:rPr>
          <w:bCs/>
          <w:iCs/>
        </w:rPr>
        <w:t xml:space="preserve">PBS-subsidised </w:t>
      </w:r>
      <w:r w:rsidRPr="00DC6574">
        <w:rPr>
          <w:bCs/>
          <w:iCs/>
        </w:rPr>
        <w:t>cetuximab doses per patient</w:t>
      </w:r>
      <w:r w:rsidRPr="00D35D44">
        <w:rPr>
          <w:bCs/>
          <w:iCs/>
        </w:rPr>
        <w:t>.</w:t>
      </w:r>
      <w:r w:rsidR="000120B1" w:rsidRPr="00D35D44">
        <w:rPr>
          <w:bCs/>
          <w:iCs/>
        </w:rPr>
        <w:t xml:space="preserve"> </w:t>
      </w:r>
      <w:r w:rsidRPr="00D35D44">
        <w:rPr>
          <w:bCs/>
          <w:iCs/>
        </w:rPr>
        <w:t xml:space="preserve">Therefore, the drug cost/patient/course was calculated based on </w:t>
      </w:r>
      <w:r w:rsidR="0078735A" w:rsidRPr="00D35D44">
        <w:rPr>
          <w:bCs/>
          <w:iCs/>
        </w:rPr>
        <w:t xml:space="preserve">the </w:t>
      </w:r>
      <w:r w:rsidRPr="00D35D44">
        <w:rPr>
          <w:bCs/>
          <w:iCs/>
        </w:rPr>
        <w:t>mean number of cetuximab doses used per patient (</w:t>
      </w:r>
      <w:r w:rsidR="00A7601C">
        <w:rPr>
          <w:bCs/>
          <w:iCs/>
          <w:noProof/>
          <w:color w:val="000000"/>
          <w:highlight w:val="black"/>
        </w:rPr>
        <w:t>'''''''''</w:t>
      </w:r>
      <w:r w:rsidR="00CE47F6" w:rsidRPr="00D35D44">
        <w:rPr>
          <w:bCs/>
          <w:iCs/>
        </w:rPr>
        <w:t xml:space="preserve"> doses</w:t>
      </w:r>
      <w:r w:rsidRPr="00D35D44">
        <w:rPr>
          <w:bCs/>
          <w:iCs/>
        </w:rPr>
        <w:t xml:space="preserve">) in the ITT population </w:t>
      </w:r>
      <w:r w:rsidR="00CE47F6" w:rsidRPr="00D35D44">
        <w:rPr>
          <w:bCs/>
          <w:iCs/>
        </w:rPr>
        <w:t>of</w:t>
      </w:r>
      <w:r w:rsidRPr="00D35D44">
        <w:rPr>
          <w:bCs/>
          <w:iCs/>
        </w:rPr>
        <w:t xml:space="preserve"> the EXTREME trial when a c</w:t>
      </w:r>
      <w:r w:rsidR="00CE47F6" w:rsidRPr="00D35D44">
        <w:rPr>
          <w:bCs/>
          <w:iCs/>
        </w:rPr>
        <w:t xml:space="preserve">ap of </w:t>
      </w:r>
      <w:r w:rsidR="00A7601C">
        <w:rPr>
          <w:bCs/>
          <w:iCs/>
          <w:noProof/>
          <w:color w:val="000000"/>
          <w:highlight w:val="black"/>
        </w:rPr>
        <w:t>'''''</w:t>
      </w:r>
      <w:r w:rsidR="00CE47F6" w:rsidRPr="00D35D44">
        <w:rPr>
          <w:bCs/>
          <w:iCs/>
        </w:rPr>
        <w:t xml:space="preserve"> infusions per patient wa</w:t>
      </w:r>
      <w:r w:rsidRPr="00D35D44">
        <w:rPr>
          <w:bCs/>
          <w:iCs/>
        </w:rPr>
        <w:t>s applied.</w:t>
      </w:r>
      <w:r w:rsidR="000120B1" w:rsidRPr="00D35D44">
        <w:rPr>
          <w:bCs/>
          <w:iCs/>
        </w:rPr>
        <w:t xml:space="preserve"> </w:t>
      </w:r>
      <w:r w:rsidRPr="00D35D44">
        <w:rPr>
          <w:bCs/>
          <w:iCs/>
        </w:rPr>
        <w:t>It was assumed that 50.2% of all scripts will be dispensed through public hospitals and 49.8% will be dispensed through private hospitals, based on the breakdown of public vs private hospital scripts for cetuximab when used in locally advanced (LA) SCCHN.</w:t>
      </w:r>
      <w:r w:rsidR="000120B1" w:rsidRPr="00D35D44">
        <w:rPr>
          <w:bCs/>
          <w:iCs/>
        </w:rPr>
        <w:t xml:space="preserve"> </w:t>
      </w:r>
      <w:r w:rsidRPr="00D35D44">
        <w:rPr>
          <w:bCs/>
          <w:iCs/>
        </w:rPr>
        <w:t>A dose of 700</w:t>
      </w:r>
      <w:r w:rsidR="00A46AEE" w:rsidRPr="00D35D44">
        <w:rPr>
          <w:bCs/>
          <w:iCs/>
        </w:rPr>
        <w:t xml:space="preserve"> </w:t>
      </w:r>
      <w:r w:rsidRPr="00D35D44">
        <w:rPr>
          <w:bCs/>
          <w:iCs/>
        </w:rPr>
        <w:t>mg was assumed for the initial dose in the first week of treatme</w:t>
      </w:r>
      <w:r w:rsidR="008B34FE" w:rsidRPr="00D35D44">
        <w:rPr>
          <w:bCs/>
          <w:iCs/>
        </w:rPr>
        <w:t>nt (effective price of 1 infusion:</w:t>
      </w:r>
      <w:r w:rsidRPr="00D35D44">
        <w:rPr>
          <w:bCs/>
          <w:iCs/>
        </w:rPr>
        <w:t xml:space="preserve"> $</w:t>
      </w:r>
      <w:r w:rsidR="00A7601C">
        <w:rPr>
          <w:bCs/>
          <w:iCs/>
          <w:noProof/>
          <w:color w:val="000000"/>
          <w:highlight w:val="black"/>
        </w:rPr>
        <w:t>''''''''''''</w:t>
      </w:r>
      <w:r w:rsidRPr="00D35D44">
        <w:rPr>
          <w:bCs/>
          <w:iCs/>
        </w:rPr>
        <w:t>) and a dose of 400</w:t>
      </w:r>
      <w:r w:rsidR="00AE05BB">
        <w:rPr>
          <w:bCs/>
          <w:iCs/>
        </w:rPr>
        <w:t xml:space="preserve"> </w:t>
      </w:r>
      <w:r w:rsidRPr="00D35D44">
        <w:rPr>
          <w:bCs/>
          <w:iCs/>
        </w:rPr>
        <w:t>mg was assumed for subsequent weekly doses (</w:t>
      </w:r>
      <w:r w:rsidR="00A7601C">
        <w:rPr>
          <w:bCs/>
          <w:iCs/>
          <w:noProof/>
          <w:color w:val="000000"/>
          <w:highlight w:val="black"/>
        </w:rPr>
        <w:t>'''''''''</w:t>
      </w:r>
      <w:r w:rsidRPr="00D35D44">
        <w:rPr>
          <w:bCs/>
          <w:iCs/>
        </w:rPr>
        <w:t xml:space="preserve"> infusion × $</w:t>
      </w:r>
      <w:r w:rsidR="00A7601C">
        <w:rPr>
          <w:bCs/>
          <w:iCs/>
          <w:noProof/>
          <w:color w:val="000000"/>
          <w:highlight w:val="black"/>
        </w:rPr>
        <w:t>'''''''''''''</w:t>
      </w:r>
      <w:r w:rsidRPr="00D35D44">
        <w:rPr>
          <w:bCs/>
          <w:iCs/>
        </w:rPr>
        <w:t xml:space="preserve"> = $</w:t>
      </w:r>
      <w:r w:rsidR="00A7601C">
        <w:rPr>
          <w:bCs/>
          <w:iCs/>
          <w:noProof/>
          <w:color w:val="000000"/>
          <w:highlight w:val="black"/>
        </w:rPr>
        <w:t>''''''''''''''''</w:t>
      </w:r>
      <w:r w:rsidRPr="00D35D44">
        <w:rPr>
          <w:bCs/>
          <w:iCs/>
        </w:rPr>
        <w:t>).</w:t>
      </w:r>
      <w:r w:rsidR="000120B1" w:rsidRPr="00D35D44">
        <w:rPr>
          <w:bCs/>
          <w:iCs/>
        </w:rPr>
        <w:t xml:space="preserve"> </w:t>
      </w:r>
      <w:r w:rsidRPr="00D35D44">
        <w:rPr>
          <w:bCs/>
          <w:iCs/>
        </w:rPr>
        <w:t>A more conservative approach of assuming a subsequent dose of 500</w:t>
      </w:r>
      <w:r w:rsidR="00CB2D46" w:rsidRPr="00D35D44">
        <w:rPr>
          <w:bCs/>
          <w:iCs/>
        </w:rPr>
        <w:noBreakHyphen/>
      </w:r>
      <w:r w:rsidRPr="00D35D44">
        <w:rPr>
          <w:bCs/>
          <w:iCs/>
        </w:rPr>
        <w:t>mg (effective price per dose $</w:t>
      </w:r>
      <w:r w:rsidR="00A7601C">
        <w:rPr>
          <w:bCs/>
          <w:iCs/>
          <w:noProof/>
          <w:color w:val="000000"/>
          <w:highlight w:val="black"/>
        </w:rPr>
        <w:t>''''''''''''''</w:t>
      </w:r>
      <w:r w:rsidR="008B34FE" w:rsidRPr="00D35D44">
        <w:rPr>
          <w:bCs/>
          <w:iCs/>
        </w:rPr>
        <w:t>) instead of 400</w:t>
      </w:r>
      <w:r w:rsidR="00DC6574">
        <w:rPr>
          <w:bCs/>
          <w:iCs/>
        </w:rPr>
        <w:t xml:space="preserve"> </w:t>
      </w:r>
      <w:r w:rsidR="008B34FE" w:rsidRPr="00D35D44">
        <w:rPr>
          <w:bCs/>
          <w:iCs/>
        </w:rPr>
        <w:t>mg resulted</w:t>
      </w:r>
      <w:r w:rsidRPr="00D35D44">
        <w:rPr>
          <w:bCs/>
          <w:iCs/>
        </w:rPr>
        <w:t xml:space="preserve"> in a drug cost/patient</w:t>
      </w:r>
      <w:r w:rsidR="008B34FE" w:rsidRPr="00D35D44">
        <w:rPr>
          <w:bCs/>
          <w:iCs/>
        </w:rPr>
        <w:t>/course of $</w:t>
      </w:r>
      <w:r w:rsidR="00A7601C">
        <w:rPr>
          <w:bCs/>
          <w:iCs/>
          <w:noProof/>
          <w:color w:val="000000"/>
          <w:highlight w:val="black"/>
        </w:rPr>
        <w:t>''''''''''''</w:t>
      </w:r>
      <w:r w:rsidR="00BF58F1">
        <w:rPr>
          <w:bCs/>
          <w:iCs/>
        </w:rPr>
        <w:t xml:space="preserve"> (based on the price proposed in the resubmission)</w:t>
      </w:r>
      <w:r w:rsidR="008B34FE" w:rsidRPr="00D35D44">
        <w:rPr>
          <w:bCs/>
          <w:iCs/>
        </w:rPr>
        <w:t>.</w:t>
      </w:r>
      <w:r w:rsidR="000120B1" w:rsidRPr="00D35D44">
        <w:rPr>
          <w:bCs/>
          <w:iCs/>
        </w:rPr>
        <w:t xml:space="preserve"> </w:t>
      </w:r>
      <w:r w:rsidR="008B34FE" w:rsidRPr="00D35D44">
        <w:rPr>
          <w:bCs/>
          <w:iCs/>
        </w:rPr>
        <w:t xml:space="preserve">This was </w:t>
      </w:r>
      <w:r w:rsidRPr="00D35D44">
        <w:rPr>
          <w:bCs/>
          <w:iCs/>
        </w:rPr>
        <w:t>significantly lower than the drug cost/patient/course for the ITT populati</w:t>
      </w:r>
      <w:r w:rsidR="008B34FE" w:rsidRPr="00D35D44">
        <w:rPr>
          <w:bCs/>
          <w:iCs/>
        </w:rPr>
        <w:t xml:space="preserve">on reported in the March 2016 </w:t>
      </w:r>
      <w:r w:rsidRPr="00D35D44">
        <w:rPr>
          <w:bCs/>
          <w:iCs/>
        </w:rPr>
        <w:t>submission ($</w:t>
      </w:r>
      <w:r w:rsidR="00A7601C">
        <w:rPr>
          <w:bCs/>
          <w:iCs/>
          <w:noProof/>
          <w:color w:val="000000"/>
          <w:highlight w:val="black"/>
        </w:rPr>
        <w:t>'''''''''''''</w:t>
      </w:r>
      <w:r w:rsidRPr="00D35D44">
        <w:rPr>
          <w:bCs/>
          <w:iCs/>
        </w:rPr>
        <w:t xml:space="preserve">) due to the increase in confidential rebate from </w:t>
      </w:r>
      <w:r w:rsidR="00A7601C">
        <w:rPr>
          <w:bCs/>
          <w:iCs/>
          <w:noProof/>
          <w:color w:val="000000"/>
          <w:highlight w:val="black"/>
        </w:rPr>
        <w:t>'''''''''</w:t>
      </w:r>
      <w:r w:rsidRPr="00D35D44">
        <w:rPr>
          <w:bCs/>
          <w:iCs/>
        </w:rPr>
        <w:t xml:space="preserve">% to </w:t>
      </w:r>
      <w:r w:rsidR="00A7601C">
        <w:rPr>
          <w:bCs/>
          <w:iCs/>
          <w:noProof/>
          <w:color w:val="000000"/>
          <w:highlight w:val="black"/>
        </w:rPr>
        <w:t>''''''''</w:t>
      </w:r>
      <w:r w:rsidRPr="00D35D44">
        <w:rPr>
          <w:bCs/>
          <w:iCs/>
        </w:rPr>
        <w:t>% and th</w:t>
      </w:r>
      <w:r w:rsidR="008B34FE" w:rsidRPr="00D35D44">
        <w:rPr>
          <w:bCs/>
          <w:iCs/>
        </w:rPr>
        <w:t xml:space="preserve">e cap of </w:t>
      </w:r>
      <w:r w:rsidR="00A7601C">
        <w:rPr>
          <w:bCs/>
          <w:iCs/>
          <w:noProof/>
          <w:color w:val="000000"/>
          <w:highlight w:val="black"/>
        </w:rPr>
        <w:t>''''''</w:t>
      </w:r>
      <w:r w:rsidR="008B34FE" w:rsidRPr="00D35D44">
        <w:rPr>
          <w:bCs/>
          <w:iCs/>
        </w:rPr>
        <w:t xml:space="preserve"> doses per patient.</w:t>
      </w:r>
      <w:r w:rsidR="00BF58F1">
        <w:rPr>
          <w:bCs/>
          <w:iCs/>
        </w:rPr>
        <w:t xml:space="preserve"> </w:t>
      </w:r>
    </w:p>
    <w:p w:rsidR="00D31920" w:rsidRPr="009C7D07" w:rsidRDefault="00D31920" w:rsidP="00866C5C">
      <w:pPr>
        <w:pStyle w:val="Heading2"/>
      </w:pPr>
      <w:bookmarkStart w:id="13" w:name="_Toc500767934"/>
      <w:r w:rsidRPr="009C7D07">
        <w:t>Estimated PBS usage &amp; financial implications</w:t>
      </w:r>
      <w:bookmarkEnd w:id="13"/>
    </w:p>
    <w:p w:rsidR="00D31920" w:rsidRPr="00D35D44" w:rsidRDefault="00D31920" w:rsidP="00846F9C">
      <w:pPr>
        <w:pStyle w:val="ListParagraph"/>
        <w:widowControl/>
        <w:numPr>
          <w:ilvl w:val="1"/>
          <w:numId w:val="2"/>
        </w:numPr>
        <w:rPr>
          <w:bCs/>
        </w:rPr>
      </w:pPr>
      <w:r w:rsidRPr="00D35D44">
        <w:rPr>
          <w:bCs/>
        </w:rPr>
        <w:t xml:space="preserve">This resubmission </w:t>
      </w:r>
      <w:r w:rsidR="00D35D44" w:rsidRPr="00D35D44">
        <w:rPr>
          <w:bCs/>
        </w:rPr>
        <w:t>was not</w:t>
      </w:r>
      <w:r w:rsidRPr="00D35D44">
        <w:rPr>
          <w:bCs/>
        </w:rPr>
        <w:t xml:space="preserve"> considered by DUSC.</w:t>
      </w:r>
      <w:r w:rsidR="000120B1" w:rsidRPr="00D35D44">
        <w:rPr>
          <w:bCs/>
        </w:rPr>
        <w:t xml:space="preserve"> </w:t>
      </w:r>
      <w:r w:rsidRPr="00D35D44">
        <w:rPr>
          <w:bCs/>
        </w:rPr>
        <w:t>An epidemiological approach was undertaken to estimate usage and financial implications.</w:t>
      </w:r>
    </w:p>
    <w:p w:rsidR="00D31920" w:rsidRPr="00D35D44" w:rsidRDefault="008B34FE" w:rsidP="00866C5C">
      <w:pPr>
        <w:keepNext/>
        <w:rPr>
          <w:b/>
        </w:rPr>
      </w:pPr>
      <w:r w:rsidRPr="00D35D44">
        <w:rPr>
          <w:rStyle w:val="CommentReference"/>
        </w:rPr>
        <w:lastRenderedPageBreak/>
        <w:t>Table 15</w:t>
      </w:r>
      <w:r w:rsidR="00D31920" w:rsidRPr="00D35D44">
        <w:rPr>
          <w:rStyle w:val="CommentReference"/>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32"/>
        <w:gridCol w:w="965"/>
        <w:gridCol w:w="934"/>
        <w:gridCol w:w="965"/>
        <w:gridCol w:w="965"/>
        <w:gridCol w:w="934"/>
        <w:gridCol w:w="888"/>
      </w:tblGrid>
      <w:tr w:rsidR="00D31920" w:rsidRPr="00D35D44" w:rsidTr="002E3626">
        <w:trPr>
          <w:tblHeader/>
        </w:trPr>
        <w:tc>
          <w:tcPr>
            <w:tcW w:w="2082" w:type="pct"/>
            <w:shd w:val="clear" w:color="auto" w:fill="auto"/>
            <w:vAlign w:val="center"/>
          </w:tcPr>
          <w:p w:rsidR="00D31920" w:rsidRPr="00D35D44" w:rsidRDefault="00D31920" w:rsidP="00866C5C">
            <w:pPr>
              <w:pStyle w:val="Tabletext"/>
              <w:keepNext/>
              <w:rPr>
                <w:b/>
              </w:rPr>
            </w:pPr>
          </w:p>
        </w:tc>
        <w:tc>
          <w:tcPr>
            <w:tcW w:w="486" w:type="pct"/>
            <w:shd w:val="clear" w:color="auto" w:fill="auto"/>
            <w:vAlign w:val="center"/>
          </w:tcPr>
          <w:p w:rsidR="00D31920" w:rsidRPr="00D35D44" w:rsidRDefault="00D31920" w:rsidP="00866C5C">
            <w:pPr>
              <w:pStyle w:val="Tabletext"/>
              <w:keepNext/>
              <w:jc w:val="center"/>
              <w:rPr>
                <w:b/>
              </w:rPr>
            </w:pPr>
            <w:r w:rsidRPr="00D35D44">
              <w:rPr>
                <w:b/>
              </w:rPr>
              <w:t>Year 1</w:t>
            </w:r>
          </w:p>
        </w:tc>
        <w:tc>
          <w:tcPr>
            <w:tcW w:w="486" w:type="pct"/>
            <w:shd w:val="clear" w:color="auto" w:fill="auto"/>
            <w:vAlign w:val="center"/>
          </w:tcPr>
          <w:p w:rsidR="00D31920" w:rsidRPr="00D35D44" w:rsidRDefault="00D31920" w:rsidP="00866C5C">
            <w:pPr>
              <w:pStyle w:val="Tabletext"/>
              <w:keepNext/>
              <w:jc w:val="center"/>
              <w:rPr>
                <w:b/>
              </w:rPr>
            </w:pPr>
            <w:r w:rsidRPr="00D35D44">
              <w:rPr>
                <w:b/>
              </w:rPr>
              <w:t>Year 2</w:t>
            </w:r>
          </w:p>
        </w:tc>
        <w:tc>
          <w:tcPr>
            <w:tcW w:w="486" w:type="pct"/>
            <w:shd w:val="clear" w:color="auto" w:fill="auto"/>
            <w:vAlign w:val="center"/>
          </w:tcPr>
          <w:p w:rsidR="00D31920" w:rsidRPr="00D35D44" w:rsidRDefault="00D31920" w:rsidP="00866C5C">
            <w:pPr>
              <w:pStyle w:val="Tabletext"/>
              <w:keepNext/>
              <w:jc w:val="center"/>
              <w:rPr>
                <w:b/>
              </w:rPr>
            </w:pPr>
            <w:r w:rsidRPr="00D35D44">
              <w:rPr>
                <w:b/>
              </w:rPr>
              <w:t>Year 3</w:t>
            </w:r>
          </w:p>
        </w:tc>
        <w:tc>
          <w:tcPr>
            <w:tcW w:w="486" w:type="pct"/>
            <w:shd w:val="clear" w:color="auto" w:fill="auto"/>
            <w:vAlign w:val="center"/>
          </w:tcPr>
          <w:p w:rsidR="00D31920" w:rsidRPr="00D35D44" w:rsidRDefault="00D31920" w:rsidP="00866C5C">
            <w:pPr>
              <w:pStyle w:val="Tabletext"/>
              <w:keepNext/>
              <w:jc w:val="center"/>
              <w:rPr>
                <w:b/>
              </w:rPr>
            </w:pPr>
            <w:r w:rsidRPr="00D35D44">
              <w:rPr>
                <w:b/>
              </w:rPr>
              <w:t>Year 4</w:t>
            </w:r>
          </w:p>
        </w:tc>
        <w:tc>
          <w:tcPr>
            <w:tcW w:w="486" w:type="pct"/>
            <w:shd w:val="clear" w:color="auto" w:fill="auto"/>
            <w:vAlign w:val="center"/>
          </w:tcPr>
          <w:p w:rsidR="00D31920" w:rsidRPr="00D35D44" w:rsidRDefault="00D31920" w:rsidP="00866C5C">
            <w:pPr>
              <w:pStyle w:val="Tabletext"/>
              <w:keepNext/>
              <w:jc w:val="center"/>
              <w:rPr>
                <w:b/>
              </w:rPr>
            </w:pPr>
            <w:r w:rsidRPr="00D35D44">
              <w:rPr>
                <w:b/>
              </w:rPr>
              <w:t>Year 5</w:t>
            </w:r>
          </w:p>
        </w:tc>
        <w:tc>
          <w:tcPr>
            <w:tcW w:w="486" w:type="pct"/>
          </w:tcPr>
          <w:p w:rsidR="00D31920" w:rsidRPr="00D35D44" w:rsidRDefault="00D31920" w:rsidP="00866C5C">
            <w:pPr>
              <w:pStyle w:val="Tabletext"/>
              <w:keepNext/>
              <w:jc w:val="center"/>
              <w:rPr>
                <w:b/>
              </w:rPr>
            </w:pPr>
            <w:r w:rsidRPr="00D35D44">
              <w:rPr>
                <w:b/>
              </w:rPr>
              <w:t>Year 6</w:t>
            </w:r>
          </w:p>
        </w:tc>
      </w:tr>
      <w:tr w:rsidR="00D31920" w:rsidRPr="00D35D44" w:rsidTr="008B34FE">
        <w:tc>
          <w:tcPr>
            <w:tcW w:w="5000" w:type="pct"/>
            <w:gridSpan w:val="7"/>
            <w:shd w:val="clear" w:color="auto" w:fill="auto"/>
            <w:vAlign w:val="center"/>
          </w:tcPr>
          <w:p w:rsidR="00D31920" w:rsidRPr="00DC6574" w:rsidRDefault="00D31920" w:rsidP="00866C5C">
            <w:pPr>
              <w:pStyle w:val="Tabletext"/>
              <w:keepNext/>
              <w:rPr>
                <w:b/>
                <w:bCs/>
                <w:color w:val="000000"/>
              </w:rPr>
            </w:pPr>
            <w:r w:rsidRPr="00DC6574">
              <w:rPr>
                <w:b/>
                <w:bCs/>
                <w:color w:val="000000"/>
              </w:rPr>
              <w:t>Estimated extent of use</w:t>
            </w:r>
          </w:p>
        </w:tc>
      </w:tr>
      <w:tr w:rsidR="00D31920" w:rsidRPr="00D35D44" w:rsidTr="002E3626">
        <w:tc>
          <w:tcPr>
            <w:tcW w:w="2082" w:type="pct"/>
            <w:shd w:val="clear" w:color="auto" w:fill="auto"/>
            <w:vAlign w:val="center"/>
          </w:tcPr>
          <w:p w:rsidR="00D31920" w:rsidRPr="00D35D44" w:rsidRDefault="00D31920" w:rsidP="00866C5C">
            <w:pPr>
              <w:pStyle w:val="Tabletext"/>
              <w:keepNext/>
              <w:rPr>
                <w:rFonts w:ascii="Times" w:hAnsi="Times"/>
                <w:bCs/>
              </w:rPr>
            </w:pPr>
            <w:r w:rsidRPr="00D35D44">
              <w:rPr>
                <w:bCs/>
              </w:rPr>
              <w:t>Number of patients treated</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b/>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b/>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b/>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b/>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b/>
                <w:noProof/>
                <w:color w:val="000000"/>
                <w:szCs w:val="20"/>
                <w:highlight w:val="black"/>
              </w:rPr>
              <w:t>'''''''''</w:t>
            </w:r>
          </w:p>
        </w:tc>
        <w:tc>
          <w:tcPr>
            <w:tcW w:w="486" w:type="pct"/>
            <w:vAlign w:val="center"/>
          </w:tcPr>
          <w:p w:rsidR="00D31920" w:rsidRPr="00A7601C" w:rsidRDefault="00A7601C" w:rsidP="00866C5C">
            <w:pPr>
              <w:pStyle w:val="Tabletext"/>
              <w:keepNext/>
              <w:jc w:val="center"/>
              <w:rPr>
                <w:bCs/>
                <w:color w:val="000000"/>
                <w:highlight w:val="black"/>
              </w:rPr>
            </w:pPr>
            <w:r>
              <w:rPr>
                <w:b/>
                <w:noProof/>
                <w:color w:val="000000"/>
                <w:szCs w:val="20"/>
                <w:highlight w:val="black"/>
              </w:rPr>
              <w:t>''''''''</w:t>
            </w:r>
          </w:p>
        </w:tc>
      </w:tr>
      <w:tr w:rsidR="00D31920" w:rsidRPr="00D35D44" w:rsidTr="002E3626">
        <w:tc>
          <w:tcPr>
            <w:tcW w:w="2082" w:type="pct"/>
            <w:shd w:val="clear" w:color="auto" w:fill="auto"/>
          </w:tcPr>
          <w:p w:rsidR="00D31920" w:rsidRPr="00D35D44" w:rsidRDefault="00D31920" w:rsidP="00866C5C">
            <w:pPr>
              <w:pStyle w:val="Tabletext"/>
              <w:keepNext/>
              <w:rPr>
                <w:bCs/>
                <w:szCs w:val="20"/>
                <w:vertAlign w:val="superscript"/>
              </w:rPr>
            </w:pPr>
            <w:r w:rsidRPr="00D35D44">
              <w:rPr>
                <w:bCs/>
                <w:szCs w:val="20"/>
              </w:rPr>
              <w:t xml:space="preserve">Number of scripts </w:t>
            </w:r>
            <w:proofErr w:type="spellStart"/>
            <w:r w:rsidRPr="00D35D44">
              <w:rPr>
                <w:bCs/>
                <w:szCs w:val="20"/>
              </w:rPr>
              <w:t>dispensed</w:t>
            </w:r>
            <w:r w:rsidRPr="00D35D44">
              <w:rPr>
                <w:bCs/>
                <w:szCs w:val="20"/>
                <w:vertAlign w:val="superscript"/>
              </w:rPr>
              <w:t>a</w:t>
            </w:r>
            <w:proofErr w:type="spellEnd"/>
          </w:p>
        </w:tc>
        <w:tc>
          <w:tcPr>
            <w:tcW w:w="486" w:type="pct"/>
            <w:shd w:val="clear" w:color="auto" w:fill="auto"/>
            <w:vAlign w:val="center"/>
          </w:tcPr>
          <w:p w:rsidR="00D31920" w:rsidRPr="00A7601C" w:rsidRDefault="00A7601C" w:rsidP="00866C5C">
            <w:pPr>
              <w:pStyle w:val="Tabletext"/>
              <w:keepNext/>
              <w:jc w:val="center"/>
              <w:rPr>
                <w:szCs w:val="20"/>
                <w:highlight w:val="black"/>
              </w:rPr>
            </w:pPr>
            <w:r>
              <w:rPr>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szCs w:val="20"/>
                <w:highlight w:val="black"/>
              </w:rPr>
            </w:pPr>
            <w:r>
              <w:rPr>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szCs w:val="20"/>
                <w:highlight w:val="black"/>
              </w:rPr>
            </w:pPr>
            <w:r>
              <w:rPr>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szCs w:val="20"/>
                <w:highlight w:val="black"/>
              </w:rPr>
            </w:pPr>
            <w:r>
              <w:rPr>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szCs w:val="20"/>
                <w:highlight w:val="black"/>
              </w:rPr>
            </w:pPr>
            <w:r>
              <w:rPr>
                <w:noProof/>
                <w:color w:val="000000"/>
                <w:szCs w:val="20"/>
                <w:highlight w:val="black"/>
              </w:rPr>
              <w:t>'''''''''''''''</w:t>
            </w:r>
          </w:p>
        </w:tc>
        <w:tc>
          <w:tcPr>
            <w:tcW w:w="486" w:type="pct"/>
            <w:vAlign w:val="center"/>
          </w:tcPr>
          <w:p w:rsidR="00D31920" w:rsidRPr="00A7601C" w:rsidRDefault="00A7601C" w:rsidP="00866C5C">
            <w:pPr>
              <w:pStyle w:val="Tabletext"/>
              <w:keepNext/>
              <w:jc w:val="center"/>
              <w:rPr>
                <w:szCs w:val="20"/>
                <w:highlight w:val="black"/>
              </w:rPr>
            </w:pPr>
            <w:r>
              <w:rPr>
                <w:noProof/>
                <w:color w:val="000000"/>
                <w:szCs w:val="20"/>
                <w:highlight w:val="black"/>
              </w:rPr>
              <w:t>'''''''''''''''''</w:t>
            </w:r>
          </w:p>
        </w:tc>
      </w:tr>
      <w:tr w:rsidR="00D31920" w:rsidRPr="00D35D44" w:rsidTr="002E3626">
        <w:tc>
          <w:tcPr>
            <w:tcW w:w="2082" w:type="pct"/>
            <w:shd w:val="clear" w:color="auto" w:fill="auto"/>
          </w:tcPr>
          <w:p w:rsidR="00D31920" w:rsidRPr="00D35D44" w:rsidRDefault="00D31920" w:rsidP="00866C5C">
            <w:pPr>
              <w:pStyle w:val="Tabletext"/>
              <w:keepNext/>
              <w:rPr>
                <w:rFonts w:ascii="Times" w:hAnsi="Times"/>
                <w:bCs/>
              </w:rPr>
            </w:pPr>
            <w:r w:rsidRPr="00D35D44">
              <w:rPr>
                <w:bCs/>
                <w:szCs w:val="20"/>
              </w:rPr>
              <w:t xml:space="preserve">Total number of vials reimbursed </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r>
      <w:tr w:rsidR="00D31920" w:rsidRPr="00D35D44" w:rsidTr="002E3626">
        <w:tc>
          <w:tcPr>
            <w:tcW w:w="2082" w:type="pct"/>
            <w:shd w:val="clear" w:color="auto" w:fill="auto"/>
          </w:tcPr>
          <w:p w:rsidR="00D31920" w:rsidRPr="00D35D44" w:rsidRDefault="00D31920" w:rsidP="00866C5C">
            <w:pPr>
              <w:pStyle w:val="Tabletext"/>
              <w:keepNext/>
              <w:ind w:left="107"/>
              <w:rPr>
                <w:bCs/>
              </w:rPr>
            </w:pPr>
            <w:r w:rsidRPr="00D35D44">
              <w:rPr>
                <w:szCs w:val="20"/>
              </w:rPr>
              <w:t>Number of 100mg vials (</w:t>
            </w:r>
            <w:r w:rsidR="00A7601C">
              <w:rPr>
                <w:noProof/>
                <w:color w:val="000000"/>
                <w:szCs w:val="20"/>
                <w:highlight w:val="black"/>
              </w:rPr>
              <w:t>''''''''''</w:t>
            </w:r>
            <w:r w:rsidRPr="00D35D44">
              <w:rPr>
                <w:szCs w:val="20"/>
              </w:rPr>
              <w:t xml:space="preserve"> vials/patient)</w:t>
            </w:r>
            <w:r w:rsidRPr="00D35D44">
              <w:rPr>
                <w:szCs w:val="20"/>
                <w:vertAlign w:val="superscript"/>
              </w:rPr>
              <w:t>b</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r>
      <w:tr w:rsidR="00D31920" w:rsidRPr="00D35D44" w:rsidTr="002E3626">
        <w:tc>
          <w:tcPr>
            <w:tcW w:w="2082" w:type="pct"/>
            <w:shd w:val="clear" w:color="auto" w:fill="auto"/>
          </w:tcPr>
          <w:p w:rsidR="00D31920" w:rsidRPr="00D35D44" w:rsidRDefault="00D31920" w:rsidP="00866C5C">
            <w:pPr>
              <w:pStyle w:val="Tabletext"/>
              <w:keepNext/>
              <w:ind w:left="107"/>
              <w:rPr>
                <w:bCs/>
              </w:rPr>
            </w:pPr>
            <w:r w:rsidRPr="00D35D44">
              <w:rPr>
                <w:szCs w:val="20"/>
              </w:rPr>
              <w:t>Number of 500mg vials (1 vial/patient)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r>
      <w:tr w:rsidR="00D31920" w:rsidRPr="00D35D44" w:rsidTr="002E3626">
        <w:tc>
          <w:tcPr>
            <w:tcW w:w="2082" w:type="pct"/>
            <w:shd w:val="clear" w:color="auto" w:fill="auto"/>
          </w:tcPr>
          <w:p w:rsidR="00D31920" w:rsidRPr="00D35D44" w:rsidRDefault="00D31920" w:rsidP="00866C5C">
            <w:pPr>
              <w:pStyle w:val="Tabletext"/>
              <w:keepNext/>
              <w:rPr>
                <w:bCs/>
              </w:rPr>
            </w:pPr>
            <w:r w:rsidRPr="00D35D44">
              <w:rPr>
                <w:bCs/>
                <w:szCs w:val="20"/>
              </w:rPr>
              <w:t>Total number of vials dispensed</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r>
      <w:tr w:rsidR="00D31920" w:rsidRPr="00D35D44" w:rsidTr="002E3626">
        <w:tc>
          <w:tcPr>
            <w:tcW w:w="2082" w:type="pct"/>
            <w:shd w:val="clear" w:color="auto" w:fill="auto"/>
          </w:tcPr>
          <w:p w:rsidR="00D31920" w:rsidRPr="00D35D44" w:rsidRDefault="00D31920" w:rsidP="00866C5C">
            <w:pPr>
              <w:pStyle w:val="Tabletext"/>
              <w:keepNext/>
              <w:ind w:left="107"/>
              <w:rPr>
                <w:bCs/>
              </w:rPr>
            </w:pPr>
            <w:r w:rsidRPr="00D35D44">
              <w:rPr>
                <w:szCs w:val="20"/>
              </w:rPr>
              <w:t>Number of 100mg vials (</w:t>
            </w:r>
            <w:r w:rsidR="00A7601C">
              <w:rPr>
                <w:noProof/>
                <w:color w:val="000000"/>
                <w:szCs w:val="20"/>
                <w:highlight w:val="black"/>
              </w:rPr>
              <w:t>''''''''''''</w:t>
            </w:r>
            <w:r w:rsidRPr="00D35D44">
              <w:rPr>
                <w:szCs w:val="20"/>
              </w:rPr>
              <w:t xml:space="preserve"> vials/patient)</w:t>
            </w:r>
            <w:r w:rsidRPr="00D35D44">
              <w:rPr>
                <w:szCs w:val="20"/>
                <w:vertAlign w:val="superscript"/>
              </w:rPr>
              <w:t>c</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r>
      <w:tr w:rsidR="00D31920" w:rsidRPr="00D35D44" w:rsidTr="002E3626">
        <w:tc>
          <w:tcPr>
            <w:tcW w:w="2082" w:type="pct"/>
            <w:shd w:val="clear" w:color="auto" w:fill="auto"/>
          </w:tcPr>
          <w:p w:rsidR="00D31920" w:rsidRPr="00D35D44" w:rsidRDefault="00D31920" w:rsidP="00866C5C">
            <w:pPr>
              <w:pStyle w:val="Tabletext"/>
              <w:keepNext/>
              <w:ind w:left="107"/>
              <w:rPr>
                <w:bCs/>
              </w:rPr>
            </w:pPr>
            <w:r w:rsidRPr="00D35D44">
              <w:rPr>
                <w:szCs w:val="20"/>
              </w:rPr>
              <w:t>Number of 500mg vials (</w:t>
            </w:r>
            <w:r w:rsidR="00A7601C">
              <w:rPr>
                <w:noProof/>
                <w:color w:val="000000"/>
                <w:szCs w:val="20"/>
                <w:highlight w:val="black"/>
              </w:rPr>
              <w:t>''''</w:t>
            </w:r>
            <w:r w:rsidRPr="00D35D44">
              <w:rPr>
                <w:szCs w:val="20"/>
              </w:rPr>
              <w:t xml:space="preserve"> vial/patient)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shd w:val="clear" w:color="auto" w:fill="auto"/>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c>
          <w:tcPr>
            <w:tcW w:w="486" w:type="pct"/>
            <w:vAlign w:val="center"/>
          </w:tcPr>
          <w:p w:rsidR="00D31920" w:rsidRPr="00A7601C" w:rsidRDefault="00A7601C" w:rsidP="00866C5C">
            <w:pPr>
              <w:pStyle w:val="Tabletext"/>
              <w:keepNext/>
              <w:jc w:val="center"/>
              <w:rPr>
                <w:bCs/>
                <w:color w:val="000000"/>
                <w:highlight w:val="black"/>
              </w:rPr>
            </w:pPr>
            <w:r>
              <w:rPr>
                <w:noProof/>
                <w:color w:val="000000"/>
                <w:szCs w:val="20"/>
                <w:highlight w:val="black"/>
              </w:rPr>
              <w:t>'''''''''</w:t>
            </w:r>
          </w:p>
        </w:tc>
      </w:tr>
      <w:tr w:rsidR="00D31920" w:rsidRPr="00D35D44" w:rsidTr="008B34FE">
        <w:tc>
          <w:tcPr>
            <w:tcW w:w="5000" w:type="pct"/>
            <w:gridSpan w:val="7"/>
            <w:shd w:val="clear" w:color="auto" w:fill="auto"/>
            <w:vAlign w:val="center"/>
          </w:tcPr>
          <w:p w:rsidR="00D31920" w:rsidRPr="00DC6574" w:rsidRDefault="00D31920" w:rsidP="00866C5C">
            <w:pPr>
              <w:pStyle w:val="Tabletext"/>
              <w:keepNext/>
              <w:rPr>
                <w:b/>
                <w:bCs/>
                <w:color w:val="000000"/>
              </w:rPr>
            </w:pPr>
            <w:r w:rsidRPr="00DC6574">
              <w:rPr>
                <w:b/>
                <w:bCs/>
                <w:color w:val="000000"/>
              </w:rPr>
              <w:t>Estimated financial implications of cetuximab</w:t>
            </w:r>
          </w:p>
        </w:tc>
      </w:tr>
      <w:tr w:rsidR="00D31920" w:rsidRPr="00D35D44" w:rsidTr="002E3626">
        <w:tc>
          <w:tcPr>
            <w:tcW w:w="2082" w:type="pct"/>
            <w:shd w:val="clear" w:color="auto" w:fill="auto"/>
            <w:vAlign w:val="center"/>
          </w:tcPr>
          <w:p w:rsidR="00D31920" w:rsidRPr="00AE05BB" w:rsidRDefault="00D31920" w:rsidP="00866C5C">
            <w:pPr>
              <w:pStyle w:val="Tabletext"/>
              <w:keepNext/>
              <w:rPr>
                <w:rFonts w:ascii="Times" w:hAnsi="Times"/>
                <w:bCs/>
                <w:szCs w:val="20"/>
                <w:vertAlign w:val="superscript"/>
              </w:rPr>
            </w:pPr>
            <w:r w:rsidRPr="00AE05BB">
              <w:rPr>
                <w:bCs/>
                <w:szCs w:val="20"/>
              </w:rPr>
              <w:t>Cost to PBS/</w:t>
            </w:r>
            <w:proofErr w:type="spellStart"/>
            <w:r w:rsidRPr="00AE05BB">
              <w:rPr>
                <w:bCs/>
                <w:szCs w:val="20"/>
              </w:rPr>
              <w:t>RPBS</w:t>
            </w:r>
            <w:r w:rsidRPr="00AE05BB">
              <w:rPr>
                <w:bCs/>
                <w:szCs w:val="20"/>
                <w:vertAlign w:val="superscript"/>
              </w:rPr>
              <w:t>d</w:t>
            </w:r>
            <w:proofErr w:type="spellEnd"/>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r>
      <w:tr w:rsidR="00D31920" w:rsidRPr="00D35D44" w:rsidTr="002E3626">
        <w:tc>
          <w:tcPr>
            <w:tcW w:w="2082" w:type="pct"/>
            <w:shd w:val="clear" w:color="auto" w:fill="auto"/>
            <w:vAlign w:val="center"/>
          </w:tcPr>
          <w:p w:rsidR="00D31920" w:rsidRPr="00AE05BB" w:rsidRDefault="002A24A7" w:rsidP="00866C5C">
            <w:pPr>
              <w:pStyle w:val="Tabletext"/>
              <w:keepNext/>
              <w:rPr>
                <w:bCs/>
                <w:szCs w:val="20"/>
              </w:rPr>
            </w:pPr>
            <w:r w:rsidRPr="00AE05BB">
              <w:rPr>
                <w:bCs/>
                <w:szCs w:val="20"/>
              </w:rPr>
              <w:t>Co-payments</w:t>
            </w:r>
            <w:r w:rsidR="00D31920" w:rsidRPr="00AE05BB">
              <w:rPr>
                <w:bCs/>
                <w:szCs w:val="20"/>
              </w:rPr>
              <w:t xml:space="preserve"> ($19.29×2/patient)</w:t>
            </w:r>
            <w:r w:rsidR="00D31920" w:rsidRPr="00AE05BB">
              <w:rPr>
                <w:bCs/>
                <w:szCs w:val="20"/>
                <w:vertAlign w:val="superscript"/>
              </w:rPr>
              <w:t>e</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bCs/>
                <w:szCs w:val="20"/>
              </w:rPr>
              <w:t>$</w:t>
            </w:r>
            <w:r w:rsidR="00A7601C">
              <w:rPr>
                <w:bCs/>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bCs/>
                <w:szCs w:val="20"/>
              </w:rPr>
              <w:t>$</w:t>
            </w:r>
            <w:r w:rsidR="00A7601C">
              <w:rPr>
                <w:bCs/>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bCs/>
                <w:szCs w:val="20"/>
              </w:rPr>
              <w:t>$</w:t>
            </w:r>
            <w:r w:rsidR="00A7601C">
              <w:rPr>
                <w:bCs/>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bCs/>
                <w:szCs w:val="20"/>
              </w:rPr>
              <w:t>$</w:t>
            </w:r>
            <w:r w:rsidR="00A7601C">
              <w:rPr>
                <w:bCs/>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bCs/>
                <w:szCs w:val="20"/>
              </w:rPr>
              <w:t>$</w:t>
            </w:r>
            <w:r w:rsidR="00A7601C">
              <w:rPr>
                <w:bCs/>
                <w:noProof/>
                <w:color w:val="000000"/>
                <w:szCs w:val="20"/>
                <w:highlight w:val="black"/>
              </w:rPr>
              <w:t>'''''''''''''''''</w:t>
            </w:r>
          </w:p>
        </w:tc>
        <w:tc>
          <w:tcPr>
            <w:tcW w:w="486" w:type="pct"/>
            <w:vAlign w:val="center"/>
          </w:tcPr>
          <w:p w:rsidR="00D31920" w:rsidRPr="00D35D44" w:rsidRDefault="00D31920" w:rsidP="00866C5C">
            <w:pPr>
              <w:pStyle w:val="Tabletext"/>
              <w:keepNext/>
              <w:jc w:val="center"/>
              <w:rPr>
                <w:bCs/>
                <w:color w:val="000000"/>
              </w:rPr>
            </w:pPr>
            <w:r w:rsidRPr="00D35D44">
              <w:rPr>
                <w:bCs/>
                <w:szCs w:val="20"/>
              </w:rPr>
              <w:t>$</w:t>
            </w:r>
            <w:r w:rsidR="00A7601C">
              <w:rPr>
                <w:bCs/>
                <w:noProof/>
                <w:color w:val="000000"/>
                <w:szCs w:val="20"/>
                <w:highlight w:val="black"/>
              </w:rPr>
              <w:t>'''''''''''''''''</w:t>
            </w:r>
          </w:p>
        </w:tc>
      </w:tr>
      <w:tr w:rsidR="00D31920" w:rsidRPr="00D35D44" w:rsidTr="002E3626">
        <w:tc>
          <w:tcPr>
            <w:tcW w:w="2082" w:type="pct"/>
            <w:shd w:val="clear" w:color="auto" w:fill="auto"/>
            <w:vAlign w:val="center"/>
          </w:tcPr>
          <w:p w:rsidR="00D31920" w:rsidRPr="00D35D44" w:rsidRDefault="00D31920" w:rsidP="00866C5C">
            <w:pPr>
              <w:pStyle w:val="Tabletext"/>
              <w:keepNext/>
              <w:rPr>
                <w:bCs/>
                <w:sz w:val="19"/>
                <w:szCs w:val="19"/>
              </w:rPr>
            </w:pPr>
            <w:r w:rsidRPr="00D35D44">
              <w:rPr>
                <w:bCs/>
                <w:sz w:val="19"/>
                <w:szCs w:val="19"/>
              </w:rPr>
              <w:t xml:space="preserve">Cost to PBS/RPBS less </w:t>
            </w:r>
            <w:r w:rsidR="002A24A7" w:rsidRPr="00D35D44">
              <w:rPr>
                <w:bCs/>
                <w:sz w:val="19"/>
                <w:szCs w:val="19"/>
              </w:rPr>
              <w:t>co-payments</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r>
      <w:tr w:rsidR="00D31920" w:rsidRPr="00D35D44" w:rsidTr="008B34FE">
        <w:tc>
          <w:tcPr>
            <w:tcW w:w="5000" w:type="pct"/>
            <w:gridSpan w:val="7"/>
            <w:shd w:val="clear" w:color="auto" w:fill="auto"/>
            <w:vAlign w:val="center"/>
          </w:tcPr>
          <w:p w:rsidR="00D31920" w:rsidRPr="00DC6574" w:rsidRDefault="00D31920" w:rsidP="00866C5C">
            <w:pPr>
              <w:pStyle w:val="Tabletext"/>
              <w:keepNext/>
              <w:rPr>
                <w:b/>
                <w:bCs/>
                <w:color w:val="000000"/>
              </w:rPr>
            </w:pPr>
            <w:r w:rsidRPr="00DC6574">
              <w:rPr>
                <w:b/>
                <w:bCs/>
                <w:color w:val="000000"/>
              </w:rPr>
              <w:t>Estimated financial implications for other medications</w:t>
            </w:r>
          </w:p>
        </w:tc>
      </w:tr>
      <w:tr w:rsidR="00D31920" w:rsidRPr="00D35D44" w:rsidTr="002E3626">
        <w:tc>
          <w:tcPr>
            <w:tcW w:w="2082" w:type="pct"/>
            <w:shd w:val="clear" w:color="auto" w:fill="auto"/>
            <w:vAlign w:val="center"/>
          </w:tcPr>
          <w:p w:rsidR="00D31920" w:rsidRPr="00D35D44" w:rsidRDefault="00D31920" w:rsidP="00866C5C">
            <w:pPr>
              <w:pStyle w:val="Tabletext"/>
              <w:keepNext/>
              <w:rPr>
                <w:bCs/>
                <w:sz w:val="19"/>
                <w:szCs w:val="19"/>
                <w:vertAlign w:val="superscript"/>
              </w:rPr>
            </w:pPr>
            <w:r w:rsidRPr="00D35D44">
              <w:rPr>
                <w:szCs w:val="20"/>
              </w:rPr>
              <w:t>Costs of managing AEs ($22.05/patient)</w:t>
            </w:r>
            <w:r w:rsidRPr="00D35D44">
              <w:rPr>
                <w:szCs w:val="20"/>
                <w:vertAlign w:val="superscript"/>
              </w:rPr>
              <w:t>f</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r>
      <w:tr w:rsidR="00D31920" w:rsidRPr="00D35D44" w:rsidTr="002E3626">
        <w:tc>
          <w:tcPr>
            <w:tcW w:w="2082" w:type="pct"/>
            <w:shd w:val="clear" w:color="auto" w:fill="auto"/>
            <w:vAlign w:val="center"/>
          </w:tcPr>
          <w:p w:rsidR="00D31920" w:rsidRPr="00D35D44" w:rsidRDefault="00D31920" w:rsidP="00866C5C">
            <w:pPr>
              <w:pStyle w:val="Tabletext"/>
              <w:keepNext/>
              <w:rPr>
                <w:bCs/>
                <w:sz w:val="19"/>
                <w:szCs w:val="19"/>
                <w:vertAlign w:val="superscript"/>
              </w:rPr>
            </w:pPr>
            <w:r w:rsidRPr="00D35D44">
              <w:rPr>
                <w:szCs w:val="20"/>
              </w:rPr>
              <w:t>Incremental cost of CT ($154.37/patient)</w:t>
            </w:r>
            <w:r w:rsidRPr="00D35D44">
              <w:rPr>
                <w:szCs w:val="20"/>
                <w:vertAlign w:val="superscript"/>
              </w:rPr>
              <w:t>g</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r>
      <w:tr w:rsidR="00D31920" w:rsidRPr="00D35D44" w:rsidTr="002E3626">
        <w:tc>
          <w:tcPr>
            <w:tcW w:w="2082" w:type="pct"/>
            <w:shd w:val="clear" w:color="auto" w:fill="auto"/>
            <w:vAlign w:val="center"/>
          </w:tcPr>
          <w:p w:rsidR="00D31920" w:rsidRPr="00D35D44" w:rsidRDefault="00D31920" w:rsidP="00866C5C">
            <w:pPr>
              <w:pStyle w:val="Tabletext"/>
              <w:keepNext/>
              <w:rPr>
                <w:bCs/>
                <w:sz w:val="19"/>
                <w:szCs w:val="19"/>
              </w:rPr>
            </w:pPr>
            <w:r w:rsidRPr="00D35D44">
              <w:rPr>
                <w:szCs w:val="20"/>
              </w:rPr>
              <w:t>Total cost of other drugs</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r>
      <w:tr w:rsidR="00D31920" w:rsidRPr="00D35D44" w:rsidTr="002E3626">
        <w:tc>
          <w:tcPr>
            <w:tcW w:w="2082" w:type="pct"/>
            <w:shd w:val="clear" w:color="auto" w:fill="auto"/>
            <w:vAlign w:val="center"/>
          </w:tcPr>
          <w:p w:rsidR="00D31920" w:rsidRPr="00D35D44" w:rsidRDefault="00D31920" w:rsidP="00866C5C">
            <w:pPr>
              <w:pStyle w:val="Tabletext"/>
              <w:keepNext/>
              <w:rPr>
                <w:bCs/>
                <w:sz w:val="19"/>
                <w:szCs w:val="19"/>
              </w:rPr>
            </w:pPr>
            <w:r w:rsidRPr="00D35D44">
              <w:t xml:space="preserve">Total cetuximab + cost of other drugs </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bCs/>
                <w:szCs w:val="20"/>
              </w:rPr>
              <w:t>$</w:t>
            </w:r>
            <w:r w:rsidR="00A7601C">
              <w:rPr>
                <w:bCs/>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bCs/>
                <w:szCs w:val="20"/>
              </w:rPr>
              <w:t>$</w:t>
            </w:r>
            <w:r w:rsidR="00A7601C">
              <w:rPr>
                <w:bCs/>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bCs/>
                <w:szCs w:val="20"/>
              </w:rPr>
              <w:t>$</w:t>
            </w:r>
            <w:r w:rsidR="00A7601C">
              <w:rPr>
                <w:bCs/>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bCs/>
                <w:szCs w:val="20"/>
              </w:rPr>
              <w:t>$</w:t>
            </w:r>
            <w:r w:rsidR="00A7601C">
              <w:rPr>
                <w:bCs/>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bCs/>
                <w:szCs w:val="20"/>
              </w:rPr>
              <w:t>$</w:t>
            </w:r>
            <w:r w:rsidR="00A7601C">
              <w:rPr>
                <w:bCs/>
                <w:noProof/>
                <w:color w:val="000000"/>
                <w:szCs w:val="20"/>
                <w:highlight w:val="black"/>
              </w:rPr>
              <w:t>''''''''''''''''''''''''</w:t>
            </w:r>
          </w:p>
        </w:tc>
        <w:tc>
          <w:tcPr>
            <w:tcW w:w="486" w:type="pct"/>
            <w:vAlign w:val="center"/>
          </w:tcPr>
          <w:p w:rsidR="00D31920" w:rsidRPr="00D35D44" w:rsidRDefault="00D31920" w:rsidP="00866C5C">
            <w:pPr>
              <w:pStyle w:val="Tabletext"/>
              <w:keepNext/>
              <w:jc w:val="center"/>
              <w:rPr>
                <w:bCs/>
                <w:color w:val="000000"/>
              </w:rPr>
            </w:pPr>
            <w:r w:rsidRPr="00D35D44">
              <w:rPr>
                <w:bCs/>
                <w:szCs w:val="20"/>
              </w:rPr>
              <w:t>$</w:t>
            </w:r>
            <w:r w:rsidR="00A7601C">
              <w:rPr>
                <w:bCs/>
                <w:noProof/>
                <w:color w:val="000000"/>
                <w:szCs w:val="20"/>
                <w:highlight w:val="black"/>
              </w:rPr>
              <w:t>'''''''''''''''''''''''</w:t>
            </w:r>
          </w:p>
        </w:tc>
      </w:tr>
      <w:tr w:rsidR="00D31920" w:rsidRPr="00D35D44" w:rsidTr="008B34FE">
        <w:tc>
          <w:tcPr>
            <w:tcW w:w="5000" w:type="pct"/>
            <w:gridSpan w:val="7"/>
            <w:shd w:val="clear" w:color="auto" w:fill="auto"/>
            <w:vAlign w:val="center"/>
          </w:tcPr>
          <w:p w:rsidR="00D31920" w:rsidRPr="00DC6574" w:rsidRDefault="00D31920" w:rsidP="00866C5C">
            <w:pPr>
              <w:pStyle w:val="Tabletext"/>
              <w:keepNext/>
              <w:rPr>
                <w:b/>
                <w:bCs/>
                <w:color w:val="000000"/>
              </w:rPr>
            </w:pPr>
            <w:r w:rsidRPr="00DC6574">
              <w:rPr>
                <w:b/>
                <w:bCs/>
                <w:color w:val="000000"/>
              </w:rPr>
              <w:t>Net financial implications</w:t>
            </w:r>
            <w:r w:rsidRPr="00DC6574">
              <w:rPr>
                <w:b/>
                <w:bCs/>
                <w:color w:val="4BACC6" w:themeColor="accent5"/>
              </w:rPr>
              <w:t xml:space="preserve"> </w:t>
            </w:r>
          </w:p>
        </w:tc>
      </w:tr>
      <w:tr w:rsidR="00D31920" w:rsidRPr="00D35D44" w:rsidTr="002E3626">
        <w:tc>
          <w:tcPr>
            <w:tcW w:w="2082" w:type="pct"/>
            <w:shd w:val="clear" w:color="auto" w:fill="auto"/>
            <w:vAlign w:val="bottom"/>
          </w:tcPr>
          <w:p w:rsidR="00D31920" w:rsidRPr="00D35D44" w:rsidRDefault="00D31920" w:rsidP="00866C5C">
            <w:pPr>
              <w:pStyle w:val="Tabletext"/>
              <w:keepNext/>
              <w:rPr>
                <w:bCs/>
                <w:sz w:val="19"/>
                <w:szCs w:val="19"/>
              </w:rPr>
            </w:pPr>
            <w:r w:rsidRPr="00D35D44">
              <w:rPr>
                <w:szCs w:val="20"/>
              </w:rPr>
              <w:t>Net cost to the PBS/RPBS</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r>
      <w:tr w:rsidR="00D31920" w:rsidRPr="00D35D44" w:rsidTr="002E3626">
        <w:tc>
          <w:tcPr>
            <w:tcW w:w="2082" w:type="pct"/>
            <w:shd w:val="clear" w:color="auto" w:fill="auto"/>
            <w:vAlign w:val="bottom"/>
          </w:tcPr>
          <w:p w:rsidR="00D31920" w:rsidRPr="00D35D44" w:rsidRDefault="00D31920" w:rsidP="00866C5C">
            <w:pPr>
              <w:pStyle w:val="Tabletext"/>
              <w:keepNext/>
              <w:rPr>
                <w:rFonts w:ascii="Times" w:hAnsi="Times"/>
                <w:bCs/>
              </w:rPr>
            </w:pPr>
            <w:r w:rsidRPr="00D35D44">
              <w:rPr>
                <w:szCs w:val="20"/>
              </w:rPr>
              <w:t>Cost to MBS: Total cost of infusions (Additional $</w:t>
            </w:r>
            <w:r w:rsidR="00A7601C">
              <w:rPr>
                <w:noProof/>
                <w:color w:val="000000"/>
                <w:szCs w:val="20"/>
                <w:highlight w:val="black"/>
              </w:rPr>
              <w:t>'''''''''''''''''</w:t>
            </w:r>
            <w:r w:rsidRPr="00D35D44">
              <w:rPr>
                <w:szCs w:val="20"/>
              </w:rPr>
              <w:t>/patient)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c>
          <w:tcPr>
            <w:tcW w:w="486" w:type="pct"/>
            <w:vAlign w:val="center"/>
          </w:tcPr>
          <w:p w:rsidR="00D31920" w:rsidRPr="00D35D44" w:rsidRDefault="00D31920" w:rsidP="00866C5C">
            <w:pPr>
              <w:pStyle w:val="Tabletext"/>
              <w:keepNext/>
              <w:jc w:val="center"/>
              <w:rPr>
                <w:bCs/>
                <w:color w:val="000000"/>
              </w:rPr>
            </w:pPr>
            <w:r w:rsidRPr="00D35D44">
              <w:rPr>
                <w:szCs w:val="20"/>
              </w:rPr>
              <w:t>$</w:t>
            </w:r>
            <w:r w:rsidR="00A7601C">
              <w:rPr>
                <w:noProof/>
                <w:color w:val="000000"/>
                <w:szCs w:val="20"/>
                <w:highlight w:val="black"/>
              </w:rPr>
              <w:t>''''''''''''''''''</w:t>
            </w:r>
          </w:p>
        </w:tc>
      </w:tr>
      <w:tr w:rsidR="00D31920" w:rsidRPr="00D35D44" w:rsidTr="002E3626">
        <w:tc>
          <w:tcPr>
            <w:tcW w:w="2082" w:type="pct"/>
            <w:shd w:val="clear" w:color="auto" w:fill="auto"/>
            <w:vAlign w:val="bottom"/>
          </w:tcPr>
          <w:p w:rsidR="00D31920" w:rsidRPr="00D35D44" w:rsidRDefault="00D31920" w:rsidP="00866C5C">
            <w:pPr>
              <w:pStyle w:val="Tabletext"/>
              <w:keepNext/>
              <w:rPr>
                <w:bCs/>
                <w:sz w:val="19"/>
                <w:szCs w:val="19"/>
              </w:rPr>
            </w:pPr>
            <w:r w:rsidRPr="00D35D44">
              <w:rPr>
                <w:b/>
                <w:bCs/>
                <w:szCs w:val="20"/>
              </w:rPr>
              <w:t>Net cost to government budget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b/>
                <w:bCs/>
                <w:szCs w:val="20"/>
              </w:rPr>
              <w:t>$</w:t>
            </w:r>
            <w:r w:rsidR="00A7601C">
              <w:rPr>
                <w:b/>
                <w:bCs/>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b/>
                <w:bCs/>
                <w:szCs w:val="20"/>
              </w:rPr>
              <w:t>$</w:t>
            </w:r>
            <w:r w:rsidR="00A7601C">
              <w:rPr>
                <w:b/>
                <w:bCs/>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b/>
                <w:bCs/>
                <w:szCs w:val="20"/>
              </w:rPr>
              <w:t>$</w:t>
            </w:r>
            <w:r w:rsidR="00A7601C">
              <w:rPr>
                <w:b/>
                <w:bCs/>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b/>
                <w:bCs/>
                <w:szCs w:val="20"/>
              </w:rPr>
              <w:t>$</w:t>
            </w:r>
            <w:r w:rsidR="00A7601C">
              <w:rPr>
                <w:b/>
                <w:bCs/>
                <w:noProof/>
                <w:color w:val="000000"/>
                <w:szCs w:val="20"/>
                <w:highlight w:val="black"/>
              </w:rPr>
              <w:t>''''''''''''''''''''</w:t>
            </w:r>
          </w:p>
        </w:tc>
        <w:tc>
          <w:tcPr>
            <w:tcW w:w="486" w:type="pct"/>
            <w:shd w:val="clear" w:color="auto" w:fill="auto"/>
            <w:vAlign w:val="center"/>
          </w:tcPr>
          <w:p w:rsidR="00D31920" w:rsidRPr="00D35D44" w:rsidRDefault="00D31920" w:rsidP="00866C5C">
            <w:pPr>
              <w:pStyle w:val="Tabletext"/>
              <w:keepNext/>
              <w:jc w:val="center"/>
              <w:rPr>
                <w:bCs/>
                <w:color w:val="000000"/>
              </w:rPr>
            </w:pPr>
            <w:r w:rsidRPr="00D35D44">
              <w:rPr>
                <w:b/>
                <w:bCs/>
                <w:szCs w:val="20"/>
              </w:rPr>
              <w:t>$</w:t>
            </w:r>
            <w:r w:rsidR="00A7601C">
              <w:rPr>
                <w:b/>
                <w:bCs/>
                <w:noProof/>
                <w:color w:val="000000"/>
                <w:szCs w:val="20"/>
                <w:highlight w:val="black"/>
              </w:rPr>
              <w:t>'''''''''''''''''''</w:t>
            </w:r>
          </w:p>
        </w:tc>
        <w:tc>
          <w:tcPr>
            <w:tcW w:w="486" w:type="pct"/>
            <w:vAlign w:val="center"/>
          </w:tcPr>
          <w:p w:rsidR="00D31920" w:rsidRPr="00D35D44" w:rsidRDefault="00D31920" w:rsidP="00866C5C">
            <w:pPr>
              <w:pStyle w:val="Tabletext"/>
              <w:keepNext/>
              <w:jc w:val="center"/>
              <w:rPr>
                <w:bCs/>
                <w:color w:val="000000"/>
              </w:rPr>
            </w:pPr>
            <w:r w:rsidRPr="00D35D44">
              <w:rPr>
                <w:b/>
                <w:bCs/>
                <w:szCs w:val="20"/>
              </w:rPr>
              <w:t>$</w:t>
            </w:r>
            <w:r w:rsidR="00A7601C">
              <w:rPr>
                <w:b/>
                <w:bCs/>
                <w:noProof/>
                <w:color w:val="000000"/>
                <w:szCs w:val="20"/>
                <w:highlight w:val="black"/>
              </w:rPr>
              <w:t>'''''''''''''''''''</w:t>
            </w:r>
          </w:p>
        </w:tc>
      </w:tr>
    </w:tbl>
    <w:p w:rsidR="00D31920" w:rsidRPr="00D35D44" w:rsidRDefault="00D31920" w:rsidP="008B34FE">
      <w:pPr>
        <w:keepNext/>
        <w:keepLines/>
        <w:ind w:left="165" w:hanging="165"/>
        <w:rPr>
          <w:rFonts w:ascii="Arial Narrow" w:hAnsi="Arial Narrow"/>
          <w:bCs/>
          <w:sz w:val="18"/>
          <w:szCs w:val="20"/>
        </w:rPr>
      </w:pPr>
      <w:proofErr w:type="spellStart"/>
      <w:proofErr w:type="gramStart"/>
      <w:r w:rsidRPr="00D35D44">
        <w:rPr>
          <w:rFonts w:ascii="Arial Narrow" w:hAnsi="Arial Narrow"/>
          <w:bCs/>
          <w:sz w:val="18"/>
          <w:szCs w:val="20"/>
          <w:vertAlign w:val="superscript"/>
        </w:rPr>
        <w:t>a</w:t>
      </w:r>
      <w:proofErr w:type="spellEnd"/>
      <w:proofErr w:type="gramEnd"/>
      <w:r w:rsidRPr="00D35D44">
        <w:rPr>
          <w:rFonts w:ascii="Arial Narrow" w:hAnsi="Arial Narrow"/>
          <w:bCs/>
          <w:sz w:val="18"/>
          <w:szCs w:val="20"/>
          <w:vertAlign w:val="superscript"/>
        </w:rPr>
        <w:tab/>
      </w:r>
      <w:r w:rsidRPr="00D35D44">
        <w:rPr>
          <w:rFonts w:ascii="Arial Narrow" w:hAnsi="Arial Narrow"/>
          <w:bCs/>
          <w:sz w:val="18"/>
          <w:szCs w:val="20"/>
        </w:rPr>
        <w:t xml:space="preserve">Average number was 20.1 in EXTREME, but resubmission assumed that </w:t>
      </w:r>
      <w:r w:rsidR="00A7601C">
        <w:rPr>
          <w:rFonts w:ascii="Arial Narrow" w:hAnsi="Arial Narrow"/>
          <w:bCs/>
          <w:noProof/>
          <w:color w:val="000000"/>
          <w:sz w:val="18"/>
          <w:szCs w:val="20"/>
          <w:highlight w:val="black"/>
        </w:rPr>
        <w:t>'''''''</w:t>
      </w:r>
      <w:r w:rsidRPr="00D35D44">
        <w:rPr>
          <w:rFonts w:ascii="Arial Narrow" w:hAnsi="Arial Narrow"/>
          <w:bCs/>
          <w:sz w:val="18"/>
          <w:szCs w:val="20"/>
        </w:rPr>
        <w:t xml:space="preserve">% of patients will be dosed fortnightly instead of weekly therefore the average for each patient was 17.1 scripts. </w:t>
      </w:r>
    </w:p>
    <w:p w:rsidR="00D31920" w:rsidRPr="00D35D44" w:rsidRDefault="00D31920" w:rsidP="00D31920">
      <w:pPr>
        <w:keepNext/>
        <w:keepLines/>
        <w:rPr>
          <w:rFonts w:ascii="Arial Narrow" w:hAnsi="Arial Narrow"/>
          <w:bCs/>
          <w:sz w:val="18"/>
          <w:szCs w:val="20"/>
        </w:rPr>
      </w:pPr>
      <w:proofErr w:type="gramStart"/>
      <w:r w:rsidRPr="00D35D44">
        <w:rPr>
          <w:rFonts w:ascii="Arial Narrow" w:hAnsi="Arial Narrow"/>
          <w:bCs/>
          <w:sz w:val="18"/>
          <w:szCs w:val="20"/>
          <w:vertAlign w:val="superscript"/>
        </w:rPr>
        <w:t>b</w:t>
      </w:r>
      <w:proofErr w:type="gramEnd"/>
      <w:r w:rsidRPr="00D35D44">
        <w:rPr>
          <w:rFonts w:ascii="Arial Narrow" w:hAnsi="Arial Narrow"/>
          <w:bCs/>
          <w:sz w:val="18"/>
          <w:szCs w:val="20"/>
          <w:vertAlign w:val="superscript"/>
        </w:rPr>
        <w:tab/>
      </w:r>
      <w:r w:rsidRPr="00D35D44">
        <w:rPr>
          <w:rFonts w:ascii="Arial Narrow" w:hAnsi="Arial Narrow"/>
          <w:bCs/>
          <w:sz w:val="18"/>
          <w:szCs w:val="20"/>
        </w:rPr>
        <w:t xml:space="preserve">Number of subsequent infusions = </w:t>
      </w:r>
      <w:r w:rsidR="00A7601C">
        <w:rPr>
          <w:rFonts w:ascii="Arial Narrow" w:hAnsi="Arial Narrow"/>
          <w:bCs/>
          <w:noProof/>
          <w:color w:val="000000"/>
          <w:sz w:val="18"/>
          <w:szCs w:val="20"/>
          <w:highlight w:val="black"/>
        </w:rPr>
        <w:t>'''''''''''</w:t>
      </w:r>
      <w:r w:rsidRPr="00D35D44">
        <w:rPr>
          <w:rFonts w:ascii="Arial Narrow" w:hAnsi="Arial Narrow"/>
          <w:bCs/>
          <w:sz w:val="18"/>
          <w:szCs w:val="20"/>
        </w:rPr>
        <w:t xml:space="preserve">, assuming cap at </w:t>
      </w:r>
      <w:r w:rsidR="00A7601C">
        <w:rPr>
          <w:rFonts w:ascii="Arial Narrow" w:hAnsi="Arial Narrow"/>
          <w:bCs/>
          <w:noProof/>
          <w:color w:val="000000"/>
          <w:sz w:val="18"/>
          <w:szCs w:val="20"/>
          <w:highlight w:val="black"/>
        </w:rPr>
        <w:t>''''''</w:t>
      </w:r>
      <w:r w:rsidRPr="00D35D44">
        <w:rPr>
          <w:rFonts w:ascii="Arial Narrow" w:hAnsi="Arial Narrow"/>
          <w:bCs/>
          <w:sz w:val="18"/>
          <w:szCs w:val="20"/>
        </w:rPr>
        <w:t xml:space="preserve"> doses and each patient receiving 4 × 100mg vial per dose</w:t>
      </w:r>
    </w:p>
    <w:p w:rsidR="00D31920" w:rsidRPr="00D35D44" w:rsidRDefault="00D31920" w:rsidP="00B73885">
      <w:pPr>
        <w:keepNext/>
        <w:keepLines/>
        <w:ind w:left="165" w:hanging="165"/>
        <w:rPr>
          <w:rFonts w:ascii="Arial Narrow" w:hAnsi="Arial Narrow"/>
          <w:bCs/>
          <w:iCs/>
          <w:sz w:val="18"/>
          <w:szCs w:val="20"/>
        </w:rPr>
      </w:pPr>
      <w:proofErr w:type="gramStart"/>
      <w:r w:rsidRPr="00D35D44">
        <w:rPr>
          <w:rFonts w:ascii="Arial Narrow" w:hAnsi="Arial Narrow"/>
          <w:bCs/>
          <w:sz w:val="18"/>
          <w:szCs w:val="20"/>
          <w:vertAlign w:val="superscript"/>
        </w:rPr>
        <w:t>c</w:t>
      </w:r>
      <w:proofErr w:type="gramEnd"/>
      <w:r w:rsidRPr="00D35D44">
        <w:rPr>
          <w:rFonts w:ascii="Arial Narrow" w:hAnsi="Arial Narrow"/>
          <w:bCs/>
          <w:sz w:val="18"/>
          <w:szCs w:val="20"/>
          <w:vertAlign w:val="superscript"/>
        </w:rPr>
        <w:tab/>
      </w:r>
      <w:r w:rsidRPr="00D35D44">
        <w:rPr>
          <w:rFonts w:ascii="Arial Narrow" w:hAnsi="Arial Narrow"/>
          <w:bCs/>
          <w:sz w:val="18"/>
          <w:szCs w:val="20"/>
        </w:rPr>
        <w:t xml:space="preserve">Number of </w:t>
      </w:r>
      <w:r w:rsidR="008B34FE" w:rsidRPr="00D35D44">
        <w:rPr>
          <w:rFonts w:ascii="Arial Narrow" w:hAnsi="Arial Narrow"/>
          <w:bCs/>
          <w:sz w:val="18"/>
          <w:szCs w:val="20"/>
        </w:rPr>
        <w:t>subsequent</w:t>
      </w:r>
      <w:r w:rsidRPr="00D35D44">
        <w:rPr>
          <w:rFonts w:ascii="Arial Narrow" w:hAnsi="Arial Narrow"/>
          <w:bCs/>
          <w:sz w:val="18"/>
          <w:szCs w:val="20"/>
        </w:rPr>
        <w:t xml:space="preserve"> infusions = </w:t>
      </w:r>
      <w:r w:rsidR="00A7601C">
        <w:rPr>
          <w:rFonts w:ascii="Arial Narrow" w:hAnsi="Arial Narrow"/>
          <w:bCs/>
          <w:noProof/>
          <w:color w:val="000000"/>
          <w:sz w:val="18"/>
          <w:szCs w:val="20"/>
          <w:highlight w:val="black"/>
        </w:rPr>
        <w:t>'''''''''</w:t>
      </w:r>
      <w:r w:rsidRPr="00D35D44">
        <w:rPr>
          <w:rFonts w:ascii="Arial Narrow" w:hAnsi="Arial Narrow"/>
          <w:bCs/>
          <w:sz w:val="18"/>
          <w:szCs w:val="20"/>
        </w:rPr>
        <w:t xml:space="preserve">, assuming </w:t>
      </w:r>
      <w:r w:rsidR="00A7601C">
        <w:rPr>
          <w:rFonts w:ascii="Arial Narrow" w:hAnsi="Arial Narrow"/>
          <w:bCs/>
          <w:noProof/>
          <w:color w:val="000000"/>
          <w:sz w:val="18"/>
          <w:szCs w:val="20"/>
          <w:highlight w:val="black"/>
        </w:rPr>
        <w:t>''''''</w:t>
      </w:r>
      <w:r w:rsidRPr="00D35D44">
        <w:rPr>
          <w:rFonts w:ascii="Arial Narrow" w:hAnsi="Arial Narrow"/>
          <w:bCs/>
          <w:sz w:val="18"/>
          <w:szCs w:val="20"/>
        </w:rPr>
        <w:t>% of the 20.1 infusions in EXTREME were given fortnightly instead.</w:t>
      </w:r>
      <w:r w:rsidR="000120B1" w:rsidRPr="00D35D44">
        <w:rPr>
          <w:rFonts w:ascii="Arial Narrow" w:hAnsi="Arial Narrow"/>
          <w:bCs/>
          <w:sz w:val="18"/>
          <w:szCs w:val="20"/>
        </w:rPr>
        <w:t xml:space="preserve"> </w:t>
      </w:r>
      <w:r w:rsidR="00B73885" w:rsidRPr="00D35D44">
        <w:rPr>
          <w:rFonts w:ascii="Arial Narrow" w:hAnsi="Arial Narrow"/>
          <w:bCs/>
          <w:iCs/>
          <w:sz w:val="18"/>
          <w:szCs w:val="20"/>
        </w:rPr>
        <w:t xml:space="preserve">However, fortnightly dosing should not reduce the number of vials dispensed, only the number of </w:t>
      </w:r>
      <w:proofErr w:type="spellStart"/>
      <w:r w:rsidR="00B73885" w:rsidRPr="00D35D44">
        <w:rPr>
          <w:rFonts w:ascii="Arial Narrow" w:hAnsi="Arial Narrow"/>
          <w:bCs/>
          <w:iCs/>
          <w:sz w:val="18"/>
          <w:szCs w:val="20"/>
        </w:rPr>
        <w:t>dispensings</w:t>
      </w:r>
      <w:proofErr w:type="spellEnd"/>
      <w:r w:rsidR="00B73885" w:rsidRPr="00D35D44">
        <w:rPr>
          <w:rFonts w:ascii="Arial Narrow" w:hAnsi="Arial Narrow"/>
          <w:bCs/>
          <w:iCs/>
          <w:sz w:val="18"/>
          <w:szCs w:val="20"/>
        </w:rPr>
        <w:t>.</w:t>
      </w:r>
      <w:r w:rsidR="000120B1" w:rsidRPr="00D35D44">
        <w:rPr>
          <w:rFonts w:ascii="Arial Narrow" w:hAnsi="Arial Narrow"/>
          <w:bCs/>
          <w:iCs/>
          <w:sz w:val="18"/>
          <w:szCs w:val="20"/>
        </w:rPr>
        <w:t xml:space="preserve"> </w:t>
      </w:r>
      <w:r w:rsidR="00B73885" w:rsidRPr="00D35D44">
        <w:rPr>
          <w:rFonts w:ascii="Arial Narrow" w:hAnsi="Arial Narrow"/>
          <w:bCs/>
          <w:iCs/>
          <w:sz w:val="18"/>
          <w:szCs w:val="20"/>
        </w:rPr>
        <w:t>The number of subsequent infusions should be 19.1.</w:t>
      </w:r>
      <w:r w:rsidR="000120B1" w:rsidRPr="00D35D44">
        <w:rPr>
          <w:rFonts w:ascii="Arial Narrow" w:hAnsi="Arial Narrow"/>
          <w:bCs/>
          <w:iCs/>
          <w:sz w:val="18"/>
          <w:szCs w:val="20"/>
        </w:rPr>
        <w:t xml:space="preserve"> </w:t>
      </w:r>
    </w:p>
    <w:p w:rsidR="00D31920" w:rsidRPr="00D35D44" w:rsidRDefault="00D31920" w:rsidP="00D31920">
      <w:pPr>
        <w:keepNext/>
        <w:keepLines/>
        <w:rPr>
          <w:rFonts w:ascii="Arial Narrow" w:hAnsi="Arial Narrow"/>
          <w:bCs/>
          <w:sz w:val="18"/>
          <w:szCs w:val="20"/>
        </w:rPr>
      </w:pPr>
      <w:proofErr w:type="gramStart"/>
      <w:r w:rsidRPr="00D35D44">
        <w:rPr>
          <w:rFonts w:ascii="Arial Narrow" w:hAnsi="Arial Narrow"/>
          <w:bCs/>
          <w:sz w:val="18"/>
          <w:szCs w:val="20"/>
          <w:vertAlign w:val="superscript"/>
        </w:rPr>
        <w:t>d</w:t>
      </w:r>
      <w:proofErr w:type="gramEnd"/>
      <w:r w:rsidRPr="00D35D44">
        <w:rPr>
          <w:rFonts w:ascii="Arial Narrow" w:hAnsi="Arial Narrow"/>
          <w:bCs/>
          <w:sz w:val="18"/>
          <w:szCs w:val="20"/>
          <w:vertAlign w:val="superscript"/>
        </w:rPr>
        <w:tab/>
      </w:r>
      <w:r w:rsidRPr="00D35D44">
        <w:rPr>
          <w:rFonts w:ascii="Arial Narrow" w:hAnsi="Arial Narrow"/>
          <w:bCs/>
          <w:sz w:val="18"/>
          <w:szCs w:val="20"/>
        </w:rPr>
        <w:t>Number of patients treated multiplied by $</w:t>
      </w:r>
      <w:r w:rsidR="00A7601C">
        <w:rPr>
          <w:rFonts w:ascii="Arial Narrow" w:hAnsi="Arial Narrow"/>
          <w:bCs/>
          <w:noProof/>
          <w:color w:val="000000"/>
          <w:sz w:val="18"/>
          <w:szCs w:val="20"/>
          <w:highlight w:val="black"/>
        </w:rPr>
        <w:t>''''''''''''''''''</w:t>
      </w:r>
      <w:r w:rsidRPr="00D35D44">
        <w:rPr>
          <w:rFonts w:ascii="Arial Narrow" w:hAnsi="Arial Narrow"/>
          <w:bCs/>
          <w:sz w:val="18"/>
          <w:szCs w:val="20"/>
        </w:rPr>
        <w:t xml:space="preserve"> (1 Initial infusion at $</w:t>
      </w:r>
      <w:r w:rsidR="00A7601C">
        <w:rPr>
          <w:rFonts w:ascii="Arial Narrow" w:hAnsi="Arial Narrow"/>
          <w:bCs/>
          <w:noProof/>
          <w:color w:val="000000"/>
          <w:sz w:val="18"/>
          <w:szCs w:val="20"/>
          <w:highlight w:val="black"/>
        </w:rPr>
        <w:t>''''''''''''''''</w:t>
      </w:r>
      <w:r w:rsidRPr="00D35D44">
        <w:rPr>
          <w:rFonts w:ascii="Arial Narrow" w:hAnsi="Arial Narrow"/>
          <w:bCs/>
          <w:sz w:val="18"/>
          <w:szCs w:val="20"/>
        </w:rPr>
        <w:t xml:space="preserve"> + </w:t>
      </w:r>
      <w:r w:rsidR="00A7601C">
        <w:rPr>
          <w:rFonts w:ascii="Arial Narrow" w:hAnsi="Arial Narrow"/>
          <w:bCs/>
          <w:noProof/>
          <w:color w:val="000000"/>
          <w:sz w:val="18"/>
          <w:szCs w:val="20"/>
          <w:highlight w:val="black"/>
        </w:rPr>
        <w:t>'''''''''</w:t>
      </w:r>
      <w:r w:rsidRPr="00D35D44">
        <w:rPr>
          <w:rFonts w:ascii="Arial Narrow" w:hAnsi="Arial Narrow"/>
          <w:bCs/>
          <w:sz w:val="18"/>
          <w:szCs w:val="20"/>
        </w:rPr>
        <w:t xml:space="preserve"> subsequent infusions at $</w:t>
      </w:r>
      <w:r w:rsidR="00A7601C">
        <w:rPr>
          <w:rFonts w:ascii="Arial Narrow" w:hAnsi="Arial Narrow"/>
          <w:bCs/>
          <w:noProof/>
          <w:color w:val="000000"/>
          <w:sz w:val="18"/>
          <w:szCs w:val="20"/>
          <w:highlight w:val="black"/>
        </w:rPr>
        <w:t>'''''''''''''''</w:t>
      </w:r>
      <w:r w:rsidRPr="00D35D44">
        <w:rPr>
          <w:rFonts w:ascii="Arial Narrow" w:hAnsi="Arial Narrow"/>
          <w:bCs/>
          <w:sz w:val="18"/>
          <w:szCs w:val="20"/>
        </w:rPr>
        <w:t xml:space="preserve"> each)</w:t>
      </w:r>
    </w:p>
    <w:p w:rsidR="00D31920" w:rsidRPr="00D35D44" w:rsidRDefault="00D31920" w:rsidP="00084691">
      <w:pPr>
        <w:keepNext/>
        <w:keepLines/>
        <w:ind w:left="165" w:hanging="165"/>
        <w:rPr>
          <w:rFonts w:ascii="Arial Narrow" w:hAnsi="Arial Narrow"/>
          <w:bCs/>
          <w:sz w:val="18"/>
          <w:szCs w:val="20"/>
        </w:rPr>
      </w:pPr>
      <w:proofErr w:type="gramStart"/>
      <w:r w:rsidRPr="00D35D44">
        <w:rPr>
          <w:rFonts w:ascii="Arial Narrow" w:hAnsi="Arial Narrow"/>
          <w:bCs/>
          <w:sz w:val="18"/>
          <w:szCs w:val="20"/>
          <w:vertAlign w:val="superscript"/>
        </w:rPr>
        <w:t>e</w:t>
      </w:r>
      <w:proofErr w:type="gramEnd"/>
      <w:r w:rsidRPr="00D35D44">
        <w:rPr>
          <w:rFonts w:ascii="Arial Narrow" w:hAnsi="Arial Narrow"/>
          <w:bCs/>
          <w:sz w:val="18"/>
          <w:szCs w:val="20"/>
        </w:rPr>
        <w:tab/>
        <w:t xml:space="preserve">The resubmission assumed that 2 </w:t>
      </w:r>
      <w:r w:rsidR="002A24A7" w:rsidRPr="00D35D44">
        <w:rPr>
          <w:rFonts w:ascii="Arial Narrow" w:hAnsi="Arial Narrow"/>
          <w:bCs/>
          <w:sz w:val="18"/>
          <w:szCs w:val="20"/>
        </w:rPr>
        <w:t>co-payments</w:t>
      </w:r>
      <w:r w:rsidRPr="00D35D44">
        <w:rPr>
          <w:rFonts w:ascii="Arial Narrow" w:hAnsi="Arial Narrow"/>
          <w:bCs/>
          <w:sz w:val="18"/>
          <w:szCs w:val="20"/>
        </w:rPr>
        <w:t xml:space="preserve"> (1 for initial and 1 for subsequent) will be paid per patient.</w:t>
      </w:r>
      <w:r w:rsidR="000120B1" w:rsidRPr="00D35D44">
        <w:rPr>
          <w:rFonts w:ascii="Arial Narrow" w:hAnsi="Arial Narrow"/>
          <w:bCs/>
          <w:sz w:val="18"/>
          <w:szCs w:val="20"/>
        </w:rPr>
        <w:t xml:space="preserve"> </w:t>
      </w:r>
    </w:p>
    <w:p w:rsidR="00D31920" w:rsidRPr="00D35D44" w:rsidRDefault="00D31920" w:rsidP="00D31920">
      <w:pPr>
        <w:keepNext/>
        <w:keepLines/>
        <w:rPr>
          <w:rFonts w:ascii="Arial Narrow" w:hAnsi="Arial Narrow"/>
          <w:bCs/>
          <w:sz w:val="18"/>
          <w:szCs w:val="20"/>
        </w:rPr>
      </w:pPr>
      <w:proofErr w:type="gramStart"/>
      <w:r w:rsidRPr="00D35D44">
        <w:rPr>
          <w:rFonts w:ascii="Arial Narrow" w:hAnsi="Arial Narrow"/>
          <w:bCs/>
          <w:sz w:val="18"/>
          <w:szCs w:val="20"/>
          <w:vertAlign w:val="superscript"/>
        </w:rPr>
        <w:t>f</w:t>
      </w:r>
      <w:proofErr w:type="gramEnd"/>
      <w:r w:rsidRPr="00D35D44">
        <w:rPr>
          <w:rFonts w:ascii="Arial Narrow" w:hAnsi="Arial Narrow"/>
          <w:bCs/>
          <w:sz w:val="18"/>
          <w:szCs w:val="20"/>
        </w:rPr>
        <w:tab/>
        <w:t>Includes weighted cost for PBS listed therapies for treatment of skin reactions and premedication with prednisolone</w:t>
      </w:r>
    </w:p>
    <w:p w:rsidR="00D31920" w:rsidRPr="00D35D44" w:rsidRDefault="00D31920" w:rsidP="00D31920">
      <w:pPr>
        <w:keepNext/>
        <w:keepLines/>
        <w:rPr>
          <w:rFonts w:ascii="Arial Narrow" w:hAnsi="Arial Narrow"/>
          <w:bCs/>
          <w:sz w:val="18"/>
          <w:szCs w:val="20"/>
        </w:rPr>
      </w:pPr>
      <w:proofErr w:type="gramStart"/>
      <w:r w:rsidRPr="00D35D44">
        <w:rPr>
          <w:rFonts w:ascii="Arial Narrow" w:hAnsi="Arial Narrow"/>
          <w:bCs/>
          <w:sz w:val="18"/>
          <w:szCs w:val="20"/>
          <w:vertAlign w:val="superscript"/>
        </w:rPr>
        <w:t>g</w:t>
      </w:r>
      <w:proofErr w:type="gramEnd"/>
      <w:r w:rsidRPr="00D35D44">
        <w:rPr>
          <w:rFonts w:ascii="Arial Narrow" w:hAnsi="Arial Narrow"/>
          <w:bCs/>
          <w:sz w:val="18"/>
          <w:szCs w:val="20"/>
        </w:rPr>
        <w:tab/>
        <w:t xml:space="preserve">In EXTREME, patients treated with cetuximab + CT used more doses of CT than patients treated with CT alone. </w:t>
      </w:r>
    </w:p>
    <w:p w:rsidR="00D31920" w:rsidRDefault="00B73885" w:rsidP="00A50AEC">
      <w:pPr>
        <w:pStyle w:val="TableFooter"/>
        <w:spacing w:after="120"/>
        <w:rPr>
          <w:bCs/>
        </w:rPr>
      </w:pPr>
      <w:r w:rsidRPr="00D35D44">
        <w:t xml:space="preserve"> </w:t>
      </w:r>
      <w:r w:rsidRPr="00D35D44">
        <w:rPr>
          <w:bCs/>
        </w:rPr>
        <w:t>Source: Attachment 9 Section 4 November 2017 Resubmission final.xls</w:t>
      </w:r>
    </w:p>
    <w:p w:rsidR="00A50AEC" w:rsidRPr="00A50AEC" w:rsidRDefault="00A50AEC" w:rsidP="00A50AEC">
      <w:pPr>
        <w:pStyle w:val="TableFooter"/>
        <w:spacing w:after="120"/>
        <w:rPr>
          <w:rStyle w:val="CommentReference"/>
          <w:rFonts w:asciiTheme="minorHAnsi" w:hAnsiTheme="minorHAnsi"/>
          <w:b w:val="0"/>
          <w:bCs/>
          <w:sz w:val="24"/>
          <w:szCs w:val="24"/>
        </w:rPr>
      </w:pPr>
      <w:r>
        <w:rPr>
          <w:rStyle w:val="CommentReference"/>
          <w:rFonts w:asciiTheme="minorHAnsi" w:hAnsiTheme="minorHAnsi"/>
          <w:b w:val="0"/>
          <w:bCs/>
          <w:sz w:val="24"/>
          <w:szCs w:val="24"/>
        </w:rPr>
        <w:t xml:space="preserve">The redacted table shows that at Year </w:t>
      </w:r>
      <w:r w:rsidR="009A0A54">
        <w:rPr>
          <w:rStyle w:val="CommentReference"/>
          <w:rFonts w:asciiTheme="minorHAnsi" w:hAnsiTheme="minorHAnsi"/>
          <w:b w:val="0"/>
          <w:bCs/>
          <w:sz w:val="24"/>
          <w:szCs w:val="24"/>
        </w:rPr>
        <w:t>5</w:t>
      </w:r>
      <w:r>
        <w:rPr>
          <w:rStyle w:val="CommentReference"/>
          <w:rFonts w:asciiTheme="minorHAnsi" w:hAnsiTheme="minorHAnsi"/>
          <w:b w:val="0"/>
          <w:bCs/>
          <w:sz w:val="24"/>
          <w:szCs w:val="24"/>
        </w:rPr>
        <w:t xml:space="preserve"> the estimated number of patients was less than 10</w:t>
      </w:r>
      <w:r w:rsidR="0090105C">
        <w:rPr>
          <w:rStyle w:val="CommentReference"/>
          <w:rFonts w:asciiTheme="minorHAnsi" w:hAnsiTheme="minorHAnsi"/>
          <w:b w:val="0"/>
          <w:bCs/>
          <w:sz w:val="24"/>
          <w:szCs w:val="24"/>
        </w:rPr>
        <w:t>,0</w:t>
      </w:r>
      <w:r>
        <w:rPr>
          <w:rStyle w:val="CommentReference"/>
          <w:rFonts w:asciiTheme="minorHAnsi" w:hAnsiTheme="minorHAnsi"/>
          <w:b w:val="0"/>
          <w:bCs/>
          <w:sz w:val="24"/>
          <w:szCs w:val="24"/>
        </w:rPr>
        <w:t>00 per year and the net cost to the PBS would be less than $10 million per year.</w:t>
      </w:r>
    </w:p>
    <w:p w:rsidR="00D31920" w:rsidRPr="00D35D44" w:rsidRDefault="00D31920" w:rsidP="00846F9C">
      <w:pPr>
        <w:pStyle w:val="ListParagraph"/>
        <w:widowControl/>
        <w:numPr>
          <w:ilvl w:val="1"/>
          <w:numId w:val="2"/>
        </w:numPr>
        <w:rPr>
          <w:bCs/>
        </w:rPr>
      </w:pPr>
      <w:r w:rsidRPr="00D35D44">
        <w:rPr>
          <w:iCs/>
        </w:rPr>
        <w:t xml:space="preserve">The previous submission estimated a cost of </w:t>
      </w:r>
      <w:r w:rsidR="00A50AEC">
        <w:rPr>
          <w:iCs/>
        </w:rPr>
        <w:t>less than $10</w:t>
      </w:r>
      <w:r w:rsidRPr="00D35D44">
        <w:rPr>
          <w:iCs/>
        </w:rPr>
        <w:t xml:space="preserve"> million in Year 1, increasing to </w:t>
      </w:r>
      <w:r w:rsidR="00A50AEC">
        <w:rPr>
          <w:iCs/>
        </w:rPr>
        <w:t>$10 - $20</w:t>
      </w:r>
      <w:r w:rsidRPr="00D35D44">
        <w:rPr>
          <w:iCs/>
        </w:rPr>
        <w:t xml:space="preserve"> million by Year 5 with a cumulative total of </w:t>
      </w:r>
      <w:r w:rsidR="00A50AEC">
        <w:rPr>
          <w:iCs/>
        </w:rPr>
        <w:t>$30 - $60</w:t>
      </w:r>
      <w:r w:rsidRPr="00D35D44">
        <w:rPr>
          <w:iCs/>
        </w:rPr>
        <w:t xml:space="preserve"> million over the first 5 years of listing based on</w:t>
      </w:r>
      <w:r w:rsidR="001658A0" w:rsidRPr="00D35D44">
        <w:rPr>
          <w:iCs/>
        </w:rPr>
        <w:t xml:space="preserve"> </w:t>
      </w:r>
      <w:r w:rsidRPr="00D35D44">
        <w:rPr>
          <w:iCs/>
        </w:rPr>
        <w:t>effective price</w:t>
      </w:r>
      <w:r w:rsidR="001658A0" w:rsidRPr="00D35D44">
        <w:rPr>
          <w:iCs/>
        </w:rPr>
        <w:t>s ($</w:t>
      </w:r>
      <w:r w:rsidR="00A7601C">
        <w:rPr>
          <w:iCs/>
          <w:noProof/>
          <w:color w:val="000000"/>
          <w:highlight w:val="black"/>
        </w:rPr>
        <w:t>'''''''''''''</w:t>
      </w:r>
      <w:r w:rsidR="001658A0" w:rsidRPr="00D35D44">
        <w:rPr>
          <w:iCs/>
        </w:rPr>
        <w:t xml:space="preserve"> and $</w:t>
      </w:r>
      <w:r w:rsidR="00A7601C">
        <w:rPr>
          <w:iCs/>
          <w:noProof/>
          <w:color w:val="000000"/>
          <w:highlight w:val="black"/>
        </w:rPr>
        <w:t>''''''''''''''</w:t>
      </w:r>
      <w:r w:rsidR="001658A0" w:rsidRPr="00D35D44">
        <w:rPr>
          <w:iCs/>
        </w:rPr>
        <w:t xml:space="preserve"> for 100 mg and 500 mg vials respectively)</w:t>
      </w:r>
      <w:r w:rsidRPr="00D35D44">
        <w:rPr>
          <w:iCs/>
        </w:rPr>
        <w:t xml:space="preserve"> </w:t>
      </w:r>
      <w:r w:rsidR="00DF30C3" w:rsidRPr="00D35D44">
        <w:rPr>
          <w:iCs/>
        </w:rPr>
        <w:t xml:space="preserve">with </w:t>
      </w:r>
      <w:r w:rsidRPr="00D35D44">
        <w:rPr>
          <w:iCs/>
        </w:rPr>
        <w:t xml:space="preserve">a </w:t>
      </w:r>
      <w:r w:rsidR="00A7601C">
        <w:rPr>
          <w:iCs/>
          <w:noProof/>
          <w:color w:val="000000"/>
          <w:highlight w:val="black"/>
        </w:rPr>
        <w:t>''''''''</w:t>
      </w:r>
      <w:r w:rsidRPr="00D35D44">
        <w:rPr>
          <w:iCs/>
        </w:rPr>
        <w:t>% rebate.</w:t>
      </w:r>
      <w:r w:rsidR="000120B1" w:rsidRPr="00D35D44">
        <w:t xml:space="preserve"> </w:t>
      </w:r>
      <w:r w:rsidRPr="00D35D44">
        <w:rPr>
          <w:bCs/>
        </w:rPr>
        <w:t xml:space="preserve">The resubmission claimed that despite the expansion of the patient population, the net financial impact was relatively unchanged due to the higher rebate and a cap of </w:t>
      </w:r>
      <w:r w:rsidR="00A7601C">
        <w:rPr>
          <w:bCs/>
          <w:noProof/>
          <w:color w:val="000000"/>
          <w:highlight w:val="black"/>
        </w:rPr>
        <w:t>'''''</w:t>
      </w:r>
      <w:r w:rsidRPr="00D35D44">
        <w:rPr>
          <w:bCs/>
        </w:rPr>
        <w:t xml:space="preserve"> infusions per patient proposed</w:t>
      </w:r>
      <w:r w:rsidRPr="00D35D44">
        <w:rPr>
          <w:bCs/>
          <w:iCs/>
        </w:rPr>
        <w:t>.</w:t>
      </w:r>
      <w:r w:rsidR="000120B1" w:rsidRPr="00D35D44">
        <w:rPr>
          <w:bCs/>
          <w:iCs/>
        </w:rPr>
        <w:t xml:space="preserve"> </w:t>
      </w:r>
      <w:r w:rsidRPr="00D35D44">
        <w:rPr>
          <w:bCs/>
          <w:iCs/>
        </w:rPr>
        <w:t>The increased rebate and the cap were not the only factors which led to a lower financial estimate.</w:t>
      </w:r>
      <w:r w:rsidR="000120B1" w:rsidRPr="00D35D44">
        <w:rPr>
          <w:bCs/>
          <w:iCs/>
        </w:rPr>
        <w:t xml:space="preserve"> </w:t>
      </w:r>
      <w:r w:rsidRPr="00D35D44">
        <w:rPr>
          <w:bCs/>
          <w:iCs/>
        </w:rPr>
        <w:t>The resubmission also changed a number of assumptions which reduced the financial estimates from the previous submission including</w:t>
      </w:r>
      <w:r w:rsidR="003A5620" w:rsidRPr="00D35D44">
        <w:rPr>
          <w:bCs/>
          <w:iCs/>
        </w:rPr>
        <w:t>:</w:t>
      </w:r>
      <w:r w:rsidRPr="00D35D44">
        <w:rPr>
          <w:bCs/>
        </w:rPr>
        <w:t xml:space="preserve"> </w:t>
      </w:r>
      <w:r w:rsidR="00DF30C3" w:rsidRPr="00D35D44">
        <w:rPr>
          <w:bCs/>
          <w:iCs/>
        </w:rPr>
        <w:t>(</w:t>
      </w:r>
      <w:proofErr w:type="spellStart"/>
      <w:r w:rsidR="00DF30C3" w:rsidRPr="00D35D44">
        <w:rPr>
          <w:bCs/>
          <w:iCs/>
        </w:rPr>
        <w:t>i</w:t>
      </w:r>
      <w:proofErr w:type="spellEnd"/>
      <w:r w:rsidR="00DF30C3" w:rsidRPr="00D35D44">
        <w:rPr>
          <w:bCs/>
          <w:iCs/>
        </w:rPr>
        <w:t>)</w:t>
      </w:r>
      <w:r w:rsidR="00DF30C3" w:rsidRPr="00D35D44">
        <w:rPr>
          <w:bCs/>
        </w:rPr>
        <w:t xml:space="preserve"> </w:t>
      </w:r>
      <w:r w:rsidR="00E71FF6" w:rsidRPr="00D35D44">
        <w:rPr>
          <w:bCs/>
          <w:iCs/>
        </w:rPr>
        <w:t xml:space="preserve">lower </w:t>
      </w:r>
      <w:r w:rsidR="00DF30C3" w:rsidRPr="00D35D44">
        <w:rPr>
          <w:bCs/>
          <w:iCs/>
        </w:rPr>
        <w:t xml:space="preserve">proportion of </w:t>
      </w:r>
      <w:r w:rsidRPr="00D35D44">
        <w:rPr>
          <w:bCs/>
          <w:iCs/>
        </w:rPr>
        <w:t xml:space="preserve">head and neck cancers </w:t>
      </w:r>
      <w:r w:rsidR="00DF30C3" w:rsidRPr="00D35D44">
        <w:rPr>
          <w:bCs/>
          <w:iCs/>
        </w:rPr>
        <w:t xml:space="preserve">within </w:t>
      </w:r>
      <w:r w:rsidRPr="00D35D44">
        <w:rPr>
          <w:bCs/>
          <w:iCs/>
        </w:rPr>
        <w:t>squamous cell carcinoma</w:t>
      </w:r>
      <w:r w:rsidR="00B13454" w:rsidRPr="00D35D44">
        <w:rPr>
          <w:bCs/>
          <w:iCs/>
        </w:rPr>
        <w:t>s</w:t>
      </w:r>
      <w:r w:rsidRPr="00D35D44">
        <w:rPr>
          <w:bCs/>
          <w:iCs/>
        </w:rPr>
        <w:t xml:space="preserve"> (90% instead of 100%)</w:t>
      </w:r>
      <w:r w:rsidR="00DF30C3" w:rsidRPr="00D35D44">
        <w:rPr>
          <w:bCs/>
          <w:iCs/>
        </w:rPr>
        <w:t>;</w:t>
      </w:r>
      <w:r w:rsidRPr="00D35D44">
        <w:rPr>
          <w:bCs/>
          <w:iCs/>
        </w:rPr>
        <w:t xml:space="preserve"> </w:t>
      </w:r>
      <w:r w:rsidR="00DF30C3" w:rsidRPr="00D35D44">
        <w:rPr>
          <w:bCs/>
          <w:iCs/>
        </w:rPr>
        <w:t xml:space="preserve">(ii) </w:t>
      </w:r>
      <w:r w:rsidRPr="00D35D44">
        <w:rPr>
          <w:bCs/>
          <w:iCs/>
        </w:rPr>
        <w:t>lower proportion of recurrent or metastatic disease (60% instead of 70%)</w:t>
      </w:r>
      <w:r w:rsidR="00DF30C3" w:rsidRPr="00D35D44">
        <w:rPr>
          <w:bCs/>
          <w:iCs/>
        </w:rPr>
        <w:t>;</w:t>
      </w:r>
      <w:r w:rsidRPr="00D35D44">
        <w:rPr>
          <w:bCs/>
          <w:iCs/>
        </w:rPr>
        <w:t xml:space="preserve"> </w:t>
      </w:r>
      <w:r w:rsidR="00DF30C3" w:rsidRPr="00D35D44">
        <w:rPr>
          <w:bCs/>
          <w:iCs/>
        </w:rPr>
        <w:t xml:space="preserve">(iii) </w:t>
      </w:r>
      <w:r w:rsidRPr="00D35D44">
        <w:rPr>
          <w:bCs/>
          <w:iCs/>
        </w:rPr>
        <w:t xml:space="preserve">fewer patients suitable for cetuximab treatment </w:t>
      </w:r>
      <w:r w:rsidRPr="00D35D44">
        <w:rPr>
          <w:bCs/>
          <w:iCs/>
        </w:rPr>
        <w:lastRenderedPageBreak/>
        <w:t>(60% instead of 75%)</w:t>
      </w:r>
      <w:r w:rsidR="00DF30C3" w:rsidRPr="00D35D44">
        <w:rPr>
          <w:bCs/>
          <w:iCs/>
        </w:rPr>
        <w:t>;</w:t>
      </w:r>
      <w:r w:rsidR="003A5620" w:rsidRPr="00D35D44">
        <w:rPr>
          <w:bCs/>
          <w:iCs/>
        </w:rPr>
        <w:t xml:space="preserve"> </w:t>
      </w:r>
      <w:r w:rsidR="00DF30C3" w:rsidRPr="00D35D44">
        <w:rPr>
          <w:bCs/>
          <w:iCs/>
        </w:rPr>
        <w:t xml:space="preserve">(iv) </w:t>
      </w:r>
      <w:r w:rsidRPr="00D35D44">
        <w:rPr>
          <w:bCs/>
          <w:iCs/>
        </w:rPr>
        <w:t>lower subsequent cetuximab doses (400</w:t>
      </w:r>
      <w:r w:rsidR="009A0A54">
        <w:rPr>
          <w:bCs/>
          <w:iCs/>
        </w:rPr>
        <w:t xml:space="preserve"> </w:t>
      </w:r>
      <w:r w:rsidRPr="00D35D44">
        <w:rPr>
          <w:bCs/>
          <w:iCs/>
        </w:rPr>
        <w:t>mg instead of 500</w:t>
      </w:r>
      <w:r w:rsidR="009A0A54">
        <w:rPr>
          <w:bCs/>
          <w:iCs/>
        </w:rPr>
        <w:t xml:space="preserve"> </w:t>
      </w:r>
      <w:r w:rsidRPr="00D35D44">
        <w:rPr>
          <w:bCs/>
          <w:iCs/>
        </w:rPr>
        <w:t>mg)</w:t>
      </w:r>
      <w:r w:rsidR="00DF30C3" w:rsidRPr="00D35D44">
        <w:rPr>
          <w:bCs/>
          <w:iCs/>
        </w:rPr>
        <w:t>;</w:t>
      </w:r>
      <w:r w:rsidRPr="00D35D44">
        <w:rPr>
          <w:bCs/>
          <w:iCs/>
        </w:rPr>
        <w:t xml:space="preserve"> and </w:t>
      </w:r>
      <w:r w:rsidR="00DF30C3" w:rsidRPr="00D35D44">
        <w:rPr>
          <w:bCs/>
          <w:iCs/>
        </w:rPr>
        <w:t xml:space="preserve">(v) </w:t>
      </w:r>
      <w:r w:rsidRPr="00D35D44">
        <w:rPr>
          <w:bCs/>
          <w:iCs/>
        </w:rPr>
        <w:t>significantly lower infusion costs per patient ($</w:t>
      </w:r>
      <w:r w:rsidR="00A7601C">
        <w:rPr>
          <w:bCs/>
          <w:iCs/>
          <w:noProof/>
          <w:color w:val="000000"/>
          <w:highlight w:val="black"/>
        </w:rPr>
        <w:t>''''''''</w:t>
      </w:r>
      <w:r w:rsidR="00B13454" w:rsidRPr="00D35D44">
        <w:rPr>
          <w:bCs/>
          <w:iCs/>
        </w:rPr>
        <w:t xml:space="preserve"> </w:t>
      </w:r>
      <w:r w:rsidRPr="00D35D44">
        <w:rPr>
          <w:bCs/>
          <w:iCs/>
        </w:rPr>
        <w:t>instead of $</w:t>
      </w:r>
      <w:r w:rsidR="00A7601C">
        <w:rPr>
          <w:bCs/>
          <w:iCs/>
          <w:noProof/>
          <w:color w:val="000000"/>
          <w:highlight w:val="black"/>
        </w:rPr>
        <w:t>''''''''''''</w:t>
      </w:r>
      <w:r w:rsidRPr="00D35D44">
        <w:rPr>
          <w:bCs/>
          <w:iCs/>
        </w:rPr>
        <w:t xml:space="preserve"> per patient due to exclusion of cost for non-admitted chemotherapy treatment costs for public hospitals).</w:t>
      </w:r>
      <w:r w:rsidR="000120B1" w:rsidRPr="00D35D44">
        <w:rPr>
          <w:bCs/>
          <w:iCs/>
        </w:rPr>
        <w:t xml:space="preserve"> </w:t>
      </w:r>
    </w:p>
    <w:p w:rsidR="00D31920" w:rsidRDefault="00D31920" w:rsidP="00846F9C">
      <w:pPr>
        <w:pStyle w:val="ListParagraph"/>
        <w:widowControl/>
        <w:numPr>
          <w:ilvl w:val="1"/>
          <w:numId w:val="2"/>
        </w:numPr>
        <w:rPr>
          <w:bCs/>
        </w:rPr>
      </w:pPr>
      <w:r w:rsidRPr="00D35D44">
        <w:rPr>
          <w:bCs/>
          <w:iCs/>
        </w:rPr>
        <w:t xml:space="preserve">Compared to the previous submission, usage outside of the requested restriction is unlikely due to the expansion of the requested restriction to the </w:t>
      </w:r>
      <w:r w:rsidR="00E86BD0" w:rsidRPr="00D35D44">
        <w:rPr>
          <w:bCs/>
          <w:iCs/>
        </w:rPr>
        <w:t xml:space="preserve">whole </w:t>
      </w:r>
      <w:r w:rsidRPr="00D35D44">
        <w:rPr>
          <w:bCs/>
          <w:iCs/>
        </w:rPr>
        <w:t>trial population.</w:t>
      </w:r>
      <w:r w:rsidR="000120B1" w:rsidRPr="00D35D44">
        <w:rPr>
          <w:bCs/>
        </w:rPr>
        <w:t xml:space="preserve"> </w:t>
      </w:r>
    </w:p>
    <w:p w:rsidR="00E67D3F" w:rsidRPr="00D35D44" w:rsidRDefault="00E67D3F" w:rsidP="00846F9C">
      <w:pPr>
        <w:pStyle w:val="ListParagraph"/>
        <w:widowControl/>
        <w:numPr>
          <w:ilvl w:val="1"/>
          <w:numId w:val="2"/>
        </w:numPr>
        <w:rPr>
          <w:bCs/>
        </w:rPr>
      </w:pPr>
      <w:r>
        <w:rPr>
          <w:bCs/>
        </w:rPr>
        <w:t xml:space="preserve">At year 5, the estimated number of patients was </w:t>
      </w:r>
      <w:r w:rsidR="009A0A54">
        <w:rPr>
          <w:bCs/>
        </w:rPr>
        <w:t xml:space="preserve">less than 10,000 </w:t>
      </w:r>
      <w:r>
        <w:rPr>
          <w:bCs/>
        </w:rPr>
        <w:t xml:space="preserve">and the net cost to the PBS would be </w:t>
      </w:r>
      <w:r w:rsidR="009A0A54">
        <w:rPr>
          <w:szCs w:val="20"/>
        </w:rPr>
        <w:t>less than $10 million</w:t>
      </w:r>
      <w:r>
        <w:rPr>
          <w:szCs w:val="20"/>
        </w:rPr>
        <w:t>.</w:t>
      </w:r>
    </w:p>
    <w:p w:rsidR="00D31920" w:rsidRPr="00D35D44" w:rsidRDefault="00A4669D" w:rsidP="00846F9C">
      <w:pPr>
        <w:pStyle w:val="ListParagraph"/>
        <w:widowControl/>
        <w:numPr>
          <w:ilvl w:val="1"/>
          <w:numId w:val="2"/>
        </w:numPr>
        <w:rPr>
          <w:bCs/>
          <w:iCs/>
        </w:rPr>
      </w:pPr>
      <w:r w:rsidRPr="00A4669D">
        <w:rPr>
          <w:bCs/>
          <w:iCs/>
        </w:rPr>
        <w:t xml:space="preserve">The </w:t>
      </w:r>
      <w:r w:rsidR="00B57815">
        <w:rPr>
          <w:bCs/>
          <w:iCs/>
        </w:rPr>
        <w:t xml:space="preserve">commentary considered the </w:t>
      </w:r>
      <w:r w:rsidRPr="00A4669D">
        <w:rPr>
          <w:bCs/>
          <w:iCs/>
        </w:rPr>
        <w:t>financial impacts presented in the resubmission for the listing of cetuximab on the PBS are likely to be underestimates.</w:t>
      </w:r>
      <w:r>
        <w:rPr>
          <w:bCs/>
          <w:iCs/>
        </w:rPr>
        <w:t xml:space="preserve"> </w:t>
      </w:r>
      <w:r w:rsidR="00D31920" w:rsidRPr="00D35D44">
        <w:rPr>
          <w:bCs/>
          <w:iCs/>
        </w:rPr>
        <w:t xml:space="preserve">When considering a plausible scenario in which </w:t>
      </w:r>
      <w:proofErr w:type="spellStart"/>
      <w:r w:rsidR="00D56F1A" w:rsidRPr="00D35D44">
        <w:rPr>
          <w:bCs/>
          <w:iCs/>
        </w:rPr>
        <w:t>i</w:t>
      </w:r>
      <w:proofErr w:type="spellEnd"/>
      <w:r w:rsidR="00D56F1A" w:rsidRPr="00D35D44">
        <w:rPr>
          <w:bCs/>
          <w:iCs/>
        </w:rPr>
        <w:t xml:space="preserve">) </w:t>
      </w:r>
      <w:r w:rsidR="00D31920" w:rsidRPr="00D35D44">
        <w:rPr>
          <w:bCs/>
          <w:iCs/>
        </w:rPr>
        <w:t>patients use 500</w:t>
      </w:r>
      <w:r w:rsidR="00A2516A" w:rsidRPr="00D35D44">
        <w:rPr>
          <w:bCs/>
          <w:iCs/>
        </w:rPr>
        <w:t xml:space="preserve"> </w:t>
      </w:r>
      <w:r w:rsidR="00D31920" w:rsidRPr="00D35D44">
        <w:rPr>
          <w:bCs/>
          <w:iCs/>
        </w:rPr>
        <w:t>mg for subsequent dosing,</w:t>
      </w:r>
      <w:r w:rsidR="00A2516A" w:rsidRPr="00D35D44">
        <w:rPr>
          <w:bCs/>
          <w:iCs/>
        </w:rPr>
        <w:t xml:space="preserve"> </w:t>
      </w:r>
      <w:r w:rsidR="00D56F1A" w:rsidRPr="00D35D44">
        <w:rPr>
          <w:bCs/>
          <w:iCs/>
        </w:rPr>
        <w:t xml:space="preserve">ii) </w:t>
      </w:r>
      <w:r w:rsidR="00D31920" w:rsidRPr="00D35D44">
        <w:rPr>
          <w:bCs/>
          <w:iCs/>
        </w:rPr>
        <w:t xml:space="preserve">an increased uptake of </w:t>
      </w:r>
      <w:r w:rsidR="00A7601C">
        <w:rPr>
          <w:bCs/>
          <w:iCs/>
          <w:noProof/>
          <w:color w:val="000000"/>
          <w:highlight w:val="black"/>
        </w:rPr>
        <w:t>'''''</w:t>
      </w:r>
      <w:r w:rsidR="00D31920" w:rsidRPr="00D35D44">
        <w:rPr>
          <w:bCs/>
          <w:iCs/>
        </w:rPr>
        <w:t xml:space="preserve">% per year (from base case assumptions of year 1 at </w:t>
      </w:r>
      <w:r w:rsidR="00A7601C">
        <w:rPr>
          <w:bCs/>
          <w:iCs/>
          <w:noProof/>
          <w:color w:val="000000"/>
          <w:highlight w:val="black"/>
        </w:rPr>
        <w:t>''''''</w:t>
      </w:r>
      <w:r w:rsidR="00D31920" w:rsidRPr="00D35D44">
        <w:rPr>
          <w:bCs/>
          <w:iCs/>
        </w:rPr>
        <w:t xml:space="preserve">% to year 6 at </w:t>
      </w:r>
      <w:r w:rsidR="00A7601C">
        <w:rPr>
          <w:bCs/>
          <w:iCs/>
          <w:noProof/>
          <w:color w:val="000000"/>
          <w:highlight w:val="black"/>
        </w:rPr>
        <w:t>'''''</w:t>
      </w:r>
      <w:r w:rsidR="00D31920" w:rsidRPr="00D35D44">
        <w:rPr>
          <w:bCs/>
          <w:iCs/>
        </w:rPr>
        <w:t xml:space="preserve">% to year 1 at </w:t>
      </w:r>
      <w:r w:rsidR="00A7601C">
        <w:rPr>
          <w:bCs/>
          <w:iCs/>
          <w:noProof/>
          <w:color w:val="000000"/>
          <w:highlight w:val="black"/>
        </w:rPr>
        <w:t>''''''</w:t>
      </w:r>
      <w:r w:rsidR="00D31920" w:rsidRPr="00D35D44">
        <w:rPr>
          <w:bCs/>
          <w:iCs/>
        </w:rPr>
        <w:t xml:space="preserve">% to year 6 at </w:t>
      </w:r>
      <w:r w:rsidR="00A7601C">
        <w:rPr>
          <w:bCs/>
          <w:iCs/>
          <w:noProof/>
          <w:color w:val="000000"/>
          <w:highlight w:val="black"/>
        </w:rPr>
        <w:t>'''''</w:t>
      </w:r>
      <w:r w:rsidR="00D31920" w:rsidRPr="00D35D44">
        <w:rPr>
          <w:bCs/>
          <w:iCs/>
        </w:rPr>
        <w:t>%)</w:t>
      </w:r>
      <w:r w:rsidR="009741B2" w:rsidRPr="00D35D44">
        <w:rPr>
          <w:bCs/>
          <w:iCs/>
        </w:rPr>
        <w:t xml:space="preserve"> and</w:t>
      </w:r>
      <w:r w:rsidR="00D31920" w:rsidRPr="00D35D44">
        <w:rPr>
          <w:bCs/>
          <w:iCs/>
        </w:rPr>
        <w:t xml:space="preserve"> </w:t>
      </w:r>
      <w:r w:rsidR="00D56F1A" w:rsidRPr="00D35D44">
        <w:rPr>
          <w:bCs/>
          <w:iCs/>
        </w:rPr>
        <w:t xml:space="preserve">iii) </w:t>
      </w:r>
      <w:r w:rsidR="00D31920" w:rsidRPr="00D35D44">
        <w:rPr>
          <w:bCs/>
          <w:iCs/>
        </w:rPr>
        <w:t>non-admitted chemotherapy costs for public hospitals</w:t>
      </w:r>
      <w:r w:rsidR="002B17FE" w:rsidRPr="00D35D44">
        <w:rPr>
          <w:bCs/>
          <w:iCs/>
        </w:rPr>
        <w:t xml:space="preserve"> are included in administration costs</w:t>
      </w:r>
      <w:r w:rsidR="00D31920" w:rsidRPr="00D35D44">
        <w:rPr>
          <w:bCs/>
          <w:iCs/>
        </w:rPr>
        <w:t xml:space="preserve"> the estimated financial impact increases by 44% from base case to </w:t>
      </w:r>
      <w:r w:rsidR="009A0A54">
        <w:rPr>
          <w:bCs/>
          <w:iCs/>
        </w:rPr>
        <w:t>less than $10</w:t>
      </w:r>
      <w:r w:rsidR="00D31920" w:rsidRPr="00D35D44">
        <w:rPr>
          <w:bCs/>
          <w:iCs/>
        </w:rPr>
        <w:t xml:space="preserve"> million in Year 1 increasing to </w:t>
      </w:r>
      <w:r w:rsidR="009A0A54">
        <w:rPr>
          <w:bCs/>
          <w:iCs/>
        </w:rPr>
        <w:t>$10 - $20</w:t>
      </w:r>
      <w:r w:rsidR="00D31920" w:rsidRPr="00D35D44">
        <w:rPr>
          <w:bCs/>
          <w:iCs/>
        </w:rPr>
        <w:t xml:space="preserve"> million in Year 6.</w:t>
      </w:r>
    </w:p>
    <w:p w:rsidR="00D31920" w:rsidRPr="009C7D07" w:rsidRDefault="00D31920" w:rsidP="00866C5C">
      <w:pPr>
        <w:pStyle w:val="Heading2"/>
      </w:pPr>
      <w:bookmarkStart w:id="14" w:name="_Toc500767935"/>
      <w:r w:rsidRPr="009C7D07">
        <w:t>Quality Use of Medicines</w:t>
      </w:r>
      <w:bookmarkEnd w:id="14"/>
    </w:p>
    <w:p w:rsidR="00D31920" w:rsidRPr="00D35D44" w:rsidRDefault="00D31920" w:rsidP="00846F9C">
      <w:pPr>
        <w:pStyle w:val="ListParagraph"/>
        <w:widowControl/>
        <w:numPr>
          <w:ilvl w:val="1"/>
          <w:numId w:val="2"/>
        </w:numPr>
        <w:spacing w:after="0"/>
        <w:contextualSpacing/>
      </w:pPr>
      <w:r w:rsidRPr="00D35D44">
        <w:rPr>
          <w:bCs/>
          <w:iCs/>
        </w:rPr>
        <w:t>As for the previous submission,</w:t>
      </w:r>
      <w:r w:rsidRPr="00D35D44">
        <w:t xml:space="preserve"> quality use </w:t>
      </w:r>
      <w:r w:rsidR="002E3626" w:rsidRPr="00D35D44">
        <w:t xml:space="preserve">of </w:t>
      </w:r>
      <w:r w:rsidRPr="00D35D44">
        <w:t xml:space="preserve">medicines </w:t>
      </w:r>
      <w:r w:rsidR="0010624E" w:rsidRPr="00D35D44">
        <w:t>activitie</w:t>
      </w:r>
      <w:r w:rsidR="002E3626" w:rsidRPr="00D35D44">
        <w:t xml:space="preserve">s </w:t>
      </w:r>
      <w:r w:rsidRPr="00D35D44">
        <w:t xml:space="preserve">outlined in the </w:t>
      </w:r>
      <w:r w:rsidR="0010624E" w:rsidRPr="00D35D44">
        <w:t>re</w:t>
      </w:r>
      <w:r w:rsidRPr="00D35D44">
        <w:t>submission</w:t>
      </w:r>
      <w:r w:rsidR="000F56E9">
        <w:t xml:space="preserve"> </w:t>
      </w:r>
      <w:proofErr w:type="gramStart"/>
      <w:r w:rsidRPr="00D35D44">
        <w:t>were</w:t>
      </w:r>
      <w:proofErr w:type="gramEnd"/>
      <w:r w:rsidRPr="00D35D44">
        <w:t xml:space="preserve"> related to the management of skin reactions associated with cetuximab.</w:t>
      </w:r>
    </w:p>
    <w:p w:rsidR="00D31920" w:rsidRPr="009C7D07" w:rsidRDefault="00D31920" w:rsidP="00866C5C">
      <w:pPr>
        <w:pStyle w:val="Heading2"/>
      </w:pPr>
      <w:bookmarkStart w:id="15" w:name="_Toc500767936"/>
      <w:r w:rsidRPr="009C7D07">
        <w:t>Financial Management – Risk Sharing Arrangements</w:t>
      </w:r>
      <w:bookmarkEnd w:id="15"/>
    </w:p>
    <w:p w:rsidR="00D31920" w:rsidRPr="00C62E40" w:rsidRDefault="00D31920" w:rsidP="00846F9C">
      <w:pPr>
        <w:pStyle w:val="ListParagraph"/>
        <w:widowControl/>
        <w:numPr>
          <w:ilvl w:val="1"/>
          <w:numId w:val="2"/>
        </w:numPr>
        <w:rPr>
          <w:bCs/>
        </w:rPr>
      </w:pPr>
      <w:r w:rsidRPr="00D35D44">
        <w:rPr>
          <w:bCs/>
        </w:rPr>
        <w:t xml:space="preserve">The resubmission proposed a </w:t>
      </w:r>
      <w:r w:rsidR="00E2537E" w:rsidRPr="00D35D44">
        <w:rPr>
          <w:bCs/>
        </w:rPr>
        <w:t xml:space="preserve">special pricing arrangement consisting of a </w:t>
      </w:r>
      <w:r w:rsidRPr="00D35D44">
        <w:rPr>
          <w:bCs/>
        </w:rPr>
        <w:t xml:space="preserve">rebate of </w:t>
      </w:r>
      <w:r w:rsidR="00A7601C">
        <w:rPr>
          <w:bCs/>
          <w:noProof/>
          <w:color w:val="000000"/>
          <w:highlight w:val="black"/>
        </w:rPr>
        <w:t>''''''''</w:t>
      </w:r>
      <w:r w:rsidRPr="00D35D44">
        <w:rPr>
          <w:bCs/>
        </w:rPr>
        <w:t>% based on the published ex-manufacturer price.</w:t>
      </w:r>
      <w:r w:rsidR="000120B1" w:rsidRPr="00D35D44">
        <w:rPr>
          <w:bCs/>
        </w:rPr>
        <w:t xml:space="preserve"> </w:t>
      </w:r>
      <w:r w:rsidR="002E3626" w:rsidRPr="00D35D44">
        <w:rPr>
          <w:bCs/>
          <w:iCs/>
        </w:rPr>
        <w:t xml:space="preserve">This was </w:t>
      </w:r>
      <w:r w:rsidRPr="00D35D44">
        <w:rPr>
          <w:bCs/>
          <w:iCs/>
        </w:rPr>
        <w:t>increase</w:t>
      </w:r>
      <w:r w:rsidR="002E3626" w:rsidRPr="00D35D44">
        <w:rPr>
          <w:bCs/>
          <w:iCs/>
        </w:rPr>
        <w:t>d</w:t>
      </w:r>
      <w:r w:rsidRPr="00D35D44">
        <w:rPr>
          <w:bCs/>
          <w:iCs/>
        </w:rPr>
        <w:t xml:space="preserve"> from the </w:t>
      </w:r>
      <w:r w:rsidR="00A7601C">
        <w:rPr>
          <w:bCs/>
          <w:iCs/>
          <w:noProof/>
          <w:color w:val="000000"/>
          <w:highlight w:val="black"/>
        </w:rPr>
        <w:t>'''''''''</w:t>
      </w:r>
      <w:r w:rsidRPr="00D35D44">
        <w:rPr>
          <w:bCs/>
          <w:iCs/>
        </w:rPr>
        <w:t>% rebate proposed in the previous submission.</w:t>
      </w:r>
      <w:r w:rsidR="000120B1" w:rsidRPr="00D35D44">
        <w:rPr>
          <w:bCs/>
          <w:iCs/>
        </w:rPr>
        <w:t xml:space="preserve"> </w:t>
      </w:r>
      <w:r w:rsidRPr="00D35D44">
        <w:rPr>
          <w:bCs/>
        </w:rPr>
        <w:t xml:space="preserve">Moreover, the </w:t>
      </w:r>
      <w:r w:rsidR="008E386E" w:rsidRPr="00D35D44">
        <w:rPr>
          <w:bCs/>
        </w:rPr>
        <w:t>sponsor propo</w:t>
      </w:r>
      <w:r w:rsidR="00DC762D" w:rsidRPr="00D35D44">
        <w:rPr>
          <w:bCs/>
        </w:rPr>
        <w:t xml:space="preserve">sed a risk-sharing arrangement </w:t>
      </w:r>
      <w:r w:rsidR="00DF30C3" w:rsidRPr="00D35D44">
        <w:rPr>
          <w:bCs/>
        </w:rPr>
        <w:t xml:space="preserve">with a </w:t>
      </w:r>
      <w:r w:rsidR="00A7601C">
        <w:rPr>
          <w:bCs/>
          <w:noProof/>
          <w:color w:val="000000"/>
          <w:highlight w:val="black"/>
        </w:rPr>
        <w:t>''''''</w:t>
      </w:r>
      <w:r w:rsidR="00DF30C3" w:rsidRPr="00D35D44">
        <w:rPr>
          <w:bCs/>
        </w:rPr>
        <w:t xml:space="preserve">% rebate above a subsidisation cap of </w:t>
      </w:r>
      <w:r w:rsidR="00A7601C">
        <w:rPr>
          <w:bCs/>
          <w:noProof/>
          <w:color w:val="000000"/>
          <w:highlight w:val="black"/>
        </w:rPr>
        <w:t>'''''</w:t>
      </w:r>
      <w:r w:rsidR="00DF30C3" w:rsidRPr="00D35D44">
        <w:rPr>
          <w:bCs/>
        </w:rPr>
        <w:t xml:space="preserve"> infusions per RM SCCHN patient</w:t>
      </w:r>
      <w:r w:rsidRPr="00D35D44">
        <w:rPr>
          <w:bCs/>
        </w:rPr>
        <w:t>.</w:t>
      </w:r>
      <w:r w:rsidR="000120B1" w:rsidRPr="00D35D44">
        <w:rPr>
          <w:bCs/>
        </w:rPr>
        <w:t xml:space="preserve"> </w:t>
      </w:r>
      <w:r w:rsidR="002E3626" w:rsidRPr="00D35D44">
        <w:rPr>
          <w:bCs/>
          <w:iCs/>
        </w:rPr>
        <w:t xml:space="preserve">This </w:t>
      </w:r>
      <w:r w:rsidR="00DF30C3" w:rsidRPr="00D35D44">
        <w:rPr>
          <w:bCs/>
          <w:iCs/>
        </w:rPr>
        <w:t>wa</w:t>
      </w:r>
      <w:r w:rsidR="002E3626" w:rsidRPr="00D35D44">
        <w:rPr>
          <w:bCs/>
          <w:iCs/>
        </w:rPr>
        <w:t>s</w:t>
      </w:r>
      <w:r w:rsidRPr="00D35D44">
        <w:rPr>
          <w:bCs/>
          <w:iCs/>
        </w:rPr>
        <w:t xml:space="preserve"> a lower cap than the </w:t>
      </w:r>
      <w:r w:rsidR="00A7601C">
        <w:rPr>
          <w:bCs/>
          <w:iCs/>
          <w:noProof/>
          <w:color w:val="000000"/>
          <w:highlight w:val="black"/>
        </w:rPr>
        <w:t>'''''</w:t>
      </w:r>
      <w:r w:rsidRPr="00DC6574">
        <w:rPr>
          <w:bCs/>
          <w:iCs/>
        </w:rPr>
        <w:t xml:space="preserve"> weeks </w:t>
      </w:r>
      <w:r w:rsidR="002E3626" w:rsidRPr="00DC6574">
        <w:rPr>
          <w:bCs/>
          <w:iCs/>
        </w:rPr>
        <w:t xml:space="preserve">of treatment (or </w:t>
      </w:r>
      <w:r w:rsidR="00A7601C">
        <w:rPr>
          <w:bCs/>
          <w:iCs/>
          <w:noProof/>
          <w:color w:val="000000"/>
          <w:highlight w:val="black"/>
        </w:rPr>
        <w:t>'''''</w:t>
      </w:r>
      <w:r w:rsidR="002E3626" w:rsidRPr="00DC6574">
        <w:rPr>
          <w:bCs/>
          <w:iCs/>
        </w:rPr>
        <w:t xml:space="preserve"> doses)</w:t>
      </w:r>
      <w:r w:rsidR="002E3626" w:rsidRPr="00D35D44">
        <w:rPr>
          <w:bCs/>
          <w:iCs/>
        </w:rPr>
        <w:t xml:space="preserve"> </w:t>
      </w:r>
      <w:r w:rsidRPr="00D35D44">
        <w:rPr>
          <w:bCs/>
          <w:iCs/>
        </w:rPr>
        <w:t xml:space="preserve">proposed in the </w:t>
      </w:r>
      <w:r w:rsidR="002E3626" w:rsidRPr="00D35D44">
        <w:rPr>
          <w:bCs/>
          <w:iCs/>
        </w:rPr>
        <w:t xml:space="preserve">March 2016 </w:t>
      </w:r>
      <w:r w:rsidRPr="00D35D44">
        <w:rPr>
          <w:bCs/>
          <w:iCs/>
        </w:rPr>
        <w:t>submission.</w:t>
      </w:r>
      <w:r w:rsidR="000120B1" w:rsidRPr="00D35D44">
        <w:rPr>
          <w:bCs/>
          <w:iCs/>
        </w:rPr>
        <w:t xml:space="preserve"> </w:t>
      </w:r>
      <w:r w:rsidRPr="00D35D44">
        <w:rPr>
          <w:bCs/>
          <w:iCs/>
        </w:rPr>
        <w:t xml:space="preserve">It </w:t>
      </w:r>
      <w:r w:rsidR="00DF30C3" w:rsidRPr="00D35D44">
        <w:rPr>
          <w:bCs/>
          <w:iCs/>
        </w:rPr>
        <w:t>wa</w:t>
      </w:r>
      <w:r w:rsidRPr="00D35D44">
        <w:rPr>
          <w:bCs/>
          <w:iCs/>
        </w:rPr>
        <w:t xml:space="preserve">s unclear how </w:t>
      </w:r>
      <w:r w:rsidR="00DF30C3" w:rsidRPr="00D35D44">
        <w:rPr>
          <w:bCs/>
          <w:iCs/>
        </w:rPr>
        <w:t xml:space="preserve">a </w:t>
      </w:r>
      <w:r w:rsidR="002E3626" w:rsidRPr="00D35D44">
        <w:rPr>
          <w:bCs/>
          <w:iCs/>
        </w:rPr>
        <w:t>dose</w:t>
      </w:r>
      <w:r w:rsidR="00DF30C3" w:rsidRPr="00D35D44">
        <w:rPr>
          <w:bCs/>
          <w:iCs/>
        </w:rPr>
        <w:t>-based subsidisation</w:t>
      </w:r>
      <w:r w:rsidRPr="00D35D44">
        <w:rPr>
          <w:bCs/>
          <w:iCs/>
        </w:rPr>
        <w:t xml:space="preserve"> cap will be applied in practice.</w:t>
      </w:r>
      <w:r w:rsidR="000120B1" w:rsidRPr="00D35D44">
        <w:rPr>
          <w:bCs/>
          <w:iCs/>
        </w:rPr>
        <w:t xml:space="preserve"> </w:t>
      </w:r>
      <w:r w:rsidR="00600DF7">
        <w:rPr>
          <w:bCs/>
          <w:iCs/>
        </w:rPr>
        <w:t>A further increase in the rebate was proposed in the pre-PBAC response.</w:t>
      </w:r>
    </w:p>
    <w:p w:rsidR="00736A4E" w:rsidRDefault="00C62E40" w:rsidP="00C62E40">
      <w:pPr>
        <w:pStyle w:val="BodyText"/>
        <w:rPr>
          <w:i/>
        </w:rPr>
      </w:pPr>
      <w:r w:rsidRPr="008D71AB">
        <w:rPr>
          <w:i/>
        </w:rPr>
        <w:t>For more detail on PBAC’s view, see section 7 PBAC outcome.</w:t>
      </w:r>
    </w:p>
    <w:p w:rsidR="005B3E02" w:rsidRPr="00A15815" w:rsidRDefault="005B3E02" w:rsidP="00866C5C">
      <w:pPr>
        <w:pStyle w:val="Heading1"/>
      </w:pPr>
      <w:r w:rsidRPr="00A15815">
        <w:t>PBAC Outcome</w:t>
      </w:r>
    </w:p>
    <w:p w:rsidR="005B3E02" w:rsidRPr="00BF58F1" w:rsidRDefault="00BE6AA0" w:rsidP="00BF58F1">
      <w:pPr>
        <w:pStyle w:val="ListParagraph"/>
        <w:widowControl/>
        <w:numPr>
          <w:ilvl w:val="1"/>
          <w:numId w:val="12"/>
        </w:numPr>
        <w:snapToGrid w:val="0"/>
        <w:rPr>
          <w:bCs/>
        </w:rPr>
      </w:pPr>
      <w:r w:rsidRPr="00BF58F1">
        <w:rPr>
          <w:bCs/>
        </w:rPr>
        <w:t xml:space="preserve">The PBAC recommended listing of cetuximab for the treatment of patients with previously untreated recurrent and/or metastatic squamous cell carcinoma of the head and neck, on the basis that it should be available only under special arrangements under section 100. The PBAC is satisfied that there is a clinical need in this patient population and that, for some patients, cetuximab provides a modest </w:t>
      </w:r>
      <w:r w:rsidRPr="00BF58F1">
        <w:rPr>
          <w:bCs/>
        </w:rPr>
        <w:lastRenderedPageBreak/>
        <w:t xml:space="preserve">improvement in overall survival, progression free survival and response rates over chemotherapy alone. The PBAC’s recommendation for listing was based on, among other matters, its assessment that the cost effectiveness of cetuximab could be brought into an acceptable range with a reduced </w:t>
      </w:r>
      <w:r w:rsidR="00A15815" w:rsidRPr="00BF58F1">
        <w:rPr>
          <w:bCs/>
        </w:rPr>
        <w:t xml:space="preserve">effective </w:t>
      </w:r>
      <w:r w:rsidRPr="00BF58F1">
        <w:rPr>
          <w:bCs/>
        </w:rPr>
        <w:t>price.</w:t>
      </w:r>
    </w:p>
    <w:p w:rsidR="0043586F" w:rsidRDefault="0043586F" w:rsidP="00846F9C">
      <w:pPr>
        <w:pStyle w:val="ListParagraph"/>
        <w:widowControl/>
        <w:numPr>
          <w:ilvl w:val="1"/>
          <w:numId w:val="12"/>
        </w:numPr>
        <w:snapToGrid w:val="0"/>
        <w:rPr>
          <w:bCs/>
        </w:rPr>
      </w:pPr>
      <w:r w:rsidRPr="00A15815">
        <w:rPr>
          <w:bCs/>
        </w:rPr>
        <w:t xml:space="preserve">The resubmission proposed that cetuximab will be administered </w:t>
      </w:r>
      <w:r w:rsidR="0044335D">
        <w:rPr>
          <w:bCs/>
        </w:rPr>
        <w:t>with</w:t>
      </w:r>
      <w:r w:rsidR="0044335D" w:rsidRPr="00A15815">
        <w:rPr>
          <w:bCs/>
        </w:rPr>
        <w:t xml:space="preserve"> </w:t>
      </w:r>
      <w:r w:rsidRPr="00A15815">
        <w:rPr>
          <w:bCs/>
        </w:rPr>
        <w:t>platinum based CT in patients in whom systemic therapy for RM SCC</w:t>
      </w:r>
      <w:r w:rsidR="00C23F92">
        <w:rPr>
          <w:bCs/>
        </w:rPr>
        <w:t>HN is appropriate. The PBAC has</w:t>
      </w:r>
      <w:r w:rsidRPr="00A15815">
        <w:rPr>
          <w:bCs/>
        </w:rPr>
        <w:t xml:space="preserve"> previously acknowledged that there is a clinical need for treatments for patients with RM SCCHN. The PBAC also noted the input from consumer comments and the sponsor hearing regarding the clinical need for treatment in this patient population. </w:t>
      </w:r>
    </w:p>
    <w:p w:rsidR="005B3E02" w:rsidRPr="00A15815" w:rsidRDefault="005C5182" w:rsidP="00846F9C">
      <w:pPr>
        <w:pStyle w:val="ListParagraph"/>
        <w:widowControl/>
        <w:numPr>
          <w:ilvl w:val="1"/>
          <w:numId w:val="12"/>
        </w:numPr>
        <w:snapToGrid w:val="0"/>
        <w:rPr>
          <w:bCs/>
        </w:rPr>
      </w:pPr>
      <w:r>
        <w:rPr>
          <w:bCs/>
        </w:rPr>
        <w:t xml:space="preserve">The </w:t>
      </w:r>
      <w:r w:rsidRPr="00A15815">
        <w:rPr>
          <w:bCs/>
        </w:rPr>
        <w:t>PBAC noted that the EXTREME trial enrolled patients with</w:t>
      </w:r>
      <w:r w:rsidR="0043586F">
        <w:rPr>
          <w:bCs/>
        </w:rPr>
        <w:t xml:space="preserve"> the equivalent of a</w:t>
      </w:r>
      <w:r w:rsidRPr="00A15815">
        <w:rPr>
          <w:bCs/>
        </w:rPr>
        <w:t xml:space="preserve"> performance status 0-2 and considered that</w:t>
      </w:r>
      <w:r w:rsidR="00D42652">
        <w:rPr>
          <w:bCs/>
        </w:rPr>
        <w:t xml:space="preserve"> for the PBS listing</w:t>
      </w:r>
      <w:r w:rsidRPr="00A15815">
        <w:rPr>
          <w:bCs/>
        </w:rPr>
        <w:t xml:space="preserve"> inclusion of the clinical criteria for patients to have ECOG </w:t>
      </w:r>
      <w:r w:rsidR="0043586F">
        <w:rPr>
          <w:bCs/>
        </w:rPr>
        <w:t>performance status</w:t>
      </w:r>
      <w:r w:rsidR="0043586F" w:rsidRPr="00A15815">
        <w:rPr>
          <w:bCs/>
        </w:rPr>
        <w:t xml:space="preserve"> </w:t>
      </w:r>
      <w:r w:rsidRPr="00A15815">
        <w:rPr>
          <w:bCs/>
        </w:rPr>
        <w:t xml:space="preserve">of 0-2 would be appropriate. The PBAC noted that the requested condition (SCCHN) is not a defined term in the SNOWMED Clinical Terminology Australian Release, but the Committee considered that the requested indication in this resubmission </w:t>
      </w:r>
      <w:r w:rsidR="00000F3E">
        <w:rPr>
          <w:bCs/>
        </w:rPr>
        <w:t>should be modified to read; r</w:t>
      </w:r>
      <w:r w:rsidR="00000F3E" w:rsidRPr="00501C5A">
        <w:t>ecurrent or metastatic squamous cell carcinoma of the oral cavity, pharynx or larynx</w:t>
      </w:r>
      <w:r w:rsidR="00000F3E">
        <w:t>. This is consistent with the trial population and with other requests for listing in these conditions.</w:t>
      </w:r>
      <w:r w:rsidR="000A7066">
        <w:rPr>
          <w:bCs/>
        </w:rPr>
        <w:t xml:space="preserve"> </w:t>
      </w:r>
      <w:r w:rsidRPr="00A15815">
        <w:rPr>
          <w:bCs/>
        </w:rPr>
        <w:t>The PBAC also advised that the clinical criterion that the condition must be previously untreated should remain in the restriction.</w:t>
      </w:r>
    </w:p>
    <w:p w:rsidR="005B3E02" w:rsidRPr="00A15815" w:rsidRDefault="00604941" w:rsidP="00846F9C">
      <w:pPr>
        <w:numPr>
          <w:ilvl w:val="1"/>
          <w:numId w:val="2"/>
        </w:numPr>
        <w:spacing w:after="120"/>
        <w:rPr>
          <w:rFonts w:asciiTheme="minorHAnsi" w:hAnsiTheme="minorHAnsi"/>
          <w:bCs/>
          <w:lang w:val="en-GB"/>
        </w:rPr>
      </w:pPr>
      <w:r w:rsidRPr="00A15815">
        <w:rPr>
          <w:rFonts w:cs="Calibri"/>
          <w:bCs/>
          <w:snapToGrid/>
          <w:szCs w:val="24"/>
          <w:lang w:eastAsia="en-AU"/>
        </w:rPr>
        <w:t xml:space="preserve">The PBAC previously accepted </w:t>
      </w:r>
      <w:r w:rsidR="00A039BE" w:rsidRPr="00A15815">
        <w:rPr>
          <w:rFonts w:cs="Calibri"/>
          <w:bCs/>
          <w:snapToGrid/>
          <w:szCs w:val="24"/>
          <w:lang w:eastAsia="en-AU"/>
        </w:rPr>
        <w:t>platinum-based chemotherapy alone</w:t>
      </w:r>
      <w:r w:rsidRPr="00A15815">
        <w:rPr>
          <w:rFonts w:cs="Calibri"/>
          <w:bCs/>
          <w:snapToGrid/>
          <w:szCs w:val="24"/>
          <w:lang w:eastAsia="en-AU"/>
        </w:rPr>
        <w:t xml:space="preserve"> as the appropriate comparator for RM SCCHN in the oral cavity subgroup and </w:t>
      </w:r>
      <w:r w:rsidR="00A35D51" w:rsidRPr="00A15815">
        <w:rPr>
          <w:rFonts w:cs="Calibri"/>
          <w:bCs/>
          <w:snapToGrid/>
          <w:szCs w:val="24"/>
          <w:lang w:eastAsia="en-AU"/>
        </w:rPr>
        <w:t xml:space="preserve">the Committee </w:t>
      </w:r>
      <w:r w:rsidRPr="00A15815">
        <w:rPr>
          <w:rFonts w:cs="Calibri"/>
          <w:bCs/>
          <w:snapToGrid/>
          <w:szCs w:val="24"/>
          <w:lang w:eastAsia="en-AU"/>
        </w:rPr>
        <w:t>agreed with ESC that this is also the appropriate comparator for the broader RM SCCHN population.</w:t>
      </w:r>
    </w:p>
    <w:p w:rsidR="00933E3D" w:rsidRPr="00EF28D9" w:rsidRDefault="008A6385" w:rsidP="00846F9C">
      <w:pPr>
        <w:numPr>
          <w:ilvl w:val="1"/>
          <w:numId w:val="2"/>
        </w:numPr>
        <w:spacing w:after="120"/>
        <w:rPr>
          <w:rFonts w:asciiTheme="minorHAnsi" w:hAnsiTheme="minorHAnsi"/>
          <w:bCs/>
          <w:lang w:val="en-GB"/>
        </w:rPr>
      </w:pPr>
      <w:r w:rsidRPr="00EF28D9">
        <w:rPr>
          <w:bCs/>
        </w:rPr>
        <w:t xml:space="preserve">The PBAC had previously accepted a claim of superior comparative effectiveness for cetuximab + CT with respect to OS, PFS and response rates based on the EXTREME </w:t>
      </w:r>
      <w:proofErr w:type="gramStart"/>
      <w:r w:rsidRPr="00EF28D9">
        <w:rPr>
          <w:bCs/>
        </w:rPr>
        <w:t>trial,</w:t>
      </w:r>
      <w:proofErr w:type="gramEnd"/>
      <w:r w:rsidRPr="00EF28D9">
        <w:rPr>
          <w:bCs/>
        </w:rPr>
        <w:t xml:space="preserve"> however the magnitude of the benefits (2.7 months gain in OS and 2.3 months gain in PFS in the ITT </w:t>
      </w:r>
      <w:r w:rsidR="000839BA" w:rsidRPr="00EF28D9">
        <w:rPr>
          <w:bCs/>
        </w:rPr>
        <w:t xml:space="preserve">population) was small. </w:t>
      </w:r>
    </w:p>
    <w:p w:rsidR="008A6385" w:rsidRPr="00EF28D9" w:rsidRDefault="008A6385" w:rsidP="00846F9C">
      <w:pPr>
        <w:numPr>
          <w:ilvl w:val="1"/>
          <w:numId w:val="2"/>
        </w:numPr>
        <w:spacing w:after="120"/>
        <w:rPr>
          <w:rFonts w:asciiTheme="minorHAnsi" w:hAnsiTheme="minorHAnsi"/>
          <w:bCs/>
          <w:lang w:val="en-GB"/>
        </w:rPr>
      </w:pPr>
      <w:r w:rsidRPr="00EF28D9">
        <w:rPr>
          <w:bCs/>
        </w:rPr>
        <w:t xml:space="preserve">The ESC advised that although the resubmission appropriately presented evidence for the ITT population and a meta-analysis with other anti-EGFR antibodies, there was no compelling evidence in the resubmission to change PBAC’s previous conclusions about the clinical claim. The PBAC </w:t>
      </w:r>
      <w:r w:rsidR="00DE5590" w:rsidRPr="00EF28D9">
        <w:rPr>
          <w:bCs/>
        </w:rPr>
        <w:t>noted that the pooled results indicated a smaller incremental benefit compared to the results of the EXTREME trial</w:t>
      </w:r>
      <w:r w:rsidR="00933E3D" w:rsidRPr="00EF28D9">
        <w:rPr>
          <w:bCs/>
        </w:rPr>
        <w:t>. The PBAC</w:t>
      </w:r>
      <w:r w:rsidR="00DE5590" w:rsidRPr="00EF28D9">
        <w:rPr>
          <w:bCs/>
        </w:rPr>
        <w:t xml:space="preserve"> </w:t>
      </w:r>
      <w:r w:rsidR="00933E3D" w:rsidRPr="00EF28D9">
        <w:rPr>
          <w:bCs/>
        </w:rPr>
        <w:t>considered that the EXTREME trial may present the</w:t>
      </w:r>
      <w:r w:rsidR="0043586F">
        <w:rPr>
          <w:bCs/>
        </w:rPr>
        <w:t xml:space="preserve"> most favourable results</w:t>
      </w:r>
      <w:r w:rsidR="00933E3D" w:rsidRPr="00EF28D9">
        <w:rPr>
          <w:bCs/>
        </w:rPr>
        <w:t xml:space="preserve"> for the EGFR + CT combination in patients with RM SCCHN.</w:t>
      </w:r>
    </w:p>
    <w:p w:rsidR="005B3E02" w:rsidRPr="00EF28D9" w:rsidRDefault="00D41C55" w:rsidP="00846F9C">
      <w:pPr>
        <w:numPr>
          <w:ilvl w:val="1"/>
          <w:numId w:val="2"/>
        </w:numPr>
        <w:spacing w:after="120"/>
        <w:rPr>
          <w:rFonts w:asciiTheme="minorHAnsi" w:hAnsiTheme="minorHAnsi"/>
          <w:bCs/>
          <w:lang w:val="en-GB"/>
        </w:rPr>
      </w:pPr>
      <w:r w:rsidRPr="00EF28D9">
        <w:rPr>
          <w:bCs/>
        </w:rPr>
        <w:t xml:space="preserve">The PBAC </w:t>
      </w:r>
      <w:r w:rsidR="00B72365">
        <w:rPr>
          <w:bCs/>
        </w:rPr>
        <w:t xml:space="preserve">reiterated its view from the </w:t>
      </w:r>
      <w:r w:rsidR="00600DF7">
        <w:rPr>
          <w:bCs/>
        </w:rPr>
        <w:t>March 2016</w:t>
      </w:r>
      <w:r w:rsidR="00B72365">
        <w:rPr>
          <w:bCs/>
        </w:rPr>
        <w:t xml:space="preserve"> meeting</w:t>
      </w:r>
      <w:r w:rsidRPr="00EF28D9">
        <w:rPr>
          <w:bCs/>
        </w:rPr>
        <w:t xml:space="preserve"> that the addition of cetuximab to platinum-based chemotherapy is inferior to platinum-based chemotherapy alone in terms of comparative safety.</w:t>
      </w:r>
    </w:p>
    <w:p w:rsidR="00250FAD" w:rsidRPr="003F57BF" w:rsidRDefault="00B72365" w:rsidP="009A0A54">
      <w:pPr>
        <w:numPr>
          <w:ilvl w:val="1"/>
          <w:numId w:val="2"/>
        </w:numPr>
        <w:spacing w:after="120"/>
        <w:rPr>
          <w:bCs/>
        </w:rPr>
      </w:pPr>
      <w:r w:rsidRPr="003F57BF">
        <w:rPr>
          <w:bCs/>
        </w:rPr>
        <w:t xml:space="preserve">The </w:t>
      </w:r>
      <w:r w:rsidR="00D425E8" w:rsidRPr="003F57BF">
        <w:rPr>
          <w:bCs/>
        </w:rPr>
        <w:t xml:space="preserve">PBAC considered that the base case ICER presented in the resubmission was underestimated due to the factors identified in the commentary </w:t>
      </w:r>
      <w:r w:rsidR="00EF28D9" w:rsidRPr="003F57BF">
        <w:rPr>
          <w:bCs/>
        </w:rPr>
        <w:t>and as noted by</w:t>
      </w:r>
      <w:r w:rsidR="00D425E8" w:rsidRPr="003F57BF">
        <w:rPr>
          <w:bCs/>
        </w:rPr>
        <w:t xml:space="preserve"> the </w:t>
      </w:r>
      <w:r w:rsidR="00D425E8" w:rsidRPr="003F57BF">
        <w:rPr>
          <w:bCs/>
        </w:rPr>
        <w:lastRenderedPageBreak/>
        <w:t xml:space="preserve">ESC. </w:t>
      </w:r>
      <w:r w:rsidR="008E03BE" w:rsidRPr="003F57BF">
        <w:rPr>
          <w:bCs/>
        </w:rPr>
        <w:t xml:space="preserve"> The PBAC considered a base case incorporating the following to be appropriate </w:t>
      </w:r>
      <w:r w:rsidR="00E67D3F" w:rsidRPr="003F57BF">
        <w:rPr>
          <w:bCs/>
        </w:rPr>
        <w:t>(</w:t>
      </w:r>
      <w:proofErr w:type="spellStart"/>
      <w:r w:rsidR="00E67D3F" w:rsidRPr="003F57BF">
        <w:rPr>
          <w:bCs/>
        </w:rPr>
        <w:t>i</w:t>
      </w:r>
      <w:proofErr w:type="spellEnd"/>
      <w:r w:rsidR="00E67D3F" w:rsidRPr="003F57BF">
        <w:rPr>
          <w:bCs/>
        </w:rPr>
        <w:t>) c</w:t>
      </w:r>
      <w:r w:rsidR="002A7D25" w:rsidRPr="003F57BF">
        <w:rPr>
          <w:bCs/>
        </w:rPr>
        <w:t>osts calculated using the accrued cost method, assuming that for</w:t>
      </w:r>
      <w:r w:rsidR="00783289" w:rsidRPr="003F57BF">
        <w:rPr>
          <w:bCs/>
        </w:rPr>
        <w:t xml:space="preserve"> subsequent cetuximab infusions, </w:t>
      </w:r>
      <w:r w:rsidR="00A7601C">
        <w:rPr>
          <w:bCs/>
          <w:noProof/>
          <w:color w:val="000000"/>
          <w:highlight w:val="black"/>
        </w:rPr>
        <w:t>'''''</w:t>
      </w:r>
      <w:r w:rsidR="00783289" w:rsidRPr="003F57BF">
        <w:rPr>
          <w:bCs/>
        </w:rPr>
        <w:t xml:space="preserve">% of patients receive 1 x 500 mg vial and the remaining </w:t>
      </w:r>
      <w:r w:rsidR="00A7601C">
        <w:rPr>
          <w:bCs/>
          <w:noProof/>
          <w:color w:val="000000"/>
          <w:highlight w:val="black"/>
        </w:rPr>
        <w:t>'''''</w:t>
      </w:r>
      <w:r w:rsidR="00783289" w:rsidRPr="003F57BF">
        <w:rPr>
          <w:bCs/>
        </w:rPr>
        <w:t>% receive 4 x 100 mg vials</w:t>
      </w:r>
      <w:r w:rsidR="00E67D3F" w:rsidRPr="003F57BF">
        <w:rPr>
          <w:bCs/>
        </w:rPr>
        <w:t>; (ii) d</w:t>
      </w:r>
      <w:r w:rsidR="002A7D25" w:rsidRPr="003F57BF">
        <w:rPr>
          <w:bCs/>
        </w:rPr>
        <w:t>ifferential utilities (trial-based</w:t>
      </w:r>
      <w:r w:rsidR="00EF28D9" w:rsidRPr="003F57BF">
        <w:rPr>
          <w:bCs/>
        </w:rPr>
        <w:t xml:space="preserve"> utility values as per </w:t>
      </w:r>
      <w:r w:rsidR="00405ACC" w:rsidRPr="003F57BF">
        <w:rPr>
          <w:bCs/>
        </w:rPr>
        <w:t>re</w:t>
      </w:r>
      <w:r w:rsidR="00EF28D9" w:rsidRPr="003F57BF">
        <w:rPr>
          <w:bCs/>
        </w:rPr>
        <w:t>submission</w:t>
      </w:r>
      <w:r w:rsidR="002A7D25" w:rsidRPr="003F57BF">
        <w:rPr>
          <w:bCs/>
        </w:rPr>
        <w:t>);</w:t>
      </w:r>
      <w:r w:rsidR="00E67D3F" w:rsidRPr="003F57BF">
        <w:rPr>
          <w:bCs/>
        </w:rPr>
        <w:t xml:space="preserve"> (iii) a</w:t>
      </w:r>
      <w:r w:rsidR="002A7D25" w:rsidRPr="003F57BF">
        <w:rPr>
          <w:bCs/>
        </w:rPr>
        <w:t xml:space="preserve"> 5 year time horizon;</w:t>
      </w:r>
      <w:r w:rsidR="00E67D3F" w:rsidRPr="003F57BF">
        <w:rPr>
          <w:bCs/>
        </w:rPr>
        <w:t xml:space="preserve"> (iv) </w:t>
      </w:r>
      <w:r w:rsidR="00A7601C">
        <w:rPr>
          <w:bCs/>
          <w:noProof/>
          <w:color w:val="000000"/>
          <w:highlight w:val="black"/>
        </w:rPr>
        <w:t>'''''</w:t>
      </w:r>
      <w:r w:rsidR="002A7D25" w:rsidRPr="003F57BF">
        <w:rPr>
          <w:bCs/>
        </w:rPr>
        <w:t xml:space="preserve">% fortnightly dosing; </w:t>
      </w:r>
      <w:r w:rsidR="003F57BF" w:rsidRPr="003F57BF">
        <w:rPr>
          <w:bCs/>
        </w:rPr>
        <w:t xml:space="preserve">(v) </w:t>
      </w:r>
      <w:r w:rsidR="003F57BF" w:rsidRPr="003F57BF">
        <w:rPr>
          <w:bCs/>
          <w:iCs/>
        </w:rPr>
        <w:t xml:space="preserve">applying a ratio of </w:t>
      </w:r>
      <w:r w:rsidR="00A7601C">
        <w:rPr>
          <w:bCs/>
          <w:iCs/>
          <w:noProof/>
          <w:color w:val="000000"/>
          <w:highlight w:val="black"/>
        </w:rPr>
        <w:t>'''''</w:t>
      </w:r>
      <w:r w:rsidR="003F57BF" w:rsidRPr="003F57BF">
        <w:rPr>
          <w:bCs/>
          <w:iCs/>
        </w:rPr>
        <w:t>/24.3 (</w:t>
      </w:r>
      <w:r w:rsidR="00A7601C">
        <w:rPr>
          <w:bCs/>
          <w:iCs/>
          <w:noProof/>
          <w:color w:val="000000"/>
          <w:highlight w:val="black"/>
        </w:rPr>
        <w:t>''''''</w:t>
      </w:r>
      <w:r w:rsidR="003F57BF" w:rsidRPr="003F57BF">
        <w:rPr>
          <w:bCs/>
          <w:iCs/>
        </w:rPr>
        <w:t xml:space="preserve">) to account for not all patients receiving treatment up until the time of progression; </w:t>
      </w:r>
      <w:r w:rsidR="002A7D25" w:rsidRPr="003F57BF">
        <w:rPr>
          <w:bCs/>
        </w:rPr>
        <w:t>and</w:t>
      </w:r>
      <w:r w:rsidR="00E67D3F" w:rsidRPr="003F57BF">
        <w:rPr>
          <w:bCs/>
        </w:rPr>
        <w:t xml:space="preserve"> (v</w:t>
      </w:r>
      <w:r w:rsidR="003F57BF">
        <w:rPr>
          <w:bCs/>
        </w:rPr>
        <w:t>i</w:t>
      </w:r>
      <w:r w:rsidR="00E67D3F" w:rsidRPr="003F57BF">
        <w:rPr>
          <w:bCs/>
        </w:rPr>
        <w:t>) extrapolation</w:t>
      </w:r>
      <w:r w:rsidR="00EF28D9" w:rsidRPr="003F57BF">
        <w:rPr>
          <w:bCs/>
        </w:rPr>
        <w:t xml:space="preserve"> us</w:t>
      </w:r>
      <w:r w:rsidR="008E03BE" w:rsidRPr="003F57BF">
        <w:rPr>
          <w:bCs/>
        </w:rPr>
        <w:t>ing</w:t>
      </w:r>
      <w:r w:rsidR="00EF28D9" w:rsidRPr="003F57BF">
        <w:rPr>
          <w:bCs/>
        </w:rPr>
        <w:t xml:space="preserve"> the Weibull function</w:t>
      </w:r>
      <w:r w:rsidR="00783289" w:rsidRPr="003F57BF">
        <w:rPr>
          <w:bCs/>
        </w:rPr>
        <w:t>.</w:t>
      </w:r>
      <w:r w:rsidR="008E03BE" w:rsidRPr="003F57BF">
        <w:rPr>
          <w:bCs/>
        </w:rPr>
        <w:t xml:space="preserve"> The PBAC noted the ICER for this scenario was </w:t>
      </w:r>
      <w:r w:rsidR="009A0A54">
        <w:rPr>
          <w:bCs/>
        </w:rPr>
        <w:t>$75,000 - $105,000</w:t>
      </w:r>
      <w:r w:rsidR="008E03BE" w:rsidRPr="003F57BF">
        <w:rPr>
          <w:bCs/>
        </w:rPr>
        <w:t xml:space="preserve"> using the $</w:t>
      </w:r>
      <w:r w:rsidR="00A7601C">
        <w:rPr>
          <w:bCs/>
          <w:noProof/>
          <w:color w:val="000000"/>
          <w:highlight w:val="black"/>
        </w:rPr>
        <w:t>'''''</w:t>
      </w:r>
      <w:r w:rsidR="008E03BE" w:rsidRPr="003F57BF">
        <w:rPr>
          <w:bCs/>
        </w:rPr>
        <w:t>/100</w:t>
      </w:r>
      <w:r w:rsidR="00405ACC" w:rsidRPr="003F57BF">
        <w:rPr>
          <w:bCs/>
        </w:rPr>
        <w:t xml:space="preserve"> </w:t>
      </w:r>
      <w:r w:rsidR="008E03BE" w:rsidRPr="003F57BF">
        <w:rPr>
          <w:bCs/>
        </w:rPr>
        <w:t>mg price proposed in the pre</w:t>
      </w:r>
      <w:r w:rsidR="009A0A54">
        <w:rPr>
          <w:bCs/>
        </w:rPr>
        <w:t>-</w:t>
      </w:r>
      <w:r w:rsidR="008E03BE" w:rsidRPr="003F57BF">
        <w:rPr>
          <w:bCs/>
        </w:rPr>
        <w:t>PBAC response.</w:t>
      </w:r>
    </w:p>
    <w:p w:rsidR="00817527" w:rsidRDefault="00B72365" w:rsidP="00250FAD">
      <w:pPr>
        <w:numPr>
          <w:ilvl w:val="1"/>
          <w:numId w:val="2"/>
        </w:numPr>
        <w:spacing w:after="120"/>
        <w:rPr>
          <w:rFonts w:asciiTheme="minorHAnsi" w:hAnsiTheme="minorHAnsi"/>
          <w:bCs/>
          <w:lang w:val="en-GB"/>
        </w:rPr>
      </w:pPr>
      <w:r>
        <w:rPr>
          <w:rFonts w:asciiTheme="minorHAnsi" w:hAnsiTheme="minorHAnsi"/>
          <w:bCs/>
          <w:lang w:val="en-GB"/>
        </w:rPr>
        <w:t xml:space="preserve">The </w:t>
      </w:r>
      <w:r w:rsidR="009E0CED" w:rsidRPr="00EF28D9">
        <w:rPr>
          <w:rFonts w:asciiTheme="minorHAnsi" w:hAnsiTheme="minorHAnsi"/>
          <w:bCs/>
          <w:lang w:val="en-GB"/>
        </w:rPr>
        <w:t>PBAC considered</w:t>
      </w:r>
      <w:r w:rsidR="009E0CED" w:rsidRPr="00250FAD">
        <w:rPr>
          <w:rFonts w:asciiTheme="minorHAnsi" w:hAnsiTheme="minorHAnsi"/>
          <w:bCs/>
          <w:lang w:val="en-GB"/>
        </w:rPr>
        <w:t xml:space="preserve"> </w:t>
      </w:r>
      <w:r w:rsidR="008E03BE">
        <w:rPr>
          <w:rFonts w:asciiTheme="minorHAnsi" w:hAnsiTheme="minorHAnsi"/>
          <w:bCs/>
          <w:lang w:val="en-GB"/>
        </w:rPr>
        <w:t xml:space="preserve">this base case </w:t>
      </w:r>
      <w:r w:rsidR="009E0CED" w:rsidRPr="00250FAD">
        <w:rPr>
          <w:rFonts w:asciiTheme="minorHAnsi" w:hAnsiTheme="minorHAnsi"/>
          <w:bCs/>
          <w:lang w:val="en-GB"/>
        </w:rPr>
        <w:t xml:space="preserve">may </w:t>
      </w:r>
      <w:r w:rsidR="00846F9C" w:rsidRPr="00250FAD">
        <w:rPr>
          <w:rFonts w:asciiTheme="minorHAnsi" w:hAnsiTheme="minorHAnsi"/>
          <w:bCs/>
          <w:lang w:val="en-GB"/>
        </w:rPr>
        <w:t xml:space="preserve">still </w:t>
      </w:r>
      <w:r w:rsidR="009E0CED" w:rsidRPr="00250FAD">
        <w:rPr>
          <w:rFonts w:asciiTheme="minorHAnsi" w:hAnsiTheme="minorHAnsi"/>
          <w:bCs/>
          <w:lang w:val="en-GB"/>
        </w:rPr>
        <w:t>overestimate the incremental benefit because</w:t>
      </w:r>
      <w:r w:rsidR="00D425E8" w:rsidRPr="00250FAD">
        <w:rPr>
          <w:rFonts w:asciiTheme="minorHAnsi" w:hAnsiTheme="minorHAnsi"/>
          <w:bCs/>
          <w:lang w:val="en-GB"/>
        </w:rPr>
        <w:t xml:space="preserve"> </w:t>
      </w:r>
      <w:r w:rsidR="009E0CED" w:rsidRPr="00250FAD">
        <w:rPr>
          <w:rFonts w:asciiTheme="minorHAnsi" w:hAnsiTheme="minorHAnsi"/>
          <w:bCs/>
          <w:lang w:val="en-GB"/>
        </w:rPr>
        <w:t xml:space="preserve">the model used PFS and OS from the EXTREME trial which the Committee considered may overestimate the benefit associated </w:t>
      </w:r>
      <w:r w:rsidR="00D425E8" w:rsidRPr="00250FAD">
        <w:rPr>
          <w:rFonts w:asciiTheme="minorHAnsi" w:hAnsiTheme="minorHAnsi"/>
          <w:bCs/>
          <w:lang w:val="en-GB"/>
        </w:rPr>
        <w:t xml:space="preserve">with </w:t>
      </w:r>
      <w:r w:rsidR="008E03BE">
        <w:rPr>
          <w:rFonts w:asciiTheme="minorHAnsi" w:hAnsiTheme="minorHAnsi"/>
          <w:bCs/>
          <w:lang w:val="en-GB"/>
        </w:rPr>
        <w:t>EGFR + CT</w:t>
      </w:r>
      <w:r w:rsidR="00405ACC">
        <w:rPr>
          <w:rFonts w:asciiTheme="minorHAnsi" w:hAnsiTheme="minorHAnsi"/>
          <w:bCs/>
          <w:lang w:val="en-GB"/>
        </w:rPr>
        <w:t>,</w:t>
      </w:r>
      <w:r w:rsidR="008E03BE">
        <w:rPr>
          <w:rFonts w:asciiTheme="minorHAnsi" w:hAnsiTheme="minorHAnsi"/>
          <w:bCs/>
          <w:lang w:val="en-GB"/>
        </w:rPr>
        <w:t xml:space="preserve"> and incorporated </w:t>
      </w:r>
      <w:r w:rsidR="00405ACC">
        <w:rPr>
          <w:rFonts w:asciiTheme="minorHAnsi" w:hAnsiTheme="minorHAnsi"/>
          <w:bCs/>
          <w:lang w:val="en-GB"/>
        </w:rPr>
        <w:t xml:space="preserve">treatment specific (differential) </w:t>
      </w:r>
      <w:r w:rsidR="008E03BE">
        <w:rPr>
          <w:rFonts w:asciiTheme="minorHAnsi" w:hAnsiTheme="minorHAnsi"/>
          <w:bCs/>
          <w:lang w:val="en-GB"/>
        </w:rPr>
        <w:t>utilities for the progression health state which were poorly supported</w:t>
      </w:r>
      <w:r w:rsidR="009E0CED" w:rsidRPr="00250FAD">
        <w:rPr>
          <w:rFonts w:asciiTheme="minorHAnsi" w:hAnsiTheme="minorHAnsi"/>
          <w:bCs/>
          <w:lang w:val="en-GB"/>
        </w:rPr>
        <w:t>.</w:t>
      </w:r>
      <w:r w:rsidR="008E03BE">
        <w:rPr>
          <w:rFonts w:asciiTheme="minorHAnsi" w:hAnsiTheme="minorHAnsi"/>
          <w:bCs/>
          <w:lang w:val="en-GB"/>
        </w:rPr>
        <w:t xml:space="preserve"> </w:t>
      </w:r>
    </w:p>
    <w:p w:rsidR="00846F9C" w:rsidRDefault="00817527" w:rsidP="00250FAD">
      <w:pPr>
        <w:numPr>
          <w:ilvl w:val="1"/>
          <w:numId w:val="2"/>
        </w:numPr>
        <w:spacing w:after="120"/>
        <w:rPr>
          <w:rFonts w:asciiTheme="minorHAnsi" w:hAnsiTheme="minorHAnsi"/>
          <w:bCs/>
          <w:lang w:val="en-GB"/>
        </w:rPr>
      </w:pPr>
      <w:r>
        <w:rPr>
          <w:rFonts w:asciiTheme="minorHAnsi" w:hAnsiTheme="minorHAnsi"/>
          <w:bCs/>
          <w:lang w:val="en-GB"/>
        </w:rPr>
        <w:t xml:space="preserve">The PBAC advised that cetuximab would be cost-effective </w:t>
      </w:r>
      <w:r w:rsidR="00070D78">
        <w:rPr>
          <w:rFonts w:asciiTheme="minorHAnsi" w:hAnsiTheme="minorHAnsi"/>
          <w:bCs/>
          <w:lang w:val="en-GB"/>
        </w:rPr>
        <w:t>at a price that results in an</w:t>
      </w:r>
      <w:r>
        <w:rPr>
          <w:rFonts w:asciiTheme="minorHAnsi" w:hAnsiTheme="minorHAnsi"/>
          <w:bCs/>
          <w:lang w:val="en-GB"/>
        </w:rPr>
        <w:t xml:space="preserve"> ICER for the revised base case </w:t>
      </w:r>
      <w:r w:rsidR="00070D78">
        <w:rPr>
          <w:rFonts w:asciiTheme="minorHAnsi" w:hAnsiTheme="minorHAnsi"/>
          <w:bCs/>
          <w:lang w:val="en-GB"/>
        </w:rPr>
        <w:t>that is</w:t>
      </w:r>
      <w:r w:rsidR="0029520C">
        <w:rPr>
          <w:rFonts w:asciiTheme="minorHAnsi" w:hAnsiTheme="minorHAnsi"/>
          <w:bCs/>
          <w:lang w:val="en-GB"/>
        </w:rPr>
        <w:t xml:space="preserve"> </w:t>
      </w:r>
      <w:r w:rsidR="009A0A54">
        <w:rPr>
          <w:rFonts w:asciiTheme="minorHAnsi" w:hAnsiTheme="minorHAnsi"/>
          <w:bCs/>
          <w:lang w:val="en-GB"/>
        </w:rPr>
        <w:t>$45,000 - $75,000</w:t>
      </w:r>
      <w:r w:rsidR="0029520C">
        <w:rPr>
          <w:rFonts w:asciiTheme="minorHAnsi" w:hAnsiTheme="minorHAnsi"/>
          <w:bCs/>
          <w:lang w:val="en-GB"/>
        </w:rPr>
        <w:t xml:space="preserve"> per QALY</w:t>
      </w:r>
      <w:r w:rsidR="008B0970">
        <w:rPr>
          <w:rFonts w:asciiTheme="minorHAnsi" w:hAnsiTheme="minorHAnsi"/>
          <w:bCs/>
          <w:lang w:val="en-GB"/>
        </w:rPr>
        <w:t xml:space="preserve"> (&lt;$</w:t>
      </w:r>
      <w:r w:rsidR="00A7601C">
        <w:rPr>
          <w:rFonts w:asciiTheme="minorHAnsi" w:hAnsiTheme="minorHAnsi"/>
          <w:bCs/>
          <w:noProof/>
          <w:color w:val="000000"/>
          <w:highlight w:val="black"/>
          <w:lang w:val="en-GB"/>
        </w:rPr>
        <w:t>'''''</w:t>
      </w:r>
      <w:r w:rsidR="008B0970">
        <w:rPr>
          <w:rFonts w:asciiTheme="minorHAnsi" w:hAnsiTheme="minorHAnsi"/>
          <w:bCs/>
          <w:lang w:val="en-GB"/>
        </w:rPr>
        <w:t>/100 mg vial)</w:t>
      </w:r>
      <w:r w:rsidR="0029520C">
        <w:rPr>
          <w:rFonts w:asciiTheme="minorHAnsi" w:hAnsiTheme="minorHAnsi"/>
          <w:bCs/>
          <w:lang w:val="en-GB"/>
        </w:rPr>
        <w:t>.</w:t>
      </w:r>
      <w:r w:rsidR="009E0CED" w:rsidRPr="00250FAD">
        <w:rPr>
          <w:rFonts w:asciiTheme="minorHAnsi" w:hAnsiTheme="minorHAnsi"/>
          <w:bCs/>
          <w:lang w:val="en-GB"/>
        </w:rPr>
        <w:t xml:space="preserve"> </w:t>
      </w:r>
    </w:p>
    <w:p w:rsidR="00405ACC" w:rsidRPr="00250FAD" w:rsidRDefault="004678CB" w:rsidP="00250FAD">
      <w:pPr>
        <w:numPr>
          <w:ilvl w:val="1"/>
          <w:numId w:val="2"/>
        </w:numPr>
        <w:spacing w:after="120"/>
        <w:rPr>
          <w:rFonts w:asciiTheme="minorHAnsi" w:hAnsiTheme="minorHAnsi"/>
          <w:bCs/>
          <w:lang w:val="en-GB"/>
        </w:rPr>
      </w:pPr>
      <w:r>
        <w:rPr>
          <w:rFonts w:asciiTheme="minorHAnsi" w:hAnsiTheme="minorHAnsi"/>
          <w:bCs/>
          <w:lang w:val="en-GB"/>
        </w:rPr>
        <w:t xml:space="preserve">The PBAC noted the financial estimates may be underestimated based on the dosing, uptake and </w:t>
      </w:r>
      <w:r>
        <w:rPr>
          <w:bCs/>
          <w:iCs/>
        </w:rPr>
        <w:t>administration cost</w:t>
      </w:r>
      <w:r>
        <w:rPr>
          <w:rFonts w:asciiTheme="minorHAnsi" w:hAnsiTheme="minorHAnsi"/>
          <w:bCs/>
          <w:lang w:val="en-GB"/>
        </w:rPr>
        <w:t xml:space="preserve"> assumptions. </w:t>
      </w:r>
      <w:r w:rsidR="00000F3E">
        <w:rPr>
          <w:rFonts w:asciiTheme="minorHAnsi" w:hAnsiTheme="minorHAnsi"/>
          <w:bCs/>
          <w:lang w:val="en-GB"/>
        </w:rPr>
        <w:t>However,</w:t>
      </w:r>
      <w:r>
        <w:rPr>
          <w:rFonts w:asciiTheme="minorHAnsi" w:hAnsiTheme="minorHAnsi"/>
          <w:bCs/>
          <w:lang w:val="en-GB"/>
        </w:rPr>
        <w:t xml:space="preserve"> the PBAC considered it appropriate for the financial estimates to be based on use as presented in the submission with the reduced price required for cetuximab to be cost-effective.</w:t>
      </w:r>
      <w:r w:rsidR="00000F3E">
        <w:rPr>
          <w:rFonts w:asciiTheme="minorHAnsi" w:hAnsiTheme="minorHAnsi"/>
          <w:bCs/>
          <w:lang w:val="en-GB"/>
        </w:rPr>
        <w:t xml:space="preserve"> </w:t>
      </w:r>
      <w:r w:rsidR="00405ACC">
        <w:rPr>
          <w:rFonts w:asciiTheme="minorHAnsi" w:hAnsiTheme="minorHAnsi"/>
          <w:bCs/>
          <w:lang w:val="en-GB"/>
        </w:rPr>
        <w:t>The PBAC noted the financial impact associated with the listing of cetuximab would be reduced compared with the estimates presented in the resubmission as a result of the price reduction required for cetuximab to be considered cost-effective.</w:t>
      </w:r>
    </w:p>
    <w:p w:rsidR="00405ACC" w:rsidRPr="00405ACC" w:rsidRDefault="00405ACC" w:rsidP="00405ACC">
      <w:pPr>
        <w:numPr>
          <w:ilvl w:val="1"/>
          <w:numId w:val="2"/>
        </w:numPr>
        <w:spacing w:after="120"/>
        <w:rPr>
          <w:rFonts w:asciiTheme="minorHAnsi" w:hAnsiTheme="minorHAnsi"/>
          <w:bCs/>
          <w:lang w:val="en-GB"/>
        </w:rPr>
      </w:pPr>
      <w:r w:rsidRPr="00405ACC">
        <w:rPr>
          <w:bCs/>
          <w:lang w:val="en-GB"/>
        </w:rPr>
        <w:t xml:space="preserve"> </w:t>
      </w:r>
      <w:r w:rsidRPr="00405ACC">
        <w:rPr>
          <w:rFonts w:asciiTheme="minorHAnsi" w:hAnsiTheme="minorHAnsi"/>
          <w:bCs/>
          <w:lang w:val="en-GB"/>
        </w:rPr>
        <w:t>The PBAC did not recommend that cetuximab should be treated as interchangeable on an individual patient basis with any other drug.</w:t>
      </w:r>
    </w:p>
    <w:p w:rsidR="005B3E02" w:rsidRPr="00D425E8" w:rsidRDefault="005B3E02" w:rsidP="005B3E02">
      <w:pPr>
        <w:numPr>
          <w:ilvl w:val="1"/>
          <w:numId w:val="2"/>
        </w:numPr>
        <w:spacing w:after="120"/>
        <w:rPr>
          <w:rFonts w:asciiTheme="minorHAnsi" w:hAnsiTheme="minorHAnsi"/>
          <w:bCs/>
          <w:i/>
          <w:lang w:val="en-GB"/>
        </w:rPr>
      </w:pPr>
      <w:r w:rsidRPr="00D425E8">
        <w:rPr>
          <w:rFonts w:asciiTheme="minorHAnsi" w:hAnsiTheme="minorHAnsi"/>
          <w:bCs/>
          <w:lang w:val="en-GB"/>
        </w:rPr>
        <w:t>The PBA</w:t>
      </w:r>
      <w:r w:rsidR="00D425E8" w:rsidRPr="00D425E8">
        <w:rPr>
          <w:rFonts w:asciiTheme="minorHAnsi" w:hAnsiTheme="minorHAnsi"/>
          <w:bCs/>
          <w:lang w:val="en-GB"/>
        </w:rPr>
        <w:t xml:space="preserve">C noted that this submission </w:t>
      </w:r>
      <w:r w:rsidRPr="00D425E8">
        <w:rPr>
          <w:rFonts w:asciiTheme="minorHAnsi" w:hAnsiTheme="minorHAnsi"/>
          <w:bCs/>
          <w:lang w:val="en-GB"/>
        </w:rPr>
        <w:t>is not eligible for an Independent Review</w:t>
      </w:r>
      <w:r w:rsidR="00D425E8" w:rsidRPr="00D425E8">
        <w:rPr>
          <w:rFonts w:asciiTheme="minorHAnsi" w:hAnsiTheme="minorHAnsi"/>
          <w:bCs/>
          <w:lang w:val="en-GB"/>
        </w:rPr>
        <w:t xml:space="preserve"> as the Committee has made a positive recommendation</w:t>
      </w:r>
      <w:r w:rsidRPr="00D425E8">
        <w:rPr>
          <w:rFonts w:asciiTheme="minorHAnsi" w:hAnsiTheme="minorHAnsi"/>
          <w:bCs/>
          <w:lang w:val="en-GB"/>
        </w:rPr>
        <w:t>.</w:t>
      </w:r>
    </w:p>
    <w:p w:rsidR="005B3E02" w:rsidRPr="00D425E8" w:rsidRDefault="005B3E02" w:rsidP="005B3E02">
      <w:pPr>
        <w:spacing w:before="240"/>
        <w:rPr>
          <w:rFonts w:asciiTheme="minorHAnsi" w:hAnsiTheme="minorHAnsi"/>
          <w:b/>
          <w:bCs/>
          <w:lang w:val="en-GB"/>
        </w:rPr>
      </w:pPr>
      <w:r w:rsidRPr="00D425E8">
        <w:rPr>
          <w:rFonts w:asciiTheme="minorHAnsi" w:hAnsiTheme="minorHAnsi"/>
          <w:b/>
          <w:bCs/>
          <w:lang w:val="en-GB"/>
        </w:rPr>
        <w:t>Outcome:</w:t>
      </w:r>
    </w:p>
    <w:p w:rsidR="00736A4E" w:rsidRDefault="00D425E8" w:rsidP="005B3E02">
      <w:pPr>
        <w:rPr>
          <w:rFonts w:asciiTheme="minorHAnsi" w:hAnsiTheme="minorHAnsi"/>
          <w:bCs/>
          <w:lang w:val="en-GB"/>
        </w:rPr>
      </w:pPr>
      <w:r w:rsidRPr="00D425E8">
        <w:rPr>
          <w:rFonts w:asciiTheme="minorHAnsi" w:hAnsiTheme="minorHAnsi"/>
          <w:bCs/>
          <w:lang w:val="en-GB"/>
        </w:rPr>
        <w:t>Recommended</w:t>
      </w:r>
    </w:p>
    <w:p w:rsidR="005B3E02" w:rsidRPr="00113A9E" w:rsidRDefault="005B3E02" w:rsidP="00866C5C">
      <w:pPr>
        <w:pStyle w:val="Heading1"/>
        <w:rPr>
          <w:lang w:val="en-GB"/>
        </w:rPr>
      </w:pPr>
      <w:r w:rsidRPr="00113A9E">
        <w:rPr>
          <w:lang w:val="en-GB"/>
        </w:rPr>
        <w:t>Recommended listing</w:t>
      </w:r>
    </w:p>
    <w:p w:rsidR="005B3E02" w:rsidRPr="00113A9E" w:rsidRDefault="005B3E02" w:rsidP="00B466CD">
      <w:pPr>
        <w:numPr>
          <w:ilvl w:val="1"/>
          <w:numId w:val="2"/>
        </w:numPr>
        <w:rPr>
          <w:rFonts w:asciiTheme="minorHAnsi" w:hAnsiTheme="minorHAnsi"/>
          <w:b/>
          <w:bCs/>
        </w:rPr>
      </w:pPr>
      <w:r w:rsidRPr="00113A9E">
        <w:rPr>
          <w:rFonts w:asciiTheme="minorHAnsi" w:hAnsiTheme="minorHAnsi"/>
          <w:bCs/>
        </w:rPr>
        <w:t>Add new item:</w:t>
      </w:r>
      <w:r w:rsidR="001B4FAF" w:rsidRPr="00113A9E">
        <w:rPr>
          <w:rFonts w:asciiTheme="minorHAnsi" w:hAnsiTheme="minorHAnsi"/>
          <w:bCs/>
        </w:rPr>
        <w:t xml:space="preserve"> </w:t>
      </w:r>
    </w:p>
    <w:tbl>
      <w:tblPr>
        <w:tblW w:w="5009" w:type="pct"/>
        <w:tblInd w:w="28" w:type="dxa"/>
        <w:tblCellMar>
          <w:left w:w="28" w:type="dxa"/>
          <w:right w:w="28" w:type="dxa"/>
        </w:tblCellMar>
        <w:tblLook w:val="0000" w:firstRow="0" w:lastRow="0" w:firstColumn="0" w:lastColumn="0" w:noHBand="0" w:noVBand="0"/>
      </w:tblPr>
      <w:tblGrid>
        <w:gridCol w:w="1553"/>
        <w:gridCol w:w="57"/>
        <w:gridCol w:w="1531"/>
        <w:gridCol w:w="116"/>
        <w:gridCol w:w="864"/>
        <w:gridCol w:w="158"/>
        <w:gridCol w:w="1032"/>
        <w:gridCol w:w="208"/>
        <w:gridCol w:w="360"/>
        <w:gridCol w:w="207"/>
        <w:gridCol w:w="2955"/>
        <w:gridCol w:w="58"/>
      </w:tblGrid>
      <w:tr w:rsidR="00B466CD" w:rsidRPr="00D35D44" w:rsidTr="00B466CD">
        <w:trPr>
          <w:cantSplit/>
          <w:trHeight w:val="463"/>
        </w:trPr>
        <w:tc>
          <w:tcPr>
            <w:tcW w:w="1725" w:type="pct"/>
            <w:gridSpan w:val="3"/>
            <w:vAlign w:val="center"/>
          </w:tcPr>
          <w:p w:rsidR="00B466CD" w:rsidRPr="00D35D44" w:rsidRDefault="00B466CD" w:rsidP="00A90B55">
            <w:pPr>
              <w:keepNext/>
              <w:jc w:val="left"/>
              <w:rPr>
                <w:rFonts w:ascii="Arial Narrow" w:hAnsi="Arial Narrow"/>
                <w:bCs/>
                <w:sz w:val="20"/>
              </w:rPr>
            </w:pPr>
          </w:p>
        </w:tc>
        <w:tc>
          <w:tcPr>
            <w:tcW w:w="539" w:type="pct"/>
            <w:gridSpan w:val="2"/>
            <w:vAlign w:val="center"/>
          </w:tcPr>
          <w:p w:rsidR="00B466CD" w:rsidRPr="00D35D44" w:rsidRDefault="00B466CD" w:rsidP="00A90B55">
            <w:pPr>
              <w:keepNext/>
              <w:jc w:val="center"/>
              <w:rPr>
                <w:rFonts w:ascii="Arial Narrow" w:hAnsi="Arial Narrow"/>
                <w:bCs/>
                <w:sz w:val="20"/>
              </w:rPr>
            </w:pPr>
          </w:p>
        </w:tc>
        <w:tc>
          <w:tcPr>
            <w:tcW w:w="654" w:type="pct"/>
            <w:gridSpan w:val="2"/>
            <w:vAlign w:val="center"/>
          </w:tcPr>
          <w:p w:rsidR="00B466CD" w:rsidRPr="00D35D44" w:rsidRDefault="00B466CD" w:rsidP="00A90B55">
            <w:pPr>
              <w:keepNext/>
              <w:jc w:val="center"/>
              <w:rPr>
                <w:rFonts w:ascii="Arial Narrow" w:hAnsi="Arial Narrow" w:cs="Times New Roman"/>
                <w:bCs/>
                <w:sz w:val="20"/>
              </w:rPr>
            </w:pPr>
          </w:p>
        </w:tc>
        <w:tc>
          <w:tcPr>
            <w:tcW w:w="2082" w:type="pct"/>
            <w:gridSpan w:val="5"/>
            <w:vAlign w:val="center"/>
          </w:tcPr>
          <w:p w:rsidR="00B466CD" w:rsidRPr="00D35D44" w:rsidRDefault="00B466CD" w:rsidP="00E601AB">
            <w:pPr>
              <w:keepNext/>
              <w:rPr>
                <w:rFonts w:ascii="Arial Narrow" w:hAnsi="Arial Narrow"/>
                <w:bCs/>
                <w:sz w:val="20"/>
              </w:rPr>
            </w:pPr>
          </w:p>
        </w:tc>
      </w:tr>
      <w:tr w:rsidR="001B4FAF" w:rsidRPr="00D35D44" w:rsidTr="00B466CD">
        <w:trPr>
          <w:cantSplit/>
          <w:trHeight w:val="463"/>
        </w:trPr>
        <w:tc>
          <w:tcPr>
            <w:tcW w:w="1725" w:type="pct"/>
            <w:gridSpan w:val="3"/>
            <w:tcBorders>
              <w:bottom w:val="single" w:sz="4" w:space="0" w:color="auto"/>
            </w:tcBorders>
            <w:vAlign w:val="center"/>
          </w:tcPr>
          <w:p w:rsidR="001B4FAF" w:rsidRPr="00D35D44" w:rsidRDefault="001B4FAF" w:rsidP="00A90B55">
            <w:pPr>
              <w:keepNext/>
              <w:jc w:val="left"/>
              <w:rPr>
                <w:rFonts w:ascii="Arial Narrow" w:hAnsi="Arial Narrow"/>
                <w:bCs/>
                <w:sz w:val="20"/>
              </w:rPr>
            </w:pPr>
            <w:r w:rsidRPr="00D35D44">
              <w:rPr>
                <w:rFonts w:ascii="Arial Narrow" w:hAnsi="Arial Narrow"/>
                <w:bCs/>
                <w:sz w:val="20"/>
              </w:rPr>
              <w:t>Name, Restriction,</w:t>
            </w:r>
          </w:p>
          <w:p w:rsidR="001B4FAF" w:rsidRPr="00D35D44" w:rsidRDefault="001B4FAF" w:rsidP="00A90B55">
            <w:pPr>
              <w:keepNext/>
              <w:jc w:val="left"/>
              <w:rPr>
                <w:rFonts w:ascii="Arial Narrow" w:hAnsi="Arial Narrow"/>
                <w:bCs/>
                <w:sz w:val="20"/>
              </w:rPr>
            </w:pPr>
            <w:r w:rsidRPr="00D35D44">
              <w:rPr>
                <w:rFonts w:ascii="Arial Narrow" w:hAnsi="Arial Narrow"/>
                <w:bCs/>
                <w:sz w:val="20"/>
              </w:rPr>
              <w:t>Manner of administration and form</w:t>
            </w:r>
          </w:p>
        </w:tc>
        <w:tc>
          <w:tcPr>
            <w:tcW w:w="539" w:type="pct"/>
            <w:gridSpan w:val="2"/>
            <w:tcBorders>
              <w:bottom w:val="single" w:sz="4" w:space="0" w:color="auto"/>
            </w:tcBorders>
            <w:vAlign w:val="center"/>
          </w:tcPr>
          <w:p w:rsidR="001B4FAF" w:rsidRPr="00D35D44" w:rsidRDefault="001B4FAF" w:rsidP="00A90B55">
            <w:pPr>
              <w:keepNext/>
              <w:jc w:val="center"/>
              <w:rPr>
                <w:rFonts w:ascii="Arial Narrow" w:hAnsi="Arial Narrow"/>
                <w:bCs/>
                <w:sz w:val="20"/>
              </w:rPr>
            </w:pPr>
            <w:r w:rsidRPr="00D35D44">
              <w:rPr>
                <w:rFonts w:ascii="Arial Narrow" w:hAnsi="Arial Narrow"/>
                <w:bCs/>
                <w:sz w:val="20"/>
              </w:rPr>
              <w:t>Max.</w:t>
            </w:r>
          </w:p>
          <w:p w:rsidR="001B4FAF" w:rsidRPr="00D35D44" w:rsidRDefault="001B4FAF" w:rsidP="00A90B55">
            <w:pPr>
              <w:keepNext/>
              <w:jc w:val="center"/>
              <w:rPr>
                <w:rFonts w:ascii="Arial Narrow" w:hAnsi="Arial Narrow"/>
                <w:bCs/>
                <w:sz w:val="20"/>
              </w:rPr>
            </w:pPr>
            <w:proofErr w:type="spellStart"/>
            <w:r w:rsidRPr="00D35D44">
              <w:rPr>
                <w:rFonts w:ascii="Arial Narrow" w:hAnsi="Arial Narrow"/>
                <w:bCs/>
                <w:sz w:val="20"/>
              </w:rPr>
              <w:t>Amt</w:t>
            </w:r>
            <w:proofErr w:type="spellEnd"/>
          </w:p>
        </w:tc>
        <w:tc>
          <w:tcPr>
            <w:tcW w:w="654" w:type="pct"/>
            <w:gridSpan w:val="2"/>
            <w:tcBorders>
              <w:bottom w:val="single" w:sz="4" w:space="0" w:color="auto"/>
            </w:tcBorders>
            <w:vAlign w:val="center"/>
          </w:tcPr>
          <w:p w:rsidR="001B4FAF" w:rsidRPr="00D35D44" w:rsidRDefault="001B4FAF" w:rsidP="00A90B55">
            <w:pPr>
              <w:keepNext/>
              <w:jc w:val="center"/>
              <w:rPr>
                <w:rFonts w:ascii="Arial Narrow" w:hAnsi="Arial Narrow"/>
                <w:bCs/>
                <w:sz w:val="20"/>
              </w:rPr>
            </w:pPr>
            <w:r w:rsidRPr="00D35D44">
              <w:rPr>
                <w:rFonts w:ascii="Arial Narrow" w:hAnsi="Arial Narrow" w:cs="Times New Roman"/>
                <w:bCs/>
                <w:sz w:val="20"/>
              </w:rPr>
              <w:t>№</w:t>
            </w:r>
            <w:r w:rsidRPr="00D35D44">
              <w:rPr>
                <w:rFonts w:ascii="Arial Narrow" w:hAnsi="Arial Narrow"/>
                <w:bCs/>
                <w:sz w:val="20"/>
              </w:rPr>
              <w:t>.of</w:t>
            </w:r>
          </w:p>
          <w:p w:rsidR="001B4FAF" w:rsidRPr="00D35D44" w:rsidRDefault="001B4FAF" w:rsidP="00A90B55">
            <w:pPr>
              <w:keepNext/>
              <w:jc w:val="center"/>
              <w:rPr>
                <w:rFonts w:ascii="Arial Narrow" w:hAnsi="Arial Narrow"/>
                <w:bCs/>
                <w:sz w:val="20"/>
              </w:rPr>
            </w:pPr>
            <w:r w:rsidRPr="00D35D44">
              <w:rPr>
                <w:rFonts w:ascii="Arial Narrow" w:hAnsi="Arial Narrow"/>
                <w:bCs/>
                <w:sz w:val="20"/>
              </w:rPr>
              <w:t>Rpts</w:t>
            </w:r>
          </w:p>
        </w:tc>
        <w:tc>
          <w:tcPr>
            <w:tcW w:w="2082" w:type="pct"/>
            <w:gridSpan w:val="5"/>
            <w:tcBorders>
              <w:bottom w:val="single" w:sz="4" w:space="0" w:color="auto"/>
            </w:tcBorders>
            <w:vAlign w:val="center"/>
          </w:tcPr>
          <w:p w:rsidR="001B4FAF" w:rsidRPr="00D35D44" w:rsidRDefault="001B4FAF" w:rsidP="00E601AB">
            <w:pPr>
              <w:keepNext/>
              <w:rPr>
                <w:rFonts w:ascii="Arial Narrow" w:hAnsi="Arial Narrow"/>
                <w:bCs/>
                <w:sz w:val="20"/>
              </w:rPr>
            </w:pPr>
            <w:r w:rsidRPr="00D35D44">
              <w:rPr>
                <w:rFonts w:ascii="Arial Narrow" w:hAnsi="Arial Narrow"/>
                <w:bCs/>
                <w:sz w:val="20"/>
              </w:rPr>
              <w:t>Proprietary Name and Manufacturer</w:t>
            </w:r>
          </w:p>
        </w:tc>
      </w:tr>
      <w:tr w:rsidR="001B4FAF" w:rsidRPr="00D35D44" w:rsidTr="00866C5C">
        <w:trPr>
          <w:cantSplit/>
          <w:trHeight w:val="567"/>
        </w:trPr>
        <w:tc>
          <w:tcPr>
            <w:tcW w:w="1725" w:type="pct"/>
            <w:gridSpan w:val="3"/>
          </w:tcPr>
          <w:p w:rsidR="001B4FAF" w:rsidRPr="00D35D44" w:rsidRDefault="001B4FAF" w:rsidP="00A90B55">
            <w:pPr>
              <w:rPr>
                <w:rFonts w:ascii="Arial Narrow" w:hAnsi="Arial Narrow"/>
                <w:sz w:val="20"/>
                <w:lang w:val="fr-FR" w:eastAsia="en-AU"/>
              </w:rPr>
            </w:pPr>
            <w:r w:rsidRPr="00D35D44">
              <w:rPr>
                <w:rFonts w:ascii="Arial Narrow" w:hAnsi="Arial Narrow"/>
                <w:smallCaps/>
                <w:sz w:val="20"/>
                <w:lang w:val="fr-FR" w:eastAsia="en-AU"/>
              </w:rPr>
              <w:t>CETUXIMAB</w:t>
            </w:r>
          </w:p>
          <w:p w:rsidR="001B4FAF" w:rsidRPr="00D35D44" w:rsidRDefault="001B4FAF" w:rsidP="00A90B55">
            <w:pPr>
              <w:rPr>
                <w:rFonts w:ascii="Arial Narrow" w:hAnsi="Arial Narrow"/>
                <w:sz w:val="20"/>
                <w:lang w:val="fr-FR" w:eastAsia="en-AU"/>
              </w:rPr>
            </w:pPr>
            <w:r w:rsidRPr="00D35D44">
              <w:rPr>
                <w:rFonts w:ascii="Arial Narrow" w:hAnsi="Arial Narrow"/>
                <w:sz w:val="20"/>
                <w:lang w:val="fr-FR" w:eastAsia="en-AU"/>
              </w:rPr>
              <w:t xml:space="preserve">Injection, 100 mg/20 </w:t>
            </w:r>
            <w:proofErr w:type="spellStart"/>
            <w:r w:rsidRPr="00D35D44">
              <w:rPr>
                <w:rFonts w:ascii="Arial Narrow" w:hAnsi="Arial Narrow"/>
                <w:sz w:val="20"/>
                <w:lang w:val="fr-FR" w:eastAsia="en-AU"/>
              </w:rPr>
              <w:t>mL</w:t>
            </w:r>
            <w:proofErr w:type="spellEnd"/>
          </w:p>
          <w:p w:rsidR="001B4FAF" w:rsidRPr="00D35D44" w:rsidRDefault="001B4FAF" w:rsidP="00A90B55">
            <w:pPr>
              <w:keepNext/>
              <w:jc w:val="left"/>
              <w:rPr>
                <w:rFonts w:ascii="Arial Narrow" w:hAnsi="Arial Narrow"/>
                <w:bCs/>
                <w:sz w:val="20"/>
                <w:lang w:val="fr-FR"/>
              </w:rPr>
            </w:pPr>
            <w:r w:rsidRPr="00D35D44">
              <w:rPr>
                <w:rFonts w:ascii="Arial Narrow" w:hAnsi="Arial Narrow"/>
                <w:sz w:val="20"/>
                <w:lang w:val="fr-FR" w:eastAsia="en-AU"/>
              </w:rPr>
              <w:t xml:space="preserve">Injection, 500 mg/100 </w:t>
            </w:r>
            <w:proofErr w:type="spellStart"/>
            <w:r w:rsidRPr="00D35D44">
              <w:rPr>
                <w:rFonts w:ascii="Arial Narrow" w:hAnsi="Arial Narrow"/>
                <w:sz w:val="20"/>
                <w:lang w:val="fr-FR" w:eastAsia="en-AU"/>
              </w:rPr>
              <w:t>mL</w:t>
            </w:r>
            <w:proofErr w:type="spellEnd"/>
          </w:p>
        </w:tc>
        <w:tc>
          <w:tcPr>
            <w:tcW w:w="539" w:type="pct"/>
            <w:gridSpan w:val="2"/>
          </w:tcPr>
          <w:p w:rsidR="001B4FAF" w:rsidRPr="00D35D44" w:rsidRDefault="001B4FAF" w:rsidP="00A90B55">
            <w:pPr>
              <w:keepNext/>
              <w:jc w:val="center"/>
              <w:rPr>
                <w:rFonts w:ascii="Arial Narrow" w:hAnsi="Arial Narrow"/>
                <w:bCs/>
                <w:sz w:val="20"/>
              </w:rPr>
            </w:pPr>
            <w:r w:rsidRPr="00D35D44">
              <w:rPr>
                <w:rFonts w:ascii="Arial Narrow" w:hAnsi="Arial Narrow"/>
                <w:sz w:val="20"/>
                <w:lang w:eastAsia="en-AU"/>
              </w:rPr>
              <w:t>880 mg</w:t>
            </w:r>
          </w:p>
        </w:tc>
        <w:tc>
          <w:tcPr>
            <w:tcW w:w="654" w:type="pct"/>
            <w:gridSpan w:val="2"/>
          </w:tcPr>
          <w:p w:rsidR="001B4FAF" w:rsidRPr="00D35D44" w:rsidRDefault="001B4FAF" w:rsidP="00A90B55">
            <w:pPr>
              <w:keepNext/>
              <w:jc w:val="center"/>
              <w:rPr>
                <w:rFonts w:ascii="Arial Narrow" w:hAnsi="Arial Narrow"/>
                <w:bCs/>
                <w:sz w:val="20"/>
              </w:rPr>
            </w:pPr>
            <w:r w:rsidRPr="00D35D44">
              <w:rPr>
                <w:rFonts w:ascii="Arial Narrow" w:hAnsi="Arial Narrow"/>
                <w:sz w:val="20"/>
                <w:lang w:eastAsia="en-AU"/>
              </w:rPr>
              <w:t>0</w:t>
            </w:r>
          </w:p>
        </w:tc>
        <w:tc>
          <w:tcPr>
            <w:tcW w:w="312" w:type="pct"/>
            <w:gridSpan w:val="2"/>
          </w:tcPr>
          <w:p w:rsidR="001B4FAF" w:rsidRPr="00D35D44" w:rsidRDefault="001B4FAF" w:rsidP="00E601AB">
            <w:pPr>
              <w:keepNext/>
              <w:jc w:val="center"/>
              <w:rPr>
                <w:rFonts w:ascii="Arial Narrow" w:hAnsi="Arial Narrow" w:cs="Times New Roman"/>
                <w:bCs/>
                <w:snapToGrid/>
                <w:sz w:val="20"/>
              </w:rPr>
            </w:pPr>
            <w:r w:rsidRPr="00D35D44">
              <w:rPr>
                <w:rFonts w:ascii="Arial Narrow" w:hAnsi="Arial Narrow" w:cs="Times New Roman"/>
                <w:bCs/>
                <w:snapToGrid/>
                <w:sz w:val="20"/>
              </w:rPr>
              <w:t>Erbitux</w:t>
            </w:r>
          </w:p>
        </w:tc>
        <w:tc>
          <w:tcPr>
            <w:tcW w:w="1771" w:type="pct"/>
            <w:gridSpan w:val="3"/>
          </w:tcPr>
          <w:p w:rsidR="001B4FAF" w:rsidRPr="00D35D44" w:rsidRDefault="001B4FAF" w:rsidP="00E601AB">
            <w:pPr>
              <w:keepNext/>
              <w:jc w:val="center"/>
              <w:rPr>
                <w:rFonts w:ascii="Arial Narrow" w:hAnsi="Arial Narrow"/>
                <w:bCs/>
                <w:sz w:val="20"/>
              </w:rPr>
            </w:pPr>
            <w:r w:rsidRPr="00D35D44">
              <w:rPr>
                <w:rFonts w:ascii="Arial Narrow" w:hAnsi="Arial Narrow"/>
                <w:sz w:val="20"/>
              </w:rPr>
              <w:t xml:space="preserve">Merck </w:t>
            </w:r>
            <w:proofErr w:type="spellStart"/>
            <w:r w:rsidRPr="00D35D44">
              <w:rPr>
                <w:rFonts w:ascii="Arial Narrow" w:hAnsi="Arial Narrow"/>
                <w:sz w:val="20"/>
              </w:rPr>
              <w:t>Serono</w:t>
            </w:r>
            <w:proofErr w:type="spellEnd"/>
            <w:r w:rsidRPr="00D35D44">
              <w:rPr>
                <w:rFonts w:ascii="Arial Narrow" w:hAnsi="Arial Narrow"/>
                <w:sz w:val="20"/>
              </w:rPr>
              <w:t xml:space="preserve"> </w:t>
            </w:r>
            <w:proofErr w:type="spellStart"/>
            <w:r w:rsidRPr="00D35D44">
              <w:rPr>
                <w:rFonts w:ascii="Arial Narrow" w:hAnsi="Arial Narrow"/>
                <w:sz w:val="20"/>
              </w:rPr>
              <w:t>Aust</w:t>
            </w:r>
            <w:proofErr w:type="spellEnd"/>
          </w:p>
        </w:tc>
      </w:tr>
      <w:tr w:rsidR="001B4FAF" w:rsidRPr="00D35D44" w:rsidTr="00866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rsidR="001B4FAF" w:rsidRPr="00D35D44" w:rsidRDefault="001B4FAF" w:rsidP="00B466CD">
            <w:pPr>
              <w:pStyle w:val="Tabletext"/>
              <w:keepNext/>
              <w:rPr>
                <w:bCs/>
                <w:lang w:eastAsia="en-AU"/>
              </w:rPr>
            </w:pPr>
            <w:r w:rsidRPr="00D35D44">
              <w:rPr>
                <w:bCs/>
                <w:lang w:eastAsia="en-AU"/>
              </w:rPr>
              <w:lastRenderedPageBreak/>
              <w:t>Category/Program:</w:t>
            </w:r>
          </w:p>
        </w:tc>
        <w:tc>
          <w:tcPr>
            <w:tcW w:w="4147" w:type="pct"/>
            <w:gridSpan w:val="11"/>
            <w:tcBorders>
              <w:top w:val="single" w:sz="4" w:space="0" w:color="auto"/>
              <w:left w:val="single" w:sz="4" w:space="0" w:color="auto"/>
              <w:bottom w:val="single" w:sz="4" w:space="0" w:color="auto"/>
              <w:right w:val="single" w:sz="4" w:space="0" w:color="auto"/>
            </w:tcBorders>
          </w:tcPr>
          <w:p w:rsidR="001B4FAF" w:rsidRPr="00D35D44" w:rsidRDefault="001B4FAF" w:rsidP="00B466CD">
            <w:pPr>
              <w:keepNext/>
              <w:jc w:val="left"/>
              <w:rPr>
                <w:rFonts w:ascii="Arial Narrow" w:hAnsi="Arial Narrow"/>
                <w:sz w:val="20"/>
                <w:lang w:eastAsia="en-AU"/>
              </w:rPr>
            </w:pPr>
            <w:r w:rsidRPr="00D35D44">
              <w:rPr>
                <w:rFonts w:ascii="Arial Narrow" w:hAnsi="Arial Narrow"/>
                <w:sz w:val="20"/>
                <w:lang w:eastAsia="en-AU"/>
              </w:rPr>
              <w:t>Section 100 (Efficient Funding of Chemotherapy (EFC – Private Hospital)</w:t>
            </w:r>
          </w:p>
          <w:p w:rsidR="001B4FAF" w:rsidRPr="00D35D44" w:rsidRDefault="001B4FAF" w:rsidP="00B466CD">
            <w:pPr>
              <w:pStyle w:val="Tabletext"/>
              <w:keepNext/>
              <w:rPr>
                <w:bCs/>
                <w:lang w:eastAsia="en-AU"/>
              </w:rPr>
            </w:pPr>
            <w:r w:rsidRPr="00D35D44">
              <w:rPr>
                <w:lang w:eastAsia="en-AU"/>
              </w:rPr>
              <w:t>Section 100 (Efficient Funding of Chemotherapy (EFC – Public hospital)</w:t>
            </w:r>
          </w:p>
        </w:tc>
      </w:tr>
      <w:tr w:rsidR="001B4FAF" w:rsidRPr="00D35D44" w:rsidTr="00866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rsidR="001B4FAF" w:rsidRPr="00D35D44" w:rsidRDefault="001B4FAF" w:rsidP="00B466CD">
            <w:pPr>
              <w:pStyle w:val="Tabletext"/>
              <w:keepNext/>
              <w:rPr>
                <w:bCs/>
                <w:lang w:eastAsia="en-AU"/>
              </w:rPr>
            </w:pPr>
            <w:r w:rsidRPr="00D35D44">
              <w:rPr>
                <w:bCs/>
                <w:lang w:eastAsia="en-AU"/>
              </w:rPr>
              <w:t>PBS indication:</w:t>
            </w:r>
          </w:p>
        </w:tc>
        <w:tc>
          <w:tcPr>
            <w:tcW w:w="4147" w:type="pct"/>
            <w:gridSpan w:val="11"/>
            <w:tcBorders>
              <w:top w:val="single" w:sz="4" w:space="0" w:color="auto"/>
              <w:left w:val="single" w:sz="4" w:space="0" w:color="auto"/>
              <w:bottom w:val="single" w:sz="4" w:space="0" w:color="auto"/>
              <w:right w:val="single" w:sz="4" w:space="0" w:color="auto"/>
            </w:tcBorders>
          </w:tcPr>
          <w:p w:rsidR="001B4FAF" w:rsidRPr="00D35D44" w:rsidRDefault="008E11B3" w:rsidP="00B466CD">
            <w:pPr>
              <w:pStyle w:val="Tabletext"/>
              <w:keepNext/>
              <w:rPr>
                <w:bCs/>
                <w:lang w:eastAsia="en-AU"/>
              </w:rPr>
            </w:pPr>
            <w:r w:rsidRPr="008E11B3">
              <w:rPr>
                <w:lang w:eastAsia="en-AU"/>
              </w:rPr>
              <w:t xml:space="preserve">Stage III, </w:t>
            </w:r>
            <w:proofErr w:type="spellStart"/>
            <w:r w:rsidRPr="008E11B3">
              <w:rPr>
                <w:lang w:eastAsia="en-AU"/>
              </w:rPr>
              <w:t>IVa</w:t>
            </w:r>
            <w:proofErr w:type="spellEnd"/>
            <w:r w:rsidRPr="008E11B3">
              <w:rPr>
                <w:lang w:eastAsia="en-AU"/>
              </w:rPr>
              <w:t xml:space="preserve"> or </w:t>
            </w:r>
            <w:proofErr w:type="spellStart"/>
            <w:r w:rsidRPr="008E11B3">
              <w:rPr>
                <w:lang w:eastAsia="en-AU"/>
              </w:rPr>
              <w:t>IVb</w:t>
            </w:r>
            <w:proofErr w:type="spellEnd"/>
            <w:r w:rsidRPr="008E11B3">
              <w:rPr>
                <w:lang w:eastAsia="en-AU"/>
              </w:rPr>
              <w:t xml:space="preserve"> squamous cell cancer of the </w:t>
            </w:r>
            <w:r w:rsidR="007263ED">
              <w:rPr>
                <w:lang w:eastAsia="en-AU"/>
              </w:rPr>
              <w:t xml:space="preserve">oral cavity, </w:t>
            </w:r>
            <w:r w:rsidR="003F57BF">
              <w:rPr>
                <w:lang w:eastAsia="en-AU"/>
              </w:rPr>
              <w:t xml:space="preserve">pharynx or </w:t>
            </w:r>
            <w:r w:rsidRPr="008E11B3">
              <w:rPr>
                <w:lang w:eastAsia="en-AU"/>
              </w:rPr>
              <w:t>larynx</w:t>
            </w:r>
          </w:p>
        </w:tc>
      </w:tr>
      <w:tr w:rsidR="001B4FAF" w:rsidRPr="00D35D44" w:rsidTr="00866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rsidR="001B4FAF" w:rsidRPr="00D35D44" w:rsidRDefault="001B4FAF" w:rsidP="00B466CD">
            <w:pPr>
              <w:pStyle w:val="Tabletext"/>
              <w:keepNext/>
              <w:rPr>
                <w:bCs/>
                <w:lang w:eastAsia="en-AU"/>
              </w:rPr>
            </w:pPr>
            <w:r w:rsidRPr="00D35D44">
              <w:rPr>
                <w:bCs/>
                <w:lang w:eastAsia="en-AU"/>
              </w:rPr>
              <w:t>Treatment phase:</w:t>
            </w:r>
          </w:p>
        </w:tc>
        <w:tc>
          <w:tcPr>
            <w:tcW w:w="4147" w:type="pct"/>
            <w:gridSpan w:val="11"/>
            <w:tcBorders>
              <w:top w:val="single" w:sz="4" w:space="0" w:color="auto"/>
              <w:left w:val="single" w:sz="4" w:space="0" w:color="auto"/>
              <w:bottom w:val="single" w:sz="4" w:space="0" w:color="auto"/>
              <w:right w:val="single" w:sz="4" w:space="0" w:color="auto"/>
            </w:tcBorders>
          </w:tcPr>
          <w:p w:rsidR="001B4FAF" w:rsidRPr="00D35D44" w:rsidRDefault="001B4FAF" w:rsidP="00B466CD">
            <w:pPr>
              <w:pStyle w:val="Tabletext"/>
              <w:keepNext/>
              <w:rPr>
                <w:bCs/>
                <w:lang w:eastAsia="en-AU"/>
              </w:rPr>
            </w:pPr>
            <w:r w:rsidRPr="00D35D44">
              <w:rPr>
                <w:lang w:eastAsia="en-AU"/>
              </w:rPr>
              <w:t>Initial treatment</w:t>
            </w:r>
          </w:p>
        </w:tc>
      </w:tr>
      <w:tr w:rsidR="001B4FAF" w:rsidRPr="00D35D44" w:rsidTr="00866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rsidR="001B4FAF" w:rsidRPr="00D35D44" w:rsidRDefault="001B4FAF" w:rsidP="00A90B55">
            <w:pPr>
              <w:pStyle w:val="Tabletext"/>
              <w:rPr>
                <w:bCs/>
                <w:lang w:eastAsia="en-AU"/>
              </w:rPr>
            </w:pPr>
            <w:r w:rsidRPr="00D35D44">
              <w:rPr>
                <w:bCs/>
                <w:lang w:eastAsia="en-AU"/>
              </w:rPr>
              <w:t>Restriction:</w:t>
            </w:r>
          </w:p>
        </w:tc>
        <w:tc>
          <w:tcPr>
            <w:tcW w:w="4147" w:type="pct"/>
            <w:gridSpan w:val="11"/>
            <w:tcBorders>
              <w:top w:val="single" w:sz="4" w:space="0" w:color="auto"/>
              <w:left w:val="single" w:sz="4" w:space="0" w:color="auto"/>
              <w:bottom w:val="single" w:sz="4" w:space="0" w:color="auto"/>
              <w:right w:val="single" w:sz="4" w:space="0" w:color="auto"/>
            </w:tcBorders>
          </w:tcPr>
          <w:p w:rsidR="001B4FAF" w:rsidRPr="00D35D44" w:rsidRDefault="000146F1" w:rsidP="00A90B55">
            <w:pPr>
              <w:jc w:val="left"/>
              <w:rPr>
                <w:rFonts w:ascii="Arial Narrow" w:hAnsi="Arial Narrow"/>
                <w:bCs/>
                <w:sz w:val="20"/>
                <w:lang w:eastAsia="en-AU"/>
              </w:rPr>
            </w:pPr>
            <w:r>
              <w:rPr>
                <w:rFonts w:ascii="Arial Narrow" w:hAnsi="Arial Narrow"/>
                <w:bCs/>
                <w:sz w:val="20"/>
                <w:lang w:eastAsia="en-AU"/>
              </w:rPr>
              <w:fldChar w:fldCharType="begin">
                <w:ffData>
                  <w:name w:val=""/>
                  <w:enabled/>
                  <w:calcOnExit w:val="0"/>
                  <w:checkBox>
                    <w:sizeAuto/>
                    <w:default w:val="0"/>
                  </w:checkBox>
                </w:ffData>
              </w:fldChar>
            </w:r>
            <w:r>
              <w:rPr>
                <w:rFonts w:ascii="Arial Narrow" w:hAnsi="Arial Narrow"/>
                <w:bCs/>
                <w:sz w:val="20"/>
                <w:lang w:eastAsia="en-AU"/>
              </w:rPr>
              <w:instrText xml:space="preserve"> FORMCHECKBOX </w:instrText>
            </w:r>
            <w:r>
              <w:rPr>
                <w:rFonts w:ascii="Arial Narrow" w:hAnsi="Arial Narrow"/>
                <w:bCs/>
                <w:sz w:val="20"/>
                <w:lang w:eastAsia="en-AU"/>
              </w:rPr>
            </w:r>
            <w:r>
              <w:rPr>
                <w:rFonts w:ascii="Arial Narrow" w:hAnsi="Arial Narrow"/>
                <w:bCs/>
                <w:sz w:val="20"/>
                <w:lang w:eastAsia="en-AU"/>
              </w:rPr>
              <w:fldChar w:fldCharType="end"/>
            </w:r>
            <w:r w:rsidR="001B4FAF" w:rsidRPr="00D35D44">
              <w:rPr>
                <w:rFonts w:ascii="Arial Narrow" w:hAnsi="Arial Narrow"/>
                <w:bCs/>
                <w:sz w:val="20"/>
                <w:lang w:eastAsia="en-AU"/>
              </w:rPr>
              <w:t>Authority Required - In Writing</w:t>
            </w:r>
          </w:p>
          <w:p w:rsidR="001B4FAF" w:rsidRPr="00D35D44" w:rsidRDefault="000146F1" w:rsidP="00A90B55">
            <w:pPr>
              <w:jc w:val="left"/>
              <w:rPr>
                <w:rFonts w:ascii="Arial Narrow" w:hAnsi="Arial Narrow"/>
                <w:bCs/>
                <w:sz w:val="20"/>
                <w:lang w:eastAsia="en-AU"/>
              </w:rPr>
            </w:pPr>
            <w:r>
              <w:rPr>
                <w:rFonts w:ascii="Arial Narrow" w:hAnsi="Arial Narrow"/>
                <w:bCs/>
                <w:sz w:val="20"/>
                <w:lang w:eastAsia="en-AU"/>
              </w:rPr>
              <w:fldChar w:fldCharType="begin">
                <w:ffData>
                  <w:name w:val="Check3"/>
                  <w:enabled/>
                  <w:calcOnExit w:val="0"/>
                  <w:checkBox>
                    <w:sizeAuto/>
                    <w:default w:val="0"/>
                  </w:checkBox>
                </w:ffData>
              </w:fldChar>
            </w:r>
            <w:bookmarkStart w:id="16" w:name="Check3"/>
            <w:r>
              <w:rPr>
                <w:rFonts w:ascii="Arial Narrow" w:hAnsi="Arial Narrow"/>
                <w:bCs/>
                <w:sz w:val="20"/>
                <w:lang w:eastAsia="en-AU"/>
              </w:rPr>
              <w:instrText xml:space="preserve"> FORMCHECKBOX </w:instrText>
            </w:r>
            <w:r>
              <w:rPr>
                <w:rFonts w:ascii="Arial Narrow" w:hAnsi="Arial Narrow"/>
                <w:bCs/>
                <w:sz w:val="20"/>
                <w:lang w:eastAsia="en-AU"/>
              </w:rPr>
            </w:r>
            <w:r>
              <w:rPr>
                <w:rFonts w:ascii="Arial Narrow" w:hAnsi="Arial Narrow"/>
                <w:bCs/>
                <w:sz w:val="20"/>
                <w:lang w:eastAsia="en-AU"/>
              </w:rPr>
              <w:fldChar w:fldCharType="end"/>
            </w:r>
            <w:bookmarkEnd w:id="16"/>
            <w:r w:rsidR="001B4FAF" w:rsidRPr="00D35D44">
              <w:rPr>
                <w:rFonts w:ascii="Arial Narrow" w:hAnsi="Arial Narrow"/>
                <w:bCs/>
                <w:sz w:val="20"/>
                <w:lang w:eastAsia="en-AU"/>
              </w:rPr>
              <w:t>Authority Required - Telephone</w:t>
            </w:r>
          </w:p>
          <w:p w:rsidR="001B4FAF" w:rsidRPr="00D35D44" w:rsidRDefault="000146F1" w:rsidP="00A90B55">
            <w:pPr>
              <w:jc w:val="left"/>
              <w:rPr>
                <w:rFonts w:ascii="Arial Narrow" w:hAnsi="Arial Narrow"/>
                <w:bCs/>
                <w:sz w:val="20"/>
                <w:lang w:eastAsia="en-AU"/>
              </w:rPr>
            </w:pPr>
            <w:r>
              <w:rPr>
                <w:rFonts w:ascii="Arial Narrow" w:hAnsi="Arial Narrow"/>
                <w:bCs/>
                <w:sz w:val="20"/>
                <w:lang w:eastAsia="en-AU"/>
              </w:rPr>
              <w:fldChar w:fldCharType="begin">
                <w:ffData>
                  <w:name w:val=""/>
                  <w:enabled/>
                  <w:calcOnExit w:val="0"/>
                  <w:checkBox>
                    <w:sizeAuto/>
                    <w:default w:val="0"/>
                  </w:checkBox>
                </w:ffData>
              </w:fldChar>
            </w:r>
            <w:r>
              <w:rPr>
                <w:rFonts w:ascii="Arial Narrow" w:hAnsi="Arial Narrow"/>
                <w:bCs/>
                <w:sz w:val="20"/>
                <w:lang w:eastAsia="en-AU"/>
              </w:rPr>
              <w:instrText xml:space="preserve"> FORMCHECKBOX </w:instrText>
            </w:r>
            <w:r>
              <w:rPr>
                <w:rFonts w:ascii="Arial Narrow" w:hAnsi="Arial Narrow"/>
                <w:bCs/>
                <w:sz w:val="20"/>
                <w:lang w:eastAsia="en-AU"/>
              </w:rPr>
            </w:r>
            <w:r>
              <w:rPr>
                <w:rFonts w:ascii="Arial Narrow" w:hAnsi="Arial Narrow"/>
                <w:bCs/>
                <w:sz w:val="20"/>
                <w:lang w:eastAsia="en-AU"/>
              </w:rPr>
              <w:fldChar w:fldCharType="end"/>
            </w:r>
            <w:r w:rsidR="001B4FAF" w:rsidRPr="00D35D44">
              <w:rPr>
                <w:rFonts w:ascii="Arial Narrow" w:hAnsi="Arial Narrow"/>
                <w:bCs/>
                <w:sz w:val="20"/>
                <w:lang w:eastAsia="en-AU"/>
              </w:rPr>
              <w:t>Authority Required – Emergency</w:t>
            </w:r>
          </w:p>
          <w:p w:rsidR="001B4FAF" w:rsidRPr="00D35D44" w:rsidRDefault="000146F1" w:rsidP="00A90B55">
            <w:pPr>
              <w:jc w:val="left"/>
              <w:rPr>
                <w:rFonts w:ascii="Arial Narrow" w:hAnsi="Arial Narrow"/>
                <w:bCs/>
                <w:sz w:val="20"/>
                <w:lang w:eastAsia="en-AU"/>
              </w:rPr>
            </w:pPr>
            <w:r>
              <w:rPr>
                <w:rFonts w:ascii="Arial Narrow" w:hAnsi="Arial Narrow"/>
                <w:bCs/>
                <w:sz w:val="20"/>
                <w:lang w:eastAsia="en-AU"/>
              </w:rPr>
              <w:fldChar w:fldCharType="begin">
                <w:ffData>
                  <w:name w:val=""/>
                  <w:enabled/>
                  <w:calcOnExit w:val="0"/>
                  <w:checkBox>
                    <w:sizeAuto/>
                    <w:default w:val="0"/>
                  </w:checkBox>
                </w:ffData>
              </w:fldChar>
            </w:r>
            <w:r>
              <w:rPr>
                <w:rFonts w:ascii="Arial Narrow" w:hAnsi="Arial Narrow"/>
                <w:bCs/>
                <w:sz w:val="20"/>
                <w:lang w:eastAsia="en-AU"/>
              </w:rPr>
              <w:instrText xml:space="preserve"> FORMCHECKBOX </w:instrText>
            </w:r>
            <w:r>
              <w:rPr>
                <w:rFonts w:ascii="Arial Narrow" w:hAnsi="Arial Narrow"/>
                <w:bCs/>
                <w:sz w:val="20"/>
                <w:lang w:eastAsia="en-AU"/>
              </w:rPr>
            </w:r>
            <w:r>
              <w:rPr>
                <w:rFonts w:ascii="Arial Narrow" w:hAnsi="Arial Narrow"/>
                <w:bCs/>
                <w:sz w:val="20"/>
                <w:lang w:eastAsia="en-AU"/>
              </w:rPr>
              <w:fldChar w:fldCharType="end"/>
            </w:r>
            <w:r w:rsidR="001B4FAF" w:rsidRPr="00D35D44">
              <w:rPr>
                <w:rFonts w:ascii="Arial Narrow" w:hAnsi="Arial Narrow"/>
                <w:bCs/>
                <w:sz w:val="20"/>
                <w:lang w:eastAsia="en-AU"/>
              </w:rPr>
              <w:t>Authority Required - Electronic</w:t>
            </w:r>
          </w:p>
          <w:p w:rsidR="001B4FAF" w:rsidRPr="00D35D44" w:rsidRDefault="001B4FAF" w:rsidP="001710BF">
            <w:pPr>
              <w:pStyle w:val="Tabletext"/>
              <w:rPr>
                <w:bCs/>
                <w:lang w:eastAsia="en-AU"/>
              </w:rPr>
            </w:pPr>
            <w:r w:rsidRPr="00D35D44">
              <w:rPr>
                <w:bCs/>
                <w:lang w:eastAsia="en-AU"/>
              </w:rPr>
              <w:fldChar w:fldCharType="begin">
                <w:ffData>
                  <w:name w:val="Check5"/>
                  <w:enabled/>
                  <w:calcOnExit w:val="0"/>
                  <w:checkBox>
                    <w:sizeAuto/>
                    <w:default w:val="1"/>
                  </w:checkBox>
                </w:ffData>
              </w:fldChar>
            </w:r>
            <w:r w:rsidRPr="00D35D44">
              <w:rPr>
                <w:bCs/>
                <w:lang w:eastAsia="en-AU"/>
              </w:rPr>
              <w:instrText xml:space="preserve"> FORMCHECKBOX </w:instrText>
            </w:r>
            <w:r w:rsidR="002A3009">
              <w:rPr>
                <w:bCs/>
                <w:lang w:eastAsia="en-AU"/>
              </w:rPr>
            </w:r>
            <w:r w:rsidR="002A3009">
              <w:rPr>
                <w:bCs/>
                <w:lang w:eastAsia="en-AU"/>
              </w:rPr>
              <w:fldChar w:fldCharType="separate"/>
            </w:r>
            <w:r w:rsidRPr="00D35D44">
              <w:rPr>
                <w:bCs/>
                <w:lang w:eastAsia="en-AU"/>
              </w:rPr>
              <w:fldChar w:fldCharType="end"/>
            </w:r>
            <w:r w:rsidRPr="00D35D44">
              <w:rPr>
                <w:bCs/>
                <w:lang w:eastAsia="en-AU"/>
              </w:rPr>
              <w:t xml:space="preserve">Streamlined </w:t>
            </w:r>
          </w:p>
        </w:tc>
      </w:tr>
      <w:tr w:rsidR="001B4FAF" w:rsidRPr="00D35D44" w:rsidTr="00866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rsidR="001B4FAF" w:rsidRPr="00D35D44" w:rsidRDefault="001B4FAF" w:rsidP="00A90B55">
            <w:pPr>
              <w:pStyle w:val="Tabletext"/>
              <w:rPr>
                <w:bCs/>
                <w:lang w:eastAsia="en-AU"/>
              </w:rPr>
            </w:pPr>
            <w:r w:rsidRPr="00D35D44">
              <w:rPr>
                <w:bCs/>
                <w:lang w:eastAsia="en-AU"/>
              </w:rPr>
              <w:t>Clinical criteria:</w:t>
            </w:r>
          </w:p>
        </w:tc>
        <w:tc>
          <w:tcPr>
            <w:tcW w:w="4147" w:type="pct"/>
            <w:gridSpan w:val="11"/>
            <w:tcBorders>
              <w:top w:val="single" w:sz="4" w:space="0" w:color="auto"/>
              <w:left w:val="single" w:sz="4" w:space="0" w:color="auto"/>
              <w:bottom w:val="single" w:sz="4" w:space="0" w:color="auto"/>
              <w:right w:val="single" w:sz="4" w:space="0" w:color="auto"/>
            </w:tcBorders>
          </w:tcPr>
          <w:p w:rsidR="001316AA" w:rsidRDefault="001B4FAF" w:rsidP="00A90B55">
            <w:pPr>
              <w:pStyle w:val="Tabletext"/>
              <w:rPr>
                <w:bCs/>
                <w:lang w:eastAsia="en-AU"/>
              </w:rPr>
            </w:pPr>
            <w:r w:rsidRPr="00D35D44">
              <w:rPr>
                <w:bCs/>
                <w:lang w:eastAsia="en-AU"/>
              </w:rPr>
              <w:t xml:space="preserve">The condition </w:t>
            </w:r>
            <w:r w:rsidR="00945917">
              <w:rPr>
                <w:bCs/>
                <w:lang w:eastAsia="en-AU"/>
              </w:rPr>
              <w:t xml:space="preserve">must </w:t>
            </w:r>
            <w:r w:rsidRPr="00D35D44">
              <w:rPr>
                <w:bCs/>
                <w:lang w:eastAsia="en-AU"/>
              </w:rPr>
              <w:t>be recurrent or metastatic SCCHN</w:t>
            </w:r>
            <w:r w:rsidRPr="00D35D44">
              <w:rPr>
                <w:bCs/>
                <w:lang w:eastAsia="en-AU"/>
              </w:rPr>
              <w:br/>
              <w:t xml:space="preserve">AND </w:t>
            </w:r>
            <w:r w:rsidRPr="00D35D44">
              <w:rPr>
                <w:bCs/>
                <w:lang w:eastAsia="en-AU"/>
              </w:rPr>
              <w:br/>
              <w:t>The condition must be previously untreated</w:t>
            </w:r>
          </w:p>
          <w:p w:rsidR="001316AA" w:rsidRDefault="001316AA" w:rsidP="00A90B55">
            <w:pPr>
              <w:pStyle w:val="Tabletext"/>
              <w:rPr>
                <w:bCs/>
                <w:lang w:eastAsia="en-AU"/>
              </w:rPr>
            </w:pPr>
            <w:r>
              <w:rPr>
                <w:bCs/>
                <w:lang w:eastAsia="en-AU"/>
              </w:rPr>
              <w:t>AND</w:t>
            </w:r>
          </w:p>
          <w:p w:rsidR="001316AA" w:rsidRPr="001316AA" w:rsidRDefault="001316AA" w:rsidP="001316AA">
            <w:pPr>
              <w:keepNext/>
              <w:jc w:val="left"/>
              <w:rPr>
                <w:rFonts w:ascii="Arial Narrow" w:hAnsi="Arial Narrow" w:cs="Times New Roman"/>
                <w:bCs/>
                <w:snapToGrid/>
                <w:sz w:val="20"/>
                <w:lang w:eastAsia="en-AU"/>
              </w:rPr>
            </w:pPr>
            <w:r w:rsidRPr="001316AA">
              <w:rPr>
                <w:rFonts w:ascii="Arial Narrow" w:hAnsi="Arial Narrow" w:cs="Times New Roman"/>
                <w:bCs/>
                <w:snapToGrid/>
                <w:sz w:val="20"/>
                <w:lang w:eastAsia="en-AU"/>
              </w:rPr>
              <w:t>Patient must have a WHO performance status of 0 to 2</w:t>
            </w:r>
          </w:p>
          <w:p w:rsidR="001B4FAF" w:rsidRPr="00D35D44" w:rsidRDefault="001B4FAF" w:rsidP="00945917">
            <w:pPr>
              <w:pStyle w:val="Tabletext"/>
              <w:rPr>
                <w:bCs/>
                <w:lang w:eastAsia="en-AU"/>
              </w:rPr>
            </w:pPr>
            <w:r w:rsidRPr="00D35D44">
              <w:rPr>
                <w:bCs/>
                <w:lang w:eastAsia="en-AU"/>
              </w:rPr>
              <w:t>AND</w:t>
            </w:r>
            <w:r w:rsidRPr="00D35D44">
              <w:rPr>
                <w:bCs/>
                <w:lang w:eastAsia="en-AU"/>
              </w:rPr>
              <w:br/>
              <w:t>The treatment must be commenced in combination with platinum-based chemotherapy</w:t>
            </w:r>
          </w:p>
        </w:tc>
      </w:tr>
      <w:tr w:rsidR="00866C5C" w:rsidRPr="00D35D44" w:rsidTr="00866C5C">
        <w:trPr>
          <w:gridAfter w:val="1"/>
          <w:wAfter w:w="32" w:type="pct"/>
          <w:cantSplit/>
          <w:trHeight w:val="463"/>
        </w:trPr>
        <w:tc>
          <w:tcPr>
            <w:tcW w:w="1789" w:type="pct"/>
            <w:gridSpan w:val="4"/>
            <w:tcBorders>
              <w:top w:val="single" w:sz="4" w:space="0" w:color="auto"/>
            </w:tcBorders>
            <w:vAlign w:val="center"/>
          </w:tcPr>
          <w:p w:rsidR="00866C5C" w:rsidRPr="00D35D44" w:rsidRDefault="00866C5C" w:rsidP="00A90B55">
            <w:pPr>
              <w:keepNext/>
              <w:jc w:val="left"/>
              <w:rPr>
                <w:rFonts w:ascii="Arial Narrow" w:hAnsi="Arial Narrow"/>
                <w:bCs/>
                <w:sz w:val="20"/>
              </w:rPr>
            </w:pPr>
          </w:p>
        </w:tc>
        <w:tc>
          <w:tcPr>
            <w:tcW w:w="562" w:type="pct"/>
            <w:gridSpan w:val="2"/>
            <w:tcBorders>
              <w:top w:val="single" w:sz="4" w:space="0" w:color="auto"/>
            </w:tcBorders>
            <w:vAlign w:val="center"/>
          </w:tcPr>
          <w:p w:rsidR="00866C5C" w:rsidRPr="00D35D44" w:rsidRDefault="00866C5C" w:rsidP="00A90B55">
            <w:pPr>
              <w:keepNext/>
              <w:jc w:val="center"/>
              <w:rPr>
                <w:rFonts w:ascii="Arial Narrow" w:hAnsi="Arial Narrow"/>
                <w:bCs/>
                <w:sz w:val="20"/>
              </w:rPr>
            </w:pPr>
          </w:p>
        </w:tc>
        <w:tc>
          <w:tcPr>
            <w:tcW w:w="681" w:type="pct"/>
            <w:gridSpan w:val="2"/>
            <w:tcBorders>
              <w:top w:val="single" w:sz="4" w:space="0" w:color="auto"/>
            </w:tcBorders>
            <w:vAlign w:val="center"/>
          </w:tcPr>
          <w:p w:rsidR="00866C5C" w:rsidRPr="00D35D44" w:rsidRDefault="00866C5C" w:rsidP="00A90B55">
            <w:pPr>
              <w:keepNext/>
              <w:jc w:val="center"/>
              <w:rPr>
                <w:rFonts w:ascii="Arial Narrow" w:hAnsi="Arial Narrow" w:cs="Times New Roman"/>
                <w:bCs/>
                <w:sz w:val="20"/>
              </w:rPr>
            </w:pPr>
          </w:p>
        </w:tc>
        <w:tc>
          <w:tcPr>
            <w:tcW w:w="1936" w:type="pct"/>
            <w:gridSpan w:val="3"/>
            <w:tcBorders>
              <w:top w:val="single" w:sz="4" w:space="0" w:color="auto"/>
            </w:tcBorders>
            <w:vAlign w:val="center"/>
          </w:tcPr>
          <w:p w:rsidR="00866C5C" w:rsidRPr="00D35D44" w:rsidRDefault="00866C5C" w:rsidP="00E601AB">
            <w:pPr>
              <w:keepNext/>
              <w:rPr>
                <w:rFonts w:ascii="Arial Narrow" w:hAnsi="Arial Narrow"/>
                <w:bCs/>
                <w:sz w:val="20"/>
              </w:rPr>
            </w:pPr>
          </w:p>
        </w:tc>
      </w:tr>
      <w:tr w:rsidR="001B4FAF" w:rsidRPr="00D35D44" w:rsidTr="00866C5C">
        <w:trPr>
          <w:gridAfter w:val="1"/>
          <w:wAfter w:w="32" w:type="pct"/>
          <w:cantSplit/>
          <w:trHeight w:val="463"/>
        </w:trPr>
        <w:tc>
          <w:tcPr>
            <w:tcW w:w="1789" w:type="pct"/>
            <w:gridSpan w:val="4"/>
            <w:tcBorders>
              <w:bottom w:val="single" w:sz="4" w:space="0" w:color="auto"/>
            </w:tcBorders>
            <w:vAlign w:val="center"/>
          </w:tcPr>
          <w:p w:rsidR="001B4FAF" w:rsidRPr="00D35D44" w:rsidRDefault="001B4FAF" w:rsidP="00A90B55">
            <w:pPr>
              <w:keepNext/>
              <w:jc w:val="left"/>
              <w:rPr>
                <w:rFonts w:ascii="Arial Narrow" w:hAnsi="Arial Narrow"/>
                <w:bCs/>
                <w:sz w:val="20"/>
              </w:rPr>
            </w:pPr>
            <w:r w:rsidRPr="00D35D44">
              <w:rPr>
                <w:rFonts w:ascii="Arial Narrow" w:hAnsi="Arial Narrow"/>
                <w:bCs/>
                <w:sz w:val="20"/>
              </w:rPr>
              <w:t>Name, Restriction,</w:t>
            </w:r>
          </w:p>
          <w:p w:rsidR="001B4FAF" w:rsidRPr="00D35D44" w:rsidRDefault="001B4FAF" w:rsidP="00A90B55">
            <w:pPr>
              <w:keepNext/>
              <w:jc w:val="left"/>
              <w:rPr>
                <w:rFonts w:ascii="Arial Narrow" w:hAnsi="Arial Narrow"/>
                <w:bCs/>
                <w:sz w:val="20"/>
              </w:rPr>
            </w:pPr>
            <w:r w:rsidRPr="00D35D44">
              <w:rPr>
                <w:rFonts w:ascii="Arial Narrow" w:hAnsi="Arial Narrow"/>
                <w:bCs/>
                <w:sz w:val="20"/>
              </w:rPr>
              <w:t>Manner of administration and form</w:t>
            </w:r>
          </w:p>
        </w:tc>
        <w:tc>
          <w:tcPr>
            <w:tcW w:w="562" w:type="pct"/>
            <w:gridSpan w:val="2"/>
            <w:tcBorders>
              <w:bottom w:val="single" w:sz="4" w:space="0" w:color="auto"/>
            </w:tcBorders>
            <w:vAlign w:val="center"/>
          </w:tcPr>
          <w:p w:rsidR="001B4FAF" w:rsidRPr="00D35D44" w:rsidRDefault="001B4FAF" w:rsidP="00A90B55">
            <w:pPr>
              <w:keepNext/>
              <w:jc w:val="center"/>
              <w:rPr>
                <w:rFonts w:ascii="Arial Narrow" w:hAnsi="Arial Narrow"/>
                <w:bCs/>
                <w:sz w:val="20"/>
              </w:rPr>
            </w:pPr>
            <w:r w:rsidRPr="00D35D44">
              <w:rPr>
                <w:rFonts w:ascii="Arial Narrow" w:hAnsi="Arial Narrow"/>
                <w:bCs/>
                <w:sz w:val="20"/>
              </w:rPr>
              <w:t xml:space="preserve">Max </w:t>
            </w:r>
            <w:proofErr w:type="spellStart"/>
            <w:r w:rsidRPr="00D35D44">
              <w:rPr>
                <w:rFonts w:ascii="Arial Narrow" w:hAnsi="Arial Narrow"/>
                <w:bCs/>
                <w:sz w:val="20"/>
              </w:rPr>
              <w:t>Amt</w:t>
            </w:r>
            <w:proofErr w:type="spellEnd"/>
          </w:p>
        </w:tc>
        <w:tc>
          <w:tcPr>
            <w:tcW w:w="681" w:type="pct"/>
            <w:gridSpan w:val="2"/>
            <w:tcBorders>
              <w:bottom w:val="single" w:sz="4" w:space="0" w:color="auto"/>
            </w:tcBorders>
            <w:vAlign w:val="center"/>
          </w:tcPr>
          <w:p w:rsidR="001B4FAF" w:rsidRPr="00D35D44" w:rsidRDefault="001B4FAF" w:rsidP="00A90B55">
            <w:pPr>
              <w:keepNext/>
              <w:jc w:val="center"/>
              <w:rPr>
                <w:rFonts w:ascii="Arial Narrow" w:hAnsi="Arial Narrow"/>
                <w:bCs/>
                <w:sz w:val="20"/>
              </w:rPr>
            </w:pPr>
            <w:r w:rsidRPr="00D35D44">
              <w:rPr>
                <w:rFonts w:ascii="Arial Narrow" w:hAnsi="Arial Narrow" w:cs="Times New Roman"/>
                <w:bCs/>
                <w:sz w:val="20"/>
              </w:rPr>
              <w:t>№</w:t>
            </w:r>
            <w:r w:rsidRPr="00D35D44">
              <w:rPr>
                <w:rFonts w:ascii="Arial Narrow" w:hAnsi="Arial Narrow"/>
                <w:bCs/>
                <w:sz w:val="20"/>
              </w:rPr>
              <w:t>.of</w:t>
            </w:r>
          </w:p>
          <w:p w:rsidR="001B4FAF" w:rsidRPr="00D35D44" w:rsidRDefault="001B4FAF" w:rsidP="00A90B55">
            <w:pPr>
              <w:keepNext/>
              <w:jc w:val="center"/>
              <w:rPr>
                <w:rFonts w:ascii="Arial Narrow" w:hAnsi="Arial Narrow"/>
                <w:bCs/>
                <w:sz w:val="20"/>
              </w:rPr>
            </w:pPr>
            <w:r w:rsidRPr="00D35D44">
              <w:rPr>
                <w:rFonts w:ascii="Arial Narrow" w:hAnsi="Arial Narrow"/>
                <w:bCs/>
                <w:sz w:val="20"/>
              </w:rPr>
              <w:t>Rpts</w:t>
            </w:r>
          </w:p>
        </w:tc>
        <w:tc>
          <w:tcPr>
            <w:tcW w:w="1936" w:type="pct"/>
            <w:gridSpan w:val="3"/>
            <w:tcBorders>
              <w:bottom w:val="single" w:sz="4" w:space="0" w:color="auto"/>
            </w:tcBorders>
            <w:vAlign w:val="center"/>
          </w:tcPr>
          <w:p w:rsidR="001B4FAF" w:rsidRPr="00D35D44" w:rsidRDefault="001B4FAF" w:rsidP="00E601AB">
            <w:pPr>
              <w:keepNext/>
              <w:rPr>
                <w:rFonts w:ascii="Arial Narrow" w:hAnsi="Arial Narrow"/>
                <w:bCs/>
                <w:sz w:val="20"/>
              </w:rPr>
            </w:pPr>
            <w:r w:rsidRPr="00D35D44">
              <w:rPr>
                <w:rFonts w:ascii="Arial Narrow" w:hAnsi="Arial Narrow"/>
                <w:bCs/>
                <w:sz w:val="20"/>
              </w:rPr>
              <w:t>Proprietary Name and Manufacturer</w:t>
            </w:r>
          </w:p>
        </w:tc>
      </w:tr>
      <w:tr w:rsidR="001B4FAF" w:rsidRPr="00D35D44" w:rsidTr="00866C5C">
        <w:trPr>
          <w:gridAfter w:val="1"/>
          <w:wAfter w:w="32" w:type="pct"/>
          <w:cantSplit/>
          <w:trHeight w:val="567"/>
        </w:trPr>
        <w:tc>
          <w:tcPr>
            <w:tcW w:w="1789" w:type="pct"/>
            <w:gridSpan w:val="4"/>
          </w:tcPr>
          <w:p w:rsidR="001B4FAF" w:rsidRPr="00D35D44" w:rsidRDefault="001B4FAF" w:rsidP="00A90B55">
            <w:pPr>
              <w:rPr>
                <w:rFonts w:ascii="Arial Narrow" w:hAnsi="Arial Narrow"/>
                <w:sz w:val="20"/>
                <w:lang w:val="fr-FR" w:eastAsia="en-AU"/>
              </w:rPr>
            </w:pPr>
            <w:r w:rsidRPr="00D35D44">
              <w:rPr>
                <w:rFonts w:ascii="Arial Narrow" w:hAnsi="Arial Narrow"/>
                <w:smallCaps/>
                <w:sz w:val="20"/>
                <w:lang w:val="fr-FR" w:eastAsia="en-AU"/>
              </w:rPr>
              <w:t>CETUXIMAB</w:t>
            </w:r>
          </w:p>
          <w:p w:rsidR="001B4FAF" w:rsidRPr="00D35D44" w:rsidRDefault="001B4FAF" w:rsidP="00A90B55">
            <w:pPr>
              <w:rPr>
                <w:rFonts w:ascii="Arial Narrow" w:hAnsi="Arial Narrow"/>
                <w:sz w:val="20"/>
                <w:lang w:val="fr-FR" w:eastAsia="en-AU"/>
              </w:rPr>
            </w:pPr>
            <w:r w:rsidRPr="00D35D44">
              <w:rPr>
                <w:rFonts w:ascii="Arial Narrow" w:hAnsi="Arial Narrow"/>
                <w:sz w:val="20"/>
                <w:lang w:val="fr-FR" w:eastAsia="en-AU"/>
              </w:rPr>
              <w:t xml:space="preserve">Injection, 100 mg/20 </w:t>
            </w:r>
            <w:proofErr w:type="spellStart"/>
            <w:r w:rsidRPr="00D35D44">
              <w:rPr>
                <w:rFonts w:ascii="Arial Narrow" w:hAnsi="Arial Narrow"/>
                <w:sz w:val="20"/>
                <w:lang w:val="fr-FR" w:eastAsia="en-AU"/>
              </w:rPr>
              <w:t>mL</w:t>
            </w:r>
            <w:proofErr w:type="spellEnd"/>
          </w:p>
          <w:p w:rsidR="001B4FAF" w:rsidRPr="00D35D44" w:rsidRDefault="001B4FAF" w:rsidP="00A90B55">
            <w:pPr>
              <w:keepNext/>
              <w:jc w:val="left"/>
              <w:rPr>
                <w:rFonts w:ascii="Arial Narrow" w:hAnsi="Arial Narrow"/>
                <w:bCs/>
                <w:sz w:val="20"/>
                <w:lang w:val="fr-FR"/>
              </w:rPr>
            </w:pPr>
            <w:r w:rsidRPr="00D35D44">
              <w:rPr>
                <w:rFonts w:ascii="Arial Narrow" w:hAnsi="Arial Narrow"/>
                <w:sz w:val="20"/>
                <w:lang w:val="fr-FR" w:eastAsia="en-AU"/>
              </w:rPr>
              <w:t xml:space="preserve">Injection, 500 mg/100 </w:t>
            </w:r>
            <w:proofErr w:type="spellStart"/>
            <w:r w:rsidRPr="00D35D44">
              <w:rPr>
                <w:rFonts w:ascii="Arial Narrow" w:hAnsi="Arial Narrow"/>
                <w:sz w:val="20"/>
                <w:lang w:val="fr-FR" w:eastAsia="en-AU"/>
              </w:rPr>
              <w:t>mL</w:t>
            </w:r>
            <w:proofErr w:type="spellEnd"/>
          </w:p>
        </w:tc>
        <w:tc>
          <w:tcPr>
            <w:tcW w:w="562" w:type="pct"/>
            <w:gridSpan w:val="2"/>
          </w:tcPr>
          <w:p w:rsidR="001B4FAF" w:rsidRPr="00D35D44" w:rsidRDefault="001B4FAF" w:rsidP="00A90B55">
            <w:pPr>
              <w:keepNext/>
              <w:jc w:val="center"/>
              <w:rPr>
                <w:rFonts w:ascii="Arial Narrow" w:hAnsi="Arial Narrow"/>
                <w:bCs/>
                <w:sz w:val="20"/>
              </w:rPr>
            </w:pPr>
            <w:r w:rsidRPr="00D35D44">
              <w:rPr>
                <w:rFonts w:ascii="Arial Narrow" w:hAnsi="Arial Narrow"/>
                <w:sz w:val="20"/>
                <w:lang w:eastAsia="en-AU"/>
              </w:rPr>
              <w:t>550 mg</w:t>
            </w:r>
          </w:p>
        </w:tc>
        <w:tc>
          <w:tcPr>
            <w:tcW w:w="681" w:type="pct"/>
            <w:gridSpan w:val="2"/>
          </w:tcPr>
          <w:p w:rsidR="001B4FAF" w:rsidRPr="00D35D44" w:rsidRDefault="001B4FAF" w:rsidP="00A90B55">
            <w:pPr>
              <w:keepNext/>
              <w:jc w:val="center"/>
              <w:rPr>
                <w:rFonts w:ascii="Arial Narrow" w:hAnsi="Arial Narrow"/>
                <w:bCs/>
                <w:sz w:val="20"/>
              </w:rPr>
            </w:pPr>
            <w:r w:rsidRPr="00D35D44">
              <w:rPr>
                <w:rFonts w:ascii="Arial Narrow" w:hAnsi="Arial Narrow"/>
                <w:sz w:val="20"/>
                <w:lang w:eastAsia="en-AU"/>
              </w:rPr>
              <w:t>22</w:t>
            </w:r>
          </w:p>
        </w:tc>
        <w:tc>
          <w:tcPr>
            <w:tcW w:w="312" w:type="pct"/>
            <w:gridSpan w:val="2"/>
          </w:tcPr>
          <w:p w:rsidR="001B4FAF" w:rsidRPr="00D35D44" w:rsidRDefault="001B4FAF" w:rsidP="00A90B55">
            <w:pPr>
              <w:keepNext/>
              <w:jc w:val="center"/>
              <w:rPr>
                <w:rFonts w:ascii="Arial Narrow" w:hAnsi="Arial Narrow"/>
                <w:bCs/>
                <w:sz w:val="20"/>
              </w:rPr>
            </w:pPr>
            <w:r w:rsidRPr="00D35D44">
              <w:rPr>
                <w:rFonts w:ascii="Arial Narrow" w:hAnsi="Arial Narrow"/>
                <w:sz w:val="20"/>
                <w:lang w:eastAsia="en-AU"/>
              </w:rPr>
              <w:t>Erbitux</w:t>
            </w:r>
          </w:p>
        </w:tc>
        <w:tc>
          <w:tcPr>
            <w:tcW w:w="1624" w:type="pct"/>
          </w:tcPr>
          <w:p w:rsidR="001B4FAF" w:rsidRPr="00D35D44" w:rsidRDefault="001B4FAF" w:rsidP="001B4FAF">
            <w:pPr>
              <w:keepNext/>
              <w:jc w:val="center"/>
              <w:rPr>
                <w:rFonts w:ascii="Arial Narrow" w:hAnsi="Arial Narrow"/>
                <w:bCs/>
                <w:sz w:val="20"/>
              </w:rPr>
            </w:pPr>
            <w:r w:rsidRPr="00D35D44">
              <w:rPr>
                <w:rFonts w:ascii="Arial Narrow" w:hAnsi="Arial Narrow"/>
                <w:sz w:val="20"/>
              </w:rPr>
              <w:t>Merck</w:t>
            </w:r>
            <w:r>
              <w:rPr>
                <w:rFonts w:ascii="Arial Narrow" w:hAnsi="Arial Narrow"/>
                <w:sz w:val="20"/>
              </w:rPr>
              <w:t xml:space="preserve"> </w:t>
            </w:r>
            <w:proofErr w:type="spellStart"/>
            <w:r w:rsidRPr="00D35D44">
              <w:rPr>
                <w:rFonts w:ascii="Arial Narrow" w:hAnsi="Arial Narrow"/>
                <w:sz w:val="20"/>
              </w:rPr>
              <w:t>Serono</w:t>
            </w:r>
            <w:proofErr w:type="spellEnd"/>
            <w:r>
              <w:rPr>
                <w:rFonts w:ascii="Arial Narrow" w:hAnsi="Arial Narrow"/>
                <w:sz w:val="20"/>
              </w:rPr>
              <w:t xml:space="preserve"> </w:t>
            </w:r>
            <w:proofErr w:type="spellStart"/>
            <w:r w:rsidRPr="00D35D44">
              <w:rPr>
                <w:rFonts w:ascii="Arial Narrow" w:hAnsi="Arial Narrow"/>
                <w:sz w:val="20"/>
              </w:rPr>
              <w:t>Aust</w:t>
            </w:r>
            <w:proofErr w:type="spellEnd"/>
            <w:r>
              <w:rPr>
                <w:rFonts w:ascii="Arial Narrow" w:hAnsi="Arial Narrow"/>
                <w:sz w:val="20"/>
              </w:rPr>
              <w:t xml:space="preserve"> </w:t>
            </w:r>
          </w:p>
        </w:tc>
      </w:tr>
      <w:tr w:rsidR="001B4FAF" w:rsidRPr="00D35D44" w:rsidTr="00866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2" w:type="pct"/>
          <w:trHeight w:val="20"/>
        </w:trPr>
        <w:tc>
          <w:tcPr>
            <w:tcW w:w="884" w:type="pct"/>
            <w:gridSpan w:val="2"/>
            <w:tcBorders>
              <w:top w:val="single" w:sz="4" w:space="0" w:color="auto"/>
              <w:left w:val="single" w:sz="4" w:space="0" w:color="auto"/>
              <w:bottom w:val="single" w:sz="4" w:space="0" w:color="auto"/>
              <w:right w:val="single" w:sz="4" w:space="0" w:color="auto"/>
            </w:tcBorders>
            <w:hideMark/>
          </w:tcPr>
          <w:p w:rsidR="001B4FAF" w:rsidRPr="00D35D44" w:rsidRDefault="001B4FAF" w:rsidP="00A90B55">
            <w:pPr>
              <w:pStyle w:val="Tabletext"/>
              <w:rPr>
                <w:bCs/>
                <w:lang w:eastAsia="en-AU"/>
              </w:rPr>
            </w:pPr>
            <w:r w:rsidRPr="00D35D44">
              <w:rPr>
                <w:bCs/>
                <w:lang w:eastAsia="en-AU"/>
              </w:rPr>
              <w:t>Category/Program:</w:t>
            </w:r>
          </w:p>
        </w:tc>
        <w:tc>
          <w:tcPr>
            <w:tcW w:w="4084" w:type="pct"/>
            <w:gridSpan w:val="9"/>
            <w:tcBorders>
              <w:top w:val="single" w:sz="4" w:space="0" w:color="auto"/>
              <w:left w:val="single" w:sz="4" w:space="0" w:color="auto"/>
              <w:bottom w:val="single" w:sz="4" w:space="0" w:color="auto"/>
              <w:right w:val="single" w:sz="4" w:space="0" w:color="auto"/>
            </w:tcBorders>
          </w:tcPr>
          <w:p w:rsidR="001B4FAF" w:rsidRPr="00D35D44" w:rsidRDefault="001B4FAF" w:rsidP="00A90B55">
            <w:pPr>
              <w:jc w:val="left"/>
              <w:rPr>
                <w:rFonts w:ascii="Arial Narrow" w:hAnsi="Arial Narrow"/>
                <w:sz w:val="20"/>
                <w:lang w:eastAsia="en-AU"/>
              </w:rPr>
            </w:pPr>
            <w:r w:rsidRPr="00D35D44">
              <w:rPr>
                <w:rFonts w:ascii="Arial Narrow" w:hAnsi="Arial Narrow"/>
                <w:sz w:val="20"/>
                <w:lang w:eastAsia="en-AU"/>
              </w:rPr>
              <w:t>Section 100 (Efficient Funding of Chemotherapy (EFC – Private Hospital)</w:t>
            </w:r>
          </w:p>
          <w:p w:rsidR="001B4FAF" w:rsidRPr="00D35D44" w:rsidRDefault="001B4FAF" w:rsidP="00A90B55">
            <w:pPr>
              <w:pStyle w:val="Tabletext"/>
              <w:rPr>
                <w:bCs/>
                <w:lang w:eastAsia="en-AU"/>
              </w:rPr>
            </w:pPr>
            <w:r w:rsidRPr="00D35D44">
              <w:rPr>
                <w:lang w:eastAsia="en-AU"/>
              </w:rPr>
              <w:t>Section 100 (Efficient Funding of Chemotherapy (EFC – Public hospital)</w:t>
            </w:r>
          </w:p>
        </w:tc>
      </w:tr>
      <w:tr w:rsidR="001B4FAF" w:rsidRPr="00D35D44" w:rsidTr="00866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2" w:type="pct"/>
          <w:trHeight w:val="20"/>
        </w:trPr>
        <w:tc>
          <w:tcPr>
            <w:tcW w:w="884" w:type="pct"/>
            <w:gridSpan w:val="2"/>
            <w:tcBorders>
              <w:top w:val="single" w:sz="4" w:space="0" w:color="auto"/>
              <w:left w:val="single" w:sz="4" w:space="0" w:color="auto"/>
              <w:bottom w:val="single" w:sz="4" w:space="0" w:color="auto"/>
              <w:right w:val="single" w:sz="4" w:space="0" w:color="auto"/>
            </w:tcBorders>
            <w:hideMark/>
          </w:tcPr>
          <w:p w:rsidR="001B4FAF" w:rsidRPr="00D35D44" w:rsidRDefault="001B4FAF" w:rsidP="00A90B55">
            <w:pPr>
              <w:pStyle w:val="Tabletext"/>
              <w:rPr>
                <w:bCs/>
                <w:lang w:eastAsia="en-AU"/>
              </w:rPr>
            </w:pPr>
            <w:r w:rsidRPr="00D35D44">
              <w:rPr>
                <w:bCs/>
                <w:lang w:eastAsia="en-AU"/>
              </w:rPr>
              <w:t>PBS indication:</w:t>
            </w:r>
          </w:p>
        </w:tc>
        <w:tc>
          <w:tcPr>
            <w:tcW w:w="4084" w:type="pct"/>
            <w:gridSpan w:val="9"/>
            <w:tcBorders>
              <w:top w:val="single" w:sz="4" w:space="0" w:color="auto"/>
              <w:left w:val="single" w:sz="4" w:space="0" w:color="auto"/>
              <w:bottom w:val="single" w:sz="4" w:space="0" w:color="auto"/>
              <w:right w:val="single" w:sz="4" w:space="0" w:color="auto"/>
            </w:tcBorders>
          </w:tcPr>
          <w:p w:rsidR="001B4FAF" w:rsidRPr="00D35D44" w:rsidRDefault="008E11B3" w:rsidP="00A90B55">
            <w:pPr>
              <w:pStyle w:val="Tabletext"/>
              <w:rPr>
                <w:bCs/>
                <w:lang w:eastAsia="en-AU"/>
              </w:rPr>
            </w:pPr>
            <w:r w:rsidRPr="008E11B3">
              <w:rPr>
                <w:lang w:eastAsia="en-AU"/>
              </w:rPr>
              <w:t xml:space="preserve">Stage III, </w:t>
            </w:r>
            <w:proofErr w:type="spellStart"/>
            <w:r w:rsidRPr="008E11B3">
              <w:rPr>
                <w:lang w:eastAsia="en-AU"/>
              </w:rPr>
              <w:t>IVa</w:t>
            </w:r>
            <w:proofErr w:type="spellEnd"/>
            <w:r w:rsidRPr="008E11B3">
              <w:rPr>
                <w:lang w:eastAsia="en-AU"/>
              </w:rPr>
              <w:t xml:space="preserve"> or </w:t>
            </w:r>
            <w:proofErr w:type="spellStart"/>
            <w:r w:rsidRPr="008E11B3">
              <w:rPr>
                <w:lang w:eastAsia="en-AU"/>
              </w:rPr>
              <w:t>IVb</w:t>
            </w:r>
            <w:proofErr w:type="spellEnd"/>
            <w:r w:rsidRPr="008E11B3">
              <w:rPr>
                <w:lang w:eastAsia="en-AU"/>
              </w:rPr>
              <w:t xml:space="preserve"> squamous cell cancer of the </w:t>
            </w:r>
            <w:r w:rsidR="003F57BF" w:rsidRPr="00501C5A">
              <w:t>oral cavity, pharynx or larynx</w:t>
            </w:r>
          </w:p>
        </w:tc>
      </w:tr>
      <w:tr w:rsidR="001B4FAF" w:rsidRPr="00D35D44" w:rsidTr="00866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2" w:type="pct"/>
          <w:trHeight w:val="20"/>
        </w:trPr>
        <w:tc>
          <w:tcPr>
            <w:tcW w:w="884" w:type="pct"/>
            <w:gridSpan w:val="2"/>
            <w:tcBorders>
              <w:top w:val="single" w:sz="4" w:space="0" w:color="auto"/>
              <w:left w:val="single" w:sz="4" w:space="0" w:color="auto"/>
              <w:bottom w:val="single" w:sz="4" w:space="0" w:color="auto"/>
              <w:right w:val="single" w:sz="4" w:space="0" w:color="auto"/>
            </w:tcBorders>
            <w:hideMark/>
          </w:tcPr>
          <w:p w:rsidR="001B4FAF" w:rsidRPr="00D35D44" w:rsidRDefault="001B4FAF" w:rsidP="00A90B55">
            <w:pPr>
              <w:pStyle w:val="Tabletext"/>
              <w:rPr>
                <w:bCs/>
                <w:lang w:eastAsia="en-AU"/>
              </w:rPr>
            </w:pPr>
            <w:r w:rsidRPr="00D35D44">
              <w:rPr>
                <w:bCs/>
                <w:lang w:eastAsia="en-AU"/>
              </w:rPr>
              <w:t>Treatment phase:</w:t>
            </w:r>
          </w:p>
        </w:tc>
        <w:tc>
          <w:tcPr>
            <w:tcW w:w="4084" w:type="pct"/>
            <w:gridSpan w:val="9"/>
            <w:tcBorders>
              <w:top w:val="single" w:sz="4" w:space="0" w:color="auto"/>
              <w:left w:val="single" w:sz="4" w:space="0" w:color="auto"/>
              <w:bottom w:val="single" w:sz="4" w:space="0" w:color="auto"/>
              <w:right w:val="single" w:sz="4" w:space="0" w:color="auto"/>
            </w:tcBorders>
          </w:tcPr>
          <w:p w:rsidR="001B4FAF" w:rsidRPr="00D35D44" w:rsidRDefault="001B4FAF" w:rsidP="00A90B55">
            <w:pPr>
              <w:pStyle w:val="Tabletext"/>
              <w:rPr>
                <w:bCs/>
                <w:lang w:eastAsia="en-AU"/>
              </w:rPr>
            </w:pPr>
            <w:r w:rsidRPr="00D35D44">
              <w:rPr>
                <w:lang w:eastAsia="en-AU"/>
              </w:rPr>
              <w:t>Continuing treatment</w:t>
            </w:r>
          </w:p>
        </w:tc>
      </w:tr>
      <w:tr w:rsidR="001B4FAF" w:rsidRPr="00D35D44" w:rsidTr="00866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2" w:type="pct"/>
          <w:trHeight w:val="20"/>
        </w:trPr>
        <w:tc>
          <w:tcPr>
            <w:tcW w:w="884" w:type="pct"/>
            <w:gridSpan w:val="2"/>
            <w:tcBorders>
              <w:top w:val="single" w:sz="4" w:space="0" w:color="auto"/>
              <w:left w:val="single" w:sz="4" w:space="0" w:color="auto"/>
              <w:bottom w:val="single" w:sz="4" w:space="0" w:color="auto"/>
              <w:right w:val="single" w:sz="4" w:space="0" w:color="auto"/>
            </w:tcBorders>
            <w:hideMark/>
          </w:tcPr>
          <w:p w:rsidR="001B4FAF" w:rsidRPr="00D35D44" w:rsidRDefault="001B4FAF" w:rsidP="00A90B55">
            <w:pPr>
              <w:pStyle w:val="Tabletext"/>
              <w:rPr>
                <w:bCs/>
                <w:lang w:eastAsia="en-AU"/>
              </w:rPr>
            </w:pPr>
            <w:r w:rsidRPr="00D35D44">
              <w:rPr>
                <w:bCs/>
                <w:lang w:eastAsia="en-AU"/>
              </w:rPr>
              <w:t>Restriction:</w:t>
            </w:r>
          </w:p>
        </w:tc>
        <w:tc>
          <w:tcPr>
            <w:tcW w:w="4084" w:type="pct"/>
            <w:gridSpan w:val="9"/>
            <w:tcBorders>
              <w:top w:val="single" w:sz="4" w:space="0" w:color="auto"/>
              <w:left w:val="single" w:sz="4" w:space="0" w:color="auto"/>
              <w:bottom w:val="single" w:sz="4" w:space="0" w:color="auto"/>
              <w:right w:val="single" w:sz="4" w:space="0" w:color="auto"/>
            </w:tcBorders>
          </w:tcPr>
          <w:p w:rsidR="001B4FAF" w:rsidRPr="00D35D44" w:rsidRDefault="000146F1" w:rsidP="00A90B55">
            <w:pPr>
              <w:jc w:val="left"/>
              <w:rPr>
                <w:rFonts w:ascii="Arial Narrow" w:hAnsi="Arial Narrow"/>
                <w:bCs/>
                <w:sz w:val="20"/>
                <w:lang w:eastAsia="en-AU"/>
              </w:rPr>
            </w:pPr>
            <w:r>
              <w:rPr>
                <w:rFonts w:ascii="Arial Narrow" w:hAnsi="Arial Narrow"/>
                <w:bCs/>
                <w:sz w:val="20"/>
                <w:lang w:eastAsia="en-AU"/>
              </w:rPr>
              <w:fldChar w:fldCharType="begin">
                <w:ffData>
                  <w:name w:val=""/>
                  <w:enabled/>
                  <w:calcOnExit w:val="0"/>
                  <w:checkBox>
                    <w:sizeAuto/>
                    <w:default w:val="0"/>
                  </w:checkBox>
                </w:ffData>
              </w:fldChar>
            </w:r>
            <w:r>
              <w:rPr>
                <w:rFonts w:ascii="Arial Narrow" w:hAnsi="Arial Narrow"/>
                <w:bCs/>
                <w:sz w:val="20"/>
                <w:lang w:eastAsia="en-AU"/>
              </w:rPr>
              <w:instrText xml:space="preserve"> FORMCHECKBOX </w:instrText>
            </w:r>
            <w:r>
              <w:rPr>
                <w:rFonts w:ascii="Arial Narrow" w:hAnsi="Arial Narrow"/>
                <w:bCs/>
                <w:sz w:val="20"/>
                <w:lang w:eastAsia="en-AU"/>
              </w:rPr>
            </w:r>
            <w:r>
              <w:rPr>
                <w:rFonts w:ascii="Arial Narrow" w:hAnsi="Arial Narrow"/>
                <w:bCs/>
                <w:sz w:val="20"/>
                <w:lang w:eastAsia="en-AU"/>
              </w:rPr>
              <w:fldChar w:fldCharType="end"/>
            </w:r>
            <w:r w:rsidR="001B4FAF" w:rsidRPr="00D35D44">
              <w:rPr>
                <w:rFonts w:ascii="Arial Narrow" w:hAnsi="Arial Narrow"/>
                <w:bCs/>
                <w:sz w:val="20"/>
                <w:lang w:eastAsia="en-AU"/>
              </w:rPr>
              <w:t>Authority Required - In Writing</w:t>
            </w:r>
          </w:p>
          <w:p w:rsidR="001B4FAF" w:rsidRPr="00D35D44" w:rsidRDefault="000146F1" w:rsidP="00A90B55">
            <w:pPr>
              <w:jc w:val="left"/>
              <w:rPr>
                <w:rFonts w:ascii="Arial Narrow" w:hAnsi="Arial Narrow"/>
                <w:bCs/>
                <w:sz w:val="20"/>
                <w:lang w:eastAsia="en-AU"/>
              </w:rPr>
            </w:pPr>
            <w:r>
              <w:rPr>
                <w:rFonts w:ascii="Arial Narrow" w:hAnsi="Arial Narrow"/>
                <w:bCs/>
                <w:sz w:val="20"/>
                <w:lang w:eastAsia="en-AU"/>
              </w:rPr>
              <w:fldChar w:fldCharType="begin">
                <w:ffData>
                  <w:name w:val=""/>
                  <w:enabled/>
                  <w:calcOnExit w:val="0"/>
                  <w:checkBox>
                    <w:sizeAuto/>
                    <w:default w:val="0"/>
                  </w:checkBox>
                </w:ffData>
              </w:fldChar>
            </w:r>
            <w:r>
              <w:rPr>
                <w:rFonts w:ascii="Arial Narrow" w:hAnsi="Arial Narrow"/>
                <w:bCs/>
                <w:sz w:val="20"/>
                <w:lang w:eastAsia="en-AU"/>
              </w:rPr>
              <w:instrText xml:space="preserve"> FORMCHECKBOX </w:instrText>
            </w:r>
            <w:r>
              <w:rPr>
                <w:rFonts w:ascii="Arial Narrow" w:hAnsi="Arial Narrow"/>
                <w:bCs/>
                <w:sz w:val="20"/>
                <w:lang w:eastAsia="en-AU"/>
              </w:rPr>
            </w:r>
            <w:r>
              <w:rPr>
                <w:rFonts w:ascii="Arial Narrow" w:hAnsi="Arial Narrow"/>
                <w:bCs/>
                <w:sz w:val="20"/>
                <w:lang w:eastAsia="en-AU"/>
              </w:rPr>
              <w:fldChar w:fldCharType="end"/>
            </w:r>
            <w:r w:rsidR="001B4FAF" w:rsidRPr="00D35D44">
              <w:rPr>
                <w:rFonts w:ascii="Arial Narrow" w:hAnsi="Arial Narrow"/>
                <w:bCs/>
                <w:sz w:val="20"/>
                <w:lang w:eastAsia="en-AU"/>
              </w:rPr>
              <w:t>Authority Required - Telephone</w:t>
            </w:r>
          </w:p>
          <w:p w:rsidR="001B4FAF" w:rsidRPr="00D35D44" w:rsidRDefault="000146F1" w:rsidP="00A90B55">
            <w:pPr>
              <w:jc w:val="left"/>
              <w:rPr>
                <w:rFonts w:ascii="Arial Narrow" w:hAnsi="Arial Narrow"/>
                <w:bCs/>
                <w:sz w:val="20"/>
                <w:lang w:eastAsia="en-AU"/>
              </w:rPr>
            </w:pPr>
            <w:r>
              <w:rPr>
                <w:rFonts w:ascii="Arial Narrow" w:hAnsi="Arial Narrow"/>
                <w:bCs/>
                <w:sz w:val="20"/>
                <w:lang w:eastAsia="en-AU"/>
              </w:rPr>
              <w:fldChar w:fldCharType="begin">
                <w:ffData>
                  <w:name w:val=""/>
                  <w:enabled/>
                  <w:calcOnExit w:val="0"/>
                  <w:checkBox>
                    <w:sizeAuto/>
                    <w:default w:val="0"/>
                  </w:checkBox>
                </w:ffData>
              </w:fldChar>
            </w:r>
            <w:r>
              <w:rPr>
                <w:rFonts w:ascii="Arial Narrow" w:hAnsi="Arial Narrow"/>
                <w:bCs/>
                <w:sz w:val="20"/>
                <w:lang w:eastAsia="en-AU"/>
              </w:rPr>
              <w:instrText xml:space="preserve"> FORMCHECKBOX </w:instrText>
            </w:r>
            <w:r>
              <w:rPr>
                <w:rFonts w:ascii="Arial Narrow" w:hAnsi="Arial Narrow"/>
                <w:bCs/>
                <w:sz w:val="20"/>
                <w:lang w:eastAsia="en-AU"/>
              </w:rPr>
            </w:r>
            <w:r>
              <w:rPr>
                <w:rFonts w:ascii="Arial Narrow" w:hAnsi="Arial Narrow"/>
                <w:bCs/>
                <w:sz w:val="20"/>
                <w:lang w:eastAsia="en-AU"/>
              </w:rPr>
              <w:fldChar w:fldCharType="end"/>
            </w:r>
            <w:r w:rsidR="001B4FAF" w:rsidRPr="00D35D44">
              <w:rPr>
                <w:rFonts w:ascii="Arial Narrow" w:hAnsi="Arial Narrow"/>
                <w:bCs/>
                <w:sz w:val="20"/>
                <w:lang w:eastAsia="en-AU"/>
              </w:rPr>
              <w:t>Authority Required – Emergency</w:t>
            </w:r>
            <w:bookmarkStart w:id="17" w:name="_GoBack"/>
            <w:bookmarkEnd w:id="17"/>
          </w:p>
          <w:p w:rsidR="001B4FAF" w:rsidRPr="00D35D44" w:rsidRDefault="000146F1" w:rsidP="00A90B55">
            <w:pPr>
              <w:jc w:val="left"/>
              <w:rPr>
                <w:rFonts w:ascii="Arial Narrow" w:hAnsi="Arial Narrow"/>
                <w:bCs/>
                <w:sz w:val="20"/>
                <w:lang w:eastAsia="en-AU"/>
              </w:rPr>
            </w:pPr>
            <w:r>
              <w:rPr>
                <w:rFonts w:ascii="Arial Narrow" w:hAnsi="Arial Narrow"/>
                <w:bCs/>
                <w:sz w:val="20"/>
                <w:lang w:eastAsia="en-AU"/>
              </w:rPr>
              <w:fldChar w:fldCharType="begin">
                <w:ffData>
                  <w:name w:val=""/>
                  <w:enabled/>
                  <w:calcOnExit w:val="0"/>
                  <w:checkBox>
                    <w:sizeAuto/>
                    <w:default w:val="0"/>
                  </w:checkBox>
                </w:ffData>
              </w:fldChar>
            </w:r>
            <w:r>
              <w:rPr>
                <w:rFonts w:ascii="Arial Narrow" w:hAnsi="Arial Narrow"/>
                <w:bCs/>
                <w:sz w:val="20"/>
                <w:lang w:eastAsia="en-AU"/>
              </w:rPr>
              <w:instrText xml:space="preserve"> FORMCHECKBOX </w:instrText>
            </w:r>
            <w:r>
              <w:rPr>
                <w:rFonts w:ascii="Arial Narrow" w:hAnsi="Arial Narrow"/>
                <w:bCs/>
                <w:sz w:val="20"/>
                <w:lang w:eastAsia="en-AU"/>
              </w:rPr>
            </w:r>
            <w:r>
              <w:rPr>
                <w:rFonts w:ascii="Arial Narrow" w:hAnsi="Arial Narrow"/>
                <w:bCs/>
                <w:sz w:val="20"/>
                <w:lang w:eastAsia="en-AU"/>
              </w:rPr>
              <w:fldChar w:fldCharType="end"/>
            </w:r>
            <w:r w:rsidR="001B4FAF" w:rsidRPr="00D35D44">
              <w:rPr>
                <w:rFonts w:ascii="Arial Narrow" w:hAnsi="Arial Narrow"/>
                <w:bCs/>
                <w:sz w:val="20"/>
                <w:lang w:eastAsia="en-AU"/>
              </w:rPr>
              <w:t>Authority Required - Electronic</w:t>
            </w:r>
          </w:p>
          <w:p w:rsidR="001B4FAF" w:rsidRPr="00D35D44" w:rsidRDefault="001B4FAF" w:rsidP="001710BF">
            <w:pPr>
              <w:pStyle w:val="Tabletext"/>
              <w:rPr>
                <w:bCs/>
                <w:lang w:eastAsia="en-AU"/>
              </w:rPr>
            </w:pPr>
            <w:r w:rsidRPr="00D35D44">
              <w:rPr>
                <w:bCs/>
                <w:lang w:eastAsia="en-AU"/>
              </w:rPr>
              <w:fldChar w:fldCharType="begin">
                <w:ffData>
                  <w:name w:val="Check5"/>
                  <w:enabled/>
                  <w:calcOnExit w:val="0"/>
                  <w:checkBox>
                    <w:sizeAuto/>
                    <w:default w:val="1"/>
                  </w:checkBox>
                </w:ffData>
              </w:fldChar>
            </w:r>
            <w:r w:rsidRPr="00D35D44">
              <w:rPr>
                <w:bCs/>
                <w:lang w:eastAsia="en-AU"/>
              </w:rPr>
              <w:instrText xml:space="preserve"> FORMCHECKBOX </w:instrText>
            </w:r>
            <w:r w:rsidR="002A3009">
              <w:rPr>
                <w:bCs/>
                <w:lang w:eastAsia="en-AU"/>
              </w:rPr>
            </w:r>
            <w:r w:rsidR="002A3009">
              <w:rPr>
                <w:bCs/>
                <w:lang w:eastAsia="en-AU"/>
              </w:rPr>
              <w:fldChar w:fldCharType="separate"/>
            </w:r>
            <w:r w:rsidRPr="00D35D44">
              <w:rPr>
                <w:bCs/>
                <w:lang w:eastAsia="en-AU"/>
              </w:rPr>
              <w:fldChar w:fldCharType="end"/>
            </w:r>
            <w:r w:rsidRPr="00D35D44">
              <w:rPr>
                <w:bCs/>
                <w:lang w:eastAsia="en-AU"/>
              </w:rPr>
              <w:t xml:space="preserve">Streamlined </w:t>
            </w:r>
          </w:p>
        </w:tc>
      </w:tr>
      <w:tr w:rsidR="001B4FAF" w:rsidRPr="00D35D44" w:rsidTr="00866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2" w:type="pct"/>
          <w:trHeight w:val="20"/>
        </w:trPr>
        <w:tc>
          <w:tcPr>
            <w:tcW w:w="884" w:type="pct"/>
            <w:gridSpan w:val="2"/>
            <w:tcBorders>
              <w:top w:val="single" w:sz="4" w:space="0" w:color="auto"/>
              <w:left w:val="single" w:sz="4" w:space="0" w:color="auto"/>
              <w:bottom w:val="single" w:sz="4" w:space="0" w:color="auto"/>
              <w:right w:val="single" w:sz="4" w:space="0" w:color="auto"/>
            </w:tcBorders>
            <w:hideMark/>
          </w:tcPr>
          <w:p w:rsidR="001B4FAF" w:rsidRPr="00D35D44" w:rsidRDefault="001B4FAF" w:rsidP="00A90B55">
            <w:pPr>
              <w:pStyle w:val="Tabletext"/>
              <w:rPr>
                <w:bCs/>
                <w:lang w:eastAsia="en-AU"/>
              </w:rPr>
            </w:pPr>
            <w:r w:rsidRPr="00D35D44">
              <w:rPr>
                <w:bCs/>
                <w:lang w:eastAsia="en-AU"/>
              </w:rPr>
              <w:t>Clinical criteria:</w:t>
            </w:r>
          </w:p>
        </w:tc>
        <w:tc>
          <w:tcPr>
            <w:tcW w:w="4084" w:type="pct"/>
            <w:gridSpan w:val="9"/>
            <w:tcBorders>
              <w:top w:val="single" w:sz="4" w:space="0" w:color="auto"/>
              <w:left w:val="single" w:sz="4" w:space="0" w:color="auto"/>
              <w:bottom w:val="single" w:sz="4" w:space="0" w:color="auto"/>
              <w:right w:val="single" w:sz="4" w:space="0" w:color="auto"/>
            </w:tcBorders>
          </w:tcPr>
          <w:p w:rsidR="001B4FAF" w:rsidRPr="00D35D44" w:rsidRDefault="001B4FAF" w:rsidP="00A90B55">
            <w:pPr>
              <w:pStyle w:val="Tabletext"/>
              <w:rPr>
                <w:bCs/>
                <w:lang w:eastAsia="en-AU"/>
              </w:rPr>
            </w:pPr>
            <w:r w:rsidRPr="00D35D44">
              <w:rPr>
                <w:bCs/>
                <w:lang w:eastAsia="en-AU"/>
              </w:rPr>
              <w:t>Patient must have previously received PBS-subsidised treatment with this drug for this condition</w:t>
            </w:r>
            <w:r w:rsidRPr="00D35D44">
              <w:rPr>
                <w:bCs/>
                <w:lang w:eastAsia="en-AU"/>
              </w:rPr>
              <w:br/>
              <w:t>AND</w:t>
            </w:r>
            <w:r w:rsidRPr="00D35D44">
              <w:rPr>
                <w:bCs/>
                <w:lang w:eastAsia="en-AU"/>
              </w:rPr>
              <w:br/>
              <w:t>Patient must not have progressive disease</w:t>
            </w:r>
          </w:p>
        </w:tc>
      </w:tr>
    </w:tbl>
    <w:p w:rsidR="00631038" w:rsidRPr="00866C5C" w:rsidRDefault="002E2883" w:rsidP="00866C5C">
      <w:pPr>
        <w:pStyle w:val="Heading1"/>
      </w:pPr>
      <w:r w:rsidRPr="00866C5C">
        <w:t>Context for decision</w:t>
      </w:r>
    </w:p>
    <w:p w:rsidR="00631038" w:rsidRPr="007B1C32" w:rsidRDefault="00631038" w:rsidP="00866C5C">
      <w:pPr>
        <w:rPr>
          <w:rFonts w:asciiTheme="minorHAnsi" w:eastAsiaTheme="minorHAnsi" w:hAnsiTheme="minorHAnsi"/>
        </w:rPr>
      </w:pPr>
      <w:r w:rsidRPr="007B1C32">
        <w:rPr>
          <w:rFonts w:asciiTheme="minorHAnsi" w:eastAsia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31038" w:rsidRPr="00866C5C" w:rsidRDefault="00631038" w:rsidP="00A7601C">
      <w:pPr>
        <w:pStyle w:val="Heading1"/>
      </w:pPr>
      <w:r w:rsidRPr="00866C5C">
        <w:t>Sponsor’s Comment</w:t>
      </w:r>
    </w:p>
    <w:p w:rsidR="005B3E02" w:rsidRPr="00866C5C" w:rsidRDefault="00BE65F0" w:rsidP="00A7601C">
      <w:pPr>
        <w:spacing w:after="120"/>
        <w:rPr>
          <w:rFonts w:asciiTheme="minorHAnsi" w:eastAsiaTheme="minorHAnsi" w:hAnsiTheme="minorHAnsi"/>
          <w:bCs/>
        </w:rPr>
      </w:pPr>
      <w:r w:rsidRPr="00BE65F0">
        <w:rPr>
          <w:rFonts w:asciiTheme="minorHAnsi" w:eastAsiaTheme="minorHAnsi" w:hAnsiTheme="minorHAnsi"/>
          <w:bCs/>
        </w:rPr>
        <w:t>Patients with RM SCCHN have a high and currently unmet need for effective treatments. Merck is therefore delighted that cetuximab has received a positive recommendation for this indication and looks forward to working with the Department to secure t</w:t>
      </w:r>
      <w:r w:rsidR="00866C5C">
        <w:rPr>
          <w:rFonts w:asciiTheme="minorHAnsi" w:eastAsiaTheme="minorHAnsi" w:hAnsiTheme="minorHAnsi"/>
          <w:bCs/>
        </w:rPr>
        <w:t>he listing as soon as possible.</w:t>
      </w:r>
    </w:p>
    <w:sectPr w:rsidR="005B3E02" w:rsidRPr="00866C5C" w:rsidSect="00274298">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D9D124" w15:done="0"/>
  <w15:commentEx w15:paraId="3DF67F57" w15:paraIdParent="2CD9D124" w15:done="0"/>
  <w15:commentEx w15:paraId="02D6F3F4" w15:done="0"/>
  <w15:commentEx w15:paraId="0CD11F52" w15:paraIdParent="02D6F3F4" w15:done="0"/>
  <w15:commentEx w15:paraId="4D7518CF" w15:done="0"/>
  <w15:commentEx w15:paraId="331CBD75" w15:done="0"/>
  <w15:commentEx w15:paraId="6F16A220" w15:done="0"/>
  <w15:commentEx w15:paraId="3A3A3FAA" w15:paraIdParent="6F16A220" w15:done="0"/>
  <w15:commentEx w15:paraId="1219620C" w15:done="0"/>
  <w15:commentEx w15:paraId="6CB52130" w15:paraIdParent="121962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D9D124" w16cid:durableId="1E623E36"/>
  <w16cid:commentId w16cid:paraId="3DF67F57" w16cid:durableId="1E6240BA"/>
  <w16cid:commentId w16cid:paraId="02D6F3F4" w16cid:durableId="1E623E37"/>
  <w16cid:commentId w16cid:paraId="0CD11F52" w16cid:durableId="1E624440"/>
  <w16cid:commentId w16cid:paraId="4D7518CF" w16cid:durableId="1E623E38"/>
  <w16cid:commentId w16cid:paraId="331CBD75" w16cid:durableId="1E62478D"/>
  <w16cid:commentId w16cid:paraId="6F16A220" w16cid:durableId="1E623E39"/>
  <w16cid:commentId w16cid:paraId="3A3A3FAA" w16cid:durableId="1E624822"/>
  <w16cid:commentId w16cid:paraId="1219620C" w16cid:durableId="1E623E3A"/>
  <w16cid:commentId w16cid:paraId="6CB52130" w16cid:durableId="1E6248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597" w:rsidRDefault="005E3597" w:rsidP="00124A51">
      <w:r>
        <w:separator/>
      </w:r>
    </w:p>
    <w:p w:rsidR="005E3597" w:rsidRDefault="005E3597"/>
  </w:endnote>
  <w:endnote w:type="continuationSeparator" w:id="0">
    <w:p w:rsidR="005E3597" w:rsidRDefault="005E3597" w:rsidP="00124A51">
      <w:r>
        <w:continuationSeparator/>
      </w:r>
    </w:p>
    <w:p w:rsidR="005E3597" w:rsidRDefault="005E3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883" w:rsidRDefault="002E28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907759"/>
      <w:docPartObj>
        <w:docPartGallery w:val="Page Numbers (Bottom of Page)"/>
        <w:docPartUnique/>
      </w:docPartObj>
    </w:sdtPr>
    <w:sdtEndPr>
      <w:rPr>
        <w:noProof/>
      </w:rPr>
    </w:sdtEndPr>
    <w:sdtContent>
      <w:p w:rsidR="002E2883" w:rsidRDefault="002E2883">
        <w:pPr>
          <w:pStyle w:val="Footer"/>
          <w:jc w:val="center"/>
        </w:pPr>
        <w:r>
          <w:fldChar w:fldCharType="begin"/>
        </w:r>
        <w:r>
          <w:instrText xml:space="preserve"> PAGE   \* MERGEFORMAT </w:instrText>
        </w:r>
        <w:r>
          <w:fldChar w:fldCharType="separate"/>
        </w:r>
        <w:r w:rsidR="002A3009">
          <w:rPr>
            <w:noProof/>
          </w:rPr>
          <w:t>1</w:t>
        </w:r>
        <w:r>
          <w:rPr>
            <w:noProof/>
          </w:rPr>
          <w:fldChar w:fldCharType="end"/>
        </w:r>
      </w:p>
    </w:sdtContent>
  </w:sdt>
  <w:p w:rsidR="002E2883" w:rsidRDefault="002E28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883" w:rsidRDefault="002E28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597" w:rsidRDefault="005E3597" w:rsidP="00124A51">
      <w:r>
        <w:separator/>
      </w:r>
    </w:p>
    <w:p w:rsidR="005E3597" w:rsidRDefault="005E3597"/>
  </w:footnote>
  <w:footnote w:type="continuationSeparator" w:id="0">
    <w:p w:rsidR="005E3597" w:rsidRDefault="005E3597" w:rsidP="00124A51">
      <w:r>
        <w:continuationSeparator/>
      </w:r>
    </w:p>
    <w:p w:rsidR="005E3597" w:rsidRDefault="005E3597"/>
  </w:footnote>
  <w:footnote w:id="1">
    <w:p w:rsidR="002E2883" w:rsidRDefault="002E2883">
      <w:pPr>
        <w:pStyle w:val="FootnoteText"/>
      </w:pPr>
      <w:r>
        <w:rPr>
          <w:rStyle w:val="FootnoteReference"/>
        </w:rPr>
        <w:footnoteRef/>
      </w:r>
      <w:r>
        <w:t xml:space="preserve"> </w:t>
      </w:r>
      <w:proofErr w:type="spellStart"/>
      <w:r w:rsidRPr="009F0641">
        <w:t>Oken</w:t>
      </w:r>
      <w:proofErr w:type="spellEnd"/>
      <w:r w:rsidRPr="009F0641">
        <w:t xml:space="preserve">, M.M., Creech, R.H., </w:t>
      </w:r>
      <w:proofErr w:type="spellStart"/>
      <w:r w:rsidRPr="009F0641">
        <w:t>Tormey</w:t>
      </w:r>
      <w:proofErr w:type="spellEnd"/>
      <w:r w:rsidRPr="009F0641">
        <w:t xml:space="preserve">, D.C., Horton, J., Davis, T.E., McFadden, E.T., Carbone, </w:t>
      </w:r>
      <w:proofErr w:type="gramStart"/>
      <w:r w:rsidRPr="009F0641">
        <w:t>P.P</w:t>
      </w:r>
      <w:proofErr w:type="gramEnd"/>
      <w:r w:rsidRPr="009F0641">
        <w:t xml:space="preserve">.: Toxicity And Response Criteria Of The Eastern Cooperative Oncology Group. </w:t>
      </w:r>
      <w:proofErr w:type="gramStart"/>
      <w:r w:rsidRPr="009F0641">
        <w:t>Am</w:t>
      </w:r>
      <w:proofErr w:type="gramEnd"/>
      <w:r w:rsidRPr="009F0641">
        <w:t xml:space="preserve"> J </w:t>
      </w:r>
      <w:proofErr w:type="spellStart"/>
      <w:r w:rsidRPr="009F0641">
        <w:t>Clin</w:t>
      </w:r>
      <w:proofErr w:type="spellEnd"/>
      <w:r w:rsidRPr="009F0641">
        <w:t xml:space="preserve"> </w:t>
      </w:r>
      <w:proofErr w:type="spellStart"/>
      <w:r w:rsidRPr="009F0641">
        <w:t>Oncol</w:t>
      </w:r>
      <w:proofErr w:type="spellEnd"/>
      <w:r w:rsidRPr="009F0641">
        <w:t xml:space="preserve"> 5:649-655, 1982.</w:t>
      </w:r>
    </w:p>
  </w:footnote>
  <w:footnote w:id="2">
    <w:p w:rsidR="002E2883" w:rsidRDefault="002E2883" w:rsidP="008F7556">
      <w:pPr>
        <w:pStyle w:val="FootnoteText"/>
      </w:pPr>
      <w:r>
        <w:rPr>
          <w:rStyle w:val="FootnoteReference"/>
        </w:rPr>
        <w:footnoteRef/>
      </w:r>
      <w:r>
        <w:t xml:space="preserve"> </w:t>
      </w:r>
      <w:proofErr w:type="spellStart"/>
      <w:r w:rsidRPr="00777FD2">
        <w:t>Buccheri</w:t>
      </w:r>
      <w:proofErr w:type="spellEnd"/>
      <w:r w:rsidRPr="00777FD2">
        <w:t xml:space="preserve"> G, </w:t>
      </w:r>
      <w:proofErr w:type="spellStart"/>
      <w:r w:rsidRPr="00777FD2">
        <w:t>Ferrigno</w:t>
      </w:r>
      <w:proofErr w:type="spellEnd"/>
      <w:r w:rsidRPr="00777FD2">
        <w:t xml:space="preserve"> D, </w:t>
      </w:r>
      <w:proofErr w:type="spellStart"/>
      <w:r w:rsidRPr="00777FD2">
        <w:t>Tamburini</w:t>
      </w:r>
      <w:proofErr w:type="spellEnd"/>
      <w:r w:rsidRPr="00777FD2">
        <w:t xml:space="preserve"> M. </w:t>
      </w:r>
      <w:proofErr w:type="spellStart"/>
      <w:r w:rsidRPr="00777FD2">
        <w:t>Karnofsky</w:t>
      </w:r>
      <w:proofErr w:type="spellEnd"/>
      <w:r w:rsidRPr="00777FD2">
        <w:t xml:space="preserve"> and ECOG performance status scoring in lung cancer: a prospective, longitudinal study of 536 patients from a single institution. </w:t>
      </w:r>
      <w:proofErr w:type="spellStart"/>
      <w:r w:rsidRPr="00777FD2">
        <w:t>Eur</w:t>
      </w:r>
      <w:proofErr w:type="spellEnd"/>
      <w:r w:rsidRPr="00777FD2">
        <w:t xml:space="preserve"> J Cancer. 1996 Jun</w:t>
      </w:r>
      <w:proofErr w:type="gramStart"/>
      <w:r w:rsidRPr="00777FD2">
        <w:t>;32A</w:t>
      </w:r>
      <w:proofErr w:type="gramEnd"/>
      <w:r w:rsidRPr="00777FD2">
        <w:t>(7):1135-41.</w:t>
      </w:r>
    </w:p>
    <w:p w:rsidR="002E2883" w:rsidRDefault="002E2883">
      <w:pPr>
        <w:pStyle w:val="FootnoteText"/>
      </w:pPr>
    </w:p>
  </w:footnote>
  <w:footnote w:id="3">
    <w:p w:rsidR="002E2883" w:rsidRDefault="002E2883">
      <w:pPr>
        <w:pStyle w:val="FootnoteText"/>
      </w:pPr>
      <w:r>
        <w:rPr>
          <w:rStyle w:val="FootnoteReference"/>
        </w:rPr>
        <w:footnoteRef/>
      </w:r>
      <w:r>
        <w:t xml:space="preserve"> </w:t>
      </w:r>
      <w:proofErr w:type="spellStart"/>
      <w:r w:rsidRPr="0028284A">
        <w:rPr>
          <w:rFonts w:asciiTheme="minorHAnsi" w:hAnsiTheme="minorHAnsi"/>
          <w:bCs/>
          <w:sz w:val="16"/>
        </w:rPr>
        <w:t>Cherny</w:t>
      </w:r>
      <w:proofErr w:type="spellEnd"/>
      <w:r w:rsidRPr="0028284A">
        <w:rPr>
          <w:rFonts w:asciiTheme="minorHAnsi" w:hAnsiTheme="minorHAnsi"/>
          <w:bCs/>
          <w:sz w:val="16"/>
        </w:rPr>
        <w:t xml:space="preserve"> NI, Sullivan R, Dafni U, et al: A standardised, generic, validated approach to stratify the magnitude of clinical benefit that can be anticipated from anti-cancer therapies: the European Society for Medical Oncology Magnitude of Clinical Benefit Scale (ESMO-MCBS). Ann </w:t>
      </w:r>
      <w:proofErr w:type="spellStart"/>
      <w:r w:rsidRPr="0028284A">
        <w:rPr>
          <w:rFonts w:asciiTheme="minorHAnsi" w:hAnsiTheme="minorHAnsi"/>
          <w:bCs/>
          <w:sz w:val="16"/>
        </w:rPr>
        <w:t>Oncol</w:t>
      </w:r>
      <w:proofErr w:type="spellEnd"/>
      <w:r w:rsidRPr="0028284A">
        <w:rPr>
          <w:rFonts w:asciiTheme="minorHAnsi" w:hAnsiTheme="minorHAnsi"/>
          <w:bCs/>
          <w:sz w:val="16"/>
        </w:rPr>
        <w:t xml:space="preserve"> 26:1547-73, 2015</w:t>
      </w:r>
    </w:p>
  </w:footnote>
  <w:footnote w:id="4">
    <w:p w:rsidR="002E2883" w:rsidRDefault="002E2883">
      <w:pPr>
        <w:pStyle w:val="FootnoteText"/>
      </w:pPr>
      <w:r>
        <w:rPr>
          <w:rStyle w:val="FootnoteReference"/>
        </w:rPr>
        <w:footnoteRef/>
      </w:r>
      <w:r>
        <w:t xml:space="preserve"> </w:t>
      </w:r>
      <w:r>
        <w:rPr>
          <w:bCs/>
        </w:rPr>
        <w:t>The QLQ</w:t>
      </w:r>
      <w:r w:rsidRPr="00BD1434">
        <w:rPr>
          <w:bCs/>
        </w:rPr>
        <w:t>-C30 is a cancer specific self-administered survey with 30 questions, comprising an overall global health status/QoL scale, five functional scales (physical, role, emotional, cognitive, and social functioning), three multi-item symptom scales (fatigue, nausea/vomiting, and pain) and six single-item symptom scales (dyspnoea, insomnia, appetite loss, constipation, diarrhoea</w:t>
      </w:r>
      <w:r>
        <w:rPr>
          <w:bCs/>
        </w:rPr>
        <w:t xml:space="preserve">, and financial difficulties). </w:t>
      </w:r>
      <w:r w:rsidRPr="00AD62F6">
        <w:rPr>
          <w:bCs/>
        </w:rPr>
        <w:t>Only 6 item</w:t>
      </w:r>
      <w:r>
        <w:rPr>
          <w:bCs/>
        </w:rPr>
        <w:t>s</w:t>
      </w:r>
      <w:r w:rsidRPr="00AD62F6">
        <w:rPr>
          <w:bCs/>
        </w:rPr>
        <w:t xml:space="preserve"> (out of 30) were used in the cross walk algorithm to derive the health state utilities (i.e., overall health, ability to take a short walk, self-care, sleeping, concentration and family life).</w:t>
      </w:r>
      <w:r>
        <w:rPr>
          <w:b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883" w:rsidRDefault="002E28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883" w:rsidRPr="00613FE2" w:rsidRDefault="002E2883" w:rsidP="00613FE2">
    <w:pPr>
      <w:tabs>
        <w:tab w:val="left" w:pos="142"/>
        <w:tab w:val="right" w:pos="9027"/>
      </w:tabs>
      <w:jc w:val="center"/>
      <w:rPr>
        <w:i/>
      </w:rPr>
    </w:pPr>
    <w:r>
      <w:rPr>
        <w:i/>
      </w:rPr>
      <w:t xml:space="preserve">Public Summary Document </w:t>
    </w:r>
    <w:r w:rsidRPr="00613FE2">
      <w:rPr>
        <w:i/>
      </w:rPr>
      <w:t>– March 2018 PBAC Meeting</w:t>
    </w:r>
  </w:p>
  <w:p w:rsidR="002E2883" w:rsidRDefault="002E288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883" w:rsidRDefault="002E28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3B821D9"/>
    <w:multiLevelType w:val="multilevel"/>
    <w:tmpl w:val="67D6DD1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i w:val="0"/>
        <w:iCs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F912A15"/>
    <w:multiLevelType w:val="multilevel"/>
    <w:tmpl w:val="23DAC0F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i w:val="0"/>
        <w:iCs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A6F10BA"/>
    <w:multiLevelType w:val="hybridMultilevel"/>
    <w:tmpl w:val="BB960964"/>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6">
    <w:nsid w:val="38735AD3"/>
    <w:multiLevelType w:val="hybridMultilevel"/>
    <w:tmpl w:val="3B6C15C0"/>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7">
    <w:nsid w:val="3B7C34E2"/>
    <w:multiLevelType w:val="hybridMultilevel"/>
    <w:tmpl w:val="9CAA9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4442297"/>
    <w:multiLevelType w:val="hybridMultilevel"/>
    <w:tmpl w:val="E6FE4E00"/>
    <w:lvl w:ilvl="0" w:tplc="C324F4FC">
      <w:start w:val="1"/>
      <w:numFmt w:val="bullet"/>
      <w:pStyle w:val="Bulletpoint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5C6F7E"/>
    <w:multiLevelType w:val="hybridMultilevel"/>
    <w:tmpl w:val="0D222228"/>
    <w:lvl w:ilvl="0" w:tplc="0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A1F1408"/>
    <w:multiLevelType w:val="hybridMultilevel"/>
    <w:tmpl w:val="C4406AAC"/>
    <w:lvl w:ilvl="0" w:tplc="AC1C19A8">
      <w:start w:val="1"/>
      <w:numFmt w:val="bullet"/>
      <w:pStyle w:val="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DA24C1D"/>
    <w:multiLevelType w:val="multilevel"/>
    <w:tmpl w:val="5F5CBC9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iCs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84D033C"/>
    <w:multiLevelType w:val="multilevel"/>
    <w:tmpl w:val="8D463456"/>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i w:val="0"/>
        <w:iCs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3"/>
  </w:num>
  <w:num w:numId="3">
    <w:abstractNumId w:val="8"/>
  </w:num>
  <w:num w:numId="4">
    <w:abstractNumId w:val="11"/>
  </w:num>
  <w:num w:numId="5">
    <w:abstractNumId w:val="5"/>
  </w:num>
  <w:num w:numId="6">
    <w:abstractNumId w:val="9"/>
  </w:num>
  <w:num w:numId="7">
    <w:abstractNumId w:val="6"/>
  </w:num>
  <w:num w:numId="8">
    <w:abstractNumId w:val="10"/>
  </w:num>
  <w:num w:numId="9">
    <w:abstractNumId w:val="1"/>
  </w:num>
  <w:num w:numId="10">
    <w:abstractNumId w:val="0"/>
  </w:num>
  <w:num w:numId="11">
    <w:abstractNumId w:val="4"/>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9"/>
  </w:num>
  <w:num w:numId="15">
    <w:abstractNumId w:val="3"/>
  </w:num>
  <w:num w:numId="16">
    <w:abstractNumId w:val="2"/>
  </w:num>
  <w:num w:numId="17">
    <w:abstractNumId w:val="12"/>
  </w:num>
  <w:num w:numId="18">
    <w:abstractNumId w:val="3"/>
  </w:num>
  <w:num w:numId="19">
    <w:abstractNumId w:val="3"/>
  </w:num>
  <w:num w:numId="20">
    <w:abstractNumId w:val="3"/>
  </w:num>
  <w:num w:numId="21">
    <w:abstractNumId w:val="3"/>
  </w:num>
  <w:num w:numId="22">
    <w:abstractNumId w:val="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proofState w:spelling="clean" w:grammar="clean"/>
  <w:doNotTrackFormatting/>
  <w:defaultTabStop w:val="17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0F3E"/>
    <w:rsid w:val="0000110B"/>
    <w:rsid w:val="000014EE"/>
    <w:rsid w:val="00002980"/>
    <w:rsid w:val="00003072"/>
    <w:rsid w:val="00003499"/>
    <w:rsid w:val="000039B7"/>
    <w:rsid w:val="00003DD1"/>
    <w:rsid w:val="0000707D"/>
    <w:rsid w:val="0000718B"/>
    <w:rsid w:val="00011BE2"/>
    <w:rsid w:val="000120B1"/>
    <w:rsid w:val="00012EDB"/>
    <w:rsid w:val="00013247"/>
    <w:rsid w:val="000146F1"/>
    <w:rsid w:val="000157E8"/>
    <w:rsid w:val="00015886"/>
    <w:rsid w:val="00015A35"/>
    <w:rsid w:val="000162EF"/>
    <w:rsid w:val="0001640E"/>
    <w:rsid w:val="000204B5"/>
    <w:rsid w:val="000206A4"/>
    <w:rsid w:val="0002225F"/>
    <w:rsid w:val="00022BDC"/>
    <w:rsid w:val="00023763"/>
    <w:rsid w:val="000261A9"/>
    <w:rsid w:val="0003006B"/>
    <w:rsid w:val="000300FE"/>
    <w:rsid w:val="00031F59"/>
    <w:rsid w:val="00032D9D"/>
    <w:rsid w:val="00033863"/>
    <w:rsid w:val="00033C81"/>
    <w:rsid w:val="000351F8"/>
    <w:rsid w:val="00035DC0"/>
    <w:rsid w:val="00035FF6"/>
    <w:rsid w:val="00036829"/>
    <w:rsid w:val="00037728"/>
    <w:rsid w:val="00040895"/>
    <w:rsid w:val="00041280"/>
    <w:rsid w:val="00041745"/>
    <w:rsid w:val="00042818"/>
    <w:rsid w:val="00043C37"/>
    <w:rsid w:val="00043F60"/>
    <w:rsid w:val="0004450B"/>
    <w:rsid w:val="00045017"/>
    <w:rsid w:val="00045A2B"/>
    <w:rsid w:val="0004698F"/>
    <w:rsid w:val="000470E8"/>
    <w:rsid w:val="00047CB4"/>
    <w:rsid w:val="00050AC5"/>
    <w:rsid w:val="00053802"/>
    <w:rsid w:val="000539D0"/>
    <w:rsid w:val="00054621"/>
    <w:rsid w:val="000546D7"/>
    <w:rsid w:val="00054945"/>
    <w:rsid w:val="00056AB4"/>
    <w:rsid w:val="00056F33"/>
    <w:rsid w:val="0006087A"/>
    <w:rsid w:val="00063D98"/>
    <w:rsid w:val="0006415E"/>
    <w:rsid w:val="00065EB1"/>
    <w:rsid w:val="00066360"/>
    <w:rsid w:val="000668C5"/>
    <w:rsid w:val="000705B9"/>
    <w:rsid w:val="00070D78"/>
    <w:rsid w:val="00071248"/>
    <w:rsid w:val="000714E8"/>
    <w:rsid w:val="00071920"/>
    <w:rsid w:val="00071F7B"/>
    <w:rsid w:val="000720B9"/>
    <w:rsid w:val="00072B04"/>
    <w:rsid w:val="000737F7"/>
    <w:rsid w:val="00074EA7"/>
    <w:rsid w:val="0007672F"/>
    <w:rsid w:val="000774F0"/>
    <w:rsid w:val="00080909"/>
    <w:rsid w:val="000812CA"/>
    <w:rsid w:val="0008141B"/>
    <w:rsid w:val="00082284"/>
    <w:rsid w:val="0008258D"/>
    <w:rsid w:val="000831B3"/>
    <w:rsid w:val="000839BA"/>
    <w:rsid w:val="00083E99"/>
    <w:rsid w:val="00084691"/>
    <w:rsid w:val="000856C5"/>
    <w:rsid w:val="00085F9A"/>
    <w:rsid w:val="000871B0"/>
    <w:rsid w:val="00087CA5"/>
    <w:rsid w:val="00087D2E"/>
    <w:rsid w:val="00090C7E"/>
    <w:rsid w:val="00092600"/>
    <w:rsid w:val="0009262B"/>
    <w:rsid w:val="00092858"/>
    <w:rsid w:val="00093310"/>
    <w:rsid w:val="00093E2D"/>
    <w:rsid w:val="0009445C"/>
    <w:rsid w:val="00095FE5"/>
    <w:rsid w:val="00096284"/>
    <w:rsid w:val="000A0257"/>
    <w:rsid w:val="000A0CB2"/>
    <w:rsid w:val="000A1B7F"/>
    <w:rsid w:val="000A1C89"/>
    <w:rsid w:val="000A329C"/>
    <w:rsid w:val="000A3827"/>
    <w:rsid w:val="000A5550"/>
    <w:rsid w:val="000A7066"/>
    <w:rsid w:val="000A7D08"/>
    <w:rsid w:val="000B0670"/>
    <w:rsid w:val="000B0E75"/>
    <w:rsid w:val="000B1C20"/>
    <w:rsid w:val="000B4C82"/>
    <w:rsid w:val="000B6CAC"/>
    <w:rsid w:val="000B7612"/>
    <w:rsid w:val="000C0576"/>
    <w:rsid w:val="000C1634"/>
    <w:rsid w:val="000C1637"/>
    <w:rsid w:val="000C3CA9"/>
    <w:rsid w:val="000C3DF9"/>
    <w:rsid w:val="000C40AF"/>
    <w:rsid w:val="000C6713"/>
    <w:rsid w:val="000D030B"/>
    <w:rsid w:val="000D0881"/>
    <w:rsid w:val="000D0BC3"/>
    <w:rsid w:val="000D10A9"/>
    <w:rsid w:val="000D1BFC"/>
    <w:rsid w:val="000D1E3F"/>
    <w:rsid w:val="000D281A"/>
    <w:rsid w:val="000D326A"/>
    <w:rsid w:val="000D348B"/>
    <w:rsid w:val="000D51FB"/>
    <w:rsid w:val="000D6246"/>
    <w:rsid w:val="000D708F"/>
    <w:rsid w:val="000E135D"/>
    <w:rsid w:val="000E297F"/>
    <w:rsid w:val="000E2EA4"/>
    <w:rsid w:val="000E3EC4"/>
    <w:rsid w:val="000E5583"/>
    <w:rsid w:val="000E6C5F"/>
    <w:rsid w:val="000F00BA"/>
    <w:rsid w:val="000F05B0"/>
    <w:rsid w:val="000F2328"/>
    <w:rsid w:val="000F316A"/>
    <w:rsid w:val="000F3C74"/>
    <w:rsid w:val="000F3E68"/>
    <w:rsid w:val="000F4920"/>
    <w:rsid w:val="000F4BB8"/>
    <w:rsid w:val="000F56E9"/>
    <w:rsid w:val="000F5F2C"/>
    <w:rsid w:val="000F6F12"/>
    <w:rsid w:val="000F7127"/>
    <w:rsid w:val="00100F8A"/>
    <w:rsid w:val="00104F04"/>
    <w:rsid w:val="001051F4"/>
    <w:rsid w:val="00105AE2"/>
    <w:rsid w:val="0010624E"/>
    <w:rsid w:val="00106B80"/>
    <w:rsid w:val="0010764D"/>
    <w:rsid w:val="001079B5"/>
    <w:rsid w:val="0011032E"/>
    <w:rsid w:val="00110B9F"/>
    <w:rsid w:val="00112F82"/>
    <w:rsid w:val="0011348B"/>
    <w:rsid w:val="00113A9E"/>
    <w:rsid w:val="00113B4A"/>
    <w:rsid w:val="001158A5"/>
    <w:rsid w:val="00115982"/>
    <w:rsid w:val="00116C53"/>
    <w:rsid w:val="0012121B"/>
    <w:rsid w:val="00121799"/>
    <w:rsid w:val="001222FC"/>
    <w:rsid w:val="001232A7"/>
    <w:rsid w:val="0012434D"/>
    <w:rsid w:val="00124A51"/>
    <w:rsid w:val="00124F5B"/>
    <w:rsid w:val="00126621"/>
    <w:rsid w:val="001301E9"/>
    <w:rsid w:val="00130946"/>
    <w:rsid w:val="001316AA"/>
    <w:rsid w:val="00131D82"/>
    <w:rsid w:val="001336E9"/>
    <w:rsid w:val="00133D36"/>
    <w:rsid w:val="00134A25"/>
    <w:rsid w:val="001354D9"/>
    <w:rsid w:val="00136C7B"/>
    <w:rsid w:val="00137645"/>
    <w:rsid w:val="00137FC5"/>
    <w:rsid w:val="0014015A"/>
    <w:rsid w:val="00140E7B"/>
    <w:rsid w:val="00140E99"/>
    <w:rsid w:val="00145540"/>
    <w:rsid w:val="001456B0"/>
    <w:rsid w:val="00145DD4"/>
    <w:rsid w:val="00150F83"/>
    <w:rsid w:val="001513D4"/>
    <w:rsid w:val="001516D8"/>
    <w:rsid w:val="001519A1"/>
    <w:rsid w:val="00157130"/>
    <w:rsid w:val="001576B1"/>
    <w:rsid w:val="00160A4C"/>
    <w:rsid w:val="00160E2D"/>
    <w:rsid w:val="00162913"/>
    <w:rsid w:val="00163EFF"/>
    <w:rsid w:val="001658A0"/>
    <w:rsid w:val="00165CEE"/>
    <w:rsid w:val="001661FB"/>
    <w:rsid w:val="001710BF"/>
    <w:rsid w:val="00172E8B"/>
    <w:rsid w:val="0017300E"/>
    <w:rsid w:val="00173565"/>
    <w:rsid w:val="00173B07"/>
    <w:rsid w:val="00173DFD"/>
    <w:rsid w:val="001759E7"/>
    <w:rsid w:val="00181D9C"/>
    <w:rsid w:val="0018290D"/>
    <w:rsid w:val="001847E1"/>
    <w:rsid w:val="001856B9"/>
    <w:rsid w:val="0018752F"/>
    <w:rsid w:val="0019002D"/>
    <w:rsid w:val="00193914"/>
    <w:rsid w:val="00193DC0"/>
    <w:rsid w:val="00195222"/>
    <w:rsid w:val="001975D8"/>
    <w:rsid w:val="001A0A4E"/>
    <w:rsid w:val="001A0EFC"/>
    <w:rsid w:val="001A43C7"/>
    <w:rsid w:val="001A43FA"/>
    <w:rsid w:val="001A59FB"/>
    <w:rsid w:val="001A6354"/>
    <w:rsid w:val="001A65DD"/>
    <w:rsid w:val="001A795D"/>
    <w:rsid w:val="001A7AE8"/>
    <w:rsid w:val="001B1ED3"/>
    <w:rsid w:val="001B204E"/>
    <w:rsid w:val="001B334A"/>
    <w:rsid w:val="001B3398"/>
    <w:rsid w:val="001B3443"/>
    <w:rsid w:val="001B4D20"/>
    <w:rsid w:val="001B4FAF"/>
    <w:rsid w:val="001B6A63"/>
    <w:rsid w:val="001C1F58"/>
    <w:rsid w:val="001C2A9B"/>
    <w:rsid w:val="001C30DB"/>
    <w:rsid w:val="001C3931"/>
    <w:rsid w:val="001C4299"/>
    <w:rsid w:val="001C4404"/>
    <w:rsid w:val="001C5F94"/>
    <w:rsid w:val="001C6711"/>
    <w:rsid w:val="001C68A7"/>
    <w:rsid w:val="001C6E66"/>
    <w:rsid w:val="001D2501"/>
    <w:rsid w:val="001D3A47"/>
    <w:rsid w:val="001D46B3"/>
    <w:rsid w:val="001D6971"/>
    <w:rsid w:val="001D6E63"/>
    <w:rsid w:val="001E048B"/>
    <w:rsid w:val="001E1169"/>
    <w:rsid w:val="001E1434"/>
    <w:rsid w:val="001E238E"/>
    <w:rsid w:val="001E2483"/>
    <w:rsid w:val="001E2B1E"/>
    <w:rsid w:val="001E30D4"/>
    <w:rsid w:val="001E3437"/>
    <w:rsid w:val="001E4A3F"/>
    <w:rsid w:val="001E52EB"/>
    <w:rsid w:val="001E5839"/>
    <w:rsid w:val="001E61D2"/>
    <w:rsid w:val="001E740C"/>
    <w:rsid w:val="001F083E"/>
    <w:rsid w:val="001F0990"/>
    <w:rsid w:val="001F1235"/>
    <w:rsid w:val="001F1CB3"/>
    <w:rsid w:val="001F38B5"/>
    <w:rsid w:val="001F523B"/>
    <w:rsid w:val="001F5AFF"/>
    <w:rsid w:val="001F7361"/>
    <w:rsid w:val="001F736D"/>
    <w:rsid w:val="002011B0"/>
    <w:rsid w:val="0020207E"/>
    <w:rsid w:val="00203181"/>
    <w:rsid w:val="00203783"/>
    <w:rsid w:val="0020385F"/>
    <w:rsid w:val="002044ED"/>
    <w:rsid w:val="00205D8B"/>
    <w:rsid w:val="00206006"/>
    <w:rsid w:val="00206B1D"/>
    <w:rsid w:val="00206B6B"/>
    <w:rsid w:val="00207021"/>
    <w:rsid w:val="0020732F"/>
    <w:rsid w:val="00207D00"/>
    <w:rsid w:val="002105C1"/>
    <w:rsid w:val="00210F6E"/>
    <w:rsid w:val="00223B49"/>
    <w:rsid w:val="00224DD4"/>
    <w:rsid w:val="002257F6"/>
    <w:rsid w:val="002309CC"/>
    <w:rsid w:val="00230DD3"/>
    <w:rsid w:val="00230E97"/>
    <w:rsid w:val="0023209F"/>
    <w:rsid w:val="002321F1"/>
    <w:rsid w:val="0023232D"/>
    <w:rsid w:val="00232D68"/>
    <w:rsid w:val="0023451D"/>
    <w:rsid w:val="002350A0"/>
    <w:rsid w:val="00236057"/>
    <w:rsid w:val="00236060"/>
    <w:rsid w:val="0023629D"/>
    <w:rsid w:val="00237255"/>
    <w:rsid w:val="00237AF3"/>
    <w:rsid w:val="00240223"/>
    <w:rsid w:val="002424AF"/>
    <w:rsid w:val="002430EF"/>
    <w:rsid w:val="002439DC"/>
    <w:rsid w:val="00244DC8"/>
    <w:rsid w:val="00245698"/>
    <w:rsid w:val="002458BA"/>
    <w:rsid w:val="0024636C"/>
    <w:rsid w:val="00247925"/>
    <w:rsid w:val="00250FAD"/>
    <w:rsid w:val="00254DCF"/>
    <w:rsid w:val="00255307"/>
    <w:rsid w:val="0025534B"/>
    <w:rsid w:val="00255BB7"/>
    <w:rsid w:val="00255E52"/>
    <w:rsid w:val="00257541"/>
    <w:rsid w:val="00262A1A"/>
    <w:rsid w:val="00262A87"/>
    <w:rsid w:val="00263698"/>
    <w:rsid w:val="00264D26"/>
    <w:rsid w:val="00265977"/>
    <w:rsid w:val="00267642"/>
    <w:rsid w:val="00267AEA"/>
    <w:rsid w:val="002700E6"/>
    <w:rsid w:val="002726C2"/>
    <w:rsid w:val="0027294B"/>
    <w:rsid w:val="00273A04"/>
    <w:rsid w:val="00274298"/>
    <w:rsid w:val="002753DC"/>
    <w:rsid w:val="00275C5A"/>
    <w:rsid w:val="00281014"/>
    <w:rsid w:val="0028284A"/>
    <w:rsid w:val="00282902"/>
    <w:rsid w:val="00282E75"/>
    <w:rsid w:val="002834E1"/>
    <w:rsid w:val="00284483"/>
    <w:rsid w:val="00285D40"/>
    <w:rsid w:val="002916D9"/>
    <w:rsid w:val="00291F3F"/>
    <w:rsid w:val="0029207A"/>
    <w:rsid w:val="00293E0E"/>
    <w:rsid w:val="0029520C"/>
    <w:rsid w:val="00295B20"/>
    <w:rsid w:val="00295F61"/>
    <w:rsid w:val="00296E5C"/>
    <w:rsid w:val="002A14AB"/>
    <w:rsid w:val="002A23E1"/>
    <w:rsid w:val="002A24A7"/>
    <w:rsid w:val="002A2F50"/>
    <w:rsid w:val="002A3009"/>
    <w:rsid w:val="002A40EB"/>
    <w:rsid w:val="002A506F"/>
    <w:rsid w:val="002A73CF"/>
    <w:rsid w:val="002A7D25"/>
    <w:rsid w:val="002B09A4"/>
    <w:rsid w:val="002B17FE"/>
    <w:rsid w:val="002B1C1F"/>
    <w:rsid w:val="002B2DBC"/>
    <w:rsid w:val="002B432F"/>
    <w:rsid w:val="002B4EE2"/>
    <w:rsid w:val="002B548A"/>
    <w:rsid w:val="002B62B3"/>
    <w:rsid w:val="002B6754"/>
    <w:rsid w:val="002B67BF"/>
    <w:rsid w:val="002B6CCE"/>
    <w:rsid w:val="002C0455"/>
    <w:rsid w:val="002C2358"/>
    <w:rsid w:val="002C2510"/>
    <w:rsid w:val="002C2775"/>
    <w:rsid w:val="002C27C1"/>
    <w:rsid w:val="002C361F"/>
    <w:rsid w:val="002C4F44"/>
    <w:rsid w:val="002C5099"/>
    <w:rsid w:val="002C5889"/>
    <w:rsid w:val="002C71CE"/>
    <w:rsid w:val="002C7647"/>
    <w:rsid w:val="002D1842"/>
    <w:rsid w:val="002D22C2"/>
    <w:rsid w:val="002D23AC"/>
    <w:rsid w:val="002D25EF"/>
    <w:rsid w:val="002D577C"/>
    <w:rsid w:val="002D6F05"/>
    <w:rsid w:val="002E0B02"/>
    <w:rsid w:val="002E1537"/>
    <w:rsid w:val="002E15B9"/>
    <w:rsid w:val="002E2158"/>
    <w:rsid w:val="002E2883"/>
    <w:rsid w:val="002E3626"/>
    <w:rsid w:val="002E5866"/>
    <w:rsid w:val="002E5AB3"/>
    <w:rsid w:val="002E7722"/>
    <w:rsid w:val="002E7F9D"/>
    <w:rsid w:val="002F07BA"/>
    <w:rsid w:val="002F0DA9"/>
    <w:rsid w:val="002F239A"/>
    <w:rsid w:val="002F32D9"/>
    <w:rsid w:val="002F4C9E"/>
    <w:rsid w:val="002F5B37"/>
    <w:rsid w:val="002F5E26"/>
    <w:rsid w:val="002F643C"/>
    <w:rsid w:val="002F71C0"/>
    <w:rsid w:val="003000B7"/>
    <w:rsid w:val="00300815"/>
    <w:rsid w:val="00301017"/>
    <w:rsid w:val="0030155F"/>
    <w:rsid w:val="0030159C"/>
    <w:rsid w:val="00301CC6"/>
    <w:rsid w:val="003020D5"/>
    <w:rsid w:val="003028A9"/>
    <w:rsid w:val="00304760"/>
    <w:rsid w:val="00305348"/>
    <w:rsid w:val="0030587B"/>
    <w:rsid w:val="00306D98"/>
    <w:rsid w:val="0030786C"/>
    <w:rsid w:val="003100F1"/>
    <w:rsid w:val="0031031A"/>
    <w:rsid w:val="00310981"/>
    <w:rsid w:val="00310AC7"/>
    <w:rsid w:val="00314262"/>
    <w:rsid w:val="00315498"/>
    <w:rsid w:val="003211C0"/>
    <w:rsid w:val="00322107"/>
    <w:rsid w:val="00322846"/>
    <w:rsid w:val="003245B3"/>
    <w:rsid w:val="00324E69"/>
    <w:rsid w:val="003260BA"/>
    <w:rsid w:val="003264EF"/>
    <w:rsid w:val="00326DA7"/>
    <w:rsid w:val="003270E4"/>
    <w:rsid w:val="00327518"/>
    <w:rsid w:val="00330F5C"/>
    <w:rsid w:val="0033244F"/>
    <w:rsid w:val="003337AC"/>
    <w:rsid w:val="003345EB"/>
    <w:rsid w:val="003345F2"/>
    <w:rsid w:val="0033528F"/>
    <w:rsid w:val="0033591B"/>
    <w:rsid w:val="003366C9"/>
    <w:rsid w:val="00336925"/>
    <w:rsid w:val="003371B0"/>
    <w:rsid w:val="00340DF1"/>
    <w:rsid w:val="00341B2C"/>
    <w:rsid w:val="00345115"/>
    <w:rsid w:val="00347340"/>
    <w:rsid w:val="003517F9"/>
    <w:rsid w:val="00355014"/>
    <w:rsid w:val="0035550D"/>
    <w:rsid w:val="00355A31"/>
    <w:rsid w:val="00355DBF"/>
    <w:rsid w:val="0035620E"/>
    <w:rsid w:val="00356601"/>
    <w:rsid w:val="00356A94"/>
    <w:rsid w:val="00357660"/>
    <w:rsid w:val="00357F1E"/>
    <w:rsid w:val="00360712"/>
    <w:rsid w:val="00361E07"/>
    <w:rsid w:val="00362488"/>
    <w:rsid w:val="003624C4"/>
    <w:rsid w:val="003629C1"/>
    <w:rsid w:val="003654AC"/>
    <w:rsid w:val="0036701E"/>
    <w:rsid w:val="00367400"/>
    <w:rsid w:val="003710CF"/>
    <w:rsid w:val="00371F27"/>
    <w:rsid w:val="0037273D"/>
    <w:rsid w:val="0037358A"/>
    <w:rsid w:val="003738C4"/>
    <w:rsid w:val="00374690"/>
    <w:rsid w:val="003750F6"/>
    <w:rsid w:val="003752FC"/>
    <w:rsid w:val="003760FC"/>
    <w:rsid w:val="00382C3E"/>
    <w:rsid w:val="00383012"/>
    <w:rsid w:val="0038365C"/>
    <w:rsid w:val="0038369B"/>
    <w:rsid w:val="00383B78"/>
    <w:rsid w:val="00385A9D"/>
    <w:rsid w:val="0038789B"/>
    <w:rsid w:val="003902B1"/>
    <w:rsid w:val="003904BC"/>
    <w:rsid w:val="0039101A"/>
    <w:rsid w:val="003916CA"/>
    <w:rsid w:val="00391F15"/>
    <w:rsid w:val="00392D92"/>
    <w:rsid w:val="003944F4"/>
    <w:rsid w:val="00396896"/>
    <w:rsid w:val="00396FD0"/>
    <w:rsid w:val="00397ABA"/>
    <w:rsid w:val="003A0C56"/>
    <w:rsid w:val="003A0ED7"/>
    <w:rsid w:val="003A19B2"/>
    <w:rsid w:val="003A1A7A"/>
    <w:rsid w:val="003A2305"/>
    <w:rsid w:val="003A2371"/>
    <w:rsid w:val="003A2392"/>
    <w:rsid w:val="003A25EB"/>
    <w:rsid w:val="003A2831"/>
    <w:rsid w:val="003A3AE5"/>
    <w:rsid w:val="003A3ED1"/>
    <w:rsid w:val="003A5620"/>
    <w:rsid w:val="003A6461"/>
    <w:rsid w:val="003B088C"/>
    <w:rsid w:val="003B585E"/>
    <w:rsid w:val="003B5B61"/>
    <w:rsid w:val="003B71B1"/>
    <w:rsid w:val="003C1654"/>
    <w:rsid w:val="003C1A80"/>
    <w:rsid w:val="003C24E9"/>
    <w:rsid w:val="003C2F65"/>
    <w:rsid w:val="003C46CE"/>
    <w:rsid w:val="003C6760"/>
    <w:rsid w:val="003C6915"/>
    <w:rsid w:val="003C6E36"/>
    <w:rsid w:val="003C7D19"/>
    <w:rsid w:val="003D1704"/>
    <w:rsid w:val="003D1828"/>
    <w:rsid w:val="003D1DE4"/>
    <w:rsid w:val="003D2422"/>
    <w:rsid w:val="003D25BE"/>
    <w:rsid w:val="003D35D3"/>
    <w:rsid w:val="003D39A1"/>
    <w:rsid w:val="003D3FBF"/>
    <w:rsid w:val="003D4A30"/>
    <w:rsid w:val="003D67D9"/>
    <w:rsid w:val="003D7871"/>
    <w:rsid w:val="003D79BB"/>
    <w:rsid w:val="003D7C98"/>
    <w:rsid w:val="003E0543"/>
    <w:rsid w:val="003E0882"/>
    <w:rsid w:val="003E2636"/>
    <w:rsid w:val="003E2B60"/>
    <w:rsid w:val="003E38D4"/>
    <w:rsid w:val="003F2216"/>
    <w:rsid w:val="003F4156"/>
    <w:rsid w:val="003F57BF"/>
    <w:rsid w:val="003F5C0E"/>
    <w:rsid w:val="003F797B"/>
    <w:rsid w:val="00400B23"/>
    <w:rsid w:val="00400B29"/>
    <w:rsid w:val="00401359"/>
    <w:rsid w:val="00401D05"/>
    <w:rsid w:val="0040235F"/>
    <w:rsid w:val="00404FD9"/>
    <w:rsid w:val="0040504B"/>
    <w:rsid w:val="00405ACC"/>
    <w:rsid w:val="0040647C"/>
    <w:rsid w:val="0040689C"/>
    <w:rsid w:val="00407105"/>
    <w:rsid w:val="00410708"/>
    <w:rsid w:val="00410EC7"/>
    <w:rsid w:val="00410F24"/>
    <w:rsid w:val="00411596"/>
    <w:rsid w:val="00411B39"/>
    <w:rsid w:val="00413A1E"/>
    <w:rsid w:val="00414476"/>
    <w:rsid w:val="00414C2E"/>
    <w:rsid w:val="004151CF"/>
    <w:rsid w:val="00415BCC"/>
    <w:rsid w:val="00416364"/>
    <w:rsid w:val="004171B2"/>
    <w:rsid w:val="00420AA6"/>
    <w:rsid w:val="00420B9F"/>
    <w:rsid w:val="004210FD"/>
    <w:rsid w:val="00421F4F"/>
    <w:rsid w:val="00422260"/>
    <w:rsid w:val="0042413F"/>
    <w:rsid w:val="004276E5"/>
    <w:rsid w:val="004300D2"/>
    <w:rsid w:val="00430373"/>
    <w:rsid w:val="004319F8"/>
    <w:rsid w:val="00431E55"/>
    <w:rsid w:val="004321F6"/>
    <w:rsid w:val="00432895"/>
    <w:rsid w:val="00433044"/>
    <w:rsid w:val="00435831"/>
    <w:rsid w:val="0043586F"/>
    <w:rsid w:val="004375B9"/>
    <w:rsid w:val="00441A32"/>
    <w:rsid w:val="00442295"/>
    <w:rsid w:val="004428D0"/>
    <w:rsid w:val="0044335D"/>
    <w:rsid w:val="004443A7"/>
    <w:rsid w:val="0044442C"/>
    <w:rsid w:val="004450DF"/>
    <w:rsid w:val="00445941"/>
    <w:rsid w:val="004464EB"/>
    <w:rsid w:val="00447D26"/>
    <w:rsid w:val="0045015B"/>
    <w:rsid w:val="00452A0E"/>
    <w:rsid w:val="00453585"/>
    <w:rsid w:val="004554C0"/>
    <w:rsid w:val="00455B7D"/>
    <w:rsid w:val="00455BF6"/>
    <w:rsid w:val="00455D45"/>
    <w:rsid w:val="004570EB"/>
    <w:rsid w:val="00460EF8"/>
    <w:rsid w:val="00461238"/>
    <w:rsid w:val="004612E5"/>
    <w:rsid w:val="00461301"/>
    <w:rsid w:val="00461E5E"/>
    <w:rsid w:val="00462486"/>
    <w:rsid w:val="004632D2"/>
    <w:rsid w:val="00464595"/>
    <w:rsid w:val="00464C24"/>
    <w:rsid w:val="0046508C"/>
    <w:rsid w:val="00465210"/>
    <w:rsid w:val="004667BC"/>
    <w:rsid w:val="004678CB"/>
    <w:rsid w:val="0047180E"/>
    <w:rsid w:val="00472A79"/>
    <w:rsid w:val="00473F19"/>
    <w:rsid w:val="00475E22"/>
    <w:rsid w:val="004775B4"/>
    <w:rsid w:val="0048088E"/>
    <w:rsid w:val="00482720"/>
    <w:rsid w:val="004830EA"/>
    <w:rsid w:val="0048347C"/>
    <w:rsid w:val="004835E7"/>
    <w:rsid w:val="00483F5F"/>
    <w:rsid w:val="004867E2"/>
    <w:rsid w:val="00487C7F"/>
    <w:rsid w:val="00487F4A"/>
    <w:rsid w:val="00490BBF"/>
    <w:rsid w:val="00491B3A"/>
    <w:rsid w:val="00491D21"/>
    <w:rsid w:val="0049260A"/>
    <w:rsid w:val="00492CFD"/>
    <w:rsid w:val="004949C2"/>
    <w:rsid w:val="00494DD5"/>
    <w:rsid w:val="004962D2"/>
    <w:rsid w:val="004A0DA1"/>
    <w:rsid w:val="004A22D3"/>
    <w:rsid w:val="004A2848"/>
    <w:rsid w:val="004A52E9"/>
    <w:rsid w:val="004A638F"/>
    <w:rsid w:val="004A6597"/>
    <w:rsid w:val="004A7848"/>
    <w:rsid w:val="004B053D"/>
    <w:rsid w:val="004B1CB4"/>
    <w:rsid w:val="004B2F18"/>
    <w:rsid w:val="004B38E2"/>
    <w:rsid w:val="004B3DDB"/>
    <w:rsid w:val="004B3EE9"/>
    <w:rsid w:val="004B44FD"/>
    <w:rsid w:val="004B4A6A"/>
    <w:rsid w:val="004B4A81"/>
    <w:rsid w:val="004B5615"/>
    <w:rsid w:val="004B5CFC"/>
    <w:rsid w:val="004B774D"/>
    <w:rsid w:val="004B7F7A"/>
    <w:rsid w:val="004C0D35"/>
    <w:rsid w:val="004C3AA8"/>
    <w:rsid w:val="004C4AED"/>
    <w:rsid w:val="004C79C1"/>
    <w:rsid w:val="004D2C2D"/>
    <w:rsid w:val="004D3A8E"/>
    <w:rsid w:val="004D50DA"/>
    <w:rsid w:val="004D51B7"/>
    <w:rsid w:val="004D590E"/>
    <w:rsid w:val="004D6DFA"/>
    <w:rsid w:val="004D70B9"/>
    <w:rsid w:val="004D7227"/>
    <w:rsid w:val="004E0E7F"/>
    <w:rsid w:val="004E0EB8"/>
    <w:rsid w:val="004E2ADC"/>
    <w:rsid w:val="004E34DD"/>
    <w:rsid w:val="004E439C"/>
    <w:rsid w:val="004E43B2"/>
    <w:rsid w:val="004E6160"/>
    <w:rsid w:val="004F0C57"/>
    <w:rsid w:val="004F1D02"/>
    <w:rsid w:val="004F2351"/>
    <w:rsid w:val="004F2679"/>
    <w:rsid w:val="004F28EC"/>
    <w:rsid w:val="004F2F21"/>
    <w:rsid w:val="004F3CBE"/>
    <w:rsid w:val="004F6913"/>
    <w:rsid w:val="004F7865"/>
    <w:rsid w:val="00501C5A"/>
    <w:rsid w:val="0050219B"/>
    <w:rsid w:val="00503762"/>
    <w:rsid w:val="00503F17"/>
    <w:rsid w:val="00504535"/>
    <w:rsid w:val="00506928"/>
    <w:rsid w:val="005126AE"/>
    <w:rsid w:val="0051283B"/>
    <w:rsid w:val="00514FA7"/>
    <w:rsid w:val="0051505A"/>
    <w:rsid w:val="005152B5"/>
    <w:rsid w:val="0051647E"/>
    <w:rsid w:val="0051652E"/>
    <w:rsid w:val="00516572"/>
    <w:rsid w:val="00516919"/>
    <w:rsid w:val="00516EAB"/>
    <w:rsid w:val="005202F9"/>
    <w:rsid w:val="00520E36"/>
    <w:rsid w:val="005212A7"/>
    <w:rsid w:val="00521319"/>
    <w:rsid w:val="00522BC8"/>
    <w:rsid w:val="00523C28"/>
    <w:rsid w:val="0052662B"/>
    <w:rsid w:val="00526C76"/>
    <w:rsid w:val="00531CA4"/>
    <w:rsid w:val="00532369"/>
    <w:rsid w:val="005335BC"/>
    <w:rsid w:val="00533864"/>
    <w:rsid w:val="00533880"/>
    <w:rsid w:val="005338B7"/>
    <w:rsid w:val="00536EEF"/>
    <w:rsid w:val="00536F42"/>
    <w:rsid w:val="00537047"/>
    <w:rsid w:val="00537182"/>
    <w:rsid w:val="00537EB6"/>
    <w:rsid w:val="005402B3"/>
    <w:rsid w:val="00541EFD"/>
    <w:rsid w:val="00542743"/>
    <w:rsid w:val="00542C2D"/>
    <w:rsid w:val="0054508B"/>
    <w:rsid w:val="0054786E"/>
    <w:rsid w:val="00551985"/>
    <w:rsid w:val="00552BD3"/>
    <w:rsid w:val="00554633"/>
    <w:rsid w:val="00555109"/>
    <w:rsid w:val="00556359"/>
    <w:rsid w:val="00556591"/>
    <w:rsid w:val="0056351B"/>
    <w:rsid w:val="005650C3"/>
    <w:rsid w:val="0056696F"/>
    <w:rsid w:val="00572269"/>
    <w:rsid w:val="0057244A"/>
    <w:rsid w:val="00575D8D"/>
    <w:rsid w:val="005761CD"/>
    <w:rsid w:val="005765A9"/>
    <w:rsid w:val="00576972"/>
    <w:rsid w:val="0057771B"/>
    <w:rsid w:val="00582FEC"/>
    <w:rsid w:val="00583699"/>
    <w:rsid w:val="005859D8"/>
    <w:rsid w:val="00585CDD"/>
    <w:rsid w:val="00587058"/>
    <w:rsid w:val="0059169B"/>
    <w:rsid w:val="00591957"/>
    <w:rsid w:val="00591F5E"/>
    <w:rsid w:val="005924F0"/>
    <w:rsid w:val="00596926"/>
    <w:rsid w:val="00597BF9"/>
    <w:rsid w:val="005A271E"/>
    <w:rsid w:val="005A2D16"/>
    <w:rsid w:val="005A373D"/>
    <w:rsid w:val="005A4B67"/>
    <w:rsid w:val="005A659D"/>
    <w:rsid w:val="005B0450"/>
    <w:rsid w:val="005B0A95"/>
    <w:rsid w:val="005B1722"/>
    <w:rsid w:val="005B38DF"/>
    <w:rsid w:val="005B3E02"/>
    <w:rsid w:val="005B5857"/>
    <w:rsid w:val="005B5BD0"/>
    <w:rsid w:val="005B6087"/>
    <w:rsid w:val="005C013B"/>
    <w:rsid w:val="005C06BD"/>
    <w:rsid w:val="005C1B83"/>
    <w:rsid w:val="005C280E"/>
    <w:rsid w:val="005C2D55"/>
    <w:rsid w:val="005C346B"/>
    <w:rsid w:val="005C385A"/>
    <w:rsid w:val="005C3EAB"/>
    <w:rsid w:val="005C4EE2"/>
    <w:rsid w:val="005C5182"/>
    <w:rsid w:val="005C5FE9"/>
    <w:rsid w:val="005C768C"/>
    <w:rsid w:val="005C7D5D"/>
    <w:rsid w:val="005D0418"/>
    <w:rsid w:val="005D044D"/>
    <w:rsid w:val="005D0ABD"/>
    <w:rsid w:val="005D18AD"/>
    <w:rsid w:val="005D26B4"/>
    <w:rsid w:val="005D31D3"/>
    <w:rsid w:val="005D39D4"/>
    <w:rsid w:val="005D5B65"/>
    <w:rsid w:val="005D7886"/>
    <w:rsid w:val="005E0645"/>
    <w:rsid w:val="005E2E97"/>
    <w:rsid w:val="005E3597"/>
    <w:rsid w:val="005E5089"/>
    <w:rsid w:val="005E6CBC"/>
    <w:rsid w:val="005E73C0"/>
    <w:rsid w:val="005F0CBA"/>
    <w:rsid w:val="005F1A7B"/>
    <w:rsid w:val="005F23FA"/>
    <w:rsid w:val="005F2706"/>
    <w:rsid w:val="005F2922"/>
    <w:rsid w:val="005F4CD7"/>
    <w:rsid w:val="005F63EF"/>
    <w:rsid w:val="005F6A8F"/>
    <w:rsid w:val="005F734A"/>
    <w:rsid w:val="006006FC"/>
    <w:rsid w:val="00600DF7"/>
    <w:rsid w:val="0060103C"/>
    <w:rsid w:val="006027EA"/>
    <w:rsid w:val="00603D6C"/>
    <w:rsid w:val="00603DB9"/>
    <w:rsid w:val="00604941"/>
    <w:rsid w:val="00605F04"/>
    <w:rsid w:val="0060605A"/>
    <w:rsid w:val="00606067"/>
    <w:rsid w:val="00607669"/>
    <w:rsid w:val="00607AEC"/>
    <w:rsid w:val="00607AFD"/>
    <w:rsid w:val="00611DDA"/>
    <w:rsid w:val="00612F97"/>
    <w:rsid w:val="00612FF3"/>
    <w:rsid w:val="0061345D"/>
    <w:rsid w:val="00613FE2"/>
    <w:rsid w:val="00615339"/>
    <w:rsid w:val="00615BD6"/>
    <w:rsid w:val="00615D54"/>
    <w:rsid w:val="006161B9"/>
    <w:rsid w:val="00616802"/>
    <w:rsid w:val="006173E8"/>
    <w:rsid w:val="00617E12"/>
    <w:rsid w:val="00621477"/>
    <w:rsid w:val="00621C36"/>
    <w:rsid w:val="006237DE"/>
    <w:rsid w:val="00627D71"/>
    <w:rsid w:val="00630558"/>
    <w:rsid w:val="00631038"/>
    <w:rsid w:val="0063158F"/>
    <w:rsid w:val="00631D6B"/>
    <w:rsid w:val="00632CAD"/>
    <w:rsid w:val="006330A1"/>
    <w:rsid w:val="0063479F"/>
    <w:rsid w:val="00635278"/>
    <w:rsid w:val="006353F0"/>
    <w:rsid w:val="00635576"/>
    <w:rsid w:val="0063586E"/>
    <w:rsid w:val="006364A1"/>
    <w:rsid w:val="00636876"/>
    <w:rsid w:val="00636B63"/>
    <w:rsid w:val="00637690"/>
    <w:rsid w:val="00637B93"/>
    <w:rsid w:val="00637BFD"/>
    <w:rsid w:val="00641C4E"/>
    <w:rsid w:val="006426BA"/>
    <w:rsid w:val="00643F14"/>
    <w:rsid w:val="00645F94"/>
    <w:rsid w:val="006471CC"/>
    <w:rsid w:val="00647AAC"/>
    <w:rsid w:val="0065020D"/>
    <w:rsid w:val="0065079F"/>
    <w:rsid w:val="00652395"/>
    <w:rsid w:val="0065379F"/>
    <w:rsid w:val="00654AA0"/>
    <w:rsid w:val="00656ED5"/>
    <w:rsid w:val="00657151"/>
    <w:rsid w:val="0065718B"/>
    <w:rsid w:val="00660283"/>
    <w:rsid w:val="00661C6B"/>
    <w:rsid w:val="00662211"/>
    <w:rsid w:val="006630BE"/>
    <w:rsid w:val="006638F3"/>
    <w:rsid w:val="006679C3"/>
    <w:rsid w:val="00667FB3"/>
    <w:rsid w:val="006704F0"/>
    <w:rsid w:val="00670920"/>
    <w:rsid w:val="00671EBD"/>
    <w:rsid w:val="006729FE"/>
    <w:rsid w:val="006737D7"/>
    <w:rsid w:val="0067461A"/>
    <w:rsid w:val="00674E42"/>
    <w:rsid w:val="00675A32"/>
    <w:rsid w:val="00675E87"/>
    <w:rsid w:val="006777EF"/>
    <w:rsid w:val="00681ED6"/>
    <w:rsid w:val="00682112"/>
    <w:rsid w:val="006822CA"/>
    <w:rsid w:val="00682D41"/>
    <w:rsid w:val="00683304"/>
    <w:rsid w:val="0068417F"/>
    <w:rsid w:val="006843DE"/>
    <w:rsid w:val="00684743"/>
    <w:rsid w:val="00686957"/>
    <w:rsid w:val="006872BA"/>
    <w:rsid w:val="006907ED"/>
    <w:rsid w:val="00690BB5"/>
    <w:rsid w:val="00691228"/>
    <w:rsid w:val="00691648"/>
    <w:rsid w:val="006916DA"/>
    <w:rsid w:val="006917D7"/>
    <w:rsid w:val="006926F1"/>
    <w:rsid w:val="00694441"/>
    <w:rsid w:val="006946B3"/>
    <w:rsid w:val="00694D3B"/>
    <w:rsid w:val="00694F44"/>
    <w:rsid w:val="00696CDA"/>
    <w:rsid w:val="00697515"/>
    <w:rsid w:val="00697C55"/>
    <w:rsid w:val="006A238F"/>
    <w:rsid w:val="006A267A"/>
    <w:rsid w:val="006A3C36"/>
    <w:rsid w:val="006A469E"/>
    <w:rsid w:val="006A6802"/>
    <w:rsid w:val="006A79A8"/>
    <w:rsid w:val="006A7E5F"/>
    <w:rsid w:val="006B00D2"/>
    <w:rsid w:val="006B261B"/>
    <w:rsid w:val="006B2C90"/>
    <w:rsid w:val="006B2F62"/>
    <w:rsid w:val="006B400D"/>
    <w:rsid w:val="006B40DD"/>
    <w:rsid w:val="006B4382"/>
    <w:rsid w:val="006B6DD0"/>
    <w:rsid w:val="006C0FA4"/>
    <w:rsid w:val="006C1839"/>
    <w:rsid w:val="006C18AF"/>
    <w:rsid w:val="006C2907"/>
    <w:rsid w:val="006C2A8E"/>
    <w:rsid w:val="006C385B"/>
    <w:rsid w:val="006C3AB0"/>
    <w:rsid w:val="006C5945"/>
    <w:rsid w:val="006C5CEB"/>
    <w:rsid w:val="006C765B"/>
    <w:rsid w:val="006C76D9"/>
    <w:rsid w:val="006C781D"/>
    <w:rsid w:val="006C79D6"/>
    <w:rsid w:val="006D1DB6"/>
    <w:rsid w:val="006D39A0"/>
    <w:rsid w:val="006D3C7D"/>
    <w:rsid w:val="006D4816"/>
    <w:rsid w:val="006D542C"/>
    <w:rsid w:val="006D5D5F"/>
    <w:rsid w:val="006D6DB1"/>
    <w:rsid w:val="006E2074"/>
    <w:rsid w:val="006E2164"/>
    <w:rsid w:val="006E2C88"/>
    <w:rsid w:val="006E3817"/>
    <w:rsid w:val="006E74DD"/>
    <w:rsid w:val="006F247D"/>
    <w:rsid w:val="006F2F4C"/>
    <w:rsid w:val="006F306C"/>
    <w:rsid w:val="006F63A5"/>
    <w:rsid w:val="00700150"/>
    <w:rsid w:val="00700806"/>
    <w:rsid w:val="0070142B"/>
    <w:rsid w:val="0070276E"/>
    <w:rsid w:val="00702F8F"/>
    <w:rsid w:val="00705D5B"/>
    <w:rsid w:val="00705D73"/>
    <w:rsid w:val="00707340"/>
    <w:rsid w:val="00707DEA"/>
    <w:rsid w:val="00711A36"/>
    <w:rsid w:val="007128BC"/>
    <w:rsid w:val="0071529C"/>
    <w:rsid w:val="0071725E"/>
    <w:rsid w:val="007172AD"/>
    <w:rsid w:val="00717C28"/>
    <w:rsid w:val="00717EFF"/>
    <w:rsid w:val="00717F47"/>
    <w:rsid w:val="007212B3"/>
    <w:rsid w:val="00721483"/>
    <w:rsid w:val="0072153F"/>
    <w:rsid w:val="00722B1B"/>
    <w:rsid w:val="0072376D"/>
    <w:rsid w:val="00723EF7"/>
    <w:rsid w:val="0072416F"/>
    <w:rsid w:val="007263ED"/>
    <w:rsid w:val="00727C94"/>
    <w:rsid w:val="00731EAE"/>
    <w:rsid w:val="00732085"/>
    <w:rsid w:val="00732D19"/>
    <w:rsid w:val="00734788"/>
    <w:rsid w:val="00735033"/>
    <w:rsid w:val="00735328"/>
    <w:rsid w:val="0073685B"/>
    <w:rsid w:val="00736A4E"/>
    <w:rsid w:val="0074099C"/>
    <w:rsid w:val="00741162"/>
    <w:rsid w:val="00743E8D"/>
    <w:rsid w:val="00743FB7"/>
    <w:rsid w:val="00745030"/>
    <w:rsid w:val="0074565A"/>
    <w:rsid w:val="007477F2"/>
    <w:rsid w:val="00747D74"/>
    <w:rsid w:val="00752142"/>
    <w:rsid w:val="007523F9"/>
    <w:rsid w:val="00753F1B"/>
    <w:rsid w:val="007573E8"/>
    <w:rsid w:val="007609FB"/>
    <w:rsid w:val="00760C4E"/>
    <w:rsid w:val="00765B1A"/>
    <w:rsid w:val="00770FF4"/>
    <w:rsid w:val="00772916"/>
    <w:rsid w:val="00772F26"/>
    <w:rsid w:val="00776BF8"/>
    <w:rsid w:val="0077788D"/>
    <w:rsid w:val="00777FD2"/>
    <w:rsid w:val="00783289"/>
    <w:rsid w:val="007843F2"/>
    <w:rsid w:val="00785B77"/>
    <w:rsid w:val="00786FC1"/>
    <w:rsid w:val="0078735A"/>
    <w:rsid w:val="007916DC"/>
    <w:rsid w:val="007926B6"/>
    <w:rsid w:val="00793491"/>
    <w:rsid w:val="00794F90"/>
    <w:rsid w:val="00796233"/>
    <w:rsid w:val="00796BFE"/>
    <w:rsid w:val="007A00F6"/>
    <w:rsid w:val="007A0A12"/>
    <w:rsid w:val="007A0D89"/>
    <w:rsid w:val="007A132D"/>
    <w:rsid w:val="007A1E3D"/>
    <w:rsid w:val="007A3716"/>
    <w:rsid w:val="007A3DFF"/>
    <w:rsid w:val="007A5DE2"/>
    <w:rsid w:val="007A7500"/>
    <w:rsid w:val="007A7A3D"/>
    <w:rsid w:val="007B0D68"/>
    <w:rsid w:val="007B220C"/>
    <w:rsid w:val="007B251D"/>
    <w:rsid w:val="007B3B38"/>
    <w:rsid w:val="007B4370"/>
    <w:rsid w:val="007B4F58"/>
    <w:rsid w:val="007B528D"/>
    <w:rsid w:val="007B5578"/>
    <w:rsid w:val="007B77D1"/>
    <w:rsid w:val="007B7CBF"/>
    <w:rsid w:val="007C0E61"/>
    <w:rsid w:val="007C19FB"/>
    <w:rsid w:val="007C1CD9"/>
    <w:rsid w:val="007C361D"/>
    <w:rsid w:val="007C4B84"/>
    <w:rsid w:val="007D004F"/>
    <w:rsid w:val="007D0B38"/>
    <w:rsid w:val="007D1BE0"/>
    <w:rsid w:val="007D2383"/>
    <w:rsid w:val="007D4719"/>
    <w:rsid w:val="007D5440"/>
    <w:rsid w:val="007D64EC"/>
    <w:rsid w:val="007E084D"/>
    <w:rsid w:val="007E5A66"/>
    <w:rsid w:val="007E6B41"/>
    <w:rsid w:val="007F1017"/>
    <w:rsid w:val="007F2746"/>
    <w:rsid w:val="007F2F1C"/>
    <w:rsid w:val="007F4A3F"/>
    <w:rsid w:val="007F4A61"/>
    <w:rsid w:val="007F52EF"/>
    <w:rsid w:val="007F57F0"/>
    <w:rsid w:val="007F61C2"/>
    <w:rsid w:val="007F6578"/>
    <w:rsid w:val="007F6909"/>
    <w:rsid w:val="008020E2"/>
    <w:rsid w:val="00802527"/>
    <w:rsid w:val="00802A71"/>
    <w:rsid w:val="00804FBE"/>
    <w:rsid w:val="00805142"/>
    <w:rsid w:val="00805C6E"/>
    <w:rsid w:val="00805DF1"/>
    <w:rsid w:val="00806A5C"/>
    <w:rsid w:val="00807A8B"/>
    <w:rsid w:val="00810D5B"/>
    <w:rsid w:val="00811383"/>
    <w:rsid w:val="0081173A"/>
    <w:rsid w:val="00811D6D"/>
    <w:rsid w:val="00812149"/>
    <w:rsid w:val="00812CAC"/>
    <w:rsid w:val="008166EF"/>
    <w:rsid w:val="00816877"/>
    <w:rsid w:val="00817527"/>
    <w:rsid w:val="0081788A"/>
    <w:rsid w:val="00820020"/>
    <w:rsid w:val="00822432"/>
    <w:rsid w:val="00822769"/>
    <w:rsid w:val="0082367E"/>
    <w:rsid w:val="00825485"/>
    <w:rsid w:val="00825635"/>
    <w:rsid w:val="00825751"/>
    <w:rsid w:val="008264EB"/>
    <w:rsid w:val="008306DA"/>
    <w:rsid w:val="00833B05"/>
    <w:rsid w:val="00835199"/>
    <w:rsid w:val="008355D0"/>
    <w:rsid w:val="008362B4"/>
    <w:rsid w:val="00837916"/>
    <w:rsid w:val="008402C9"/>
    <w:rsid w:val="00840CA2"/>
    <w:rsid w:val="0084374F"/>
    <w:rsid w:val="00844033"/>
    <w:rsid w:val="00845267"/>
    <w:rsid w:val="00846F9C"/>
    <w:rsid w:val="00847391"/>
    <w:rsid w:val="00847DF5"/>
    <w:rsid w:val="00850F5B"/>
    <w:rsid w:val="00851643"/>
    <w:rsid w:val="00851EE8"/>
    <w:rsid w:val="00852C44"/>
    <w:rsid w:val="0085309D"/>
    <w:rsid w:val="008559DF"/>
    <w:rsid w:val="008564F5"/>
    <w:rsid w:val="00856897"/>
    <w:rsid w:val="00856E9A"/>
    <w:rsid w:val="0086075D"/>
    <w:rsid w:val="008612E2"/>
    <w:rsid w:val="00861F94"/>
    <w:rsid w:val="00862502"/>
    <w:rsid w:val="008643C0"/>
    <w:rsid w:val="0086519E"/>
    <w:rsid w:val="00865A77"/>
    <w:rsid w:val="00865B63"/>
    <w:rsid w:val="008660D4"/>
    <w:rsid w:val="00866C5C"/>
    <w:rsid w:val="00867845"/>
    <w:rsid w:val="008719FF"/>
    <w:rsid w:val="00871FA9"/>
    <w:rsid w:val="008728E9"/>
    <w:rsid w:val="00875F2A"/>
    <w:rsid w:val="008766BA"/>
    <w:rsid w:val="00882736"/>
    <w:rsid w:val="00882874"/>
    <w:rsid w:val="008831C7"/>
    <w:rsid w:val="00883787"/>
    <w:rsid w:val="00883AD7"/>
    <w:rsid w:val="00886CD2"/>
    <w:rsid w:val="00890DD7"/>
    <w:rsid w:val="00891E8B"/>
    <w:rsid w:val="00892A36"/>
    <w:rsid w:val="00893239"/>
    <w:rsid w:val="00894489"/>
    <w:rsid w:val="0089478D"/>
    <w:rsid w:val="008963A5"/>
    <w:rsid w:val="00897FD8"/>
    <w:rsid w:val="008A1768"/>
    <w:rsid w:val="008A3363"/>
    <w:rsid w:val="008A3371"/>
    <w:rsid w:val="008A3C3E"/>
    <w:rsid w:val="008A3D97"/>
    <w:rsid w:val="008A507E"/>
    <w:rsid w:val="008A6385"/>
    <w:rsid w:val="008A79DE"/>
    <w:rsid w:val="008B0570"/>
    <w:rsid w:val="008B0970"/>
    <w:rsid w:val="008B0C53"/>
    <w:rsid w:val="008B1757"/>
    <w:rsid w:val="008B33A4"/>
    <w:rsid w:val="008B34FE"/>
    <w:rsid w:val="008B7D7E"/>
    <w:rsid w:val="008C0359"/>
    <w:rsid w:val="008C110B"/>
    <w:rsid w:val="008C3A51"/>
    <w:rsid w:val="008C6235"/>
    <w:rsid w:val="008C6A5F"/>
    <w:rsid w:val="008C7ECB"/>
    <w:rsid w:val="008D2387"/>
    <w:rsid w:val="008D3236"/>
    <w:rsid w:val="008D4755"/>
    <w:rsid w:val="008D4C3D"/>
    <w:rsid w:val="008D63C0"/>
    <w:rsid w:val="008D71AB"/>
    <w:rsid w:val="008E03BE"/>
    <w:rsid w:val="008E0CF0"/>
    <w:rsid w:val="008E0D3C"/>
    <w:rsid w:val="008E11B3"/>
    <w:rsid w:val="008E1B9E"/>
    <w:rsid w:val="008E2623"/>
    <w:rsid w:val="008E2E11"/>
    <w:rsid w:val="008E386E"/>
    <w:rsid w:val="008E4777"/>
    <w:rsid w:val="008E55AB"/>
    <w:rsid w:val="008E6176"/>
    <w:rsid w:val="008E6F6A"/>
    <w:rsid w:val="008F0BE6"/>
    <w:rsid w:val="008F120A"/>
    <w:rsid w:val="008F27E0"/>
    <w:rsid w:val="008F2840"/>
    <w:rsid w:val="008F3540"/>
    <w:rsid w:val="008F48EB"/>
    <w:rsid w:val="008F4D78"/>
    <w:rsid w:val="008F4F0B"/>
    <w:rsid w:val="008F7556"/>
    <w:rsid w:val="008F7A96"/>
    <w:rsid w:val="0090105C"/>
    <w:rsid w:val="00903225"/>
    <w:rsid w:val="009046C4"/>
    <w:rsid w:val="009062A5"/>
    <w:rsid w:val="00910675"/>
    <w:rsid w:val="00910839"/>
    <w:rsid w:val="00910A40"/>
    <w:rsid w:val="00911272"/>
    <w:rsid w:val="00911543"/>
    <w:rsid w:val="009135D6"/>
    <w:rsid w:val="00914AB0"/>
    <w:rsid w:val="00914C77"/>
    <w:rsid w:val="00916FA6"/>
    <w:rsid w:val="00920B31"/>
    <w:rsid w:val="009212AC"/>
    <w:rsid w:val="0092369B"/>
    <w:rsid w:val="0092570C"/>
    <w:rsid w:val="00925E1F"/>
    <w:rsid w:val="009315D8"/>
    <w:rsid w:val="00932E2C"/>
    <w:rsid w:val="00933C37"/>
    <w:rsid w:val="00933E3D"/>
    <w:rsid w:val="00935089"/>
    <w:rsid w:val="00935358"/>
    <w:rsid w:val="00935ACD"/>
    <w:rsid w:val="00937D97"/>
    <w:rsid w:val="00943F0D"/>
    <w:rsid w:val="0094400F"/>
    <w:rsid w:val="00945678"/>
    <w:rsid w:val="00945917"/>
    <w:rsid w:val="009460A5"/>
    <w:rsid w:val="009506AB"/>
    <w:rsid w:val="009510A2"/>
    <w:rsid w:val="009515FA"/>
    <w:rsid w:val="00953257"/>
    <w:rsid w:val="0095345D"/>
    <w:rsid w:val="00956AEF"/>
    <w:rsid w:val="00956BDE"/>
    <w:rsid w:val="00962CB9"/>
    <w:rsid w:val="00962FB9"/>
    <w:rsid w:val="009634D6"/>
    <w:rsid w:val="00964312"/>
    <w:rsid w:val="00965B8A"/>
    <w:rsid w:val="00966B3E"/>
    <w:rsid w:val="009717AC"/>
    <w:rsid w:val="009741B2"/>
    <w:rsid w:val="009764FE"/>
    <w:rsid w:val="00977879"/>
    <w:rsid w:val="00977C63"/>
    <w:rsid w:val="00983E57"/>
    <w:rsid w:val="0098675D"/>
    <w:rsid w:val="00990A68"/>
    <w:rsid w:val="00992EA5"/>
    <w:rsid w:val="009946F1"/>
    <w:rsid w:val="00996B1A"/>
    <w:rsid w:val="00996C5A"/>
    <w:rsid w:val="00996D2D"/>
    <w:rsid w:val="009A0A54"/>
    <w:rsid w:val="009A2463"/>
    <w:rsid w:val="009A4343"/>
    <w:rsid w:val="009A47D9"/>
    <w:rsid w:val="009A4EAE"/>
    <w:rsid w:val="009A60F8"/>
    <w:rsid w:val="009A7782"/>
    <w:rsid w:val="009A7BB1"/>
    <w:rsid w:val="009A7F10"/>
    <w:rsid w:val="009B034B"/>
    <w:rsid w:val="009B22D2"/>
    <w:rsid w:val="009B2D5B"/>
    <w:rsid w:val="009B3B4A"/>
    <w:rsid w:val="009B3E26"/>
    <w:rsid w:val="009B6E46"/>
    <w:rsid w:val="009C1655"/>
    <w:rsid w:val="009C17B2"/>
    <w:rsid w:val="009C1A85"/>
    <w:rsid w:val="009C2343"/>
    <w:rsid w:val="009C3EA5"/>
    <w:rsid w:val="009C475A"/>
    <w:rsid w:val="009C4784"/>
    <w:rsid w:val="009C5E0F"/>
    <w:rsid w:val="009C6CEA"/>
    <w:rsid w:val="009C7B85"/>
    <w:rsid w:val="009C7D07"/>
    <w:rsid w:val="009D12BC"/>
    <w:rsid w:val="009D1C53"/>
    <w:rsid w:val="009D4E23"/>
    <w:rsid w:val="009D50F3"/>
    <w:rsid w:val="009D5573"/>
    <w:rsid w:val="009D5B91"/>
    <w:rsid w:val="009D792E"/>
    <w:rsid w:val="009E0CED"/>
    <w:rsid w:val="009E0DFE"/>
    <w:rsid w:val="009E2CFE"/>
    <w:rsid w:val="009E42AE"/>
    <w:rsid w:val="009E4AA8"/>
    <w:rsid w:val="009E4C07"/>
    <w:rsid w:val="009E6876"/>
    <w:rsid w:val="009E7542"/>
    <w:rsid w:val="009F0641"/>
    <w:rsid w:val="009F0A91"/>
    <w:rsid w:val="009F0BE1"/>
    <w:rsid w:val="009F214C"/>
    <w:rsid w:val="009F22A9"/>
    <w:rsid w:val="009F3A2F"/>
    <w:rsid w:val="009F3B7D"/>
    <w:rsid w:val="009F6794"/>
    <w:rsid w:val="00A01184"/>
    <w:rsid w:val="00A02613"/>
    <w:rsid w:val="00A027E7"/>
    <w:rsid w:val="00A039BE"/>
    <w:rsid w:val="00A03D43"/>
    <w:rsid w:val="00A04380"/>
    <w:rsid w:val="00A04EB0"/>
    <w:rsid w:val="00A0505C"/>
    <w:rsid w:val="00A05256"/>
    <w:rsid w:val="00A05FA5"/>
    <w:rsid w:val="00A068BC"/>
    <w:rsid w:val="00A06CE5"/>
    <w:rsid w:val="00A07564"/>
    <w:rsid w:val="00A07C98"/>
    <w:rsid w:val="00A103C2"/>
    <w:rsid w:val="00A10672"/>
    <w:rsid w:val="00A11CD0"/>
    <w:rsid w:val="00A11F66"/>
    <w:rsid w:val="00A1204F"/>
    <w:rsid w:val="00A13948"/>
    <w:rsid w:val="00A1555B"/>
    <w:rsid w:val="00A155C5"/>
    <w:rsid w:val="00A15815"/>
    <w:rsid w:val="00A16AD8"/>
    <w:rsid w:val="00A16E32"/>
    <w:rsid w:val="00A2140E"/>
    <w:rsid w:val="00A21CF3"/>
    <w:rsid w:val="00A23262"/>
    <w:rsid w:val="00A2516A"/>
    <w:rsid w:val="00A26EDE"/>
    <w:rsid w:val="00A27AEC"/>
    <w:rsid w:val="00A306C5"/>
    <w:rsid w:val="00A31FD9"/>
    <w:rsid w:val="00A320DB"/>
    <w:rsid w:val="00A3289F"/>
    <w:rsid w:val="00A33500"/>
    <w:rsid w:val="00A35D16"/>
    <w:rsid w:val="00A35D51"/>
    <w:rsid w:val="00A367E6"/>
    <w:rsid w:val="00A3692E"/>
    <w:rsid w:val="00A37BCD"/>
    <w:rsid w:val="00A41238"/>
    <w:rsid w:val="00A434AB"/>
    <w:rsid w:val="00A43C59"/>
    <w:rsid w:val="00A43E0D"/>
    <w:rsid w:val="00A45FE6"/>
    <w:rsid w:val="00A465AC"/>
    <w:rsid w:val="00A4669D"/>
    <w:rsid w:val="00A46AEE"/>
    <w:rsid w:val="00A46BB7"/>
    <w:rsid w:val="00A47F58"/>
    <w:rsid w:val="00A50AEC"/>
    <w:rsid w:val="00A50ECD"/>
    <w:rsid w:val="00A518F3"/>
    <w:rsid w:val="00A52729"/>
    <w:rsid w:val="00A53675"/>
    <w:rsid w:val="00A564D7"/>
    <w:rsid w:val="00A56B6A"/>
    <w:rsid w:val="00A578DC"/>
    <w:rsid w:val="00A60893"/>
    <w:rsid w:val="00A60A3F"/>
    <w:rsid w:val="00A61385"/>
    <w:rsid w:val="00A619FB"/>
    <w:rsid w:val="00A6270E"/>
    <w:rsid w:val="00A6604C"/>
    <w:rsid w:val="00A66BE3"/>
    <w:rsid w:val="00A6725B"/>
    <w:rsid w:val="00A67632"/>
    <w:rsid w:val="00A70605"/>
    <w:rsid w:val="00A73134"/>
    <w:rsid w:val="00A7399C"/>
    <w:rsid w:val="00A74DB6"/>
    <w:rsid w:val="00A74E59"/>
    <w:rsid w:val="00A753E1"/>
    <w:rsid w:val="00A759F1"/>
    <w:rsid w:val="00A7601C"/>
    <w:rsid w:val="00A7606B"/>
    <w:rsid w:val="00A760A6"/>
    <w:rsid w:val="00A777B2"/>
    <w:rsid w:val="00A81BC0"/>
    <w:rsid w:val="00A81FAF"/>
    <w:rsid w:val="00A82BD9"/>
    <w:rsid w:val="00A85D3B"/>
    <w:rsid w:val="00A86A56"/>
    <w:rsid w:val="00A86E8B"/>
    <w:rsid w:val="00A87164"/>
    <w:rsid w:val="00A90B55"/>
    <w:rsid w:val="00A921A9"/>
    <w:rsid w:val="00A93072"/>
    <w:rsid w:val="00A93953"/>
    <w:rsid w:val="00A940D5"/>
    <w:rsid w:val="00A94D82"/>
    <w:rsid w:val="00A959D8"/>
    <w:rsid w:val="00A979BF"/>
    <w:rsid w:val="00AA07C9"/>
    <w:rsid w:val="00AA113D"/>
    <w:rsid w:val="00AA3790"/>
    <w:rsid w:val="00AA3830"/>
    <w:rsid w:val="00AA42E7"/>
    <w:rsid w:val="00AA665F"/>
    <w:rsid w:val="00AA6C7D"/>
    <w:rsid w:val="00AA7FD6"/>
    <w:rsid w:val="00AB042A"/>
    <w:rsid w:val="00AB1369"/>
    <w:rsid w:val="00AB1394"/>
    <w:rsid w:val="00AB1B47"/>
    <w:rsid w:val="00AB2D34"/>
    <w:rsid w:val="00AB3430"/>
    <w:rsid w:val="00AB4AD1"/>
    <w:rsid w:val="00AB6CB9"/>
    <w:rsid w:val="00AB7CFA"/>
    <w:rsid w:val="00AC4C97"/>
    <w:rsid w:val="00AC5655"/>
    <w:rsid w:val="00AC5B48"/>
    <w:rsid w:val="00AD0F63"/>
    <w:rsid w:val="00AD33ED"/>
    <w:rsid w:val="00AD62F6"/>
    <w:rsid w:val="00AD6502"/>
    <w:rsid w:val="00AE01BC"/>
    <w:rsid w:val="00AE05BB"/>
    <w:rsid w:val="00AE0A90"/>
    <w:rsid w:val="00AE26DB"/>
    <w:rsid w:val="00AE282D"/>
    <w:rsid w:val="00AE3336"/>
    <w:rsid w:val="00AE606F"/>
    <w:rsid w:val="00AF052F"/>
    <w:rsid w:val="00AF1315"/>
    <w:rsid w:val="00AF19BF"/>
    <w:rsid w:val="00AF1B27"/>
    <w:rsid w:val="00AF2DC3"/>
    <w:rsid w:val="00AF3B1E"/>
    <w:rsid w:val="00AF6F34"/>
    <w:rsid w:val="00B00CBE"/>
    <w:rsid w:val="00B0169A"/>
    <w:rsid w:val="00B033E5"/>
    <w:rsid w:val="00B03A63"/>
    <w:rsid w:val="00B05C74"/>
    <w:rsid w:val="00B06829"/>
    <w:rsid w:val="00B11BC9"/>
    <w:rsid w:val="00B13454"/>
    <w:rsid w:val="00B141CE"/>
    <w:rsid w:val="00B159CA"/>
    <w:rsid w:val="00B15D1D"/>
    <w:rsid w:val="00B201A4"/>
    <w:rsid w:val="00B213A6"/>
    <w:rsid w:val="00B22342"/>
    <w:rsid w:val="00B2235B"/>
    <w:rsid w:val="00B240BF"/>
    <w:rsid w:val="00B24DF5"/>
    <w:rsid w:val="00B24DF6"/>
    <w:rsid w:val="00B25493"/>
    <w:rsid w:val="00B2649B"/>
    <w:rsid w:val="00B26AD2"/>
    <w:rsid w:val="00B32349"/>
    <w:rsid w:val="00B334FF"/>
    <w:rsid w:val="00B345BC"/>
    <w:rsid w:val="00B34FE2"/>
    <w:rsid w:val="00B357D8"/>
    <w:rsid w:val="00B37BFC"/>
    <w:rsid w:val="00B40358"/>
    <w:rsid w:val="00B414CE"/>
    <w:rsid w:val="00B41614"/>
    <w:rsid w:val="00B42653"/>
    <w:rsid w:val="00B42851"/>
    <w:rsid w:val="00B42B3C"/>
    <w:rsid w:val="00B42F80"/>
    <w:rsid w:val="00B435CB"/>
    <w:rsid w:val="00B466CD"/>
    <w:rsid w:val="00B468B4"/>
    <w:rsid w:val="00B5049E"/>
    <w:rsid w:val="00B50B95"/>
    <w:rsid w:val="00B50DB8"/>
    <w:rsid w:val="00B518FF"/>
    <w:rsid w:val="00B524CE"/>
    <w:rsid w:val="00B53654"/>
    <w:rsid w:val="00B53905"/>
    <w:rsid w:val="00B54B5B"/>
    <w:rsid w:val="00B5562E"/>
    <w:rsid w:val="00B57000"/>
    <w:rsid w:val="00B57542"/>
    <w:rsid w:val="00B57815"/>
    <w:rsid w:val="00B60939"/>
    <w:rsid w:val="00B60AFD"/>
    <w:rsid w:val="00B621EA"/>
    <w:rsid w:val="00B62715"/>
    <w:rsid w:val="00B627D8"/>
    <w:rsid w:val="00B637A0"/>
    <w:rsid w:val="00B67A7C"/>
    <w:rsid w:val="00B72365"/>
    <w:rsid w:val="00B72BE3"/>
    <w:rsid w:val="00B73885"/>
    <w:rsid w:val="00B73D50"/>
    <w:rsid w:val="00B76984"/>
    <w:rsid w:val="00B8143D"/>
    <w:rsid w:val="00B818A4"/>
    <w:rsid w:val="00B821A9"/>
    <w:rsid w:val="00B8278E"/>
    <w:rsid w:val="00B832F0"/>
    <w:rsid w:val="00B84117"/>
    <w:rsid w:val="00B84E84"/>
    <w:rsid w:val="00B85AA2"/>
    <w:rsid w:val="00B861FE"/>
    <w:rsid w:val="00B862A0"/>
    <w:rsid w:val="00B8649C"/>
    <w:rsid w:val="00B87F0A"/>
    <w:rsid w:val="00B90B1D"/>
    <w:rsid w:val="00B92B93"/>
    <w:rsid w:val="00B92BE8"/>
    <w:rsid w:val="00B92D0B"/>
    <w:rsid w:val="00B945A6"/>
    <w:rsid w:val="00B94945"/>
    <w:rsid w:val="00B97001"/>
    <w:rsid w:val="00BA0CFD"/>
    <w:rsid w:val="00BA2E37"/>
    <w:rsid w:val="00BA322D"/>
    <w:rsid w:val="00BA4100"/>
    <w:rsid w:val="00BA6217"/>
    <w:rsid w:val="00BA6232"/>
    <w:rsid w:val="00BB0BDD"/>
    <w:rsid w:val="00BB15A2"/>
    <w:rsid w:val="00BB2A73"/>
    <w:rsid w:val="00BB2F12"/>
    <w:rsid w:val="00BB3604"/>
    <w:rsid w:val="00BB4145"/>
    <w:rsid w:val="00BB43BA"/>
    <w:rsid w:val="00BB4ACC"/>
    <w:rsid w:val="00BB539C"/>
    <w:rsid w:val="00BB680F"/>
    <w:rsid w:val="00BB703E"/>
    <w:rsid w:val="00BB7405"/>
    <w:rsid w:val="00BC0FFA"/>
    <w:rsid w:val="00BC3631"/>
    <w:rsid w:val="00BC4CA0"/>
    <w:rsid w:val="00BC6B68"/>
    <w:rsid w:val="00BD003B"/>
    <w:rsid w:val="00BD0434"/>
    <w:rsid w:val="00BD1434"/>
    <w:rsid w:val="00BD23E0"/>
    <w:rsid w:val="00BD29E8"/>
    <w:rsid w:val="00BD3FE8"/>
    <w:rsid w:val="00BD419D"/>
    <w:rsid w:val="00BD440C"/>
    <w:rsid w:val="00BD68A3"/>
    <w:rsid w:val="00BD6938"/>
    <w:rsid w:val="00BD6CF3"/>
    <w:rsid w:val="00BE0363"/>
    <w:rsid w:val="00BE1FFC"/>
    <w:rsid w:val="00BE2180"/>
    <w:rsid w:val="00BE21F2"/>
    <w:rsid w:val="00BE4275"/>
    <w:rsid w:val="00BE4469"/>
    <w:rsid w:val="00BE65F0"/>
    <w:rsid w:val="00BE698D"/>
    <w:rsid w:val="00BE69DF"/>
    <w:rsid w:val="00BE6AA0"/>
    <w:rsid w:val="00BF0F95"/>
    <w:rsid w:val="00BF1428"/>
    <w:rsid w:val="00BF16EA"/>
    <w:rsid w:val="00BF2433"/>
    <w:rsid w:val="00BF2DE8"/>
    <w:rsid w:val="00BF417F"/>
    <w:rsid w:val="00BF51D7"/>
    <w:rsid w:val="00BF58F1"/>
    <w:rsid w:val="00BF61C9"/>
    <w:rsid w:val="00BF6C94"/>
    <w:rsid w:val="00C00104"/>
    <w:rsid w:val="00C0024E"/>
    <w:rsid w:val="00C00398"/>
    <w:rsid w:val="00C00424"/>
    <w:rsid w:val="00C06523"/>
    <w:rsid w:val="00C11234"/>
    <w:rsid w:val="00C12C14"/>
    <w:rsid w:val="00C15F9E"/>
    <w:rsid w:val="00C1621E"/>
    <w:rsid w:val="00C16925"/>
    <w:rsid w:val="00C177D4"/>
    <w:rsid w:val="00C200AA"/>
    <w:rsid w:val="00C21105"/>
    <w:rsid w:val="00C237ED"/>
    <w:rsid w:val="00C23F88"/>
    <w:rsid w:val="00C23F92"/>
    <w:rsid w:val="00C240BE"/>
    <w:rsid w:val="00C24632"/>
    <w:rsid w:val="00C25418"/>
    <w:rsid w:val="00C25880"/>
    <w:rsid w:val="00C25B7C"/>
    <w:rsid w:val="00C25D9C"/>
    <w:rsid w:val="00C2778B"/>
    <w:rsid w:val="00C27D44"/>
    <w:rsid w:val="00C31649"/>
    <w:rsid w:val="00C31EFA"/>
    <w:rsid w:val="00C33ED5"/>
    <w:rsid w:val="00C34B5F"/>
    <w:rsid w:val="00C35309"/>
    <w:rsid w:val="00C40385"/>
    <w:rsid w:val="00C4372B"/>
    <w:rsid w:val="00C45C21"/>
    <w:rsid w:val="00C475AA"/>
    <w:rsid w:val="00C50227"/>
    <w:rsid w:val="00C51BB1"/>
    <w:rsid w:val="00C52463"/>
    <w:rsid w:val="00C55065"/>
    <w:rsid w:val="00C60164"/>
    <w:rsid w:val="00C6087F"/>
    <w:rsid w:val="00C60D34"/>
    <w:rsid w:val="00C626E5"/>
    <w:rsid w:val="00C62E40"/>
    <w:rsid w:val="00C65576"/>
    <w:rsid w:val="00C66101"/>
    <w:rsid w:val="00C66165"/>
    <w:rsid w:val="00C673CD"/>
    <w:rsid w:val="00C70B9A"/>
    <w:rsid w:val="00C712F8"/>
    <w:rsid w:val="00C7151A"/>
    <w:rsid w:val="00C716B8"/>
    <w:rsid w:val="00C71F60"/>
    <w:rsid w:val="00C72241"/>
    <w:rsid w:val="00C72DFE"/>
    <w:rsid w:val="00C750C8"/>
    <w:rsid w:val="00C7560F"/>
    <w:rsid w:val="00C76474"/>
    <w:rsid w:val="00C808D2"/>
    <w:rsid w:val="00C80A0E"/>
    <w:rsid w:val="00C8213F"/>
    <w:rsid w:val="00C86495"/>
    <w:rsid w:val="00C877C6"/>
    <w:rsid w:val="00C8797A"/>
    <w:rsid w:val="00C900B8"/>
    <w:rsid w:val="00C9027B"/>
    <w:rsid w:val="00C90C71"/>
    <w:rsid w:val="00C925F1"/>
    <w:rsid w:val="00C931CF"/>
    <w:rsid w:val="00C93714"/>
    <w:rsid w:val="00C938CF"/>
    <w:rsid w:val="00C95CCC"/>
    <w:rsid w:val="00C95FD8"/>
    <w:rsid w:val="00C9624D"/>
    <w:rsid w:val="00C9633B"/>
    <w:rsid w:val="00C969DA"/>
    <w:rsid w:val="00C97273"/>
    <w:rsid w:val="00CA0874"/>
    <w:rsid w:val="00CA2C77"/>
    <w:rsid w:val="00CA444F"/>
    <w:rsid w:val="00CA44FA"/>
    <w:rsid w:val="00CA4F81"/>
    <w:rsid w:val="00CA5245"/>
    <w:rsid w:val="00CA71F4"/>
    <w:rsid w:val="00CA7B09"/>
    <w:rsid w:val="00CB2853"/>
    <w:rsid w:val="00CB2D46"/>
    <w:rsid w:val="00CB2E86"/>
    <w:rsid w:val="00CB2F2A"/>
    <w:rsid w:val="00CB5B1A"/>
    <w:rsid w:val="00CB6B22"/>
    <w:rsid w:val="00CB73CD"/>
    <w:rsid w:val="00CB7F5F"/>
    <w:rsid w:val="00CC1B39"/>
    <w:rsid w:val="00CC23AA"/>
    <w:rsid w:val="00CC4B89"/>
    <w:rsid w:val="00CC5C4F"/>
    <w:rsid w:val="00CC71A1"/>
    <w:rsid w:val="00CC7C08"/>
    <w:rsid w:val="00CD4F47"/>
    <w:rsid w:val="00CD6ADC"/>
    <w:rsid w:val="00CE008B"/>
    <w:rsid w:val="00CE1915"/>
    <w:rsid w:val="00CE1EA1"/>
    <w:rsid w:val="00CE316D"/>
    <w:rsid w:val="00CE4274"/>
    <w:rsid w:val="00CE4434"/>
    <w:rsid w:val="00CE47F6"/>
    <w:rsid w:val="00CE522A"/>
    <w:rsid w:val="00CE6274"/>
    <w:rsid w:val="00CE6E86"/>
    <w:rsid w:val="00CF2B8D"/>
    <w:rsid w:val="00CF456B"/>
    <w:rsid w:val="00CF4909"/>
    <w:rsid w:val="00CF5A22"/>
    <w:rsid w:val="00CF6D6A"/>
    <w:rsid w:val="00CF7360"/>
    <w:rsid w:val="00CF78D5"/>
    <w:rsid w:val="00D000EB"/>
    <w:rsid w:val="00D00127"/>
    <w:rsid w:val="00D0262E"/>
    <w:rsid w:val="00D02DCF"/>
    <w:rsid w:val="00D03981"/>
    <w:rsid w:val="00D07D0C"/>
    <w:rsid w:val="00D110BD"/>
    <w:rsid w:val="00D13243"/>
    <w:rsid w:val="00D13675"/>
    <w:rsid w:val="00D13A92"/>
    <w:rsid w:val="00D141E1"/>
    <w:rsid w:val="00D15172"/>
    <w:rsid w:val="00D17D6C"/>
    <w:rsid w:val="00D2705B"/>
    <w:rsid w:val="00D2741C"/>
    <w:rsid w:val="00D2754D"/>
    <w:rsid w:val="00D2778E"/>
    <w:rsid w:val="00D27B27"/>
    <w:rsid w:val="00D31920"/>
    <w:rsid w:val="00D32317"/>
    <w:rsid w:val="00D3393F"/>
    <w:rsid w:val="00D33BE9"/>
    <w:rsid w:val="00D34494"/>
    <w:rsid w:val="00D357FF"/>
    <w:rsid w:val="00D35D44"/>
    <w:rsid w:val="00D3758E"/>
    <w:rsid w:val="00D400A5"/>
    <w:rsid w:val="00D407E0"/>
    <w:rsid w:val="00D41C55"/>
    <w:rsid w:val="00D424C7"/>
    <w:rsid w:val="00D425E8"/>
    <w:rsid w:val="00D42652"/>
    <w:rsid w:val="00D4388C"/>
    <w:rsid w:val="00D43B2A"/>
    <w:rsid w:val="00D43E7F"/>
    <w:rsid w:val="00D4429C"/>
    <w:rsid w:val="00D450B4"/>
    <w:rsid w:val="00D453BA"/>
    <w:rsid w:val="00D45E09"/>
    <w:rsid w:val="00D4636B"/>
    <w:rsid w:val="00D46A26"/>
    <w:rsid w:val="00D46A52"/>
    <w:rsid w:val="00D47575"/>
    <w:rsid w:val="00D53380"/>
    <w:rsid w:val="00D56F1A"/>
    <w:rsid w:val="00D64721"/>
    <w:rsid w:val="00D648E0"/>
    <w:rsid w:val="00D70F16"/>
    <w:rsid w:val="00D72B27"/>
    <w:rsid w:val="00D75E17"/>
    <w:rsid w:val="00D76A44"/>
    <w:rsid w:val="00D76B20"/>
    <w:rsid w:val="00D77210"/>
    <w:rsid w:val="00D815EF"/>
    <w:rsid w:val="00D819F7"/>
    <w:rsid w:val="00D845F8"/>
    <w:rsid w:val="00D873F1"/>
    <w:rsid w:val="00D87F47"/>
    <w:rsid w:val="00D906A9"/>
    <w:rsid w:val="00D90943"/>
    <w:rsid w:val="00D9123A"/>
    <w:rsid w:val="00D91923"/>
    <w:rsid w:val="00D93753"/>
    <w:rsid w:val="00D94748"/>
    <w:rsid w:val="00D96131"/>
    <w:rsid w:val="00D96A49"/>
    <w:rsid w:val="00DA1327"/>
    <w:rsid w:val="00DA18FC"/>
    <w:rsid w:val="00DA3167"/>
    <w:rsid w:val="00DA3370"/>
    <w:rsid w:val="00DA4DC3"/>
    <w:rsid w:val="00DA5C9A"/>
    <w:rsid w:val="00DA77A5"/>
    <w:rsid w:val="00DB42CB"/>
    <w:rsid w:val="00DB484F"/>
    <w:rsid w:val="00DB6535"/>
    <w:rsid w:val="00DB7326"/>
    <w:rsid w:val="00DC041C"/>
    <w:rsid w:val="00DC04F6"/>
    <w:rsid w:val="00DC3935"/>
    <w:rsid w:val="00DC3C57"/>
    <w:rsid w:val="00DC4891"/>
    <w:rsid w:val="00DC4C3C"/>
    <w:rsid w:val="00DC5501"/>
    <w:rsid w:val="00DC6574"/>
    <w:rsid w:val="00DC68BB"/>
    <w:rsid w:val="00DC762D"/>
    <w:rsid w:val="00DC7670"/>
    <w:rsid w:val="00DD12B1"/>
    <w:rsid w:val="00DD273C"/>
    <w:rsid w:val="00DD34C1"/>
    <w:rsid w:val="00DD3BB0"/>
    <w:rsid w:val="00DD3F28"/>
    <w:rsid w:val="00DD4537"/>
    <w:rsid w:val="00DD4E15"/>
    <w:rsid w:val="00DD51BE"/>
    <w:rsid w:val="00DD7DC3"/>
    <w:rsid w:val="00DE3138"/>
    <w:rsid w:val="00DE37F8"/>
    <w:rsid w:val="00DE4FCB"/>
    <w:rsid w:val="00DE5590"/>
    <w:rsid w:val="00DE62EC"/>
    <w:rsid w:val="00DE7510"/>
    <w:rsid w:val="00DE7670"/>
    <w:rsid w:val="00DE76D4"/>
    <w:rsid w:val="00DE7832"/>
    <w:rsid w:val="00DF0A9E"/>
    <w:rsid w:val="00DF18FC"/>
    <w:rsid w:val="00DF2EDF"/>
    <w:rsid w:val="00DF30C3"/>
    <w:rsid w:val="00DF3EE1"/>
    <w:rsid w:val="00DF5D17"/>
    <w:rsid w:val="00DF5D2B"/>
    <w:rsid w:val="00DF74B9"/>
    <w:rsid w:val="00DF74CB"/>
    <w:rsid w:val="00E0012A"/>
    <w:rsid w:val="00E0055D"/>
    <w:rsid w:val="00E00E8E"/>
    <w:rsid w:val="00E00FD1"/>
    <w:rsid w:val="00E0370C"/>
    <w:rsid w:val="00E05035"/>
    <w:rsid w:val="00E05630"/>
    <w:rsid w:val="00E06DBB"/>
    <w:rsid w:val="00E07CA5"/>
    <w:rsid w:val="00E10149"/>
    <w:rsid w:val="00E11399"/>
    <w:rsid w:val="00E119EB"/>
    <w:rsid w:val="00E142CB"/>
    <w:rsid w:val="00E16372"/>
    <w:rsid w:val="00E173FE"/>
    <w:rsid w:val="00E20E4D"/>
    <w:rsid w:val="00E20ED6"/>
    <w:rsid w:val="00E21358"/>
    <w:rsid w:val="00E2138F"/>
    <w:rsid w:val="00E21A26"/>
    <w:rsid w:val="00E2249B"/>
    <w:rsid w:val="00E22A0D"/>
    <w:rsid w:val="00E2537E"/>
    <w:rsid w:val="00E2771E"/>
    <w:rsid w:val="00E31AC3"/>
    <w:rsid w:val="00E3407B"/>
    <w:rsid w:val="00E340B0"/>
    <w:rsid w:val="00E34948"/>
    <w:rsid w:val="00E34E5C"/>
    <w:rsid w:val="00E37569"/>
    <w:rsid w:val="00E406F1"/>
    <w:rsid w:val="00E40744"/>
    <w:rsid w:val="00E40EC3"/>
    <w:rsid w:val="00E40F2D"/>
    <w:rsid w:val="00E41E30"/>
    <w:rsid w:val="00E42010"/>
    <w:rsid w:val="00E431FC"/>
    <w:rsid w:val="00E43D70"/>
    <w:rsid w:val="00E4495B"/>
    <w:rsid w:val="00E466F3"/>
    <w:rsid w:val="00E47B2C"/>
    <w:rsid w:val="00E50C9E"/>
    <w:rsid w:val="00E51560"/>
    <w:rsid w:val="00E527E1"/>
    <w:rsid w:val="00E5420A"/>
    <w:rsid w:val="00E54347"/>
    <w:rsid w:val="00E5494E"/>
    <w:rsid w:val="00E55424"/>
    <w:rsid w:val="00E55BB5"/>
    <w:rsid w:val="00E57139"/>
    <w:rsid w:val="00E57646"/>
    <w:rsid w:val="00E601AB"/>
    <w:rsid w:val="00E6027E"/>
    <w:rsid w:val="00E60C7D"/>
    <w:rsid w:val="00E623DB"/>
    <w:rsid w:val="00E62EC0"/>
    <w:rsid w:val="00E64398"/>
    <w:rsid w:val="00E65E79"/>
    <w:rsid w:val="00E66771"/>
    <w:rsid w:val="00E66A38"/>
    <w:rsid w:val="00E66BA2"/>
    <w:rsid w:val="00E66CE9"/>
    <w:rsid w:val="00E67416"/>
    <w:rsid w:val="00E67626"/>
    <w:rsid w:val="00E67D3F"/>
    <w:rsid w:val="00E709B4"/>
    <w:rsid w:val="00E718B6"/>
    <w:rsid w:val="00E71FF6"/>
    <w:rsid w:val="00E723BA"/>
    <w:rsid w:val="00E72455"/>
    <w:rsid w:val="00E73581"/>
    <w:rsid w:val="00E763F9"/>
    <w:rsid w:val="00E77F6E"/>
    <w:rsid w:val="00E8206E"/>
    <w:rsid w:val="00E8210D"/>
    <w:rsid w:val="00E82C4B"/>
    <w:rsid w:val="00E82F90"/>
    <w:rsid w:val="00E833F7"/>
    <w:rsid w:val="00E83BDF"/>
    <w:rsid w:val="00E865BA"/>
    <w:rsid w:val="00E86BD0"/>
    <w:rsid w:val="00E87A1D"/>
    <w:rsid w:val="00E9161C"/>
    <w:rsid w:val="00E926A5"/>
    <w:rsid w:val="00E92F82"/>
    <w:rsid w:val="00E972FA"/>
    <w:rsid w:val="00E97BD8"/>
    <w:rsid w:val="00E97CF4"/>
    <w:rsid w:val="00EA07ED"/>
    <w:rsid w:val="00EA17C3"/>
    <w:rsid w:val="00EA1EC3"/>
    <w:rsid w:val="00EA2CAA"/>
    <w:rsid w:val="00EA3864"/>
    <w:rsid w:val="00EA5600"/>
    <w:rsid w:val="00EB0ECA"/>
    <w:rsid w:val="00EB15B6"/>
    <w:rsid w:val="00EB1907"/>
    <w:rsid w:val="00EB271B"/>
    <w:rsid w:val="00EB3799"/>
    <w:rsid w:val="00EB4916"/>
    <w:rsid w:val="00EB556C"/>
    <w:rsid w:val="00EC00C9"/>
    <w:rsid w:val="00EC2649"/>
    <w:rsid w:val="00EC2AB4"/>
    <w:rsid w:val="00EC42A2"/>
    <w:rsid w:val="00EC7B76"/>
    <w:rsid w:val="00EC7F2C"/>
    <w:rsid w:val="00ED0B1C"/>
    <w:rsid w:val="00ED4C0D"/>
    <w:rsid w:val="00ED57EA"/>
    <w:rsid w:val="00ED6D5D"/>
    <w:rsid w:val="00EE071B"/>
    <w:rsid w:val="00EE07D3"/>
    <w:rsid w:val="00EE1577"/>
    <w:rsid w:val="00EE17D4"/>
    <w:rsid w:val="00EE19D0"/>
    <w:rsid w:val="00EE22AF"/>
    <w:rsid w:val="00EE5982"/>
    <w:rsid w:val="00EF0171"/>
    <w:rsid w:val="00EF0307"/>
    <w:rsid w:val="00EF06F9"/>
    <w:rsid w:val="00EF158A"/>
    <w:rsid w:val="00EF1B25"/>
    <w:rsid w:val="00EF28D9"/>
    <w:rsid w:val="00EF31BE"/>
    <w:rsid w:val="00EF33B3"/>
    <w:rsid w:val="00EF3D31"/>
    <w:rsid w:val="00EF4747"/>
    <w:rsid w:val="00EF4BF8"/>
    <w:rsid w:val="00EF5418"/>
    <w:rsid w:val="00EF78B2"/>
    <w:rsid w:val="00EF7EC7"/>
    <w:rsid w:val="00F0161E"/>
    <w:rsid w:val="00F02253"/>
    <w:rsid w:val="00F03C2E"/>
    <w:rsid w:val="00F04A66"/>
    <w:rsid w:val="00F0516C"/>
    <w:rsid w:val="00F067A2"/>
    <w:rsid w:val="00F07498"/>
    <w:rsid w:val="00F119CE"/>
    <w:rsid w:val="00F123BB"/>
    <w:rsid w:val="00F12538"/>
    <w:rsid w:val="00F1263A"/>
    <w:rsid w:val="00F12694"/>
    <w:rsid w:val="00F1355A"/>
    <w:rsid w:val="00F137E6"/>
    <w:rsid w:val="00F15C0D"/>
    <w:rsid w:val="00F15F46"/>
    <w:rsid w:val="00F20A00"/>
    <w:rsid w:val="00F21B4A"/>
    <w:rsid w:val="00F22F4B"/>
    <w:rsid w:val="00F24837"/>
    <w:rsid w:val="00F2575F"/>
    <w:rsid w:val="00F26B58"/>
    <w:rsid w:val="00F27565"/>
    <w:rsid w:val="00F30660"/>
    <w:rsid w:val="00F30DE2"/>
    <w:rsid w:val="00F310CC"/>
    <w:rsid w:val="00F310D4"/>
    <w:rsid w:val="00F31D5A"/>
    <w:rsid w:val="00F31EDC"/>
    <w:rsid w:val="00F32627"/>
    <w:rsid w:val="00F32E3D"/>
    <w:rsid w:val="00F33DE9"/>
    <w:rsid w:val="00F34480"/>
    <w:rsid w:val="00F3619A"/>
    <w:rsid w:val="00F40AAA"/>
    <w:rsid w:val="00F40BA7"/>
    <w:rsid w:val="00F41982"/>
    <w:rsid w:val="00F41990"/>
    <w:rsid w:val="00F46CB6"/>
    <w:rsid w:val="00F47293"/>
    <w:rsid w:val="00F47DE8"/>
    <w:rsid w:val="00F50332"/>
    <w:rsid w:val="00F542C1"/>
    <w:rsid w:val="00F54E1B"/>
    <w:rsid w:val="00F55ABC"/>
    <w:rsid w:val="00F55E73"/>
    <w:rsid w:val="00F55EDA"/>
    <w:rsid w:val="00F564F6"/>
    <w:rsid w:val="00F57F57"/>
    <w:rsid w:val="00F60092"/>
    <w:rsid w:val="00F62650"/>
    <w:rsid w:val="00F632FD"/>
    <w:rsid w:val="00F64932"/>
    <w:rsid w:val="00F6520E"/>
    <w:rsid w:val="00F65F4B"/>
    <w:rsid w:val="00F70408"/>
    <w:rsid w:val="00F70C9D"/>
    <w:rsid w:val="00F71202"/>
    <w:rsid w:val="00F7300D"/>
    <w:rsid w:val="00F73323"/>
    <w:rsid w:val="00F7398B"/>
    <w:rsid w:val="00F74CC1"/>
    <w:rsid w:val="00F74CD9"/>
    <w:rsid w:val="00F80A7B"/>
    <w:rsid w:val="00F80E5D"/>
    <w:rsid w:val="00F8120E"/>
    <w:rsid w:val="00F840D7"/>
    <w:rsid w:val="00F849EE"/>
    <w:rsid w:val="00F851CE"/>
    <w:rsid w:val="00F85FB9"/>
    <w:rsid w:val="00F8692F"/>
    <w:rsid w:val="00F9061A"/>
    <w:rsid w:val="00F90E42"/>
    <w:rsid w:val="00F91219"/>
    <w:rsid w:val="00F9130C"/>
    <w:rsid w:val="00F92FD0"/>
    <w:rsid w:val="00F9518A"/>
    <w:rsid w:val="00F953DB"/>
    <w:rsid w:val="00F97A78"/>
    <w:rsid w:val="00F97C26"/>
    <w:rsid w:val="00FA0193"/>
    <w:rsid w:val="00FA0B20"/>
    <w:rsid w:val="00FA1777"/>
    <w:rsid w:val="00FA215F"/>
    <w:rsid w:val="00FA24E7"/>
    <w:rsid w:val="00FA25CC"/>
    <w:rsid w:val="00FA449E"/>
    <w:rsid w:val="00FA4ACF"/>
    <w:rsid w:val="00FA5B51"/>
    <w:rsid w:val="00FA6C85"/>
    <w:rsid w:val="00FB04E6"/>
    <w:rsid w:val="00FB0FE8"/>
    <w:rsid w:val="00FB2FCB"/>
    <w:rsid w:val="00FB41CF"/>
    <w:rsid w:val="00FB55F7"/>
    <w:rsid w:val="00FB5752"/>
    <w:rsid w:val="00FB5D22"/>
    <w:rsid w:val="00FB7B65"/>
    <w:rsid w:val="00FC07B3"/>
    <w:rsid w:val="00FC1074"/>
    <w:rsid w:val="00FC12E2"/>
    <w:rsid w:val="00FC1884"/>
    <w:rsid w:val="00FC19D8"/>
    <w:rsid w:val="00FC2514"/>
    <w:rsid w:val="00FC371D"/>
    <w:rsid w:val="00FC5F0B"/>
    <w:rsid w:val="00FD0478"/>
    <w:rsid w:val="00FD2100"/>
    <w:rsid w:val="00FD27CF"/>
    <w:rsid w:val="00FD2B3B"/>
    <w:rsid w:val="00FD2D82"/>
    <w:rsid w:val="00FD436C"/>
    <w:rsid w:val="00FD446D"/>
    <w:rsid w:val="00FD6394"/>
    <w:rsid w:val="00FD6DF5"/>
    <w:rsid w:val="00FE0853"/>
    <w:rsid w:val="00FE0E6C"/>
    <w:rsid w:val="00FE1414"/>
    <w:rsid w:val="00FE1E8F"/>
    <w:rsid w:val="00FE21CE"/>
    <w:rsid w:val="00FE3097"/>
    <w:rsid w:val="00FE4E29"/>
    <w:rsid w:val="00FE5ED7"/>
    <w:rsid w:val="00FE6911"/>
    <w:rsid w:val="00FE70C3"/>
    <w:rsid w:val="00FF3834"/>
    <w:rsid w:val="00FF3DCF"/>
    <w:rsid w:val="00FF45D3"/>
    <w:rsid w:val="00FF492C"/>
    <w:rsid w:val="00FF4A21"/>
    <w:rsid w:val="00FF5AA3"/>
    <w:rsid w:val="00FF5AD8"/>
    <w:rsid w:val="00FF736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F57BF"/>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2E2883"/>
    <w:pPr>
      <w:keepNext/>
      <w:keepLines/>
      <w:widowControl/>
      <w:numPr>
        <w:numId w:val="2"/>
      </w:numPr>
      <w:spacing w:before="240" w:after="120"/>
      <w:ind w:left="709" w:hanging="709"/>
      <w:jc w:val="left"/>
      <w:outlineLvl w:val="0"/>
    </w:pPr>
    <w:rPr>
      <w:rFonts w:asciiTheme="minorHAnsi" w:eastAsiaTheme="minorHAnsi" w:hAnsiTheme="minorHAnsi" w:cstheme="minorBidi"/>
      <w:b/>
      <w:sz w:val="32"/>
    </w:rPr>
  </w:style>
  <w:style w:type="paragraph" w:styleId="Heading2">
    <w:name w:val="heading 2"/>
    <w:basedOn w:val="Normal"/>
    <w:next w:val="Normal"/>
    <w:link w:val="Heading2Char"/>
    <w:qFormat/>
    <w:rsid w:val="002E2883"/>
    <w:pPr>
      <w:spacing w:before="120"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E2883"/>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5"/>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semiHidden/>
    <w:unhideWhenUsed/>
    <w:rsid w:val="003D25BE"/>
    <w:rPr>
      <w:sz w:val="20"/>
      <w:szCs w:val="20"/>
    </w:rPr>
  </w:style>
  <w:style w:type="character" w:customStyle="1" w:styleId="FootnoteTextChar">
    <w:name w:val="Footnote Text Char"/>
    <w:basedOn w:val="DefaultParagraphFont"/>
    <w:link w:val="FootnoteText"/>
    <w:semiHidden/>
    <w:rsid w:val="003D25BE"/>
    <w:rPr>
      <w:rFonts w:ascii="Calibri" w:hAnsi="Calibri" w:cs="Arial"/>
      <w:snapToGrid w:val="0"/>
      <w:lang w:eastAsia="en-US"/>
    </w:rPr>
  </w:style>
  <w:style w:type="character" w:styleId="FootnoteReference">
    <w:name w:val="footnote reference"/>
    <w:basedOn w:val="DefaultParagraphFont"/>
    <w:semiHidden/>
    <w:unhideWhenUsed/>
    <w:rsid w:val="003D25BE"/>
    <w:rPr>
      <w:vertAlign w:val="superscript"/>
    </w:rPr>
  </w:style>
  <w:style w:type="paragraph" w:customStyle="1" w:styleId="Body">
    <w:name w:val="Body"/>
    <w:basedOn w:val="Normal"/>
    <w:link w:val="BodyChar"/>
    <w:qFormat/>
    <w:rsid w:val="00CA0874"/>
    <w:pPr>
      <w:widowControl/>
      <w:spacing w:after="120"/>
    </w:pPr>
    <w:rPr>
      <w:rFonts w:asciiTheme="minorHAnsi" w:eastAsiaTheme="minorHAnsi" w:hAnsiTheme="minorHAnsi" w:cstheme="minorBidi"/>
      <w:snapToGrid/>
      <w:sz w:val="22"/>
    </w:rPr>
  </w:style>
  <w:style w:type="paragraph" w:customStyle="1" w:styleId="Bullets">
    <w:name w:val="Bullets"/>
    <w:basedOn w:val="Body"/>
    <w:link w:val="BulletsChar"/>
    <w:qFormat/>
    <w:rsid w:val="00CA0874"/>
    <w:pPr>
      <w:numPr>
        <w:numId w:val="4"/>
      </w:numPr>
    </w:pPr>
  </w:style>
  <w:style w:type="character" w:customStyle="1" w:styleId="BodyChar">
    <w:name w:val="Body Char"/>
    <w:basedOn w:val="DefaultParagraphFont"/>
    <w:link w:val="Body"/>
    <w:rsid w:val="00CA0874"/>
    <w:rPr>
      <w:rFonts w:asciiTheme="minorHAnsi" w:eastAsiaTheme="minorHAnsi" w:hAnsiTheme="minorHAnsi" w:cstheme="minorBidi"/>
      <w:sz w:val="22"/>
      <w:szCs w:val="22"/>
      <w:lang w:eastAsia="en-US"/>
    </w:rPr>
  </w:style>
  <w:style w:type="character" w:customStyle="1" w:styleId="BulletsChar">
    <w:name w:val="Bullets Char"/>
    <w:basedOn w:val="BodyChar"/>
    <w:link w:val="Bullets"/>
    <w:rsid w:val="00CA0874"/>
    <w:rPr>
      <w:rFonts w:asciiTheme="minorHAnsi" w:eastAsiaTheme="minorHAnsi" w:hAnsiTheme="minorHAnsi" w:cstheme="minorBidi"/>
      <w:sz w:val="22"/>
      <w:szCs w:val="22"/>
      <w:lang w:eastAsia="en-US"/>
    </w:rPr>
  </w:style>
  <w:style w:type="paragraph" w:customStyle="1" w:styleId="Default">
    <w:name w:val="Default"/>
    <w:rsid w:val="00BF2DE8"/>
    <w:pPr>
      <w:autoSpaceDE w:val="0"/>
      <w:autoSpaceDN w:val="0"/>
      <w:adjustRightInd w:val="0"/>
    </w:pPr>
    <w:rPr>
      <w:rFonts w:ascii="Calibri" w:eastAsiaTheme="minorHAnsi" w:hAnsi="Calibri" w:cs="Calibri"/>
      <w:color w:val="000000"/>
      <w:sz w:val="24"/>
      <w:szCs w:val="24"/>
      <w:lang w:eastAsia="en-US"/>
    </w:rPr>
  </w:style>
  <w:style w:type="paragraph" w:customStyle="1" w:styleId="TableText0">
    <w:name w:val="TableText"/>
    <w:basedOn w:val="Normal"/>
    <w:link w:val="TableTextChar0"/>
    <w:uiPriority w:val="3"/>
    <w:qFormat/>
    <w:rsid w:val="006D6DB1"/>
    <w:pPr>
      <w:widowControl/>
      <w:spacing w:before="20" w:after="20"/>
      <w:jc w:val="left"/>
    </w:pPr>
    <w:rPr>
      <w:rFonts w:cstheme="minorHAnsi"/>
      <w:bCs/>
      <w:snapToGrid/>
      <w:sz w:val="20"/>
      <w:szCs w:val="20"/>
    </w:rPr>
  </w:style>
  <w:style w:type="character" w:customStyle="1" w:styleId="TableTextChar0">
    <w:name w:val="TableText Char"/>
    <w:basedOn w:val="DefaultParagraphFont"/>
    <w:link w:val="TableText0"/>
    <w:uiPriority w:val="3"/>
    <w:rsid w:val="006D6DB1"/>
    <w:rPr>
      <w:rFonts w:ascii="Calibri" w:hAnsi="Calibri" w:cstheme="minorHAnsi"/>
      <w:bCs/>
      <w:lang w:eastAsia="en-US"/>
    </w:rPr>
  </w:style>
  <w:style w:type="paragraph" w:customStyle="1" w:styleId="TName">
    <w:name w:val="T Name"/>
    <w:basedOn w:val="Normal"/>
    <w:qFormat/>
    <w:rsid w:val="006D6DB1"/>
    <w:pPr>
      <w:keepNext/>
      <w:widowControl/>
      <w:spacing w:after="120"/>
      <w:jc w:val="left"/>
    </w:pPr>
    <w:rPr>
      <w:rFonts w:ascii="Franklin Gothic Medium" w:eastAsiaTheme="minorHAnsi" w:hAnsi="Franklin Gothic Medium" w:cstheme="minorBidi"/>
      <w:snapToGrid/>
      <w:sz w:val="22"/>
    </w:rPr>
  </w:style>
  <w:style w:type="paragraph" w:customStyle="1" w:styleId="THead">
    <w:name w:val="T Head"/>
    <w:basedOn w:val="Normal"/>
    <w:qFormat/>
    <w:rsid w:val="006D6DB1"/>
    <w:pPr>
      <w:keepNext/>
      <w:widowControl/>
      <w:spacing w:after="60"/>
      <w:jc w:val="left"/>
    </w:pPr>
    <w:rPr>
      <w:rFonts w:ascii="Arial Narrow" w:eastAsiaTheme="minorHAnsi" w:hAnsi="Arial Narrow" w:cstheme="minorBidi"/>
      <w:b/>
      <w:snapToGrid/>
      <w:sz w:val="20"/>
    </w:rPr>
  </w:style>
  <w:style w:type="paragraph" w:customStyle="1" w:styleId="Sources">
    <w:name w:val="Sources"/>
    <w:basedOn w:val="Normal"/>
    <w:link w:val="SourcesChar"/>
    <w:rsid w:val="006D6DB1"/>
    <w:pPr>
      <w:widowControl/>
      <w:spacing w:before="120"/>
      <w:ind w:left="284" w:hanging="284"/>
    </w:pPr>
    <w:rPr>
      <w:rFonts w:eastAsiaTheme="minorHAnsi" w:cstheme="minorBidi"/>
      <w:snapToGrid/>
      <w:sz w:val="16"/>
    </w:rPr>
  </w:style>
  <w:style w:type="character" w:customStyle="1" w:styleId="SourcesChar">
    <w:name w:val="Sources Char"/>
    <w:basedOn w:val="DefaultParagraphFont"/>
    <w:link w:val="Sources"/>
    <w:rsid w:val="006D6DB1"/>
    <w:rPr>
      <w:rFonts w:ascii="Calibri" w:eastAsiaTheme="minorHAnsi" w:hAnsi="Calibri" w:cstheme="minorBidi"/>
      <w:sz w:val="16"/>
      <w:szCs w:val="22"/>
      <w:lang w:eastAsia="en-US"/>
    </w:rPr>
  </w:style>
  <w:style w:type="paragraph" w:styleId="DocumentMap">
    <w:name w:val="Document Map"/>
    <w:basedOn w:val="Normal"/>
    <w:link w:val="DocumentMapChar"/>
    <w:semiHidden/>
    <w:unhideWhenUsed/>
    <w:rsid w:val="00D31920"/>
    <w:rPr>
      <w:rFonts w:ascii="Tahoma" w:hAnsi="Tahoma" w:cs="Tahoma"/>
      <w:sz w:val="16"/>
      <w:szCs w:val="16"/>
    </w:rPr>
  </w:style>
  <w:style w:type="character" w:customStyle="1" w:styleId="DocumentMapChar">
    <w:name w:val="Document Map Char"/>
    <w:basedOn w:val="DefaultParagraphFont"/>
    <w:link w:val="DocumentMap"/>
    <w:semiHidden/>
    <w:rsid w:val="00D31920"/>
    <w:rPr>
      <w:rFonts w:ascii="Tahoma" w:hAnsi="Tahoma" w:cs="Tahoma"/>
      <w:snapToGrid w:val="0"/>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F57BF"/>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2E2883"/>
    <w:pPr>
      <w:keepNext/>
      <w:keepLines/>
      <w:widowControl/>
      <w:numPr>
        <w:numId w:val="2"/>
      </w:numPr>
      <w:spacing w:before="240" w:after="120"/>
      <w:ind w:left="709" w:hanging="709"/>
      <w:jc w:val="left"/>
      <w:outlineLvl w:val="0"/>
    </w:pPr>
    <w:rPr>
      <w:rFonts w:asciiTheme="minorHAnsi" w:eastAsiaTheme="minorHAnsi" w:hAnsiTheme="minorHAnsi" w:cstheme="minorBidi"/>
      <w:b/>
      <w:sz w:val="32"/>
    </w:rPr>
  </w:style>
  <w:style w:type="paragraph" w:styleId="Heading2">
    <w:name w:val="heading 2"/>
    <w:basedOn w:val="Normal"/>
    <w:next w:val="Normal"/>
    <w:link w:val="Heading2Char"/>
    <w:qFormat/>
    <w:rsid w:val="002E2883"/>
    <w:pPr>
      <w:spacing w:before="120"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E2883"/>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5"/>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semiHidden/>
    <w:unhideWhenUsed/>
    <w:rsid w:val="003D25BE"/>
    <w:rPr>
      <w:sz w:val="20"/>
      <w:szCs w:val="20"/>
    </w:rPr>
  </w:style>
  <w:style w:type="character" w:customStyle="1" w:styleId="FootnoteTextChar">
    <w:name w:val="Footnote Text Char"/>
    <w:basedOn w:val="DefaultParagraphFont"/>
    <w:link w:val="FootnoteText"/>
    <w:semiHidden/>
    <w:rsid w:val="003D25BE"/>
    <w:rPr>
      <w:rFonts w:ascii="Calibri" w:hAnsi="Calibri" w:cs="Arial"/>
      <w:snapToGrid w:val="0"/>
      <w:lang w:eastAsia="en-US"/>
    </w:rPr>
  </w:style>
  <w:style w:type="character" w:styleId="FootnoteReference">
    <w:name w:val="footnote reference"/>
    <w:basedOn w:val="DefaultParagraphFont"/>
    <w:semiHidden/>
    <w:unhideWhenUsed/>
    <w:rsid w:val="003D25BE"/>
    <w:rPr>
      <w:vertAlign w:val="superscript"/>
    </w:rPr>
  </w:style>
  <w:style w:type="paragraph" w:customStyle="1" w:styleId="Body">
    <w:name w:val="Body"/>
    <w:basedOn w:val="Normal"/>
    <w:link w:val="BodyChar"/>
    <w:qFormat/>
    <w:rsid w:val="00CA0874"/>
    <w:pPr>
      <w:widowControl/>
      <w:spacing w:after="120"/>
    </w:pPr>
    <w:rPr>
      <w:rFonts w:asciiTheme="minorHAnsi" w:eastAsiaTheme="minorHAnsi" w:hAnsiTheme="minorHAnsi" w:cstheme="minorBidi"/>
      <w:snapToGrid/>
      <w:sz w:val="22"/>
    </w:rPr>
  </w:style>
  <w:style w:type="paragraph" w:customStyle="1" w:styleId="Bullets">
    <w:name w:val="Bullets"/>
    <w:basedOn w:val="Body"/>
    <w:link w:val="BulletsChar"/>
    <w:qFormat/>
    <w:rsid w:val="00CA0874"/>
    <w:pPr>
      <w:numPr>
        <w:numId w:val="4"/>
      </w:numPr>
    </w:pPr>
  </w:style>
  <w:style w:type="character" w:customStyle="1" w:styleId="BodyChar">
    <w:name w:val="Body Char"/>
    <w:basedOn w:val="DefaultParagraphFont"/>
    <w:link w:val="Body"/>
    <w:rsid w:val="00CA0874"/>
    <w:rPr>
      <w:rFonts w:asciiTheme="minorHAnsi" w:eastAsiaTheme="minorHAnsi" w:hAnsiTheme="minorHAnsi" w:cstheme="minorBidi"/>
      <w:sz w:val="22"/>
      <w:szCs w:val="22"/>
      <w:lang w:eastAsia="en-US"/>
    </w:rPr>
  </w:style>
  <w:style w:type="character" w:customStyle="1" w:styleId="BulletsChar">
    <w:name w:val="Bullets Char"/>
    <w:basedOn w:val="BodyChar"/>
    <w:link w:val="Bullets"/>
    <w:rsid w:val="00CA0874"/>
    <w:rPr>
      <w:rFonts w:asciiTheme="minorHAnsi" w:eastAsiaTheme="minorHAnsi" w:hAnsiTheme="minorHAnsi" w:cstheme="minorBidi"/>
      <w:sz w:val="22"/>
      <w:szCs w:val="22"/>
      <w:lang w:eastAsia="en-US"/>
    </w:rPr>
  </w:style>
  <w:style w:type="paragraph" w:customStyle="1" w:styleId="Default">
    <w:name w:val="Default"/>
    <w:rsid w:val="00BF2DE8"/>
    <w:pPr>
      <w:autoSpaceDE w:val="0"/>
      <w:autoSpaceDN w:val="0"/>
      <w:adjustRightInd w:val="0"/>
    </w:pPr>
    <w:rPr>
      <w:rFonts w:ascii="Calibri" w:eastAsiaTheme="minorHAnsi" w:hAnsi="Calibri" w:cs="Calibri"/>
      <w:color w:val="000000"/>
      <w:sz w:val="24"/>
      <w:szCs w:val="24"/>
      <w:lang w:eastAsia="en-US"/>
    </w:rPr>
  </w:style>
  <w:style w:type="paragraph" w:customStyle="1" w:styleId="TableText0">
    <w:name w:val="TableText"/>
    <w:basedOn w:val="Normal"/>
    <w:link w:val="TableTextChar0"/>
    <w:uiPriority w:val="3"/>
    <w:qFormat/>
    <w:rsid w:val="006D6DB1"/>
    <w:pPr>
      <w:widowControl/>
      <w:spacing w:before="20" w:after="20"/>
      <w:jc w:val="left"/>
    </w:pPr>
    <w:rPr>
      <w:rFonts w:cstheme="minorHAnsi"/>
      <w:bCs/>
      <w:snapToGrid/>
      <w:sz w:val="20"/>
      <w:szCs w:val="20"/>
    </w:rPr>
  </w:style>
  <w:style w:type="character" w:customStyle="1" w:styleId="TableTextChar0">
    <w:name w:val="TableText Char"/>
    <w:basedOn w:val="DefaultParagraphFont"/>
    <w:link w:val="TableText0"/>
    <w:uiPriority w:val="3"/>
    <w:rsid w:val="006D6DB1"/>
    <w:rPr>
      <w:rFonts w:ascii="Calibri" w:hAnsi="Calibri" w:cstheme="minorHAnsi"/>
      <w:bCs/>
      <w:lang w:eastAsia="en-US"/>
    </w:rPr>
  </w:style>
  <w:style w:type="paragraph" w:customStyle="1" w:styleId="TName">
    <w:name w:val="T Name"/>
    <w:basedOn w:val="Normal"/>
    <w:qFormat/>
    <w:rsid w:val="006D6DB1"/>
    <w:pPr>
      <w:keepNext/>
      <w:widowControl/>
      <w:spacing w:after="120"/>
      <w:jc w:val="left"/>
    </w:pPr>
    <w:rPr>
      <w:rFonts w:ascii="Franklin Gothic Medium" w:eastAsiaTheme="minorHAnsi" w:hAnsi="Franklin Gothic Medium" w:cstheme="minorBidi"/>
      <w:snapToGrid/>
      <w:sz w:val="22"/>
    </w:rPr>
  </w:style>
  <w:style w:type="paragraph" w:customStyle="1" w:styleId="THead">
    <w:name w:val="T Head"/>
    <w:basedOn w:val="Normal"/>
    <w:qFormat/>
    <w:rsid w:val="006D6DB1"/>
    <w:pPr>
      <w:keepNext/>
      <w:widowControl/>
      <w:spacing w:after="60"/>
      <w:jc w:val="left"/>
    </w:pPr>
    <w:rPr>
      <w:rFonts w:ascii="Arial Narrow" w:eastAsiaTheme="minorHAnsi" w:hAnsi="Arial Narrow" w:cstheme="minorBidi"/>
      <w:b/>
      <w:snapToGrid/>
      <w:sz w:val="20"/>
    </w:rPr>
  </w:style>
  <w:style w:type="paragraph" w:customStyle="1" w:styleId="Sources">
    <w:name w:val="Sources"/>
    <w:basedOn w:val="Normal"/>
    <w:link w:val="SourcesChar"/>
    <w:rsid w:val="006D6DB1"/>
    <w:pPr>
      <w:widowControl/>
      <w:spacing w:before="120"/>
      <w:ind w:left="284" w:hanging="284"/>
    </w:pPr>
    <w:rPr>
      <w:rFonts w:eastAsiaTheme="minorHAnsi" w:cstheme="minorBidi"/>
      <w:snapToGrid/>
      <w:sz w:val="16"/>
    </w:rPr>
  </w:style>
  <w:style w:type="character" w:customStyle="1" w:styleId="SourcesChar">
    <w:name w:val="Sources Char"/>
    <w:basedOn w:val="DefaultParagraphFont"/>
    <w:link w:val="Sources"/>
    <w:rsid w:val="006D6DB1"/>
    <w:rPr>
      <w:rFonts w:ascii="Calibri" w:eastAsiaTheme="minorHAnsi" w:hAnsi="Calibri" w:cstheme="minorBidi"/>
      <w:sz w:val="16"/>
      <w:szCs w:val="22"/>
      <w:lang w:eastAsia="en-US"/>
    </w:rPr>
  </w:style>
  <w:style w:type="paragraph" w:styleId="DocumentMap">
    <w:name w:val="Document Map"/>
    <w:basedOn w:val="Normal"/>
    <w:link w:val="DocumentMapChar"/>
    <w:semiHidden/>
    <w:unhideWhenUsed/>
    <w:rsid w:val="00D31920"/>
    <w:rPr>
      <w:rFonts w:ascii="Tahoma" w:hAnsi="Tahoma" w:cs="Tahoma"/>
      <w:sz w:val="16"/>
      <w:szCs w:val="16"/>
    </w:rPr>
  </w:style>
  <w:style w:type="character" w:customStyle="1" w:styleId="DocumentMapChar">
    <w:name w:val="Document Map Char"/>
    <w:basedOn w:val="DefaultParagraphFont"/>
    <w:link w:val="DocumentMap"/>
    <w:semiHidden/>
    <w:rsid w:val="00D31920"/>
    <w:rPr>
      <w:rFonts w:ascii="Tahoma" w:hAnsi="Tahoma" w:cs="Tahoma"/>
      <w:snapToGrid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938063">
      <w:bodyDiv w:val="1"/>
      <w:marLeft w:val="0"/>
      <w:marRight w:val="0"/>
      <w:marTop w:val="0"/>
      <w:marBottom w:val="0"/>
      <w:divBdr>
        <w:top w:val="none" w:sz="0" w:space="0" w:color="auto"/>
        <w:left w:val="none" w:sz="0" w:space="0" w:color="auto"/>
        <w:bottom w:val="none" w:sz="0" w:space="0" w:color="auto"/>
        <w:right w:val="none" w:sz="0" w:space="0" w:color="auto"/>
      </w:divBdr>
    </w:div>
    <w:div w:id="336200854">
      <w:bodyDiv w:val="1"/>
      <w:marLeft w:val="0"/>
      <w:marRight w:val="0"/>
      <w:marTop w:val="0"/>
      <w:marBottom w:val="0"/>
      <w:divBdr>
        <w:top w:val="none" w:sz="0" w:space="0" w:color="auto"/>
        <w:left w:val="none" w:sz="0" w:space="0" w:color="auto"/>
        <w:bottom w:val="none" w:sz="0" w:space="0" w:color="auto"/>
        <w:right w:val="none" w:sz="0" w:space="0" w:color="auto"/>
      </w:divBdr>
    </w:div>
    <w:div w:id="527259632">
      <w:bodyDiv w:val="1"/>
      <w:marLeft w:val="0"/>
      <w:marRight w:val="0"/>
      <w:marTop w:val="0"/>
      <w:marBottom w:val="0"/>
      <w:divBdr>
        <w:top w:val="none" w:sz="0" w:space="0" w:color="auto"/>
        <w:left w:val="none" w:sz="0" w:space="0" w:color="auto"/>
        <w:bottom w:val="none" w:sz="0" w:space="0" w:color="auto"/>
        <w:right w:val="none" w:sz="0" w:space="0" w:color="auto"/>
      </w:divBdr>
    </w:div>
    <w:div w:id="535973338">
      <w:bodyDiv w:val="1"/>
      <w:marLeft w:val="0"/>
      <w:marRight w:val="0"/>
      <w:marTop w:val="0"/>
      <w:marBottom w:val="0"/>
      <w:divBdr>
        <w:top w:val="none" w:sz="0" w:space="0" w:color="auto"/>
        <w:left w:val="none" w:sz="0" w:space="0" w:color="auto"/>
        <w:bottom w:val="none" w:sz="0" w:space="0" w:color="auto"/>
        <w:right w:val="none" w:sz="0" w:space="0" w:color="auto"/>
      </w:divBdr>
    </w:div>
    <w:div w:id="685592808">
      <w:bodyDiv w:val="1"/>
      <w:marLeft w:val="0"/>
      <w:marRight w:val="0"/>
      <w:marTop w:val="0"/>
      <w:marBottom w:val="0"/>
      <w:divBdr>
        <w:top w:val="none" w:sz="0" w:space="0" w:color="auto"/>
        <w:left w:val="none" w:sz="0" w:space="0" w:color="auto"/>
        <w:bottom w:val="none" w:sz="0" w:space="0" w:color="auto"/>
        <w:right w:val="none" w:sz="0" w:space="0" w:color="auto"/>
      </w:divBdr>
    </w:div>
    <w:div w:id="712972032">
      <w:bodyDiv w:val="1"/>
      <w:marLeft w:val="0"/>
      <w:marRight w:val="0"/>
      <w:marTop w:val="0"/>
      <w:marBottom w:val="0"/>
      <w:divBdr>
        <w:top w:val="none" w:sz="0" w:space="0" w:color="auto"/>
        <w:left w:val="none" w:sz="0" w:space="0" w:color="auto"/>
        <w:bottom w:val="none" w:sz="0" w:space="0" w:color="auto"/>
        <w:right w:val="none" w:sz="0" w:space="0" w:color="auto"/>
      </w:divBdr>
    </w:div>
    <w:div w:id="1097016464">
      <w:bodyDiv w:val="1"/>
      <w:marLeft w:val="0"/>
      <w:marRight w:val="0"/>
      <w:marTop w:val="0"/>
      <w:marBottom w:val="0"/>
      <w:divBdr>
        <w:top w:val="none" w:sz="0" w:space="0" w:color="auto"/>
        <w:left w:val="none" w:sz="0" w:space="0" w:color="auto"/>
        <w:bottom w:val="none" w:sz="0" w:space="0" w:color="auto"/>
        <w:right w:val="none" w:sz="0" w:space="0" w:color="auto"/>
      </w:divBdr>
    </w:div>
    <w:div w:id="1396856352">
      <w:bodyDiv w:val="1"/>
      <w:marLeft w:val="0"/>
      <w:marRight w:val="0"/>
      <w:marTop w:val="0"/>
      <w:marBottom w:val="0"/>
      <w:divBdr>
        <w:top w:val="none" w:sz="0" w:space="0" w:color="auto"/>
        <w:left w:val="none" w:sz="0" w:space="0" w:color="auto"/>
        <w:bottom w:val="none" w:sz="0" w:space="0" w:color="auto"/>
        <w:right w:val="none" w:sz="0" w:space="0" w:color="auto"/>
      </w:divBdr>
    </w:div>
    <w:div w:id="1823736978">
      <w:bodyDiv w:val="1"/>
      <w:marLeft w:val="0"/>
      <w:marRight w:val="0"/>
      <w:marTop w:val="0"/>
      <w:marBottom w:val="0"/>
      <w:divBdr>
        <w:top w:val="none" w:sz="0" w:space="0" w:color="auto"/>
        <w:left w:val="none" w:sz="0" w:space="0" w:color="auto"/>
        <w:bottom w:val="none" w:sz="0" w:space="0" w:color="auto"/>
        <w:right w:val="none" w:sz="0" w:space="0" w:color="auto"/>
      </w:divBdr>
    </w:div>
    <w:div w:id="1900020174">
      <w:bodyDiv w:val="1"/>
      <w:marLeft w:val="0"/>
      <w:marRight w:val="0"/>
      <w:marTop w:val="0"/>
      <w:marBottom w:val="0"/>
      <w:divBdr>
        <w:top w:val="none" w:sz="0" w:space="0" w:color="auto"/>
        <w:left w:val="none" w:sz="0" w:space="0" w:color="auto"/>
        <w:bottom w:val="none" w:sz="0" w:space="0" w:color="auto"/>
        <w:right w:val="none" w:sz="0" w:space="0" w:color="auto"/>
      </w:divBdr>
    </w:div>
    <w:div w:id="1913810179">
      <w:bodyDiv w:val="1"/>
      <w:marLeft w:val="0"/>
      <w:marRight w:val="0"/>
      <w:marTop w:val="0"/>
      <w:marBottom w:val="0"/>
      <w:divBdr>
        <w:top w:val="none" w:sz="0" w:space="0" w:color="auto"/>
        <w:left w:val="none" w:sz="0" w:space="0" w:color="auto"/>
        <w:bottom w:val="none" w:sz="0" w:space="0" w:color="auto"/>
        <w:right w:val="none" w:sz="0" w:space="0" w:color="auto"/>
      </w:divBdr>
    </w:div>
    <w:div w:id="1919634021">
      <w:bodyDiv w:val="1"/>
      <w:marLeft w:val="0"/>
      <w:marRight w:val="0"/>
      <w:marTop w:val="0"/>
      <w:marBottom w:val="0"/>
      <w:divBdr>
        <w:top w:val="none" w:sz="0" w:space="0" w:color="auto"/>
        <w:left w:val="none" w:sz="0" w:space="0" w:color="auto"/>
        <w:bottom w:val="none" w:sz="0" w:space="0" w:color="auto"/>
        <w:right w:val="none" w:sz="0" w:space="0" w:color="auto"/>
      </w:divBdr>
    </w:div>
    <w:div w:id="2044476589">
      <w:bodyDiv w:val="1"/>
      <w:marLeft w:val="0"/>
      <w:marRight w:val="0"/>
      <w:marTop w:val="0"/>
      <w:marBottom w:val="0"/>
      <w:divBdr>
        <w:top w:val="none" w:sz="0" w:space="0" w:color="auto"/>
        <w:left w:val="none" w:sz="0" w:space="0" w:color="auto"/>
        <w:bottom w:val="none" w:sz="0" w:space="0" w:color="auto"/>
        <w:right w:val="none" w:sz="0" w:space="0" w:color="auto"/>
      </w:divBdr>
    </w:div>
    <w:div w:id="208202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tmp"/><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71C9C-1B62-49B5-B142-5A274C028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12340</Words>
  <Characters>69600</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2018-07-10T23:41:00Z</dcterms:created>
  <dcterms:modified xsi:type="dcterms:W3CDTF">2018-11-01T06:18:00Z</dcterms:modified>
</cp:coreProperties>
</file>