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DA2" w:rsidRDefault="00900C9F" w:rsidP="00837BC5">
      <w:pPr>
        <w:widowControl/>
        <w:jc w:val="left"/>
        <w:rPr>
          <w:b/>
          <w:sz w:val="36"/>
          <w:szCs w:val="36"/>
        </w:rPr>
      </w:pPr>
      <w:bookmarkStart w:id="0" w:name="_GoBack"/>
      <w:bookmarkEnd w:id="0"/>
      <w:r w:rsidRPr="00DB4AE1">
        <w:rPr>
          <w:b/>
          <w:sz w:val="36"/>
          <w:szCs w:val="36"/>
        </w:rPr>
        <w:t>7</w:t>
      </w:r>
      <w:r w:rsidR="00433044" w:rsidRPr="00DB4AE1">
        <w:rPr>
          <w:b/>
          <w:sz w:val="36"/>
          <w:szCs w:val="36"/>
        </w:rPr>
        <w:t>.</w:t>
      </w:r>
      <w:r w:rsidRPr="00DB4AE1">
        <w:rPr>
          <w:b/>
          <w:sz w:val="36"/>
          <w:szCs w:val="36"/>
        </w:rPr>
        <w:t>02</w:t>
      </w:r>
      <w:r w:rsidR="000B4ED0" w:rsidRPr="00DB4AE1">
        <w:rPr>
          <w:b/>
          <w:sz w:val="36"/>
          <w:szCs w:val="36"/>
        </w:rPr>
        <w:tab/>
      </w:r>
      <w:r w:rsidR="001B06E4" w:rsidRPr="00DB4AE1">
        <w:rPr>
          <w:b/>
          <w:sz w:val="36"/>
          <w:szCs w:val="36"/>
        </w:rPr>
        <w:t>BOTULINUM T</w:t>
      </w:r>
      <w:r w:rsidR="000B4ED0" w:rsidRPr="00DB4AE1">
        <w:rPr>
          <w:b/>
          <w:sz w:val="36"/>
          <w:szCs w:val="36"/>
        </w:rPr>
        <w:t xml:space="preserve">OXIN TYPE A </w:t>
      </w:r>
    </w:p>
    <w:p w:rsidR="000B4ED0" w:rsidRPr="00DB4AE1" w:rsidRDefault="008A4DA2" w:rsidP="008A4DA2">
      <w:pPr>
        <w:widowControl/>
        <w:ind w:firstLine="720"/>
        <w:jc w:val="left"/>
        <w:rPr>
          <w:b/>
          <w:sz w:val="36"/>
          <w:szCs w:val="36"/>
        </w:rPr>
      </w:pPr>
      <w:r>
        <w:rPr>
          <w:b/>
          <w:sz w:val="36"/>
          <w:szCs w:val="36"/>
        </w:rPr>
        <w:t xml:space="preserve">purified neurotoxin </w:t>
      </w:r>
      <w:r w:rsidR="001B06E4" w:rsidRPr="00DB4AE1">
        <w:rPr>
          <w:b/>
          <w:sz w:val="36"/>
          <w:szCs w:val="36"/>
        </w:rPr>
        <w:t>complex</w:t>
      </w:r>
      <w:r w:rsidR="000B4ED0" w:rsidRPr="00DB4AE1">
        <w:rPr>
          <w:b/>
          <w:sz w:val="36"/>
          <w:szCs w:val="36"/>
        </w:rPr>
        <w:t>,</w:t>
      </w:r>
    </w:p>
    <w:p w:rsidR="000B4ED0" w:rsidRPr="00DB4AE1" w:rsidRDefault="000B4ED0" w:rsidP="00837BC5">
      <w:pPr>
        <w:widowControl/>
        <w:jc w:val="left"/>
        <w:rPr>
          <w:b/>
          <w:sz w:val="36"/>
          <w:szCs w:val="36"/>
        </w:rPr>
      </w:pPr>
      <w:r w:rsidRPr="00DB4AE1">
        <w:rPr>
          <w:b/>
          <w:sz w:val="36"/>
          <w:szCs w:val="36"/>
        </w:rPr>
        <w:tab/>
      </w:r>
      <w:r w:rsidR="001B06E4" w:rsidRPr="00DB4AE1">
        <w:rPr>
          <w:rFonts w:asciiTheme="minorHAnsi" w:hAnsiTheme="minorHAnsi"/>
          <w:b/>
          <w:sz w:val="36"/>
          <w:szCs w:val="36"/>
        </w:rPr>
        <w:t>Lyophilised powder for injection, 100 units</w:t>
      </w:r>
      <w:r w:rsidR="00B60939" w:rsidRPr="00DB4AE1">
        <w:rPr>
          <w:b/>
          <w:sz w:val="36"/>
          <w:szCs w:val="36"/>
        </w:rPr>
        <w:t xml:space="preserve">, </w:t>
      </w:r>
    </w:p>
    <w:p w:rsidR="00B60939" w:rsidRPr="00DB4AE1" w:rsidRDefault="000B4ED0" w:rsidP="00837BC5">
      <w:pPr>
        <w:widowControl/>
        <w:jc w:val="left"/>
        <w:rPr>
          <w:b/>
          <w:sz w:val="36"/>
          <w:szCs w:val="36"/>
        </w:rPr>
      </w:pPr>
      <w:r w:rsidRPr="00DB4AE1">
        <w:rPr>
          <w:b/>
          <w:sz w:val="36"/>
          <w:szCs w:val="36"/>
        </w:rPr>
        <w:tab/>
      </w:r>
      <w:r w:rsidR="001B06E4" w:rsidRPr="00DB4AE1">
        <w:rPr>
          <w:b/>
          <w:sz w:val="36"/>
          <w:szCs w:val="36"/>
        </w:rPr>
        <w:t>Botox</w:t>
      </w:r>
      <w:r w:rsidR="00B60939" w:rsidRPr="00DB4AE1">
        <w:rPr>
          <w:b/>
          <w:sz w:val="36"/>
          <w:szCs w:val="36"/>
          <w:vertAlign w:val="superscript"/>
        </w:rPr>
        <w:t>®</w:t>
      </w:r>
      <w:r w:rsidR="00B60939" w:rsidRPr="00DB4AE1">
        <w:rPr>
          <w:b/>
          <w:sz w:val="36"/>
          <w:szCs w:val="36"/>
        </w:rPr>
        <w:t xml:space="preserve">, </w:t>
      </w:r>
      <w:r w:rsidR="001B06E4" w:rsidRPr="00DB4AE1">
        <w:rPr>
          <w:b/>
          <w:sz w:val="36"/>
          <w:szCs w:val="36"/>
        </w:rPr>
        <w:t>Allergan Pty Ltd</w:t>
      </w:r>
    </w:p>
    <w:p w:rsidR="00B60939" w:rsidRPr="00DB4AE1" w:rsidRDefault="00B50DB8" w:rsidP="005C236E">
      <w:pPr>
        <w:pStyle w:val="PBACHeading1"/>
      </w:pPr>
      <w:bookmarkStart w:id="1" w:name="_Toc377658866"/>
      <w:r w:rsidRPr="00DB4AE1">
        <w:t>Purpose of Application</w:t>
      </w:r>
      <w:bookmarkEnd w:id="1"/>
    </w:p>
    <w:p w:rsidR="002F7AAE" w:rsidRPr="001C4612" w:rsidRDefault="001659A3" w:rsidP="00837BC5">
      <w:pPr>
        <w:pStyle w:val="ListParagraph"/>
        <w:widowControl/>
        <w:numPr>
          <w:ilvl w:val="1"/>
          <w:numId w:val="1"/>
        </w:numPr>
        <w:spacing w:after="120"/>
      </w:pPr>
      <w:r w:rsidRPr="00DB4AE1">
        <w:t xml:space="preserve">The submission </w:t>
      </w:r>
      <w:r w:rsidR="004A2676" w:rsidRPr="00DB4AE1">
        <w:t>w</w:t>
      </w:r>
      <w:r w:rsidRPr="00DB4AE1">
        <w:t xml:space="preserve">as lodged to provide support for </w:t>
      </w:r>
      <w:r w:rsidR="002F7AAE" w:rsidRPr="00DB4AE1">
        <w:t xml:space="preserve">the sponsor’s request </w:t>
      </w:r>
      <w:r w:rsidR="00796912" w:rsidRPr="00DB4AE1">
        <w:t xml:space="preserve">to </w:t>
      </w:r>
      <w:r w:rsidR="002F7AAE" w:rsidRPr="00DB4AE1">
        <w:t>revis</w:t>
      </w:r>
      <w:r w:rsidR="00796912" w:rsidRPr="00DB4AE1">
        <w:t>e</w:t>
      </w:r>
      <w:r w:rsidR="002F7AAE" w:rsidRPr="00DB4AE1">
        <w:t xml:space="preserve"> the risk shar</w:t>
      </w:r>
      <w:r w:rsidR="00796912" w:rsidRPr="00DB4AE1">
        <w:t>ing</w:t>
      </w:r>
      <w:r w:rsidR="002F7AAE" w:rsidRPr="00DB4AE1">
        <w:t xml:space="preserve"> arrangement (RSA) relevant to the use of botulinum </w:t>
      </w:r>
      <w:r w:rsidR="00320F20" w:rsidRPr="00DB4AE1">
        <w:t>toxin</w:t>
      </w:r>
      <w:r w:rsidR="002F7AAE" w:rsidRPr="00DB4AE1">
        <w:t xml:space="preserve"> type A (</w:t>
      </w:r>
      <w:r w:rsidR="00B51B8E">
        <w:t xml:space="preserve">hereafter named </w:t>
      </w:r>
      <w:r w:rsidR="002F7AAE" w:rsidRPr="00DB4AE1">
        <w:t xml:space="preserve">Botox) under its PBS listing for the treatment of chronic migraine. Detail on the requested change to the RSA is provided </w:t>
      </w:r>
      <w:r w:rsidRPr="00DB4AE1">
        <w:t>below under ‘Estimated PBS usage and financial implications’</w:t>
      </w:r>
      <w:r w:rsidR="002F7AAE" w:rsidRPr="00DB4AE1">
        <w:t xml:space="preserve">; in brief </w:t>
      </w:r>
      <w:r w:rsidR="001C4612">
        <w:rPr>
          <w:noProof/>
          <w:color w:val="000000"/>
          <w:highlight w:val="black"/>
        </w:rPr>
        <w:t>'''''' '''''''''''''''' ''''''''''''''''''''' '''''''' ''''''' '''''''' ''''''''''''' '''''''''''''''''''''''''' '''''''' ''''' ''''''''''''''' ''''' ''''''' '''''''' '''''''' ''''''' '''''''''''''' '''''''''''''''''' '''''''' ''''''' ''''''' '''''''''''''''</w:t>
      </w:r>
    </w:p>
    <w:p w:rsidR="00C2778B" w:rsidRPr="00DB4AE1" w:rsidRDefault="00F4286F" w:rsidP="00837BC5">
      <w:pPr>
        <w:pStyle w:val="ListParagraph"/>
        <w:widowControl/>
        <w:numPr>
          <w:ilvl w:val="1"/>
          <w:numId w:val="1"/>
        </w:numPr>
        <w:spacing w:after="120"/>
      </w:pPr>
      <w:r w:rsidRPr="00DB4AE1">
        <w:t xml:space="preserve">A retrospective chart review of Australian patients with chronic migraine (Stark 2017; N=211) served as the </w:t>
      </w:r>
      <w:r w:rsidR="00027C48" w:rsidRPr="00DB4AE1">
        <w:t xml:space="preserve">key </w:t>
      </w:r>
      <w:r w:rsidRPr="00DB4AE1">
        <w:t>evidentiary basis of the requested RSA revision.</w:t>
      </w:r>
    </w:p>
    <w:p w:rsidR="008B1757" w:rsidRPr="00DB4AE1" w:rsidRDefault="008B1757" w:rsidP="00837BC5">
      <w:pPr>
        <w:keepNext/>
        <w:widowControl/>
        <w:rPr>
          <w:rStyle w:val="CommentReference"/>
        </w:rPr>
      </w:pPr>
      <w:r w:rsidRPr="00DB4AE1">
        <w:rPr>
          <w:rStyle w:val="CommentReference"/>
        </w:rPr>
        <w:t xml:space="preserve">Table </w:t>
      </w:r>
      <w:r w:rsidR="001D607B" w:rsidRPr="00DB4AE1">
        <w:rPr>
          <w:rStyle w:val="CommentReference"/>
        </w:rPr>
        <w:t>1</w:t>
      </w:r>
      <w:r w:rsidR="00D95C11" w:rsidRPr="00DB4AE1">
        <w:rPr>
          <w:rStyle w:val="CommentReference"/>
        </w:rPr>
        <w:t xml:space="preserve">: </w:t>
      </w:r>
      <w:r w:rsidRPr="00DB4AE1">
        <w:rPr>
          <w:rStyle w:val="CommentReference"/>
        </w:rPr>
        <w:t>Key components of the clinical issue addressed by the submission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484"/>
      </w:tblGrid>
      <w:tr w:rsidR="008B1757" w:rsidRPr="00DB4AE1" w:rsidTr="00B41614">
        <w:trPr>
          <w:cantSplit/>
          <w:tblHeader/>
        </w:trPr>
        <w:tc>
          <w:tcPr>
            <w:tcW w:w="1696" w:type="dxa"/>
            <w:shd w:val="clear" w:color="auto" w:fill="auto"/>
          </w:tcPr>
          <w:p w:rsidR="008B1757" w:rsidRPr="00DB4AE1" w:rsidRDefault="008B1757" w:rsidP="00837BC5">
            <w:pPr>
              <w:pStyle w:val="Tabletext"/>
              <w:keepNext/>
              <w:rPr>
                <w:b/>
                <w:szCs w:val="20"/>
              </w:rPr>
            </w:pPr>
            <w:r w:rsidRPr="00DB4AE1">
              <w:rPr>
                <w:b/>
              </w:rPr>
              <w:t>Component</w:t>
            </w:r>
          </w:p>
        </w:tc>
        <w:tc>
          <w:tcPr>
            <w:tcW w:w="7484" w:type="dxa"/>
            <w:shd w:val="clear" w:color="auto" w:fill="auto"/>
          </w:tcPr>
          <w:p w:rsidR="008B1757" w:rsidRPr="00DB4AE1" w:rsidRDefault="008B1757" w:rsidP="00837BC5">
            <w:pPr>
              <w:pStyle w:val="Tabletext"/>
              <w:keepNext/>
              <w:jc w:val="center"/>
              <w:rPr>
                <w:b/>
              </w:rPr>
            </w:pPr>
            <w:r w:rsidRPr="00DB4AE1">
              <w:rPr>
                <w:b/>
              </w:rPr>
              <w:t>Description</w:t>
            </w:r>
          </w:p>
        </w:tc>
      </w:tr>
      <w:tr w:rsidR="008B1757" w:rsidRPr="00DB4AE1" w:rsidTr="00B41614">
        <w:trPr>
          <w:cantSplit/>
        </w:trPr>
        <w:tc>
          <w:tcPr>
            <w:tcW w:w="1696" w:type="dxa"/>
            <w:shd w:val="clear" w:color="auto" w:fill="auto"/>
          </w:tcPr>
          <w:p w:rsidR="008B1757" w:rsidRPr="00DB4AE1" w:rsidRDefault="008B1757" w:rsidP="00837BC5">
            <w:pPr>
              <w:pStyle w:val="Tabletext"/>
              <w:keepNext/>
            </w:pPr>
            <w:r w:rsidRPr="00DB4AE1">
              <w:t>Population</w:t>
            </w:r>
          </w:p>
        </w:tc>
        <w:tc>
          <w:tcPr>
            <w:tcW w:w="7484" w:type="dxa"/>
            <w:shd w:val="clear" w:color="auto" w:fill="auto"/>
          </w:tcPr>
          <w:p w:rsidR="008B1757" w:rsidRPr="00DB4AE1" w:rsidRDefault="00027C48" w:rsidP="00837BC5">
            <w:pPr>
              <w:pStyle w:val="Tabletext"/>
              <w:keepNext/>
            </w:pPr>
            <w:r w:rsidRPr="00DB4AE1">
              <w:t>Adults with chronic migraine</w:t>
            </w:r>
          </w:p>
        </w:tc>
      </w:tr>
      <w:tr w:rsidR="008B1757" w:rsidRPr="00DB4AE1" w:rsidTr="00B41614">
        <w:trPr>
          <w:cantSplit/>
        </w:trPr>
        <w:tc>
          <w:tcPr>
            <w:tcW w:w="1696" w:type="dxa"/>
            <w:shd w:val="clear" w:color="auto" w:fill="auto"/>
          </w:tcPr>
          <w:p w:rsidR="008B1757" w:rsidRPr="00DB4AE1" w:rsidRDefault="008B1757" w:rsidP="00837BC5">
            <w:pPr>
              <w:pStyle w:val="Tabletext"/>
              <w:keepNext/>
            </w:pPr>
            <w:r w:rsidRPr="00DB4AE1">
              <w:t>Intervention</w:t>
            </w:r>
          </w:p>
        </w:tc>
        <w:tc>
          <w:tcPr>
            <w:tcW w:w="7484" w:type="dxa"/>
            <w:shd w:val="clear" w:color="auto" w:fill="auto"/>
          </w:tcPr>
          <w:p w:rsidR="008B1757" w:rsidRPr="00DB4AE1" w:rsidRDefault="00027C48" w:rsidP="00837BC5">
            <w:pPr>
              <w:pStyle w:val="Tabletext"/>
              <w:keepNext/>
            </w:pPr>
            <w:r w:rsidRPr="00DB4AE1">
              <w:t>Bot</w:t>
            </w:r>
            <w:r w:rsidR="00D95C11" w:rsidRPr="00DB4AE1">
              <w:t>ulinum toxin</w:t>
            </w:r>
            <w:r w:rsidRPr="00DB4AE1">
              <w:t xml:space="preserve">, delivered by </w:t>
            </w:r>
            <w:r w:rsidR="00DE0ED6" w:rsidRPr="00DB4AE1">
              <w:t>injection every 12 weeks to 31 sites in the head and neck along with 8 ‘follow the pain’ sites.</w:t>
            </w:r>
          </w:p>
          <w:p w:rsidR="00027C48" w:rsidRPr="00DB4AE1" w:rsidRDefault="00DE0ED6" w:rsidP="00837BC5">
            <w:pPr>
              <w:pStyle w:val="Tabletext"/>
              <w:keepNext/>
            </w:pPr>
            <w:r w:rsidRPr="00DB4AE1">
              <w:t>Bot</w:t>
            </w:r>
            <w:r w:rsidR="00D95C11" w:rsidRPr="00DB4AE1">
              <w:t>ulinum toxin</w:t>
            </w:r>
            <w:r w:rsidRPr="00DB4AE1">
              <w:t xml:space="preserve"> is a last line therapy after patients have failed t</w:t>
            </w:r>
            <w:r w:rsidR="003675B6" w:rsidRPr="00DB4AE1">
              <w:t xml:space="preserve">o achieve an adequate response </w:t>
            </w:r>
            <w:r w:rsidRPr="00DB4AE1">
              <w:t>or are intolerant or contraindicated to at least 3 oral prophylactic medications.</w:t>
            </w:r>
          </w:p>
        </w:tc>
      </w:tr>
      <w:tr w:rsidR="008B1757" w:rsidRPr="00DB4AE1" w:rsidTr="00B41614">
        <w:trPr>
          <w:cantSplit/>
        </w:trPr>
        <w:tc>
          <w:tcPr>
            <w:tcW w:w="1696" w:type="dxa"/>
            <w:shd w:val="clear" w:color="auto" w:fill="auto"/>
          </w:tcPr>
          <w:p w:rsidR="008B1757" w:rsidRPr="00DB4AE1" w:rsidRDefault="008B1757" w:rsidP="00837BC5">
            <w:pPr>
              <w:pStyle w:val="Tabletext"/>
              <w:keepNext/>
            </w:pPr>
            <w:r w:rsidRPr="00DB4AE1">
              <w:t>Comparator</w:t>
            </w:r>
          </w:p>
        </w:tc>
        <w:tc>
          <w:tcPr>
            <w:tcW w:w="7484" w:type="dxa"/>
            <w:shd w:val="clear" w:color="auto" w:fill="auto"/>
          </w:tcPr>
          <w:p w:rsidR="008B1757" w:rsidRPr="00DB4AE1" w:rsidRDefault="00DE0ED6" w:rsidP="00837BC5">
            <w:pPr>
              <w:pStyle w:val="Tabletext"/>
              <w:keepNext/>
            </w:pPr>
            <w:r w:rsidRPr="00DB4AE1">
              <w:t>Best supportive care (BSC)</w:t>
            </w:r>
          </w:p>
        </w:tc>
      </w:tr>
      <w:tr w:rsidR="008B1757" w:rsidRPr="00DB4AE1" w:rsidTr="00B41614">
        <w:trPr>
          <w:cantSplit/>
        </w:trPr>
        <w:tc>
          <w:tcPr>
            <w:tcW w:w="1696" w:type="dxa"/>
            <w:shd w:val="clear" w:color="auto" w:fill="auto"/>
          </w:tcPr>
          <w:p w:rsidR="008B1757" w:rsidRPr="00DB4AE1" w:rsidRDefault="008B1757" w:rsidP="00837BC5">
            <w:pPr>
              <w:pStyle w:val="Tabletext"/>
              <w:keepNext/>
            </w:pPr>
            <w:r w:rsidRPr="00DB4AE1">
              <w:t>Outcomes</w:t>
            </w:r>
          </w:p>
        </w:tc>
        <w:tc>
          <w:tcPr>
            <w:tcW w:w="7484" w:type="dxa"/>
            <w:shd w:val="clear" w:color="auto" w:fill="auto"/>
          </w:tcPr>
          <w:p w:rsidR="008B1757" w:rsidRPr="00DB4AE1" w:rsidRDefault="00DE0ED6" w:rsidP="00837BC5">
            <w:pPr>
              <w:pStyle w:val="Tabletext"/>
              <w:keepNext/>
            </w:pPr>
            <w:r w:rsidRPr="00DB4AE1">
              <w:t xml:space="preserve">Proportion of patients with </w:t>
            </w:r>
            <w:r w:rsidR="008A6F83">
              <w:t xml:space="preserve">≥ </w:t>
            </w:r>
            <w:r w:rsidRPr="00DB4AE1">
              <w:t>50% reduction in the nu</w:t>
            </w:r>
            <w:r w:rsidR="00D95C11" w:rsidRPr="00DB4AE1">
              <w:t>mber of headache days per month</w:t>
            </w:r>
          </w:p>
        </w:tc>
      </w:tr>
      <w:tr w:rsidR="008B1757" w:rsidRPr="00DB4AE1" w:rsidTr="00B41614">
        <w:trPr>
          <w:cantSplit/>
        </w:trPr>
        <w:tc>
          <w:tcPr>
            <w:tcW w:w="1696" w:type="dxa"/>
            <w:shd w:val="clear" w:color="auto" w:fill="auto"/>
          </w:tcPr>
          <w:p w:rsidR="008B1757" w:rsidRPr="00DB4AE1" w:rsidRDefault="008B1757" w:rsidP="00837BC5">
            <w:pPr>
              <w:pStyle w:val="Tabletext"/>
              <w:keepNext/>
            </w:pPr>
            <w:r w:rsidRPr="00DB4AE1">
              <w:t>Clinical claim</w:t>
            </w:r>
          </w:p>
        </w:tc>
        <w:tc>
          <w:tcPr>
            <w:tcW w:w="7484" w:type="dxa"/>
            <w:shd w:val="clear" w:color="auto" w:fill="auto"/>
          </w:tcPr>
          <w:p w:rsidR="008B1757" w:rsidRPr="00DB4AE1" w:rsidRDefault="00DE0ED6" w:rsidP="00837BC5">
            <w:pPr>
              <w:pStyle w:val="Tabletext"/>
              <w:keepNext/>
            </w:pPr>
            <w:r w:rsidRPr="00DB4AE1">
              <w:t>The submission stated that in the PBS population treated with Botox for chronic migraine (Stark 2017 retrospective chart review), patients achieved better clinical outcomes than those achieved by patients in the pi</w:t>
            </w:r>
            <w:r w:rsidR="00D95F30" w:rsidRPr="00DB4AE1">
              <w:t xml:space="preserve">votal trials (PREEMPT trials). </w:t>
            </w:r>
            <w:r w:rsidRPr="00DB4AE1">
              <w:t>The submission used this claim to support its proposed revision to the RSA.</w:t>
            </w:r>
          </w:p>
        </w:tc>
      </w:tr>
    </w:tbl>
    <w:p w:rsidR="00A225AF" w:rsidRPr="00DB4AE1" w:rsidRDefault="008B1757" w:rsidP="00837BC5">
      <w:pPr>
        <w:pStyle w:val="TableFooter"/>
        <w:widowControl/>
      </w:pPr>
      <w:r w:rsidRPr="00DB4AE1">
        <w:t xml:space="preserve">Source: </w:t>
      </w:r>
      <w:r w:rsidR="001659DA" w:rsidRPr="00DB4AE1">
        <w:t>Sections 1 and 2 of the submission.</w:t>
      </w:r>
      <w:bookmarkStart w:id="2" w:name="_Toc377658867"/>
    </w:p>
    <w:p w:rsidR="00B60939" w:rsidRPr="00DB4AE1" w:rsidRDefault="002E1D04" w:rsidP="005C236E">
      <w:pPr>
        <w:pStyle w:val="PBACHeading1"/>
      </w:pPr>
      <w:r w:rsidRPr="00DB4AE1">
        <w:t>Current</w:t>
      </w:r>
      <w:r w:rsidR="00B50DB8" w:rsidRPr="00DB4AE1">
        <w:t xml:space="preserve"> listing</w:t>
      </w:r>
      <w:bookmarkEnd w:id="2"/>
    </w:p>
    <w:p w:rsidR="004A2676" w:rsidRPr="00DB4AE1" w:rsidRDefault="004A2676" w:rsidP="00B51B8E">
      <w:pPr>
        <w:pStyle w:val="ListParagraph"/>
        <w:widowControl/>
        <w:numPr>
          <w:ilvl w:val="1"/>
          <w:numId w:val="1"/>
        </w:numPr>
        <w:spacing w:before="120" w:after="120"/>
      </w:pPr>
      <w:r w:rsidRPr="00DB4AE1">
        <w:t xml:space="preserve">The current listing </w:t>
      </w:r>
      <w:r w:rsidR="00B51B8E">
        <w:t xml:space="preserve">for Botox for the treatment of chronic migraine </w:t>
      </w:r>
      <w:r w:rsidRPr="00DB4AE1">
        <w:t xml:space="preserve">is </w:t>
      </w:r>
      <w:r w:rsidR="00B51B8E">
        <w:t>provided below</w:t>
      </w:r>
      <w:r w:rsidRPr="00DB4AE1">
        <w:t>.</w:t>
      </w:r>
    </w:p>
    <w:tbl>
      <w:tblPr>
        <w:tblW w:w="9180" w:type="dxa"/>
        <w:tblBorders>
          <w:top w:val="single" w:sz="4" w:space="0" w:color="auto"/>
          <w:bottom w:val="single" w:sz="4" w:space="0" w:color="auto"/>
          <w:insideH w:val="single" w:sz="4" w:space="0" w:color="auto"/>
        </w:tblBorders>
        <w:tblLook w:val="04A0" w:firstRow="1" w:lastRow="0" w:firstColumn="1" w:lastColumn="0" w:noHBand="0" w:noVBand="1"/>
      </w:tblPr>
      <w:tblGrid>
        <w:gridCol w:w="108"/>
        <w:gridCol w:w="2268"/>
        <w:gridCol w:w="709"/>
        <w:gridCol w:w="351"/>
        <w:gridCol w:w="1186"/>
        <w:gridCol w:w="801"/>
        <w:gridCol w:w="2119"/>
        <w:gridCol w:w="1638"/>
      </w:tblGrid>
      <w:tr w:rsidR="0087558B" w:rsidRPr="00DB4AE1" w:rsidTr="005C236E">
        <w:tc>
          <w:tcPr>
            <w:tcW w:w="2376" w:type="dxa"/>
            <w:gridSpan w:val="2"/>
            <w:tcBorders>
              <w:top w:val="nil"/>
            </w:tcBorders>
            <w:vAlign w:val="center"/>
          </w:tcPr>
          <w:p w:rsidR="0087558B" w:rsidRPr="00DB4AE1" w:rsidRDefault="0087558B" w:rsidP="00837BC5">
            <w:pPr>
              <w:pStyle w:val="Tabletext"/>
              <w:ind w:right="-140"/>
              <w:rPr>
                <w:b/>
                <w:bCs/>
              </w:rPr>
            </w:pPr>
            <w:r w:rsidRPr="00DB4AE1">
              <w:rPr>
                <w:b/>
              </w:rPr>
              <w:t>Name, restriction, manner of administration, form</w:t>
            </w:r>
          </w:p>
        </w:tc>
        <w:tc>
          <w:tcPr>
            <w:tcW w:w="1060" w:type="dxa"/>
            <w:gridSpan w:val="2"/>
            <w:tcBorders>
              <w:top w:val="nil"/>
            </w:tcBorders>
            <w:vAlign w:val="center"/>
          </w:tcPr>
          <w:p w:rsidR="0087558B" w:rsidRPr="00DB4AE1" w:rsidRDefault="0087558B" w:rsidP="00837BC5">
            <w:pPr>
              <w:pStyle w:val="Tabletext"/>
              <w:ind w:right="-140"/>
              <w:jc w:val="center"/>
              <w:rPr>
                <w:b/>
                <w:bCs/>
              </w:rPr>
            </w:pPr>
            <w:r w:rsidRPr="00DB4AE1">
              <w:rPr>
                <w:b/>
              </w:rPr>
              <w:t>Maximum quantity (packs)</w:t>
            </w:r>
          </w:p>
        </w:tc>
        <w:tc>
          <w:tcPr>
            <w:tcW w:w="1186" w:type="dxa"/>
            <w:tcBorders>
              <w:top w:val="nil"/>
            </w:tcBorders>
            <w:vAlign w:val="center"/>
          </w:tcPr>
          <w:p w:rsidR="0087558B" w:rsidRPr="00DB4AE1" w:rsidRDefault="0087558B" w:rsidP="00837BC5">
            <w:pPr>
              <w:pStyle w:val="Tabletext"/>
              <w:ind w:right="-140"/>
              <w:jc w:val="center"/>
              <w:rPr>
                <w:b/>
                <w:bCs/>
              </w:rPr>
            </w:pPr>
            <w:r w:rsidRPr="00DB4AE1">
              <w:rPr>
                <w:b/>
              </w:rPr>
              <w:t>Maximum quantity (units)</w:t>
            </w:r>
          </w:p>
        </w:tc>
        <w:tc>
          <w:tcPr>
            <w:tcW w:w="801" w:type="dxa"/>
            <w:tcBorders>
              <w:top w:val="nil"/>
            </w:tcBorders>
            <w:vAlign w:val="center"/>
          </w:tcPr>
          <w:p w:rsidR="0087558B" w:rsidRPr="00DB4AE1" w:rsidRDefault="0087558B" w:rsidP="00837BC5">
            <w:pPr>
              <w:pStyle w:val="Tabletext"/>
              <w:ind w:right="-140"/>
              <w:jc w:val="center"/>
              <w:rPr>
                <w:b/>
                <w:bCs/>
              </w:rPr>
            </w:pPr>
            <w:r w:rsidRPr="00DB4AE1">
              <w:rPr>
                <w:b/>
              </w:rPr>
              <w:t>No. of repeats</w:t>
            </w:r>
          </w:p>
        </w:tc>
        <w:tc>
          <w:tcPr>
            <w:tcW w:w="2119" w:type="dxa"/>
            <w:tcBorders>
              <w:top w:val="nil"/>
            </w:tcBorders>
            <w:vAlign w:val="center"/>
          </w:tcPr>
          <w:p w:rsidR="0087558B" w:rsidRPr="00DB4AE1" w:rsidRDefault="0087558B" w:rsidP="00837BC5">
            <w:pPr>
              <w:pStyle w:val="Tabletext"/>
              <w:ind w:right="-140"/>
              <w:jc w:val="center"/>
              <w:rPr>
                <w:b/>
                <w:bCs/>
              </w:rPr>
            </w:pPr>
            <w:r w:rsidRPr="00DB4AE1">
              <w:rPr>
                <w:b/>
              </w:rPr>
              <w:t>Dispensed price for maximum quantity</w:t>
            </w:r>
          </w:p>
        </w:tc>
        <w:tc>
          <w:tcPr>
            <w:tcW w:w="1638" w:type="dxa"/>
            <w:tcBorders>
              <w:top w:val="nil"/>
            </w:tcBorders>
            <w:vAlign w:val="center"/>
          </w:tcPr>
          <w:p w:rsidR="0087558B" w:rsidRPr="00DB4AE1" w:rsidRDefault="0087558B" w:rsidP="00837BC5">
            <w:pPr>
              <w:pStyle w:val="Tabletext"/>
              <w:ind w:right="-140"/>
              <w:jc w:val="center"/>
              <w:rPr>
                <w:b/>
                <w:bCs/>
              </w:rPr>
            </w:pPr>
            <w:r w:rsidRPr="00DB4AE1">
              <w:rPr>
                <w:b/>
              </w:rPr>
              <w:t>Proprietary name and manufacturer</w:t>
            </w:r>
          </w:p>
        </w:tc>
      </w:tr>
      <w:tr w:rsidR="0087558B" w:rsidRPr="00DB4AE1" w:rsidTr="005C236E">
        <w:tc>
          <w:tcPr>
            <w:tcW w:w="2376" w:type="dxa"/>
            <w:gridSpan w:val="2"/>
            <w:vAlign w:val="center"/>
          </w:tcPr>
          <w:p w:rsidR="0087558B" w:rsidRPr="00DB4AE1" w:rsidRDefault="0087558B" w:rsidP="00837BC5">
            <w:pPr>
              <w:pStyle w:val="Tabletext"/>
              <w:ind w:right="-140"/>
            </w:pPr>
            <w:r w:rsidRPr="00DB4AE1">
              <w:t>BOTULINUM TOXIN TYPE A</w:t>
            </w:r>
          </w:p>
          <w:p w:rsidR="0087558B" w:rsidRPr="00DB4AE1" w:rsidRDefault="0087558B" w:rsidP="00837BC5">
            <w:pPr>
              <w:pStyle w:val="Tabletext"/>
              <w:ind w:right="-140"/>
              <w:rPr>
                <w:b/>
                <w:bCs/>
              </w:rPr>
            </w:pPr>
            <w:r w:rsidRPr="00DB4AE1">
              <w:t>100 units injection, 1 vial</w:t>
            </w:r>
          </w:p>
        </w:tc>
        <w:tc>
          <w:tcPr>
            <w:tcW w:w="1060" w:type="dxa"/>
            <w:gridSpan w:val="2"/>
            <w:vAlign w:val="center"/>
          </w:tcPr>
          <w:p w:rsidR="0087558B" w:rsidRPr="00DB4AE1" w:rsidRDefault="0087558B" w:rsidP="00837BC5">
            <w:pPr>
              <w:pStyle w:val="Tabletext"/>
              <w:ind w:right="-140"/>
              <w:jc w:val="center"/>
              <w:rPr>
                <w:rFonts w:ascii="Times" w:hAnsi="Times"/>
              </w:rPr>
            </w:pPr>
            <w:r w:rsidRPr="00DB4AE1">
              <w:t>1</w:t>
            </w:r>
          </w:p>
        </w:tc>
        <w:tc>
          <w:tcPr>
            <w:tcW w:w="1186" w:type="dxa"/>
            <w:vAlign w:val="center"/>
          </w:tcPr>
          <w:p w:rsidR="0087558B" w:rsidRPr="00DB4AE1" w:rsidRDefault="0087558B" w:rsidP="00837BC5">
            <w:pPr>
              <w:pStyle w:val="Tabletext"/>
              <w:ind w:right="-140"/>
              <w:jc w:val="center"/>
              <w:rPr>
                <w:rFonts w:ascii="Times" w:hAnsi="Times"/>
              </w:rPr>
            </w:pPr>
            <w:r w:rsidRPr="00DB4AE1">
              <w:t>4</w:t>
            </w:r>
          </w:p>
        </w:tc>
        <w:tc>
          <w:tcPr>
            <w:tcW w:w="801" w:type="dxa"/>
            <w:vAlign w:val="center"/>
          </w:tcPr>
          <w:p w:rsidR="0087558B" w:rsidRPr="00DB4AE1" w:rsidRDefault="0087558B" w:rsidP="00837BC5">
            <w:pPr>
              <w:pStyle w:val="Tabletext"/>
              <w:ind w:right="-140"/>
              <w:jc w:val="center"/>
              <w:rPr>
                <w:rFonts w:ascii="Times" w:hAnsi="Times"/>
              </w:rPr>
            </w:pPr>
            <w:r w:rsidRPr="00DB4AE1">
              <w:t>0</w:t>
            </w:r>
          </w:p>
        </w:tc>
        <w:tc>
          <w:tcPr>
            <w:tcW w:w="2119" w:type="dxa"/>
            <w:vAlign w:val="center"/>
          </w:tcPr>
          <w:p w:rsidR="0087558B" w:rsidRPr="00DB4AE1" w:rsidRDefault="0087558B" w:rsidP="00837BC5">
            <w:pPr>
              <w:pStyle w:val="Tabletext"/>
              <w:ind w:right="-140"/>
              <w:jc w:val="center"/>
            </w:pPr>
            <w:r w:rsidRPr="00DB4AE1">
              <w:t>$1,626.07 published price</w:t>
            </w:r>
          </w:p>
          <w:p w:rsidR="0087558B" w:rsidRPr="00DB4AE1" w:rsidRDefault="0087558B" w:rsidP="00837BC5">
            <w:pPr>
              <w:pStyle w:val="Tabletext"/>
              <w:ind w:right="-140"/>
              <w:jc w:val="center"/>
              <w:rPr>
                <w:rFonts w:ascii="Times" w:hAnsi="Times"/>
              </w:rPr>
            </w:pPr>
            <w:r w:rsidRPr="00DB4AE1">
              <w:t>$</w:t>
            </w:r>
            <w:r w:rsidR="001C4612">
              <w:rPr>
                <w:noProof/>
                <w:color w:val="000000"/>
                <w:highlight w:val="black"/>
              </w:rPr>
              <w:t>'''''''''''''''</w:t>
            </w:r>
            <w:r w:rsidRPr="00DB4AE1">
              <w:t xml:space="preserve"> effective price</w:t>
            </w:r>
          </w:p>
        </w:tc>
        <w:tc>
          <w:tcPr>
            <w:tcW w:w="1638" w:type="dxa"/>
            <w:vAlign w:val="center"/>
          </w:tcPr>
          <w:p w:rsidR="0087558B" w:rsidRPr="00DB4AE1" w:rsidRDefault="0087558B" w:rsidP="00837BC5">
            <w:pPr>
              <w:pStyle w:val="Tabletext"/>
              <w:ind w:right="-140"/>
              <w:jc w:val="center"/>
            </w:pPr>
            <w:r w:rsidRPr="00DB4AE1">
              <w:t>BOTOX</w:t>
            </w:r>
          </w:p>
          <w:p w:rsidR="0087558B" w:rsidRPr="00DB4AE1" w:rsidRDefault="0087558B" w:rsidP="00837BC5">
            <w:pPr>
              <w:pStyle w:val="Tabletext"/>
              <w:ind w:right="-140"/>
              <w:jc w:val="center"/>
              <w:rPr>
                <w:rFonts w:ascii="Times" w:hAnsi="Times"/>
              </w:rPr>
            </w:pPr>
            <w:r w:rsidRPr="00DB4AE1">
              <w:t>AG</w:t>
            </w:r>
          </w:p>
        </w:tc>
      </w:tr>
      <w:tr w:rsidR="0087558B" w:rsidRPr="00DB4AE1" w:rsidTr="005C236E">
        <w:tblPrEx>
          <w:tblBorders>
            <w:top w:val="none" w:sz="0" w:space="0" w:color="auto"/>
            <w:bottom w:val="none" w:sz="0" w:space="0" w:color="auto"/>
            <w:insideH w:val="none" w:sz="0" w:space="0" w:color="auto"/>
          </w:tblBorders>
          <w:tblLook w:val="0000" w:firstRow="0" w:lastRow="0" w:firstColumn="0" w:lastColumn="0" w:noHBand="0" w:noVBand="0"/>
        </w:tblPrEx>
        <w:trPr>
          <w:gridBefore w:val="1"/>
          <w:wBefore w:w="108" w:type="dxa"/>
          <w:cantSplit/>
        </w:trPr>
        <w:tc>
          <w:tcPr>
            <w:tcW w:w="2977" w:type="dxa"/>
            <w:gridSpan w:val="2"/>
            <w:tcBorders>
              <w:top w:val="single" w:sz="4" w:space="0" w:color="auto"/>
              <w:left w:val="single" w:sz="4" w:space="0" w:color="auto"/>
              <w:bottom w:val="single" w:sz="4" w:space="0" w:color="auto"/>
              <w:right w:val="single" w:sz="4" w:space="0" w:color="auto"/>
            </w:tcBorders>
          </w:tcPr>
          <w:p w:rsidR="0087558B" w:rsidRPr="00DB4AE1" w:rsidRDefault="0087558B" w:rsidP="00BE39A6">
            <w:pPr>
              <w:pStyle w:val="Tabletext"/>
              <w:keepNext/>
              <w:rPr>
                <w:b/>
              </w:rPr>
            </w:pPr>
            <w:r w:rsidRPr="00DB4AE1">
              <w:rPr>
                <w:b/>
              </w:rPr>
              <w:lastRenderedPageBreak/>
              <w:t>Condition:</w:t>
            </w:r>
          </w:p>
        </w:tc>
        <w:tc>
          <w:tcPr>
            <w:tcW w:w="6095" w:type="dxa"/>
            <w:gridSpan w:val="5"/>
            <w:tcBorders>
              <w:top w:val="single" w:sz="4" w:space="0" w:color="auto"/>
              <w:left w:val="single" w:sz="4" w:space="0" w:color="auto"/>
              <w:bottom w:val="single" w:sz="4" w:space="0" w:color="auto"/>
              <w:right w:val="single" w:sz="4" w:space="0" w:color="auto"/>
            </w:tcBorders>
          </w:tcPr>
          <w:p w:rsidR="0087558B" w:rsidRPr="00DB4AE1" w:rsidRDefault="0087558B" w:rsidP="00BE39A6">
            <w:pPr>
              <w:pStyle w:val="Tabletext"/>
              <w:keepNext/>
            </w:pPr>
            <w:r w:rsidRPr="00DB4AE1">
              <w:t>Chronic migraine</w:t>
            </w:r>
          </w:p>
        </w:tc>
      </w:tr>
      <w:tr w:rsidR="0087558B" w:rsidRPr="00DB4AE1" w:rsidTr="005C236E">
        <w:tblPrEx>
          <w:tblBorders>
            <w:top w:val="none" w:sz="0" w:space="0" w:color="auto"/>
            <w:bottom w:val="none" w:sz="0" w:space="0" w:color="auto"/>
            <w:insideH w:val="none" w:sz="0" w:space="0" w:color="auto"/>
          </w:tblBorders>
          <w:tblLook w:val="0000" w:firstRow="0" w:lastRow="0" w:firstColumn="0" w:lastColumn="0" w:noHBand="0" w:noVBand="0"/>
        </w:tblPrEx>
        <w:trPr>
          <w:gridBefore w:val="1"/>
          <w:wBefore w:w="108" w:type="dxa"/>
          <w:cantSplit/>
        </w:trPr>
        <w:tc>
          <w:tcPr>
            <w:tcW w:w="2977" w:type="dxa"/>
            <w:gridSpan w:val="2"/>
            <w:tcBorders>
              <w:top w:val="single" w:sz="4" w:space="0" w:color="auto"/>
              <w:left w:val="single" w:sz="4" w:space="0" w:color="auto"/>
              <w:bottom w:val="single" w:sz="4" w:space="0" w:color="auto"/>
              <w:right w:val="single" w:sz="4" w:space="0" w:color="auto"/>
            </w:tcBorders>
          </w:tcPr>
          <w:p w:rsidR="0087558B" w:rsidRPr="00DB4AE1" w:rsidRDefault="0087558B" w:rsidP="00BE39A6">
            <w:pPr>
              <w:pStyle w:val="Tabletext"/>
              <w:keepNext/>
              <w:rPr>
                <w:b/>
              </w:rPr>
            </w:pPr>
            <w:r w:rsidRPr="00DB4AE1">
              <w:rPr>
                <w:b/>
              </w:rPr>
              <w:t>Restriction:</w:t>
            </w:r>
          </w:p>
          <w:p w:rsidR="0087558B" w:rsidRPr="00DB4AE1" w:rsidRDefault="0087558B" w:rsidP="00BE39A6">
            <w:pPr>
              <w:pStyle w:val="Tabletext"/>
              <w:keepNext/>
            </w:pPr>
          </w:p>
        </w:tc>
        <w:tc>
          <w:tcPr>
            <w:tcW w:w="6095" w:type="dxa"/>
            <w:gridSpan w:val="5"/>
            <w:tcBorders>
              <w:top w:val="single" w:sz="4" w:space="0" w:color="auto"/>
              <w:left w:val="single" w:sz="4" w:space="0" w:color="auto"/>
              <w:bottom w:val="single" w:sz="4" w:space="0" w:color="auto"/>
              <w:right w:val="single" w:sz="4" w:space="0" w:color="auto"/>
            </w:tcBorders>
          </w:tcPr>
          <w:p w:rsidR="0087558B" w:rsidRPr="00DB4AE1" w:rsidRDefault="0087558B" w:rsidP="00BE39A6">
            <w:pPr>
              <w:pStyle w:val="Tabletext"/>
              <w:keepNext/>
            </w:pPr>
            <w:r w:rsidRPr="00DB4AE1">
              <w:fldChar w:fldCharType="begin">
                <w:ffData>
                  <w:name w:val="Check1"/>
                  <w:enabled/>
                  <w:calcOnExit w:val="0"/>
                  <w:checkBox>
                    <w:sizeAuto/>
                    <w:default w:val="0"/>
                  </w:checkBox>
                </w:ffData>
              </w:fldChar>
            </w:r>
            <w:r w:rsidRPr="00DB4AE1">
              <w:instrText xml:space="preserve"> FORMCHECKBOX </w:instrText>
            </w:r>
            <w:r w:rsidR="001C4612">
              <w:fldChar w:fldCharType="separate"/>
            </w:r>
            <w:r w:rsidRPr="00DB4AE1">
              <w:fldChar w:fldCharType="end"/>
            </w:r>
            <w:r w:rsidRPr="00DB4AE1">
              <w:t>Restricted benefit</w:t>
            </w:r>
          </w:p>
          <w:p w:rsidR="0087558B" w:rsidRPr="00DB4AE1" w:rsidRDefault="0087558B" w:rsidP="00BE39A6">
            <w:pPr>
              <w:pStyle w:val="Tabletext"/>
              <w:keepNext/>
            </w:pPr>
            <w:r w:rsidRPr="00DB4AE1">
              <w:fldChar w:fldCharType="begin">
                <w:ffData>
                  <w:name w:val=""/>
                  <w:enabled/>
                  <w:calcOnExit w:val="0"/>
                  <w:checkBox>
                    <w:sizeAuto/>
                    <w:default w:val="0"/>
                  </w:checkBox>
                </w:ffData>
              </w:fldChar>
            </w:r>
            <w:r w:rsidRPr="00DB4AE1">
              <w:instrText xml:space="preserve"> FORMCHECKBOX </w:instrText>
            </w:r>
            <w:r w:rsidR="001C4612">
              <w:fldChar w:fldCharType="separate"/>
            </w:r>
            <w:r w:rsidRPr="00DB4AE1">
              <w:fldChar w:fldCharType="end"/>
            </w:r>
            <w:r w:rsidRPr="00DB4AE1">
              <w:t>Authority Required - In Writing</w:t>
            </w:r>
          </w:p>
          <w:p w:rsidR="0087558B" w:rsidRPr="00DB4AE1" w:rsidRDefault="0087558B" w:rsidP="00BE39A6">
            <w:pPr>
              <w:pStyle w:val="Tabletext"/>
              <w:keepNext/>
            </w:pPr>
            <w:r w:rsidRPr="00DB4AE1">
              <w:fldChar w:fldCharType="begin">
                <w:ffData>
                  <w:name w:val="Check3"/>
                  <w:enabled/>
                  <w:calcOnExit w:val="0"/>
                  <w:checkBox>
                    <w:sizeAuto/>
                    <w:default w:val="0"/>
                  </w:checkBox>
                </w:ffData>
              </w:fldChar>
            </w:r>
            <w:r w:rsidRPr="00DB4AE1">
              <w:instrText xml:space="preserve"> FORMCHECKBOX </w:instrText>
            </w:r>
            <w:r w:rsidR="001C4612">
              <w:fldChar w:fldCharType="separate"/>
            </w:r>
            <w:r w:rsidRPr="00DB4AE1">
              <w:fldChar w:fldCharType="end"/>
            </w:r>
            <w:r w:rsidRPr="00DB4AE1">
              <w:t>Authority Required - Telephone</w:t>
            </w:r>
          </w:p>
          <w:p w:rsidR="0087558B" w:rsidRPr="00DB4AE1" w:rsidRDefault="0087558B" w:rsidP="00BE39A6">
            <w:pPr>
              <w:pStyle w:val="Tabletext"/>
              <w:keepNext/>
            </w:pPr>
            <w:r w:rsidRPr="00DB4AE1">
              <w:fldChar w:fldCharType="begin">
                <w:ffData>
                  <w:name w:val=""/>
                  <w:enabled/>
                  <w:calcOnExit w:val="0"/>
                  <w:checkBox>
                    <w:sizeAuto/>
                    <w:default w:val="0"/>
                  </w:checkBox>
                </w:ffData>
              </w:fldChar>
            </w:r>
            <w:r w:rsidRPr="00DB4AE1">
              <w:instrText xml:space="preserve"> FORMCHECKBOX </w:instrText>
            </w:r>
            <w:r w:rsidR="001C4612">
              <w:fldChar w:fldCharType="separate"/>
            </w:r>
            <w:r w:rsidRPr="00DB4AE1">
              <w:fldChar w:fldCharType="end"/>
            </w:r>
            <w:r w:rsidRPr="00DB4AE1">
              <w:t>Authority Required – Emergency</w:t>
            </w:r>
          </w:p>
          <w:p w:rsidR="0087558B" w:rsidRPr="00DB4AE1" w:rsidRDefault="0087558B" w:rsidP="00BE39A6">
            <w:pPr>
              <w:pStyle w:val="Tabletext"/>
              <w:keepNext/>
            </w:pPr>
            <w:r w:rsidRPr="00DB4AE1">
              <w:fldChar w:fldCharType="begin">
                <w:ffData>
                  <w:name w:val="Check5"/>
                  <w:enabled/>
                  <w:calcOnExit w:val="0"/>
                  <w:checkBox>
                    <w:sizeAuto/>
                    <w:default w:val="0"/>
                  </w:checkBox>
                </w:ffData>
              </w:fldChar>
            </w:r>
            <w:r w:rsidRPr="00DB4AE1">
              <w:instrText xml:space="preserve"> FORMCHECKBOX </w:instrText>
            </w:r>
            <w:r w:rsidR="001C4612">
              <w:fldChar w:fldCharType="separate"/>
            </w:r>
            <w:r w:rsidRPr="00DB4AE1">
              <w:fldChar w:fldCharType="end"/>
            </w:r>
            <w:r w:rsidRPr="00DB4AE1">
              <w:t>Authority Required - Electronic</w:t>
            </w:r>
          </w:p>
          <w:p w:rsidR="0087558B" w:rsidRPr="00DB4AE1" w:rsidRDefault="0087558B" w:rsidP="00BE39A6">
            <w:pPr>
              <w:pStyle w:val="Tabletext"/>
              <w:keepNext/>
            </w:pPr>
            <w:r w:rsidRPr="00DB4AE1">
              <w:rPr>
                <w:rFonts w:cs="Arial"/>
                <w:szCs w:val="20"/>
              </w:rPr>
              <w:sym w:font="Wingdings" w:char="F0FD"/>
            </w:r>
            <w:r w:rsidRPr="00DB4AE1">
              <w:t>Streamlined</w:t>
            </w:r>
          </w:p>
        </w:tc>
      </w:tr>
      <w:tr w:rsidR="0087558B" w:rsidRPr="00DB4AE1" w:rsidTr="005C236E">
        <w:tblPrEx>
          <w:tblBorders>
            <w:top w:val="none" w:sz="0" w:space="0" w:color="auto"/>
            <w:bottom w:val="none" w:sz="0" w:space="0" w:color="auto"/>
            <w:insideH w:val="none" w:sz="0" w:space="0" w:color="auto"/>
          </w:tblBorders>
          <w:tblLook w:val="0000" w:firstRow="0" w:lastRow="0" w:firstColumn="0" w:lastColumn="0" w:noHBand="0" w:noVBand="0"/>
        </w:tblPrEx>
        <w:trPr>
          <w:gridBefore w:val="1"/>
          <w:wBefore w:w="108" w:type="dxa"/>
          <w:cantSplit/>
        </w:trPr>
        <w:tc>
          <w:tcPr>
            <w:tcW w:w="2977" w:type="dxa"/>
            <w:gridSpan w:val="2"/>
            <w:tcBorders>
              <w:top w:val="single" w:sz="4" w:space="0" w:color="auto"/>
              <w:left w:val="single" w:sz="4" w:space="0" w:color="auto"/>
              <w:bottom w:val="single" w:sz="4" w:space="0" w:color="auto"/>
              <w:right w:val="single" w:sz="4" w:space="0" w:color="auto"/>
            </w:tcBorders>
          </w:tcPr>
          <w:p w:rsidR="0087558B" w:rsidRPr="00DB4AE1" w:rsidRDefault="0087558B" w:rsidP="00BE39A6">
            <w:pPr>
              <w:pStyle w:val="Tabletext"/>
              <w:keepNext/>
              <w:rPr>
                <w:b/>
              </w:rPr>
            </w:pPr>
            <w:r w:rsidRPr="00DB4AE1">
              <w:rPr>
                <w:b/>
              </w:rPr>
              <w:t>Treatment criteria:</w:t>
            </w:r>
          </w:p>
        </w:tc>
        <w:tc>
          <w:tcPr>
            <w:tcW w:w="6095" w:type="dxa"/>
            <w:gridSpan w:val="5"/>
            <w:tcBorders>
              <w:top w:val="single" w:sz="4" w:space="0" w:color="auto"/>
              <w:left w:val="single" w:sz="4" w:space="0" w:color="auto"/>
              <w:bottom w:val="single" w:sz="4" w:space="0" w:color="auto"/>
              <w:right w:val="single" w:sz="4" w:space="0" w:color="auto"/>
            </w:tcBorders>
          </w:tcPr>
          <w:p w:rsidR="0087558B" w:rsidRPr="00DB4AE1" w:rsidRDefault="0087558B" w:rsidP="00BE39A6">
            <w:pPr>
              <w:pStyle w:val="Tabletext"/>
              <w:keepNext/>
            </w:pPr>
            <w:r w:rsidRPr="00DB4AE1">
              <w:t>Must be treated by a neurologist.</w:t>
            </w:r>
          </w:p>
        </w:tc>
      </w:tr>
      <w:tr w:rsidR="0087558B" w:rsidRPr="00DB4AE1" w:rsidTr="005C236E">
        <w:tblPrEx>
          <w:tblBorders>
            <w:top w:val="none" w:sz="0" w:space="0" w:color="auto"/>
            <w:bottom w:val="none" w:sz="0" w:space="0" w:color="auto"/>
            <w:insideH w:val="none" w:sz="0" w:space="0" w:color="auto"/>
          </w:tblBorders>
          <w:tblLook w:val="0000" w:firstRow="0" w:lastRow="0" w:firstColumn="0" w:lastColumn="0" w:noHBand="0" w:noVBand="0"/>
        </w:tblPrEx>
        <w:trPr>
          <w:gridBefore w:val="1"/>
          <w:wBefore w:w="108" w:type="dxa"/>
          <w:cantSplit/>
        </w:trPr>
        <w:tc>
          <w:tcPr>
            <w:tcW w:w="2977" w:type="dxa"/>
            <w:gridSpan w:val="2"/>
            <w:tcBorders>
              <w:top w:val="single" w:sz="4" w:space="0" w:color="auto"/>
              <w:left w:val="single" w:sz="4" w:space="0" w:color="auto"/>
              <w:bottom w:val="single" w:sz="4" w:space="0" w:color="auto"/>
              <w:right w:val="single" w:sz="4" w:space="0" w:color="auto"/>
            </w:tcBorders>
          </w:tcPr>
          <w:p w:rsidR="0087558B" w:rsidRPr="00DB4AE1" w:rsidRDefault="0087558B" w:rsidP="00BE39A6">
            <w:pPr>
              <w:pStyle w:val="Tabletext"/>
              <w:keepNext/>
            </w:pPr>
            <w:r w:rsidRPr="00DB4AE1">
              <w:rPr>
                <w:b/>
              </w:rPr>
              <w:t>Clinical criteria:</w:t>
            </w:r>
          </w:p>
        </w:tc>
        <w:tc>
          <w:tcPr>
            <w:tcW w:w="6095" w:type="dxa"/>
            <w:gridSpan w:val="5"/>
            <w:tcBorders>
              <w:top w:val="single" w:sz="4" w:space="0" w:color="auto"/>
              <w:left w:val="single" w:sz="4" w:space="0" w:color="auto"/>
              <w:bottom w:val="single" w:sz="4" w:space="0" w:color="auto"/>
              <w:right w:val="single" w:sz="4" w:space="0" w:color="auto"/>
            </w:tcBorders>
          </w:tcPr>
          <w:p w:rsidR="0087558B" w:rsidRPr="00DB4AE1" w:rsidRDefault="0087558B" w:rsidP="00BE39A6">
            <w:pPr>
              <w:pStyle w:val="Tabletext"/>
              <w:keepNext/>
            </w:pPr>
            <w:r w:rsidRPr="00DB4AE1">
              <w:t>Patient must have experienced an average of 15 or more headache days per month, with at least 8 days of migraine, over a period of at least 6 months, prior to commencement of treatment with botulinum toxin type A neurotoxin.</w:t>
            </w:r>
          </w:p>
          <w:p w:rsidR="0087558B" w:rsidRPr="00DB4AE1" w:rsidRDefault="0087558B" w:rsidP="00BE39A6">
            <w:pPr>
              <w:pStyle w:val="Tabletext"/>
              <w:keepNext/>
            </w:pPr>
            <w:r w:rsidRPr="00DB4AE1">
              <w:t>AND</w:t>
            </w:r>
          </w:p>
          <w:p w:rsidR="0087558B" w:rsidRPr="00DB4AE1" w:rsidRDefault="0087558B" w:rsidP="00BE39A6">
            <w:pPr>
              <w:pStyle w:val="Tabletext"/>
              <w:keepNext/>
            </w:pPr>
            <w:r w:rsidRPr="00DB4AE1">
              <w:t>Patient must have experienced an inadequate response, intolerance of a contraindication to at least three prophylactic migraine medications prior to commencement of treatment with botulinum toxin type A neurotoxin.</w:t>
            </w:r>
          </w:p>
          <w:p w:rsidR="0087558B" w:rsidRPr="00DB4AE1" w:rsidRDefault="0087558B" w:rsidP="00BE39A6">
            <w:pPr>
              <w:pStyle w:val="Tabletext"/>
              <w:keepNext/>
            </w:pPr>
            <w:r w:rsidRPr="00DB4AE1">
              <w:t>AND</w:t>
            </w:r>
          </w:p>
          <w:p w:rsidR="0087558B" w:rsidRPr="00DB4AE1" w:rsidRDefault="0087558B" w:rsidP="00BE39A6">
            <w:pPr>
              <w:pStyle w:val="Tabletext"/>
              <w:keepNext/>
            </w:pPr>
            <w:r w:rsidRPr="00DB4AE1">
              <w:t>Patient must have achieved and maintained a 50% or greater reduction from baseline in the number of headache days per month after two treatment cycles (each of 12 weeks duration) in order to be eligible for continuing PBS-subsidised treatment.</w:t>
            </w:r>
          </w:p>
          <w:p w:rsidR="0087558B" w:rsidRPr="00DB4AE1" w:rsidRDefault="0087558B" w:rsidP="00BE39A6">
            <w:pPr>
              <w:pStyle w:val="Tabletext"/>
              <w:keepNext/>
            </w:pPr>
            <w:r w:rsidRPr="00DB4AE1">
              <w:t>AND</w:t>
            </w:r>
          </w:p>
          <w:p w:rsidR="0087558B" w:rsidRPr="00DB4AE1" w:rsidRDefault="0087558B" w:rsidP="00BE39A6">
            <w:pPr>
              <w:pStyle w:val="Tabletext"/>
              <w:keepNext/>
              <w:rPr>
                <w:rFonts w:cs="Arial"/>
              </w:rPr>
            </w:pPr>
            <w:r w:rsidRPr="00DB4AE1">
              <w:t>Patient must be appropriately managed by his or her practitioner for medication overuse headache, prior to initiation of treatment with botulinum toxin.</w:t>
            </w:r>
          </w:p>
        </w:tc>
      </w:tr>
      <w:tr w:rsidR="0087558B" w:rsidRPr="00DB4AE1" w:rsidTr="005C236E">
        <w:tblPrEx>
          <w:tblBorders>
            <w:top w:val="none" w:sz="0" w:space="0" w:color="auto"/>
            <w:bottom w:val="none" w:sz="0" w:space="0" w:color="auto"/>
            <w:insideH w:val="none" w:sz="0" w:space="0" w:color="auto"/>
          </w:tblBorders>
          <w:tblLook w:val="0000" w:firstRow="0" w:lastRow="0" w:firstColumn="0" w:lastColumn="0" w:noHBand="0" w:noVBand="0"/>
        </w:tblPrEx>
        <w:trPr>
          <w:gridBefore w:val="1"/>
          <w:wBefore w:w="108" w:type="dxa"/>
          <w:cantSplit/>
        </w:trPr>
        <w:tc>
          <w:tcPr>
            <w:tcW w:w="2977" w:type="dxa"/>
            <w:gridSpan w:val="2"/>
            <w:tcBorders>
              <w:top w:val="single" w:sz="4" w:space="0" w:color="auto"/>
              <w:left w:val="single" w:sz="4" w:space="0" w:color="auto"/>
              <w:bottom w:val="single" w:sz="4" w:space="0" w:color="auto"/>
              <w:right w:val="single" w:sz="4" w:space="0" w:color="auto"/>
            </w:tcBorders>
          </w:tcPr>
          <w:p w:rsidR="0087558B" w:rsidRPr="00DB4AE1" w:rsidRDefault="0087558B" w:rsidP="00BE39A6">
            <w:pPr>
              <w:pStyle w:val="Tabletext"/>
              <w:keepNext/>
              <w:rPr>
                <w:b/>
              </w:rPr>
            </w:pPr>
            <w:r w:rsidRPr="00DB4AE1">
              <w:rPr>
                <w:b/>
              </w:rPr>
              <w:t>Population criteria:</w:t>
            </w:r>
          </w:p>
        </w:tc>
        <w:tc>
          <w:tcPr>
            <w:tcW w:w="6095" w:type="dxa"/>
            <w:gridSpan w:val="5"/>
            <w:tcBorders>
              <w:top w:val="single" w:sz="4" w:space="0" w:color="auto"/>
              <w:left w:val="single" w:sz="4" w:space="0" w:color="auto"/>
              <w:bottom w:val="single" w:sz="4" w:space="0" w:color="auto"/>
              <w:right w:val="single" w:sz="4" w:space="0" w:color="auto"/>
            </w:tcBorders>
          </w:tcPr>
          <w:p w:rsidR="0087558B" w:rsidRPr="00DB4AE1" w:rsidRDefault="0087558B" w:rsidP="00BE39A6">
            <w:pPr>
              <w:pStyle w:val="Tabletext"/>
              <w:keepNext/>
            </w:pPr>
            <w:r w:rsidRPr="00DB4AE1">
              <w:t>Patient must be aged 18 years or older.</w:t>
            </w:r>
          </w:p>
        </w:tc>
      </w:tr>
      <w:tr w:rsidR="0087558B" w:rsidRPr="00DB4AE1" w:rsidTr="005C236E">
        <w:tblPrEx>
          <w:tblBorders>
            <w:top w:val="none" w:sz="0" w:space="0" w:color="auto"/>
            <w:bottom w:val="none" w:sz="0" w:space="0" w:color="auto"/>
            <w:insideH w:val="none" w:sz="0" w:space="0" w:color="auto"/>
          </w:tblBorders>
          <w:tblLook w:val="0000" w:firstRow="0" w:lastRow="0" w:firstColumn="0" w:lastColumn="0" w:noHBand="0" w:noVBand="0"/>
        </w:tblPrEx>
        <w:trPr>
          <w:gridBefore w:val="1"/>
          <w:wBefore w:w="108" w:type="dxa"/>
          <w:cantSplit/>
        </w:trPr>
        <w:tc>
          <w:tcPr>
            <w:tcW w:w="2977" w:type="dxa"/>
            <w:gridSpan w:val="2"/>
            <w:tcBorders>
              <w:top w:val="single" w:sz="4" w:space="0" w:color="auto"/>
              <w:left w:val="single" w:sz="4" w:space="0" w:color="auto"/>
              <w:bottom w:val="single" w:sz="4" w:space="0" w:color="auto"/>
              <w:right w:val="single" w:sz="4" w:space="0" w:color="auto"/>
            </w:tcBorders>
          </w:tcPr>
          <w:p w:rsidR="0087558B" w:rsidRPr="00DB4AE1" w:rsidRDefault="0087558B" w:rsidP="00BE39A6">
            <w:pPr>
              <w:pStyle w:val="Tabletext"/>
              <w:keepNext/>
              <w:rPr>
                <w:b/>
              </w:rPr>
            </w:pPr>
            <w:r w:rsidRPr="00DB4AE1">
              <w:rPr>
                <w:b/>
              </w:rPr>
              <w:t>Prescriber Instructions:</w:t>
            </w:r>
          </w:p>
        </w:tc>
        <w:tc>
          <w:tcPr>
            <w:tcW w:w="6095" w:type="dxa"/>
            <w:gridSpan w:val="5"/>
            <w:tcBorders>
              <w:top w:val="single" w:sz="4" w:space="0" w:color="auto"/>
              <w:left w:val="single" w:sz="4" w:space="0" w:color="auto"/>
              <w:bottom w:val="single" w:sz="4" w:space="0" w:color="auto"/>
              <w:right w:val="single" w:sz="4" w:space="0" w:color="auto"/>
            </w:tcBorders>
          </w:tcPr>
          <w:p w:rsidR="0087558B" w:rsidRPr="00DB4AE1" w:rsidRDefault="0087558B" w:rsidP="00BE39A6">
            <w:pPr>
              <w:pStyle w:val="Tabletext"/>
              <w:keepNext/>
            </w:pPr>
            <w:r w:rsidRPr="00DB4AE1">
              <w:t xml:space="preserve">Prophylactic migraine medications are propranolol, </w:t>
            </w:r>
            <w:r w:rsidR="006647CE" w:rsidRPr="00DB4AE1">
              <w:t>amitriptyline</w:t>
            </w:r>
            <w:r w:rsidRPr="00DB4AE1">
              <w:t>, methysergide, pizotifen, cyproheptadine or topiramate.</w:t>
            </w:r>
          </w:p>
        </w:tc>
      </w:tr>
      <w:tr w:rsidR="0087558B" w:rsidRPr="00DB4AE1" w:rsidTr="005C236E">
        <w:tblPrEx>
          <w:tblBorders>
            <w:top w:val="none" w:sz="0" w:space="0" w:color="auto"/>
            <w:bottom w:val="none" w:sz="0" w:space="0" w:color="auto"/>
            <w:insideH w:val="none" w:sz="0" w:space="0" w:color="auto"/>
          </w:tblBorders>
          <w:tblLook w:val="0000" w:firstRow="0" w:lastRow="0" w:firstColumn="0" w:lastColumn="0" w:noHBand="0" w:noVBand="0"/>
        </w:tblPrEx>
        <w:trPr>
          <w:gridBefore w:val="1"/>
          <w:wBefore w:w="108" w:type="dxa"/>
          <w:cantSplit/>
        </w:trPr>
        <w:tc>
          <w:tcPr>
            <w:tcW w:w="2977" w:type="dxa"/>
            <w:gridSpan w:val="2"/>
            <w:tcBorders>
              <w:top w:val="single" w:sz="4" w:space="0" w:color="auto"/>
              <w:left w:val="single" w:sz="4" w:space="0" w:color="auto"/>
              <w:bottom w:val="single" w:sz="4" w:space="0" w:color="auto"/>
              <w:right w:val="single" w:sz="4" w:space="0" w:color="auto"/>
            </w:tcBorders>
          </w:tcPr>
          <w:p w:rsidR="0087558B" w:rsidRPr="00DB4AE1" w:rsidRDefault="0087558B" w:rsidP="00BE39A6">
            <w:pPr>
              <w:pStyle w:val="Tabletext"/>
              <w:keepNext/>
              <w:rPr>
                <w:b/>
              </w:rPr>
            </w:pPr>
            <w:r w:rsidRPr="00DB4AE1">
              <w:rPr>
                <w:b/>
              </w:rPr>
              <w:t>Administrative Advice:</w:t>
            </w:r>
          </w:p>
        </w:tc>
        <w:tc>
          <w:tcPr>
            <w:tcW w:w="6095" w:type="dxa"/>
            <w:gridSpan w:val="5"/>
            <w:tcBorders>
              <w:top w:val="single" w:sz="4" w:space="0" w:color="auto"/>
              <w:left w:val="single" w:sz="4" w:space="0" w:color="auto"/>
              <w:bottom w:val="single" w:sz="4" w:space="0" w:color="auto"/>
              <w:right w:val="single" w:sz="4" w:space="0" w:color="auto"/>
            </w:tcBorders>
          </w:tcPr>
          <w:p w:rsidR="0087558B" w:rsidRPr="00DB4AE1" w:rsidRDefault="0087558B" w:rsidP="00BE39A6">
            <w:pPr>
              <w:pStyle w:val="Tabletext"/>
              <w:keepNext/>
            </w:pPr>
            <w:r w:rsidRPr="00DB4AE1">
              <w:t>Special pricing arrangements apply.</w:t>
            </w:r>
          </w:p>
        </w:tc>
      </w:tr>
    </w:tbl>
    <w:p w:rsidR="00713469" w:rsidRDefault="00713469" w:rsidP="005C236E">
      <w:pPr>
        <w:pStyle w:val="ListParagraph"/>
        <w:widowControl/>
        <w:numPr>
          <w:ilvl w:val="1"/>
          <w:numId w:val="1"/>
        </w:numPr>
        <w:spacing w:before="120" w:after="120"/>
      </w:pPr>
      <w:r w:rsidRPr="00DB4AE1">
        <w:t>The ESC noted that the sponsor requested that, if the PBAC were not of a mind to accept the proposed amendments to the RSA, then the PBAC should instead consider increasing the authority level to a written authority for both initiation and continuation. The sponsor also indicated a willingness to use a combination of these two approaches.</w:t>
      </w:r>
      <w:r w:rsidR="00F442AA">
        <w:t xml:space="preserve"> The PBAC considered that the concerns raised in the submission regarding reimbursement were not a valid reason for increasing the authority level for this item.</w:t>
      </w:r>
    </w:p>
    <w:p w:rsidR="00713469" w:rsidRPr="00713469" w:rsidRDefault="00D0742F" w:rsidP="00713469">
      <w:pPr>
        <w:rPr>
          <w:rFonts w:asciiTheme="minorHAnsi" w:hAnsiTheme="minorHAnsi"/>
          <w:i/>
        </w:rPr>
      </w:pPr>
      <w:r w:rsidRPr="00713469">
        <w:rPr>
          <w:rFonts w:asciiTheme="minorHAnsi" w:hAnsiTheme="minorHAnsi"/>
          <w:i/>
        </w:rPr>
        <w:t>For more detail on PBAC’s view, see section 7 PBAC outcome.</w:t>
      </w:r>
    </w:p>
    <w:p w:rsidR="00B50DB8" w:rsidRPr="00DB4AE1" w:rsidRDefault="00B50DB8" w:rsidP="005C236E">
      <w:pPr>
        <w:pStyle w:val="PBACHeading1"/>
      </w:pPr>
      <w:bookmarkStart w:id="3" w:name="_Toc377658868"/>
      <w:r w:rsidRPr="00DB4AE1">
        <w:t>Background</w:t>
      </w:r>
      <w:bookmarkEnd w:id="3"/>
    </w:p>
    <w:p w:rsidR="00591957" w:rsidRPr="00BD0C33" w:rsidRDefault="00591957" w:rsidP="005C236E">
      <w:pPr>
        <w:pStyle w:val="Heading2"/>
      </w:pPr>
      <w:r w:rsidRPr="00BD0C33">
        <w:t>Registration status</w:t>
      </w:r>
    </w:p>
    <w:p w:rsidR="00B60939" w:rsidRPr="00DB4AE1" w:rsidRDefault="00750B0C" w:rsidP="00837BC5">
      <w:pPr>
        <w:pStyle w:val="ListParagraph"/>
        <w:widowControl/>
        <w:numPr>
          <w:ilvl w:val="1"/>
          <w:numId w:val="1"/>
        </w:numPr>
        <w:spacing w:after="120"/>
      </w:pPr>
      <w:r w:rsidRPr="00071A85">
        <w:t>Botox was TGA registered for use in chro</w:t>
      </w:r>
      <w:r w:rsidR="00D95F30" w:rsidRPr="00071A85">
        <w:t xml:space="preserve">nic migraine on 15 March 2011. </w:t>
      </w:r>
      <w:r w:rsidRPr="00071A85">
        <w:t>Botox also</w:t>
      </w:r>
      <w:r w:rsidRPr="00DB4AE1">
        <w:t xml:space="preserve"> has TGA registration for the treatment of: strabismus, blepharospasm, focal spasticity, spasmodic torticollis, severe primary hyperhidrosis, spasmodic dysphonia, urinary incontinence, overactive bladder and appearance of upper facial rhytides (glabellar lines, crow’s feet and forehead lines).</w:t>
      </w:r>
    </w:p>
    <w:p w:rsidR="00B033E5" w:rsidRPr="00BD0C33" w:rsidRDefault="00B033E5" w:rsidP="005C236E">
      <w:pPr>
        <w:pStyle w:val="Heading2"/>
      </w:pPr>
      <w:r w:rsidRPr="00BD0C33">
        <w:t>Previous PBAC consideration</w:t>
      </w:r>
    </w:p>
    <w:p w:rsidR="00750B0C" w:rsidRPr="00DB4AE1" w:rsidRDefault="00750B0C" w:rsidP="00837BC5">
      <w:pPr>
        <w:pStyle w:val="ListParagraph"/>
        <w:widowControl/>
        <w:numPr>
          <w:ilvl w:val="1"/>
          <w:numId w:val="1"/>
        </w:numPr>
        <w:spacing w:after="120"/>
      </w:pPr>
      <w:r w:rsidRPr="00DB4AE1">
        <w:t xml:space="preserve">While there has been no previous PBAC consideration of the sponsor’s request to revise the RSA, there were three major submissions to the PBAC, in November 2011, July 2012 and July 2013, seeking PBS listing of Botox for the treatment of chronic </w:t>
      </w:r>
      <w:r w:rsidRPr="00DB4AE1">
        <w:lastRenderedPageBreak/>
        <w:t>migraine.</w:t>
      </w:r>
      <w:r w:rsidR="000334AC" w:rsidRPr="00DB4AE1">
        <w:t xml:space="preserve"> A positive recommendation was received in July 2013 and Botox was PBS</w:t>
      </w:r>
      <w:r w:rsidR="004A2676" w:rsidRPr="00DB4AE1">
        <w:noBreakHyphen/>
      </w:r>
      <w:r w:rsidR="000334AC" w:rsidRPr="00DB4AE1">
        <w:t xml:space="preserve">listed for chronic migraine in March 2014. A summary of the previous submissions is provided </w:t>
      </w:r>
      <w:r w:rsidR="004A2676" w:rsidRPr="00DB4AE1">
        <w:t>below</w:t>
      </w:r>
      <w:r w:rsidR="000334AC" w:rsidRPr="00DB4AE1">
        <w:t>.</w:t>
      </w:r>
    </w:p>
    <w:p w:rsidR="004A2676" w:rsidRPr="00DB4AE1" w:rsidRDefault="004A2676" w:rsidP="00837BC5">
      <w:pPr>
        <w:widowControl/>
        <w:rPr>
          <w:rStyle w:val="CommentReference"/>
        </w:rPr>
      </w:pPr>
      <w:r w:rsidRPr="00DB4AE1">
        <w:rPr>
          <w:rStyle w:val="CommentReference"/>
        </w:rPr>
        <w:t xml:space="preserve">Table </w:t>
      </w:r>
      <w:r w:rsidR="00184DF1" w:rsidRPr="00DB4AE1">
        <w:rPr>
          <w:rStyle w:val="CommentReference"/>
        </w:rPr>
        <w:t>2</w:t>
      </w:r>
      <w:r w:rsidRPr="00DB4AE1">
        <w:rPr>
          <w:rStyle w:val="CommentReference"/>
        </w:rPr>
        <w:t>: Summary of the three Botox submissions for chronic migraine</w:t>
      </w:r>
    </w:p>
    <w:tbl>
      <w:tblPr>
        <w:tblW w:w="49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96"/>
        <w:gridCol w:w="2419"/>
        <w:gridCol w:w="2573"/>
        <w:gridCol w:w="2677"/>
      </w:tblGrid>
      <w:tr w:rsidR="004A2676" w:rsidRPr="00DB4AE1" w:rsidTr="004A2676">
        <w:trPr>
          <w:tblHeader/>
        </w:trPr>
        <w:tc>
          <w:tcPr>
            <w:tcW w:w="723" w:type="pct"/>
            <w:shd w:val="clear" w:color="auto" w:fill="auto"/>
            <w:vAlign w:val="center"/>
          </w:tcPr>
          <w:p w:rsidR="004A2676" w:rsidRPr="00DB4AE1" w:rsidRDefault="004A2676" w:rsidP="00837BC5">
            <w:pPr>
              <w:pStyle w:val="Tabletext"/>
              <w:rPr>
                <w:b/>
                <w:szCs w:val="20"/>
              </w:rPr>
            </w:pPr>
            <w:r w:rsidRPr="00DB4AE1">
              <w:rPr>
                <w:b/>
                <w:szCs w:val="20"/>
              </w:rPr>
              <w:t>Component</w:t>
            </w:r>
          </w:p>
        </w:tc>
        <w:tc>
          <w:tcPr>
            <w:tcW w:w="1349" w:type="pct"/>
            <w:shd w:val="clear" w:color="auto" w:fill="auto"/>
            <w:vAlign w:val="center"/>
          </w:tcPr>
          <w:p w:rsidR="004A2676" w:rsidRPr="00DB4AE1" w:rsidRDefault="004A2676" w:rsidP="00837BC5">
            <w:pPr>
              <w:pStyle w:val="Tabletext"/>
              <w:jc w:val="center"/>
              <w:rPr>
                <w:b/>
                <w:szCs w:val="20"/>
              </w:rPr>
            </w:pPr>
            <w:r w:rsidRPr="00DB4AE1">
              <w:rPr>
                <w:b/>
                <w:szCs w:val="20"/>
              </w:rPr>
              <w:t>November 2011</w:t>
            </w:r>
          </w:p>
        </w:tc>
        <w:tc>
          <w:tcPr>
            <w:tcW w:w="1435" w:type="pct"/>
          </w:tcPr>
          <w:p w:rsidR="004A2676" w:rsidRPr="00DB4AE1" w:rsidRDefault="004A2676" w:rsidP="00837BC5">
            <w:pPr>
              <w:pStyle w:val="Tabletext"/>
              <w:jc w:val="center"/>
              <w:rPr>
                <w:b/>
                <w:szCs w:val="20"/>
              </w:rPr>
            </w:pPr>
            <w:r w:rsidRPr="00DB4AE1">
              <w:rPr>
                <w:b/>
                <w:szCs w:val="20"/>
              </w:rPr>
              <w:t>July 2012</w:t>
            </w:r>
          </w:p>
        </w:tc>
        <w:tc>
          <w:tcPr>
            <w:tcW w:w="1493" w:type="pct"/>
            <w:shd w:val="clear" w:color="auto" w:fill="auto"/>
            <w:vAlign w:val="center"/>
          </w:tcPr>
          <w:p w:rsidR="004A2676" w:rsidRPr="00DB4AE1" w:rsidRDefault="004A2676" w:rsidP="00837BC5">
            <w:pPr>
              <w:pStyle w:val="Tabletext"/>
              <w:jc w:val="center"/>
              <w:rPr>
                <w:b/>
                <w:szCs w:val="20"/>
              </w:rPr>
            </w:pPr>
            <w:r w:rsidRPr="00DB4AE1">
              <w:rPr>
                <w:b/>
                <w:szCs w:val="20"/>
              </w:rPr>
              <w:t>July 2013</w:t>
            </w:r>
          </w:p>
        </w:tc>
      </w:tr>
      <w:tr w:rsidR="004A2676" w:rsidRPr="00DB4AE1" w:rsidTr="004A2676">
        <w:tc>
          <w:tcPr>
            <w:tcW w:w="723" w:type="pct"/>
            <w:shd w:val="clear" w:color="auto" w:fill="auto"/>
            <w:vAlign w:val="center"/>
          </w:tcPr>
          <w:p w:rsidR="004A2676" w:rsidRPr="00DB4AE1" w:rsidRDefault="004A2676" w:rsidP="00837BC5">
            <w:pPr>
              <w:pStyle w:val="Tabletext"/>
              <w:rPr>
                <w:szCs w:val="20"/>
                <w:highlight w:val="cyan"/>
              </w:rPr>
            </w:pPr>
            <w:r w:rsidRPr="00DB4AE1">
              <w:rPr>
                <w:rFonts w:eastAsia="Calibri" w:cs="Arial"/>
                <w:szCs w:val="20"/>
              </w:rPr>
              <w:t>Requested listing</w:t>
            </w:r>
          </w:p>
        </w:tc>
        <w:tc>
          <w:tcPr>
            <w:tcW w:w="1349" w:type="pct"/>
            <w:shd w:val="clear" w:color="auto" w:fill="auto"/>
          </w:tcPr>
          <w:p w:rsidR="004A2676" w:rsidRPr="00DB4AE1" w:rsidRDefault="004A2676" w:rsidP="00837BC5">
            <w:pPr>
              <w:pStyle w:val="Tabletext"/>
              <w:rPr>
                <w:rFonts w:cs="Arial"/>
                <w:color w:val="000000"/>
                <w:szCs w:val="20"/>
                <w:lang w:eastAsia="en-AU"/>
              </w:rPr>
            </w:pPr>
            <w:r w:rsidRPr="00DB4AE1">
              <w:rPr>
                <w:rFonts w:cs="Arial"/>
                <w:color w:val="000000"/>
                <w:szCs w:val="20"/>
                <w:lang w:eastAsia="en-AU"/>
              </w:rPr>
              <w:t>Failure of ≥2 prior prophylaxis medications.</w:t>
            </w:r>
          </w:p>
          <w:p w:rsidR="004A2676" w:rsidRPr="00DB4AE1" w:rsidRDefault="004A2676" w:rsidP="00837BC5">
            <w:pPr>
              <w:pStyle w:val="Tabletext"/>
              <w:rPr>
                <w:szCs w:val="20"/>
                <w:highlight w:val="cyan"/>
              </w:rPr>
            </w:pPr>
            <w:r w:rsidRPr="00DB4AE1">
              <w:rPr>
                <w:rFonts w:cs="Arial"/>
                <w:szCs w:val="20"/>
              </w:rPr>
              <w:t xml:space="preserve">Continuation based on ≥30% </w:t>
            </w:r>
            <w:r w:rsidRPr="00DB4AE1">
              <w:rPr>
                <w:szCs w:val="20"/>
              </w:rPr>
              <w:t>reduction in headache days/month by week 24.</w:t>
            </w:r>
          </w:p>
        </w:tc>
        <w:tc>
          <w:tcPr>
            <w:tcW w:w="1435" w:type="pct"/>
          </w:tcPr>
          <w:p w:rsidR="004A2676" w:rsidRPr="00DB4AE1" w:rsidRDefault="004A2676" w:rsidP="00837BC5">
            <w:pPr>
              <w:pStyle w:val="Tabletext"/>
              <w:rPr>
                <w:rFonts w:cs="Arial"/>
                <w:color w:val="000000"/>
                <w:szCs w:val="20"/>
                <w:lang w:eastAsia="en-AU"/>
              </w:rPr>
            </w:pPr>
            <w:r w:rsidRPr="00DB4AE1">
              <w:rPr>
                <w:rFonts w:cs="Arial"/>
                <w:color w:val="000000"/>
                <w:szCs w:val="20"/>
                <w:lang w:eastAsia="en-AU"/>
              </w:rPr>
              <w:t>Failure of ≥3 prior prophylaxis medications.</w:t>
            </w:r>
          </w:p>
          <w:p w:rsidR="004A2676" w:rsidRPr="00DB4AE1" w:rsidRDefault="004A2676" w:rsidP="00837BC5">
            <w:pPr>
              <w:widowControl/>
              <w:autoSpaceDE w:val="0"/>
              <w:autoSpaceDN w:val="0"/>
              <w:adjustRightInd w:val="0"/>
              <w:contextualSpacing/>
              <w:jc w:val="left"/>
              <w:rPr>
                <w:rFonts w:ascii="Arial Narrow" w:hAnsi="Arial Narrow"/>
                <w:sz w:val="20"/>
                <w:szCs w:val="20"/>
              </w:rPr>
            </w:pPr>
            <w:r w:rsidRPr="00DB4AE1">
              <w:rPr>
                <w:rFonts w:ascii="Arial Narrow" w:hAnsi="Arial Narrow"/>
                <w:sz w:val="20"/>
                <w:szCs w:val="20"/>
              </w:rPr>
              <w:t xml:space="preserve">For continuation: option 1: ≥50% </w:t>
            </w:r>
            <w:r w:rsidRPr="00DB4AE1">
              <w:rPr>
                <w:rFonts w:ascii="Arial Narrow" w:hAnsi="Arial Narrow" w:cs="Times New Roman"/>
                <w:sz w:val="20"/>
                <w:szCs w:val="20"/>
              </w:rPr>
              <w:t>decrease in</w:t>
            </w:r>
            <w:r w:rsidRPr="00DB4AE1">
              <w:rPr>
                <w:rFonts w:ascii="Arial Narrow" w:hAnsi="Arial Narrow"/>
                <w:sz w:val="20"/>
                <w:szCs w:val="20"/>
              </w:rPr>
              <w:t xml:space="preserve"> headache days/month by week 24 or option 2: ≥50% </w:t>
            </w:r>
            <w:r w:rsidRPr="00DB4AE1">
              <w:rPr>
                <w:rFonts w:ascii="Arial Narrow" w:hAnsi="Arial Narrow" w:cs="Times New Roman"/>
                <w:sz w:val="20"/>
                <w:szCs w:val="20"/>
              </w:rPr>
              <w:t>decrease in</w:t>
            </w:r>
            <w:r w:rsidRPr="00DB4AE1">
              <w:rPr>
                <w:rFonts w:ascii="Arial Narrow" w:hAnsi="Arial Narrow"/>
                <w:sz w:val="20"/>
                <w:szCs w:val="20"/>
              </w:rPr>
              <w:t xml:space="preserve"> HA days/month by week 24</w:t>
            </w:r>
          </w:p>
          <w:p w:rsidR="004A2676" w:rsidRPr="00DB4AE1" w:rsidRDefault="004A2676" w:rsidP="00837BC5">
            <w:pPr>
              <w:pStyle w:val="Tabletext"/>
              <w:rPr>
                <w:szCs w:val="20"/>
                <w:highlight w:val="cyan"/>
              </w:rPr>
            </w:pPr>
            <w:r w:rsidRPr="00DB4AE1">
              <w:rPr>
                <w:rFonts w:cs="Arial"/>
                <w:szCs w:val="20"/>
              </w:rPr>
              <w:t xml:space="preserve">or ≥30% </w:t>
            </w:r>
            <w:r w:rsidRPr="00DB4AE1">
              <w:rPr>
                <w:szCs w:val="20"/>
              </w:rPr>
              <w:t>decrease in moderate/severe</w:t>
            </w:r>
            <w:r w:rsidRPr="00DB4AE1">
              <w:rPr>
                <w:rFonts w:cs="Arial"/>
                <w:szCs w:val="20"/>
              </w:rPr>
              <w:t xml:space="preserve"> headache days/month by week 24.</w:t>
            </w:r>
          </w:p>
        </w:tc>
        <w:tc>
          <w:tcPr>
            <w:tcW w:w="1493" w:type="pct"/>
            <w:shd w:val="clear" w:color="auto" w:fill="auto"/>
          </w:tcPr>
          <w:p w:rsidR="004A2676" w:rsidRPr="00DB4AE1" w:rsidRDefault="004A2676" w:rsidP="00837BC5">
            <w:pPr>
              <w:pStyle w:val="Tabletext"/>
              <w:rPr>
                <w:rFonts w:cs="Arial"/>
                <w:color w:val="000000"/>
                <w:szCs w:val="20"/>
                <w:lang w:eastAsia="en-AU"/>
              </w:rPr>
            </w:pPr>
            <w:r w:rsidRPr="00DB4AE1">
              <w:rPr>
                <w:rFonts w:cs="Arial"/>
                <w:color w:val="000000"/>
                <w:szCs w:val="20"/>
                <w:lang w:eastAsia="en-AU"/>
              </w:rPr>
              <w:t>Failure of ≥3 prior prophylaxis medications.</w:t>
            </w:r>
          </w:p>
          <w:p w:rsidR="004A2676" w:rsidRPr="00DB4AE1" w:rsidRDefault="004A2676" w:rsidP="00837BC5">
            <w:pPr>
              <w:pStyle w:val="Tabletext"/>
              <w:rPr>
                <w:szCs w:val="20"/>
                <w:highlight w:val="cyan"/>
              </w:rPr>
            </w:pPr>
            <w:r w:rsidRPr="00DB4AE1">
              <w:rPr>
                <w:rFonts w:cs="Arial"/>
                <w:szCs w:val="20"/>
              </w:rPr>
              <w:t xml:space="preserve">Continuation based on ≥ 50% </w:t>
            </w:r>
            <w:r w:rsidRPr="00DB4AE1">
              <w:rPr>
                <w:szCs w:val="20"/>
              </w:rPr>
              <w:t>reduction in headache</w:t>
            </w:r>
            <w:r w:rsidRPr="00DB4AE1">
              <w:rPr>
                <w:rFonts w:cs="Arial"/>
                <w:szCs w:val="20"/>
              </w:rPr>
              <w:t xml:space="preserve"> days/month by week 24.</w:t>
            </w:r>
          </w:p>
        </w:tc>
      </w:tr>
      <w:tr w:rsidR="004A2676" w:rsidRPr="00DB4AE1" w:rsidTr="004A2676">
        <w:tc>
          <w:tcPr>
            <w:tcW w:w="723" w:type="pct"/>
            <w:shd w:val="clear" w:color="auto" w:fill="auto"/>
            <w:vAlign w:val="center"/>
          </w:tcPr>
          <w:p w:rsidR="004A2676" w:rsidRPr="00DB4AE1" w:rsidRDefault="004A2676" w:rsidP="00837BC5">
            <w:pPr>
              <w:pStyle w:val="Tabletext"/>
              <w:rPr>
                <w:rFonts w:eastAsia="Calibri" w:cs="Arial"/>
                <w:szCs w:val="20"/>
              </w:rPr>
            </w:pPr>
            <w:r w:rsidRPr="00DB4AE1">
              <w:rPr>
                <w:rFonts w:eastAsia="Calibri" w:cs="Arial"/>
                <w:szCs w:val="20"/>
              </w:rPr>
              <w:t>Requested price</w:t>
            </w:r>
          </w:p>
        </w:tc>
        <w:tc>
          <w:tcPr>
            <w:tcW w:w="1349" w:type="pct"/>
            <w:shd w:val="clear" w:color="auto" w:fill="auto"/>
            <w:vAlign w:val="center"/>
          </w:tcPr>
          <w:p w:rsidR="004A2676" w:rsidRPr="00DB4AE1" w:rsidRDefault="004A2676" w:rsidP="00837BC5">
            <w:pPr>
              <w:pStyle w:val="Tabletext"/>
              <w:rPr>
                <w:rFonts w:eastAsia="Calibri" w:cs="Arial"/>
                <w:szCs w:val="20"/>
              </w:rPr>
            </w:pPr>
            <w:r w:rsidRPr="00DB4AE1">
              <w:rPr>
                <w:rFonts w:eastAsia="Calibri" w:cs="Arial"/>
                <w:szCs w:val="20"/>
              </w:rPr>
              <w:t>$</w:t>
            </w:r>
            <w:r w:rsidR="001C4612">
              <w:rPr>
                <w:rFonts w:eastAsia="Calibri" w:cs="Arial"/>
                <w:noProof/>
                <w:color w:val="000000"/>
                <w:szCs w:val="20"/>
                <w:highlight w:val="black"/>
              </w:rPr>
              <w:t>'''''''''''''''</w:t>
            </w:r>
            <w:r w:rsidRPr="00DB4AE1">
              <w:rPr>
                <w:rFonts w:eastAsia="Calibri" w:cs="Arial"/>
                <w:szCs w:val="20"/>
              </w:rPr>
              <w:t>/vial</w:t>
            </w:r>
          </w:p>
        </w:tc>
        <w:tc>
          <w:tcPr>
            <w:tcW w:w="1435" w:type="pct"/>
          </w:tcPr>
          <w:p w:rsidR="004A2676" w:rsidRPr="00DB4AE1" w:rsidRDefault="004A2676" w:rsidP="00837BC5">
            <w:pPr>
              <w:widowControl/>
              <w:autoSpaceDE w:val="0"/>
              <w:autoSpaceDN w:val="0"/>
              <w:adjustRightInd w:val="0"/>
              <w:contextualSpacing/>
              <w:jc w:val="left"/>
              <w:rPr>
                <w:rFonts w:ascii="Arial Narrow" w:hAnsi="Arial Narrow"/>
                <w:snapToGrid/>
                <w:sz w:val="20"/>
                <w:szCs w:val="20"/>
              </w:rPr>
            </w:pPr>
            <w:r w:rsidRPr="00DB4AE1">
              <w:rPr>
                <w:rFonts w:ascii="Arial Narrow" w:hAnsi="Arial Narrow"/>
                <w:snapToGrid/>
                <w:sz w:val="20"/>
                <w:szCs w:val="20"/>
              </w:rPr>
              <w:t>$</w:t>
            </w:r>
            <w:r w:rsidR="001C4612">
              <w:rPr>
                <w:rFonts w:ascii="Arial Narrow" w:hAnsi="Arial Narrow"/>
                <w:noProof/>
                <w:snapToGrid/>
                <w:color w:val="000000"/>
                <w:sz w:val="20"/>
                <w:szCs w:val="20"/>
                <w:highlight w:val="black"/>
              </w:rPr>
              <w:t>'''''''''''''''''</w:t>
            </w:r>
            <w:r w:rsidRPr="00DB4AE1">
              <w:rPr>
                <w:rFonts w:ascii="Arial Narrow" w:hAnsi="Arial Narrow"/>
                <w:snapToGrid/>
                <w:sz w:val="20"/>
                <w:szCs w:val="20"/>
              </w:rPr>
              <w:t>/vial</w:t>
            </w:r>
          </w:p>
        </w:tc>
        <w:tc>
          <w:tcPr>
            <w:tcW w:w="1493" w:type="pct"/>
            <w:shd w:val="clear" w:color="auto" w:fill="auto"/>
            <w:vAlign w:val="center"/>
          </w:tcPr>
          <w:p w:rsidR="004A2676" w:rsidRPr="00DB4AE1" w:rsidRDefault="004A2676" w:rsidP="00837BC5">
            <w:pPr>
              <w:pStyle w:val="Tabletext"/>
              <w:rPr>
                <w:szCs w:val="20"/>
                <w:highlight w:val="cyan"/>
              </w:rPr>
            </w:pPr>
            <w:r w:rsidRPr="00DB4AE1">
              <w:rPr>
                <w:szCs w:val="20"/>
              </w:rPr>
              <w:t>$</w:t>
            </w:r>
            <w:r w:rsidR="001C4612">
              <w:rPr>
                <w:noProof/>
                <w:color w:val="000000"/>
                <w:szCs w:val="20"/>
                <w:highlight w:val="black"/>
              </w:rPr>
              <w:t>''''''''''''''''</w:t>
            </w:r>
            <w:r w:rsidRPr="00DB4AE1">
              <w:rPr>
                <w:szCs w:val="20"/>
              </w:rPr>
              <w:t>/vial</w:t>
            </w:r>
          </w:p>
        </w:tc>
      </w:tr>
      <w:tr w:rsidR="004A2676" w:rsidRPr="00DB4AE1" w:rsidTr="004A2676">
        <w:tc>
          <w:tcPr>
            <w:tcW w:w="723" w:type="pct"/>
            <w:shd w:val="clear" w:color="auto" w:fill="auto"/>
            <w:vAlign w:val="center"/>
          </w:tcPr>
          <w:p w:rsidR="004A2676" w:rsidRPr="00DB4AE1" w:rsidRDefault="004A2676" w:rsidP="00837BC5">
            <w:pPr>
              <w:pStyle w:val="Tabletext"/>
              <w:rPr>
                <w:szCs w:val="20"/>
                <w:highlight w:val="cyan"/>
              </w:rPr>
            </w:pPr>
            <w:r w:rsidRPr="00DB4AE1">
              <w:rPr>
                <w:rFonts w:eastAsia="Calibri" w:cs="Arial"/>
                <w:szCs w:val="20"/>
              </w:rPr>
              <w:t>Clinical evidence</w:t>
            </w:r>
          </w:p>
        </w:tc>
        <w:tc>
          <w:tcPr>
            <w:tcW w:w="2784" w:type="pct"/>
            <w:gridSpan w:val="2"/>
            <w:shd w:val="clear" w:color="auto" w:fill="auto"/>
            <w:vAlign w:val="center"/>
          </w:tcPr>
          <w:p w:rsidR="004A2676" w:rsidRPr="00DB4AE1" w:rsidRDefault="004A2676" w:rsidP="00837BC5">
            <w:pPr>
              <w:pStyle w:val="Tabletext"/>
              <w:rPr>
                <w:rFonts w:eastAsia="Calibri" w:cs="Arial"/>
                <w:szCs w:val="20"/>
              </w:rPr>
            </w:pPr>
            <w:r w:rsidRPr="00DB4AE1">
              <w:rPr>
                <w:rFonts w:eastAsia="Calibri" w:cs="Arial"/>
                <w:szCs w:val="20"/>
              </w:rPr>
              <w:t>PREEMPT 1 and II, which were randomised, double-blind, open-label trials comparing Botox and placebo.</w:t>
            </w:r>
          </w:p>
          <w:p w:rsidR="00B74B63" w:rsidRPr="00DB4AE1" w:rsidRDefault="00B74B63" w:rsidP="00837BC5">
            <w:pPr>
              <w:pStyle w:val="Tabletext"/>
              <w:rPr>
                <w:rFonts w:eastAsia="Calibri" w:cs="Arial"/>
                <w:szCs w:val="20"/>
              </w:rPr>
            </w:pPr>
          </w:p>
          <w:p w:rsidR="00B74B63" w:rsidRPr="00DB4AE1" w:rsidRDefault="00B74B63" w:rsidP="00837BC5">
            <w:pPr>
              <w:pStyle w:val="Tabletext"/>
              <w:rPr>
                <w:szCs w:val="20"/>
                <w:highlight w:val="cyan"/>
              </w:rPr>
            </w:pPr>
          </w:p>
        </w:tc>
        <w:tc>
          <w:tcPr>
            <w:tcW w:w="1493" w:type="pct"/>
            <w:shd w:val="clear" w:color="auto" w:fill="auto"/>
            <w:vAlign w:val="center"/>
          </w:tcPr>
          <w:p w:rsidR="004A2676" w:rsidRPr="00DB4AE1" w:rsidRDefault="004A2676" w:rsidP="00837BC5">
            <w:pPr>
              <w:pStyle w:val="Tabletext"/>
              <w:rPr>
                <w:szCs w:val="20"/>
                <w:highlight w:val="cyan"/>
              </w:rPr>
            </w:pPr>
            <w:r w:rsidRPr="00DB4AE1">
              <w:rPr>
                <w:szCs w:val="20"/>
              </w:rPr>
              <w:t>PREEMPT I and II plus Cady 2012 which was a Phase IV randomised, double-blind, cross-over trial in 20 patients.</w:t>
            </w:r>
          </w:p>
        </w:tc>
      </w:tr>
      <w:tr w:rsidR="004A2676" w:rsidRPr="00DB4AE1" w:rsidTr="004A2676">
        <w:tc>
          <w:tcPr>
            <w:tcW w:w="723" w:type="pct"/>
            <w:shd w:val="clear" w:color="auto" w:fill="auto"/>
            <w:vAlign w:val="center"/>
          </w:tcPr>
          <w:p w:rsidR="004A2676" w:rsidRPr="00DB4AE1" w:rsidRDefault="004A2676" w:rsidP="00837BC5">
            <w:pPr>
              <w:pStyle w:val="Tabletext"/>
              <w:rPr>
                <w:rFonts w:eastAsia="Calibri" w:cs="Arial"/>
                <w:szCs w:val="20"/>
              </w:rPr>
            </w:pPr>
            <w:r w:rsidRPr="00DB4AE1">
              <w:rPr>
                <w:rFonts w:eastAsia="Calibri" w:cs="Arial"/>
                <w:szCs w:val="20"/>
              </w:rPr>
              <w:t>Clinical claim</w:t>
            </w:r>
          </w:p>
        </w:tc>
        <w:tc>
          <w:tcPr>
            <w:tcW w:w="4277" w:type="pct"/>
            <w:gridSpan w:val="3"/>
            <w:shd w:val="clear" w:color="auto" w:fill="auto"/>
            <w:vAlign w:val="center"/>
          </w:tcPr>
          <w:p w:rsidR="004A2676" w:rsidRPr="00DB4AE1" w:rsidRDefault="004A2676" w:rsidP="00837BC5">
            <w:pPr>
              <w:pStyle w:val="Tabletext"/>
              <w:rPr>
                <w:szCs w:val="20"/>
                <w:highlight w:val="cyan"/>
              </w:rPr>
            </w:pPr>
            <w:r w:rsidRPr="00DB4AE1">
              <w:rPr>
                <w:szCs w:val="20"/>
              </w:rPr>
              <w:t>Botox as superior in terms of comparative effectiveness and inferior in terms of comparative safety over best supportive care</w:t>
            </w:r>
          </w:p>
        </w:tc>
      </w:tr>
      <w:tr w:rsidR="004A2676" w:rsidRPr="00DB4AE1" w:rsidTr="004A2676">
        <w:tc>
          <w:tcPr>
            <w:tcW w:w="723" w:type="pct"/>
            <w:shd w:val="clear" w:color="auto" w:fill="auto"/>
            <w:vAlign w:val="center"/>
          </w:tcPr>
          <w:p w:rsidR="004A2676" w:rsidRPr="00DB4AE1" w:rsidRDefault="004A2676" w:rsidP="00837BC5">
            <w:pPr>
              <w:pStyle w:val="Tabletext"/>
              <w:rPr>
                <w:rFonts w:eastAsia="Calibri" w:cs="Arial"/>
                <w:szCs w:val="20"/>
              </w:rPr>
            </w:pPr>
            <w:r w:rsidRPr="00DB4AE1">
              <w:rPr>
                <w:rFonts w:eastAsia="Calibri" w:cs="Arial"/>
                <w:szCs w:val="20"/>
              </w:rPr>
              <w:t>Economic model</w:t>
            </w:r>
          </w:p>
        </w:tc>
        <w:tc>
          <w:tcPr>
            <w:tcW w:w="4277" w:type="pct"/>
            <w:gridSpan w:val="3"/>
            <w:shd w:val="clear" w:color="auto" w:fill="auto"/>
            <w:vAlign w:val="center"/>
          </w:tcPr>
          <w:p w:rsidR="004A2676" w:rsidRPr="00DB4AE1" w:rsidRDefault="004A2676" w:rsidP="00837BC5">
            <w:pPr>
              <w:pStyle w:val="Tabletext"/>
              <w:rPr>
                <w:szCs w:val="20"/>
              </w:rPr>
            </w:pPr>
            <w:r w:rsidRPr="00DB4AE1">
              <w:rPr>
                <w:szCs w:val="20"/>
              </w:rPr>
              <w:t>Markov cohort model with 6 health states based on number of headache days per 28 days.</w:t>
            </w:r>
          </w:p>
          <w:p w:rsidR="004A2676" w:rsidRPr="00DB4AE1" w:rsidRDefault="004A2676" w:rsidP="00837BC5">
            <w:pPr>
              <w:pStyle w:val="Tabletext"/>
              <w:rPr>
                <w:szCs w:val="20"/>
              </w:rPr>
            </w:pPr>
            <w:r w:rsidRPr="00DB4AE1">
              <w:rPr>
                <w:szCs w:val="20"/>
              </w:rPr>
              <w:t>5 year duration.</w:t>
            </w:r>
          </w:p>
        </w:tc>
      </w:tr>
      <w:tr w:rsidR="004A2676" w:rsidRPr="00DB4AE1" w:rsidTr="004A2676">
        <w:tc>
          <w:tcPr>
            <w:tcW w:w="723" w:type="pct"/>
            <w:shd w:val="clear" w:color="auto" w:fill="auto"/>
            <w:vAlign w:val="center"/>
          </w:tcPr>
          <w:p w:rsidR="004A2676" w:rsidRPr="00DB4AE1" w:rsidRDefault="004A2676" w:rsidP="00837BC5">
            <w:pPr>
              <w:pStyle w:val="Tabletext"/>
              <w:rPr>
                <w:szCs w:val="20"/>
                <w:highlight w:val="cyan"/>
              </w:rPr>
            </w:pPr>
            <w:r w:rsidRPr="00DB4AE1">
              <w:rPr>
                <w:rFonts w:eastAsia="Calibri" w:cs="Arial"/>
                <w:szCs w:val="20"/>
              </w:rPr>
              <w:t xml:space="preserve">ICER </w:t>
            </w:r>
          </w:p>
        </w:tc>
        <w:tc>
          <w:tcPr>
            <w:tcW w:w="1349" w:type="pct"/>
            <w:shd w:val="clear" w:color="auto" w:fill="auto"/>
            <w:vAlign w:val="center"/>
          </w:tcPr>
          <w:p w:rsidR="004A2676" w:rsidRPr="00DB4AE1" w:rsidRDefault="004A2676" w:rsidP="00837BC5">
            <w:pPr>
              <w:pStyle w:val="Tabletext"/>
              <w:rPr>
                <w:rFonts w:eastAsia="Calibri" w:cs="Arial"/>
                <w:szCs w:val="20"/>
              </w:rPr>
            </w:pPr>
            <w:r w:rsidRPr="00DB4AE1">
              <w:rPr>
                <w:rFonts w:eastAsia="Calibri" w:cs="Arial"/>
                <w:szCs w:val="20"/>
              </w:rPr>
              <w:t>$</w:t>
            </w:r>
            <w:r w:rsidR="001C4612">
              <w:rPr>
                <w:rFonts w:eastAsia="Calibri" w:cs="Arial"/>
                <w:noProof/>
                <w:color w:val="000000"/>
                <w:szCs w:val="20"/>
                <w:highlight w:val="black"/>
              </w:rPr>
              <w:t>''''''''''''''''''</w:t>
            </w:r>
            <w:r w:rsidRPr="00DB4AE1">
              <w:rPr>
                <w:rFonts w:eastAsia="Calibri" w:cs="Arial"/>
                <w:szCs w:val="20"/>
              </w:rPr>
              <w:t>/QALY</w:t>
            </w:r>
          </w:p>
        </w:tc>
        <w:tc>
          <w:tcPr>
            <w:tcW w:w="1435" w:type="pct"/>
          </w:tcPr>
          <w:p w:rsidR="004A2676" w:rsidRPr="00DB4AE1" w:rsidRDefault="004A2676" w:rsidP="00837BC5">
            <w:pPr>
              <w:pStyle w:val="Tabletext"/>
              <w:rPr>
                <w:szCs w:val="20"/>
              </w:rPr>
            </w:pPr>
            <w:r w:rsidRPr="00DB4AE1">
              <w:rPr>
                <w:szCs w:val="20"/>
              </w:rPr>
              <w:t>$</w:t>
            </w:r>
            <w:r w:rsidR="001C4612">
              <w:rPr>
                <w:noProof/>
                <w:color w:val="000000"/>
                <w:szCs w:val="20"/>
                <w:highlight w:val="black"/>
              </w:rPr>
              <w:t>'''''''''''''''</w:t>
            </w:r>
            <w:r w:rsidRPr="00DB4AE1">
              <w:rPr>
                <w:szCs w:val="20"/>
              </w:rPr>
              <w:t>/QALY</w:t>
            </w:r>
          </w:p>
        </w:tc>
        <w:tc>
          <w:tcPr>
            <w:tcW w:w="1493" w:type="pct"/>
            <w:shd w:val="clear" w:color="auto" w:fill="auto"/>
            <w:vAlign w:val="center"/>
          </w:tcPr>
          <w:p w:rsidR="004A2676" w:rsidRPr="00DB4AE1" w:rsidRDefault="004A2676" w:rsidP="00837BC5">
            <w:pPr>
              <w:pStyle w:val="Tabletext"/>
              <w:rPr>
                <w:szCs w:val="20"/>
              </w:rPr>
            </w:pPr>
            <w:r w:rsidRPr="00DB4AE1">
              <w:rPr>
                <w:szCs w:val="20"/>
              </w:rPr>
              <w:t>$</w:t>
            </w:r>
            <w:r w:rsidR="001C4612">
              <w:rPr>
                <w:noProof/>
                <w:color w:val="000000"/>
                <w:szCs w:val="20"/>
                <w:highlight w:val="black"/>
              </w:rPr>
              <w:t>''''''''''''''''</w:t>
            </w:r>
            <w:r w:rsidRPr="00DB4AE1">
              <w:rPr>
                <w:szCs w:val="20"/>
              </w:rPr>
              <w:t>/QALY</w:t>
            </w:r>
          </w:p>
        </w:tc>
      </w:tr>
      <w:tr w:rsidR="004A2676" w:rsidRPr="00DB4AE1" w:rsidTr="004A2676">
        <w:tc>
          <w:tcPr>
            <w:tcW w:w="723" w:type="pct"/>
            <w:shd w:val="clear" w:color="auto" w:fill="auto"/>
            <w:vAlign w:val="center"/>
          </w:tcPr>
          <w:p w:rsidR="004A2676" w:rsidRPr="00DB4AE1" w:rsidRDefault="004A2676" w:rsidP="00837BC5">
            <w:pPr>
              <w:pStyle w:val="Tabletext"/>
              <w:rPr>
                <w:color w:val="4BACC6" w:themeColor="accent5"/>
                <w:szCs w:val="20"/>
                <w:highlight w:val="cyan"/>
              </w:rPr>
            </w:pPr>
            <w:r w:rsidRPr="00DB4AE1">
              <w:rPr>
                <w:rFonts w:eastAsia="Calibri" w:cs="Arial"/>
                <w:szCs w:val="20"/>
              </w:rPr>
              <w:t xml:space="preserve">Financial estimates </w:t>
            </w:r>
          </w:p>
        </w:tc>
        <w:tc>
          <w:tcPr>
            <w:tcW w:w="1349" w:type="pct"/>
            <w:shd w:val="clear" w:color="auto" w:fill="auto"/>
            <w:vAlign w:val="center"/>
          </w:tcPr>
          <w:p w:rsidR="004A2676" w:rsidRPr="00DB4AE1" w:rsidRDefault="001C4612" w:rsidP="00837BC5">
            <w:pPr>
              <w:pStyle w:val="Tabletext"/>
              <w:rPr>
                <w:rFonts w:eastAsia="Calibri" w:cs="Arial"/>
                <w:szCs w:val="20"/>
              </w:rPr>
            </w:pPr>
            <w:r>
              <w:rPr>
                <w:rFonts w:eastAsia="Calibri" w:cs="Arial"/>
                <w:noProof/>
                <w:color w:val="000000"/>
                <w:szCs w:val="20"/>
                <w:highlight w:val="black"/>
              </w:rPr>
              <w:t xml:space="preserve">''''''''''''''' </w:t>
            </w:r>
            <w:r w:rsidR="004A2676" w:rsidRPr="00DB4AE1">
              <w:rPr>
                <w:rFonts w:eastAsia="Calibri" w:cs="Arial"/>
                <w:szCs w:val="20"/>
              </w:rPr>
              <w:t>patients over 5 years</w:t>
            </w:r>
          </w:p>
          <w:p w:rsidR="004A2676" w:rsidRPr="00DB4AE1" w:rsidRDefault="004A2676" w:rsidP="00837BC5">
            <w:pPr>
              <w:pStyle w:val="Tabletext"/>
              <w:rPr>
                <w:rFonts w:eastAsia="Calibri" w:cs="Arial"/>
                <w:szCs w:val="20"/>
              </w:rPr>
            </w:pPr>
            <w:r w:rsidRPr="00DB4AE1">
              <w:rPr>
                <w:rFonts w:eastAsia="Calibri" w:cs="Arial"/>
                <w:szCs w:val="20"/>
              </w:rPr>
              <w:t>$</w:t>
            </w:r>
            <w:r w:rsidR="001C4612">
              <w:rPr>
                <w:rFonts w:eastAsia="Calibri" w:cs="Arial"/>
                <w:noProof/>
                <w:color w:val="000000"/>
                <w:szCs w:val="20"/>
                <w:highlight w:val="black"/>
              </w:rPr>
              <w:t>'''''''''''''''''''''''''''''</w:t>
            </w:r>
            <w:r w:rsidRPr="00DB4AE1">
              <w:rPr>
                <w:rFonts w:eastAsia="Calibri" w:cs="Arial"/>
                <w:szCs w:val="20"/>
              </w:rPr>
              <w:t xml:space="preserve"> net cost to Government</w:t>
            </w:r>
          </w:p>
        </w:tc>
        <w:tc>
          <w:tcPr>
            <w:tcW w:w="1435" w:type="pct"/>
          </w:tcPr>
          <w:p w:rsidR="004A2676" w:rsidRPr="00DB4AE1" w:rsidRDefault="001C4612" w:rsidP="00837BC5">
            <w:pPr>
              <w:pStyle w:val="Tabletext"/>
              <w:rPr>
                <w:szCs w:val="20"/>
                <w:lang w:val="en-US"/>
              </w:rPr>
            </w:pPr>
            <w:r>
              <w:rPr>
                <w:noProof/>
                <w:color w:val="000000"/>
                <w:szCs w:val="20"/>
                <w:highlight w:val="black"/>
                <w:lang w:val="en-US"/>
              </w:rPr>
              <w:t>'''''''''''''''</w:t>
            </w:r>
            <w:r w:rsidR="004A2676" w:rsidRPr="00DB4AE1">
              <w:rPr>
                <w:szCs w:val="20"/>
                <w:lang w:val="en-US"/>
              </w:rPr>
              <w:t xml:space="preserve"> patients over 5 years</w:t>
            </w:r>
          </w:p>
          <w:p w:rsidR="004A2676" w:rsidRPr="00DB4AE1" w:rsidRDefault="004A2676" w:rsidP="00837BC5">
            <w:pPr>
              <w:pStyle w:val="Tabletext"/>
              <w:rPr>
                <w:szCs w:val="20"/>
                <w:lang w:val="en-US"/>
              </w:rPr>
            </w:pPr>
            <w:r w:rsidRPr="00DB4AE1">
              <w:rPr>
                <w:szCs w:val="20"/>
                <w:lang w:val="en-US"/>
              </w:rPr>
              <w:t>$</w:t>
            </w:r>
            <w:r w:rsidR="001C4612">
              <w:rPr>
                <w:noProof/>
                <w:color w:val="000000"/>
                <w:szCs w:val="20"/>
                <w:highlight w:val="black"/>
                <w:lang w:val="en-US"/>
              </w:rPr>
              <w:t>'''''''''''''''''''''''''</w:t>
            </w:r>
            <w:r w:rsidRPr="00DB4AE1">
              <w:rPr>
                <w:szCs w:val="20"/>
                <w:lang w:val="en-US"/>
              </w:rPr>
              <w:t xml:space="preserve"> net cost to Government</w:t>
            </w:r>
          </w:p>
        </w:tc>
        <w:tc>
          <w:tcPr>
            <w:tcW w:w="1493" w:type="pct"/>
            <w:shd w:val="clear" w:color="auto" w:fill="auto"/>
            <w:vAlign w:val="center"/>
          </w:tcPr>
          <w:p w:rsidR="004A2676" w:rsidRPr="00DB4AE1" w:rsidRDefault="001C4612" w:rsidP="00837BC5">
            <w:pPr>
              <w:pStyle w:val="Tabletext"/>
              <w:rPr>
                <w:szCs w:val="20"/>
                <w:lang w:val="en-US"/>
              </w:rPr>
            </w:pPr>
            <w:r>
              <w:rPr>
                <w:noProof/>
                <w:color w:val="000000"/>
                <w:szCs w:val="20"/>
                <w:highlight w:val="black"/>
                <w:lang w:val="en-US"/>
              </w:rPr>
              <w:t>''''''''''''''''''</w:t>
            </w:r>
            <w:r w:rsidR="004A2676" w:rsidRPr="00DB4AE1">
              <w:rPr>
                <w:szCs w:val="20"/>
                <w:lang w:val="en-US"/>
              </w:rPr>
              <w:t xml:space="preserve"> patients over 5 years</w:t>
            </w:r>
          </w:p>
          <w:p w:rsidR="004A2676" w:rsidRPr="00DB4AE1" w:rsidRDefault="004A2676" w:rsidP="00837BC5">
            <w:pPr>
              <w:pStyle w:val="Tabletext"/>
              <w:rPr>
                <w:szCs w:val="20"/>
                <w:lang w:val="en-US"/>
              </w:rPr>
            </w:pPr>
            <w:r w:rsidRPr="00DB4AE1">
              <w:rPr>
                <w:szCs w:val="20"/>
                <w:lang w:val="en-US"/>
              </w:rPr>
              <w:t>$</w:t>
            </w:r>
            <w:r w:rsidR="001C4612">
              <w:rPr>
                <w:noProof/>
                <w:color w:val="000000"/>
                <w:szCs w:val="20"/>
                <w:highlight w:val="black"/>
                <w:lang w:val="en-US"/>
              </w:rPr>
              <w:t>'''''''''''''''''''''''''''''</w:t>
            </w:r>
            <w:r w:rsidRPr="00DB4AE1">
              <w:rPr>
                <w:szCs w:val="20"/>
                <w:lang w:val="en-US"/>
              </w:rPr>
              <w:t xml:space="preserve"> net cost to Government</w:t>
            </w:r>
          </w:p>
        </w:tc>
      </w:tr>
      <w:tr w:rsidR="004A2676" w:rsidRPr="00DB4AE1" w:rsidTr="004A2676">
        <w:tc>
          <w:tcPr>
            <w:tcW w:w="723" w:type="pct"/>
            <w:shd w:val="clear" w:color="auto" w:fill="auto"/>
            <w:vAlign w:val="center"/>
          </w:tcPr>
          <w:p w:rsidR="004A2676" w:rsidRPr="00DB4AE1" w:rsidRDefault="004A2676" w:rsidP="00837BC5">
            <w:pPr>
              <w:pStyle w:val="Tabletext"/>
              <w:rPr>
                <w:rFonts w:eastAsia="Calibri" w:cs="Arial"/>
                <w:szCs w:val="20"/>
              </w:rPr>
            </w:pPr>
            <w:r w:rsidRPr="00DB4AE1">
              <w:rPr>
                <w:rFonts w:eastAsia="Calibri" w:cs="Arial"/>
                <w:szCs w:val="20"/>
              </w:rPr>
              <w:t>RSA</w:t>
            </w:r>
          </w:p>
        </w:tc>
        <w:tc>
          <w:tcPr>
            <w:tcW w:w="1349" w:type="pct"/>
            <w:shd w:val="clear" w:color="auto" w:fill="auto"/>
            <w:vAlign w:val="center"/>
          </w:tcPr>
          <w:p w:rsidR="004A2676" w:rsidRPr="00DB4AE1" w:rsidRDefault="004A2676" w:rsidP="00837BC5">
            <w:pPr>
              <w:pStyle w:val="Tabletext"/>
              <w:rPr>
                <w:rFonts w:eastAsia="Calibri" w:cs="Arial"/>
                <w:szCs w:val="20"/>
              </w:rPr>
            </w:pPr>
            <w:r w:rsidRPr="00DB4AE1">
              <w:rPr>
                <w:rFonts w:eastAsia="Calibri" w:cs="Arial"/>
                <w:szCs w:val="20"/>
              </w:rPr>
              <w:t>Not specified.</w:t>
            </w:r>
          </w:p>
        </w:tc>
        <w:tc>
          <w:tcPr>
            <w:tcW w:w="1435" w:type="pct"/>
          </w:tcPr>
          <w:p w:rsidR="004A2676" w:rsidRPr="00DB4AE1" w:rsidRDefault="001C4612" w:rsidP="00837BC5">
            <w:pPr>
              <w:pStyle w:val="Tabletext"/>
              <w:rPr>
                <w:rFonts w:eastAsia="Calibri" w:cs="Arial"/>
                <w:szCs w:val="20"/>
              </w:rPr>
            </w:pPr>
            <w:r>
              <w:rPr>
                <w:rFonts w:eastAsia="Calibri" w:cs="Arial"/>
                <w:noProof/>
                <w:color w:val="000000"/>
                <w:szCs w:val="20"/>
                <w:highlight w:val="black"/>
              </w:rPr>
              <w:t>''''''''''</w:t>
            </w:r>
            <w:r w:rsidR="004A2676" w:rsidRPr="00DB4AE1">
              <w:rPr>
                <w:rFonts w:eastAsia="Calibri" w:cs="Arial"/>
                <w:szCs w:val="20"/>
              </w:rPr>
              <w:t xml:space="preserve"> rebate on Botox price.</w:t>
            </w:r>
          </w:p>
          <w:p w:rsidR="004A2676" w:rsidRPr="001C4612" w:rsidRDefault="001C4612" w:rsidP="00837BC5">
            <w:pPr>
              <w:pStyle w:val="Tabletext"/>
              <w:rPr>
                <w:rFonts w:eastAsia="Calibri" w:cs="Arial"/>
                <w:szCs w:val="20"/>
                <w:highlight w:val="black"/>
              </w:rPr>
            </w:pPr>
            <w:r>
              <w:rPr>
                <w:rFonts w:eastAsia="Calibri" w:cs="Arial"/>
                <w:noProof/>
                <w:color w:val="000000"/>
                <w:szCs w:val="20"/>
                <w:highlight w:val="black"/>
              </w:rPr>
              <w:t>''''''''''''''' ''''''''''''''''''''''''''''''' ''''''''''''' '''''''''''' '''''''''''''''' ''''''''''''''''''''''' '''''''''' ''''' '''''''''' ''''''''''' '''' '''''''''' '''''''''''''' '''' ''' '''''''''' ''''''</w:t>
            </w:r>
          </w:p>
          <w:p w:rsidR="004A2676" w:rsidRPr="00DB4AE1" w:rsidRDefault="001C4612" w:rsidP="00837BC5">
            <w:pPr>
              <w:pStyle w:val="Tabletext"/>
              <w:rPr>
                <w:rFonts w:eastAsia="Calibri" w:cs="Arial"/>
                <w:szCs w:val="20"/>
              </w:rPr>
            </w:pPr>
            <w:r>
              <w:rPr>
                <w:rFonts w:eastAsia="Calibri" w:cs="Arial"/>
                <w:noProof/>
                <w:color w:val="000000"/>
                <w:szCs w:val="20"/>
                <w:highlight w:val="black"/>
              </w:rPr>
              <w:t>''''''''''' '''''''''''''''''''''''''''''''''''' '''' '''''''''''''''''''' ''''''''''''''''''''''''' '''''''''''''''''''''''''''''' ''''''''</w:t>
            </w:r>
            <w:r w:rsidR="004A2676" w:rsidRPr="00DB4AE1">
              <w:rPr>
                <w:rFonts w:eastAsia="Calibri" w:cs="Arial"/>
                <w:szCs w:val="20"/>
              </w:rPr>
              <w:t>.</w:t>
            </w:r>
          </w:p>
        </w:tc>
        <w:tc>
          <w:tcPr>
            <w:tcW w:w="1493" w:type="pct"/>
            <w:shd w:val="clear" w:color="auto" w:fill="auto"/>
            <w:vAlign w:val="center"/>
          </w:tcPr>
          <w:p w:rsidR="004A2676" w:rsidRPr="00DB4AE1" w:rsidRDefault="001C4612" w:rsidP="00837BC5">
            <w:pPr>
              <w:pStyle w:val="Tabletext"/>
              <w:rPr>
                <w:rFonts w:eastAsia="Calibri" w:cs="Arial"/>
                <w:szCs w:val="20"/>
              </w:rPr>
            </w:pPr>
            <w:r>
              <w:rPr>
                <w:rFonts w:eastAsia="Calibri" w:cs="Arial"/>
                <w:noProof/>
                <w:color w:val="000000"/>
                <w:szCs w:val="20"/>
                <w:highlight w:val="black"/>
              </w:rPr>
              <w:t>''''''''''</w:t>
            </w:r>
            <w:r w:rsidR="004A2676" w:rsidRPr="00DB4AE1">
              <w:rPr>
                <w:rFonts w:eastAsia="Calibri" w:cs="Arial"/>
                <w:szCs w:val="20"/>
              </w:rPr>
              <w:t xml:space="preserve"> rebate on Botox price.</w:t>
            </w:r>
          </w:p>
          <w:p w:rsidR="004A2676" w:rsidRPr="001C4612" w:rsidRDefault="001C4612" w:rsidP="00837BC5">
            <w:pPr>
              <w:pStyle w:val="Tabletext"/>
              <w:rPr>
                <w:rFonts w:eastAsia="Calibri" w:cs="Arial"/>
                <w:szCs w:val="20"/>
                <w:highlight w:val="black"/>
              </w:rPr>
            </w:pPr>
            <w:r>
              <w:rPr>
                <w:rFonts w:eastAsia="Calibri" w:cs="Arial"/>
                <w:noProof/>
                <w:color w:val="000000"/>
                <w:szCs w:val="20"/>
                <w:highlight w:val="black"/>
              </w:rPr>
              <w:t>''''''''' '''' '''''''''''''''''''''''''''''''' ''''''''''' ''''''''' '''''''''' ''' ''''''''''' ''''''''' ''''''''''''''''''''''''''''''''''' '''' '''''''''' ''''' '''''''''' ''''''''''' '''' ''''''''''' '''</w:t>
            </w:r>
          </w:p>
          <w:p w:rsidR="004A2676" w:rsidRPr="001C4612" w:rsidRDefault="001C4612" w:rsidP="00837BC5">
            <w:pPr>
              <w:pStyle w:val="Tabletext"/>
              <w:rPr>
                <w:rFonts w:eastAsia="Calibri" w:cs="Arial"/>
                <w:szCs w:val="20"/>
                <w:highlight w:val="black"/>
              </w:rPr>
            </w:pPr>
            <w:r>
              <w:rPr>
                <w:rFonts w:eastAsia="Calibri" w:cs="Arial"/>
                <w:noProof/>
                <w:color w:val="000000"/>
                <w:szCs w:val="20"/>
                <w:highlight w:val="black"/>
              </w:rPr>
              <w:t>'''''''''' '''' '''''''''''''''''''''''''''''''' '''''''''''' ''' '''''''''''''' '''''''''' '''''''''''''''''''''''''''''''''' '''' '''''''''' ''''' ''''''''''' ''''''''' ''' ''''''''''' '''''</w:t>
            </w:r>
          </w:p>
        </w:tc>
      </w:tr>
      <w:tr w:rsidR="004A2676" w:rsidRPr="00DB4AE1" w:rsidTr="004A2676">
        <w:tc>
          <w:tcPr>
            <w:tcW w:w="723" w:type="pct"/>
            <w:shd w:val="clear" w:color="auto" w:fill="auto"/>
            <w:vAlign w:val="center"/>
          </w:tcPr>
          <w:p w:rsidR="004A2676" w:rsidRPr="00DB4AE1" w:rsidRDefault="004A2676" w:rsidP="00837BC5">
            <w:pPr>
              <w:pStyle w:val="Tabletext"/>
              <w:rPr>
                <w:rFonts w:eastAsia="Calibri" w:cs="Arial"/>
                <w:szCs w:val="20"/>
              </w:rPr>
            </w:pPr>
            <w:r w:rsidRPr="00DB4AE1">
              <w:rPr>
                <w:rFonts w:eastAsia="Calibri" w:cs="Arial"/>
                <w:szCs w:val="20"/>
              </w:rPr>
              <w:t>PBAC decision</w:t>
            </w:r>
          </w:p>
        </w:tc>
        <w:tc>
          <w:tcPr>
            <w:tcW w:w="1349" w:type="pct"/>
            <w:shd w:val="clear" w:color="auto" w:fill="auto"/>
            <w:vAlign w:val="center"/>
          </w:tcPr>
          <w:p w:rsidR="004A2676" w:rsidRPr="00DB4AE1" w:rsidRDefault="004A2676" w:rsidP="00837BC5">
            <w:pPr>
              <w:pStyle w:val="Tabletext"/>
              <w:rPr>
                <w:rFonts w:eastAsia="Calibri" w:cs="Arial"/>
                <w:szCs w:val="20"/>
              </w:rPr>
            </w:pPr>
            <w:r w:rsidRPr="00DB4AE1">
              <w:rPr>
                <w:rFonts w:eastAsia="Calibri" w:cs="Arial"/>
                <w:szCs w:val="20"/>
              </w:rPr>
              <w:t>Reject</w:t>
            </w:r>
          </w:p>
        </w:tc>
        <w:tc>
          <w:tcPr>
            <w:tcW w:w="1435" w:type="pct"/>
          </w:tcPr>
          <w:p w:rsidR="004A2676" w:rsidRPr="00DB4AE1" w:rsidRDefault="004A2676" w:rsidP="00837BC5">
            <w:pPr>
              <w:pStyle w:val="Tabletext"/>
              <w:rPr>
                <w:rFonts w:eastAsia="Calibri" w:cs="Arial"/>
                <w:szCs w:val="20"/>
              </w:rPr>
            </w:pPr>
            <w:r w:rsidRPr="00DB4AE1">
              <w:rPr>
                <w:rFonts w:eastAsia="Calibri" w:cs="Arial"/>
                <w:szCs w:val="20"/>
              </w:rPr>
              <w:t>Reject</w:t>
            </w:r>
          </w:p>
        </w:tc>
        <w:tc>
          <w:tcPr>
            <w:tcW w:w="1493" w:type="pct"/>
            <w:shd w:val="clear" w:color="auto" w:fill="auto"/>
            <w:vAlign w:val="center"/>
          </w:tcPr>
          <w:p w:rsidR="004A2676" w:rsidRPr="00DB4AE1" w:rsidRDefault="004A2676" w:rsidP="00837BC5">
            <w:pPr>
              <w:pStyle w:val="Tabletext"/>
              <w:rPr>
                <w:rFonts w:eastAsia="Calibri" w:cs="Arial"/>
                <w:szCs w:val="20"/>
              </w:rPr>
            </w:pPr>
            <w:r w:rsidRPr="00DB4AE1">
              <w:rPr>
                <w:rFonts w:eastAsia="Calibri" w:cs="Arial"/>
                <w:szCs w:val="20"/>
              </w:rPr>
              <w:t>Recommend</w:t>
            </w:r>
          </w:p>
        </w:tc>
      </w:tr>
    </w:tbl>
    <w:p w:rsidR="004A2676" w:rsidRPr="00DB4AE1" w:rsidRDefault="004A2676" w:rsidP="005C236E">
      <w:pPr>
        <w:pStyle w:val="TableFooter"/>
        <w:widowControl/>
        <w:spacing w:after="120"/>
      </w:pPr>
      <w:r w:rsidRPr="00EF2640">
        <w:t xml:space="preserve">Source: botulinum toxin COM 6-1 11-11; </w:t>
      </w:r>
      <w:r w:rsidR="00857223" w:rsidRPr="00EF2640">
        <w:t>B</w:t>
      </w:r>
      <w:r w:rsidRPr="00EF2640">
        <w:t>otox migraine COM 7-2 07-12; 7-1 botulinum toxin COM 07-13.</w:t>
      </w:r>
    </w:p>
    <w:p w:rsidR="004915B3" w:rsidRDefault="006251EA" w:rsidP="00837BC5">
      <w:pPr>
        <w:pStyle w:val="ListParagraph"/>
        <w:widowControl/>
        <w:numPr>
          <w:ilvl w:val="1"/>
          <w:numId w:val="1"/>
        </w:numPr>
        <w:spacing w:after="120"/>
      </w:pPr>
      <w:bookmarkStart w:id="4" w:name="_Toc377658869"/>
      <w:r>
        <w:t>In July 2013,</w:t>
      </w:r>
      <w:r w:rsidR="00234626" w:rsidRPr="00DB4AE1">
        <w:t xml:space="preserve"> the PBAC considered the number of patients continuing treatment may be higher than assumed by the re-submission, as </w:t>
      </w:r>
      <w:r w:rsidR="00D50234">
        <w:t>“</w:t>
      </w:r>
      <w:r w:rsidR="00234626" w:rsidRPr="00DB4AE1">
        <w:t>headache days</w:t>
      </w:r>
      <w:r w:rsidR="00D50234">
        <w:t>”</w:t>
      </w:r>
      <w:r w:rsidR="00234626" w:rsidRPr="00DB4AE1">
        <w:t xml:space="preserve"> </w:t>
      </w:r>
      <w:r w:rsidR="00B101B2">
        <w:t>is</w:t>
      </w:r>
      <w:r w:rsidR="00B101B2" w:rsidRPr="00DB4AE1">
        <w:t xml:space="preserve"> </w:t>
      </w:r>
      <w:r w:rsidR="00234626" w:rsidRPr="00DB4AE1">
        <w:t>a subjective outcome, and if patients perceive an improvement they may be more likely to want to continue treatment. The PBAC considered there was considerable risk of use beyond the proposed restriction in partial responders, although acknowledged that the invasive nature of botulinum toxin administration may serve to limit use in partial and non-responders</w:t>
      </w:r>
      <w:r w:rsidR="00380D73" w:rsidRPr="00DB4AE1">
        <w:t xml:space="preserve"> (</w:t>
      </w:r>
      <w:r w:rsidR="00267632">
        <w:t>Section 11</w:t>
      </w:r>
      <w:r>
        <w:t xml:space="preserve">, </w:t>
      </w:r>
      <w:r w:rsidR="00380D73" w:rsidRPr="00DB4AE1">
        <w:t>Botulinum Toxin Type A</w:t>
      </w:r>
      <w:r>
        <w:t xml:space="preserve"> PBAC </w:t>
      </w:r>
      <w:r w:rsidR="00370D9A">
        <w:t>PSD</w:t>
      </w:r>
      <w:r w:rsidR="00380D73" w:rsidRPr="00DB4AE1">
        <w:t>, July 2013)</w:t>
      </w:r>
      <w:r w:rsidR="00234626" w:rsidRPr="00DB4AE1">
        <w:t>.</w:t>
      </w:r>
    </w:p>
    <w:p w:rsidR="00D0742F" w:rsidRDefault="004915B3" w:rsidP="00D0742F">
      <w:pPr>
        <w:pStyle w:val="ListParagraph"/>
        <w:widowControl/>
        <w:numPr>
          <w:ilvl w:val="1"/>
          <w:numId w:val="1"/>
        </w:numPr>
        <w:spacing w:after="120"/>
      </w:pPr>
      <w:r>
        <w:t>In July 2013, t</w:t>
      </w:r>
      <w:r w:rsidRPr="004915B3">
        <w:t xml:space="preserve">he PBAC recommended extending the current Section 100 Botulinum Toxin Program listing for botulinum toxin type A to include prophylaxis of headaches in adults patients with chronic migraine who meet certain criteria, on the basis of acceptable cost-effectiveness compared to best supportive care.  To address uncertainty in the cost-effectiveness being reflected in practice, the PBAC recommended that a tighter </w:t>
      </w:r>
      <w:r>
        <w:t>RSA</w:t>
      </w:r>
      <w:r w:rsidRPr="004915B3">
        <w:t xml:space="preserve"> be negotiated with the sponsor, </w:t>
      </w:r>
      <w:r w:rsidR="001C4612">
        <w:rPr>
          <w:noProof/>
          <w:color w:val="000000"/>
          <w:highlight w:val="black"/>
        </w:rPr>
        <w:t>'''''''' ''''''''''' '''''''''''''' ''''''' '''''''''</w:t>
      </w:r>
      <w:r w:rsidRPr="004915B3">
        <w:t xml:space="preserve"> based on the smaller estimates of u</w:t>
      </w:r>
      <w:r w:rsidR="00B84167">
        <w:t>se provided in the July 2012 re</w:t>
      </w:r>
      <w:r w:rsidR="00B84167">
        <w:noBreakHyphen/>
      </w:r>
      <w:r w:rsidRPr="004915B3">
        <w:t>submission</w:t>
      </w:r>
      <w:r>
        <w:t xml:space="preserve"> </w:t>
      </w:r>
      <w:r w:rsidRPr="00DB4AE1">
        <w:t>(</w:t>
      </w:r>
      <w:r w:rsidR="00267632">
        <w:t xml:space="preserve">Section 11, </w:t>
      </w:r>
      <w:r w:rsidRPr="00DB4AE1">
        <w:t>Botulinum Toxin Type A</w:t>
      </w:r>
      <w:r>
        <w:t xml:space="preserve"> PBAC </w:t>
      </w:r>
      <w:r w:rsidR="00370D9A">
        <w:t>PSD</w:t>
      </w:r>
      <w:r w:rsidRPr="00DB4AE1">
        <w:t>, July 2013)</w:t>
      </w:r>
      <w:r w:rsidRPr="004915B3">
        <w:t>.</w:t>
      </w:r>
    </w:p>
    <w:p w:rsidR="00D0742F" w:rsidRPr="00D0742F" w:rsidRDefault="00D0742F" w:rsidP="00BE39A6">
      <w:pPr>
        <w:pStyle w:val="ListParagraph"/>
        <w:spacing w:after="0"/>
        <w:ind w:left="0"/>
        <w:rPr>
          <w:rFonts w:asciiTheme="minorHAnsi" w:hAnsiTheme="minorHAnsi"/>
          <w:i/>
        </w:rPr>
      </w:pPr>
      <w:r w:rsidRPr="00C662CA">
        <w:rPr>
          <w:rFonts w:asciiTheme="minorHAnsi" w:hAnsiTheme="minorHAnsi"/>
          <w:i/>
        </w:rPr>
        <w:t>For more detail on PBAC’s view, see section 7 PBAC outcome.</w:t>
      </w:r>
    </w:p>
    <w:p w:rsidR="00B60939" w:rsidRPr="00DB4AE1" w:rsidRDefault="00203181" w:rsidP="005C236E">
      <w:pPr>
        <w:pStyle w:val="PBACHeading1"/>
      </w:pPr>
      <w:r w:rsidRPr="00DB4AE1">
        <w:t xml:space="preserve">Population and </w:t>
      </w:r>
      <w:r w:rsidR="008E0D3C" w:rsidRPr="00DB4AE1">
        <w:t>d</w:t>
      </w:r>
      <w:r w:rsidRPr="00DB4AE1">
        <w:t>isease</w:t>
      </w:r>
      <w:bookmarkEnd w:id="4"/>
    </w:p>
    <w:p w:rsidR="00882003" w:rsidRPr="00DB4AE1" w:rsidRDefault="00882003" w:rsidP="00837BC5">
      <w:pPr>
        <w:pStyle w:val="ListParagraph"/>
        <w:widowControl/>
        <w:numPr>
          <w:ilvl w:val="1"/>
          <w:numId w:val="1"/>
        </w:numPr>
        <w:spacing w:after="120"/>
      </w:pPr>
      <w:r w:rsidRPr="00DB4AE1">
        <w:t>To be eligible for treatment through the PBS for chronic migraine, a patient must have experienced an average of 15 or more headache days per month, with at least 8 days of migraine, over a period of a</w:t>
      </w:r>
      <w:r w:rsidR="00320F20" w:rsidRPr="00DB4AE1">
        <w:t>t</w:t>
      </w:r>
      <w:r w:rsidRPr="00DB4AE1">
        <w:t xml:space="preserve"> least 6 months, prior to treatment with Botox. The patient must have also</w:t>
      </w:r>
      <w:r w:rsidR="00F4286F" w:rsidRPr="00DB4AE1">
        <w:t xml:space="preserve"> experienced an inadequate response, intolerance or a contraindication to at least 3 prophylactic medications prior to commenc</w:t>
      </w:r>
      <w:r w:rsidR="004A2676" w:rsidRPr="00DB4AE1">
        <w:t>ing</w:t>
      </w:r>
      <w:r w:rsidR="00F4286F" w:rsidRPr="00DB4AE1">
        <w:t xml:space="preserve"> treatment with Botox</w:t>
      </w:r>
      <w:r w:rsidR="004A2676" w:rsidRPr="00DB4AE1">
        <w:t>,</w:t>
      </w:r>
      <w:r w:rsidR="00F4286F" w:rsidRPr="00DB4AE1">
        <w:t xml:space="preserve"> </w:t>
      </w:r>
      <w:r w:rsidR="004A2676" w:rsidRPr="00DB4AE1">
        <w:t>a</w:t>
      </w:r>
      <w:r w:rsidR="00F4286F" w:rsidRPr="00DB4AE1">
        <w:t>nd be treated by a neurologist.</w:t>
      </w:r>
    </w:p>
    <w:p w:rsidR="00882003" w:rsidRDefault="00F4286F" w:rsidP="00BE39A6">
      <w:pPr>
        <w:pStyle w:val="ListParagraph"/>
        <w:widowControl/>
        <w:numPr>
          <w:ilvl w:val="1"/>
          <w:numId w:val="1"/>
        </w:numPr>
        <w:spacing w:after="0"/>
      </w:pPr>
      <w:r w:rsidRPr="00DB4AE1">
        <w:t>Chronic migraine is thought to be associated with reduced quality of life, increased healthcare expenditure and more frequent comorbidities relative to episodic migraine.</w:t>
      </w:r>
    </w:p>
    <w:p w:rsidR="00B60939" w:rsidRPr="00DB4AE1" w:rsidRDefault="00B50DB8" w:rsidP="005C236E">
      <w:pPr>
        <w:pStyle w:val="PBACHeading1"/>
      </w:pPr>
      <w:bookmarkStart w:id="5" w:name="_Toc377658870"/>
      <w:r w:rsidRPr="00DB4AE1">
        <w:t>Comparator</w:t>
      </w:r>
      <w:bookmarkEnd w:id="5"/>
    </w:p>
    <w:p w:rsidR="00473C95" w:rsidRPr="00DB4AE1" w:rsidRDefault="00473C95" w:rsidP="00837BC5">
      <w:pPr>
        <w:pStyle w:val="ListParagraph"/>
        <w:widowControl/>
        <w:numPr>
          <w:ilvl w:val="1"/>
          <w:numId w:val="1"/>
        </w:numPr>
        <w:spacing w:after="120"/>
      </w:pPr>
      <w:r w:rsidRPr="00DB4AE1">
        <w:t xml:space="preserve">The previously accepted comparator for </w:t>
      </w:r>
      <w:r w:rsidR="00927DBC" w:rsidRPr="00DB4AE1">
        <w:t>Botox</w:t>
      </w:r>
      <w:r w:rsidRPr="00DB4AE1">
        <w:t xml:space="preserve"> for the treatment of chronic migraine was best supportive care</w:t>
      </w:r>
      <w:r w:rsidR="00B01F17">
        <w:t xml:space="preserve"> (BSC)</w:t>
      </w:r>
      <w:r w:rsidRPr="00DB4AE1">
        <w:t xml:space="preserve"> </w:t>
      </w:r>
      <w:r w:rsidR="00713469" w:rsidRPr="00DB4AE1">
        <w:t>(</w:t>
      </w:r>
      <w:r w:rsidR="00267632">
        <w:t>Section 6</w:t>
      </w:r>
      <w:r w:rsidR="00713469">
        <w:t xml:space="preserve">, </w:t>
      </w:r>
      <w:r w:rsidR="00713469" w:rsidRPr="00DB4AE1">
        <w:t>Botulinum Toxin Type A</w:t>
      </w:r>
      <w:r w:rsidR="00713469">
        <w:t xml:space="preserve"> PBAC </w:t>
      </w:r>
      <w:r w:rsidR="00022EE4">
        <w:t>PSD</w:t>
      </w:r>
      <w:r w:rsidR="00713469" w:rsidRPr="00DB4AE1">
        <w:t>, July 2013).</w:t>
      </w:r>
    </w:p>
    <w:p w:rsidR="00D0742F" w:rsidRPr="00D0742F" w:rsidRDefault="00473C95" w:rsidP="00D0742F">
      <w:pPr>
        <w:pStyle w:val="ListParagraph"/>
        <w:widowControl/>
        <w:numPr>
          <w:ilvl w:val="1"/>
          <w:numId w:val="1"/>
        </w:numPr>
        <w:spacing w:after="120"/>
      </w:pPr>
      <w:r w:rsidRPr="00DB4AE1">
        <w:rPr>
          <w:rFonts w:cs="Calibri"/>
          <w:snapToGrid/>
          <w:szCs w:val="24"/>
          <w:lang w:val="en-US" w:eastAsia="en-AU"/>
        </w:rPr>
        <w:t xml:space="preserve">The majority of clinical evidence presented in the current submission </w:t>
      </w:r>
      <w:r w:rsidR="00C12715" w:rsidRPr="00DB4AE1">
        <w:rPr>
          <w:rFonts w:cs="Calibri"/>
          <w:snapToGrid/>
          <w:szCs w:val="24"/>
          <w:lang w:val="en-US" w:eastAsia="en-AU"/>
        </w:rPr>
        <w:t xml:space="preserve">comprised </w:t>
      </w:r>
      <w:r w:rsidRPr="00DB4AE1">
        <w:rPr>
          <w:rFonts w:cs="Calibri"/>
          <w:snapToGrid/>
          <w:szCs w:val="24"/>
          <w:lang w:val="en-US" w:eastAsia="en-AU"/>
        </w:rPr>
        <w:t xml:space="preserve">single arm studies, and the pivotal </w:t>
      </w:r>
      <w:r w:rsidR="00B74B63" w:rsidRPr="00DB4AE1">
        <w:rPr>
          <w:rFonts w:cs="Calibri"/>
          <w:snapToGrid/>
          <w:szCs w:val="24"/>
          <w:lang w:val="en-US" w:eastAsia="en-AU"/>
        </w:rPr>
        <w:t xml:space="preserve">new </w:t>
      </w:r>
      <w:r w:rsidRPr="00DB4AE1">
        <w:rPr>
          <w:rFonts w:cs="Calibri"/>
          <w:snapToGrid/>
          <w:szCs w:val="24"/>
          <w:lang w:val="en-US" w:eastAsia="en-AU"/>
        </w:rPr>
        <w:t xml:space="preserve">study is a retrospective chart review (Stark 2017). The submission nonetheless applied the results of the Stark 2017 </w:t>
      </w:r>
      <w:r w:rsidR="00857223">
        <w:rPr>
          <w:rFonts w:cs="Calibri"/>
          <w:snapToGrid/>
          <w:szCs w:val="24"/>
          <w:lang w:val="en-US" w:eastAsia="en-AU"/>
        </w:rPr>
        <w:t xml:space="preserve">retrospective </w:t>
      </w:r>
      <w:r w:rsidRPr="00DB4AE1">
        <w:rPr>
          <w:rFonts w:cs="Calibri"/>
          <w:snapToGrid/>
          <w:szCs w:val="24"/>
          <w:lang w:val="en-US" w:eastAsia="en-AU"/>
        </w:rPr>
        <w:t>chart review to the economic model, comparing a PBS population to the BSC arm</w:t>
      </w:r>
      <w:r w:rsidR="00DA34E6" w:rsidRPr="00DB4AE1">
        <w:rPr>
          <w:rFonts w:cs="Calibri"/>
          <w:snapToGrid/>
          <w:szCs w:val="24"/>
          <w:lang w:val="en-US" w:eastAsia="en-AU"/>
        </w:rPr>
        <w:t xml:space="preserve"> in the model (which had been sourced from a randomi</w:t>
      </w:r>
      <w:r w:rsidR="002B054C" w:rsidRPr="00DB4AE1">
        <w:rPr>
          <w:rFonts w:cs="Calibri"/>
          <w:snapToGrid/>
          <w:szCs w:val="24"/>
          <w:lang w:val="en-US" w:eastAsia="en-AU"/>
        </w:rPr>
        <w:t>s</w:t>
      </w:r>
      <w:r w:rsidR="00DA34E6" w:rsidRPr="00DB4AE1">
        <w:rPr>
          <w:rFonts w:cs="Calibri"/>
          <w:snapToGrid/>
          <w:szCs w:val="24"/>
          <w:lang w:val="en-US" w:eastAsia="en-AU"/>
        </w:rPr>
        <w:t xml:space="preserve">ed controlled trial). </w:t>
      </w:r>
      <w:r w:rsidR="00A01955" w:rsidRPr="00DB4AE1">
        <w:rPr>
          <w:rFonts w:cs="Calibri"/>
          <w:snapToGrid/>
          <w:szCs w:val="24"/>
          <w:lang w:val="en-US" w:eastAsia="en-AU"/>
        </w:rPr>
        <w:t xml:space="preserve">The </w:t>
      </w:r>
      <w:r w:rsidR="00012715">
        <w:rPr>
          <w:rFonts w:cs="Calibri"/>
          <w:snapToGrid/>
          <w:szCs w:val="24"/>
          <w:lang w:val="en-US" w:eastAsia="en-AU"/>
        </w:rPr>
        <w:t xml:space="preserve">PBAC considered the </w:t>
      </w:r>
      <w:r w:rsidR="00DA34E6" w:rsidRPr="00DB4AE1">
        <w:rPr>
          <w:rFonts w:cs="Calibri"/>
          <w:snapToGrid/>
          <w:szCs w:val="24"/>
          <w:lang w:val="en-US" w:eastAsia="en-AU"/>
        </w:rPr>
        <w:t>informativeness of this comparison was limited given demographic, disease characteristics and</w:t>
      </w:r>
      <w:r w:rsidRPr="00DB4AE1">
        <w:rPr>
          <w:rFonts w:cs="Calibri"/>
          <w:snapToGrid/>
          <w:szCs w:val="24"/>
          <w:lang w:val="en-US" w:eastAsia="en-AU"/>
        </w:rPr>
        <w:t xml:space="preserve"> </w:t>
      </w:r>
      <w:r w:rsidR="00DA34E6" w:rsidRPr="00DB4AE1">
        <w:rPr>
          <w:rFonts w:cs="Calibri"/>
          <w:snapToGrid/>
          <w:szCs w:val="24"/>
          <w:lang w:val="en-US" w:eastAsia="en-AU"/>
        </w:rPr>
        <w:t>trial/study protocol differences between the two data sources (see ‘Comparative effectiveness’ below).</w:t>
      </w:r>
    </w:p>
    <w:p w:rsidR="00D0742F" w:rsidRDefault="00D0742F" w:rsidP="00BE39A6">
      <w:pPr>
        <w:pStyle w:val="ListParagraph"/>
        <w:spacing w:after="0"/>
        <w:ind w:left="709"/>
        <w:rPr>
          <w:rFonts w:asciiTheme="minorHAnsi" w:hAnsiTheme="minorHAnsi"/>
          <w:i/>
        </w:rPr>
      </w:pPr>
      <w:r w:rsidRPr="00C662CA">
        <w:rPr>
          <w:rFonts w:asciiTheme="minorHAnsi" w:hAnsiTheme="minorHAnsi"/>
          <w:i/>
        </w:rPr>
        <w:t>For more detail on PBAC’s view, see section 7 PBAC outcome.</w:t>
      </w:r>
    </w:p>
    <w:p w:rsidR="00B60939" w:rsidRPr="00DB4AE1" w:rsidRDefault="00BD6CF3" w:rsidP="005C236E">
      <w:pPr>
        <w:pStyle w:val="PBACHeading1"/>
      </w:pPr>
      <w:bookmarkStart w:id="6" w:name="_Toc377658871"/>
      <w:r w:rsidRPr="00DB4AE1">
        <w:t>C</w:t>
      </w:r>
      <w:r w:rsidR="00B50DB8" w:rsidRPr="00DB4AE1">
        <w:t>onsideration of the evidence</w:t>
      </w:r>
      <w:bookmarkEnd w:id="6"/>
    </w:p>
    <w:p w:rsidR="00683BEE" w:rsidRPr="000C1D30" w:rsidRDefault="00683BEE" w:rsidP="005C236E">
      <w:pPr>
        <w:pStyle w:val="Heading2"/>
      </w:pPr>
      <w:bookmarkStart w:id="7" w:name="_Toc377658872"/>
      <w:r w:rsidRPr="000C1D30">
        <w:t>Sponsor hearing</w:t>
      </w:r>
    </w:p>
    <w:p w:rsidR="00683BEE" w:rsidRPr="000C1D30" w:rsidRDefault="00683BEE" w:rsidP="00683BEE">
      <w:pPr>
        <w:numPr>
          <w:ilvl w:val="1"/>
          <w:numId w:val="1"/>
        </w:numPr>
        <w:spacing w:after="120"/>
        <w:rPr>
          <w:rFonts w:asciiTheme="minorHAnsi" w:hAnsiTheme="minorHAnsi"/>
          <w:bCs/>
        </w:rPr>
      </w:pPr>
      <w:r w:rsidRPr="000C1D30">
        <w:rPr>
          <w:rFonts w:asciiTheme="minorHAnsi" w:hAnsiTheme="minorHAnsi"/>
          <w:bCs/>
        </w:rPr>
        <w:t xml:space="preserve">The sponsor requested a hearing for this item. The clinician </w:t>
      </w:r>
      <w:r w:rsidR="00857223">
        <w:rPr>
          <w:rFonts w:asciiTheme="minorHAnsi" w:hAnsiTheme="minorHAnsi"/>
          <w:bCs/>
        </w:rPr>
        <w:t>outlined the impact of chronic migraine on patients</w:t>
      </w:r>
      <w:r w:rsidR="00BD0C33">
        <w:rPr>
          <w:rFonts w:asciiTheme="minorHAnsi" w:hAnsiTheme="minorHAnsi"/>
          <w:bCs/>
        </w:rPr>
        <w:t>’</w:t>
      </w:r>
      <w:r w:rsidR="00857223">
        <w:rPr>
          <w:rFonts w:asciiTheme="minorHAnsi" w:hAnsiTheme="minorHAnsi"/>
          <w:bCs/>
        </w:rPr>
        <w:t xml:space="preserve"> quality of life and highlighted that those with the condition were at increased risk of analgesic dependence. The clinician highlighted the potential benefits Botox provided to patients and noted that its use was just one element of an individualised treatment plan. An overview of the Stark 2017 retrospective chart review was provided</w:t>
      </w:r>
      <w:r w:rsidR="00BF5301">
        <w:rPr>
          <w:rFonts w:asciiTheme="minorHAnsi" w:hAnsiTheme="minorHAnsi"/>
          <w:bCs/>
        </w:rPr>
        <w:t>,</w:t>
      </w:r>
      <w:r w:rsidR="00857223">
        <w:rPr>
          <w:rFonts w:asciiTheme="minorHAnsi" w:hAnsiTheme="minorHAnsi"/>
          <w:bCs/>
        </w:rPr>
        <w:t xml:space="preserve"> and the clinician </w:t>
      </w:r>
      <w:r w:rsidRPr="000C1D30">
        <w:rPr>
          <w:rFonts w:asciiTheme="minorHAnsi" w:hAnsiTheme="minorHAnsi"/>
          <w:bCs/>
        </w:rPr>
        <w:t>addressed other matters in response to the Committee’s questions</w:t>
      </w:r>
      <w:r w:rsidR="000C1D30" w:rsidRPr="000C1D30">
        <w:rPr>
          <w:rFonts w:asciiTheme="minorHAnsi" w:hAnsiTheme="minorHAnsi"/>
          <w:bCs/>
        </w:rPr>
        <w:t xml:space="preserve">. </w:t>
      </w:r>
    </w:p>
    <w:p w:rsidR="00683BEE" w:rsidRPr="00EC5421" w:rsidRDefault="00683BEE" w:rsidP="005C236E">
      <w:pPr>
        <w:pStyle w:val="Heading2"/>
      </w:pPr>
      <w:r w:rsidRPr="00EC5421">
        <w:t>Consumer comments</w:t>
      </w:r>
    </w:p>
    <w:p w:rsidR="00683BEE" w:rsidRPr="00EC5421" w:rsidRDefault="00683BEE" w:rsidP="00683BEE">
      <w:pPr>
        <w:numPr>
          <w:ilvl w:val="1"/>
          <w:numId w:val="1"/>
        </w:numPr>
        <w:spacing w:after="120"/>
        <w:rPr>
          <w:rFonts w:asciiTheme="minorHAnsi" w:hAnsiTheme="minorHAnsi"/>
          <w:bCs/>
        </w:rPr>
      </w:pPr>
      <w:r w:rsidRPr="00EC5421">
        <w:rPr>
          <w:rFonts w:asciiTheme="minorHAnsi" w:hAnsiTheme="minorHAnsi"/>
          <w:bCs/>
        </w:rPr>
        <w:t>The PBAC noted and welcomed the input from individuals (4)</w:t>
      </w:r>
      <w:r w:rsidR="00EC5421" w:rsidRPr="00EC5421">
        <w:rPr>
          <w:rFonts w:asciiTheme="minorHAnsi" w:hAnsiTheme="minorHAnsi"/>
          <w:bCs/>
        </w:rPr>
        <w:t xml:space="preserve"> and</w:t>
      </w:r>
      <w:r w:rsidRPr="00EC5421">
        <w:rPr>
          <w:rFonts w:asciiTheme="minorHAnsi" w:hAnsiTheme="minorHAnsi"/>
          <w:bCs/>
        </w:rPr>
        <w:t xml:space="preserve"> health care professionals (</w:t>
      </w:r>
      <w:r w:rsidR="00EC5421" w:rsidRPr="00EC5421">
        <w:rPr>
          <w:rFonts w:asciiTheme="minorHAnsi" w:hAnsiTheme="minorHAnsi"/>
          <w:bCs/>
        </w:rPr>
        <w:t>6</w:t>
      </w:r>
      <w:r w:rsidRPr="00EC5421">
        <w:rPr>
          <w:rFonts w:asciiTheme="minorHAnsi" w:hAnsiTheme="minorHAnsi"/>
          <w:bCs/>
        </w:rPr>
        <w:t>) via the Consumer Comment</w:t>
      </w:r>
      <w:r w:rsidR="00BF5301">
        <w:rPr>
          <w:rFonts w:asciiTheme="minorHAnsi" w:hAnsiTheme="minorHAnsi"/>
          <w:bCs/>
        </w:rPr>
        <w:t xml:space="preserve">s facility on the PBS website. </w:t>
      </w:r>
      <w:r w:rsidRPr="00EC5421">
        <w:rPr>
          <w:rFonts w:asciiTheme="minorHAnsi" w:hAnsiTheme="minorHAnsi"/>
          <w:bCs/>
        </w:rPr>
        <w:t xml:space="preserve">The comments </w:t>
      </w:r>
      <w:r w:rsidR="009B41CC">
        <w:rPr>
          <w:rFonts w:asciiTheme="minorHAnsi" w:hAnsiTheme="minorHAnsi"/>
          <w:bCs/>
        </w:rPr>
        <w:t>highlighted</w:t>
      </w:r>
      <w:r w:rsidRPr="00EC5421">
        <w:rPr>
          <w:rFonts w:asciiTheme="minorHAnsi" w:hAnsiTheme="minorHAnsi"/>
          <w:bCs/>
        </w:rPr>
        <w:t xml:space="preserve"> </w:t>
      </w:r>
      <w:r w:rsidR="0043185E">
        <w:rPr>
          <w:rFonts w:asciiTheme="minorHAnsi" w:hAnsiTheme="minorHAnsi"/>
          <w:bCs/>
        </w:rPr>
        <w:t>the impact of chronic migraine on patients</w:t>
      </w:r>
      <w:r w:rsidR="00B84167">
        <w:rPr>
          <w:rFonts w:asciiTheme="minorHAnsi" w:hAnsiTheme="minorHAnsi"/>
          <w:bCs/>
        </w:rPr>
        <w:t>’</w:t>
      </w:r>
      <w:r w:rsidR="0043185E">
        <w:rPr>
          <w:rFonts w:asciiTheme="minorHAnsi" w:hAnsiTheme="minorHAnsi"/>
          <w:bCs/>
        </w:rPr>
        <w:t xml:space="preserve"> quality of life. They </w:t>
      </w:r>
      <w:r w:rsidR="009B41CC">
        <w:rPr>
          <w:rFonts w:asciiTheme="minorHAnsi" w:hAnsiTheme="minorHAnsi"/>
          <w:bCs/>
        </w:rPr>
        <w:t xml:space="preserve">also described </w:t>
      </w:r>
      <w:r w:rsidRPr="00EC5421">
        <w:rPr>
          <w:rFonts w:asciiTheme="minorHAnsi" w:hAnsiTheme="minorHAnsi"/>
          <w:bCs/>
        </w:rPr>
        <w:t xml:space="preserve">a range of benefits of treatment with </w:t>
      </w:r>
      <w:r w:rsidR="009B41CC">
        <w:rPr>
          <w:rFonts w:asciiTheme="minorHAnsi" w:hAnsiTheme="minorHAnsi"/>
          <w:bCs/>
        </w:rPr>
        <w:t>Botox including a reduction in the frequency and severity of migraine along with a reduction in analgesic use.</w:t>
      </w:r>
    </w:p>
    <w:p w:rsidR="00B60939" w:rsidRPr="005C236E" w:rsidRDefault="00B60939" w:rsidP="005C236E">
      <w:pPr>
        <w:pStyle w:val="Heading2"/>
      </w:pPr>
      <w:r w:rsidRPr="005C236E">
        <w:t>Clinical trials</w:t>
      </w:r>
      <w:r w:rsidR="009833DD" w:rsidRPr="005C236E">
        <w:t xml:space="preserve"> and non-randomised studies</w:t>
      </w:r>
      <w:bookmarkEnd w:id="7"/>
    </w:p>
    <w:p w:rsidR="009833DD" w:rsidRPr="00DB4AE1" w:rsidRDefault="00B81B9A" w:rsidP="00837BC5">
      <w:pPr>
        <w:pStyle w:val="ListParagraph"/>
        <w:widowControl/>
        <w:numPr>
          <w:ilvl w:val="1"/>
          <w:numId w:val="1"/>
        </w:numPr>
        <w:spacing w:after="120"/>
      </w:pPr>
      <w:r w:rsidRPr="00DB4AE1">
        <w:t xml:space="preserve">The focus of the submission was ‘real-world’ evidence, specifically all evidence when </w:t>
      </w:r>
      <w:r w:rsidR="00012715">
        <w:t>Botox</w:t>
      </w:r>
      <w:r w:rsidR="00C12715" w:rsidRPr="00DB4AE1">
        <w:t xml:space="preserve"> </w:t>
      </w:r>
      <w:r w:rsidRPr="00DB4AE1">
        <w:t>was used for the treatment of chronic migraine, consistent with TGA-approved dosing recommendations, in real</w:t>
      </w:r>
      <w:r w:rsidR="00936FA3" w:rsidRPr="00DB4AE1">
        <w:t>-</w:t>
      </w:r>
      <w:r w:rsidRPr="00DB4AE1">
        <w:t>world clinical practice settings.</w:t>
      </w:r>
    </w:p>
    <w:p w:rsidR="0073555A" w:rsidRPr="00DB4AE1" w:rsidRDefault="00CF2F27" w:rsidP="00837BC5">
      <w:pPr>
        <w:pStyle w:val="ListParagraph"/>
        <w:widowControl/>
        <w:numPr>
          <w:ilvl w:val="1"/>
          <w:numId w:val="1"/>
        </w:numPr>
        <w:spacing w:after="120"/>
      </w:pPr>
      <w:r w:rsidRPr="00DB4AE1">
        <w:t>The 14 selected studies of real-world evidence varied in design, but with the exception of one randomised controlled trial (n=1), all were non-randomised and included post-marketing or post-authorisation studies (n=4), retrospective chart or insurance database reviews (n=4)</w:t>
      </w:r>
      <w:r w:rsidR="004A2676" w:rsidRPr="00DB4AE1">
        <w:t>,</w:t>
      </w:r>
      <w:r w:rsidRPr="00DB4AE1">
        <w:t xml:space="preserve"> or prospective observational studies (n=5).</w:t>
      </w:r>
    </w:p>
    <w:p w:rsidR="0073555A" w:rsidRPr="00DB4AE1" w:rsidRDefault="0073555A" w:rsidP="00837BC5">
      <w:pPr>
        <w:pStyle w:val="ListParagraph"/>
        <w:widowControl/>
        <w:numPr>
          <w:ilvl w:val="1"/>
          <w:numId w:val="1"/>
        </w:numPr>
        <w:spacing w:after="120"/>
      </w:pPr>
      <w:r w:rsidRPr="00DB4AE1">
        <w:t>The submission provided brief summaries of study design and results for the 14 selected studies and provided detailed information for one of the studies, Stark 2017</w:t>
      </w:r>
      <w:r w:rsidR="009B41CC">
        <w:t xml:space="preserve">. </w:t>
      </w:r>
      <w:r w:rsidR="00B577CA" w:rsidRPr="00DB4AE1">
        <w:t xml:space="preserve">The submission focused on the Stark 2017 retrospective chart review as it was an Australian study based on </w:t>
      </w:r>
      <w:r w:rsidR="00DB1472" w:rsidRPr="00DB4AE1">
        <w:t xml:space="preserve">a sample of </w:t>
      </w:r>
      <w:r w:rsidR="003547B1" w:rsidRPr="00DB4AE1">
        <w:t>patients with chronic migraine treated with Botox following its listing on the PBS</w:t>
      </w:r>
      <w:r w:rsidR="00B577CA" w:rsidRPr="00DB4AE1">
        <w:t>.</w:t>
      </w:r>
      <w:r w:rsidR="005D11D1" w:rsidRPr="00DB4AE1">
        <w:t xml:space="preserve"> </w:t>
      </w:r>
      <w:r w:rsidRPr="00DB4AE1">
        <w:t xml:space="preserve">Data from </w:t>
      </w:r>
      <w:r w:rsidR="009B41CC">
        <w:t xml:space="preserve">the </w:t>
      </w:r>
      <w:r w:rsidRPr="00DB4AE1">
        <w:t xml:space="preserve">Stark 2017 </w:t>
      </w:r>
      <w:r w:rsidR="009B41CC" w:rsidRPr="00DB4AE1">
        <w:t>retrospective chart review</w:t>
      </w:r>
      <w:r w:rsidRPr="00DB4AE1">
        <w:t xml:space="preserve"> was used to u</w:t>
      </w:r>
      <w:r w:rsidR="00A070CD">
        <w:t>pdate the economic model (see ‘E</w:t>
      </w:r>
      <w:r w:rsidRPr="00DB4AE1">
        <w:t>conomic analysis’ below).</w:t>
      </w:r>
      <w:r w:rsidR="00D20268" w:rsidRPr="00DB4AE1">
        <w:t xml:space="preserve"> </w:t>
      </w:r>
      <w:r w:rsidR="00313D63" w:rsidRPr="00DB4AE1">
        <w:t xml:space="preserve">The </w:t>
      </w:r>
      <w:r w:rsidR="005E533E">
        <w:t>PBAC</w:t>
      </w:r>
      <w:r w:rsidR="005E533E" w:rsidRPr="00DB4AE1">
        <w:t xml:space="preserve"> </w:t>
      </w:r>
      <w:r w:rsidR="00313D63" w:rsidRPr="00DB4AE1">
        <w:t xml:space="preserve">considered that the key </w:t>
      </w:r>
      <w:r w:rsidR="00C12715" w:rsidRPr="00DB4AE1">
        <w:t>study</w:t>
      </w:r>
      <w:r w:rsidR="00313D63" w:rsidRPr="00DB4AE1">
        <w:t xml:space="preserve"> used to support this submission was underreported as it was based on a poster accompanied by an abstract.</w:t>
      </w:r>
    </w:p>
    <w:p w:rsidR="00B84167" w:rsidRPr="005C236E" w:rsidRDefault="0073555A" w:rsidP="005C236E">
      <w:pPr>
        <w:pStyle w:val="ListParagraph"/>
        <w:widowControl/>
        <w:numPr>
          <w:ilvl w:val="1"/>
          <w:numId w:val="1"/>
        </w:numPr>
        <w:spacing w:after="120"/>
      </w:pPr>
      <w:r w:rsidRPr="00DB4AE1">
        <w:t>A brief summary of the 14 identified real-world studies is provided in the</w:t>
      </w:r>
      <w:r w:rsidR="00CF2F27" w:rsidRPr="00DB4AE1">
        <w:t xml:space="preserve"> table below, with citation details for </w:t>
      </w:r>
      <w:r w:rsidR="00A71D68">
        <w:t xml:space="preserve">the </w:t>
      </w:r>
      <w:r w:rsidR="00CF2F27" w:rsidRPr="00DB4AE1">
        <w:t>Star</w:t>
      </w:r>
      <w:r w:rsidR="00C12715" w:rsidRPr="00DB4AE1">
        <w:t>k 2017</w:t>
      </w:r>
      <w:r w:rsidR="00A71D68">
        <w:t xml:space="preserve"> </w:t>
      </w:r>
      <w:r w:rsidR="00A71D68" w:rsidRPr="00DB4AE1">
        <w:t>retrospective chart review</w:t>
      </w:r>
      <w:r w:rsidR="00C12715" w:rsidRPr="00DB4AE1">
        <w:t xml:space="preserve"> in the following table.</w:t>
      </w:r>
      <w:r w:rsidR="00B84167" w:rsidRPr="005C236E">
        <w:rPr>
          <w:rFonts w:ascii="Arial Narrow" w:hAnsi="Arial Narrow"/>
          <w:b/>
          <w:sz w:val="20"/>
          <w:szCs w:val="20"/>
        </w:rPr>
        <w:br w:type="page"/>
      </w:r>
    </w:p>
    <w:p w:rsidR="00CF2F27" w:rsidRPr="00DB4AE1" w:rsidRDefault="00CF2F27" w:rsidP="00837BC5">
      <w:pPr>
        <w:widowControl/>
        <w:rPr>
          <w:rFonts w:ascii="Arial Narrow" w:hAnsi="Arial Narrow"/>
          <w:b/>
          <w:sz w:val="20"/>
          <w:szCs w:val="20"/>
        </w:rPr>
      </w:pPr>
      <w:r w:rsidRPr="00DB4AE1">
        <w:rPr>
          <w:rFonts w:ascii="Arial Narrow" w:hAnsi="Arial Narrow"/>
          <w:b/>
          <w:sz w:val="20"/>
          <w:szCs w:val="20"/>
        </w:rPr>
        <w:t xml:space="preserve">Table </w:t>
      </w:r>
      <w:r w:rsidR="00184DF1" w:rsidRPr="00DB4AE1">
        <w:rPr>
          <w:rFonts w:ascii="Arial Narrow" w:hAnsi="Arial Narrow"/>
          <w:b/>
          <w:sz w:val="20"/>
          <w:szCs w:val="20"/>
        </w:rPr>
        <w:t>3</w:t>
      </w:r>
      <w:r w:rsidRPr="00DB4AE1">
        <w:rPr>
          <w:rFonts w:ascii="Arial Narrow" w:hAnsi="Arial Narrow"/>
          <w:b/>
          <w:sz w:val="20"/>
          <w:szCs w:val="20"/>
        </w:rPr>
        <w:t xml:space="preserve">: </w:t>
      </w:r>
      <w:r w:rsidR="004A2676" w:rsidRPr="00DB4AE1">
        <w:rPr>
          <w:rFonts w:ascii="Arial Narrow" w:hAnsi="Arial Narrow"/>
          <w:b/>
          <w:sz w:val="20"/>
          <w:szCs w:val="20"/>
        </w:rPr>
        <w:t xml:space="preserve">Key features of the </w:t>
      </w:r>
      <w:r w:rsidR="00BF5301">
        <w:rPr>
          <w:rFonts w:ascii="Arial Narrow" w:hAnsi="Arial Narrow"/>
          <w:b/>
          <w:sz w:val="20"/>
          <w:szCs w:val="20"/>
        </w:rPr>
        <w:t>‘</w:t>
      </w:r>
      <w:r w:rsidR="00A71D68">
        <w:rPr>
          <w:rFonts w:ascii="Arial Narrow" w:hAnsi="Arial Narrow"/>
          <w:b/>
          <w:sz w:val="20"/>
          <w:szCs w:val="20"/>
        </w:rPr>
        <w:t>real-world</w:t>
      </w:r>
      <w:r w:rsidR="00BF5301">
        <w:rPr>
          <w:rFonts w:ascii="Arial Narrow" w:hAnsi="Arial Narrow"/>
          <w:b/>
          <w:sz w:val="20"/>
          <w:szCs w:val="20"/>
        </w:rPr>
        <w:t>’</w:t>
      </w:r>
      <w:r w:rsidR="00A71D68">
        <w:rPr>
          <w:rFonts w:ascii="Arial Narrow" w:hAnsi="Arial Narrow"/>
          <w:b/>
          <w:sz w:val="20"/>
          <w:szCs w:val="20"/>
        </w:rPr>
        <w:t xml:space="preserve"> </w:t>
      </w:r>
      <w:r w:rsidR="004A2676" w:rsidRPr="00DB4AE1">
        <w:rPr>
          <w:rFonts w:ascii="Arial Narrow" w:hAnsi="Arial Narrow"/>
          <w:b/>
          <w:sz w:val="20"/>
          <w:szCs w:val="20"/>
        </w:rPr>
        <w:t xml:space="preserve">studies identified in the </w:t>
      </w:r>
      <w:r w:rsidR="000C43D2" w:rsidRPr="00DB4AE1">
        <w:rPr>
          <w:rFonts w:ascii="Arial Narrow" w:hAnsi="Arial Narrow"/>
          <w:b/>
          <w:sz w:val="20"/>
          <w:szCs w:val="20"/>
        </w:rPr>
        <w:t>s</w:t>
      </w:r>
      <w:r w:rsidR="004A2676" w:rsidRPr="00DB4AE1">
        <w:rPr>
          <w:rFonts w:ascii="Arial Narrow" w:hAnsi="Arial Narrow"/>
          <w:b/>
          <w:sz w:val="20"/>
          <w:szCs w:val="20"/>
        </w:rPr>
        <w:t>ubmission</w:t>
      </w:r>
    </w:p>
    <w:tbl>
      <w:tblPr>
        <w:tblStyle w:val="TableGrid"/>
        <w:tblW w:w="9126" w:type="dxa"/>
        <w:tblLook w:val="04A0" w:firstRow="1" w:lastRow="0" w:firstColumn="1" w:lastColumn="0" w:noHBand="0" w:noVBand="1"/>
      </w:tblPr>
      <w:tblGrid>
        <w:gridCol w:w="1526"/>
        <w:gridCol w:w="723"/>
        <w:gridCol w:w="1404"/>
        <w:gridCol w:w="3543"/>
        <w:gridCol w:w="1930"/>
      </w:tblGrid>
      <w:tr w:rsidR="00CF2F27" w:rsidRPr="00DB4AE1" w:rsidTr="00CF2F27">
        <w:trPr>
          <w:tblHeader/>
        </w:trPr>
        <w:tc>
          <w:tcPr>
            <w:tcW w:w="1526" w:type="dxa"/>
            <w:vAlign w:val="center"/>
          </w:tcPr>
          <w:p w:rsidR="00CF2F27" w:rsidRPr="00DB4AE1" w:rsidRDefault="00CF2F27" w:rsidP="00837BC5">
            <w:pPr>
              <w:widowControl/>
              <w:jc w:val="left"/>
              <w:rPr>
                <w:rFonts w:ascii="Arial Narrow" w:hAnsi="Arial Narrow"/>
                <w:b/>
                <w:sz w:val="20"/>
                <w:szCs w:val="20"/>
              </w:rPr>
            </w:pPr>
            <w:r w:rsidRPr="00DB4AE1">
              <w:rPr>
                <w:rFonts w:ascii="Arial Narrow" w:hAnsi="Arial Narrow"/>
                <w:b/>
                <w:sz w:val="20"/>
                <w:szCs w:val="20"/>
              </w:rPr>
              <w:t>Study</w:t>
            </w:r>
          </w:p>
        </w:tc>
        <w:tc>
          <w:tcPr>
            <w:tcW w:w="723" w:type="dxa"/>
            <w:vAlign w:val="center"/>
          </w:tcPr>
          <w:p w:rsidR="00CF2F27" w:rsidRPr="00DB4AE1" w:rsidRDefault="00CF2F27" w:rsidP="00837BC5">
            <w:pPr>
              <w:widowControl/>
              <w:jc w:val="center"/>
              <w:rPr>
                <w:rFonts w:ascii="Arial Narrow" w:hAnsi="Arial Narrow"/>
                <w:b/>
                <w:sz w:val="20"/>
                <w:szCs w:val="20"/>
              </w:rPr>
            </w:pPr>
            <w:r w:rsidRPr="00DB4AE1">
              <w:rPr>
                <w:rFonts w:ascii="Arial Narrow" w:hAnsi="Arial Narrow"/>
                <w:b/>
                <w:sz w:val="20"/>
                <w:szCs w:val="20"/>
              </w:rPr>
              <w:t>N</w:t>
            </w:r>
          </w:p>
        </w:tc>
        <w:tc>
          <w:tcPr>
            <w:tcW w:w="1404" w:type="dxa"/>
            <w:vAlign w:val="center"/>
          </w:tcPr>
          <w:p w:rsidR="00CF2F27" w:rsidRPr="00DB4AE1" w:rsidRDefault="00CF2F27" w:rsidP="00837BC5">
            <w:pPr>
              <w:widowControl/>
              <w:jc w:val="center"/>
              <w:rPr>
                <w:rFonts w:ascii="Arial Narrow" w:hAnsi="Arial Narrow"/>
                <w:b/>
                <w:sz w:val="20"/>
                <w:szCs w:val="20"/>
              </w:rPr>
            </w:pPr>
            <w:r w:rsidRPr="00DB4AE1">
              <w:rPr>
                <w:rFonts w:ascii="Arial Narrow" w:hAnsi="Arial Narrow"/>
                <w:b/>
                <w:sz w:val="20"/>
                <w:szCs w:val="20"/>
              </w:rPr>
              <w:t>Location</w:t>
            </w:r>
          </w:p>
        </w:tc>
        <w:tc>
          <w:tcPr>
            <w:tcW w:w="3543" w:type="dxa"/>
            <w:vAlign w:val="center"/>
          </w:tcPr>
          <w:p w:rsidR="00CF2F27" w:rsidRPr="00DB4AE1" w:rsidRDefault="00CF2F27" w:rsidP="00837BC5">
            <w:pPr>
              <w:widowControl/>
              <w:jc w:val="center"/>
              <w:rPr>
                <w:rFonts w:ascii="Arial Narrow" w:hAnsi="Arial Narrow"/>
                <w:b/>
                <w:sz w:val="20"/>
                <w:szCs w:val="20"/>
              </w:rPr>
            </w:pPr>
            <w:r w:rsidRPr="00DB4AE1">
              <w:rPr>
                <w:rFonts w:ascii="Arial Narrow" w:hAnsi="Arial Narrow"/>
                <w:b/>
                <w:sz w:val="20"/>
                <w:szCs w:val="20"/>
              </w:rPr>
              <w:t>Design</w:t>
            </w:r>
          </w:p>
        </w:tc>
        <w:tc>
          <w:tcPr>
            <w:tcW w:w="1930" w:type="dxa"/>
            <w:vAlign w:val="center"/>
          </w:tcPr>
          <w:p w:rsidR="00CF2F27" w:rsidRPr="00DB4AE1" w:rsidRDefault="00CF2F27" w:rsidP="00837BC5">
            <w:pPr>
              <w:widowControl/>
              <w:jc w:val="center"/>
              <w:rPr>
                <w:rFonts w:ascii="Arial Narrow" w:hAnsi="Arial Narrow"/>
                <w:b/>
                <w:sz w:val="20"/>
                <w:szCs w:val="20"/>
              </w:rPr>
            </w:pPr>
            <w:r w:rsidRPr="00DB4AE1">
              <w:rPr>
                <w:rFonts w:ascii="Arial Narrow" w:hAnsi="Arial Narrow"/>
                <w:b/>
                <w:sz w:val="20"/>
                <w:szCs w:val="20"/>
              </w:rPr>
              <w:t>Risk of bias</w:t>
            </w:r>
          </w:p>
        </w:tc>
      </w:tr>
      <w:tr w:rsidR="00CF2F27" w:rsidRPr="00DB4AE1" w:rsidTr="00CF2F27">
        <w:tc>
          <w:tcPr>
            <w:tcW w:w="1526" w:type="dxa"/>
            <w:vAlign w:val="center"/>
          </w:tcPr>
          <w:p w:rsidR="00CF2F27" w:rsidRPr="00DB4AE1" w:rsidRDefault="00CF2F27" w:rsidP="00837BC5">
            <w:pPr>
              <w:widowControl/>
              <w:rPr>
                <w:rFonts w:ascii="Arial Narrow" w:hAnsi="Arial Narrow"/>
                <w:sz w:val="20"/>
                <w:szCs w:val="20"/>
              </w:rPr>
            </w:pPr>
            <w:r w:rsidRPr="00DB4AE1">
              <w:rPr>
                <w:rFonts w:ascii="Arial Narrow" w:hAnsi="Arial Narrow"/>
                <w:sz w:val="20"/>
                <w:szCs w:val="20"/>
              </w:rPr>
              <w:t>191622-110</w:t>
            </w:r>
          </w:p>
        </w:tc>
        <w:tc>
          <w:tcPr>
            <w:tcW w:w="723" w:type="dxa"/>
            <w:vAlign w:val="center"/>
          </w:tcPr>
          <w:p w:rsidR="00CF2F27" w:rsidRPr="00DB4AE1" w:rsidRDefault="00CF2F27" w:rsidP="00837BC5">
            <w:pPr>
              <w:widowControl/>
              <w:jc w:val="center"/>
              <w:rPr>
                <w:rFonts w:ascii="Arial Narrow" w:hAnsi="Arial Narrow"/>
                <w:sz w:val="20"/>
                <w:szCs w:val="20"/>
              </w:rPr>
            </w:pPr>
            <w:r w:rsidRPr="00DB4AE1">
              <w:rPr>
                <w:rFonts w:ascii="Arial Narrow" w:hAnsi="Arial Narrow"/>
                <w:sz w:val="20"/>
                <w:szCs w:val="20"/>
              </w:rPr>
              <w:t>1,160</w:t>
            </w:r>
          </w:p>
        </w:tc>
        <w:tc>
          <w:tcPr>
            <w:tcW w:w="1404" w:type="dxa"/>
            <w:vAlign w:val="center"/>
          </w:tcPr>
          <w:p w:rsidR="00CF2F27" w:rsidRPr="00DB4AE1" w:rsidRDefault="00CF2F27" w:rsidP="00837BC5">
            <w:pPr>
              <w:widowControl/>
              <w:jc w:val="left"/>
              <w:rPr>
                <w:rFonts w:ascii="Arial Narrow" w:hAnsi="Arial Narrow"/>
                <w:sz w:val="20"/>
                <w:szCs w:val="20"/>
              </w:rPr>
            </w:pPr>
            <w:r w:rsidRPr="00DB4AE1">
              <w:rPr>
                <w:rFonts w:ascii="Arial Narrow" w:hAnsi="Arial Narrow"/>
                <w:sz w:val="20"/>
                <w:szCs w:val="20"/>
              </w:rPr>
              <w:t>Europe</w:t>
            </w:r>
          </w:p>
        </w:tc>
        <w:tc>
          <w:tcPr>
            <w:tcW w:w="3543" w:type="dxa"/>
            <w:vAlign w:val="center"/>
          </w:tcPr>
          <w:p w:rsidR="00CF2F27" w:rsidRPr="00DB4AE1" w:rsidRDefault="00CF2F27" w:rsidP="00837BC5">
            <w:pPr>
              <w:widowControl/>
              <w:jc w:val="left"/>
              <w:rPr>
                <w:rFonts w:ascii="Arial Narrow" w:hAnsi="Arial Narrow"/>
                <w:sz w:val="20"/>
                <w:szCs w:val="20"/>
              </w:rPr>
            </w:pPr>
            <w:r w:rsidRPr="00DB4AE1">
              <w:rPr>
                <w:rFonts w:ascii="Arial Narrow" w:hAnsi="Arial Narrow"/>
                <w:sz w:val="20"/>
                <w:szCs w:val="20"/>
              </w:rPr>
              <w:t>Post-authorisation, open-label, observational, multicentre.</w:t>
            </w:r>
          </w:p>
        </w:tc>
        <w:tc>
          <w:tcPr>
            <w:tcW w:w="1930" w:type="dxa"/>
            <w:vMerge w:val="restart"/>
            <w:vAlign w:val="center"/>
          </w:tcPr>
          <w:p w:rsidR="00CF2F27" w:rsidRPr="00DB4AE1" w:rsidRDefault="00CF2F27" w:rsidP="00837BC5">
            <w:pPr>
              <w:widowControl/>
              <w:jc w:val="left"/>
              <w:rPr>
                <w:rFonts w:ascii="Arial Narrow" w:hAnsi="Arial Narrow"/>
                <w:sz w:val="20"/>
                <w:szCs w:val="20"/>
              </w:rPr>
            </w:pPr>
            <w:r w:rsidRPr="00DB4AE1">
              <w:rPr>
                <w:rFonts w:ascii="Arial Narrow" w:hAnsi="Arial Narrow"/>
                <w:sz w:val="20"/>
                <w:szCs w:val="20"/>
              </w:rPr>
              <w:t>Not assessed by the submission.</w:t>
            </w:r>
          </w:p>
          <w:p w:rsidR="00CF2F27" w:rsidRPr="00DB4AE1" w:rsidRDefault="00CF2F27" w:rsidP="00837BC5">
            <w:pPr>
              <w:widowControl/>
              <w:jc w:val="left"/>
              <w:rPr>
                <w:rFonts w:ascii="Arial Narrow" w:hAnsi="Arial Narrow"/>
                <w:sz w:val="20"/>
                <w:szCs w:val="20"/>
              </w:rPr>
            </w:pPr>
            <w:r w:rsidRPr="00DB4AE1">
              <w:rPr>
                <w:rFonts w:ascii="Arial Narrow" w:hAnsi="Arial Narrow"/>
                <w:sz w:val="20"/>
                <w:szCs w:val="20"/>
              </w:rPr>
              <w:t>Risk of bias would be high.</w:t>
            </w:r>
          </w:p>
        </w:tc>
      </w:tr>
      <w:tr w:rsidR="00CF2F27" w:rsidRPr="00DB4AE1" w:rsidTr="00CF2F27">
        <w:tc>
          <w:tcPr>
            <w:tcW w:w="1526" w:type="dxa"/>
            <w:vAlign w:val="center"/>
          </w:tcPr>
          <w:p w:rsidR="00CF2F27" w:rsidRPr="00DB4AE1" w:rsidRDefault="00CF2F27" w:rsidP="00837BC5">
            <w:pPr>
              <w:widowControl/>
              <w:rPr>
                <w:rFonts w:ascii="Arial Narrow" w:hAnsi="Arial Narrow"/>
                <w:sz w:val="20"/>
                <w:szCs w:val="20"/>
              </w:rPr>
            </w:pPr>
            <w:r w:rsidRPr="00DB4AE1">
              <w:rPr>
                <w:rFonts w:ascii="Arial Narrow" w:hAnsi="Arial Narrow"/>
                <w:sz w:val="20"/>
                <w:szCs w:val="20"/>
              </w:rPr>
              <w:t>191622-139</w:t>
            </w:r>
          </w:p>
        </w:tc>
        <w:tc>
          <w:tcPr>
            <w:tcW w:w="723" w:type="dxa"/>
            <w:vAlign w:val="center"/>
          </w:tcPr>
          <w:p w:rsidR="00CF2F27" w:rsidRPr="00DB4AE1" w:rsidRDefault="00CF2F27" w:rsidP="00837BC5">
            <w:pPr>
              <w:widowControl/>
              <w:jc w:val="center"/>
              <w:rPr>
                <w:rFonts w:ascii="Arial Narrow" w:hAnsi="Arial Narrow"/>
                <w:sz w:val="20"/>
                <w:szCs w:val="20"/>
              </w:rPr>
            </w:pPr>
            <w:r w:rsidRPr="00DB4AE1">
              <w:rPr>
                <w:rFonts w:ascii="Arial Narrow" w:hAnsi="Arial Narrow"/>
                <w:sz w:val="20"/>
                <w:szCs w:val="20"/>
              </w:rPr>
              <w:t>672</w:t>
            </w:r>
          </w:p>
        </w:tc>
        <w:tc>
          <w:tcPr>
            <w:tcW w:w="1404" w:type="dxa"/>
            <w:vAlign w:val="center"/>
          </w:tcPr>
          <w:p w:rsidR="00CF2F27" w:rsidRPr="00DB4AE1" w:rsidRDefault="00CF2F27" w:rsidP="00837BC5">
            <w:pPr>
              <w:widowControl/>
              <w:jc w:val="left"/>
              <w:rPr>
                <w:rFonts w:ascii="Arial Narrow" w:hAnsi="Arial Narrow"/>
                <w:sz w:val="20"/>
                <w:szCs w:val="20"/>
              </w:rPr>
            </w:pPr>
            <w:r w:rsidRPr="00DB4AE1">
              <w:rPr>
                <w:rFonts w:ascii="Arial Narrow" w:hAnsi="Arial Narrow"/>
                <w:sz w:val="20"/>
                <w:szCs w:val="20"/>
              </w:rPr>
              <w:t>South Korea</w:t>
            </w:r>
          </w:p>
        </w:tc>
        <w:tc>
          <w:tcPr>
            <w:tcW w:w="3543" w:type="dxa"/>
            <w:vAlign w:val="center"/>
          </w:tcPr>
          <w:p w:rsidR="00CF2F27" w:rsidRPr="00DB4AE1" w:rsidRDefault="00CF2F27" w:rsidP="00837BC5">
            <w:pPr>
              <w:widowControl/>
              <w:jc w:val="left"/>
              <w:rPr>
                <w:rFonts w:ascii="Arial Narrow" w:hAnsi="Arial Narrow"/>
                <w:sz w:val="20"/>
                <w:szCs w:val="20"/>
              </w:rPr>
            </w:pPr>
            <w:r w:rsidRPr="00DB4AE1">
              <w:rPr>
                <w:rFonts w:ascii="Arial Narrow" w:hAnsi="Arial Narrow"/>
                <w:sz w:val="20"/>
                <w:szCs w:val="20"/>
              </w:rPr>
              <w:t>Post-marketing surveillance.</w:t>
            </w:r>
          </w:p>
        </w:tc>
        <w:tc>
          <w:tcPr>
            <w:tcW w:w="1930" w:type="dxa"/>
            <w:vMerge/>
            <w:vAlign w:val="center"/>
          </w:tcPr>
          <w:p w:rsidR="00CF2F27" w:rsidRPr="00DB4AE1" w:rsidRDefault="00CF2F27" w:rsidP="00837BC5">
            <w:pPr>
              <w:widowControl/>
              <w:jc w:val="left"/>
              <w:rPr>
                <w:rFonts w:ascii="Arial Narrow" w:hAnsi="Arial Narrow"/>
                <w:sz w:val="20"/>
                <w:szCs w:val="20"/>
              </w:rPr>
            </w:pPr>
          </w:p>
        </w:tc>
      </w:tr>
      <w:tr w:rsidR="00CF2F27" w:rsidRPr="00DB4AE1" w:rsidTr="00CF2F27">
        <w:tc>
          <w:tcPr>
            <w:tcW w:w="1526" w:type="dxa"/>
            <w:vAlign w:val="center"/>
          </w:tcPr>
          <w:p w:rsidR="00CF2F27" w:rsidRPr="00DB4AE1" w:rsidRDefault="00CF2F27" w:rsidP="00837BC5">
            <w:pPr>
              <w:widowControl/>
              <w:rPr>
                <w:rFonts w:ascii="Arial Narrow" w:hAnsi="Arial Narrow"/>
                <w:sz w:val="20"/>
                <w:szCs w:val="20"/>
              </w:rPr>
            </w:pPr>
            <w:r w:rsidRPr="00DB4AE1">
              <w:rPr>
                <w:rFonts w:ascii="Arial Narrow" w:hAnsi="Arial Narrow"/>
                <w:sz w:val="20"/>
                <w:szCs w:val="20"/>
              </w:rPr>
              <w:t>COMPEL</w:t>
            </w:r>
          </w:p>
        </w:tc>
        <w:tc>
          <w:tcPr>
            <w:tcW w:w="723" w:type="dxa"/>
            <w:vAlign w:val="center"/>
          </w:tcPr>
          <w:p w:rsidR="00CF2F27" w:rsidRPr="00DB4AE1" w:rsidRDefault="00CF2F27" w:rsidP="00837BC5">
            <w:pPr>
              <w:widowControl/>
              <w:jc w:val="center"/>
              <w:rPr>
                <w:rFonts w:ascii="Arial Narrow" w:hAnsi="Arial Narrow"/>
                <w:sz w:val="20"/>
                <w:szCs w:val="20"/>
              </w:rPr>
            </w:pPr>
            <w:r w:rsidRPr="00DB4AE1">
              <w:rPr>
                <w:rFonts w:ascii="Arial Narrow" w:hAnsi="Arial Narrow"/>
                <w:sz w:val="20"/>
                <w:szCs w:val="20"/>
              </w:rPr>
              <w:t>715</w:t>
            </w:r>
          </w:p>
        </w:tc>
        <w:tc>
          <w:tcPr>
            <w:tcW w:w="1404" w:type="dxa"/>
            <w:vAlign w:val="center"/>
          </w:tcPr>
          <w:p w:rsidR="00CF2F27" w:rsidRPr="00DB4AE1" w:rsidRDefault="00CF2F27" w:rsidP="00837BC5">
            <w:pPr>
              <w:widowControl/>
              <w:jc w:val="left"/>
              <w:rPr>
                <w:rFonts w:ascii="Arial Narrow" w:hAnsi="Arial Narrow"/>
                <w:sz w:val="20"/>
                <w:szCs w:val="20"/>
              </w:rPr>
            </w:pPr>
            <w:r w:rsidRPr="00DB4AE1">
              <w:rPr>
                <w:rFonts w:ascii="Arial Narrow" w:hAnsi="Arial Narrow"/>
                <w:sz w:val="20"/>
                <w:szCs w:val="20"/>
              </w:rPr>
              <w:t>USA, Australia, South Korea</w:t>
            </w:r>
          </w:p>
        </w:tc>
        <w:tc>
          <w:tcPr>
            <w:tcW w:w="3543" w:type="dxa"/>
            <w:vAlign w:val="center"/>
          </w:tcPr>
          <w:p w:rsidR="00CF2F27" w:rsidRPr="00DB4AE1" w:rsidRDefault="00CF2F27" w:rsidP="00837BC5">
            <w:pPr>
              <w:widowControl/>
              <w:jc w:val="left"/>
              <w:rPr>
                <w:rFonts w:ascii="Arial Narrow" w:hAnsi="Arial Narrow"/>
                <w:sz w:val="20"/>
                <w:szCs w:val="20"/>
              </w:rPr>
            </w:pPr>
            <w:r w:rsidRPr="00DB4AE1">
              <w:rPr>
                <w:rFonts w:ascii="Arial Narrow" w:hAnsi="Arial Narrow"/>
                <w:sz w:val="20"/>
                <w:szCs w:val="20"/>
              </w:rPr>
              <w:t>Post-authorisation, open-label, multicentre.</w:t>
            </w:r>
          </w:p>
        </w:tc>
        <w:tc>
          <w:tcPr>
            <w:tcW w:w="1930" w:type="dxa"/>
            <w:vMerge/>
            <w:vAlign w:val="center"/>
          </w:tcPr>
          <w:p w:rsidR="00CF2F27" w:rsidRPr="00DB4AE1" w:rsidRDefault="00CF2F27" w:rsidP="00837BC5">
            <w:pPr>
              <w:widowControl/>
              <w:jc w:val="left"/>
              <w:rPr>
                <w:rFonts w:ascii="Arial Narrow" w:hAnsi="Arial Narrow"/>
                <w:sz w:val="20"/>
                <w:szCs w:val="20"/>
              </w:rPr>
            </w:pPr>
          </w:p>
        </w:tc>
      </w:tr>
      <w:tr w:rsidR="00CF2F27" w:rsidRPr="00DB4AE1" w:rsidTr="00CF2F27">
        <w:tc>
          <w:tcPr>
            <w:tcW w:w="1526" w:type="dxa"/>
            <w:vAlign w:val="center"/>
          </w:tcPr>
          <w:p w:rsidR="00CF2F27" w:rsidRPr="00DB4AE1" w:rsidRDefault="00CF2F27" w:rsidP="00837BC5">
            <w:pPr>
              <w:widowControl/>
              <w:rPr>
                <w:rFonts w:ascii="Arial Narrow" w:hAnsi="Arial Narrow"/>
                <w:sz w:val="20"/>
                <w:szCs w:val="20"/>
              </w:rPr>
            </w:pPr>
            <w:r w:rsidRPr="00DB4AE1">
              <w:rPr>
                <w:rFonts w:ascii="Arial Narrow" w:hAnsi="Arial Narrow"/>
                <w:sz w:val="20"/>
                <w:szCs w:val="20"/>
              </w:rPr>
              <w:t>Dominguez 2016</w:t>
            </w:r>
          </w:p>
        </w:tc>
        <w:tc>
          <w:tcPr>
            <w:tcW w:w="723" w:type="dxa"/>
            <w:vAlign w:val="center"/>
          </w:tcPr>
          <w:p w:rsidR="00CF2F27" w:rsidRPr="00DB4AE1" w:rsidRDefault="00CF2F27" w:rsidP="00837BC5">
            <w:pPr>
              <w:widowControl/>
              <w:jc w:val="center"/>
              <w:rPr>
                <w:rFonts w:ascii="Arial Narrow" w:hAnsi="Arial Narrow"/>
                <w:sz w:val="20"/>
                <w:szCs w:val="20"/>
              </w:rPr>
            </w:pPr>
            <w:r w:rsidRPr="00DB4AE1">
              <w:rPr>
                <w:rFonts w:ascii="Arial Narrow" w:hAnsi="Arial Narrow"/>
                <w:sz w:val="20"/>
                <w:szCs w:val="20"/>
              </w:rPr>
              <w:t>553</w:t>
            </w:r>
          </w:p>
        </w:tc>
        <w:tc>
          <w:tcPr>
            <w:tcW w:w="1404" w:type="dxa"/>
            <w:vAlign w:val="center"/>
          </w:tcPr>
          <w:p w:rsidR="00CF2F27" w:rsidRPr="00DB4AE1" w:rsidRDefault="00CF2F27" w:rsidP="00837BC5">
            <w:pPr>
              <w:widowControl/>
              <w:jc w:val="left"/>
              <w:rPr>
                <w:rFonts w:ascii="Arial Narrow" w:hAnsi="Arial Narrow"/>
                <w:sz w:val="20"/>
                <w:szCs w:val="20"/>
              </w:rPr>
            </w:pPr>
            <w:r w:rsidRPr="00DB4AE1">
              <w:rPr>
                <w:rFonts w:ascii="Arial Narrow" w:hAnsi="Arial Narrow"/>
                <w:sz w:val="20"/>
                <w:szCs w:val="20"/>
              </w:rPr>
              <w:t>Spain</w:t>
            </w:r>
          </w:p>
        </w:tc>
        <w:tc>
          <w:tcPr>
            <w:tcW w:w="3543" w:type="dxa"/>
            <w:vAlign w:val="center"/>
          </w:tcPr>
          <w:p w:rsidR="00CF2F27" w:rsidRPr="00DB4AE1" w:rsidRDefault="00CF2F27" w:rsidP="00837BC5">
            <w:pPr>
              <w:widowControl/>
              <w:jc w:val="left"/>
              <w:rPr>
                <w:rFonts w:ascii="Arial Narrow" w:hAnsi="Arial Narrow"/>
                <w:sz w:val="20"/>
                <w:szCs w:val="20"/>
              </w:rPr>
            </w:pPr>
            <w:r w:rsidRPr="00DB4AE1">
              <w:rPr>
                <w:rFonts w:ascii="Arial Narrow" w:hAnsi="Arial Narrow"/>
                <w:sz w:val="20"/>
                <w:szCs w:val="20"/>
              </w:rPr>
              <w:t>Observational, open-label, multicentre.</w:t>
            </w:r>
          </w:p>
        </w:tc>
        <w:tc>
          <w:tcPr>
            <w:tcW w:w="1930" w:type="dxa"/>
            <w:vMerge/>
            <w:vAlign w:val="center"/>
          </w:tcPr>
          <w:p w:rsidR="00CF2F27" w:rsidRPr="00DB4AE1" w:rsidRDefault="00CF2F27" w:rsidP="00837BC5">
            <w:pPr>
              <w:widowControl/>
              <w:jc w:val="left"/>
              <w:rPr>
                <w:rFonts w:ascii="Arial Narrow" w:hAnsi="Arial Narrow"/>
                <w:sz w:val="20"/>
                <w:szCs w:val="20"/>
              </w:rPr>
            </w:pPr>
          </w:p>
        </w:tc>
      </w:tr>
      <w:tr w:rsidR="00CF2F27" w:rsidRPr="00DB4AE1" w:rsidTr="00CF2F27">
        <w:tc>
          <w:tcPr>
            <w:tcW w:w="1526" w:type="dxa"/>
            <w:vAlign w:val="center"/>
          </w:tcPr>
          <w:p w:rsidR="00CF2F27" w:rsidRPr="00DB4AE1" w:rsidRDefault="00CF2F27" w:rsidP="00837BC5">
            <w:pPr>
              <w:widowControl/>
              <w:rPr>
                <w:rFonts w:ascii="Arial Narrow" w:hAnsi="Arial Narrow"/>
                <w:sz w:val="20"/>
                <w:szCs w:val="20"/>
              </w:rPr>
            </w:pPr>
            <w:r w:rsidRPr="00DB4AE1">
              <w:rPr>
                <w:rFonts w:ascii="Arial Narrow" w:hAnsi="Arial Narrow"/>
                <w:sz w:val="20"/>
                <w:szCs w:val="20"/>
              </w:rPr>
              <w:t>FORWARD</w:t>
            </w:r>
          </w:p>
        </w:tc>
        <w:tc>
          <w:tcPr>
            <w:tcW w:w="723" w:type="dxa"/>
            <w:vAlign w:val="center"/>
          </w:tcPr>
          <w:p w:rsidR="00CF2F27" w:rsidRPr="00DB4AE1" w:rsidRDefault="00CF2F27" w:rsidP="00837BC5">
            <w:pPr>
              <w:widowControl/>
              <w:jc w:val="center"/>
              <w:rPr>
                <w:rFonts w:ascii="Arial Narrow" w:hAnsi="Arial Narrow"/>
                <w:sz w:val="20"/>
                <w:szCs w:val="20"/>
              </w:rPr>
            </w:pPr>
            <w:r w:rsidRPr="00DB4AE1">
              <w:rPr>
                <w:rFonts w:ascii="Arial Narrow" w:hAnsi="Arial Narrow"/>
                <w:sz w:val="20"/>
                <w:szCs w:val="20"/>
              </w:rPr>
              <w:t>282</w:t>
            </w:r>
          </w:p>
        </w:tc>
        <w:tc>
          <w:tcPr>
            <w:tcW w:w="1404" w:type="dxa"/>
            <w:vAlign w:val="center"/>
          </w:tcPr>
          <w:p w:rsidR="00CF2F27" w:rsidRPr="00DB4AE1" w:rsidRDefault="00CF2F27" w:rsidP="00837BC5">
            <w:pPr>
              <w:widowControl/>
              <w:jc w:val="left"/>
              <w:rPr>
                <w:rFonts w:ascii="Arial Narrow" w:hAnsi="Arial Narrow"/>
                <w:sz w:val="20"/>
                <w:szCs w:val="20"/>
              </w:rPr>
            </w:pPr>
            <w:r w:rsidRPr="00DB4AE1">
              <w:rPr>
                <w:rFonts w:ascii="Arial Narrow" w:hAnsi="Arial Narrow"/>
                <w:sz w:val="20"/>
                <w:szCs w:val="20"/>
              </w:rPr>
              <w:t>USA</w:t>
            </w:r>
          </w:p>
        </w:tc>
        <w:tc>
          <w:tcPr>
            <w:tcW w:w="3543" w:type="dxa"/>
            <w:vAlign w:val="center"/>
          </w:tcPr>
          <w:p w:rsidR="00CF2F27" w:rsidRPr="00DB4AE1" w:rsidRDefault="00CF2F27" w:rsidP="00837BC5">
            <w:pPr>
              <w:widowControl/>
              <w:jc w:val="left"/>
              <w:rPr>
                <w:rFonts w:ascii="Arial Narrow" w:hAnsi="Arial Narrow"/>
                <w:sz w:val="20"/>
                <w:szCs w:val="20"/>
              </w:rPr>
            </w:pPr>
            <w:r w:rsidRPr="00DB4AE1">
              <w:rPr>
                <w:rFonts w:ascii="Arial Narrow" w:hAnsi="Arial Narrow"/>
                <w:sz w:val="20"/>
                <w:szCs w:val="20"/>
              </w:rPr>
              <w:t>Randomised, cross-over, open-label (Botox and topiramate).</w:t>
            </w:r>
          </w:p>
        </w:tc>
        <w:tc>
          <w:tcPr>
            <w:tcW w:w="1930" w:type="dxa"/>
            <w:vMerge/>
            <w:vAlign w:val="center"/>
          </w:tcPr>
          <w:p w:rsidR="00CF2F27" w:rsidRPr="00DB4AE1" w:rsidRDefault="00CF2F27" w:rsidP="00837BC5">
            <w:pPr>
              <w:widowControl/>
              <w:jc w:val="left"/>
              <w:rPr>
                <w:rFonts w:ascii="Arial Narrow" w:hAnsi="Arial Narrow"/>
                <w:sz w:val="20"/>
                <w:szCs w:val="20"/>
              </w:rPr>
            </w:pPr>
          </w:p>
        </w:tc>
      </w:tr>
      <w:tr w:rsidR="00CF2F27" w:rsidRPr="00DB4AE1" w:rsidTr="00CF2F27">
        <w:tc>
          <w:tcPr>
            <w:tcW w:w="1526" w:type="dxa"/>
            <w:vAlign w:val="center"/>
          </w:tcPr>
          <w:p w:rsidR="00CF2F27" w:rsidRPr="00DB4AE1" w:rsidRDefault="00CF2F27" w:rsidP="00837BC5">
            <w:pPr>
              <w:widowControl/>
              <w:rPr>
                <w:rFonts w:ascii="Arial Narrow" w:hAnsi="Arial Narrow"/>
                <w:sz w:val="20"/>
                <w:szCs w:val="20"/>
              </w:rPr>
            </w:pPr>
            <w:r w:rsidRPr="00DB4AE1">
              <w:rPr>
                <w:rFonts w:ascii="Arial Narrow" w:hAnsi="Arial Narrow"/>
                <w:sz w:val="20"/>
                <w:szCs w:val="20"/>
              </w:rPr>
              <w:t>Hepp 2016</w:t>
            </w:r>
          </w:p>
        </w:tc>
        <w:tc>
          <w:tcPr>
            <w:tcW w:w="723" w:type="dxa"/>
            <w:vAlign w:val="center"/>
          </w:tcPr>
          <w:p w:rsidR="00CF2F27" w:rsidRPr="00DB4AE1" w:rsidRDefault="00CF2F27" w:rsidP="00837BC5">
            <w:pPr>
              <w:widowControl/>
              <w:jc w:val="center"/>
              <w:rPr>
                <w:rFonts w:ascii="Arial Narrow" w:hAnsi="Arial Narrow"/>
                <w:sz w:val="20"/>
                <w:szCs w:val="20"/>
              </w:rPr>
            </w:pPr>
            <w:r w:rsidRPr="00DB4AE1">
              <w:rPr>
                <w:rFonts w:ascii="Arial Narrow" w:hAnsi="Arial Narrow"/>
                <w:sz w:val="20"/>
                <w:szCs w:val="20"/>
              </w:rPr>
              <w:t>3,840</w:t>
            </w:r>
          </w:p>
        </w:tc>
        <w:tc>
          <w:tcPr>
            <w:tcW w:w="1404" w:type="dxa"/>
            <w:vAlign w:val="center"/>
          </w:tcPr>
          <w:p w:rsidR="00CF2F27" w:rsidRPr="00DB4AE1" w:rsidRDefault="00CF2F27" w:rsidP="00837BC5">
            <w:pPr>
              <w:widowControl/>
              <w:jc w:val="left"/>
              <w:rPr>
                <w:rFonts w:ascii="Arial Narrow" w:hAnsi="Arial Narrow"/>
                <w:sz w:val="20"/>
                <w:szCs w:val="20"/>
              </w:rPr>
            </w:pPr>
            <w:r w:rsidRPr="00DB4AE1">
              <w:rPr>
                <w:rFonts w:ascii="Arial Narrow" w:hAnsi="Arial Narrow"/>
                <w:sz w:val="20"/>
                <w:szCs w:val="20"/>
              </w:rPr>
              <w:t>USA</w:t>
            </w:r>
          </w:p>
        </w:tc>
        <w:tc>
          <w:tcPr>
            <w:tcW w:w="3543" w:type="dxa"/>
            <w:vAlign w:val="center"/>
          </w:tcPr>
          <w:p w:rsidR="00CF2F27" w:rsidRPr="00DB4AE1" w:rsidRDefault="00CF2F27" w:rsidP="00837BC5">
            <w:pPr>
              <w:widowControl/>
              <w:jc w:val="left"/>
              <w:rPr>
                <w:rFonts w:ascii="Arial Narrow" w:hAnsi="Arial Narrow"/>
                <w:sz w:val="20"/>
                <w:szCs w:val="20"/>
              </w:rPr>
            </w:pPr>
            <w:r w:rsidRPr="00DB4AE1">
              <w:rPr>
                <w:rFonts w:ascii="Arial Narrow" w:hAnsi="Arial Narrow"/>
                <w:sz w:val="20"/>
                <w:szCs w:val="20"/>
              </w:rPr>
              <w:t>Retrospective review insurance claims.</w:t>
            </w:r>
          </w:p>
        </w:tc>
        <w:tc>
          <w:tcPr>
            <w:tcW w:w="1930" w:type="dxa"/>
            <w:vMerge/>
            <w:vAlign w:val="center"/>
          </w:tcPr>
          <w:p w:rsidR="00CF2F27" w:rsidRPr="00DB4AE1" w:rsidRDefault="00CF2F27" w:rsidP="00837BC5">
            <w:pPr>
              <w:widowControl/>
              <w:jc w:val="left"/>
              <w:rPr>
                <w:rFonts w:ascii="Arial Narrow" w:hAnsi="Arial Narrow"/>
                <w:sz w:val="20"/>
                <w:szCs w:val="20"/>
              </w:rPr>
            </w:pPr>
          </w:p>
        </w:tc>
      </w:tr>
      <w:tr w:rsidR="00CF2F27" w:rsidRPr="00DB4AE1" w:rsidTr="00CF2F27">
        <w:tc>
          <w:tcPr>
            <w:tcW w:w="1526" w:type="dxa"/>
            <w:vAlign w:val="center"/>
          </w:tcPr>
          <w:p w:rsidR="00CF2F27" w:rsidRPr="00DB4AE1" w:rsidRDefault="00CF2F27" w:rsidP="00837BC5">
            <w:pPr>
              <w:widowControl/>
              <w:jc w:val="left"/>
              <w:rPr>
                <w:rFonts w:ascii="Arial Narrow" w:hAnsi="Arial Narrow"/>
                <w:sz w:val="20"/>
                <w:szCs w:val="20"/>
              </w:rPr>
            </w:pPr>
            <w:r w:rsidRPr="00DB4AE1">
              <w:rPr>
                <w:rFonts w:ascii="Arial Narrow" w:hAnsi="Arial Narrow"/>
                <w:sz w:val="20"/>
                <w:szCs w:val="20"/>
              </w:rPr>
              <w:t>Hull Migraine Clinic 2015</w:t>
            </w:r>
          </w:p>
        </w:tc>
        <w:tc>
          <w:tcPr>
            <w:tcW w:w="723" w:type="dxa"/>
            <w:vAlign w:val="center"/>
          </w:tcPr>
          <w:p w:rsidR="00CF2F27" w:rsidRPr="00DB4AE1" w:rsidRDefault="00CF2F27" w:rsidP="00837BC5">
            <w:pPr>
              <w:widowControl/>
              <w:jc w:val="center"/>
              <w:rPr>
                <w:rFonts w:ascii="Arial Narrow" w:hAnsi="Arial Narrow"/>
                <w:sz w:val="20"/>
                <w:szCs w:val="20"/>
              </w:rPr>
            </w:pPr>
            <w:r w:rsidRPr="00DB4AE1">
              <w:rPr>
                <w:rFonts w:ascii="Arial Narrow" w:hAnsi="Arial Narrow"/>
                <w:sz w:val="20"/>
                <w:szCs w:val="20"/>
              </w:rPr>
              <w:t>465</w:t>
            </w:r>
          </w:p>
        </w:tc>
        <w:tc>
          <w:tcPr>
            <w:tcW w:w="1404" w:type="dxa"/>
            <w:vAlign w:val="center"/>
          </w:tcPr>
          <w:p w:rsidR="00CF2F27" w:rsidRPr="00DB4AE1" w:rsidRDefault="00CF2F27" w:rsidP="00837BC5">
            <w:pPr>
              <w:widowControl/>
              <w:jc w:val="left"/>
              <w:rPr>
                <w:rFonts w:ascii="Arial Narrow" w:hAnsi="Arial Narrow"/>
                <w:sz w:val="20"/>
                <w:szCs w:val="20"/>
              </w:rPr>
            </w:pPr>
            <w:r w:rsidRPr="00DB4AE1">
              <w:rPr>
                <w:rFonts w:ascii="Arial Narrow" w:hAnsi="Arial Narrow"/>
                <w:sz w:val="20"/>
                <w:szCs w:val="20"/>
              </w:rPr>
              <w:t>UK</w:t>
            </w:r>
          </w:p>
        </w:tc>
        <w:tc>
          <w:tcPr>
            <w:tcW w:w="3543" w:type="dxa"/>
            <w:vAlign w:val="center"/>
          </w:tcPr>
          <w:p w:rsidR="00CF2F27" w:rsidRPr="00DB4AE1" w:rsidRDefault="00CF2F27" w:rsidP="00837BC5">
            <w:pPr>
              <w:widowControl/>
              <w:jc w:val="left"/>
              <w:rPr>
                <w:rFonts w:ascii="Arial Narrow" w:hAnsi="Arial Narrow"/>
                <w:sz w:val="20"/>
                <w:szCs w:val="20"/>
              </w:rPr>
            </w:pPr>
            <w:r w:rsidRPr="00DB4AE1">
              <w:rPr>
                <w:rFonts w:ascii="Arial Narrow" w:hAnsi="Arial Narrow"/>
                <w:sz w:val="20"/>
                <w:szCs w:val="20"/>
              </w:rPr>
              <w:t>Observational, open-label.</w:t>
            </w:r>
          </w:p>
        </w:tc>
        <w:tc>
          <w:tcPr>
            <w:tcW w:w="1930" w:type="dxa"/>
            <w:vMerge/>
            <w:vAlign w:val="center"/>
          </w:tcPr>
          <w:p w:rsidR="00CF2F27" w:rsidRPr="00DB4AE1" w:rsidRDefault="00CF2F27" w:rsidP="00837BC5">
            <w:pPr>
              <w:widowControl/>
              <w:jc w:val="left"/>
              <w:rPr>
                <w:rFonts w:ascii="Arial Narrow" w:hAnsi="Arial Narrow"/>
                <w:sz w:val="20"/>
                <w:szCs w:val="20"/>
              </w:rPr>
            </w:pPr>
          </w:p>
        </w:tc>
      </w:tr>
      <w:tr w:rsidR="00CF2F27" w:rsidRPr="00DB4AE1" w:rsidTr="00CF2F27">
        <w:tc>
          <w:tcPr>
            <w:tcW w:w="1526" w:type="dxa"/>
            <w:vAlign w:val="center"/>
          </w:tcPr>
          <w:p w:rsidR="00CF2F27" w:rsidRPr="00DB4AE1" w:rsidRDefault="00CF2F27" w:rsidP="00837BC5">
            <w:pPr>
              <w:widowControl/>
              <w:rPr>
                <w:rFonts w:ascii="Arial Narrow" w:hAnsi="Arial Narrow"/>
                <w:sz w:val="20"/>
                <w:szCs w:val="20"/>
              </w:rPr>
            </w:pPr>
            <w:r w:rsidRPr="00DB4AE1">
              <w:rPr>
                <w:rFonts w:ascii="Arial Narrow" w:hAnsi="Arial Narrow"/>
                <w:sz w:val="20"/>
                <w:szCs w:val="20"/>
              </w:rPr>
              <w:t>Maasumi 2015</w:t>
            </w:r>
          </w:p>
        </w:tc>
        <w:tc>
          <w:tcPr>
            <w:tcW w:w="723" w:type="dxa"/>
            <w:vAlign w:val="center"/>
          </w:tcPr>
          <w:p w:rsidR="00CF2F27" w:rsidRPr="00DB4AE1" w:rsidRDefault="00CF2F27" w:rsidP="00837BC5">
            <w:pPr>
              <w:widowControl/>
              <w:jc w:val="center"/>
              <w:rPr>
                <w:rFonts w:ascii="Arial Narrow" w:hAnsi="Arial Narrow"/>
                <w:sz w:val="20"/>
                <w:szCs w:val="20"/>
              </w:rPr>
            </w:pPr>
            <w:r w:rsidRPr="00DB4AE1">
              <w:rPr>
                <w:rFonts w:ascii="Arial Narrow" w:hAnsi="Arial Narrow"/>
                <w:sz w:val="20"/>
                <w:szCs w:val="20"/>
              </w:rPr>
              <w:t>359</w:t>
            </w:r>
          </w:p>
        </w:tc>
        <w:tc>
          <w:tcPr>
            <w:tcW w:w="1404" w:type="dxa"/>
            <w:vAlign w:val="center"/>
          </w:tcPr>
          <w:p w:rsidR="00CF2F27" w:rsidRPr="00DB4AE1" w:rsidRDefault="00CF2F27" w:rsidP="00837BC5">
            <w:pPr>
              <w:widowControl/>
              <w:jc w:val="left"/>
              <w:rPr>
                <w:rFonts w:ascii="Arial Narrow" w:hAnsi="Arial Narrow"/>
                <w:sz w:val="20"/>
                <w:szCs w:val="20"/>
              </w:rPr>
            </w:pPr>
            <w:r w:rsidRPr="00DB4AE1">
              <w:rPr>
                <w:rFonts w:ascii="Arial Narrow" w:hAnsi="Arial Narrow"/>
                <w:sz w:val="20"/>
                <w:szCs w:val="20"/>
              </w:rPr>
              <w:t>USA</w:t>
            </w:r>
          </w:p>
        </w:tc>
        <w:tc>
          <w:tcPr>
            <w:tcW w:w="3543" w:type="dxa"/>
            <w:vAlign w:val="center"/>
          </w:tcPr>
          <w:p w:rsidR="00CF2F27" w:rsidRPr="00DB4AE1" w:rsidRDefault="00CF2F27" w:rsidP="00837BC5">
            <w:pPr>
              <w:widowControl/>
              <w:jc w:val="left"/>
              <w:rPr>
                <w:rFonts w:ascii="Arial Narrow" w:hAnsi="Arial Narrow"/>
                <w:sz w:val="20"/>
                <w:szCs w:val="20"/>
              </w:rPr>
            </w:pPr>
            <w:r w:rsidRPr="00DB4AE1">
              <w:rPr>
                <w:rFonts w:ascii="Arial Narrow" w:hAnsi="Arial Narrow"/>
                <w:sz w:val="20"/>
                <w:szCs w:val="20"/>
              </w:rPr>
              <w:t>Retrospective chart review.</w:t>
            </w:r>
          </w:p>
        </w:tc>
        <w:tc>
          <w:tcPr>
            <w:tcW w:w="1930" w:type="dxa"/>
            <w:vMerge/>
            <w:vAlign w:val="center"/>
          </w:tcPr>
          <w:p w:rsidR="00CF2F27" w:rsidRPr="00DB4AE1" w:rsidRDefault="00CF2F27" w:rsidP="00837BC5">
            <w:pPr>
              <w:widowControl/>
              <w:jc w:val="left"/>
              <w:rPr>
                <w:rFonts w:ascii="Arial Narrow" w:hAnsi="Arial Narrow"/>
                <w:sz w:val="20"/>
                <w:szCs w:val="20"/>
              </w:rPr>
            </w:pPr>
          </w:p>
        </w:tc>
      </w:tr>
      <w:tr w:rsidR="00CF2F27" w:rsidRPr="00DB4AE1" w:rsidTr="00CF2F27">
        <w:tc>
          <w:tcPr>
            <w:tcW w:w="1526" w:type="dxa"/>
            <w:vAlign w:val="center"/>
          </w:tcPr>
          <w:p w:rsidR="00CF2F27" w:rsidRPr="00DB4AE1" w:rsidRDefault="00CF2F27" w:rsidP="00837BC5">
            <w:pPr>
              <w:widowControl/>
              <w:rPr>
                <w:rFonts w:ascii="Arial Narrow" w:hAnsi="Arial Narrow"/>
                <w:sz w:val="20"/>
                <w:szCs w:val="20"/>
              </w:rPr>
            </w:pPr>
            <w:r w:rsidRPr="00DB4AE1">
              <w:rPr>
                <w:rFonts w:ascii="Arial Narrow" w:hAnsi="Arial Narrow"/>
                <w:sz w:val="20"/>
                <w:szCs w:val="20"/>
              </w:rPr>
              <w:t>Negro 201</w:t>
            </w:r>
            <w:r w:rsidR="00A71D68">
              <w:rPr>
                <w:rFonts w:ascii="Arial Narrow" w:hAnsi="Arial Narrow"/>
                <w:sz w:val="20"/>
                <w:szCs w:val="20"/>
              </w:rPr>
              <w:t>6</w:t>
            </w:r>
          </w:p>
        </w:tc>
        <w:tc>
          <w:tcPr>
            <w:tcW w:w="723" w:type="dxa"/>
            <w:vAlign w:val="center"/>
          </w:tcPr>
          <w:p w:rsidR="00CF2F27" w:rsidRPr="00DB4AE1" w:rsidRDefault="00CF2F27" w:rsidP="00837BC5">
            <w:pPr>
              <w:widowControl/>
              <w:jc w:val="center"/>
              <w:rPr>
                <w:rFonts w:ascii="Arial Narrow" w:hAnsi="Arial Narrow"/>
                <w:sz w:val="20"/>
                <w:szCs w:val="20"/>
              </w:rPr>
            </w:pPr>
            <w:r w:rsidRPr="00DB4AE1">
              <w:rPr>
                <w:rFonts w:ascii="Arial Narrow" w:hAnsi="Arial Narrow"/>
                <w:sz w:val="20"/>
                <w:szCs w:val="20"/>
              </w:rPr>
              <w:t>275</w:t>
            </w:r>
          </w:p>
        </w:tc>
        <w:tc>
          <w:tcPr>
            <w:tcW w:w="1404" w:type="dxa"/>
            <w:vAlign w:val="center"/>
          </w:tcPr>
          <w:p w:rsidR="00CF2F27" w:rsidRPr="00DB4AE1" w:rsidRDefault="00CF2F27" w:rsidP="00837BC5">
            <w:pPr>
              <w:widowControl/>
              <w:jc w:val="left"/>
              <w:rPr>
                <w:rFonts w:ascii="Arial Narrow" w:hAnsi="Arial Narrow"/>
                <w:sz w:val="20"/>
                <w:szCs w:val="20"/>
              </w:rPr>
            </w:pPr>
            <w:r w:rsidRPr="00DB4AE1">
              <w:rPr>
                <w:rFonts w:ascii="Arial Narrow" w:hAnsi="Arial Narrow"/>
                <w:sz w:val="20"/>
                <w:szCs w:val="20"/>
              </w:rPr>
              <w:t>Italy</w:t>
            </w:r>
          </w:p>
        </w:tc>
        <w:tc>
          <w:tcPr>
            <w:tcW w:w="3543" w:type="dxa"/>
            <w:vAlign w:val="center"/>
          </w:tcPr>
          <w:p w:rsidR="00CF2F27" w:rsidRPr="00DB4AE1" w:rsidRDefault="00CF2F27" w:rsidP="00837BC5">
            <w:pPr>
              <w:widowControl/>
              <w:jc w:val="left"/>
              <w:rPr>
                <w:rFonts w:ascii="Arial Narrow" w:hAnsi="Arial Narrow"/>
                <w:sz w:val="20"/>
                <w:szCs w:val="20"/>
              </w:rPr>
            </w:pPr>
            <w:r w:rsidRPr="00DB4AE1">
              <w:rPr>
                <w:rFonts w:ascii="Arial Narrow" w:hAnsi="Arial Narrow"/>
                <w:sz w:val="20"/>
                <w:szCs w:val="20"/>
              </w:rPr>
              <w:t>Observational, open-label, multicentre.</w:t>
            </w:r>
          </w:p>
        </w:tc>
        <w:tc>
          <w:tcPr>
            <w:tcW w:w="1930" w:type="dxa"/>
            <w:vMerge/>
            <w:vAlign w:val="center"/>
          </w:tcPr>
          <w:p w:rsidR="00CF2F27" w:rsidRPr="00DB4AE1" w:rsidRDefault="00CF2F27" w:rsidP="00837BC5">
            <w:pPr>
              <w:widowControl/>
              <w:jc w:val="left"/>
              <w:rPr>
                <w:rFonts w:ascii="Arial Narrow" w:hAnsi="Arial Narrow"/>
                <w:sz w:val="20"/>
                <w:szCs w:val="20"/>
              </w:rPr>
            </w:pPr>
          </w:p>
        </w:tc>
      </w:tr>
      <w:tr w:rsidR="00CF2F27" w:rsidRPr="00DB4AE1" w:rsidTr="00CF2F27">
        <w:tc>
          <w:tcPr>
            <w:tcW w:w="1526" w:type="dxa"/>
            <w:vAlign w:val="center"/>
          </w:tcPr>
          <w:p w:rsidR="00CF2F27" w:rsidRPr="00DB4AE1" w:rsidRDefault="00CF2F27" w:rsidP="00837BC5">
            <w:pPr>
              <w:widowControl/>
              <w:rPr>
                <w:rFonts w:ascii="Arial Narrow" w:hAnsi="Arial Narrow"/>
                <w:sz w:val="20"/>
                <w:szCs w:val="20"/>
              </w:rPr>
            </w:pPr>
            <w:r w:rsidRPr="00DB4AE1">
              <w:rPr>
                <w:rFonts w:ascii="Arial Narrow" w:hAnsi="Arial Narrow"/>
                <w:sz w:val="20"/>
                <w:szCs w:val="20"/>
              </w:rPr>
              <w:t>PREDICT</w:t>
            </w:r>
          </w:p>
        </w:tc>
        <w:tc>
          <w:tcPr>
            <w:tcW w:w="723" w:type="dxa"/>
            <w:vAlign w:val="center"/>
          </w:tcPr>
          <w:p w:rsidR="00CF2F27" w:rsidRPr="00DB4AE1" w:rsidRDefault="00CF2F27" w:rsidP="00837BC5">
            <w:pPr>
              <w:widowControl/>
              <w:jc w:val="center"/>
              <w:rPr>
                <w:rFonts w:ascii="Arial Narrow" w:hAnsi="Arial Narrow"/>
                <w:sz w:val="20"/>
                <w:szCs w:val="20"/>
              </w:rPr>
            </w:pPr>
            <w:r w:rsidRPr="00DB4AE1">
              <w:rPr>
                <w:rFonts w:ascii="Arial Narrow" w:hAnsi="Arial Narrow"/>
                <w:sz w:val="20"/>
                <w:szCs w:val="20"/>
              </w:rPr>
              <w:t>191</w:t>
            </w:r>
          </w:p>
        </w:tc>
        <w:tc>
          <w:tcPr>
            <w:tcW w:w="1404" w:type="dxa"/>
            <w:vAlign w:val="center"/>
          </w:tcPr>
          <w:p w:rsidR="00CF2F27" w:rsidRPr="00DB4AE1" w:rsidRDefault="00CF2F27" w:rsidP="00837BC5">
            <w:pPr>
              <w:widowControl/>
              <w:jc w:val="left"/>
              <w:rPr>
                <w:rFonts w:ascii="Arial Narrow" w:hAnsi="Arial Narrow"/>
                <w:sz w:val="20"/>
                <w:szCs w:val="20"/>
              </w:rPr>
            </w:pPr>
            <w:r w:rsidRPr="00DB4AE1">
              <w:rPr>
                <w:rFonts w:ascii="Arial Narrow" w:hAnsi="Arial Narrow"/>
                <w:sz w:val="20"/>
                <w:szCs w:val="20"/>
              </w:rPr>
              <w:t>Canada</w:t>
            </w:r>
          </w:p>
        </w:tc>
        <w:tc>
          <w:tcPr>
            <w:tcW w:w="3543" w:type="dxa"/>
            <w:vAlign w:val="center"/>
          </w:tcPr>
          <w:p w:rsidR="00CF2F27" w:rsidRPr="00DB4AE1" w:rsidRDefault="00CF2F27" w:rsidP="00837BC5">
            <w:pPr>
              <w:widowControl/>
              <w:jc w:val="left"/>
              <w:rPr>
                <w:rFonts w:ascii="Arial Narrow" w:hAnsi="Arial Narrow"/>
                <w:sz w:val="20"/>
                <w:szCs w:val="20"/>
              </w:rPr>
            </w:pPr>
            <w:r w:rsidRPr="00DB4AE1">
              <w:rPr>
                <w:rFonts w:ascii="Arial Narrow" w:hAnsi="Arial Narrow"/>
                <w:sz w:val="20"/>
                <w:szCs w:val="20"/>
              </w:rPr>
              <w:t>Observational, open-label, multicentre.</w:t>
            </w:r>
          </w:p>
        </w:tc>
        <w:tc>
          <w:tcPr>
            <w:tcW w:w="1930" w:type="dxa"/>
            <w:vMerge/>
            <w:vAlign w:val="center"/>
          </w:tcPr>
          <w:p w:rsidR="00CF2F27" w:rsidRPr="00DB4AE1" w:rsidRDefault="00CF2F27" w:rsidP="00837BC5">
            <w:pPr>
              <w:widowControl/>
              <w:jc w:val="left"/>
              <w:rPr>
                <w:rFonts w:ascii="Arial Narrow" w:hAnsi="Arial Narrow"/>
                <w:sz w:val="20"/>
                <w:szCs w:val="20"/>
              </w:rPr>
            </w:pPr>
          </w:p>
        </w:tc>
      </w:tr>
      <w:tr w:rsidR="00CF2F27" w:rsidRPr="00DB4AE1" w:rsidTr="00CF2F27">
        <w:tc>
          <w:tcPr>
            <w:tcW w:w="1526" w:type="dxa"/>
            <w:vAlign w:val="center"/>
          </w:tcPr>
          <w:p w:rsidR="00CF2F27" w:rsidRPr="00DB4AE1" w:rsidRDefault="00CF2F27" w:rsidP="00837BC5">
            <w:pPr>
              <w:widowControl/>
              <w:rPr>
                <w:rFonts w:ascii="Arial Narrow" w:hAnsi="Arial Narrow"/>
                <w:sz w:val="20"/>
                <w:szCs w:val="20"/>
              </w:rPr>
            </w:pPr>
            <w:r w:rsidRPr="00DB4AE1">
              <w:rPr>
                <w:rFonts w:ascii="Arial Narrow" w:hAnsi="Arial Narrow"/>
                <w:sz w:val="20"/>
                <w:szCs w:val="20"/>
              </w:rPr>
              <w:t>REPOSE</w:t>
            </w:r>
          </w:p>
        </w:tc>
        <w:tc>
          <w:tcPr>
            <w:tcW w:w="723" w:type="dxa"/>
            <w:vAlign w:val="center"/>
          </w:tcPr>
          <w:p w:rsidR="00CF2F27" w:rsidRPr="00DB4AE1" w:rsidRDefault="00CF2F27" w:rsidP="00837BC5">
            <w:pPr>
              <w:widowControl/>
              <w:jc w:val="center"/>
              <w:rPr>
                <w:rFonts w:ascii="Arial Narrow" w:hAnsi="Arial Narrow"/>
                <w:sz w:val="20"/>
                <w:szCs w:val="20"/>
              </w:rPr>
            </w:pPr>
            <w:r w:rsidRPr="00DB4AE1">
              <w:rPr>
                <w:rFonts w:ascii="Arial Narrow" w:hAnsi="Arial Narrow"/>
                <w:sz w:val="20"/>
                <w:szCs w:val="20"/>
              </w:rPr>
              <w:t>633</w:t>
            </w:r>
          </w:p>
        </w:tc>
        <w:tc>
          <w:tcPr>
            <w:tcW w:w="1404" w:type="dxa"/>
            <w:vAlign w:val="center"/>
          </w:tcPr>
          <w:p w:rsidR="00CF2F27" w:rsidRPr="00DB4AE1" w:rsidRDefault="00CF2F27" w:rsidP="00837BC5">
            <w:pPr>
              <w:widowControl/>
              <w:jc w:val="left"/>
              <w:rPr>
                <w:rFonts w:ascii="Arial Narrow" w:hAnsi="Arial Narrow"/>
                <w:sz w:val="20"/>
                <w:szCs w:val="20"/>
              </w:rPr>
            </w:pPr>
            <w:r w:rsidRPr="00DB4AE1">
              <w:rPr>
                <w:rFonts w:ascii="Arial Narrow" w:hAnsi="Arial Narrow"/>
                <w:sz w:val="20"/>
                <w:szCs w:val="20"/>
              </w:rPr>
              <w:t>Europe, Russia</w:t>
            </w:r>
          </w:p>
        </w:tc>
        <w:tc>
          <w:tcPr>
            <w:tcW w:w="3543" w:type="dxa"/>
            <w:vAlign w:val="center"/>
          </w:tcPr>
          <w:p w:rsidR="00CF2F27" w:rsidRPr="00DB4AE1" w:rsidRDefault="00CF2F27" w:rsidP="00837BC5">
            <w:pPr>
              <w:widowControl/>
              <w:jc w:val="left"/>
              <w:rPr>
                <w:rFonts w:ascii="Arial Narrow" w:hAnsi="Arial Narrow"/>
                <w:sz w:val="20"/>
                <w:szCs w:val="20"/>
              </w:rPr>
            </w:pPr>
            <w:r w:rsidRPr="00DB4AE1">
              <w:rPr>
                <w:rFonts w:ascii="Arial Narrow" w:hAnsi="Arial Narrow"/>
                <w:sz w:val="20"/>
                <w:szCs w:val="20"/>
              </w:rPr>
              <w:t>Post-marketing surveillance.</w:t>
            </w:r>
          </w:p>
        </w:tc>
        <w:tc>
          <w:tcPr>
            <w:tcW w:w="1930" w:type="dxa"/>
            <w:vMerge/>
            <w:vAlign w:val="center"/>
          </w:tcPr>
          <w:p w:rsidR="00CF2F27" w:rsidRPr="00DB4AE1" w:rsidRDefault="00CF2F27" w:rsidP="00837BC5">
            <w:pPr>
              <w:widowControl/>
              <w:jc w:val="left"/>
              <w:rPr>
                <w:rFonts w:ascii="Arial Narrow" w:hAnsi="Arial Narrow"/>
                <w:sz w:val="20"/>
                <w:szCs w:val="20"/>
              </w:rPr>
            </w:pPr>
          </w:p>
        </w:tc>
      </w:tr>
      <w:tr w:rsidR="00CF2F27" w:rsidRPr="00DB4AE1" w:rsidTr="00CF2F27">
        <w:tc>
          <w:tcPr>
            <w:tcW w:w="1526" w:type="dxa"/>
            <w:vAlign w:val="center"/>
          </w:tcPr>
          <w:p w:rsidR="00CF2F27" w:rsidRPr="00DB4AE1" w:rsidRDefault="00CF2F27" w:rsidP="00837BC5">
            <w:pPr>
              <w:widowControl/>
              <w:rPr>
                <w:rFonts w:ascii="Arial Narrow" w:hAnsi="Arial Narrow"/>
                <w:sz w:val="20"/>
                <w:szCs w:val="20"/>
              </w:rPr>
            </w:pPr>
            <w:r w:rsidRPr="00DB4AE1">
              <w:rPr>
                <w:rFonts w:ascii="Arial Narrow" w:hAnsi="Arial Narrow"/>
                <w:sz w:val="20"/>
                <w:szCs w:val="20"/>
              </w:rPr>
              <w:t>Rothrock 2016</w:t>
            </w:r>
          </w:p>
        </w:tc>
        <w:tc>
          <w:tcPr>
            <w:tcW w:w="723" w:type="dxa"/>
            <w:vAlign w:val="center"/>
          </w:tcPr>
          <w:p w:rsidR="00CF2F27" w:rsidRPr="00DB4AE1" w:rsidRDefault="00CF2F27" w:rsidP="00837BC5">
            <w:pPr>
              <w:widowControl/>
              <w:jc w:val="center"/>
              <w:rPr>
                <w:rFonts w:ascii="Arial Narrow" w:hAnsi="Arial Narrow"/>
                <w:sz w:val="20"/>
                <w:szCs w:val="20"/>
              </w:rPr>
            </w:pPr>
            <w:r w:rsidRPr="00DB4AE1">
              <w:rPr>
                <w:rFonts w:ascii="Arial Narrow" w:hAnsi="Arial Narrow"/>
                <w:sz w:val="20"/>
                <w:szCs w:val="20"/>
              </w:rPr>
              <w:t>310</w:t>
            </w:r>
          </w:p>
        </w:tc>
        <w:tc>
          <w:tcPr>
            <w:tcW w:w="1404" w:type="dxa"/>
            <w:vAlign w:val="center"/>
          </w:tcPr>
          <w:p w:rsidR="00CF2F27" w:rsidRPr="00DB4AE1" w:rsidRDefault="00CF2F27" w:rsidP="00837BC5">
            <w:pPr>
              <w:widowControl/>
              <w:jc w:val="left"/>
              <w:rPr>
                <w:rFonts w:ascii="Arial Narrow" w:hAnsi="Arial Narrow"/>
                <w:sz w:val="20"/>
                <w:szCs w:val="20"/>
              </w:rPr>
            </w:pPr>
            <w:r w:rsidRPr="00DB4AE1">
              <w:rPr>
                <w:rFonts w:ascii="Arial Narrow" w:hAnsi="Arial Narrow"/>
                <w:sz w:val="20"/>
                <w:szCs w:val="20"/>
              </w:rPr>
              <w:t>USA</w:t>
            </w:r>
          </w:p>
        </w:tc>
        <w:tc>
          <w:tcPr>
            <w:tcW w:w="3543" w:type="dxa"/>
            <w:vAlign w:val="center"/>
          </w:tcPr>
          <w:p w:rsidR="00CF2F27" w:rsidRPr="00DB4AE1" w:rsidRDefault="00CF2F27" w:rsidP="00837BC5">
            <w:pPr>
              <w:widowControl/>
              <w:jc w:val="left"/>
              <w:rPr>
                <w:rFonts w:ascii="Arial Narrow" w:hAnsi="Arial Narrow"/>
                <w:sz w:val="20"/>
                <w:szCs w:val="20"/>
              </w:rPr>
            </w:pPr>
            <w:r w:rsidRPr="00DB4AE1">
              <w:rPr>
                <w:rFonts w:ascii="Arial Narrow" w:hAnsi="Arial Narrow"/>
                <w:sz w:val="20"/>
                <w:szCs w:val="20"/>
              </w:rPr>
              <w:t>Observational, open-label.</w:t>
            </w:r>
          </w:p>
        </w:tc>
        <w:tc>
          <w:tcPr>
            <w:tcW w:w="1930" w:type="dxa"/>
            <w:vMerge/>
            <w:vAlign w:val="center"/>
          </w:tcPr>
          <w:p w:rsidR="00CF2F27" w:rsidRPr="00DB4AE1" w:rsidRDefault="00CF2F27" w:rsidP="00837BC5">
            <w:pPr>
              <w:widowControl/>
              <w:jc w:val="left"/>
              <w:rPr>
                <w:rFonts w:ascii="Arial Narrow" w:hAnsi="Arial Narrow"/>
                <w:sz w:val="20"/>
                <w:szCs w:val="20"/>
              </w:rPr>
            </w:pPr>
          </w:p>
        </w:tc>
      </w:tr>
      <w:tr w:rsidR="00CF2F27" w:rsidRPr="00DB4AE1" w:rsidTr="00CF2F27">
        <w:tc>
          <w:tcPr>
            <w:tcW w:w="1526" w:type="dxa"/>
            <w:vAlign w:val="center"/>
          </w:tcPr>
          <w:p w:rsidR="00CF2F27" w:rsidRPr="00DB4AE1" w:rsidRDefault="00CF2F27" w:rsidP="00837BC5">
            <w:pPr>
              <w:widowControl/>
              <w:rPr>
                <w:rFonts w:ascii="Arial Narrow" w:hAnsi="Arial Narrow"/>
                <w:sz w:val="20"/>
                <w:szCs w:val="20"/>
              </w:rPr>
            </w:pPr>
            <w:r w:rsidRPr="00DB4AE1">
              <w:rPr>
                <w:rFonts w:ascii="Arial Narrow" w:hAnsi="Arial Narrow"/>
                <w:sz w:val="20"/>
                <w:szCs w:val="20"/>
              </w:rPr>
              <w:t>Santoro 2017</w:t>
            </w:r>
          </w:p>
        </w:tc>
        <w:tc>
          <w:tcPr>
            <w:tcW w:w="723" w:type="dxa"/>
            <w:vAlign w:val="center"/>
          </w:tcPr>
          <w:p w:rsidR="00CF2F27" w:rsidRPr="00DB4AE1" w:rsidRDefault="00CF2F27" w:rsidP="00837BC5">
            <w:pPr>
              <w:widowControl/>
              <w:jc w:val="center"/>
              <w:rPr>
                <w:rFonts w:ascii="Arial Narrow" w:hAnsi="Arial Narrow"/>
                <w:sz w:val="20"/>
                <w:szCs w:val="20"/>
              </w:rPr>
            </w:pPr>
            <w:r w:rsidRPr="00DB4AE1">
              <w:rPr>
                <w:rFonts w:ascii="Arial Narrow" w:hAnsi="Arial Narrow"/>
                <w:sz w:val="20"/>
                <w:szCs w:val="20"/>
              </w:rPr>
              <w:t>207</w:t>
            </w:r>
          </w:p>
        </w:tc>
        <w:tc>
          <w:tcPr>
            <w:tcW w:w="1404" w:type="dxa"/>
            <w:vAlign w:val="center"/>
          </w:tcPr>
          <w:p w:rsidR="00CF2F27" w:rsidRPr="00DB4AE1" w:rsidRDefault="00CF2F27" w:rsidP="00837BC5">
            <w:pPr>
              <w:widowControl/>
              <w:jc w:val="left"/>
              <w:rPr>
                <w:rFonts w:ascii="Arial Narrow" w:hAnsi="Arial Narrow"/>
                <w:sz w:val="20"/>
                <w:szCs w:val="20"/>
              </w:rPr>
            </w:pPr>
            <w:r w:rsidRPr="00DB4AE1">
              <w:rPr>
                <w:rFonts w:ascii="Arial Narrow" w:hAnsi="Arial Narrow"/>
                <w:sz w:val="20"/>
                <w:szCs w:val="20"/>
              </w:rPr>
              <w:t>Italy</w:t>
            </w:r>
          </w:p>
        </w:tc>
        <w:tc>
          <w:tcPr>
            <w:tcW w:w="3543" w:type="dxa"/>
            <w:vAlign w:val="center"/>
          </w:tcPr>
          <w:p w:rsidR="00CF2F27" w:rsidRPr="00DB4AE1" w:rsidRDefault="00CF2F27" w:rsidP="00837BC5">
            <w:pPr>
              <w:widowControl/>
              <w:jc w:val="left"/>
              <w:rPr>
                <w:rFonts w:ascii="Arial Narrow" w:hAnsi="Arial Narrow"/>
                <w:sz w:val="20"/>
                <w:szCs w:val="20"/>
              </w:rPr>
            </w:pPr>
            <w:r w:rsidRPr="00DB4AE1">
              <w:rPr>
                <w:rFonts w:ascii="Arial Narrow" w:hAnsi="Arial Narrow"/>
                <w:sz w:val="20"/>
                <w:szCs w:val="20"/>
              </w:rPr>
              <w:t>Retrospective chart review.</w:t>
            </w:r>
          </w:p>
        </w:tc>
        <w:tc>
          <w:tcPr>
            <w:tcW w:w="1930" w:type="dxa"/>
            <w:vMerge/>
            <w:vAlign w:val="center"/>
          </w:tcPr>
          <w:p w:rsidR="00CF2F27" w:rsidRPr="00DB4AE1" w:rsidRDefault="00CF2F27" w:rsidP="00837BC5">
            <w:pPr>
              <w:widowControl/>
              <w:jc w:val="left"/>
              <w:rPr>
                <w:rFonts w:ascii="Arial Narrow" w:hAnsi="Arial Narrow"/>
                <w:sz w:val="20"/>
                <w:szCs w:val="20"/>
              </w:rPr>
            </w:pPr>
          </w:p>
        </w:tc>
      </w:tr>
      <w:tr w:rsidR="00CF2F27" w:rsidRPr="00DB4AE1" w:rsidTr="00CF2F27">
        <w:tc>
          <w:tcPr>
            <w:tcW w:w="1526" w:type="dxa"/>
            <w:vAlign w:val="center"/>
          </w:tcPr>
          <w:p w:rsidR="00CF2F27" w:rsidRPr="00DB4AE1" w:rsidRDefault="00CF2F27" w:rsidP="00837BC5">
            <w:pPr>
              <w:widowControl/>
              <w:rPr>
                <w:rFonts w:ascii="Arial Narrow" w:hAnsi="Arial Narrow"/>
                <w:sz w:val="20"/>
                <w:szCs w:val="20"/>
              </w:rPr>
            </w:pPr>
            <w:r w:rsidRPr="00DB4AE1">
              <w:rPr>
                <w:rFonts w:ascii="Arial Narrow" w:hAnsi="Arial Narrow"/>
                <w:sz w:val="20"/>
                <w:szCs w:val="20"/>
              </w:rPr>
              <w:t>Stark 2017</w:t>
            </w:r>
          </w:p>
        </w:tc>
        <w:tc>
          <w:tcPr>
            <w:tcW w:w="723" w:type="dxa"/>
            <w:vAlign w:val="center"/>
          </w:tcPr>
          <w:p w:rsidR="00CF2F27" w:rsidRPr="00DB4AE1" w:rsidRDefault="00CF2F27" w:rsidP="00837BC5">
            <w:pPr>
              <w:widowControl/>
              <w:jc w:val="center"/>
              <w:rPr>
                <w:rFonts w:ascii="Arial Narrow" w:hAnsi="Arial Narrow"/>
                <w:sz w:val="20"/>
                <w:szCs w:val="20"/>
              </w:rPr>
            </w:pPr>
            <w:r w:rsidRPr="00DB4AE1">
              <w:rPr>
                <w:rFonts w:ascii="Arial Narrow" w:hAnsi="Arial Narrow"/>
                <w:sz w:val="20"/>
                <w:szCs w:val="20"/>
              </w:rPr>
              <w:t>211</w:t>
            </w:r>
          </w:p>
        </w:tc>
        <w:tc>
          <w:tcPr>
            <w:tcW w:w="1404" w:type="dxa"/>
            <w:vAlign w:val="center"/>
          </w:tcPr>
          <w:p w:rsidR="00CF2F27" w:rsidRPr="00DB4AE1" w:rsidRDefault="00CF2F27" w:rsidP="00837BC5">
            <w:pPr>
              <w:widowControl/>
              <w:jc w:val="left"/>
              <w:rPr>
                <w:rFonts w:ascii="Arial Narrow" w:hAnsi="Arial Narrow"/>
                <w:sz w:val="20"/>
                <w:szCs w:val="20"/>
              </w:rPr>
            </w:pPr>
            <w:r w:rsidRPr="00DB4AE1">
              <w:rPr>
                <w:rFonts w:ascii="Arial Narrow" w:hAnsi="Arial Narrow"/>
                <w:sz w:val="20"/>
                <w:szCs w:val="20"/>
              </w:rPr>
              <w:t>Australia</w:t>
            </w:r>
          </w:p>
        </w:tc>
        <w:tc>
          <w:tcPr>
            <w:tcW w:w="3543" w:type="dxa"/>
            <w:vAlign w:val="center"/>
          </w:tcPr>
          <w:p w:rsidR="00CF2F27" w:rsidRPr="00DB4AE1" w:rsidRDefault="00CF2F27" w:rsidP="00837BC5">
            <w:pPr>
              <w:widowControl/>
              <w:jc w:val="left"/>
              <w:rPr>
                <w:rFonts w:ascii="Arial Narrow" w:hAnsi="Arial Narrow"/>
                <w:sz w:val="20"/>
                <w:szCs w:val="20"/>
              </w:rPr>
            </w:pPr>
            <w:r w:rsidRPr="00DB4AE1">
              <w:rPr>
                <w:rFonts w:ascii="Arial Narrow" w:hAnsi="Arial Narrow"/>
                <w:sz w:val="20"/>
                <w:szCs w:val="20"/>
              </w:rPr>
              <w:t>Retrospective chart review.</w:t>
            </w:r>
          </w:p>
        </w:tc>
        <w:tc>
          <w:tcPr>
            <w:tcW w:w="1930" w:type="dxa"/>
            <w:vAlign w:val="center"/>
          </w:tcPr>
          <w:p w:rsidR="00CF2F27" w:rsidRPr="00DB4AE1" w:rsidRDefault="00CF2F27" w:rsidP="00837BC5">
            <w:pPr>
              <w:widowControl/>
              <w:jc w:val="left"/>
              <w:rPr>
                <w:rFonts w:ascii="Arial Narrow" w:hAnsi="Arial Narrow"/>
                <w:sz w:val="20"/>
                <w:szCs w:val="20"/>
              </w:rPr>
            </w:pPr>
            <w:r w:rsidRPr="00DB4AE1">
              <w:rPr>
                <w:rFonts w:ascii="Arial Narrow" w:hAnsi="Arial Narrow"/>
                <w:sz w:val="20"/>
                <w:szCs w:val="20"/>
              </w:rPr>
              <w:t xml:space="preserve">Moderate as rated by </w:t>
            </w:r>
            <w:r w:rsidR="00A829BE" w:rsidRPr="00DB4AE1">
              <w:rPr>
                <w:rFonts w:ascii="Arial Narrow" w:hAnsi="Arial Narrow"/>
                <w:sz w:val="20"/>
                <w:szCs w:val="20"/>
              </w:rPr>
              <w:t>the submission using ROBINS-I.</w:t>
            </w:r>
          </w:p>
        </w:tc>
      </w:tr>
    </w:tbl>
    <w:p w:rsidR="00CF2F27" w:rsidRPr="00DB4AE1" w:rsidRDefault="00D958F6" w:rsidP="00837BC5">
      <w:pPr>
        <w:pStyle w:val="TableFooter"/>
        <w:widowControl/>
        <w:spacing w:after="120"/>
      </w:pPr>
      <w:r w:rsidRPr="00DB4AE1">
        <w:t xml:space="preserve">Source: </w:t>
      </w:r>
      <w:r w:rsidR="00CF2F27" w:rsidRPr="00DB4AE1">
        <w:t>Table 2-8, p55-60 of the submission.</w:t>
      </w:r>
    </w:p>
    <w:p w:rsidR="00CF2F27" w:rsidRPr="00DB4AE1" w:rsidRDefault="00CF2F27" w:rsidP="00837BC5">
      <w:pPr>
        <w:widowControl/>
        <w:rPr>
          <w:rFonts w:ascii="Arial Narrow" w:hAnsi="Arial Narrow"/>
          <w:b/>
          <w:sz w:val="20"/>
          <w:szCs w:val="20"/>
        </w:rPr>
      </w:pPr>
      <w:r w:rsidRPr="00DB4AE1">
        <w:rPr>
          <w:rFonts w:ascii="Arial Narrow" w:hAnsi="Arial Narrow"/>
          <w:b/>
          <w:sz w:val="20"/>
          <w:szCs w:val="20"/>
        </w:rPr>
        <w:t xml:space="preserve">Table </w:t>
      </w:r>
      <w:r w:rsidR="00184DF1" w:rsidRPr="00DB4AE1">
        <w:rPr>
          <w:rFonts w:ascii="Arial Narrow" w:hAnsi="Arial Narrow"/>
          <w:b/>
          <w:sz w:val="20"/>
          <w:szCs w:val="20"/>
        </w:rPr>
        <w:t>4</w:t>
      </w:r>
      <w:r w:rsidRPr="00DB4AE1">
        <w:rPr>
          <w:rFonts w:ascii="Arial Narrow" w:hAnsi="Arial Narrow"/>
          <w:b/>
          <w:sz w:val="20"/>
          <w:szCs w:val="20"/>
        </w:rPr>
        <w:t xml:space="preserve">: </w:t>
      </w:r>
      <w:r w:rsidR="004A2676" w:rsidRPr="00DB4AE1">
        <w:rPr>
          <w:rFonts w:ascii="Arial Narrow" w:hAnsi="Arial Narrow"/>
          <w:b/>
          <w:sz w:val="20"/>
          <w:szCs w:val="20"/>
        </w:rPr>
        <w:t>Trials and associated reports presented in the submission</w:t>
      </w:r>
      <w:r w:rsidR="00A71D68">
        <w:rPr>
          <w:rFonts w:ascii="Arial Narrow" w:hAnsi="Arial Narrow"/>
          <w:b/>
          <w:sz w:val="20"/>
          <w:szCs w:val="20"/>
        </w:rPr>
        <w:t xml:space="preserve"> for Stark 2017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46"/>
        <w:gridCol w:w="5499"/>
        <w:gridCol w:w="2138"/>
      </w:tblGrid>
      <w:tr w:rsidR="00683BEE" w:rsidRPr="00DB4AE1" w:rsidTr="006144A8">
        <w:tc>
          <w:tcPr>
            <w:tcW w:w="796" w:type="pct"/>
          </w:tcPr>
          <w:p w:rsidR="00683BEE" w:rsidRPr="00DB4AE1" w:rsidRDefault="00683BEE" w:rsidP="00837BC5">
            <w:pPr>
              <w:pStyle w:val="Tabletext"/>
            </w:pPr>
            <w:r w:rsidRPr="005838CB">
              <w:rPr>
                <w:b/>
              </w:rPr>
              <w:t>Trial ID</w:t>
            </w:r>
          </w:p>
        </w:tc>
        <w:tc>
          <w:tcPr>
            <w:tcW w:w="3027" w:type="pct"/>
          </w:tcPr>
          <w:p w:rsidR="00683BEE" w:rsidRPr="00DB4AE1" w:rsidRDefault="00683BEE" w:rsidP="00683BEE">
            <w:pPr>
              <w:pStyle w:val="Tabletext"/>
              <w:jc w:val="center"/>
              <w:rPr>
                <w:rFonts w:cstheme="minorHAnsi"/>
                <w:szCs w:val="20"/>
              </w:rPr>
            </w:pPr>
            <w:r w:rsidRPr="005838CB">
              <w:rPr>
                <w:b/>
              </w:rPr>
              <w:t>Protocol title/ Publication title</w:t>
            </w:r>
          </w:p>
        </w:tc>
        <w:tc>
          <w:tcPr>
            <w:tcW w:w="1177" w:type="pct"/>
          </w:tcPr>
          <w:p w:rsidR="00683BEE" w:rsidRPr="00DB4AE1" w:rsidRDefault="00683BEE" w:rsidP="00837BC5">
            <w:pPr>
              <w:pStyle w:val="Tabletext"/>
              <w:rPr>
                <w:rFonts w:cstheme="minorHAnsi"/>
                <w:szCs w:val="20"/>
              </w:rPr>
            </w:pPr>
            <w:r w:rsidRPr="005838CB">
              <w:rPr>
                <w:b/>
              </w:rPr>
              <w:t>Publication citation</w:t>
            </w:r>
          </w:p>
        </w:tc>
      </w:tr>
      <w:tr w:rsidR="00CF2F27" w:rsidRPr="00DB4AE1" w:rsidTr="009A61A7">
        <w:tc>
          <w:tcPr>
            <w:tcW w:w="796" w:type="pct"/>
            <w:vAlign w:val="center"/>
          </w:tcPr>
          <w:p w:rsidR="00CF2F27" w:rsidRPr="00DB4AE1" w:rsidRDefault="00CF2F27" w:rsidP="00837BC5">
            <w:pPr>
              <w:pStyle w:val="Tabletext"/>
            </w:pPr>
            <w:r w:rsidRPr="00DB4AE1">
              <w:t>Stark 2017</w:t>
            </w:r>
          </w:p>
        </w:tc>
        <w:tc>
          <w:tcPr>
            <w:tcW w:w="3027" w:type="pct"/>
            <w:vAlign w:val="center"/>
          </w:tcPr>
          <w:p w:rsidR="00CF2F27" w:rsidRPr="00DB4AE1" w:rsidRDefault="00CF2F27" w:rsidP="00837BC5">
            <w:pPr>
              <w:pStyle w:val="Tabletext"/>
              <w:rPr>
                <w:szCs w:val="18"/>
              </w:rPr>
            </w:pPr>
            <w:r w:rsidRPr="00DB4AE1">
              <w:rPr>
                <w:rFonts w:cstheme="minorHAnsi"/>
                <w:szCs w:val="20"/>
              </w:rPr>
              <w:t xml:space="preserve">Stark C et al. The real-world efficacy of botulinum toxin type a (BOTOX®) for the prophylaxis of headaches in adult patients with chronic migraine in Australian clinical practice: A retrospective chart review. </w:t>
            </w:r>
          </w:p>
        </w:tc>
        <w:tc>
          <w:tcPr>
            <w:tcW w:w="1177" w:type="pct"/>
            <w:vAlign w:val="center"/>
          </w:tcPr>
          <w:p w:rsidR="00CF2F27" w:rsidRPr="00DB4AE1" w:rsidRDefault="00CF2F27" w:rsidP="00837BC5">
            <w:pPr>
              <w:pStyle w:val="Tabletext"/>
            </w:pPr>
            <w:r w:rsidRPr="00DB4AE1">
              <w:rPr>
                <w:rFonts w:cstheme="minorHAnsi"/>
                <w:szCs w:val="20"/>
              </w:rPr>
              <w:t xml:space="preserve">Journal of Neurology, Neurosurgery and Psychiatry 2017; </w:t>
            </w:r>
            <w:r w:rsidRPr="00DB4AE1">
              <w:rPr>
                <w:rFonts w:cstheme="minorHAnsi"/>
                <w:bCs/>
                <w:szCs w:val="20"/>
              </w:rPr>
              <w:t>88</w:t>
            </w:r>
            <w:r w:rsidRPr="00DB4AE1">
              <w:rPr>
                <w:rFonts w:cstheme="minorHAnsi"/>
                <w:szCs w:val="20"/>
              </w:rPr>
              <w:t>(5): e22-e23.</w:t>
            </w:r>
          </w:p>
        </w:tc>
      </w:tr>
    </w:tbl>
    <w:p w:rsidR="00CF2F27" w:rsidRPr="00DB4AE1" w:rsidRDefault="009A61A7" w:rsidP="00837BC5">
      <w:pPr>
        <w:pStyle w:val="TableFooter"/>
        <w:widowControl/>
        <w:spacing w:after="120"/>
      </w:pPr>
      <w:r w:rsidRPr="00DB4AE1">
        <w:t>Source: Table 2-4, p41-48 of the submission.</w:t>
      </w:r>
    </w:p>
    <w:p w:rsidR="000969B4" w:rsidRPr="00DB4AE1" w:rsidRDefault="000969B4" w:rsidP="00837BC5">
      <w:pPr>
        <w:pStyle w:val="ListParagraph"/>
        <w:widowControl/>
        <w:numPr>
          <w:ilvl w:val="1"/>
          <w:numId w:val="1"/>
        </w:numPr>
        <w:spacing w:after="120"/>
      </w:pPr>
      <w:r w:rsidRPr="00DB4AE1">
        <w:t xml:space="preserve">The submission stated that the ROBINS-I tool was used to assess risk of bias in the Stark 2017 </w:t>
      </w:r>
      <w:r w:rsidR="00A71D68" w:rsidRPr="00DB4AE1">
        <w:t>retrospective chart review</w:t>
      </w:r>
      <w:r w:rsidRPr="00DB4AE1">
        <w:t xml:space="preserve"> and that the study was considered to be at low or moderate risk of bias for all domains. However</w:t>
      </w:r>
      <w:r w:rsidR="008E2DB7">
        <w:t>, the PBAC considered that</w:t>
      </w:r>
      <w:r w:rsidRPr="00DB4AE1">
        <w:t xml:space="preserve"> there are some aspects of the study that indicate it has a high risk of bias</w:t>
      </w:r>
      <w:r w:rsidR="004A2676" w:rsidRPr="00DB4AE1">
        <w:t>,</w:t>
      </w:r>
      <w:r w:rsidRPr="00DB4AE1">
        <w:t xml:space="preserve"> </w:t>
      </w:r>
      <w:r w:rsidR="004A2676" w:rsidRPr="00DB4AE1">
        <w:t>t</w:t>
      </w:r>
      <w:r w:rsidRPr="00DB4AE1">
        <w:t>hese include:</w:t>
      </w:r>
    </w:p>
    <w:p w:rsidR="001B6652" w:rsidRPr="00DB4AE1" w:rsidRDefault="00EE2F29" w:rsidP="00FA4D42">
      <w:pPr>
        <w:pStyle w:val="Bulletpoints"/>
        <w:widowControl/>
        <w:spacing w:after="120"/>
        <w:ind w:left="993" w:hanging="284"/>
      </w:pPr>
      <w:r w:rsidRPr="00DB4AE1">
        <w:t>The study was uncontrolled</w:t>
      </w:r>
      <w:r w:rsidR="00EC00F6" w:rsidRPr="00DB4AE1">
        <w:t xml:space="preserve"> and</w:t>
      </w:r>
      <w:r w:rsidRPr="00DB4AE1">
        <w:t xml:space="preserve"> </w:t>
      </w:r>
      <w:r w:rsidR="003D76BD" w:rsidRPr="00DB4AE1">
        <w:t>unblinded</w:t>
      </w:r>
      <w:r w:rsidR="00D20268" w:rsidRPr="00DB4AE1">
        <w:t>.</w:t>
      </w:r>
      <w:r w:rsidR="00D54223">
        <w:t xml:space="preserve"> In addition, there are potential methodological risks associated with retrospective chart reviews that were not addressed in the submission.</w:t>
      </w:r>
    </w:p>
    <w:p w:rsidR="006C5D9B" w:rsidRPr="00DB4AE1" w:rsidRDefault="0002546D" w:rsidP="00837BC5">
      <w:pPr>
        <w:pStyle w:val="Bulletpoints"/>
        <w:widowControl/>
        <w:spacing w:after="120"/>
        <w:ind w:left="993" w:hanging="284"/>
      </w:pPr>
      <w:r w:rsidRPr="00DB4AE1">
        <w:t xml:space="preserve">The primary outcome in the Stark 2017 retrospective chart review matched the PBS continuation criteria </w:t>
      </w:r>
      <w:r w:rsidR="00FA4D42">
        <w:t>—</w:t>
      </w:r>
      <w:r w:rsidRPr="00DB4AE1">
        <w:t xml:space="preserve"> a 50% reduction in the number of headache days per month following two Botox treatment cycles. The submission did not provide any information on how headache days were defined </w:t>
      </w:r>
      <w:r w:rsidR="00FA4D42">
        <w:t xml:space="preserve">or assessed </w:t>
      </w:r>
      <w:r w:rsidRPr="00DB4AE1">
        <w:t>in the study.</w:t>
      </w:r>
      <w:r w:rsidR="00F44706" w:rsidRPr="00DB4AE1">
        <w:t xml:space="preserve"> The P</w:t>
      </w:r>
      <w:r w:rsidR="00A71D68">
        <w:t>re-</w:t>
      </w:r>
      <w:r w:rsidR="00F44706" w:rsidRPr="00DB4AE1">
        <w:t>S</w:t>
      </w:r>
      <w:r w:rsidR="00A71D68">
        <w:t>ub-</w:t>
      </w:r>
      <w:r w:rsidR="00F44706" w:rsidRPr="00DB4AE1">
        <w:t>C</w:t>
      </w:r>
      <w:r w:rsidR="00A71D68">
        <w:t xml:space="preserve">ommittee </w:t>
      </w:r>
      <w:r w:rsidR="00F44706" w:rsidRPr="00DB4AE1">
        <w:t>R</w:t>
      </w:r>
      <w:r w:rsidR="00A71D68">
        <w:t>esponse</w:t>
      </w:r>
      <w:r w:rsidR="00EC00F6" w:rsidRPr="00DB4AE1">
        <w:t xml:space="preserve"> </w:t>
      </w:r>
      <w:r w:rsidR="00352903">
        <w:t xml:space="preserve">(PSCR) </w:t>
      </w:r>
      <w:r w:rsidR="00D409F1">
        <w:t xml:space="preserve">stated the definition of headache days was identical to that in the PREEMPT trials and </w:t>
      </w:r>
      <w:r w:rsidR="00EC00F6" w:rsidRPr="00DB4AE1">
        <w:t xml:space="preserve">provided </w:t>
      </w:r>
      <w:r w:rsidR="00F44706" w:rsidRPr="00DB4AE1">
        <w:t xml:space="preserve">the Stark </w:t>
      </w:r>
      <w:r w:rsidR="00D42957">
        <w:t xml:space="preserve">2017 </w:t>
      </w:r>
      <w:r w:rsidR="00EC00F6" w:rsidRPr="00DB4AE1">
        <w:t>protocol</w:t>
      </w:r>
      <w:r w:rsidR="00A87D15">
        <w:t xml:space="preserve"> for information on assessment</w:t>
      </w:r>
      <w:r w:rsidR="00D409F1">
        <w:t>.</w:t>
      </w:r>
      <w:r w:rsidR="0036257A" w:rsidRPr="00DB4AE1">
        <w:t xml:space="preserve"> </w:t>
      </w:r>
      <w:r w:rsidR="00D409F1">
        <w:t>The protocol</w:t>
      </w:r>
      <w:r w:rsidR="00F44706" w:rsidRPr="00DB4AE1">
        <w:t xml:space="preserve"> stated that data was “extracted from the patient charts and patient HA</w:t>
      </w:r>
      <w:r w:rsidR="00EC00F6" w:rsidRPr="00DB4AE1">
        <w:t xml:space="preserve"> [headache]</w:t>
      </w:r>
      <w:r w:rsidR="00F44706" w:rsidRPr="00DB4AE1">
        <w:t xml:space="preserve"> diaries</w:t>
      </w:r>
      <w:r w:rsidR="00815BF5" w:rsidRPr="00DB4AE1">
        <w:t xml:space="preserve"> of approximately 200-250 eligible CM </w:t>
      </w:r>
      <w:r w:rsidR="00EC00F6" w:rsidRPr="00DB4AE1">
        <w:t xml:space="preserve">[chronic migraine] </w:t>
      </w:r>
      <w:r w:rsidR="00815BF5" w:rsidRPr="00DB4AE1">
        <w:t>patients</w:t>
      </w:r>
      <w:r w:rsidR="00F44706" w:rsidRPr="00DB4AE1">
        <w:t xml:space="preserve">”. </w:t>
      </w:r>
      <w:r w:rsidR="00EC00F6" w:rsidRPr="00DB4AE1">
        <w:t xml:space="preserve">Of the </w:t>
      </w:r>
      <w:r w:rsidR="008A77A7" w:rsidRPr="00DB4AE1">
        <w:t xml:space="preserve">patients included in the trial </w:t>
      </w:r>
      <w:r w:rsidR="00EC00F6" w:rsidRPr="00DB4AE1">
        <w:t>(</w:t>
      </w:r>
      <w:r w:rsidR="008A77A7" w:rsidRPr="00DB4AE1">
        <w:t>N=211</w:t>
      </w:r>
      <w:r w:rsidR="00EC00F6" w:rsidRPr="00DB4AE1">
        <w:t>)</w:t>
      </w:r>
      <w:r w:rsidR="00C12715" w:rsidRPr="00DB4AE1">
        <w:t>,</w:t>
      </w:r>
      <w:r w:rsidR="00EC00F6" w:rsidRPr="00DB4AE1">
        <w:t xml:space="preserve"> response rates were assessed using a headache diary for</w:t>
      </w:r>
      <w:r w:rsidR="008A77A7" w:rsidRPr="00DB4AE1">
        <w:t xml:space="preserve"> 48.8%</w:t>
      </w:r>
      <w:r w:rsidR="00EC00F6" w:rsidRPr="00DB4AE1">
        <w:t xml:space="preserve"> (N=103)</w:t>
      </w:r>
      <w:r w:rsidR="008A77A7" w:rsidRPr="00DB4AE1">
        <w:t xml:space="preserve"> of the trial population. </w:t>
      </w:r>
      <w:r w:rsidR="00313D63" w:rsidRPr="00DB4AE1">
        <w:t>F</w:t>
      </w:r>
      <w:r w:rsidR="008A77A7" w:rsidRPr="00DB4AE1">
        <w:t>or the other 51.2% of patients</w:t>
      </w:r>
      <w:r w:rsidR="00313D63" w:rsidRPr="00DB4AE1">
        <w:t xml:space="preserve">, the trial protocol indicated that headache days could be recorded by the physician, but no further information </w:t>
      </w:r>
      <w:r w:rsidR="00EA7F5F" w:rsidRPr="00DB4AE1">
        <w:t xml:space="preserve">on how this was assessed </w:t>
      </w:r>
      <w:r w:rsidR="00313D63" w:rsidRPr="00DB4AE1">
        <w:t>was provided</w:t>
      </w:r>
      <w:r w:rsidR="008A77A7" w:rsidRPr="00DB4AE1">
        <w:t>.</w:t>
      </w:r>
      <w:r w:rsidR="00EC00F6" w:rsidRPr="00DB4AE1">
        <w:t xml:space="preserve"> </w:t>
      </w:r>
      <w:r w:rsidR="003547B1" w:rsidRPr="00DB4AE1">
        <w:t xml:space="preserve">The submission did not </w:t>
      </w:r>
      <w:r w:rsidR="00EA7F5F" w:rsidRPr="00DB4AE1">
        <w:t xml:space="preserve">detail </w:t>
      </w:r>
      <w:r w:rsidR="003547B1" w:rsidRPr="00DB4AE1">
        <w:t>whether or how any coding procedures may have been used in review of patient charts and whether accuracy in terms of intra- and inter-rater reliability was checked.</w:t>
      </w:r>
    </w:p>
    <w:p w:rsidR="008A77A7" w:rsidRPr="00DB4AE1" w:rsidRDefault="000969B4" w:rsidP="00837BC5">
      <w:pPr>
        <w:pStyle w:val="Bulletpoints"/>
        <w:widowControl/>
        <w:spacing w:after="120"/>
        <w:ind w:left="993" w:hanging="284"/>
      </w:pPr>
      <w:r w:rsidRPr="00DB4AE1">
        <w:t xml:space="preserve">The Stark 2017 </w:t>
      </w:r>
      <w:r w:rsidR="00D42957" w:rsidRPr="00DB4AE1">
        <w:t>retrospective chart review</w:t>
      </w:r>
      <w:r w:rsidR="00600088" w:rsidRPr="00DB4AE1">
        <w:t xml:space="preserve"> was funded by the sponsor. </w:t>
      </w:r>
      <w:r w:rsidRPr="00DB4AE1">
        <w:t>While the poster stated that no honoraria or payments were made for authorship, there remains a risk of bias.</w:t>
      </w:r>
    </w:p>
    <w:p w:rsidR="00737912" w:rsidRPr="00DB4AE1" w:rsidRDefault="00737912" w:rsidP="00837BC5">
      <w:pPr>
        <w:pStyle w:val="Bulletpoints"/>
        <w:widowControl/>
        <w:spacing w:after="120"/>
        <w:ind w:left="993" w:hanging="284"/>
      </w:pPr>
      <w:r w:rsidRPr="00DB4AE1">
        <w:t xml:space="preserve">The Stark </w:t>
      </w:r>
      <w:r w:rsidR="00D42957">
        <w:t xml:space="preserve">2017 </w:t>
      </w:r>
      <w:r w:rsidR="00D42957" w:rsidRPr="00DB4AE1">
        <w:t>retrospective chart review</w:t>
      </w:r>
      <w:r w:rsidRPr="00DB4AE1">
        <w:t xml:space="preserve"> was </w:t>
      </w:r>
      <w:r w:rsidR="00D42957">
        <w:t xml:space="preserve">conducted </w:t>
      </w:r>
      <w:r w:rsidR="00B84167">
        <w:t>in the Australian PBS</w:t>
      </w:r>
      <w:r w:rsidR="00B84167">
        <w:noBreakHyphen/>
      </w:r>
      <w:r w:rsidRPr="00DB4AE1">
        <w:t xml:space="preserve">eligible population </w:t>
      </w:r>
      <w:r w:rsidR="00234626" w:rsidRPr="00DB4AE1">
        <w:t xml:space="preserve">where eligibility for PBS-subsidised </w:t>
      </w:r>
      <w:r w:rsidR="00927DBC" w:rsidRPr="00DB4AE1">
        <w:t>Botox</w:t>
      </w:r>
      <w:r w:rsidR="00234626" w:rsidRPr="00DB4AE1">
        <w:t xml:space="preserve"> for the treatment of chronic </w:t>
      </w:r>
      <w:r w:rsidR="00EA7F5F" w:rsidRPr="00DB4AE1">
        <w:t>migraine</w:t>
      </w:r>
      <w:r w:rsidR="00234626" w:rsidRPr="00DB4AE1">
        <w:t xml:space="preserve"> is dependent on the patient</w:t>
      </w:r>
      <w:r w:rsidR="00EA7F5F" w:rsidRPr="00DB4AE1">
        <w:t>s</w:t>
      </w:r>
      <w:r w:rsidR="00234626" w:rsidRPr="00DB4AE1">
        <w:t xml:space="preserve"> meeting a continuation rule. The ESC noted that there is some evidence that a PBS continuation rule</w:t>
      </w:r>
      <w:r w:rsidR="00600088" w:rsidRPr="00DB4AE1">
        <w:t>, particularly one based on subjective criteria,</w:t>
      </w:r>
      <w:r w:rsidR="00234626" w:rsidRPr="00DB4AE1">
        <w:t xml:space="preserve"> contributes to </w:t>
      </w:r>
      <w:r w:rsidR="00600088" w:rsidRPr="00DB4AE1">
        <w:t xml:space="preserve">greater </w:t>
      </w:r>
      <w:r w:rsidR="00234626" w:rsidRPr="00DB4AE1">
        <w:t xml:space="preserve">than </w:t>
      </w:r>
      <w:r w:rsidR="00600088" w:rsidRPr="00DB4AE1">
        <w:t xml:space="preserve">trial-based </w:t>
      </w:r>
      <w:r w:rsidR="00234626" w:rsidRPr="00DB4AE1">
        <w:t xml:space="preserve">continuation </w:t>
      </w:r>
      <w:r w:rsidR="00600088" w:rsidRPr="00DB4AE1">
        <w:t xml:space="preserve">rates </w:t>
      </w:r>
      <w:r w:rsidR="00234626" w:rsidRPr="00DB4AE1">
        <w:t xml:space="preserve">following listing (see table </w:t>
      </w:r>
      <w:r w:rsidR="00441489" w:rsidRPr="00DB4AE1">
        <w:t>5</w:t>
      </w:r>
      <w:r w:rsidR="00234626" w:rsidRPr="00DB4AE1">
        <w:t xml:space="preserve"> below), and considered that the Stark</w:t>
      </w:r>
      <w:r w:rsidR="00FA4D42">
        <w:t xml:space="preserve"> 2017 </w:t>
      </w:r>
      <w:r w:rsidR="00FA4D42" w:rsidRPr="00DB4AE1">
        <w:t>retrospective chart review</w:t>
      </w:r>
      <w:r w:rsidR="00234626" w:rsidRPr="00DB4AE1">
        <w:t xml:space="preserve"> </w:t>
      </w:r>
      <w:r w:rsidR="00600088" w:rsidRPr="00DB4AE1">
        <w:t xml:space="preserve">is likely to </w:t>
      </w:r>
      <w:r w:rsidR="00234626" w:rsidRPr="00DB4AE1">
        <w:t>be subject to bias</w:t>
      </w:r>
      <w:r w:rsidR="00600088" w:rsidRPr="00DB4AE1">
        <w:t xml:space="preserve"> which tends to overestimate </w:t>
      </w:r>
      <w:r w:rsidR="0095619B" w:rsidRPr="00DB4AE1">
        <w:t xml:space="preserve">continuation </w:t>
      </w:r>
      <w:r w:rsidR="00600088" w:rsidRPr="00DB4AE1">
        <w:t>beyond true effectiveness</w:t>
      </w:r>
      <w:r w:rsidRPr="00DB4AE1">
        <w:t>.</w:t>
      </w:r>
      <w:r w:rsidR="00033268">
        <w:t xml:space="preserve"> </w:t>
      </w:r>
      <w:r w:rsidR="00EB6B74">
        <w:t>The pre-PBAC response argued that the scenario for Botox in chronic migraine is different to the two examples provided as Botox patients are unlikely to overestimate their own response due to the mode of administration serving as a disincentive.</w:t>
      </w:r>
    </w:p>
    <w:p w:rsidR="00F33803" w:rsidRPr="00DB4AE1" w:rsidRDefault="00F33803" w:rsidP="00837BC5">
      <w:pPr>
        <w:pStyle w:val="Bulletpoints"/>
        <w:widowControl/>
        <w:numPr>
          <w:ilvl w:val="0"/>
          <w:numId w:val="0"/>
        </w:numPr>
        <w:rPr>
          <w:rFonts w:ascii="Arial Narrow" w:hAnsi="Arial Narrow"/>
          <w:b/>
          <w:sz w:val="20"/>
          <w:szCs w:val="20"/>
        </w:rPr>
      </w:pPr>
      <w:r w:rsidRPr="00DB4AE1">
        <w:rPr>
          <w:rFonts w:ascii="Arial Narrow" w:hAnsi="Arial Narrow"/>
          <w:b/>
          <w:sz w:val="20"/>
          <w:szCs w:val="20"/>
        </w:rPr>
        <w:t>T</w:t>
      </w:r>
      <w:r w:rsidR="00441489" w:rsidRPr="00DB4AE1">
        <w:rPr>
          <w:rFonts w:ascii="Arial Narrow" w:hAnsi="Arial Narrow"/>
          <w:b/>
          <w:sz w:val="20"/>
          <w:szCs w:val="20"/>
        </w:rPr>
        <w:t>able 5</w:t>
      </w:r>
      <w:r w:rsidRPr="00DB4AE1">
        <w:rPr>
          <w:rFonts w:ascii="Arial Narrow" w:hAnsi="Arial Narrow"/>
          <w:b/>
          <w:sz w:val="20"/>
          <w:szCs w:val="20"/>
        </w:rPr>
        <w:t xml:space="preserve">: </w:t>
      </w:r>
      <w:r w:rsidR="00441489" w:rsidRPr="00DB4AE1">
        <w:rPr>
          <w:rFonts w:ascii="Arial Narrow" w:hAnsi="Arial Narrow"/>
          <w:b/>
          <w:sz w:val="20"/>
          <w:szCs w:val="20"/>
        </w:rPr>
        <w:t>Differences between trial-based continuation rates and PBS continuation rates</w:t>
      </w:r>
    </w:p>
    <w:tbl>
      <w:tblPr>
        <w:tblStyle w:val="TableGrid"/>
        <w:tblW w:w="5000" w:type="pct"/>
        <w:tblLook w:val="04A0" w:firstRow="1" w:lastRow="0" w:firstColumn="1" w:lastColumn="0" w:noHBand="0" w:noVBand="1"/>
      </w:tblPr>
      <w:tblGrid>
        <w:gridCol w:w="3081"/>
        <w:gridCol w:w="3082"/>
        <w:gridCol w:w="3080"/>
      </w:tblGrid>
      <w:tr w:rsidR="00F33803" w:rsidRPr="00DB4AE1" w:rsidTr="00C879CC">
        <w:tc>
          <w:tcPr>
            <w:tcW w:w="1667" w:type="pct"/>
            <w:vAlign w:val="center"/>
          </w:tcPr>
          <w:p w:rsidR="00F33803" w:rsidRPr="00DB4AE1" w:rsidRDefault="00F33803" w:rsidP="00837BC5">
            <w:pPr>
              <w:widowControl/>
              <w:jc w:val="left"/>
              <w:rPr>
                <w:rFonts w:ascii="Arial Narrow" w:hAnsi="Arial Narrow"/>
                <w:b/>
                <w:sz w:val="20"/>
                <w:szCs w:val="20"/>
              </w:rPr>
            </w:pPr>
            <w:r w:rsidRPr="00DB4AE1">
              <w:rPr>
                <w:rFonts w:ascii="Arial Narrow" w:hAnsi="Arial Narrow"/>
                <w:b/>
                <w:sz w:val="20"/>
                <w:szCs w:val="20"/>
              </w:rPr>
              <w:t>Morbidity and Treatment/s</w:t>
            </w:r>
          </w:p>
        </w:tc>
        <w:tc>
          <w:tcPr>
            <w:tcW w:w="1667" w:type="pct"/>
            <w:vAlign w:val="center"/>
          </w:tcPr>
          <w:p w:rsidR="00F33803" w:rsidRPr="00DB4AE1" w:rsidRDefault="00F33803" w:rsidP="00837BC5">
            <w:pPr>
              <w:widowControl/>
              <w:jc w:val="center"/>
              <w:rPr>
                <w:rFonts w:ascii="Arial Narrow" w:hAnsi="Arial Narrow"/>
                <w:b/>
                <w:sz w:val="20"/>
                <w:szCs w:val="20"/>
              </w:rPr>
            </w:pPr>
            <w:r w:rsidRPr="00DB4AE1">
              <w:rPr>
                <w:rFonts w:ascii="Arial Narrow" w:hAnsi="Arial Narrow"/>
                <w:b/>
                <w:sz w:val="20"/>
                <w:szCs w:val="20"/>
              </w:rPr>
              <w:t>RCT response rate</w:t>
            </w:r>
          </w:p>
        </w:tc>
        <w:tc>
          <w:tcPr>
            <w:tcW w:w="1667" w:type="pct"/>
            <w:vAlign w:val="center"/>
          </w:tcPr>
          <w:p w:rsidR="00F33803" w:rsidRPr="00DB4AE1" w:rsidRDefault="00F33803" w:rsidP="00837BC5">
            <w:pPr>
              <w:widowControl/>
              <w:jc w:val="center"/>
              <w:rPr>
                <w:rFonts w:ascii="Arial Narrow" w:hAnsi="Arial Narrow"/>
                <w:b/>
                <w:sz w:val="20"/>
                <w:szCs w:val="20"/>
              </w:rPr>
            </w:pPr>
            <w:r w:rsidRPr="00DB4AE1">
              <w:rPr>
                <w:rFonts w:ascii="Arial Narrow" w:hAnsi="Arial Narrow"/>
                <w:b/>
                <w:sz w:val="20"/>
                <w:szCs w:val="20"/>
              </w:rPr>
              <w:t>PBS continuation rate</w:t>
            </w:r>
          </w:p>
        </w:tc>
      </w:tr>
      <w:tr w:rsidR="00F33803" w:rsidRPr="00DB4AE1" w:rsidTr="00C879CC">
        <w:tc>
          <w:tcPr>
            <w:tcW w:w="1667" w:type="pct"/>
            <w:vAlign w:val="center"/>
          </w:tcPr>
          <w:p w:rsidR="00F33803" w:rsidRPr="00DB4AE1" w:rsidRDefault="00600088" w:rsidP="00837BC5">
            <w:pPr>
              <w:pStyle w:val="Bulletpoints"/>
              <w:widowControl/>
              <w:numPr>
                <w:ilvl w:val="0"/>
                <w:numId w:val="0"/>
              </w:numPr>
              <w:spacing w:after="120"/>
              <w:jc w:val="left"/>
              <w:rPr>
                <w:rFonts w:ascii="Arial Narrow" w:hAnsi="Arial Narrow"/>
                <w:sz w:val="20"/>
                <w:szCs w:val="20"/>
              </w:rPr>
            </w:pPr>
            <w:r w:rsidRPr="00DB4AE1">
              <w:rPr>
                <w:rFonts w:ascii="Arial Narrow" w:hAnsi="Arial Narrow"/>
                <w:sz w:val="20"/>
                <w:szCs w:val="20"/>
              </w:rPr>
              <w:t>Alzheimer disease treated by a</w:t>
            </w:r>
            <w:r w:rsidR="00F33803" w:rsidRPr="00DB4AE1">
              <w:rPr>
                <w:rFonts w:ascii="Arial Narrow" w:hAnsi="Arial Narrow"/>
                <w:sz w:val="20"/>
                <w:szCs w:val="20"/>
              </w:rPr>
              <w:t>nti-</w:t>
            </w:r>
            <w:r w:rsidRPr="00DB4AE1">
              <w:rPr>
                <w:rFonts w:ascii="Arial Narrow" w:hAnsi="Arial Narrow"/>
                <w:sz w:val="20"/>
                <w:szCs w:val="20"/>
              </w:rPr>
              <w:t>d</w:t>
            </w:r>
            <w:r w:rsidR="00F33803" w:rsidRPr="00DB4AE1">
              <w:rPr>
                <w:rFonts w:ascii="Arial Narrow" w:hAnsi="Arial Narrow"/>
                <w:sz w:val="20"/>
                <w:szCs w:val="20"/>
              </w:rPr>
              <w:t>ementia medicines</w:t>
            </w:r>
          </w:p>
        </w:tc>
        <w:tc>
          <w:tcPr>
            <w:tcW w:w="1667" w:type="pct"/>
            <w:vAlign w:val="center"/>
          </w:tcPr>
          <w:p w:rsidR="00F33803" w:rsidRPr="00DB4AE1" w:rsidRDefault="00F33803" w:rsidP="00837BC5">
            <w:pPr>
              <w:pStyle w:val="Bulletpoints"/>
              <w:widowControl/>
              <w:numPr>
                <w:ilvl w:val="0"/>
                <w:numId w:val="0"/>
              </w:numPr>
              <w:spacing w:after="120"/>
              <w:jc w:val="center"/>
              <w:rPr>
                <w:rFonts w:ascii="Arial Narrow" w:hAnsi="Arial Narrow"/>
                <w:sz w:val="20"/>
                <w:szCs w:val="20"/>
              </w:rPr>
            </w:pPr>
            <w:r w:rsidRPr="00DB4AE1">
              <w:rPr>
                <w:rFonts w:ascii="Arial Narrow" w:hAnsi="Arial Narrow"/>
                <w:sz w:val="20"/>
                <w:szCs w:val="20"/>
              </w:rPr>
              <w:t>~30%</w:t>
            </w:r>
          </w:p>
        </w:tc>
        <w:tc>
          <w:tcPr>
            <w:tcW w:w="1667" w:type="pct"/>
            <w:vAlign w:val="center"/>
          </w:tcPr>
          <w:p w:rsidR="00F33803" w:rsidRPr="00DB4AE1" w:rsidRDefault="00F33803" w:rsidP="00837BC5">
            <w:pPr>
              <w:pStyle w:val="Bulletpoints"/>
              <w:widowControl/>
              <w:numPr>
                <w:ilvl w:val="0"/>
                <w:numId w:val="0"/>
              </w:numPr>
              <w:spacing w:after="120"/>
              <w:jc w:val="center"/>
              <w:rPr>
                <w:rFonts w:ascii="Arial Narrow" w:hAnsi="Arial Narrow"/>
                <w:sz w:val="20"/>
                <w:szCs w:val="20"/>
              </w:rPr>
            </w:pPr>
            <w:r w:rsidRPr="00DB4AE1">
              <w:rPr>
                <w:rFonts w:ascii="Arial Narrow" w:hAnsi="Arial Narrow"/>
                <w:sz w:val="20"/>
                <w:szCs w:val="20"/>
              </w:rPr>
              <w:t>~60%</w:t>
            </w:r>
            <w:r w:rsidR="009F55FD" w:rsidRPr="00DB4AE1">
              <w:rPr>
                <w:rFonts w:ascii="Arial Narrow" w:hAnsi="Arial Narrow"/>
                <w:sz w:val="18"/>
                <w:szCs w:val="22"/>
                <w:vertAlign w:val="superscript"/>
              </w:rPr>
              <w:t>a</w:t>
            </w:r>
          </w:p>
        </w:tc>
      </w:tr>
      <w:tr w:rsidR="00F33803" w:rsidRPr="00DB4AE1" w:rsidTr="00C879CC">
        <w:tc>
          <w:tcPr>
            <w:tcW w:w="1667" w:type="pct"/>
            <w:vAlign w:val="center"/>
          </w:tcPr>
          <w:p w:rsidR="00F33803" w:rsidRPr="00DB4AE1" w:rsidRDefault="00F33803" w:rsidP="00837BC5">
            <w:pPr>
              <w:pStyle w:val="Bulletpoints"/>
              <w:widowControl/>
              <w:numPr>
                <w:ilvl w:val="0"/>
                <w:numId w:val="0"/>
              </w:numPr>
              <w:spacing w:after="120"/>
              <w:jc w:val="left"/>
              <w:rPr>
                <w:rFonts w:ascii="Arial Narrow" w:hAnsi="Arial Narrow"/>
                <w:sz w:val="20"/>
                <w:szCs w:val="20"/>
              </w:rPr>
            </w:pPr>
            <w:r w:rsidRPr="00DB4AE1">
              <w:rPr>
                <w:rFonts w:ascii="Arial Narrow" w:hAnsi="Arial Narrow"/>
                <w:sz w:val="20"/>
                <w:szCs w:val="20"/>
              </w:rPr>
              <w:t xml:space="preserve">Psoriatic </w:t>
            </w:r>
            <w:r w:rsidR="00600088" w:rsidRPr="00DB4AE1">
              <w:rPr>
                <w:rFonts w:ascii="Arial Narrow" w:hAnsi="Arial Narrow"/>
                <w:sz w:val="20"/>
                <w:szCs w:val="20"/>
              </w:rPr>
              <w:t>a</w:t>
            </w:r>
            <w:r w:rsidRPr="00DB4AE1">
              <w:rPr>
                <w:rFonts w:ascii="Arial Narrow" w:hAnsi="Arial Narrow"/>
                <w:sz w:val="20"/>
                <w:szCs w:val="20"/>
              </w:rPr>
              <w:t xml:space="preserve">rthritis </w:t>
            </w:r>
            <w:r w:rsidR="00600088" w:rsidRPr="00DB4AE1">
              <w:rPr>
                <w:rFonts w:ascii="Arial Narrow" w:hAnsi="Arial Narrow"/>
                <w:sz w:val="20"/>
                <w:szCs w:val="20"/>
              </w:rPr>
              <w:t xml:space="preserve">treated by </w:t>
            </w:r>
            <w:r w:rsidRPr="00DB4AE1">
              <w:rPr>
                <w:rFonts w:ascii="Arial Narrow" w:hAnsi="Arial Narrow"/>
                <w:sz w:val="20"/>
                <w:szCs w:val="20"/>
              </w:rPr>
              <w:t>bDMARDs</w:t>
            </w:r>
          </w:p>
        </w:tc>
        <w:tc>
          <w:tcPr>
            <w:tcW w:w="1667" w:type="pct"/>
            <w:vAlign w:val="center"/>
          </w:tcPr>
          <w:p w:rsidR="00F33803" w:rsidRPr="00DB4AE1" w:rsidRDefault="005C5B04" w:rsidP="00837BC5">
            <w:pPr>
              <w:pStyle w:val="Bulletpoints"/>
              <w:widowControl/>
              <w:numPr>
                <w:ilvl w:val="0"/>
                <w:numId w:val="0"/>
              </w:numPr>
              <w:spacing w:after="120"/>
              <w:jc w:val="center"/>
              <w:rPr>
                <w:rFonts w:ascii="Arial Narrow" w:hAnsi="Arial Narrow"/>
                <w:sz w:val="20"/>
                <w:szCs w:val="20"/>
              </w:rPr>
            </w:pPr>
            <w:r w:rsidRPr="00DB4AE1">
              <w:rPr>
                <w:rFonts w:ascii="Arial Narrow" w:hAnsi="Arial Narrow"/>
                <w:sz w:val="20"/>
                <w:szCs w:val="20"/>
              </w:rPr>
              <w:t>Lower end of 36-77%, as the PBS continuation criteria is better aligned with ACR50 than ACR20</w:t>
            </w:r>
          </w:p>
        </w:tc>
        <w:tc>
          <w:tcPr>
            <w:tcW w:w="1667" w:type="pct"/>
            <w:vAlign w:val="center"/>
          </w:tcPr>
          <w:p w:rsidR="00F33803" w:rsidRPr="00DB4AE1" w:rsidRDefault="005C5B04" w:rsidP="00837BC5">
            <w:pPr>
              <w:pStyle w:val="Bulletpoints"/>
              <w:widowControl/>
              <w:numPr>
                <w:ilvl w:val="0"/>
                <w:numId w:val="0"/>
              </w:numPr>
              <w:spacing w:after="120"/>
              <w:jc w:val="center"/>
              <w:rPr>
                <w:rFonts w:ascii="Arial Narrow" w:hAnsi="Arial Narrow"/>
                <w:sz w:val="20"/>
                <w:szCs w:val="20"/>
                <w:vertAlign w:val="superscript"/>
              </w:rPr>
            </w:pPr>
            <w:r w:rsidRPr="00DB4AE1">
              <w:rPr>
                <w:rFonts w:ascii="Arial Narrow" w:hAnsi="Arial Narrow"/>
                <w:sz w:val="20"/>
                <w:szCs w:val="20"/>
              </w:rPr>
              <w:t>76-84% for same drug, 94% for any bDMARD</w:t>
            </w:r>
            <w:r w:rsidR="009F55FD" w:rsidRPr="00DB4AE1">
              <w:rPr>
                <w:rFonts w:ascii="Arial Narrow" w:hAnsi="Arial Narrow"/>
                <w:sz w:val="20"/>
                <w:szCs w:val="20"/>
                <w:vertAlign w:val="superscript"/>
              </w:rPr>
              <w:t>b</w:t>
            </w:r>
          </w:p>
        </w:tc>
      </w:tr>
      <w:tr w:rsidR="005C5B04" w:rsidRPr="00DB4AE1" w:rsidTr="00C879CC">
        <w:tc>
          <w:tcPr>
            <w:tcW w:w="1667" w:type="pct"/>
            <w:vMerge w:val="restart"/>
            <w:vAlign w:val="center"/>
          </w:tcPr>
          <w:p w:rsidR="005C5B04" w:rsidRPr="00DB4AE1" w:rsidRDefault="005C5B04" w:rsidP="00837BC5">
            <w:pPr>
              <w:pStyle w:val="Bulletpoints"/>
              <w:widowControl/>
              <w:numPr>
                <w:ilvl w:val="0"/>
                <w:numId w:val="0"/>
              </w:numPr>
              <w:spacing w:after="120"/>
              <w:jc w:val="left"/>
              <w:rPr>
                <w:rFonts w:ascii="Arial Narrow" w:hAnsi="Arial Narrow"/>
                <w:sz w:val="20"/>
                <w:szCs w:val="20"/>
              </w:rPr>
            </w:pPr>
            <w:r w:rsidRPr="00DB4AE1">
              <w:rPr>
                <w:rFonts w:ascii="Arial Narrow" w:hAnsi="Arial Narrow"/>
                <w:sz w:val="20"/>
                <w:szCs w:val="20"/>
              </w:rPr>
              <w:t xml:space="preserve">Migraine </w:t>
            </w:r>
            <w:r w:rsidR="00600088" w:rsidRPr="00DB4AE1">
              <w:rPr>
                <w:rFonts w:ascii="Arial Narrow" w:hAnsi="Arial Narrow"/>
                <w:sz w:val="20"/>
                <w:szCs w:val="20"/>
              </w:rPr>
              <w:t>treated by botulinum toxin</w:t>
            </w:r>
          </w:p>
        </w:tc>
        <w:tc>
          <w:tcPr>
            <w:tcW w:w="1667" w:type="pct"/>
            <w:vMerge w:val="restart"/>
            <w:vAlign w:val="center"/>
          </w:tcPr>
          <w:p w:rsidR="005C5B04" w:rsidRPr="00DB4AE1" w:rsidRDefault="005C5B04" w:rsidP="00837BC5">
            <w:pPr>
              <w:pStyle w:val="Bulletpoints"/>
              <w:widowControl/>
              <w:numPr>
                <w:ilvl w:val="0"/>
                <w:numId w:val="0"/>
              </w:numPr>
              <w:spacing w:after="120"/>
              <w:jc w:val="center"/>
              <w:rPr>
                <w:rFonts w:ascii="Arial Narrow" w:hAnsi="Arial Narrow"/>
                <w:sz w:val="20"/>
                <w:szCs w:val="20"/>
              </w:rPr>
            </w:pPr>
            <w:r w:rsidRPr="00DB4AE1">
              <w:rPr>
                <w:rFonts w:ascii="Arial Narrow" w:hAnsi="Arial Narrow"/>
                <w:sz w:val="20"/>
                <w:szCs w:val="20"/>
              </w:rPr>
              <w:t>32.9% (predicted from trial data according to the Commentary)</w:t>
            </w:r>
          </w:p>
        </w:tc>
        <w:tc>
          <w:tcPr>
            <w:tcW w:w="1667" w:type="pct"/>
            <w:vAlign w:val="center"/>
          </w:tcPr>
          <w:p w:rsidR="005C5B04" w:rsidRPr="00DB4AE1" w:rsidRDefault="005C5B04" w:rsidP="00837BC5">
            <w:pPr>
              <w:pStyle w:val="Bulletpoints"/>
              <w:widowControl/>
              <w:numPr>
                <w:ilvl w:val="0"/>
                <w:numId w:val="0"/>
              </w:numPr>
              <w:spacing w:after="120"/>
              <w:jc w:val="center"/>
              <w:rPr>
                <w:rFonts w:ascii="Arial Narrow" w:hAnsi="Arial Narrow"/>
                <w:sz w:val="20"/>
                <w:szCs w:val="20"/>
                <w:vertAlign w:val="superscript"/>
              </w:rPr>
            </w:pPr>
            <w:r w:rsidRPr="00DB4AE1">
              <w:rPr>
                <w:rFonts w:ascii="Arial Narrow" w:hAnsi="Arial Narrow"/>
                <w:sz w:val="20"/>
                <w:szCs w:val="20"/>
              </w:rPr>
              <w:t>74%</w:t>
            </w:r>
            <w:r w:rsidR="009F55FD" w:rsidRPr="00DB4AE1">
              <w:rPr>
                <w:rFonts w:ascii="Arial Narrow" w:hAnsi="Arial Narrow"/>
                <w:sz w:val="20"/>
                <w:szCs w:val="20"/>
                <w:vertAlign w:val="superscript"/>
              </w:rPr>
              <w:t>c</w:t>
            </w:r>
          </w:p>
        </w:tc>
      </w:tr>
      <w:tr w:rsidR="005C5B04" w:rsidRPr="00DB4AE1" w:rsidTr="00C879CC">
        <w:tc>
          <w:tcPr>
            <w:tcW w:w="1667" w:type="pct"/>
            <w:vMerge/>
            <w:vAlign w:val="center"/>
          </w:tcPr>
          <w:p w:rsidR="005C5B04" w:rsidRPr="00DB4AE1" w:rsidRDefault="005C5B04" w:rsidP="00837BC5">
            <w:pPr>
              <w:pStyle w:val="Bulletpoints"/>
              <w:widowControl/>
              <w:numPr>
                <w:ilvl w:val="0"/>
                <w:numId w:val="0"/>
              </w:numPr>
              <w:spacing w:after="120"/>
              <w:jc w:val="left"/>
              <w:rPr>
                <w:rFonts w:ascii="Arial Narrow" w:hAnsi="Arial Narrow"/>
                <w:sz w:val="20"/>
                <w:szCs w:val="20"/>
              </w:rPr>
            </w:pPr>
          </w:p>
        </w:tc>
        <w:tc>
          <w:tcPr>
            <w:tcW w:w="1667" w:type="pct"/>
            <w:vMerge/>
            <w:vAlign w:val="center"/>
          </w:tcPr>
          <w:p w:rsidR="005C5B04" w:rsidRPr="00DB4AE1" w:rsidRDefault="005C5B04" w:rsidP="00837BC5">
            <w:pPr>
              <w:pStyle w:val="Bulletpoints"/>
              <w:widowControl/>
              <w:numPr>
                <w:ilvl w:val="0"/>
                <w:numId w:val="0"/>
              </w:numPr>
              <w:spacing w:after="120"/>
              <w:jc w:val="center"/>
              <w:rPr>
                <w:rFonts w:ascii="Arial Narrow" w:hAnsi="Arial Narrow"/>
                <w:sz w:val="20"/>
                <w:szCs w:val="20"/>
              </w:rPr>
            </w:pPr>
          </w:p>
        </w:tc>
        <w:tc>
          <w:tcPr>
            <w:tcW w:w="1667" w:type="pct"/>
            <w:vAlign w:val="center"/>
          </w:tcPr>
          <w:p w:rsidR="005C5B04" w:rsidRPr="00DB4AE1" w:rsidRDefault="005C5B04" w:rsidP="00837BC5">
            <w:pPr>
              <w:pStyle w:val="Bulletpoints"/>
              <w:widowControl/>
              <w:numPr>
                <w:ilvl w:val="0"/>
                <w:numId w:val="0"/>
              </w:numPr>
              <w:spacing w:after="120"/>
              <w:jc w:val="center"/>
              <w:rPr>
                <w:rFonts w:ascii="Arial Narrow" w:hAnsi="Arial Narrow"/>
                <w:sz w:val="20"/>
                <w:szCs w:val="20"/>
                <w:vertAlign w:val="superscript"/>
              </w:rPr>
            </w:pPr>
            <w:r w:rsidRPr="00DB4AE1">
              <w:rPr>
                <w:rFonts w:ascii="Arial Narrow" w:hAnsi="Arial Narrow"/>
                <w:sz w:val="20"/>
                <w:szCs w:val="20"/>
              </w:rPr>
              <w:t>71.4%</w:t>
            </w:r>
            <w:r w:rsidR="009F55FD" w:rsidRPr="00DB4AE1">
              <w:rPr>
                <w:rFonts w:ascii="Arial Narrow" w:hAnsi="Arial Narrow"/>
                <w:sz w:val="20"/>
                <w:szCs w:val="20"/>
                <w:vertAlign w:val="superscript"/>
              </w:rPr>
              <w:t>d</w:t>
            </w:r>
          </w:p>
        </w:tc>
      </w:tr>
    </w:tbl>
    <w:p w:rsidR="00F33803" w:rsidRPr="00DB4AE1" w:rsidRDefault="005C5B04" w:rsidP="00837BC5">
      <w:pPr>
        <w:pStyle w:val="Bulletpoints"/>
        <w:widowControl/>
        <w:numPr>
          <w:ilvl w:val="0"/>
          <w:numId w:val="0"/>
        </w:numPr>
        <w:jc w:val="left"/>
        <w:rPr>
          <w:rFonts w:ascii="Arial Narrow" w:hAnsi="Arial Narrow"/>
          <w:sz w:val="18"/>
          <w:szCs w:val="22"/>
        </w:rPr>
      </w:pPr>
      <w:r w:rsidRPr="00DB4AE1">
        <w:rPr>
          <w:rFonts w:ascii="Arial Narrow" w:hAnsi="Arial Narrow"/>
          <w:sz w:val="18"/>
          <w:szCs w:val="22"/>
        </w:rPr>
        <w:t>Source</w:t>
      </w:r>
      <w:r w:rsidR="009F55FD" w:rsidRPr="00DB4AE1">
        <w:rPr>
          <w:rFonts w:ascii="Arial Narrow" w:hAnsi="Arial Narrow"/>
          <w:sz w:val="18"/>
          <w:szCs w:val="22"/>
        </w:rPr>
        <w:t>s</w:t>
      </w:r>
      <w:r w:rsidRPr="00DB4AE1">
        <w:rPr>
          <w:rFonts w:ascii="Arial Narrow" w:hAnsi="Arial Narrow"/>
          <w:sz w:val="18"/>
          <w:szCs w:val="22"/>
        </w:rPr>
        <w:t>:</w:t>
      </w:r>
      <w:r w:rsidRPr="00DB4AE1">
        <w:rPr>
          <w:rFonts w:ascii="Arial Narrow" w:hAnsi="Arial Narrow"/>
          <w:sz w:val="18"/>
          <w:szCs w:val="22"/>
        </w:rPr>
        <w:tab/>
      </w:r>
      <w:r w:rsidRPr="00DB4AE1">
        <w:rPr>
          <w:rFonts w:ascii="Arial Narrow" w:hAnsi="Arial Narrow"/>
          <w:sz w:val="18"/>
          <w:szCs w:val="22"/>
          <w:vertAlign w:val="superscript"/>
        </w:rPr>
        <w:t>a</w:t>
      </w:r>
      <w:r w:rsidR="00600088" w:rsidRPr="00DB4AE1">
        <w:rPr>
          <w:rFonts w:ascii="Arial Narrow" w:hAnsi="Arial Narrow"/>
          <w:sz w:val="18"/>
          <w:szCs w:val="22"/>
          <w:vertAlign w:val="superscript"/>
        </w:rPr>
        <w:t xml:space="preserve"> </w:t>
      </w:r>
      <w:r w:rsidR="009F55FD" w:rsidRPr="00DB4AE1">
        <w:rPr>
          <w:rFonts w:ascii="Arial Narrow" w:hAnsi="Arial Narrow"/>
          <w:sz w:val="18"/>
          <w:szCs w:val="22"/>
        </w:rPr>
        <w:t>Post-Market Review of PBS Anti-Dementia Medicines for Alzheimer Disease, 2012</w:t>
      </w:r>
      <w:r w:rsidRPr="00DB4AE1">
        <w:rPr>
          <w:rFonts w:ascii="Arial Narrow" w:hAnsi="Arial Narrow"/>
          <w:sz w:val="18"/>
          <w:szCs w:val="22"/>
        </w:rPr>
        <w:br/>
      </w:r>
      <w:r w:rsidRPr="00DB4AE1">
        <w:rPr>
          <w:rFonts w:ascii="Arial Narrow" w:hAnsi="Arial Narrow"/>
          <w:sz w:val="18"/>
          <w:szCs w:val="22"/>
        </w:rPr>
        <w:tab/>
      </w:r>
      <w:r w:rsidRPr="00DB4AE1">
        <w:rPr>
          <w:rFonts w:ascii="Arial Narrow" w:hAnsi="Arial Narrow"/>
          <w:sz w:val="18"/>
          <w:szCs w:val="22"/>
          <w:vertAlign w:val="superscript"/>
        </w:rPr>
        <w:t>b</w:t>
      </w:r>
      <w:r w:rsidR="00600088" w:rsidRPr="00DB4AE1">
        <w:rPr>
          <w:rFonts w:ascii="Arial Narrow" w:hAnsi="Arial Narrow"/>
          <w:sz w:val="18"/>
          <w:szCs w:val="22"/>
          <w:vertAlign w:val="superscript"/>
        </w:rPr>
        <w:t xml:space="preserve"> </w:t>
      </w:r>
      <w:r w:rsidR="00ED25FD" w:rsidRPr="00DB4AE1">
        <w:rPr>
          <w:rFonts w:ascii="Arial Narrow" w:hAnsi="Arial Narrow"/>
          <w:sz w:val="18"/>
          <w:szCs w:val="22"/>
        </w:rPr>
        <w:t>DUSC report: bDMARDs for psoriatic arthritis: utilisation analysis, October 2015</w:t>
      </w:r>
    </w:p>
    <w:p w:rsidR="005C5B04" w:rsidRPr="00DB4AE1" w:rsidRDefault="005C5B04" w:rsidP="005C236E">
      <w:pPr>
        <w:pStyle w:val="Bulletpoints"/>
        <w:widowControl/>
        <w:numPr>
          <w:ilvl w:val="0"/>
          <w:numId w:val="0"/>
        </w:numPr>
        <w:spacing w:after="120"/>
        <w:jc w:val="left"/>
        <w:rPr>
          <w:rFonts w:ascii="Arial Narrow" w:hAnsi="Arial Narrow"/>
          <w:sz w:val="18"/>
          <w:szCs w:val="22"/>
        </w:rPr>
      </w:pPr>
      <w:r w:rsidRPr="00DB4AE1">
        <w:rPr>
          <w:rFonts w:ascii="Arial Narrow" w:hAnsi="Arial Narrow"/>
          <w:sz w:val="18"/>
          <w:szCs w:val="22"/>
        </w:rPr>
        <w:tab/>
      </w:r>
      <w:r w:rsidRPr="00DB4AE1">
        <w:rPr>
          <w:rFonts w:ascii="Arial Narrow" w:hAnsi="Arial Narrow"/>
          <w:sz w:val="18"/>
          <w:szCs w:val="22"/>
          <w:vertAlign w:val="superscript"/>
        </w:rPr>
        <w:t>c</w:t>
      </w:r>
      <w:r w:rsidR="00600088" w:rsidRPr="00DB4AE1">
        <w:rPr>
          <w:rFonts w:ascii="Arial Narrow" w:hAnsi="Arial Narrow"/>
          <w:sz w:val="18"/>
          <w:szCs w:val="22"/>
          <w:vertAlign w:val="superscript"/>
        </w:rPr>
        <w:t xml:space="preserve"> </w:t>
      </w:r>
      <w:r w:rsidRPr="00DB4AE1">
        <w:rPr>
          <w:rFonts w:ascii="Arial Narrow" w:hAnsi="Arial Narrow"/>
          <w:sz w:val="18"/>
          <w:szCs w:val="22"/>
        </w:rPr>
        <w:t>Stark</w:t>
      </w:r>
      <w:r w:rsidR="00600088" w:rsidRPr="00DB4AE1">
        <w:rPr>
          <w:rFonts w:ascii="Arial Narrow" w:hAnsi="Arial Narrow"/>
          <w:sz w:val="18"/>
          <w:szCs w:val="22"/>
        </w:rPr>
        <w:t xml:space="preserve"> </w:t>
      </w:r>
      <w:r w:rsidR="00FA4D42" w:rsidRPr="00FA4D42">
        <w:rPr>
          <w:rFonts w:ascii="Arial Narrow" w:hAnsi="Arial Narrow"/>
          <w:sz w:val="18"/>
          <w:szCs w:val="22"/>
        </w:rPr>
        <w:t>2017 retrospective chart review</w:t>
      </w:r>
      <w:r w:rsidRPr="00DB4AE1">
        <w:rPr>
          <w:rFonts w:ascii="Arial Narrow" w:hAnsi="Arial Narrow"/>
          <w:sz w:val="18"/>
          <w:szCs w:val="22"/>
        </w:rPr>
        <w:br/>
      </w:r>
      <w:r w:rsidRPr="00DB4AE1">
        <w:rPr>
          <w:rFonts w:ascii="Arial Narrow" w:hAnsi="Arial Narrow"/>
          <w:sz w:val="18"/>
          <w:szCs w:val="22"/>
        </w:rPr>
        <w:tab/>
      </w:r>
      <w:r w:rsidRPr="00DB4AE1">
        <w:rPr>
          <w:rFonts w:ascii="Arial Narrow" w:hAnsi="Arial Narrow"/>
          <w:sz w:val="18"/>
          <w:szCs w:val="22"/>
          <w:vertAlign w:val="superscript"/>
        </w:rPr>
        <w:t>d</w:t>
      </w:r>
      <w:r w:rsidR="00600088" w:rsidRPr="00DB4AE1">
        <w:rPr>
          <w:rFonts w:ascii="Arial Narrow" w:hAnsi="Arial Narrow"/>
          <w:sz w:val="18"/>
          <w:szCs w:val="22"/>
          <w:vertAlign w:val="superscript"/>
        </w:rPr>
        <w:t xml:space="preserve"> </w:t>
      </w:r>
      <w:r w:rsidRPr="00DB4AE1">
        <w:rPr>
          <w:rFonts w:ascii="Arial Narrow" w:hAnsi="Arial Narrow"/>
          <w:sz w:val="18"/>
          <w:szCs w:val="22"/>
        </w:rPr>
        <w:t>DUSC</w:t>
      </w:r>
      <w:r w:rsidR="00AE6002" w:rsidRPr="00DB4AE1">
        <w:rPr>
          <w:rFonts w:ascii="Arial Narrow" w:hAnsi="Arial Narrow"/>
          <w:sz w:val="18"/>
          <w:szCs w:val="22"/>
        </w:rPr>
        <w:t xml:space="preserve"> report: Botulinum toxin type A for chronic migraine: 24 month predicted versus actual analysis, June 2017</w:t>
      </w:r>
    </w:p>
    <w:p w:rsidR="00C937B7" w:rsidRPr="00DB4AE1" w:rsidRDefault="00EA7F5F" w:rsidP="00385349">
      <w:pPr>
        <w:pStyle w:val="ListParagraph"/>
        <w:widowControl/>
        <w:numPr>
          <w:ilvl w:val="1"/>
          <w:numId w:val="1"/>
        </w:numPr>
        <w:spacing w:after="120"/>
      </w:pPr>
      <w:r w:rsidRPr="00DB4AE1">
        <w:t>There is also the risk of bias associated with</w:t>
      </w:r>
      <w:r w:rsidR="00A829BE" w:rsidRPr="00DB4AE1">
        <w:t xml:space="preserve"> the selection of the Stark 2017</w:t>
      </w:r>
      <w:r w:rsidR="004542E7" w:rsidRPr="00DB4AE1">
        <w:t xml:space="preserve"> </w:t>
      </w:r>
      <w:r w:rsidR="00E238EB">
        <w:t>retrospective chart review</w:t>
      </w:r>
      <w:r w:rsidR="00A829BE" w:rsidRPr="00DB4AE1">
        <w:t xml:space="preserve"> solely on the basis that it was an Australian study, </w:t>
      </w:r>
      <w:r w:rsidRPr="00DB4AE1">
        <w:t xml:space="preserve">resulting in </w:t>
      </w:r>
      <w:r w:rsidR="00A829BE" w:rsidRPr="00DB4AE1">
        <w:t xml:space="preserve">the exclusion of all the other single arm studies with </w:t>
      </w:r>
      <w:r w:rsidR="00B74B63" w:rsidRPr="00DB4AE1">
        <w:t xml:space="preserve">meaningfully </w:t>
      </w:r>
      <w:r w:rsidR="00A829BE" w:rsidRPr="00DB4AE1">
        <w:t xml:space="preserve">differing conclusions without </w:t>
      </w:r>
      <w:r w:rsidRPr="00DB4AE1">
        <w:t>sufficient justification</w:t>
      </w:r>
      <w:r w:rsidR="00B74B63" w:rsidRPr="00DB4AE1">
        <w:t>.</w:t>
      </w:r>
      <w:r w:rsidR="00234626" w:rsidRPr="00DB4AE1">
        <w:t xml:space="preserve"> </w:t>
      </w:r>
      <w:r w:rsidR="00033268">
        <w:t>The PSCR stated that the other real</w:t>
      </w:r>
      <w:r w:rsidR="008B7E53">
        <w:t>-</w:t>
      </w:r>
      <w:r w:rsidR="00033268">
        <w:t xml:space="preserve">world equivalent studies were not selected due to risk of bias as they were non-randomised trials. </w:t>
      </w:r>
      <w:r w:rsidR="00234626" w:rsidRPr="00DB4AE1">
        <w:t>The ESC considered that the submission did not provide adequate justification for excluding the other studies.</w:t>
      </w:r>
      <w:r w:rsidR="0090622B" w:rsidRPr="00DB4AE1">
        <w:t xml:space="preserve"> </w:t>
      </w:r>
      <w:r w:rsidR="00142DF5" w:rsidRPr="00142DF5">
        <w:t xml:space="preserve">The PBAC considered that it was not unreasonable to use Australian data in preference to other sources. However, the PBAC agreed with ESC that </w:t>
      </w:r>
      <w:r w:rsidR="00385349">
        <w:t xml:space="preserve">the exclusion of the other studies identified was not adequately justified. </w:t>
      </w:r>
    </w:p>
    <w:p w:rsidR="00B60939" w:rsidRPr="005C236E" w:rsidRDefault="00BF5301" w:rsidP="005C236E">
      <w:pPr>
        <w:pStyle w:val="Heading2"/>
      </w:pPr>
      <w:bookmarkStart w:id="8" w:name="_Toc377658873"/>
      <w:r w:rsidRPr="005C236E">
        <w:t>Comparative effectiveness</w:t>
      </w:r>
      <w:bookmarkEnd w:id="8"/>
    </w:p>
    <w:p w:rsidR="00A04915" w:rsidRPr="00DB4AE1" w:rsidRDefault="00A04915" w:rsidP="00837BC5">
      <w:pPr>
        <w:pStyle w:val="ListParagraph"/>
        <w:widowControl/>
        <w:numPr>
          <w:ilvl w:val="1"/>
          <w:numId w:val="1"/>
        </w:numPr>
        <w:spacing w:after="120"/>
      </w:pPr>
      <w:r w:rsidRPr="00DB4AE1">
        <w:t>The table below provides a summary of results from the Stark 2017 retrospective chart review.</w:t>
      </w:r>
    </w:p>
    <w:p w:rsidR="00A04915" w:rsidRPr="00DB4AE1" w:rsidRDefault="00A04915" w:rsidP="00837BC5">
      <w:pPr>
        <w:widowControl/>
        <w:rPr>
          <w:rFonts w:ascii="Arial Narrow" w:hAnsi="Arial Narrow"/>
          <w:b/>
          <w:sz w:val="20"/>
          <w:szCs w:val="20"/>
        </w:rPr>
      </w:pPr>
      <w:r w:rsidRPr="00DB4AE1">
        <w:rPr>
          <w:rFonts w:ascii="Arial Narrow" w:hAnsi="Arial Narrow"/>
          <w:b/>
          <w:sz w:val="20"/>
          <w:szCs w:val="20"/>
        </w:rPr>
        <w:t xml:space="preserve">Table </w:t>
      </w:r>
      <w:r w:rsidR="00441489" w:rsidRPr="00DB4AE1">
        <w:rPr>
          <w:rFonts w:ascii="Arial Narrow" w:hAnsi="Arial Narrow"/>
          <w:b/>
          <w:sz w:val="20"/>
          <w:szCs w:val="20"/>
        </w:rPr>
        <w:t>6</w:t>
      </w:r>
      <w:r w:rsidRPr="00DB4AE1">
        <w:rPr>
          <w:rFonts w:ascii="Arial Narrow" w:hAnsi="Arial Narrow"/>
          <w:b/>
          <w:sz w:val="20"/>
          <w:szCs w:val="20"/>
        </w:rPr>
        <w:t>: Summary of results from the Stark 2017 retrospective chart review</w:t>
      </w:r>
    </w:p>
    <w:tbl>
      <w:tblPr>
        <w:tblStyle w:val="TableGrid"/>
        <w:tblW w:w="9180" w:type="dxa"/>
        <w:tblCellMar>
          <w:left w:w="28" w:type="dxa"/>
          <w:right w:w="28" w:type="dxa"/>
        </w:tblCellMar>
        <w:tblLook w:val="04A0" w:firstRow="1" w:lastRow="0" w:firstColumn="1" w:lastColumn="0" w:noHBand="0" w:noVBand="1"/>
      </w:tblPr>
      <w:tblGrid>
        <w:gridCol w:w="4039"/>
        <w:gridCol w:w="582"/>
        <w:gridCol w:w="1130"/>
        <w:gridCol w:w="685"/>
        <w:gridCol w:w="1127"/>
        <w:gridCol w:w="490"/>
        <w:gridCol w:w="1127"/>
      </w:tblGrid>
      <w:tr w:rsidR="00A04915" w:rsidRPr="00DB4AE1" w:rsidTr="005E6E45">
        <w:tc>
          <w:tcPr>
            <w:tcW w:w="4039" w:type="dxa"/>
            <w:vAlign w:val="center"/>
          </w:tcPr>
          <w:p w:rsidR="00A04915" w:rsidRPr="00DB4AE1" w:rsidRDefault="00A04915" w:rsidP="00837BC5">
            <w:pPr>
              <w:widowControl/>
              <w:jc w:val="left"/>
              <w:rPr>
                <w:rFonts w:ascii="Arial Narrow" w:hAnsi="Arial Narrow"/>
                <w:b/>
                <w:sz w:val="20"/>
                <w:szCs w:val="20"/>
              </w:rPr>
            </w:pPr>
            <w:r w:rsidRPr="00DB4AE1">
              <w:rPr>
                <w:rFonts w:ascii="Arial Narrow" w:hAnsi="Arial Narrow"/>
                <w:b/>
                <w:sz w:val="20"/>
                <w:szCs w:val="20"/>
              </w:rPr>
              <w:t>Primary outcome</w:t>
            </w:r>
          </w:p>
        </w:tc>
        <w:tc>
          <w:tcPr>
            <w:tcW w:w="5141" w:type="dxa"/>
            <w:gridSpan w:val="6"/>
            <w:vAlign w:val="center"/>
          </w:tcPr>
          <w:p w:rsidR="00A04915" w:rsidRPr="00DB4AE1" w:rsidRDefault="00A04915" w:rsidP="00837BC5">
            <w:pPr>
              <w:widowControl/>
              <w:jc w:val="center"/>
              <w:rPr>
                <w:rFonts w:ascii="Arial Narrow" w:hAnsi="Arial Narrow"/>
                <w:b/>
                <w:sz w:val="20"/>
                <w:szCs w:val="20"/>
              </w:rPr>
            </w:pPr>
            <w:r w:rsidRPr="00DB4AE1">
              <w:rPr>
                <w:rFonts w:ascii="Arial Narrow" w:hAnsi="Arial Narrow"/>
                <w:b/>
                <w:sz w:val="20"/>
                <w:szCs w:val="20"/>
              </w:rPr>
              <w:t>Results</w:t>
            </w:r>
          </w:p>
        </w:tc>
      </w:tr>
      <w:tr w:rsidR="00A04915" w:rsidRPr="00DB4AE1" w:rsidTr="005E6E45">
        <w:tc>
          <w:tcPr>
            <w:tcW w:w="4039" w:type="dxa"/>
            <w:vAlign w:val="center"/>
          </w:tcPr>
          <w:p w:rsidR="00A04915" w:rsidRPr="00DB4AE1" w:rsidRDefault="00A04915" w:rsidP="00837BC5">
            <w:pPr>
              <w:widowControl/>
              <w:jc w:val="left"/>
              <w:rPr>
                <w:rFonts w:ascii="Arial Narrow" w:hAnsi="Arial Narrow"/>
                <w:sz w:val="20"/>
                <w:szCs w:val="20"/>
              </w:rPr>
            </w:pPr>
            <w:r w:rsidRPr="00DB4AE1">
              <w:rPr>
                <w:rFonts w:ascii="Arial Narrow" w:hAnsi="Arial Narrow"/>
                <w:sz w:val="20"/>
                <w:szCs w:val="20"/>
              </w:rPr>
              <w:t>≥50% reduction in headache days per month</w:t>
            </w:r>
            <w:r w:rsidR="00EB7CD5">
              <w:rPr>
                <w:rFonts w:ascii="Arial Narrow" w:hAnsi="Arial Narrow"/>
                <w:sz w:val="20"/>
                <w:szCs w:val="20"/>
              </w:rPr>
              <w:t xml:space="preserve"> after 2 BOTOX cycles</w:t>
            </w:r>
          </w:p>
        </w:tc>
        <w:tc>
          <w:tcPr>
            <w:tcW w:w="5141" w:type="dxa"/>
            <w:gridSpan w:val="6"/>
            <w:vAlign w:val="center"/>
          </w:tcPr>
          <w:p w:rsidR="00A04915" w:rsidRPr="00DB4AE1" w:rsidRDefault="00A04915" w:rsidP="00837BC5">
            <w:pPr>
              <w:widowControl/>
              <w:jc w:val="center"/>
              <w:rPr>
                <w:rFonts w:ascii="Arial Narrow" w:hAnsi="Arial Narrow"/>
                <w:sz w:val="20"/>
                <w:szCs w:val="20"/>
              </w:rPr>
            </w:pPr>
            <w:r w:rsidRPr="00DB4AE1">
              <w:rPr>
                <w:rFonts w:ascii="Arial Narrow" w:hAnsi="Arial Narrow"/>
                <w:sz w:val="20"/>
                <w:szCs w:val="20"/>
              </w:rPr>
              <w:t>73.9% of patients</w:t>
            </w:r>
            <w:r w:rsidR="00EB7CD5">
              <w:rPr>
                <w:rFonts w:ascii="Arial Narrow" w:hAnsi="Arial Narrow"/>
                <w:sz w:val="20"/>
                <w:szCs w:val="20"/>
              </w:rPr>
              <w:t xml:space="preserve"> (156/211)</w:t>
            </w:r>
          </w:p>
        </w:tc>
      </w:tr>
      <w:tr w:rsidR="00A04915" w:rsidRPr="00DB4AE1" w:rsidTr="005E6E45">
        <w:tc>
          <w:tcPr>
            <w:tcW w:w="4039" w:type="dxa"/>
            <w:vMerge w:val="restart"/>
            <w:vAlign w:val="center"/>
          </w:tcPr>
          <w:p w:rsidR="00A04915" w:rsidRPr="00DB4AE1" w:rsidRDefault="00A04915" w:rsidP="00837BC5">
            <w:pPr>
              <w:widowControl/>
              <w:jc w:val="left"/>
              <w:rPr>
                <w:rFonts w:ascii="Arial Narrow" w:hAnsi="Arial Narrow"/>
                <w:b/>
                <w:sz w:val="20"/>
                <w:szCs w:val="20"/>
              </w:rPr>
            </w:pPr>
            <w:r w:rsidRPr="00DB4AE1">
              <w:rPr>
                <w:rFonts w:ascii="Arial Narrow" w:hAnsi="Arial Narrow"/>
                <w:b/>
                <w:sz w:val="20"/>
                <w:szCs w:val="20"/>
              </w:rPr>
              <w:t>Additional outcomes</w:t>
            </w:r>
          </w:p>
        </w:tc>
        <w:tc>
          <w:tcPr>
            <w:tcW w:w="1712" w:type="dxa"/>
            <w:gridSpan w:val="2"/>
            <w:vAlign w:val="center"/>
          </w:tcPr>
          <w:p w:rsidR="00A04915" w:rsidRPr="00DB4AE1" w:rsidRDefault="00A04915" w:rsidP="00837BC5">
            <w:pPr>
              <w:widowControl/>
              <w:jc w:val="center"/>
              <w:rPr>
                <w:rFonts w:ascii="Arial Narrow" w:hAnsi="Arial Narrow"/>
                <w:b/>
                <w:sz w:val="20"/>
                <w:szCs w:val="20"/>
              </w:rPr>
            </w:pPr>
            <w:r w:rsidRPr="00DB4AE1">
              <w:rPr>
                <w:rFonts w:ascii="Arial Narrow" w:hAnsi="Arial Narrow"/>
                <w:b/>
                <w:sz w:val="20"/>
                <w:szCs w:val="20"/>
              </w:rPr>
              <w:t>Baseline value</w:t>
            </w:r>
          </w:p>
        </w:tc>
        <w:tc>
          <w:tcPr>
            <w:tcW w:w="3429" w:type="dxa"/>
            <w:gridSpan w:val="4"/>
            <w:vAlign w:val="center"/>
          </w:tcPr>
          <w:p w:rsidR="00A04915" w:rsidRPr="00DB4AE1" w:rsidRDefault="00A04915" w:rsidP="00837BC5">
            <w:pPr>
              <w:widowControl/>
              <w:jc w:val="center"/>
              <w:rPr>
                <w:rFonts w:ascii="Arial Narrow" w:hAnsi="Arial Narrow"/>
                <w:b/>
                <w:sz w:val="20"/>
                <w:szCs w:val="20"/>
              </w:rPr>
            </w:pPr>
            <w:r w:rsidRPr="00DB4AE1">
              <w:rPr>
                <w:rFonts w:ascii="Arial Narrow" w:hAnsi="Arial Narrow"/>
                <w:b/>
                <w:sz w:val="20"/>
                <w:szCs w:val="20"/>
              </w:rPr>
              <w:t>Change from baseline</w:t>
            </w:r>
          </w:p>
        </w:tc>
      </w:tr>
      <w:tr w:rsidR="00A04915" w:rsidRPr="00DB4AE1" w:rsidTr="005E6E45">
        <w:trPr>
          <w:trHeight w:val="193"/>
        </w:trPr>
        <w:tc>
          <w:tcPr>
            <w:tcW w:w="4039" w:type="dxa"/>
            <w:vMerge/>
            <w:vAlign w:val="center"/>
          </w:tcPr>
          <w:p w:rsidR="00A04915" w:rsidRPr="00DB4AE1" w:rsidRDefault="00A04915" w:rsidP="00837BC5">
            <w:pPr>
              <w:widowControl/>
              <w:jc w:val="left"/>
              <w:rPr>
                <w:rFonts w:ascii="Arial Narrow" w:hAnsi="Arial Narrow"/>
                <w:sz w:val="20"/>
                <w:szCs w:val="20"/>
              </w:rPr>
            </w:pPr>
          </w:p>
        </w:tc>
        <w:tc>
          <w:tcPr>
            <w:tcW w:w="582" w:type="dxa"/>
            <w:vMerge w:val="restart"/>
            <w:vAlign w:val="center"/>
          </w:tcPr>
          <w:p w:rsidR="00A04915" w:rsidRPr="00DB4AE1" w:rsidRDefault="00A04915" w:rsidP="00837BC5">
            <w:pPr>
              <w:widowControl/>
              <w:jc w:val="center"/>
              <w:rPr>
                <w:rFonts w:ascii="Arial Narrow" w:hAnsi="Arial Narrow"/>
                <w:b/>
                <w:sz w:val="20"/>
                <w:szCs w:val="20"/>
              </w:rPr>
            </w:pPr>
            <w:r w:rsidRPr="00DB4AE1">
              <w:rPr>
                <w:rFonts w:ascii="Arial Narrow" w:hAnsi="Arial Narrow"/>
                <w:b/>
                <w:sz w:val="20"/>
                <w:szCs w:val="20"/>
              </w:rPr>
              <w:t>N</w:t>
            </w:r>
          </w:p>
        </w:tc>
        <w:tc>
          <w:tcPr>
            <w:tcW w:w="1130" w:type="dxa"/>
            <w:vMerge w:val="restart"/>
            <w:vAlign w:val="center"/>
          </w:tcPr>
          <w:p w:rsidR="00A04915" w:rsidRPr="00DB4AE1" w:rsidRDefault="00A04915" w:rsidP="00837BC5">
            <w:pPr>
              <w:widowControl/>
              <w:jc w:val="center"/>
              <w:rPr>
                <w:rFonts w:ascii="Arial Narrow" w:hAnsi="Arial Narrow"/>
                <w:sz w:val="20"/>
                <w:szCs w:val="20"/>
              </w:rPr>
            </w:pPr>
            <w:r w:rsidRPr="00DB4AE1">
              <w:rPr>
                <w:rFonts w:ascii="Arial Narrow" w:hAnsi="Arial Narrow"/>
                <w:b/>
                <w:sz w:val="20"/>
                <w:szCs w:val="20"/>
              </w:rPr>
              <w:t>Mean (SD)</w:t>
            </w:r>
          </w:p>
        </w:tc>
        <w:tc>
          <w:tcPr>
            <w:tcW w:w="1812" w:type="dxa"/>
            <w:gridSpan w:val="2"/>
            <w:vAlign w:val="center"/>
          </w:tcPr>
          <w:p w:rsidR="00A04915" w:rsidRPr="00DB4AE1" w:rsidRDefault="00A04915" w:rsidP="00837BC5">
            <w:pPr>
              <w:widowControl/>
              <w:jc w:val="center"/>
              <w:rPr>
                <w:rFonts w:ascii="Arial Narrow" w:hAnsi="Arial Narrow"/>
                <w:b/>
                <w:sz w:val="20"/>
                <w:szCs w:val="20"/>
              </w:rPr>
            </w:pPr>
            <w:r w:rsidRPr="00DB4AE1">
              <w:rPr>
                <w:rFonts w:ascii="Arial Narrow" w:hAnsi="Arial Narrow"/>
                <w:b/>
                <w:sz w:val="20"/>
                <w:szCs w:val="20"/>
              </w:rPr>
              <w:t>26 weeks</w:t>
            </w:r>
          </w:p>
        </w:tc>
        <w:tc>
          <w:tcPr>
            <w:tcW w:w="1617" w:type="dxa"/>
            <w:gridSpan w:val="2"/>
            <w:vAlign w:val="center"/>
          </w:tcPr>
          <w:p w:rsidR="00A04915" w:rsidRPr="00DB4AE1" w:rsidRDefault="00A04915" w:rsidP="00837BC5">
            <w:pPr>
              <w:widowControl/>
              <w:jc w:val="center"/>
              <w:rPr>
                <w:rFonts w:ascii="Arial Narrow" w:hAnsi="Arial Narrow"/>
                <w:b/>
                <w:sz w:val="20"/>
                <w:szCs w:val="20"/>
              </w:rPr>
            </w:pPr>
            <w:r w:rsidRPr="00DB4AE1">
              <w:rPr>
                <w:rFonts w:ascii="Arial Narrow" w:hAnsi="Arial Narrow"/>
                <w:b/>
                <w:sz w:val="20"/>
                <w:szCs w:val="20"/>
              </w:rPr>
              <w:t>60 weeks</w:t>
            </w:r>
          </w:p>
        </w:tc>
      </w:tr>
      <w:tr w:rsidR="00A04915" w:rsidRPr="00DB4AE1" w:rsidTr="005E6E45">
        <w:trPr>
          <w:trHeight w:val="192"/>
        </w:trPr>
        <w:tc>
          <w:tcPr>
            <w:tcW w:w="4039" w:type="dxa"/>
            <w:vMerge/>
            <w:vAlign w:val="center"/>
          </w:tcPr>
          <w:p w:rsidR="00A04915" w:rsidRPr="00DB4AE1" w:rsidRDefault="00A04915" w:rsidP="00837BC5">
            <w:pPr>
              <w:widowControl/>
              <w:jc w:val="left"/>
              <w:rPr>
                <w:rFonts w:ascii="Arial Narrow" w:hAnsi="Arial Narrow"/>
                <w:sz w:val="20"/>
                <w:szCs w:val="20"/>
              </w:rPr>
            </w:pPr>
          </w:p>
        </w:tc>
        <w:tc>
          <w:tcPr>
            <w:tcW w:w="582" w:type="dxa"/>
            <w:vMerge/>
            <w:vAlign w:val="center"/>
          </w:tcPr>
          <w:p w:rsidR="00A04915" w:rsidRPr="00DB4AE1" w:rsidRDefault="00A04915" w:rsidP="00837BC5">
            <w:pPr>
              <w:widowControl/>
              <w:jc w:val="center"/>
              <w:rPr>
                <w:rFonts w:ascii="Arial Narrow" w:hAnsi="Arial Narrow"/>
                <w:b/>
                <w:sz w:val="20"/>
                <w:szCs w:val="20"/>
              </w:rPr>
            </w:pPr>
          </w:p>
        </w:tc>
        <w:tc>
          <w:tcPr>
            <w:tcW w:w="1130" w:type="dxa"/>
            <w:vMerge/>
            <w:vAlign w:val="center"/>
          </w:tcPr>
          <w:p w:rsidR="00A04915" w:rsidRPr="00DB4AE1" w:rsidRDefault="00A04915" w:rsidP="00837BC5">
            <w:pPr>
              <w:widowControl/>
              <w:jc w:val="center"/>
              <w:rPr>
                <w:rFonts w:ascii="Arial Narrow" w:hAnsi="Arial Narrow"/>
                <w:b/>
                <w:sz w:val="20"/>
                <w:szCs w:val="20"/>
              </w:rPr>
            </w:pPr>
          </w:p>
        </w:tc>
        <w:tc>
          <w:tcPr>
            <w:tcW w:w="685" w:type="dxa"/>
            <w:vAlign w:val="center"/>
          </w:tcPr>
          <w:p w:rsidR="00A04915" w:rsidRPr="00DB4AE1" w:rsidRDefault="00A04915" w:rsidP="00837BC5">
            <w:pPr>
              <w:widowControl/>
              <w:jc w:val="center"/>
              <w:rPr>
                <w:rFonts w:ascii="Arial Narrow" w:hAnsi="Arial Narrow"/>
                <w:b/>
                <w:sz w:val="20"/>
                <w:szCs w:val="20"/>
              </w:rPr>
            </w:pPr>
            <w:r w:rsidRPr="00DB4AE1">
              <w:rPr>
                <w:rFonts w:ascii="Arial Narrow" w:hAnsi="Arial Narrow"/>
                <w:b/>
                <w:sz w:val="20"/>
                <w:szCs w:val="20"/>
              </w:rPr>
              <w:t>N</w:t>
            </w:r>
          </w:p>
        </w:tc>
        <w:tc>
          <w:tcPr>
            <w:tcW w:w="1127" w:type="dxa"/>
            <w:vAlign w:val="center"/>
          </w:tcPr>
          <w:p w:rsidR="00A04915" w:rsidRPr="00DB4AE1" w:rsidRDefault="00A04915" w:rsidP="00837BC5">
            <w:pPr>
              <w:widowControl/>
              <w:jc w:val="center"/>
              <w:rPr>
                <w:rFonts w:ascii="Arial Narrow" w:hAnsi="Arial Narrow"/>
                <w:b/>
                <w:sz w:val="20"/>
                <w:szCs w:val="20"/>
              </w:rPr>
            </w:pPr>
            <w:r w:rsidRPr="00DB4AE1">
              <w:rPr>
                <w:rFonts w:ascii="Arial Narrow" w:hAnsi="Arial Narrow"/>
                <w:b/>
                <w:sz w:val="20"/>
                <w:szCs w:val="20"/>
              </w:rPr>
              <w:t>Mean (SD)</w:t>
            </w:r>
          </w:p>
        </w:tc>
        <w:tc>
          <w:tcPr>
            <w:tcW w:w="490" w:type="dxa"/>
            <w:vAlign w:val="center"/>
          </w:tcPr>
          <w:p w:rsidR="00A04915" w:rsidRPr="00DB4AE1" w:rsidRDefault="00A04915" w:rsidP="00837BC5">
            <w:pPr>
              <w:widowControl/>
              <w:jc w:val="center"/>
              <w:rPr>
                <w:rFonts w:ascii="Arial Narrow" w:hAnsi="Arial Narrow"/>
                <w:b/>
                <w:sz w:val="20"/>
                <w:szCs w:val="20"/>
              </w:rPr>
            </w:pPr>
            <w:r w:rsidRPr="00DB4AE1">
              <w:rPr>
                <w:rFonts w:ascii="Arial Narrow" w:hAnsi="Arial Narrow"/>
                <w:b/>
                <w:sz w:val="20"/>
                <w:szCs w:val="20"/>
              </w:rPr>
              <w:t>N</w:t>
            </w:r>
          </w:p>
        </w:tc>
        <w:tc>
          <w:tcPr>
            <w:tcW w:w="1127" w:type="dxa"/>
            <w:vAlign w:val="center"/>
          </w:tcPr>
          <w:p w:rsidR="00A04915" w:rsidRPr="00DB4AE1" w:rsidRDefault="00A04915" w:rsidP="00837BC5">
            <w:pPr>
              <w:widowControl/>
              <w:jc w:val="center"/>
              <w:rPr>
                <w:rFonts w:ascii="Arial Narrow" w:hAnsi="Arial Narrow"/>
                <w:b/>
                <w:sz w:val="20"/>
                <w:szCs w:val="20"/>
              </w:rPr>
            </w:pPr>
            <w:r w:rsidRPr="00DB4AE1">
              <w:rPr>
                <w:rFonts w:ascii="Arial Narrow" w:hAnsi="Arial Narrow"/>
                <w:b/>
                <w:sz w:val="20"/>
                <w:szCs w:val="20"/>
              </w:rPr>
              <w:t>Mean (SD)</w:t>
            </w:r>
          </w:p>
        </w:tc>
      </w:tr>
      <w:tr w:rsidR="00A04915" w:rsidRPr="00DB4AE1" w:rsidTr="005E6E45">
        <w:tc>
          <w:tcPr>
            <w:tcW w:w="9180" w:type="dxa"/>
            <w:gridSpan w:val="7"/>
            <w:vAlign w:val="center"/>
          </w:tcPr>
          <w:p w:rsidR="00A04915" w:rsidRPr="00DB4AE1" w:rsidRDefault="00A04915" w:rsidP="00837BC5">
            <w:pPr>
              <w:widowControl/>
              <w:jc w:val="left"/>
              <w:rPr>
                <w:rFonts w:ascii="Arial Narrow" w:hAnsi="Arial Narrow"/>
                <w:b/>
                <w:sz w:val="20"/>
                <w:szCs w:val="20"/>
              </w:rPr>
            </w:pPr>
            <w:r w:rsidRPr="00DB4AE1">
              <w:rPr>
                <w:rFonts w:ascii="Arial Narrow" w:hAnsi="Arial Narrow"/>
                <w:b/>
                <w:sz w:val="20"/>
                <w:szCs w:val="20"/>
              </w:rPr>
              <w:t>Headache frequency</w:t>
            </w:r>
          </w:p>
        </w:tc>
      </w:tr>
      <w:tr w:rsidR="00A04915" w:rsidRPr="00DB4AE1" w:rsidTr="005E6E45">
        <w:tc>
          <w:tcPr>
            <w:tcW w:w="4039" w:type="dxa"/>
            <w:vAlign w:val="center"/>
          </w:tcPr>
          <w:p w:rsidR="00A04915" w:rsidRPr="00DB4AE1" w:rsidRDefault="00A04915" w:rsidP="00837BC5">
            <w:pPr>
              <w:widowControl/>
              <w:jc w:val="left"/>
              <w:rPr>
                <w:rFonts w:ascii="Arial Narrow" w:hAnsi="Arial Narrow"/>
                <w:sz w:val="20"/>
                <w:szCs w:val="20"/>
              </w:rPr>
            </w:pPr>
            <w:r w:rsidRPr="00DB4AE1">
              <w:rPr>
                <w:rFonts w:ascii="Arial Narrow" w:hAnsi="Arial Narrow"/>
                <w:sz w:val="20"/>
                <w:szCs w:val="20"/>
              </w:rPr>
              <w:t xml:space="preserve">Reduction in </w:t>
            </w:r>
            <w:r w:rsidR="006C5D9B" w:rsidRPr="00DB4AE1">
              <w:rPr>
                <w:rFonts w:ascii="Arial Narrow" w:hAnsi="Arial Narrow"/>
                <w:sz w:val="20"/>
                <w:szCs w:val="20"/>
              </w:rPr>
              <w:t xml:space="preserve">number of </w:t>
            </w:r>
            <w:r w:rsidRPr="00DB4AE1">
              <w:rPr>
                <w:rFonts w:ascii="Arial Narrow" w:hAnsi="Arial Narrow"/>
                <w:sz w:val="20"/>
                <w:szCs w:val="20"/>
              </w:rPr>
              <w:t xml:space="preserve">headache days per month </w:t>
            </w:r>
          </w:p>
        </w:tc>
        <w:tc>
          <w:tcPr>
            <w:tcW w:w="582" w:type="dxa"/>
            <w:vAlign w:val="center"/>
          </w:tcPr>
          <w:p w:rsidR="00A04915" w:rsidRPr="00EB7CD5" w:rsidRDefault="00534F9F" w:rsidP="00837BC5">
            <w:pPr>
              <w:widowControl/>
              <w:jc w:val="center"/>
              <w:rPr>
                <w:rFonts w:ascii="Arial Narrow" w:hAnsi="Arial Narrow"/>
                <w:sz w:val="20"/>
                <w:szCs w:val="20"/>
              </w:rPr>
            </w:pPr>
            <w:r w:rsidRPr="00EB7CD5">
              <w:rPr>
                <w:rFonts w:ascii="Arial Narrow" w:hAnsi="Arial Narrow"/>
                <w:sz w:val="20"/>
                <w:szCs w:val="20"/>
              </w:rPr>
              <w:t>211</w:t>
            </w:r>
          </w:p>
        </w:tc>
        <w:tc>
          <w:tcPr>
            <w:tcW w:w="1130" w:type="dxa"/>
            <w:vAlign w:val="center"/>
          </w:tcPr>
          <w:p w:rsidR="00A04915" w:rsidRPr="00EB7CD5" w:rsidRDefault="00EB7CD5" w:rsidP="00837BC5">
            <w:pPr>
              <w:widowControl/>
              <w:jc w:val="center"/>
              <w:rPr>
                <w:rFonts w:ascii="Arial Narrow" w:hAnsi="Arial Narrow"/>
                <w:sz w:val="20"/>
                <w:szCs w:val="20"/>
              </w:rPr>
            </w:pPr>
            <w:r>
              <w:rPr>
                <w:rFonts w:ascii="Arial Narrow" w:hAnsi="Arial Narrow"/>
                <w:sz w:val="20"/>
                <w:szCs w:val="20"/>
              </w:rPr>
              <w:t>2</w:t>
            </w:r>
            <w:r w:rsidR="00534F9F" w:rsidRPr="00EB7CD5">
              <w:rPr>
                <w:rFonts w:ascii="Arial Narrow" w:hAnsi="Arial Narrow"/>
                <w:sz w:val="20"/>
                <w:szCs w:val="20"/>
              </w:rPr>
              <w:t>5.2 (5.3)</w:t>
            </w:r>
          </w:p>
        </w:tc>
        <w:tc>
          <w:tcPr>
            <w:tcW w:w="685" w:type="dxa"/>
            <w:vAlign w:val="center"/>
          </w:tcPr>
          <w:p w:rsidR="00A04915" w:rsidRPr="00EB7CD5" w:rsidRDefault="00534F9F" w:rsidP="00837BC5">
            <w:pPr>
              <w:widowControl/>
              <w:jc w:val="center"/>
              <w:rPr>
                <w:rFonts w:ascii="Arial Narrow" w:hAnsi="Arial Narrow"/>
                <w:sz w:val="20"/>
                <w:szCs w:val="20"/>
              </w:rPr>
            </w:pPr>
            <w:r w:rsidRPr="00EB7CD5">
              <w:rPr>
                <w:rFonts w:ascii="Arial Narrow" w:hAnsi="Arial Narrow"/>
                <w:sz w:val="20"/>
                <w:szCs w:val="20"/>
              </w:rPr>
              <w:t>211</w:t>
            </w:r>
          </w:p>
        </w:tc>
        <w:tc>
          <w:tcPr>
            <w:tcW w:w="1127" w:type="dxa"/>
            <w:vAlign w:val="center"/>
          </w:tcPr>
          <w:p w:rsidR="00A04915" w:rsidRPr="00EB7CD5" w:rsidRDefault="00A04915" w:rsidP="00837BC5">
            <w:pPr>
              <w:widowControl/>
              <w:jc w:val="center"/>
              <w:rPr>
                <w:rFonts w:ascii="Arial Narrow" w:hAnsi="Arial Narrow"/>
                <w:sz w:val="20"/>
                <w:szCs w:val="20"/>
              </w:rPr>
            </w:pPr>
            <w:r w:rsidRPr="00EB7CD5">
              <w:rPr>
                <w:rFonts w:ascii="Arial Narrow" w:hAnsi="Arial Narrow"/>
                <w:sz w:val="20"/>
                <w:szCs w:val="20"/>
              </w:rPr>
              <w:t>-14.7 (8.4)</w:t>
            </w:r>
          </w:p>
        </w:tc>
        <w:tc>
          <w:tcPr>
            <w:tcW w:w="490" w:type="dxa"/>
            <w:vAlign w:val="center"/>
          </w:tcPr>
          <w:p w:rsidR="00A04915" w:rsidRPr="00EB7CD5" w:rsidRDefault="009071C2" w:rsidP="00837BC5">
            <w:pPr>
              <w:widowControl/>
              <w:jc w:val="center"/>
              <w:rPr>
                <w:rFonts w:ascii="Arial Narrow" w:hAnsi="Arial Narrow"/>
                <w:sz w:val="20"/>
                <w:szCs w:val="20"/>
              </w:rPr>
            </w:pPr>
            <w:r w:rsidRPr="00EB7CD5">
              <w:rPr>
                <w:rFonts w:ascii="Arial Narrow" w:hAnsi="Arial Narrow"/>
                <w:sz w:val="20"/>
                <w:szCs w:val="20"/>
              </w:rPr>
              <w:t>137</w:t>
            </w:r>
          </w:p>
        </w:tc>
        <w:tc>
          <w:tcPr>
            <w:tcW w:w="1127" w:type="dxa"/>
            <w:vAlign w:val="center"/>
          </w:tcPr>
          <w:p w:rsidR="00A04915" w:rsidRPr="00EB7CD5" w:rsidRDefault="00A04915" w:rsidP="00837BC5">
            <w:pPr>
              <w:widowControl/>
              <w:jc w:val="center"/>
              <w:rPr>
                <w:rFonts w:ascii="Arial Narrow" w:hAnsi="Arial Narrow"/>
                <w:sz w:val="20"/>
                <w:szCs w:val="20"/>
              </w:rPr>
            </w:pPr>
            <w:r w:rsidRPr="00EB7CD5">
              <w:rPr>
                <w:rFonts w:ascii="Arial Narrow" w:hAnsi="Arial Narrow"/>
                <w:sz w:val="20"/>
                <w:szCs w:val="20"/>
              </w:rPr>
              <w:t>-16.9 (9.0)</w:t>
            </w:r>
          </w:p>
        </w:tc>
      </w:tr>
      <w:tr w:rsidR="00A04915" w:rsidRPr="00DB4AE1" w:rsidTr="005E6E45">
        <w:tc>
          <w:tcPr>
            <w:tcW w:w="4039" w:type="dxa"/>
            <w:vAlign w:val="center"/>
          </w:tcPr>
          <w:p w:rsidR="00A04915" w:rsidRPr="00DB4AE1" w:rsidRDefault="00A04915" w:rsidP="00837BC5">
            <w:pPr>
              <w:widowControl/>
              <w:jc w:val="left"/>
              <w:rPr>
                <w:rFonts w:ascii="Arial Narrow" w:hAnsi="Arial Narrow"/>
                <w:sz w:val="20"/>
                <w:szCs w:val="20"/>
              </w:rPr>
            </w:pPr>
            <w:r w:rsidRPr="00DB4AE1">
              <w:rPr>
                <w:rFonts w:ascii="Arial Narrow" w:hAnsi="Arial Narrow"/>
                <w:sz w:val="20"/>
                <w:szCs w:val="20"/>
              </w:rPr>
              <w:t xml:space="preserve">Reduction in </w:t>
            </w:r>
            <w:r w:rsidR="006C5D9B" w:rsidRPr="00DB4AE1">
              <w:rPr>
                <w:rFonts w:ascii="Arial Narrow" w:hAnsi="Arial Narrow"/>
                <w:sz w:val="20"/>
                <w:szCs w:val="20"/>
              </w:rPr>
              <w:t xml:space="preserve">number of </w:t>
            </w:r>
            <w:r w:rsidRPr="00DB4AE1">
              <w:rPr>
                <w:rFonts w:ascii="Arial Narrow" w:hAnsi="Arial Narrow"/>
                <w:sz w:val="20"/>
                <w:szCs w:val="20"/>
              </w:rPr>
              <w:t xml:space="preserve">severe headache days per month </w:t>
            </w:r>
          </w:p>
        </w:tc>
        <w:tc>
          <w:tcPr>
            <w:tcW w:w="582" w:type="dxa"/>
            <w:vAlign w:val="center"/>
          </w:tcPr>
          <w:p w:rsidR="00A04915" w:rsidRPr="00EB7CD5" w:rsidRDefault="00534F9F" w:rsidP="00837BC5">
            <w:pPr>
              <w:widowControl/>
              <w:jc w:val="center"/>
              <w:rPr>
                <w:rFonts w:ascii="Arial Narrow" w:hAnsi="Arial Narrow"/>
                <w:sz w:val="20"/>
                <w:szCs w:val="20"/>
              </w:rPr>
            </w:pPr>
            <w:r w:rsidRPr="00EB7CD5">
              <w:rPr>
                <w:rFonts w:ascii="Arial Narrow" w:hAnsi="Arial Narrow"/>
                <w:sz w:val="20"/>
                <w:szCs w:val="20"/>
              </w:rPr>
              <w:t>111</w:t>
            </w:r>
          </w:p>
        </w:tc>
        <w:tc>
          <w:tcPr>
            <w:tcW w:w="1130" w:type="dxa"/>
            <w:vAlign w:val="center"/>
          </w:tcPr>
          <w:p w:rsidR="00A04915" w:rsidRPr="00EB7CD5" w:rsidRDefault="00534F9F" w:rsidP="00837BC5">
            <w:pPr>
              <w:widowControl/>
              <w:jc w:val="center"/>
              <w:rPr>
                <w:rFonts w:ascii="Arial Narrow" w:hAnsi="Arial Narrow"/>
                <w:sz w:val="20"/>
                <w:szCs w:val="20"/>
              </w:rPr>
            </w:pPr>
            <w:r w:rsidRPr="00EB7CD5">
              <w:rPr>
                <w:rFonts w:ascii="Arial Narrow" w:hAnsi="Arial Narrow"/>
                <w:sz w:val="20"/>
                <w:szCs w:val="20"/>
              </w:rPr>
              <w:t>12.0 (7.0)</w:t>
            </w:r>
          </w:p>
        </w:tc>
        <w:tc>
          <w:tcPr>
            <w:tcW w:w="685" w:type="dxa"/>
            <w:vAlign w:val="center"/>
          </w:tcPr>
          <w:p w:rsidR="00A04915" w:rsidRPr="00EB7CD5" w:rsidRDefault="00A04915" w:rsidP="00837BC5">
            <w:pPr>
              <w:widowControl/>
              <w:jc w:val="center"/>
              <w:rPr>
                <w:rFonts w:ascii="Arial Narrow" w:hAnsi="Arial Narrow"/>
                <w:sz w:val="20"/>
                <w:szCs w:val="20"/>
              </w:rPr>
            </w:pPr>
            <w:r w:rsidRPr="00EB7CD5">
              <w:rPr>
                <w:rFonts w:ascii="Arial Narrow" w:hAnsi="Arial Narrow"/>
                <w:sz w:val="20"/>
                <w:szCs w:val="20"/>
              </w:rPr>
              <w:t>105</w:t>
            </w:r>
          </w:p>
        </w:tc>
        <w:tc>
          <w:tcPr>
            <w:tcW w:w="1127" w:type="dxa"/>
            <w:vAlign w:val="center"/>
          </w:tcPr>
          <w:p w:rsidR="00A04915" w:rsidRPr="00EB7CD5" w:rsidRDefault="00A04915" w:rsidP="00837BC5">
            <w:pPr>
              <w:widowControl/>
              <w:jc w:val="center"/>
              <w:rPr>
                <w:rFonts w:ascii="Arial Narrow" w:hAnsi="Arial Narrow"/>
                <w:sz w:val="20"/>
                <w:szCs w:val="20"/>
              </w:rPr>
            </w:pPr>
            <w:r w:rsidRPr="00EB7CD5">
              <w:rPr>
                <w:rFonts w:ascii="Arial Narrow" w:hAnsi="Arial Narrow"/>
                <w:sz w:val="20"/>
                <w:szCs w:val="20"/>
              </w:rPr>
              <w:t>-8.2 (6.8)</w:t>
            </w:r>
          </w:p>
        </w:tc>
        <w:tc>
          <w:tcPr>
            <w:tcW w:w="490" w:type="dxa"/>
            <w:vAlign w:val="center"/>
          </w:tcPr>
          <w:p w:rsidR="00A04915" w:rsidRPr="00EB7CD5" w:rsidRDefault="00A04915" w:rsidP="00837BC5">
            <w:pPr>
              <w:widowControl/>
              <w:jc w:val="center"/>
              <w:rPr>
                <w:rFonts w:ascii="Arial Narrow" w:hAnsi="Arial Narrow"/>
                <w:sz w:val="20"/>
                <w:szCs w:val="20"/>
              </w:rPr>
            </w:pPr>
            <w:r w:rsidRPr="00EB7CD5">
              <w:rPr>
                <w:rFonts w:ascii="Arial Narrow" w:hAnsi="Arial Narrow"/>
                <w:sz w:val="20"/>
                <w:szCs w:val="20"/>
              </w:rPr>
              <w:t>59</w:t>
            </w:r>
          </w:p>
        </w:tc>
        <w:tc>
          <w:tcPr>
            <w:tcW w:w="1127" w:type="dxa"/>
            <w:vAlign w:val="center"/>
          </w:tcPr>
          <w:p w:rsidR="00A04915" w:rsidRPr="00EB7CD5" w:rsidRDefault="00A04915" w:rsidP="00837BC5">
            <w:pPr>
              <w:widowControl/>
              <w:jc w:val="center"/>
              <w:rPr>
                <w:rFonts w:ascii="Arial Narrow" w:hAnsi="Arial Narrow"/>
                <w:sz w:val="20"/>
                <w:szCs w:val="20"/>
              </w:rPr>
            </w:pPr>
            <w:r w:rsidRPr="00EB7CD5">
              <w:rPr>
                <w:rFonts w:ascii="Arial Narrow" w:hAnsi="Arial Narrow"/>
                <w:sz w:val="20"/>
                <w:szCs w:val="20"/>
              </w:rPr>
              <w:t>-8.5 (8.4)</w:t>
            </w:r>
          </w:p>
        </w:tc>
      </w:tr>
      <w:tr w:rsidR="00A04915" w:rsidRPr="00DB4AE1" w:rsidTr="005E6E45">
        <w:tc>
          <w:tcPr>
            <w:tcW w:w="4039" w:type="dxa"/>
            <w:vAlign w:val="center"/>
          </w:tcPr>
          <w:p w:rsidR="00A04915" w:rsidRPr="00DB4AE1" w:rsidRDefault="00A04915" w:rsidP="00837BC5">
            <w:pPr>
              <w:widowControl/>
              <w:jc w:val="left"/>
              <w:rPr>
                <w:rFonts w:ascii="Arial Narrow" w:hAnsi="Arial Narrow"/>
                <w:sz w:val="20"/>
                <w:szCs w:val="20"/>
              </w:rPr>
            </w:pPr>
            <w:r w:rsidRPr="00DB4AE1">
              <w:rPr>
                <w:rFonts w:ascii="Arial Narrow" w:hAnsi="Arial Narrow"/>
                <w:sz w:val="20"/>
                <w:szCs w:val="20"/>
              </w:rPr>
              <w:t xml:space="preserve">Reduction in </w:t>
            </w:r>
            <w:r w:rsidR="006C5D9B" w:rsidRPr="00DB4AE1">
              <w:rPr>
                <w:rFonts w:ascii="Arial Narrow" w:hAnsi="Arial Narrow"/>
                <w:sz w:val="20"/>
                <w:szCs w:val="20"/>
              </w:rPr>
              <w:t xml:space="preserve">number of </w:t>
            </w:r>
            <w:r w:rsidRPr="00DB4AE1">
              <w:rPr>
                <w:rFonts w:ascii="Arial Narrow" w:hAnsi="Arial Narrow"/>
                <w:sz w:val="20"/>
                <w:szCs w:val="20"/>
              </w:rPr>
              <w:t xml:space="preserve">migraine days per month </w:t>
            </w:r>
          </w:p>
        </w:tc>
        <w:tc>
          <w:tcPr>
            <w:tcW w:w="582" w:type="dxa"/>
            <w:vAlign w:val="center"/>
          </w:tcPr>
          <w:p w:rsidR="00A04915" w:rsidRPr="00EB7CD5" w:rsidRDefault="00534F9F" w:rsidP="00837BC5">
            <w:pPr>
              <w:widowControl/>
              <w:jc w:val="center"/>
              <w:rPr>
                <w:rFonts w:ascii="Arial Narrow" w:hAnsi="Arial Narrow"/>
                <w:sz w:val="20"/>
                <w:szCs w:val="20"/>
              </w:rPr>
            </w:pPr>
            <w:r w:rsidRPr="00EB7CD5">
              <w:rPr>
                <w:rFonts w:ascii="Arial Narrow" w:hAnsi="Arial Narrow"/>
                <w:sz w:val="20"/>
                <w:szCs w:val="20"/>
              </w:rPr>
              <w:t>197</w:t>
            </w:r>
          </w:p>
        </w:tc>
        <w:tc>
          <w:tcPr>
            <w:tcW w:w="1130" w:type="dxa"/>
            <w:vAlign w:val="center"/>
          </w:tcPr>
          <w:p w:rsidR="00A04915" w:rsidRPr="00EB7CD5" w:rsidRDefault="00534F9F" w:rsidP="00837BC5">
            <w:pPr>
              <w:widowControl/>
              <w:jc w:val="center"/>
              <w:rPr>
                <w:rFonts w:ascii="Arial Narrow" w:hAnsi="Arial Narrow"/>
                <w:sz w:val="20"/>
                <w:szCs w:val="20"/>
              </w:rPr>
            </w:pPr>
            <w:r w:rsidRPr="00EB7CD5">
              <w:rPr>
                <w:rFonts w:ascii="Arial Narrow" w:hAnsi="Arial Narrow"/>
                <w:sz w:val="20"/>
                <w:szCs w:val="20"/>
              </w:rPr>
              <w:t>15.3 (7.9)</w:t>
            </w:r>
          </w:p>
        </w:tc>
        <w:tc>
          <w:tcPr>
            <w:tcW w:w="685" w:type="dxa"/>
            <w:vAlign w:val="center"/>
          </w:tcPr>
          <w:p w:rsidR="00A04915" w:rsidRPr="00EB7CD5" w:rsidRDefault="00A04915" w:rsidP="00837BC5">
            <w:pPr>
              <w:widowControl/>
              <w:jc w:val="center"/>
              <w:rPr>
                <w:rFonts w:ascii="Arial Narrow" w:hAnsi="Arial Narrow"/>
                <w:sz w:val="20"/>
                <w:szCs w:val="20"/>
              </w:rPr>
            </w:pPr>
            <w:r w:rsidRPr="00EB7CD5">
              <w:rPr>
                <w:rFonts w:ascii="Arial Narrow" w:hAnsi="Arial Narrow"/>
                <w:sz w:val="20"/>
                <w:szCs w:val="20"/>
              </w:rPr>
              <w:t>189</w:t>
            </w:r>
          </w:p>
        </w:tc>
        <w:tc>
          <w:tcPr>
            <w:tcW w:w="1127" w:type="dxa"/>
            <w:vAlign w:val="center"/>
          </w:tcPr>
          <w:p w:rsidR="00A04915" w:rsidRPr="00EB7CD5" w:rsidRDefault="00A04915" w:rsidP="00837BC5">
            <w:pPr>
              <w:widowControl/>
              <w:jc w:val="center"/>
              <w:rPr>
                <w:rFonts w:ascii="Arial Narrow" w:hAnsi="Arial Narrow"/>
                <w:sz w:val="20"/>
                <w:szCs w:val="20"/>
              </w:rPr>
            </w:pPr>
            <w:r w:rsidRPr="00EB7CD5">
              <w:rPr>
                <w:rFonts w:ascii="Arial Narrow" w:hAnsi="Arial Narrow"/>
                <w:sz w:val="20"/>
                <w:szCs w:val="20"/>
              </w:rPr>
              <w:t>-9.4 (7.6)</w:t>
            </w:r>
          </w:p>
        </w:tc>
        <w:tc>
          <w:tcPr>
            <w:tcW w:w="490" w:type="dxa"/>
            <w:vAlign w:val="center"/>
          </w:tcPr>
          <w:p w:rsidR="00A04915" w:rsidRPr="00EB7CD5" w:rsidRDefault="00A04915" w:rsidP="00837BC5">
            <w:pPr>
              <w:widowControl/>
              <w:jc w:val="center"/>
              <w:rPr>
                <w:rFonts w:ascii="Arial Narrow" w:hAnsi="Arial Narrow"/>
                <w:sz w:val="20"/>
                <w:szCs w:val="20"/>
              </w:rPr>
            </w:pPr>
            <w:r w:rsidRPr="00EB7CD5">
              <w:rPr>
                <w:rFonts w:ascii="Arial Narrow" w:hAnsi="Arial Narrow"/>
                <w:sz w:val="20"/>
                <w:szCs w:val="20"/>
              </w:rPr>
              <w:t>129</w:t>
            </w:r>
          </w:p>
        </w:tc>
        <w:tc>
          <w:tcPr>
            <w:tcW w:w="1127" w:type="dxa"/>
            <w:vAlign w:val="center"/>
          </w:tcPr>
          <w:p w:rsidR="00A04915" w:rsidRPr="00EB7CD5" w:rsidRDefault="00A04915" w:rsidP="00837BC5">
            <w:pPr>
              <w:widowControl/>
              <w:jc w:val="center"/>
              <w:rPr>
                <w:rFonts w:ascii="Arial Narrow" w:hAnsi="Arial Narrow"/>
                <w:sz w:val="20"/>
                <w:szCs w:val="20"/>
              </w:rPr>
            </w:pPr>
            <w:r w:rsidRPr="00EB7CD5">
              <w:rPr>
                <w:rFonts w:ascii="Arial Narrow" w:hAnsi="Arial Narrow"/>
                <w:sz w:val="20"/>
                <w:szCs w:val="20"/>
              </w:rPr>
              <w:t>-10.0 (8.4)</w:t>
            </w:r>
          </w:p>
        </w:tc>
      </w:tr>
      <w:tr w:rsidR="00A04915" w:rsidRPr="00DB4AE1" w:rsidTr="005E6E45">
        <w:tc>
          <w:tcPr>
            <w:tcW w:w="9180" w:type="dxa"/>
            <w:gridSpan w:val="7"/>
            <w:vAlign w:val="center"/>
          </w:tcPr>
          <w:p w:rsidR="00A04915" w:rsidRPr="00EB7CD5" w:rsidRDefault="00A04915" w:rsidP="00837BC5">
            <w:pPr>
              <w:widowControl/>
              <w:jc w:val="left"/>
              <w:rPr>
                <w:rFonts w:ascii="Arial Narrow" w:hAnsi="Arial Narrow"/>
                <w:b/>
                <w:sz w:val="20"/>
                <w:szCs w:val="20"/>
              </w:rPr>
            </w:pPr>
            <w:r w:rsidRPr="00EB7CD5">
              <w:rPr>
                <w:rFonts w:ascii="Arial Narrow" w:hAnsi="Arial Narrow"/>
                <w:b/>
                <w:sz w:val="20"/>
                <w:szCs w:val="20"/>
              </w:rPr>
              <w:t>Headache impact</w:t>
            </w:r>
          </w:p>
        </w:tc>
      </w:tr>
      <w:tr w:rsidR="00A04915" w:rsidRPr="00DB4AE1" w:rsidTr="005E6E45">
        <w:tc>
          <w:tcPr>
            <w:tcW w:w="4039" w:type="dxa"/>
            <w:vAlign w:val="center"/>
          </w:tcPr>
          <w:p w:rsidR="00A04915" w:rsidRPr="00DB4AE1" w:rsidRDefault="00A04915" w:rsidP="00837BC5">
            <w:pPr>
              <w:widowControl/>
              <w:jc w:val="left"/>
              <w:rPr>
                <w:rFonts w:ascii="Arial Narrow" w:hAnsi="Arial Narrow"/>
                <w:sz w:val="20"/>
                <w:szCs w:val="20"/>
              </w:rPr>
            </w:pPr>
            <w:r w:rsidRPr="00DB4AE1">
              <w:rPr>
                <w:rFonts w:ascii="Arial Narrow" w:hAnsi="Arial Narrow"/>
                <w:sz w:val="20"/>
                <w:szCs w:val="20"/>
              </w:rPr>
              <w:t xml:space="preserve">Reduction in HIT-6 score </w:t>
            </w:r>
          </w:p>
        </w:tc>
        <w:tc>
          <w:tcPr>
            <w:tcW w:w="582" w:type="dxa"/>
            <w:vAlign w:val="center"/>
          </w:tcPr>
          <w:p w:rsidR="00A04915" w:rsidRPr="00EB7CD5" w:rsidRDefault="00A04915" w:rsidP="00837BC5">
            <w:pPr>
              <w:widowControl/>
              <w:jc w:val="center"/>
              <w:rPr>
                <w:rFonts w:ascii="Arial Narrow" w:hAnsi="Arial Narrow"/>
                <w:sz w:val="20"/>
                <w:szCs w:val="20"/>
              </w:rPr>
            </w:pPr>
            <w:r w:rsidRPr="00EB7CD5">
              <w:rPr>
                <w:rFonts w:ascii="Arial Narrow" w:hAnsi="Arial Narrow"/>
                <w:sz w:val="20"/>
                <w:szCs w:val="20"/>
              </w:rPr>
              <w:t>100</w:t>
            </w:r>
          </w:p>
        </w:tc>
        <w:tc>
          <w:tcPr>
            <w:tcW w:w="1130" w:type="dxa"/>
            <w:vAlign w:val="center"/>
          </w:tcPr>
          <w:p w:rsidR="00A04915" w:rsidRPr="00EB7CD5" w:rsidRDefault="00A04915" w:rsidP="00837BC5">
            <w:pPr>
              <w:widowControl/>
              <w:jc w:val="center"/>
              <w:rPr>
                <w:rFonts w:ascii="Arial Narrow" w:hAnsi="Arial Narrow"/>
                <w:sz w:val="20"/>
                <w:szCs w:val="20"/>
              </w:rPr>
            </w:pPr>
            <w:r w:rsidRPr="00EB7CD5">
              <w:rPr>
                <w:rFonts w:ascii="Arial Narrow" w:hAnsi="Arial Narrow"/>
                <w:sz w:val="20"/>
                <w:szCs w:val="20"/>
              </w:rPr>
              <w:t>68.2 (4.8)</w:t>
            </w:r>
          </w:p>
        </w:tc>
        <w:tc>
          <w:tcPr>
            <w:tcW w:w="685" w:type="dxa"/>
            <w:vAlign w:val="center"/>
          </w:tcPr>
          <w:p w:rsidR="00A04915" w:rsidRPr="00EB7CD5" w:rsidRDefault="00A04915" w:rsidP="00837BC5">
            <w:pPr>
              <w:widowControl/>
              <w:jc w:val="center"/>
              <w:rPr>
                <w:rFonts w:ascii="Arial Narrow" w:hAnsi="Arial Narrow"/>
                <w:sz w:val="20"/>
                <w:szCs w:val="20"/>
              </w:rPr>
            </w:pPr>
            <w:r w:rsidRPr="00EB7CD5">
              <w:rPr>
                <w:rFonts w:ascii="Arial Narrow" w:hAnsi="Arial Narrow"/>
                <w:sz w:val="20"/>
                <w:szCs w:val="20"/>
              </w:rPr>
              <w:t>80</w:t>
            </w:r>
          </w:p>
        </w:tc>
        <w:tc>
          <w:tcPr>
            <w:tcW w:w="1127" w:type="dxa"/>
            <w:vAlign w:val="center"/>
          </w:tcPr>
          <w:p w:rsidR="00A04915" w:rsidRPr="00EB7CD5" w:rsidRDefault="00A04915" w:rsidP="00837BC5">
            <w:pPr>
              <w:widowControl/>
              <w:jc w:val="center"/>
              <w:rPr>
                <w:rFonts w:ascii="Arial Narrow" w:hAnsi="Arial Narrow"/>
                <w:sz w:val="20"/>
                <w:szCs w:val="20"/>
              </w:rPr>
            </w:pPr>
            <w:r w:rsidRPr="00EB7CD5">
              <w:rPr>
                <w:rFonts w:ascii="Arial Narrow" w:hAnsi="Arial Narrow"/>
                <w:sz w:val="20"/>
                <w:szCs w:val="20"/>
              </w:rPr>
              <w:t>-11.7 (9.8)</w:t>
            </w:r>
          </w:p>
        </w:tc>
        <w:tc>
          <w:tcPr>
            <w:tcW w:w="490" w:type="dxa"/>
            <w:vAlign w:val="center"/>
          </w:tcPr>
          <w:p w:rsidR="00A04915" w:rsidRPr="00EB7CD5" w:rsidRDefault="00A04915" w:rsidP="00837BC5">
            <w:pPr>
              <w:widowControl/>
              <w:jc w:val="center"/>
              <w:rPr>
                <w:rFonts w:ascii="Arial Narrow" w:hAnsi="Arial Narrow"/>
                <w:sz w:val="20"/>
                <w:szCs w:val="20"/>
              </w:rPr>
            </w:pPr>
            <w:r w:rsidRPr="00EB7CD5">
              <w:rPr>
                <w:rFonts w:ascii="Arial Narrow" w:hAnsi="Arial Narrow"/>
                <w:sz w:val="20"/>
                <w:szCs w:val="20"/>
              </w:rPr>
              <w:t>68</w:t>
            </w:r>
          </w:p>
        </w:tc>
        <w:tc>
          <w:tcPr>
            <w:tcW w:w="1127" w:type="dxa"/>
            <w:vAlign w:val="center"/>
          </w:tcPr>
          <w:p w:rsidR="00A04915" w:rsidRPr="00EB7CD5" w:rsidRDefault="00A04915" w:rsidP="00837BC5">
            <w:pPr>
              <w:widowControl/>
              <w:jc w:val="center"/>
              <w:rPr>
                <w:rFonts w:ascii="Arial Narrow" w:hAnsi="Arial Narrow"/>
                <w:sz w:val="20"/>
                <w:szCs w:val="20"/>
              </w:rPr>
            </w:pPr>
            <w:r w:rsidRPr="00EB7CD5">
              <w:rPr>
                <w:rFonts w:ascii="Arial Narrow" w:hAnsi="Arial Narrow"/>
                <w:sz w:val="20"/>
                <w:szCs w:val="20"/>
              </w:rPr>
              <w:t>-11.8 (12.2)</w:t>
            </w:r>
          </w:p>
        </w:tc>
      </w:tr>
      <w:tr w:rsidR="00A04915" w:rsidRPr="00DB4AE1" w:rsidTr="005E6E45">
        <w:tc>
          <w:tcPr>
            <w:tcW w:w="4039" w:type="dxa"/>
            <w:vAlign w:val="center"/>
          </w:tcPr>
          <w:p w:rsidR="00A04915" w:rsidRPr="00DB4AE1" w:rsidRDefault="00A04915" w:rsidP="00837BC5">
            <w:pPr>
              <w:widowControl/>
              <w:jc w:val="left"/>
              <w:rPr>
                <w:rFonts w:ascii="Arial Narrow" w:hAnsi="Arial Narrow"/>
                <w:sz w:val="20"/>
                <w:szCs w:val="20"/>
              </w:rPr>
            </w:pPr>
            <w:r w:rsidRPr="00DB4AE1">
              <w:rPr>
                <w:rFonts w:ascii="Arial Narrow" w:hAnsi="Arial Narrow"/>
                <w:sz w:val="20"/>
                <w:szCs w:val="20"/>
              </w:rPr>
              <w:t xml:space="preserve">Reduction in days of work or study missed per month </w:t>
            </w:r>
          </w:p>
        </w:tc>
        <w:tc>
          <w:tcPr>
            <w:tcW w:w="582" w:type="dxa"/>
            <w:vAlign w:val="center"/>
          </w:tcPr>
          <w:p w:rsidR="00A04915" w:rsidRPr="00EB7CD5" w:rsidRDefault="00A04915" w:rsidP="00837BC5">
            <w:pPr>
              <w:widowControl/>
              <w:jc w:val="center"/>
              <w:rPr>
                <w:rFonts w:ascii="Arial Narrow" w:hAnsi="Arial Narrow"/>
                <w:sz w:val="20"/>
                <w:szCs w:val="20"/>
              </w:rPr>
            </w:pPr>
            <w:r w:rsidRPr="00EB7CD5">
              <w:rPr>
                <w:rFonts w:ascii="Arial Narrow" w:hAnsi="Arial Narrow"/>
                <w:sz w:val="20"/>
                <w:szCs w:val="20"/>
              </w:rPr>
              <w:t>107</w:t>
            </w:r>
          </w:p>
        </w:tc>
        <w:tc>
          <w:tcPr>
            <w:tcW w:w="1130" w:type="dxa"/>
            <w:vAlign w:val="center"/>
          </w:tcPr>
          <w:p w:rsidR="00A04915" w:rsidRPr="00EB7CD5" w:rsidRDefault="00A04915" w:rsidP="00837BC5">
            <w:pPr>
              <w:widowControl/>
              <w:jc w:val="center"/>
              <w:rPr>
                <w:rFonts w:ascii="Arial Narrow" w:hAnsi="Arial Narrow"/>
                <w:sz w:val="20"/>
                <w:szCs w:val="20"/>
              </w:rPr>
            </w:pPr>
            <w:r w:rsidRPr="00EB7CD5">
              <w:rPr>
                <w:rFonts w:ascii="Arial Narrow" w:hAnsi="Arial Narrow"/>
                <w:sz w:val="20"/>
                <w:szCs w:val="20"/>
              </w:rPr>
              <w:t>8.5 (9.5)</w:t>
            </w:r>
          </w:p>
        </w:tc>
        <w:tc>
          <w:tcPr>
            <w:tcW w:w="685" w:type="dxa"/>
            <w:vAlign w:val="center"/>
          </w:tcPr>
          <w:p w:rsidR="00A04915" w:rsidRPr="00EB7CD5" w:rsidRDefault="00534F9F" w:rsidP="00837BC5">
            <w:pPr>
              <w:widowControl/>
              <w:jc w:val="center"/>
              <w:rPr>
                <w:rFonts w:ascii="Arial Narrow" w:hAnsi="Arial Narrow"/>
                <w:sz w:val="20"/>
                <w:szCs w:val="20"/>
              </w:rPr>
            </w:pPr>
            <w:r w:rsidRPr="00EB7CD5">
              <w:rPr>
                <w:rFonts w:ascii="Arial Narrow" w:hAnsi="Arial Narrow"/>
                <w:sz w:val="20"/>
                <w:szCs w:val="20"/>
              </w:rPr>
              <w:t>99</w:t>
            </w:r>
          </w:p>
        </w:tc>
        <w:tc>
          <w:tcPr>
            <w:tcW w:w="1127" w:type="dxa"/>
            <w:vAlign w:val="center"/>
          </w:tcPr>
          <w:p w:rsidR="00A04915" w:rsidRPr="00EB7CD5" w:rsidRDefault="00534F9F" w:rsidP="00837BC5">
            <w:pPr>
              <w:widowControl/>
              <w:jc w:val="center"/>
              <w:rPr>
                <w:rFonts w:ascii="Arial Narrow" w:hAnsi="Arial Narrow"/>
                <w:sz w:val="20"/>
                <w:szCs w:val="20"/>
              </w:rPr>
            </w:pPr>
            <w:r w:rsidRPr="00EB7CD5">
              <w:rPr>
                <w:rFonts w:ascii="Arial Narrow" w:hAnsi="Arial Narrow"/>
                <w:sz w:val="20"/>
                <w:szCs w:val="20"/>
              </w:rPr>
              <w:t>-5.0 (7.8)</w:t>
            </w:r>
          </w:p>
        </w:tc>
        <w:tc>
          <w:tcPr>
            <w:tcW w:w="490" w:type="dxa"/>
            <w:vAlign w:val="center"/>
          </w:tcPr>
          <w:p w:rsidR="00A04915" w:rsidRPr="00EB7CD5" w:rsidRDefault="00A04915" w:rsidP="00837BC5">
            <w:pPr>
              <w:widowControl/>
              <w:jc w:val="center"/>
              <w:rPr>
                <w:rFonts w:ascii="Arial Narrow" w:hAnsi="Arial Narrow"/>
                <w:sz w:val="20"/>
                <w:szCs w:val="20"/>
              </w:rPr>
            </w:pPr>
            <w:r w:rsidRPr="00EB7CD5">
              <w:rPr>
                <w:rFonts w:ascii="Arial Narrow" w:hAnsi="Arial Narrow"/>
                <w:sz w:val="20"/>
                <w:szCs w:val="20"/>
              </w:rPr>
              <w:t>50</w:t>
            </w:r>
          </w:p>
        </w:tc>
        <w:tc>
          <w:tcPr>
            <w:tcW w:w="1127" w:type="dxa"/>
            <w:vAlign w:val="center"/>
          </w:tcPr>
          <w:p w:rsidR="00A04915" w:rsidRPr="00EB7CD5" w:rsidRDefault="00A04915" w:rsidP="00837BC5">
            <w:pPr>
              <w:widowControl/>
              <w:jc w:val="center"/>
              <w:rPr>
                <w:rFonts w:ascii="Arial Narrow" w:hAnsi="Arial Narrow"/>
                <w:sz w:val="20"/>
                <w:szCs w:val="20"/>
              </w:rPr>
            </w:pPr>
            <w:r w:rsidRPr="00EB7CD5">
              <w:rPr>
                <w:rFonts w:ascii="Arial Narrow" w:hAnsi="Arial Narrow"/>
                <w:sz w:val="20"/>
                <w:szCs w:val="20"/>
              </w:rPr>
              <w:t>-5.6 (7.7)</w:t>
            </w:r>
          </w:p>
        </w:tc>
      </w:tr>
      <w:tr w:rsidR="00A04915" w:rsidRPr="00DB4AE1" w:rsidTr="005E6E45">
        <w:tc>
          <w:tcPr>
            <w:tcW w:w="9180" w:type="dxa"/>
            <w:gridSpan w:val="7"/>
            <w:vAlign w:val="center"/>
          </w:tcPr>
          <w:p w:rsidR="00A04915" w:rsidRPr="00EB7CD5" w:rsidRDefault="00A04915" w:rsidP="00837BC5">
            <w:pPr>
              <w:widowControl/>
              <w:jc w:val="left"/>
              <w:rPr>
                <w:rFonts w:ascii="Arial Narrow" w:hAnsi="Arial Narrow"/>
                <w:b/>
                <w:sz w:val="20"/>
                <w:szCs w:val="20"/>
              </w:rPr>
            </w:pPr>
            <w:r w:rsidRPr="00EB7CD5">
              <w:rPr>
                <w:rFonts w:ascii="Arial Narrow" w:hAnsi="Arial Narrow"/>
                <w:b/>
                <w:sz w:val="20"/>
                <w:szCs w:val="20"/>
              </w:rPr>
              <w:t>Concomitant medications</w:t>
            </w:r>
          </w:p>
        </w:tc>
      </w:tr>
      <w:tr w:rsidR="00A04915" w:rsidRPr="00DB4AE1" w:rsidTr="005E6E45">
        <w:tc>
          <w:tcPr>
            <w:tcW w:w="4039" w:type="dxa"/>
            <w:vAlign w:val="center"/>
          </w:tcPr>
          <w:p w:rsidR="00A04915" w:rsidRPr="00DB4AE1" w:rsidRDefault="00A04915" w:rsidP="00837BC5">
            <w:pPr>
              <w:widowControl/>
              <w:jc w:val="left"/>
              <w:rPr>
                <w:rFonts w:ascii="Arial Narrow" w:hAnsi="Arial Narrow"/>
                <w:sz w:val="20"/>
                <w:szCs w:val="20"/>
              </w:rPr>
            </w:pPr>
            <w:r w:rsidRPr="00DB4AE1">
              <w:rPr>
                <w:rFonts w:ascii="Arial Narrow" w:hAnsi="Arial Narrow"/>
                <w:sz w:val="20"/>
                <w:szCs w:val="20"/>
              </w:rPr>
              <w:t>Days acute pain medication was taken</w:t>
            </w:r>
            <w:r w:rsidR="006C5D9B" w:rsidRPr="00DB4AE1">
              <w:rPr>
                <w:rFonts w:ascii="Arial Narrow" w:hAnsi="Arial Narrow"/>
                <w:sz w:val="20"/>
                <w:szCs w:val="20"/>
              </w:rPr>
              <w:t xml:space="preserve"> per month</w:t>
            </w:r>
          </w:p>
        </w:tc>
        <w:tc>
          <w:tcPr>
            <w:tcW w:w="582" w:type="dxa"/>
            <w:vAlign w:val="center"/>
          </w:tcPr>
          <w:p w:rsidR="00A04915" w:rsidRPr="00EB7CD5" w:rsidRDefault="00A04915" w:rsidP="00837BC5">
            <w:pPr>
              <w:widowControl/>
              <w:jc w:val="center"/>
              <w:rPr>
                <w:rFonts w:ascii="Arial Narrow" w:hAnsi="Arial Narrow"/>
                <w:sz w:val="20"/>
                <w:szCs w:val="20"/>
              </w:rPr>
            </w:pPr>
            <w:r w:rsidRPr="00EB7CD5">
              <w:rPr>
                <w:rFonts w:ascii="Arial Narrow" w:hAnsi="Arial Narrow"/>
                <w:sz w:val="20"/>
                <w:szCs w:val="20"/>
              </w:rPr>
              <w:t>183</w:t>
            </w:r>
          </w:p>
        </w:tc>
        <w:tc>
          <w:tcPr>
            <w:tcW w:w="1130" w:type="dxa"/>
            <w:vAlign w:val="center"/>
          </w:tcPr>
          <w:p w:rsidR="00A04915" w:rsidRPr="00EB7CD5" w:rsidRDefault="00A04915" w:rsidP="00837BC5">
            <w:pPr>
              <w:widowControl/>
              <w:jc w:val="center"/>
              <w:rPr>
                <w:rFonts w:ascii="Arial Narrow" w:hAnsi="Arial Narrow"/>
                <w:sz w:val="20"/>
                <w:szCs w:val="20"/>
              </w:rPr>
            </w:pPr>
            <w:r w:rsidRPr="00EB7CD5">
              <w:rPr>
                <w:rFonts w:ascii="Arial Narrow" w:hAnsi="Arial Narrow"/>
                <w:sz w:val="20"/>
                <w:szCs w:val="20"/>
              </w:rPr>
              <w:t>19.2 (7.9)</w:t>
            </w:r>
          </w:p>
        </w:tc>
        <w:tc>
          <w:tcPr>
            <w:tcW w:w="685" w:type="dxa"/>
            <w:vAlign w:val="center"/>
          </w:tcPr>
          <w:p w:rsidR="00A04915" w:rsidRPr="00EB7CD5" w:rsidRDefault="00A04915" w:rsidP="00837BC5">
            <w:pPr>
              <w:widowControl/>
              <w:jc w:val="center"/>
              <w:rPr>
                <w:rFonts w:ascii="Arial Narrow" w:hAnsi="Arial Narrow"/>
                <w:sz w:val="20"/>
                <w:szCs w:val="20"/>
              </w:rPr>
            </w:pPr>
            <w:r w:rsidRPr="00EB7CD5">
              <w:rPr>
                <w:rFonts w:ascii="Arial Narrow" w:hAnsi="Arial Narrow"/>
                <w:sz w:val="20"/>
                <w:szCs w:val="20"/>
              </w:rPr>
              <w:t>167</w:t>
            </w:r>
          </w:p>
        </w:tc>
        <w:tc>
          <w:tcPr>
            <w:tcW w:w="1127" w:type="dxa"/>
            <w:vAlign w:val="center"/>
          </w:tcPr>
          <w:p w:rsidR="00A04915" w:rsidRPr="00EB7CD5" w:rsidRDefault="00A04915" w:rsidP="00837BC5">
            <w:pPr>
              <w:widowControl/>
              <w:jc w:val="center"/>
              <w:rPr>
                <w:rFonts w:ascii="Arial Narrow" w:hAnsi="Arial Narrow"/>
                <w:sz w:val="20"/>
                <w:szCs w:val="20"/>
              </w:rPr>
            </w:pPr>
            <w:r w:rsidRPr="00EB7CD5">
              <w:rPr>
                <w:rFonts w:ascii="Arial Narrow" w:hAnsi="Arial Narrow"/>
                <w:sz w:val="20"/>
                <w:szCs w:val="20"/>
              </w:rPr>
              <w:t>-11.5 (7.6)</w:t>
            </w:r>
          </w:p>
        </w:tc>
        <w:tc>
          <w:tcPr>
            <w:tcW w:w="490" w:type="dxa"/>
            <w:vAlign w:val="center"/>
          </w:tcPr>
          <w:p w:rsidR="00A04915" w:rsidRPr="00EB7CD5" w:rsidRDefault="00A04915" w:rsidP="00837BC5">
            <w:pPr>
              <w:widowControl/>
              <w:jc w:val="center"/>
              <w:rPr>
                <w:rFonts w:ascii="Arial Narrow" w:hAnsi="Arial Narrow"/>
                <w:sz w:val="20"/>
                <w:szCs w:val="20"/>
              </w:rPr>
            </w:pPr>
            <w:r w:rsidRPr="00EB7CD5">
              <w:rPr>
                <w:rFonts w:ascii="Arial Narrow" w:hAnsi="Arial Narrow"/>
                <w:sz w:val="20"/>
                <w:szCs w:val="20"/>
              </w:rPr>
              <w:t>103</w:t>
            </w:r>
          </w:p>
        </w:tc>
        <w:tc>
          <w:tcPr>
            <w:tcW w:w="1127" w:type="dxa"/>
            <w:vAlign w:val="center"/>
          </w:tcPr>
          <w:p w:rsidR="00A04915" w:rsidRPr="00EB7CD5" w:rsidRDefault="00A04915" w:rsidP="00837BC5">
            <w:pPr>
              <w:widowControl/>
              <w:jc w:val="center"/>
              <w:rPr>
                <w:rFonts w:ascii="Arial Narrow" w:hAnsi="Arial Narrow"/>
                <w:sz w:val="20"/>
                <w:szCs w:val="20"/>
              </w:rPr>
            </w:pPr>
            <w:r w:rsidRPr="00EB7CD5">
              <w:rPr>
                <w:rFonts w:ascii="Arial Narrow" w:hAnsi="Arial Narrow"/>
                <w:sz w:val="20"/>
                <w:szCs w:val="20"/>
              </w:rPr>
              <w:t>-12.7 (8.1)</w:t>
            </w:r>
          </w:p>
        </w:tc>
      </w:tr>
      <w:tr w:rsidR="00A04915" w:rsidRPr="00DB4AE1" w:rsidTr="005E6E45">
        <w:tc>
          <w:tcPr>
            <w:tcW w:w="4039" w:type="dxa"/>
            <w:vAlign w:val="center"/>
          </w:tcPr>
          <w:p w:rsidR="00A04915" w:rsidRPr="00DB4AE1" w:rsidRDefault="00A04915" w:rsidP="00837BC5">
            <w:pPr>
              <w:widowControl/>
              <w:jc w:val="left"/>
              <w:rPr>
                <w:rFonts w:ascii="Arial Narrow" w:hAnsi="Arial Narrow"/>
                <w:sz w:val="20"/>
                <w:szCs w:val="20"/>
              </w:rPr>
            </w:pPr>
          </w:p>
        </w:tc>
        <w:tc>
          <w:tcPr>
            <w:tcW w:w="582" w:type="dxa"/>
            <w:vAlign w:val="center"/>
          </w:tcPr>
          <w:p w:rsidR="00A04915" w:rsidRPr="00EB7CD5" w:rsidRDefault="00A04915" w:rsidP="00837BC5">
            <w:pPr>
              <w:widowControl/>
              <w:jc w:val="center"/>
              <w:rPr>
                <w:rFonts w:ascii="Arial Narrow" w:hAnsi="Arial Narrow"/>
                <w:b/>
                <w:sz w:val="20"/>
                <w:szCs w:val="20"/>
              </w:rPr>
            </w:pPr>
            <w:r w:rsidRPr="00EB7CD5">
              <w:rPr>
                <w:rFonts w:ascii="Arial Narrow" w:hAnsi="Arial Narrow"/>
                <w:b/>
                <w:sz w:val="20"/>
                <w:szCs w:val="20"/>
              </w:rPr>
              <w:t>N</w:t>
            </w:r>
          </w:p>
        </w:tc>
        <w:tc>
          <w:tcPr>
            <w:tcW w:w="1130" w:type="dxa"/>
            <w:vAlign w:val="center"/>
          </w:tcPr>
          <w:p w:rsidR="00A04915" w:rsidRPr="00EB7CD5" w:rsidRDefault="00A04915" w:rsidP="00837BC5">
            <w:pPr>
              <w:widowControl/>
              <w:jc w:val="center"/>
              <w:rPr>
                <w:rFonts w:ascii="Arial Narrow" w:hAnsi="Arial Narrow"/>
                <w:b/>
                <w:sz w:val="20"/>
                <w:szCs w:val="20"/>
              </w:rPr>
            </w:pPr>
            <w:r w:rsidRPr="00EB7CD5">
              <w:rPr>
                <w:rFonts w:ascii="Arial Narrow" w:hAnsi="Arial Narrow"/>
                <w:b/>
                <w:sz w:val="20"/>
                <w:szCs w:val="20"/>
              </w:rPr>
              <w:t>Baseline</w:t>
            </w:r>
            <w:r w:rsidR="00EB7CD5">
              <w:rPr>
                <w:rFonts w:ascii="Arial Narrow" w:hAnsi="Arial Narrow"/>
                <w:b/>
                <w:sz w:val="20"/>
                <w:szCs w:val="20"/>
              </w:rPr>
              <w:t>, n</w:t>
            </w:r>
            <w:r w:rsidRPr="00EB7CD5">
              <w:rPr>
                <w:rFonts w:ascii="Arial Narrow" w:hAnsi="Arial Narrow"/>
                <w:b/>
                <w:sz w:val="20"/>
                <w:szCs w:val="20"/>
              </w:rPr>
              <w:t xml:space="preserve"> %</w:t>
            </w:r>
          </w:p>
        </w:tc>
        <w:tc>
          <w:tcPr>
            <w:tcW w:w="685" w:type="dxa"/>
            <w:vAlign w:val="center"/>
          </w:tcPr>
          <w:p w:rsidR="00A04915" w:rsidRPr="00EB7CD5" w:rsidRDefault="00A04915" w:rsidP="00837BC5">
            <w:pPr>
              <w:widowControl/>
              <w:jc w:val="center"/>
              <w:rPr>
                <w:rFonts w:ascii="Arial Narrow" w:hAnsi="Arial Narrow"/>
                <w:b/>
                <w:sz w:val="20"/>
                <w:szCs w:val="20"/>
              </w:rPr>
            </w:pPr>
            <w:r w:rsidRPr="00EB7CD5">
              <w:rPr>
                <w:rFonts w:ascii="Arial Narrow" w:hAnsi="Arial Narrow"/>
                <w:b/>
                <w:sz w:val="20"/>
                <w:szCs w:val="20"/>
              </w:rPr>
              <w:t>N</w:t>
            </w:r>
          </w:p>
        </w:tc>
        <w:tc>
          <w:tcPr>
            <w:tcW w:w="1127" w:type="dxa"/>
            <w:vAlign w:val="center"/>
          </w:tcPr>
          <w:p w:rsidR="00A04915" w:rsidRPr="00EB7CD5" w:rsidRDefault="00EB7CD5" w:rsidP="00837BC5">
            <w:pPr>
              <w:widowControl/>
              <w:jc w:val="center"/>
              <w:rPr>
                <w:rFonts w:ascii="Arial Narrow" w:hAnsi="Arial Narrow"/>
                <w:b/>
                <w:sz w:val="20"/>
                <w:szCs w:val="20"/>
              </w:rPr>
            </w:pPr>
            <w:r>
              <w:rPr>
                <w:rFonts w:ascii="Arial Narrow" w:hAnsi="Arial Narrow"/>
                <w:b/>
                <w:sz w:val="20"/>
                <w:szCs w:val="20"/>
              </w:rPr>
              <w:t>2</w:t>
            </w:r>
            <w:r w:rsidRPr="00EB7CD5">
              <w:rPr>
                <w:rFonts w:ascii="Arial Narrow" w:hAnsi="Arial Narrow"/>
                <w:b/>
                <w:sz w:val="20"/>
                <w:szCs w:val="20"/>
                <w:vertAlign w:val="superscript"/>
              </w:rPr>
              <w:t>nd</w:t>
            </w:r>
            <w:r>
              <w:rPr>
                <w:rFonts w:ascii="Arial Narrow" w:hAnsi="Arial Narrow"/>
                <w:b/>
                <w:sz w:val="20"/>
                <w:szCs w:val="20"/>
              </w:rPr>
              <w:t xml:space="preserve"> cycle </w:t>
            </w:r>
            <w:r w:rsidR="00A04915" w:rsidRPr="00EB7CD5">
              <w:rPr>
                <w:rFonts w:ascii="Arial Narrow" w:hAnsi="Arial Narrow"/>
                <w:b/>
                <w:sz w:val="20"/>
                <w:szCs w:val="20"/>
              </w:rPr>
              <w:t>%</w:t>
            </w:r>
          </w:p>
        </w:tc>
        <w:tc>
          <w:tcPr>
            <w:tcW w:w="490" w:type="dxa"/>
            <w:vAlign w:val="center"/>
          </w:tcPr>
          <w:p w:rsidR="00A04915" w:rsidRPr="00EB7CD5" w:rsidRDefault="00A04915" w:rsidP="00837BC5">
            <w:pPr>
              <w:widowControl/>
              <w:jc w:val="center"/>
              <w:rPr>
                <w:rFonts w:ascii="Arial Narrow" w:hAnsi="Arial Narrow"/>
                <w:b/>
                <w:sz w:val="20"/>
                <w:szCs w:val="20"/>
              </w:rPr>
            </w:pPr>
            <w:r w:rsidRPr="00EB7CD5">
              <w:rPr>
                <w:rFonts w:ascii="Arial Narrow" w:hAnsi="Arial Narrow"/>
                <w:b/>
                <w:sz w:val="20"/>
                <w:szCs w:val="20"/>
              </w:rPr>
              <w:t>N</w:t>
            </w:r>
          </w:p>
        </w:tc>
        <w:tc>
          <w:tcPr>
            <w:tcW w:w="1127" w:type="dxa"/>
            <w:vAlign w:val="center"/>
          </w:tcPr>
          <w:p w:rsidR="00A04915" w:rsidRPr="00EB7CD5" w:rsidRDefault="00EB7CD5" w:rsidP="00837BC5">
            <w:pPr>
              <w:widowControl/>
              <w:jc w:val="center"/>
              <w:rPr>
                <w:rFonts w:ascii="Arial Narrow" w:hAnsi="Arial Narrow"/>
                <w:b/>
                <w:sz w:val="20"/>
                <w:szCs w:val="20"/>
              </w:rPr>
            </w:pPr>
            <w:r>
              <w:rPr>
                <w:rFonts w:ascii="Arial Narrow" w:hAnsi="Arial Narrow"/>
                <w:b/>
                <w:sz w:val="20"/>
                <w:szCs w:val="20"/>
              </w:rPr>
              <w:t>Most recent cycle</w:t>
            </w:r>
            <w:r w:rsidR="00A04915" w:rsidRPr="00EB7CD5">
              <w:rPr>
                <w:rFonts w:ascii="Arial Narrow" w:hAnsi="Arial Narrow"/>
                <w:b/>
                <w:sz w:val="20"/>
                <w:szCs w:val="20"/>
              </w:rPr>
              <w:t xml:space="preserve"> %</w:t>
            </w:r>
          </w:p>
        </w:tc>
      </w:tr>
      <w:tr w:rsidR="00A04915" w:rsidRPr="00DB4AE1" w:rsidTr="005E6E45">
        <w:tc>
          <w:tcPr>
            <w:tcW w:w="4039" w:type="dxa"/>
            <w:vAlign w:val="center"/>
          </w:tcPr>
          <w:p w:rsidR="00A04915" w:rsidRPr="00DB4AE1" w:rsidRDefault="00A04915" w:rsidP="00837BC5">
            <w:pPr>
              <w:widowControl/>
              <w:jc w:val="left"/>
              <w:rPr>
                <w:rFonts w:ascii="Arial Narrow" w:hAnsi="Arial Narrow"/>
                <w:sz w:val="20"/>
                <w:szCs w:val="20"/>
              </w:rPr>
            </w:pPr>
            <w:r w:rsidRPr="00DB4AE1">
              <w:rPr>
                <w:rFonts w:ascii="Arial Narrow" w:hAnsi="Arial Narrow"/>
                <w:sz w:val="20"/>
                <w:szCs w:val="20"/>
              </w:rPr>
              <w:t>Proportion of patients taking simple analgesics</w:t>
            </w:r>
          </w:p>
        </w:tc>
        <w:tc>
          <w:tcPr>
            <w:tcW w:w="582" w:type="dxa"/>
            <w:vAlign w:val="center"/>
          </w:tcPr>
          <w:p w:rsidR="00A04915" w:rsidRPr="00EB7CD5" w:rsidRDefault="00D96743" w:rsidP="00837BC5">
            <w:pPr>
              <w:widowControl/>
              <w:jc w:val="center"/>
              <w:rPr>
                <w:rFonts w:ascii="Arial Narrow" w:hAnsi="Arial Narrow"/>
                <w:sz w:val="20"/>
                <w:szCs w:val="20"/>
              </w:rPr>
            </w:pPr>
            <w:r>
              <w:rPr>
                <w:rFonts w:ascii="Arial Narrow" w:hAnsi="Arial Narrow"/>
                <w:sz w:val="20"/>
                <w:szCs w:val="20"/>
              </w:rPr>
              <w:t>211</w:t>
            </w:r>
          </w:p>
        </w:tc>
        <w:tc>
          <w:tcPr>
            <w:tcW w:w="1130" w:type="dxa"/>
            <w:vAlign w:val="center"/>
          </w:tcPr>
          <w:p w:rsidR="00A04915" w:rsidRPr="00EB7CD5" w:rsidRDefault="00EB7CD5" w:rsidP="00837BC5">
            <w:pPr>
              <w:widowControl/>
              <w:jc w:val="center"/>
              <w:rPr>
                <w:rFonts w:ascii="Arial Narrow" w:hAnsi="Arial Narrow"/>
                <w:sz w:val="20"/>
                <w:szCs w:val="20"/>
              </w:rPr>
            </w:pPr>
            <w:r>
              <w:rPr>
                <w:rFonts w:ascii="Arial Narrow" w:hAnsi="Arial Narrow"/>
                <w:sz w:val="20"/>
                <w:szCs w:val="20"/>
              </w:rPr>
              <w:t xml:space="preserve">157, </w:t>
            </w:r>
            <w:r w:rsidR="00A04915" w:rsidRPr="00EB7CD5">
              <w:rPr>
                <w:rFonts w:ascii="Arial Narrow" w:hAnsi="Arial Narrow"/>
                <w:sz w:val="20"/>
                <w:szCs w:val="20"/>
              </w:rPr>
              <w:t>74%</w:t>
            </w:r>
          </w:p>
        </w:tc>
        <w:tc>
          <w:tcPr>
            <w:tcW w:w="685" w:type="dxa"/>
            <w:vAlign w:val="center"/>
          </w:tcPr>
          <w:p w:rsidR="00A04915" w:rsidRPr="00EB7CD5" w:rsidRDefault="00D96743" w:rsidP="00837BC5">
            <w:pPr>
              <w:widowControl/>
              <w:jc w:val="center"/>
              <w:rPr>
                <w:rFonts w:ascii="Arial Narrow" w:hAnsi="Arial Narrow"/>
                <w:sz w:val="20"/>
                <w:szCs w:val="20"/>
              </w:rPr>
            </w:pPr>
            <w:r>
              <w:rPr>
                <w:rFonts w:ascii="Arial Narrow" w:hAnsi="Arial Narrow"/>
                <w:sz w:val="20"/>
                <w:szCs w:val="20"/>
              </w:rPr>
              <w:t>211</w:t>
            </w:r>
          </w:p>
        </w:tc>
        <w:tc>
          <w:tcPr>
            <w:tcW w:w="1127" w:type="dxa"/>
            <w:vAlign w:val="center"/>
          </w:tcPr>
          <w:p w:rsidR="00A04915" w:rsidRPr="00EB7CD5" w:rsidRDefault="00D96743" w:rsidP="00837BC5">
            <w:pPr>
              <w:widowControl/>
              <w:jc w:val="center"/>
              <w:rPr>
                <w:rFonts w:ascii="Arial Narrow" w:hAnsi="Arial Narrow"/>
                <w:sz w:val="20"/>
                <w:szCs w:val="20"/>
              </w:rPr>
            </w:pPr>
            <w:r>
              <w:rPr>
                <w:rFonts w:ascii="Arial Narrow" w:hAnsi="Arial Narrow"/>
                <w:sz w:val="20"/>
                <w:szCs w:val="20"/>
              </w:rPr>
              <w:t xml:space="preserve">141, </w:t>
            </w:r>
            <w:r w:rsidR="00A04915" w:rsidRPr="00EB7CD5">
              <w:rPr>
                <w:rFonts w:ascii="Arial Narrow" w:hAnsi="Arial Narrow"/>
                <w:sz w:val="20"/>
                <w:szCs w:val="20"/>
              </w:rPr>
              <w:t>67%</w:t>
            </w:r>
          </w:p>
        </w:tc>
        <w:tc>
          <w:tcPr>
            <w:tcW w:w="490" w:type="dxa"/>
            <w:vAlign w:val="center"/>
          </w:tcPr>
          <w:p w:rsidR="00A04915" w:rsidRPr="00EB7CD5" w:rsidRDefault="00D96743" w:rsidP="00837BC5">
            <w:pPr>
              <w:widowControl/>
              <w:jc w:val="center"/>
              <w:rPr>
                <w:rFonts w:ascii="Arial Narrow" w:hAnsi="Arial Narrow"/>
                <w:sz w:val="20"/>
                <w:szCs w:val="20"/>
              </w:rPr>
            </w:pPr>
            <w:r>
              <w:rPr>
                <w:rFonts w:ascii="Arial Narrow" w:hAnsi="Arial Narrow"/>
                <w:sz w:val="20"/>
                <w:szCs w:val="20"/>
              </w:rPr>
              <w:t>211</w:t>
            </w:r>
          </w:p>
        </w:tc>
        <w:tc>
          <w:tcPr>
            <w:tcW w:w="1127" w:type="dxa"/>
            <w:vAlign w:val="center"/>
          </w:tcPr>
          <w:p w:rsidR="00A04915" w:rsidRPr="00EB7CD5" w:rsidRDefault="00D96743" w:rsidP="00837BC5">
            <w:pPr>
              <w:widowControl/>
              <w:jc w:val="center"/>
              <w:rPr>
                <w:rFonts w:ascii="Arial Narrow" w:hAnsi="Arial Narrow"/>
                <w:sz w:val="20"/>
                <w:szCs w:val="20"/>
              </w:rPr>
            </w:pPr>
            <w:r>
              <w:rPr>
                <w:rFonts w:ascii="Arial Narrow" w:hAnsi="Arial Narrow"/>
                <w:sz w:val="20"/>
                <w:szCs w:val="20"/>
              </w:rPr>
              <w:t xml:space="preserve">92, </w:t>
            </w:r>
            <w:r w:rsidR="00A04915" w:rsidRPr="00EB7CD5">
              <w:rPr>
                <w:rFonts w:ascii="Arial Narrow" w:hAnsi="Arial Narrow"/>
                <w:sz w:val="20"/>
                <w:szCs w:val="20"/>
              </w:rPr>
              <w:t>44%</w:t>
            </w:r>
          </w:p>
        </w:tc>
      </w:tr>
      <w:tr w:rsidR="00A04915" w:rsidRPr="00DB4AE1" w:rsidTr="005E6E45">
        <w:tc>
          <w:tcPr>
            <w:tcW w:w="4039" w:type="dxa"/>
            <w:vAlign w:val="center"/>
          </w:tcPr>
          <w:p w:rsidR="00A04915" w:rsidRPr="00DB4AE1" w:rsidRDefault="00A04915" w:rsidP="00837BC5">
            <w:pPr>
              <w:widowControl/>
              <w:jc w:val="left"/>
              <w:rPr>
                <w:rFonts w:ascii="Arial Narrow" w:hAnsi="Arial Narrow"/>
                <w:sz w:val="20"/>
                <w:szCs w:val="20"/>
              </w:rPr>
            </w:pPr>
            <w:r w:rsidRPr="00DB4AE1">
              <w:rPr>
                <w:rFonts w:ascii="Arial Narrow" w:hAnsi="Arial Narrow"/>
                <w:sz w:val="20"/>
                <w:szCs w:val="20"/>
              </w:rPr>
              <w:t>Proportion of patients taking triptans</w:t>
            </w:r>
          </w:p>
        </w:tc>
        <w:tc>
          <w:tcPr>
            <w:tcW w:w="582" w:type="dxa"/>
            <w:vAlign w:val="center"/>
          </w:tcPr>
          <w:p w:rsidR="00A04915" w:rsidRPr="00EB7CD5" w:rsidRDefault="00D96743" w:rsidP="00837BC5">
            <w:pPr>
              <w:widowControl/>
              <w:jc w:val="center"/>
              <w:rPr>
                <w:rFonts w:ascii="Arial Narrow" w:hAnsi="Arial Narrow"/>
                <w:sz w:val="20"/>
                <w:szCs w:val="20"/>
              </w:rPr>
            </w:pPr>
            <w:r>
              <w:rPr>
                <w:rFonts w:ascii="Arial Narrow" w:hAnsi="Arial Narrow"/>
                <w:sz w:val="20"/>
                <w:szCs w:val="20"/>
              </w:rPr>
              <w:t>211</w:t>
            </w:r>
          </w:p>
        </w:tc>
        <w:tc>
          <w:tcPr>
            <w:tcW w:w="1130" w:type="dxa"/>
            <w:vAlign w:val="center"/>
          </w:tcPr>
          <w:p w:rsidR="00A04915" w:rsidRPr="00EB7CD5" w:rsidRDefault="00EB7CD5" w:rsidP="00837BC5">
            <w:pPr>
              <w:widowControl/>
              <w:jc w:val="center"/>
              <w:rPr>
                <w:rFonts w:ascii="Arial Narrow" w:hAnsi="Arial Narrow"/>
                <w:sz w:val="20"/>
                <w:szCs w:val="20"/>
              </w:rPr>
            </w:pPr>
            <w:r>
              <w:rPr>
                <w:rFonts w:ascii="Arial Narrow" w:hAnsi="Arial Narrow"/>
                <w:sz w:val="20"/>
                <w:szCs w:val="20"/>
              </w:rPr>
              <w:t xml:space="preserve">136, </w:t>
            </w:r>
            <w:r w:rsidR="00A04915" w:rsidRPr="00EB7CD5">
              <w:rPr>
                <w:rFonts w:ascii="Arial Narrow" w:hAnsi="Arial Narrow"/>
                <w:sz w:val="20"/>
                <w:szCs w:val="20"/>
              </w:rPr>
              <w:t>65%</w:t>
            </w:r>
          </w:p>
        </w:tc>
        <w:tc>
          <w:tcPr>
            <w:tcW w:w="685" w:type="dxa"/>
            <w:vAlign w:val="center"/>
          </w:tcPr>
          <w:p w:rsidR="00A04915" w:rsidRPr="00EB7CD5" w:rsidRDefault="00D96743" w:rsidP="00837BC5">
            <w:pPr>
              <w:widowControl/>
              <w:jc w:val="center"/>
              <w:rPr>
                <w:rFonts w:ascii="Arial Narrow" w:hAnsi="Arial Narrow"/>
                <w:sz w:val="20"/>
                <w:szCs w:val="20"/>
              </w:rPr>
            </w:pPr>
            <w:r>
              <w:rPr>
                <w:rFonts w:ascii="Arial Narrow" w:hAnsi="Arial Narrow"/>
                <w:sz w:val="20"/>
                <w:szCs w:val="20"/>
              </w:rPr>
              <w:t>211</w:t>
            </w:r>
          </w:p>
        </w:tc>
        <w:tc>
          <w:tcPr>
            <w:tcW w:w="1127" w:type="dxa"/>
            <w:vAlign w:val="center"/>
          </w:tcPr>
          <w:p w:rsidR="00A04915" w:rsidRPr="00EB7CD5" w:rsidRDefault="00D96743" w:rsidP="00837BC5">
            <w:pPr>
              <w:widowControl/>
              <w:jc w:val="center"/>
              <w:rPr>
                <w:rFonts w:ascii="Arial Narrow" w:hAnsi="Arial Narrow"/>
                <w:sz w:val="20"/>
                <w:szCs w:val="20"/>
              </w:rPr>
            </w:pPr>
            <w:r>
              <w:rPr>
                <w:rFonts w:ascii="Arial Narrow" w:hAnsi="Arial Narrow"/>
                <w:sz w:val="20"/>
                <w:szCs w:val="20"/>
              </w:rPr>
              <w:t xml:space="preserve">134, </w:t>
            </w:r>
            <w:r w:rsidR="00A04915" w:rsidRPr="00EB7CD5">
              <w:rPr>
                <w:rFonts w:ascii="Arial Narrow" w:hAnsi="Arial Narrow"/>
                <w:sz w:val="20"/>
                <w:szCs w:val="20"/>
              </w:rPr>
              <w:t>64%</w:t>
            </w:r>
          </w:p>
        </w:tc>
        <w:tc>
          <w:tcPr>
            <w:tcW w:w="490" w:type="dxa"/>
            <w:vAlign w:val="center"/>
          </w:tcPr>
          <w:p w:rsidR="00A04915" w:rsidRPr="00EB7CD5" w:rsidRDefault="00D96743" w:rsidP="00837BC5">
            <w:pPr>
              <w:widowControl/>
              <w:jc w:val="center"/>
              <w:rPr>
                <w:rFonts w:ascii="Arial Narrow" w:hAnsi="Arial Narrow"/>
                <w:sz w:val="20"/>
                <w:szCs w:val="20"/>
              </w:rPr>
            </w:pPr>
            <w:r>
              <w:rPr>
                <w:rFonts w:ascii="Arial Narrow" w:hAnsi="Arial Narrow"/>
                <w:sz w:val="20"/>
                <w:szCs w:val="20"/>
              </w:rPr>
              <w:t>211</w:t>
            </w:r>
          </w:p>
        </w:tc>
        <w:tc>
          <w:tcPr>
            <w:tcW w:w="1127" w:type="dxa"/>
            <w:vAlign w:val="center"/>
          </w:tcPr>
          <w:p w:rsidR="00A04915" w:rsidRPr="00EB7CD5" w:rsidRDefault="00D96743" w:rsidP="00837BC5">
            <w:pPr>
              <w:widowControl/>
              <w:jc w:val="center"/>
              <w:rPr>
                <w:rFonts w:ascii="Arial Narrow" w:hAnsi="Arial Narrow"/>
                <w:sz w:val="20"/>
                <w:szCs w:val="20"/>
              </w:rPr>
            </w:pPr>
            <w:r>
              <w:rPr>
                <w:rFonts w:ascii="Arial Narrow" w:hAnsi="Arial Narrow"/>
                <w:sz w:val="20"/>
                <w:szCs w:val="20"/>
              </w:rPr>
              <w:t xml:space="preserve">93, </w:t>
            </w:r>
            <w:r w:rsidR="00A04915" w:rsidRPr="00EB7CD5">
              <w:rPr>
                <w:rFonts w:ascii="Arial Narrow" w:hAnsi="Arial Narrow"/>
                <w:sz w:val="20"/>
                <w:szCs w:val="20"/>
              </w:rPr>
              <w:t>44%</w:t>
            </w:r>
          </w:p>
        </w:tc>
      </w:tr>
      <w:tr w:rsidR="00A04915" w:rsidRPr="00DB4AE1" w:rsidTr="005E6E45">
        <w:tc>
          <w:tcPr>
            <w:tcW w:w="4039" w:type="dxa"/>
            <w:vAlign w:val="center"/>
          </w:tcPr>
          <w:p w:rsidR="00A04915" w:rsidRPr="00DB4AE1" w:rsidRDefault="00A04915" w:rsidP="00837BC5">
            <w:pPr>
              <w:widowControl/>
              <w:jc w:val="left"/>
              <w:rPr>
                <w:rFonts w:ascii="Arial Narrow" w:hAnsi="Arial Narrow"/>
                <w:sz w:val="20"/>
                <w:szCs w:val="20"/>
              </w:rPr>
            </w:pPr>
            <w:r w:rsidRPr="00DB4AE1">
              <w:rPr>
                <w:rFonts w:ascii="Arial Narrow" w:hAnsi="Arial Narrow"/>
                <w:sz w:val="20"/>
                <w:szCs w:val="20"/>
              </w:rPr>
              <w:t>Proportion of patients taking over-the-counter codeine</w:t>
            </w:r>
          </w:p>
        </w:tc>
        <w:tc>
          <w:tcPr>
            <w:tcW w:w="582" w:type="dxa"/>
            <w:vAlign w:val="center"/>
          </w:tcPr>
          <w:p w:rsidR="00A04915" w:rsidRPr="00EB7CD5" w:rsidRDefault="00D96743" w:rsidP="00837BC5">
            <w:pPr>
              <w:widowControl/>
              <w:jc w:val="center"/>
              <w:rPr>
                <w:rFonts w:ascii="Arial Narrow" w:hAnsi="Arial Narrow"/>
                <w:sz w:val="20"/>
                <w:szCs w:val="20"/>
              </w:rPr>
            </w:pPr>
            <w:r>
              <w:rPr>
                <w:rFonts w:ascii="Arial Narrow" w:hAnsi="Arial Narrow"/>
                <w:sz w:val="20"/>
                <w:szCs w:val="20"/>
              </w:rPr>
              <w:t>211</w:t>
            </w:r>
          </w:p>
        </w:tc>
        <w:tc>
          <w:tcPr>
            <w:tcW w:w="1130" w:type="dxa"/>
            <w:vAlign w:val="center"/>
          </w:tcPr>
          <w:p w:rsidR="00A04915" w:rsidRPr="00EB7CD5" w:rsidRDefault="00D96743" w:rsidP="00837BC5">
            <w:pPr>
              <w:widowControl/>
              <w:jc w:val="center"/>
              <w:rPr>
                <w:rFonts w:ascii="Arial Narrow" w:hAnsi="Arial Narrow"/>
                <w:sz w:val="20"/>
                <w:szCs w:val="20"/>
              </w:rPr>
            </w:pPr>
            <w:r>
              <w:rPr>
                <w:rFonts w:ascii="Arial Narrow" w:hAnsi="Arial Narrow"/>
                <w:sz w:val="20"/>
                <w:szCs w:val="20"/>
              </w:rPr>
              <w:t xml:space="preserve">92, </w:t>
            </w:r>
            <w:r w:rsidR="00A04915" w:rsidRPr="00EB7CD5">
              <w:rPr>
                <w:rFonts w:ascii="Arial Narrow" w:hAnsi="Arial Narrow"/>
                <w:sz w:val="20"/>
                <w:szCs w:val="20"/>
              </w:rPr>
              <w:t>44%</w:t>
            </w:r>
          </w:p>
        </w:tc>
        <w:tc>
          <w:tcPr>
            <w:tcW w:w="685" w:type="dxa"/>
            <w:vAlign w:val="center"/>
          </w:tcPr>
          <w:p w:rsidR="00A04915" w:rsidRPr="00EB7CD5" w:rsidRDefault="00D96743" w:rsidP="00837BC5">
            <w:pPr>
              <w:widowControl/>
              <w:jc w:val="center"/>
              <w:rPr>
                <w:rFonts w:ascii="Arial Narrow" w:hAnsi="Arial Narrow"/>
                <w:sz w:val="20"/>
                <w:szCs w:val="20"/>
              </w:rPr>
            </w:pPr>
            <w:r>
              <w:rPr>
                <w:rFonts w:ascii="Arial Narrow" w:hAnsi="Arial Narrow"/>
                <w:sz w:val="20"/>
                <w:szCs w:val="20"/>
              </w:rPr>
              <w:t>211</w:t>
            </w:r>
          </w:p>
        </w:tc>
        <w:tc>
          <w:tcPr>
            <w:tcW w:w="1127" w:type="dxa"/>
            <w:vAlign w:val="center"/>
          </w:tcPr>
          <w:p w:rsidR="00A04915" w:rsidRPr="00EB7CD5" w:rsidRDefault="00D96743" w:rsidP="00837BC5">
            <w:pPr>
              <w:widowControl/>
              <w:jc w:val="center"/>
              <w:rPr>
                <w:rFonts w:ascii="Arial Narrow" w:hAnsi="Arial Narrow"/>
                <w:sz w:val="20"/>
                <w:szCs w:val="20"/>
              </w:rPr>
            </w:pPr>
            <w:r>
              <w:rPr>
                <w:rFonts w:ascii="Arial Narrow" w:hAnsi="Arial Narrow"/>
                <w:sz w:val="20"/>
                <w:szCs w:val="20"/>
              </w:rPr>
              <w:t xml:space="preserve">60, </w:t>
            </w:r>
            <w:r w:rsidR="00A04915" w:rsidRPr="00EB7CD5">
              <w:rPr>
                <w:rFonts w:ascii="Arial Narrow" w:hAnsi="Arial Narrow"/>
                <w:sz w:val="20"/>
                <w:szCs w:val="20"/>
              </w:rPr>
              <w:t>28%</w:t>
            </w:r>
          </w:p>
        </w:tc>
        <w:tc>
          <w:tcPr>
            <w:tcW w:w="490" w:type="dxa"/>
            <w:vAlign w:val="center"/>
          </w:tcPr>
          <w:p w:rsidR="00A04915" w:rsidRPr="00EB7CD5" w:rsidRDefault="00D96743" w:rsidP="00837BC5">
            <w:pPr>
              <w:widowControl/>
              <w:jc w:val="center"/>
              <w:rPr>
                <w:rFonts w:ascii="Arial Narrow" w:hAnsi="Arial Narrow"/>
                <w:sz w:val="20"/>
                <w:szCs w:val="20"/>
              </w:rPr>
            </w:pPr>
            <w:r>
              <w:rPr>
                <w:rFonts w:ascii="Arial Narrow" w:hAnsi="Arial Narrow"/>
                <w:sz w:val="20"/>
                <w:szCs w:val="20"/>
              </w:rPr>
              <w:t>211</w:t>
            </w:r>
          </w:p>
        </w:tc>
        <w:tc>
          <w:tcPr>
            <w:tcW w:w="1127" w:type="dxa"/>
            <w:vAlign w:val="center"/>
          </w:tcPr>
          <w:p w:rsidR="00A04915" w:rsidRPr="00EB7CD5" w:rsidRDefault="00D96743" w:rsidP="00837BC5">
            <w:pPr>
              <w:widowControl/>
              <w:jc w:val="center"/>
              <w:rPr>
                <w:rFonts w:ascii="Arial Narrow" w:hAnsi="Arial Narrow"/>
                <w:sz w:val="20"/>
                <w:szCs w:val="20"/>
              </w:rPr>
            </w:pPr>
            <w:r>
              <w:rPr>
                <w:rFonts w:ascii="Arial Narrow" w:hAnsi="Arial Narrow"/>
                <w:sz w:val="20"/>
                <w:szCs w:val="20"/>
              </w:rPr>
              <w:t xml:space="preserve">37, </w:t>
            </w:r>
            <w:r w:rsidR="00A04915" w:rsidRPr="00EB7CD5">
              <w:rPr>
                <w:rFonts w:ascii="Arial Narrow" w:hAnsi="Arial Narrow"/>
                <w:sz w:val="20"/>
                <w:szCs w:val="20"/>
              </w:rPr>
              <w:t>18%</w:t>
            </w:r>
          </w:p>
        </w:tc>
      </w:tr>
      <w:tr w:rsidR="00A04915" w:rsidRPr="00DB4AE1" w:rsidTr="005E6E45">
        <w:tc>
          <w:tcPr>
            <w:tcW w:w="4039" w:type="dxa"/>
            <w:vAlign w:val="center"/>
          </w:tcPr>
          <w:p w:rsidR="00A04915" w:rsidRPr="00DB4AE1" w:rsidRDefault="00A04915" w:rsidP="00837BC5">
            <w:pPr>
              <w:widowControl/>
              <w:jc w:val="left"/>
              <w:rPr>
                <w:rFonts w:ascii="Arial Narrow" w:hAnsi="Arial Narrow"/>
                <w:sz w:val="20"/>
                <w:szCs w:val="20"/>
              </w:rPr>
            </w:pPr>
            <w:r w:rsidRPr="00DB4AE1">
              <w:rPr>
                <w:rFonts w:ascii="Arial Narrow" w:hAnsi="Arial Narrow"/>
                <w:sz w:val="20"/>
                <w:szCs w:val="20"/>
              </w:rPr>
              <w:t>Proportion of patients taking opioids</w:t>
            </w:r>
          </w:p>
        </w:tc>
        <w:tc>
          <w:tcPr>
            <w:tcW w:w="582" w:type="dxa"/>
            <w:vAlign w:val="center"/>
          </w:tcPr>
          <w:p w:rsidR="00A04915" w:rsidRPr="00EB7CD5" w:rsidRDefault="00D96743" w:rsidP="00837BC5">
            <w:pPr>
              <w:widowControl/>
              <w:jc w:val="center"/>
              <w:rPr>
                <w:rFonts w:ascii="Arial Narrow" w:hAnsi="Arial Narrow"/>
                <w:sz w:val="20"/>
                <w:szCs w:val="20"/>
              </w:rPr>
            </w:pPr>
            <w:r>
              <w:rPr>
                <w:rFonts w:ascii="Arial Narrow" w:hAnsi="Arial Narrow"/>
                <w:sz w:val="20"/>
                <w:szCs w:val="20"/>
              </w:rPr>
              <w:t>211</w:t>
            </w:r>
          </w:p>
        </w:tc>
        <w:tc>
          <w:tcPr>
            <w:tcW w:w="1130" w:type="dxa"/>
            <w:vAlign w:val="center"/>
          </w:tcPr>
          <w:p w:rsidR="00A04915" w:rsidRPr="00EB7CD5" w:rsidRDefault="00D96743" w:rsidP="00837BC5">
            <w:pPr>
              <w:widowControl/>
              <w:jc w:val="center"/>
              <w:rPr>
                <w:rFonts w:ascii="Arial Narrow" w:hAnsi="Arial Narrow"/>
                <w:sz w:val="20"/>
                <w:szCs w:val="20"/>
              </w:rPr>
            </w:pPr>
            <w:r>
              <w:rPr>
                <w:rFonts w:ascii="Arial Narrow" w:hAnsi="Arial Narrow"/>
                <w:sz w:val="20"/>
                <w:szCs w:val="20"/>
              </w:rPr>
              <w:t xml:space="preserve">49, </w:t>
            </w:r>
            <w:r w:rsidR="00A04915" w:rsidRPr="00EB7CD5">
              <w:rPr>
                <w:rFonts w:ascii="Arial Narrow" w:hAnsi="Arial Narrow"/>
                <w:sz w:val="20"/>
                <w:szCs w:val="20"/>
              </w:rPr>
              <w:t>23%</w:t>
            </w:r>
          </w:p>
        </w:tc>
        <w:tc>
          <w:tcPr>
            <w:tcW w:w="685" w:type="dxa"/>
            <w:vAlign w:val="center"/>
          </w:tcPr>
          <w:p w:rsidR="00A04915" w:rsidRPr="00EB7CD5" w:rsidRDefault="00D96743" w:rsidP="00837BC5">
            <w:pPr>
              <w:widowControl/>
              <w:jc w:val="center"/>
              <w:rPr>
                <w:rFonts w:ascii="Arial Narrow" w:hAnsi="Arial Narrow"/>
                <w:sz w:val="20"/>
                <w:szCs w:val="20"/>
              </w:rPr>
            </w:pPr>
            <w:r>
              <w:rPr>
                <w:rFonts w:ascii="Arial Narrow" w:hAnsi="Arial Narrow"/>
                <w:sz w:val="20"/>
                <w:szCs w:val="20"/>
              </w:rPr>
              <w:t>211</w:t>
            </w:r>
          </w:p>
        </w:tc>
        <w:tc>
          <w:tcPr>
            <w:tcW w:w="1127" w:type="dxa"/>
            <w:vAlign w:val="center"/>
          </w:tcPr>
          <w:p w:rsidR="00A04915" w:rsidRPr="00EB7CD5" w:rsidRDefault="00D96743" w:rsidP="00837BC5">
            <w:pPr>
              <w:widowControl/>
              <w:jc w:val="center"/>
              <w:rPr>
                <w:rFonts w:ascii="Arial Narrow" w:hAnsi="Arial Narrow"/>
                <w:sz w:val="20"/>
                <w:szCs w:val="20"/>
              </w:rPr>
            </w:pPr>
            <w:r>
              <w:rPr>
                <w:rFonts w:ascii="Arial Narrow" w:hAnsi="Arial Narrow"/>
                <w:sz w:val="20"/>
                <w:szCs w:val="20"/>
              </w:rPr>
              <w:t xml:space="preserve">28, </w:t>
            </w:r>
            <w:r w:rsidR="00A04915" w:rsidRPr="00EB7CD5">
              <w:rPr>
                <w:rFonts w:ascii="Arial Narrow" w:hAnsi="Arial Narrow"/>
                <w:sz w:val="20"/>
                <w:szCs w:val="20"/>
              </w:rPr>
              <w:t>13%</w:t>
            </w:r>
          </w:p>
        </w:tc>
        <w:tc>
          <w:tcPr>
            <w:tcW w:w="490" w:type="dxa"/>
            <w:vAlign w:val="center"/>
          </w:tcPr>
          <w:p w:rsidR="00A04915" w:rsidRPr="00EB7CD5" w:rsidRDefault="00D96743" w:rsidP="00837BC5">
            <w:pPr>
              <w:widowControl/>
              <w:jc w:val="center"/>
              <w:rPr>
                <w:rFonts w:ascii="Arial Narrow" w:hAnsi="Arial Narrow"/>
                <w:sz w:val="20"/>
                <w:szCs w:val="20"/>
              </w:rPr>
            </w:pPr>
            <w:r>
              <w:rPr>
                <w:rFonts w:ascii="Arial Narrow" w:hAnsi="Arial Narrow"/>
                <w:sz w:val="20"/>
                <w:szCs w:val="20"/>
              </w:rPr>
              <w:t>211</w:t>
            </w:r>
          </w:p>
        </w:tc>
        <w:tc>
          <w:tcPr>
            <w:tcW w:w="1127" w:type="dxa"/>
            <w:vAlign w:val="center"/>
          </w:tcPr>
          <w:p w:rsidR="00A04915" w:rsidRPr="00EB7CD5" w:rsidRDefault="00D96743" w:rsidP="00837BC5">
            <w:pPr>
              <w:widowControl/>
              <w:jc w:val="center"/>
              <w:rPr>
                <w:rFonts w:ascii="Arial Narrow" w:hAnsi="Arial Narrow"/>
                <w:sz w:val="20"/>
                <w:szCs w:val="20"/>
              </w:rPr>
            </w:pPr>
            <w:r>
              <w:rPr>
                <w:rFonts w:ascii="Arial Narrow" w:hAnsi="Arial Narrow"/>
                <w:sz w:val="20"/>
                <w:szCs w:val="20"/>
              </w:rPr>
              <w:t xml:space="preserve">19, </w:t>
            </w:r>
            <w:r w:rsidR="00A04915" w:rsidRPr="00EB7CD5">
              <w:rPr>
                <w:rFonts w:ascii="Arial Narrow" w:hAnsi="Arial Narrow"/>
                <w:sz w:val="20"/>
                <w:szCs w:val="20"/>
              </w:rPr>
              <w:t>9%</w:t>
            </w:r>
          </w:p>
        </w:tc>
      </w:tr>
    </w:tbl>
    <w:p w:rsidR="00A04915" w:rsidRPr="00DB4AE1" w:rsidRDefault="00A04915" w:rsidP="00837BC5">
      <w:pPr>
        <w:pStyle w:val="TableFooter"/>
        <w:widowControl/>
      </w:pPr>
      <w:r w:rsidRPr="00DB4AE1">
        <w:t>Source: Section 2.6.5, p78-80 of the submission</w:t>
      </w:r>
      <w:r w:rsidR="00534F9F" w:rsidRPr="00DB4AE1">
        <w:t>; 2a_Non-Proportion Final Tables_AP-BTX-CM-RWE-001.pdf</w:t>
      </w:r>
      <w:r w:rsidR="00EB7CD5">
        <w:t>; Table 4, p5 PSCR</w:t>
      </w:r>
    </w:p>
    <w:p w:rsidR="001B6652" w:rsidRDefault="00A04915" w:rsidP="00837BC5">
      <w:pPr>
        <w:pStyle w:val="ListParagraph"/>
        <w:widowControl/>
        <w:numPr>
          <w:ilvl w:val="1"/>
          <w:numId w:val="1"/>
        </w:numPr>
        <w:spacing w:before="120" w:after="120"/>
      </w:pPr>
      <w:r w:rsidRPr="00DB4AE1">
        <w:t>As shown in the table above, the proportion of patients with a ≥</w:t>
      </w:r>
      <w:r w:rsidR="001B6652">
        <w:t xml:space="preserve"> </w:t>
      </w:r>
      <w:r w:rsidRPr="00DB4AE1">
        <w:t>50% reduction in headache days from baseline following two Botox treatment cycles was 73.9%</w:t>
      </w:r>
      <w:r w:rsidR="00600088" w:rsidRPr="00DB4AE1">
        <w:t>.</w:t>
      </w:r>
    </w:p>
    <w:p w:rsidR="00AC1DE8" w:rsidRPr="00EF4AFD" w:rsidRDefault="001B6652" w:rsidP="00837BC5">
      <w:pPr>
        <w:pStyle w:val="ListParagraph"/>
        <w:widowControl/>
        <w:numPr>
          <w:ilvl w:val="1"/>
          <w:numId w:val="1"/>
        </w:numPr>
        <w:spacing w:before="120" w:after="120"/>
      </w:pPr>
      <w:r>
        <w:t xml:space="preserve">In June 2017 DUSC conducted an analysis to compare the predicted versus actual utilisation of Botox for chronic migraine since its PBS listing in March 2014. </w:t>
      </w:r>
      <w:r w:rsidR="00162FF7" w:rsidRPr="00DB4AE1">
        <w:t xml:space="preserve">The proportion of </w:t>
      </w:r>
      <w:r>
        <w:t xml:space="preserve">patients reporting a </w:t>
      </w:r>
      <w:r w:rsidRPr="00DB4AE1">
        <w:t>≥</w:t>
      </w:r>
      <w:r>
        <w:t xml:space="preserve"> </w:t>
      </w:r>
      <w:r w:rsidRPr="00DB4AE1">
        <w:t>50% reduction in headache days</w:t>
      </w:r>
      <w:r>
        <w:t xml:space="preserve"> (</w:t>
      </w:r>
      <w:r w:rsidR="00162FF7" w:rsidRPr="00DB4AE1">
        <w:t>73.9%</w:t>
      </w:r>
      <w:r>
        <w:t>)</w:t>
      </w:r>
      <w:r w:rsidR="00162FF7" w:rsidRPr="00DB4AE1">
        <w:t xml:space="preserve"> </w:t>
      </w:r>
      <w:r>
        <w:t xml:space="preserve">reported in the Stark 2017 retrospective chart review </w:t>
      </w:r>
      <w:r w:rsidR="00162FF7" w:rsidRPr="00DB4AE1">
        <w:t xml:space="preserve">was similar to the </w:t>
      </w:r>
      <w:r w:rsidR="00D170CF" w:rsidRPr="00DB4AE1">
        <w:t xml:space="preserve">71.4% </w:t>
      </w:r>
      <w:r w:rsidR="00162FF7" w:rsidRPr="00DB4AE1">
        <w:t>continuation rate calculated by DUSC.</w:t>
      </w:r>
      <w:r w:rsidR="00D54223">
        <w:t xml:space="preserve"> </w:t>
      </w:r>
      <w:r w:rsidR="00EF4AFD">
        <w:t xml:space="preserve">The proportion of patients with a </w:t>
      </w:r>
      <w:r w:rsidR="00EF4AFD" w:rsidRPr="00DB4AE1">
        <w:t>≥</w:t>
      </w:r>
      <w:r w:rsidR="00EF4AFD">
        <w:t xml:space="preserve"> </w:t>
      </w:r>
      <w:r w:rsidR="00EF4AFD" w:rsidRPr="00DB4AE1">
        <w:t>50% reduction in headache days</w:t>
      </w:r>
      <w:r w:rsidR="00EF4AFD">
        <w:t xml:space="preserve"> </w:t>
      </w:r>
      <w:r w:rsidR="00D64665">
        <w:t xml:space="preserve">who received Botox </w:t>
      </w:r>
      <w:r w:rsidR="00EF4AFD">
        <w:t>in the PREEMPT trials was 38.3% (</w:t>
      </w:r>
      <w:r w:rsidR="00D64665">
        <w:t>p</w:t>
      </w:r>
      <w:r w:rsidR="00C422A2">
        <w:t>ooled data for patients receiving ≥ 2 prior prophylactics</w:t>
      </w:r>
      <w:r w:rsidR="00EF4AFD">
        <w:t>).</w:t>
      </w:r>
      <w:r w:rsidR="00C422A2">
        <w:t xml:space="preserve"> </w:t>
      </w:r>
      <w:r w:rsidR="00B01F17" w:rsidRPr="006D3150">
        <w:t>The</w:t>
      </w:r>
      <w:r w:rsidR="00B01F17">
        <w:t xml:space="preserve"> sub</w:t>
      </w:r>
      <w:r w:rsidR="00D54223">
        <w:t>mission proposed</w:t>
      </w:r>
      <w:r w:rsidR="00EF4AFD">
        <w:t xml:space="preserve"> that the</w:t>
      </w:r>
      <w:r w:rsidR="00B01F17" w:rsidRPr="006D3150">
        <w:t xml:space="preserve"> real-world data</w:t>
      </w:r>
      <w:r w:rsidR="00EF4AFD">
        <w:t xml:space="preserve"> from </w:t>
      </w:r>
      <w:r w:rsidR="005332C2">
        <w:t>Stark 2017</w:t>
      </w:r>
      <w:r w:rsidR="00B01F17" w:rsidRPr="006D3150">
        <w:t xml:space="preserve"> demonstrate that the effectiveness of BOTOX therapy in Australian clinical practice exceeds th</w:t>
      </w:r>
      <w:r w:rsidR="00C422A2">
        <w:t xml:space="preserve">e effectiveness demonstrated in </w:t>
      </w:r>
      <w:r w:rsidR="00B01F17" w:rsidRPr="006D3150">
        <w:t>the PREEMPT trials</w:t>
      </w:r>
      <w:r w:rsidR="00B01F17" w:rsidRPr="00EF4AFD">
        <w:t>.</w:t>
      </w:r>
    </w:p>
    <w:p w:rsidR="00FB1079" w:rsidRPr="00DB4AE1" w:rsidRDefault="00FB1079" w:rsidP="00837BC5">
      <w:pPr>
        <w:pStyle w:val="ListParagraph"/>
        <w:widowControl/>
        <w:numPr>
          <w:ilvl w:val="1"/>
          <w:numId w:val="1"/>
        </w:numPr>
        <w:spacing w:after="120"/>
      </w:pPr>
      <w:r w:rsidRPr="00DB4AE1">
        <w:t>The</w:t>
      </w:r>
      <w:r w:rsidR="00B01F17">
        <w:t xml:space="preserve"> PBAC</w:t>
      </w:r>
      <w:r w:rsidRPr="00DB4AE1">
        <w:t xml:space="preserve"> considered that the higher continuation rates observed in the </w:t>
      </w:r>
      <w:r w:rsidR="00B01F17">
        <w:t>Stark 2017 retrospective chart review</w:t>
      </w:r>
      <w:r w:rsidRPr="00DB4AE1">
        <w:t xml:space="preserve"> could have been </w:t>
      </w:r>
      <w:r w:rsidR="00816036" w:rsidRPr="00DB4AE1">
        <w:t>due to</w:t>
      </w:r>
      <w:r w:rsidRPr="00DB4AE1">
        <w:t xml:space="preserve"> a range of </w:t>
      </w:r>
      <w:r w:rsidR="007E068A" w:rsidRPr="00DB4AE1">
        <w:t>explanations</w:t>
      </w:r>
      <w:r w:rsidRPr="00DB4AE1">
        <w:t xml:space="preserve"> other than greater than expected efficacy:</w:t>
      </w:r>
    </w:p>
    <w:p w:rsidR="007E068A" w:rsidRPr="00DB4AE1" w:rsidRDefault="007E068A" w:rsidP="00837BC5">
      <w:pPr>
        <w:pStyle w:val="Bulletpoints"/>
        <w:widowControl/>
        <w:spacing w:after="120"/>
        <w:ind w:left="993" w:hanging="284"/>
      </w:pPr>
      <w:r w:rsidRPr="00DB4AE1">
        <w:t>The study was uncontrolled and unblinded.</w:t>
      </w:r>
    </w:p>
    <w:p w:rsidR="007E068A" w:rsidRPr="00DB4AE1" w:rsidRDefault="007E068A" w:rsidP="00837BC5">
      <w:pPr>
        <w:pStyle w:val="Bulletpoints"/>
        <w:widowControl/>
        <w:spacing w:after="120"/>
        <w:ind w:left="993" w:hanging="284"/>
      </w:pPr>
      <w:r w:rsidRPr="00DB4AE1">
        <w:t>The study allowed the continued use of oral prophylactics</w:t>
      </w:r>
      <w:r w:rsidR="003A5DF0" w:rsidRPr="00DB4AE1">
        <w:t xml:space="preserve"> (see </w:t>
      </w:r>
      <w:r w:rsidR="0094747E">
        <w:t>also paragraph 6.14 below</w:t>
      </w:r>
      <w:r w:rsidR="003A5DF0" w:rsidRPr="00DB4AE1">
        <w:t>)</w:t>
      </w:r>
      <w:r w:rsidRPr="00DB4AE1">
        <w:t>.</w:t>
      </w:r>
    </w:p>
    <w:p w:rsidR="007E068A" w:rsidRPr="00DB4AE1" w:rsidRDefault="007E068A" w:rsidP="00837BC5">
      <w:pPr>
        <w:pStyle w:val="Bulletpoints"/>
        <w:widowControl/>
        <w:spacing w:after="120"/>
        <w:ind w:left="993" w:hanging="284"/>
      </w:pPr>
      <w:r w:rsidRPr="00DB4AE1">
        <w:t xml:space="preserve">The response rate was calculated on the basis of headache diaries for only 48.8% of patients in the </w:t>
      </w:r>
      <w:r w:rsidR="00D54223">
        <w:t>study</w:t>
      </w:r>
      <w:r w:rsidRPr="00DB4AE1">
        <w:t>, with the remaining 51.2% recorded by the physician. The reliability of such results, especially in the context of a subjective measure is unclear.</w:t>
      </w:r>
    </w:p>
    <w:p w:rsidR="00FB1079" w:rsidRPr="00DB4AE1" w:rsidRDefault="000B357A" w:rsidP="00837BC5">
      <w:pPr>
        <w:pStyle w:val="Bulletpoints"/>
        <w:widowControl/>
        <w:spacing w:after="120"/>
        <w:ind w:left="993" w:hanging="284"/>
      </w:pPr>
      <w:r w:rsidRPr="00DB4AE1">
        <w:t xml:space="preserve">The PREEMPT trials showed a substantial </w:t>
      </w:r>
      <w:r w:rsidR="00EA7F5F" w:rsidRPr="00DB4AE1">
        <w:t xml:space="preserve">placebo </w:t>
      </w:r>
      <w:r w:rsidRPr="00DB4AE1">
        <w:t xml:space="preserve">response </w:t>
      </w:r>
      <w:r w:rsidR="00EA7F5F" w:rsidRPr="00DB4AE1">
        <w:t>in the</w:t>
      </w:r>
      <w:r w:rsidRPr="00DB4AE1">
        <w:t xml:space="preserve"> </w:t>
      </w:r>
      <w:r w:rsidR="00B01F17">
        <w:t>BSC</w:t>
      </w:r>
      <w:r w:rsidRPr="00DB4AE1">
        <w:t xml:space="preserve"> arms which </w:t>
      </w:r>
      <w:r w:rsidR="00EA7F5F" w:rsidRPr="00DB4AE1">
        <w:t>has not been controlled for due to the</w:t>
      </w:r>
      <w:r w:rsidRPr="00DB4AE1">
        <w:t xml:space="preserve"> sing</w:t>
      </w:r>
      <w:r w:rsidR="00EA7F5F" w:rsidRPr="00DB4AE1">
        <w:t>le</w:t>
      </w:r>
      <w:r w:rsidRPr="00DB4AE1">
        <w:t xml:space="preserve"> treatment arm </w:t>
      </w:r>
      <w:r w:rsidR="00EA7F5F" w:rsidRPr="00DB4AE1">
        <w:t xml:space="preserve">structure </w:t>
      </w:r>
      <w:r w:rsidRPr="00DB4AE1">
        <w:t xml:space="preserve">of the </w:t>
      </w:r>
      <w:r w:rsidR="009D49F2">
        <w:t>Stark 2017 retrospective chart review</w:t>
      </w:r>
      <w:r w:rsidRPr="00DB4AE1">
        <w:t>. The</w:t>
      </w:r>
      <w:r w:rsidR="00264FC5" w:rsidRPr="00DB4AE1">
        <w:t xml:space="preserve"> ESC noted </w:t>
      </w:r>
      <w:r w:rsidR="00EA7F5F" w:rsidRPr="00DB4AE1">
        <w:t xml:space="preserve">that </w:t>
      </w:r>
      <w:r w:rsidR="00FB1079" w:rsidRPr="00DB4AE1">
        <w:t xml:space="preserve">this may also be compounded by the phenomenon where </w:t>
      </w:r>
      <w:r w:rsidR="00264FC5" w:rsidRPr="00DB4AE1">
        <w:t>the</w:t>
      </w:r>
      <w:r w:rsidRPr="00DB4AE1">
        <w:t xml:space="preserve"> perceived effect of </w:t>
      </w:r>
      <w:r w:rsidR="00EA7F5F" w:rsidRPr="00DB4AE1">
        <w:t>a</w:t>
      </w:r>
      <w:r w:rsidRPr="00DB4AE1">
        <w:t xml:space="preserve"> drug </w:t>
      </w:r>
      <w:r w:rsidR="00FB1079" w:rsidRPr="00DB4AE1">
        <w:t>can sometimes</w:t>
      </w:r>
      <w:r w:rsidRPr="00DB4AE1">
        <w:t xml:space="preserve"> be greater </w:t>
      </w:r>
      <w:r w:rsidR="00FB1079" w:rsidRPr="00DB4AE1">
        <w:t xml:space="preserve">in the </w:t>
      </w:r>
      <w:r w:rsidR="00C0749C" w:rsidRPr="00DB4AE1">
        <w:t>post-</w:t>
      </w:r>
      <w:r w:rsidRPr="00DB4AE1">
        <w:t xml:space="preserve">marketing </w:t>
      </w:r>
      <w:r w:rsidR="00FB1079" w:rsidRPr="00DB4AE1">
        <w:t xml:space="preserve">phase </w:t>
      </w:r>
      <w:r w:rsidRPr="00DB4AE1">
        <w:t>and outside of a clinical trial setting,</w:t>
      </w:r>
      <w:r w:rsidR="005E4F1C" w:rsidRPr="00DB4AE1">
        <w:t xml:space="preserve"> due to increased expectations,</w:t>
      </w:r>
      <w:r w:rsidRPr="00DB4AE1">
        <w:t xml:space="preserve"> </w:t>
      </w:r>
      <w:r w:rsidR="00FB1079" w:rsidRPr="00DB4AE1">
        <w:t>particularly for subjective measures.</w:t>
      </w:r>
    </w:p>
    <w:p w:rsidR="000B357A" w:rsidRPr="00DB4AE1" w:rsidRDefault="00FB1079" w:rsidP="00837BC5">
      <w:pPr>
        <w:pStyle w:val="Bulletpoints"/>
        <w:widowControl/>
        <w:spacing w:after="120"/>
        <w:ind w:left="993" w:hanging="284"/>
      </w:pPr>
      <w:r w:rsidRPr="00DB4AE1">
        <w:t>A</w:t>
      </w:r>
      <w:r w:rsidR="000B357A" w:rsidRPr="00DB4AE1">
        <w:t xml:space="preserve"> higher continuation rate</w:t>
      </w:r>
      <w:r w:rsidR="00816036" w:rsidRPr="00DB4AE1">
        <w:t xml:space="preserve"> compared to trial response rates</w:t>
      </w:r>
      <w:r w:rsidR="000B357A" w:rsidRPr="00DB4AE1">
        <w:t xml:space="preserve"> </w:t>
      </w:r>
      <w:r w:rsidRPr="00DB4AE1">
        <w:t>has been</w:t>
      </w:r>
      <w:r w:rsidR="000B357A" w:rsidRPr="00DB4AE1">
        <w:t xml:space="preserve"> observed for </w:t>
      </w:r>
      <w:r w:rsidR="007E068A" w:rsidRPr="00DB4AE1">
        <w:t xml:space="preserve">other PBS medicines </w:t>
      </w:r>
      <w:r w:rsidR="00816036" w:rsidRPr="00DB4AE1">
        <w:t xml:space="preserve">where continued subsidy and prescribing is dependent upon </w:t>
      </w:r>
      <w:r w:rsidR="000B357A" w:rsidRPr="00DB4AE1">
        <w:t xml:space="preserve">a </w:t>
      </w:r>
      <w:r w:rsidR="00C0749C" w:rsidRPr="00DB4AE1">
        <w:t>sub</w:t>
      </w:r>
      <w:r w:rsidR="007E068A" w:rsidRPr="00DB4AE1">
        <w:t>jective</w:t>
      </w:r>
      <w:r w:rsidR="00C0749C" w:rsidRPr="00DB4AE1">
        <w:t xml:space="preserve"> </w:t>
      </w:r>
      <w:r w:rsidR="000B357A" w:rsidRPr="00DB4AE1">
        <w:t>continuation rule</w:t>
      </w:r>
      <w:r w:rsidRPr="00DB4AE1">
        <w:t xml:space="preserve"> (</w:t>
      </w:r>
      <w:r w:rsidR="007B5BEF" w:rsidRPr="00DB4AE1">
        <w:t xml:space="preserve">see </w:t>
      </w:r>
      <w:r w:rsidR="009D49F2">
        <w:t>paragraph 6.7</w:t>
      </w:r>
      <w:r w:rsidRPr="00DB4AE1">
        <w:t>)</w:t>
      </w:r>
      <w:r w:rsidR="007E068A" w:rsidRPr="00DB4AE1">
        <w:t>.</w:t>
      </w:r>
    </w:p>
    <w:p w:rsidR="00264FC5" w:rsidRPr="00DB4AE1" w:rsidRDefault="00264FC5" w:rsidP="00837BC5">
      <w:pPr>
        <w:pStyle w:val="ListParagraph"/>
        <w:widowControl/>
        <w:numPr>
          <w:ilvl w:val="1"/>
          <w:numId w:val="1"/>
        </w:numPr>
      </w:pPr>
      <w:r w:rsidRPr="00DB4AE1">
        <w:t xml:space="preserve">The </w:t>
      </w:r>
      <w:r w:rsidR="009D49F2">
        <w:t xml:space="preserve">submission suggested the </w:t>
      </w:r>
      <w:r w:rsidRPr="00DB4AE1">
        <w:t xml:space="preserve">Stark 2017 </w:t>
      </w:r>
      <w:r w:rsidR="009D49F2">
        <w:t xml:space="preserve">retrospective chart review population was similar to the </w:t>
      </w:r>
      <w:r w:rsidRPr="00DB4AE1">
        <w:t>PREEMPT</w:t>
      </w:r>
      <w:r w:rsidR="00841857">
        <w:t xml:space="preserve"> (Phase 3 trial)</w:t>
      </w:r>
      <w:r w:rsidRPr="00DB4AE1">
        <w:t xml:space="preserve"> populations, except for the inclusion of prior use of oral prophylactic treatments in the Stark </w:t>
      </w:r>
      <w:r w:rsidR="009D49F2">
        <w:t xml:space="preserve">2017 </w:t>
      </w:r>
      <w:r w:rsidRPr="00DB4AE1">
        <w:t>treatment group.</w:t>
      </w:r>
      <w:r w:rsidR="00FB1079" w:rsidRPr="00DB4AE1">
        <w:t xml:space="preserve"> However, the ESC </w:t>
      </w:r>
      <w:r w:rsidR="0046494D" w:rsidRPr="00DB4AE1">
        <w:t xml:space="preserve">also </w:t>
      </w:r>
      <w:r w:rsidR="00FB1079" w:rsidRPr="00DB4AE1">
        <w:t xml:space="preserve">noted that there were </w:t>
      </w:r>
      <w:r w:rsidRPr="00DB4AE1">
        <w:t>differences in chronic migraine duration and number of headache days</w:t>
      </w:r>
      <w:r w:rsidR="009D49F2">
        <w:t xml:space="preserve"> (Table 7) and considered </w:t>
      </w:r>
      <w:r w:rsidR="008D0E6E" w:rsidRPr="00DB4AE1">
        <w:t xml:space="preserve">the impact of this on the observed efficacy in Stark </w:t>
      </w:r>
      <w:r w:rsidR="009D49F2">
        <w:t xml:space="preserve">2017 </w:t>
      </w:r>
      <w:r w:rsidR="008D0E6E" w:rsidRPr="00DB4AE1">
        <w:t>compared to PREEMPT is unknown</w:t>
      </w:r>
      <w:r w:rsidR="007E068A" w:rsidRPr="00DB4AE1">
        <w:t>.</w:t>
      </w:r>
    </w:p>
    <w:p w:rsidR="00264FC5" w:rsidRPr="00DB4AE1" w:rsidRDefault="00264FC5" w:rsidP="00837BC5">
      <w:pPr>
        <w:pStyle w:val="Bulletpoints"/>
        <w:keepNext/>
        <w:widowControl/>
        <w:numPr>
          <w:ilvl w:val="0"/>
          <w:numId w:val="0"/>
        </w:numPr>
        <w:rPr>
          <w:rFonts w:ascii="Arial Narrow" w:hAnsi="Arial Narrow"/>
          <w:b/>
          <w:sz w:val="20"/>
          <w:szCs w:val="20"/>
        </w:rPr>
      </w:pPr>
      <w:r w:rsidRPr="00DB4AE1">
        <w:rPr>
          <w:rFonts w:ascii="Arial Narrow" w:hAnsi="Arial Narrow"/>
          <w:b/>
          <w:sz w:val="20"/>
          <w:szCs w:val="20"/>
        </w:rPr>
        <w:t xml:space="preserve">Table </w:t>
      </w:r>
      <w:r w:rsidR="00441489" w:rsidRPr="00DB4AE1">
        <w:rPr>
          <w:rFonts w:ascii="Arial Narrow" w:hAnsi="Arial Narrow"/>
          <w:b/>
          <w:sz w:val="20"/>
          <w:szCs w:val="20"/>
        </w:rPr>
        <w:t>7</w:t>
      </w:r>
      <w:r w:rsidRPr="00DB4AE1">
        <w:rPr>
          <w:rFonts w:ascii="Arial Narrow" w:hAnsi="Arial Narrow"/>
          <w:b/>
          <w:sz w:val="20"/>
          <w:szCs w:val="20"/>
        </w:rPr>
        <w:t>: Baseline demographics, clinical characteristics and treatments for Stark</w:t>
      </w:r>
      <w:r w:rsidR="00841857">
        <w:rPr>
          <w:rFonts w:ascii="Arial Narrow" w:hAnsi="Arial Narrow"/>
          <w:b/>
          <w:sz w:val="20"/>
          <w:szCs w:val="20"/>
        </w:rPr>
        <w:t xml:space="preserve"> 2017</w:t>
      </w:r>
      <w:r w:rsidRPr="00DB4AE1">
        <w:rPr>
          <w:rFonts w:ascii="Arial Narrow" w:hAnsi="Arial Narrow"/>
          <w:b/>
          <w:sz w:val="20"/>
          <w:szCs w:val="20"/>
        </w:rPr>
        <w:t xml:space="preserve"> patients compared with PREEMPT (Phase 3 trial) patients</w:t>
      </w:r>
    </w:p>
    <w:tbl>
      <w:tblPr>
        <w:tblStyle w:val="TableGrid"/>
        <w:tblW w:w="0" w:type="auto"/>
        <w:tblLook w:val="04A0" w:firstRow="1" w:lastRow="0" w:firstColumn="1" w:lastColumn="0" w:noHBand="0" w:noVBand="1"/>
      </w:tblPr>
      <w:tblGrid>
        <w:gridCol w:w="3510"/>
        <w:gridCol w:w="2866"/>
        <w:gridCol w:w="2867"/>
      </w:tblGrid>
      <w:tr w:rsidR="00264FC5" w:rsidRPr="00DB4AE1" w:rsidTr="00313D63">
        <w:tc>
          <w:tcPr>
            <w:tcW w:w="3510" w:type="dxa"/>
            <w:vAlign w:val="center"/>
          </w:tcPr>
          <w:p w:rsidR="00264FC5" w:rsidRPr="00DB4AE1" w:rsidRDefault="00264FC5" w:rsidP="00837BC5">
            <w:pPr>
              <w:keepNext/>
              <w:widowControl/>
              <w:rPr>
                <w:rFonts w:ascii="Arial Narrow" w:hAnsi="Arial Narrow"/>
                <w:b/>
                <w:sz w:val="20"/>
                <w:szCs w:val="20"/>
              </w:rPr>
            </w:pPr>
            <w:r w:rsidRPr="00DB4AE1">
              <w:rPr>
                <w:rFonts w:ascii="Arial Narrow" w:hAnsi="Arial Narrow"/>
                <w:b/>
                <w:sz w:val="20"/>
                <w:szCs w:val="20"/>
              </w:rPr>
              <w:t>Characteristic</w:t>
            </w:r>
          </w:p>
        </w:tc>
        <w:tc>
          <w:tcPr>
            <w:tcW w:w="2866" w:type="dxa"/>
            <w:vAlign w:val="center"/>
          </w:tcPr>
          <w:p w:rsidR="00264FC5" w:rsidRPr="00DB4AE1" w:rsidRDefault="00841857" w:rsidP="00837BC5">
            <w:pPr>
              <w:keepNext/>
              <w:widowControl/>
              <w:jc w:val="center"/>
              <w:rPr>
                <w:rFonts w:ascii="Arial Narrow" w:hAnsi="Arial Narrow"/>
                <w:b/>
                <w:sz w:val="20"/>
                <w:szCs w:val="20"/>
              </w:rPr>
            </w:pPr>
            <w:r>
              <w:rPr>
                <w:rFonts w:ascii="Arial Narrow" w:hAnsi="Arial Narrow"/>
                <w:b/>
                <w:sz w:val="20"/>
                <w:szCs w:val="20"/>
              </w:rPr>
              <w:t>Stark 2017</w:t>
            </w:r>
            <w:r w:rsidR="00264FC5" w:rsidRPr="00DB4AE1">
              <w:rPr>
                <w:rFonts w:ascii="Arial Narrow" w:hAnsi="Arial Narrow"/>
                <w:b/>
                <w:sz w:val="20"/>
                <w:szCs w:val="20"/>
              </w:rPr>
              <w:t xml:space="preserve"> patients</w:t>
            </w:r>
          </w:p>
          <w:p w:rsidR="00264FC5" w:rsidRPr="00DB4AE1" w:rsidRDefault="00264FC5" w:rsidP="00837BC5">
            <w:pPr>
              <w:keepNext/>
              <w:widowControl/>
              <w:jc w:val="center"/>
              <w:rPr>
                <w:rFonts w:ascii="Arial Narrow" w:hAnsi="Arial Narrow"/>
                <w:b/>
                <w:sz w:val="20"/>
                <w:szCs w:val="20"/>
              </w:rPr>
            </w:pPr>
            <w:r w:rsidRPr="00DB4AE1">
              <w:rPr>
                <w:rFonts w:ascii="Arial Narrow" w:hAnsi="Arial Narrow"/>
                <w:b/>
                <w:sz w:val="20"/>
                <w:szCs w:val="20"/>
              </w:rPr>
              <w:t>N=211</w:t>
            </w:r>
          </w:p>
        </w:tc>
        <w:tc>
          <w:tcPr>
            <w:tcW w:w="2867" w:type="dxa"/>
            <w:vAlign w:val="center"/>
          </w:tcPr>
          <w:p w:rsidR="00264FC5" w:rsidRPr="00DB4AE1" w:rsidRDefault="00264FC5" w:rsidP="00837BC5">
            <w:pPr>
              <w:keepNext/>
              <w:widowControl/>
              <w:jc w:val="center"/>
              <w:rPr>
                <w:rFonts w:ascii="Arial Narrow" w:hAnsi="Arial Narrow"/>
                <w:b/>
                <w:sz w:val="20"/>
                <w:szCs w:val="20"/>
              </w:rPr>
            </w:pPr>
            <w:r w:rsidRPr="00DB4AE1">
              <w:rPr>
                <w:rFonts w:ascii="Arial Narrow" w:hAnsi="Arial Narrow"/>
                <w:b/>
                <w:sz w:val="20"/>
                <w:szCs w:val="20"/>
              </w:rPr>
              <w:t>PREEMPT patients</w:t>
            </w:r>
          </w:p>
          <w:p w:rsidR="00264FC5" w:rsidRPr="00DB4AE1" w:rsidRDefault="00264FC5" w:rsidP="00837BC5">
            <w:pPr>
              <w:keepNext/>
              <w:widowControl/>
              <w:jc w:val="center"/>
              <w:rPr>
                <w:rFonts w:ascii="Arial Narrow" w:hAnsi="Arial Narrow"/>
                <w:b/>
                <w:sz w:val="20"/>
                <w:szCs w:val="20"/>
              </w:rPr>
            </w:pPr>
            <w:r w:rsidRPr="00DB4AE1">
              <w:rPr>
                <w:rFonts w:ascii="Arial Narrow" w:hAnsi="Arial Narrow"/>
                <w:b/>
                <w:sz w:val="20"/>
                <w:szCs w:val="20"/>
              </w:rPr>
              <w:t>N=1384</w:t>
            </w:r>
          </w:p>
        </w:tc>
      </w:tr>
      <w:tr w:rsidR="00264FC5" w:rsidRPr="00DB4AE1" w:rsidTr="00313D63">
        <w:tc>
          <w:tcPr>
            <w:tcW w:w="3510" w:type="dxa"/>
            <w:vAlign w:val="center"/>
          </w:tcPr>
          <w:p w:rsidR="00264FC5" w:rsidRPr="00DB4AE1" w:rsidRDefault="00264FC5" w:rsidP="00837BC5">
            <w:pPr>
              <w:pStyle w:val="Bulletpoints"/>
              <w:keepNext/>
              <w:widowControl/>
              <w:numPr>
                <w:ilvl w:val="0"/>
                <w:numId w:val="0"/>
              </w:numPr>
              <w:spacing w:after="120"/>
              <w:jc w:val="left"/>
              <w:rPr>
                <w:rFonts w:ascii="Arial Narrow" w:hAnsi="Arial Narrow"/>
                <w:sz w:val="20"/>
                <w:szCs w:val="20"/>
              </w:rPr>
            </w:pPr>
            <w:r w:rsidRPr="00DB4AE1">
              <w:rPr>
                <w:rFonts w:ascii="Arial Narrow" w:hAnsi="Arial Narrow"/>
                <w:sz w:val="20"/>
                <w:szCs w:val="20"/>
              </w:rPr>
              <w:t>Age, mean (SD) years</w:t>
            </w:r>
          </w:p>
        </w:tc>
        <w:tc>
          <w:tcPr>
            <w:tcW w:w="2866" w:type="dxa"/>
            <w:vAlign w:val="center"/>
          </w:tcPr>
          <w:p w:rsidR="00264FC5" w:rsidRPr="00DB4AE1" w:rsidRDefault="00264FC5" w:rsidP="00837BC5">
            <w:pPr>
              <w:pStyle w:val="Bulletpoints"/>
              <w:keepNext/>
              <w:widowControl/>
              <w:numPr>
                <w:ilvl w:val="0"/>
                <w:numId w:val="0"/>
              </w:numPr>
              <w:spacing w:after="120"/>
              <w:jc w:val="center"/>
              <w:rPr>
                <w:rFonts w:ascii="Arial Narrow" w:hAnsi="Arial Narrow"/>
                <w:sz w:val="20"/>
                <w:szCs w:val="20"/>
              </w:rPr>
            </w:pPr>
            <w:r w:rsidRPr="00DB4AE1">
              <w:rPr>
                <w:rFonts w:ascii="Arial Narrow" w:hAnsi="Arial Narrow"/>
                <w:sz w:val="20"/>
                <w:szCs w:val="20"/>
              </w:rPr>
              <w:t>44.6 (12.5)</w:t>
            </w:r>
          </w:p>
        </w:tc>
        <w:tc>
          <w:tcPr>
            <w:tcW w:w="2867" w:type="dxa"/>
            <w:vAlign w:val="center"/>
          </w:tcPr>
          <w:p w:rsidR="00264FC5" w:rsidRPr="00DB4AE1" w:rsidRDefault="00264FC5" w:rsidP="00837BC5">
            <w:pPr>
              <w:pStyle w:val="Bulletpoints"/>
              <w:keepNext/>
              <w:widowControl/>
              <w:numPr>
                <w:ilvl w:val="0"/>
                <w:numId w:val="0"/>
              </w:numPr>
              <w:spacing w:after="120"/>
              <w:jc w:val="center"/>
              <w:rPr>
                <w:rFonts w:ascii="Arial Narrow" w:hAnsi="Arial Narrow"/>
                <w:sz w:val="20"/>
                <w:szCs w:val="20"/>
              </w:rPr>
            </w:pPr>
            <w:r w:rsidRPr="00DB4AE1">
              <w:rPr>
                <w:rFonts w:ascii="Arial Narrow" w:hAnsi="Arial Narrow"/>
                <w:sz w:val="20"/>
                <w:szCs w:val="20"/>
              </w:rPr>
              <w:t>41.3 (10.5)</w:t>
            </w:r>
          </w:p>
        </w:tc>
      </w:tr>
      <w:tr w:rsidR="00264FC5" w:rsidRPr="00DB4AE1" w:rsidTr="00313D63">
        <w:tc>
          <w:tcPr>
            <w:tcW w:w="3510" w:type="dxa"/>
            <w:vAlign w:val="center"/>
          </w:tcPr>
          <w:p w:rsidR="00264FC5" w:rsidRPr="00DB4AE1" w:rsidRDefault="00264FC5" w:rsidP="00837BC5">
            <w:pPr>
              <w:pStyle w:val="Bulletpoints"/>
              <w:keepNext/>
              <w:widowControl/>
              <w:numPr>
                <w:ilvl w:val="0"/>
                <w:numId w:val="0"/>
              </w:numPr>
              <w:spacing w:after="120"/>
              <w:jc w:val="left"/>
              <w:rPr>
                <w:rFonts w:ascii="Arial Narrow" w:hAnsi="Arial Narrow"/>
                <w:sz w:val="20"/>
                <w:szCs w:val="20"/>
              </w:rPr>
            </w:pPr>
            <w:r w:rsidRPr="00DB4AE1">
              <w:rPr>
                <w:rFonts w:ascii="Arial Narrow" w:hAnsi="Arial Narrow"/>
                <w:sz w:val="20"/>
                <w:szCs w:val="20"/>
              </w:rPr>
              <w:t>Duration of CM migraine, mean (SD) years</w:t>
            </w:r>
          </w:p>
        </w:tc>
        <w:tc>
          <w:tcPr>
            <w:tcW w:w="2866" w:type="dxa"/>
            <w:vAlign w:val="center"/>
          </w:tcPr>
          <w:p w:rsidR="00264FC5" w:rsidRPr="00DB4AE1" w:rsidRDefault="00264FC5" w:rsidP="00837BC5">
            <w:pPr>
              <w:pStyle w:val="Bulletpoints"/>
              <w:keepNext/>
              <w:widowControl/>
              <w:numPr>
                <w:ilvl w:val="0"/>
                <w:numId w:val="0"/>
              </w:numPr>
              <w:spacing w:after="120"/>
              <w:jc w:val="center"/>
              <w:rPr>
                <w:rFonts w:ascii="Arial Narrow" w:hAnsi="Arial Narrow"/>
                <w:sz w:val="20"/>
                <w:szCs w:val="20"/>
              </w:rPr>
            </w:pPr>
            <w:r w:rsidRPr="00DB4AE1">
              <w:rPr>
                <w:rFonts w:ascii="Arial Narrow" w:hAnsi="Arial Narrow"/>
                <w:sz w:val="20"/>
                <w:szCs w:val="20"/>
              </w:rPr>
              <w:t>12.3 (12.0) n=144</w:t>
            </w:r>
          </w:p>
        </w:tc>
        <w:tc>
          <w:tcPr>
            <w:tcW w:w="2867" w:type="dxa"/>
            <w:vAlign w:val="center"/>
          </w:tcPr>
          <w:p w:rsidR="00264FC5" w:rsidRPr="00DB4AE1" w:rsidRDefault="00264FC5" w:rsidP="00837BC5">
            <w:pPr>
              <w:pStyle w:val="Bulletpoints"/>
              <w:keepNext/>
              <w:widowControl/>
              <w:numPr>
                <w:ilvl w:val="0"/>
                <w:numId w:val="0"/>
              </w:numPr>
              <w:spacing w:after="120"/>
              <w:jc w:val="center"/>
              <w:rPr>
                <w:rFonts w:ascii="Arial Narrow" w:hAnsi="Arial Narrow"/>
                <w:sz w:val="20"/>
                <w:szCs w:val="20"/>
              </w:rPr>
            </w:pPr>
            <w:r w:rsidRPr="00DB4AE1">
              <w:rPr>
                <w:rFonts w:ascii="Arial Narrow" w:hAnsi="Arial Narrow"/>
                <w:sz w:val="20"/>
                <w:szCs w:val="20"/>
              </w:rPr>
              <w:t>19.2 (12.6)</w:t>
            </w:r>
          </w:p>
        </w:tc>
      </w:tr>
      <w:tr w:rsidR="00264FC5" w:rsidRPr="00DB4AE1" w:rsidTr="00313D63">
        <w:tc>
          <w:tcPr>
            <w:tcW w:w="3510" w:type="dxa"/>
            <w:vAlign w:val="center"/>
          </w:tcPr>
          <w:p w:rsidR="00264FC5" w:rsidRPr="00DB4AE1" w:rsidRDefault="00264FC5" w:rsidP="00837BC5">
            <w:pPr>
              <w:pStyle w:val="Bulletpoints"/>
              <w:keepNext/>
              <w:widowControl/>
              <w:numPr>
                <w:ilvl w:val="0"/>
                <w:numId w:val="0"/>
              </w:numPr>
              <w:spacing w:after="120"/>
              <w:jc w:val="left"/>
              <w:rPr>
                <w:rFonts w:ascii="Arial Narrow" w:hAnsi="Arial Narrow"/>
                <w:sz w:val="20"/>
                <w:szCs w:val="20"/>
              </w:rPr>
            </w:pPr>
            <w:r w:rsidRPr="00DB4AE1">
              <w:rPr>
                <w:rFonts w:ascii="Arial Narrow" w:hAnsi="Arial Narrow"/>
                <w:sz w:val="20"/>
                <w:szCs w:val="20"/>
              </w:rPr>
              <w:t>Women</w:t>
            </w:r>
          </w:p>
        </w:tc>
        <w:tc>
          <w:tcPr>
            <w:tcW w:w="2866" w:type="dxa"/>
            <w:vAlign w:val="center"/>
          </w:tcPr>
          <w:p w:rsidR="00264FC5" w:rsidRPr="00DB4AE1" w:rsidRDefault="00264FC5" w:rsidP="00837BC5">
            <w:pPr>
              <w:pStyle w:val="Bulletpoints"/>
              <w:keepNext/>
              <w:widowControl/>
              <w:numPr>
                <w:ilvl w:val="0"/>
                <w:numId w:val="0"/>
              </w:numPr>
              <w:spacing w:after="120"/>
              <w:jc w:val="center"/>
              <w:rPr>
                <w:rFonts w:ascii="Arial Narrow" w:hAnsi="Arial Narrow"/>
                <w:sz w:val="20"/>
                <w:szCs w:val="20"/>
              </w:rPr>
            </w:pPr>
            <w:r w:rsidRPr="00DB4AE1">
              <w:rPr>
                <w:rFonts w:ascii="Arial Narrow" w:hAnsi="Arial Narrow"/>
                <w:sz w:val="20"/>
                <w:szCs w:val="20"/>
              </w:rPr>
              <w:t>88.6%</w:t>
            </w:r>
          </w:p>
        </w:tc>
        <w:tc>
          <w:tcPr>
            <w:tcW w:w="2867" w:type="dxa"/>
            <w:vAlign w:val="center"/>
          </w:tcPr>
          <w:p w:rsidR="00264FC5" w:rsidRPr="00DB4AE1" w:rsidRDefault="00264FC5" w:rsidP="00837BC5">
            <w:pPr>
              <w:pStyle w:val="Bulletpoints"/>
              <w:keepNext/>
              <w:widowControl/>
              <w:numPr>
                <w:ilvl w:val="0"/>
                <w:numId w:val="0"/>
              </w:numPr>
              <w:spacing w:after="120"/>
              <w:jc w:val="center"/>
              <w:rPr>
                <w:rFonts w:ascii="Arial Narrow" w:hAnsi="Arial Narrow"/>
                <w:sz w:val="20"/>
                <w:szCs w:val="20"/>
              </w:rPr>
            </w:pPr>
            <w:r w:rsidRPr="00DB4AE1">
              <w:rPr>
                <w:rFonts w:ascii="Arial Narrow" w:hAnsi="Arial Narrow"/>
                <w:sz w:val="20"/>
                <w:szCs w:val="20"/>
              </w:rPr>
              <w:t>86.4%</w:t>
            </w:r>
          </w:p>
        </w:tc>
      </w:tr>
      <w:tr w:rsidR="00264FC5" w:rsidRPr="00DB4AE1" w:rsidTr="00313D63">
        <w:tc>
          <w:tcPr>
            <w:tcW w:w="3510" w:type="dxa"/>
            <w:vAlign w:val="center"/>
          </w:tcPr>
          <w:p w:rsidR="00264FC5" w:rsidRPr="00DB4AE1" w:rsidRDefault="00264FC5" w:rsidP="00837BC5">
            <w:pPr>
              <w:pStyle w:val="Bulletpoints"/>
              <w:keepNext/>
              <w:widowControl/>
              <w:numPr>
                <w:ilvl w:val="0"/>
                <w:numId w:val="0"/>
              </w:numPr>
              <w:spacing w:after="120"/>
              <w:jc w:val="left"/>
              <w:rPr>
                <w:rFonts w:ascii="Arial Narrow" w:hAnsi="Arial Narrow"/>
                <w:sz w:val="20"/>
                <w:szCs w:val="20"/>
              </w:rPr>
            </w:pPr>
            <w:r w:rsidRPr="00DB4AE1">
              <w:rPr>
                <w:rFonts w:ascii="Arial Narrow" w:hAnsi="Arial Narrow"/>
                <w:sz w:val="20"/>
                <w:szCs w:val="20"/>
              </w:rPr>
              <w:t>Baseline headache days/month, mean (SD)</w:t>
            </w:r>
          </w:p>
        </w:tc>
        <w:tc>
          <w:tcPr>
            <w:tcW w:w="2866" w:type="dxa"/>
            <w:vAlign w:val="center"/>
          </w:tcPr>
          <w:p w:rsidR="00264FC5" w:rsidRPr="00DB4AE1" w:rsidRDefault="00264FC5" w:rsidP="00837BC5">
            <w:pPr>
              <w:pStyle w:val="Bulletpoints"/>
              <w:keepNext/>
              <w:widowControl/>
              <w:numPr>
                <w:ilvl w:val="0"/>
                <w:numId w:val="0"/>
              </w:numPr>
              <w:spacing w:after="120"/>
              <w:jc w:val="center"/>
              <w:rPr>
                <w:rFonts w:ascii="Arial Narrow" w:hAnsi="Arial Narrow"/>
                <w:sz w:val="20"/>
                <w:szCs w:val="20"/>
              </w:rPr>
            </w:pPr>
            <w:r w:rsidRPr="00DB4AE1">
              <w:rPr>
                <w:rFonts w:ascii="Arial Narrow" w:hAnsi="Arial Narrow"/>
                <w:sz w:val="20"/>
                <w:szCs w:val="20"/>
              </w:rPr>
              <w:t>25.3 (5.3)</w:t>
            </w:r>
          </w:p>
        </w:tc>
        <w:tc>
          <w:tcPr>
            <w:tcW w:w="2867" w:type="dxa"/>
            <w:vAlign w:val="center"/>
          </w:tcPr>
          <w:p w:rsidR="00264FC5" w:rsidRPr="00DB4AE1" w:rsidRDefault="00264FC5" w:rsidP="00837BC5">
            <w:pPr>
              <w:pStyle w:val="Bulletpoints"/>
              <w:keepNext/>
              <w:widowControl/>
              <w:numPr>
                <w:ilvl w:val="0"/>
                <w:numId w:val="0"/>
              </w:numPr>
              <w:spacing w:after="120"/>
              <w:jc w:val="center"/>
              <w:rPr>
                <w:rFonts w:ascii="Arial Narrow" w:hAnsi="Arial Narrow"/>
                <w:sz w:val="20"/>
                <w:szCs w:val="20"/>
              </w:rPr>
            </w:pPr>
            <w:r w:rsidRPr="00DB4AE1">
              <w:rPr>
                <w:rFonts w:ascii="Arial Narrow" w:hAnsi="Arial Narrow"/>
                <w:sz w:val="20"/>
                <w:szCs w:val="20"/>
              </w:rPr>
              <w:t>19.9 (3.7)</w:t>
            </w:r>
          </w:p>
        </w:tc>
      </w:tr>
      <w:tr w:rsidR="00264FC5" w:rsidRPr="00DB4AE1" w:rsidTr="00313D63">
        <w:tc>
          <w:tcPr>
            <w:tcW w:w="3510" w:type="dxa"/>
            <w:vAlign w:val="center"/>
          </w:tcPr>
          <w:p w:rsidR="00264FC5" w:rsidRPr="00DB4AE1" w:rsidRDefault="00264FC5" w:rsidP="00837BC5">
            <w:pPr>
              <w:pStyle w:val="Bulletpoints"/>
              <w:keepNext/>
              <w:widowControl/>
              <w:numPr>
                <w:ilvl w:val="0"/>
                <w:numId w:val="0"/>
              </w:numPr>
              <w:spacing w:after="120"/>
              <w:jc w:val="left"/>
              <w:rPr>
                <w:rFonts w:ascii="Arial Narrow" w:hAnsi="Arial Narrow"/>
                <w:sz w:val="20"/>
                <w:szCs w:val="20"/>
              </w:rPr>
            </w:pPr>
            <w:r w:rsidRPr="00DB4AE1">
              <w:rPr>
                <w:rFonts w:ascii="Arial Narrow" w:hAnsi="Arial Narrow"/>
                <w:sz w:val="20"/>
                <w:szCs w:val="20"/>
              </w:rPr>
              <w:t>Baseline migraine days/month, mean (SD)</w:t>
            </w:r>
          </w:p>
        </w:tc>
        <w:tc>
          <w:tcPr>
            <w:tcW w:w="2866" w:type="dxa"/>
            <w:vAlign w:val="center"/>
          </w:tcPr>
          <w:p w:rsidR="00264FC5" w:rsidRPr="00DB4AE1" w:rsidRDefault="00264FC5" w:rsidP="00837BC5">
            <w:pPr>
              <w:pStyle w:val="Bulletpoints"/>
              <w:keepNext/>
              <w:widowControl/>
              <w:numPr>
                <w:ilvl w:val="0"/>
                <w:numId w:val="0"/>
              </w:numPr>
              <w:spacing w:after="120"/>
              <w:jc w:val="center"/>
              <w:rPr>
                <w:rFonts w:ascii="Arial Narrow" w:hAnsi="Arial Narrow"/>
                <w:sz w:val="20"/>
                <w:szCs w:val="20"/>
              </w:rPr>
            </w:pPr>
            <w:r w:rsidRPr="00DB4AE1">
              <w:rPr>
                <w:rFonts w:ascii="Arial Narrow" w:hAnsi="Arial Narrow"/>
                <w:sz w:val="20"/>
                <w:szCs w:val="20"/>
              </w:rPr>
              <w:t>15.3 (7.9) n=197</w:t>
            </w:r>
          </w:p>
        </w:tc>
        <w:tc>
          <w:tcPr>
            <w:tcW w:w="2867" w:type="dxa"/>
            <w:vAlign w:val="center"/>
          </w:tcPr>
          <w:p w:rsidR="00264FC5" w:rsidRPr="00DB4AE1" w:rsidRDefault="00264FC5" w:rsidP="00837BC5">
            <w:pPr>
              <w:pStyle w:val="Bulletpoints"/>
              <w:keepNext/>
              <w:widowControl/>
              <w:numPr>
                <w:ilvl w:val="0"/>
                <w:numId w:val="0"/>
              </w:numPr>
              <w:spacing w:after="120"/>
              <w:jc w:val="center"/>
              <w:rPr>
                <w:rFonts w:ascii="Arial Narrow" w:hAnsi="Arial Narrow"/>
                <w:sz w:val="20"/>
                <w:szCs w:val="20"/>
              </w:rPr>
            </w:pPr>
            <w:r w:rsidRPr="00DB4AE1">
              <w:rPr>
                <w:rFonts w:ascii="Arial Narrow" w:hAnsi="Arial Narrow"/>
                <w:sz w:val="20"/>
                <w:szCs w:val="20"/>
              </w:rPr>
              <w:t>16.4 (5.8)</w:t>
            </w:r>
          </w:p>
        </w:tc>
      </w:tr>
      <w:tr w:rsidR="00264FC5" w:rsidRPr="00DB4AE1" w:rsidTr="00313D63">
        <w:tc>
          <w:tcPr>
            <w:tcW w:w="3510" w:type="dxa"/>
            <w:vAlign w:val="center"/>
          </w:tcPr>
          <w:p w:rsidR="00264FC5" w:rsidRPr="00DB4AE1" w:rsidRDefault="00264FC5" w:rsidP="00837BC5">
            <w:pPr>
              <w:pStyle w:val="Bulletpoints"/>
              <w:keepNext/>
              <w:widowControl/>
              <w:numPr>
                <w:ilvl w:val="0"/>
                <w:numId w:val="0"/>
              </w:numPr>
              <w:spacing w:after="120"/>
              <w:jc w:val="left"/>
              <w:rPr>
                <w:rFonts w:ascii="Arial Narrow" w:hAnsi="Arial Narrow"/>
                <w:sz w:val="20"/>
                <w:szCs w:val="20"/>
              </w:rPr>
            </w:pPr>
            <w:r w:rsidRPr="00DB4AE1">
              <w:rPr>
                <w:rFonts w:ascii="Arial Narrow" w:hAnsi="Arial Narrow"/>
                <w:sz w:val="20"/>
                <w:szCs w:val="20"/>
              </w:rPr>
              <w:t>Baseline HIT-6 score, mean (SD)</w:t>
            </w:r>
          </w:p>
        </w:tc>
        <w:tc>
          <w:tcPr>
            <w:tcW w:w="2866" w:type="dxa"/>
            <w:vAlign w:val="center"/>
          </w:tcPr>
          <w:p w:rsidR="00264FC5" w:rsidRPr="00DB4AE1" w:rsidRDefault="00264FC5" w:rsidP="00837BC5">
            <w:pPr>
              <w:pStyle w:val="Bulletpoints"/>
              <w:keepNext/>
              <w:widowControl/>
              <w:numPr>
                <w:ilvl w:val="0"/>
                <w:numId w:val="0"/>
              </w:numPr>
              <w:spacing w:after="120"/>
              <w:jc w:val="center"/>
              <w:rPr>
                <w:rFonts w:ascii="Arial Narrow" w:hAnsi="Arial Narrow"/>
                <w:sz w:val="20"/>
                <w:szCs w:val="20"/>
              </w:rPr>
            </w:pPr>
            <w:r w:rsidRPr="00DB4AE1">
              <w:rPr>
                <w:rFonts w:ascii="Arial Narrow" w:hAnsi="Arial Narrow"/>
                <w:sz w:val="20"/>
                <w:szCs w:val="20"/>
              </w:rPr>
              <w:t>68.2 (4.8) n=100</w:t>
            </w:r>
          </w:p>
        </w:tc>
        <w:tc>
          <w:tcPr>
            <w:tcW w:w="2867" w:type="dxa"/>
            <w:vAlign w:val="center"/>
          </w:tcPr>
          <w:p w:rsidR="00264FC5" w:rsidRPr="00DB4AE1" w:rsidRDefault="00264FC5" w:rsidP="00837BC5">
            <w:pPr>
              <w:pStyle w:val="Bulletpoints"/>
              <w:keepNext/>
              <w:widowControl/>
              <w:numPr>
                <w:ilvl w:val="0"/>
                <w:numId w:val="0"/>
              </w:numPr>
              <w:spacing w:after="120"/>
              <w:jc w:val="center"/>
              <w:rPr>
                <w:rFonts w:ascii="Arial Narrow" w:hAnsi="Arial Narrow"/>
                <w:sz w:val="20"/>
                <w:szCs w:val="20"/>
              </w:rPr>
            </w:pPr>
            <w:r w:rsidRPr="00DB4AE1">
              <w:rPr>
                <w:rFonts w:ascii="Arial Narrow" w:hAnsi="Arial Narrow"/>
                <w:sz w:val="20"/>
                <w:szCs w:val="20"/>
              </w:rPr>
              <w:t>65.5 (4.2)</w:t>
            </w:r>
          </w:p>
        </w:tc>
      </w:tr>
      <w:tr w:rsidR="00264FC5" w:rsidRPr="00DB4AE1" w:rsidTr="00313D63">
        <w:tc>
          <w:tcPr>
            <w:tcW w:w="3510" w:type="dxa"/>
            <w:vAlign w:val="center"/>
          </w:tcPr>
          <w:p w:rsidR="00264FC5" w:rsidRPr="00DB4AE1" w:rsidRDefault="00264FC5" w:rsidP="00837BC5">
            <w:pPr>
              <w:pStyle w:val="Bulletpoints"/>
              <w:keepNext/>
              <w:widowControl/>
              <w:numPr>
                <w:ilvl w:val="0"/>
                <w:numId w:val="0"/>
              </w:numPr>
              <w:spacing w:after="120"/>
              <w:jc w:val="left"/>
              <w:rPr>
                <w:rFonts w:ascii="Arial Narrow" w:hAnsi="Arial Narrow"/>
                <w:sz w:val="20"/>
                <w:szCs w:val="20"/>
              </w:rPr>
            </w:pPr>
            <w:r w:rsidRPr="00DB4AE1">
              <w:rPr>
                <w:rFonts w:ascii="Arial Narrow" w:hAnsi="Arial Narrow"/>
                <w:sz w:val="20"/>
                <w:szCs w:val="20"/>
              </w:rPr>
              <w:t>Patients with severe (≥60) HIT-6 score</w:t>
            </w:r>
          </w:p>
        </w:tc>
        <w:tc>
          <w:tcPr>
            <w:tcW w:w="2866" w:type="dxa"/>
            <w:vAlign w:val="center"/>
          </w:tcPr>
          <w:p w:rsidR="00264FC5" w:rsidRPr="00DB4AE1" w:rsidRDefault="00264FC5" w:rsidP="00837BC5">
            <w:pPr>
              <w:pStyle w:val="Bulletpoints"/>
              <w:keepNext/>
              <w:widowControl/>
              <w:numPr>
                <w:ilvl w:val="0"/>
                <w:numId w:val="0"/>
              </w:numPr>
              <w:spacing w:after="120"/>
              <w:jc w:val="center"/>
              <w:rPr>
                <w:rFonts w:ascii="Arial Narrow" w:hAnsi="Arial Narrow"/>
                <w:sz w:val="20"/>
                <w:szCs w:val="20"/>
              </w:rPr>
            </w:pPr>
            <w:r w:rsidRPr="00DB4AE1">
              <w:rPr>
                <w:rFonts w:ascii="Arial Narrow" w:hAnsi="Arial Narrow"/>
                <w:sz w:val="20"/>
                <w:szCs w:val="20"/>
              </w:rPr>
              <w:t>98.0% n=100</w:t>
            </w:r>
          </w:p>
        </w:tc>
        <w:tc>
          <w:tcPr>
            <w:tcW w:w="2867" w:type="dxa"/>
            <w:vAlign w:val="center"/>
          </w:tcPr>
          <w:p w:rsidR="00264FC5" w:rsidRPr="00DB4AE1" w:rsidRDefault="00264FC5" w:rsidP="00837BC5">
            <w:pPr>
              <w:pStyle w:val="Bulletpoints"/>
              <w:keepNext/>
              <w:widowControl/>
              <w:numPr>
                <w:ilvl w:val="0"/>
                <w:numId w:val="0"/>
              </w:numPr>
              <w:spacing w:after="120"/>
              <w:jc w:val="center"/>
              <w:rPr>
                <w:rFonts w:ascii="Arial Narrow" w:hAnsi="Arial Narrow"/>
                <w:sz w:val="20"/>
                <w:szCs w:val="20"/>
              </w:rPr>
            </w:pPr>
            <w:r w:rsidRPr="00DB4AE1">
              <w:rPr>
                <w:rFonts w:ascii="Arial Narrow" w:hAnsi="Arial Narrow"/>
                <w:sz w:val="20"/>
                <w:szCs w:val="20"/>
              </w:rPr>
              <w:t>93.1%</w:t>
            </w:r>
          </w:p>
        </w:tc>
      </w:tr>
      <w:tr w:rsidR="00264FC5" w:rsidRPr="00DB4AE1" w:rsidTr="00313D63">
        <w:tc>
          <w:tcPr>
            <w:tcW w:w="3510" w:type="dxa"/>
            <w:vAlign w:val="center"/>
          </w:tcPr>
          <w:p w:rsidR="00264FC5" w:rsidRPr="00DB4AE1" w:rsidRDefault="00264FC5" w:rsidP="00837BC5">
            <w:pPr>
              <w:pStyle w:val="Bulletpoints"/>
              <w:keepNext/>
              <w:widowControl/>
              <w:numPr>
                <w:ilvl w:val="0"/>
                <w:numId w:val="0"/>
              </w:numPr>
              <w:spacing w:after="120"/>
              <w:jc w:val="left"/>
              <w:rPr>
                <w:rFonts w:ascii="Arial Narrow" w:hAnsi="Arial Narrow"/>
                <w:sz w:val="20"/>
                <w:szCs w:val="20"/>
              </w:rPr>
            </w:pPr>
            <w:r w:rsidRPr="00DB4AE1">
              <w:rPr>
                <w:rFonts w:ascii="Arial Narrow" w:hAnsi="Arial Narrow"/>
                <w:sz w:val="20"/>
                <w:szCs w:val="20"/>
              </w:rPr>
              <w:t>Previously used ≥ headache prophylactics</w:t>
            </w:r>
          </w:p>
        </w:tc>
        <w:tc>
          <w:tcPr>
            <w:tcW w:w="2866" w:type="dxa"/>
            <w:vAlign w:val="center"/>
          </w:tcPr>
          <w:p w:rsidR="00264FC5" w:rsidRPr="00DB4AE1" w:rsidRDefault="00264FC5" w:rsidP="00837BC5">
            <w:pPr>
              <w:pStyle w:val="Bulletpoints"/>
              <w:keepNext/>
              <w:widowControl/>
              <w:numPr>
                <w:ilvl w:val="0"/>
                <w:numId w:val="0"/>
              </w:numPr>
              <w:spacing w:after="120"/>
              <w:jc w:val="center"/>
              <w:rPr>
                <w:rFonts w:ascii="Arial Narrow" w:hAnsi="Arial Narrow"/>
                <w:sz w:val="20"/>
                <w:szCs w:val="20"/>
              </w:rPr>
            </w:pPr>
            <w:r w:rsidRPr="00DB4AE1">
              <w:rPr>
                <w:rFonts w:ascii="Arial Narrow" w:hAnsi="Arial Narrow"/>
                <w:sz w:val="20"/>
                <w:szCs w:val="20"/>
              </w:rPr>
              <w:t>100%</w:t>
            </w:r>
          </w:p>
        </w:tc>
        <w:tc>
          <w:tcPr>
            <w:tcW w:w="2867" w:type="dxa"/>
            <w:vAlign w:val="center"/>
          </w:tcPr>
          <w:p w:rsidR="00264FC5" w:rsidRPr="00DB4AE1" w:rsidRDefault="00264FC5" w:rsidP="00837BC5">
            <w:pPr>
              <w:pStyle w:val="Bulletpoints"/>
              <w:keepNext/>
              <w:widowControl/>
              <w:numPr>
                <w:ilvl w:val="0"/>
                <w:numId w:val="0"/>
              </w:numPr>
              <w:spacing w:after="120"/>
              <w:jc w:val="center"/>
              <w:rPr>
                <w:rFonts w:ascii="Arial Narrow" w:hAnsi="Arial Narrow"/>
                <w:sz w:val="20"/>
                <w:szCs w:val="20"/>
              </w:rPr>
            </w:pPr>
            <w:r w:rsidRPr="00DB4AE1">
              <w:rPr>
                <w:rFonts w:ascii="Arial Narrow" w:hAnsi="Arial Narrow"/>
                <w:sz w:val="20"/>
                <w:szCs w:val="20"/>
              </w:rPr>
              <w:t>63.5%</w:t>
            </w:r>
          </w:p>
        </w:tc>
      </w:tr>
      <w:tr w:rsidR="00264FC5" w:rsidRPr="00DB4AE1" w:rsidTr="00313D63">
        <w:tc>
          <w:tcPr>
            <w:tcW w:w="3510" w:type="dxa"/>
            <w:vAlign w:val="center"/>
          </w:tcPr>
          <w:p w:rsidR="00264FC5" w:rsidRPr="00DB4AE1" w:rsidRDefault="00264FC5" w:rsidP="00837BC5">
            <w:pPr>
              <w:pStyle w:val="Bulletpoints"/>
              <w:keepNext/>
              <w:widowControl/>
              <w:numPr>
                <w:ilvl w:val="0"/>
                <w:numId w:val="0"/>
              </w:numPr>
              <w:spacing w:after="120"/>
              <w:jc w:val="left"/>
              <w:rPr>
                <w:rFonts w:ascii="Arial Narrow" w:hAnsi="Arial Narrow"/>
                <w:sz w:val="20"/>
                <w:szCs w:val="20"/>
              </w:rPr>
            </w:pPr>
            <w:r w:rsidRPr="00DB4AE1">
              <w:rPr>
                <w:rFonts w:ascii="Arial Narrow" w:hAnsi="Arial Narrow"/>
                <w:sz w:val="20"/>
                <w:szCs w:val="20"/>
              </w:rPr>
              <w:t xml:space="preserve">Prior use </w:t>
            </w:r>
            <w:r w:rsidR="00D95F30" w:rsidRPr="00DB4AE1">
              <w:rPr>
                <w:rFonts w:ascii="Arial Narrow" w:hAnsi="Arial Narrow"/>
                <w:sz w:val="20"/>
                <w:szCs w:val="20"/>
              </w:rPr>
              <w:t xml:space="preserve">of </w:t>
            </w:r>
            <w:r w:rsidRPr="00DB4AE1">
              <w:rPr>
                <w:rFonts w:ascii="Arial Narrow" w:hAnsi="Arial Narrow"/>
                <w:sz w:val="20"/>
                <w:szCs w:val="20"/>
              </w:rPr>
              <w:t>amitriptyline</w:t>
            </w:r>
            <w:r w:rsidRPr="00DB4AE1">
              <w:rPr>
                <w:rFonts w:ascii="Arial Narrow" w:hAnsi="Arial Narrow"/>
                <w:sz w:val="20"/>
                <w:szCs w:val="20"/>
              </w:rPr>
              <w:br/>
              <w:t xml:space="preserve">Prior use </w:t>
            </w:r>
            <w:r w:rsidR="00D95F30" w:rsidRPr="00DB4AE1">
              <w:rPr>
                <w:rFonts w:ascii="Arial Narrow" w:hAnsi="Arial Narrow"/>
                <w:sz w:val="20"/>
                <w:szCs w:val="20"/>
              </w:rPr>
              <w:t xml:space="preserve">of </w:t>
            </w:r>
            <w:r w:rsidRPr="00DB4AE1">
              <w:rPr>
                <w:rFonts w:ascii="Arial Narrow" w:hAnsi="Arial Narrow"/>
                <w:sz w:val="20"/>
                <w:szCs w:val="20"/>
              </w:rPr>
              <w:t>topiramate</w:t>
            </w:r>
            <w:r w:rsidRPr="00DB4AE1">
              <w:rPr>
                <w:rFonts w:ascii="Arial Narrow" w:hAnsi="Arial Narrow"/>
                <w:sz w:val="20"/>
                <w:szCs w:val="20"/>
              </w:rPr>
              <w:br/>
              <w:t xml:space="preserve">Prior use </w:t>
            </w:r>
            <w:r w:rsidR="00D95F30" w:rsidRPr="00DB4AE1">
              <w:rPr>
                <w:rFonts w:ascii="Arial Narrow" w:hAnsi="Arial Narrow"/>
                <w:sz w:val="20"/>
                <w:szCs w:val="20"/>
              </w:rPr>
              <w:t xml:space="preserve">of </w:t>
            </w:r>
            <w:r w:rsidRPr="00DB4AE1">
              <w:rPr>
                <w:rFonts w:ascii="Arial Narrow" w:hAnsi="Arial Narrow"/>
                <w:sz w:val="20"/>
                <w:szCs w:val="20"/>
              </w:rPr>
              <w:t>propranolol</w:t>
            </w:r>
          </w:p>
        </w:tc>
        <w:tc>
          <w:tcPr>
            <w:tcW w:w="2866" w:type="dxa"/>
            <w:vAlign w:val="center"/>
          </w:tcPr>
          <w:p w:rsidR="00264FC5" w:rsidRPr="00DB4AE1" w:rsidRDefault="00264FC5" w:rsidP="00837BC5">
            <w:pPr>
              <w:pStyle w:val="Bulletpoints"/>
              <w:keepNext/>
              <w:widowControl/>
              <w:numPr>
                <w:ilvl w:val="0"/>
                <w:numId w:val="0"/>
              </w:numPr>
              <w:spacing w:after="120"/>
              <w:jc w:val="center"/>
              <w:rPr>
                <w:rFonts w:ascii="Arial Narrow" w:hAnsi="Arial Narrow"/>
                <w:sz w:val="20"/>
                <w:szCs w:val="20"/>
              </w:rPr>
            </w:pPr>
            <w:r w:rsidRPr="00DB4AE1">
              <w:rPr>
                <w:rFonts w:ascii="Arial Narrow" w:hAnsi="Arial Narrow"/>
                <w:sz w:val="20"/>
                <w:szCs w:val="20"/>
              </w:rPr>
              <w:t>72.0%</w:t>
            </w:r>
            <w:r w:rsidRPr="00DB4AE1">
              <w:rPr>
                <w:rFonts w:ascii="Arial Narrow" w:hAnsi="Arial Narrow"/>
                <w:sz w:val="20"/>
                <w:szCs w:val="20"/>
              </w:rPr>
              <w:br/>
              <w:t>71.6%</w:t>
            </w:r>
            <w:r w:rsidRPr="00DB4AE1">
              <w:rPr>
                <w:rFonts w:ascii="Arial Narrow" w:hAnsi="Arial Narrow"/>
                <w:sz w:val="20"/>
                <w:szCs w:val="20"/>
              </w:rPr>
              <w:br/>
              <w:t>67.8%</w:t>
            </w:r>
          </w:p>
        </w:tc>
        <w:tc>
          <w:tcPr>
            <w:tcW w:w="2867" w:type="dxa"/>
            <w:vAlign w:val="center"/>
          </w:tcPr>
          <w:p w:rsidR="00264FC5" w:rsidRPr="00DB4AE1" w:rsidRDefault="00264FC5" w:rsidP="00837BC5">
            <w:pPr>
              <w:pStyle w:val="Bulletpoints"/>
              <w:keepNext/>
              <w:widowControl/>
              <w:numPr>
                <w:ilvl w:val="0"/>
                <w:numId w:val="0"/>
              </w:numPr>
              <w:spacing w:after="120"/>
              <w:jc w:val="center"/>
              <w:rPr>
                <w:rFonts w:ascii="Arial Narrow" w:hAnsi="Arial Narrow"/>
                <w:sz w:val="20"/>
                <w:szCs w:val="20"/>
              </w:rPr>
            </w:pPr>
            <w:r w:rsidRPr="00DB4AE1">
              <w:rPr>
                <w:rFonts w:ascii="Arial Narrow" w:hAnsi="Arial Narrow"/>
                <w:sz w:val="20"/>
                <w:szCs w:val="20"/>
              </w:rPr>
              <w:t>24.3%</w:t>
            </w:r>
            <w:r w:rsidRPr="00DB4AE1">
              <w:rPr>
                <w:rFonts w:ascii="Arial Narrow" w:hAnsi="Arial Narrow"/>
                <w:sz w:val="20"/>
                <w:szCs w:val="20"/>
              </w:rPr>
              <w:br/>
              <w:t>41.0%</w:t>
            </w:r>
            <w:r w:rsidRPr="00DB4AE1">
              <w:rPr>
                <w:rFonts w:ascii="Arial Narrow" w:hAnsi="Arial Narrow"/>
                <w:sz w:val="20"/>
                <w:szCs w:val="20"/>
              </w:rPr>
              <w:br/>
              <w:t>20.2%</w:t>
            </w:r>
          </w:p>
        </w:tc>
      </w:tr>
      <w:tr w:rsidR="00264FC5" w:rsidRPr="00DB4AE1" w:rsidTr="00313D63">
        <w:tc>
          <w:tcPr>
            <w:tcW w:w="3510" w:type="dxa"/>
            <w:vAlign w:val="center"/>
          </w:tcPr>
          <w:p w:rsidR="00264FC5" w:rsidRPr="00DB4AE1" w:rsidRDefault="00264FC5" w:rsidP="00837BC5">
            <w:pPr>
              <w:pStyle w:val="Bulletpoints"/>
              <w:keepNext/>
              <w:widowControl/>
              <w:numPr>
                <w:ilvl w:val="0"/>
                <w:numId w:val="0"/>
              </w:numPr>
              <w:spacing w:after="120"/>
              <w:jc w:val="left"/>
              <w:rPr>
                <w:rFonts w:ascii="Arial Narrow" w:hAnsi="Arial Narrow"/>
                <w:sz w:val="20"/>
                <w:szCs w:val="20"/>
              </w:rPr>
            </w:pPr>
            <w:r w:rsidRPr="00DB4AE1">
              <w:rPr>
                <w:rFonts w:ascii="Arial Narrow" w:hAnsi="Arial Narrow"/>
                <w:sz w:val="20"/>
                <w:szCs w:val="20"/>
              </w:rPr>
              <w:t>Continued oral headache prophylactics</w:t>
            </w:r>
          </w:p>
        </w:tc>
        <w:tc>
          <w:tcPr>
            <w:tcW w:w="2866" w:type="dxa"/>
            <w:vAlign w:val="center"/>
          </w:tcPr>
          <w:p w:rsidR="00264FC5" w:rsidRPr="00DB4AE1" w:rsidRDefault="00264FC5" w:rsidP="00837BC5">
            <w:pPr>
              <w:pStyle w:val="Bulletpoints"/>
              <w:keepNext/>
              <w:widowControl/>
              <w:numPr>
                <w:ilvl w:val="0"/>
                <w:numId w:val="0"/>
              </w:numPr>
              <w:spacing w:after="120"/>
              <w:jc w:val="center"/>
              <w:rPr>
                <w:rFonts w:ascii="Arial Narrow" w:hAnsi="Arial Narrow"/>
                <w:sz w:val="20"/>
                <w:szCs w:val="20"/>
              </w:rPr>
            </w:pPr>
            <w:r w:rsidRPr="00DB4AE1">
              <w:rPr>
                <w:rFonts w:ascii="Arial Narrow" w:hAnsi="Arial Narrow"/>
                <w:sz w:val="20"/>
                <w:szCs w:val="20"/>
              </w:rPr>
              <w:t>66.4%</w:t>
            </w:r>
          </w:p>
        </w:tc>
        <w:tc>
          <w:tcPr>
            <w:tcW w:w="2867" w:type="dxa"/>
            <w:vAlign w:val="center"/>
          </w:tcPr>
          <w:p w:rsidR="00264FC5" w:rsidRPr="00DB4AE1" w:rsidRDefault="00264FC5" w:rsidP="00837BC5">
            <w:pPr>
              <w:pStyle w:val="Bulletpoints"/>
              <w:keepNext/>
              <w:widowControl/>
              <w:numPr>
                <w:ilvl w:val="0"/>
                <w:numId w:val="0"/>
              </w:numPr>
              <w:spacing w:after="120"/>
              <w:jc w:val="center"/>
              <w:rPr>
                <w:rFonts w:ascii="Arial Narrow" w:hAnsi="Arial Narrow"/>
                <w:sz w:val="20"/>
                <w:szCs w:val="20"/>
              </w:rPr>
            </w:pPr>
            <w:r w:rsidRPr="00DB4AE1">
              <w:rPr>
                <w:rFonts w:ascii="Arial Narrow" w:hAnsi="Arial Narrow"/>
                <w:sz w:val="20"/>
                <w:szCs w:val="20"/>
              </w:rPr>
              <w:t>0%</w:t>
            </w:r>
          </w:p>
        </w:tc>
      </w:tr>
      <w:tr w:rsidR="00264FC5" w:rsidRPr="00DB4AE1" w:rsidTr="00313D63">
        <w:tc>
          <w:tcPr>
            <w:tcW w:w="3510" w:type="dxa"/>
            <w:vAlign w:val="center"/>
          </w:tcPr>
          <w:p w:rsidR="00264FC5" w:rsidRPr="00841857" w:rsidRDefault="00264FC5" w:rsidP="00837BC5">
            <w:pPr>
              <w:pStyle w:val="Bulletpoints"/>
              <w:keepNext/>
              <w:widowControl/>
              <w:numPr>
                <w:ilvl w:val="0"/>
                <w:numId w:val="0"/>
              </w:numPr>
              <w:spacing w:after="120"/>
              <w:jc w:val="left"/>
              <w:rPr>
                <w:rFonts w:ascii="Arial Narrow" w:hAnsi="Arial Narrow"/>
                <w:sz w:val="20"/>
                <w:szCs w:val="20"/>
                <w:vertAlign w:val="superscript"/>
              </w:rPr>
            </w:pPr>
            <w:r w:rsidRPr="00DB4AE1">
              <w:rPr>
                <w:rFonts w:ascii="Arial Narrow" w:hAnsi="Arial Narrow"/>
                <w:sz w:val="20"/>
                <w:szCs w:val="20"/>
              </w:rPr>
              <w:t>Acute medication overuse at baseline</w:t>
            </w:r>
            <w:r w:rsidR="00841857">
              <w:rPr>
                <w:rFonts w:ascii="Arial Narrow" w:hAnsi="Arial Narrow"/>
                <w:sz w:val="20"/>
                <w:szCs w:val="20"/>
                <w:vertAlign w:val="superscript"/>
              </w:rPr>
              <w:t>a</w:t>
            </w:r>
          </w:p>
        </w:tc>
        <w:tc>
          <w:tcPr>
            <w:tcW w:w="2866" w:type="dxa"/>
            <w:vAlign w:val="center"/>
          </w:tcPr>
          <w:p w:rsidR="00264FC5" w:rsidRPr="00DB4AE1" w:rsidRDefault="00264FC5" w:rsidP="00837BC5">
            <w:pPr>
              <w:pStyle w:val="Bulletpoints"/>
              <w:keepNext/>
              <w:widowControl/>
              <w:numPr>
                <w:ilvl w:val="0"/>
                <w:numId w:val="0"/>
              </w:numPr>
              <w:spacing w:after="120"/>
              <w:jc w:val="center"/>
              <w:rPr>
                <w:rFonts w:ascii="Arial Narrow" w:hAnsi="Arial Narrow"/>
                <w:sz w:val="20"/>
                <w:szCs w:val="20"/>
              </w:rPr>
            </w:pPr>
            <w:r w:rsidRPr="00DB4AE1">
              <w:rPr>
                <w:rFonts w:ascii="Arial Narrow" w:hAnsi="Arial Narrow"/>
                <w:sz w:val="20"/>
                <w:szCs w:val="20"/>
              </w:rPr>
              <w:t>61.1%</w:t>
            </w:r>
          </w:p>
        </w:tc>
        <w:tc>
          <w:tcPr>
            <w:tcW w:w="2867" w:type="dxa"/>
            <w:vAlign w:val="center"/>
          </w:tcPr>
          <w:p w:rsidR="00264FC5" w:rsidRPr="00DB4AE1" w:rsidRDefault="00264FC5" w:rsidP="00837BC5">
            <w:pPr>
              <w:pStyle w:val="Bulletpoints"/>
              <w:keepNext/>
              <w:widowControl/>
              <w:numPr>
                <w:ilvl w:val="0"/>
                <w:numId w:val="0"/>
              </w:numPr>
              <w:spacing w:after="120"/>
              <w:jc w:val="center"/>
              <w:rPr>
                <w:rFonts w:ascii="Arial Narrow" w:hAnsi="Arial Narrow"/>
                <w:sz w:val="20"/>
                <w:szCs w:val="20"/>
              </w:rPr>
            </w:pPr>
            <w:r w:rsidRPr="00DB4AE1">
              <w:rPr>
                <w:rFonts w:ascii="Arial Narrow" w:hAnsi="Arial Narrow"/>
                <w:sz w:val="20"/>
                <w:szCs w:val="20"/>
              </w:rPr>
              <w:t>65.5%</w:t>
            </w:r>
          </w:p>
        </w:tc>
      </w:tr>
      <w:tr w:rsidR="00264FC5" w:rsidRPr="00DB4AE1" w:rsidTr="00313D63">
        <w:tc>
          <w:tcPr>
            <w:tcW w:w="3510" w:type="dxa"/>
            <w:vAlign w:val="center"/>
          </w:tcPr>
          <w:p w:rsidR="00264FC5" w:rsidRPr="00DB4AE1" w:rsidRDefault="00264FC5" w:rsidP="00837BC5">
            <w:pPr>
              <w:pStyle w:val="Bulletpoints"/>
              <w:keepNext/>
              <w:widowControl/>
              <w:numPr>
                <w:ilvl w:val="0"/>
                <w:numId w:val="0"/>
              </w:numPr>
              <w:spacing w:after="120"/>
              <w:jc w:val="left"/>
              <w:rPr>
                <w:rFonts w:ascii="Arial Narrow" w:hAnsi="Arial Narrow"/>
                <w:sz w:val="20"/>
                <w:szCs w:val="20"/>
              </w:rPr>
            </w:pPr>
            <w:r w:rsidRPr="00DB4AE1">
              <w:rPr>
                <w:rFonts w:ascii="Arial Narrow" w:hAnsi="Arial Narrow"/>
                <w:sz w:val="20"/>
                <w:szCs w:val="20"/>
              </w:rPr>
              <w:t>Concomitant use of simple analgesics</w:t>
            </w:r>
            <w:r w:rsidRPr="00DB4AE1">
              <w:rPr>
                <w:rFonts w:ascii="Arial Narrow" w:hAnsi="Arial Narrow"/>
                <w:sz w:val="20"/>
                <w:szCs w:val="20"/>
              </w:rPr>
              <w:br/>
              <w:t>Concomitant use of triptans</w:t>
            </w:r>
            <w:r w:rsidRPr="00DB4AE1">
              <w:rPr>
                <w:rFonts w:ascii="Arial Narrow" w:hAnsi="Arial Narrow"/>
                <w:sz w:val="20"/>
                <w:szCs w:val="20"/>
              </w:rPr>
              <w:br/>
              <w:t>Concomitant use of prescribed opioids</w:t>
            </w:r>
          </w:p>
        </w:tc>
        <w:tc>
          <w:tcPr>
            <w:tcW w:w="2866" w:type="dxa"/>
            <w:vAlign w:val="center"/>
          </w:tcPr>
          <w:p w:rsidR="00264FC5" w:rsidRPr="00DB4AE1" w:rsidRDefault="00264FC5" w:rsidP="00837BC5">
            <w:pPr>
              <w:pStyle w:val="Bulletpoints"/>
              <w:keepNext/>
              <w:widowControl/>
              <w:numPr>
                <w:ilvl w:val="0"/>
                <w:numId w:val="0"/>
              </w:numPr>
              <w:spacing w:after="120"/>
              <w:jc w:val="center"/>
              <w:rPr>
                <w:rFonts w:ascii="Arial Narrow" w:hAnsi="Arial Narrow"/>
                <w:sz w:val="20"/>
                <w:szCs w:val="20"/>
              </w:rPr>
            </w:pPr>
            <w:r w:rsidRPr="00DB4AE1">
              <w:rPr>
                <w:rFonts w:ascii="Arial Narrow" w:hAnsi="Arial Narrow"/>
                <w:sz w:val="20"/>
                <w:szCs w:val="20"/>
              </w:rPr>
              <w:t>74.4%</w:t>
            </w:r>
            <w:r w:rsidRPr="00DB4AE1">
              <w:rPr>
                <w:rFonts w:ascii="Arial Narrow" w:hAnsi="Arial Narrow"/>
                <w:sz w:val="20"/>
                <w:szCs w:val="20"/>
              </w:rPr>
              <w:br/>
              <w:t>64.5%</w:t>
            </w:r>
            <w:r w:rsidRPr="00DB4AE1">
              <w:rPr>
                <w:rFonts w:ascii="Arial Narrow" w:hAnsi="Arial Narrow"/>
                <w:sz w:val="20"/>
                <w:szCs w:val="20"/>
              </w:rPr>
              <w:br/>
              <w:t>23.2%</w:t>
            </w:r>
          </w:p>
        </w:tc>
        <w:tc>
          <w:tcPr>
            <w:tcW w:w="2867" w:type="dxa"/>
            <w:vAlign w:val="center"/>
          </w:tcPr>
          <w:p w:rsidR="00264FC5" w:rsidRPr="00841857" w:rsidRDefault="00264FC5" w:rsidP="00837BC5">
            <w:pPr>
              <w:pStyle w:val="Bulletpoints"/>
              <w:keepNext/>
              <w:widowControl/>
              <w:numPr>
                <w:ilvl w:val="0"/>
                <w:numId w:val="0"/>
              </w:numPr>
              <w:spacing w:after="120"/>
              <w:jc w:val="center"/>
              <w:rPr>
                <w:rFonts w:ascii="Arial Narrow" w:hAnsi="Arial Narrow"/>
                <w:sz w:val="20"/>
                <w:szCs w:val="20"/>
                <w:vertAlign w:val="superscript"/>
              </w:rPr>
            </w:pPr>
            <w:r w:rsidRPr="00DB4AE1">
              <w:rPr>
                <w:rFonts w:ascii="Arial Narrow" w:hAnsi="Arial Narrow"/>
                <w:sz w:val="20"/>
                <w:szCs w:val="20"/>
              </w:rPr>
              <w:t>67.3%</w:t>
            </w:r>
            <w:r w:rsidRPr="00DB4AE1">
              <w:rPr>
                <w:rFonts w:ascii="Arial Narrow" w:hAnsi="Arial Narrow"/>
                <w:sz w:val="20"/>
                <w:szCs w:val="20"/>
              </w:rPr>
              <w:br/>
              <w:t>63.3%</w:t>
            </w:r>
            <w:r w:rsidRPr="00DB4AE1">
              <w:rPr>
                <w:rFonts w:ascii="Arial Narrow" w:hAnsi="Arial Narrow"/>
                <w:sz w:val="20"/>
                <w:szCs w:val="20"/>
              </w:rPr>
              <w:br/>
              <w:t>8.1%</w:t>
            </w:r>
            <w:r w:rsidR="00841857">
              <w:rPr>
                <w:rFonts w:ascii="Arial Narrow" w:hAnsi="Arial Narrow"/>
                <w:sz w:val="20"/>
                <w:szCs w:val="20"/>
                <w:vertAlign w:val="superscript"/>
              </w:rPr>
              <w:t>b</w:t>
            </w:r>
          </w:p>
        </w:tc>
      </w:tr>
    </w:tbl>
    <w:p w:rsidR="00841857" w:rsidRPr="006D3150" w:rsidRDefault="00841857" w:rsidP="00841857">
      <w:pPr>
        <w:pStyle w:val="Tablefootnote"/>
      </w:pPr>
      <w:r w:rsidRPr="006D3150">
        <w:t xml:space="preserve">Abbreviations:  </w:t>
      </w:r>
      <w:r>
        <w:t xml:space="preserve">CM = chronic migraine; </w:t>
      </w:r>
      <w:r w:rsidRPr="006D3150">
        <w:t>HIT‐6 = Headache Impact Test; SD = standard deviation</w:t>
      </w:r>
    </w:p>
    <w:p w:rsidR="00841857" w:rsidRPr="006D3150" w:rsidRDefault="00841857" w:rsidP="00841857">
      <w:pPr>
        <w:pStyle w:val="Tablefootnote"/>
      </w:pPr>
      <w:r w:rsidRPr="006D3150">
        <w:rPr>
          <w:vertAlign w:val="superscript"/>
        </w:rPr>
        <w:t>a</w:t>
      </w:r>
      <w:r w:rsidRPr="006D3150">
        <w:t xml:space="preserve"> Defined as: PBS = patient’s records note them to be on a management plan for medication overuse; PREEMPT = simple analgesics ≥ 15 days/month, triptans ≥ 10 days/month or opioids ≥ 10 days/month</w:t>
      </w:r>
    </w:p>
    <w:p w:rsidR="00264FC5" w:rsidRPr="00841857" w:rsidRDefault="00841857" w:rsidP="005C236E">
      <w:pPr>
        <w:pStyle w:val="Tablefootnote"/>
        <w:spacing w:after="120"/>
      </w:pPr>
      <w:r w:rsidRPr="006D3150">
        <w:rPr>
          <w:vertAlign w:val="superscript"/>
        </w:rPr>
        <w:t>b</w:t>
      </w:r>
      <w:r w:rsidRPr="006D3150">
        <w:t xml:space="preserve"> Additionally 55.4% used ‘Combination Analgesics’ and 58.1% used ‘Combined Categories’</w:t>
      </w:r>
      <w:r>
        <w:br/>
      </w:r>
      <w:r w:rsidR="00264FC5" w:rsidRPr="00DB4AE1">
        <w:rPr>
          <w:rFonts w:ascii="Arial Narrow" w:hAnsi="Arial Narrow"/>
          <w:szCs w:val="22"/>
        </w:rPr>
        <w:t>Source: Table 2</w:t>
      </w:r>
      <w:r>
        <w:rPr>
          <w:rFonts w:ascii="Arial Narrow" w:hAnsi="Arial Narrow"/>
          <w:szCs w:val="22"/>
        </w:rPr>
        <w:t xml:space="preserve">-12, p84 of the submission </w:t>
      </w:r>
    </w:p>
    <w:p w:rsidR="005E6E45" w:rsidRPr="00DB4AE1" w:rsidRDefault="0094747E" w:rsidP="00837BC5">
      <w:pPr>
        <w:pStyle w:val="ListParagraph"/>
        <w:widowControl/>
        <w:numPr>
          <w:ilvl w:val="1"/>
          <w:numId w:val="1"/>
        </w:numPr>
        <w:spacing w:before="120" w:after="120"/>
      </w:pPr>
      <w:r>
        <w:t xml:space="preserve">Table 7 indicates that 66.4% of patients assessed at baseline in the Stark 2017 retrospective chart review continued oral headache prophylactics. </w:t>
      </w:r>
      <w:r w:rsidR="00487213" w:rsidRPr="00DB4AE1">
        <w:t>T</w:t>
      </w:r>
      <w:r w:rsidR="00234626" w:rsidRPr="00DB4AE1">
        <w:t xml:space="preserve">he </w:t>
      </w:r>
      <w:r>
        <w:t>PBAC</w:t>
      </w:r>
      <w:r w:rsidR="00234626" w:rsidRPr="00DB4AE1">
        <w:t xml:space="preserve"> considered it likely </w:t>
      </w:r>
      <w:r w:rsidR="00815FFB" w:rsidRPr="00DB4AE1">
        <w:t xml:space="preserve">that the continued use of oral prophylactics in the Stark 2017 population may have contributed to the greater proportion of patients achieving </w:t>
      </w:r>
      <w:r w:rsidR="005332C2">
        <w:br/>
      </w:r>
      <w:r w:rsidR="00815FFB" w:rsidRPr="00DB4AE1">
        <w:t>≥</w:t>
      </w:r>
      <w:r w:rsidR="005332C2">
        <w:t xml:space="preserve"> </w:t>
      </w:r>
      <w:r w:rsidR="00815FFB" w:rsidRPr="00DB4AE1">
        <w:t>50% reduction in headache days</w:t>
      </w:r>
      <w:r w:rsidR="00234626" w:rsidRPr="00DB4AE1">
        <w:t xml:space="preserve"> compared to the PREEMPT trial where continuation of oral prophylactic medications was not allowed</w:t>
      </w:r>
      <w:r w:rsidR="00815FFB" w:rsidRPr="00DB4AE1">
        <w:t>.</w:t>
      </w:r>
    </w:p>
    <w:p w:rsidR="00E52FB8" w:rsidRPr="00DB4AE1" w:rsidRDefault="006C5D9B" w:rsidP="00837BC5">
      <w:pPr>
        <w:pStyle w:val="ListParagraph"/>
        <w:widowControl/>
        <w:numPr>
          <w:ilvl w:val="1"/>
          <w:numId w:val="1"/>
        </w:numPr>
        <w:spacing w:after="120"/>
      </w:pPr>
      <w:r w:rsidRPr="00DB4AE1">
        <w:t>The results of the 13 additional real-world studies showed that in most of the studies the proportion of patients with ≥</w:t>
      </w:r>
      <w:r w:rsidR="00C422A2">
        <w:t xml:space="preserve"> </w:t>
      </w:r>
      <w:r w:rsidRPr="00DB4AE1">
        <w:t>50% reduction in he</w:t>
      </w:r>
      <w:r w:rsidR="00D958F6" w:rsidRPr="00DB4AE1">
        <w:t xml:space="preserve">adache days was less than 40%. </w:t>
      </w:r>
      <w:r w:rsidRPr="00DB4AE1">
        <w:t xml:space="preserve">This differed considerably from the results of Stark 2017, </w:t>
      </w:r>
      <w:r w:rsidR="003A5DF0" w:rsidRPr="00DB4AE1">
        <w:t xml:space="preserve">with a response rate of 73.9%. </w:t>
      </w:r>
      <w:r w:rsidRPr="00DB4AE1">
        <w:t xml:space="preserve">The submission claimed that several of the study response rates are higher than the corresponding results from PREEMPT. </w:t>
      </w:r>
      <w:r w:rsidR="00AB7933" w:rsidRPr="00DB4AE1">
        <w:t xml:space="preserve">There were </w:t>
      </w:r>
      <w:r w:rsidR="008D0E6E" w:rsidRPr="00DB4AE1">
        <w:t>a number of studies with response rates</w:t>
      </w:r>
      <w:r w:rsidR="00AB7933" w:rsidRPr="00DB4AE1">
        <w:t xml:space="preserve"> similar to the PREEMPT rate</w:t>
      </w:r>
      <w:r w:rsidR="00901E3B" w:rsidRPr="00DB4AE1">
        <w:t xml:space="preserve">s </w:t>
      </w:r>
      <w:r w:rsidRPr="00DB4AE1">
        <w:t>(39.5% in COMPEL, 40.0% in FORWARD)</w:t>
      </w:r>
      <w:r w:rsidR="00223C27">
        <w:t xml:space="preserve">. </w:t>
      </w:r>
      <w:r w:rsidR="00E52FB8" w:rsidRPr="00DB4AE1">
        <w:t>The PSCR identified three studies in addition to Stark</w:t>
      </w:r>
      <w:r w:rsidR="00223C27">
        <w:t xml:space="preserve"> 2017</w:t>
      </w:r>
      <w:r w:rsidR="00E52FB8" w:rsidRPr="00DB4AE1">
        <w:t xml:space="preserve"> that had shown response rates over 40%: Dominguez 2016: 70.2%; Santoro: 66.0%; and Rothrock: 48.8%. However, the </w:t>
      </w:r>
      <w:r w:rsidR="00223C27">
        <w:t xml:space="preserve">ESC noted the </w:t>
      </w:r>
      <w:r w:rsidR="00E52FB8" w:rsidRPr="00DB4AE1">
        <w:t xml:space="preserve">Santoro 2017 results were based on a small subgroup of the Santoro </w:t>
      </w:r>
      <w:r w:rsidR="00223C27">
        <w:t xml:space="preserve">2017 </w:t>
      </w:r>
      <w:r w:rsidR="00E52FB8" w:rsidRPr="00DB4AE1">
        <w:t>study</w:t>
      </w:r>
      <w:r w:rsidR="00F61610">
        <w:t>;</w:t>
      </w:r>
      <w:r w:rsidR="00E52FB8" w:rsidRPr="00DB4AE1">
        <w:t xml:space="preserve"> and at the same follow-up point as Stark</w:t>
      </w:r>
      <w:r w:rsidR="00223C27">
        <w:t xml:space="preserve"> 2017</w:t>
      </w:r>
      <w:r w:rsidR="00E52FB8" w:rsidRPr="00DB4AE1">
        <w:t>, the Rothrock 2016 study had a 37% response rate.</w:t>
      </w:r>
    </w:p>
    <w:p w:rsidR="006C5D9B" w:rsidRPr="00DB4AE1" w:rsidRDefault="00FA1DB5" w:rsidP="00837BC5">
      <w:pPr>
        <w:pStyle w:val="ListParagraph"/>
        <w:widowControl/>
        <w:numPr>
          <w:ilvl w:val="1"/>
          <w:numId w:val="1"/>
        </w:numPr>
        <w:spacing w:after="120"/>
      </w:pPr>
      <w:r w:rsidRPr="00DB4AE1">
        <w:t>The submission cite</w:t>
      </w:r>
      <w:r w:rsidR="00B50DDC" w:rsidRPr="00DB4AE1">
        <w:t>d</w:t>
      </w:r>
      <w:r w:rsidRPr="00DB4AE1">
        <w:t xml:space="preserve"> results from 5 additional studies that reported response rates greater than those observed in PREEMPT</w:t>
      </w:r>
      <w:r w:rsidR="00223C27">
        <w:t xml:space="preserve">: </w:t>
      </w:r>
      <w:r w:rsidR="00223C27" w:rsidRPr="00DB4AE1">
        <w:t xml:space="preserve">Demiryurek 2016 (Turkey; 88.3%), Cernuda-Morollon </w:t>
      </w:r>
      <w:r w:rsidR="00223C27" w:rsidRPr="00B84167">
        <w:rPr>
          <w:i/>
        </w:rPr>
        <w:t>et</w:t>
      </w:r>
      <w:r w:rsidR="00B84167">
        <w:rPr>
          <w:i/>
        </w:rPr>
        <w:t>.</w:t>
      </w:r>
      <w:r w:rsidR="00223C27" w:rsidRPr="00B84167">
        <w:rPr>
          <w:i/>
        </w:rPr>
        <w:t xml:space="preserve"> al</w:t>
      </w:r>
      <w:r w:rsidR="00B84167" w:rsidRPr="00B84167">
        <w:rPr>
          <w:i/>
        </w:rPr>
        <w:t>.</w:t>
      </w:r>
      <w:r w:rsidR="00223C27" w:rsidRPr="00DB4AE1">
        <w:t xml:space="preserve"> 2015 (Spain; 81.8%), Vikelis 2016 (Greece; 80.2%), Pedraza 2015 (Spain; 69.2%), </w:t>
      </w:r>
      <w:r w:rsidR="00223C27">
        <w:t xml:space="preserve">and </w:t>
      </w:r>
      <w:r w:rsidR="00223C27" w:rsidRPr="00DB4AE1">
        <w:t>Kollewe 2016 (Germany; 63.0%)</w:t>
      </w:r>
      <w:r w:rsidR="00223C27">
        <w:t>. T</w:t>
      </w:r>
      <w:r w:rsidRPr="00DB4AE1">
        <w:t xml:space="preserve">he submission had excluded these studies from further review due </w:t>
      </w:r>
      <w:r w:rsidR="000A4BFF">
        <w:t xml:space="preserve">to </w:t>
      </w:r>
      <w:r w:rsidRPr="00DB4AE1">
        <w:t xml:space="preserve">their population size being less than 200. </w:t>
      </w:r>
      <w:r w:rsidR="00223C27">
        <w:t xml:space="preserve">An additional study </w:t>
      </w:r>
      <w:r w:rsidR="001D5489">
        <w:t>meeting these criteria was presented in the P</w:t>
      </w:r>
      <w:r w:rsidR="00E52FB8" w:rsidRPr="00DB4AE1">
        <w:t xml:space="preserve">SCR Cesaretti 2015 (Italy; 50.0%). </w:t>
      </w:r>
      <w:r w:rsidR="00142DF5" w:rsidRPr="005332C2">
        <w:t>The ESC noted that, whilst the rates of continuation were also higher in a number of the other real-world evidence identified in the submission compared to PREEMPT, Stark 2017 remained an outlier with estimates at the higher end of the spectrum. The pre-PBAC response disagreed with Stark 2017 being characterised as an outlier and argued t</w:t>
      </w:r>
      <w:r w:rsidR="00B84167">
        <w:t>hat there are at least ten real</w:t>
      </w:r>
      <w:r w:rsidR="00B84167">
        <w:noBreakHyphen/>
      </w:r>
      <w:r w:rsidR="00142DF5" w:rsidRPr="005332C2">
        <w:t>world studies reporting ≥ 50 % in headache da</w:t>
      </w:r>
      <w:r w:rsidR="00B84167">
        <w:t>ys per month higher than the 24 </w:t>
      </w:r>
      <w:r w:rsidR="00142DF5" w:rsidRPr="005332C2">
        <w:t>week results seen in PREEMPT. However, the PBAC agreed with ESC that the results of the Stark 2017 retrospective chart review appear at the high end of the range and was concerned that there was no exploration of the variability evident in the real-world studies presented.</w:t>
      </w:r>
      <w:r w:rsidR="003A330B">
        <w:t xml:space="preserve"> Given that the submission provided inadequate justification for the exclusion of these studies from the primary results analysis, and given the variability in results noted above, the reliance on Stark 2017 data was problematic. </w:t>
      </w:r>
    </w:p>
    <w:p w:rsidR="00A23D73" w:rsidRPr="00DB4AE1" w:rsidRDefault="00494153" w:rsidP="00837BC5">
      <w:pPr>
        <w:pStyle w:val="ListParagraph"/>
        <w:widowControl/>
        <w:numPr>
          <w:ilvl w:val="1"/>
          <w:numId w:val="1"/>
        </w:numPr>
        <w:spacing w:after="120"/>
      </w:pPr>
      <w:r w:rsidRPr="00DB4AE1">
        <w:t xml:space="preserve">The results for all additional outcomes (headache frequency, headache impact, use of concomitant medications) in the Stark 2017 </w:t>
      </w:r>
      <w:r w:rsidR="0065247A">
        <w:t>retrospective chart review</w:t>
      </w:r>
      <w:r w:rsidRPr="00DB4AE1">
        <w:t xml:space="preserve"> should be interpreted with caution. Reduction in headache, severe headache and migraine days per month are difficult to quantify with no baseline value provided. </w:t>
      </w:r>
      <w:r w:rsidR="00E52FB8" w:rsidRPr="00DB4AE1">
        <w:t>There were</w:t>
      </w:r>
      <w:r w:rsidRPr="00DB4AE1">
        <w:t xml:space="preserve"> substantially different </w:t>
      </w:r>
      <w:r w:rsidR="003A5DF0" w:rsidRPr="00DB4AE1">
        <w:t>patient number</w:t>
      </w:r>
      <w:r w:rsidRPr="00DB4AE1">
        <w:t xml:space="preserve">s at each assessment point compared to baseline </w:t>
      </w:r>
      <w:r w:rsidR="00E52FB8" w:rsidRPr="00DB4AE1">
        <w:t>which makes it</w:t>
      </w:r>
      <w:r w:rsidRPr="00DB4AE1">
        <w:t xml:space="preserve"> difficult to interpret the magnitude of the decrease.</w:t>
      </w:r>
      <w:r w:rsidR="009D4B2C" w:rsidRPr="00DB4AE1">
        <w:t xml:space="preserve"> The PSCR provided </w:t>
      </w:r>
      <w:r w:rsidR="00EB7CD5">
        <w:t xml:space="preserve">an updated summary of results </w:t>
      </w:r>
      <w:r w:rsidR="009D4B2C" w:rsidRPr="00DB4AE1">
        <w:t xml:space="preserve">table with </w:t>
      </w:r>
      <w:r w:rsidR="003A5DF0" w:rsidRPr="00DB4AE1">
        <w:t xml:space="preserve">patient numbers </w:t>
      </w:r>
      <w:r w:rsidR="009D4B2C" w:rsidRPr="00DB4AE1">
        <w:t>for headache and migraine rates, and use of concomitant medicines, at baseline, after two treatment cycles and at the end of the trial. Th</w:t>
      </w:r>
      <w:r w:rsidR="00E52FB8" w:rsidRPr="00DB4AE1">
        <w:t xml:space="preserve">ese have been included </w:t>
      </w:r>
      <w:r w:rsidR="009D4B2C" w:rsidRPr="00DB4AE1">
        <w:t xml:space="preserve">in Table </w:t>
      </w:r>
      <w:r w:rsidR="00441489" w:rsidRPr="00DB4AE1">
        <w:t>6</w:t>
      </w:r>
      <w:r w:rsidR="009D4B2C" w:rsidRPr="00DB4AE1">
        <w:t xml:space="preserve"> above.</w:t>
      </w:r>
    </w:p>
    <w:p w:rsidR="00A225AF" w:rsidRPr="00DB4AE1" w:rsidRDefault="00A04915" w:rsidP="00837BC5">
      <w:pPr>
        <w:pStyle w:val="ListParagraph"/>
        <w:widowControl/>
        <w:numPr>
          <w:ilvl w:val="1"/>
          <w:numId w:val="1"/>
        </w:numPr>
        <w:spacing w:after="120"/>
      </w:pPr>
      <w:r w:rsidRPr="00DB4AE1">
        <w:t>For reference, the key results of the PREEMPT trials</w:t>
      </w:r>
      <w:r w:rsidR="001E209C" w:rsidRPr="00DB4AE1">
        <w:t xml:space="preserve"> (change from baseline in number of headache days)</w:t>
      </w:r>
      <w:r w:rsidRPr="00DB4AE1">
        <w:t>, as presented in the July 2013 resubmission, are summarised below.</w:t>
      </w:r>
    </w:p>
    <w:p w:rsidR="00A04915" w:rsidRPr="00DB4AE1" w:rsidRDefault="00A04915" w:rsidP="00F47C9D">
      <w:pPr>
        <w:keepNext/>
        <w:widowControl/>
        <w:rPr>
          <w:rFonts w:ascii="Arial Narrow" w:hAnsi="Arial Narrow"/>
          <w:b/>
          <w:sz w:val="20"/>
          <w:szCs w:val="20"/>
        </w:rPr>
      </w:pPr>
      <w:r w:rsidRPr="00DB4AE1">
        <w:rPr>
          <w:rFonts w:ascii="Arial Narrow" w:hAnsi="Arial Narrow"/>
          <w:b/>
          <w:sz w:val="20"/>
          <w:szCs w:val="20"/>
        </w:rPr>
        <w:t xml:space="preserve">Table </w:t>
      </w:r>
      <w:r w:rsidR="00441489" w:rsidRPr="00DB4AE1">
        <w:rPr>
          <w:rFonts w:ascii="Arial Narrow" w:hAnsi="Arial Narrow"/>
          <w:b/>
          <w:sz w:val="20"/>
          <w:szCs w:val="20"/>
        </w:rPr>
        <w:t>8</w:t>
      </w:r>
      <w:r w:rsidRPr="00DB4AE1">
        <w:rPr>
          <w:rFonts w:ascii="Arial Narrow" w:hAnsi="Arial Narrow"/>
          <w:b/>
          <w:sz w:val="20"/>
          <w:szCs w:val="20"/>
        </w:rPr>
        <w:t xml:space="preserve">: Pooled results </w:t>
      </w:r>
      <w:r w:rsidR="006C5D9B" w:rsidRPr="00DB4AE1">
        <w:rPr>
          <w:rFonts w:ascii="Arial Narrow" w:hAnsi="Arial Narrow"/>
          <w:b/>
          <w:sz w:val="20"/>
          <w:szCs w:val="20"/>
        </w:rPr>
        <w:t xml:space="preserve">for the number of headache days </w:t>
      </w:r>
      <w:r w:rsidR="00CB41A8" w:rsidRPr="00DB4AE1">
        <w:rPr>
          <w:rFonts w:ascii="Arial Narrow" w:hAnsi="Arial Narrow"/>
          <w:b/>
          <w:sz w:val="20"/>
          <w:szCs w:val="20"/>
        </w:rPr>
        <w:t>in</w:t>
      </w:r>
      <w:r w:rsidRPr="00DB4AE1">
        <w:rPr>
          <w:rFonts w:ascii="Arial Narrow" w:hAnsi="Arial Narrow"/>
          <w:b/>
          <w:sz w:val="20"/>
          <w:szCs w:val="20"/>
        </w:rPr>
        <w:t xml:space="preserve"> the PREEMPT trials as presented in the July 2013 resubmission </w:t>
      </w:r>
    </w:p>
    <w:tbl>
      <w:tblPr>
        <w:tblW w:w="5000" w:type="pct"/>
        <w:tblLayout w:type="fixed"/>
        <w:tblCellMar>
          <w:left w:w="28" w:type="dxa"/>
          <w:right w:w="28" w:type="dxa"/>
        </w:tblCellMar>
        <w:tblLook w:val="00A0" w:firstRow="1" w:lastRow="0" w:firstColumn="1" w:lastColumn="0" w:noHBand="0" w:noVBand="0"/>
      </w:tblPr>
      <w:tblGrid>
        <w:gridCol w:w="1472"/>
        <w:gridCol w:w="601"/>
        <w:gridCol w:w="1210"/>
        <w:gridCol w:w="1253"/>
        <w:gridCol w:w="710"/>
        <w:gridCol w:w="1114"/>
        <w:gridCol w:w="1152"/>
        <w:gridCol w:w="1571"/>
      </w:tblGrid>
      <w:tr w:rsidR="00A04915" w:rsidRPr="00DB4AE1" w:rsidTr="002C777C">
        <w:trPr>
          <w:cantSplit/>
          <w:trHeight w:val="469"/>
          <w:tblHeader/>
        </w:trPr>
        <w:tc>
          <w:tcPr>
            <w:tcW w:w="810" w:type="pct"/>
            <w:vMerge w:val="restart"/>
            <w:tcBorders>
              <w:top w:val="single" w:sz="4" w:space="0" w:color="auto"/>
              <w:left w:val="single" w:sz="4" w:space="0" w:color="auto"/>
              <w:right w:val="nil"/>
            </w:tcBorders>
            <w:vAlign w:val="center"/>
          </w:tcPr>
          <w:p w:rsidR="00A04915" w:rsidRPr="00DB4AE1" w:rsidRDefault="00A04915" w:rsidP="00F47C9D">
            <w:pPr>
              <w:keepNext/>
              <w:widowControl/>
              <w:jc w:val="left"/>
              <w:rPr>
                <w:rFonts w:ascii="Arial Narrow" w:hAnsi="Arial Narrow"/>
                <w:b/>
                <w:bCs/>
                <w:color w:val="000000"/>
                <w:sz w:val="20"/>
              </w:rPr>
            </w:pPr>
            <w:r w:rsidRPr="00DB4AE1">
              <w:rPr>
                <w:rFonts w:ascii="Arial Narrow" w:hAnsi="Arial Narrow"/>
                <w:b/>
                <w:bCs/>
                <w:color w:val="000000"/>
                <w:sz w:val="20"/>
              </w:rPr>
              <w:t> </w:t>
            </w:r>
          </w:p>
          <w:p w:rsidR="00A04915" w:rsidRPr="00DB4AE1" w:rsidRDefault="00A04915" w:rsidP="00F47C9D">
            <w:pPr>
              <w:keepNext/>
              <w:widowControl/>
              <w:jc w:val="left"/>
              <w:rPr>
                <w:rFonts w:ascii="Arial Narrow" w:hAnsi="Arial Narrow"/>
                <w:b/>
                <w:bCs/>
                <w:color w:val="000000"/>
                <w:sz w:val="20"/>
              </w:rPr>
            </w:pPr>
            <w:r w:rsidRPr="00DB4AE1">
              <w:rPr>
                <w:rFonts w:ascii="Arial Narrow" w:hAnsi="Arial Narrow"/>
                <w:b/>
                <w:bCs/>
                <w:color w:val="000000"/>
                <w:sz w:val="20"/>
              </w:rPr>
              <w:t>Population</w:t>
            </w:r>
          </w:p>
        </w:tc>
        <w:tc>
          <w:tcPr>
            <w:tcW w:w="1687" w:type="pct"/>
            <w:gridSpan w:val="3"/>
            <w:tcBorders>
              <w:top w:val="single" w:sz="4" w:space="0" w:color="auto"/>
              <w:left w:val="single" w:sz="4" w:space="0" w:color="auto"/>
              <w:bottom w:val="single" w:sz="4" w:space="0" w:color="auto"/>
              <w:right w:val="nil"/>
            </w:tcBorders>
            <w:vAlign w:val="center"/>
          </w:tcPr>
          <w:p w:rsidR="00A04915" w:rsidRPr="00DB4AE1" w:rsidRDefault="00A04915" w:rsidP="00F47C9D">
            <w:pPr>
              <w:keepNext/>
              <w:widowControl/>
              <w:jc w:val="center"/>
              <w:rPr>
                <w:rFonts w:ascii="Arial Narrow" w:hAnsi="Arial Narrow"/>
                <w:b/>
                <w:bCs/>
                <w:color w:val="000000"/>
                <w:sz w:val="20"/>
              </w:rPr>
            </w:pPr>
            <w:r w:rsidRPr="00DB4AE1">
              <w:rPr>
                <w:rFonts w:ascii="Arial Narrow" w:hAnsi="Arial Narrow"/>
                <w:b/>
                <w:bCs/>
                <w:color w:val="000000"/>
                <w:sz w:val="20"/>
              </w:rPr>
              <w:t>Botox</w:t>
            </w:r>
          </w:p>
          <w:p w:rsidR="00A04915" w:rsidRPr="00DB4AE1" w:rsidRDefault="00A04915" w:rsidP="00F47C9D">
            <w:pPr>
              <w:keepNext/>
              <w:widowControl/>
              <w:jc w:val="center"/>
              <w:rPr>
                <w:rFonts w:ascii="Arial Narrow" w:hAnsi="Arial Narrow"/>
                <w:b/>
                <w:bCs/>
                <w:color w:val="000000"/>
                <w:sz w:val="20"/>
              </w:rPr>
            </w:pPr>
            <w:r w:rsidRPr="00DB4AE1">
              <w:rPr>
                <w:rFonts w:ascii="Arial Narrow" w:hAnsi="Arial Narrow"/>
                <w:b/>
                <w:bCs/>
                <w:color w:val="000000"/>
                <w:sz w:val="20"/>
              </w:rPr>
              <w:t>Mean (SD)</w:t>
            </w:r>
          </w:p>
        </w:tc>
        <w:tc>
          <w:tcPr>
            <w:tcW w:w="1638" w:type="pct"/>
            <w:gridSpan w:val="3"/>
            <w:tcBorders>
              <w:top w:val="single" w:sz="4" w:space="0" w:color="auto"/>
              <w:left w:val="single" w:sz="4" w:space="0" w:color="auto"/>
              <w:bottom w:val="single" w:sz="4" w:space="0" w:color="auto"/>
              <w:right w:val="single" w:sz="4" w:space="0" w:color="000000"/>
            </w:tcBorders>
            <w:vAlign w:val="center"/>
          </w:tcPr>
          <w:p w:rsidR="00A04915" w:rsidRPr="00DB4AE1" w:rsidRDefault="00A04915" w:rsidP="00F47C9D">
            <w:pPr>
              <w:keepNext/>
              <w:widowControl/>
              <w:jc w:val="center"/>
              <w:rPr>
                <w:rFonts w:ascii="Arial Narrow" w:hAnsi="Arial Narrow"/>
                <w:b/>
                <w:bCs/>
                <w:color w:val="000000"/>
                <w:sz w:val="20"/>
              </w:rPr>
            </w:pPr>
            <w:r w:rsidRPr="00DB4AE1">
              <w:rPr>
                <w:rFonts w:ascii="Arial Narrow" w:hAnsi="Arial Narrow"/>
                <w:b/>
                <w:bCs/>
                <w:color w:val="000000"/>
                <w:sz w:val="20"/>
              </w:rPr>
              <w:t>BSC</w:t>
            </w:r>
          </w:p>
          <w:p w:rsidR="00A04915" w:rsidRPr="00DB4AE1" w:rsidRDefault="00A04915" w:rsidP="00F47C9D">
            <w:pPr>
              <w:keepNext/>
              <w:widowControl/>
              <w:jc w:val="center"/>
              <w:rPr>
                <w:rFonts w:ascii="Arial Narrow" w:hAnsi="Arial Narrow"/>
                <w:b/>
                <w:bCs/>
                <w:color w:val="000000"/>
                <w:sz w:val="20"/>
              </w:rPr>
            </w:pPr>
            <w:r w:rsidRPr="00DB4AE1">
              <w:rPr>
                <w:rFonts w:ascii="Arial Narrow" w:hAnsi="Arial Narrow"/>
                <w:b/>
                <w:bCs/>
                <w:color w:val="000000"/>
                <w:sz w:val="20"/>
              </w:rPr>
              <w:t>Mean (SD)</w:t>
            </w:r>
          </w:p>
        </w:tc>
        <w:tc>
          <w:tcPr>
            <w:tcW w:w="865" w:type="pct"/>
            <w:vMerge w:val="restart"/>
            <w:tcBorders>
              <w:top w:val="single" w:sz="4" w:space="0" w:color="auto"/>
              <w:left w:val="nil"/>
              <w:right w:val="single" w:sz="4" w:space="0" w:color="auto"/>
            </w:tcBorders>
            <w:vAlign w:val="center"/>
          </w:tcPr>
          <w:p w:rsidR="00A04915" w:rsidRPr="00DB4AE1" w:rsidRDefault="00A04915" w:rsidP="00F47C9D">
            <w:pPr>
              <w:keepNext/>
              <w:widowControl/>
              <w:jc w:val="center"/>
              <w:rPr>
                <w:rFonts w:ascii="Arial Narrow" w:hAnsi="Arial Narrow"/>
                <w:b/>
                <w:bCs/>
                <w:color w:val="000000"/>
                <w:sz w:val="20"/>
              </w:rPr>
            </w:pPr>
            <w:r w:rsidRPr="00DB4AE1">
              <w:rPr>
                <w:rFonts w:ascii="Arial Narrow" w:hAnsi="Arial Narrow"/>
                <w:b/>
                <w:bCs/>
                <w:color w:val="000000"/>
                <w:sz w:val="20"/>
              </w:rPr>
              <w:t>Mean difference</w:t>
            </w:r>
          </w:p>
          <w:p w:rsidR="00A04915" w:rsidRPr="00DB4AE1" w:rsidRDefault="00A04915" w:rsidP="00F47C9D">
            <w:pPr>
              <w:keepNext/>
              <w:widowControl/>
              <w:jc w:val="center"/>
              <w:rPr>
                <w:rFonts w:ascii="Arial Narrow" w:hAnsi="Arial Narrow"/>
                <w:b/>
                <w:bCs/>
                <w:color w:val="000000"/>
                <w:sz w:val="20"/>
              </w:rPr>
            </w:pPr>
            <w:r w:rsidRPr="00DB4AE1">
              <w:rPr>
                <w:rFonts w:ascii="Arial Narrow" w:hAnsi="Arial Narrow"/>
                <w:b/>
                <w:bCs/>
                <w:color w:val="000000"/>
                <w:sz w:val="20"/>
              </w:rPr>
              <w:t xml:space="preserve"> (95% CI)</w:t>
            </w:r>
          </w:p>
        </w:tc>
      </w:tr>
      <w:tr w:rsidR="00A04915" w:rsidRPr="00DB4AE1" w:rsidTr="002C777C">
        <w:trPr>
          <w:cantSplit/>
          <w:trHeight w:val="20"/>
          <w:tblHeader/>
        </w:trPr>
        <w:tc>
          <w:tcPr>
            <w:tcW w:w="810" w:type="pct"/>
            <w:vMerge/>
            <w:tcBorders>
              <w:left w:val="single" w:sz="4" w:space="0" w:color="auto"/>
              <w:bottom w:val="single" w:sz="4" w:space="0" w:color="auto"/>
              <w:right w:val="single" w:sz="4" w:space="0" w:color="auto"/>
            </w:tcBorders>
            <w:vAlign w:val="center"/>
          </w:tcPr>
          <w:p w:rsidR="00A04915" w:rsidRPr="00DB4AE1" w:rsidRDefault="00A04915" w:rsidP="00F47C9D">
            <w:pPr>
              <w:keepNext/>
              <w:widowControl/>
              <w:jc w:val="left"/>
              <w:rPr>
                <w:rFonts w:ascii="Arial Narrow" w:hAnsi="Arial Narrow"/>
                <w:b/>
                <w:bCs/>
                <w:color w:val="000000"/>
                <w:sz w:val="20"/>
              </w:rPr>
            </w:pPr>
          </w:p>
        </w:tc>
        <w:tc>
          <w:tcPr>
            <w:tcW w:w="331" w:type="pct"/>
            <w:tcBorders>
              <w:top w:val="single" w:sz="4" w:space="0" w:color="auto"/>
              <w:left w:val="nil"/>
              <w:bottom w:val="single" w:sz="4" w:space="0" w:color="auto"/>
              <w:right w:val="single" w:sz="4" w:space="0" w:color="auto"/>
            </w:tcBorders>
            <w:vAlign w:val="center"/>
          </w:tcPr>
          <w:p w:rsidR="00A04915" w:rsidRPr="00DB4AE1" w:rsidRDefault="00A04915" w:rsidP="00F47C9D">
            <w:pPr>
              <w:keepNext/>
              <w:widowControl/>
              <w:jc w:val="center"/>
              <w:rPr>
                <w:rFonts w:ascii="Arial Narrow" w:hAnsi="Arial Narrow"/>
                <w:b/>
                <w:bCs/>
                <w:color w:val="000000"/>
                <w:sz w:val="20"/>
              </w:rPr>
            </w:pPr>
            <w:r w:rsidRPr="00DB4AE1">
              <w:rPr>
                <w:rFonts w:ascii="Arial Narrow" w:hAnsi="Arial Narrow"/>
                <w:b/>
                <w:bCs/>
                <w:color w:val="000000"/>
                <w:sz w:val="20"/>
              </w:rPr>
              <w:t>N</w:t>
            </w:r>
          </w:p>
        </w:tc>
        <w:tc>
          <w:tcPr>
            <w:tcW w:w="666" w:type="pct"/>
            <w:tcBorders>
              <w:top w:val="single" w:sz="4" w:space="0" w:color="auto"/>
              <w:left w:val="nil"/>
              <w:bottom w:val="single" w:sz="4" w:space="0" w:color="auto"/>
              <w:right w:val="single" w:sz="4" w:space="0" w:color="auto"/>
            </w:tcBorders>
            <w:vAlign w:val="center"/>
          </w:tcPr>
          <w:p w:rsidR="00A04915" w:rsidRPr="00DB4AE1" w:rsidRDefault="00A04915" w:rsidP="00F47C9D">
            <w:pPr>
              <w:keepNext/>
              <w:widowControl/>
              <w:jc w:val="center"/>
              <w:rPr>
                <w:rFonts w:ascii="Arial Narrow" w:hAnsi="Arial Narrow"/>
                <w:b/>
                <w:bCs/>
                <w:color w:val="000000"/>
                <w:sz w:val="20"/>
              </w:rPr>
            </w:pPr>
            <w:r w:rsidRPr="00DB4AE1">
              <w:rPr>
                <w:rFonts w:ascii="Arial Narrow" w:hAnsi="Arial Narrow"/>
                <w:b/>
                <w:bCs/>
                <w:color w:val="000000"/>
                <w:sz w:val="20"/>
              </w:rPr>
              <w:t>Baseline</w:t>
            </w:r>
          </w:p>
        </w:tc>
        <w:tc>
          <w:tcPr>
            <w:tcW w:w="690" w:type="pct"/>
            <w:tcBorders>
              <w:top w:val="single" w:sz="4" w:space="0" w:color="auto"/>
              <w:left w:val="nil"/>
              <w:bottom w:val="single" w:sz="4" w:space="0" w:color="auto"/>
              <w:right w:val="single" w:sz="4" w:space="0" w:color="auto"/>
            </w:tcBorders>
            <w:vAlign w:val="center"/>
          </w:tcPr>
          <w:p w:rsidR="00A04915" w:rsidRPr="00DB4AE1" w:rsidRDefault="00A04915" w:rsidP="00F47C9D">
            <w:pPr>
              <w:keepNext/>
              <w:widowControl/>
              <w:jc w:val="center"/>
              <w:rPr>
                <w:rFonts w:ascii="Arial Narrow" w:hAnsi="Arial Narrow"/>
                <w:b/>
                <w:bCs/>
                <w:color w:val="000000"/>
                <w:sz w:val="20"/>
              </w:rPr>
            </w:pPr>
            <w:r w:rsidRPr="00DB4AE1">
              <w:rPr>
                <w:rFonts w:ascii="Arial Narrow" w:hAnsi="Arial Narrow"/>
                <w:b/>
                <w:bCs/>
                <w:color w:val="000000"/>
                <w:sz w:val="20"/>
              </w:rPr>
              <w:t>Change</w:t>
            </w:r>
          </w:p>
        </w:tc>
        <w:tc>
          <w:tcPr>
            <w:tcW w:w="391" w:type="pct"/>
            <w:tcBorders>
              <w:top w:val="single" w:sz="4" w:space="0" w:color="auto"/>
              <w:left w:val="nil"/>
              <w:bottom w:val="single" w:sz="4" w:space="0" w:color="auto"/>
              <w:right w:val="single" w:sz="4" w:space="0" w:color="auto"/>
            </w:tcBorders>
            <w:vAlign w:val="center"/>
          </w:tcPr>
          <w:p w:rsidR="00A04915" w:rsidRPr="00DB4AE1" w:rsidRDefault="00A04915" w:rsidP="00F47C9D">
            <w:pPr>
              <w:keepNext/>
              <w:widowControl/>
              <w:jc w:val="center"/>
              <w:rPr>
                <w:rFonts w:ascii="Arial Narrow" w:hAnsi="Arial Narrow"/>
                <w:b/>
                <w:bCs/>
                <w:color w:val="000000"/>
                <w:sz w:val="20"/>
              </w:rPr>
            </w:pPr>
            <w:r w:rsidRPr="00DB4AE1">
              <w:rPr>
                <w:rFonts w:ascii="Arial Narrow" w:hAnsi="Arial Narrow"/>
                <w:b/>
                <w:bCs/>
                <w:color w:val="000000"/>
                <w:sz w:val="20"/>
              </w:rPr>
              <w:t>N</w:t>
            </w:r>
          </w:p>
        </w:tc>
        <w:tc>
          <w:tcPr>
            <w:tcW w:w="613" w:type="pct"/>
            <w:tcBorders>
              <w:top w:val="single" w:sz="4" w:space="0" w:color="auto"/>
              <w:left w:val="nil"/>
              <w:bottom w:val="single" w:sz="4" w:space="0" w:color="auto"/>
              <w:right w:val="single" w:sz="4" w:space="0" w:color="auto"/>
            </w:tcBorders>
            <w:vAlign w:val="center"/>
          </w:tcPr>
          <w:p w:rsidR="00A04915" w:rsidRPr="00DB4AE1" w:rsidRDefault="00A04915" w:rsidP="00F47C9D">
            <w:pPr>
              <w:keepNext/>
              <w:widowControl/>
              <w:jc w:val="center"/>
              <w:rPr>
                <w:rFonts w:ascii="Arial Narrow" w:hAnsi="Arial Narrow"/>
                <w:b/>
                <w:bCs/>
                <w:color w:val="000000"/>
                <w:sz w:val="20"/>
              </w:rPr>
            </w:pPr>
            <w:r w:rsidRPr="00DB4AE1">
              <w:rPr>
                <w:rFonts w:ascii="Arial Narrow" w:hAnsi="Arial Narrow"/>
                <w:b/>
                <w:bCs/>
                <w:color w:val="000000"/>
                <w:sz w:val="20"/>
              </w:rPr>
              <w:t>Baseline</w:t>
            </w:r>
          </w:p>
        </w:tc>
        <w:tc>
          <w:tcPr>
            <w:tcW w:w="634" w:type="pct"/>
            <w:tcBorders>
              <w:top w:val="single" w:sz="4" w:space="0" w:color="auto"/>
              <w:left w:val="nil"/>
              <w:bottom w:val="single" w:sz="4" w:space="0" w:color="auto"/>
              <w:right w:val="single" w:sz="4" w:space="0" w:color="auto"/>
            </w:tcBorders>
            <w:vAlign w:val="center"/>
          </w:tcPr>
          <w:p w:rsidR="00A04915" w:rsidRPr="00DB4AE1" w:rsidRDefault="00A04915" w:rsidP="00F47C9D">
            <w:pPr>
              <w:keepNext/>
              <w:widowControl/>
              <w:jc w:val="center"/>
              <w:rPr>
                <w:rFonts w:ascii="Arial Narrow" w:hAnsi="Arial Narrow"/>
                <w:b/>
                <w:bCs/>
                <w:color w:val="000000"/>
                <w:sz w:val="20"/>
              </w:rPr>
            </w:pPr>
            <w:r w:rsidRPr="00DB4AE1">
              <w:rPr>
                <w:rFonts w:ascii="Arial Narrow" w:hAnsi="Arial Narrow"/>
                <w:b/>
                <w:bCs/>
                <w:color w:val="000000"/>
                <w:sz w:val="20"/>
              </w:rPr>
              <w:t>Change</w:t>
            </w:r>
          </w:p>
        </w:tc>
        <w:tc>
          <w:tcPr>
            <w:tcW w:w="865" w:type="pct"/>
            <w:vMerge/>
            <w:tcBorders>
              <w:left w:val="nil"/>
              <w:bottom w:val="single" w:sz="4" w:space="0" w:color="auto"/>
              <w:right w:val="single" w:sz="4" w:space="0" w:color="auto"/>
            </w:tcBorders>
            <w:vAlign w:val="center"/>
          </w:tcPr>
          <w:p w:rsidR="00A04915" w:rsidRPr="00DB4AE1" w:rsidRDefault="00A04915" w:rsidP="00F47C9D">
            <w:pPr>
              <w:keepNext/>
              <w:widowControl/>
              <w:jc w:val="center"/>
              <w:rPr>
                <w:rFonts w:ascii="Arial Narrow" w:hAnsi="Arial Narrow"/>
                <w:b/>
                <w:bCs/>
                <w:color w:val="000000"/>
                <w:sz w:val="20"/>
              </w:rPr>
            </w:pPr>
          </w:p>
        </w:tc>
      </w:tr>
      <w:tr w:rsidR="00A97F4E" w:rsidRPr="00DB4AE1" w:rsidTr="00A97F4E">
        <w:trPr>
          <w:cantSplit/>
          <w:trHeight w:val="20"/>
        </w:trPr>
        <w:tc>
          <w:tcPr>
            <w:tcW w:w="5000" w:type="pct"/>
            <w:gridSpan w:val="8"/>
            <w:tcBorders>
              <w:top w:val="nil"/>
              <w:left w:val="single" w:sz="4" w:space="0" w:color="auto"/>
              <w:bottom w:val="single" w:sz="4" w:space="0" w:color="auto"/>
              <w:right w:val="single" w:sz="4" w:space="0" w:color="auto"/>
            </w:tcBorders>
            <w:vAlign w:val="center"/>
          </w:tcPr>
          <w:p w:rsidR="00A97F4E" w:rsidRPr="00DB4AE1" w:rsidRDefault="00A97F4E" w:rsidP="00F47C9D">
            <w:pPr>
              <w:keepNext/>
              <w:widowControl/>
              <w:jc w:val="left"/>
              <w:rPr>
                <w:rFonts w:ascii="Arial Narrow" w:hAnsi="Arial Narrow" w:cs="Times New Roman"/>
                <w:b/>
                <w:bCs/>
                <w:color w:val="000000"/>
                <w:sz w:val="20"/>
              </w:rPr>
            </w:pPr>
            <w:r w:rsidRPr="00DB4AE1">
              <w:rPr>
                <w:rFonts w:ascii="Arial Narrow" w:hAnsi="Arial Narrow" w:cs="Times New Roman"/>
                <w:b/>
                <w:bCs/>
                <w:color w:val="000000"/>
                <w:sz w:val="20"/>
              </w:rPr>
              <w:t>Number of headache days</w:t>
            </w:r>
          </w:p>
        </w:tc>
      </w:tr>
      <w:tr w:rsidR="003A5775" w:rsidRPr="00DB4AE1" w:rsidTr="002C777C">
        <w:trPr>
          <w:cantSplit/>
          <w:trHeight w:val="20"/>
        </w:trPr>
        <w:tc>
          <w:tcPr>
            <w:tcW w:w="810" w:type="pct"/>
            <w:tcBorders>
              <w:top w:val="nil"/>
              <w:left w:val="single" w:sz="4" w:space="0" w:color="auto"/>
              <w:bottom w:val="single" w:sz="4" w:space="0" w:color="auto"/>
              <w:right w:val="single" w:sz="4" w:space="0" w:color="auto"/>
            </w:tcBorders>
            <w:vAlign w:val="center"/>
          </w:tcPr>
          <w:p w:rsidR="003A5775" w:rsidRPr="00DB4AE1" w:rsidRDefault="003A5775" w:rsidP="00F47C9D">
            <w:pPr>
              <w:keepNext/>
              <w:widowControl/>
              <w:jc w:val="left"/>
              <w:rPr>
                <w:rFonts w:ascii="Arial Narrow" w:hAnsi="Arial Narrow"/>
                <w:color w:val="000000"/>
                <w:sz w:val="20"/>
              </w:rPr>
            </w:pPr>
            <w:r w:rsidRPr="00DB4AE1">
              <w:rPr>
                <w:rFonts w:ascii="Arial Narrow" w:hAnsi="Arial Narrow"/>
                <w:color w:val="000000"/>
                <w:sz w:val="20"/>
              </w:rPr>
              <w:t>ITT</w:t>
            </w:r>
          </w:p>
        </w:tc>
        <w:tc>
          <w:tcPr>
            <w:tcW w:w="331" w:type="pct"/>
            <w:tcBorders>
              <w:top w:val="nil"/>
              <w:left w:val="nil"/>
              <w:bottom w:val="single" w:sz="4" w:space="0" w:color="auto"/>
              <w:right w:val="single" w:sz="4" w:space="0" w:color="auto"/>
            </w:tcBorders>
            <w:vAlign w:val="center"/>
          </w:tcPr>
          <w:p w:rsidR="003A5775" w:rsidRPr="00DB4AE1" w:rsidRDefault="003A5775" w:rsidP="00F47C9D">
            <w:pPr>
              <w:keepNext/>
              <w:widowControl/>
              <w:jc w:val="center"/>
              <w:rPr>
                <w:rFonts w:ascii="Arial Narrow" w:hAnsi="Arial Narrow"/>
                <w:color w:val="000000"/>
                <w:sz w:val="20"/>
              </w:rPr>
            </w:pPr>
            <w:r w:rsidRPr="00DB4AE1">
              <w:rPr>
                <w:rFonts w:ascii="Arial Narrow" w:hAnsi="Arial Narrow"/>
                <w:color w:val="000000"/>
                <w:sz w:val="20"/>
              </w:rPr>
              <w:t>688</w:t>
            </w:r>
          </w:p>
        </w:tc>
        <w:tc>
          <w:tcPr>
            <w:tcW w:w="666" w:type="pct"/>
            <w:tcBorders>
              <w:top w:val="nil"/>
              <w:left w:val="nil"/>
              <w:bottom w:val="single" w:sz="4" w:space="0" w:color="auto"/>
              <w:right w:val="single" w:sz="4" w:space="0" w:color="auto"/>
            </w:tcBorders>
            <w:vAlign w:val="center"/>
          </w:tcPr>
          <w:p w:rsidR="003A5775" w:rsidRPr="00DB4AE1" w:rsidRDefault="003A5775" w:rsidP="00F47C9D">
            <w:pPr>
              <w:keepNext/>
              <w:widowControl/>
              <w:jc w:val="center"/>
              <w:rPr>
                <w:rFonts w:ascii="Arial Narrow" w:hAnsi="Arial Narrow"/>
                <w:color w:val="000000"/>
                <w:sz w:val="20"/>
              </w:rPr>
            </w:pPr>
            <w:r w:rsidRPr="00DB4AE1">
              <w:rPr>
                <w:rFonts w:ascii="Arial Narrow" w:hAnsi="Arial Narrow"/>
                <w:color w:val="000000"/>
                <w:sz w:val="20"/>
              </w:rPr>
              <w:t>19.9 (3.7)</w:t>
            </w:r>
          </w:p>
        </w:tc>
        <w:tc>
          <w:tcPr>
            <w:tcW w:w="690" w:type="pct"/>
            <w:tcBorders>
              <w:top w:val="nil"/>
              <w:left w:val="nil"/>
              <w:bottom w:val="single" w:sz="4" w:space="0" w:color="auto"/>
              <w:right w:val="single" w:sz="4" w:space="0" w:color="auto"/>
            </w:tcBorders>
            <w:vAlign w:val="center"/>
          </w:tcPr>
          <w:p w:rsidR="003A5775" w:rsidRPr="00DB4AE1" w:rsidRDefault="003A5775" w:rsidP="00F47C9D">
            <w:pPr>
              <w:keepNext/>
              <w:widowControl/>
              <w:jc w:val="center"/>
              <w:rPr>
                <w:rFonts w:ascii="Arial Narrow" w:hAnsi="Arial Narrow" w:cs="Times New Roman"/>
                <w:color w:val="000000"/>
                <w:sz w:val="20"/>
              </w:rPr>
            </w:pPr>
            <w:r w:rsidRPr="00DB4AE1">
              <w:rPr>
                <w:rFonts w:ascii="Arial Narrow" w:hAnsi="Arial Narrow" w:cs="Times New Roman"/>
                <w:color w:val="000000"/>
                <w:sz w:val="20"/>
              </w:rPr>
              <w:t>-</w:t>
            </w:r>
            <w:r w:rsidRPr="00DB4AE1">
              <w:rPr>
                <w:rFonts w:ascii="Arial Narrow" w:hAnsi="Arial Narrow"/>
                <w:color w:val="000000"/>
                <w:sz w:val="20"/>
              </w:rPr>
              <w:t>8.4 (6.6)</w:t>
            </w:r>
          </w:p>
        </w:tc>
        <w:tc>
          <w:tcPr>
            <w:tcW w:w="391" w:type="pct"/>
            <w:tcBorders>
              <w:top w:val="nil"/>
              <w:left w:val="nil"/>
              <w:bottom w:val="single" w:sz="4" w:space="0" w:color="auto"/>
              <w:right w:val="single" w:sz="4" w:space="0" w:color="auto"/>
            </w:tcBorders>
            <w:vAlign w:val="center"/>
          </w:tcPr>
          <w:p w:rsidR="003A5775" w:rsidRPr="00DB4AE1" w:rsidRDefault="003A5775" w:rsidP="00F47C9D">
            <w:pPr>
              <w:keepNext/>
              <w:widowControl/>
              <w:jc w:val="center"/>
              <w:rPr>
                <w:rFonts w:ascii="Arial Narrow" w:hAnsi="Arial Narrow"/>
                <w:color w:val="000000"/>
                <w:sz w:val="20"/>
              </w:rPr>
            </w:pPr>
            <w:r w:rsidRPr="00DB4AE1">
              <w:rPr>
                <w:rFonts w:ascii="Arial Narrow" w:hAnsi="Arial Narrow"/>
                <w:color w:val="000000"/>
                <w:sz w:val="20"/>
              </w:rPr>
              <w:t>696</w:t>
            </w:r>
          </w:p>
        </w:tc>
        <w:tc>
          <w:tcPr>
            <w:tcW w:w="613" w:type="pct"/>
            <w:tcBorders>
              <w:top w:val="nil"/>
              <w:left w:val="nil"/>
              <w:bottom w:val="single" w:sz="4" w:space="0" w:color="auto"/>
              <w:right w:val="single" w:sz="4" w:space="0" w:color="auto"/>
            </w:tcBorders>
            <w:vAlign w:val="center"/>
          </w:tcPr>
          <w:p w:rsidR="003A5775" w:rsidRPr="00DB4AE1" w:rsidRDefault="003A5775" w:rsidP="00F47C9D">
            <w:pPr>
              <w:keepNext/>
              <w:widowControl/>
              <w:jc w:val="center"/>
              <w:rPr>
                <w:rFonts w:ascii="Arial Narrow" w:hAnsi="Arial Narrow"/>
                <w:color w:val="000000"/>
                <w:sz w:val="20"/>
              </w:rPr>
            </w:pPr>
            <w:r w:rsidRPr="00DB4AE1">
              <w:rPr>
                <w:rFonts w:ascii="Arial Narrow" w:hAnsi="Arial Narrow"/>
                <w:color w:val="000000"/>
                <w:sz w:val="20"/>
              </w:rPr>
              <w:t>19.8 (3.7)</w:t>
            </w:r>
          </w:p>
        </w:tc>
        <w:tc>
          <w:tcPr>
            <w:tcW w:w="634" w:type="pct"/>
            <w:tcBorders>
              <w:top w:val="nil"/>
              <w:left w:val="nil"/>
              <w:bottom w:val="single" w:sz="4" w:space="0" w:color="auto"/>
              <w:right w:val="single" w:sz="4" w:space="0" w:color="auto"/>
            </w:tcBorders>
            <w:vAlign w:val="center"/>
          </w:tcPr>
          <w:p w:rsidR="003A5775" w:rsidRPr="00DB4AE1" w:rsidRDefault="003A5775" w:rsidP="00F47C9D">
            <w:pPr>
              <w:keepNext/>
              <w:widowControl/>
              <w:jc w:val="center"/>
              <w:rPr>
                <w:rFonts w:ascii="Arial Narrow" w:hAnsi="Arial Narrow" w:cs="Times New Roman"/>
                <w:color w:val="000000"/>
                <w:sz w:val="20"/>
              </w:rPr>
            </w:pPr>
            <w:r w:rsidRPr="00DB4AE1">
              <w:rPr>
                <w:rFonts w:ascii="Arial Narrow" w:hAnsi="Arial Narrow" w:cs="Times New Roman"/>
                <w:color w:val="000000"/>
                <w:sz w:val="20"/>
              </w:rPr>
              <w:t>-</w:t>
            </w:r>
            <w:r w:rsidRPr="00DB4AE1">
              <w:rPr>
                <w:rFonts w:ascii="Arial Narrow" w:hAnsi="Arial Narrow"/>
                <w:color w:val="000000"/>
                <w:sz w:val="20"/>
              </w:rPr>
              <w:t>6.6 (6.7)</w:t>
            </w:r>
          </w:p>
        </w:tc>
        <w:tc>
          <w:tcPr>
            <w:tcW w:w="865" w:type="pct"/>
            <w:tcBorders>
              <w:top w:val="nil"/>
              <w:left w:val="nil"/>
              <w:bottom w:val="single" w:sz="4" w:space="0" w:color="auto"/>
              <w:right w:val="single" w:sz="4" w:space="0" w:color="auto"/>
            </w:tcBorders>
            <w:vAlign w:val="center"/>
          </w:tcPr>
          <w:p w:rsidR="003A5775" w:rsidRPr="00DB4AE1" w:rsidRDefault="003A5775" w:rsidP="00F47C9D">
            <w:pPr>
              <w:keepNext/>
              <w:widowControl/>
              <w:jc w:val="center"/>
              <w:rPr>
                <w:rFonts w:ascii="Arial Narrow" w:hAnsi="Arial Narrow" w:cs="Times New Roman"/>
                <w:b/>
                <w:bCs/>
                <w:color w:val="000000"/>
                <w:sz w:val="20"/>
              </w:rPr>
            </w:pPr>
            <w:r w:rsidRPr="00DB4AE1">
              <w:rPr>
                <w:rFonts w:ascii="Arial Narrow" w:hAnsi="Arial Narrow" w:cs="Times New Roman"/>
                <w:b/>
                <w:bCs/>
                <w:color w:val="000000"/>
                <w:sz w:val="20"/>
              </w:rPr>
              <w:t>-</w:t>
            </w:r>
            <w:r w:rsidRPr="00DB4AE1">
              <w:rPr>
                <w:rFonts w:ascii="Arial Narrow" w:hAnsi="Arial Narrow"/>
                <w:b/>
                <w:bCs/>
                <w:color w:val="000000"/>
                <w:sz w:val="20"/>
              </w:rPr>
              <w:t>1.8 (</w:t>
            </w:r>
            <w:r w:rsidRPr="00DB4AE1">
              <w:rPr>
                <w:rFonts w:ascii="Arial Narrow" w:hAnsi="Arial Narrow" w:cs="Times New Roman"/>
                <w:b/>
                <w:bCs/>
                <w:color w:val="000000"/>
                <w:sz w:val="20"/>
              </w:rPr>
              <w:t>-</w:t>
            </w:r>
            <w:r w:rsidRPr="00DB4AE1">
              <w:rPr>
                <w:rFonts w:ascii="Arial Narrow" w:hAnsi="Arial Narrow"/>
                <w:b/>
                <w:bCs/>
                <w:color w:val="000000"/>
                <w:sz w:val="20"/>
              </w:rPr>
              <w:t>2.52, </w:t>
            </w:r>
            <w:r w:rsidRPr="00DB4AE1">
              <w:rPr>
                <w:rFonts w:ascii="Arial Narrow" w:hAnsi="Arial Narrow" w:cs="Times New Roman"/>
                <w:b/>
                <w:bCs/>
                <w:color w:val="000000"/>
                <w:sz w:val="20"/>
              </w:rPr>
              <w:t>-</w:t>
            </w:r>
            <w:r w:rsidRPr="00DB4AE1">
              <w:rPr>
                <w:rFonts w:ascii="Arial Narrow" w:hAnsi="Arial Narrow"/>
                <w:b/>
                <w:bCs/>
                <w:color w:val="000000"/>
                <w:sz w:val="20"/>
              </w:rPr>
              <w:t>1.13)</w:t>
            </w:r>
          </w:p>
        </w:tc>
      </w:tr>
      <w:tr w:rsidR="002C0B72" w:rsidRPr="00DB4AE1" w:rsidTr="00AE29B5">
        <w:trPr>
          <w:cantSplit/>
          <w:trHeight w:val="20"/>
        </w:trPr>
        <w:tc>
          <w:tcPr>
            <w:tcW w:w="810" w:type="pct"/>
            <w:tcBorders>
              <w:top w:val="nil"/>
              <w:left w:val="single" w:sz="4" w:space="0" w:color="auto"/>
              <w:bottom w:val="single" w:sz="4" w:space="0" w:color="auto"/>
              <w:right w:val="single" w:sz="4" w:space="0" w:color="auto"/>
            </w:tcBorders>
            <w:vAlign w:val="center"/>
          </w:tcPr>
          <w:p w:rsidR="002C0B72" w:rsidRPr="00DB4AE1" w:rsidRDefault="002C0B72" w:rsidP="00F47C9D">
            <w:pPr>
              <w:keepNext/>
              <w:widowControl/>
              <w:jc w:val="left"/>
              <w:rPr>
                <w:rFonts w:ascii="Arial Narrow" w:hAnsi="Arial Narrow"/>
                <w:color w:val="000000"/>
                <w:sz w:val="20"/>
              </w:rPr>
            </w:pPr>
            <w:r w:rsidRPr="00DB4AE1">
              <w:rPr>
                <w:rFonts w:ascii="Arial Narrow" w:hAnsi="Arial Narrow"/>
                <w:color w:val="000000"/>
                <w:sz w:val="20"/>
              </w:rPr>
              <w:t>≥2 prior prophylactics</w:t>
            </w:r>
          </w:p>
        </w:tc>
        <w:tc>
          <w:tcPr>
            <w:tcW w:w="331" w:type="pct"/>
            <w:tcBorders>
              <w:top w:val="nil"/>
              <w:left w:val="nil"/>
              <w:bottom w:val="single" w:sz="4" w:space="0" w:color="auto"/>
              <w:right w:val="single" w:sz="4" w:space="0" w:color="auto"/>
            </w:tcBorders>
            <w:vAlign w:val="center"/>
          </w:tcPr>
          <w:p w:rsidR="002C0B72" w:rsidRPr="00DB4AE1" w:rsidRDefault="002C0B72" w:rsidP="00F47C9D">
            <w:pPr>
              <w:keepNext/>
              <w:widowControl/>
              <w:jc w:val="center"/>
              <w:rPr>
                <w:rFonts w:ascii="Arial Narrow" w:hAnsi="Arial Narrow"/>
                <w:color w:val="000000"/>
                <w:sz w:val="20"/>
              </w:rPr>
            </w:pPr>
            <w:r w:rsidRPr="00DB4AE1">
              <w:rPr>
                <w:rFonts w:ascii="Arial Narrow" w:hAnsi="Arial Narrow"/>
                <w:color w:val="000000"/>
                <w:sz w:val="20"/>
              </w:rPr>
              <w:t>313</w:t>
            </w:r>
          </w:p>
        </w:tc>
        <w:tc>
          <w:tcPr>
            <w:tcW w:w="666" w:type="pct"/>
            <w:tcBorders>
              <w:top w:val="nil"/>
              <w:left w:val="nil"/>
              <w:bottom w:val="single" w:sz="4" w:space="0" w:color="auto"/>
              <w:right w:val="single" w:sz="4" w:space="0" w:color="auto"/>
            </w:tcBorders>
            <w:vAlign w:val="center"/>
          </w:tcPr>
          <w:p w:rsidR="002C0B72" w:rsidRPr="00DB4AE1" w:rsidRDefault="002C0B72" w:rsidP="00F47C9D">
            <w:pPr>
              <w:keepNext/>
              <w:widowControl/>
              <w:jc w:val="center"/>
              <w:rPr>
                <w:rFonts w:ascii="Arial Narrow" w:hAnsi="Arial Narrow"/>
                <w:color w:val="000000"/>
                <w:sz w:val="20"/>
              </w:rPr>
            </w:pPr>
            <w:r w:rsidRPr="00DB4AE1">
              <w:rPr>
                <w:rFonts w:ascii="Arial Narrow" w:hAnsi="Arial Narrow"/>
                <w:color w:val="000000"/>
                <w:sz w:val="20"/>
              </w:rPr>
              <w:t>20.1 (3.7)</w:t>
            </w:r>
          </w:p>
        </w:tc>
        <w:tc>
          <w:tcPr>
            <w:tcW w:w="690" w:type="pct"/>
            <w:tcBorders>
              <w:top w:val="nil"/>
              <w:left w:val="nil"/>
              <w:bottom w:val="single" w:sz="4" w:space="0" w:color="auto"/>
              <w:right w:val="single" w:sz="4" w:space="0" w:color="auto"/>
            </w:tcBorders>
            <w:vAlign w:val="center"/>
          </w:tcPr>
          <w:p w:rsidR="002C0B72" w:rsidRPr="00DB4AE1" w:rsidRDefault="002C0B72" w:rsidP="00F47C9D">
            <w:pPr>
              <w:keepNext/>
              <w:widowControl/>
              <w:jc w:val="center"/>
              <w:rPr>
                <w:rFonts w:ascii="Arial Narrow" w:hAnsi="Arial Narrow" w:cs="Times New Roman"/>
                <w:color w:val="000000"/>
                <w:sz w:val="20"/>
              </w:rPr>
            </w:pPr>
            <w:r w:rsidRPr="00DB4AE1">
              <w:rPr>
                <w:rFonts w:ascii="Arial Narrow" w:hAnsi="Arial Narrow" w:cs="Times New Roman"/>
                <w:color w:val="000000"/>
                <w:sz w:val="20"/>
              </w:rPr>
              <w:t>-7.7 (6.4)</w:t>
            </w:r>
          </w:p>
        </w:tc>
        <w:tc>
          <w:tcPr>
            <w:tcW w:w="391" w:type="pct"/>
            <w:tcBorders>
              <w:top w:val="nil"/>
              <w:left w:val="nil"/>
              <w:bottom w:val="single" w:sz="4" w:space="0" w:color="auto"/>
              <w:right w:val="single" w:sz="4" w:space="0" w:color="auto"/>
            </w:tcBorders>
            <w:vAlign w:val="center"/>
          </w:tcPr>
          <w:p w:rsidR="002C0B72" w:rsidRPr="00DB4AE1" w:rsidRDefault="002C0B72" w:rsidP="00F47C9D">
            <w:pPr>
              <w:keepNext/>
              <w:widowControl/>
              <w:jc w:val="center"/>
              <w:rPr>
                <w:rFonts w:ascii="Arial Narrow" w:hAnsi="Arial Narrow"/>
                <w:color w:val="000000"/>
                <w:sz w:val="20"/>
              </w:rPr>
            </w:pPr>
            <w:r w:rsidRPr="00DB4AE1">
              <w:rPr>
                <w:rFonts w:ascii="Arial Narrow" w:hAnsi="Arial Narrow"/>
                <w:color w:val="000000"/>
                <w:sz w:val="20"/>
              </w:rPr>
              <w:t>325</w:t>
            </w:r>
          </w:p>
        </w:tc>
        <w:tc>
          <w:tcPr>
            <w:tcW w:w="613" w:type="pct"/>
            <w:tcBorders>
              <w:top w:val="nil"/>
              <w:left w:val="nil"/>
              <w:bottom w:val="single" w:sz="4" w:space="0" w:color="auto"/>
              <w:right w:val="single" w:sz="4" w:space="0" w:color="auto"/>
            </w:tcBorders>
            <w:vAlign w:val="center"/>
          </w:tcPr>
          <w:p w:rsidR="002C0B72" w:rsidRPr="00DB4AE1" w:rsidRDefault="002C0B72" w:rsidP="00F47C9D">
            <w:pPr>
              <w:keepNext/>
              <w:widowControl/>
              <w:jc w:val="center"/>
              <w:rPr>
                <w:rFonts w:ascii="Arial Narrow" w:hAnsi="Arial Narrow"/>
                <w:color w:val="000000"/>
                <w:sz w:val="20"/>
              </w:rPr>
            </w:pPr>
            <w:r w:rsidRPr="00DB4AE1">
              <w:rPr>
                <w:rFonts w:ascii="Arial Narrow" w:hAnsi="Arial Narrow"/>
                <w:color w:val="000000"/>
                <w:sz w:val="20"/>
              </w:rPr>
              <w:t>20.0 (3.8)</w:t>
            </w:r>
          </w:p>
        </w:tc>
        <w:tc>
          <w:tcPr>
            <w:tcW w:w="634" w:type="pct"/>
            <w:tcBorders>
              <w:top w:val="nil"/>
              <w:left w:val="nil"/>
              <w:bottom w:val="single" w:sz="4" w:space="0" w:color="auto"/>
              <w:right w:val="single" w:sz="4" w:space="0" w:color="auto"/>
            </w:tcBorders>
            <w:vAlign w:val="center"/>
          </w:tcPr>
          <w:p w:rsidR="002C0B72" w:rsidRPr="00DB4AE1" w:rsidRDefault="001217DA" w:rsidP="00F47C9D">
            <w:pPr>
              <w:keepNext/>
              <w:widowControl/>
              <w:jc w:val="center"/>
              <w:rPr>
                <w:rFonts w:ascii="Arial Narrow" w:hAnsi="Arial Narrow" w:cs="Times New Roman"/>
                <w:color w:val="000000"/>
                <w:sz w:val="20"/>
              </w:rPr>
            </w:pPr>
            <w:r w:rsidRPr="00DB4AE1">
              <w:rPr>
                <w:rFonts w:ascii="Arial Narrow" w:hAnsi="Arial Narrow" w:cs="Times New Roman"/>
                <w:color w:val="000000"/>
                <w:sz w:val="20"/>
              </w:rPr>
              <w:t>-5.1 (6.4)</w:t>
            </w:r>
          </w:p>
        </w:tc>
        <w:tc>
          <w:tcPr>
            <w:tcW w:w="865" w:type="pct"/>
            <w:tcBorders>
              <w:top w:val="nil"/>
              <w:left w:val="nil"/>
              <w:bottom w:val="single" w:sz="4" w:space="0" w:color="auto"/>
              <w:right w:val="single" w:sz="4" w:space="0" w:color="auto"/>
            </w:tcBorders>
            <w:vAlign w:val="center"/>
          </w:tcPr>
          <w:p w:rsidR="002C0B72" w:rsidRPr="00DB4AE1" w:rsidRDefault="003E4CD5" w:rsidP="00F47C9D">
            <w:pPr>
              <w:keepNext/>
              <w:widowControl/>
              <w:jc w:val="center"/>
              <w:rPr>
                <w:rFonts w:ascii="Arial Narrow" w:hAnsi="Arial Narrow"/>
                <w:b/>
                <w:bCs/>
                <w:color w:val="000000"/>
                <w:sz w:val="20"/>
              </w:rPr>
            </w:pPr>
            <w:r w:rsidRPr="00DB4AE1">
              <w:rPr>
                <w:rFonts w:ascii="Arial Narrow" w:hAnsi="Arial Narrow"/>
                <w:b/>
                <w:bCs/>
                <w:color w:val="000000"/>
                <w:sz w:val="20"/>
              </w:rPr>
              <w:t>-</w:t>
            </w:r>
            <w:r w:rsidR="002C0B72" w:rsidRPr="00DB4AE1">
              <w:rPr>
                <w:rFonts w:ascii="Arial Narrow" w:hAnsi="Arial Narrow"/>
                <w:b/>
                <w:bCs/>
                <w:color w:val="000000"/>
                <w:sz w:val="20"/>
              </w:rPr>
              <w:t>2.7 (-</w:t>
            </w:r>
            <w:r w:rsidRPr="00DB4AE1">
              <w:rPr>
                <w:rFonts w:ascii="Arial Narrow" w:hAnsi="Arial Narrow"/>
                <w:b/>
                <w:bCs/>
                <w:color w:val="000000"/>
                <w:sz w:val="20"/>
              </w:rPr>
              <w:t>3</w:t>
            </w:r>
            <w:r w:rsidR="002C0B72" w:rsidRPr="00DB4AE1">
              <w:rPr>
                <w:rFonts w:ascii="Arial Narrow" w:hAnsi="Arial Narrow"/>
                <w:b/>
                <w:bCs/>
                <w:color w:val="000000"/>
                <w:sz w:val="20"/>
              </w:rPr>
              <w:t>.67, -1.68)</w:t>
            </w:r>
          </w:p>
        </w:tc>
      </w:tr>
      <w:tr w:rsidR="003A5775" w:rsidRPr="00DB4AE1" w:rsidTr="00AE29B5">
        <w:trPr>
          <w:cantSplit/>
          <w:trHeight w:val="20"/>
        </w:trPr>
        <w:tc>
          <w:tcPr>
            <w:tcW w:w="810" w:type="pct"/>
            <w:tcBorders>
              <w:top w:val="single" w:sz="4" w:space="0" w:color="auto"/>
              <w:left w:val="single" w:sz="4" w:space="0" w:color="auto"/>
              <w:bottom w:val="single" w:sz="4" w:space="0" w:color="auto"/>
              <w:right w:val="single" w:sz="4" w:space="0" w:color="auto"/>
            </w:tcBorders>
            <w:vAlign w:val="center"/>
          </w:tcPr>
          <w:p w:rsidR="003A5775" w:rsidRPr="00DB4AE1" w:rsidRDefault="003A5775" w:rsidP="00F47C9D">
            <w:pPr>
              <w:keepNext/>
              <w:widowControl/>
              <w:jc w:val="left"/>
              <w:rPr>
                <w:rFonts w:ascii="Arial Narrow" w:hAnsi="Arial Narrow"/>
                <w:color w:val="000000"/>
                <w:sz w:val="20"/>
              </w:rPr>
            </w:pPr>
            <w:r w:rsidRPr="00DB4AE1">
              <w:rPr>
                <w:rFonts w:ascii="Arial Narrow" w:hAnsi="Arial Narrow"/>
                <w:color w:val="000000"/>
                <w:sz w:val="20"/>
              </w:rPr>
              <w:t>≥3 prior prophylactics</w:t>
            </w:r>
          </w:p>
        </w:tc>
        <w:tc>
          <w:tcPr>
            <w:tcW w:w="331" w:type="pct"/>
            <w:tcBorders>
              <w:top w:val="single" w:sz="4" w:space="0" w:color="auto"/>
              <w:left w:val="nil"/>
              <w:bottom w:val="single" w:sz="4" w:space="0" w:color="auto"/>
              <w:right w:val="single" w:sz="4" w:space="0" w:color="auto"/>
            </w:tcBorders>
            <w:vAlign w:val="center"/>
          </w:tcPr>
          <w:p w:rsidR="003A5775" w:rsidRPr="00DB4AE1" w:rsidRDefault="003A5775" w:rsidP="00F47C9D">
            <w:pPr>
              <w:keepNext/>
              <w:widowControl/>
              <w:jc w:val="center"/>
              <w:rPr>
                <w:rFonts w:ascii="Arial Narrow" w:hAnsi="Arial Narrow"/>
                <w:color w:val="000000"/>
                <w:sz w:val="20"/>
              </w:rPr>
            </w:pPr>
            <w:r w:rsidRPr="00DB4AE1">
              <w:rPr>
                <w:rFonts w:ascii="Arial Narrow" w:hAnsi="Arial Narrow"/>
                <w:color w:val="000000"/>
                <w:sz w:val="20"/>
              </w:rPr>
              <w:t>231</w:t>
            </w:r>
          </w:p>
        </w:tc>
        <w:tc>
          <w:tcPr>
            <w:tcW w:w="666" w:type="pct"/>
            <w:tcBorders>
              <w:top w:val="single" w:sz="4" w:space="0" w:color="auto"/>
              <w:left w:val="nil"/>
              <w:bottom w:val="single" w:sz="4" w:space="0" w:color="auto"/>
              <w:right w:val="single" w:sz="4" w:space="0" w:color="auto"/>
            </w:tcBorders>
            <w:vAlign w:val="center"/>
          </w:tcPr>
          <w:p w:rsidR="003A5775" w:rsidRPr="00DB4AE1" w:rsidRDefault="003A5775" w:rsidP="00F47C9D">
            <w:pPr>
              <w:keepNext/>
              <w:widowControl/>
              <w:jc w:val="center"/>
              <w:rPr>
                <w:rFonts w:ascii="Arial Narrow" w:hAnsi="Arial Narrow"/>
                <w:color w:val="000000"/>
                <w:sz w:val="20"/>
              </w:rPr>
            </w:pPr>
            <w:r w:rsidRPr="00DB4AE1">
              <w:rPr>
                <w:rFonts w:ascii="Arial Narrow" w:hAnsi="Arial Narrow"/>
                <w:color w:val="000000"/>
                <w:sz w:val="20"/>
              </w:rPr>
              <w:t>20.0 (3.5)</w:t>
            </w:r>
          </w:p>
        </w:tc>
        <w:tc>
          <w:tcPr>
            <w:tcW w:w="690" w:type="pct"/>
            <w:tcBorders>
              <w:top w:val="single" w:sz="4" w:space="0" w:color="auto"/>
              <w:left w:val="nil"/>
              <w:bottom w:val="single" w:sz="4" w:space="0" w:color="auto"/>
              <w:right w:val="single" w:sz="4" w:space="0" w:color="auto"/>
            </w:tcBorders>
            <w:vAlign w:val="center"/>
          </w:tcPr>
          <w:p w:rsidR="003A5775" w:rsidRPr="00DB4AE1" w:rsidRDefault="003A5775" w:rsidP="00F47C9D">
            <w:pPr>
              <w:keepNext/>
              <w:widowControl/>
              <w:jc w:val="center"/>
              <w:rPr>
                <w:rFonts w:ascii="Arial Narrow" w:hAnsi="Arial Narrow" w:cs="Times New Roman"/>
                <w:color w:val="000000"/>
                <w:sz w:val="20"/>
              </w:rPr>
            </w:pPr>
            <w:r w:rsidRPr="00DB4AE1">
              <w:rPr>
                <w:rFonts w:ascii="Arial Narrow" w:hAnsi="Arial Narrow" w:cs="Times New Roman"/>
                <w:color w:val="000000"/>
                <w:sz w:val="20"/>
              </w:rPr>
              <w:t>-</w:t>
            </w:r>
            <w:r w:rsidRPr="00DB4AE1">
              <w:rPr>
                <w:rFonts w:ascii="Arial Narrow" w:hAnsi="Arial Narrow"/>
                <w:color w:val="000000"/>
                <w:sz w:val="20"/>
              </w:rPr>
              <w:t>7.4 (6.6)</w:t>
            </w:r>
          </w:p>
        </w:tc>
        <w:tc>
          <w:tcPr>
            <w:tcW w:w="391" w:type="pct"/>
            <w:tcBorders>
              <w:top w:val="single" w:sz="4" w:space="0" w:color="auto"/>
              <w:left w:val="nil"/>
              <w:bottom w:val="single" w:sz="4" w:space="0" w:color="auto"/>
              <w:right w:val="single" w:sz="4" w:space="0" w:color="auto"/>
            </w:tcBorders>
            <w:vAlign w:val="center"/>
          </w:tcPr>
          <w:p w:rsidR="003A5775" w:rsidRPr="00DB4AE1" w:rsidRDefault="003A5775" w:rsidP="00F47C9D">
            <w:pPr>
              <w:keepNext/>
              <w:widowControl/>
              <w:jc w:val="center"/>
              <w:rPr>
                <w:rFonts w:ascii="Arial Narrow" w:hAnsi="Arial Narrow"/>
                <w:color w:val="000000"/>
                <w:sz w:val="20"/>
              </w:rPr>
            </w:pPr>
            <w:r w:rsidRPr="00DB4AE1">
              <w:rPr>
                <w:rFonts w:ascii="Arial Narrow" w:hAnsi="Arial Narrow"/>
                <w:color w:val="000000"/>
                <w:sz w:val="20"/>
              </w:rPr>
              <w:t>248</w:t>
            </w:r>
          </w:p>
        </w:tc>
        <w:tc>
          <w:tcPr>
            <w:tcW w:w="613" w:type="pct"/>
            <w:tcBorders>
              <w:top w:val="single" w:sz="4" w:space="0" w:color="auto"/>
              <w:left w:val="nil"/>
              <w:bottom w:val="single" w:sz="4" w:space="0" w:color="auto"/>
              <w:right w:val="single" w:sz="4" w:space="0" w:color="auto"/>
            </w:tcBorders>
            <w:vAlign w:val="center"/>
          </w:tcPr>
          <w:p w:rsidR="003A5775" w:rsidRPr="00DB4AE1" w:rsidRDefault="003A5775" w:rsidP="00F47C9D">
            <w:pPr>
              <w:keepNext/>
              <w:widowControl/>
              <w:jc w:val="center"/>
              <w:rPr>
                <w:rFonts w:ascii="Arial Narrow" w:hAnsi="Arial Narrow"/>
                <w:color w:val="000000"/>
                <w:sz w:val="20"/>
              </w:rPr>
            </w:pPr>
            <w:r w:rsidRPr="00DB4AE1">
              <w:rPr>
                <w:rFonts w:ascii="Arial Narrow" w:hAnsi="Arial Narrow"/>
                <w:color w:val="000000"/>
                <w:sz w:val="20"/>
              </w:rPr>
              <w:t>20.2 (3.9)</w:t>
            </w:r>
          </w:p>
        </w:tc>
        <w:tc>
          <w:tcPr>
            <w:tcW w:w="634" w:type="pct"/>
            <w:tcBorders>
              <w:top w:val="single" w:sz="4" w:space="0" w:color="auto"/>
              <w:left w:val="nil"/>
              <w:bottom w:val="single" w:sz="4" w:space="0" w:color="auto"/>
              <w:right w:val="single" w:sz="4" w:space="0" w:color="auto"/>
            </w:tcBorders>
            <w:vAlign w:val="center"/>
          </w:tcPr>
          <w:p w:rsidR="003A5775" w:rsidRPr="00DB4AE1" w:rsidRDefault="003A5775" w:rsidP="00F47C9D">
            <w:pPr>
              <w:keepNext/>
              <w:widowControl/>
              <w:jc w:val="center"/>
              <w:rPr>
                <w:rFonts w:ascii="Arial Narrow" w:hAnsi="Arial Narrow" w:cs="Times New Roman"/>
                <w:color w:val="000000"/>
                <w:sz w:val="20"/>
              </w:rPr>
            </w:pPr>
            <w:r w:rsidRPr="00DB4AE1">
              <w:rPr>
                <w:rFonts w:ascii="Arial Narrow" w:hAnsi="Arial Narrow" w:cs="Times New Roman"/>
                <w:color w:val="000000"/>
                <w:sz w:val="20"/>
              </w:rPr>
              <w:t>-</w:t>
            </w:r>
            <w:r w:rsidRPr="00DB4AE1">
              <w:rPr>
                <w:rFonts w:ascii="Arial Narrow" w:hAnsi="Arial Narrow"/>
                <w:color w:val="000000"/>
                <w:sz w:val="20"/>
              </w:rPr>
              <w:t>4.7 (6.4)</w:t>
            </w:r>
          </w:p>
        </w:tc>
        <w:tc>
          <w:tcPr>
            <w:tcW w:w="865" w:type="pct"/>
            <w:tcBorders>
              <w:top w:val="single" w:sz="4" w:space="0" w:color="auto"/>
              <w:left w:val="nil"/>
              <w:bottom w:val="single" w:sz="4" w:space="0" w:color="auto"/>
              <w:right w:val="single" w:sz="4" w:space="0" w:color="auto"/>
            </w:tcBorders>
            <w:vAlign w:val="center"/>
          </w:tcPr>
          <w:p w:rsidR="003A5775" w:rsidRPr="00DB4AE1" w:rsidRDefault="003A5775" w:rsidP="00F47C9D">
            <w:pPr>
              <w:keepNext/>
              <w:widowControl/>
              <w:jc w:val="center"/>
              <w:rPr>
                <w:rFonts w:ascii="Arial Narrow" w:hAnsi="Arial Narrow" w:cs="Times New Roman"/>
                <w:b/>
                <w:bCs/>
                <w:color w:val="000000"/>
                <w:sz w:val="20"/>
              </w:rPr>
            </w:pPr>
            <w:r w:rsidRPr="00DB4AE1">
              <w:rPr>
                <w:rFonts w:ascii="Arial Narrow" w:hAnsi="Arial Narrow"/>
                <w:b/>
                <w:bCs/>
                <w:color w:val="000000"/>
                <w:sz w:val="20"/>
              </w:rPr>
              <w:t>-2.7 (</w:t>
            </w:r>
            <w:r w:rsidRPr="00DB4AE1">
              <w:rPr>
                <w:rFonts w:ascii="Arial Narrow" w:hAnsi="Arial Narrow" w:cs="Times New Roman"/>
                <w:b/>
                <w:bCs/>
                <w:color w:val="000000"/>
                <w:sz w:val="20"/>
              </w:rPr>
              <w:t>-</w:t>
            </w:r>
            <w:r w:rsidRPr="00DB4AE1">
              <w:rPr>
                <w:rFonts w:ascii="Arial Narrow" w:hAnsi="Arial Narrow"/>
                <w:b/>
                <w:bCs/>
                <w:color w:val="000000"/>
                <w:sz w:val="20"/>
              </w:rPr>
              <w:t>3.81, </w:t>
            </w:r>
            <w:r w:rsidRPr="00DB4AE1">
              <w:rPr>
                <w:rFonts w:ascii="Arial Narrow" w:hAnsi="Arial Narrow" w:cs="Times New Roman"/>
                <w:b/>
                <w:bCs/>
                <w:color w:val="000000"/>
                <w:sz w:val="20"/>
              </w:rPr>
              <w:t>-</w:t>
            </w:r>
            <w:r w:rsidRPr="00DB4AE1">
              <w:rPr>
                <w:rFonts w:ascii="Arial Narrow" w:hAnsi="Arial Narrow"/>
                <w:b/>
                <w:bCs/>
                <w:color w:val="000000"/>
                <w:sz w:val="20"/>
              </w:rPr>
              <w:t>1.48)</w:t>
            </w:r>
          </w:p>
        </w:tc>
      </w:tr>
    </w:tbl>
    <w:p w:rsidR="00A04915" w:rsidRPr="00DB4AE1" w:rsidRDefault="00A04915" w:rsidP="00F47C9D">
      <w:pPr>
        <w:pStyle w:val="TableFooter"/>
        <w:keepNext/>
        <w:widowControl/>
      </w:pPr>
      <w:r w:rsidRPr="00DB4AE1">
        <w:t>Source: Table 2-5, p51 of the submission.</w:t>
      </w:r>
    </w:p>
    <w:p w:rsidR="00A04915" w:rsidRPr="00DB4AE1" w:rsidRDefault="00A04915" w:rsidP="00F47C9D">
      <w:pPr>
        <w:pStyle w:val="TableFooter"/>
        <w:keepNext/>
        <w:widowControl/>
        <w:spacing w:after="120"/>
      </w:pPr>
      <w:r w:rsidRPr="00DB4AE1">
        <w:t xml:space="preserve">BSC=best supportive care; CI=confidence interval; ITT=intention to treat; SD=standard deviation; </w:t>
      </w:r>
      <w:r w:rsidRPr="00DB4AE1">
        <w:rPr>
          <w:b/>
        </w:rPr>
        <w:t>bold</w:t>
      </w:r>
      <w:r w:rsidRPr="00DB4AE1">
        <w:t>=statistically significant</w:t>
      </w:r>
    </w:p>
    <w:p w:rsidR="00AE29B5" w:rsidRPr="00DB4AE1" w:rsidRDefault="00A04915" w:rsidP="00837BC5">
      <w:pPr>
        <w:pStyle w:val="ListParagraph"/>
        <w:widowControl/>
        <w:numPr>
          <w:ilvl w:val="1"/>
          <w:numId w:val="1"/>
        </w:numPr>
        <w:spacing w:after="120"/>
      </w:pPr>
      <w:r w:rsidRPr="00DB4AE1">
        <w:t>On consideration of this PREEMPT evidence in the July 2013 resubmission</w:t>
      </w:r>
      <w:r w:rsidR="00B74B63" w:rsidRPr="00DB4AE1">
        <w:t>,</w:t>
      </w:r>
      <w:r w:rsidRPr="00DB4AE1">
        <w:t xml:space="preserve"> the PBAC stated that in July 2012 it was accepted that a change of two to three headache days as shown in the PREEMPT trial was a clinically meaningful outcome (</w:t>
      </w:r>
      <w:r w:rsidR="00D96743" w:rsidRPr="00DB4AE1">
        <w:t>Botulinum Toxin Type A</w:t>
      </w:r>
      <w:r w:rsidR="00D96743">
        <w:t xml:space="preserve"> PBAC </w:t>
      </w:r>
      <w:r w:rsidR="00022EE4">
        <w:t>PSD</w:t>
      </w:r>
      <w:r w:rsidR="00D96743" w:rsidRPr="00DB4AE1">
        <w:t>, July 2013</w:t>
      </w:r>
      <w:r w:rsidRPr="00DB4AE1">
        <w:t>).</w:t>
      </w:r>
    </w:p>
    <w:p w:rsidR="002C2775" w:rsidRPr="00DB4AE1" w:rsidRDefault="00AE29B5" w:rsidP="00837BC5">
      <w:pPr>
        <w:pStyle w:val="ListParagraph"/>
        <w:widowControl/>
        <w:numPr>
          <w:ilvl w:val="1"/>
          <w:numId w:val="1"/>
        </w:numPr>
        <w:spacing w:after="120"/>
      </w:pPr>
      <w:r w:rsidRPr="00DB4AE1">
        <w:t>The results from the PREEMPT trials for proportion of patients with ≥</w:t>
      </w:r>
      <w:r w:rsidR="00D7579F">
        <w:t xml:space="preserve"> </w:t>
      </w:r>
      <w:r w:rsidRPr="00DB4AE1">
        <w:t>50% reduction in headache days</w:t>
      </w:r>
      <w:r w:rsidR="00B50DDC" w:rsidRPr="00DB4AE1">
        <w:t xml:space="preserve"> (a secondary outcome for the trials)</w:t>
      </w:r>
      <w:r w:rsidRPr="00DB4AE1">
        <w:t>, which were provided in the July 2012 resubmission, are summarised in the table below.</w:t>
      </w:r>
    </w:p>
    <w:p w:rsidR="00AE29B5" w:rsidRPr="00DB4AE1" w:rsidRDefault="00AE29B5" w:rsidP="00837BC5">
      <w:pPr>
        <w:keepNext/>
        <w:widowControl/>
        <w:rPr>
          <w:rFonts w:ascii="Arial Narrow" w:hAnsi="Arial Narrow"/>
          <w:b/>
          <w:sz w:val="20"/>
          <w:szCs w:val="20"/>
        </w:rPr>
      </w:pPr>
      <w:r w:rsidRPr="00DB4AE1">
        <w:rPr>
          <w:rFonts w:ascii="Arial Narrow" w:hAnsi="Arial Narrow"/>
          <w:b/>
          <w:sz w:val="20"/>
          <w:szCs w:val="20"/>
        </w:rPr>
        <w:t xml:space="preserve">Table </w:t>
      </w:r>
      <w:r w:rsidR="00441489" w:rsidRPr="00DB4AE1">
        <w:rPr>
          <w:rFonts w:ascii="Arial Narrow" w:hAnsi="Arial Narrow"/>
          <w:b/>
          <w:sz w:val="20"/>
          <w:szCs w:val="20"/>
        </w:rPr>
        <w:t>9</w:t>
      </w:r>
      <w:r w:rsidRPr="00DB4AE1">
        <w:rPr>
          <w:rFonts w:ascii="Arial Narrow" w:hAnsi="Arial Narrow"/>
          <w:b/>
          <w:sz w:val="20"/>
          <w:szCs w:val="20"/>
        </w:rPr>
        <w:t xml:space="preserve">: </w:t>
      </w:r>
      <w:r w:rsidR="00184794" w:rsidRPr="00DB4AE1">
        <w:rPr>
          <w:rFonts w:ascii="Arial Narrow" w:hAnsi="Arial Narrow"/>
          <w:b/>
          <w:sz w:val="20"/>
          <w:szCs w:val="20"/>
        </w:rPr>
        <w:t>Proportion of patients with ≥</w:t>
      </w:r>
      <w:r w:rsidR="00A6731E">
        <w:rPr>
          <w:rFonts w:ascii="Arial Narrow" w:hAnsi="Arial Narrow"/>
          <w:b/>
          <w:sz w:val="20"/>
          <w:szCs w:val="20"/>
        </w:rPr>
        <w:t xml:space="preserve"> </w:t>
      </w:r>
      <w:r w:rsidR="00184794" w:rsidRPr="00DB4AE1">
        <w:rPr>
          <w:rFonts w:ascii="Arial Narrow" w:hAnsi="Arial Narrow"/>
          <w:b/>
          <w:sz w:val="20"/>
          <w:szCs w:val="20"/>
        </w:rPr>
        <w:t>50% reduction in headache days per month</w:t>
      </w:r>
      <w:r w:rsidR="00240BF5" w:rsidRPr="00DB4AE1">
        <w:rPr>
          <w:rFonts w:ascii="Arial Narrow" w:hAnsi="Arial Narrow"/>
          <w:b/>
          <w:sz w:val="20"/>
          <w:szCs w:val="20"/>
        </w:rPr>
        <w:t xml:space="preserve"> </w:t>
      </w:r>
      <w:r w:rsidR="00D7579F">
        <w:rPr>
          <w:rFonts w:ascii="Arial Narrow" w:hAnsi="Arial Narrow"/>
          <w:b/>
          <w:sz w:val="20"/>
          <w:szCs w:val="20"/>
        </w:rPr>
        <w:t xml:space="preserve">at week 24 </w:t>
      </w:r>
      <w:r w:rsidR="00240BF5" w:rsidRPr="00DB4AE1">
        <w:rPr>
          <w:rFonts w:ascii="Arial Narrow" w:hAnsi="Arial Narrow"/>
          <w:b/>
          <w:sz w:val="20"/>
          <w:szCs w:val="20"/>
        </w:rPr>
        <w:t>in the PREEMPT trials</w:t>
      </w:r>
    </w:p>
    <w:tbl>
      <w:tblPr>
        <w:tblW w:w="5000" w:type="pct"/>
        <w:tblLayout w:type="fixed"/>
        <w:tblCellMar>
          <w:left w:w="28" w:type="dxa"/>
          <w:right w:w="28" w:type="dxa"/>
        </w:tblCellMar>
        <w:tblLook w:val="00A0" w:firstRow="1" w:lastRow="0" w:firstColumn="1" w:lastColumn="0" w:noHBand="0" w:noVBand="0"/>
      </w:tblPr>
      <w:tblGrid>
        <w:gridCol w:w="1871"/>
        <w:gridCol w:w="1986"/>
        <w:gridCol w:w="1840"/>
        <w:gridCol w:w="1702"/>
        <w:gridCol w:w="1684"/>
      </w:tblGrid>
      <w:tr w:rsidR="00AE29B5" w:rsidRPr="00DB4AE1" w:rsidTr="003A5DF0">
        <w:trPr>
          <w:cantSplit/>
          <w:trHeight w:val="469"/>
        </w:trPr>
        <w:tc>
          <w:tcPr>
            <w:tcW w:w="1030" w:type="pct"/>
            <w:tcBorders>
              <w:top w:val="single" w:sz="4" w:space="0" w:color="auto"/>
              <w:left w:val="single" w:sz="4" w:space="0" w:color="auto"/>
              <w:bottom w:val="single" w:sz="4" w:space="0" w:color="auto"/>
              <w:right w:val="single" w:sz="4" w:space="0" w:color="auto"/>
            </w:tcBorders>
            <w:vAlign w:val="center"/>
          </w:tcPr>
          <w:p w:rsidR="00AE29B5" w:rsidRPr="00DB4AE1" w:rsidRDefault="00AE29B5" w:rsidP="00837BC5">
            <w:pPr>
              <w:keepNext/>
              <w:widowControl/>
              <w:jc w:val="left"/>
              <w:rPr>
                <w:rFonts w:ascii="Arial Narrow" w:hAnsi="Arial Narrow"/>
                <w:color w:val="000000"/>
                <w:sz w:val="20"/>
              </w:rPr>
            </w:pPr>
            <w:r w:rsidRPr="00DB4AE1">
              <w:rPr>
                <w:rFonts w:ascii="Arial Narrow" w:hAnsi="Arial Narrow"/>
                <w:b/>
                <w:bCs/>
                <w:color w:val="000000"/>
                <w:sz w:val="20"/>
              </w:rPr>
              <w:t>Population</w:t>
            </w:r>
          </w:p>
        </w:tc>
        <w:tc>
          <w:tcPr>
            <w:tcW w:w="1093" w:type="pct"/>
            <w:tcBorders>
              <w:top w:val="single" w:sz="4" w:space="0" w:color="auto"/>
              <w:left w:val="nil"/>
              <w:bottom w:val="single" w:sz="4" w:space="0" w:color="auto"/>
              <w:right w:val="single" w:sz="4" w:space="0" w:color="auto"/>
            </w:tcBorders>
            <w:vAlign w:val="center"/>
          </w:tcPr>
          <w:p w:rsidR="00AE29B5" w:rsidRPr="00DB4AE1" w:rsidRDefault="00AE29B5" w:rsidP="00837BC5">
            <w:pPr>
              <w:keepNext/>
              <w:widowControl/>
              <w:jc w:val="center"/>
              <w:rPr>
                <w:rFonts w:ascii="Arial Narrow" w:hAnsi="Arial Narrow" w:cs="Times New Roman"/>
                <w:b/>
                <w:color w:val="000000"/>
                <w:sz w:val="20"/>
              </w:rPr>
            </w:pPr>
            <w:r w:rsidRPr="00DB4AE1">
              <w:rPr>
                <w:rFonts w:ascii="Arial Narrow" w:hAnsi="Arial Narrow" w:cs="Times New Roman"/>
                <w:b/>
                <w:color w:val="000000"/>
                <w:sz w:val="20"/>
              </w:rPr>
              <w:t>Botox</w:t>
            </w:r>
          </w:p>
          <w:p w:rsidR="00AE29B5" w:rsidRPr="00DB4AE1" w:rsidRDefault="00AE29B5" w:rsidP="00837BC5">
            <w:pPr>
              <w:keepNext/>
              <w:widowControl/>
              <w:jc w:val="center"/>
              <w:rPr>
                <w:rFonts w:ascii="Arial Narrow" w:hAnsi="Arial Narrow" w:cs="Times New Roman"/>
                <w:b/>
                <w:color w:val="000000"/>
                <w:sz w:val="20"/>
              </w:rPr>
            </w:pPr>
            <w:r w:rsidRPr="00DB4AE1">
              <w:rPr>
                <w:rFonts w:ascii="Arial Narrow" w:hAnsi="Arial Narrow"/>
                <w:b/>
                <w:color w:val="000000"/>
                <w:sz w:val="20"/>
              </w:rPr>
              <w:t>n/N (%)</w:t>
            </w:r>
          </w:p>
        </w:tc>
        <w:tc>
          <w:tcPr>
            <w:tcW w:w="1013" w:type="pct"/>
            <w:tcBorders>
              <w:top w:val="single" w:sz="4" w:space="0" w:color="auto"/>
              <w:left w:val="single" w:sz="4" w:space="0" w:color="auto"/>
              <w:bottom w:val="single" w:sz="4" w:space="0" w:color="auto"/>
              <w:right w:val="single" w:sz="4" w:space="0" w:color="auto"/>
            </w:tcBorders>
            <w:vAlign w:val="center"/>
          </w:tcPr>
          <w:p w:rsidR="00AE29B5" w:rsidRPr="00DB4AE1" w:rsidRDefault="00AE29B5" w:rsidP="00837BC5">
            <w:pPr>
              <w:keepNext/>
              <w:widowControl/>
              <w:jc w:val="center"/>
              <w:rPr>
                <w:rFonts w:ascii="Arial Narrow" w:hAnsi="Arial Narrow" w:cs="Times New Roman"/>
                <w:b/>
                <w:color w:val="000000"/>
                <w:sz w:val="20"/>
              </w:rPr>
            </w:pPr>
            <w:r w:rsidRPr="00DB4AE1">
              <w:rPr>
                <w:rFonts w:ascii="Arial Narrow" w:hAnsi="Arial Narrow" w:cs="Times New Roman"/>
                <w:b/>
                <w:color w:val="000000"/>
                <w:sz w:val="20"/>
              </w:rPr>
              <w:t>BSC</w:t>
            </w:r>
          </w:p>
          <w:p w:rsidR="00AE29B5" w:rsidRPr="00DB4AE1" w:rsidRDefault="00AE29B5" w:rsidP="00837BC5">
            <w:pPr>
              <w:keepNext/>
              <w:widowControl/>
              <w:jc w:val="center"/>
              <w:rPr>
                <w:rFonts w:ascii="Arial Narrow" w:hAnsi="Arial Narrow" w:cs="Times New Roman"/>
                <w:b/>
                <w:color w:val="000000"/>
                <w:sz w:val="20"/>
              </w:rPr>
            </w:pPr>
            <w:r w:rsidRPr="00DB4AE1">
              <w:rPr>
                <w:rFonts w:ascii="Arial Narrow" w:hAnsi="Arial Narrow"/>
                <w:b/>
                <w:color w:val="000000"/>
                <w:sz w:val="20"/>
              </w:rPr>
              <w:t>n/N (%)</w:t>
            </w:r>
          </w:p>
        </w:tc>
        <w:tc>
          <w:tcPr>
            <w:tcW w:w="937" w:type="pct"/>
            <w:tcBorders>
              <w:top w:val="single" w:sz="4" w:space="0" w:color="auto"/>
              <w:left w:val="nil"/>
              <w:bottom w:val="single" w:sz="4" w:space="0" w:color="auto"/>
              <w:right w:val="single" w:sz="4" w:space="0" w:color="auto"/>
            </w:tcBorders>
            <w:vAlign w:val="center"/>
          </w:tcPr>
          <w:p w:rsidR="00AE29B5" w:rsidRPr="00DB4AE1" w:rsidRDefault="00AE29B5" w:rsidP="00837BC5">
            <w:pPr>
              <w:keepNext/>
              <w:widowControl/>
              <w:jc w:val="center"/>
              <w:rPr>
                <w:rFonts w:ascii="Arial Narrow" w:hAnsi="Arial Narrow" w:cs="Times New Roman"/>
                <w:b/>
                <w:bCs/>
                <w:color w:val="000000"/>
                <w:sz w:val="20"/>
              </w:rPr>
            </w:pPr>
            <w:r w:rsidRPr="00DB4AE1">
              <w:rPr>
                <w:rFonts w:ascii="Arial Narrow" w:hAnsi="Arial Narrow" w:cs="Times New Roman"/>
                <w:b/>
                <w:bCs/>
                <w:color w:val="000000"/>
                <w:sz w:val="20"/>
              </w:rPr>
              <w:t>RR (95%CI)</w:t>
            </w:r>
          </w:p>
        </w:tc>
        <w:tc>
          <w:tcPr>
            <w:tcW w:w="927" w:type="pct"/>
            <w:tcBorders>
              <w:top w:val="single" w:sz="4" w:space="0" w:color="auto"/>
              <w:left w:val="nil"/>
              <w:bottom w:val="single" w:sz="4" w:space="0" w:color="auto"/>
              <w:right w:val="single" w:sz="4" w:space="0" w:color="auto"/>
            </w:tcBorders>
            <w:vAlign w:val="center"/>
          </w:tcPr>
          <w:p w:rsidR="00AE29B5" w:rsidRPr="00DB4AE1" w:rsidRDefault="00AE29B5" w:rsidP="00837BC5">
            <w:pPr>
              <w:keepNext/>
              <w:widowControl/>
              <w:jc w:val="center"/>
              <w:rPr>
                <w:rFonts w:ascii="Arial Narrow" w:hAnsi="Arial Narrow" w:cs="Times New Roman"/>
                <w:b/>
                <w:bCs/>
                <w:color w:val="000000"/>
                <w:sz w:val="20"/>
              </w:rPr>
            </w:pPr>
            <w:r w:rsidRPr="00DB4AE1">
              <w:rPr>
                <w:rFonts w:ascii="Arial Narrow" w:hAnsi="Arial Narrow" w:cs="Times New Roman"/>
                <w:b/>
                <w:bCs/>
                <w:color w:val="000000"/>
                <w:sz w:val="20"/>
              </w:rPr>
              <w:t>RD (95%CI)</w:t>
            </w:r>
          </w:p>
        </w:tc>
      </w:tr>
      <w:tr w:rsidR="00AE29B5" w:rsidRPr="00DB4AE1" w:rsidTr="00AE29B5">
        <w:trPr>
          <w:cantSplit/>
          <w:trHeight w:val="20"/>
        </w:trPr>
        <w:tc>
          <w:tcPr>
            <w:tcW w:w="5000" w:type="pct"/>
            <w:gridSpan w:val="5"/>
            <w:tcBorders>
              <w:top w:val="single" w:sz="4" w:space="0" w:color="auto"/>
              <w:left w:val="single" w:sz="4" w:space="0" w:color="auto"/>
              <w:bottom w:val="single" w:sz="4" w:space="0" w:color="auto"/>
              <w:right w:val="single" w:sz="4" w:space="0" w:color="auto"/>
            </w:tcBorders>
            <w:vAlign w:val="center"/>
          </w:tcPr>
          <w:p w:rsidR="00AE29B5" w:rsidRPr="00DB4AE1" w:rsidRDefault="00AE29B5" w:rsidP="00837BC5">
            <w:pPr>
              <w:keepNext/>
              <w:widowControl/>
              <w:jc w:val="left"/>
              <w:rPr>
                <w:rFonts w:ascii="Arial Narrow" w:hAnsi="Arial Narrow" w:cs="Times New Roman"/>
                <w:b/>
                <w:bCs/>
                <w:color w:val="000000"/>
                <w:sz w:val="20"/>
              </w:rPr>
            </w:pPr>
            <w:r w:rsidRPr="00DB4AE1">
              <w:rPr>
                <w:rFonts w:ascii="Arial Narrow" w:hAnsi="Arial Narrow" w:cs="Times New Roman"/>
                <w:b/>
                <w:bCs/>
                <w:color w:val="000000"/>
                <w:sz w:val="20"/>
              </w:rPr>
              <w:t>≥50% reduction in headache days</w:t>
            </w:r>
          </w:p>
        </w:tc>
      </w:tr>
      <w:tr w:rsidR="00AE29B5" w:rsidRPr="00DB4AE1" w:rsidTr="003A5DF0">
        <w:trPr>
          <w:cantSplit/>
          <w:trHeight w:val="20"/>
        </w:trPr>
        <w:tc>
          <w:tcPr>
            <w:tcW w:w="1030" w:type="pct"/>
            <w:tcBorders>
              <w:top w:val="single" w:sz="4" w:space="0" w:color="auto"/>
              <w:left w:val="single" w:sz="4" w:space="0" w:color="auto"/>
              <w:bottom w:val="single" w:sz="4" w:space="0" w:color="auto"/>
              <w:right w:val="single" w:sz="4" w:space="0" w:color="auto"/>
            </w:tcBorders>
            <w:vAlign w:val="center"/>
          </w:tcPr>
          <w:p w:rsidR="00AE29B5" w:rsidRPr="00DB4AE1" w:rsidRDefault="00AE29B5" w:rsidP="00837BC5">
            <w:pPr>
              <w:keepNext/>
              <w:widowControl/>
              <w:jc w:val="left"/>
              <w:rPr>
                <w:rFonts w:ascii="Arial Narrow" w:hAnsi="Arial Narrow"/>
                <w:color w:val="000000"/>
                <w:sz w:val="20"/>
              </w:rPr>
            </w:pPr>
            <w:r w:rsidRPr="00DB4AE1">
              <w:rPr>
                <w:rFonts w:ascii="Arial Narrow" w:hAnsi="Arial Narrow"/>
                <w:color w:val="000000"/>
                <w:sz w:val="20"/>
              </w:rPr>
              <w:t>ITT</w:t>
            </w:r>
          </w:p>
        </w:tc>
        <w:tc>
          <w:tcPr>
            <w:tcW w:w="1093" w:type="pct"/>
            <w:tcBorders>
              <w:top w:val="single" w:sz="4" w:space="0" w:color="auto"/>
              <w:left w:val="nil"/>
              <w:bottom w:val="single" w:sz="4" w:space="0" w:color="auto"/>
              <w:right w:val="single" w:sz="4" w:space="0" w:color="auto"/>
            </w:tcBorders>
            <w:vAlign w:val="center"/>
          </w:tcPr>
          <w:p w:rsidR="00AE29B5" w:rsidRPr="00DB4AE1" w:rsidRDefault="00AE29B5" w:rsidP="00837BC5">
            <w:pPr>
              <w:keepNext/>
              <w:widowControl/>
              <w:jc w:val="center"/>
              <w:rPr>
                <w:rFonts w:ascii="Arial Narrow" w:hAnsi="Arial Narrow" w:cs="Times New Roman"/>
                <w:color w:val="000000"/>
                <w:sz w:val="20"/>
              </w:rPr>
            </w:pPr>
            <w:r w:rsidRPr="00DB4AE1">
              <w:rPr>
                <w:rFonts w:ascii="Arial Narrow" w:hAnsi="Arial Narrow"/>
                <w:color w:val="000000"/>
                <w:sz w:val="20"/>
              </w:rPr>
              <w:t>286/685 (41.8%)</w:t>
            </w:r>
          </w:p>
        </w:tc>
        <w:tc>
          <w:tcPr>
            <w:tcW w:w="1013" w:type="pct"/>
            <w:tcBorders>
              <w:top w:val="single" w:sz="4" w:space="0" w:color="auto"/>
              <w:left w:val="single" w:sz="4" w:space="0" w:color="auto"/>
              <w:bottom w:val="single" w:sz="4" w:space="0" w:color="auto"/>
              <w:right w:val="single" w:sz="4" w:space="0" w:color="auto"/>
            </w:tcBorders>
            <w:vAlign w:val="center"/>
          </w:tcPr>
          <w:p w:rsidR="00AE29B5" w:rsidRPr="00DB4AE1" w:rsidRDefault="00AE29B5" w:rsidP="00837BC5">
            <w:pPr>
              <w:keepNext/>
              <w:widowControl/>
              <w:jc w:val="center"/>
              <w:rPr>
                <w:rFonts w:ascii="Arial Narrow" w:hAnsi="Arial Narrow" w:cs="Times New Roman"/>
                <w:color w:val="000000"/>
                <w:sz w:val="20"/>
              </w:rPr>
            </w:pPr>
            <w:r w:rsidRPr="00DB4AE1">
              <w:rPr>
                <w:rFonts w:ascii="Arial Narrow" w:hAnsi="Arial Narrow"/>
                <w:color w:val="000000"/>
                <w:sz w:val="20"/>
              </w:rPr>
              <w:t>222/693 (32.0%)</w:t>
            </w:r>
          </w:p>
        </w:tc>
        <w:tc>
          <w:tcPr>
            <w:tcW w:w="937" w:type="pct"/>
            <w:tcBorders>
              <w:top w:val="single" w:sz="4" w:space="0" w:color="auto"/>
              <w:left w:val="nil"/>
              <w:bottom w:val="single" w:sz="4" w:space="0" w:color="auto"/>
              <w:right w:val="single" w:sz="4" w:space="0" w:color="auto"/>
            </w:tcBorders>
            <w:vAlign w:val="center"/>
          </w:tcPr>
          <w:p w:rsidR="00AE29B5" w:rsidRPr="00DB4AE1" w:rsidRDefault="00AE29B5" w:rsidP="00837BC5">
            <w:pPr>
              <w:keepNext/>
              <w:widowControl/>
              <w:jc w:val="center"/>
              <w:rPr>
                <w:rFonts w:ascii="Arial Narrow" w:hAnsi="Arial Narrow" w:cs="Times New Roman"/>
                <w:b/>
                <w:bCs/>
                <w:color w:val="000000"/>
                <w:sz w:val="20"/>
              </w:rPr>
            </w:pPr>
            <w:r w:rsidRPr="00DB4AE1">
              <w:rPr>
                <w:rFonts w:ascii="Arial Narrow" w:hAnsi="Arial Narrow" w:cs="Times New Roman"/>
                <w:b/>
                <w:bCs/>
                <w:color w:val="000000"/>
                <w:sz w:val="20"/>
              </w:rPr>
              <w:t>1.30 (1.13, 1.50)</w:t>
            </w:r>
          </w:p>
        </w:tc>
        <w:tc>
          <w:tcPr>
            <w:tcW w:w="927" w:type="pct"/>
            <w:tcBorders>
              <w:top w:val="single" w:sz="4" w:space="0" w:color="auto"/>
              <w:left w:val="nil"/>
              <w:bottom w:val="single" w:sz="4" w:space="0" w:color="auto"/>
              <w:right w:val="single" w:sz="4" w:space="0" w:color="auto"/>
            </w:tcBorders>
            <w:vAlign w:val="center"/>
          </w:tcPr>
          <w:p w:rsidR="00AE29B5" w:rsidRPr="00DB4AE1" w:rsidRDefault="00AE29B5" w:rsidP="00837BC5">
            <w:pPr>
              <w:keepNext/>
              <w:widowControl/>
              <w:jc w:val="center"/>
              <w:rPr>
                <w:rFonts w:ascii="Arial Narrow" w:hAnsi="Arial Narrow" w:cs="Times New Roman"/>
                <w:b/>
                <w:bCs/>
                <w:color w:val="000000"/>
                <w:sz w:val="20"/>
              </w:rPr>
            </w:pPr>
            <w:r w:rsidRPr="00DB4AE1">
              <w:rPr>
                <w:rFonts w:ascii="Arial Narrow" w:hAnsi="Arial Narrow" w:cs="Times New Roman"/>
                <w:b/>
                <w:bCs/>
                <w:color w:val="000000"/>
                <w:sz w:val="20"/>
              </w:rPr>
              <w:t>0.097 (0.05, 0.15)</w:t>
            </w:r>
          </w:p>
        </w:tc>
      </w:tr>
      <w:tr w:rsidR="00AE29B5" w:rsidRPr="00DB4AE1" w:rsidTr="003A5DF0">
        <w:trPr>
          <w:cantSplit/>
          <w:trHeight w:val="20"/>
        </w:trPr>
        <w:tc>
          <w:tcPr>
            <w:tcW w:w="1030" w:type="pct"/>
            <w:tcBorders>
              <w:top w:val="nil"/>
              <w:left w:val="single" w:sz="4" w:space="0" w:color="auto"/>
              <w:bottom w:val="single" w:sz="4" w:space="0" w:color="auto"/>
              <w:right w:val="single" w:sz="4" w:space="0" w:color="auto"/>
            </w:tcBorders>
            <w:vAlign w:val="center"/>
          </w:tcPr>
          <w:p w:rsidR="00AE29B5" w:rsidRPr="00DB4AE1" w:rsidRDefault="00AE29B5" w:rsidP="00837BC5">
            <w:pPr>
              <w:keepNext/>
              <w:widowControl/>
              <w:jc w:val="left"/>
              <w:rPr>
                <w:rFonts w:ascii="Arial Narrow" w:hAnsi="Arial Narrow"/>
                <w:color w:val="000000"/>
                <w:sz w:val="20"/>
              </w:rPr>
            </w:pPr>
            <w:r w:rsidRPr="00DB4AE1">
              <w:rPr>
                <w:rFonts w:ascii="Arial Narrow" w:hAnsi="Arial Narrow"/>
                <w:color w:val="000000"/>
                <w:sz w:val="20"/>
              </w:rPr>
              <w:t>≥2 prior prophylactics</w:t>
            </w:r>
          </w:p>
        </w:tc>
        <w:tc>
          <w:tcPr>
            <w:tcW w:w="1093" w:type="pct"/>
            <w:tcBorders>
              <w:top w:val="single" w:sz="4" w:space="0" w:color="auto"/>
              <w:left w:val="nil"/>
              <w:bottom w:val="single" w:sz="4" w:space="0" w:color="auto"/>
              <w:right w:val="single" w:sz="4" w:space="0" w:color="auto"/>
            </w:tcBorders>
            <w:vAlign w:val="center"/>
          </w:tcPr>
          <w:p w:rsidR="00AE29B5" w:rsidRPr="00DB4AE1" w:rsidRDefault="00AE29B5" w:rsidP="00837BC5">
            <w:pPr>
              <w:keepNext/>
              <w:widowControl/>
              <w:jc w:val="center"/>
              <w:rPr>
                <w:rFonts w:ascii="Arial Narrow" w:hAnsi="Arial Narrow"/>
                <w:color w:val="000000"/>
                <w:sz w:val="20"/>
              </w:rPr>
            </w:pPr>
            <w:r w:rsidRPr="00DB4AE1">
              <w:rPr>
                <w:rFonts w:ascii="Arial Narrow" w:hAnsi="Arial Narrow"/>
                <w:color w:val="000000"/>
                <w:sz w:val="20"/>
              </w:rPr>
              <w:t>120/313 (38.3%)</w:t>
            </w:r>
          </w:p>
        </w:tc>
        <w:tc>
          <w:tcPr>
            <w:tcW w:w="1013" w:type="pct"/>
            <w:tcBorders>
              <w:top w:val="nil"/>
              <w:left w:val="single" w:sz="4" w:space="0" w:color="auto"/>
              <w:bottom w:val="single" w:sz="4" w:space="0" w:color="auto"/>
              <w:right w:val="single" w:sz="4" w:space="0" w:color="auto"/>
            </w:tcBorders>
            <w:vAlign w:val="center"/>
          </w:tcPr>
          <w:p w:rsidR="00AE29B5" w:rsidRPr="00DB4AE1" w:rsidRDefault="00AE29B5" w:rsidP="00837BC5">
            <w:pPr>
              <w:keepNext/>
              <w:widowControl/>
              <w:jc w:val="center"/>
              <w:rPr>
                <w:rFonts w:ascii="Arial Narrow" w:hAnsi="Arial Narrow"/>
                <w:color w:val="000000"/>
                <w:sz w:val="20"/>
              </w:rPr>
            </w:pPr>
            <w:r w:rsidRPr="00DB4AE1">
              <w:rPr>
                <w:rFonts w:ascii="Arial Narrow" w:hAnsi="Arial Narrow"/>
                <w:color w:val="000000"/>
                <w:sz w:val="20"/>
              </w:rPr>
              <w:t>82/324 (25.3%)</w:t>
            </w:r>
          </w:p>
        </w:tc>
        <w:tc>
          <w:tcPr>
            <w:tcW w:w="937" w:type="pct"/>
            <w:tcBorders>
              <w:top w:val="nil"/>
              <w:left w:val="nil"/>
              <w:bottom w:val="single" w:sz="4" w:space="0" w:color="auto"/>
              <w:right w:val="single" w:sz="4" w:space="0" w:color="auto"/>
            </w:tcBorders>
            <w:vAlign w:val="center"/>
          </w:tcPr>
          <w:p w:rsidR="00AE29B5" w:rsidRPr="00DB4AE1" w:rsidRDefault="00AE29B5" w:rsidP="00837BC5">
            <w:pPr>
              <w:keepNext/>
              <w:widowControl/>
              <w:jc w:val="center"/>
              <w:rPr>
                <w:rFonts w:ascii="Arial Narrow" w:hAnsi="Arial Narrow"/>
                <w:b/>
                <w:bCs/>
                <w:color w:val="000000"/>
                <w:sz w:val="20"/>
              </w:rPr>
            </w:pPr>
            <w:r w:rsidRPr="00DB4AE1">
              <w:rPr>
                <w:rFonts w:ascii="Arial Narrow" w:hAnsi="Arial Narrow"/>
                <w:b/>
                <w:bCs/>
                <w:color w:val="000000"/>
                <w:sz w:val="20"/>
              </w:rPr>
              <w:t>1.51 (1.20, 1.91)</w:t>
            </w:r>
          </w:p>
        </w:tc>
        <w:tc>
          <w:tcPr>
            <w:tcW w:w="927" w:type="pct"/>
            <w:tcBorders>
              <w:top w:val="nil"/>
              <w:left w:val="nil"/>
              <w:bottom w:val="single" w:sz="4" w:space="0" w:color="auto"/>
              <w:right w:val="single" w:sz="4" w:space="0" w:color="auto"/>
            </w:tcBorders>
            <w:vAlign w:val="center"/>
          </w:tcPr>
          <w:p w:rsidR="00AE29B5" w:rsidRPr="00DB4AE1" w:rsidRDefault="00AE29B5" w:rsidP="00837BC5">
            <w:pPr>
              <w:keepNext/>
              <w:widowControl/>
              <w:jc w:val="center"/>
              <w:rPr>
                <w:rFonts w:ascii="Arial Narrow" w:hAnsi="Arial Narrow"/>
                <w:b/>
                <w:bCs/>
                <w:color w:val="000000"/>
                <w:sz w:val="20"/>
              </w:rPr>
            </w:pPr>
            <w:r w:rsidRPr="00DB4AE1">
              <w:rPr>
                <w:rFonts w:ascii="Arial Narrow" w:hAnsi="Arial Narrow"/>
                <w:b/>
                <w:bCs/>
                <w:color w:val="000000"/>
                <w:sz w:val="20"/>
              </w:rPr>
              <w:t>0.130 (0.06, 0.20)</w:t>
            </w:r>
          </w:p>
        </w:tc>
      </w:tr>
      <w:tr w:rsidR="00AE29B5" w:rsidRPr="00DB4AE1" w:rsidTr="003A5DF0">
        <w:trPr>
          <w:cantSplit/>
          <w:trHeight w:val="20"/>
        </w:trPr>
        <w:tc>
          <w:tcPr>
            <w:tcW w:w="1030" w:type="pct"/>
            <w:tcBorders>
              <w:top w:val="nil"/>
              <w:left w:val="single" w:sz="4" w:space="0" w:color="auto"/>
              <w:bottom w:val="single" w:sz="4" w:space="0" w:color="auto"/>
              <w:right w:val="single" w:sz="4" w:space="0" w:color="auto"/>
            </w:tcBorders>
            <w:vAlign w:val="center"/>
          </w:tcPr>
          <w:p w:rsidR="00AE29B5" w:rsidRPr="00DB4AE1" w:rsidRDefault="00AE29B5" w:rsidP="00837BC5">
            <w:pPr>
              <w:keepNext/>
              <w:widowControl/>
              <w:jc w:val="left"/>
              <w:rPr>
                <w:rFonts w:ascii="Arial Narrow" w:hAnsi="Arial Narrow"/>
                <w:color w:val="000000"/>
                <w:sz w:val="20"/>
              </w:rPr>
            </w:pPr>
            <w:r w:rsidRPr="00DB4AE1">
              <w:rPr>
                <w:rFonts w:ascii="Arial Narrow" w:hAnsi="Arial Narrow"/>
                <w:color w:val="000000"/>
                <w:sz w:val="20"/>
              </w:rPr>
              <w:t>≥3 prior prophylactics</w:t>
            </w:r>
          </w:p>
        </w:tc>
        <w:tc>
          <w:tcPr>
            <w:tcW w:w="1093" w:type="pct"/>
            <w:tcBorders>
              <w:top w:val="single" w:sz="4" w:space="0" w:color="auto"/>
              <w:left w:val="nil"/>
              <w:bottom w:val="single" w:sz="4" w:space="0" w:color="auto"/>
              <w:right w:val="single" w:sz="4" w:space="0" w:color="auto"/>
            </w:tcBorders>
            <w:vAlign w:val="center"/>
          </w:tcPr>
          <w:p w:rsidR="00AE29B5" w:rsidRPr="00DB4AE1" w:rsidRDefault="00AE29B5" w:rsidP="00837BC5">
            <w:pPr>
              <w:keepNext/>
              <w:widowControl/>
              <w:jc w:val="center"/>
              <w:rPr>
                <w:rFonts w:ascii="Arial Narrow" w:hAnsi="Arial Narrow"/>
                <w:color w:val="000000"/>
                <w:sz w:val="20"/>
              </w:rPr>
            </w:pPr>
            <w:r w:rsidRPr="00DB4AE1">
              <w:rPr>
                <w:rFonts w:ascii="Arial Narrow" w:hAnsi="Arial Narrow"/>
                <w:color w:val="000000"/>
                <w:sz w:val="20"/>
              </w:rPr>
              <w:t>85/231 (36.8%)</w:t>
            </w:r>
          </w:p>
        </w:tc>
        <w:tc>
          <w:tcPr>
            <w:tcW w:w="1013" w:type="pct"/>
            <w:tcBorders>
              <w:top w:val="nil"/>
              <w:left w:val="single" w:sz="4" w:space="0" w:color="auto"/>
              <w:bottom w:val="single" w:sz="4" w:space="0" w:color="auto"/>
              <w:right w:val="single" w:sz="4" w:space="0" w:color="auto"/>
            </w:tcBorders>
            <w:vAlign w:val="center"/>
          </w:tcPr>
          <w:p w:rsidR="00AE29B5" w:rsidRPr="00DB4AE1" w:rsidRDefault="00AE29B5" w:rsidP="00837BC5">
            <w:pPr>
              <w:keepNext/>
              <w:widowControl/>
              <w:jc w:val="center"/>
              <w:rPr>
                <w:rFonts w:ascii="Arial Narrow" w:hAnsi="Arial Narrow"/>
                <w:color w:val="000000"/>
                <w:sz w:val="20"/>
              </w:rPr>
            </w:pPr>
            <w:r w:rsidRPr="00DB4AE1">
              <w:rPr>
                <w:rFonts w:ascii="Arial Narrow" w:hAnsi="Arial Narrow"/>
                <w:color w:val="000000"/>
                <w:sz w:val="20"/>
              </w:rPr>
              <w:t>57/247 (23.1%)</w:t>
            </w:r>
          </w:p>
        </w:tc>
        <w:tc>
          <w:tcPr>
            <w:tcW w:w="937" w:type="pct"/>
            <w:tcBorders>
              <w:top w:val="nil"/>
              <w:left w:val="nil"/>
              <w:bottom w:val="single" w:sz="4" w:space="0" w:color="auto"/>
              <w:right w:val="single" w:sz="4" w:space="0" w:color="auto"/>
            </w:tcBorders>
            <w:vAlign w:val="center"/>
          </w:tcPr>
          <w:p w:rsidR="00AE29B5" w:rsidRPr="00DB4AE1" w:rsidRDefault="00AE29B5" w:rsidP="00837BC5">
            <w:pPr>
              <w:keepNext/>
              <w:widowControl/>
              <w:jc w:val="center"/>
              <w:rPr>
                <w:rFonts w:ascii="Arial Narrow" w:hAnsi="Arial Narrow"/>
                <w:b/>
                <w:bCs/>
                <w:color w:val="000000"/>
                <w:sz w:val="20"/>
              </w:rPr>
            </w:pPr>
            <w:r w:rsidRPr="00DB4AE1">
              <w:rPr>
                <w:rFonts w:ascii="Arial Narrow" w:hAnsi="Arial Narrow"/>
                <w:b/>
                <w:bCs/>
                <w:color w:val="000000"/>
                <w:sz w:val="20"/>
              </w:rPr>
              <w:t>1.59 (1.20, 2.12)</w:t>
            </w:r>
          </w:p>
        </w:tc>
        <w:tc>
          <w:tcPr>
            <w:tcW w:w="927" w:type="pct"/>
            <w:tcBorders>
              <w:top w:val="nil"/>
              <w:left w:val="nil"/>
              <w:bottom w:val="single" w:sz="4" w:space="0" w:color="auto"/>
              <w:right w:val="single" w:sz="4" w:space="0" w:color="auto"/>
            </w:tcBorders>
            <w:vAlign w:val="center"/>
          </w:tcPr>
          <w:p w:rsidR="00AE29B5" w:rsidRPr="00DB4AE1" w:rsidRDefault="00AE29B5" w:rsidP="00837BC5">
            <w:pPr>
              <w:keepNext/>
              <w:widowControl/>
              <w:jc w:val="center"/>
              <w:rPr>
                <w:rFonts w:ascii="Arial Narrow" w:hAnsi="Arial Narrow"/>
                <w:b/>
                <w:bCs/>
                <w:color w:val="000000"/>
                <w:sz w:val="20"/>
              </w:rPr>
            </w:pPr>
            <w:r w:rsidRPr="00DB4AE1">
              <w:rPr>
                <w:rFonts w:ascii="Arial Narrow" w:hAnsi="Arial Narrow"/>
                <w:b/>
                <w:bCs/>
                <w:color w:val="000000"/>
                <w:sz w:val="20"/>
              </w:rPr>
              <w:t>0.137 (0.06, 0.22)</w:t>
            </w:r>
          </w:p>
        </w:tc>
      </w:tr>
    </w:tbl>
    <w:p w:rsidR="00AE29B5" w:rsidRPr="00DB4AE1" w:rsidRDefault="00AE29B5" w:rsidP="00837BC5">
      <w:pPr>
        <w:pStyle w:val="TableFooter"/>
        <w:keepNext/>
        <w:widowControl/>
      </w:pPr>
      <w:r w:rsidRPr="00DB4AE1">
        <w:t>Source: Table 2-7, p53 of the submission.</w:t>
      </w:r>
    </w:p>
    <w:p w:rsidR="00AE29B5" w:rsidRPr="00DB4AE1" w:rsidRDefault="00AE29B5" w:rsidP="00837BC5">
      <w:pPr>
        <w:pStyle w:val="TableFooter"/>
        <w:keepNext/>
        <w:widowControl/>
        <w:spacing w:after="120"/>
      </w:pPr>
      <w:r w:rsidRPr="00DB4AE1">
        <w:t xml:space="preserve">BSC=best supportive care; CI=confidence interval; ITT=intention to treat; RD=risk difference; RR=relative risk; </w:t>
      </w:r>
      <w:r w:rsidRPr="00DB4AE1">
        <w:rPr>
          <w:b/>
        </w:rPr>
        <w:t>bold</w:t>
      </w:r>
      <w:r w:rsidRPr="00DB4AE1">
        <w:t>=statistically significant</w:t>
      </w:r>
    </w:p>
    <w:p w:rsidR="00B60939" w:rsidRPr="005C236E" w:rsidRDefault="00B60939" w:rsidP="005C236E">
      <w:pPr>
        <w:pStyle w:val="Heading2"/>
      </w:pPr>
      <w:bookmarkStart w:id="9" w:name="_Toc377658874"/>
      <w:r w:rsidRPr="005C236E">
        <w:t>Comparative harms</w:t>
      </w:r>
      <w:bookmarkEnd w:id="9"/>
    </w:p>
    <w:p w:rsidR="00A04915" w:rsidRPr="00DB4AE1" w:rsidRDefault="00A04915" w:rsidP="00837BC5">
      <w:pPr>
        <w:pStyle w:val="ListParagraph"/>
        <w:widowControl/>
        <w:numPr>
          <w:ilvl w:val="1"/>
          <w:numId w:val="1"/>
        </w:numPr>
        <w:spacing w:after="120"/>
      </w:pPr>
      <w:r w:rsidRPr="00DB4AE1">
        <w:t>There w</w:t>
      </w:r>
      <w:r w:rsidR="00815FFB" w:rsidRPr="00DB4AE1">
        <w:t>ere</w:t>
      </w:r>
      <w:r w:rsidRPr="00DB4AE1">
        <w:t xml:space="preserve"> no adverse event data repo</w:t>
      </w:r>
      <w:r w:rsidR="003A5DF0" w:rsidRPr="00DB4AE1">
        <w:t xml:space="preserve">rted in the Stark 2017 poster. </w:t>
      </w:r>
      <w:r w:rsidRPr="00DB4AE1">
        <w:t>The poster stated that the case report form requested information on adverse events but none were reported. Neither the submission or the Stark 2017 poster provided any discussion of whether this meant there were actually no adverse events, or if there were events b</w:t>
      </w:r>
      <w:r w:rsidR="003A5DF0" w:rsidRPr="00DB4AE1">
        <w:t xml:space="preserve">ut they had not been reported. </w:t>
      </w:r>
      <w:r w:rsidRPr="00DB4AE1">
        <w:t>The absence of adverse event data from the retrospective chart review limits its informativeness.</w:t>
      </w:r>
    </w:p>
    <w:p w:rsidR="008F5286" w:rsidRPr="00DB4AE1" w:rsidRDefault="00D7579F" w:rsidP="008F5286">
      <w:pPr>
        <w:pStyle w:val="ListParagraph"/>
        <w:widowControl/>
        <w:numPr>
          <w:ilvl w:val="1"/>
          <w:numId w:val="1"/>
        </w:numPr>
        <w:spacing w:after="120"/>
      </w:pPr>
      <w:r>
        <w:t>T</w:t>
      </w:r>
      <w:r w:rsidR="00A04915" w:rsidRPr="00DB4AE1">
        <w:t xml:space="preserve">he PREEMPT trials demonstrated statistically significantly differences between Botox and </w:t>
      </w:r>
      <w:r w:rsidR="00B01F17">
        <w:t>BSC</w:t>
      </w:r>
      <w:r w:rsidR="00A04915" w:rsidRPr="00DB4AE1">
        <w:t xml:space="preserve"> for the following AEs: eyelid ptosis (3.5% vs. 0.3%), neck pain (9.0% vs. 2.7%), musculoskeletal stiffness (3.2% vs. 0.9%), muscular weakness (5.5% vs. 0.3%</w:t>
      </w:r>
      <w:r w:rsidR="003A5DF0" w:rsidRPr="00DB4AE1">
        <w:t>) and myalgia (3.1% vs. 0.9%)</w:t>
      </w:r>
      <w:r>
        <w:t xml:space="preserve"> </w:t>
      </w:r>
      <w:r w:rsidRPr="00DB4AE1">
        <w:t>(Botulinum Toxin Type A</w:t>
      </w:r>
      <w:r>
        <w:t xml:space="preserve"> PBAC</w:t>
      </w:r>
      <w:r w:rsidR="00267632">
        <w:t xml:space="preserve"> </w:t>
      </w:r>
      <w:r w:rsidR="00022EE4">
        <w:t>PSD</w:t>
      </w:r>
      <w:r w:rsidRPr="00DB4AE1">
        <w:t>, July 2013)</w:t>
      </w:r>
      <w:r w:rsidR="003A5DF0" w:rsidRPr="00DB4AE1">
        <w:t xml:space="preserve">. </w:t>
      </w:r>
      <w:r w:rsidR="00A04915" w:rsidRPr="00DB4AE1">
        <w:t xml:space="preserve">The submission indicated that the safety results in the 13 additional real-world studies were consistent with those reported in the PREEMPT trials and with the </w:t>
      </w:r>
      <w:r w:rsidR="003A5DF0" w:rsidRPr="00DB4AE1">
        <w:t xml:space="preserve">known safety profile of Botox. </w:t>
      </w:r>
      <w:r w:rsidR="00A04915" w:rsidRPr="00DB4AE1">
        <w:t>This was reasonable.</w:t>
      </w:r>
    </w:p>
    <w:p w:rsidR="004151CF" w:rsidRPr="005C236E" w:rsidRDefault="007F1017" w:rsidP="005C236E">
      <w:pPr>
        <w:pStyle w:val="Heading2"/>
        <w:keepNext/>
      </w:pPr>
      <w:bookmarkStart w:id="10" w:name="_Toc377658875"/>
      <w:r w:rsidRPr="005C236E">
        <w:t>Benefits/harms</w:t>
      </w:r>
      <w:bookmarkEnd w:id="10"/>
    </w:p>
    <w:p w:rsidR="00E926A5" w:rsidRPr="00DB4AE1" w:rsidRDefault="001C4612" w:rsidP="00837BC5">
      <w:pPr>
        <w:pStyle w:val="ListParagraph"/>
        <w:widowControl/>
        <w:numPr>
          <w:ilvl w:val="1"/>
          <w:numId w:val="1"/>
        </w:numPr>
        <w:spacing w:after="120"/>
      </w:pPr>
      <w:r>
        <w:rPr>
          <w:noProof/>
          <w:color w:val="000000"/>
          <w:highlight w:val="black"/>
        </w:rPr>
        <w:t>'''''''' ''''''' '''' '''''' '''''''''''''''''''''' '''''''' '''' ''''''''''''''''''''''' '''''''''''''''''''' ''''''''''''''''''''''''''' '''' '''''''''' '''''''''''' '''''''' '''''''''''''''' ''''''' ''''''''''''''''''' ''''''''' '''' '''''' '''''''''''''''''''' '''''''''''' '''' ''''''''''''''' ''' '''''''''' ''''' '''''' ''''''''''''''''''''''' ''''''''''''''' '''''' ''' ''''''''''''' '''' ''''''' '''''''''''' '''''''' '''''' ''''''''''''''' ''''''''''''''''''</w:t>
      </w:r>
      <w:r w:rsidR="003A5DF0" w:rsidRPr="00DB4AE1">
        <w:t xml:space="preserve"> </w:t>
      </w:r>
      <w:r w:rsidR="006D0458" w:rsidRPr="00DB4AE1">
        <w:rPr>
          <w:rFonts w:cs="Calibri"/>
          <w:snapToGrid/>
          <w:szCs w:val="24"/>
          <w:lang w:val="en-US" w:eastAsia="en-AU"/>
        </w:rPr>
        <w:t>Accordingly, a benefits/harms table has not been presented.</w:t>
      </w:r>
    </w:p>
    <w:p w:rsidR="00B60939" w:rsidRPr="005C236E" w:rsidRDefault="00B60939" w:rsidP="005C236E">
      <w:pPr>
        <w:pStyle w:val="Heading2"/>
      </w:pPr>
      <w:bookmarkStart w:id="11" w:name="_Toc377658876"/>
      <w:r w:rsidRPr="005C236E">
        <w:t>Clinical claim</w:t>
      </w:r>
      <w:bookmarkEnd w:id="11"/>
    </w:p>
    <w:p w:rsidR="00B60939" w:rsidRPr="00DB4AE1" w:rsidRDefault="00094CB3" w:rsidP="00837BC5">
      <w:pPr>
        <w:pStyle w:val="ListParagraph"/>
        <w:widowControl/>
        <w:numPr>
          <w:ilvl w:val="1"/>
          <w:numId w:val="1"/>
        </w:numPr>
        <w:spacing w:after="120"/>
      </w:pPr>
      <w:r w:rsidRPr="00DB4AE1">
        <w:t>The submission stated that in the PBS population treated with Botox for chronic migraine (Stark 2017 retrospective chart review), patients achieved better clinical outcomes than those achieved by patients in the pivotal trials (PREEMPT trials). The submission used this claim to support its proposed revision to the RSA.</w:t>
      </w:r>
      <w:r w:rsidR="00007D00">
        <w:t xml:space="preserve"> The PBAC considered that this claim was inadequately supported by the evidence provided.</w:t>
      </w:r>
    </w:p>
    <w:p w:rsidR="00094CB3" w:rsidRPr="00DB4AE1" w:rsidRDefault="00094CB3" w:rsidP="00837BC5">
      <w:pPr>
        <w:pStyle w:val="ListParagraph"/>
        <w:widowControl/>
        <w:numPr>
          <w:ilvl w:val="1"/>
          <w:numId w:val="1"/>
        </w:numPr>
        <w:spacing w:after="120"/>
      </w:pPr>
      <w:r w:rsidRPr="00DB4AE1">
        <w:t xml:space="preserve">While the proportion of patients in the Stark 2017 retrospective </w:t>
      </w:r>
      <w:r w:rsidR="008F5286">
        <w:t xml:space="preserve">chart </w:t>
      </w:r>
      <w:r w:rsidRPr="00DB4AE1">
        <w:t>review who achieved a ≥</w:t>
      </w:r>
      <w:r w:rsidR="00A6731E">
        <w:t xml:space="preserve"> </w:t>
      </w:r>
      <w:r w:rsidRPr="00DB4AE1">
        <w:t>50% reduction in headache days per month (73.9%) was greater than that observed in the clinical trials, as noted above it remained possible that this outcome was influenced by continued use of oral prophylactic medications in the Stark 2017 cohort as well as the subjective</w:t>
      </w:r>
      <w:r w:rsidR="003A5DF0" w:rsidRPr="00DB4AE1">
        <w:t xml:space="preserve"> nature of outcome assessment. </w:t>
      </w:r>
      <w:r w:rsidR="008C1E15" w:rsidRPr="00DB4AE1">
        <w:t>R</w:t>
      </w:r>
      <w:r w:rsidRPr="00DB4AE1">
        <w:t xml:space="preserve">esults from the Stark 2017 </w:t>
      </w:r>
      <w:r w:rsidR="008F5286">
        <w:t>retrospective chart review</w:t>
      </w:r>
      <w:r w:rsidR="001C0076" w:rsidRPr="00DB4AE1">
        <w:t xml:space="preserve"> </w:t>
      </w:r>
      <w:r w:rsidRPr="00DB4AE1">
        <w:t>should be interpreted wi</w:t>
      </w:r>
      <w:r w:rsidR="003A5DF0" w:rsidRPr="00DB4AE1">
        <w:t>th caution given missing data.</w:t>
      </w:r>
    </w:p>
    <w:p w:rsidR="00683BEE" w:rsidRPr="00DB4AE1" w:rsidRDefault="00E52FB8" w:rsidP="00F47C9D">
      <w:pPr>
        <w:pStyle w:val="ListParagraph"/>
        <w:widowControl/>
        <w:numPr>
          <w:ilvl w:val="1"/>
          <w:numId w:val="1"/>
        </w:numPr>
        <w:spacing w:after="120"/>
      </w:pPr>
      <w:r w:rsidRPr="00DB4AE1">
        <w:t xml:space="preserve">The </w:t>
      </w:r>
      <w:r w:rsidR="008F5286">
        <w:t>PBAC</w:t>
      </w:r>
      <w:r w:rsidRPr="00DB4AE1">
        <w:t xml:space="preserve"> considered that while the Stark </w:t>
      </w:r>
      <w:r w:rsidR="008F5286">
        <w:t>2017 retrospective chart review</w:t>
      </w:r>
      <w:r w:rsidR="00F050F8" w:rsidRPr="00DB4AE1">
        <w:t xml:space="preserve"> </w:t>
      </w:r>
      <w:r w:rsidRPr="00DB4AE1">
        <w:t>demonstrated higher continuation rates than the PREEMPT trial, a higher rate of continuation could potentially be attributed to other factors not directly associated with bett</w:t>
      </w:r>
      <w:r w:rsidR="003A5DF0" w:rsidRPr="00DB4AE1">
        <w:t>er than expected efficacy (open-</w:t>
      </w:r>
      <w:r w:rsidRPr="00DB4AE1">
        <w:t xml:space="preserve">label design, considerable placebo effect, influence of a continuation rule). The </w:t>
      </w:r>
      <w:r w:rsidR="008F5286">
        <w:t>PBAC</w:t>
      </w:r>
      <w:r w:rsidRPr="00DB4AE1">
        <w:t xml:space="preserve"> also considered that the outcomes assessments by headache diary or physician assessment were subjective measures. In the context of these uncertainties and the lack of a control arm, the </w:t>
      </w:r>
      <w:r w:rsidR="008F5286">
        <w:t>PBAC</w:t>
      </w:r>
      <w:r w:rsidRPr="00DB4AE1">
        <w:t xml:space="preserve"> </w:t>
      </w:r>
      <w:r w:rsidR="0046553A">
        <w:t>concluded</w:t>
      </w:r>
      <w:r w:rsidRPr="00DB4AE1">
        <w:t xml:space="preserve"> that the evidence presented did not provide evidence of greater efficacy than observed in the PREEMPT trial.</w:t>
      </w:r>
    </w:p>
    <w:p w:rsidR="00B60939" w:rsidRPr="005C236E" w:rsidRDefault="00B60939" w:rsidP="005C236E">
      <w:pPr>
        <w:pStyle w:val="Heading2"/>
      </w:pPr>
      <w:bookmarkStart w:id="12" w:name="_Toc377658877"/>
      <w:r w:rsidRPr="005C236E">
        <w:t>Economic analysis</w:t>
      </w:r>
      <w:bookmarkEnd w:id="12"/>
    </w:p>
    <w:p w:rsidR="00922DC5" w:rsidRPr="00DB4AE1" w:rsidRDefault="00922DC5" w:rsidP="00837BC5">
      <w:pPr>
        <w:pStyle w:val="ListParagraph"/>
        <w:widowControl/>
        <w:numPr>
          <w:ilvl w:val="1"/>
          <w:numId w:val="1"/>
        </w:numPr>
        <w:spacing w:after="120"/>
      </w:pPr>
      <w:r w:rsidRPr="00DB4AE1">
        <w:t>The submission updated the modelled economic evaluation presented in the July 2013 resubmission, with data from the Stark 2017 retrospective chart review replacing the PREEMPT data in the Botox arm of the model</w:t>
      </w:r>
      <w:r w:rsidR="006C5D9B" w:rsidRPr="00DB4AE1">
        <w:t xml:space="preserve"> only</w:t>
      </w:r>
      <w:r w:rsidRPr="00DB4AE1">
        <w:t>.</w:t>
      </w:r>
      <w:r w:rsidR="00C97D55" w:rsidRPr="00DB4AE1">
        <w:t xml:space="preserve"> The table below outlines the key components of the economic evaluation.</w:t>
      </w:r>
    </w:p>
    <w:p w:rsidR="00C97D55" w:rsidRPr="00DB4AE1" w:rsidRDefault="00C97D55" w:rsidP="00837BC5">
      <w:pPr>
        <w:keepNext/>
        <w:widowControl/>
        <w:rPr>
          <w:rStyle w:val="CommentReference"/>
        </w:rPr>
      </w:pPr>
      <w:r w:rsidRPr="00DB4AE1">
        <w:rPr>
          <w:rStyle w:val="CommentReference"/>
        </w:rPr>
        <w:t xml:space="preserve">Table </w:t>
      </w:r>
      <w:r w:rsidR="00441489" w:rsidRPr="00DB4AE1">
        <w:rPr>
          <w:rStyle w:val="CommentReference"/>
        </w:rPr>
        <w:t>10</w:t>
      </w:r>
      <w:r w:rsidRPr="00DB4AE1">
        <w:rPr>
          <w:rStyle w:val="CommentReference"/>
        </w:rPr>
        <w:t>: 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36"/>
        <w:gridCol w:w="6547"/>
      </w:tblGrid>
      <w:tr w:rsidR="00C97D55" w:rsidRPr="00DB4AE1" w:rsidTr="00E97417">
        <w:trPr>
          <w:tblHeader/>
        </w:trPr>
        <w:tc>
          <w:tcPr>
            <w:tcW w:w="1396" w:type="pct"/>
            <w:shd w:val="clear" w:color="auto" w:fill="auto"/>
            <w:vAlign w:val="center"/>
          </w:tcPr>
          <w:p w:rsidR="00C97D55" w:rsidRPr="00DB4AE1" w:rsidRDefault="00C97D55" w:rsidP="00837BC5">
            <w:pPr>
              <w:pStyle w:val="Tabletext"/>
              <w:keepNext/>
              <w:rPr>
                <w:b/>
              </w:rPr>
            </w:pPr>
            <w:r w:rsidRPr="00DB4AE1">
              <w:rPr>
                <w:b/>
              </w:rPr>
              <w:t>Component</w:t>
            </w:r>
          </w:p>
        </w:tc>
        <w:tc>
          <w:tcPr>
            <w:tcW w:w="3604" w:type="pct"/>
            <w:shd w:val="clear" w:color="auto" w:fill="auto"/>
            <w:vAlign w:val="center"/>
          </w:tcPr>
          <w:p w:rsidR="00C97D55" w:rsidRPr="00DB4AE1" w:rsidRDefault="00C97D55" w:rsidP="00837BC5">
            <w:pPr>
              <w:pStyle w:val="Tabletext"/>
              <w:keepNext/>
              <w:jc w:val="center"/>
              <w:rPr>
                <w:b/>
              </w:rPr>
            </w:pPr>
            <w:r w:rsidRPr="00DB4AE1">
              <w:rPr>
                <w:b/>
              </w:rPr>
              <w:t>Summary</w:t>
            </w:r>
          </w:p>
        </w:tc>
      </w:tr>
      <w:tr w:rsidR="00C97D55" w:rsidRPr="00DB4AE1" w:rsidTr="00E97417">
        <w:tc>
          <w:tcPr>
            <w:tcW w:w="1396" w:type="pct"/>
            <w:shd w:val="clear" w:color="auto" w:fill="auto"/>
            <w:vAlign w:val="center"/>
          </w:tcPr>
          <w:p w:rsidR="00C97D55" w:rsidRPr="00DB4AE1" w:rsidRDefault="00C97D55" w:rsidP="00837BC5">
            <w:pPr>
              <w:pStyle w:val="Tabletext"/>
              <w:keepNext/>
            </w:pPr>
            <w:r w:rsidRPr="00DB4AE1">
              <w:t>Time horizon</w:t>
            </w:r>
          </w:p>
        </w:tc>
        <w:tc>
          <w:tcPr>
            <w:tcW w:w="3604" w:type="pct"/>
            <w:shd w:val="clear" w:color="auto" w:fill="auto"/>
            <w:vAlign w:val="center"/>
          </w:tcPr>
          <w:p w:rsidR="00C97D55" w:rsidRPr="00DB4AE1" w:rsidRDefault="00C97D55" w:rsidP="00837BC5">
            <w:pPr>
              <w:pStyle w:val="Tabletext"/>
              <w:keepNext/>
            </w:pPr>
            <w:r w:rsidRPr="00DB4AE1">
              <w:t>5 years in the model base case versus 24 weeks in the trials and non-randomised study.</w:t>
            </w:r>
          </w:p>
        </w:tc>
      </w:tr>
      <w:tr w:rsidR="00C97D55" w:rsidRPr="00DB4AE1" w:rsidTr="00E97417">
        <w:tc>
          <w:tcPr>
            <w:tcW w:w="1396" w:type="pct"/>
            <w:shd w:val="clear" w:color="auto" w:fill="auto"/>
            <w:vAlign w:val="center"/>
          </w:tcPr>
          <w:p w:rsidR="00C97D55" w:rsidRPr="00DB4AE1" w:rsidRDefault="00C97D55" w:rsidP="00837BC5">
            <w:pPr>
              <w:pStyle w:val="Tabletext"/>
              <w:keepNext/>
            </w:pPr>
            <w:r w:rsidRPr="00DB4AE1">
              <w:t>Outcomes</w:t>
            </w:r>
          </w:p>
        </w:tc>
        <w:tc>
          <w:tcPr>
            <w:tcW w:w="3604" w:type="pct"/>
            <w:shd w:val="clear" w:color="auto" w:fill="auto"/>
            <w:vAlign w:val="center"/>
          </w:tcPr>
          <w:p w:rsidR="00C97D55" w:rsidRPr="00DB4AE1" w:rsidRDefault="00C97D55" w:rsidP="00837BC5">
            <w:pPr>
              <w:pStyle w:val="Tabletext"/>
              <w:keepNext/>
            </w:pPr>
            <w:r w:rsidRPr="00DB4AE1">
              <w:t>QALYs</w:t>
            </w:r>
          </w:p>
        </w:tc>
      </w:tr>
      <w:tr w:rsidR="00C97D55" w:rsidRPr="00DB4AE1" w:rsidTr="00E97417">
        <w:tc>
          <w:tcPr>
            <w:tcW w:w="1396" w:type="pct"/>
            <w:shd w:val="clear" w:color="auto" w:fill="auto"/>
            <w:vAlign w:val="center"/>
          </w:tcPr>
          <w:p w:rsidR="00C97D55" w:rsidRPr="00DB4AE1" w:rsidRDefault="00C97D55" w:rsidP="00837BC5">
            <w:pPr>
              <w:pStyle w:val="Tabletext"/>
              <w:keepNext/>
            </w:pPr>
            <w:r w:rsidRPr="00DB4AE1">
              <w:t>Methods used to generate results</w:t>
            </w:r>
          </w:p>
        </w:tc>
        <w:tc>
          <w:tcPr>
            <w:tcW w:w="3604" w:type="pct"/>
            <w:shd w:val="clear" w:color="auto" w:fill="auto"/>
            <w:vAlign w:val="center"/>
          </w:tcPr>
          <w:p w:rsidR="00C97D55" w:rsidRPr="00DB4AE1" w:rsidRDefault="00C97D55" w:rsidP="00837BC5">
            <w:pPr>
              <w:pStyle w:val="Tabletext"/>
              <w:keepNext/>
            </w:pPr>
            <w:r w:rsidRPr="00DB4AE1">
              <w:t>Markov cohort analysis</w:t>
            </w:r>
          </w:p>
        </w:tc>
      </w:tr>
      <w:tr w:rsidR="00C97D55" w:rsidRPr="00DB4AE1" w:rsidTr="00E97417">
        <w:tc>
          <w:tcPr>
            <w:tcW w:w="1396" w:type="pct"/>
            <w:shd w:val="clear" w:color="auto" w:fill="auto"/>
            <w:vAlign w:val="center"/>
          </w:tcPr>
          <w:p w:rsidR="00C97D55" w:rsidRPr="00DB4AE1" w:rsidRDefault="00C97D55" w:rsidP="00837BC5">
            <w:pPr>
              <w:pStyle w:val="Tabletext"/>
              <w:keepNext/>
            </w:pPr>
            <w:r w:rsidRPr="00DB4AE1">
              <w:t>Health states</w:t>
            </w:r>
          </w:p>
        </w:tc>
        <w:tc>
          <w:tcPr>
            <w:tcW w:w="3604" w:type="pct"/>
            <w:shd w:val="clear" w:color="auto" w:fill="auto"/>
            <w:vAlign w:val="center"/>
          </w:tcPr>
          <w:p w:rsidR="00C97D55" w:rsidRPr="00DB4AE1" w:rsidRDefault="00C97D55" w:rsidP="00837BC5">
            <w:pPr>
              <w:pStyle w:val="Tabletext"/>
              <w:keepNext/>
            </w:pPr>
            <w:r w:rsidRPr="00DB4AE1">
              <w:t>6 health states defined by the number of headache days per 28 days.</w:t>
            </w:r>
          </w:p>
        </w:tc>
      </w:tr>
      <w:tr w:rsidR="00C97D55" w:rsidRPr="00DB4AE1" w:rsidTr="00E97417">
        <w:tc>
          <w:tcPr>
            <w:tcW w:w="1396" w:type="pct"/>
            <w:shd w:val="clear" w:color="auto" w:fill="auto"/>
            <w:vAlign w:val="center"/>
          </w:tcPr>
          <w:p w:rsidR="00C97D55" w:rsidRPr="00DB4AE1" w:rsidRDefault="00C97D55" w:rsidP="00837BC5">
            <w:pPr>
              <w:pStyle w:val="Tabletext"/>
              <w:keepNext/>
            </w:pPr>
            <w:r w:rsidRPr="00DB4AE1">
              <w:t>Cycle length</w:t>
            </w:r>
          </w:p>
        </w:tc>
        <w:tc>
          <w:tcPr>
            <w:tcW w:w="3604" w:type="pct"/>
            <w:shd w:val="clear" w:color="auto" w:fill="auto"/>
            <w:vAlign w:val="center"/>
          </w:tcPr>
          <w:p w:rsidR="00C97D55" w:rsidRPr="00DB4AE1" w:rsidRDefault="00C97D55" w:rsidP="00837BC5">
            <w:pPr>
              <w:pStyle w:val="Tabletext"/>
              <w:keepNext/>
            </w:pPr>
            <w:r w:rsidRPr="00DB4AE1">
              <w:t>12 weeks to correspond to Botox re-injection cycle.</w:t>
            </w:r>
          </w:p>
        </w:tc>
      </w:tr>
      <w:tr w:rsidR="00C97D55" w:rsidRPr="00DB4AE1" w:rsidTr="00E97417">
        <w:tc>
          <w:tcPr>
            <w:tcW w:w="1396" w:type="pct"/>
            <w:shd w:val="clear" w:color="auto" w:fill="auto"/>
            <w:vAlign w:val="center"/>
          </w:tcPr>
          <w:p w:rsidR="00C97D55" w:rsidRPr="00DB4AE1" w:rsidRDefault="00C97D55" w:rsidP="00837BC5">
            <w:pPr>
              <w:pStyle w:val="Tabletext"/>
              <w:keepNext/>
            </w:pPr>
            <w:r w:rsidRPr="00DB4AE1">
              <w:t>Transition probabilities</w:t>
            </w:r>
          </w:p>
        </w:tc>
        <w:tc>
          <w:tcPr>
            <w:tcW w:w="3604" w:type="pct"/>
            <w:shd w:val="clear" w:color="auto" w:fill="auto"/>
            <w:vAlign w:val="center"/>
          </w:tcPr>
          <w:p w:rsidR="00C97D55" w:rsidRPr="00DB4AE1" w:rsidRDefault="00C97D55" w:rsidP="00837BC5">
            <w:pPr>
              <w:pStyle w:val="Tabletext"/>
              <w:keepNext/>
            </w:pPr>
            <w:r w:rsidRPr="00DB4AE1">
              <w:t>Stark 2017 retrospective chart review for Botox and PREEMPT, a randomised controlled trial, for</w:t>
            </w:r>
            <w:r w:rsidR="00B01F17">
              <w:t xml:space="preserve"> </w:t>
            </w:r>
            <w:r w:rsidRPr="00DB4AE1">
              <w:t>BSC.</w:t>
            </w:r>
          </w:p>
        </w:tc>
      </w:tr>
    </w:tbl>
    <w:p w:rsidR="00C97D55" w:rsidRPr="00DB4AE1" w:rsidRDefault="00C97D55" w:rsidP="00837BC5">
      <w:pPr>
        <w:pStyle w:val="TableFooter"/>
        <w:keepNext/>
        <w:widowControl/>
        <w:spacing w:after="120"/>
      </w:pPr>
      <w:r w:rsidRPr="00DB4AE1">
        <w:t>Source: Table 3-1, p97 of the submission.</w:t>
      </w:r>
    </w:p>
    <w:p w:rsidR="006C5D9B" w:rsidRPr="00DB4AE1" w:rsidRDefault="00272ADF" w:rsidP="00837BC5">
      <w:pPr>
        <w:pStyle w:val="ListParagraph"/>
        <w:widowControl/>
        <w:numPr>
          <w:ilvl w:val="1"/>
          <w:numId w:val="1"/>
        </w:numPr>
        <w:spacing w:after="120"/>
        <w:rPr>
          <w:rFonts w:asciiTheme="minorHAnsi" w:hAnsiTheme="minorHAnsi"/>
          <w:szCs w:val="24"/>
        </w:rPr>
      </w:pPr>
      <w:r w:rsidRPr="00DB4AE1">
        <w:t>The submission stated that the Stark 2017 data provide</w:t>
      </w:r>
      <w:r w:rsidR="00E57D18" w:rsidRPr="00DB4AE1">
        <w:t>d</w:t>
      </w:r>
      <w:r w:rsidRPr="00DB4AE1">
        <w:t xml:space="preserve"> an oppo</w:t>
      </w:r>
      <w:r w:rsidR="00B84167">
        <w:t>rtunity to re</w:t>
      </w:r>
      <w:r w:rsidR="00B84167">
        <w:noBreakHyphen/>
      </w:r>
      <w:r w:rsidRPr="00DB4AE1">
        <w:t>populate the already presented and evaluated economic model with real-world PBS data, which allows Botox’s cost-effectiveness on the PBS to be presented to the PBAC.</w:t>
      </w:r>
    </w:p>
    <w:p w:rsidR="006C2727" w:rsidRPr="00DB4AE1" w:rsidRDefault="0048140C" w:rsidP="00837BC5">
      <w:pPr>
        <w:pStyle w:val="ListParagraph"/>
        <w:widowControl/>
        <w:numPr>
          <w:ilvl w:val="1"/>
          <w:numId w:val="1"/>
        </w:numPr>
        <w:spacing w:after="120"/>
        <w:rPr>
          <w:rFonts w:asciiTheme="minorHAnsi" w:hAnsiTheme="minorHAnsi"/>
          <w:szCs w:val="24"/>
        </w:rPr>
      </w:pPr>
      <w:r w:rsidRPr="00DB4AE1">
        <w:rPr>
          <w:rFonts w:asciiTheme="minorHAnsi" w:hAnsiTheme="minorHAnsi"/>
          <w:szCs w:val="24"/>
        </w:rPr>
        <w:t xml:space="preserve">The PBAC has previously identified the following issues with the economic model: the transition probabilities; the utility values; the extrapolation of the incremental treatment effect of Botox beyond the trial duration to 5 years in the absence of supportive evidence; the assumption of perfect compliance to the continuation rule in the requested restriction; and the use of the IBMS/BIS as the source of resource utilisation costs. </w:t>
      </w:r>
      <w:r w:rsidR="006C2727" w:rsidRPr="00DB4AE1">
        <w:rPr>
          <w:rFonts w:asciiTheme="minorHAnsi" w:hAnsiTheme="minorHAnsi"/>
          <w:szCs w:val="24"/>
        </w:rPr>
        <w:t xml:space="preserve">Detail on these </w:t>
      </w:r>
      <w:r w:rsidRPr="00DB4AE1">
        <w:rPr>
          <w:rFonts w:asciiTheme="minorHAnsi" w:hAnsiTheme="minorHAnsi"/>
          <w:szCs w:val="24"/>
        </w:rPr>
        <w:t>issues</w:t>
      </w:r>
      <w:r w:rsidR="006C2727" w:rsidRPr="00DB4AE1">
        <w:rPr>
          <w:rFonts w:asciiTheme="minorHAnsi" w:hAnsiTheme="minorHAnsi"/>
          <w:szCs w:val="24"/>
        </w:rPr>
        <w:t>, which</w:t>
      </w:r>
      <w:r w:rsidRPr="00DB4AE1">
        <w:rPr>
          <w:rFonts w:asciiTheme="minorHAnsi" w:hAnsiTheme="minorHAnsi"/>
          <w:szCs w:val="24"/>
        </w:rPr>
        <w:t xml:space="preserve"> remain</w:t>
      </w:r>
      <w:r w:rsidR="006C2727" w:rsidRPr="00DB4AE1">
        <w:rPr>
          <w:rFonts w:asciiTheme="minorHAnsi" w:hAnsiTheme="minorHAnsi"/>
          <w:szCs w:val="24"/>
        </w:rPr>
        <w:t>, are as follows:</w:t>
      </w:r>
    </w:p>
    <w:p w:rsidR="006C2727" w:rsidRPr="00DB4AE1" w:rsidRDefault="006C2727" w:rsidP="00837BC5">
      <w:pPr>
        <w:pStyle w:val="Bulletpoints"/>
        <w:widowControl/>
        <w:spacing w:after="120"/>
        <w:ind w:left="993" w:hanging="284"/>
      </w:pPr>
      <w:r w:rsidRPr="00DB4AE1">
        <w:t xml:space="preserve">Transition probabilities: </w:t>
      </w:r>
      <w:r w:rsidR="00EB6372" w:rsidRPr="00DB4AE1">
        <w:t>were not sufficiently robust as they were derived from post-hoc sub-group analyses</w:t>
      </w:r>
      <w:r w:rsidR="00DD27C3" w:rsidRPr="00DB4AE1">
        <w:t xml:space="preserve"> (of PREEMPT)</w:t>
      </w:r>
      <w:r w:rsidR="00EB6372" w:rsidRPr="00DB4AE1">
        <w:t xml:space="preserve"> that were not sufficiently powered to asse</w:t>
      </w:r>
      <w:r w:rsidR="00D5193C" w:rsidRPr="00DB4AE1">
        <w:t>s</w:t>
      </w:r>
      <w:r w:rsidR="00EB6372" w:rsidRPr="00DB4AE1">
        <w:t>s the transition between six separate health states (Section 12, p6 November 2011 PSD).</w:t>
      </w:r>
    </w:p>
    <w:p w:rsidR="00AA76BD" w:rsidRPr="00DB4AE1" w:rsidRDefault="00AA76BD" w:rsidP="00837BC5">
      <w:pPr>
        <w:pStyle w:val="Bulletpoints"/>
        <w:widowControl/>
        <w:spacing w:after="120"/>
        <w:ind w:left="993" w:hanging="284"/>
      </w:pPr>
      <w:r w:rsidRPr="00DB4AE1">
        <w:t>Utility values:</w:t>
      </w:r>
      <w:r w:rsidR="002166FB" w:rsidRPr="00DB4AE1">
        <w:t xml:space="preserve"> </w:t>
      </w:r>
      <w:r w:rsidR="00EB6372" w:rsidRPr="00DB4AE1">
        <w:t>the IBMS/BIS may overestimate the incremental benefit associated with moving between the health states (Section 12, p6 November 2011 PSD)</w:t>
      </w:r>
      <w:r w:rsidR="007472B5" w:rsidRPr="00DB4AE1">
        <w:t>,</w:t>
      </w:r>
      <w:r w:rsidR="002166FB" w:rsidRPr="00DB4AE1">
        <w:t xml:space="preserve"> </w:t>
      </w:r>
      <w:r w:rsidR="004C685C" w:rsidRPr="00DB4AE1">
        <w:t xml:space="preserve">and </w:t>
      </w:r>
      <w:r w:rsidR="002166FB" w:rsidRPr="00DB4AE1">
        <w:t>the utility values in the IBMS/BIS study were not specific to botulinum toxin treatment and that the study included few Australian patients (Section 10, p5 July 2013 PSD).</w:t>
      </w:r>
    </w:p>
    <w:p w:rsidR="00706547" w:rsidRPr="00DB4AE1" w:rsidRDefault="00AA76BD" w:rsidP="00837BC5">
      <w:pPr>
        <w:pStyle w:val="Bulletpoints"/>
        <w:widowControl/>
        <w:spacing w:after="120"/>
        <w:ind w:left="993" w:hanging="284"/>
      </w:pPr>
      <w:r w:rsidRPr="00DB4AE1">
        <w:t>Extrapolation of treatment effect:</w:t>
      </w:r>
      <w:r w:rsidR="007311F6" w:rsidRPr="00DB4AE1">
        <w:t xml:space="preserve"> </w:t>
      </w:r>
      <w:r w:rsidR="00D5193C" w:rsidRPr="00DB4AE1">
        <w:t>all previous models had a high extrapolation to evidence ratio, where</w:t>
      </w:r>
      <w:r w:rsidR="00391F58" w:rsidRPr="00DB4AE1">
        <w:t>as</w:t>
      </w:r>
      <w:r w:rsidR="00D5193C" w:rsidRPr="00DB4AE1">
        <w:t xml:space="preserve"> </w:t>
      </w:r>
      <w:r w:rsidR="002166FB" w:rsidRPr="00DB4AE1">
        <w:t>a</w:t>
      </w:r>
      <w:r w:rsidR="00DB1472" w:rsidRPr="00DB4AE1">
        <w:t>ny</w:t>
      </w:r>
      <w:r w:rsidR="002166FB" w:rsidRPr="00DB4AE1">
        <w:t xml:space="preserve"> continued effect of botulinum toxin type A is highly uncertain (Section 12, p6 November 2011 PSD</w:t>
      </w:r>
      <w:r w:rsidR="00D5193C" w:rsidRPr="00DB4AE1">
        <w:t xml:space="preserve">; </w:t>
      </w:r>
      <w:r w:rsidR="00252D6F" w:rsidRPr="00DB4AE1">
        <w:t xml:space="preserve">and </w:t>
      </w:r>
      <w:r w:rsidR="002166FB" w:rsidRPr="00DB4AE1">
        <w:t>July 2012 PSD</w:t>
      </w:r>
      <w:r w:rsidR="00252D6F" w:rsidRPr="00DB4AE1">
        <w:t>;</w:t>
      </w:r>
      <w:r w:rsidR="00D958F6" w:rsidRPr="00DB4AE1">
        <w:t xml:space="preserve"> </w:t>
      </w:r>
      <w:r w:rsidR="002166FB" w:rsidRPr="00DB4AE1">
        <w:t>Section 10, p6 July 2013 PSD).</w:t>
      </w:r>
    </w:p>
    <w:p w:rsidR="0048140C" w:rsidRPr="00DB4AE1" w:rsidRDefault="00706547" w:rsidP="00837BC5">
      <w:pPr>
        <w:pStyle w:val="Bulletpoints"/>
        <w:widowControl/>
        <w:spacing w:after="120"/>
        <w:ind w:left="993" w:hanging="284"/>
      </w:pPr>
      <w:r w:rsidRPr="00DB4AE1">
        <w:t xml:space="preserve">Use of IBMS/BIS as source of resource utilisation costs: </w:t>
      </w:r>
      <w:r w:rsidR="007311F6" w:rsidRPr="00DB4AE1">
        <w:t xml:space="preserve">the IBMS/BIS study included few Australian patients and that health resource utilisation from this study may not accurately represent management of chronic migraine in Australia </w:t>
      </w:r>
      <w:r w:rsidR="00D958F6" w:rsidRPr="00DB4AE1">
        <w:t>(Section 10, p5 July 2013 PSD).</w:t>
      </w:r>
    </w:p>
    <w:p w:rsidR="0046142F" w:rsidRPr="00DB4AE1" w:rsidRDefault="0046142F" w:rsidP="00837BC5">
      <w:pPr>
        <w:pStyle w:val="ListParagraph"/>
        <w:widowControl/>
        <w:numPr>
          <w:ilvl w:val="1"/>
          <w:numId w:val="1"/>
        </w:numPr>
        <w:spacing w:after="120"/>
        <w:rPr>
          <w:rFonts w:asciiTheme="minorHAnsi" w:hAnsiTheme="minorHAnsi"/>
          <w:szCs w:val="24"/>
        </w:rPr>
      </w:pPr>
      <w:r w:rsidRPr="00DB4AE1">
        <w:rPr>
          <w:rFonts w:asciiTheme="minorHAnsi" w:hAnsiTheme="minorHAnsi"/>
          <w:szCs w:val="24"/>
        </w:rPr>
        <w:t xml:space="preserve">The PSCR </w:t>
      </w:r>
      <w:r w:rsidR="000706B1" w:rsidRPr="00DB4AE1">
        <w:rPr>
          <w:rFonts w:asciiTheme="minorHAnsi" w:hAnsiTheme="minorHAnsi"/>
          <w:szCs w:val="24"/>
        </w:rPr>
        <w:t>argued that</w:t>
      </w:r>
      <w:r w:rsidRPr="00DB4AE1">
        <w:rPr>
          <w:rFonts w:asciiTheme="minorHAnsi" w:hAnsiTheme="minorHAnsi"/>
          <w:szCs w:val="24"/>
        </w:rPr>
        <w:t xml:space="preserve"> the model structure</w:t>
      </w:r>
      <w:r w:rsidR="000D0C21" w:rsidRPr="00DB4AE1">
        <w:rPr>
          <w:rFonts w:asciiTheme="minorHAnsi" w:hAnsiTheme="minorHAnsi"/>
          <w:szCs w:val="24"/>
        </w:rPr>
        <w:t xml:space="preserve"> and</w:t>
      </w:r>
      <w:r w:rsidRPr="00DB4AE1">
        <w:rPr>
          <w:rFonts w:asciiTheme="minorHAnsi" w:hAnsiTheme="minorHAnsi"/>
          <w:szCs w:val="24"/>
        </w:rPr>
        <w:t xml:space="preserve"> assumptions were considered acceptable in 2013,</w:t>
      </w:r>
      <w:r w:rsidR="000D0C21" w:rsidRPr="00DB4AE1">
        <w:rPr>
          <w:rFonts w:asciiTheme="minorHAnsi" w:hAnsiTheme="minorHAnsi"/>
          <w:szCs w:val="24"/>
        </w:rPr>
        <w:t xml:space="preserve"> despite these concerns</w:t>
      </w:r>
      <w:r w:rsidRPr="00DB4AE1">
        <w:rPr>
          <w:rFonts w:asciiTheme="minorHAnsi" w:hAnsiTheme="minorHAnsi"/>
          <w:szCs w:val="24"/>
        </w:rPr>
        <w:t xml:space="preserve">. </w:t>
      </w:r>
      <w:r w:rsidR="000D0C21" w:rsidRPr="00DB4AE1">
        <w:rPr>
          <w:rFonts w:asciiTheme="minorHAnsi" w:hAnsiTheme="minorHAnsi"/>
          <w:szCs w:val="24"/>
        </w:rPr>
        <w:t xml:space="preserve">The </w:t>
      </w:r>
      <w:r w:rsidR="00C44412">
        <w:rPr>
          <w:rFonts w:asciiTheme="minorHAnsi" w:hAnsiTheme="minorHAnsi"/>
          <w:szCs w:val="24"/>
        </w:rPr>
        <w:t>PBAC</w:t>
      </w:r>
      <w:r w:rsidR="000D0C21" w:rsidRPr="00DB4AE1">
        <w:rPr>
          <w:rFonts w:asciiTheme="minorHAnsi" w:hAnsiTheme="minorHAnsi"/>
          <w:szCs w:val="24"/>
        </w:rPr>
        <w:t xml:space="preserve"> was of the view that</w:t>
      </w:r>
      <w:r w:rsidR="002A1D89" w:rsidRPr="00DB4AE1">
        <w:rPr>
          <w:rFonts w:asciiTheme="minorHAnsi" w:hAnsiTheme="minorHAnsi"/>
          <w:szCs w:val="24"/>
        </w:rPr>
        <w:t>,</w:t>
      </w:r>
      <w:r w:rsidR="000D0C21" w:rsidRPr="00DB4AE1">
        <w:rPr>
          <w:rFonts w:asciiTheme="minorHAnsi" w:hAnsiTheme="minorHAnsi"/>
          <w:szCs w:val="24"/>
        </w:rPr>
        <w:t xml:space="preserve"> while </w:t>
      </w:r>
      <w:r w:rsidR="00C44412">
        <w:rPr>
          <w:rFonts w:asciiTheme="minorHAnsi" w:hAnsiTheme="minorHAnsi"/>
          <w:szCs w:val="24"/>
        </w:rPr>
        <w:t>it had</w:t>
      </w:r>
      <w:r w:rsidR="000D0C21" w:rsidRPr="00DB4AE1">
        <w:rPr>
          <w:rFonts w:asciiTheme="minorHAnsi" w:hAnsiTheme="minorHAnsi"/>
          <w:szCs w:val="24"/>
        </w:rPr>
        <w:t xml:space="preserve"> accepted the model was sufficiently robust to support a recommendation at the time, this did not imply that the model was sufficiently robust for a reanalysis of effectiveness using single-arm data.</w:t>
      </w:r>
    </w:p>
    <w:p w:rsidR="00722907" w:rsidRPr="00DB4AE1" w:rsidRDefault="000D0C21" w:rsidP="00837BC5">
      <w:pPr>
        <w:pStyle w:val="ListParagraph"/>
        <w:widowControl/>
        <w:numPr>
          <w:ilvl w:val="1"/>
          <w:numId w:val="1"/>
        </w:numPr>
        <w:spacing w:after="120"/>
        <w:rPr>
          <w:rFonts w:asciiTheme="minorHAnsi" w:hAnsiTheme="minorHAnsi"/>
          <w:szCs w:val="24"/>
        </w:rPr>
      </w:pPr>
      <w:r w:rsidRPr="00DB4AE1">
        <w:rPr>
          <w:rFonts w:asciiTheme="minorHAnsi" w:hAnsiTheme="minorHAnsi"/>
          <w:szCs w:val="24"/>
        </w:rPr>
        <w:t>The PSCR indicated that since the submission was put forward, EQ-5D utility data from the REPOSE study had become</w:t>
      </w:r>
      <w:r w:rsidR="002A1D89" w:rsidRPr="00DB4AE1">
        <w:rPr>
          <w:rFonts w:asciiTheme="minorHAnsi" w:hAnsiTheme="minorHAnsi"/>
          <w:szCs w:val="24"/>
        </w:rPr>
        <w:t xml:space="preserve"> available</w:t>
      </w:r>
      <w:r w:rsidRPr="00DB4AE1">
        <w:rPr>
          <w:rFonts w:asciiTheme="minorHAnsi" w:hAnsiTheme="minorHAnsi"/>
          <w:szCs w:val="24"/>
        </w:rPr>
        <w:t>. Th</w:t>
      </w:r>
      <w:r w:rsidR="002A1D89" w:rsidRPr="00DB4AE1">
        <w:rPr>
          <w:rFonts w:asciiTheme="minorHAnsi" w:hAnsiTheme="minorHAnsi"/>
          <w:szCs w:val="24"/>
        </w:rPr>
        <w:t xml:space="preserve">e PSCR claimed that these data </w:t>
      </w:r>
      <w:r w:rsidRPr="00DB4AE1">
        <w:rPr>
          <w:rFonts w:asciiTheme="minorHAnsi" w:hAnsiTheme="minorHAnsi"/>
          <w:szCs w:val="24"/>
        </w:rPr>
        <w:t xml:space="preserve">showed that the utility data from the IBMS used in the model was </w:t>
      </w:r>
      <w:r w:rsidR="00C44412">
        <w:rPr>
          <w:rFonts w:asciiTheme="minorHAnsi" w:hAnsiTheme="minorHAnsi"/>
          <w:szCs w:val="24"/>
        </w:rPr>
        <w:t xml:space="preserve">potentially </w:t>
      </w:r>
      <w:r w:rsidRPr="00DB4AE1">
        <w:rPr>
          <w:rFonts w:asciiTheme="minorHAnsi" w:hAnsiTheme="minorHAnsi"/>
          <w:szCs w:val="24"/>
        </w:rPr>
        <w:t>conservative, as the utility value between best and worst health states was 0.33 in the base case model, but could be 0.42 using REPOSE.</w:t>
      </w:r>
      <w:r w:rsidR="002A1D89" w:rsidRPr="00DB4AE1">
        <w:rPr>
          <w:rFonts w:asciiTheme="minorHAnsi" w:hAnsiTheme="minorHAnsi"/>
          <w:szCs w:val="24"/>
        </w:rPr>
        <w:t xml:space="preserve"> </w:t>
      </w:r>
      <w:r w:rsidR="00E93F54" w:rsidRPr="00DB4AE1">
        <w:rPr>
          <w:rFonts w:asciiTheme="minorHAnsi" w:hAnsiTheme="minorHAnsi"/>
          <w:szCs w:val="24"/>
        </w:rPr>
        <w:t>T</w:t>
      </w:r>
      <w:r w:rsidR="009F71FA" w:rsidRPr="00DB4AE1">
        <w:rPr>
          <w:rFonts w:asciiTheme="minorHAnsi" w:hAnsiTheme="minorHAnsi"/>
          <w:szCs w:val="24"/>
        </w:rPr>
        <w:t xml:space="preserve">he </w:t>
      </w:r>
      <w:r w:rsidR="00722907" w:rsidRPr="00DB4AE1">
        <w:rPr>
          <w:rFonts w:asciiTheme="minorHAnsi" w:hAnsiTheme="minorHAnsi"/>
          <w:szCs w:val="24"/>
        </w:rPr>
        <w:t xml:space="preserve">ESC noted </w:t>
      </w:r>
      <w:r w:rsidR="009F71FA" w:rsidRPr="00DB4AE1">
        <w:rPr>
          <w:rFonts w:asciiTheme="minorHAnsi" w:hAnsiTheme="minorHAnsi"/>
          <w:szCs w:val="24"/>
        </w:rPr>
        <w:t xml:space="preserve">that </w:t>
      </w:r>
      <w:r w:rsidR="00B84167">
        <w:rPr>
          <w:rFonts w:asciiTheme="minorHAnsi" w:hAnsiTheme="minorHAnsi"/>
          <w:szCs w:val="24"/>
        </w:rPr>
        <w:t>the UK EQ</w:t>
      </w:r>
      <w:r w:rsidR="00B84167">
        <w:rPr>
          <w:rFonts w:asciiTheme="minorHAnsi" w:hAnsiTheme="minorHAnsi"/>
          <w:szCs w:val="24"/>
        </w:rPr>
        <w:noBreakHyphen/>
      </w:r>
      <w:r w:rsidR="00722907" w:rsidRPr="00DB4AE1">
        <w:rPr>
          <w:rFonts w:asciiTheme="minorHAnsi" w:hAnsiTheme="minorHAnsi"/>
          <w:szCs w:val="24"/>
        </w:rPr>
        <w:t xml:space="preserve">5D algorithm was </w:t>
      </w:r>
      <w:r w:rsidR="009F71FA" w:rsidRPr="00DB4AE1">
        <w:rPr>
          <w:rFonts w:asciiTheme="minorHAnsi" w:hAnsiTheme="minorHAnsi"/>
          <w:szCs w:val="24"/>
        </w:rPr>
        <w:t xml:space="preserve">generally </w:t>
      </w:r>
      <w:r w:rsidR="00722907" w:rsidRPr="00DB4AE1">
        <w:rPr>
          <w:rFonts w:asciiTheme="minorHAnsi" w:hAnsiTheme="minorHAnsi"/>
          <w:szCs w:val="24"/>
        </w:rPr>
        <w:t xml:space="preserve">considered to </w:t>
      </w:r>
      <w:r w:rsidR="009F71FA" w:rsidRPr="00DB4AE1">
        <w:rPr>
          <w:rFonts w:asciiTheme="minorHAnsi" w:hAnsiTheme="minorHAnsi"/>
          <w:szCs w:val="24"/>
        </w:rPr>
        <w:t xml:space="preserve">have </w:t>
      </w:r>
      <w:r w:rsidR="005510D1" w:rsidRPr="00DB4AE1">
        <w:rPr>
          <w:rFonts w:asciiTheme="minorHAnsi" w:hAnsiTheme="minorHAnsi"/>
          <w:szCs w:val="24"/>
        </w:rPr>
        <w:t>a broader spread of scores than</w:t>
      </w:r>
      <w:r w:rsidR="005510D1" w:rsidRPr="00DB4AE1">
        <w:rPr>
          <w:rFonts w:asciiTheme="minorHAnsi" w:hAnsiTheme="minorHAnsi"/>
        </w:rPr>
        <w:t xml:space="preserve"> most</w:t>
      </w:r>
      <w:r w:rsidR="002A1D89" w:rsidRPr="00DB4AE1">
        <w:rPr>
          <w:rFonts w:asciiTheme="minorHAnsi" w:hAnsiTheme="minorHAnsi"/>
        </w:rPr>
        <w:t xml:space="preserve"> other existing algorithms</w:t>
      </w:r>
      <w:r w:rsidR="00722907" w:rsidRPr="00DB4AE1">
        <w:rPr>
          <w:rFonts w:asciiTheme="minorHAnsi" w:hAnsiTheme="minorHAnsi"/>
          <w:szCs w:val="24"/>
        </w:rPr>
        <w:t>.</w:t>
      </w:r>
      <w:r w:rsidR="005510D1" w:rsidRPr="00DB4AE1">
        <w:rPr>
          <w:rFonts w:asciiTheme="minorHAnsi" w:hAnsiTheme="minorHAnsi"/>
          <w:szCs w:val="24"/>
        </w:rPr>
        <w:t xml:space="preserve"> Moving from the UK algorithm would likely increase the ICER but the magnitude is difficult to quantify.</w:t>
      </w:r>
      <w:r w:rsidR="00722907" w:rsidRPr="00DB4AE1">
        <w:rPr>
          <w:rFonts w:asciiTheme="minorHAnsi" w:hAnsiTheme="minorHAnsi"/>
          <w:szCs w:val="24"/>
        </w:rPr>
        <w:t xml:space="preserve"> </w:t>
      </w:r>
      <w:r w:rsidR="009F71FA" w:rsidRPr="00DB4AE1">
        <w:rPr>
          <w:rFonts w:asciiTheme="minorHAnsi" w:hAnsiTheme="minorHAnsi"/>
          <w:szCs w:val="24"/>
        </w:rPr>
        <w:t xml:space="preserve">The ESC considered that this was relevant given that the </w:t>
      </w:r>
      <w:r w:rsidR="002A1D89" w:rsidRPr="00DB4AE1">
        <w:rPr>
          <w:rFonts w:asciiTheme="minorHAnsi" w:hAnsiTheme="minorHAnsi"/>
          <w:szCs w:val="24"/>
        </w:rPr>
        <w:t xml:space="preserve">incremental </w:t>
      </w:r>
      <w:r w:rsidR="009F71FA" w:rsidRPr="00DB4AE1">
        <w:rPr>
          <w:rFonts w:asciiTheme="minorHAnsi" w:hAnsiTheme="minorHAnsi"/>
          <w:szCs w:val="24"/>
        </w:rPr>
        <w:t>benefit</w:t>
      </w:r>
      <w:r w:rsidR="00816036" w:rsidRPr="00DB4AE1">
        <w:rPr>
          <w:rFonts w:asciiTheme="minorHAnsi" w:hAnsiTheme="minorHAnsi"/>
          <w:szCs w:val="24"/>
        </w:rPr>
        <w:t xml:space="preserve"> in QALYs</w:t>
      </w:r>
      <w:r w:rsidR="009F71FA" w:rsidRPr="00DB4AE1">
        <w:rPr>
          <w:rFonts w:asciiTheme="minorHAnsi" w:hAnsiTheme="minorHAnsi"/>
          <w:szCs w:val="24"/>
        </w:rPr>
        <w:t xml:space="preserve"> </w:t>
      </w:r>
      <w:r w:rsidR="00816036" w:rsidRPr="00DB4AE1">
        <w:rPr>
          <w:rFonts w:asciiTheme="minorHAnsi" w:hAnsiTheme="minorHAnsi"/>
          <w:szCs w:val="24"/>
        </w:rPr>
        <w:t xml:space="preserve">as a result of </w:t>
      </w:r>
      <w:r w:rsidR="009F71FA" w:rsidRPr="00DB4AE1">
        <w:rPr>
          <w:rFonts w:asciiTheme="minorHAnsi" w:hAnsiTheme="minorHAnsi"/>
          <w:szCs w:val="24"/>
        </w:rPr>
        <w:t>a reduction in migra</w:t>
      </w:r>
      <w:r w:rsidRPr="00DB4AE1">
        <w:rPr>
          <w:rFonts w:asciiTheme="minorHAnsi" w:hAnsiTheme="minorHAnsi"/>
          <w:szCs w:val="24"/>
        </w:rPr>
        <w:t>i</w:t>
      </w:r>
      <w:r w:rsidR="009F71FA" w:rsidRPr="00DB4AE1">
        <w:rPr>
          <w:rFonts w:asciiTheme="minorHAnsi" w:hAnsiTheme="minorHAnsi"/>
          <w:szCs w:val="24"/>
        </w:rPr>
        <w:t xml:space="preserve">ne days is only </w:t>
      </w:r>
      <w:r w:rsidR="00816036" w:rsidRPr="00DB4AE1">
        <w:rPr>
          <w:rFonts w:asciiTheme="minorHAnsi" w:hAnsiTheme="minorHAnsi"/>
          <w:szCs w:val="24"/>
        </w:rPr>
        <w:t xml:space="preserve">driven </w:t>
      </w:r>
      <w:r w:rsidR="009F71FA" w:rsidRPr="00DB4AE1">
        <w:rPr>
          <w:rFonts w:asciiTheme="minorHAnsi" w:hAnsiTheme="minorHAnsi"/>
          <w:szCs w:val="24"/>
        </w:rPr>
        <w:t xml:space="preserve">through improvements in </w:t>
      </w:r>
      <w:r w:rsidR="00C44412">
        <w:rPr>
          <w:rFonts w:asciiTheme="minorHAnsi" w:hAnsiTheme="minorHAnsi"/>
          <w:szCs w:val="24"/>
        </w:rPr>
        <w:t>quality of life</w:t>
      </w:r>
      <w:r w:rsidR="009F71FA" w:rsidRPr="00DB4AE1">
        <w:rPr>
          <w:rFonts w:asciiTheme="minorHAnsi" w:hAnsiTheme="minorHAnsi"/>
          <w:szCs w:val="24"/>
        </w:rPr>
        <w:t xml:space="preserve"> and that </w:t>
      </w:r>
      <w:r w:rsidR="00722907" w:rsidRPr="00DB4AE1">
        <w:rPr>
          <w:rFonts w:asciiTheme="minorHAnsi" w:hAnsiTheme="minorHAnsi"/>
          <w:szCs w:val="24"/>
        </w:rPr>
        <w:t xml:space="preserve">the use of </w:t>
      </w:r>
      <w:r w:rsidR="002A1D89" w:rsidRPr="00DB4AE1">
        <w:rPr>
          <w:rFonts w:asciiTheme="minorHAnsi" w:hAnsiTheme="minorHAnsi"/>
          <w:szCs w:val="24"/>
        </w:rPr>
        <w:t xml:space="preserve">the Australian scoring </w:t>
      </w:r>
      <w:r w:rsidR="00722907" w:rsidRPr="00DB4AE1">
        <w:rPr>
          <w:rFonts w:asciiTheme="minorHAnsi" w:hAnsiTheme="minorHAnsi"/>
          <w:szCs w:val="24"/>
        </w:rPr>
        <w:t xml:space="preserve">algorithm would have been </w:t>
      </w:r>
      <w:r w:rsidR="002A1D89" w:rsidRPr="00DB4AE1">
        <w:rPr>
          <w:rFonts w:asciiTheme="minorHAnsi" w:hAnsiTheme="minorHAnsi"/>
          <w:szCs w:val="24"/>
        </w:rPr>
        <w:t>more relevant</w:t>
      </w:r>
      <w:r w:rsidR="00722907" w:rsidRPr="00DB4AE1">
        <w:rPr>
          <w:rFonts w:asciiTheme="minorHAnsi" w:hAnsiTheme="minorHAnsi"/>
          <w:szCs w:val="24"/>
        </w:rPr>
        <w:t>.</w:t>
      </w:r>
    </w:p>
    <w:p w:rsidR="00F76814" w:rsidRPr="00DB4AE1" w:rsidRDefault="0048140C" w:rsidP="00837BC5">
      <w:pPr>
        <w:pStyle w:val="ListParagraph"/>
        <w:widowControl/>
        <w:numPr>
          <w:ilvl w:val="1"/>
          <w:numId w:val="1"/>
        </w:numPr>
        <w:spacing w:after="120"/>
        <w:rPr>
          <w:rFonts w:asciiTheme="minorHAnsi" w:hAnsiTheme="minorHAnsi"/>
          <w:szCs w:val="24"/>
        </w:rPr>
      </w:pPr>
      <w:r w:rsidRPr="00DB4AE1">
        <w:rPr>
          <w:rFonts w:asciiTheme="minorHAnsi" w:hAnsiTheme="minorHAnsi"/>
          <w:szCs w:val="24"/>
        </w:rPr>
        <w:t>Overshadowing these identified issues with the model is the submission’s use of single arm data at a high risk of bias from the Stark 2017 retrospective chart review along with RCT-based data</w:t>
      </w:r>
      <w:r w:rsidR="0003144F" w:rsidRPr="00DB4AE1">
        <w:rPr>
          <w:rFonts w:asciiTheme="minorHAnsi" w:hAnsiTheme="minorHAnsi"/>
          <w:szCs w:val="24"/>
        </w:rPr>
        <w:t xml:space="preserve"> from the PREEMPT trials</w:t>
      </w:r>
      <w:r w:rsidRPr="00DB4AE1">
        <w:rPr>
          <w:rFonts w:asciiTheme="minorHAnsi" w:hAnsiTheme="minorHAnsi"/>
          <w:szCs w:val="24"/>
        </w:rPr>
        <w:t xml:space="preserve"> in the </w:t>
      </w:r>
      <w:r w:rsidR="00497F97" w:rsidRPr="00DB4AE1">
        <w:rPr>
          <w:rFonts w:asciiTheme="minorHAnsi" w:hAnsiTheme="minorHAnsi"/>
          <w:szCs w:val="24"/>
        </w:rPr>
        <w:t>BSC</w:t>
      </w:r>
      <w:r w:rsidRPr="00DB4AE1">
        <w:rPr>
          <w:rFonts w:asciiTheme="minorHAnsi" w:hAnsiTheme="minorHAnsi"/>
          <w:szCs w:val="24"/>
        </w:rPr>
        <w:t xml:space="preserve"> comparator arm. </w:t>
      </w:r>
      <w:r w:rsidR="00007D00">
        <w:rPr>
          <w:rFonts w:asciiTheme="minorHAnsi" w:hAnsiTheme="minorHAnsi"/>
          <w:szCs w:val="24"/>
        </w:rPr>
        <w:t xml:space="preserve">As the PBAC </w:t>
      </w:r>
      <w:r w:rsidR="00F542D3">
        <w:rPr>
          <w:rFonts w:asciiTheme="minorHAnsi" w:hAnsiTheme="minorHAnsi"/>
          <w:szCs w:val="24"/>
        </w:rPr>
        <w:t>had concluded</w:t>
      </w:r>
      <w:r w:rsidR="00007D00">
        <w:rPr>
          <w:rFonts w:asciiTheme="minorHAnsi" w:hAnsiTheme="minorHAnsi"/>
          <w:szCs w:val="24"/>
        </w:rPr>
        <w:t xml:space="preserve"> the submission</w:t>
      </w:r>
      <w:r w:rsidR="00F542D3">
        <w:rPr>
          <w:rFonts w:asciiTheme="minorHAnsi" w:hAnsiTheme="minorHAnsi"/>
          <w:szCs w:val="24"/>
        </w:rPr>
        <w:t>’</w:t>
      </w:r>
      <w:r w:rsidR="00007D00">
        <w:rPr>
          <w:rFonts w:asciiTheme="minorHAnsi" w:hAnsiTheme="minorHAnsi"/>
          <w:szCs w:val="24"/>
        </w:rPr>
        <w:t>s clinical claim was inadequately supported by the evidence provided</w:t>
      </w:r>
      <w:r w:rsidR="00F542D3">
        <w:rPr>
          <w:rFonts w:asciiTheme="minorHAnsi" w:hAnsiTheme="minorHAnsi"/>
          <w:szCs w:val="24"/>
        </w:rPr>
        <w:t>, the PBAC</w:t>
      </w:r>
      <w:r w:rsidR="00007D00">
        <w:rPr>
          <w:rFonts w:asciiTheme="minorHAnsi" w:hAnsiTheme="minorHAnsi"/>
          <w:szCs w:val="24"/>
        </w:rPr>
        <w:t xml:space="preserve"> did not accept that the approach taken to update the economic model with the results from the Stark 2017 retrospective chart review was valid.</w:t>
      </w:r>
    </w:p>
    <w:p w:rsidR="009E3A53" w:rsidRPr="00DB4AE1" w:rsidRDefault="000D0C21" w:rsidP="00837BC5">
      <w:pPr>
        <w:pStyle w:val="ListParagraph"/>
        <w:widowControl/>
        <w:numPr>
          <w:ilvl w:val="1"/>
          <w:numId w:val="1"/>
        </w:numPr>
        <w:spacing w:after="120"/>
        <w:rPr>
          <w:rFonts w:asciiTheme="minorHAnsi" w:hAnsiTheme="minorHAnsi"/>
          <w:szCs w:val="24"/>
        </w:rPr>
      </w:pPr>
      <w:r w:rsidRPr="00DB4AE1">
        <w:rPr>
          <w:rFonts w:asciiTheme="minorHAnsi" w:hAnsiTheme="minorHAnsi"/>
          <w:szCs w:val="24"/>
        </w:rPr>
        <w:t>T</w:t>
      </w:r>
      <w:r w:rsidR="0048140C" w:rsidRPr="00DB4AE1">
        <w:rPr>
          <w:rFonts w:asciiTheme="minorHAnsi" w:hAnsiTheme="minorHAnsi"/>
          <w:szCs w:val="24"/>
        </w:rPr>
        <w:t xml:space="preserve">he continued use of BSC data from PREEMPT did not account for the possibility that there may have been changes in </w:t>
      </w:r>
      <w:r w:rsidR="00D5193C" w:rsidRPr="00DB4AE1">
        <w:rPr>
          <w:rFonts w:asciiTheme="minorHAnsi" w:hAnsiTheme="minorHAnsi"/>
        </w:rPr>
        <w:t>what constitutes BSC as well as its costs and benefits</w:t>
      </w:r>
      <w:r w:rsidR="00D5193C" w:rsidRPr="00DB4AE1">
        <w:rPr>
          <w:rFonts w:asciiTheme="minorHAnsi" w:hAnsiTheme="minorHAnsi"/>
          <w:szCs w:val="24"/>
        </w:rPr>
        <w:t xml:space="preserve"> </w:t>
      </w:r>
      <w:r w:rsidR="0048140C" w:rsidRPr="00DB4AE1">
        <w:rPr>
          <w:rFonts w:asciiTheme="minorHAnsi" w:hAnsiTheme="minorHAnsi"/>
          <w:szCs w:val="24"/>
        </w:rPr>
        <w:t>since the PREEMPT trial (2006 to 2008)</w:t>
      </w:r>
      <w:r w:rsidR="002A1D89" w:rsidRPr="00DB4AE1">
        <w:rPr>
          <w:rFonts w:asciiTheme="minorHAnsi" w:hAnsiTheme="minorHAnsi"/>
          <w:szCs w:val="24"/>
        </w:rPr>
        <w:t>.</w:t>
      </w:r>
      <w:r w:rsidR="00F76814" w:rsidRPr="00DB4AE1">
        <w:rPr>
          <w:rFonts w:asciiTheme="minorHAnsi" w:hAnsiTheme="minorHAnsi"/>
          <w:szCs w:val="24"/>
        </w:rPr>
        <w:t xml:space="preserve"> </w:t>
      </w:r>
      <w:r w:rsidR="002217EA" w:rsidRPr="00DB4AE1">
        <w:rPr>
          <w:rFonts w:asciiTheme="minorHAnsi" w:hAnsiTheme="minorHAnsi"/>
          <w:szCs w:val="24"/>
        </w:rPr>
        <w:t xml:space="preserve">The PSCR </w:t>
      </w:r>
      <w:r w:rsidRPr="00DB4AE1">
        <w:rPr>
          <w:rFonts w:asciiTheme="minorHAnsi" w:hAnsiTheme="minorHAnsi"/>
          <w:szCs w:val="24"/>
        </w:rPr>
        <w:t xml:space="preserve">claimed </w:t>
      </w:r>
      <w:r w:rsidR="002217EA" w:rsidRPr="00DB4AE1">
        <w:rPr>
          <w:rFonts w:asciiTheme="minorHAnsi" w:hAnsiTheme="minorHAnsi"/>
          <w:szCs w:val="24"/>
        </w:rPr>
        <w:t xml:space="preserve">that BSC </w:t>
      </w:r>
      <w:r w:rsidRPr="00DB4AE1">
        <w:rPr>
          <w:rFonts w:asciiTheme="minorHAnsi" w:hAnsiTheme="minorHAnsi"/>
          <w:szCs w:val="24"/>
        </w:rPr>
        <w:t>has not changed since its recommendation</w:t>
      </w:r>
      <w:r w:rsidR="002217EA" w:rsidRPr="00DB4AE1">
        <w:rPr>
          <w:rFonts w:asciiTheme="minorHAnsi" w:hAnsiTheme="minorHAnsi"/>
          <w:szCs w:val="24"/>
        </w:rPr>
        <w:t xml:space="preserve"> in July 2013, with no new drug approvals nor PBS listings for chronic migraine medications in Australia. </w:t>
      </w:r>
      <w:r w:rsidR="009F090B" w:rsidRPr="00DB4AE1">
        <w:rPr>
          <w:rFonts w:asciiTheme="minorHAnsi" w:hAnsiTheme="minorHAnsi"/>
          <w:szCs w:val="24"/>
        </w:rPr>
        <w:t>T</w:t>
      </w:r>
      <w:r w:rsidR="00A10B7B" w:rsidRPr="00DB4AE1">
        <w:rPr>
          <w:rFonts w:asciiTheme="minorHAnsi" w:hAnsiTheme="minorHAnsi"/>
          <w:szCs w:val="24"/>
        </w:rPr>
        <w:t xml:space="preserve">he </w:t>
      </w:r>
      <w:r w:rsidR="00F76814" w:rsidRPr="00DB4AE1">
        <w:rPr>
          <w:rFonts w:asciiTheme="minorHAnsi" w:hAnsiTheme="minorHAnsi"/>
          <w:szCs w:val="24"/>
        </w:rPr>
        <w:t xml:space="preserve">ESC </w:t>
      </w:r>
      <w:r w:rsidRPr="00DB4AE1">
        <w:rPr>
          <w:rFonts w:asciiTheme="minorHAnsi" w:hAnsiTheme="minorHAnsi"/>
          <w:szCs w:val="24"/>
        </w:rPr>
        <w:t xml:space="preserve">noted that BSC included aspects of management other than drugs, and considered </w:t>
      </w:r>
      <w:r w:rsidR="00A10B7B" w:rsidRPr="00DB4AE1">
        <w:rPr>
          <w:rFonts w:asciiTheme="minorHAnsi" w:hAnsiTheme="minorHAnsi"/>
          <w:szCs w:val="24"/>
        </w:rPr>
        <w:t xml:space="preserve">that </w:t>
      </w:r>
      <w:r w:rsidRPr="00DB4AE1">
        <w:rPr>
          <w:rFonts w:asciiTheme="minorHAnsi" w:hAnsiTheme="minorHAnsi"/>
          <w:szCs w:val="24"/>
        </w:rPr>
        <w:t xml:space="preserve">while </w:t>
      </w:r>
      <w:r w:rsidR="00A10B7B" w:rsidRPr="00DB4AE1">
        <w:rPr>
          <w:rFonts w:asciiTheme="minorHAnsi" w:hAnsiTheme="minorHAnsi"/>
          <w:szCs w:val="24"/>
        </w:rPr>
        <w:t xml:space="preserve">changes in </w:t>
      </w:r>
      <w:r w:rsidRPr="00DB4AE1">
        <w:rPr>
          <w:rFonts w:asciiTheme="minorHAnsi" w:hAnsiTheme="minorHAnsi"/>
          <w:szCs w:val="24"/>
        </w:rPr>
        <w:t xml:space="preserve">BSC </w:t>
      </w:r>
      <w:r w:rsidR="009E3A53" w:rsidRPr="00DB4AE1">
        <w:rPr>
          <w:rFonts w:asciiTheme="minorHAnsi" w:hAnsiTheme="minorHAnsi"/>
          <w:szCs w:val="24"/>
        </w:rPr>
        <w:t xml:space="preserve">could </w:t>
      </w:r>
      <w:r w:rsidRPr="00DB4AE1">
        <w:rPr>
          <w:rFonts w:asciiTheme="minorHAnsi" w:hAnsiTheme="minorHAnsi"/>
          <w:szCs w:val="24"/>
        </w:rPr>
        <w:t xml:space="preserve">have </w:t>
      </w:r>
      <w:r w:rsidR="009E3A53" w:rsidRPr="00DB4AE1">
        <w:rPr>
          <w:rFonts w:asciiTheme="minorHAnsi" w:hAnsiTheme="minorHAnsi"/>
          <w:szCs w:val="24"/>
        </w:rPr>
        <w:t>affect</w:t>
      </w:r>
      <w:r w:rsidRPr="00DB4AE1">
        <w:rPr>
          <w:rFonts w:asciiTheme="minorHAnsi" w:hAnsiTheme="minorHAnsi"/>
          <w:szCs w:val="24"/>
        </w:rPr>
        <w:t>ed</w:t>
      </w:r>
      <w:r w:rsidR="009E3A53" w:rsidRPr="00DB4AE1">
        <w:rPr>
          <w:rFonts w:asciiTheme="minorHAnsi" w:hAnsiTheme="minorHAnsi"/>
          <w:szCs w:val="24"/>
        </w:rPr>
        <w:t xml:space="preserve"> the </w:t>
      </w:r>
      <w:r w:rsidRPr="00DB4AE1">
        <w:rPr>
          <w:rFonts w:asciiTheme="minorHAnsi" w:hAnsiTheme="minorHAnsi"/>
          <w:szCs w:val="24"/>
        </w:rPr>
        <w:t xml:space="preserve">baseline and </w:t>
      </w:r>
      <w:r w:rsidR="009E3A53" w:rsidRPr="00DB4AE1">
        <w:rPr>
          <w:rFonts w:asciiTheme="minorHAnsi" w:hAnsiTheme="minorHAnsi"/>
          <w:szCs w:val="24"/>
        </w:rPr>
        <w:t>response rate, the direction an</w:t>
      </w:r>
      <w:r w:rsidR="002A1D89" w:rsidRPr="00DB4AE1">
        <w:rPr>
          <w:rFonts w:asciiTheme="minorHAnsi" w:hAnsiTheme="minorHAnsi"/>
          <w:szCs w:val="24"/>
        </w:rPr>
        <w:t>d magnitude of this is unknown.</w:t>
      </w:r>
    </w:p>
    <w:p w:rsidR="0048140C" w:rsidRPr="00DB4AE1" w:rsidRDefault="00E455AF" w:rsidP="00837BC5">
      <w:pPr>
        <w:pStyle w:val="ListParagraph"/>
        <w:widowControl/>
        <w:numPr>
          <w:ilvl w:val="1"/>
          <w:numId w:val="1"/>
        </w:numPr>
        <w:spacing w:after="120"/>
        <w:rPr>
          <w:rFonts w:asciiTheme="minorHAnsi" w:hAnsiTheme="minorHAnsi"/>
          <w:szCs w:val="24"/>
        </w:rPr>
      </w:pPr>
      <w:r w:rsidRPr="00DB4AE1">
        <w:t xml:space="preserve">The results </w:t>
      </w:r>
      <w:r w:rsidR="00296733">
        <w:t xml:space="preserve">of the economic evaluation </w:t>
      </w:r>
      <w:r w:rsidRPr="00DB4AE1">
        <w:t xml:space="preserve">presented </w:t>
      </w:r>
      <w:r w:rsidR="00296733">
        <w:t>in</w:t>
      </w:r>
      <w:r w:rsidRPr="00DB4AE1">
        <w:t xml:space="preserve"> the submission are provided in the table below.</w:t>
      </w:r>
    </w:p>
    <w:p w:rsidR="009970A5" w:rsidRPr="00DB4AE1" w:rsidRDefault="009970A5" w:rsidP="00837BC5">
      <w:pPr>
        <w:widowControl/>
        <w:rPr>
          <w:rStyle w:val="CommentReference"/>
        </w:rPr>
      </w:pPr>
      <w:r w:rsidRPr="00DB4AE1">
        <w:rPr>
          <w:rStyle w:val="CommentReference"/>
        </w:rPr>
        <w:t xml:space="preserve">Table </w:t>
      </w:r>
      <w:r w:rsidR="00441489" w:rsidRPr="00DB4AE1">
        <w:rPr>
          <w:rStyle w:val="CommentReference"/>
        </w:rPr>
        <w:t>11</w:t>
      </w:r>
      <w:r w:rsidRPr="00DB4AE1">
        <w:rPr>
          <w:rStyle w:val="CommentReference"/>
        </w:rPr>
        <w:t>: Results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78"/>
        <w:gridCol w:w="2469"/>
        <w:gridCol w:w="2314"/>
        <w:gridCol w:w="1522"/>
      </w:tblGrid>
      <w:tr w:rsidR="009970A5" w:rsidRPr="00DB4AE1" w:rsidTr="00F63B76">
        <w:trPr>
          <w:tblHeader/>
        </w:trPr>
        <w:tc>
          <w:tcPr>
            <w:tcW w:w="1529" w:type="pct"/>
            <w:vAlign w:val="center"/>
          </w:tcPr>
          <w:p w:rsidR="009970A5" w:rsidRPr="00DB4AE1" w:rsidRDefault="009970A5" w:rsidP="00837BC5">
            <w:pPr>
              <w:pStyle w:val="Tabletext"/>
              <w:keepNext/>
              <w:rPr>
                <w:b/>
              </w:rPr>
            </w:pPr>
          </w:p>
        </w:tc>
        <w:tc>
          <w:tcPr>
            <w:tcW w:w="1359" w:type="pct"/>
            <w:vAlign w:val="center"/>
          </w:tcPr>
          <w:p w:rsidR="009970A5" w:rsidRPr="00DB4AE1" w:rsidRDefault="009970A5" w:rsidP="00837BC5">
            <w:pPr>
              <w:pStyle w:val="Tabletext"/>
              <w:keepNext/>
              <w:jc w:val="center"/>
              <w:rPr>
                <w:b/>
              </w:rPr>
            </w:pPr>
            <w:r w:rsidRPr="00DB4AE1">
              <w:rPr>
                <w:b/>
              </w:rPr>
              <w:t>Botox</w:t>
            </w:r>
          </w:p>
        </w:tc>
        <w:tc>
          <w:tcPr>
            <w:tcW w:w="1274" w:type="pct"/>
            <w:vAlign w:val="center"/>
          </w:tcPr>
          <w:p w:rsidR="009970A5" w:rsidRPr="00DB4AE1" w:rsidRDefault="009970A5" w:rsidP="00837BC5">
            <w:pPr>
              <w:pStyle w:val="Tabletext"/>
              <w:keepNext/>
              <w:jc w:val="center"/>
              <w:rPr>
                <w:b/>
              </w:rPr>
            </w:pPr>
            <w:r w:rsidRPr="00DB4AE1">
              <w:rPr>
                <w:b/>
              </w:rPr>
              <w:t>BSC</w:t>
            </w:r>
          </w:p>
        </w:tc>
        <w:tc>
          <w:tcPr>
            <w:tcW w:w="838" w:type="pct"/>
            <w:vAlign w:val="center"/>
          </w:tcPr>
          <w:p w:rsidR="009970A5" w:rsidRPr="00DB4AE1" w:rsidRDefault="009970A5" w:rsidP="00837BC5">
            <w:pPr>
              <w:pStyle w:val="Tabletext"/>
              <w:keepNext/>
              <w:jc w:val="center"/>
              <w:rPr>
                <w:b/>
              </w:rPr>
            </w:pPr>
            <w:r w:rsidRPr="00DB4AE1">
              <w:rPr>
                <w:b/>
              </w:rPr>
              <w:t>Increment</w:t>
            </w:r>
          </w:p>
        </w:tc>
      </w:tr>
      <w:tr w:rsidR="009970A5" w:rsidRPr="00DB4AE1" w:rsidTr="00F63B76">
        <w:tc>
          <w:tcPr>
            <w:tcW w:w="5000" w:type="pct"/>
            <w:gridSpan w:val="4"/>
            <w:vAlign w:val="center"/>
          </w:tcPr>
          <w:p w:rsidR="009970A5" w:rsidRPr="00DB4AE1" w:rsidRDefault="009970A5" w:rsidP="00837BC5">
            <w:pPr>
              <w:pStyle w:val="Tabletext"/>
              <w:rPr>
                <w:b/>
              </w:rPr>
            </w:pPr>
            <w:r w:rsidRPr="00DB4AE1">
              <w:rPr>
                <w:b/>
              </w:rPr>
              <w:t>March 2018 - model updated with Stark 2017 data</w:t>
            </w:r>
          </w:p>
        </w:tc>
      </w:tr>
      <w:tr w:rsidR="009970A5" w:rsidRPr="00DB4AE1" w:rsidTr="00F63B76">
        <w:tc>
          <w:tcPr>
            <w:tcW w:w="1529" w:type="pct"/>
            <w:vAlign w:val="center"/>
          </w:tcPr>
          <w:p w:rsidR="009970A5" w:rsidRPr="00DB4AE1" w:rsidRDefault="009970A5" w:rsidP="00837BC5">
            <w:pPr>
              <w:pStyle w:val="Tabletext"/>
            </w:pPr>
            <w:r w:rsidRPr="00DB4AE1">
              <w:t>Costs</w:t>
            </w:r>
          </w:p>
        </w:tc>
        <w:tc>
          <w:tcPr>
            <w:tcW w:w="1359" w:type="pct"/>
            <w:vAlign w:val="center"/>
          </w:tcPr>
          <w:p w:rsidR="009970A5" w:rsidRPr="00DB4AE1" w:rsidRDefault="009970A5" w:rsidP="00837BC5">
            <w:pPr>
              <w:pStyle w:val="Tabletext"/>
              <w:jc w:val="center"/>
            </w:pPr>
            <w:r w:rsidRPr="00DB4AE1">
              <w:t>$</w:t>
            </w:r>
            <w:r w:rsidR="001C4612">
              <w:rPr>
                <w:noProof/>
                <w:color w:val="000000"/>
                <w:highlight w:val="black"/>
              </w:rPr>
              <w:t>'''''''''''''''''</w:t>
            </w:r>
          </w:p>
        </w:tc>
        <w:tc>
          <w:tcPr>
            <w:tcW w:w="1274" w:type="pct"/>
            <w:vAlign w:val="center"/>
          </w:tcPr>
          <w:p w:rsidR="009970A5" w:rsidRPr="00DB4AE1" w:rsidRDefault="009970A5" w:rsidP="00837BC5">
            <w:pPr>
              <w:pStyle w:val="Tabletext"/>
              <w:jc w:val="center"/>
            </w:pPr>
            <w:r w:rsidRPr="00DB4AE1">
              <w:t>$8,866</w:t>
            </w:r>
          </w:p>
        </w:tc>
        <w:tc>
          <w:tcPr>
            <w:tcW w:w="838" w:type="pct"/>
            <w:vAlign w:val="center"/>
          </w:tcPr>
          <w:p w:rsidR="009970A5" w:rsidRPr="00DB4AE1" w:rsidRDefault="009970A5" w:rsidP="00837BC5">
            <w:pPr>
              <w:pStyle w:val="Tabletext"/>
              <w:jc w:val="center"/>
            </w:pPr>
            <w:r w:rsidRPr="00DB4AE1">
              <w:t>$</w:t>
            </w:r>
            <w:r w:rsidR="001C4612">
              <w:rPr>
                <w:noProof/>
                <w:color w:val="000000"/>
                <w:highlight w:val="black"/>
              </w:rPr>
              <w:t>'''''''''''''</w:t>
            </w:r>
          </w:p>
        </w:tc>
      </w:tr>
      <w:tr w:rsidR="009970A5" w:rsidRPr="00DB4AE1" w:rsidTr="00F63B76">
        <w:tc>
          <w:tcPr>
            <w:tcW w:w="1529" w:type="pct"/>
            <w:vAlign w:val="center"/>
          </w:tcPr>
          <w:p w:rsidR="009970A5" w:rsidRPr="00DB4AE1" w:rsidRDefault="009970A5" w:rsidP="00837BC5">
            <w:pPr>
              <w:pStyle w:val="Tabletext"/>
            </w:pPr>
            <w:r w:rsidRPr="00DB4AE1">
              <w:t>QALYs</w:t>
            </w:r>
          </w:p>
        </w:tc>
        <w:tc>
          <w:tcPr>
            <w:tcW w:w="1359" w:type="pct"/>
            <w:vAlign w:val="center"/>
          </w:tcPr>
          <w:p w:rsidR="009970A5" w:rsidRPr="00DB4AE1" w:rsidRDefault="009970A5" w:rsidP="00837BC5">
            <w:pPr>
              <w:pStyle w:val="Tabletext"/>
              <w:jc w:val="center"/>
            </w:pPr>
            <w:r w:rsidRPr="00DB4AE1">
              <w:t>2.5404</w:t>
            </w:r>
          </w:p>
        </w:tc>
        <w:tc>
          <w:tcPr>
            <w:tcW w:w="1274" w:type="pct"/>
            <w:vAlign w:val="center"/>
          </w:tcPr>
          <w:p w:rsidR="009970A5" w:rsidRPr="00DB4AE1" w:rsidRDefault="009970A5" w:rsidP="00837BC5">
            <w:pPr>
              <w:pStyle w:val="Tabletext"/>
              <w:jc w:val="center"/>
            </w:pPr>
            <w:r w:rsidRPr="00DB4AE1">
              <w:t>2.2474</w:t>
            </w:r>
          </w:p>
        </w:tc>
        <w:tc>
          <w:tcPr>
            <w:tcW w:w="838" w:type="pct"/>
            <w:vAlign w:val="center"/>
          </w:tcPr>
          <w:p w:rsidR="009970A5" w:rsidRPr="00DB4AE1" w:rsidRDefault="009970A5" w:rsidP="00837BC5">
            <w:pPr>
              <w:pStyle w:val="Tabletext"/>
              <w:jc w:val="center"/>
            </w:pPr>
            <w:r w:rsidRPr="00DB4AE1">
              <w:t>0.2930</w:t>
            </w:r>
          </w:p>
        </w:tc>
      </w:tr>
      <w:tr w:rsidR="009970A5" w:rsidRPr="00DB4AE1" w:rsidTr="00F63B76">
        <w:tc>
          <w:tcPr>
            <w:tcW w:w="4162" w:type="pct"/>
            <w:gridSpan w:val="3"/>
            <w:vAlign w:val="center"/>
          </w:tcPr>
          <w:p w:rsidR="009970A5" w:rsidRPr="00DB4AE1" w:rsidRDefault="009970A5" w:rsidP="00837BC5">
            <w:pPr>
              <w:pStyle w:val="Tabletext"/>
            </w:pPr>
            <w:r w:rsidRPr="00DB4AE1">
              <w:rPr>
                <w:b/>
              </w:rPr>
              <w:t>Incremental cost/extra QALY gained</w:t>
            </w:r>
          </w:p>
        </w:tc>
        <w:tc>
          <w:tcPr>
            <w:tcW w:w="838" w:type="pct"/>
            <w:vAlign w:val="center"/>
          </w:tcPr>
          <w:p w:rsidR="009970A5" w:rsidRPr="00DB4AE1" w:rsidRDefault="009970A5" w:rsidP="00837BC5">
            <w:pPr>
              <w:pStyle w:val="Tabletext"/>
              <w:jc w:val="center"/>
              <w:rPr>
                <w:b/>
              </w:rPr>
            </w:pPr>
            <w:r w:rsidRPr="00DB4AE1">
              <w:rPr>
                <w:b/>
              </w:rPr>
              <w:t>$</w:t>
            </w:r>
            <w:r w:rsidR="001C4612">
              <w:rPr>
                <w:b/>
                <w:noProof/>
                <w:color w:val="000000"/>
                <w:highlight w:val="black"/>
              </w:rPr>
              <w:t>'''''''''''''</w:t>
            </w:r>
          </w:p>
        </w:tc>
      </w:tr>
      <w:tr w:rsidR="009970A5" w:rsidRPr="009843C2" w:rsidTr="009843C2">
        <w:tc>
          <w:tcPr>
            <w:tcW w:w="5000" w:type="pct"/>
            <w:gridSpan w:val="4"/>
            <w:shd w:val="clear" w:color="auto" w:fill="auto"/>
            <w:vAlign w:val="center"/>
          </w:tcPr>
          <w:p w:rsidR="009970A5" w:rsidRPr="009843C2" w:rsidRDefault="009970A5" w:rsidP="00837BC5">
            <w:pPr>
              <w:pStyle w:val="Tabletext"/>
              <w:rPr>
                <w:b/>
              </w:rPr>
            </w:pPr>
            <w:r w:rsidRPr="009843C2">
              <w:rPr>
                <w:b/>
              </w:rPr>
              <w:t>July 2013 model</w:t>
            </w:r>
          </w:p>
        </w:tc>
      </w:tr>
      <w:tr w:rsidR="009970A5" w:rsidRPr="009843C2" w:rsidTr="009843C2">
        <w:tc>
          <w:tcPr>
            <w:tcW w:w="1529" w:type="pct"/>
            <w:shd w:val="clear" w:color="auto" w:fill="auto"/>
            <w:vAlign w:val="center"/>
          </w:tcPr>
          <w:p w:rsidR="009970A5" w:rsidRPr="009843C2" w:rsidRDefault="009970A5" w:rsidP="00837BC5">
            <w:pPr>
              <w:pStyle w:val="Tabletext"/>
              <w:rPr>
                <w:rFonts w:ascii="Times" w:hAnsi="Times"/>
              </w:rPr>
            </w:pPr>
            <w:r w:rsidRPr="009843C2">
              <w:t>Costs</w:t>
            </w:r>
          </w:p>
        </w:tc>
        <w:tc>
          <w:tcPr>
            <w:tcW w:w="1359" w:type="pct"/>
            <w:shd w:val="clear" w:color="auto" w:fill="auto"/>
          </w:tcPr>
          <w:p w:rsidR="009970A5" w:rsidRPr="009843C2" w:rsidRDefault="009970A5" w:rsidP="00837BC5">
            <w:pPr>
              <w:pStyle w:val="Tabletext"/>
              <w:jc w:val="center"/>
            </w:pPr>
            <w:r w:rsidRPr="009843C2">
              <w:t>$</w:t>
            </w:r>
            <w:r w:rsidR="001C4612">
              <w:rPr>
                <w:noProof/>
                <w:color w:val="000000"/>
                <w:highlight w:val="black"/>
              </w:rPr>
              <w:t>''''''''''''''''</w:t>
            </w:r>
          </w:p>
        </w:tc>
        <w:tc>
          <w:tcPr>
            <w:tcW w:w="1274" w:type="pct"/>
            <w:shd w:val="clear" w:color="auto" w:fill="auto"/>
          </w:tcPr>
          <w:p w:rsidR="009970A5" w:rsidRPr="009843C2" w:rsidRDefault="009970A5" w:rsidP="00837BC5">
            <w:pPr>
              <w:pStyle w:val="Tabletext"/>
              <w:jc w:val="center"/>
            </w:pPr>
            <w:r w:rsidRPr="009843C2">
              <w:t>$8,709</w:t>
            </w:r>
          </w:p>
        </w:tc>
        <w:tc>
          <w:tcPr>
            <w:tcW w:w="838" w:type="pct"/>
            <w:shd w:val="clear" w:color="auto" w:fill="auto"/>
          </w:tcPr>
          <w:p w:rsidR="009970A5" w:rsidRPr="009843C2" w:rsidRDefault="009970A5" w:rsidP="00837BC5">
            <w:pPr>
              <w:pStyle w:val="Tabletext"/>
              <w:jc w:val="center"/>
            </w:pPr>
            <w:r w:rsidRPr="009843C2">
              <w:t>$</w:t>
            </w:r>
            <w:r w:rsidR="001C4612">
              <w:rPr>
                <w:noProof/>
                <w:color w:val="000000"/>
                <w:highlight w:val="black"/>
              </w:rPr>
              <w:t>''''''''''''</w:t>
            </w:r>
          </w:p>
        </w:tc>
      </w:tr>
      <w:tr w:rsidR="009970A5" w:rsidRPr="009843C2" w:rsidTr="009843C2">
        <w:tc>
          <w:tcPr>
            <w:tcW w:w="1529" w:type="pct"/>
            <w:shd w:val="clear" w:color="auto" w:fill="auto"/>
            <w:vAlign w:val="center"/>
          </w:tcPr>
          <w:p w:rsidR="009970A5" w:rsidRPr="009843C2" w:rsidRDefault="009970A5" w:rsidP="00837BC5">
            <w:pPr>
              <w:pStyle w:val="Tabletext"/>
              <w:rPr>
                <w:rFonts w:ascii="Times" w:hAnsi="Times"/>
              </w:rPr>
            </w:pPr>
            <w:r w:rsidRPr="009843C2">
              <w:t>QALYs</w:t>
            </w:r>
          </w:p>
        </w:tc>
        <w:tc>
          <w:tcPr>
            <w:tcW w:w="1359" w:type="pct"/>
            <w:shd w:val="clear" w:color="auto" w:fill="auto"/>
          </w:tcPr>
          <w:p w:rsidR="009970A5" w:rsidRPr="009843C2" w:rsidRDefault="009970A5" w:rsidP="00837BC5">
            <w:pPr>
              <w:pStyle w:val="Tabletext"/>
              <w:jc w:val="center"/>
            </w:pPr>
            <w:r w:rsidRPr="009843C2">
              <w:t>2.4836</w:t>
            </w:r>
          </w:p>
        </w:tc>
        <w:tc>
          <w:tcPr>
            <w:tcW w:w="1274" w:type="pct"/>
            <w:shd w:val="clear" w:color="auto" w:fill="auto"/>
          </w:tcPr>
          <w:p w:rsidR="009970A5" w:rsidRPr="009843C2" w:rsidRDefault="009970A5" w:rsidP="00837BC5">
            <w:pPr>
              <w:pStyle w:val="Tabletext"/>
              <w:jc w:val="center"/>
            </w:pPr>
            <w:r w:rsidRPr="009843C2">
              <w:t>2.3191</w:t>
            </w:r>
          </w:p>
        </w:tc>
        <w:tc>
          <w:tcPr>
            <w:tcW w:w="838" w:type="pct"/>
            <w:shd w:val="clear" w:color="auto" w:fill="auto"/>
          </w:tcPr>
          <w:p w:rsidR="009970A5" w:rsidRPr="009843C2" w:rsidRDefault="009970A5" w:rsidP="00837BC5">
            <w:pPr>
              <w:pStyle w:val="Tabletext"/>
              <w:jc w:val="center"/>
            </w:pPr>
            <w:r w:rsidRPr="009843C2">
              <w:t>0.1645</w:t>
            </w:r>
          </w:p>
        </w:tc>
      </w:tr>
      <w:tr w:rsidR="009970A5" w:rsidRPr="00DB4AE1" w:rsidTr="009843C2">
        <w:tc>
          <w:tcPr>
            <w:tcW w:w="4162" w:type="pct"/>
            <w:gridSpan w:val="3"/>
            <w:shd w:val="clear" w:color="auto" w:fill="auto"/>
            <w:vAlign w:val="center"/>
          </w:tcPr>
          <w:p w:rsidR="009970A5" w:rsidRPr="009843C2" w:rsidRDefault="009970A5" w:rsidP="00837BC5">
            <w:pPr>
              <w:pStyle w:val="Tabletext"/>
              <w:rPr>
                <w:rFonts w:ascii="Times" w:hAnsi="Times"/>
                <w:b/>
                <w:snapToGrid w:val="0"/>
              </w:rPr>
            </w:pPr>
            <w:r w:rsidRPr="009843C2">
              <w:rPr>
                <w:b/>
              </w:rPr>
              <w:t>Incremental cost/extra QALY gained</w:t>
            </w:r>
          </w:p>
        </w:tc>
        <w:tc>
          <w:tcPr>
            <w:tcW w:w="838" w:type="pct"/>
            <w:shd w:val="clear" w:color="auto" w:fill="auto"/>
            <w:vAlign w:val="center"/>
          </w:tcPr>
          <w:p w:rsidR="009970A5" w:rsidRPr="00DB4AE1" w:rsidRDefault="009970A5" w:rsidP="00837BC5">
            <w:pPr>
              <w:pStyle w:val="Tabletext"/>
              <w:jc w:val="center"/>
              <w:rPr>
                <w:rFonts w:ascii="Times" w:hAnsi="Times"/>
                <w:b/>
              </w:rPr>
            </w:pPr>
            <w:r w:rsidRPr="009843C2">
              <w:rPr>
                <w:b/>
              </w:rPr>
              <w:t>$</w:t>
            </w:r>
            <w:r w:rsidR="001C4612">
              <w:rPr>
                <w:b/>
                <w:noProof/>
                <w:color w:val="000000"/>
                <w:highlight w:val="black"/>
              </w:rPr>
              <w:t>'''''''''''''</w:t>
            </w:r>
          </w:p>
        </w:tc>
      </w:tr>
    </w:tbl>
    <w:p w:rsidR="009970A5" w:rsidRPr="00DB4AE1" w:rsidRDefault="009970A5" w:rsidP="00837BC5">
      <w:pPr>
        <w:pStyle w:val="TableFooter"/>
        <w:widowControl/>
      </w:pPr>
      <w:r w:rsidRPr="00DB4AE1">
        <w:t>Source: Table 3-10 and Table 3-11, p108 of the submission.</w:t>
      </w:r>
    </w:p>
    <w:p w:rsidR="00E455AF" w:rsidRPr="00DB4AE1" w:rsidRDefault="009970A5" w:rsidP="00837BC5">
      <w:pPr>
        <w:pStyle w:val="TableFooter"/>
        <w:widowControl/>
        <w:spacing w:after="120"/>
        <w:rPr>
          <w:rFonts w:asciiTheme="minorHAnsi" w:hAnsiTheme="minorHAnsi"/>
          <w:szCs w:val="24"/>
        </w:rPr>
      </w:pPr>
      <w:r w:rsidRPr="00DB4AE1">
        <w:t>BSC=best supportive care</w:t>
      </w:r>
    </w:p>
    <w:p w:rsidR="00A86E8B" w:rsidRPr="00DB4AE1" w:rsidRDefault="00296733" w:rsidP="00837BC5">
      <w:pPr>
        <w:pStyle w:val="ListParagraph"/>
        <w:widowControl/>
        <w:numPr>
          <w:ilvl w:val="1"/>
          <w:numId w:val="1"/>
        </w:numPr>
        <w:spacing w:after="120"/>
        <w:rPr>
          <w:rFonts w:asciiTheme="minorHAnsi" w:hAnsiTheme="minorHAnsi"/>
          <w:szCs w:val="24"/>
        </w:rPr>
      </w:pPr>
      <w:r>
        <w:t>T</w:t>
      </w:r>
      <w:r w:rsidR="00F70E08" w:rsidRPr="00DB4AE1">
        <w:t xml:space="preserve">he </w:t>
      </w:r>
      <w:r>
        <w:t xml:space="preserve">submission presented a </w:t>
      </w:r>
      <w:r w:rsidR="00F70E08" w:rsidRPr="00DB4AE1">
        <w:t xml:space="preserve">revised ICER of </w:t>
      </w:r>
      <w:r w:rsidR="009843C2">
        <w:t>$15,000/QALY - $45,000/QALY gained</w:t>
      </w:r>
      <w:r w:rsidR="003303F2">
        <w:t xml:space="preserve"> (Table 11)</w:t>
      </w:r>
      <w:r w:rsidR="00F70E08" w:rsidRPr="00DB4AE1">
        <w:t>.</w:t>
      </w:r>
      <w:r w:rsidR="00416D9D" w:rsidRPr="00DB4AE1">
        <w:t xml:space="preserve"> </w:t>
      </w:r>
      <w:r w:rsidR="003303F2">
        <w:t>T</w:t>
      </w:r>
      <w:r w:rsidR="00BD3101" w:rsidRPr="00DB4AE1">
        <w:t xml:space="preserve">he submission maintained the same ex-manufacturer cost for Botox as used in the July 2013 resubmission and </w:t>
      </w:r>
      <w:r w:rsidR="003303F2">
        <w:t>did</w:t>
      </w:r>
      <w:r w:rsidR="00BD3101" w:rsidRPr="00DB4AE1">
        <w:t xml:space="preserve"> not appl</w:t>
      </w:r>
      <w:r w:rsidR="003303F2">
        <w:t>y</w:t>
      </w:r>
      <w:r w:rsidR="00BD3101" w:rsidRPr="00DB4AE1">
        <w:t xml:space="preserve"> the F1 5% statutory price reduction of April 2016.</w:t>
      </w:r>
      <w:r w:rsidR="00416D9D" w:rsidRPr="00DB4AE1">
        <w:t xml:space="preserve"> Use of the ex-manufacturer price of Botox</w:t>
      </w:r>
      <w:r w:rsidR="00BD3101" w:rsidRPr="00DB4AE1">
        <w:t xml:space="preserve"> based on the F1 5% statutory price reduction </w:t>
      </w:r>
      <w:r w:rsidR="00416D9D" w:rsidRPr="00DB4AE1">
        <w:t>of $</w:t>
      </w:r>
      <w:r w:rsidR="001C4612">
        <w:rPr>
          <w:noProof/>
          <w:color w:val="000000"/>
          <w:highlight w:val="black"/>
        </w:rPr>
        <w:t>''''''''''''</w:t>
      </w:r>
      <w:r w:rsidR="00416D9D" w:rsidRPr="00DB4AE1">
        <w:t xml:space="preserve"> lowered the ICER, as would be anticipated, by about $</w:t>
      </w:r>
      <w:r w:rsidR="001C4612">
        <w:rPr>
          <w:noProof/>
          <w:color w:val="000000"/>
          <w:highlight w:val="black"/>
        </w:rPr>
        <w:t>'''''''''''</w:t>
      </w:r>
      <w:r w:rsidR="00416D9D" w:rsidRPr="00DB4AE1">
        <w:t xml:space="preserve"> to </w:t>
      </w:r>
      <w:r w:rsidR="009843C2">
        <w:t>$15,000/QALY - $45,000/QALY</w:t>
      </w:r>
      <w:r w:rsidR="00416D9D" w:rsidRPr="00DB4AE1">
        <w:t>.</w:t>
      </w:r>
      <w:r w:rsidR="003303F2">
        <w:t xml:space="preserve"> The PBAC noted the revised ICER </w:t>
      </w:r>
      <w:r w:rsidR="00B23E6B">
        <w:t xml:space="preserve">of </w:t>
      </w:r>
      <w:r w:rsidR="00BD1B0C">
        <w:t>$15,000/QALY - $45,000/QALY</w:t>
      </w:r>
      <w:r w:rsidR="00BD1B0C" w:rsidDel="00BD1B0C">
        <w:t xml:space="preserve"> </w:t>
      </w:r>
      <w:r w:rsidR="00B23E6B">
        <w:t>and the effect of the ap</w:t>
      </w:r>
      <w:r w:rsidR="006772C6">
        <w:t>plication of the 5% statutory</w:t>
      </w:r>
      <w:r w:rsidR="00FE7CF5" w:rsidRPr="00FE7CF5">
        <w:t xml:space="preserve"> </w:t>
      </w:r>
      <w:r w:rsidR="006772C6">
        <w:t>re</w:t>
      </w:r>
      <w:r w:rsidR="00B23E6B">
        <w:t>duction</w:t>
      </w:r>
      <w:r w:rsidR="003303F2">
        <w:t>. However, due to concerns regarding the model and its inputs the PBAC did not consider that the revised ICER provides adequate justification for improved or similar cost effectiveness</w:t>
      </w:r>
      <w:r w:rsidR="00B05109">
        <w:t>.</w:t>
      </w:r>
    </w:p>
    <w:p w:rsidR="0021481A" w:rsidRPr="00DB4AE1" w:rsidRDefault="003303F2" w:rsidP="00837BC5">
      <w:pPr>
        <w:pStyle w:val="ListParagraph"/>
        <w:widowControl/>
        <w:numPr>
          <w:ilvl w:val="1"/>
          <w:numId w:val="1"/>
        </w:numPr>
        <w:spacing w:after="120"/>
        <w:rPr>
          <w:rFonts w:asciiTheme="minorHAnsi" w:hAnsiTheme="minorHAnsi"/>
          <w:szCs w:val="24"/>
        </w:rPr>
      </w:pPr>
      <w:r w:rsidRPr="00DB4AE1">
        <w:t xml:space="preserve">The submission did not present any sensitivity analyses of the updated economic evaluation although the submission identified the revised base case as a sensitivity analysis of the July 2013 model. </w:t>
      </w:r>
      <w:r w:rsidR="0021481A" w:rsidRPr="00DB4AE1">
        <w:t xml:space="preserve">Three new sensitivity analyses </w:t>
      </w:r>
      <w:r>
        <w:t xml:space="preserve">(SA) </w:t>
      </w:r>
      <w:r w:rsidR="0021481A" w:rsidRPr="00DB4AE1">
        <w:t>were presented in the PSCR:</w:t>
      </w:r>
    </w:p>
    <w:p w:rsidR="001A67AA" w:rsidRPr="00DB4AE1" w:rsidRDefault="001A67AA" w:rsidP="00837BC5">
      <w:pPr>
        <w:pStyle w:val="ListParagraph"/>
        <w:widowControl/>
        <w:numPr>
          <w:ilvl w:val="0"/>
          <w:numId w:val="6"/>
        </w:numPr>
        <w:spacing w:after="120"/>
        <w:ind w:left="1134"/>
        <w:rPr>
          <w:rFonts w:asciiTheme="minorHAnsi" w:hAnsiTheme="minorHAnsi"/>
          <w:szCs w:val="24"/>
        </w:rPr>
      </w:pPr>
      <w:r w:rsidRPr="00DB4AE1">
        <w:rPr>
          <w:rFonts w:asciiTheme="minorHAnsi" w:hAnsiTheme="minorHAnsi"/>
          <w:szCs w:val="24"/>
        </w:rPr>
        <w:t>SA1</w:t>
      </w:r>
      <w:r w:rsidR="002A1D89" w:rsidRPr="00DB4AE1">
        <w:rPr>
          <w:rFonts w:asciiTheme="minorHAnsi" w:hAnsiTheme="minorHAnsi"/>
          <w:szCs w:val="24"/>
        </w:rPr>
        <w:t xml:space="preserve"> =</w:t>
      </w:r>
      <w:r w:rsidRPr="00DB4AE1">
        <w:rPr>
          <w:rFonts w:asciiTheme="minorHAnsi" w:hAnsiTheme="minorHAnsi"/>
          <w:szCs w:val="24"/>
        </w:rPr>
        <w:t xml:space="preserve"> no stopping rule</w:t>
      </w:r>
      <w:r w:rsidR="002A1D89" w:rsidRPr="00DB4AE1">
        <w:rPr>
          <w:rFonts w:asciiTheme="minorHAnsi" w:hAnsiTheme="minorHAnsi"/>
          <w:szCs w:val="24"/>
        </w:rPr>
        <w:t>:</w:t>
      </w:r>
      <w:r w:rsidRPr="00DB4AE1">
        <w:rPr>
          <w:rFonts w:asciiTheme="minorHAnsi" w:hAnsiTheme="minorHAnsi"/>
          <w:szCs w:val="24"/>
        </w:rPr>
        <w:t xml:space="preserve"> this minimally reduced the ICER to </w:t>
      </w:r>
      <w:r w:rsidR="00BD1B0C">
        <w:rPr>
          <w:rFonts w:asciiTheme="minorHAnsi" w:hAnsiTheme="minorHAnsi"/>
          <w:szCs w:val="24"/>
        </w:rPr>
        <w:t>$15,000/QALY - $45,000/QALY</w:t>
      </w:r>
      <w:r w:rsidRPr="00DB4AE1">
        <w:rPr>
          <w:rFonts w:asciiTheme="minorHAnsi" w:hAnsiTheme="minorHAnsi"/>
          <w:szCs w:val="24"/>
        </w:rPr>
        <w:t xml:space="preserve"> from</w:t>
      </w:r>
      <w:r w:rsidR="002A1D89" w:rsidRPr="00DB4AE1">
        <w:rPr>
          <w:rFonts w:asciiTheme="minorHAnsi" w:hAnsiTheme="minorHAnsi"/>
          <w:szCs w:val="24"/>
        </w:rPr>
        <w:t xml:space="preserve"> </w:t>
      </w:r>
      <w:r w:rsidR="00FE7CF5" w:rsidRPr="00FE7CF5">
        <w:rPr>
          <w:rFonts w:asciiTheme="minorHAnsi" w:hAnsiTheme="minorHAnsi"/>
          <w:szCs w:val="24"/>
        </w:rPr>
        <w:t xml:space="preserve">$15,000/QALY - $45,000/QALY </w:t>
      </w:r>
      <w:r w:rsidR="002A1D89" w:rsidRPr="00DB4AE1">
        <w:rPr>
          <w:rFonts w:asciiTheme="minorHAnsi" w:hAnsiTheme="minorHAnsi"/>
          <w:szCs w:val="24"/>
        </w:rPr>
        <w:t>the 2013 base case;</w:t>
      </w:r>
    </w:p>
    <w:p w:rsidR="0021481A" w:rsidRPr="00DB4AE1" w:rsidRDefault="001A67AA" w:rsidP="00837BC5">
      <w:pPr>
        <w:pStyle w:val="ListParagraph"/>
        <w:widowControl/>
        <w:numPr>
          <w:ilvl w:val="0"/>
          <w:numId w:val="6"/>
        </w:numPr>
        <w:spacing w:after="120"/>
        <w:ind w:left="1134"/>
        <w:rPr>
          <w:rFonts w:asciiTheme="minorHAnsi" w:hAnsiTheme="minorHAnsi"/>
          <w:szCs w:val="24"/>
        </w:rPr>
      </w:pPr>
      <w:r w:rsidRPr="00DB4AE1">
        <w:rPr>
          <w:rFonts w:asciiTheme="minorHAnsi" w:hAnsiTheme="minorHAnsi"/>
          <w:szCs w:val="24"/>
        </w:rPr>
        <w:t>SA2</w:t>
      </w:r>
      <w:r w:rsidR="002A1D89" w:rsidRPr="00DB4AE1">
        <w:rPr>
          <w:rFonts w:asciiTheme="minorHAnsi" w:hAnsiTheme="minorHAnsi"/>
          <w:szCs w:val="24"/>
        </w:rPr>
        <w:t xml:space="preserve"> =</w:t>
      </w:r>
      <w:r w:rsidRPr="00DB4AE1">
        <w:rPr>
          <w:rFonts w:asciiTheme="minorHAnsi" w:hAnsiTheme="minorHAnsi"/>
          <w:szCs w:val="24"/>
        </w:rPr>
        <w:t xml:space="preserve"> </w:t>
      </w:r>
      <w:r w:rsidR="0021481A" w:rsidRPr="00DB4AE1">
        <w:rPr>
          <w:rFonts w:asciiTheme="minorHAnsi" w:hAnsiTheme="minorHAnsi"/>
          <w:szCs w:val="24"/>
        </w:rPr>
        <w:t>application of REPOSE utility data, described above in 6.29</w:t>
      </w:r>
      <w:r w:rsidR="002A1D89" w:rsidRPr="00DB4AE1">
        <w:rPr>
          <w:rFonts w:asciiTheme="minorHAnsi" w:hAnsiTheme="minorHAnsi"/>
          <w:szCs w:val="24"/>
        </w:rPr>
        <w:t>: this</w:t>
      </w:r>
      <w:r w:rsidR="00FA4EDE" w:rsidRPr="00DB4AE1">
        <w:rPr>
          <w:rFonts w:asciiTheme="minorHAnsi" w:hAnsiTheme="minorHAnsi"/>
          <w:szCs w:val="24"/>
        </w:rPr>
        <w:t xml:space="preserve"> reduced the ICER to </w:t>
      </w:r>
      <w:r w:rsidR="00BD1B0C">
        <w:rPr>
          <w:rFonts w:asciiTheme="minorHAnsi" w:hAnsiTheme="minorHAnsi"/>
          <w:szCs w:val="24"/>
        </w:rPr>
        <w:t>less than $15,000/QALY</w:t>
      </w:r>
      <w:r w:rsidR="00FE7CF5">
        <w:rPr>
          <w:rFonts w:asciiTheme="minorHAnsi" w:hAnsiTheme="minorHAnsi"/>
          <w:szCs w:val="24"/>
        </w:rPr>
        <w:t xml:space="preserve"> </w:t>
      </w:r>
      <w:r w:rsidR="002A1D89" w:rsidRPr="00DB4AE1">
        <w:rPr>
          <w:rFonts w:asciiTheme="minorHAnsi" w:hAnsiTheme="minorHAnsi"/>
          <w:szCs w:val="24"/>
        </w:rPr>
        <w:t>from</w:t>
      </w:r>
      <w:r w:rsidR="00FE7CF5">
        <w:rPr>
          <w:rFonts w:asciiTheme="minorHAnsi" w:hAnsiTheme="minorHAnsi"/>
          <w:szCs w:val="24"/>
        </w:rPr>
        <w:t xml:space="preserve"> </w:t>
      </w:r>
      <w:r w:rsidR="00FE7CF5" w:rsidRPr="00FE7CF5">
        <w:rPr>
          <w:rFonts w:asciiTheme="minorHAnsi" w:hAnsiTheme="minorHAnsi"/>
          <w:szCs w:val="24"/>
        </w:rPr>
        <w:t>$15,000/QALY - $45,000/QALY</w:t>
      </w:r>
      <w:r w:rsidR="0021481A" w:rsidRPr="00DB4AE1">
        <w:rPr>
          <w:rFonts w:asciiTheme="minorHAnsi" w:hAnsiTheme="minorHAnsi"/>
          <w:szCs w:val="24"/>
        </w:rPr>
        <w:t>;</w:t>
      </w:r>
      <w:r w:rsidR="002A1D89" w:rsidRPr="00DB4AE1">
        <w:rPr>
          <w:rFonts w:asciiTheme="minorHAnsi" w:hAnsiTheme="minorHAnsi"/>
          <w:szCs w:val="24"/>
        </w:rPr>
        <w:t xml:space="preserve"> and</w:t>
      </w:r>
    </w:p>
    <w:p w:rsidR="0021481A" w:rsidRPr="00DB4AE1" w:rsidRDefault="001A67AA" w:rsidP="00837BC5">
      <w:pPr>
        <w:pStyle w:val="ListParagraph"/>
        <w:widowControl/>
        <w:numPr>
          <w:ilvl w:val="0"/>
          <w:numId w:val="6"/>
        </w:numPr>
        <w:spacing w:after="120"/>
        <w:ind w:left="1134"/>
        <w:rPr>
          <w:rFonts w:asciiTheme="minorHAnsi" w:hAnsiTheme="minorHAnsi"/>
          <w:szCs w:val="24"/>
        </w:rPr>
      </w:pPr>
      <w:r w:rsidRPr="00DB4AE1">
        <w:rPr>
          <w:rFonts w:asciiTheme="minorHAnsi" w:hAnsiTheme="minorHAnsi"/>
          <w:szCs w:val="24"/>
        </w:rPr>
        <w:t>SA3</w:t>
      </w:r>
      <w:r w:rsidR="002A1D89" w:rsidRPr="00DB4AE1">
        <w:rPr>
          <w:rFonts w:asciiTheme="minorHAnsi" w:hAnsiTheme="minorHAnsi"/>
          <w:szCs w:val="24"/>
        </w:rPr>
        <w:t xml:space="preserve"> =</w:t>
      </w:r>
      <w:r w:rsidRPr="00DB4AE1">
        <w:rPr>
          <w:rFonts w:asciiTheme="minorHAnsi" w:hAnsiTheme="minorHAnsi"/>
          <w:szCs w:val="24"/>
        </w:rPr>
        <w:t xml:space="preserve"> replacing the BSC PREEMPT placebo arm with the baseline results</w:t>
      </w:r>
      <w:r w:rsidR="00FA4EDE" w:rsidRPr="00DB4AE1">
        <w:rPr>
          <w:rFonts w:asciiTheme="minorHAnsi" w:hAnsiTheme="minorHAnsi"/>
          <w:szCs w:val="24"/>
        </w:rPr>
        <w:t xml:space="preserve"> (removing placebo effect)</w:t>
      </w:r>
      <w:r w:rsidR="002A1D89" w:rsidRPr="00DB4AE1">
        <w:rPr>
          <w:rFonts w:asciiTheme="minorHAnsi" w:hAnsiTheme="minorHAnsi"/>
          <w:szCs w:val="24"/>
        </w:rPr>
        <w:t>: t</w:t>
      </w:r>
      <w:r w:rsidRPr="00DB4AE1">
        <w:rPr>
          <w:rFonts w:asciiTheme="minorHAnsi" w:hAnsiTheme="minorHAnsi"/>
          <w:szCs w:val="24"/>
        </w:rPr>
        <w:t xml:space="preserve">his </w:t>
      </w:r>
      <w:r w:rsidR="002A1D89" w:rsidRPr="00DB4AE1">
        <w:rPr>
          <w:rFonts w:asciiTheme="minorHAnsi" w:hAnsiTheme="minorHAnsi"/>
          <w:szCs w:val="24"/>
        </w:rPr>
        <w:t xml:space="preserve">reduced </w:t>
      </w:r>
      <w:r w:rsidRPr="00DB4AE1">
        <w:rPr>
          <w:rFonts w:asciiTheme="minorHAnsi" w:hAnsiTheme="minorHAnsi"/>
          <w:szCs w:val="24"/>
        </w:rPr>
        <w:t xml:space="preserve">the ICER to </w:t>
      </w:r>
      <w:r w:rsidR="00BD1B0C">
        <w:rPr>
          <w:rFonts w:asciiTheme="minorHAnsi" w:hAnsiTheme="minorHAnsi"/>
          <w:szCs w:val="24"/>
        </w:rPr>
        <w:t>less than $15,000/QALY</w:t>
      </w:r>
      <w:r w:rsidR="00FE7CF5">
        <w:rPr>
          <w:rFonts w:asciiTheme="minorHAnsi" w:hAnsiTheme="minorHAnsi"/>
          <w:szCs w:val="24"/>
        </w:rPr>
        <w:t xml:space="preserve"> </w:t>
      </w:r>
      <w:r w:rsidR="002A1D89" w:rsidRPr="00DB4AE1">
        <w:rPr>
          <w:rFonts w:asciiTheme="minorHAnsi" w:hAnsiTheme="minorHAnsi"/>
          <w:szCs w:val="24"/>
        </w:rPr>
        <w:t>from</w:t>
      </w:r>
      <w:r w:rsidR="00FE7CF5">
        <w:rPr>
          <w:rFonts w:asciiTheme="minorHAnsi" w:hAnsiTheme="minorHAnsi"/>
          <w:szCs w:val="24"/>
        </w:rPr>
        <w:t xml:space="preserve"> </w:t>
      </w:r>
      <w:r w:rsidR="00FE7CF5" w:rsidRPr="00FE7CF5">
        <w:rPr>
          <w:rFonts w:asciiTheme="minorHAnsi" w:hAnsiTheme="minorHAnsi"/>
          <w:szCs w:val="24"/>
        </w:rPr>
        <w:t>$15,000/QALY - $45,000/QALY</w:t>
      </w:r>
      <w:r w:rsidRPr="00DB4AE1">
        <w:rPr>
          <w:rFonts w:asciiTheme="minorHAnsi" w:hAnsiTheme="minorHAnsi"/>
          <w:szCs w:val="24"/>
        </w:rPr>
        <w:t>.</w:t>
      </w:r>
    </w:p>
    <w:p w:rsidR="00E93F54" w:rsidRPr="00DB4AE1" w:rsidRDefault="00E93F54" w:rsidP="00837BC5">
      <w:pPr>
        <w:pStyle w:val="ListParagraph"/>
        <w:widowControl/>
        <w:numPr>
          <w:ilvl w:val="1"/>
          <w:numId w:val="1"/>
        </w:numPr>
        <w:spacing w:after="120"/>
        <w:rPr>
          <w:rFonts w:asciiTheme="minorHAnsi" w:hAnsiTheme="minorHAnsi"/>
          <w:szCs w:val="24"/>
        </w:rPr>
      </w:pPr>
      <w:r w:rsidRPr="00DB4AE1">
        <w:rPr>
          <w:rFonts w:asciiTheme="minorHAnsi" w:hAnsiTheme="minorHAnsi"/>
          <w:szCs w:val="24"/>
        </w:rPr>
        <w:t xml:space="preserve">The ESC considered that the main issue was the difference in characteristics between subjects in the PREEMPT trial and the Stark </w:t>
      </w:r>
      <w:r w:rsidR="00383A33">
        <w:rPr>
          <w:rFonts w:asciiTheme="minorHAnsi" w:hAnsiTheme="minorHAnsi"/>
          <w:szCs w:val="24"/>
        </w:rPr>
        <w:t xml:space="preserve">2017 </w:t>
      </w:r>
      <w:r w:rsidRPr="00DB4AE1">
        <w:rPr>
          <w:rFonts w:asciiTheme="minorHAnsi" w:hAnsiTheme="minorHAnsi"/>
          <w:szCs w:val="24"/>
        </w:rPr>
        <w:t>study at baseline.</w:t>
      </w:r>
      <w:r w:rsidR="00FA4EDE" w:rsidRPr="00DB4AE1">
        <w:t xml:space="preserve"> </w:t>
      </w:r>
      <w:r w:rsidR="0064083E" w:rsidRPr="00DB4AE1">
        <w:t>As noted above,</w:t>
      </w:r>
      <w:r w:rsidR="00FA4EDE" w:rsidRPr="00DB4AE1">
        <w:t xml:space="preserve"> </w:t>
      </w:r>
      <w:r w:rsidR="0064083E" w:rsidRPr="00DB4AE1">
        <w:t>t</w:t>
      </w:r>
      <w:r w:rsidRPr="00DB4AE1">
        <w:t xml:space="preserve">he PSCR provided </w:t>
      </w:r>
      <w:r w:rsidR="0064083E" w:rsidRPr="00DB4AE1">
        <w:t>S</w:t>
      </w:r>
      <w:r w:rsidRPr="00DB4AE1">
        <w:t xml:space="preserve">ensitivity </w:t>
      </w:r>
      <w:r w:rsidR="0064083E" w:rsidRPr="00DB4AE1">
        <w:t>A</w:t>
      </w:r>
      <w:r w:rsidRPr="00DB4AE1">
        <w:t>nalysis</w:t>
      </w:r>
      <w:r w:rsidR="0064083E" w:rsidRPr="00DB4AE1">
        <w:t xml:space="preserve"> 3</w:t>
      </w:r>
      <w:r w:rsidRPr="00DB4AE1">
        <w:t xml:space="preserve"> whereby the placebo effects in the BSC arm were removed, which considerably reduced the ICER. The ESC considered that this was inappropriate, and that it would be more informative to adjust the values used in the BSC arm to account for differences in baseline between the PREEMPT </w:t>
      </w:r>
      <w:r w:rsidR="00383A33">
        <w:t xml:space="preserve">trials </w:t>
      </w:r>
      <w:r w:rsidRPr="00DB4AE1">
        <w:t xml:space="preserve">and </w:t>
      </w:r>
      <w:r w:rsidR="00383A33">
        <w:t xml:space="preserve">the </w:t>
      </w:r>
      <w:r w:rsidRPr="00DB4AE1">
        <w:t xml:space="preserve">Stark </w:t>
      </w:r>
      <w:r w:rsidR="00383A33">
        <w:t>2017 study</w:t>
      </w:r>
      <w:r w:rsidRPr="00DB4AE1">
        <w:t>, but that the placebo effect observed in PREEMPT should still be applied to the BSC arm in the model, as its exclusion is unjustified, particularly in light of the considerable placebo effect observed</w:t>
      </w:r>
      <w:r w:rsidR="002A1D89" w:rsidRPr="00DB4AE1">
        <w:t>.</w:t>
      </w:r>
    </w:p>
    <w:p w:rsidR="00F47C9D" w:rsidRPr="00B05109" w:rsidRDefault="00E93F54" w:rsidP="00F47C9D">
      <w:pPr>
        <w:pStyle w:val="ListParagraph"/>
        <w:widowControl/>
        <w:numPr>
          <w:ilvl w:val="1"/>
          <w:numId w:val="1"/>
        </w:numPr>
        <w:spacing w:after="120"/>
        <w:rPr>
          <w:rFonts w:asciiTheme="minorHAnsi" w:hAnsiTheme="minorHAnsi"/>
          <w:szCs w:val="24"/>
        </w:rPr>
      </w:pPr>
      <w:r w:rsidRPr="00DB4AE1">
        <w:t xml:space="preserve">The </w:t>
      </w:r>
      <w:r w:rsidR="00B05109">
        <w:t>PBAC concluded</w:t>
      </w:r>
      <w:r w:rsidRPr="00DB4AE1">
        <w:t xml:space="preserve"> that the comparison provided in the current updated model (Stark 2017 data for Botox and PREEMPT data for BSC) did not allow for an accurate estimate of the cost-effectiveness of Botox in the </w:t>
      </w:r>
      <w:r w:rsidR="002A1D89" w:rsidRPr="00DB4AE1">
        <w:t>treatment of chronic migraine.</w:t>
      </w:r>
    </w:p>
    <w:p w:rsidR="00C25D9C" w:rsidRDefault="00A27AC4" w:rsidP="00837BC5">
      <w:pPr>
        <w:pStyle w:val="Heading2"/>
        <w:widowControl/>
        <w:spacing w:after="120"/>
      </w:pPr>
      <w:bookmarkStart w:id="13" w:name="_Toc377658878"/>
      <w:r w:rsidRPr="00F542D3">
        <w:t>Drug cost/patient/</w:t>
      </w:r>
      <w:r w:rsidR="00C25D9C" w:rsidRPr="00F542D3">
        <w:t>course</w:t>
      </w:r>
      <w:bookmarkEnd w:id="13"/>
    </w:p>
    <w:p w:rsidR="00BD1B0C" w:rsidRPr="00DB4AE1" w:rsidRDefault="00094CB3" w:rsidP="00BD1B0C">
      <w:pPr>
        <w:pStyle w:val="ListParagraph"/>
        <w:widowControl/>
        <w:numPr>
          <w:ilvl w:val="1"/>
          <w:numId w:val="1"/>
        </w:numPr>
        <w:spacing w:after="120"/>
      </w:pPr>
      <w:r w:rsidRPr="00DB4AE1">
        <w:t>The cost of Botox therapy per injection is $</w:t>
      </w:r>
      <w:r w:rsidR="001C4612">
        <w:rPr>
          <w:noProof/>
          <w:color w:val="000000"/>
          <w:highlight w:val="black"/>
        </w:rPr>
        <w:t>''''''''''''</w:t>
      </w:r>
      <w:r w:rsidRPr="00DB4AE1">
        <w:t>.</w:t>
      </w:r>
      <w:r w:rsidR="002A1D89" w:rsidRPr="00DB4AE1">
        <w:t xml:space="preserve"> </w:t>
      </w:r>
      <w:r w:rsidR="00842599" w:rsidRPr="00DB4AE1">
        <w:t>This was based on the ex</w:t>
      </w:r>
      <w:r w:rsidR="00D76DF6" w:rsidRPr="00DB4AE1">
        <w:noBreakHyphen/>
      </w:r>
      <w:r w:rsidR="00842599" w:rsidRPr="00DB4AE1">
        <w:t>manufacturer cost of $</w:t>
      </w:r>
      <w:r w:rsidR="001C4612">
        <w:rPr>
          <w:noProof/>
          <w:color w:val="000000"/>
          <w:highlight w:val="black"/>
        </w:rPr>
        <w:t>''''''''''''</w:t>
      </w:r>
      <w:r w:rsidR="00842599" w:rsidRPr="00DB4AE1">
        <w:t xml:space="preserve"> and assumed usage of 1.9 vials per administration plus private hospital mark-up ($</w:t>
      </w:r>
      <w:r w:rsidR="001C4612">
        <w:rPr>
          <w:noProof/>
          <w:color w:val="000000"/>
          <w:highlight w:val="black"/>
        </w:rPr>
        <w:t>'''''</w:t>
      </w:r>
      <w:r w:rsidR="00842599" w:rsidRPr="00DB4AE1">
        <w:t xml:space="preserve"> per via</w:t>
      </w:r>
      <w:r w:rsidR="002A1D89" w:rsidRPr="00DB4AE1">
        <w:t>l) and dispensing fee ($</w:t>
      </w:r>
      <w:r w:rsidR="001C4612">
        <w:rPr>
          <w:noProof/>
          <w:color w:val="000000"/>
          <w:highlight w:val="black"/>
        </w:rPr>
        <w:t>''''''''</w:t>
      </w:r>
      <w:r w:rsidR="002A1D89" w:rsidRPr="00DB4AE1">
        <w:t xml:space="preserve">). </w:t>
      </w:r>
      <w:r w:rsidR="00842599" w:rsidRPr="00DB4AE1">
        <w:t>The cost applied in the July 2013 model ($</w:t>
      </w:r>
      <w:r w:rsidR="001C4612">
        <w:rPr>
          <w:noProof/>
          <w:color w:val="000000"/>
          <w:highlight w:val="black"/>
        </w:rPr>
        <w:t>''''''''''''</w:t>
      </w:r>
      <w:r w:rsidR="00842599" w:rsidRPr="00DB4AE1">
        <w:t>) assumed 2 vials and did not include mark</w:t>
      </w:r>
      <w:r w:rsidR="00E93F54" w:rsidRPr="00DB4AE1">
        <w:noBreakHyphen/>
      </w:r>
      <w:r w:rsidR="00842599" w:rsidRPr="00DB4AE1">
        <w:t xml:space="preserve">ups or dispensing fees as these were not part </w:t>
      </w:r>
      <w:r w:rsidR="00F63B76" w:rsidRPr="00DB4AE1">
        <w:t>of the Botox price at the time.</w:t>
      </w:r>
      <w:r w:rsidR="002A1D89" w:rsidRPr="00DB4AE1">
        <w:t xml:space="preserve"> </w:t>
      </w:r>
      <w:r w:rsidRPr="00DB4AE1">
        <w:t xml:space="preserve">The submission has maintained the same ex-manufacturer cost for Botox as used in the July 2013 resubmission and has not applied the F1 5% statutory </w:t>
      </w:r>
      <w:r w:rsidR="002A1D89" w:rsidRPr="00DB4AE1">
        <w:t xml:space="preserve">price reduction of April 2016. </w:t>
      </w:r>
      <w:r w:rsidRPr="00DB4AE1">
        <w:t>When that price reduction is applied the cost of Botox therapy per injection becomes $</w:t>
      </w:r>
      <w:r w:rsidR="001C4612">
        <w:rPr>
          <w:noProof/>
          <w:color w:val="000000"/>
          <w:highlight w:val="black"/>
        </w:rPr>
        <w:t>''''''''''''''</w:t>
      </w:r>
      <w:r w:rsidRPr="00DB4AE1">
        <w:t>.</w:t>
      </w:r>
    </w:p>
    <w:p w:rsidR="00B60939" w:rsidRPr="005C236E" w:rsidRDefault="00B60939" w:rsidP="005C236E">
      <w:pPr>
        <w:pStyle w:val="Heading2"/>
      </w:pPr>
      <w:bookmarkStart w:id="14" w:name="_Toc377658879"/>
      <w:r w:rsidRPr="005C236E">
        <w:t>Estimated PBS usage &amp; financial implications</w:t>
      </w:r>
      <w:bookmarkEnd w:id="14"/>
    </w:p>
    <w:p w:rsidR="0072416F" w:rsidRPr="00DB4AE1" w:rsidRDefault="00C25D9C" w:rsidP="00837BC5">
      <w:pPr>
        <w:pStyle w:val="ListParagraph"/>
        <w:widowControl/>
        <w:numPr>
          <w:ilvl w:val="1"/>
          <w:numId w:val="1"/>
        </w:numPr>
        <w:spacing w:after="120"/>
      </w:pPr>
      <w:r w:rsidRPr="00DB4AE1">
        <w:t xml:space="preserve">This submission </w:t>
      </w:r>
      <w:r w:rsidR="00B201A4" w:rsidRPr="00DB4AE1">
        <w:t>wa</w:t>
      </w:r>
      <w:r w:rsidR="00EC30DB" w:rsidRPr="00DB4AE1">
        <w:t>s not</w:t>
      </w:r>
      <w:r w:rsidRPr="00DB4AE1">
        <w:t xml:space="preserve"> considered by DUSC.</w:t>
      </w:r>
      <w:r w:rsidR="00EC30DB" w:rsidRPr="00DB4AE1">
        <w:rPr>
          <w:color w:val="0070C0"/>
        </w:rPr>
        <w:t xml:space="preserve"> </w:t>
      </w:r>
      <w:r w:rsidR="00EC30DB" w:rsidRPr="00DB4AE1">
        <w:t>However in June 2017 DUSC released a 24-mont</w:t>
      </w:r>
      <w:r w:rsidR="00A27AC4" w:rsidRPr="00DB4AE1">
        <w:t>h</w:t>
      </w:r>
      <w:r w:rsidR="00EC30DB" w:rsidRPr="00DB4AE1">
        <w:t xml:space="preserve"> predicted versus actual analysis of the use of Botox for chronic migraine.</w:t>
      </w:r>
      <w:r w:rsidR="002A1D89" w:rsidRPr="00DB4AE1">
        <w:t xml:space="preserve"> </w:t>
      </w:r>
      <w:r w:rsidR="004F3A28" w:rsidRPr="00DB4AE1">
        <w:t xml:space="preserve">Key findings were that </w:t>
      </w:r>
      <w:r w:rsidR="00D76DF6" w:rsidRPr="00DB4AE1">
        <w:t xml:space="preserve">the number of </w:t>
      </w:r>
      <w:r w:rsidR="004F3A28" w:rsidRPr="00DB4AE1">
        <w:t>t</w:t>
      </w:r>
      <w:r w:rsidR="00A27AC4" w:rsidRPr="00DB4AE1">
        <w:t xml:space="preserve">reated patients </w:t>
      </w:r>
      <w:r w:rsidR="00D76DF6" w:rsidRPr="00DB4AE1">
        <w:t xml:space="preserve">was </w:t>
      </w:r>
      <w:r w:rsidR="00A27AC4" w:rsidRPr="00DB4AE1">
        <w:t>substantially higher than predicted</w:t>
      </w:r>
      <w:r w:rsidR="00D76DF6" w:rsidRPr="00DB4AE1">
        <w:t xml:space="preserve"> and</w:t>
      </w:r>
      <w:r w:rsidR="00A27AC4" w:rsidRPr="00DB4AE1">
        <w:t xml:space="preserve"> MBS services for administration were substant</w:t>
      </w:r>
      <w:r w:rsidR="002A1D89" w:rsidRPr="00DB4AE1">
        <w:t xml:space="preserve">ially greater than expected. </w:t>
      </w:r>
      <w:r w:rsidR="004F3A28" w:rsidRPr="00DB4AE1">
        <w:t>Analysis by DUSC found that the continuation rate following two Botox treatments was 71.4%</w:t>
      </w:r>
      <w:r w:rsidR="00320F20" w:rsidRPr="00DB4AE1">
        <w:t>,</w:t>
      </w:r>
      <w:r w:rsidR="004F3A28" w:rsidRPr="00DB4AE1">
        <w:t xml:space="preserve"> which was more than double that predicted from trial data (32.9%). </w:t>
      </w:r>
      <w:r w:rsidR="00D5193C" w:rsidRPr="00DB4AE1">
        <w:t>DUSC considered that “the difference between the trial and real</w:t>
      </w:r>
      <w:r w:rsidR="008A6F83">
        <w:t>-</w:t>
      </w:r>
      <w:r w:rsidR="00D5193C" w:rsidRPr="00DB4AE1">
        <w:t>world continuation rates may be the subjective nature of the assessment”</w:t>
      </w:r>
      <w:r w:rsidR="005B1798" w:rsidRPr="00DB4AE1">
        <w:t xml:space="preserve"> (p2</w:t>
      </w:r>
      <w:r w:rsidR="0063548B">
        <w:t>7</w:t>
      </w:r>
      <w:r w:rsidR="005B1798" w:rsidRPr="00DB4AE1">
        <w:t xml:space="preserve"> </w:t>
      </w:r>
      <w:r w:rsidR="00B05109" w:rsidRPr="00B05109">
        <w:t>DUSC report: Botulinum toxin type A for chronic migraine: 24 month predicted versus actual analysis, June 2017</w:t>
      </w:r>
      <w:r w:rsidR="005B1798" w:rsidRPr="00DB4AE1">
        <w:t>)</w:t>
      </w:r>
      <w:r w:rsidR="00D5193C" w:rsidRPr="00DB4AE1">
        <w:t>.</w:t>
      </w:r>
      <w:r w:rsidR="004F3A28" w:rsidRPr="00DB4AE1">
        <w:t xml:space="preserve"> DUSC </w:t>
      </w:r>
      <w:r w:rsidR="00D5193C" w:rsidRPr="00DB4AE1">
        <w:t xml:space="preserve">also </w:t>
      </w:r>
      <w:r w:rsidR="004F3A28" w:rsidRPr="00DB4AE1">
        <w:t>noted that if the sponsor were to request a change to the RSA, a submission</w:t>
      </w:r>
      <w:r w:rsidR="00391F58" w:rsidRPr="00DB4AE1">
        <w:t xml:space="preserve"> to the PBAC would be required.</w:t>
      </w:r>
    </w:p>
    <w:p w:rsidR="004F3A28" w:rsidRPr="001C4612" w:rsidRDefault="004F3A28" w:rsidP="00837BC5">
      <w:pPr>
        <w:pStyle w:val="ListParagraph"/>
        <w:widowControl/>
        <w:numPr>
          <w:ilvl w:val="1"/>
          <w:numId w:val="1"/>
        </w:numPr>
        <w:spacing w:after="120"/>
      </w:pPr>
      <w:r w:rsidRPr="006529E5">
        <w:t xml:space="preserve">The submission requested a revision to the current Botox RSA for chronic migraine, </w:t>
      </w:r>
      <w:r w:rsidRPr="00772860">
        <w:t xml:space="preserve">where there are </w:t>
      </w:r>
      <w:r w:rsidR="00D5193C" w:rsidRPr="00671FCB">
        <w:t xml:space="preserve">currently </w:t>
      </w:r>
      <w:r w:rsidR="001C4612">
        <w:rPr>
          <w:noProof/>
          <w:color w:val="000000"/>
          <w:highlight w:val="black"/>
        </w:rPr>
        <w:t>'''''''' ''''''''''''''''''''''' '''''''''</w:t>
      </w:r>
      <w:r w:rsidR="002A1D89" w:rsidRPr="00671FCB">
        <w:t>.</w:t>
      </w:r>
      <w:r w:rsidR="002A1D89" w:rsidRPr="006529E5">
        <w:t xml:space="preserve"> </w:t>
      </w:r>
      <w:r w:rsidR="001C4612">
        <w:rPr>
          <w:noProof/>
          <w:color w:val="000000"/>
          <w:highlight w:val="black"/>
        </w:rPr>
        <w:t>''''''''''''''''''' '''''''' ''' ''' ''''''''''''' ''''' ''' ''''''' ''''''''''''''''''' ''''''''''''''' '''' ''''''''''''''''''''' '''''''''''''''' ''''''''' ''' '''''''' ''''''''''''''''' '''' '''''''''''''''''''' '''''''''''' '''''''' ''' ''''''''' '''''''''''''''''''''''''''' '''''''''''''' '''''''' ''''''' '''''''''''''''''' '''''''' ''' '''' ''''''''''''' '''''' '''''' '''''''''''''''''' '''''''''''''''' ''''' '''''''''''' '''''''''''''''''''' ''''''''''' '''''''' ''' ''''''''' ''''''''''''''''''' '''' ''''''''''''''''' ''''''''' ''''''''' ''''''''''' ''' ''''''''' ''''''''''''''''''''''''''''' ''' ''''''''''''''' ''''''' '''''''''''''''''''' '''''''''''''''''''' ''' ''''''''''' '''''''' ''''''''' '''''''' ''''''''''''''''''''''''''' '''''''''''''' '''''''''''' '''''' ''''''' '''''''' ''''''''''' '''''' ''' ''''''''''''''''''''' ''''' ''''''''''''''' '''''''''''''''''' '''''' '''''' ''''''' '''''''''' '''''''''''''''''''' '''''' ''''''''''' ''''''''''' '''''''' ''''''' ''''''''''''' ''''''' '''''''''''' '''''''''' '''''''' ''''' ''''''''''''''''' '''''''''''''''''''' ''''''''''''''''' ''''' ''''''''''''' '''''''''''''''''''''' '''''''''''' ''''' ''''''''''''''''' ''''' ''''' '''''' '''''''''''''''''''''' '''''''''' '''''''' '''''''''''''''''''</w:t>
      </w:r>
      <w:r w:rsidR="007D7003" w:rsidRPr="006529E5">
        <w:t xml:space="preserve"> </w:t>
      </w:r>
      <w:r w:rsidR="00F060E6" w:rsidRPr="006529E5">
        <w:t>The PBAC considered that this assumption was not adequately supported by the data provided.</w:t>
      </w:r>
    </w:p>
    <w:p w:rsidR="004F3A28" w:rsidRPr="00DB4AE1" w:rsidRDefault="004F3A28" w:rsidP="00837BC5">
      <w:pPr>
        <w:pStyle w:val="ListParagraph"/>
        <w:widowControl/>
        <w:numPr>
          <w:ilvl w:val="1"/>
          <w:numId w:val="1"/>
        </w:numPr>
        <w:spacing w:after="120"/>
      </w:pPr>
      <w:r w:rsidRPr="00DB4AE1">
        <w:t>To support the revised cap structure the submission formulated revised financial estimates based on the Stark 20</w:t>
      </w:r>
      <w:r w:rsidR="00D95F30" w:rsidRPr="00DB4AE1">
        <w:t xml:space="preserve">17 retrospective chart review. </w:t>
      </w:r>
      <w:r w:rsidRPr="00DB4AE1">
        <w:t xml:space="preserve">However, the submission did not apply these estimates to the requested </w:t>
      </w:r>
      <w:r w:rsidR="001C4612">
        <w:rPr>
          <w:noProof/>
          <w:color w:val="000000"/>
          <w:highlight w:val="black"/>
        </w:rPr>
        <w:t>''''''''''''' '''''' '''''''''''''''''</w:t>
      </w:r>
      <w:r w:rsidRPr="00DB4AE1">
        <w:t xml:space="preserve"> and instead based the </w:t>
      </w:r>
      <w:r w:rsidR="001C4612">
        <w:rPr>
          <w:noProof/>
          <w:color w:val="000000"/>
          <w:highlight w:val="black"/>
        </w:rPr>
        <w:t>''''''''' '''''' ''''''''''</w:t>
      </w:r>
      <w:r w:rsidRPr="00DB4AE1">
        <w:t xml:space="preserve"> on </w:t>
      </w:r>
      <w:r w:rsidR="001C4612">
        <w:rPr>
          <w:noProof/>
          <w:color w:val="000000"/>
          <w:highlight w:val="black"/>
        </w:rPr>
        <w:t>''''' '''''''''''''''''''' ''''' '''''''''''' '''''''''''''' '''''''''''''''''' '''''''''' '''' '''''' '''''''' ''''''''' ''''''''''''''''''''''</w:t>
      </w:r>
      <w:r w:rsidR="00151A0E" w:rsidRPr="00DB4AE1">
        <w:t>. Following are key points regarding the revised estimates presented in the submission, with numbers provided in the following table.</w:t>
      </w:r>
    </w:p>
    <w:p w:rsidR="002B12EF" w:rsidRPr="00DB4AE1" w:rsidRDefault="002B12EF" w:rsidP="00837BC5">
      <w:pPr>
        <w:pStyle w:val="Bulletpoints"/>
        <w:widowControl/>
        <w:spacing w:after="120"/>
        <w:ind w:left="993"/>
      </w:pPr>
      <w:r w:rsidRPr="00DB4AE1">
        <w:rPr>
          <w:u w:val="single"/>
        </w:rPr>
        <w:t>Current estimates</w:t>
      </w:r>
      <w:r w:rsidRPr="00DB4AE1">
        <w:t xml:space="preserve">: The current </w:t>
      </w:r>
      <w:r w:rsidR="00274322" w:rsidRPr="00DB4AE1">
        <w:t xml:space="preserve">financial </w:t>
      </w:r>
      <w:r w:rsidRPr="00DB4AE1">
        <w:t xml:space="preserve">estimates </w:t>
      </w:r>
      <w:r w:rsidR="00D76DF6" w:rsidRPr="00DB4AE1">
        <w:t>we</w:t>
      </w:r>
      <w:r w:rsidRPr="00DB4AE1">
        <w:t xml:space="preserve">re based on diagnosed patients </w:t>
      </w:r>
      <w:r w:rsidR="00D76DF6" w:rsidRPr="00DB4AE1">
        <w:t xml:space="preserve">who have trialled 3 prophylactic agents and are </w:t>
      </w:r>
      <w:r w:rsidRPr="00DB4AE1">
        <w:t>seeing a neu</w:t>
      </w:r>
      <w:r w:rsidR="00D95F30" w:rsidRPr="00DB4AE1">
        <w:t xml:space="preserve">rologist who can inject Botox. </w:t>
      </w:r>
      <w:r w:rsidRPr="00DB4AE1">
        <w:t>A continuation rate of 73.9% from Stark 2017 was applied</w:t>
      </w:r>
      <w:r w:rsidR="00F63B76" w:rsidRPr="00DB4AE1">
        <w:t>,</w:t>
      </w:r>
      <w:r w:rsidRPr="00DB4AE1">
        <w:t xml:space="preserve"> </w:t>
      </w:r>
      <w:r w:rsidR="00F63B76" w:rsidRPr="00DB4AE1">
        <w:t>and the</w:t>
      </w:r>
      <w:r w:rsidRPr="00DB4AE1">
        <w:t xml:space="preserve"> </w:t>
      </w:r>
      <w:r w:rsidR="000B74F3" w:rsidRPr="00DB4AE1">
        <w:t>number of injections per year per patient was</w:t>
      </w:r>
      <w:r w:rsidRPr="00DB4AE1">
        <w:t xml:space="preserve"> sourced from Stark 2017.</w:t>
      </w:r>
    </w:p>
    <w:p w:rsidR="002B12EF" w:rsidRPr="001C4612" w:rsidRDefault="002B12EF" w:rsidP="00837BC5">
      <w:pPr>
        <w:pStyle w:val="Bulletpoints"/>
        <w:widowControl/>
        <w:spacing w:after="120"/>
        <w:ind w:left="993"/>
      </w:pPr>
      <w:r w:rsidRPr="00B43FF2">
        <w:rPr>
          <w:u w:val="single"/>
        </w:rPr>
        <w:t>Requested new cap</w:t>
      </w:r>
      <w:r w:rsidR="00D95F30" w:rsidRPr="00B43FF2">
        <w:t xml:space="preserve">: </w:t>
      </w:r>
      <w:r w:rsidR="001C4612">
        <w:rPr>
          <w:noProof/>
          <w:color w:val="000000"/>
          <w:highlight w:val="black"/>
        </w:rPr>
        <w:t>'''''''''''''''''''''' ''''''''' ''''''' '''''''' '''''''''' '''''''''''''''''''''''' ''''''''''''''''' ''''''''' ''''''' ''''''''''''''''' ''''''' ''' '''''''''' ''''' '''''' ''' ''''''''' '''''''''''''''' ''''''''''''''''''' '''''''' '''''''' '''''''''' ''''''''''''''''''''''''''' '''''''''''''''''''' '''''''''' '''''''''' '''''' ''''''''''''''''''' '''''''''''''''' '''''''' ''''''''' '''''''''''''' '' ''''''''''''''''''''''''' '''''''''''' ''''''' '''''' ''''''''''' ''' ''''''''''''''''''''''' '''''''' ''''''' ''''''''''' ''''''''''' ''''''''''''' ''''''''''' '''''''' ''''''' '''''''''''''''''''' '''''''''''' ''''''''' ''''''''' '''' ''''''''''' '''''' ''''''''''''''' '''' '''''''''''''''' '''''' '''''''' '''''' ''''''''''''''' '''''''''''' ''''' ''' '''''''' '''''''' ''' ''''''''' '''''''''''''''' ''''''''''''''''</w:t>
      </w:r>
    </w:p>
    <w:p w:rsidR="002B12EF" w:rsidRPr="001C4612" w:rsidRDefault="002B12EF" w:rsidP="00837BC5">
      <w:pPr>
        <w:pStyle w:val="Bulletpoints"/>
        <w:widowControl/>
        <w:spacing w:after="120"/>
        <w:ind w:left="993"/>
      </w:pPr>
      <w:r w:rsidRPr="00DB4AE1">
        <w:rPr>
          <w:u w:val="single"/>
        </w:rPr>
        <w:t>Rebate above the cap</w:t>
      </w:r>
      <w:r w:rsidR="00D95F30" w:rsidRPr="00DB4AE1">
        <w:t xml:space="preserve">: </w:t>
      </w:r>
      <w:r w:rsidR="001C4612">
        <w:rPr>
          <w:noProof/>
          <w:color w:val="000000"/>
          <w:highlight w:val="black"/>
        </w:rPr>
        <w:t>'''''''''' '''' ''''''' ''''''' '''''''''''' ''''''''''''''''''''' '''''''' '''''''' ''' ''''''''''' ''''''' '''''''''''''' '''''''''</w:t>
      </w:r>
    </w:p>
    <w:p w:rsidR="002B12EF" w:rsidRPr="00DB4AE1" w:rsidRDefault="001C4612" w:rsidP="00837BC5">
      <w:pPr>
        <w:pStyle w:val="Bulletpoints"/>
        <w:widowControl/>
        <w:spacing w:after="120"/>
        <w:ind w:left="993"/>
      </w:pPr>
      <w:r>
        <w:rPr>
          <w:noProof/>
          <w:color w:val="000000"/>
          <w:highlight w:val="black"/>
          <w:u w:val="single"/>
        </w:rPr>
        <w:t>'''''''' '''''''' '''</w:t>
      </w:r>
      <w:r w:rsidR="00D95F30" w:rsidRPr="00671FCB">
        <w:t>:</w:t>
      </w:r>
      <w:r w:rsidR="00D95F30" w:rsidRPr="00DB4AE1">
        <w:t xml:space="preserve"> </w:t>
      </w:r>
      <w:r>
        <w:rPr>
          <w:noProof/>
          <w:color w:val="000000"/>
          <w:highlight w:val="black"/>
        </w:rPr>
        <w:t>''''''' '''''''''''''''''''' '''''''''''''' ''''''' ''''''' ''' ''''''''''''' ''''''''' '''''' ''''''''''''' '''''''' '''' ''''''''''''''''''' ''''''' '''''''''''''''''' '''''''''''''' ''''' '''''''''''' '''''''</w:t>
      </w:r>
      <w:r w:rsidR="002B12EF" w:rsidRPr="00DB4AE1">
        <w:t>.</w:t>
      </w:r>
      <w:r w:rsidR="00274322" w:rsidRPr="00DB4AE1">
        <w:t xml:space="preserve"> This is inappropriate as the net financial impact of a change to a listing should be based on a comparison of actual utilisation in the current situation to the expected utilisation in the proposed scenario, not cap numbers</w:t>
      </w:r>
      <w:r w:rsidR="00252D6F" w:rsidRPr="00DB4AE1">
        <w:t xml:space="preserve">. Given the rebate over </w:t>
      </w:r>
      <w:r>
        <w:rPr>
          <w:noProof/>
          <w:color w:val="000000"/>
          <w:highlight w:val="black"/>
        </w:rPr>
        <w:t>'''''''' '' ''' '''''''' ''''''''''</w:t>
      </w:r>
      <w:r w:rsidR="00252D6F" w:rsidRPr="00DB4AE1">
        <w:t>, use beyond this cap still incurs a cost to government</w:t>
      </w:r>
      <w:r w:rsidR="00274322" w:rsidRPr="00DB4AE1">
        <w:t>.</w:t>
      </w:r>
    </w:p>
    <w:p w:rsidR="002B12EF" w:rsidRPr="00DB4AE1" w:rsidRDefault="002B12EF" w:rsidP="00837BC5">
      <w:pPr>
        <w:keepNext/>
        <w:widowControl/>
        <w:rPr>
          <w:rFonts w:ascii="Arial Narrow" w:hAnsi="Arial Narrow"/>
          <w:b/>
          <w:sz w:val="20"/>
          <w:szCs w:val="20"/>
        </w:rPr>
      </w:pPr>
      <w:r w:rsidRPr="00DB4AE1">
        <w:rPr>
          <w:rFonts w:ascii="Arial Narrow" w:hAnsi="Arial Narrow"/>
          <w:b/>
          <w:sz w:val="20"/>
          <w:szCs w:val="20"/>
        </w:rPr>
        <w:t xml:space="preserve">Table </w:t>
      </w:r>
      <w:r w:rsidR="00441489" w:rsidRPr="00DB4AE1">
        <w:rPr>
          <w:rFonts w:ascii="Arial Narrow" w:hAnsi="Arial Narrow"/>
          <w:b/>
          <w:sz w:val="20"/>
          <w:szCs w:val="20"/>
        </w:rPr>
        <w:t>12</w:t>
      </w:r>
      <w:r w:rsidR="00D95F30" w:rsidRPr="00DB4AE1">
        <w:rPr>
          <w:rFonts w:ascii="Arial Narrow" w:hAnsi="Arial Narrow"/>
          <w:b/>
          <w:sz w:val="20"/>
          <w:szCs w:val="20"/>
        </w:rPr>
        <w:t xml:space="preserve">: </w:t>
      </w:r>
      <w:r w:rsidRPr="00DB4AE1">
        <w:rPr>
          <w:rFonts w:ascii="Arial Narrow" w:hAnsi="Arial Narrow"/>
          <w:b/>
          <w:sz w:val="20"/>
          <w:szCs w:val="20"/>
        </w:rPr>
        <w:t>Current estimates and proposed new cap</w:t>
      </w:r>
    </w:p>
    <w:tbl>
      <w:tblPr>
        <w:tblStyle w:val="TableGrid"/>
        <w:tblW w:w="0" w:type="auto"/>
        <w:tblLayout w:type="fixed"/>
        <w:tblLook w:val="04A0" w:firstRow="1" w:lastRow="0" w:firstColumn="1" w:lastColumn="0" w:noHBand="0" w:noVBand="1"/>
      </w:tblPr>
      <w:tblGrid>
        <w:gridCol w:w="2235"/>
        <w:gridCol w:w="1275"/>
        <w:gridCol w:w="1134"/>
        <w:gridCol w:w="1134"/>
        <w:gridCol w:w="1134"/>
        <w:gridCol w:w="1134"/>
        <w:gridCol w:w="1197"/>
      </w:tblGrid>
      <w:tr w:rsidR="002B12EF" w:rsidRPr="00DB4AE1" w:rsidTr="00D95F30">
        <w:trPr>
          <w:tblHeader/>
        </w:trPr>
        <w:tc>
          <w:tcPr>
            <w:tcW w:w="2235" w:type="dxa"/>
          </w:tcPr>
          <w:p w:rsidR="002B12EF" w:rsidRPr="00DB4AE1" w:rsidRDefault="002B12EF" w:rsidP="00837BC5">
            <w:pPr>
              <w:pStyle w:val="Table-bodytextLEFT"/>
              <w:keepNext/>
              <w:widowControl/>
              <w:rPr>
                <w:rFonts w:ascii="Arial Narrow" w:hAnsi="Arial Narrow"/>
                <w:szCs w:val="20"/>
              </w:rPr>
            </w:pPr>
          </w:p>
        </w:tc>
        <w:tc>
          <w:tcPr>
            <w:tcW w:w="1275" w:type="dxa"/>
            <w:vAlign w:val="bottom"/>
          </w:tcPr>
          <w:p w:rsidR="002B12EF" w:rsidRPr="00DB4AE1" w:rsidRDefault="002B12EF" w:rsidP="00837BC5">
            <w:pPr>
              <w:keepNext/>
              <w:keepLines/>
              <w:widowControl/>
              <w:jc w:val="center"/>
              <w:rPr>
                <w:rFonts w:ascii="Arial Narrow" w:hAnsi="Arial Narrow"/>
                <w:b/>
                <w:sz w:val="20"/>
                <w:szCs w:val="20"/>
              </w:rPr>
            </w:pPr>
            <w:r w:rsidRPr="00DB4AE1">
              <w:rPr>
                <w:rFonts w:ascii="Arial Narrow" w:hAnsi="Arial Narrow"/>
                <w:b/>
                <w:sz w:val="20"/>
                <w:szCs w:val="20"/>
              </w:rPr>
              <w:t>Year 1</w:t>
            </w:r>
          </w:p>
          <w:p w:rsidR="002B12EF" w:rsidRPr="00DB4AE1" w:rsidRDefault="002B12EF" w:rsidP="00837BC5">
            <w:pPr>
              <w:pStyle w:val="Table-bodytext"/>
              <w:keepNext/>
              <w:widowControl/>
              <w:rPr>
                <w:rFonts w:ascii="Arial Narrow" w:hAnsi="Arial Narrow"/>
                <w:b/>
                <w:szCs w:val="20"/>
              </w:rPr>
            </w:pPr>
            <w:r w:rsidRPr="00DB4AE1">
              <w:rPr>
                <w:rFonts w:ascii="Arial Narrow" w:hAnsi="Arial Narrow"/>
                <w:b/>
                <w:szCs w:val="20"/>
              </w:rPr>
              <w:t>2018</w:t>
            </w:r>
          </w:p>
        </w:tc>
        <w:tc>
          <w:tcPr>
            <w:tcW w:w="1134" w:type="dxa"/>
            <w:vAlign w:val="bottom"/>
          </w:tcPr>
          <w:p w:rsidR="002B12EF" w:rsidRPr="00DB4AE1" w:rsidRDefault="002B12EF" w:rsidP="00837BC5">
            <w:pPr>
              <w:keepNext/>
              <w:keepLines/>
              <w:widowControl/>
              <w:jc w:val="center"/>
              <w:rPr>
                <w:rFonts w:ascii="Arial Narrow" w:hAnsi="Arial Narrow"/>
                <w:b/>
                <w:sz w:val="20"/>
                <w:szCs w:val="20"/>
              </w:rPr>
            </w:pPr>
            <w:r w:rsidRPr="00DB4AE1">
              <w:rPr>
                <w:rFonts w:ascii="Arial Narrow" w:hAnsi="Arial Narrow"/>
                <w:b/>
                <w:sz w:val="20"/>
                <w:szCs w:val="20"/>
              </w:rPr>
              <w:t>Year 2</w:t>
            </w:r>
          </w:p>
          <w:p w:rsidR="002B12EF" w:rsidRPr="00DB4AE1" w:rsidRDefault="002B12EF" w:rsidP="00837BC5">
            <w:pPr>
              <w:pStyle w:val="Table-bodytext"/>
              <w:keepNext/>
              <w:widowControl/>
              <w:rPr>
                <w:rFonts w:ascii="Arial Narrow" w:hAnsi="Arial Narrow"/>
                <w:b/>
                <w:szCs w:val="20"/>
              </w:rPr>
            </w:pPr>
            <w:r w:rsidRPr="00DB4AE1">
              <w:rPr>
                <w:rFonts w:ascii="Arial Narrow" w:hAnsi="Arial Narrow"/>
                <w:b/>
                <w:szCs w:val="20"/>
              </w:rPr>
              <w:t>2019</w:t>
            </w:r>
          </w:p>
        </w:tc>
        <w:tc>
          <w:tcPr>
            <w:tcW w:w="1134" w:type="dxa"/>
            <w:vAlign w:val="bottom"/>
          </w:tcPr>
          <w:p w:rsidR="002B12EF" w:rsidRPr="00DB4AE1" w:rsidRDefault="002B12EF" w:rsidP="00837BC5">
            <w:pPr>
              <w:keepNext/>
              <w:keepLines/>
              <w:widowControl/>
              <w:jc w:val="center"/>
              <w:rPr>
                <w:rFonts w:ascii="Arial Narrow" w:hAnsi="Arial Narrow"/>
                <w:b/>
                <w:sz w:val="20"/>
                <w:szCs w:val="20"/>
              </w:rPr>
            </w:pPr>
            <w:r w:rsidRPr="00DB4AE1">
              <w:rPr>
                <w:rFonts w:ascii="Arial Narrow" w:hAnsi="Arial Narrow"/>
                <w:b/>
                <w:sz w:val="20"/>
                <w:szCs w:val="20"/>
              </w:rPr>
              <w:t>Year 3</w:t>
            </w:r>
          </w:p>
          <w:p w:rsidR="002B12EF" w:rsidRPr="00DB4AE1" w:rsidRDefault="002B12EF" w:rsidP="00837BC5">
            <w:pPr>
              <w:pStyle w:val="Table-bodytext"/>
              <w:keepNext/>
              <w:widowControl/>
              <w:rPr>
                <w:rFonts w:ascii="Arial Narrow" w:hAnsi="Arial Narrow"/>
                <w:b/>
                <w:szCs w:val="20"/>
              </w:rPr>
            </w:pPr>
            <w:r w:rsidRPr="00DB4AE1">
              <w:rPr>
                <w:rFonts w:ascii="Arial Narrow" w:hAnsi="Arial Narrow"/>
                <w:b/>
                <w:szCs w:val="20"/>
              </w:rPr>
              <w:t>2020</w:t>
            </w:r>
          </w:p>
        </w:tc>
        <w:tc>
          <w:tcPr>
            <w:tcW w:w="1134" w:type="dxa"/>
            <w:vAlign w:val="bottom"/>
          </w:tcPr>
          <w:p w:rsidR="002B12EF" w:rsidRPr="00DB4AE1" w:rsidRDefault="002B12EF" w:rsidP="00837BC5">
            <w:pPr>
              <w:keepNext/>
              <w:keepLines/>
              <w:widowControl/>
              <w:jc w:val="center"/>
              <w:rPr>
                <w:rFonts w:ascii="Arial Narrow" w:hAnsi="Arial Narrow"/>
                <w:b/>
                <w:sz w:val="20"/>
                <w:szCs w:val="20"/>
              </w:rPr>
            </w:pPr>
            <w:r w:rsidRPr="00DB4AE1">
              <w:rPr>
                <w:rFonts w:ascii="Arial Narrow" w:hAnsi="Arial Narrow"/>
                <w:b/>
                <w:sz w:val="20"/>
                <w:szCs w:val="20"/>
              </w:rPr>
              <w:t>Year 4</w:t>
            </w:r>
          </w:p>
          <w:p w:rsidR="002B12EF" w:rsidRPr="00DB4AE1" w:rsidRDefault="002B12EF" w:rsidP="00837BC5">
            <w:pPr>
              <w:pStyle w:val="Table-bodytext"/>
              <w:keepNext/>
              <w:widowControl/>
              <w:rPr>
                <w:rFonts w:ascii="Arial Narrow" w:hAnsi="Arial Narrow"/>
                <w:b/>
                <w:szCs w:val="20"/>
              </w:rPr>
            </w:pPr>
            <w:r w:rsidRPr="00DB4AE1">
              <w:rPr>
                <w:rFonts w:ascii="Arial Narrow" w:hAnsi="Arial Narrow"/>
                <w:b/>
                <w:szCs w:val="20"/>
              </w:rPr>
              <w:t>2021</w:t>
            </w:r>
          </w:p>
        </w:tc>
        <w:tc>
          <w:tcPr>
            <w:tcW w:w="1134" w:type="dxa"/>
            <w:vAlign w:val="bottom"/>
          </w:tcPr>
          <w:p w:rsidR="002B12EF" w:rsidRPr="00DB4AE1" w:rsidRDefault="002B12EF" w:rsidP="00837BC5">
            <w:pPr>
              <w:keepNext/>
              <w:keepLines/>
              <w:widowControl/>
              <w:jc w:val="center"/>
              <w:rPr>
                <w:rFonts w:ascii="Arial Narrow" w:hAnsi="Arial Narrow"/>
                <w:b/>
                <w:sz w:val="20"/>
                <w:szCs w:val="20"/>
              </w:rPr>
            </w:pPr>
            <w:r w:rsidRPr="00DB4AE1">
              <w:rPr>
                <w:rFonts w:ascii="Arial Narrow" w:hAnsi="Arial Narrow"/>
                <w:b/>
                <w:sz w:val="20"/>
                <w:szCs w:val="20"/>
              </w:rPr>
              <w:t>Year 5</w:t>
            </w:r>
          </w:p>
          <w:p w:rsidR="002B12EF" w:rsidRPr="00DB4AE1" w:rsidRDefault="002B12EF" w:rsidP="00837BC5">
            <w:pPr>
              <w:pStyle w:val="Table-bodytext"/>
              <w:keepNext/>
              <w:widowControl/>
              <w:rPr>
                <w:rFonts w:ascii="Arial Narrow" w:hAnsi="Arial Narrow"/>
                <w:b/>
                <w:szCs w:val="20"/>
              </w:rPr>
            </w:pPr>
            <w:r w:rsidRPr="00DB4AE1">
              <w:rPr>
                <w:rFonts w:ascii="Arial Narrow" w:hAnsi="Arial Narrow"/>
                <w:b/>
                <w:szCs w:val="20"/>
              </w:rPr>
              <w:t>2022</w:t>
            </w:r>
          </w:p>
        </w:tc>
        <w:tc>
          <w:tcPr>
            <w:tcW w:w="1197" w:type="dxa"/>
            <w:vAlign w:val="bottom"/>
          </w:tcPr>
          <w:p w:rsidR="002B12EF" w:rsidRPr="00DB4AE1" w:rsidRDefault="002B12EF" w:rsidP="00837BC5">
            <w:pPr>
              <w:keepNext/>
              <w:keepLines/>
              <w:widowControl/>
              <w:jc w:val="center"/>
              <w:rPr>
                <w:rFonts w:ascii="Arial Narrow" w:hAnsi="Arial Narrow"/>
                <w:b/>
                <w:sz w:val="20"/>
                <w:szCs w:val="20"/>
              </w:rPr>
            </w:pPr>
            <w:r w:rsidRPr="00DB4AE1">
              <w:rPr>
                <w:rFonts w:ascii="Arial Narrow" w:hAnsi="Arial Narrow"/>
                <w:b/>
                <w:sz w:val="20"/>
                <w:szCs w:val="20"/>
              </w:rPr>
              <w:t>Year 6</w:t>
            </w:r>
          </w:p>
          <w:p w:rsidR="002B12EF" w:rsidRPr="00DB4AE1" w:rsidRDefault="002B12EF" w:rsidP="00837BC5">
            <w:pPr>
              <w:pStyle w:val="Table-bodytext"/>
              <w:keepNext/>
              <w:widowControl/>
              <w:rPr>
                <w:rFonts w:ascii="Arial Narrow" w:hAnsi="Arial Narrow"/>
                <w:b/>
                <w:szCs w:val="20"/>
              </w:rPr>
            </w:pPr>
            <w:r w:rsidRPr="00DB4AE1">
              <w:rPr>
                <w:rFonts w:ascii="Arial Narrow" w:hAnsi="Arial Narrow"/>
                <w:b/>
                <w:szCs w:val="20"/>
              </w:rPr>
              <w:t>2023</w:t>
            </w:r>
          </w:p>
        </w:tc>
      </w:tr>
      <w:tr w:rsidR="002B12EF" w:rsidRPr="00DB4AE1" w:rsidTr="008313EB">
        <w:tc>
          <w:tcPr>
            <w:tcW w:w="9243" w:type="dxa"/>
            <w:gridSpan w:val="7"/>
          </w:tcPr>
          <w:p w:rsidR="002B12EF" w:rsidRPr="00DB4AE1" w:rsidRDefault="002B12EF" w:rsidP="00837BC5">
            <w:pPr>
              <w:pStyle w:val="Table-bodytextLEFT"/>
              <w:keepNext/>
              <w:widowControl/>
              <w:rPr>
                <w:rFonts w:ascii="Arial Narrow" w:hAnsi="Arial Narrow"/>
                <w:b/>
                <w:szCs w:val="20"/>
              </w:rPr>
            </w:pPr>
            <w:r w:rsidRPr="00DB4AE1">
              <w:rPr>
                <w:rFonts w:ascii="Arial Narrow" w:hAnsi="Arial Narrow"/>
                <w:b/>
                <w:szCs w:val="20"/>
              </w:rPr>
              <w:t>Current estimates based on Stark 2017</w:t>
            </w:r>
          </w:p>
        </w:tc>
      </w:tr>
      <w:tr w:rsidR="002B12EF" w:rsidRPr="00DB4AE1" w:rsidTr="00D95F30">
        <w:tc>
          <w:tcPr>
            <w:tcW w:w="2235" w:type="dxa"/>
          </w:tcPr>
          <w:p w:rsidR="002B12EF" w:rsidRPr="00DB4AE1" w:rsidRDefault="002B12EF" w:rsidP="00837BC5">
            <w:pPr>
              <w:pStyle w:val="Table-bodytextLEFT"/>
              <w:keepNext/>
              <w:widowControl/>
              <w:rPr>
                <w:rFonts w:ascii="Arial Narrow" w:hAnsi="Arial Narrow"/>
                <w:szCs w:val="20"/>
              </w:rPr>
            </w:pPr>
            <w:r w:rsidRPr="00DB4AE1">
              <w:rPr>
                <w:rFonts w:ascii="Arial Narrow" w:hAnsi="Arial Narrow"/>
                <w:szCs w:val="20"/>
              </w:rPr>
              <w:t>Eligible population</w:t>
            </w:r>
          </w:p>
        </w:tc>
        <w:tc>
          <w:tcPr>
            <w:tcW w:w="1275" w:type="dxa"/>
            <w:vAlign w:val="center"/>
          </w:tcPr>
          <w:p w:rsidR="002B12EF" w:rsidRPr="001C4612" w:rsidRDefault="001C4612" w:rsidP="00837BC5">
            <w:pPr>
              <w:pStyle w:val="Table-bodytext"/>
              <w:keepNext/>
              <w:widowControl/>
              <w:rPr>
                <w:rFonts w:ascii="Arial Narrow" w:hAnsi="Arial Narrow"/>
                <w:szCs w:val="20"/>
                <w:highlight w:val="black"/>
              </w:rPr>
            </w:pPr>
            <w:r>
              <w:rPr>
                <w:rFonts w:ascii="Arial Narrow" w:hAnsi="Arial Narrow"/>
                <w:noProof/>
                <w:color w:val="000000"/>
                <w:szCs w:val="20"/>
                <w:highlight w:val="black"/>
              </w:rPr>
              <w:t>''''''''''''''''</w:t>
            </w:r>
          </w:p>
        </w:tc>
        <w:tc>
          <w:tcPr>
            <w:tcW w:w="1134" w:type="dxa"/>
            <w:vAlign w:val="center"/>
          </w:tcPr>
          <w:p w:rsidR="002B12EF" w:rsidRPr="001C4612" w:rsidRDefault="001C4612" w:rsidP="00837BC5">
            <w:pPr>
              <w:pStyle w:val="Table-bodytext"/>
              <w:keepNext/>
              <w:widowControl/>
              <w:rPr>
                <w:rFonts w:ascii="Arial Narrow" w:hAnsi="Arial Narrow"/>
                <w:szCs w:val="20"/>
                <w:highlight w:val="black"/>
              </w:rPr>
            </w:pPr>
            <w:r>
              <w:rPr>
                <w:rFonts w:ascii="Arial Narrow" w:hAnsi="Arial Narrow"/>
                <w:noProof/>
                <w:color w:val="000000"/>
                <w:szCs w:val="20"/>
                <w:highlight w:val="black"/>
              </w:rPr>
              <w:t>''''''''''''''''''</w:t>
            </w:r>
          </w:p>
        </w:tc>
        <w:tc>
          <w:tcPr>
            <w:tcW w:w="1134" w:type="dxa"/>
            <w:vAlign w:val="center"/>
          </w:tcPr>
          <w:p w:rsidR="002B12EF" w:rsidRPr="001C4612" w:rsidRDefault="001C4612" w:rsidP="00837BC5">
            <w:pPr>
              <w:pStyle w:val="Table-bodytext"/>
              <w:keepNext/>
              <w:widowControl/>
              <w:rPr>
                <w:rFonts w:ascii="Arial Narrow" w:hAnsi="Arial Narrow"/>
                <w:szCs w:val="20"/>
                <w:highlight w:val="black"/>
              </w:rPr>
            </w:pPr>
            <w:r>
              <w:rPr>
                <w:rFonts w:ascii="Arial Narrow" w:hAnsi="Arial Narrow"/>
                <w:noProof/>
                <w:color w:val="000000"/>
                <w:szCs w:val="20"/>
                <w:highlight w:val="black"/>
              </w:rPr>
              <w:t>''''''''''''''''</w:t>
            </w:r>
          </w:p>
        </w:tc>
        <w:tc>
          <w:tcPr>
            <w:tcW w:w="1134" w:type="dxa"/>
            <w:vAlign w:val="center"/>
          </w:tcPr>
          <w:p w:rsidR="002B12EF" w:rsidRPr="001C4612" w:rsidRDefault="001C4612" w:rsidP="00837BC5">
            <w:pPr>
              <w:pStyle w:val="Table-bodytext"/>
              <w:keepNext/>
              <w:widowControl/>
              <w:rPr>
                <w:rFonts w:ascii="Arial Narrow" w:hAnsi="Arial Narrow"/>
                <w:szCs w:val="20"/>
                <w:highlight w:val="black"/>
              </w:rPr>
            </w:pPr>
            <w:r>
              <w:rPr>
                <w:rFonts w:ascii="Arial Narrow" w:hAnsi="Arial Narrow"/>
                <w:noProof/>
                <w:color w:val="000000"/>
                <w:szCs w:val="20"/>
                <w:highlight w:val="black"/>
              </w:rPr>
              <w:t>''''''''''''''''</w:t>
            </w:r>
          </w:p>
        </w:tc>
        <w:tc>
          <w:tcPr>
            <w:tcW w:w="1134" w:type="dxa"/>
            <w:vAlign w:val="center"/>
          </w:tcPr>
          <w:p w:rsidR="002B12EF" w:rsidRPr="001C4612" w:rsidRDefault="001C4612" w:rsidP="00837BC5">
            <w:pPr>
              <w:pStyle w:val="Table-bodytext"/>
              <w:keepNext/>
              <w:widowControl/>
              <w:rPr>
                <w:rFonts w:ascii="Arial Narrow" w:hAnsi="Arial Narrow"/>
                <w:szCs w:val="20"/>
                <w:highlight w:val="black"/>
              </w:rPr>
            </w:pPr>
            <w:r>
              <w:rPr>
                <w:rFonts w:ascii="Arial Narrow" w:hAnsi="Arial Narrow"/>
                <w:noProof/>
                <w:color w:val="000000"/>
                <w:szCs w:val="20"/>
                <w:highlight w:val="black"/>
              </w:rPr>
              <w:t>'''''''''''''''</w:t>
            </w:r>
          </w:p>
        </w:tc>
        <w:tc>
          <w:tcPr>
            <w:tcW w:w="1197" w:type="dxa"/>
            <w:vAlign w:val="center"/>
          </w:tcPr>
          <w:p w:rsidR="002B12EF" w:rsidRPr="001C4612" w:rsidRDefault="001C4612" w:rsidP="00837BC5">
            <w:pPr>
              <w:pStyle w:val="Table-bodytext"/>
              <w:keepNext/>
              <w:widowControl/>
              <w:rPr>
                <w:rFonts w:ascii="Arial Narrow" w:hAnsi="Arial Narrow"/>
                <w:szCs w:val="20"/>
                <w:highlight w:val="black"/>
              </w:rPr>
            </w:pPr>
            <w:r>
              <w:rPr>
                <w:rFonts w:ascii="Arial Narrow" w:hAnsi="Arial Narrow"/>
                <w:noProof/>
                <w:color w:val="000000"/>
                <w:szCs w:val="20"/>
                <w:highlight w:val="black"/>
              </w:rPr>
              <w:t>''''''''''''''''</w:t>
            </w:r>
          </w:p>
        </w:tc>
      </w:tr>
      <w:tr w:rsidR="002B12EF" w:rsidRPr="00DB4AE1" w:rsidTr="00D95F30">
        <w:tc>
          <w:tcPr>
            <w:tcW w:w="2235" w:type="dxa"/>
          </w:tcPr>
          <w:p w:rsidR="002B12EF" w:rsidRPr="00DB4AE1" w:rsidRDefault="002B12EF" w:rsidP="00837BC5">
            <w:pPr>
              <w:pStyle w:val="Table-bodytextLEFT"/>
              <w:keepNext/>
              <w:widowControl/>
              <w:rPr>
                <w:rFonts w:ascii="Arial Narrow" w:hAnsi="Arial Narrow"/>
                <w:szCs w:val="20"/>
              </w:rPr>
            </w:pPr>
            <w:r w:rsidRPr="00DB4AE1">
              <w:rPr>
                <w:rFonts w:ascii="Arial Narrow" w:hAnsi="Arial Narrow"/>
                <w:szCs w:val="20"/>
              </w:rPr>
              <w:t>Market uptake</w:t>
            </w:r>
          </w:p>
        </w:tc>
        <w:tc>
          <w:tcPr>
            <w:tcW w:w="1275" w:type="dxa"/>
            <w:vAlign w:val="center"/>
          </w:tcPr>
          <w:p w:rsidR="002B12EF" w:rsidRPr="00DB4AE1" w:rsidRDefault="002B12EF" w:rsidP="00837BC5">
            <w:pPr>
              <w:pStyle w:val="Table-bodytext"/>
              <w:keepNext/>
              <w:widowControl/>
              <w:rPr>
                <w:rFonts w:ascii="Arial Narrow" w:hAnsi="Arial Narrow"/>
                <w:szCs w:val="20"/>
              </w:rPr>
            </w:pPr>
            <w:r w:rsidRPr="00DB4AE1">
              <w:rPr>
                <w:rFonts w:ascii="Arial Narrow" w:hAnsi="Arial Narrow"/>
                <w:szCs w:val="20"/>
              </w:rPr>
              <w:t>48.7%</w:t>
            </w:r>
          </w:p>
        </w:tc>
        <w:tc>
          <w:tcPr>
            <w:tcW w:w="1134" w:type="dxa"/>
            <w:vAlign w:val="center"/>
          </w:tcPr>
          <w:p w:rsidR="002B12EF" w:rsidRPr="00DB4AE1" w:rsidRDefault="002B12EF" w:rsidP="00837BC5">
            <w:pPr>
              <w:pStyle w:val="Table-bodytext"/>
              <w:keepNext/>
              <w:widowControl/>
              <w:rPr>
                <w:rFonts w:ascii="Arial Narrow" w:hAnsi="Arial Narrow"/>
                <w:szCs w:val="20"/>
              </w:rPr>
            </w:pPr>
            <w:r w:rsidRPr="00DB4AE1">
              <w:rPr>
                <w:rFonts w:ascii="Arial Narrow" w:hAnsi="Arial Narrow"/>
                <w:szCs w:val="20"/>
              </w:rPr>
              <w:t>51.1%</w:t>
            </w:r>
          </w:p>
        </w:tc>
        <w:tc>
          <w:tcPr>
            <w:tcW w:w="1134" w:type="dxa"/>
            <w:vAlign w:val="center"/>
          </w:tcPr>
          <w:p w:rsidR="002B12EF" w:rsidRPr="00DB4AE1" w:rsidRDefault="002B12EF" w:rsidP="00837BC5">
            <w:pPr>
              <w:pStyle w:val="Table-bodytext"/>
              <w:keepNext/>
              <w:widowControl/>
              <w:rPr>
                <w:rFonts w:ascii="Arial Narrow" w:hAnsi="Arial Narrow"/>
                <w:szCs w:val="20"/>
              </w:rPr>
            </w:pPr>
            <w:r w:rsidRPr="00DB4AE1">
              <w:rPr>
                <w:rFonts w:ascii="Arial Narrow" w:hAnsi="Arial Narrow"/>
                <w:szCs w:val="20"/>
              </w:rPr>
              <w:t>54.8%</w:t>
            </w:r>
          </w:p>
        </w:tc>
        <w:tc>
          <w:tcPr>
            <w:tcW w:w="1134" w:type="dxa"/>
            <w:vAlign w:val="center"/>
          </w:tcPr>
          <w:p w:rsidR="002B12EF" w:rsidRPr="00DB4AE1" w:rsidRDefault="002B12EF" w:rsidP="00837BC5">
            <w:pPr>
              <w:pStyle w:val="Table-bodytext"/>
              <w:keepNext/>
              <w:widowControl/>
              <w:rPr>
                <w:rFonts w:ascii="Arial Narrow" w:hAnsi="Arial Narrow"/>
                <w:szCs w:val="20"/>
              </w:rPr>
            </w:pPr>
            <w:r w:rsidRPr="00DB4AE1">
              <w:rPr>
                <w:rFonts w:ascii="Arial Narrow" w:hAnsi="Arial Narrow"/>
                <w:szCs w:val="20"/>
              </w:rPr>
              <w:t>58.0%</w:t>
            </w:r>
          </w:p>
        </w:tc>
        <w:tc>
          <w:tcPr>
            <w:tcW w:w="1134" w:type="dxa"/>
            <w:vAlign w:val="center"/>
          </w:tcPr>
          <w:p w:rsidR="002B12EF" w:rsidRPr="00DB4AE1" w:rsidRDefault="002B12EF" w:rsidP="00837BC5">
            <w:pPr>
              <w:pStyle w:val="Table-bodytext"/>
              <w:keepNext/>
              <w:widowControl/>
              <w:rPr>
                <w:rFonts w:ascii="Arial Narrow" w:hAnsi="Arial Narrow"/>
                <w:szCs w:val="20"/>
              </w:rPr>
            </w:pPr>
            <w:r w:rsidRPr="00DB4AE1">
              <w:rPr>
                <w:rFonts w:ascii="Arial Narrow" w:hAnsi="Arial Narrow"/>
                <w:szCs w:val="20"/>
              </w:rPr>
              <w:t>60.8%</w:t>
            </w:r>
          </w:p>
        </w:tc>
        <w:tc>
          <w:tcPr>
            <w:tcW w:w="1197" w:type="dxa"/>
            <w:vAlign w:val="center"/>
          </w:tcPr>
          <w:p w:rsidR="002B12EF" w:rsidRPr="00DB4AE1" w:rsidRDefault="002B12EF" w:rsidP="00837BC5">
            <w:pPr>
              <w:pStyle w:val="Table-bodytext"/>
              <w:keepNext/>
              <w:widowControl/>
              <w:rPr>
                <w:rFonts w:ascii="Arial Narrow" w:hAnsi="Arial Narrow"/>
                <w:szCs w:val="20"/>
              </w:rPr>
            </w:pPr>
            <w:r w:rsidRPr="00DB4AE1">
              <w:rPr>
                <w:rFonts w:ascii="Arial Narrow" w:hAnsi="Arial Narrow"/>
                <w:szCs w:val="20"/>
              </w:rPr>
              <w:t>63.2%</w:t>
            </w:r>
          </w:p>
        </w:tc>
      </w:tr>
      <w:tr w:rsidR="002B12EF" w:rsidRPr="00DB4AE1" w:rsidTr="00D95F30">
        <w:tc>
          <w:tcPr>
            <w:tcW w:w="2235" w:type="dxa"/>
          </w:tcPr>
          <w:p w:rsidR="002B12EF" w:rsidRPr="00DB4AE1" w:rsidRDefault="002B12EF" w:rsidP="00837BC5">
            <w:pPr>
              <w:pStyle w:val="Table-bodytextLEFT"/>
              <w:keepNext/>
              <w:widowControl/>
              <w:rPr>
                <w:rFonts w:ascii="Arial Narrow" w:hAnsi="Arial Narrow"/>
                <w:szCs w:val="20"/>
              </w:rPr>
            </w:pPr>
            <w:r w:rsidRPr="00DB4AE1">
              <w:rPr>
                <w:rFonts w:ascii="Arial Narrow" w:hAnsi="Arial Narrow"/>
                <w:szCs w:val="20"/>
              </w:rPr>
              <w:t>Patients initiating treatment</w:t>
            </w:r>
          </w:p>
        </w:tc>
        <w:tc>
          <w:tcPr>
            <w:tcW w:w="1275" w:type="dxa"/>
            <w:vAlign w:val="center"/>
          </w:tcPr>
          <w:p w:rsidR="002B12EF" w:rsidRPr="001C4612" w:rsidRDefault="001C4612" w:rsidP="00837BC5">
            <w:pPr>
              <w:pStyle w:val="Table-bodytext"/>
              <w:keepNext/>
              <w:widowControl/>
              <w:rPr>
                <w:rFonts w:ascii="Arial Narrow" w:hAnsi="Arial Narrow"/>
                <w:szCs w:val="20"/>
                <w:highlight w:val="black"/>
              </w:rPr>
            </w:pPr>
            <w:r>
              <w:rPr>
                <w:rFonts w:ascii="Arial Narrow" w:hAnsi="Arial Narrow" w:cs="Calibri"/>
                <w:noProof/>
                <w:color w:val="000000"/>
                <w:szCs w:val="20"/>
                <w:highlight w:val="black"/>
              </w:rPr>
              <w:t>'''''''''''''</w:t>
            </w:r>
          </w:p>
        </w:tc>
        <w:tc>
          <w:tcPr>
            <w:tcW w:w="1134" w:type="dxa"/>
            <w:vAlign w:val="center"/>
          </w:tcPr>
          <w:p w:rsidR="002B12EF" w:rsidRPr="001C4612" w:rsidRDefault="001C4612" w:rsidP="00837BC5">
            <w:pPr>
              <w:pStyle w:val="Table-bodytext"/>
              <w:keepNext/>
              <w:widowControl/>
              <w:rPr>
                <w:rFonts w:ascii="Arial Narrow" w:hAnsi="Arial Narrow"/>
                <w:szCs w:val="20"/>
                <w:highlight w:val="black"/>
              </w:rPr>
            </w:pPr>
            <w:r>
              <w:rPr>
                <w:rFonts w:ascii="Arial Narrow" w:hAnsi="Arial Narrow" w:cs="Calibri"/>
                <w:noProof/>
                <w:color w:val="000000"/>
                <w:szCs w:val="20"/>
                <w:highlight w:val="black"/>
              </w:rPr>
              <w:t>''''''''''''</w:t>
            </w:r>
          </w:p>
        </w:tc>
        <w:tc>
          <w:tcPr>
            <w:tcW w:w="1134" w:type="dxa"/>
            <w:vAlign w:val="center"/>
          </w:tcPr>
          <w:p w:rsidR="002B12EF" w:rsidRPr="001C4612" w:rsidRDefault="001C4612" w:rsidP="00837BC5">
            <w:pPr>
              <w:pStyle w:val="Table-bodytext"/>
              <w:keepNext/>
              <w:widowControl/>
              <w:rPr>
                <w:rFonts w:ascii="Arial Narrow" w:hAnsi="Arial Narrow"/>
                <w:szCs w:val="20"/>
                <w:highlight w:val="black"/>
              </w:rPr>
            </w:pPr>
            <w:r>
              <w:rPr>
                <w:rFonts w:ascii="Arial Narrow" w:hAnsi="Arial Narrow" w:cs="Calibri"/>
                <w:noProof/>
                <w:color w:val="000000"/>
                <w:szCs w:val="20"/>
                <w:highlight w:val="black"/>
              </w:rPr>
              <w:t>''''''''''''''</w:t>
            </w:r>
          </w:p>
        </w:tc>
        <w:tc>
          <w:tcPr>
            <w:tcW w:w="1134" w:type="dxa"/>
            <w:vAlign w:val="center"/>
          </w:tcPr>
          <w:p w:rsidR="002B12EF" w:rsidRPr="001C4612" w:rsidRDefault="001C4612" w:rsidP="00837BC5">
            <w:pPr>
              <w:pStyle w:val="Table-bodytext"/>
              <w:keepNext/>
              <w:widowControl/>
              <w:rPr>
                <w:rFonts w:ascii="Arial Narrow" w:hAnsi="Arial Narrow"/>
                <w:szCs w:val="20"/>
                <w:highlight w:val="black"/>
              </w:rPr>
            </w:pPr>
            <w:r>
              <w:rPr>
                <w:rFonts w:ascii="Arial Narrow" w:hAnsi="Arial Narrow" w:cs="Calibri"/>
                <w:noProof/>
                <w:color w:val="000000"/>
                <w:szCs w:val="20"/>
                <w:highlight w:val="black"/>
              </w:rPr>
              <w:t>''''''''''''''</w:t>
            </w:r>
          </w:p>
        </w:tc>
        <w:tc>
          <w:tcPr>
            <w:tcW w:w="1134" w:type="dxa"/>
            <w:vAlign w:val="center"/>
          </w:tcPr>
          <w:p w:rsidR="002B12EF" w:rsidRPr="001C4612" w:rsidRDefault="001C4612" w:rsidP="00837BC5">
            <w:pPr>
              <w:pStyle w:val="Table-bodytext"/>
              <w:keepNext/>
              <w:widowControl/>
              <w:rPr>
                <w:rFonts w:ascii="Arial Narrow" w:hAnsi="Arial Narrow"/>
                <w:szCs w:val="20"/>
                <w:highlight w:val="black"/>
              </w:rPr>
            </w:pPr>
            <w:r>
              <w:rPr>
                <w:rFonts w:ascii="Arial Narrow" w:hAnsi="Arial Narrow" w:cs="Calibri"/>
                <w:noProof/>
                <w:color w:val="000000"/>
                <w:szCs w:val="20"/>
                <w:highlight w:val="black"/>
              </w:rPr>
              <w:t>'''''''''''''</w:t>
            </w:r>
          </w:p>
        </w:tc>
        <w:tc>
          <w:tcPr>
            <w:tcW w:w="1197" w:type="dxa"/>
            <w:vAlign w:val="center"/>
          </w:tcPr>
          <w:p w:rsidR="002B12EF" w:rsidRPr="001C4612" w:rsidRDefault="001C4612" w:rsidP="00837BC5">
            <w:pPr>
              <w:pStyle w:val="Table-bodytext"/>
              <w:keepNext/>
              <w:widowControl/>
              <w:rPr>
                <w:rFonts w:ascii="Arial Narrow" w:hAnsi="Arial Narrow"/>
                <w:szCs w:val="20"/>
                <w:highlight w:val="black"/>
              </w:rPr>
            </w:pPr>
            <w:r>
              <w:rPr>
                <w:rFonts w:ascii="Arial Narrow" w:hAnsi="Arial Narrow" w:cs="Calibri"/>
                <w:noProof/>
                <w:color w:val="000000"/>
                <w:szCs w:val="20"/>
                <w:highlight w:val="black"/>
              </w:rPr>
              <w:t>'''''''''''''</w:t>
            </w:r>
          </w:p>
        </w:tc>
      </w:tr>
      <w:tr w:rsidR="002B12EF" w:rsidRPr="00DB4AE1" w:rsidTr="00D95F30">
        <w:tc>
          <w:tcPr>
            <w:tcW w:w="2235" w:type="dxa"/>
            <w:tcBorders>
              <w:bottom w:val="single" w:sz="4" w:space="0" w:color="auto"/>
            </w:tcBorders>
          </w:tcPr>
          <w:p w:rsidR="002B12EF" w:rsidRPr="00DB4AE1" w:rsidRDefault="002B12EF" w:rsidP="00837BC5">
            <w:pPr>
              <w:pStyle w:val="Table-bodytextLEFT"/>
              <w:keepNext/>
              <w:widowControl/>
              <w:rPr>
                <w:rFonts w:ascii="Arial Narrow" w:hAnsi="Arial Narrow"/>
                <w:szCs w:val="20"/>
              </w:rPr>
            </w:pPr>
            <w:r w:rsidRPr="00DB4AE1">
              <w:rPr>
                <w:rFonts w:ascii="Arial Narrow" w:hAnsi="Arial Narrow"/>
                <w:szCs w:val="20"/>
              </w:rPr>
              <w:t>Total vial numbers</w:t>
            </w:r>
          </w:p>
        </w:tc>
        <w:tc>
          <w:tcPr>
            <w:tcW w:w="1275" w:type="dxa"/>
            <w:tcBorders>
              <w:bottom w:val="single" w:sz="4" w:space="0" w:color="auto"/>
            </w:tcBorders>
            <w:vAlign w:val="center"/>
          </w:tcPr>
          <w:p w:rsidR="002B12EF" w:rsidRPr="001C4612" w:rsidRDefault="001C4612" w:rsidP="00837BC5">
            <w:pPr>
              <w:pStyle w:val="Table-bodytext"/>
              <w:keepNext/>
              <w:widowControl/>
              <w:rPr>
                <w:rFonts w:ascii="Arial Narrow" w:hAnsi="Arial Narrow" w:cs="Calibri"/>
                <w:szCs w:val="20"/>
                <w:highlight w:val="black"/>
              </w:rPr>
            </w:pPr>
            <w:r>
              <w:rPr>
                <w:rFonts w:ascii="Arial Narrow" w:hAnsi="Arial Narrow" w:cs="Calibri"/>
                <w:noProof/>
                <w:color w:val="000000"/>
                <w:szCs w:val="20"/>
                <w:highlight w:val="black"/>
              </w:rPr>
              <w:t>''''''''''''''''</w:t>
            </w:r>
          </w:p>
        </w:tc>
        <w:tc>
          <w:tcPr>
            <w:tcW w:w="1134" w:type="dxa"/>
            <w:tcBorders>
              <w:bottom w:val="single" w:sz="4" w:space="0" w:color="auto"/>
            </w:tcBorders>
            <w:vAlign w:val="center"/>
          </w:tcPr>
          <w:p w:rsidR="002B12EF" w:rsidRPr="001C4612" w:rsidRDefault="001C4612" w:rsidP="00837BC5">
            <w:pPr>
              <w:pStyle w:val="Table-bodytext"/>
              <w:keepNext/>
              <w:widowControl/>
              <w:rPr>
                <w:rFonts w:ascii="Arial Narrow" w:hAnsi="Arial Narrow" w:cs="Calibri"/>
                <w:szCs w:val="20"/>
                <w:highlight w:val="black"/>
              </w:rPr>
            </w:pPr>
            <w:r>
              <w:rPr>
                <w:rFonts w:ascii="Arial Narrow" w:hAnsi="Arial Narrow" w:cs="Calibri"/>
                <w:noProof/>
                <w:color w:val="000000"/>
                <w:szCs w:val="20"/>
                <w:highlight w:val="black"/>
              </w:rPr>
              <w:t>''''''''''''''''''</w:t>
            </w:r>
          </w:p>
        </w:tc>
        <w:tc>
          <w:tcPr>
            <w:tcW w:w="1134" w:type="dxa"/>
            <w:tcBorders>
              <w:bottom w:val="single" w:sz="4" w:space="0" w:color="auto"/>
            </w:tcBorders>
            <w:vAlign w:val="center"/>
          </w:tcPr>
          <w:p w:rsidR="002B12EF" w:rsidRPr="001C4612" w:rsidRDefault="001C4612" w:rsidP="00837BC5">
            <w:pPr>
              <w:pStyle w:val="Table-bodytext"/>
              <w:keepNext/>
              <w:widowControl/>
              <w:rPr>
                <w:rFonts w:ascii="Arial Narrow" w:hAnsi="Arial Narrow" w:cs="Calibri"/>
                <w:szCs w:val="20"/>
                <w:highlight w:val="black"/>
              </w:rPr>
            </w:pPr>
            <w:r>
              <w:rPr>
                <w:rFonts w:ascii="Arial Narrow" w:hAnsi="Arial Narrow" w:cs="Calibri"/>
                <w:noProof/>
                <w:color w:val="000000"/>
                <w:szCs w:val="20"/>
                <w:highlight w:val="black"/>
              </w:rPr>
              <w:t>'''''''''''''''''''</w:t>
            </w:r>
          </w:p>
        </w:tc>
        <w:tc>
          <w:tcPr>
            <w:tcW w:w="1134" w:type="dxa"/>
            <w:tcBorders>
              <w:bottom w:val="single" w:sz="4" w:space="0" w:color="auto"/>
            </w:tcBorders>
            <w:vAlign w:val="center"/>
          </w:tcPr>
          <w:p w:rsidR="002B12EF" w:rsidRPr="001C4612" w:rsidRDefault="001C4612" w:rsidP="00837BC5">
            <w:pPr>
              <w:pStyle w:val="Table-bodytext"/>
              <w:keepNext/>
              <w:widowControl/>
              <w:rPr>
                <w:rFonts w:ascii="Arial Narrow" w:hAnsi="Arial Narrow" w:cs="Calibri"/>
                <w:szCs w:val="20"/>
                <w:highlight w:val="black"/>
              </w:rPr>
            </w:pPr>
            <w:r>
              <w:rPr>
                <w:rFonts w:ascii="Arial Narrow" w:hAnsi="Arial Narrow" w:cs="Calibri"/>
                <w:noProof/>
                <w:color w:val="000000"/>
                <w:szCs w:val="20"/>
                <w:highlight w:val="black"/>
              </w:rPr>
              <w:t>'''''''''''''''''''''</w:t>
            </w:r>
          </w:p>
        </w:tc>
        <w:tc>
          <w:tcPr>
            <w:tcW w:w="1134" w:type="dxa"/>
            <w:tcBorders>
              <w:bottom w:val="single" w:sz="4" w:space="0" w:color="auto"/>
            </w:tcBorders>
            <w:vAlign w:val="center"/>
          </w:tcPr>
          <w:p w:rsidR="002B12EF" w:rsidRPr="001C4612" w:rsidRDefault="001C4612" w:rsidP="00837BC5">
            <w:pPr>
              <w:pStyle w:val="Table-bodytext"/>
              <w:keepNext/>
              <w:widowControl/>
              <w:rPr>
                <w:rFonts w:ascii="Arial Narrow" w:hAnsi="Arial Narrow" w:cs="Calibri"/>
                <w:szCs w:val="20"/>
                <w:highlight w:val="black"/>
              </w:rPr>
            </w:pPr>
            <w:r>
              <w:rPr>
                <w:rFonts w:ascii="Arial Narrow" w:hAnsi="Arial Narrow" w:cs="Calibri"/>
                <w:noProof/>
                <w:color w:val="000000"/>
                <w:szCs w:val="20"/>
                <w:highlight w:val="black"/>
              </w:rPr>
              <w:t>'''''''''''''''''</w:t>
            </w:r>
          </w:p>
        </w:tc>
        <w:tc>
          <w:tcPr>
            <w:tcW w:w="1197" w:type="dxa"/>
            <w:tcBorders>
              <w:bottom w:val="single" w:sz="4" w:space="0" w:color="auto"/>
            </w:tcBorders>
            <w:vAlign w:val="center"/>
          </w:tcPr>
          <w:p w:rsidR="002B12EF" w:rsidRPr="001C4612" w:rsidRDefault="001C4612" w:rsidP="00837BC5">
            <w:pPr>
              <w:pStyle w:val="Table-bodytext"/>
              <w:keepNext/>
              <w:widowControl/>
              <w:rPr>
                <w:rFonts w:ascii="Arial Narrow" w:hAnsi="Arial Narrow" w:cs="Calibri"/>
                <w:szCs w:val="20"/>
                <w:highlight w:val="black"/>
              </w:rPr>
            </w:pPr>
            <w:r>
              <w:rPr>
                <w:rFonts w:ascii="Arial Narrow" w:hAnsi="Arial Narrow" w:cs="Calibri"/>
                <w:noProof/>
                <w:color w:val="000000"/>
                <w:szCs w:val="20"/>
                <w:highlight w:val="black"/>
              </w:rPr>
              <w:t>''''''''''''''''''''</w:t>
            </w:r>
          </w:p>
        </w:tc>
      </w:tr>
      <w:tr w:rsidR="002B12EF" w:rsidRPr="00DB4AE1" w:rsidTr="00D95F30">
        <w:tc>
          <w:tcPr>
            <w:tcW w:w="2235" w:type="dxa"/>
            <w:tcBorders>
              <w:bottom w:val="double" w:sz="4" w:space="0" w:color="auto"/>
            </w:tcBorders>
            <w:hideMark/>
          </w:tcPr>
          <w:p w:rsidR="002B12EF" w:rsidRPr="00DB4AE1" w:rsidRDefault="002B12EF" w:rsidP="00837BC5">
            <w:pPr>
              <w:pStyle w:val="Table-bodytextLEFT"/>
              <w:keepNext/>
              <w:widowControl/>
              <w:rPr>
                <w:rFonts w:ascii="Arial Narrow" w:hAnsi="Arial Narrow"/>
                <w:szCs w:val="20"/>
              </w:rPr>
            </w:pPr>
            <w:r w:rsidRPr="00DB4AE1">
              <w:rPr>
                <w:rFonts w:ascii="Arial Narrow" w:hAnsi="Arial Narrow"/>
                <w:szCs w:val="20"/>
              </w:rPr>
              <w:t>Net cost to PBS/RPBS</w:t>
            </w:r>
          </w:p>
        </w:tc>
        <w:tc>
          <w:tcPr>
            <w:tcW w:w="1275" w:type="dxa"/>
            <w:tcBorders>
              <w:bottom w:val="double" w:sz="4" w:space="0" w:color="auto"/>
            </w:tcBorders>
            <w:vAlign w:val="center"/>
          </w:tcPr>
          <w:p w:rsidR="002B12EF" w:rsidRPr="00DB4AE1" w:rsidRDefault="002B12EF" w:rsidP="00837BC5">
            <w:pPr>
              <w:pStyle w:val="Table-bodytext"/>
              <w:keepNext/>
              <w:widowControl/>
              <w:rPr>
                <w:rFonts w:ascii="Arial Narrow" w:hAnsi="Arial Narrow"/>
                <w:szCs w:val="20"/>
              </w:rPr>
            </w:pPr>
            <w:r w:rsidRPr="00DB4AE1">
              <w:rPr>
                <w:rFonts w:ascii="Arial Narrow" w:hAnsi="Arial Narrow" w:cs="Calibri"/>
                <w:szCs w:val="20"/>
              </w:rPr>
              <w:t>$</w:t>
            </w:r>
            <w:r w:rsidR="001C4612">
              <w:rPr>
                <w:rFonts w:ascii="Arial Narrow" w:hAnsi="Arial Narrow" w:cs="Calibri"/>
                <w:noProof/>
                <w:color w:val="000000"/>
                <w:szCs w:val="20"/>
                <w:highlight w:val="black"/>
              </w:rPr>
              <w:t>'''''''''''''''''''''''''''''</w:t>
            </w:r>
          </w:p>
        </w:tc>
        <w:tc>
          <w:tcPr>
            <w:tcW w:w="1134" w:type="dxa"/>
            <w:tcBorders>
              <w:bottom w:val="double" w:sz="4" w:space="0" w:color="auto"/>
            </w:tcBorders>
            <w:vAlign w:val="center"/>
          </w:tcPr>
          <w:p w:rsidR="002B12EF" w:rsidRPr="00DB4AE1" w:rsidRDefault="002B12EF" w:rsidP="00837BC5">
            <w:pPr>
              <w:pStyle w:val="Table-bodytext"/>
              <w:keepNext/>
              <w:widowControl/>
              <w:rPr>
                <w:rFonts w:ascii="Arial Narrow" w:hAnsi="Arial Narrow"/>
                <w:szCs w:val="20"/>
              </w:rPr>
            </w:pPr>
            <w:r w:rsidRPr="00DB4AE1">
              <w:rPr>
                <w:rFonts w:ascii="Arial Narrow" w:hAnsi="Arial Narrow" w:cs="Calibri"/>
                <w:szCs w:val="20"/>
              </w:rPr>
              <w:t>$</w:t>
            </w:r>
            <w:r w:rsidR="001C4612">
              <w:rPr>
                <w:rFonts w:ascii="Arial Narrow" w:hAnsi="Arial Narrow" w:cs="Calibri"/>
                <w:noProof/>
                <w:color w:val="000000"/>
                <w:szCs w:val="20"/>
                <w:highlight w:val="black"/>
              </w:rPr>
              <w:t>'''''''''''''''''''''''''</w:t>
            </w:r>
          </w:p>
        </w:tc>
        <w:tc>
          <w:tcPr>
            <w:tcW w:w="1134" w:type="dxa"/>
            <w:tcBorders>
              <w:bottom w:val="double" w:sz="4" w:space="0" w:color="auto"/>
            </w:tcBorders>
            <w:vAlign w:val="center"/>
          </w:tcPr>
          <w:p w:rsidR="002B12EF" w:rsidRPr="00DB4AE1" w:rsidRDefault="002B12EF" w:rsidP="00837BC5">
            <w:pPr>
              <w:pStyle w:val="Table-bodytext"/>
              <w:keepNext/>
              <w:widowControl/>
              <w:rPr>
                <w:rFonts w:ascii="Arial Narrow" w:hAnsi="Arial Narrow"/>
                <w:szCs w:val="20"/>
              </w:rPr>
            </w:pPr>
            <w:r w:rsidRPr="00DB4AE1">
              <w:rPr>
                <w:rFonts w:ascii="Arial Narrow" w:hAnsi="Arial Narrow" w:cs="Calibri"/>
                <w:szCs w:val="20"/>
              </w:rPr>
              <w:t>$</w:t>
            </w:r>
            <w:r w:rsidR="001C4612">
              <w:rPr>
                <w:rFonts w:ascii="Arial Narrow" w:hAnsi="Arial Narrow" w:cs="Calibri"/>
                <w:noProof/>
                <w:color w:val="000000"/>
                <w:szCs w:val="20"/>
                <w:highlight w:val="black"/>
              </w:rPr>
              <w:t>''''''''''''''''''''''''''</w:t>
            </w:r>
          </w:p>
        </w:tc>
        <w:tc>
          <w:tcPr>
            <w:tcW w:w="1134" w:type="dxa"/>
            <w:tcBorders>
              <w:bottom w:val="double" w:sz="4" w:space="0" w:color="auto"/>
            </w:tcBorders>
            <w:vAlign w:val="center"/>
          </w:tcPr>
          <w:p w:rsidR="002B12EF" w:rsidRPr="00DB4AE1" w:rsidRDefault="002B12EF" w:rsidP="00837BC5">
            <w:pPr>
              <w:pStyle w:val="Table-bodytext"/>
              <w:keepNext/>
              <w:widowControl/>
              <w:rPr>
                <w:rFonts w:ascii="Arial Narrow" w:hAnsi="Arial Narrow"/>
                <w:szCs w:val="20"/>
              </w:rPr>
            </w:pPr>
            <w:r w:rsidRPr="00DB4AE1">
              <w:rPr>
                <w:rFonts w:ascii="Arial Narrow" w:hAnsi="Arial Narrow" w:cs="Calibri"/>
                <w:szCs w:val="20"/>
              </w:rPr>
              <w:t>$</w:t>
            </w:r>
            <w:r w:rsidR="001C4612">
              <w:rPr>
                <w:rFonts w:ascii="Arial Narrow" w:hAnsi="Arial Narrow" w:cs="Calibri"/>
                <w:noProof/>
                <w:color w:val="000000"/>
                <w:szCs w:val="20"/>
                <w:highlight w:val="black"/>
              </w:rPr>
              <w:t>'''''''''''''''''''''''</w:t>
            </w:r>
          </w:p>
        </w:tc>
        <w:tc>
          <w:tcPr>
            <w:tcW w:w="1134" w:type="dxa"/>
            <w:tcBorders>
              <w:bottom w:val="double" w:sz="4" w:space="0" w:color="auto"/>
            </w:tcBorders>
            <w:vAlign w:val="center"/>
          </w:tcPr>
          <w:p w:rsidR="002B12EF" w:rsidRPr="00DB4AE1" w:rsidRDefault="002B12EF" w:rsidP="00837BC5">
            <w:pPr>
              <w:pStyle w:val="Table-bodytext"/>
              <w:keepNext/>
              <w:widowControl/>
              <w:rPr>
                <w:rFonts w:ascii="Arial Narrow" w:hAnsi="Arial Narrow"/>
                <w:szCs w:val="20"/>
              </w:rPr>
            </w:pPr>
            <w:r w:rsidRPr="00DB4AE1">
              <w:rPr>
                <w:rFonts w:ascii="Arial Narrow" w:hAnsi="Arial Narrow" w:cs="Calibri"/>
                <w:szCs w:val="20"/>
              </w:rPr>
              <w:t>$</w:t>
            </w:r>
            <w:r w:rsidR="001C4612">
              <w:rPr>
                <w:rFonts w:ascii="Arial Narrow" w:hAnsi="Arial Narrow" w:cs="Calibri"/>
                <w:noProof/>
                <w:color w:val="000000"/>
                <w:szCs w:val="20"/>
                <w:highlight w:val="black"/>
              </w:rPr>
              <w:t>''''''''''''''''''''''''''</w:t>
            </w:r>
          </w:p>
        </w:tc>
        <w:tc>
          <w:tcPr>
            <w:tcW w:w="1197" w:type="dxa"/>
            <w:tcBorders>
              <w:bottom w:val="double" w:sz="4" w:space="0" w:color="auto"/>
            </w:tcBorders>
            <w:vAlign w:val="center"/>
          </w:tcPr>
          <w:p w:rsidR="002B12EF" w:rsidRPr="00DB4AE1" w:rsidRDefault="002B12EF" w:rsidP="00837BC5">
            <w:pPr>
              <w:pStyle w:val="Table-bodytext"/>
              <w:keepNext/>
              <w:widowControl/>
              <w:rPr>
                <w:rFonts w:ascii="Arial Narrow" w:hAnsi="Arial Narrow"/>
                <w:szCs w:val="20"/>
              </w:rPr>
            </w:pPr>
            <w:r w:rsidRPr="00DB4AE1">
              <w:rPr>
                <w:rFonts w:ascii="Arial Narrow" w:hAnsi="Arial Narrow" w:cs="Calibri"/>
                <w:szCs w:val="20"/>
              </w:rPr>
              <w:t>$</w:t>
            </w:r>
            <w:r w:rsidR="001C4612">
              <w:rPr>
                <w:rFonts w:ascii="Arial Narrow" w:hAnsi="Arial Narrow" w:cs="Calibri"/>
                <w:noProof/>
                <w:color w:val="000000"/>
                <w:szCs w:val="20"/>
                <w:highlight w:val="black"/>
              </w:rPr>
              <w:t>'''''''''''''''''''''''''''</w:t>
            </w:r>
          </w:p>
        </w:tc>
      </w:tr>
      <w:tr w:rsidR="002B12EF" w:rsidRPr="00DB4AE1" w:rsidTr="008313EB">
        <w:tc>
          <w:tcPr>
            <w:tcW w:w="9243" w:type="dxa"/>
            <w:gridSpan w:val="7"/>
            <w:tcBorders>
              <w:top w:val="double" w:sz="4" w:space="0" w:color="auto"/>
            </w:tcBorders>
          </w:tcPr>
          <w:p w:rsidR="002B12EF" w:rsidRPr="00DB4AE1" w:rsidRDefault="002B12EF" w:rsidP="00837BC5">
            <w:pPr>
              <w:pStyle w:val="Table-bodytextLEFT"/>
              <w:keepNext/>
              <w:widowControl/>
              <w:rPr>
                <w:rFonts w:ascii="Arial Narrow" w:hAnsi="Arial Narrow"/>
                <w:b/>
                <w:szCs w:val="20"/>
              </w:rPr>
            </w:pPr>
            <w:r w:rsidRPr="00DB4AE1">
              <w:rPr>
                <w:rFonts w:ascii="Arial Narrow" w:hAnsi="Arial Narrow"/>
                <w:b/>
                <w:szCs w:val="20"/>
              </w:rPr>
              <w:t>July 2013 resubmission estimates – extended to 2023</w:t>
            </w:r>
          </w:p>
        </w:tc>
      </w:tr>
      <w:tr w:rsidR="002B12EF" w:rsidRPr="00DB4AE1" w:rsidTr="00D95F30">
        <w:tc>
          <w:tcPr>
            <w:tcW w:w="2235" w:type="dxa"/>
          </w:tcPr>
          <w:p w:rsidR="002B12EF" w:rsidRPr="00DB4AE1" w:rsidRDefault="002B12EF" w:rsidP="00837BC5">
            <w:pPr>
              <w:pStyle w:val="Table-bodytextLEFT"/>
              <w:keepNext/>
              <w:widowControl/>
              <w:rPr>
                <w:rFonts w:ascii="Arial Narrow" w:hAnsi="Arial Narrow"/>
                <w:szCs w:val="20"/>
              </w:rPr>
            </w:pPr>
            <w:r w:rsidRPr="00DB4AE1">
              <w:rPr>
                <w:rFonts w:ascii="Arial Narrow" w:hAnsi="Arial Narrow"/>
                <w:szCs w:val="20"/>
              </w:rPr>
              <w:t>Eligible population</w:t>
            </w:r>
          </w:p>
        </w:tc>
        <w:tc>
          <w:tcPr>
            <w:tcW w:w="1275" w:type="dxa"/>
            <w:vAlign w:val="center"/>
          </w:tcPr>
          <w:p w:rsidR="002B12EF" w:rsidRPr="001C4612" w:rsidRDefault="001C4612" w:rsidP="00837BC5">
            <w:pPr>
              <w:pStyle w:val="Table-bodytext"/>
              <w:keepNext/>
              <w:widowControl/>
              <w:rPr>
                <w:rFonts w:ascii="Arial Narrow" w:hAnsi="Arial Narrow"/>
                <w:szCs w:val="20"/>
                <w:highlight w:val="black"/>
              </w:rPr>
            </w:pPr>
            <w:r>
              <w:rPr>
                <w:rFonts w:ascii="Arial Narrow" w:hAnsi="Arial Narrow"/>
                <w:noProof/>
                <w:color w:val="000000"/>
                <w:szCs w:val="20"/>
                <w:highlight w:val="black"/>
              </w:rPr>
              <w:t>''''''''''''''''''</w:t>
            </w:r>
          </w:p>
        </w:tc>
        <w:tc>
          <w:tcPr>
            <w:tcW w:w="1134" w:type="dxa"/>
            <w:vAlign w:val="center"/>
          </w:tcPr>
          <w:p w:rsidR="002B12EF" w:rsidRPr="001C4612" w:rsidRDefault="001C4612" w:rsidP="00837BC5">
            <w:pPr>
              <w:pStyle w:val="Table-bodytext"/>
              <w:keepNext/>
              <w:widowControl/>
              <w:rPr>
                <w:rFonts w:ascii="Arial Narrow" w:hAnsi="Arial Narrow"/>
                <w:szCs w:val="20"/>
                <w:highlight w:val="black"/>
              </w:rPr>
            </w:pPr>
            <w:r>
              <w:rPr>
                <w:rFonts w:ascii="Arial Narrow" w:hAnsi="Arial Narrow"/>
                <w:noProof/>
                <w:color w:val="000000"/>
                <w:szCs w:val="20"/>
                <w:highlight w:val="black"/>
              </w:rPr>
              <w:t>''''''''''''''''</w:t>
            </w:r>
          </w:p>
        </w:tc>
        <w:tc>
          <w:tcPr>
            <w:tcW w:w="1134" w:type="dxa"/>
            <w:vAlign w:val="center"/>
          </w:tcPr>
          <w:p w:rsidR="002B12EF" w:rsidRPr="001C4612" w:rsidRDefault="001C4612" w:rsidP="00837BC5">
            <w:pPr>
              <w:pStyle w:val="Table-bodytext"/>
              <w:keepNext/>
              <w:widowControl/>
              <w:rPr>
                <w:rFonts w:ascii="Arial Narrow" w:hAnsi="Arial Narrow"/>
                <w:szCs w:val="20"/>
                <w:highlight w:val="black"/>
              </w:rPr>
            </w:pPr>
            <w:r>
              <w:rPr>
                <w:rFonts w:ascii="Arial Narrow" w:hAnsi="Arial Narrow"/>
                <w:noProof/>
                <w:color w:val="000000"/>
                <w:szCs w:val="20"/>
                <w:highlight w:val="black"/>
              </w:rPr>
              <w:t>''''''''''''''''''</w:t>
            </w:r>
          </w:p>
        </w:tc>
        <w:tc>
          <w:tcPr>
            <w:tcW w:w="1134" w:type="dxa"/>
            <w:vAlign w:val="center"/>
          </w:tcPr>
          <w:p w:rsidR="002B12EF" w:rsidRPr="001C4612" w:rsidRDefault="001C4612" w:rsidP="00837BC5">
            <w:pPr>
              <w:pStyle w:val="Table-bodytext"/>
              <w:keepNext/>
              <w:widowControl/>
              <w:rPr>
                <w:rFonts w:ascii="Arial Narrow" w:hAnsi="Arial Narrow"/>
                <w:szCs w:val="20"/>
                <w:highlight w:val="black"/>
              </w:rPr>
            </w:pPr>
            <w:r>
              <w:rPr>
                <w:rFonts w:ascii="Arial Narrow" w:hAnsi="Arial Narrow"/>
                <w:noProof/>
                <w:color w:val="000000"/>
                <w:szCs w:val="20"/>
                <w:highlight w:val="black"/>
              </w:rPr>
              <w:t>'''''''''''''''</w:t>
            </w:r>
          </w:p>
        </w:tc>
        <w:tc>
          <w:tcPr>
            <w:tcW w:w="1134" w:type="dxa"/>
            <w:vAlign w:val="center"/>
          </w:tcPr>
          <w:p w:rsidR="002B12EF" w:rsidRPr="001C4612" w:rsidRDefault="001C4612" w:rsidP="00837BC5">
            <w:pPr>
              <w:pStyle w:val="Table-bodytext"/>
              <w:keepNext/>
              <w:widowControl/>
              <w:rPr>
                <w:rFonts w:ascii="Arial Narrow" w:hAnsi="Arial Narrow"/>
                <w:szCs w:val="20"/>
                <w:highlight w:val="black"/>
              </w:rPr>
            </w:pPr>
            <w:r>
              <w:rPr>
                <w:rFonts w:ascii="Arial Narrow" w:hAnsi="Arial Narrow"/>
                <w:noProof/>
                <w:color w:val="000000"/>
                <w:szCs w:val="20"/>
                <w:highlight w:val="black"/>
              </w:rPr>
              <w:t>''''''''''''''''</w:t>
            </w:r>
          </w:p>
        </w:tc>
        <w:tc>
          <w:tcPr>
            <w:tcW w:w="1197" w:type="dxa"/>
            <w:vAlign w:val="center"/>
          </w:tcPr>
          <w:p w:rsidR="002B12EF" w:rsidRPr="001C4612" w:rsidRDefault="001C4612" w:rsidP="00837BC5">
            <w:pPr>
              <w:pStyle w:val="Table-bodytext"/>
              <w:keepNext/>
              <w:widowControl/>
              <w:rPr>
                <w:rFonts w:ascii="Arial Narrow" w:hAnsi="Arial Narrow"/>
                <w:szCs w:val="20"/>
                <w:highlight w:val="black"/>
              </w:rPr>
            </w:pPr>
            <w:r>
              <w:rPr>
                <w:rFonts w:ascii="Arial Narrow" w:hAnsi="Arial Narrow"/>
                <w:noProof/>
                <w:color w:val="000000"/>
                <w:szCs w:val="20"/>
                <w:highlight w:val="black"/>
              </w:rPr>
              <w:t>''''''''''''''''</w:t>
            </w:r>
          </w:p>
        </w:tc>
      </w:tr>
      <w:tr w:rsidR="002B12EF" w:rsidRPr="00DB4AE1" w:rsidTr="00D95F30">
        <w:tc>
          <w:tcPr>
            <w:tcW w:w="2235" w:type="dxa"/>
          </w:tcPr>
          <w:p w:rsidR="002B12EF" w:rsidRPr="00DB4AE1" w:rsidRDefault="002B12EF" w:rsidP="00837BC5">
            <w:pPr>
              <w:pStyle w:val="Table-bodytextLEFT"/>
              <w:keepNext/>
              <w:widowControl/>
              <w:rPr>
                <w:rFonts w:ascii="Arial Narrow" w:hAnsi="Arial Narrow"/>
                <w:szCs w:val="20"/>
              </w:rPr>
            </w:pPr>
            <w:r w:rsidRPr="00DB4AE1">
              <w:rPr>
                <w:rFonts w:ascii="Arial Narrow" w:hAnsi="Arial Narrow"/>
                <w:szCs w:val="20"/>
              </w:rPr>
              <w:t>Market uptake</w:t>
            </w:r>
          </w:p>
        </w:tc>
        <w:tc>
          <w:tcPr>
            <w:tcW w:w="1275" w:type="dxa"/>
            <w:vAlign w:val="center"/>
          </w:tcPr>
          <w:p w:rsidR="002B12EF" w:rsidRPr="00DB4AE1" w:rsidRDefault="002B12EF" w:rsidP="00837BC5">
            <w:pPr>
              <w:pStyle w:val="Table-bodytext"/>
              <w:keepNext/>
              <w:widowControl/>
              <w:rPr>
                <w:rFonts w:ascii="Arial Narrow" w:hAnsi="Arial Narrow"/>
                <w:szCs w:val="20"/>
              </w:rPr>
            </w:pPr>
            <w:r w:rsidRPr="00DB4AE1">
              <w:rPr>
                <w:rFonts w:ascii="Arial Narrow" w:hAnsi="Arial Narrow"/>
                <w:szCs w:val="20"/>
              </w:rPr>
              <w:t>48.7%</w:t>
            </w:r>
          </w:p>
        </w:tc>
        <w:tc>
          <w:tcPr>
            <w:tcW w:w="1134" w:type="dxa"/>
            <w:vAlign w:val="center"/>
          </w:tcPr>
          <w:p w:rsidR="002B12EF" w:rsidRPr="00DB4AE1" w:rsidRDefault="002B12EF" w:rsidP="00837BC5">
            <w:pPr>
              <w:pStyle w:val="Table-bodytext"/>
              <w:keepNext/>
              <w:widowControl/>
              <w:rPr>
                <w:rFonts w:ascii="Arial Narrow" w:hAnsi="Arial Narrow"/>
                <w:szCs w:val="20"/>
              </w:rPr>
            </w:pPr>
            <w:r w:rsidRPr="00DB4AE1">
              <w:rPr>
                <w:rFonts w:ascii="Arial Narrow" w:hAnsi="Arial Narrow"/>
                <w:szCs w:val="20"/>
              </w:rPr>
              <w:t>51.1%</w:t>
            </w:r>
          </w:p>
        </w:tc>
        <w:tc>
          <w:tcPr>
            <w:tcW w:w="1134" w:type="dxa"/>
            <w:vAlign w:val="center"/>
          </w:tcPr>
          <w:p w:rsidR="002B12EF" w:rsidRPr="00DB4AE1" w:rsidRDefault="002B12EF" w:rsidP="00837BC5">
            <w:pPr>
              <w:pStyle w:val="Table-bodytext"/>
              <w:keepNext/>
              <w:widowControl/>
              <w:rPr>
                <w:rFonts w:ascii="Arial Narrow" w:hAnsi="Arial Narrow"/>
                <w:szCs w:val="20"/>
              </w:rPr>
            </w:pPr>
            <w:r w:rsidRPr="00DB4AE1">
              <w:rPr>
                <w:rFonts w:ascii="Arial Narrow" w:hAnsi="Arial Narrow"/>
                <w:szCs w:val="20"/>
              </w:rPr>
              <w:t>54.8%</w:t>
            </w:r>
          </w:p>
        </w:tc>
        <w:tc>
          <w:tcPr>
            <w:tcW w:w="1134" w:type="dxa"/>
            <w:vAlign w:val="center"/>
          </w:tcPr>
          <w:p w:rsidR="002B12EF" w:rsidRPr="00DB4AE1" w:rsidRDefault="002B12EF" w:rsidP="00837BC5">
            <w:pPr>
              <w:pStyle w:val="Table-bodytext"/>
              <w:keepNext/>
              <w:widowControl/>
              <w:rPr>
                <w:rFonts w:ascii="Arial Narrow" w:hAnsi="Arial Narrow"/>
                <w:szCs w:val="20"/>
              </w:rPr>
            </w:pPr>
            <w:r w:rsidRPr="00DB4AE1">
              <w:rPr>
                <w:rFonts w:ascii="Arial Narrow" w:hAnsi="Arial Narrow"/>
                <w:szCs w:val="20"/>
              </w:rPr>
              <w:t>58.0%</w:t>
            </w:r>
          </w:p>
        </w:tc>
        <w:tc>
          <w:tcPr>
            <w:tcW w:w="1134" w:type="dxa"/>
            <w:vAlign w:val="center"/>
          </w:tcPr>
          <w:p w:rsidR="002B12EF" w:rsidRPr="00DB4AE1" w:rsidRDefault="002B12EF" w:rsidP="00837BC5">
            <w:pPr>
              <w:pStyle w:val="Table-bodytext"/>
              <w:keepNext/>
              <w:widowControl/>
              <w:rPr>
                <w:rFonts w:ascii="Arial Narrow" w:hAnsi="Arial Narrow"/>
                <w:szCs w:val="20"/>
              </w:rPr>
            </w:pPr>
            <w:r w:rsidRPr="00DB4AE1">
              <w:rPr>
                <w:rFonts w:ascii="Arial Narrow" w:hAnsi="Arial Narrow"/>
                <w:szCs w:val="20"/>
              </w:rPr>
              <w:t>60.8%</w:t>
            </w:r>
          </w:p>
        </w:tc>
        <w:tc>
          <w:tcPr>
            <w:tcW w:w="1197" w:type="dxa"/>
            <w:vAlign w:val="center"/>
          </w:tcPr>
          <w:p w:rsidR="002B12EF" w:rsidRPr="00DB4AE1" w:rsidRDefault="002B12EF" w:rsidP="00837BC5">
            <w:pPr>
              <w:pStyle w:val="Table-bodytext"/>
              <w:keepNext/>
              <w:widowControl/>
              <w:rPr>
                <w:rFonts w:ascii="Arial Narrow" w:hAnsi="Arial Narrow"/>
                <w:szCs w:val="20"/>
              </w:rPr>
            </w:pPr>
            <w:r w:rsidRPr="00DB4AE1">
              <w:rPr>
                <w:rFonts w:ascii="Arial Narrow" w:hAnsi="Arial Narrow"/>
                <w:szCs w:val="20"/>
              </w:rPr>
              <w:t>63.2%</w:t>
            </w:r>
          </w:p>
        </w:tc>
      </w:tr>
      <w:tr w:rsidR="002B12EF" w:rsidRPr="00DB4AE1" w:rsidTr="00D95F30">
        <w:tc>
          <w:tcPr>
            <w:tcW w:w="2235" w:type="dxa"/>
          </w:tcPr>
          <w:p w:rsidR="002B12EF" w:rsidRPr="00DB4AE1" w:rsidRDefault="002B12EF" w:rsidP="00837BC5">
            <w:pPr>
              <w:pStyle w:val="Table-bodytextLEFT"/>
              <w:keepNext/>
              <w:widowControl/>
              <w:rPr>
                <w:rFonts w:ascii="Arial Narrow" w:hAnsi="Arial Narrow"/>
                <w:szCs w:val="20"/>
              </w:rPr>
            </w:pPr>
            <w:r w:rsidRPr="00DB4AE1">
              <w:rPr>
                <w:rFonts w:ascii="Arial Narrow" w:hAnsi="Arial Narrow"/>
                <w:szCs w:val="20"/>
              </w:rPr>
              <w:t>Patients initiating treatment</w:t>
            </w:r>
          </w:p>
        </w:tc>
        <w:tc>
          <w:tcPr>
            <w:tcW w:w="1275" w:type="dxa"/>
            <w:vAlign w:val="center"/>
          </w:tcPr>
          <w:p w:rsidR="002B12EF" w:rsidRPr="001C4612" w:rsidRDefault="001C4612" w:rsidP="00837BC5">
            <w:pPr>
              <w:pStyle w:val="Table-bodytext"/>
              <w:keepNext/>
              <w:widowControl/>
              <w:rPr>
                <w:rFonts w:ascii="Arial Narrow" w:hAnsi="Arial Narrow"/>
                <w:szCs w:val="20"/>
                <w:highlight w:val="black"/>
              </w:rPr>
            </w:pPr>
            <w:r>
              <w:rPr>
                <w:rFonts w:ascii="Arial Narrow" w:hAnsi="Arial Narrow"/>
                <w:noProof/>
                <w:color w:val="000000"/>
                <w:szCs w:val="20"/>
                <w:highlight w:val="black"/>
              </w:rPr>
              <w:t>''''''''''''''</w:t>
            </w:r>
          </w:p>
        </w:tc>
        <w:tc>
          <w:tcPr>
            <w:tcW w:w="1134" w:type="dxa"/>
            <w:vAlign w:val="center"/>
          </w:tcPr>
          <w:p w:rsidR="002B12EF" w:rsidRPr="001C4612" w:rsidRDefault="001C4612" w:rsidP="00837BC5">
            <w:pPr>
              <w:pStyle w:val="Table-bodytext"/>
              <w:keepNext/>
              <w:widowControl/>
              <w:rPr>
                <w:rFonts w:ascii="Arial Narrow" w:hAnsi="Arial Narrow"/>
                <w:szCs w:val="20"/>
                <w:highlight w:val="black"/>
              </w:rPr>
            </w:pPr>
            <w:r>
              <w:rPr>
                <w:rFonts w:ascii="Arial Narrow" w:hAnsi="Arial Narrow"/>
                <w:noProof/>
                <w:color w:val="000000"/>
                <w:szCs w:val="20"/>
                <w:highlight w:val="black"/>
              </w:rPr>
              <w:t>'''''''''''''</w:t>
            </w:r>
          </w:p>
        </w:tc>
        <w:tc>
          <w:tcPr>
            <w:tcW w:w="1134" w:type="dxa"/>
            <w:vAlign w:val="center"/>
          </w:tcPr>
          <w:p w:rsidR="002B12EF" w:rsidRPr="001C4612" w:rsidRDefault="001C4612" w:rsidP="00837BC5">
            <w:pPr>
              <w:pStyle w:val="Table-bodytext"/>
              <w:keepNext/>
              <w:widowControl/>
              <w:rPr>
                <w:rFonts w:ascii="Arial Narrow" w:hAnsi="Arial Narrow"/>
                <w:szCs w:val="20"/>
                <w:highlight w:val="black"/>
              </w:rPr>
            </w:pPr>
            <w:r>
              <w:rPr>
                <w:rFonts w:ascii="Arial Narrow" w:hAnsi="Arial Narrow"/>
                <w:noProof/>
                <w:color w:val="000000"/>
                <w:szCs w:val="20"/>
                <w:highlight w:val="black"/>
              </w:rPr>
              <w:t>'''''''''''''</w:t>
            </w:r>
          </w:p>
        </w:tc>
        <w:tc>
          <w:tcPr>
            <w:tcW w:w="1134" w:type="dxa"/>
            <w:vAlign w:val="center"/>
          </w:tcPr>
          <w:p w:rsidR="002B12EF" w:rsidRPr="001C4612" w:rsidRDefault="001C4612" w:rsidP="00837BC5">
            <w:pPr>
              <w:pStyle w:val="Table-bodytext"/>
              <w:keepNext/>
              <w:widowControl/>
              <w:rPr>
                <w:rFonts w:ascii="Arial Narrow" w:hAnsi="Arial Narrow"/>
                <w:szCs w:val="20"/>
                <w:highlight w:val="black"/>
              </w:rPr>
            </w:pPr>
            <w:r>
              <w:rPr>
                <w:rFonts w:ascii="Arial Narrow" w:hAnsi="Arial Narrow"/>
                <w:noProof/>
                <w:color w:val="000000"/>
                <w:szCs w:val="20"/>
                <w:highlight w:val="black"/>
              </w:rPr>
              <w:t>'''''''''''''''</w:t>
            </w:r>
          </w:p>
        </w:tc>
        <w:tc>
          <w:tcPr>
            <w:tcW w:w="1134" w:type="dxa"/>
            <w:vAlign w:val="center"/>
          </w:tcPr>
          <w:p w:rsidR="002B12EF" w:rsidRPr="001C4612" w:rsidRDefault="001C4612" w:rsidP="00837BC5">
            <w:pPr>
              <w:pStyle w:val="Table-bodytext"/>
              <w:keepNext/>
              <w:widowControl/>
              <w:rPr>
                <w:rFonts w:ascii="Arial Narrow" w:hAnsi="Arial Narrow"/>
                <w:szCs w:val="20"/>
                <w:highlight w:val="black"/>
              </w:rPr>
            </w:pPr>
            <w:r>
              <w:rPr>
                <w:rFonts w:ascii="Arial Narrow" w:hAnsi="Arial Narrow"/>
                <w:noProof/>
                <w:color w:val="000000"/>
                <w:szCs w:val="20"/>
                <w:highlight w:val="black"/>
              </w:rPr>
              <w:t>''''''''''''</w:t>
            </w:r>
          </w:p>
        </w:tc>
        <w:tc>
          <w:tcPr>
            <w:tcW w:w="1197" w:type="dxa"/>
            <w:vAlign w:val="center"/>
          </w:tcPr>
          <w:p w:rsidR="002B12EF" w:rsidRPr="001C4612" w:rsidRDefault="001C4612" w:rsidP="00837BC5">
            <w:pPr>
              <w:pStyle w:val="Table-bodytext"/>
              <w:keepNext/>
              <w:widowControl/>
              <w:rPr>
                <w:rFonts w:ascii="Arial Narrow" w:hAnsi="Arial Narrow"/>
                <w:szCs w:val="20"/>
                <w:highlight w:val="black"/>
              </w:rPr>
            </w:pPr>
            <w:r>
              <w:rPr>
                <w:rFonts w:ascii="Arial Narrow" w:hAnsi="Arial Narrow"/>
                <w:noProof/>
                <w:color w:val="000000"/>
                <w:szCs w:val="20"/>
                <w:highlight w:val="black"/>
              </w:rPr>
              <w:t>''''''''''''''</w:t>
            </w:r>
          </w:p>
        </w:tc>
      </w:tr>
      <w:tr w:rsidR="002B12EF" w:rsidRPr="00DB4AE1" w:rsidTr="00D95F30">
        <w:tc>
          <w:tcPr>
            <w:tcW w:w="2235" w:type="dxa"/>
            <w:tcBorders>
              <w:bottom w:val="single" w:sz="4" w:space="0" w:color="auto"/>
            </w:tcBorders>
            <w:vAlign w:val="bottom"/>
          </w:tcPr>
          <w:p w:rsidR="002B12EF" w:rsidRPr="00DB4AE1" w:rsidRDefault="002B12EF" w:rsidP="00837BC5">
            <w:pPr>
              <w:pStyle w:val="Table-bodytextLEFT"/>
              <w:keepNext/>
              <w:widowControl/>
              <w:rPr>
                <w:rFonts w:ascii="Arial Narrow" w:hAnsi="Arial Narrow"/>
                <w:szCs w:val="20"/>
              </w:rPr>
            </w:pPr>
            <w:r w:rsidRPr="00DB4AE1">
              <w:rPr>
                <w:rFonts w:ascii="Arial Narrow" w:hAnsi="Arial Narrow"/>
                <w:szCs w:val="20"/>
              </w:rPr>
              <w:t>Total vial numbers</w:t>
            </w:r>
          </w:p>
        </w:tc>
        <w:tc>
          <w:tcPr>
            <w:tcW w:w="1275" w:type="dxa"/>
            <w:tcBorders>
              <w:bottom w:val="single" w:sz="4" w:space="0" w:color="auto"/>
            </w:tcBorders>
            <w:vAlign w:val="center"/>
          </w:tcPr>
          <w:p w:rsidR="002B12EF" w:rsidRPr="001C4612" w:rsidRDefault="001C4612" w:rsidP="00837BC5">
            <w:pPr>
              <w:pStyle w:val="Table-bodytext"/>
              <w:keepNext/>
              <w:widowControl/>
              <w:rPr>
                <w:rFonts w:ascii="Arial Narrow" w:hAnsi="Arial Narrow"/>
                <w:szCs w:val="20"/>
                <w:highlight w:val="black"/>
              </w:rPr>
            </w:pPr>
            <w:r>
              <w:rPr>
                <w:rFonts w:ascii="Arial Narrow" w:hAnsi="Arial Narrow"/>
                <w:noProof/>
                <w:color w:val="000000"/>
                <w:szCs w:val="20"/>
                <w:highlight w:val="black"/>
              </w:rPr>
              <w:t>''''''''''''''''</w:t>
            </w:r>
          </w:p>
        </w:tc>
        <w:tc>
          <w:tcPr>
            <w:tcW w:w="1134" w:type="dxa"/>
            <w:tcBorders>
              <w:bottom w:val="single" w:sz="4" w:space="0" w:color="auto"/>
            </w:tcBorders>
            <w:vAlign w:val="center"/>
          </w:tcPr>
          <w:p w:rsidR="002B12EF" w:rsidRPr="001C4612" w:rsidRDefault="001C4612" w:rsidP="00837BC5">
            <w:pPr>
              <w:pStyle w:val="Table-bodytext"/>
              <w:keepNext/>
              <w:widowControl/>
              <w:rPr>
                <w:rFonts w:ascii="Arial Narrow" w:hAnsi="Arial Narrow"/>
                <w:szCs w:val="20"/>
                <w:highlight w:val="black"/>
              </w:rPr>
            </w:pPr>
            <w:r>
              <w:rPr>
                <w:rFonts w:ascii="Arial Narrow" w:hAnsi="Arial Narrow"/>
                <w:noProof/>
                <w:color w:val="000000"/>
                <w:szCs w:val="20"/>
                <w:highlight w:val="black"/>
              </w:rPr>
              <w:t>''''''''''''''''''</w:t>
            </w:r>
          </w:p>
        </w:tc>
        <w:tc>
          <w:tcPr>
            <w:tcW w:w="1134" w:type="dxa"/>
            <w:tcBorders>
              <w:bottom w:val="single" w:sz="4" w:space="0" w:color="auto"/>
            </w:tcBorders>
            <w:vAlign w:val="center"/>
          </w:tcPr>
          <w:p w:rsidR="002B12EF" w:rsidRPr="001C4612" w:rsidRDefault="001C4612" w:rsidP="00837BC5">
            <w:pPr>
              <w:pStyle w:val="Table-bodytext"/>
              <w:keepNext/>
              <w:widowControl/>
              <w:rPr>
                <w:rFonts w:ascii="Arial Narrow" w:hAnsi="Arial Narrow"/>
                <w:szCs w:val="20"/>
                <w:highlight w:val="black"/>
              </w:rPr>
            </w:pPr>
            <w:r>
              <w:rPr>
                <w:rFonts w:ascii="Arial Narrow" w:hAnsi="Arial Narrow"/>
                <w:noProof/>
                <w:color w:val="000000"/>
                <w:szCs w:val="20"/>
                <w:highlight w:val="black"/>
              </w:rPr>
              <w:t>'''''''''''''''</w:t>
            </w:r>
          </w:p>
        </w:tc>
        <w:tc>
          <w:tcPr>
            <w:tcW w:w="1134" w:type="dxa"/>
            <w:tcBorders>
              <w:bottom w:val="single" w:sz="4" w:space="0" w:color="auto"/>
            </w:tcBorders>
            <w:vAlign w:val="center"/>
          </w:tcPr>
          <w:p w:rsidR="002B12EF" w:rsidRPr="001C4612" w:rsidRDefault="001C4612" w:rsidP="00837BC5">
            <w:pPr>
              <w:pStyle w:val="Table-bodytext"/>
              <w:keepNext/>
              <w:widowControl/>
              <w:rPr>
                <w:rFonts w:ascii="Arial Narrow" w:hAnsi="Arial Narrow"/>
                <w:szCs w:val="20"/>
                <w:highlight w:val="black"/>
              </w:rPr>
            </w:pPr>
            <w:r>
              <w:rPr>
                <w:rFonts w:ascii="Arial Narrow" w:hAnsi="Arial Narrow"/>
                <w:noProof/>
                <w:color w:val="000000"/>
                <w:szCs w:val="20"/>
                <w:highlight w:val="black"/>
              </w:rPr>
              <w:t>'''''''''''''''''</w:t>
            </w:r>
          </w:p>
        </w:tc>
        <w:tc>
          <w:tcPr>
            <w:tcW w:w="1134" w:type="dxa"/>
            <w:tcBorders>
              <w:bottom w:val="single" w:sz="4" w:space="0" w:color="auto"/>
            </w:tcBorders>
            <w:vAlign w:val="center"/>
          </w:tcPr>
          <w:p w:rsidR="002B12EF" w:rsidRPr="001C4612" w:rsidRDefault="001C4612" w:rsidP="00837BC5">
            <w:pPr>
              <w:pStyle w:val="Table-bodytext"/>
              <w:keepNext/>
              <w:widowControl/>
              <w:rPr>
                <w:rFonts w:ascii="Arial Narrow" w:hAnsi="Arial Narrow"/>
                <w:szCs w:val="20"/>
                <w:highlight w:val="black"/>
              </w:rPr>
            </w:pPr>
            <w:r>
              <w:rPr>
                <w:rFonts w:ascii="Arial Narrow" w:hAnsi="Arial Narrow"/>
                <w:noProof/>
                <w:color w:val="000000"/>
                <w:szCs w:val="20"/>
                <w:highlight w:val="black"/>
              </w:rPr>
              <w:t>'''''''''''''''''</w:t>
            </w:r>
          </w:p>
        </w:tc>
        <w:tc>
          <w:tcPr>
            <w:tcW w:w="1197" w:type="dxa"/>
            <w:tcBorders>
              <w:bottom w:val="single" w:sz="4" w:space="0" w:color="auto"/>
            </w:tcBorders>
            <w:vAlign w:val="center"/>
          </w:tcPr>
          <w:p w:rsidR="002B12EF" w:rsidRPr="001C4612" w:rsidRDefault="001C4612" w:rsidP="00837BC5">
            <w:pPr>
              <w:pStyle w:val="Table-bodytext"/>
              <w:keepNext/>
              <w:widowControl/>
              <w:rPr>
                <w:rFonts w:ascii="Arial Narrow" w:hAnsi="Arial Narrow"/>
                <w:szCs w:val="20"/>
                <w:highlight w:val="black"/>
              </w:rPr>
            </w:pPr>
            <w:r>
              <w:rPr>
                <w:rFonts w:ascii="Arial Narrow" w:hAnsi="Arial Narrow"/>
                <w:noProof/>
                <w:color w:val="000000"/>
                <w:szCs w:val="20"/>
                <w:highlight w:val="black"/>
              </w:rPr>
              <w:t>'''''''''''''''''''</w:t>
            </w:r>
          </w:p>
        </w:tc>
      </w:tr>
      <w:tr w:rsidR="002B12EF" w:rsidRPr="00DB4AE1" w:rsidTr="00D95F30">
        <w:tc>
          <w:tcPr>
            <w:tcW w:w="2235" w:type="dxa"/>
            <w:tcBorders>
              <w:bottom w:val="double" w:sz="4" w:space="0" w:color="auto"/>
            </w:tcBorders>
            <w:vAlign w:val="bottom"/>
          </w:tcPr>
          <w:p w:rsidR="002B12EF" w:rsidRPr="00DB4AE1" w:rsidRDefault="002B12EF" w:rsidP="00837BC5">
            <w:pPr>
              <w:pStyle w:val="Table-bodytextLEFT"/>
              <w:keepNext/>
              <w:widowControl/>
              <w:rPr>
                <w:rFonts w:ascii="Arial Narrow" w:hAnsi="Arial Narrow"/>
                <w:szCs w:val="20"/>
              </w:rPr>
            </w:pPr>
            <w:r w:rsidRPr="00DB4AE1">
              <w:rPr>
                <w:rFonts w:ascii="Arial Narrow" w:hAnsi="Arial Narrow"/>
                <w:szCs w:val="20"/>
              </w:rPr>
              <w:t>Net cost to PBS/RPBS</w:t>
            </w:r>
          </w:p>
        </w:tc>
        <w:tc>
          <w:tcPr>
            <w:tcW w:w="1275" w:type="dxa"/>
            <w:tcBorders>
              <w:bottom w:val="double" w:sz="4" w:space="0" w:color="auto"/>
            </w:tcBorders>
            <w:vAlign w:val="center"/>
          </w:tcPr>
          <w:p w:rsidR="002B12EF" w:rsidRPr="00DB4AE1" w:rsidRDefault="002B12EF" w:rsidP="00837BC5">
            <w:pPr>
              <w:pStyle w:val="Table-bodytext"/>
              <w:keepNext/>
              <w:widowControl/>
              <w:rPr>
                <w:rFonts w:ascii="Arial Narrow" w:hAnsi="Arial Narrow"/>
                <w:szCs w:val="20"/>
              </w:rPr>
            </w:pPr>
            <w:r w:rsidRPr="00DB4AE1">
              <w:rPr>
                <w:rFonts w:ascii="Arial Narrow" w:hAnsi="Arial Narrow"/>
                <w:szCs w:val="20"/>
              </w:rPr>
              <w:t>$</w:t>
            </w:r>
            <w:r w:rsidR="001C4612">
              <w:rPr>
                <w:rFonts w:ascii="Arial Narrow" w:hAnsi="Arial Narrow"/>
                <w:noProof/>
                <w:color w:val="000000"/>
                <w:szCs w:val="20"/>
                <w:highlight w:val="black"/>
              </w:rPr>
              <w:t>'''''''''''''''''''''''''''</w:t>
            </w:r>
          </w:p>
        </w:tc>
        <w:tc>
          <w:tcPr>
            <w:tcW w:w="1134" w:type="dxa"/>
            <w:tcBorders>
              <w:bottom w:val="double" w:sz="4" w:space="0" w:color="auto"/>
            </w:tcBorders>
            <w:vAlign w:val="center"/>
          </w:tcPr>
          <w:p w:rsidR="002B12EF" w:rsidRPr="00DB4AE1" w:rsidRDefault="002B12EF" w:rsidP="00837BC5">
            <w:pPr>
              <w:pStyle w:val="Table-bodytext"/>
              <w:keepNext/>
              <w:widowControl/>
              <w:rPr>
                <w:rFonts w:ascii="Arial Narrow" w:hAnsi="Arial Narrow"/>
                <w:szCs w:val="20"/>
              </w:rPr>
            </w:pPr>
            <w:r w:rsidRPr="00DB4AE1">
              <w:rPr>
                <w:rFonts w:ascii="Arial Narrow" w:hAnsi="Arial Narrow"/>
                <w:szCs w:val="20"/>
              </w:rPr>
              <w:t>$</w:t>
            </w:r>
            <w:r w:rsidR="001C4612">
              <w:rPr>
                <w:rFonts w:ascii="Arial Narrow" w:hAnsi="Arial Narrow"/>
                <w:noProof/>
                <w:color w:val="000000"/>
                <w:szCs w:val="20"/>
                <w:highlight w:val="black"/>
              </w:rPr>
              <w:t>'''''''''''''''''''''''''</w:t>
            </w:r>
          </w:p>
        </w:tc>
        <w:tc>
          <w:tcPr>
            <w:tcW w:w="1134" w:type="dxa"/>
            <w:tcBorders>
              <w:bottom w:val="double" w:sz="4" w:space="0" w:color="auto"/>
            </w:tcBorders>
            <w:vAlign w:val="center"/>
          </w:tcPr>
          <w:p w:rsidR="002B12EF" w:rsidRPr="00DB4AE1" w:rsidRDefault="002B12EF" w:rsidP="00837BC5">
            <w:pPr>
              <w:pStyle w:val="Table-bodytext"/>
              <w:keepNext/>
              <w:widowControl/>
              <w:rPr>
                <w:rFonts w:ascii="Arial Narrow" w:hAnsi="Arial Narrow"/>
                <w:szCs w:val="20"/>
              </w:rPr>
            </w:pPr>
            <w:r w:rsidRPr="00DB4AE1">
              <w:rPr>
                <w:rFonts w:ascii="Arial Narrow" w:hAnsi="Arial Narrow"/>
                <w:szCs w:val="20"/>
              </w:rPr>
              <w:t>$</w:t>
            </w:r>
            <w:r w:rsidR="001C4612">
              <w:rPr>
                <w:rFonts w:ascii="Arial Narrow" w:hAnsi="Arial Narrow"/>
                <w:noProof/>
                <w:color w:val="000000"/>
                <w:szCs w:val="20"/>
                <w:highlight w:val="black"/>
              </w:rPr>
              <w:t>'''''''''''''''''''''''''''</w:t>
            </w:r>
          </w:p>
        </w:tc>
        <w:tc>
          <w:tcPr>
            <w:tcW w:w="1134" w:type="dxa"/>
            <w:tcBorders>
              <w:bottom w:val="double" w:sz="4" w:space="0" w:color="auto"/>
            </w:tcBorders>
            <w:vAlign w:val="center"/>
          </w:tcPr>
          <w:p w:rsidR="002B12EF" w:rsidRPr="00DB4AE1" w:rsidRDefault="002B12EF" w:rsidP="00837BC5">
            <w:pPr>
              <w:pStyle w:val="Table-bodytext"/>
              <w:keepNext/>
              <w:widowControl/>
              <w:rPr>
                <w:rFonts w:ascii="Arial Narrow" w:hAnsi="Arial Narrow"/>
                <w:szCs w:val="20"/>
              </w:rPr>
            </w:pPr>
            <w:r w:rsidRPr="00DB4AE1">
              <w:rPr>
                <w:rFonts w:ascii="Arial Narrow" w:hAnsi="Arial Narrow"/>
                <w:szCs w:val="20"/>
              </w:rPr>
              <w:t>$</w:t>
            </w:r>
            <w:r w:rsidR="001C4612">
              <w:rPr>
                <w:rFonts w:ascii="Arial Narrow" w:hAnsi="Arial Narrow"/>
                <w:noProof/>
                <w:color w:val="000000"/>
                <w:szCs w:val="20"/>
                <w:highlight w:val="black"/>
              </w:rPr>
              <w:t>'''''''''''''''''''''''''''''</w:t>
            </w:r>
          </w:p>
        </w:tc>
        <w:tc>
          <w:tcPr>
            <w:tcW w:w="1134" w:type="dxa"/>
            <w:tcBorders>
              <w:bottom w:val="double" w:sz="4" w:space="0" w:color="auto"/>
            </w:tcBorders>
            <w:vAlign w:val="center"/>
          </w:tcPr>
          <w:p w:rsidR="002B12EF" w:rsidRPr="00DB4AE1" w:rsidRDefault="002B12EF" w:rsidP="00837BC5">
            <w:pPr>
              <w:pStyle w:val="Table-bodytext"/>
              <w:keepNext/>
              <w:widowControl/>
              <w:rPr>
                <w:rFonts w:ascii="Arial Narrow" w:hAnsi="Arial Narrow"/>
                <w:szCs w:val="20"/>
              </w:rPr>
            </w:pPr>
            <w:r w:rsidRPr="00DB4AE1">
              <w:rPr>
                <w:rFonts w:ascii="Arial Narrow" w:hAnsi="Arial Narrow"/>
                <w:szCs w:val="20"/>
              </w:rPr>
              <w:t>$</w:t>
            </w:r>
            <w:r w:rsidR="001C4612">
              <w:rPr>
                <w:rFonts w:ascii="Arial Narrow" w:hAnsi="Arial Narrow"/>
                <w:noProof/>
                <w:color w:val="000000"/>
                <w:szCs w:val="20"/>
                <w:highlight w:val="black"/>
              </w:rPr>
              <w:t>'''''''''''''''''''''''''</w:t>
            </w:r>
          </w:p>
        </w:tc>
        <w:tc>
          <w:tcPr>
            <w:tcW w:w="1197" w:type="dxa"/>
            <w:tcBorders>
              <w:bottom w:val="double" w:sz="4" w:space="0" w:color="auto"/>
            </w:tcBorders>
            <w:vAlign w:val="center"/>
          </w:tcPr>
          <w:p w:rsidR="002B12EF" w:rsidRPr="00DB4AE1" w:rsidRDefault="002B12EF" w:rsidP="00837BC5">
            <w:pPr>
              <w:pStyle w:val="Table-bodytext"/>
              <w:keepNext/>
              <w:widowControl/>
              <w:rPr>
                <w:rFonts w:ascii="Arial Narrow" w:hAnsi="Arial Narrow"/>
                <w:szCs w:val="20"/>
              </w:rPr>
            </w:pPr>
            <w:r w:rsidRPr="00DB4AE1">
              <w:rPr>
                <w:rFonts w:ascii="Arial Narrow" w:hAnsi="Arial Narrow"/>
                <w:szCs w:val="20"/>
              </w:rPr>
              <w:t>$</w:t>
            </w:r>
            <w:r w:rsidR="001C4612">
              <w:rPr>
                <w:rFonts w:ascii="Arial Narrow" w:hAnsi="Arial Narrow"/>
                <w:noProof/>
                <w:color w:val="000000"/>
                <w:szCs w:val="20"/>
                <w:highlight w:val="black"/>
              </w:rPr>
              <w:t>''''''''''''''''''''''''''</w:t>
            </w:r>
          </w:p>
        </w:tc>
      </w:tr>
      <w:tr w:rsidR="002B12EF" w:rsidRPr="00DB4AE1" w:rsidTr="008313EB">
        <w:tc>
          <w:tcPr>
            <w:tcW w:w="9243" w:type="dxa"/>
            <w:gridSpan w:val="7"/>
            <w:tcBorders>
              <w:top w:val="double" w:sz="4" w:space="0" w:color="auto"/>
            </w:tcBorders>
            <w:vAlign w:val="bottom"/>
          </w:tcPr>
          <w:p w:rsidR="002B12EF" w:rsidRPr="00DB4AE1" w:rsidRDefault="002B12EF" w:rsidP="00837BC5">
            <w:pPr>
              <w:pStyle w:val="Table-bodytext"/>
              <w:keepNext/>
              <w:widowControl/>
              <w:jc w:val="left"/>
              <w:rPr>
                <w:rFonts w:ascii="Arial Narrow" w:hAnsi="Arial Narrow"/>
                <w:b/>
                <w:szCs w:val="20"/>
              </w:rPr>
            </w:pPr>
            <w:r w:rsidRPr="00DB4AE1">
              <w:rPr>
                <w:rFonts w:ascii="Arial Narrow" w:hAnsi="Arial Narrow"/>
                <w:b/>
                <w:szCs w:val="20"/>
              </w:rPr>
              <w:t>Proposed cap</w:t>
            </w:r>
            <w:r w:rsidR="0011701C" w:rsidRPr="00DB4AE1">
              <w:rPr>
                <w:rFonts w:ascii="Arial Narrow" w:hAnsi="Arial Narrow"/>
                <w:b/>
                <w:szCs w:val="20"/>
              </w:rPr>
              <w:t xml:space="preserve"> - based on estimates from the July 2013 resubmission</w:t>
            </w:r>
          </w:p>
        </w:tc>
      </w:tr>
      <w:tr w:rsidR="002B12EF" w:rsidRPr="00DB4AE1" w:rsidTr="00D95F30">
        <w:tc>
          <w:tcPr>
            <w:tcW w:w="2235" w:type="dxa"/>
            <w:vAlign w:val="bottom"/>
          </w:tcPr>
          <w:p w:rsidR="002B12EF" w:rsidRPr="00DB4AE1" w:rsidRDefault="002B12EF" w:rsidP="00837BC5">
            <w:pPr>
              <w:pStyle w:val="Table-bodytextLEFT"/>
              <w:keepNext/>
              <w:widowControl/>
              <w:rPr>
                <w:rFonts w:ascii="Arial Narrow" w:hAnsi="Arial Narrow"/>
                <w:szCs w:val="20"/>
              </w:rPr>
            </w:pPr>
            <w:r w:rsidRPr="00DB4AE1">
              <w:rPr>
                <w:rFonts w:ascii="Arial Narrow" w:hAnsi="Arial Narrow"/>
                <w:szCs w:val="20"/>
              </w:rPr>
              <w:t>Sourced from net cost to PBS/RPBS July 2013</w:t>
            </w:r>
          </w:p>
        </w:tc>
        <w:tc>
          <w:tcPr>
            <w:tcW w:w="1275" w:type="dxa"/>
            <w:vAlign w:val="center"/>
          </w:tcPr>
          <w:p w:rsidR="002B12EF" w:rsidRPr="00DB4AE1" w:rsidRDefault="002B12EF" w:rsidP="00837BC5">
            <w:pPr>
              <w:pStyle w:val="Table-bodytext"/>
              <w:keepNext/>
              <w:widowControl/>
              <w:rPr>
                <w:rFonts w:ascii="Arial Narrow" w:hAnsi="Arial Narrow"/>
                <w:szCs w:val="20"/>
              </w:rPr>
            </w:pPr>
            <w:r w:rsidRPr="00DB4AE1">
              <w:rPr>
                <w:rFonts w:ascii="Arial Narrow" w:hAnsi="Arial Narrow"/>
                <w:szCs w:val="20"/>
              </w:rPr>
              <w:t>$</w:t>
            </w:r>
            <w:r w:rsidR="001C4612">
              <w:rPr>
                <w:rFonts w:ascii="Arial Narrow" w:hAnsi="Arial Narrow"/>
                <w:noProof/>
                <w:color w:val="000000"/>
                <w:szCs w:val="20"/>
                <w:highlight w:val="black"/>
              </w:rPr>
              <w:t>'''''''''''''''''''''''''''</w:t>
            </w:r>
          </w:p>
        </w:tc>
        <w:tc>
          <w:tcPr>
            <w:tcW w:w="1134" w:type="dxa"/>
            <w:vAlign w:val="center"/>
          </w:tcPr>
          <w:p w:rsidR="002B12EF" w:rsidRPr="00DB4AE1" w:rsidRDefault="002B12EF" w:rsidP="00837BC5">
            <w:pPr>
              <w:pStyle w:val="Table-bodytext"/>
              <w:keepNext/>
              <w:widowControl/>
              <w:rPr>
                <w:rFonts w:ascii="Arial Narrow" w:hAnsi="Arial Narrow"/>
                <w:szCs w:val="20"/>
              </w:rPr>
            </w:pPr>
            <w:r w:rsidRPr="00DB4AE1">
              <w:rPr>
                <w:rFonts w:ascii="Arial Narrow" w:hAnsi="Arial Narrow"/>
                <w:szCs w:val="20"/>
              </w:rPr>
              <w:t>$</w:t>
            </w:r>
            <w:r w:rsidR="001C4612">
              <w:rPr>
                <w:rFonts w:ascii="Arial Narrow" w:hAnsi="Arial Narrow"/>
                <w:noProof/>
                <w:color w:val="000000"/>
                <w:szCs w:val="20"/>
                <w:highlight w:val="black"/>
              </w:rPr>
              <w:t>''''''''''''''''''''''''</w:t>
            </w:r>
          </w:p>
        </w:tc>
        <w:tc>
          <w:tcPr>
            <w:tcW w:w="1134" w:type="dxa"/>
            <w:vAlign w:val="center"/>
          </w:tcPr>
          <w:p w:rsidR="002B12EF" w:rsidRPr="00DB4AE1" w:rsidRDefault="002B12EF" w:rsidP="00837BC5">
            <w:pPr>
              <w:pStyle w:val="Table-bodytext"/>
              <w:keepNext/>
              <w:widowControl/>
              <w:rPr>
                <w:rFonts w:ascii="Arial Narrow" w:hAnsi="Arial Narrow"/>
                <w:szCs w:val="20"/>
              </w:rPr>
            </w:pPr>
            <w:r w:rsidRPr="00DB4AE1">
              <w:rPr>
                <w:rFonts w:ascii="Arial Narrow" w:hAnsi="Arial Narrow"/>
                <w:szCs w:val="20"/>
              </w:rPr>
              <w:t>$</w:t>
            </w:r>
            <w:r w:rsidR="001C4612">
              <w:rPr>
                <w:rFonts w:ascii="Arial Narrow" w:hAnsi="Arial Narrow"/>
                <w:noProof/>
                <w:color w:val="000000"/>
                <w:szCs w:val="20"/>
                <w:highlight w:val="black"/>
              </w:rPr>
              <w:t>''''''''''''''''''''''''''''</w:t>
            </w:r>
          </w:p>
        </w:tc>
        <w:tc>
          <w:tcPr>
            <w:tcW w:w="1134" w:type="dxa"/>
            <w:vAlign w:val="center"/>
          </w:tcPr>
          <w:p w:rsidR="002B12EF" w:rsidRPr="00DB4AE1" w:rsidRDefault="002B12EF" w:rsidP="00837BC5">
            <w:pPr>
              <w:pStyle w:val="Table-bodytext"/>
              <w:keepNext/>
              <w:widowControl/>
              <w:rPr>
                <w:rFonts w:ascii="Arial Narrow" w:hAnsi="Arial Narrow"/>
                <w:szCs w:val="20"/>
              </w:rPr>
            </w:pPr>
            <w:r w:rsidRPr="00DB4AE1">
              <w:rPr>
                <w:rFonts w:ascii="Arial Narrow" w:hAnsi="Arial Narrow"/>
                <w:szCs w:val="20"/>
              </w:rPr>
              <w:t>$</w:t>
            </w:r>
            <w:r w:rsidR="001C4612">
              <w:rPr>
                <w:rFonts w:ascii="Arial Narrow" w:hAnsi="Arial Narrow"/>
                <w:noProof/>
                <w:color w:val="000000"/>
                <w:szCs w:val="20"/>
                <w:highlight w:val="black"/>
              </w:rPr>
              <w:t>''''''''''''''''''''''''''''</w:t>
            </w:r>
          </w:p>
        </w:tc>
        <w:tc>
          <w:tcPr>
            <w:tcW w:w="1134" w:type="dxa"/>
            <w:vAlign w:val="center"/>
          </w:tcPr>
          <w:p w:rsidR="002B12EF" w:rsidRPr="00DB4AE1" w:rsidRDefault="002B12EF" w:rsidP="00837BC5">
            <w:pPr>
              <w:pStyle w:val="Table-bodytext"/>
              <w:keepNext/>
              <w:widowControl/>
              <w:rPr>
                <w:rFonts w:ascii="Arial Narrow" w:hAnsi="Arial Narrow"/>
                <w:szCs w:val="20"/>
              </w:rPr>
            </w:pPr>
            <w:r w:rsidRPr="00DB4AE1">
              <w:rPr>
                <w:rFonts w:ascii="Arial Narrow" w:hAnsi="Arial Narrow"/>
                <w:szCs w:val="20"/>
              </w:rPr>
              <w:t>$</w:t>
            </w:r>
            <w:r w:rsidR="001C4612">
              <w:rPr>
                <w:rFonts w:ascii="Arial Narrow" w:hAnsi="Arial Narrow"/>
                <w:noProof/>
                <w:color w:val="000000"/>
                <w:szCs w:val="20"/>
                <w:highlight w:val="black"/>
              </w:rPr>
              <w:t>'''''''''''''''''''''''''</w:t>
            </w:r>
          </w:p>
        </w:tc>
        <w:tc>
          <w:tcPr>
            <w:tcW w:w="1197" w:type="dxa"/>
            <w:vAlign w:val="center"/>
          </w:tcPr>
          <w:p w:rsidR="002B12EF" w:rsidRPr="00DB4AE1" w:rsidRDefault="002B12EF" w:rsidP="00837BC5">
            <w:pPr>
              <w:pStyle w:val="Table-bodytext"/>
              <w:keepNext/>
              <w:widowControl/>
              <w:rPr>
                <w:rFonts w:ascii="Arial Narrow" w:hAnsi="Arial Narrow"/>
                <w:szCs w:val="20"/>
              </w:rPr>
            </w:pPr>
            <w:r w:rsidRPr="00DB4AE1">
              <w:rPr>
                <w:rFonts w:ascii="Arial Narrow" w:hAnsi="Arial Narrow"/>
                <w:szCs w:val="20"/>
              </w:rPr>
              <w:t>$</w:t>
            </w:r>
            <w:r w:rsidR="001C4612">
              <w:rPr>
                <w:rFonts w:ascii="Arial Narrow" w:hAnsi="Arial Narrow"/>
                <w:noProof/>
                <w:color w:val="000000"/>
                <w:szCs w:val="20"/>
                <w:highlight w:val="black"/>
              </w:rPr>
              <w:t>'''''''''''''''''''''''''''''</w:t>
            </w:r>
          </w:p>
        </w:tc>
      </w:tr>
      <w:tr w:rsidR="002B12EF" w:rsidRPr="00DB4AE1" w:rsidTr="00D95F30">
        <w:tc>
          <w:tcPr>
            <w:tcW w:w="2235" w:type="dxa"/>
            <w:tcBorders>
              <w:bottom w:val="single" w:sz="4" w:space="0" w:color="auto"/>
            </w:tcBorders>
            <w:vAlign w:val="bottom"/>
          </w:tcPr>
          <w:p w:rsidR="002B12EF" w:rsidRPr="00DB4AE1" w:rsidRDefault="002B12EF" w:rsidP="00837BC5">
            <w:pPr>
              <w:pStyle w:val="Table-bodytextLEFT"/>
              <w:keepNext/>
              <w:widowControl/>
              <w:rPr>
                <w:rFonts w:ascii="Arial Narrow" w:hAnsi="Arial Narrow"/>
                <w:szCs w:val="20"/>
              </w:rPr>
            </w:pPr>
            <w:r w:rsidRPr="00DB4AE1">
              <w:rPr>
                <w:rFonts w:ascii="Arial Narrow" w:hAnsi="Arial Narrow"/>
                <w:szCs w:val="20"/>
              </w:rPr>
              <w:t>Rebate % above cap</w:t>
            </w:r>
          </w:p>
        </w:tc>
        <w:tc>
          <w:tcPr>
            <w:tcW w:w="1275" w:type="dxa"/>
            <w:tcBorders>
              <w:bottom w:val="single" w:sz="4" w:space="0" w:color="auto"/>
            </w:tcBorders>
            <w:vAlign w:val="center"/>
          </w:tcPr>
          <w:p w:rsidR="002B12EF" w:rsidRPr="001C4612" w:rsidRDefault="001C4612" w:rsidP="00837BC5">
            <w:pPr>
              <w:pStyle w:val="Table-bodytext"/>
              <w:keepNext/>
              <w:widowControl/>
              <w:rPr>
                <w:rFonts w:ascii="Arial Narrow" w:hAnsi="Arial Narrow"/>
                <w:szCs w:val="20"/>
                <w:highlight w:val="black"/>
              </w:rPr>
            </w:pPr>
            <w:r>
              <w:rPr>
                <w:rFonts w:ascii="Arial Narrow" w:hAnsi="Arial Narrow"/>
                <w:noProof/>
                <w:color w:val="000000"/>
                <w:szCs w:val="20"/>
                <w:highlight w:val="black"/>
              </w:rPr>
              <w:t>''''''''''</w:t>
            </w:r>
          </w:p>
        </w:tc>
        <w:tc>
          <w:tcPr>
            <w:tcW w:w="1134" w:type="dxa"/>
            <w:tcBorders>
              <w:bottom w:val="single" w:sz="4" w:space="0" w:color="auto"/>
            </w:tcBorders>
            <w:vAlign w:val="center"/>
          </w:tcPr>
          <w:p w:rsidR="002B12EF" w:rsidRPr="001C4612" w:rsidRDefault="001C4612" w:rsidP="00837BC5">
            <w:pPr>
              <w:pStyle w:val="Table-bodytext"/>
              <w:keepNext/>
              <w:widowControl/>
              <w:rPr>
                <w:rFonts w:ascii="Arial Narrow" w:hAnsi="Arial Narrow"/>
                <w:szCs w:val="20"/>
                <w:highlight w:val="black"/>
              </w:rPr>
            </w:pPr>
            <w:r>
              <w:rPr>
                <w:rFonts w:ascii="Arial Narrow" w:hAnsi="Arial Narrow"/>
                <w:noProof/>
                <w:color w:val="000000"/>
                <w:szCs w:val="20"/>
                <w:highlight w:val="black"/>
              </w:rPr>
              <w:t>''''''''''</w:t>
            </w:r>
          </w:p>
        </w:tc>
        <w:tc>
          <w:tcPr>
            <w:tcW w:w="1134" w:type="dxa"/>
            <w:tcBorders>
              <w:bottom w:val="single" w:sz="4" w:space="0" w:color="auto"/>
            </w:tcBorders>
            <w:vAlign w:val="center"/>
          </w:tcPr>
          <w:p w:rsidR="002B12EF" w:rsidRPr="001C4612" w:rsidRDefault="001C4612" w:rsidP="00837BC5">
            <w:pPr>
              <w:pStyle w:val="Table-bodytext"/>
              <w:keepNext/>
              <w:widowControl/>
              <w:rPr>
                <w:rFonts w:ascii="Arial Narrow" w:hAnsi="Arial Narrow"/>
                <w:szCs w:val="20"/>
                <w:highlight w:val="black"/>
              </w:rPr>
            </w:pPr>
            <w:r>
              <w:rPr>
                <w:rFonts w:ascii="Arial Narrow" w:hAnsi="Arial Narrow"/>
                <w:noProof/>
                <w:color w:val="000000"/>
                <w:szCs w:val="20"/>
                <w:highlight w:val="black"/>
              </w:rPr>
              <w:t>'''''''''''</w:t>
            </w:r>
          </w:p>
        </w:tc>
        <w:tc>
          <w:tcPr>
            <w:tcW w:w="1134" w:type="dxa"/>
            <w:tcBorders>
              <w:bottom w:val="single" w:sz="4" w:space="0" w:color="auto"/>
            </w:tcBorders>
            <w:vAlign w:val="center"/>
          </w:tcPr>
          <w:p w:rsidR="002B12EF" w:rsidRPr="001C4612" w:rsidRDefault="001C4612" w:rsidP="00837BC5">
            <w:pPr>
              <w:pStyle w:val="Table-bodytext"/>
              <w:keepNext/>
              <w:widowControl/>
              <w:rPr>
                <w:rFonts w:ascii="Arial Narrow" w:hAnsi="Arial Narrow"/>
                <w:szCs w:val="20"/>
                <w:highlight w:val="black"/>
              </w:rPr>
            </w:pPr>
            <w:r>
              <w:rPr>
                <w:rFonts w:ascii="Arial Narrow" w:hAnsi="Arial Narrow"/>
                <w:noProof/>
                <w:color w:val="000000"/>
                <w:szCs w:val="20"/>
                <w:highlight w:val="black"/>
              </w:rPr>
              <w:t>''''''''''''</w:t>
            </w:r>
          </w:p>
        </w:tc>
        <w:tc>
          <w:tcPr>
            <w:tcW w:w="1134" w:type="dxa"/>
            <w:tcBorders>
              <w:bottom w:val="single" w:sz="4" w:space="0" w:color="auto"/>
            </w:tcBorders>
            <w:vAlign w:val="center"/>
          </w:tcPr>
          <w:p w:rsidR="002B12EF" w:rsidRPr="001C4612" w:rsidRDefault="001C4612" w:rsidP="00837BC5">
            <w:pPr>
              <w:pStyle w:val="Table-bodytext"/>
              <w:keepNext/>
              <w:widowControl/>
              <w:rPr>
                <w:rFonts w:ascii="Arial Narrow" w:hAnsi="Arial Narrow"/>
                <w:szCs w:val="20"/>
                <w:highlight w:val="black"/>
              </w:rPr>
            </w:pPr>
            <w:r>
              <w:rPr>
                <w:rFonts w:ascii="Arial Narrow" w:hAnsi="Arial Narrow"/>
                <w:noProof/>
                <w:color w:val="000000"/>
                <w:szCs w:val="20"/>
                <w:highlight w:val="black"/>
              </w:rPr>
              <w:t>''''''''''</w:t>
            </w:r>
          </w:p>
        </w:tc>
        <w:tc>
          <w:tcPr>
            <w:tcW w:w="1197" w:type="dxa"/>
            <w:tcBorders>
              <w:bottom w:val="single" w:sz="4" w:space="0" w:color="auto"/>
            </w:tcBorders>
            <w:vAlign w:val="center"/>
          </w:tcPr>
          <w:p w:rsidR="002B12EF" w:rsidRPr="001C4612" w:rsidRDefault="001C4612" w:rsidP="00837BC5">
            <w:pPr>
              <w:pStyle w:val="Table-bodytext"/>
              <w:keepNext/>
              <w:widowControl/>
              <w:rPr>
                <w:rFonts w:ascii="Arial Narrow" w:hAnsi="Arial Narrow"/>
                <w:szCs w:val="20"/>
                <w:highlight w:val="black"/>
              </w:rPr>
            </w:pPr>
            <w:r>
              <w:rPr>
                <w:rFonts w:ascii="Arial Narrow" w:hAnsi="Arial Narrow"/>
                <w:noProof/>
                <w:color w:val="000000"/>
                <w:szCs w:val="20"/>
                <w:highlight w:val="black"/>
              </w:rPr>
              <w:t>''''''''''''</w:t>
            </w:r>
          </w:p>
        </w:tc>
      </w:tr>
      <w:tr w:rsidR="002B12EF" w:rsidRPr="00DB4AE1" w:rsidTr="00D95F30">
        <w:tc>
          <w:tcPr>
            <w:tcW w:w="2235" w:type="dxa"/>
            <w:tcBorders>
              <w:bottom w:val="double" w:sz="4" w:space="0" w:color="auto"/>
            </w:tcBorders>
          </w:tcPr>
          <w:p w:rsidR="002B12EF" w:rsidRPr="00DB4AE1" w:rsidRDefault="002B12EF" w:rsidP="00837BC5">
            <w:pPr>
              <w:pStyle w:val="Table-bodytextLEFT"/>
              <w:keepNext/>
              <w:widowControl/>
              <w:rPr>
                <w:rFonts w:ascii="Arial Narrow" w:hAnsi="Arial Narrow"/>
                <w:szCs w:val="20"/>
              </w:rPr>
            </w:pPr>
            <w:r w:rsidRPr="00DB4AE1">
              <w:rPr>
                <w:rFonts w:ascii="Arial Narrow" w:hAnsi="Arial Narrow"/>
                <w:szCs w:val="20"/>
              </w:rPr>
              <w:t>RSA amount</w:t>
            </w:r>
          </w:p>
          <w:p w:rsidR="002B12EF" w:rsidRPr="00DB4AE1" w:rsidRDefault="002B12EF" w:rsidP="00837BC5">
            <w:pPr>
              <w:pStyle w:val="Table-bodytextLEFT"/>
              <w:keepNext/>
              <w:widowControl/>
              <w:rPr>
                <w:rFonts w:ascii="Arial Narrow" w:hAnsi="Arial Narrow"/>
                <w:szCs w:val="20"/>
              </w:rPr>
            </w:pPr>
            <w:r w:rsidRPr="00DB4AE1">
              <w:rPr>
                <w:rFonts w:ascii="Arial Narrow" w:hAnsi="Arial Narrow"/>
                <w:szCs w:val="20"/>
              </w:rPr>
              <w:t>Cap 2 (budgeted amount)</w:t>
            </w:r>
          </w:p>
        </w:tc>
        <w:tc>
          <w:tcPr>
            <w:tcW w:w="1275" w:type="dxa"/>
            <w:tcBorders>
              <w:bottom w:val="double" w:sz="4" w:space="0" w:color="auto"/>
            </w:tcBorders>
            <w:vAlign w:val="center"/>
          </w:tcPr>
          <w:p w:rsidR="002B12EF" w:rsidRPr="00DB4AE1" w:rsidRDefault="002B12EF" w:rsidP="00837BC5">
            <w:pPr>
              <w:pStyle w:val="Table-bodytext"/>
              <w:keepNext/>
              <w:widowControl/>
              <w:rPr>
                <w:rFonts w:ascii="Arial Narrow" w:hAnsi="Arial Narrow"/>
                <w:szCs w:val="20"/>
              </w:rPr>
            </w:pPr>
            <w:r w:rsidRPr="00DB4AE1">
              <w:rPr>
                <w:rFonts w:ascii="Arial Narrow" w:hAnsi="Arial Narrow" w:cs="Calibri"/>
                <w:szCs w:val="20"/>
              </w:rPr>
              <w:t>$</w:t>
            </w:r>
            <w:r w:rsidR="001C4612">
              <w:rPr>
                <w:rFonts w:ascii="Arial Narrow" w:hAnsi="Arial Narrow" w:cs="Calibri"/>
                <w:noProof/>
                <w:color w:val="000000"/>
                <w:szCs w:val="20"/>
                <w:highlight w:val="black"/>
              </w:rPr>
              <w:t>'''''''''''''''''''''''''</w:t>
            </w:r>
          </w:p>
        </w:tc>
        <w:tc>
          <w:tcPr>
            <w:tcW w:w="1134" w:type="dxa"/>
            <w:tcBorders>
              <w:bottom w:val="double" w:sz="4" w:space="0" w:color="auto"/>
            </w:tcBorders>
            <w:vAlign w:val="center"/>
          </w:tcPr>
          <w:p w:rsidR="002B12EF" w:rsidRPr="00DB4AE1" w:rsidRDefault="002B12EF" w:rsidP="00837BC5">
            <w:pPr>
              <w:pStyle w:val="Table-bodytext"/>
              <w:keepNext/>
              <w:widowControl/>
              <w:rPr>
                <w:rFonts w:ascii="Arial Narrow" w:hAnsi="Arial Narrow"/>
                <w:szCs w:val="20"/>
              </w:rPr>
            </w:pPr>
            <w:r w:rsidRPr="00DB4AE1">
              <w:rPr>
                <w:rFonts w:ascii="Arial Narrow" w:hAnsi="Arial Narrow" w:cs="Calibri"/>
                <w:szCs w:val="20"/>
              </w:rPr>
              <w:t>$</w:t>
            </w:r>
            <w:r w:rsidR="001C4612">
              <w:rPr>
                <w:rFonts w:ascii="Arial Narrow" w:hAnsi="Arial Narrow" w:cs="Calibri"/>
                <w:noProof/>
                <w:color w:val="000000"/>
                <w:szCs w:val="20"/>
                <w:highlight w:val="black"/>
              </w:rPr>
              <w:t>'''''''''''''''''''''''''''</w:t>
            </w:r>
          </w:p>
        </w:tc>
        <w:tc>
          <w:tcPr>
            <w:tcW w:w="1134" w:type="dxa"/>
            <w:tcBorders>
              <w:bottom w:val="double" w:sz="4" w:space="0" w:color="auto"/>
            </w:tcBorders>
            <w:vAlign w:val="center"/>
          </w:tcPr>
          <w:p w:rsidR="002B12EF" w:rsidRPr="00DB4AE1" w:rsidRDefault="002B12EF" w:rsidP="00837BC5">
            <w:pPr>
              <w:pStyle w:val="Table-bodytext"/>
              <w:keepNext/>
              <w:widowControl/>
              <w:rPr>
                <w:rFonts w:ascii="Arial Narrow" w:hAnsi="Arial Narrow"/>
                <w:szCs w:val="20"/>
              </w:rPr>
            </w:pPr>
            <w:r w:rsidRPr="00DB4AE1">
              <w:rPr>
                <w:rFonts w:ascii="Arial Narrow" w:hAnsi="Arial Narrow" w:cs="Calibri"/>
                <w:szCs w:val="20"/>
              </w:rPr>
              <w:t>$</w:t>
            </w:r>
            <w:r w:rsidR="001C4612">
              <w:rPr>
                <w:rFonts w:ascii="Arial Narrow" w:hAnsi="Arial Narrow" w:cs="Calibri"/>
                <w:noProof/>
                <w:color w:val="000000"/>
                <w:szCs w:val="20"/>
                <w:highlight w:val="black"/>
              </w:rPr>
              <w:t>''''''''''''''''''''''''''''</w:t>
            </w:r>
          </w:p>
        </w:tc>
        <w:tc>
          <w:tcPr>
            <w:tcW w:w="1134" w:type="dxa"/>
            <w:tcBorders>
              <w:bottom w:val="double" w:sz="4" w:space="0" w:color="auto"/>
            </w:tcBorders>
            <w:vAlign w:val="center"/>
          </w:tcPr>
          <w:p w:rsidR="002B12EF" w:rsidRPr="00DB4AE1" w:rsidRDefault="002B12EF" w:rsidP="00837BC5">
            <w:pPr>
              <w:pStyle w:val="Table-bodytext"/>
              <w:keepNext/>
              <w:widowControl/>
              <w:rPr>
                <w:rFonts w:ascii="Arial Narrow" w:hAnsi="Arial Narrow"/>
                <w:szCs w:val="20"/>
              </w:rPr>
            </w:pPr>
            <w:r w:rsidRPr="00DB4AE1">
              <w:rPr>
                <w:rFonts w:ascii="Arial Narrow" w:hAnsi="Arial Narrow" w:cs="Calibri"/>
                <w:szCs w:val="20"/>
              </w:rPr>
              <w:t>$</w:t>
            </w:r>
            <w:r w:rsidR="001C4612">
              <w:rPr>
                <w:rFonts w:ascii="Arial Narrow" w:hAnsi="Arial Narrow" w:cs="Calibri"/>
                <w:noProof/>
                <w:color w:val="000000"/>
                <w:szCs w:val="20"/>
                <w:highlight w:val="black"/>
              </w:rPr>
              <w:t>''''''''''''''''''''''''''</w:t>
            </w:r>
          </w:p>
        </w:tc>
        <w:tc>
          <w:tcPr>
            <w:tcW w:w="1134" w:type="dxa"/>
            <w:tcBorders>
              <w:bottom w:val="double" w:sz="4" w:space="0" w:color="auto"/>
            </w:tcBorders>
            <w:vAlign w:val="center"/>
          </w:tcPr>
          <w:p w:rsidR="002B12EF" w:rsidRPr="00DB4AE1" w:rsidRDefault="002B12EF" w:rsidP="00837BC5">
            <w:pPr>
              <w:pStyle w:val="Table-bodytext"/>
              <w:keepNext/>
              <w:widowControl/>
              <w:rPr>
                <w:rFonts w:ascii="Arial Narrow" w:hAnsi="Arial Narrow"/>
                <w:szCs w:val="20"/>
              </w:rPr>
            </w:pPr>
            <w:r w:rsidRPr="00DB4AE1">
              <w:rPr>
                <w:rFonts w:ascii="Arial Narrow" w:hAnsi="Arial Narrow" w:cs="Calibri"/>
                <w:szCs w:val="20"/>
              </w:rPr>
              <w:t>$</w:t>
            </w:r>
            <w:r w:rsidR="001C4612">
              <w:rPr>
                <w:rFonts w:ascii="Arial Narrow" w:hAnsi="Arial Narrow" w:cs="Calibri"/>
                <w:noProof/>
                <w:color w:val="000000"/>
                <w:szCs w:val="20"/>
                <w:highlight w:val="black"/>
              </w:rPr>
              <w:t>''''''''''''''''''''''''''''</w:t>
            </w:r>
          </w:p>
        </w:tc>
        <w:tc>
          <w:tcPr>
            <w:tcW w:w="1197" w:type="dxa"/>
            <w:tcBorders>
              <w:bottom w:val="double" w:sz="4" w:space="0" w:color="auto"/>
            </w:tcBorders>
            <w:vAlign w:val="center"/>
          </w:tcPr>
          <w:p w:rsidR="002B12EF" w:rsidRPr="00DB4AE1" w:rsidRDefault="002B12EF" w:rsidP="00837BC5">
            <w:pPr>
              <w:pStyle w:val="Table-bodytext"/>
              <w:keepNext/>
              <w:widowControl/>
              <w:rPr>
                <w:rFonts w:ascii="Arial Narrow" w:hAnsi="Arial Narrow"/>
                <w:szCs w:val="20"/>
              </w:rPr>
            </w:pPr>
            <w:r w:rsidRPr="00DB4AE1">
              <w:rPr>
                <w:rFonts w:ascii="Arial Narrow" w:hAnsi="Arial Narrow" w:cs="Calibri"/>
                <w:szCs w:val="20"/>
              </w:rPr>
              <w:t>$</w:t>
            </w:r>
            <w:r w:rsidR="001C4612">
              <w:rPr>
                <w:rFonts w:ascii="Arial Narrow" w:hAnsi="Arial Narrow" w:cs="Calibri"/>
                <w:noProof/>
                <w:color w:val="000000"/>
                <w:szCs w:val="20"/>
                <w:highlight w:val="black"/>
              </w:rPr>
              <w:t>'''''''''''''''''''''''''''''</w:t>
            </w:r>
          </w:p>
        </w:tc>
      </w:tr>
      <w:tr w:rsidR="002B12EF" w:rsidRPr="00DB4AE1" w:rsidTr="008313EB">
        <w:tc>
          <w:tcPr>
            <w:tcW w:w="9243" w:type="dxa"/>
            <w:gridSpan w:val="7"/>
            <w:tcBorders>
              <w:top w:val="double" w:sz="4" w:space="0" w:color="auto"/>
              <w:bottom w:val="single" w:sz="4" w:space="0" w:color="auto"/>
            </w:tcBorders>
            <w:shd w:val="clear" w:color="auto" w:fill="auto"/>
          </w:tcPr>
          <w:p w:rsidR="002B12EF" w:rsidRPr="00DB4AE1" w:rsidRDefault="002B12EF" w:rsidP="00837BC5">
            <w:pPr>
              <w:pStyle w:val="Table-bodytextLEFT"/>
              <w:keepNext/>
              <w:widowControl/>
              <w:rPr>
                <w:rFonts w:ascii="Arial Narrow" w:hAnsi="Arial Narrow"/>
                <w:b/>
                <w:szCs w:val="20"/>
              </w:rPr>
            </w:pPr>
            <w:r w:rsidRPr="00DB4AE1">
              <w:rPr>
                <w:rFonts w:ascii="Arial Narrow" w:hAnsi="Arial Narrow"/>
                <w:b/>
                <w:szCs w:val="20"/>
              </w:rPr>
              <w:t>Net impact (proposed new cap minus budgeted amount)</w:t>
            </w:r>
          </w:p>
        </w:tc>
      </w:tr>
      <w:tr w:rsidR="002B12EF" w:rsidRPr="00DB4AE1" w:rsidTr="00D95F30">
        <w:tc>
          <w:tcPr>
            <w:tcW w:w="2235" w:type="dxa"/>
            <w:shd w:val="clear" w:color="auto" w:fill="auto"/>
          </w:tcPr>
          <w:p w:rsidR="002B12EF" w:rsidRPr="00DB4AE1" w:rsidRDefault="002B12EF" w:rsidP="00837BC5">
            <w:pPr>
              <w:pStyle w:val="Table-bodytextLEFT"/>
              <w:keepNext/>
              <w:widowControl/>
              <w:rPr>
                <w:rFonts w:ascii="Arial Narrow" w:hAnsi="Arial Narrow"/>
                <w:b/>
                <w:szCs w:val="20"/>
              </w:rPr>
            </w:pPr>
            <w:r w:rsidRPr="00DB4AE1">
              <w:rPr>
                <w:rFonts w:ascii="Arial Narrow" w:hAnsi="Arial Narrow"/>
                <w:b/>
                <w:szCs w:val="20"/>
              </w:rPr>
              <w:t xml:space="preserve">Net impact </w:t>
            </w:r>
          </w:p>
        </w:tc>
        <w:tc>
          <w:tcPr>
            <w:tcW w:w="1275" w:type="dxa"/>
            <w:shd w:val="clear" w:color="auto" w:fill="auto"/>
            <w:vAlign w:val="center"/>
          </w:tcPr>
          <w:p w:rsidR="002B12EF" w:rsidRPr="00DB4AE1" w:rsidRDefault="002B12EF" w:rsidP="00837BC5">
            <w:pPr>
              <w:pStyle w:val="Table-bodytext"/>
              <w:keepNext/>
              <w:widowControl/>
              <w:rPr>
                <w:rFonts w:ascii="Arial Narrow" w:hAnsi="Arial Narrow"/>
                <w:b/>
                <w:szCs w:val="20"/>
              </w:rPr>
            </w:pPr>
            <w:r w:rsidRPr="00DB4AE1">
              <w:rPr>
                <w:rFonts w:ascii="Arial Narrow" w:hAnsi="Arial Narrow" w:cs="Calibri"/>
                <w:b/>
                <w:szCs w:val="20"/>
              </w:rPr>
              <w:t>$</w:t>
            </w:r>
            <w:r w:rsidR="001C4612">
              <w:rPr>
                <w:rFonts w:ascii="Arial Narrow" w:hAnsi="Arial Narrow" w:cs="Calibri"/>
                <w:b/>
                <w:noProof/>
                <w:color w:val="000000"/>
                <w:szCs w:val="20"/>
                <w:highlight w:val="black"/>
              </w:rPr>
              <w:t>''''''''''''''''''</w:t>
            </w:r>
          </w:p>
        </w:tc>
        <w:tc>
          <w:tcPr>
            <w:tcW w:w="1134" w:type="dxa"/>
            <w:shd w:val="clear" w:color="auto" w:fill="auto"/>
            <w:vAlign w:val="center"/>
          </w:tcPr>
          <w:p w:rsidR="002B12EF" w:rsidRPr="00DB4AE1" w:rsidRDefault="002B12EF" w:rsidP="00837BC5">
            <w:pPr>
              <w:pStyle w:val="Table-bodytext"/>
              <w:keepNext/>
              <w:widowControl/>
              <w:rPr>
                <w:rFonts w:ascii="Arial Narrow" w:hAnsi="Arial Narrow"/>
                <w:b/>
                <w:szCs w:val="20"/>
              </w:rPr>
            </w:pPr>
            <w:r w:rsidRPr="00DB4AE1">
              <w:rPr>
                <w:rFonts w:ascii="Arial Narrow" w:hAnsi="Arial Narrow" w:cs="Calibri"/>
                <w:b/>
                <w:szCs w:val="20"/>
              </w:rPr>
              <w:t>$</w:t>
            </w:r>
            <w:r w:rsidR="001C4612">
              <w:rPr>
                <w:rFonts w:ascii="Arial Narrow" w:hAnsi="Arial Narrow" w:cs="Calibri"/>
                <w:b/>
                <w:noProof/>
                <w:color w:val="000000"/>
                <w:szCs w:val="20"/>
                <w:highlight w:val="black"/>
              </w:rPr>
              <w:t>''''''''''''''''''''</w:t>
            </w:r>
          </w:p>
        </w:tc>
        <w:tc>
          <w:tcPr>
            <w:tcW w:w="1134" w:type="dxa"/>
            <w:shd w:val="clear" w:color="auto" w:fill="auto"/>
            <w:vAlign w:val="center"/>
          </w:tcPr>
          <w:p w:rsidR="002B12EF" w:rsidRPr="00DB4AE1" w:rsidRDefault="002B12EF" w:rsidP="00837BC5">
            <w:pPr>
              <w:pStyle w:val="Table-bodytext"/>
              <w:keepNext/>
              <w:widowControl/>
              <w:rPr>
                <w:rFonts w:ascii="Arial Narrow" w:hAnsi="Arial Narrow"/>
                <w:b/>
                <w:szCs w:val="20"/>
              </w:rPr>
            </w:pPr>
            <w:r w:rsidRPr="00DB4AE1">
              <w:rPr>
                <w:rFonts w:ascii="Arial Narrow" w:hAnsi="Arial Narrow" w:cs="Calibri"/>
                <w:b/>
                <w:szCs w:val="20"/>
              </w:rPr>
              <w:t>$</w:t>
            </w:r>
            <w:r w:rsidR="001C4612">
              <w:rPr>
                <w:rFonts w:ascii="Arial Narrow" w:hAnsi="Arial Narrow" w:cs="Calibri"/>
                <w:b/>
                <w:noProof/>
                <w:color w:val="000000"/>
                <w:szCs w:val="20"/>
                <w:highlight w:val="black"/>
              </w:rPr>
              <w:t>''''''''''''''''''</w:t>
            </w:r>
          </w:p>
        </w:tc>
        <w:tc>
          <w:tcPr>
            <w:tcW w:w="1134" w:type="dxa"/>
            <w:shd w:val="clear" w:color="auto" w:fill="auto"/>
            <w:vAlign w:val="center"/>
          </w:tcPr>
          <w:p w:rsidR="002B12EF" w:rsidRPr="00DB4AE1" w:rsidRDefault="002B12EF" w:rsidP="00837BC5">
            <w:pPr>
              <w:pStyle w:val="Table-bodytext"/>
              <w:keepNext/>
              <w:widowControl/>
              <w:rPr>
                <w:rFonts w:ascii="Arial Narrow" w:hAnsi="Arial Narrow"/>
                <w:b/>
                <w:szCs w:val="20"/>
              </w:rPr>
            </w:pPr>
            <w:r w:rsidRPr="00DB4AE1">
              <w:rPr>
                <w:rFonts w:ascii="Arial Narrow" w:hAnsi="Arial Narrow" w:cs="Calibri"/>
                <w:b/>
                <w:szCs w:val="20"/>
              </w:rPr>
              <w:t>$</w:t>
            </w:r>
            <w:r w:rsidR="001C4612">
              <w:rPr>
                <w:rFonts w:ascii="Arial Narrow" w:hAnsi="Arial Narrow" w:cs="Calibri"/>
                <w:b/>
                <w:noProof/>
                <w:color w:val="000000"/>
                <w:szCs w:val="20"/>
                <w:highlight w:val="black"/>
              </w:rPr>
              <w:t>'''''''''''''''''''</w:t>
            </w:r>
          </w:p>
        </w:tc>
        <w:tc>
          <w:tcPr>
            <w:tcW w:w="1134" w:type="dxa"/>
            <w:shd w:val="clear" w:color="auto" w:fill="auto"/>
            <w:vAlign w:val="center"/>
          </w:tcPr>
          <w:p w:rsidR="002B12EF" w:rsidRPr="00DB4AE1" w:rsidRDefault="002B12EF" w:rsidP="00837BC5">
            <w:pPr>
              <w:pStyle w:val="Table-bodytext"/>
              <w:keepNext/>
              <w:widowControl/>
              <w:rPr>
                <w:rFonts w:ascii="Arial Narrow" w:hAnsi="Arial Narrow"/>
                <w:b/>
                <w:szCs w:val="20"/>
              </w:rPr>
            </w:pPr>
            <w:r w:rsidRPr="00DB4AE1">
              <w:rPr>
                <w:rFonts w:ascii="Arial Narrow" w:hAnsi="Arial Narrow" w:cs="Calibri"/>
                <w:b/>
                <w:szCs w:val="20"/>
              </w:rPr>
              <w:t>$</w:t>
            </w:r>
            <w:r w:rsidR="001C4612">
              <w:rPr>
                <w:rFonts w:ascii="Arial Narrow" w:hAnsi="Arial Narrow" w:cs="Calibri"/>
                <w:b/>
                <w:noProof/>
                <w:color w:val="000000"/>
                <w:szCs w:val="20"/>
                <w:highlight w:val="black"/>
              </w:rPr>
              <w:t>'''''''''''''''''''''</w:t>
            </w:r>
          </w:p>
        </w:tc>
        <w:tc>
          <w:tcPr>
            <w:tcW w:w="1197" w:type="dxa"/>
            <w:shd w:val="clear" w:color="auto" w:fill="auto"/>
            <w:vAlign w:val="center"/>
          </w:tcPr>
          <w:p w:rsidR="002B12EF" w:rsidRPr="00DB4AE1" w:rsidRDefault="002B12EF" w:rsidP="00837BC5">
            <w:pPr>
              <w:pStyle w:val="Table-bodytext"/>
              <w:keepNext/>
              <w:widowControl/>
              <w:rPr>
                <w:rFonts w:ascii="Arial Narrow" w:hAnsi="Arial Narrow"/>
                <w:b/>
                <w:szCs w:val="20"/>
              </w:rPr>
            </w:pPr>
            <w:r w:rsidRPr="00DB4AE1">
              <w:rPr>
                <w:rFonts w:ascii="Arial Narrow" w:hAnsi="Arial Narrow" w:cs="Calibri"/>
                <w:b/>
                <w:szCs w:val="20"/>
              </w:rPr>
              <w:t>$</w:t>
            </w:r>
            <w:r w:rsidR="001C4612">
              <w:rPr>
                <w:rFonts w:ascii="Arial Narrow" w:hAnsi="Arial Narrow" w:cs="Calibri"/>
                <w:b/>
                <w:noProof/>
                <w:color w:val="000000"/>
                <w:szCs w:val="20"/>
                <w:highlight w:val="black"/>
              </w:rPr>
              <w:t>'''''''''''''''''''''</w:t>
            </w:r>
          </w:p>
        </w:tc>
      </w:tr>
    </w:tbl>
    <w:p w:rsidR="002B12EF" w:rsidRDefault="00D958F6" w:rsidP="00837BC5">
      <w:pPr>
        <w:pStyle w:val="TableFooter"/>
        <w:widowControl/>
        <w:spacing w:after="120"/>
      </w:pPr>
      <w:r w:rsidRPr="00DB4AE1">
        <w:t xml:space="preserve">Source: </w:t>
      </w:r>
      <w:r w:rsidR="002B12EF" w:rsidRPr="00DB4AE1">
        <w:t>Table 4-20, p131 of the submission.</w:t>
      </w:r>
    </w:p>
    <w:p w:rsidR="00656C27" w:rsidRPr="00656C27" w:rsidRDefault="00656C27" w:rsidP="00837BC5">
      <w:pPr>
        <w:pStyle w:val="TableFooter"/>
        <w:widowControl/>
        <w:spacing w:after="120"/>
        <w:rPr>
          <w:rFonts w:asciiTheme="minorHAnsi" w:hAnsiTheme="minorHAnsi"/>
          <w:sz w:val="24"/>
          <w:szCs w:val="24"/>
        </w:rPr>
      </w:pPr>
      <w:r>
        <w:rPr>
          <w:rFonts w:asciiTheme="minorHAnsi" w:hAnsiTheme="minorHAnsi"/>
          <w:sz w:val="24"/>
          <w:szCs w:val="24"/>
        </w:rPr>
        <w:t>The redacted table shows that at Year 6, the estimated number of patients initiating treatment</w:t>
      </w:r>
      <w:r w:rsidR="00C72503">
        <w:rPr>
          <w:rFonts w:asciiTheme="minorHAnsi" w:hAnsiTheme="minorHAnsi"/>
          <w:sz w:val="24"/>
          <w:szCs w:val="24"/>
        </w:rPr>
        <w:t xml:space="preserve"> would be less than 10,000 per year, and the net cost to the PBS would be $30 – 60 million per year</w:t>
      </w:r>
      <w:r w:rsidR="00FE7CF5">
        <w:rPr>
          <w:rFonts w:asciiTheme="minorHAnsi" w:hAnsiTheme="minorHAnsi"/>
          <w:sz w:val="24"/>
          <w:szCs w:val="24"/>
        </w:rPr>
        <w:t>.</w:t>
      </w:r>
    </w:p>
    <w:p w:rsidR="00B201A4" w:rsidRPr="00DB4AE1" w:rsidRDefault="002B12EF" w:rsidP="00837BC5">
      <w:pPr>
        <w:pStyle w:val="ListParagraph"/>
        <w:widowControl/>
        <w:numPr>
          <w:ilvl w:val="1"/>
          <w:numId w:val="1"/>
        </w:numPr>
        <w:spacing w:after="120"/>
      </w:pPr>
      <w:r w:rsidRPr="00DB4AE1">
        <w:t>Over 6 years the estimated net cost to the PBS/RPBS based on the Sta</w:t>
      </w:r>
      <w:r w:rsidR="00D95F30" w:rsidRPr="00DB4AE1">
        <w:t>rk 2017 estimates was</w:t>
      </w:r>
      <w:r w:rsidR="00656C27">
        <w:t xml:space="preserve"> more than $100 million</w:t>
      </w:r>
      <w:r w:rsidR="00D95F30" w:rsidRPr="00DB4AE1">
        <w:t xml:space="preserve">. </w:t>
      </w:r>
      <w:r w:rsidRPr="00B43FF2">
        <w:t xml:space="preserve">The estimated net impact of the difference between the proposed new cap and the RSA amount </w:t>
      </w:r>
      <w:r w:rsidR="001C4612">
        <w:rPr>
          <w:noProof/>
          <w:color w:val="000000"/>
          <w:highlight w:val="black"/>
        </w:rPr>
        <w:t>''''''' '''''''' ''' ''''' '''''''''''' '''''''' ''' '''''''''</w:t>
      </w:r>
      <w:r w:rsidRPr="00DB4AE1">
        <w:t>.</w:t>
      </w:r>
    </w:p>
    <w:p w:rsidR="002B12EF" w:rsidRPr="00DB4AE1" w:rsidRDefault="002B12EF" w:rsidP="00837BC5">
      <w:pPr>
        <w:pStyle w:val="ListParagraph"/>
        <w:widowControl/>
        <w:numPr>
          <w:ilvl w:val="1"/>
          <w:numId w:val="1"/>
        </w:numPr>
        <w:spacing w:after="120"/>
      </w:pPr>
      <w:r w:rsidRPr="00DB4AE1">
        <w:t>The</w:t>
      </w:r>
      <w:r w:rsidR="000771B7">
        <w:t xml:space="preserve"> PBAC considered that there</w:t>
      </w:r>
      <w:r w:rsidRPr="00DB4AE1">
        <w:t xml:space="preserve"> are a number of concerns with the current estimates </w:t>
      </w:r>
      <w:r w:rsidR="001C4612">
        <w:rPr>
          <w:noProof/>
          <w:color w:val="000000"/>
          <w:highlight w:val="black"/>
        </w:rPr>
        <w:t>''''''' ''''''' ''''''''''''''''''' ''''''</w:t>
      </w:r>
      <w:r w:rsidRPr="00DB4AE1">
        <w:t>:</w:t>
      </w:r>
    </w:p>
    <w:p w:rsidR="002B12EF" w:rsidRPr="00DB4AE1" w:rsidRDefault="00F63B76" w:rsidP="00837BC5">
      <w:pPr>
        <w:pStyle w:val="Bulletpoints"/>
        <w:widowControl/>
        <w:spacing w:after="120"/>
        <w:ind w:left="993" w:hanging="284"/>
      </w:pPr>
      <w:r w:rsidRPr="00DB4AE1">
        <w:t>T</w:t>
      </w:r>
      <w:r w:rsidR="002B12EF" w:rsidRPr="00DB4AE1">
        <w:t>he ≥</w:t>
      </w:r>
      <w:r w:rsidR="000771B7">
        <w:t xml:space="preserve"> </w:t>
      </w:r>
      <w:r w:rsidR="002B12EF" w:rsidRPr="00DB4AE1">
        <w:t xml:space="preserve">50% response rate observed in Stark 2017 </w:t>
      </w:r>
      <w:r w:rsidR="000771B7">
        <w:t xml:space="preserve">retrospective chart review </w:t>
      </w:r>
      <w:r w:rsidR="002B12EF" w:rsidRPr="00DB4AE1">
        <w:t>(73.9%) may have been influenced by continued use of oral prophylactic medications in the Stark 2017 cohort as well as the subjective nature of outcome</w:t>
      </w:r>
      <w:r w:rsidR="00D95F30" w:rsidRPr="00DB4AE1">
        <w:t xml:space="preserve"> assessment. </w:t>
      </w:r>
      <w:r w:rsidR="000771B7">
        <w:t>The Stark 2017 results were on the high end of the range reported for other real-world studies with the variability evident across these studies not explored.</w:t>
      </w:r>
      <w:r w:rsidR="00D95F30" w:rsidRPr="00DB4AE1">
        <w:t xml:space="preserve"> Further,</w:t>
      </w:r>
      <w:r w:rsidR="002B12EF" w:rsidRPr="00DB4AE1">
        <w:t xml:space="preserve"> application of this data to the economic model without any corresponding changes in the comparator BSC arm limited the applicability of t</w:t>
      </w:r>
      <w:r w:rsidR="00D95F30" w:rsidRPr="00DB4AE1">
        <w:t xml:space="preserve">he cost-effectiveness results. </w:t>
      </w:r>
      <w:r w:rsidR="002B12EF" w:rsidRPr="00DB4AE1">
        <w:t>Overall, the Stark 2017 data was not strongly supported as a source of financial estimates.</w:t>
      </w:r>
    </w:p>
    <w:p w:rsidR="00760A95" w:rsidRPr="00DB4AE1" w:rsidRDefault="00760A95" w:rsidP="00837BC5">
      <w:pPr>
        <w:pStyle w:val="Bulletpoints"/>
        <w:widowControl/>
        <w:spacing w:after="120"/>
        <w:ind w:left="993" w:hanging="284"/>
      </w:pPr>
      <w:r w:rsidRPr="00DB4AE1">
        <w:t xml:space="preserve">While the submission formulated estimates based on the Stark 2017 data, the submission did not apply these estimates </w:t>
      </w:r>
      <w:r w:rsidR="001C4612">
        <w:rPr>
          <w:noProof/>
          <w:color w:val="000000"/>
          <w:highlight w:val="black"/>
        </w:rPr>
        <w:t>'''' ''''''' '''''''''''''''''' '''''''</w:t>
      </w:r>
      <w:r w:rsidRPr="00DB4AE1">
        <w:t xml:space="preserve"> and instead used </w:t>
      </w:r>
      <w:r w:rsidRPr="00BB5C55">
        <w:t xml:space="preserve">estimates based on </w:t>
      </w:r>
      <w:r w:rsidR="001C4612">
        <w:rPr>
          <w:noProof/>
          <w:color w:val="000000"/>
          <w:highlight w:val="black"/>
        </w:rPr>
        <w:t>''''' ''''''''''''''''' '''' ''''''''''''' ''''''''''''''''' '''''''' '''''''''' '''''''''' '''' '''''' '''''''' '''''''''' '''''''''''''''''''''''''</w:t>
      </w:r>
      <w:r w:rsidR="00D95F30" w:rsidRPr="00DB4AE1">
        <w:t xml:space="preserve">. </w:t>
      </w:r>
      <w:r w:rsidRPr="00DB4AE1">
        <w:t>This created an inconsistency between the financial estimates and the cap values and it would seem appropriate to base the cap values on the same data sources as the estimated usage and cost values.</w:t>
      </w:r>
      <w:r w:rsidR="00464F6A">
        <w:t xml:space="preserve"> The PSCR stated that data derived from real-world use can be imperfect, thus the</w:t>
      </w:r>
      <w:r w:rsidR="00F542D3">
        <w:t xml:space="preserve"> sponsor</w:t>
      </w:r>
      <w:r w:rsidR="00464F6A">
        <w:t xml:space="preserve"> </w:t>
      </w:r>
      <w:r w:rsidR="001C4612">
        <w:rPr>
          <w:noProof/>
          <w:color w:val="000000"/>
          <w:highlight w:val="black"/>
        </w:rPr>
        <w:t>''''''''''' ''''' '''''''''''''''''''''' '''''''''''''''' '''''''' '''''' '''''''''' '''''''''''''''''''''''</w:t>
      </w:r>
      <w:r w:rsidR="00464F6A">
        <w:t xml:space="preserve"> The PBAC considered</w:t>
      </w:r>
      <w:r w:rsidR="00F542D3">
        <w:t xml:space="preserve"> that</w:t>
      </w:r>
      <w:r w:rsidR="00464F6A">
        <w:t xml:space="preserve"> </w:t>
      </w:r>
      <w:r w:rsidR="00452F4D">
        <w:t>t</w:t>
      </w:r>
      <w:r w:rsidR="00A91F99">
        <w:t>his inconsistency complicated</w:t>
      </w:r>
      <w:r w:rsidR="00452F4D">
        <w:t xml:space="preserve"> the interpretation of the financial estimates and the cap values</w:t>
      </w:r>
      <w:r w:rsidR="00464F6A">
        <w:t>.</w:t>
      </w:r>
    </w:p>
    <w:p w:rsidR="002B12EF" w:rsidRPr="00DB4AE1" w:rsidRDefault="002B12EF" w:rsidP="00837BC5">
      <w:pPr>
        <w:pStyle w:val="Bulletpoints"/>
        <w:widowControl/>
        <w:spacing w:after="120"/>
        <w:ind w:left="993" w:hanging="284"/>
      </w:pPr>
      <w:r w:rsidRPr="00DB4AE1">
        <w:t>The use of the ex-manufacturer price for Botox</w:t>
      </w:r>
      <w:r w:rsidR="00497F97" w:rsidRPr="00DB4AE1">
        <w:t xml:space="preserve"> in the financial estimates</w:t>
      </w:r>
      <w:r w:rsidRPr="00DB4AE1">
        <w:t xml:space="preserve">, the failure to include dispensing fees and mark-ups, patient copayments </w:t>
      </w:r>
      <w:r w:rsidR="006D14F5" w:rsidRPr="00DB4AE1">
        <w:t>and</w:t>
      </w:r>
      <w:r w:rsidRPr="00DB4AE1">
        <w:t xml:space="preserve"> the F1 5% statutory price reduction mean that the estimated costs were not accurate.</w:t>
      </w:r>
      <w:r w:rsidR="006D14F5" w:rsidRPr="00DB4AE1">
        <w:t xml:space="preserve"> </w:t>
      </w:r>
      <w:r w:rsidR="00760A95" w:rsidRPr="00DB4AE1">
        <w:t>When e</w:t>
      </w:r>
      <w:r w:rsidR="006D14F5" w:rsidRPr="00DB4AE1">
        <w:t xml:space="preserve">stimated net costs using the F1 5% statutory price reduction were applied, which decreased estimated net costs to </w:t>
      </w:r>
      <w:r w:rsidR="00C72503">
        <w:t xml:space="preserve">more than $100 million </w:t>
      </w:r>
      <w:r w:rsidR="006D14F5" w:rsidRPr="00DB4AE1">
        <w:t xml:space="preserve">over the first 6 years </w:t>
      </w:r>
      <w:r w:rsidR="006D14F5" w:rsidRPr="00671FCB">
        <w:t xml:space="preserve">following </w:t>
      </w:r>
      <w:r w:rsidR="001C4612">
        <w:rPr>
          <w:noProof/>
          <w:color w:val="000000"/>
          <w:highlight w:val="black"/>
        </w:rPr>
        <w:t>'''''''' ''''''''''''''''</w:t>
      </w:r>
      <w:r w:rsidR="005E2213" w:rsidRPr="00671FCB">
        <w:t>,</w:t>
      </w:r>
      <w:r w:rsidR="006D14F5" w:rsidRPr="00671FCB">
        <w:t xml:space="preserve"> the estimated net impact </w:t>
      </w:r>
      <w:r w:rsidR="001C4612">
        <w:rPr>
          <w:noProof/>
          <w:color w:val="000000"/>
          <w:highlight w:val="black"/>
        </w:rPr>
        <w:t>''''' ''''''' '''''''''''''''''''' '''''''''''''''''' ''''''' '''''''''''''''' ''''''''' ''''''' ''''''' '''''' '''''''' ''''''''''''''' '''''''''''''''''''' ''''' ''''''' ''' ''''' '''''''''''' '''''''' ''' ''''''''''' ''''''''' '''''' '''''''' ''' '''''' '''''''''''''' '''''''''''''''''''' '''' '''''' ''''''''''''''''''''''</w:t>
      </w:r>
      <w:r w:rsidR="006D14F5" w:rsidRPr="00DB4AE1">
        <w:t>.</w:t>
      </w:r>
      <w:r w:rsidR="00FA4EDE" w:rsidRPr="00DB4AE1">
        <w:t xml:space="preserve"> The PSCR indicated the</w:t>
      </w:r>
      <w:r w:rsidR="00D95F30" w:rsidRPr="00DB4AE1">
        <w:t xml:space="preserve"> </w:t>
      </w:r>
      <w:r w:rsidR="00FA4EDE" w:rsidRPr="00DB4AE1">
        <w:t xml:space="preserve">price </w:t>
      </w:r>
      <w:r w:rsidR="00D95F30" w:rsidRPr="00DB4AE1">
        <w:t xml:space="preserve">was left </w:t>
      </w:r>
      <w:r w:rsidR="00FA4EDE" w:rsidRPr="00DB4AE1">
        <w:t xml:space="preserve">unchanged “for consistency (and ease of comparison) with the 2013 model”, and </w:t>
      </w:r>
      <w:r w:rsidR="00D95F30" w:rsidRPr="00DB4AE1">
        <w:t xml:space="preserve">did </w:t>
      </w:r>
      <w:r w:rsidR="00FA4EDE" w:rsidRPr="00DB4AE1">
        <w:t xml:space="preserve">not incorporate the F1 price cut, which </w:t>
      </w:r>
      <w:r w:rsidR="00D95F30" w:rsidRPr="00DB4AE1">
        <w:t xml:space="preserve">was </w:t>
      </w:r>
      <w:r w:rsidR="00FA4EDE" w:rsidRPr="00DB4AE1">
        <w:t>believe</w:t>
      </w:r>
      <w:r w:rsidR="00D95F30" w:rsidRPr="00DB4AE1">
        <w:t>d</w:t>
      </w:r>
      <w:r w:rsidR="00FA4EDE" w:rsidRPr="00DB4AE1">
        <w:t xml:space="preserve"> </w:t>
      </w:r>
      <w:r w:rsidR="001C4612">
        <w:rPr>
          <w:noProof/>
          <w:color w:val="000000"/>
          <w:highlight w:val="black"/>
        </w:rPr>
        <w:t>''''''''''''' ''''''' ''''''''''''' '''''' ''''''''' '''''''' ''''''''''''''''''' ''''''' ''''''' ''''''''''''''''''''''' '''' ''''' '''''''''''''''''''''' '''''''''' '''''''''' '''''' ''''''''''''''''''' ''''''''''''''''''' '''''''''''</w:t>
      </w:r>
      <w:r w:rsidR="00FA4EDE" w:rsidRPr="00DB4AE1">
        <w:t xml:space="preserve"> The ESC considered that this was inappropriate.</w:t>
      </w:r>
    </w:p>
    <w:p w:rsidR="00252D6F" w:rsidRPr="00DB4AE1" w:rsidRDefault="00252D6F" w:rsidP="00837BC5">
      <w:pPr>
        <w:pStyle w:val="Bulletpoints"/>
        <w:widowControl/>
        <w:spacing w:after="120"/>
        <w:ind w:left="993" w:hanging="284"/>
      </w:pPr>
      <w:r w:rsidRPr="00DB4AE1">
        <w:t>The submission has not accounted for patient copayments.</w:t>
      </w:r>
      <w:r w:rsidR="00FA4EDE" w:rsidRPr="00DB4AE1">
        <w:t xml:space="preserve"> The PSCR noted that this would slightly overestimate the net cost to Government, “because the average patient co-payment ($</w:t>
      </w:r>
      <w:r w:rsidR="001C4612">
        <w:rPr>
          <w:noProof/>
          <w:color w:val="000000"/>
          <w:highlight w:val="black"/>
        </w:rPr>
        <w:t>''''''''''</w:t>
      </w:r>
      <w:r w:rsidR="00FA4EDE" w:rsidRPr="00DB4AE1">
        <w:t>) will marginally exceed the average fees and mark-ups for a standard script for 2 vials ($</w:t>
      </w:r>
      <w:r w:rsidR="001C4612">
        <w:rPr>
          <w:noProof/>
          <w:color w:val="000000"/>
          <w:highlight w:val="black"/>
        </w:rPr>
        <w:t>'''''''''''</w:t>
      </w:r>
      <w:r w:rsidR="00FA4EDE" w:rsidRPr="00DB4AE1">
        <w:t>).</w:t>
      </w:r>
      <w:r w:rsidR="00B84167">
        <w:t xml:space="preserve"> The difference is less than $</w:t>
      </w:r>
      <w:r w:rsidR="001C4612">
        <w:rPr>
          <w:noProof/>
          <w:color w:val="000000"/>
          <w:highlight w:val="black"/>
        </w:rPr>
        <w:t>'''</w:t>
      </w:r>
      <w:r w:rsidR="00B84167">
        <w:t> </w:t>
      </w:r>
      <w:r w:rsidR="00FA4EDE" w:rsidRPr="00DB4AE1">
        <w:t>per vial ($</w:t>
      </w:r>
      <w:r w:rsidR="001C4612">
        <w:rPr>
          <w:noProof/>
          <w:color w:val="000000"/>
          <w:highlight w:val="black"/>
        </w:rPr>
        <w:t>'''''</w:t>
      </w:r>
      <w:r w:rsidR="00FA4EDE" w:rsidRPr="00DB4AE1">
        <w:t xml:space="preserve"> per script)”. The ESC was of the view that the sponsor should use the most accurate and up-to-date data available in </w:t>
      </w:r>
      <w:r w:rsidR="00D95F30" w:rsidRPr="00DB4AE1">
        <w:t>its</w:t>
      </w:r>
      <w:r w:rsidR="00FA4EDE" w:rsidRPr="00DB4AE1">
        <w:t xml:space="preserve"> financial estimates.</w:t>
      </w:r>
    </w:p>
    <w:p w:rsidR="00C25D9C" w:rsidRPr="00DB4AE1" w:rsidRDefault="008313EB" w:rsidP="00837BC5">
      <w:pPr>
        <w:pStyle w:val="Bulletpoints"/>
        <w:widowControl/>
        <w:spacing w:after="120"/>
        <w:ind w:left="993" w:hanging="284"/>
      </w:pPr>
      <w:r w:rsidRPr="00DB4AE1">
        <w:t>The submission used the cap numbers rather tha</w:t>
      </w:r>
      <w:r w:rsidR="00224C91">
        <w:t>n</w:t>
      </w:r>
      <w:r w:rsidRPr="00DB4AE1">
        <w:t xml:space="preserve"> current utilisation and costs to assess the net impact of the proposed change to the </w:t>
      </w:r>
      <w:r w:rsidR="00B70C86" w:rsidRPr="00DB4AE1">
        <w:t>RSA;</w:t>
      </w:r>
      <w:r w:rsidRPr="00DB4AE1">
        <w:t xml:space="preserve"> this is inappropriate and limits the</w:t>
      </w:r>
      <w:r w:rsidR="00D95F30" w:rsidRPr="00DB4AE1">
        <w:t xml:space="preserve"> usefulness of these estimates.</w:t>
      </w:r>
    </w:p>
    <w:p w:rsidR="00576972" w:rsidRPr="00DB4AE1" w:rsidRDefault="00662A33" w:rsidP="00837BC5">
      <w:pPr>
        <w:pStyle w:val="ListParagraph"/>
        <w:widowControl/>
        <w:numPr>
          <w:ilvl w:val="1"/>
          <w:numId w:val="1"/>
        </w:numPr>
        <w:spacing w:after="120"/>
      </w:pPr>
      <w:r w:rsidRPr="00DB4AE1">
        <w:t xml:space="preserve">The submission did not provide any sensitivity analyses of its revised financial estimates based on Stark 2017 data nor of the July 2013 estimates </w:t>
      </w:r>
      <w:r w:rsidR="001C4612">
        <w:rPr>
          <w:noProof/>
          <w:color w:val="000000"/>
          <w:highlight w:val="black"/>
        </w:rPr>
        <w:t>''''''''''''''''''' ''''''' ''''''''''''''''''' '''''''</w:t>
      </w:r>
      <w:r w:rsidRPr="00DB4AE1">
        <w:t>. It would be most appropriate to delay sensitivity analyses until drug costs have been corrected, in terms of updating the ex-manufacturer cost of Botox to DPMQ and applying the F1 5% statutory price reduction and patient copaymen</w:t>
      </w:r>
      <w:r w:rsidR="00D95F30" w:rsidRPr="00DB4AE1">
        <w:t xml:space="preserve">ts in the financial estimates. </w:t>
      </w:r>
      <w:r w:rsidR="006D14F5" w:rsidRPr="00DB4AE1">
        <w:t>Due to a range of other issues with the estimates, t</w:t>
      </w:r>
      <w:r w:rsidRPr="00DB4AE1">
        <w:t>hese steps were no</w:t>
      </w:r>
      <w:r w:rsidR="00D95F30" w:rsidRPr="00DB4AE1">
        <w:t>t taken during the evaluation.</w:t>
      </w:r>
    </w:p>
    <w:p w:rsidR="00467357" w:rsidRPr="00467357" w:rsidRDefault="0094501C" w:rsidP="00467357">
      <w:pPr>
        <w:numPr>
          <w:ilvl w:val="1"/>
          <w:numId w:val="1"/>
        </w:numPr>
        <w:spacing w:after="120"/>
        <w:rPr>
          <w:rFonts w:asciiTheme="minorHAnsi" w:hAnsiTheme="minorHAnsi"/>
          <w:bCs/>
          <w:lang w:val="en-GB"/>
        </w:rPr>
      </w:pPr>
      <w:r w:rsidRPr="00EB21D1">
        <w:t xml:space="preserve">The ESC noted that the DUSC data showed both higher initiation and continuation rates than </w:t>
      </w:r>
      <w:r w:rsidR="00D95F30" w:rsidRPr="00EB21D1">
        <w:t>accepted</w:t>
      </w:r>
      <w:r w:rsidR="00FA4EDE" w:rsidRPr="00EB21D1">
        <w:t xml:space="preserve"> by the PBAC in July 2013.</w:t>
      </w:r>
      <w:r w:rsidRPr="00EB21D1">
        <w:t xml:space="preserve"> </w:t>
      </w:r>
      <w:r w:rsidR="00FA4EDE" w:rsidRPr="00EB21D1">
        <w:t>A</w:t>
      </w:r>
      <w:r w:rsidRPr="00EB21D1">
        <w:t xml:space="preserve">t the time of recommending the listing, the PBAC was of the view that there was considerable uncertainty in the size of the population that would be eligible for </w:t>
      </w:r>
      <w:r w:rsidR="00D95F30" w:rsidRPr="00EB21D1">
        <w:t>B</w:t>
      </w:r>
      <w:r w:rsidRPr="00EB21D1">
        <w:t xml:space="preserve">otox treatment. The </w:t>
      </w:r>
      <w:r w:rsidR="00D25782" w:rsidRPr="00EB21D1">
        <w:t>PBAC</w:t>
      </w:r>
      <w:r w:rsidRPr="00EB21D1">
        <w:t xml:space="preserve"> </w:t>
      </w:r>
      <w:r w:rsidR="00452F4D" w:rsidRPr="00EB21D1">
        <w:t>considered</w:t>
      </w:r>
      <w:r w:rsidRPr="00EB21D1">
        <w:t xml:space="preserve"> that the submission had not presented any data to support whether the higher than expected initiation rates could be attributed to appropriate use. The </w:t>
      </w:r>
      <w:r w:rsidR="00D25782" w:rsidRPr="00EB21D1">
        <w:t>PBAC</w:t>
      </w:r>
      <w:r w:rsidRPr="00EB21D1">
        <w:t xml:space="preserve"> noted that the proposed continuation rates were based on the assumption that all continuation was appropriate, which </w:t>
      </w:r>
      <w:r w:rsidR="00D95F30" w:rsidRPr="00EB21D1">
        <w:t xml:space="preserve">the </w:t>
      </w:r>
      <w:r w:rsidR="00D25782" w:rsidRPr="00EB21D1">
        <w:t>PBAC</w:t>
      </w:r>
      <w:r w:rsidR="00D95F30" w:rsidRPr="00EB21D1">
        <w:t xml:space="preserve"> considered </w:t>
      </w:r>
      <w:r w:rsidRPr="00EB21D1">
        <w:t>was not adequately supported by the da</w:t>
      </w:r>
      <w:r w:rsidR="00D95F30" w:rsidRPr="00EB21D1">
        <w:t>ta presented in the submission.</w:t>
      </w:r>
    </w:p>
    <w:p w:rsidR="00576972" w:rsidRPr="005C236E" w:rsidRDefault="00576972" w:rsidP="005C236E">
      <w:pPr>
        <w:pStyle w:val="Heading2"/>
      </w:pPr>
      <w:bookmarkStart w:id="15" w:name="_Toc377658880"/>
      <w:r w:rsidRPr="005C236E">
        <w:t>Quality Use of Medicines</w:t>
      </w:r>
      <w:bookmarkEnd w:id="15"/>
    </w:p>
    <w:p w:rsidR="00D0742F" w:rsidRDefault="00664EFF" w:rsidP="00D0742F">
      <w:pPr>
        <w:pStyle w:val="ListParagraph"/>
        <w:widowControl/>
        <w:numPr>
          <w:ilvl w:val="1"/>
          <w:numId w:val="1"/>
        </w:numPr>
        <w:spacing w:after="120"/>
      </w:pPr>
      <w:r w:rsidRPr="00DB4AE1">
        <w:t xml:space="preserve">The submission stated that quality use of medicine (QUM) activities had been described </w:t>
      </w:r>
      <w:r w:rsidR="00D95F30" w:rsidRPr="00DB4AE1">
        <w:t xml:space="preserve">in the July 2013 resubmission. </w:t>
      </w:r>
      <w:r w:rsidRPr="00DB4AE1">
        <w:t>In the July 2013 resubmission</w:t>
      </w:r>
      <w:r w:rsidR="00D95F30" w:rsidRPr="00DB4AE1">
        <w:t>,</w:t>
      </w:r>
      <w:r w:rsidRPr="00DB4AE1">
        <w:t xml:space="preserve"> activities to support QUM were described as well as post</w:t>
      </w:r>
      <w:r w:rsidR="00B84167">
        <w:t>-</w:t>
      </w:r>
      <w:r w:rsidRPr="00DB4AE1">
        <w:t>marketing studi</w:t>
      </w:r>
      <w:r w:rsidR="00D95F30" w:rsidRPr="00DB4AE1">
        <w:t xml:space="preserve">es and use of patient diaries. </w:t>
      </w:r>
      <w:r w:rsidRPr="00DB4AE1">
        <w:t>The submission added that the sponsor continues to monitor any adverse events associated with Botox use for chronic migraine as part of the TGA-approved risk management plan.</w:t>
      </w:r>
    </w:p>
    <w:p w:rsidR="00D0742F" w:rsidRPr="00DB4AE1" w:rsidRDefault="00D0742F" w:rsidP="00F66207">
      <w:r w:rsidRPr="00D25782">
        <w:rPr>
          <w:rFonts w:asciiTheme="minorHAnsi" w:hAnsiTheme="minorHAnsi"/>
          <w:i/>
        </w:rPr>
        <w:t>For more detail on PBAC’s view, see section 7 PBAC outcome.</w:t>
      </w:r>
    </w:p>
    <w:p w:rsidR="00683BEE" w:rsidRPr="00BD0C33" w:rsidRDefault="00BD0C33" w:rsidP="005C236E">
      <w:pPr>
        <w:pStyle w:val="PBACHeading1"/>
      </w:pPr>
      <w:r>
        <w:t>PBAC o</w:t>
      </w:r>
      <w:r w:rsidR="00683BEE" w:rsidRPr="00BD0C33">
        <w:t>utcome</w:t>
      </w:r>
    </w:p>
    <w:p w:rsidR="00997382" w:rsidRDefault="002E38DF" w:rsidP="00683BEE">
      <w:pPr>
        <w:numPr>
          <w:ilvl w:val="1"/>
          <w:numId w:val="1"/>
        </w:numPr>
        <w:spacing w:after="120"/>
        <w:rPr>
          <w:rFonts w:asciiTheme="minorHAnsi" w:hAnsiTheme="minorHAnsi"/>
          <w:bCs/>
          <w:lang w:val="en-GB"/>
        </w:rPr>
      </w:pPr>
      <w:r>
        <w:rPr>
          <w:rFonts w:asciiTheme="minorHAnsi" w:hAnsiTheme="minorHAnsi"/>
          <w:bCs/>
          <w:lang w:val="en-GB"/>
        </w:rPr>
        <w:t xml:space="preserve">The PBAC </w:t>
      </w:r>
      <w:r w:rsidR="00467357">
        <w:rPr>
          <w:rFonts w:asciiTheme="minorHAnsi" w:hAnsiTheme="minorHAnsi"/>
          <w:bCs/>
          <w:lang w:val="en-GB"/>
        </w:rPr>
        <w:t xml:space="preserve">rejected the request to revise the </w:t>
      </w:r>
      <w:r w:rsidR="00EB21D1">
        <w:rPr>
          <w:rFonts w:asciiTheme="minorHAnsi" w:hAnsiTheme="minorHAnsi"/>
          <w:bCs/>
          <w:lang w:val="en-GB"/>
        </w:rPr>
        <w:t>Risk Sharing Arrangement (</w:t>
      </w:r>
      <w:r w:rsidR="00467357">
        <w:rPr>
          <w:rFonts w:asciiTheme="minorHAnsi" w:hAnsiTheme="minorHAnsi"/>
          <w:bCs/>
          <w:lang w:val="en-GB"/>
        </w:rPr>
        <w:t>RSA</w:t>
      </w:r>
      <w:r w:rsidR="00EB21D1">
        <w:rPr>
          <w:rFonts w:asciiTheme="minorHAnsi" w:hAnsiTheme="minorHAnsi"/>
          <w:bCs/>
          <w:lang w:val="en-GB"/>
        </w:rPr>
        <w:t>)</w:t>
      </w:r>
      <w:r w:rsidR="00467357">
        <w:rPr>
          <w:rFonts w:asciiTheme="minorHAnsi" w:hAnsiTheme="minorHAnsi"/>
          <w:bCs/>
          <w:lang w:val="en-GB"/>
        </w:rPr>
        <w:t xml:space="preserve"> relevant to the use of Botox under its PBS listing for the treatment of chronic migraine. The PBAC considered that the claim made by the submission that the RSA should be revised as the </w:t>
      </w:r>
      <w:r w:rsidR="00C71669">
        <w:rPr>
          <w:rFonts w:asciiTheme="minorHAnsi" w:hAnsiTheme="minorHAnsi"/>
          <w:bCs/>
          <w:lang w:val="en-GB"/>
        </w:rPr>
        <w:t xml:space="preserve">greater </w:t>
      </w:r>
      <w:r w:rsidR="00467357">
        <w:rPr>
          <w:rFonts w:asciiTheme="minorHAnsi" w:hAnsiTheme="minorHAnsi"/>
          <w:bCs/>
          <w:lang w:val="en-GB"/>
        </w:rPr>
        <w:t>than predicted use of Botox was due to greater than expected efficacy</w:t>
      </w:r>
      <w:r w:rsidR="00A91F99">
        <w:rPr>
          <w:rFonts w:asciiTheme="minorHAnsi" w:hAnsiTheme="minorHAnsi"/>
          <w:bCs/>
          <w:lang w:val="en-GB"/>
        </w:rPr>
        <w:t>,</w:t>
      </w:r>
      <w:r w:rsidR="00467357">
        <w:rPr>
          <w:rFonts w:asciiTheme="minorHAnsi" w:hAnsiTheme="minorHAnsi"/>
          <w:bCs/>
          <w:lang w:val="en-GB"/>
        </w:rPr>
        <w:t xml:space="preserve"> and hence was cost-effective</w:t>
      </w:r>
      <w:r w:rsidR="00A91F99">
        <w:rPr>
          <w:rFonts w:asciiTheme="minorHAnsi" w:hAnsiTheme="minorHAnsi"/>
          <w:bCs/>
          <w:lang w:val="en-GB"/>
        </w:rPr>
        <w:t>,</w:t>
      </w:r>
      <w:r w:rsidR="00467357">
        <w:rPr>
          <w:rFonts w:asciiTheme="minorHAnsi" w:hAnsiTheme="minorHAnsi"/>
          <w:bCs/>
          <w:lang w:val="en-GB"/>
        </w:rPr>
        <w:t xml:space="preserve"> was not </w:t>
      </w:r>
      <w:r w:rsidR="008C3E77">
        <w:rPr>
          <w:rFonts w:asciiTheme="minorHAnsi" w:hAnsiTheme="minorHAnsi"/>
          <w:bCs/>
          <w:lang w:val="en-GB"/>
        </w:rPr>
        <w:t xml:space="preserve">adequately </w:t>
      </w:r>
      <w:r w:rsidR="00467357">
        <w:rPr>
          <w:rFonts w:asciiTheme="minorHAnsi" w:hAnsiTheme="minorHAnsi"/>
          <w:bCs/>
          <w:lang w:val="en-GB"/>
        </w:rPr>
        <w:t>supported by the evidence presented.</w:t>
      </w:r>
    </w:p>
    <w:p w:rsidR="0096695C" w:rsidRDefault="00997382" w:rsidP="00160A4A">
      <w:pPr>
        <w:numPr>
          <w:ilvl w:val="1"/>
          <w:numId w:val="1"/>
        </w:numPr>
        <w:spacing w:after="120"/>
        <w:rPr>
          <w:rFonts w:asciiTheme="minorHAnsi" w:hAnsiTheme="minorHAnsi"/>
          <w:bCs/>
          <w:lang w:val="en-GB"/>
        </w:rPr>
      </w:pPr>
      <w:r w:rsidRPr="00160A4A">
        <w:rPr>
          <w:rFonts w:asciiTheme="minorHAnsi" w:hAnsiTheme="minorHAnsi"/>
          <w:bCs/>
          <w:lang w:val="en-GB"/>
        </w:rPr>
        <w:t xml:space="preserve">The PBAC </w:t>
      </w:r>
      <w:r w:rsidR="00160A4A">
        <w:rPr>
          <w:rFonts w:asciiTheme="minorHAnsi" w:hAnsiTheme="minorHAnsi"/>
          <w:bCs/>
          <w:lang w:val="en-GB"/>
        </w:rPr>
        <w:t xml:space="preserve">noted </w:t>
      </w:r>
      <w:r w:rsidR="00F542D3">
        <w:rPr>
          <w:rFonts w:asciiTheme="minorHAnsi" w:hAnsiTheme="minorHAnsi"/>
          <w:bCs/>
          <w:lang w:val="en-GB"/>
        </w:rPr>
        <w:t xml:space="preserve">that </w:t>
      </w:r>
      <w:r w:rsidR="00160A4A">
        <w:rPr>
          <w:rFonts w:asciiTheme="minorHAnsi" w:hAnsiTheme="minorHAnsi"/>
          <w:bCs/>
          <w:lang w:val="en-GB"/>
        </w:rPr>
        <w:t xml:space="preserve">the DUSC </w:t>
      </w:r>
      <w:r w:rsidR="004915B3">
        <w:rPr>
          <w:rFonts w:asciiTheme="minorHAnsi" w:hAnsiTheme="minorHAnsi"/>
          <w:bCs/>
          <w:lang w:val="en-GB"/>
        </w:rPr>
        <w:t xml:space="preserve">24-month predicted versus actual analysis of the use of Botox </w:t>
      </w:r>
      <w:r w:rsidR="00160A4A">
        <w:rPr>
          <w:rFonts w:asciiTheme="minorHAnsi" w:hAnsiTheme="minorHAnsi"/>
          <w:bCs/>
          <w:lang w:val="en-GB"/>
        </w:rPr>
        <w:t xml:space="preserve">showed both higher initiation and continuation rates </w:t>
      </w:r>
      <w:r w:rsidR="004915B3">
        <w:rPr>
          <w:rFonts w:asciiTheme="minorHAnsi" w:hAnsiTheme="minorHAnsi"/>
          <w:bCs/>
          <w:lang w:val="en-GB"/>
        </w:rPr>
        <w:t>than predicted</w:t>
      </w:r>
      <w:r w:rsidR="00160A4A">
        <w:rPr>
          <w:rFonts w:asciiTheme="minorHAnsi" w:hAnsiTheme="minorHAnsi"/>
          <w:bCs/>
          <w:lang w:val="en-GB"/>
        </w:rPr>
        <w:t>.</w:t>
      </w:r>
      <w:r w:rsidR="0096695C">
        <w:rPr>
          <w:rFonts w:asciiTheme="minorHAnsi" w:hAnsiTheme="minorHAnsi"/>
          <w:bCs/>
          <w:lang w:val="en-GB"/>
        </w:rPr>
        <w:t xml:space="preserve"> The PBAC considered that the higher than e</w:t>
      </w:r>
      <w:r w:rsidR="000474AF">
        <w:rPr>
          <w:rFonts w:asciiTheme="minorHAnsi" w:hAnsiTheme="minorHAnsi"/>
          <w:bCs/>
          <w:lang w:val="en-GB"/>
        </w:rPr>
        <w:t>stimated</w:t>
      </w:r>
      <w:r w:rsidR="0096695C">
        <w:rPr>
          <w:rFonts w:asciiTheme="minorHAnsi" w:hAnsiTheme="minorHAnsi"/>
          <w:bCs/>
          <w:lang w:val="en-GB"/>
        </w:rPr>
        <w:t xml:space="preserve"> use of Botox in chronic migraine was not unexpected, and recalled that the recommendation for the original RSA was to address th</w:t>
      </w:r>
      <w:r w:rsidR="00EB21D1">
        <w:rPr>
          <w:rFonts w:asciiTheme="minorHAnsi" w:hAnsiTheme="minorHAnsi"/>
          <w:bCs/>
          <w:lang w:val="en-GB"/>
        </w:rPr>
        <w:t>is, and the</w:t>
      </w:r>
      <w:r w:rsidR="0096695C">
        <w:rPr>
          <w:rFonts w:asciiTheme="minorHAnsi" w:hAnsiTheme="minorHAnsi"/>
          <w:bCs/>
          <w:lang w:val="en-GB"/>
        </w:rPr>
        <w:t xml:space="preserve"> uncertainty </w:t>
      </w:r>
      <w:r w:rsidR="00EB21D1">
        <w:rPr>
          <w:rFonts w:asciiTheme="minorHAnsi" w:hAnsiTheme="minorHAnsi"/>
          <w:bCs/>
          <w:lang w:val="en-GB"/>
        </w:rPr>
        <w:t>that</w:t>
      </w:r>
      <w:r w:rsidR="0096695C">
        <w:rPr>
          <w:rFonts w:asciiTheme="minorHAnsi" w:hAnsiTheme="minorHAnsi"/>
          <w:bCs/>
          <w:lang w:val="en-GB"/>
        </w:rPr>
        <w:t xml:space="preserve"> the cost-effectiveness </w:t>
      </w:r>
      <w:r w:rsidR="00EB21D1">
        <w:rPr>
          <w:rFonts w:asciiTheme="minorHAnsi" w:hAnsiTheme="minorHAnsi"/>
          <w:bCs/>
          <w:lang w:val="en-GB"/>
        </w:rPr>
        <w:t>would be</w:t>
      </w:r>
      <w:r w:rsidR="0096695C">
        <w:rPr>
          <w:rFonts w:asciiTheme="minorHAnsi" w:hAnsiTheme="minorHAnsi"/>
          <w:bCs/>
          <w:lang w:val="en-GB"/>
        </w:rPr>
        <w:t xml:space="preserve"> reflected in practice.</w:t>
      </w:r>
    </w:p>
    <w:p w:rsidR="00681F0C" w:rsidRDefault="0096695C" w:rsidP="002870D8">
      <w:pPr>
        <w:numPr>
          <w:ilvl w:val="1"/>
          <w:numId w:val="1"/>
        </w:numPr>
        <w:spacing w:after="120"/>
        <w:rPr>
          <w:rFonts w:asciiTheme="minorHAnsi" w:hAnsiTheme="minorHAnsi"/>
          <w:bCs/>
          <w:lang w:val="en-GB"/>
        </w:rPr>
      </w:pPr>
      <w:r>
        <w:rPr>
          <w:rFonts w:asciiTheme="minorHAnsi" w:hAnsiTheme="minorHAnsi"/>
          <w:bCs/>
          <w:lang w:val="en-GB"/>
        </w:rPr>
        <w:t xml:space="preserve">The PBAC noted that </w:t>
      </w:r>
      <w:r w:rsidR="0099670D">
        <w:rPr>
          <w:rFonts w:asciiTheme="minorHAnsi" w:hAnsiTheme="minorHAnsi"/>
          <w:bCs/>
          <w:lang w:val="en-GB"/>
        </w:rPr>
        <w:t xml:space="preserve">the Stark 2017 </w:t>
      </w:r>
      <w:r>
        <w:rPr>
          <w:rFonts w:asciiTheme="minorHAnsi" w:hAnsiTheme="minorHAnsi"/>
          <w:bCs/>
          <w:lang w:val="en-GB"/>
        </w:rPr>
        <w:t xml:space="preserve">retrospective chart review served as the key evidentiary basis of the requested RSA revision. </w:t>
      </w:r>
      <w:r w:rsidR="000818A1">
        <w:rPr>
          <w:rFonts w:asciiTheme="minorHAnsi" w:hAnsiTheme="minorHAnsi"/>
          <w:bCs/>
          <w:lang w:val="en-GB"/>
        </w:rPr>
        <w:t xml:space="preserve">The PBAC </w:t>
      </w:r>
      <w:r w:rsidR="002870D8">
        <w:rPr>
          <w:rFonts w:asciiTheme="minorHAnsi" w:hAnsiTheme="minorHAnsi"/>
          <w:bCs/>
          <w:lang w:val="en-GB"/>
        </w:rPr>
        <w:t xml:space="preserve">considered that the study had a high risk of bias as it was </w:t>
      </w:r>
      <w:r w:rsidR="00042491">
        <w:rPr>
          <w:rFonts w:asciiTheme="minorHAnsi" w:hAnsiTheme="minorHAnsi"/>
          <w:bCs/>
          <w:lang w:val="en-GB"/>
        </w:rPr>
        <w:t xml:space="preserve">uncontrolled and unblinded, with less than half the participants utilising </w:t>
      </w:r>
      <w:r w:rsidR="002870D8">
        <w:rPr>
          <w:rFonts w:asciiTheme="minorHAnsi" w:hAnsiTheme="minorHAnsi"/>
          <w:bCs/>
          <w:lang w:val="en-GB"/>
        </w:rPr>
        <w:t xml:space="preserve">a </w:t>
      </w:r>
      <w:r w:rsidR="00042491">
        <w:rPr>
          <w:rFonts w:asciiTheme="minorHAnsi" w:hAnsiTheme="minorHAnsi"/>
          <w:bCs/>
          <w:lang w:val="en-GB"/>
        </w:rPr>
        <w:t xml:space="preserve">headache </w:t>
      </w:r>
      <w:r w:rsidR="002870D8">
        <w:rPr>
          <w:rFonts w:asciiTheme="minorHAnsi" w:hAnsiTheme="minorHAnsi"/>
          <w:bCs/>
          <w:lang w:val="en-GB"/>
        </w:rPr>
        <w:t>diary in the assessment of the primary outcome. The PBAC also noted that there is some eviden</w:t>
      </w:r>
      <w:r w:rsidR="00681F0C">
        <w:rPr>
          <w:rFonts w:asciiTheme="minorHAnsi" w:hAnsiTheme="minorHAnsi"/>
          <w:bCs/>
          <w:lang w:val="en-GB"/>
        </w:rPr>
        <w:t>ce that a PBS continuation rule</w:t>
      </w:r>
      <w:r w:rsidR="00042491">
        <w:rPr>
          <w:rFonts w:asciiTheme="minorHAnsi" w:hAnsiTheme="minorHAnsi"/>
          <w:bCs/>
          <w:lang w:val="en-GB"/>
        </w:rPr>
        <w:t>,</w:t>
      </w:r>
      <w:r w:rsidR="00681F0C">
        <w:rPr>
          <w:rFonts w:asciiTheme="minorHAnsi" w:hAnsiTheme="minorHAnsi"/>
          <w:bCs/>
          <w:lang w:val="en-GB"/>
        </w:rPr>
        <w:t xml:space="preserve"> particularly one based on subjective criteria, may contribute to greater than trial-based continuation rates and considered that the Stark 2017 study is likely to be subject to such a bias.</w:t>
      </w:r>
    </w:p>
    <w:p w:rsidR="00B140DA" w:rsidRDefault="00B55776" w:rsidP="00936795">
      <w:pPr>
        <w:numPr>
          <w:ilvl w:val="1"/>
          <w:numId w:val="1"/>
        </w:numPr>
        <w:spacing w:after="120"/>
        <w:rPr>
          <w:rFonts w:asciiTheme="minorHAnsi" w:hAnsiTheme="minorHAnsi"/>
          <w:bCs/>
          <w:lang w:val="en-GB"/>
        </w:rPr>
      </w:pPr>
      <w:r>
        <w:rPr>
          <w:rFonts w:asciiTheme="minorHAnsi" w:hAnsiTheme="minorHAnsi"/>
          <w:bCs/>
          <w:lang w:val="en-GB"/>
        </w:rPr>
        <w:t xml:space="preserve">The PBAC noted </w:t>
      </w:r>
      <w:r w:rsidR="000474AF">
        <w:rPr>
          <w:rFonts w:asciiTheme="minorHAnsi" w:hAnsiTheme="minorHAnsi"/>
          <w:bCs/>
          <w:lang w:val="en-GB"/>
        </w:rPr>
        <w:t xml:space="preserve">that </w:t>
      </w:r>
      <w:r>
        <w:rPr>
          <w:rFonts w:asciiTheme="minorHAnsi" w:hAnsiTheme="minorHAnsi"/>
          <w:bCs/>
          <w:lang w:val="en-GB"/>
        </w:rPr>
        <w:t>the</w:t>
      </w:r>
      <w:r w:rsidR="00F94ECE">
        <w:rPr>
          <w:rFonts w:asciiTheme="minorHAnsi" w:hAnsiTheme="minorHAnsi"/>
          <w:bCs/>
          <w:lang w:val="en-GB"/>
        </w:rPr>
        <w:t xml:space="preserve"> </w:t>
      </w:r>
      <w:r>
        <w:rPr>
          <w:rFonts w:asciiTheme="minorHAnsi" w:hAnsiTheme="minorHAnsi"/>
          <w:bCs/>
          <w:lang w:val="en-GB"/>
        </w:rPr>
        <w:t>submission</w:t>
      </w:r>
      <w:r w:rsidR="00F94ECE">
        <w:rPr>
          <w:rFonts w:asciiTheme="minorHAnsi" w:hAnsiTheme="minorHAnsi"/>
          <w:bCs/>
          <w:lang w:val="en-GB"/>
        </w:rPr>
        <w:t xml:space="preserve"> claim</w:t>
      </w:r>
      <w:r w:rsidR="00142672">
        <w:rPr>
          <w:rFonts w:asciiTheme="minorHAnsi" w:hAnsiTheme="minorHAnsi"/>
          <w:bCs/>
          <w:lang w:val="en-GB"/>
        </w:rPr>
        <w:t xml:space="preserve">ed </w:t>
      </w:r>
      <w:r w:rsidR="00F94ECE">
        <w:rPr>
          <w:rFonts w:asciiTheme="minorHAnsi" w:hAnsiTheme="minorHAnsi"/>
          <w:bCs/>
          <w:lang w:val="en-GB"/>
        </w:rPr>
        <w:t xml:space="preserve">the results of the Stark 2017 retrospective </w:t>
      </w:r>
      <w:r w:rsidR="00B140DA">
        <w:rPr>
          <w:rFonts w:asciiTheme="minorHAnsi" w:hAnsiTheme="minorHAnsi"/>
          <w:bCs/>
          <w:lang w:val="en-GB"/>
        </w:rPr>
        <w:t>review indicated a higher proportion</w:t>
      </w:r>
      <w:r w:rsidR="00F94ECE">
        <w:rPr>
          <w:rFonts w:asciiTheme="minorHAnsi" w:hAnsiTheme="minorHAnsi"/>
          <w:bCs/>
          <w:lang w:val="en-GB"/>
        </w:rPr>
        <w:t xml:space="preserve"> of patients are satisfying continuation criteria (≥ 50% reduction in the number of headache days per month) than observed in the PREEMPT trials</w:t>
      </w:r>
      <w:r w:rsidR="00174EFA">
        <w:rPr>
          <w:rFonts w:asciiTheme="minorHAnsi" w:hAnsiTheme="minorHAnsi"/>
          <w:bCs/>
          <w:lang w:val="en-GB"/>
        </w:rPr>
        <w:t xml:space="preserve"> (73.9% versus 38.3% respectively)</w:t>
      </w:r>
      <w:r w:rsidR="00F94ECE">
        <w:rPr>
          <w:rFonts w:asciiTheme="minorHAnsi" w:hAnsiTheme="minorHAnsi"/>
          <w:bCs/>
          <w:lang w:val="en-GB"/>
        </w:rPr>
        <w:t xml:space="preserve">. </w:t>
      </w:r>
      <w:r w:rsidR="00B140DA">
        <w:rPr>
          <w:rFonts w:asciiTheme="minorHAnsi" w:hAnsiTheme="minorHAnsi"/>
          <w:bCs/>
          <w:lang w:val="en-GB"/>
        </w:rPr>
        <w:t>The PBAC noted that the continuation rate reported in the Stark 2017 study was similar to the 71.4% continuation rate calculated by DUSC.</w:t>
      </w:r>
    </w:p>
    <w:p w:rsidR="002870D8" w:rsidRPr="00936795" w:rsidRDefault="00B55776" w:rsidP="00936795">
      <w:pPr>
        <w:numPr>
          <w:ilvl w:val="1"/>
          <w:numId w:val="1"/>
        </w:numPr>
        <w:spacing w:after="120"/>
        <w:rPr>
          <w:rFonts w:asciiTheme="minorHAnsi" w:hAnsiTheme="minorHAnsi"/>
          <w:bCs/>
          <w:lang w:val="en-GB"/>
        </w:rPr>
      </w:pPr>
      <w:r w:rsidRPr="00DB4AE1">
        <w:t xml:space="preserve">The </w:t>
      </w:r>
      <w:r>
        <w:t>PBAC</w:t>
      </w:r>
      <w:r w:rsidRPr="00DB4AE1">
        <w:t xml:space="preserve"> considered that</w:t>
      </w:r>
      <w:r w:rsidR="000474AF">
        <w:t>,</w:t>
      </w:r>
      <w:r w:rsidRPr="00DB4AE1">
        <w:t xml:space="preserve"> while the Stark </w:t>
      </w:r>
      <w:r>
        <w:t>2017 retrospective chart review</w:t>
      </w:r>
      <w:r w:rsidRPr="00DB4AE1">
        <w:t xml:space="preserve"> demonstrated higher continuation</w:t>
      </w:r>
      <w:r w:rsidR="00B70C86">
        <w:t xml:space="preserve"> rates than the PREEMPT trial, the</w:t>
      </w:r>
      <w:r w:rsidRPr="00DB4AE1">
        <w:t xml:space="preserve"> higher rate of continuation could potentially be attributed to other factors not directly associated with better than expected efficacy (open-label design, considerable placebo effect, </w:t>
      </w:r>
      <w:r>
        <w:t xml:space="preserve">continued use of oral </w:t>
      </w:r>
      <w:r w:rsidR="00936795">
        <w:t xml:space="preserve">prophylactic treatments, </w:t>
      </w:r>
      <w:r w:rsidRPr="00DB4AE1">
        <w:t xml:space="preserve">influence of a continuation rule). The </w:t>
      </w:r>
      <w:r>
        <w:t>PBAC</w:t>
      </w:r>
      <w:r w:rsidRPr="00DB4AE1">
        <w:t xml:space="preserve"> also considered that the outcomes assessments by headache diary or physician assessment were subjective measures. </w:t>
      </w:r>
      <w:r w:rsidR="00924B4E">
        <w:t>The PBAC concluded that the Stark 2017 study likely over-estimate</w:t>
      </w:r>
      <w:r w:rsidR="000474AF">
        <w:t>d</w:t>
      </w:r>
      <w:r w:rsidR="00924B4E">
        <w:t xml:space="preserve"> the incremental response rate for Botox use in chronic migraine.</w:t>
      </w:r>
    </w:p>
    <w:p w:rsidR="008E38A4" w:rsidRDefault="00FA6AA5" w:rsidP="00504D1C">
      <w:pPr>
        <w:numPr>
          <w:ilvl w:val="1"/>
          <w:numId w:val="1"/>
        </w:numPr>
        <w:spacing w:after="120"/>
        <w:rPr>
          <w:rFonts w:asciiTheme="minorHAnsi" w:hAnsiTheme="minorHAnsi"/>
          <w:bCs/>
          <w:lang w:val="en-GB"/>
        </w:rPr>
      </w:pPr>
      <w:r>
        <w:rPr>
          <w:rFonts w:asciiTheme="minorHAnsi" w:hAnsiTheme="minorHAnsi"/>
          <w:bCs/>
          <w:lang w:val="en-GB"/>
        </w:rPr>
        <w:t>The PBAC noted that the response rates</w:t>
      </w:r>
      <w:r w:rsidR="008C3E77">
        <w:rPr>
          <w:rFonts w:asciiTheme="minorHAnsi" w:hAnsiTheme="minorHAnsi"/>
          <w:bCs/>
          <w:lang w:val="en-GB"/>
        </w:rPr>
        <w:t xml:space="preserve"> reported in</w:t>
      </w:r>
      <w:r>
        <w:rPr>
          <w:rFonts w:asciiTheme="minorHAnsi" w:hAnsiTheme="minorHAnsi"/>
          <w:bCs/>
          <w:lang w:val="en-GB"/>
        </w:rPr>
        <w:t xml:space="preserve"> the other real</w:t>
      </w:r>
      <w:r w:rsidR="00936795">
        <w:rPr>
          <w:rFonts w:asciiTheme="minorHAnsi" w:hAnsiTheme="minorHAnsi"/>
          <w:bCs/>
          <w:lang w:val="en-GB"/>
        </w:rPr>
        <w:t>-</w:t>
      </w:r>
      <w:r>
        <w:rPr>
          <w:rFonts w:asciiTheme="minorHAnsi" w:hAnsiTheme="minorHAnsi"/>
          <w:bCs/>
          <w:lang w:val="en-GB"/>
        </w:rPr>
        <w:t xml:space="preserve">world studies </w:t>
      </w:r>
      <w:r w:rsidR="00936795">
        <w:rPr>
          <w:rFonts w:asciiTheme="minorHAnsi" w:hAnsiTheme="minorHAnsi"/>
          <w:bCs/>
          <w:lang w:val="en-GB"/>
        </w:rPr>
        <w:t>included</w:t>
      </w:r>
      <w:r w:rsidR="007103CE">
        <w:rPr>
          <w:rFonts w:asciiTheme="minorHAnsi" w:hAnsiTheme="minorHAnsi"/>
          <w:bCs/>
          <w:lang w:val="en-GB"/>
        </w:rPr>
        <w:t xml:space="preserve"> in the submission had variable results, with results of the Stark </w:t>
      </w:r>
      <w:r w:rsidR="00174EFA">
        <w:rPr>
          <w:rFonts w:asciiTheme="minorHAnsi" w:hAnsiTheme="minorHAnsi"/>
          <w:bCs/>
          <w:lang w:val="en-GB"/>
        </w:rPr>
        <w:t xml:space="preserve">2017 </w:t>
      </w:r>
      <w:r w:rsidR="007103CE">
        <w:rPr>
          <w:rFonts w:asciiTheme="minorHAnsi" w:hAnsiTheme="minorHAnsi"/>
          <w:bCs/>
          <w:lang w:val="en-GB"/>
        </w:rPr>
        <w:t xml:space="preserve">study appearing on the high end of the range. The </w:t>
      </w:r>
      <w:r w:rsidR="00816793">
        <w:rPr>
          <w:rFonts w:asciiTheme="minorHAnsi" w:hAnsiTheme="minorHAnsi"/>
          <w:bCs/>
          <w:lang w:val="en-GB"/>
        </w:rPr>
        <w:t xml:space="preserve">PBAC noted that the </w:t>
      </w:r>
      <w:r w:rsidR="007103CE">
        <w:rPr>
          <w:rFonts w:asciiTheme="minorHAnsi" w:hAnsiTheme="minorHAnsi"/>
          <w:bCs/>
          <w:lang w:val="en-GB"/>
        </w:rPr>
        <w:t xml:space="preserve">Stark </w:t>
      </w:r>
      <w:r w:rsidR="00816793">
        <w:rPr>
          <w:rFonts w:asciiTheme="minorHAnsi" w:hAnsiTheme="minorHAnsi"/>
          <w:bCs/>
          <w:lang w:val="en-GB"/>
        </w:rPr>
        <w:t xml:space="preserve">2017 </w:t>
      </w:r>
      <w:r w:rsidR="007103CE">
        <w:rPr>
          <w:rFonts w:asciiTheme="minorHAnsi" w:hAnsiTheme="minorHAnsi"/>
          <w:bCs/>
          <w:lang w:val="en-GB"/>
        </w:rPr>
        <w:t>study was not the only o</w:t>
      </w:r>
      <w:r w:rsidR="00B84167">
        <w:rPr>
          <w:rFonts w:asciiTheme="minorHAnsi" w:hAnsiTheme="minorHAnsi"/>
          <w:bCs/>
          <w:lang w:val="en-GB"/>
        </w:rPr>
        <w:t>utlier;</w:t>
      </w:r>
      <w:r w:rsidR="007103CE">
        <w:rPr>
          <w:rFonts w:asciiTheme="minorHAnsi" w:hAnsiTheme="minorHAnsi"/>
          <w:bCs/>
          <w:lang w:val="en-GB"/>
        </w:rPr>
        <w:t xml:space="preserve"> however</w:t>
      </w:r>
      <w:r w:rsidR="00B84167">
        <w:rPr>
          <w:rFonts w:asciiTheme="minorHAnsi" w:hAnsiTheme="minorHAnsi"/>
          <w:bCs/>
          <w:lang w:val="en-GB"/>
        </w:rPr>
        <w:t>,</w:t>
      </w:r>
      <w:r w:rsidR="007103CE">
        <w:rPr>
          <w:rFonts w:asciiTheme="minorHAnsi" w:hAnsiTheme="minorHAnsi"/>
          <w:bCs/>
          <w:lang w:val="en-GB"/>
        </w:rPr>
        <w:t xml:space="preserve"> </w:t>
      </w:r>
      <w:r w:rsidR="00816793">
        <w:rPr>
          <w:rFonts w:asciiTheme="minorHAnsi" w:hAnsiTheme="minorHAnsi"/>
          <w:bCs/>
          <w:lang w:val="en-GB"/>
        </w:rPr>
        <w:t xml:space="preserve">the Committee was concerned that </w:t>
      </w:r>
      <w:r w:rsidR="007103CE">
        <w:rPr>
          <w:rFonts w:asciiTheme="minorHAnsi" w:hAnsiTheme="minorHAnsi"/>
          <w:bCs/>
          <w:lang w:val="en-GB"/>
        </w:rPr>
        <w:t xml:space="preserve">there was no exploration of the variability of response rates </w:t>
      </w:r>
      <w:r w:rsidR="00816793">
        <w:rPr>
          <w:rFonts w:asciiTheme="minorHAnsi" w:hAnsiTheme="minorHAnsi"/>
          <w:bCs/>
          <w:lang w:val="en-GB"/>
        </w:rPr>
        <w:t>evident in the real-world studies presented</w:t>
      </w:r>
      <w:r w:rsidR="004C45D0">
        <w:rPr>
          <w:rFonts w:asciiTheme="minorHAnsi" w:hAnsiTheme="minorHAnsi"/>
          <w:bCs/>
          <w:lang w:val="en-GB"/>
        </w:rPr>
        <w:t>, nor was there an adequate justification for exclusion of these studies</w:t>
      </w:r>
      <w:r w:rsidR="00816793">
        <w:rPr>
          <w:rFonts w:asciiTheme="minorHAnsi" w:hAnsiTheme="minorHAnsi"/>
          <w:bCs/>
          <w:lang w:val="en-GB"/>
        </w:rPr>
        <w:t>.</w:t>
      </w:r>
    </w:p>
    <w:p w:rsidR="00C06AD9" w:rsidRPr="007E3535" w:rsidRDefault="008E38A4" w:rsidP="007E3535">
      <w:pPr>
        <w:numPr>
          <w:ilvl w:val="1"/>
          <w:numId w:val="1"/>
        </w:numPr>
        <w:spacing w:after="120"/>
        <w:rPr>
          <w:rFonts w:asciiTheme="minorHAnsi" w:hAnsiTheme="minorHAnsi"/>
          <w:bCs/>
          <w:lang w:val="en-GB"/>
        </w:rPr>
      </w:pPr>
      <w:r w:rsidRPr="007E3535">
        <w:rPr>
          <w:rFonts w:asciiTheme="minorHAnsi" w:hAnsiTheme="minorHAnsi"/>
          <w:bCs/>
          <w:lang w:val="en-GB"/>
        </w:rPr>
        <w:t>In the context of the uncertainty regarding the results of the Stark 2017 retrospective chart review and the nature and variability of the remaining real-world studies presented in the submission</w:t>
      </w:r>
      <w:r w:rsidR="00174EFA" w:rsidRPr="007E3535">
        <w:rPr>
          <w:rFonts w:asciiTheme="minorHAnsi" w:hAnsiTheme="minorHAnsi"/>
          <w:bCs/>
          <w:lang w:val="en-GB"/>
        </w:rPr>
        <w:t>, the PBAC co</w:t>
      </w:r>
      <w:r w:rsidR="00C06AD9" w:rsidRPr="007E3535">
        <w:rPr>
          <w:rFonts w:asciiTheme="minorHAnsi" w:hAnsiTheme="minorHAnsi"/>
          <w:bCs/>
          <w:lang w:val="en-GB"/>
        </w:rPr>
        <w:t>ncluded</w:t>
      </w:r>
      <w:r w:rsidR="00174EFA" w:rsidRPr="007E3535">
        <w:rPr>
          <w:rFonts w:asciiTheme="minorHAnsi" w:hAnsiTheme="minorHAnsi"/>
          <w:bCs/>
          <w:lang w:val="en-GB"/>
        </w:rPr>
        <w:t xml:space="preserve"> that the evidence pr</w:t>
      </w:r>
      <w:r w:rsidRPr="007E3535">
        <w:rPr>
          <w:rFonts w:asciiTheme="minorHAnsi" w:hAnsiTheme="minorHAnsi"/>
          <w:bCs/>
          <w:lang w:val="en-GB"/>
        </w:rPr>
        <w:t xml:space="preserve">esented did not provide a reliable basis for </w:t>
      </w:r>
      <w:r w:rsidR="00C06AD9" w:rsidRPr="007E3535">
        <w:rPr>
          <w:rFonts w:asciiTheme="minorHAnsi" w:hAnsiTheme="minorHAnsi"/>
          <w:bCs/>
          <w:lang w:val="en-GB"/>
        </w:rPr>
        <w:t>a claim</w:t>
      </w:r>
      <w:r w:rsidR="00174EFA" w:rsidRPr="007E3535">
        <w:rPr>
          <w:rFonts w:asciiTheme="minorHAnsi" w:hAnsiTheme="minorHAnsi"/>
          <w:bCs/>
          <w:lang w:val="en-GB"/>
        </w:rPr>
        <w:t xml:space="preserve"> of greater efficacy </w:t>
      </w:r>
      <w:r w:rsidRPr="007E3535">
        <w:rPr>
          <w:rFonts w:asciiTheme="minorHAnsi" w:hAnsiTheme="minorHAnsi"/>
          <w:bCs/>
          <w:lang w:val="en-GB"/>
        </w:rPr>
        <w:t xml:space="preserve">of the use of Botox in chronic migraine </w:t>
      </w:r>
      <w:r w:rsidR="00174EFA" w:rsidRPr="007E3535">
        <w:rPr>
          <w:rFonts w:asciiTheme="minorHAnsi" w:hAnsiTheme="minorHAnsi"/>
          <w:bCs/>
          <w:lang w:val="en-GB"/>
        </w:rPr>
        <w:t>than observed in the PREEMPT trial</w:t>
      </w:r>
      <w:r w:rsidRPr="007E3535">
        <w:rPr>
          <w:rFonts w:asciiTheme="minorHAnsi" w:hAnsiTheme="minorHAnsi"/>
          <w:bCs/>
          <w:lang w:val="en-GB"/>
        </w:rPr>
        <w:t>s</w:t>
      </w:r>
      <w:r w:rsidR="00174EFA" w:rsidRPr="007E3535">
        <w:rPr>
          <w:rFonts w:asciiTheme="minorHAnsi" w:hAnsiTheme="minorHAnsi"/>
          <w:bCs/>
          <w:lang w:val="en-GB"/>
        </w:rPr>
        <w:t xml:space="preserve">. </w:t>
      </w:r>
      <w:r w:rsidR="00924B4E" w:rsidRPr="00924B4E">
        <w:rPr>
          <w:rFonts w:asciiTheme="minorHAnsi" w:hAnsiTheme="minorHAnsi"/>
          <w:bCs/>
          <w:lang w:val="en-GB"/>
        </w:rPr>
        <w:t>The PBA</w:t>
      </w:r>
      <w:r w:rsidR="00924B4E">
        <w:rPr>
          <w:rFonts w:asciiTheme="minorHAnsi" w:hAnsiTheme="minorHAnsi"/>
          <w:bCs/>
          <w:lang w:val="en-GB"/>
        </w:rPr>
        <w:t>C reiterated that the results of the PREEMPT trials provide the most reliable measure of the proportion of patients likely to be considered full responders to Botox.</w:t>
      </w:r>
    </w:p>
    <w:p w:rsidR="00E62EB4" w:rsidRPr="00E62EB4" w:rsidRDefault="006C6C86" w:rsidP="00C06AD9">
      <w:pPr>
        <w:numPr>
          <w:ilvl w:val="1"/>
          <w:numId w:val="1"/>
        </w:numPr>
        <w:spacing w:after="120"/>
        <w:rPr>
          <w:rFonts w:asciiTheme="minorHAnsi" w:hAnsiTheme="minorHAnsi"/>
          <w:bCs/>
          <w:lang w:val="en-GB"/>
        </w:rPr>
      </w:pPr>
      <w:r>
        <w:rPr>
          <w:rFonts w:asciiTheme="minorHAnsi" w:hAnsiTheme="minorHAnsi"/>
          <w:bCs/>
          <w:lang w:val="en-GB"/>
        </w:rPr>
        <w:t xml:space="preserve">The PBAC noted that the submission did not address previously identified issues with the economic model. In addition, the PBAC considered that the continued use of BSC data from the PREEMPT trials did not account for the possibility that there may have been changes in what constitutes BSC as well as its costs and benefits since the trial was conducted. However, the PBAC considered that </w:t>
      </w:r>
      <w:r w:rsidRPr="00DB4AE1">
        <w:rPr>
          <w:rFonts w:asciiTheme="minorHAnsi" w:hAnsiTheme="minorHAnsi"/>
          <w:szCs w:val="24"/>
        </w:rPr>
        <w:t>the submission’s use of single arm data at a high risk of bias from the Stark 2017 retrospective chart review along with RCT-based data from the PREEMPT trials in the BSC comparator arm</w:t>
      </w:r>
      <w:r>
        <w:rPr>
          <w:rFonts w:asciiTheme="minorHAnsi" w:hAnsiTheme="minorHAnsi"/>
          <w:szCs w:val="24"/>
        </w:rPr>
        <w:t xml:space="preserve"> overshadowed the</w:t>
      </w:r>
      <w:r w:rsidRPr="00DB4AE1">
        <w:rPr>
          <w:rFonts w:asciiTheme="minorHAnsi" w:hAnsiTheme="minorHAnsi"/>
          <w:szCs w:val="24"/>
        </w:rPr>
        <w:t xml:space="preserve"> ide</w:t>
      </w:r>
      <w:r>
        <w:rPr>
          <w:rFonts w:asciiTheme="minorHAnsi" w:hAnsiTheme="minorHAnsi"/>
          <w:szCs w:val="24"/>
        </w:rPr>
        <w:t>ntified issues with the model</w:t>
      </w:r>
      <w:r w:rsidRPr="00DB4AE1">
        <w:rPr>
          <w:rFonts w:asciiTheme="minorHAnsi" w:hAnsiTheme="minorHAnsi"/>
          <w:szCs w:val="24"/>
        </w:rPr>
        <w:t xml:space="preserve">. </w:t>
      </w:r>
      <w:r>
        <w:rPr>
          <w:rFonts w:asciiTheme="minorHAnsi" w:hAnsiTheme="minorHAnsi"/>
          <w:szCs w:val="24"/>
        </w:rPr>
        <w:t>As the PBAC considered the submission</w:t>
      </w:r>
      <w:r w:rsidR="000474AF">
        <w:rPr>
          <w:rFonts w:asciiTheme="minorHAnsi" w:hAnsiTheme="minorHAnsi"/>
          <w:szCs w:val="24"/>
        </w:rPr>
        <w:t>’</w:t>
      </w:r>
      <w:r>
        <w:rPr>
          <w:rFonts w:asciiTheme="minorHAnsi" w:hAnsiTheme="minorHAnsi"/>
          <w:szCs w:val="24"/>
        </w:rPr>
        <w:t>s clinical claim was inadequately supported by the evidence provided</w:t>
      </w:r>
      <w:r w:rsidR="000474AF">
        <w:rPr>
          <w:rFonts w:asciiTheme="minorHAnsi" w:hAnsiTheme="minorHAnsi"/>
          <w:szCs w:val="24"/>
        </w:rPr>
        <w:t>, the Committee</w:t>
      </w:r>
      <w:r>
        <w:rPr>
          <w:rFonts w:asciiTheme="minorHAnsi" w:hAnsiTheme="minorHAnsi"/>
          <w:szCs w:val="24"/>
        </w:rPr>
        <w:t xml:space="preserve"> did not accept that the approach taken to update the economic model with the results from the Stark 2017 retrospective chart review was valid.</w:t>
      </w:r>
    </w:p>
    <w:p w:rsidR="007E3535" w:rsidRPr="00E62EB4" w:rsidRDefault="001B502E" w:rsidP="00E62EB4">
      <w:pPr>
        <w:numPr>
          <w:ilvl w:val="1"/>
          <w:numId w:val="1"/>
        </w:numPr>
        <w:spacing w:after="120"/>
        <w:rPr>
          <w:rFonts w:asciiTheme="minorHAnsi" w:hAnsiTheme="minorHAnsi"/>
          <w:bCs/>
          <w:lang w:val="en-GB"/>
        </w:rPr>
      </w:pPr>
      <w:r w:rsidRPr="00C06AD9">
        <w:rPr>
          <w:rFonts w:asciiTheme="minorHAnsi" w:hAnsiTheme="minorHAnsi"/>
          <w:bCs/>
          <w:lang w:val="en-GB"/>
        </w:rPr>
        <w:t xml:space="preserve">Culminating from this, </w:t>
      </w:r>
      <w:r w:rsidR="00E62EB4">
        <w:t>t</w:t>
      </w:r>
      <w:r w:rsidR="00E62EB4" w:rsidRPr="00DB4AE1">
        <w:t xml:space="preserve">he </w:t>
      </w:r>
      <w:r w:rsidR="00E62EB4">
        <w:t>PBAC did not accept that the data provided in the current updated model</w:t>
      </w:r>
      <w:r w:rsidR="00E62EB4" w:rsidRPr="00DB4AE1">
        <w:t xml:space="preserve"> </w:t>
      </w:r>
      <w:r w:rsidR="00B70C86">
        <w:t>provide</w:t>
      </w:r>
      <w:r w:rsidR="000474AF">
        <w:t>d</w:t>
      </w:r>
      <w:r w:rsidR="00E62EB4">
        <w:t xml:space="preserve"> any greater certainty that the increased utilisation is cost effective or that the pattern of use is any more cost effective than originally anticipated. The PBAC </w:t>
      </w:r>
      <w:r w:rsidRPr="00C06AD9">
        <w:rPr>
          <w:rFonts w:asciiTheme="minorHAnsi" w:hAnsiTheme="minorHAnsi"/>
          <w:bCs/>
          <w:lang w:val="en-GB"/>
        </w:rPr>
        <w:t xml:space="preserve">therefore </w:t>
      </w:r>
      <w:r w:rsidR="00E62EB4">
        <w:rPr>
          <w:rFonts w:asciiTheme="minorHAnsi" w:hAnsiTheme="minorHAnsi"/>
          <w:bCs/>
          <w:lang w:val="en-GB"/>
        </w:rPr>
        <w:t xml:space="preserve">concluded </w:t>
      </w:r>
      <w:r w:rsidR="000474AF">
        <w:rPr>
          <w:rFonts w:asciiTheme="minorHAnsi" w:hAnsiTheme="minorHAnsi"/>
          <w:bCs/>
          <w:lang w:val="en-GB"/>
        </w:rPr>
        <w:t xml:space="preserve">that </w:t>
      </w:r>
      <w:r w:rsidR="00E62EB4">
        <w:rPr>
          <w:rFonts w:asciiTheme="minorHAnsi" w:hAnsiTheme="minorHAnsi"/>
          <w:bCs/>
          <w:lang w:val="en-GB"/>
        </w:rPr>
        <w:t xml:space="preserve">there was </w:t>
      </w:r>
      <w:r w:rsidRPr="00C06AD9">
        <w:rPr>
          <w:rFonts w:asciiTheme="minorHAnsi" w:hAnsiTheme="minorHAnsi"/>
          <w:bCs/>
          <w:lang w:val="en-GB"/>
        </w:rPr>
        <w:t>an inadequate justification for the requested change</w:t>
      </w:r>
      <w:r w:rsidR="000474AF">
        <w:rPr>
          <w:rFonts w:asciiTheme="minorHAnsi" w:hAnsiTheme="minorHAnsi"/>
          <w:bCs/>
          <w:lang w:val="en-GB"/>
        </w:rPr>
        <w:t>s</w:t>
      </w:r>
      <w:r w:rsidRPr="00C06AD9">
        <w:rPr>
          <w:rFonts w:asciiTheme="minorHAnsi" w:hAnsiTheme="minorHAnsi"/>
          <w:bCs/>
          <w:lang w:val="en-GB"/>
        </w:rPr>
        <w:t xml:space="preserve"> </w:t>
      </w:r>
      <w:r w:rsidR="00E62EB4">
        <w:rPr>
          <w:rFonts w:asciiTheme="minorHAnsi" w:hAnsiTheme="minorHAnsi"/>
          <w:bCs/>
          <w:lang w:val="en-GB"/>
        </w:rPr>
        <w:t>in</w:t>
      </w:r>
      <w:r w:rsidRPr="00C06AD9">
        <w:rPr>
          <w:rFonts w:asciiTheme="minorHAnsi" w:hAnsiTheme="minorHAnsi"/>
          <w:bCs/>
          <w:lang w:val="en-GB"/>
        </w:rPr>
        <w:t xml:space="preserve"> </w:t>
      </w:r>
      <w:r w:rsidR="000474AF">
        <w:rPr>
          <w:rFonts w:asciiTheme="minorHAnsi" w:hAnsiTheme="minorHAnsi"/>
          <w:bCs/>
          <w:lang w:val="en-GB"/>
        </w:rPr>
        <w:t xml:space="preserve">the </w:t>
      </w:r>
      <w:r w:rsidRPr="00C06AD9">
        <w:rPr>
          <w:rFonts w:asciiTheme="minorHAnsi" w:hAnsiTheme="minorHAnsi"/>
          <w:bCs/>
          <w:lang w:val="en-GB"/>
        </w:rPr>
        <w:t xml:space="preserve">RSA </w:t>
      </w:r>
      <w:r w:rsidR="001C4612">
        <w:rPr>
          <w:rFonts w:asciiTheme="minorHAnsi" w:hAnsiTheme="minorHAnsi"/>
          <w:bCs/>
          <w:noProof/>
          <w:color w:val="000000"/>
          <w:highlight w:val="black"/>
          <w:lang w:val="en-GB"/>
        </w:rPr>
        <w:t>'''''''''''''''''' ''''''' ''''''''</w:t>
      </w:r>
      <w:r w:rsidRPr="00C06AD9">
        <w:rPr>
          <w:rFonts w:asciiTheme="minorHAnsi" w:hAnsiTheme="minorHAnsi"/>
          <w:bCs/>
          <w:lang w:val="en-GB"/>
        </w:rPr>
        <w:t>.</w:t>
      </w:r>
    </w:p>
    <w:p w:rsidR="00ED7758" w:rsidRPr="00671FCB" w:rsidRDefault="00A91F99" w:rsidP="00ED7758">
      <w:pPr>
        <w:pStyle w:val="ListParagraph"/>
        <w:numPr>
          <w:ilvl w:val="1"/>
          <w:numId w:val="1"/>
        </w:numPr>
        <w:rPr>
          <w:rFonts w:asciiTheme="minorHAnsi" w:hAnsiTheme="minorHAnsi"/>
          <w:bCs/>
          <w:lang w:val="en-GB"/>
        </w:rPr>
      </w:pPr>
      <w:r>
        <w:t xml:space="preserve">The PBAC noted that, while </w:t>
      </w:r>
      <w:r w:rsidRPr="00DB4AE1">
        <w:t xml:space="preserve">the submission formulated estimates based on the Stark 2017 data, the submission did not apply these estimates to the </w:t>
      </w:r>
      <w:r w:rsidRPr="00671FCB">
        <w:t xml:space="preserve">proposed </w:t>
      </w:r>
      <w:r w:rsidR="001C4612">
        <w:rPr>
          <w:noProof/>
          <w:color w:val="000000"/>
          <w:highlight w:val="black"/>
        </w:rPr>
        <w:t>''''''</w:t>
      </w:r>
      <w:r w:rsidRPr="00671FCB">
        <w:t xml:space="preserve"> and instead used estimates based on </w:t>
      </w:r>
      <w:r w:rsidR="001C4612">
        <w:rPr>
          <w:noProof/>
          <w:color w:val="000000"/>
          <w:highlight w:val="black"/>
        </w:rPr>
        <w:t>''''' '''''''''''''''''' ''''' '''''''''''''' '''''''''''''''' ''''''' '''''''''' ''''''''''' ''' '''''' ''''''' ''''''''''' '''''''''''''''''''''''</w:t>
      </w:r>
      <w:r w:rsidRPr="00671FCB">
        <w:t xml:space="preserve">. The PBAC considered this inconsistency complicated the interpretation of the financial estimates and the </w:t>
      </w:r>
      <w:r w:rsidR="001C4612">
        <w:rPr>
          <w:noProof/>
          <w:color w:val="000000"/>
          <w:highlight w:val="black"/>
        </w:rPr>
        <w:t>'''''''' ''''''''''''</w:t>
      </w:r>
      <w:r w:rsidRPr="00671FCB">
        <w:t>.</w:t>
      </w:r>
      <w:r w:rsidR="00ED7758" w:rsidRPr="00671FCB">
        <w:rPr>
          <w:rFonts w:asciiTheme="minorHAnsi" w:hAnsiTheme="minorHAnsi"/>
          <w:bCs/>
          <w:lang w:val="en-GB"/>
        </w:rPr>
        <w:t xml:space="preserve"> </w:t>
      </w:r>
    </w:p>
    <w:p w:rsidR="00813597" w:rsidRPr="00ED7758" w:rsidRDefault="007E3E25" w:rsidP="00813597">
      <w:pPr>
        <w:pStyle w:val="ListParagraph"/>
        <w:numPr>
          <w:ilvl w:val="1"/>
          <w:numId w:val="1"/>
        </w:numPr>
        <w:rPr>
          <w:rFonts w:asciiTheme="minorHAnsi" w:hAnsiTheme="minorHAnsi"/>
          <w:bCs/>
          <w:lang w:val="en-GB"/>
        </w:rPr>
      </w:pPr>
      <w:r w:rsidRPr="00DB4AE1">
        <w:t xml:space="preserve">The </w:t>
      </w:r>
      <w:r>
        <w:t xml:space="preserve">PBAC noted </w:t>
      </w:r>
      <w:r w:rsidR="000474AF">
        <w:t xml:space="preserve">that </w:t>
      </w:r>
      <w:r>
        <w:t xml:space="preserve">the </w:t>
      </w:r>
      <w:r w:rsidRPr="00DB4AE1">
        <w:t xml:space="preserve">submission proposed a </w:t>
      </w:r>
      <w:r w:rsidR="001C4612">
        <w:rPr>
          <w:noProof/>
          <w:color w:val="000000"/>
          <w:highlight w:val="black"/>
        </w:rPr>
        <w:t>'''''''''' '''''''' '''''''''' ''''''''' ''''''''''''''''''''''''''' ''''''''''''' '''''''''''' '''''' ''''''''' '''''''''''' ''''' ''' ''''''''''''''''''''' '''' '''''''''''''' ''''''''''''''''' ''''' '''''' ''''''' ''''''''' '''''''''''''''''''''''</w:t>
      </w:r>
      <w:r>
        <w:t xml:space="preserve"> </w:t>
      </w:r>
      <w:r w:rsidR="004C45D0">
        <w:t xml:space="preserve">There was </w:t>
      </w:r>
      <w:r w:rsidR="00DB5092">
        <w:t>negligible</w:t>
      </w:r>
      <w:r w:rsidR="004C45D0">
        <w:t xml:space="preserve"> rationale for the </w:t>
      </w:r>
      <w:r w:rsidR="001C4612">
        <w:rPr>
          <w:noProof/>
          <w:color w:val="000000"/>
          <w:highlight w:val="black"/>
        </w:rPr>
        <w:t>'''''''' '''''''''''</w:t>
      </w:r>
      <w:r w:rsidR="004C45D0">
        <w:t xml:space="preserve"> used in the context of the new RSA proposal</w:t>
      </w:r>
      <w:r w:rsidR="001C4612">
        <w:rPr>
          <w:noProof/>
          <w:color w:val="000000"/>
          <w:highlight w:val="black"/>
        </w:rPr>
        <w:t>'' '''''''' ''''''''''' ''''''''''' '''''''' ''''''' '''''''''''''' '''''' '''''''''''' ''''''''''' '''''''' ''''' '''''''''''''''' '''''''''''''''''''' '''''''''''''''' '''' ''''''''''''' ''''''''''''''''''''' '''''''''''' ''''' '''''''''''''''''' '''' '''''' '''''' ''''''''''''''''''''' ''''''''''' ''''''' ''''''''''''''''''</w:t>
      </w:r>
      <w:r>
        <w:t xml:space="preserve"> The PBAC considered that this assumption was not adequately supported by the data provided.</w:t>
      </w:r>
      <w:r w:rsidDel="007E3E25">
        <w:rPr>
          <w:rFonts w:asciiTheme="minorHAnsi" w:hAnsiTheme="minorHAnsi"/>
          <w:bCs/>
          <w:lang w:val="en-GB"/>
        </w:rPr>
        <w:t xml:space="preserve"> </w:t>
      </w:r>
    </w:p>
    <w:p w:rsidR="00ED7758" w:rsidRDefault="00ED7758" w:rsidP="00813597">
      <w:pPr>
        <w:pStyle w:val="ListParagraph"/>
        <w:numPr>
          <w:ilvl w:val="1"/>
          <w:numId w:val="1"/>
        </w:numPr>
        <w:rPr>
          <w:rFonts w:asciiTheme="minorHAnsi" w:hAnsiTheme="minorHAnsi"/>
          <w:bCs/>
          <w:lang w:val="en-GB"/>
        </w:rPr>
      </w:pPr>
      <w:r>
        <w:rPr>
          <w:rFonts w:asciiTheme="minorHAnsi" w:hAnsiTheme="minorHAnsi"/>
          <w:bCs/>
          <w:lang w:val="en-GB"/>
        </w:rPr>
        <w:t xml:space="preserve">The PBAC noted </w:t>
      </w:r>
      <w:r w:rsidR="00E20717">
        <w:rPr>
          <w:rFonts w:asciiTheme="minorHAnsi" w:hAnsiTheme="minorHAnsi"/>
          <w:bCs/>
          <w:lang w:val="en-GB"/>
        </w:rPr>
        <w:t xml:space="preserve">the </w:t>
      </w:r>
      <w:r w:rsidR="00BF5AE2">
        <w:rPr>
          <w:rFonts w:asciiTheme="minorHAnsi" w:hAnsiTheme="minorHAnsi"/>
          <w:bCs/>
          <w:lang w:val="en-GB"/>
        </w:rPr>
        <w:t xml:space="preserve">submission’s </w:t>
      </w:r>
      <w:r w:rsidR="00E20717">
        <w:rPr>
          <w:rFonts w:asciiTheme="minorHAnsi" w:hAnsiTheme="minorHAnsi"/>
          <w:bCs/>
          <w:lang w:val="en-GB"/>
        </w:rPr>
        <w:t xml:space="preserve">claim </w:t>
      </w:r>
      <w:r>
        <w:rPr>
          <w:rFonts w:asciiTheme="minorHAnsi" w:hAnsiTheme="minorHAnsi"/>
          <w:bCs/>
          <w:lang w:val="en-GB"/>
        </w:rPr>
        <w:t xml:space="preserve">that some of the increased utilisation may be </w:t>
      </w:r>
      <w:r w:rsidR="009900FE">
        <w:rPr>
          <w:rFonts w:asciiTheme="minorHAnsi" w:hAnsiTheme="minorHAnsi"/>
          <w:bCs/>
          <w:lang w:val="en-GB"/>
        </w:rPr>
        <w:t xml:space="preserve">derived from </w:t>
      </w:r>
      <w:r w:rsidR="00E20717">
        <w:rPr>
          <w:rFonts w:asciiTheme="minorHAnsi" w:hAnsiTheme="minorHAnsi"/>
          <w:bCs/>
          <w:lang w:val="en-GB"/>
        </w:rPr>
        <w:t xml:space="preserve">more of </w:t>
      </w:r>
      <w:r w:rsidR="006F32D4">
        <w:rPr>
          <w:rFonts w:asciiTheme="minorHAnsi" w:hAnsiTheme="minorHAnsi"/>
          <w:bCs/>
          <w:lang w:val="en-GB"/>
        </w:rPr>
        <w:t xml:space="preserve">the eligible population achieving full response and </w:t>
      </w:r>
      <w:r w:rsidR="00BF5AE2">
        <w:rPr>
          <w:rFonts w:asciiTheme="minorHAnsi" w:hAnsiTheme="minorHAnsi"/>
          <w:bCs/>
          <w:lang w:val="en-GB"/>
        </w:rPr>
        <w:t xml:space="preserve">is </w:t>
      </w:r>
      <w:r w:rsidR="006F32D4">
        <w:rPr>
          <w:rFonts w:asciiTheme="minorHAnsi" w:hAnsiTheme="minorHAnsi"/>
          <w:bCs/>
          <w:lang w:val="en-GB"/>
        </w:rPr>
        <w:t>therefore</w:t>
      </w:r>
      <w:r w:rsidR="00BF5AE2">
        <w:rPr>
          <w:rFonts w:asciiTheme="minorHAnsi" w:hAnsiTheme="minorHAnsi"/>
          <w:bCs/>
          <w:lang w:val="en-GB"/>
        </w:rPr>
        <w:t xml:space="preserve"> being used</w:t>
      </w:r>
      <w:r w:rsidR="006F32D4">
        <w:rPr>
          <w:rFonts w:asciiTheme="minorHAnsi" w:hAnsiTheme="minorHAnsi"/>
          <w:bCs/>
          <w:lang w:val="en-GB"/>
        </w:rPr>
        <w:t xml:space="preserve"> </w:t>
      </w:r>
      <w:r w:rsidR="0055676F">
        <w:rPr>
          <w:rFonts w:asciiTheme="minorHAnsi" w:hAnsiTheme="minorHAnsi"/>
          <w:bCs/>
          <w:lang w:val="en-GB"/>
        </w:rPr>
        <w:t>within the intention of the restriction</w:t>
      </w:r>
      <w:r>
        <w:rPr>
          <w:rFonts w:asciiTheme="minorHAnsi" w:hAnsiTheme="minorHAnsi"/>
          <w:bCs/>
          <w:lang w:val="en-GB"/>
        </w:rPr>
        <w:t xml:space="preserve">, thus some modification of the </w:t>
      </w:r>
      <w:r w:rsidR="00DB5092">
        <w:rPr>
          <w:rFonts w:asciiTheme="minorHAnsi" w:hAnsiTheme="minorHAnsi"/>
          <w:bCs/>
          <w:lang w:val="en-GB"/>
        </w:rPr>
        <w:t xml:space="preserve">RSA </w:t>
      </w:r>
      <w:r w:rsidR="009900FE">
        <w:rPr>
          <w:rFonts w:asciiTheme="minorHAnsi" w:hAnsiTheme="minorHAnsi"/>
          <w:bCs/>
          <w:lang w:val="en-GB"/>
        </w:rPr>
        <w:t>arrangements</w:t>
      </w:r>
      <w:r w:rsidR="00DB5092">
        <w:rPr>
          <w:rFonts w:asciiTheme="minorHAnsi" w:hAnsiTheme="minorHAnsi"/>
          <w:bCs/>
          <w:lang w:val="en-GB"/>
        </w:rPr>
        <w:t xml:space="preserve"> </w:t>
      </w:r>
      <w:r>
        <w:rPr>
          <w:rFonts w:asciiTheme="minorHAnsi" w:hAnsiTheme="minorHAnsi"/>
          <w:bCs/>
          <w:lang w:val="en-GB"/>
        </w:rPr>
        <w:t xml:space="preserve">may be </w:t>
      </w:r>
      <w:r w:rsidR="00B70C86">
        <w:rPr>
          <w:rFonts w:asciiTheme="minorHAnsi" w:hAnsiTheme="minorHAnsi"/>
          <w:bCs/>
          <w:lang w:val="en-GB"/>
        </w:rPr>
        <w:t>reasonable;</w:t>
      </w:r>
      <w:r>
        <w:rPr>
          <w:rFonts w:asciiTheme="minorHAnsi" w:hAnsiTheme="minorHAnsi"/>
          <w:bCs/>
          <w:lang w:val="en-GB"/>
        </w:rPr>
        <w:t xml:space="preserve"> however the evidence provided in this submission was not considered a reliable </w:t>
      </w:r>
      <w:r w:rsidR="00DB5092">
        <w:rPr>
          <w:rFonts w:asciiTheme="minorHAnsi" w:hAnsiTheme="minorHAnsi"/>
          <w:bCs/>
          <w:lang w:val="en-GB"/>
        </w:rPr>
        <w:t xml:space="preserve">basis for </w:t>
      </w:r>
      <w:r w:rsidR="00BF5AE2">
        <w:rPr>
          <w:rFonts w:asciiTheme="minorHAnsi" w:hAnsiTheme="minorHAnsi"/>
          <w:bCs/>
          <w:lang w:val="en-GB"/>
        </w:rPr>
        <w:t xml:space="preserve">the proposed </w:t>
      </w:r>
      <w:r>
        <w:rPr>
          <w:rFonts w:asciiTheme="minorHAnsi" w:hAnsiTheme="minorHAnsi"/>
          <w:bCs/>
          <w:lang w:val="en-GB"/>
        </w:rPr>
        <w:t>change</w:t>
      </w:r>
      <w:r w:rsidR="00BF5AE2">
        <w:rPr>
          <w:rFonts w:asciiTheme="minorHAnsi" w:hAnsiTheme="minorHAnsi"/>
          <w:bCs/>
          <w:lang w:val="en-GB"/>
        </w:rPr>
        <w:t>s</w:t>
      </w:r>
      <w:r>
        <w:rPr>
          <w:rFonts w:asciiTheme="minorHAnsi" w:hAnsiTheme="minorHAnsi"/>
          <w:bCs/>
          <w:lang w:val="en-GB"/>
        </w:rPr>
        <w:t xml:space="preserve"> </w:t>
      </w:r>
      <w:r w:rsidR="00DB5092">
        <w:rPr>
          <w:rFonts w:asciiTheme="minorHAnsi" w:hAnsiTheme="minorHAnsi"/>
          <w:bCs/>
          <w:lang w:val="en-GB"/>
        </w:rPr>
        <w:t xml:space="preserve">to </w:t>
      </w:r>
      <w:r>
        <w:rPr>
          <w:rFonts w:asciiTheme="minorHAnsi" w:hAnsiTheme="minorHAnsi"/>
          <w:bCs/>
          <w:lang w:val="en-GB"/>
        </w:rPr>
        <w:t xml:space="preserve">the </w:t>
      </w:r>
      <w:r w:rsidR="00BF5AE2">
        <w:rPr>
          <w:rFonts w:asciiTheme="minorHAnsi" w:hAnsiTheme="minorHAnsi"/>
          <w:bCs/>
          <w:lang w:val="en-GB"/>
        </w:rPr>
        <w:t>current risk sharing arrangement</w:t>
      </w:r>
      <w:r>
        <w:rPr>
          <w:rFonts w:asciiTheme="minorHAnsi" w:hAnsiTheme="minorHAnsi"/>
          <w:bCs/>
          <w:lang w:val="en-GB"/>
        </w:rPr>
        <w:t>. If any change</w:t>
      </w:r>
      <w:r w:rsidR="0055676F">
        <w:rPr>
          <w:rFonts w:asciiTheme="minorHAnsi" w:hAnsiTheme="minorHAnsi"/>
          <w:bCs/>
          <w:lang w:val="en-GB"/>
        </w:rPr>
        <w:t>s</w:t>
      </w:r>
      <w:r>
        <w:rPr>
          <w:rFonts w:asciiTheme="minorHAnsi" w:hAnsiTheme="minorHAnsi"/>
          <w:bCs/>
          <w:lang w:val="en-GB"/>
        </w:rPr>
        <w:t xml:space="preserve"> in </w:t>
      </w:r>
      <w:r w:rsidR="0055676F">
        <w:rPr>
          <w:rFonts w:asciiTheme="minorHAnsi" w:hAnsiTheme="minorHAnsi"/>
          <w:bCs/>
          <w:lang w:val="en-GB"/>
        </w:rPr>
        <w:t xml:space="preserve">the </w:t>
      </w:r>
      <w:r>
        <w:rPr>
          <w:rFonts w:asciiTheme="minorHAnsi" w:hAnsiTheme="minorHAnsi"/>
          <w:bCs/>
          <w:lang w:val="en-GB"/>
        </w:rPr>
        <w:t>structure of the RSA were to be implemented</w:t>
      </w:r>
      <w:r w:rsidR="0055676F">
        <w:rPr>
          <w:rFonts w:asciiTheme="minorHAnsi" w:hAnsiTheme="minorHAnsi"/>
          <w:bCs/>
          <w:lang w:val="en-GB"/>
        </w:rPr>
        <w:t>,</w:t>
      </w:r>
      <w:r>
        <w:rPr>
          <w:rFonts w:asciiTheme="minorHAnsi" w:hAnsiTheme="minorHAnsi"/>
          <w:bCs/>
          <w:lang w:val="en-GB"/>
        </w:rPr>
        <w:t xml:space="preserve"> </w:t>
      </w:r>
      <w:r w:rsidR="00B70C86">
        <w:rPr>
          <w:rFonts w:asciiTheme="minorHAnsi" w:hAnsiTheme="minorHAnsi"/>
          <w:bCs/>
          <w:lang w:val="en-GB"/>
        </w:rPr>
        <w:t xml:space="preserve">the PBAC </w:t>
      </w:r>
      <w:r w:rsidR="0055676F">
        <w:rPr>
          <w:rFonts w:asciiTheme="minorHAnsi" w:hAnsiTheme="minorHAnsi"/>
          <w:bCs/>
          <w:lang w:val="en-GB"/>
        </w:rPr>
        <w:t xml:space="preserve">advised that these </w:t>
      </w:r>
      <w:r>
        <w:rPr>
          <w:rFonts w:asciiTheme="minorHAnsi" w:hAnsiTheme="minorHAnsi"/>
          <w:bCs/>
          <w:lang w:val="en-GB"/>
        </w:rPr>
        <w:t xml:space="preserve">should have </w:t>
      </w:r>
      <w:r w:rsidR="00EB21D1">
        <w:rPr>
          <w:rFonts w:asciiTheme="minorHAnsi" w:hAnsiTheme="minorHAnsi"/>
          <w:bCs/>
          <w:lang w:val="en-GB"/>
        </w:rPr>
        <w:t xml:space="preserve">no net financial </w:t>
      </w:r>
      <w:r w:rsidR="0055676F">
        <w:rPr>
          <w:rFonts w:asciiTheme="minorHAnsi" w:hAnsiTheme="minorHAnsi"/>
          <w:bCs/>
          <w:lang w:val="en-GB"/>
        </w:rPr>
        <w:t>consequence for the PBS</w:t>
      </w:r>
      <w:r>
        <w:rPr>
          <w:rFonts w:asciiTheme="minorHAnsi" w:hAnsiTheme="minorHAnsi"/>
          <w:bCs/>
          <w:lang w:val="en-GB"/>
        </w:rPr>
        <w:t xml:space="preserve">. </w:t>
      </w:r>
    </w:p>
    <w:p w:rsidR="00504D1C" w:rsidRDefault="003162B0" w:rsidP="00683BEE">
      <w:pPr>
        <w:numPr>
          <w:ilvl w:val="1"/>
          <w:numId w:val="1"/>
        </w:numPr>
        <w:spacing w:after="120"/>
        <w:rPr>
          <w:rFonts w:asciiTheme="minorHAnsi" w:hAnsiTheme="minorHAnsi"/>
          <w:bCs/>
          <w:lang w:val="en-GB"/>
        </w:rPr>
      </w:pPr>
      <w:r>
        <w:rPr>
          <w:rFonts w:asciiTheme="minorHAnsi" w:hAnsiTheme="minorHAnsi"/>
          <w:bCs/>
          <w:lang w:val="en-GB"/>
        </w:rPr>
        <w:t xml:space="preserve">The PBAC considered that </w:t>
      </w:r>
      <w:r w:rsidR="0055676F">
        <w:rPr>
          <w:rFonts w:asciiTheme="minorHAnsi" w:hAnsiTheme="minorHAnsi"/>
          <w:bCs/>
          <w:lang w:val="en-GB"/>
        </w:rPr>
        <w:t xml:space="preserve">its </w:t>
      </w:r>
      <w:r>
        <w:rPr>
          <w:rFonts w:asciiTheme="minorHAnsi" w:hAnsiTheme="minorHAnsi"/>
          <w:bCs/>
          <w:lang w:val="en-GB"/>
        </w:rPr>
        <w:t>o</w:t>
      </w:r>
      <w:r w:rsidR="00820A2B">
        <w:rPr>
          <w:rFonts w:asciiTheme="minorHAnsi" w:hAnsiTheme="minorHAnsi"/>
          <w:bCs/>
          <w:lang w:val="en-GB"/>
        </w:rPr>
        <w:t xml:space="preserve">riginal concern </w:t>
      </w:r>
      <w:r w:rsidR="0055676F">
        <w:rPr>
          <w:rFonts w:asciiTheme="minorHAnsi" w:hAnsiTheme="minorHAnsi"/>
          <w:bCs/>
          <w:lang w:val="en-GB"/>
        </w:rPr>
        <w:t xml:space="preserve">in the context </w:t>
      </w:r>
      <w:r>
        <w:rPr>
          <w:rFonts w:asciiTheme="minorHAnsi" w:hAnsiTheme="minorHAnsi"/>
          <w:bCs/>
          <w:lang w:val="en-GB"/>
        </w:rPr>
        <w:t xml:space="preserve">of the prior July 2013 submission </w:t>
      </w:r>
      <w:r w:rsidR="00820A2B">
        <w:rPr>
          <w:rFonts w:asciiTheme="minorHAnsi" w:hAnsiTheme="minorHAnsi"/>
          <w:bCs/>
          <w:lang w:val="en-GB"/>
        </w:rPr>
        <w:t xml:space="preserve">of </w:t>
      </w:r>
      <w:r w:rsidR="0055676F">
        <w:rPr>
          <w:rFonts w:asciiTheme="minorHAnsi" w:hAnsiTheme="minorHAnsi"/>
          <w:bCs/>
          <w:lang w:val="en-GB"/>
        </w:rPr>
        <w:t xml:space="preserve">usage </w:t>
      </w:r>
      <w:r>
        <w:rPr>
          <w:rFonts w:asciiTheme="minorHAnsi" w:hAnsiTheme="minorHAnsi"/>
          <w:bCs/>
          <w:lang w:val="en-GB"/>
        </w:rPr>
        <w:t>beyond the inten</w:t>
      </w:r>
      <w:r w:rsidR="0055676F">
        <w:rPr>
          <w:rFonts w:asciiTheme="minorHAnsi" w:hAnsiTheme="minorHAnsi"/>
          <w:bCs/>
          <w:lang w:val="en-GB"/>
        </w:rPr>
        <w:t>tion of the</w:t>
      </w:r>
      <w:r>
        <w:rPr>
          <w:rFonts w:asciiTheme="minorHAnsi" w:hAnsiTheme="minorHAnsi"/>
          <w:bCs/>
          <w:lang w:val="en-GB"/>
        </w:rPr>
        <w:t xml:space="preserve"> restriction </w:t>
      </w:r>
      <w:r w:rsidR="003E6A7A">
        <w:rPr>
          <w:rFonts w:asciiTheme="minorHAnsi" w:hAnsiTheme="minorHAnsi"/>
          <w:bCs/>
          <w:lang w:val="en-GB"/>
        </w:rPr>
        <w:t>remained</w:t>
      </w:r>
      <w:r>
        <w:rPr>
          <w:rFonts w:asciiTheme="minorHAnsi" w:hAnsiTheme="minorHAnsi"/>
          <w:bCs/>
          <w:lang w:val="en-GB"/>
        </w:rPr>
        <w:t>.</w:t>
      </w:r>
    </w:p>
    <w:p w:rsidR="00A00CB3" w:rsidRPr="002E38DF" w:rsidRDefault="008C6517" w:rsidP="008C6517">
      <w:pPr>
        <w:numPr>
          <w:ilvl w:val="1"/>
          <w:numId w:val="1"/>
        </w:numPr>
        <w:spacing w:after="120"/>
        <w:rPr>
          <w:rFonts w:asciiTheme="minorHAnsi" w:hAnsiTheme="minorHAnsi"/>
          <w:bCs/>
          <w:lang w:val="en-GB"/>
        </w:rPr>
      </w:pPr>
      <w:r w:rsidRPr="008C6517">
        <w:rPr>
          <w:rFonts w:asciiTheme="minorHAnsi" w:hAnsiTheme="minorHAnsi"/>
          <w:bCs/>
          <w:lang w:val="en-GB"/>
        </w:rPr>
        <w:t>The PBAC did not support the submission’s request to increase the level of authority to a written authority. The PBAC considered that this request was contrary to the arguments put forward in the submission that all current use was within the intent of the original listing and cost-effective. In this case, the sponsor’s request would increase administrative burden on the prescribers, with no clinical justification.</w:t>
      </w:r>
    </w:p>
    <w:p w:rsidR="00683BEE" w:rsidRDefault="00683BEE" w:rsidP="0001696F">
      <w:pPr>
        <w:numPr>
          <w:ilvl w:val="1"/>
          <w:numId w:val="1"/>
        </w:numPr>
        <w:spacing w:after="120"/>
        <w:rPr>
          <w:rFonts w:asciiTheme="minorHAnsi" w:hAnsiTheme="minorHAnsi"/>
          <w:bCs/>
          <w:lang w:val="en-GB"/>
        </w:rPr>
      </w:pPr>
      <w:r w:rsidRPr="0001696F">
        <w:rPr>
          <w:rFonts w:asciiTheme="minorHAnsi" w:hAnsiTheme="minorHAnsi"/>
          <w:bCs/>
          <w:lang w:val="en-GB"/>
        </w:rPr>
        <w:t>The PBAC noted that this submission is not eligible for an Independent Review</w:t>
      </w:r>
      <w:r w:rsidR="0001696F" w:rsidRPr="0001696F">
        <w:rPr>
          <w:rFonts w:asciiTheme="minorHAnsi" w:hAnsiTheme="minorHAnsi"/>
          <w:bCs/>
          <w:lang w:val="en-GB"/>
        </w:rPr>
        <w:t xml:space="preserve"> as it was</w:t>
      </w:r>
      <w:r w:rsidRPr="0001696F">
        <w:rPr>
          <w:rFonts w:asciiTheme="minorHAnsi" w:hAnsiTheme="minorHAnsi"/>
          <w:bCs/>
          <w:lang w:val="en-GB"/>
        </w:rPr>
        <w:t xml:space="preserve"> a request to modify an existing listing</w:t>
      </w:r>
      <w:r w:rsidR="0055676F">
        <w:rPr>
          <w:rFonts w:asciiTheme="minorHAnsi" w:hAnsiTheme="minorHAnsi"/>
          <w:bCs/>
          <w:lang w:val="en-GB"/>
        </w:rPr>
        <w:t xml:space="preserve"> arrangement</w:t>
      </w:r>
      <w:r w:rsidR="0001696F" w:rsidRPr="0001696F">
        <w:rPr>
          <w:rFonts w:asciiTheme="minorHAnsi" w:hAnsiTheme="minorHAnsi"/>
          <w:bCs/>
          <w:lang w:val="en-GB"/>
        </w:rPr>
        <w:t>.</w:t>
      </w:r>
    </w:p>
    <w:p w:rsidR="00683BEE" w:rsidRPr="00CE2795" w:rsidRDefault="00683BEE" w:rsidP="00683BEE">
      <w:pPr>
        <w:spacing w:before="240"/>
        <w:rPr>
          <w:rFonts w:asciiTheme="minorHAnsi" w:hAnsiTheme="minorHAnsi"/>
          <w:b/>
          <w:bCs/>
          <w:lang w:val="en-GB"/>
        </w:rPr>
      </w:pPr>
      <w:r w:rsidRPr="00CE2795">
        <w:rPr>
          <w:rFonts w:asciiTheme="minorHAnsi" w:hAnsiTheme="minorHAnsi"/>
          <w:b/>
          <w:bCs/>
          <w:lang w:val="en-GB"/>
        </w:rPr>
        <w:t>Outcome:</w:t>
      </w:r>
    </w:p>
    <w:p w:rsidR="00683BEE" w:rsidRPr="00CE2795" w:rsidRDefault="00683BEE" w:rsidP="00683BEE">
      <w:pPr>
        <w:rPr>
          <w:rFonts w:asciiTheme="minorHAnsi" w:hAnsiTheme="minorHAnsi"/>
          <w:bCs/>
          <w:lang w:val="en-GB"/>
        </w:rPr>
      </w:pPr>
      <w:r w:rsidRPr="00CE2795">
        <w:rPr>
          <w:rFonts w:asciiTheme="minorHAnsi" w:hAnsiTheme="minorHAnsi"/>
          <w:bCs/>
          <w:lang w:val="en-GB"/>
        </w:rPr>
        <w:t xml:space="preserve">Rejected </w:t>
      </w:r>
    </w:p>
    <w:p w:rsidR="00D0060A" w:rsidRPr="005C236E" w:rsidRDefault="00D0060A" w:rsidP="005C236E">
      <w:pPr>
        <w:pStyle w:val="PBACHeading1"/>
      </w:pPr>
      <w:r w:rsidRPr="005C236E">
        <w:t>Context for Decision</w:t>
      </w:r>
    </w:p>
    <w:p w:rsidR="00D0060A" w:rsidRDefault="00D0060A" w:rsidP="005C236E">
      <w:pPr>
        <w:rPr>
          <w:b/>
          <w:bCs/>
          <w:sz w:val="32"/>
        </w:rPr>
      </w:pPr>
      <w:r w:rsidRPr="00C07617">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D0060A" w:rsidRPr="00A56D22" w:rsidRDefault="00D0060A" w:rsidP="005C236E">
      <w:pPr>
        <w:pStyle w:val="PBACHeading1"/>
      </w:pPr>
      <w:r w:rsidRPr="0065359A">
        <w:t>Sponsor’s Comment</w:t>
      </w:r>
    </w:p>
    <w:p w:rsidR="00D0060A" w:rsidRDefault="00D0060A" w:rsidP="005C236E">
      <w:pPr>
        <w:spacing w:after="120"/>
        <w:rPr>
          <w:rFonts w:asciiTheme="minorHAnsi" w:hAnsiTheme="minorHAnsi"/>
          <w:bCs/>
        </w:rPr>
      </w:pPr>
      <w:r w:rsidRPr="00C879CC">
        <w:rPr>
          <w:rFonts w:asciiTheme="minorHAnsi" w:hAnsiTheme="minorHAnsi"/>
          <w:bCs/>
        </w:rPr>
        <w:t>The sponsor had no comment.</w:t>
      </w:r>
    </w:p>
    <w:p w:rsidR="00630230" w:rsidRPr="00DB4AE1" w:rsidRDefault="00630230" w:rsidP="00837BC5">
      <w:pPr>
        <w:widowControl/>
        <w:spacing w:after="120"/>
        <w:jc w:val="left"/>
      </w:pPr>
    </w:p>
    <w:sectPr w:rsidR="00630230" w:rsidRPr="00DB4AE1" w:rsidSect="00E21358">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9346944" w15:done="0"/>
  <w15:commentEx w15:paraId="69BDE2FB" w15:done="0"/>
  <w15:commentEx w15:paraId="5E3E42F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346944" w16cid:durableId="1E7B12EF"/>
  <w16cid:commentId w16cid:paraId="69BDE2FB" w16cid:durableId="1E7B2145"/>
  <w16cid:commentId w16cid:paraId="5E3E42FC" w16cid:durableId="1E7B17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612" w:rsidRDefault="001C4612" w:rsidP="00124A51">
      <w:r>
        <w:separator/>
      </w:r>
    </w:p>
    <w:p w:rsidR="001C4612" w:rsidRDefault="001C4612"/>
  </w:endnote>
  <w:endnote w:type="continuationSeparator" w:id="0">
    <w:p w:rsidR="001C4612" w:rsidRDefault="001C4612" w:rsidP="00124A51">
      <w:r>
        <w:continuationSeparator/>
      </w:r>
    </w:p>
    <w:p w:rsidR="001C4612" w:rsidRDefault="001C46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860" w:rsidRDefault="007728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7185345"/>
      <w:docPartObj>
        <w:docPartGallery w:val="Page Numbers (Bottom of Page)"/>
        <w:docPartUnique/>
      </w:docPartObj>
    </w:sdtPr>
    <w:sdtEndPr>
      <w:rPr>
        <w:noProof/>
      </w:rPr>
    </w:sdtEndPr>
    <w:sdtContent>
      <w:p w:rsidR="00772860" w:rsidRPr="00EB21D1" w:rsidRDefault="00772860">
        <w:pPr>
          <w:pStyle w:val="Footer"/>
          <w:jc w:val="center"/>
        </w:pPr>
        <w:r w:rsidRPr="00EB21D1">
          <w:fldChar w:fldCharType="begin"/>
        </w:r>
        <w:r w:rsidRPr="00EB21D1">
          <w:instrText xml:space="preserve"> PAGE   \* MERGEFORMAT </w:instrText>
        </w:r>
        <w:r w:rsidRPr="00EB21D1">
          <w:fldChar w:fldCharType="separate"/>
        </w:r>
        <w:r w:rsidR="001C4612">
          <w:rPr>
            <w:noProof/>
          </w:rPr>
          <w:t>1</w:t>
        </w:r>
        <w:r w:rsidRPr="00EB21D1">
          <w:rPr>
            <w:noProof/>
          </w:rPr>
          <w:fldChar w:fldCharType="end"/>
        </w:r>
      </w:p>
    </w:sdtContent>
  </w:sdt>
  <w:p w:rsidR="00772860" w:rsidRDefault="007728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860" w:rsidRDefault="007728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612" w:rsidRDefault="001C4612" w:rsidP="00124A51">
      <w:r>
        <w:separator/>
      </w:r>
    </w:p>
    <w:p w:rsidR="001C4612" w:rsidRDefault="001C4612"/>
  </w:footnote>
  <w:footnote w:type="continuationSeparator" w:id="0">
    <w:p w:rsidR="001C4612" w:rsidRDefault="001C4612" w:rsidP="00124A51">
      <w:r>
        <w:continuationSeparator/>
      </w:r>
    </w:p>
    <w:p w:rsidR="001C4612" w:rsidRDefault="001C461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860" w:rsidRDefault="007728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860" w:rsidRDefault="00772860" w:rsidP="0089542B">
    <w:pPr>
      <w:tabs>
        <w:tab w:val="left" w:pos="142"/>
        <w:tab w:val="right" w:pos="9027"/>
      </w:tabs>
      <w:jc w:val="center"/>
      <w:rPr>
        <w:i/>
        <w:szCs w:val="24"/>
      </w:rPr>
    </w:pPr>
    <w:r>
      <w:rPr>
        <w:i/>
        <w:szCs w:val="24"/>
      </w:rPr>
      <w:t>Public Summary Document – March 2018 PBAC Meeting</w:t>
    </w:r>
  </w:p>
  <w:p w:rsidR="00772860" w:rsidRDefault="0077286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860" w:rsidRDefault="007728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4442297"/>
    <w:multiLevelType w:val="hybridMultilevel"/>
    <w:tmpl w:val="13A4F2E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5">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A803858"/>
    <w:multiLevelType w:val="hybridMultilevel"/>
    <w:tmpl w:val="99F0306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657B6755"/>
    <w:multiLevelType w:val="hybridMultilevel"/>
    <w:tmpl w:val="E376C12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6D232D02"/>
    <w:multiLevelType w:val="hybridMultilevel"/>
    <w:tmpl w:val="DB76D7E2"/>
    <w:lvl w:ilvl="0" w:tplc="088AFD1C">
      <w:numFmt w:val="bullet"/>
      <w:lvlText w:val="-"/>
      <w:lvlJc w:val="left"/>
      <w:pPr>
        <w:ind w:left="1080" w:hanging="360"/>
      </w:pPr>
      <w:rPr>
        <w:rFonts w:ascii="Calibri" w:eastAsia="Times New Roman" w:hAnsi="Calibri" w:cs="Arial" w:hint="default"/>
        <w:i/>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6D651BB8"/>
    <w:multiLevelType w:val="multilevel"/>
    <w:tmpl w:val="28CEBDF0"/>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76073C54"/>
    <w:multiLevelType w:val="hybridMultilevel"/>
    <w:tmpl w:val="E6E2E7E8"/>
    <w:lvl w:ilvl="0" w:tplc="2A487402">
      <w:numFmt w:val="bullet"/>
      <w:lvlText w:val="-"/>
      <w:lvlJc w:val="left"/>
      <w:pPr>
        <w:ind w:left="1128" w:hanging="768"/>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84D033C"/>
    <w:multiLevelType w:val="multilevel"/>
    <w:tmpl w:val="1DD25A22"/>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3"/>
  </w:num>
  <w:num w:numId="3">
    <w:abstractNumId w:val="8"/>
  </w:num>
  <w:num w:numId="4">
    <w:abstractNumId w:val="7"/>
  </w:num>
  <w:num w:numId="5">
    <w:abstractNumId w:val="3"/>
  </w:num>
  <w:num w:numId="6">
    <w:abstractNumId w:val="6"/>
  </w:num>
  <w:num w:numId="7">
    <w:abstractNumId w:val="9"/>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4"/>
  </w:num>
  <w:num w:numId="17">
    <w:abstractNumId w:val="5"/>
  </w:num>
  <w:num w:numId="18">
    <w:abstractNumId w:val="1"/>
  </w:num>
  <w:num w:numId="19">
    <w:abstractNumId w:val="0"/>
  </w:num>
  <w:num w:numId="20">
    <w:abstractNumId w:val="2"/>
  </w:num>
  <w:num w:numId="21">
    <w:abstractNumId w:val="1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helle Burke">
    <w15:presenceInfo w15:providerId="Windows Live" w15:userId="5cbc78d6711c4f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0A88"/>
    <w:rsid w:val="0000110B"/>
    <w:rsid w:val="000030E8"/>
    <w:rsid w:val="00003499"/>
    <w:rsid w:val="000039B7"/>
    <w:rsid w:val="00005AE5"/>
    <w:rsid w:val="00005E27"/>
    <w:rsid w:val="0000641C"/>
    <w:rsid w:val="0000767B"/>
    <w:rsid w:val="00007D00"/>
    <w:rsid w:val="00012715"/>
    <w:rsid w:val="00013247"/>
    <w:rsid w:val="000137A7"/>
    <w:rsid w:val="000154D8"/>
    <w:rsid w:val="00015886"/>
    <w:rsid w:val="000162EF"/>
    <w:rsid w:val="0001696F"/>
    <w:rsid w:val="0001728D"/>
    <w:rsid w:val="000173D5"/>
    <w:rsid w:val="000220E3"/>
    <w:rsid w:val="0002225F"/>
    <w:rsid w:val="00022EE4"/>
    <w:rsid w:val="0002375B"/>
    <w:rsid w:val="00023763"/>
    <w:rsid w:val="0002421A"/>
    <w:rsid w:val="0002546D"/>
    <w:rsid w:val="000256AD"/>
    <w:rsid w:val="000256DF"/>
    <w:rsid w:val="00027A90"/>
    <w:rsid w:val="00027C48"/>
    <w:rsid w:val="0003144F"/>
    <w:rsid w:val="000327A9"/>
    <w:rsid w:val="000328AD"/>
    <w:rsid w:val="00033268"/>
    <w:rsid w:val="000334AC"/>
    <w:rsid w:val="00033863"/>
    <w:rsid w:val="0003450A"/>
    <w:rsid w:val="00035BE0"/>
    <w:rsid w:val="00035DC0"/>
    <w:rsid w:val="00036829"/>
    <w:rsid w:val="00037ABE"/>
    <w:rsid w:val="00040895"/>
    <w:rsid w:val="00041B4A"/>
    <w:rsid w:val="00042491"/>
    <w:rsid w:val="00043C37"/>
    <w:rsid w:val="00044998"/>
    <w:rsid w:val="00045017"/>
    <w:rsid w:val="0004518A"/>
    <w:rsid w:val="00045A2B"/>
    <w:rsid w:val="0004698F"/>
    <w:rsid w:val="000474AF"/>
    <w:rsid w:val="00050D92"/>
    <w:rsid w:val="0005163A"/>
    <w:rsid w:val="00052DF5"/>
    <w:rsid w:val="00052E2B"/>
    <w:rsid w:val="000539D0"/>
    <w:rsid w:val="00053DA9"/>
    <w:rsid w:val="00054621"/>
    <w:rsid w:val="000546D7"/>
    <w:rsid w:val="00057667"/>
    <w:rsid w:val="000625DA"/>
    <w:rsid w:val="00066360"/>
    <w:rsid w:val="000669FE"/>
    <w:rsid w:val="000706B1"/>
    <w:rsid w:val="00071248"/>
    <w:rsid w:val="00071A85"/>
    <w:rsid w:val="000720B9"/>
    <w:rsid w:val="000737F7"/>
    <w:rsid w:val="0007672F"/>
    <w:rsid w:val="000771B7"/>
    <w:rsid w:val="00077295"/>
    <w:rsid w:val="000772D6"/>
    <w:rsid w:val="000774F0"/>
    <w:rsid w:val="00080909"/>
    <w:rsid w:val="000812CA"/>
    <w:rsid w:val="000818A1"/>
    <w:rsid w:val="00081DAF"/>
    <w:rsid w:val="0008258D"/>
    <w:rsid w:val="00083E95"/>
    <w:rsid w:val="00083E99"/>
    <w:rsid w:val="00084FD8"/>
    <w:rsid w:val="000856C5"/>
    <w:rsid w:val="00090C7E"/>
    <w:rsid w:val="00092600"/>
    <w:rsid w:val="0009262B"/>
    <w:rsid w:val="00092D22"/>
    <w:rsid w:val="00093310"/>
    <w:rsid w:val="000942B1"/>
    <w:rsid w:val="0009445C"/>
    <w:rsid w:val="00094CB3"/>
    <w:rsid w:val="00095FE5"/>
    <w:rsid w:val="00096284"/>
    <w:rsid w:val="000969B4"/>
    <w:rsid w:val="000A3657"/>
    <w:rsid w:val="000A4BFF"/>
    <w:rsid w:val="000A5683"/>
    <w:rsid w:val="000A6214"/>
    <w:rsid w:val="000A6EEA"/>
    <w:rsid w:val="000A77B1"/>
    <w:rsid w:val="000A7D08"/>
    <w:rsid w:val="000B0670"/>
    <w:rsid w:val="000B0E75"/>
    <w:rsid w:val="000B357A"/>
    <w:rsid w:val="000B49AF"/>
    <w:rsid w:val="000B4ED0"/>
    <w:rsid w:val="000B5CC6"/>
    <w:rsid w:val="000B6CAC"/>
    <w:rsid w:val="000B74F3"/>
    <w:rsid w:val="000B7612"/>
    <w:rsid w:val="000B7F97"/>
    <w:rsid w:val="000C136E"/>
    <w:rsid w:val="000C1D30"/>
    <w:rsid w:val="000C2D30"/>
    <w:rsid w:val="000C3DF9"/>
    <w:rsid w:val="000C43D2"/>
    <w:rsid w:val="000C4D75"/>
    <w:rsid w:val="000C6713"/>
    <w:rsid w:val="000D0C21"/>
    <w:rsid w:val="000D1BFC"/>
    <w:rsid w:val="000D2243"/>
    <w:rsid w:val="000D281A"/>
    <w:rsid w:val="000D326A"/>
    <w:rsid w:val="000D51FB"/>
    <w:rsid w:val="000D78BB"/>
    <w:rsid w:val="000E135D"/>
    <w:rsid w:val="000E1E9E"/>
    <w:rsid w:val="000E39C2"/>
    <w:rsid w:val="000E6CB5"/>
    <w:rsid w:val="000F00BA"/>
    <w:rsid w:val="000F157E"/>
    <w:rsid w:val="000F316A"/>
    <w:rsid w:val="000F3630"/>
    <w:rsid w:val="000F3C74"/>
    <w:rsid w:val="000F45F0"/>
    <w:rsid w:val="000F4BB8"/>
    <w:rsid w:val="000F7127"/>
    <w:rsid w:val="00100F8A"/>
    <w:rsid w:val="001013A3"/>
    <w:rsid w:val="001018BF"/>
    <w:rsid w:val="00101BAF"/>
    <w:rsid w:val="0010325D"/>
    <w:rsid w:val="0010457D"/>
    <w:rsid w:val="00104D96"/>
    <w:rsid w:val="00105AE2"/>
    <w:rsid w:val="00106B80"/>
    <w:rsid w:val="00107289"/>
    <w:rsid w:val="0011032E"/>
    <w:rsid w:val="0011348B"/>
    <w:rsid w:val="00115982"/>
    <w:rsid w:val="00116C53"/>
    <w:rsid w:val="0011701C"/>
    <w:rsid w:val="00117469"/>
    <w:rsid w:val="00117EB6"/>
    <w:rsid w:val="00121695"/>
    <w:rsid w:val="00121799"/>
    <w:rsid w:val="001217DA"/>
    <w:rsid w:val="00121B8E"/>
    <w:rsid w:val="001222FC"/>
    <w:rsid w:val="0012473F"/>
    <w:rsid w:val="00124A51"/>
    <w:rsid w:val="001258C9"/>
    <w:rsid w:val="00126621"/>
    <w:rsid w:val="001301E9"/>
    <w:rsid w:val="00130D48"/>
    <w:rsid w:val="00131D82"/>
    <w:rsid w:val="00133D36"/>
    <w:rsid w:val="00134560"/>
    <w:rsid w:val="00134F32"/>
    <w:rsid w:val="00136D4C"/>
    <w:rsid w:val="0013740B"/>
    <w:rsid w:val="00137645"/>
    <w:rsid w:val="0014015A"/>
    <w:rsid w:val="00140E99"/>
    <w:rsid w:val="00142672"/>
    <w:rsid w:val="00142DF5"/>
    <w:rsid w:val="00145540"/>
    <w:rsid w:val="001456B0"/>
    <w:rsid w:val="00150466"/>
    <w:rsid w:val="00151A0E"/>
    <w:rsid w:val="001521EB"/>
    <w:rsid w:val="00152401"/>
    <w:rsid w:val="001529C4"/>
    <w:rsid w:val="00152F6E"/>
    <w:rsid w:val="00156720"/>
    <w:rsid w:val="00157130"/>
    <w:rsid w:val="001576B1"/>
    <w:rsid w:val="00160A4A"/>
    <w:rsid w:val="00160A4C"/>
    <w:rsid w:val="00161AEB"/>
    <w:rsid w:val="00162913"/>
    <w:rsid w:val="00162EB1"/>
    <w:rsid w:val="00162FF7"/>
    <w:rsid w:val="00163812"/>
    <w:rsid w:val="00163DFB"/>
    <w:rsid w:val="00163EFF"/>
    <w:rsid w:val="001659A3"/>
    <w:rsid w:val="001659DA"/>
    <w:rsid w:val="00165E24"/>
    <w:rsid w:val="0016601D"/>
    <w:rsid w:val="001661FB"/>
    <w:rsid w:val="001677D2"/>
    <w:rsid w:val="00167D97"/>
    <w:rsid w:val="00170597"/>
    <w:rsid w:val="001726C0"/>
    <w:rsid w:val="00172864"/>
    <w:rsid w:val="00173565"/>
    <w:rsid w:val="00173B07"/>
    <w:rsid w:val="00174EFA"/>
    <w:rsid w:val="00181C06"/>
    <w:rsid w:val="00181D9C"/>
    <w:rsid w:val="00182B78"/>
    <w:rsid w:val="0018470A"/>
    <w:rsid w:val="00184794"/>
    <w:rsid w:val="00184DF1"/>
    <w:rsid w:val="00184F00"/>
    <w:rsid w:val="0018752F"/>
    <w:rsid w:val="00191FAF"/>
    <w:rsid w:val="00194934"/>
    <w:rsid w:val="00195222"/>
    <w:rsid w:val="001973F2"/>
    <w:rsid w:val="001975D8"/>
    <w:rsid w:val="001979E8"/>
    <w:rsid w:val="001A43FA"/>
    <w:rsid w:val="001A4DB0"/>
    <w:rsid w:val="001A59FB"/>
    <w:rsid w:val="001A6258"/>
    <w:rsid w:val="001A6354"/>
    <w:rsid w:val="001A67AA"/>
    <w:rsid w:val="001A7532"/>
    <w:rsid w:val="001A7AE8"/>
    <w:rsid w:val="001B06E4"/>
    <w:rsid w:val="001B204E"/>
    <w:rsid w:val="001B3443"/>
    <w:rsid w:val="001B4390"/>
    <w:rsid w:val="001B4722"/>
    <w:rsid w:val="001B4D20"/>
    <w:rsid w:val="001B502E"/>
    <w:rsid w:val="001B6027"/>
    <w:rsid w:val="001B6652"/>
    <w:rsid w:val="001B73DA"/>
    <w:rsid w:val="001B7799"/>
    <w:rsid w:val="001C0076"/>
    <w:rsid w:val="001C2A9B"/>
    <w:rsid w:val="001C4299"/>
    <w:rsid w:val="001C4612"/>
    <w:rsid w:val="001C5F94"/>
    <w:rsid w:val="001C6E58"/>
    <w:rsid w:val="001C6E66"/>
    <w:rsid w:val="001D0AB1"/>
    <w:rsid w:val="001D102C"/>
    <w:rsid w:val="001D208C"/>
    <w:rsid w:val="001D2611"/>
    <w:rsid w:val="001D28F6"/>
    <w:rsid w:val="001D3B0A"/>
    <w:rsid w:val="001D5489"/>
    <w:rsid w:val="001D607B"/>
    <w:rsid w:val="001D68B5"/>
    <w:rsid w:val="001D6E2E"/>
    <w:rsid w:val="001E12AC"/>
    <w:rsid w:val="001E209C"/>
    <w:rsid w:val="001E238E"/>
    <w:rsid w:val="001E2483"/>
    <w:rsid w:val="001E2B1E"/>
    <w:rsid w:val="001E30D4"/>
    <w:rsid w:val="001E3873"/>
    <w:rsid w:val="001E52EB"/>
    <w:rsid w:val="001E569F"/>
    <w:rsid w:val="001E61D2"/>
    <w:rsid w:val="001E740C"/>
    <w:rsid w:val="001F06C5"/>
    <w:rsid w:val="001F1235"/>
    <w:rsid w:val="001F1CB3"/>
    <w:rsid w:val="001F38B5"/>
    <w:rsid w:val="001F5CDB"/>
    <w:rsid w:val="001F7361"/>
    <w:rsid w:val="002011B0"/>
    <w:rsid w:val="0020309B"/>
    <w:rsid w:val="00203181"/>
    <w:rsid w:val="00203783"/>
    <w:rsid w:val="0020385F"/>
    <w:rsid w:val="00205692"/>
    <w:rsid w:val="00205BBA"/>
    <w:rsid w:val="00205EE4"/>
    <w:rsid w:val="00207021"/>
    <w:rsid w:val="0020732F"/>
    <w:rsid w:val="00207431"/>
    <w:rsid w:val="00207D00"/>
    <w:rsid w:val="00207D0D"/>
    <w:rsid w:val="00207DBE"/>
    <w:rsid w:val="00210120"/>
    <w:rsid w:val="002105C1"/>
    <w:rsid w:val="0021174D"/>
    <w:rsid w:val="002147B7"/>
    <w:rsid w:val="0021481A"/>
    <w:rsid w:val="00215437"/>
    <w:rsid w:val="002166FB"/>
    <w:rsid w:val="0021735B"/>
    <w:rsid w:val="002215C9"/>
    <w:rsid w:val="002217EA"/>
    <w:rsid w:val="00222241"/>
    <w:rsid w:val="00222D65"/>
    <w:rsid w:val="00223A77"/>
    <w:rsid w:val="00223B49"/>
    <w:rsid w:val="00223C27"/>
    <w:rsid w:val="00224C91"/>
    <w:rsid w:val="00224DD4"/>
    <w:rsid w:val="002254FA"/>
    <w:rsid w:val="002309CC"/>
    <w:rsid w:val="0023209F"/>
    <w:rsid w:val="00232AF9"/>
    <w:rsid w:val="0023333E"/>
    <w:rsid w:val="00234626"/>
    <w:rsid w:val="00235F9E"/>
    <w:rsid w:val="0023629D"/>
    <w:rsid w:val="00236CA3"/>
    <w:rsid w:val="00237255"/>
    <w:rsid w:val="00240BF5"/>
    <w:rsid w:val="002424AF"/>
    <w:rsid w:val="00242B93"/>
    <w:rsid w:val="0024367F"/>
    <w:rsid w:val="002439DC"/>
    <w:rsid w:val="00244DC8"/>
    <w:rsid w:val="002458BA"/>
    <w:rsid w:val="0024636C"/>
    <w:rsid w:val="00247925"/>
    <w:rsid w:val="00252677"/>
    <w:rsid w:val="00252D6F"/>
    <w:rsid w:val="00254DCF"/>
    <w:rsid w:val="0025534B"/>
    <w:rsid w:val="00255419"/>
    <w:rsid w:val="00255BB7"/>
    <w:rsid w:val="002567FD"/>
    <w:rsid w:val="00257541"/>
    <w:rsid w:val="00257B80"/>
    <w:rsid w:val="002628A3"/>
    <w:rsid w:val="00262A1A"/>
    <w:rsid w:val="00262A87"/>
    <w:rsid w:val="00263E64"/>
    <w:rsid w:val="00264D26"/>
    <w:rsid w:val="00264FC5"/>
    <w:rsid w:val="00267033"/>
    <w:rsid w:val="00267632"/>
    <w:rsid w:val="00267642"/>
    <w:rsid w:val="00267AEA"/>
    <w:rsid w:val="002700E6"/>
    <w:rsid w:val="00270386"/>
    <w:rsid w:val="0027294B"/>
    <w:rsid w:val="00272ADF"/>
    <w:rsid w:val="00274322"/>
    <w:rsid w:val="002746D5"/>
    <w:rsid w:val="00275C5A"/>
    <w:rsid w:val="00281014"/>
    <w:rsid w:val="00282801"/>
    <w:rsid w:val="00285BF5"/>
    <w:rsid w:val="0028615F"/>
    <w:rsid w:val="002870D8"/>
    <w:rsid w:val="0028783F"/>
    <w:rsid w:val="00292086"/>
    <w:rsid w:val="00293285"/>
    <w:rsid w:val="00293CCD"/>
    <w:rsid w:val="0029435C"/>
    <w:rsid w:val="00294F7A"/>
    <w:rsid w:val="00296733"/>
    <w:rsid w:val="002A14AB"/>
    <w:rsid w:val="002A1D89"/>
    <w:rsid w:val="002A2091"/>
    <w:rsid w:val="002A2F50"/>
    <w:rsid w:val="002B054C"/>
    <w:rsid w:val="002B09A4"/>
    <w:rsid w:val="002B12EF"/>
    <w:rsid w:val="002B1C1F"/>
    <w:rsid w:val="002B2A3B"/>
    <w:rsid w:val="002B432F"/>
    <w:rsid w:val="002B5BE3"/>
    <w:rsid w:val="002B5F0B"/>
    <w:rsid w:val="002B5F6E"/>
    <w:rsid w:val="002B62B3"/>
    <w:rsid w:val="002B6754"/>
    <w:rsid w:val="002B6CCE"/>
    <w:rsid w:val="002B7B13"/>
    <w:rsid w:val="002B7D7E"/>
    <w:rsid w:val="002C0B72"/>
    <w:rsid w:val="002C0CDD"/>
    <w:rsid w:val="002C2510"/>
    <w:rsid w:val="002C2775"/>
    <w:rsid w:val="002C27C1"/>
    <w:rsid w:val="002C3048"/>
    <w:rsid w:val="002C3B08"/>
    <w:rsid w:val="002C5099"/>
    <w:rsid w:val="002C5889"/>
    <w:rsid w:val="002C71CE"/>
    <w:rsid w:val="002C777C"/>
    <w:rsid w:val="002D2F7A"/>
    <w:rsid w:val="002D45D5"/>
    <w:rsid w:val="002D577C"/>
    <w:rsid w:val="002D76CC"/>
    <w:rsid w:val="002E07CB"/>
    <w:rsid w:val="002E15B9"/>
    <w:rsid w:val="002E1711"/>
    <w:rsid w:val="002E1D04"/>
    <w:rsid w:val="002E2158"/>
    <w:rsid w:val="002E38DF"/>
    <w:rsid w:val="002E52F0"/>
    <w:rsid w:val="002E7722"/>
    <w:rsid w:val="002F07BA"/>
    <w:rsid w:val="002F0DA9"/>
    <w:rsid w:val="002F2071"/>
    <w:rsid w:val="002F4AB6"/>
    <w:rsid w:val="002F5259"/>
    <w:rsid w:val="002F643C"/>
    <w:rsid w:val="002F6816"/>
    <w:rsid w:val="002F71C0"/>
    <w:rsid w:val="002F74CC"/>
    <w:rsid w:val="002F7AAE"/>
    <w:rsid w:val="00300A3D"/>
    <w:rsid w:val="00301017"/>
    <w:rsid w:val="0030155F"/>
    <w:rsid w:val="00303F42"/>
    <w:rsid w:val="003045B8"/>
    <w:rsid w:val="0030587B"/>
    <w:rsid w:val="00306D98"/>
    <w:rsid w:val="003072CF"/>
    <w:rsid w:val="0030786C"/>
    <w:rsid w:val="0031031A"/>
    <w:rsid w:val="00310981"/>
    <w:rsid w:val="00311B3D"/>
    <w:rsid w:val="003131BB"/>
    <w:rsid w:val="00313D63"/>
    <w:rsid w:val="003152D5"/>
    <w:rsid w:val="00315498"/>
    <w:rsid w:val="003162B0"/>
    <w:rsid w:val="003163FC"/>
    <w:rsid w:val="00320573"/>
    <w:rsid w:val="00320F20"/>
    <w:rsid w:val="00322107"/>
    <w:rsid w:val="003224F1"/>
    <w:rsid w:val="00322846"/>
    <w:rsid w:val="00325400"/>
    <w:rsid w:val="00326DA7"/>
    <w:rsid w:val="003270E4"/>
    <w:rsid w:val="003303F2"/>
    <w:rsid w:val="00330F5C"/>
    <w:rsid w:val="00332E7D"/>
    <w:rsid w:val="003366C9"/>
    <w:rsid w:val="003371B0"/>
    <w:rsid w:val="00340DF1"/>
    <w:rsid w:val="0034385A"/>
    <w:rsid w:val="00350857"/>
    <w:rsid w:val="003517F9"/>
    <w:rsid w:val="00351A20"/>
    <w:rsid w:val="00352903"/>
    <w:rsid w:val="003547B1"/>
    <w:rsid w:val="0035620E"/>
    <w:rsid w:val="00361449"/>
    <w:rsid w:val="003624C4"/>
    <w:rsid w:val="00362507"/>
    <w:rsid w:val="0036257A"/>
    <w:rsid w:val="00362666"/>
    <w:rsid w:val="00362803"/>
    <w:rsid w:val="00362DB4"/>
    <w:rsid w:val="003654AC"/>
    <w:rsid w:val="00366D41"/>
    <w:rsid w:val="003675B6"/>
    <w:rsid w:val="00370D9A"/>
    <w:rsid w:val="003710CF"/>
    <w:rsid w:val="0037358A"/>
    <w:rsid w:val="00374F7A"/>
    <w:rsid w:val="003750F6"/>
    <w:rsid w:val="003760FC"/>
    <w:rsid w:val="00376981"/>
    <w:rsid w:val="00380D73"/>
    <w:rsid w:val="00381965"/>
    <w:rsid w:val="003822AD"/>
    <w:rsid w:val="0038365C"/>
    <w:rsid w:val="0038369B"/>
    <w:rsid w:val="00383A33"/>
    <w:rsid w:val="00383B78"/>
    <w:rsid w:val="00384C34"/>
    <w:rsid w:val="00385349"/>
    <w:rsid w:val="00385A9D"/>
    <w:rsid w:val="00386985"/>
    <w:rsid w:val="003902B1"/>
    <w:rsid w:val="00391F58"/>
    <w:rsid w:val="0039213A"/>
    <w:rsid w:val="0039458A"/>
    <w:rsid w:val="00394A5B"/>
    <w:rsid w:val="00396896"/>
    <w:rsid w:val="00396FD0"/>
    <w:rsid w:val="003A1A7A"/>
    <w:rsid w:val="003A2392"/>
    <w:rsid w:val="003A2831"/>
    <w:rsid w:val="003A330B"/>
    <w:rsid w:val="003A3ED1"/>
    <w:rsid w:val="003A5775"/>
    <w:rsid w:val="003A5DF0"/>
    <w:rsid w:val="003A77F1"/>
    <w:rsid w:val="003B151C"/>
    <w:rsid w:val="003B16B9"/>
    <w:rsid w:val="003B2D9D"/>
    <w:rsid w:val="003B3099"/>
    <w:rsid w:val="003B3C90"/>
    <w:rsid w:val="003B3F0C"/>
    <w:rsid w:val="003B519A"/>
    <w:rsid w:val="003B5B61"/>
    <w:rsid w:val="003C14B0"/>
    <w:rsid w:val="003C1654"/>
    <w:rsid w:val="003C6AAD"/>
    <w:rsid w:val="003C7D19"/>
    <w:rsid w:val="003C7EB9"/>
    <w:rsid w:val="003D1828"/>
    <w:rsid w:val="003D1DE4"/>
    <w:rsid w:val="003D2422"/>
    <w:rsid w:val="003D39A1"/>
    <w:rsid w:val="003D3FBF"/>
    <w:rsid w:val="003D4538"/>
    <w:rsid w:val="003D4A30"/>
    <w:rsid w:val="003D76BD"/>
    <w:rsid w:val="003D79BB"/>
    <w:rsid w:val="003D7C98"/>
    <w:rsid w:val="003E00A9"/>
    <w:rsid w:val="003E0543"/>
    <w:rsid w:val="003E0FF5"/>
    <w:rsid w:val="003E4CD5"/>
    <w:rsid w:val="003E5165"/>
    <w:rsid w:val="003E5577"/>
    <w:rsid w:val="003E6A7A"/>
    <w:rsid w:val="003E6DB1"/>
    <w:rsid w:val="003E7CB2"/>
    <w:rsid w:val="003F4156"/>
    <w:rsid w:val="003F5F97"/>
    <w:rsid w:val="00400B29"/>
    <w:rsid w:val="004040F8"/>
    <w:rsid w:val="0040504B"/>
    <w:rsid w:val="00405CCA"/>
    <w:rsid w:val="004077D5"/>
    <w:rsid w:val="0040786C"/>
    <w:rsid w:val="00410708"/>
    <w:rsid w:val="00410EC7"/>
    <w:rsid w:val="00411B39"/>
    <w:rsid w:val="00412DE5"/>
    <w:rsid w:val="00413A1E"/>
    <w:rsid w:val="00413C56"/>
    <w:rsid w:val="00414476"/>
    <w:rsid w:val="00414C2E"/>
    <w:rsid w:val="004151CF"/>
    <w:rsid w:val="004151E0"/>
    <w:rsid w:val="00415978"/>
    <w:rsid w:val="00416364"/>
    <w:rsid w:val="00416572"/>
    <w:rsid w:val="00416D9D"/>
    <w:rsid w:val="00417C0E"/>
    <w:rsid w:val="00420AA6"/>
    <w:rsid w:val="00420B9F"/>
    <w:rsid w:val="00420CEE"/>
    <w:rsid w:val="004219AE"/>
    <w:rsid w:val="00422260"/>
    <w:rsid w:val="004236EC"/>
    <w:rsid w:val="0042413F"/>
    <w:rsid w:val="00424590"/>
    <w:rsid w:val="0043003D"/>
    <w:rsid w:val="0043185E"/>
    <w:rsid w:val="004319F8"/>
    <w:rsid w:val="00431E55"/>
    <w:rsid w:val="004321F6"/>
    <w:rsid w:val="00433044"/>
    <w:rsid w:val="00435AA7"/>
    <w:rsid w:val="004375B9"/>
    <w:rsid w:val="0043768E"/>
    <w:rsid w:val="00441489"/>
    <w:rsid w:val="00441943"/>
    <w:rsid w:val="004428D0"/>
    <w:rsid w:val="00443B98"/>
    <w:rsid w:val="00443E7F"/>
    <w:rsid w:val="004443A7"/>
    <w:rsid w:val="0044442C"/>
    <w:rsid w:val="00445051"/>
    <w:rsid w:val="00445941"/>
    <w:rsid w:val="004464EB"/>
    <w:rsid w:val="00447D26"/>
    <w:rsid w:val="00452F4D"/>
    <w:rsid w:val="004542E7"/>
    <w:rsid w:val="004548C8"/>
    <w:rsid w:val="00455B53"/>
    <w:rsid w:val="00455CBF"/>
    <w:rsid w:val="00455D45"/>
    <w:rsid w:val="004578D4"/>
    <w:rsid w:val="00457DA0"/>
    <w:rsid w:val="0046142F"/>
    <w:rsid w:val="00464595"/>
    <w:rsid w:val="0046494D"/>
    <w:rsid w:val="00464F6A"/>
    <w:rsid w:val="0046553A"/>
    <w:rsid w:val="00467357"/>
    <w:rsid w:val="004678EC"/>
    <w:rsid w:val="00472A79"/>
    <w:rsid w:val="00473C95"/>
    <w:rsid w:val="00473F19"/>
    <w:rsid w:val="004740FE"/>
    <w:rsid w:val="00475E22"/>
    <w:rsid w:val="0048088E"/>
    <w:rsid w:val="0048140C"/>
    <w:rsid w:val="004818CB"/>
    <w:rsid w:val="00482720"/>
    <w:rsid w:val="004829FD"/>
    <w:rsid w:val="004835E7"/>
    <w:rsid w:val="004867E2"/>
    <w:rsid w:val="00487213"/>
    <w:rsid w:val="00487240"/>
    <w:rsid w:val="00491578"/>
    <w:rsid w:val="004915B3"/>
    <w:rsid w:val="00491B3A"/>
    <w:rsid w:val="00492CFD"/>
    <w:rsid w:val="00494153"/>
    <w:rsid w:val="00494DD5"/>
    <w:rsid w:val="004962D2"/>
    <w:rsid w:val="004967D1"/>
    <w:rsid w:val="0049694C"/>
    <w:rsid w:val="00497F97"/>
    <w:rsid w:val="004A0DA1"/>
    <w:rsid w:val="004A12B3"/>
    <w:rsid w:val="004A2676"/>
    <w:rsid w:val="004A320C"/>
    <w:rsid w:val="004A33F4"/>
    <w:rsid w:val="004A4570"/>
    <w:rsid w:val="004A47B4"/>
    <w:rsid w:val="004A4F31"/>
    <w:rsid w:val="004A52E9"/>
    <w:rsid w:val="004A6597"/>
    <w:rsid w:val="004A6E69"/>
    <w:rsid w:val="004A7187"/>
    <w:rsid w:val="004A7848"/>
    <w:rsid w:val="004A7F9C"/>
    <w:rsid w:val="004A7FF8"/>
    <w:rsid w:val="004B1867"/>
    <w:rsid w:val="004B1B1B"/>
    <w:rsid w:val="004B1CB4"/>
    <w:rsid w:val="004B2547"/>
    <w:rsid w:val="004B2F18"/>
    <w:rsid w:val="004B3DDB"/>
    <w:rsid w:val="004B44FD"/>
    <w:rsid w:val="004B5CFC"/>
    <w:rsid w:val="004B6A96"/>
    <w:rsid w:val="004B774D"/>
    <w:rsid w:val="004C1F2D"/>
    <w:rsid w:val="004C27A2"/>
    <w:rsid w:val="004C45CC"/>
    <w:rsid w:val="004C45D0"/>
    <w:rsid w:val="004C4AED"/>
    <w:rsid w:val="004C5124"/>
    <w:rsid w:val="004C685C"/>
    <w:rsid w:val="004D2C2D"/>
    <w:rsid w:val="004D2E90"/>
    <w:rsid w:val="004D44BD"/>
    <w:rsid w:val="004D7227"/>
    <w:rsid w:val="004D7851"/>
    <w:rsid w:val="004E01CD"/>
    <w:rsid w:val="004E0E7F"/>
    <w:rsid w:val="004E0EB8"/>
    <w:rsid w:val="004E139B"/>
    <w:rsid w:val="004E1F75"/>
    <w:rsid w:val="004E2ADC"/>
    <w:rsid w:val="004E2CD0"/>
    <w:rsid w:val="004E3E6B"/>
    <w:rsid w:val="004E43B2"/>
    <w:rsid w:val="004E5B45"/>
    <w:rsid w:val="004F1D02"/>
    <w:rsid w:val="004F2679"/>
    <w:rsid w:val="004F2F21"/>
    <w:rsid w:val="004F3A28"/>
    <w:rsid w:val="004F6913"/>
    <w:rsid w:val="004F7227"/>
    <w:rsid w:val="004F7865"/>
    <w:rsid w:val="0050219B"/>
    <w:rsid w:val="005031EB"/>
    <w:rsid w:val="00503F17"/>
    <w:rsid w:val="00504D1C"/>
    <w:rsid w:val="00504FBA"/>
    <w:rsid w:val="005055B9"/>
    <w:rsid w:val="00505639"/>
    <w:rsid w:val="00506928"/>
    <w:rsid w:val="0051112D"/>
    <w:rsid w:val="00511B5B"/>
    <w:rsid w:val="00511BFF"/>
    <w:rsid w:val="0051465E"/>
    <w:rsid w:val="005152B5"/>
    <w:rsid w:val="00521319"/>
    <w:rsid w:val="0052137C"/>
    <w:rsid w:val="00521399"/>
    <w:rsid w:val="00521610"/>
    <w:rsid w:val="0052267C"/>
    <w:rsid w:val="0052275F"/>
    <w:rsid w:val="00522BC8"/>
    <w:rsid w:val="00523C28"/>
    <w:rsid w:val="00523DA4"/>
    <w:rsid w:val="00526863"/>
    <w:rsid w:val="00526C0D"/>
    <w:rsid w:val="00527DD8"/>
    <w:rsid w:val="005332C2"/>
    <w:rsid w:val="00534F9F"/>
    <w:rsid w:val="00535DBA"/>
    <w:rsid w:val="00536F42"/>
    <w:rsid w:val="00537182"/>
    <w:rsid w:val="00537E2E"/>
    <w:rsid w:val="00542743"/>
    <w:rsid w:val="00542C2D"/>
    <w:rsid w:val="005468A1"/>
    <w:rsid w:val="00547BA1"/>
    <w:rsid w:val="005510D1"/>
    <w:rsid w:val="005510DB"/>
    <w:rsid w:val="00551985"/>
    <w:rsid w:val="00552BD3"/>
    <w:rsid w:val="005547BB"/>
    <w:rsid w:val="00555109"/>
    <w:rsid w:val="0055676F"/>
    <w:rsid w:val="00560A70"/>
    <w:rsid w:val="00564314"/>
    <w:rsid w:val="00566136"/>
    <w:rsid w:val="0056696F"/>
    <w:rsid w:val="0056760D"/>
    <w:rsid w:val="00570464"/>
    <w:rsid w:val="00570E1F"/>
    <w:rsid w:val="00572269"/>
    <w:rsid w:val="0057244A"/>
    <w:rsid w:val="00572BF9"/>
    <w:rsid w:val="00572D35"/>
    <w:rsid w:val="00575D8D"/>
    <w:rsid w:val="00576972"/>
    <w:rsid w:val="00580963"/>
    <w:rsid w:val="00583441"/>
    <w:rsid w:val="00583699"/>
    <w:rsid w:val="00585CDD"/>
    <w:rsid w:val="00585D77"/>
    <w:rsid w:val="00586704"/>
    <w:rsid w:val="00587058"/>
    <w:rsid w:val="0058770A"/>
    <w:rsid w:val="00587909"/>
    <w:rsid w:val="00591957"/>
    <w:rsid w:val="00592322"/>
    <w:rsid w:val="005951F7"/>
    <w:rsid w:val="00595845"/>
    <w:rsid w:val="00596A6C"/>
    <w:rsid w:val="00597BF9"/>
    <w:rsid w:val="005A373D"/>
    <w:rsid w:val="005A4AD0"/>
    <w:rsid w:val="005A7FCA"/>
    <w:rsid w:val="005B13CF"/>
    <w:rsid w:val="005B1798"/>
    <w:rsid w:val="005B2CBD"/>
    <w:rsid w:val="005B308D"/>
    <w:rsid w:val="005B4477"/>
    <w:rsid w:val="005B5857"/>
    <w:rsid w:val="005C1102"/>
    <w:rsid w:val="005C159F"/>
    <w:rsid w:val="005C1B83"/>
    <w:rsid w:val="005C236E"/>
    <w:rsid w:val="005C2D55"/>
    <w:rsid w:val="005C346B"/>
    <w:rsid w:val="005C3EB8"/>
    <w:rsid w:val="005C3FA4"/>
    <w:rsid w:val="005C5B04"/>
    <w:rsid w:val="005C7023"/>
    <w:rsid w:val="005C7422"/>
    <w:rsid w:val="005D044D"/>
    <w:rsid w:val="005D0957"/>
    <w:rsid w:val="005D0ABD"/>
    <w:rsid w:val="005D11D1"/>
    <w:rsid w:val="005D1248"/>
    <w:rsid w:val="005D18AD"/>
    <w:rsid w:val="005D26B4"/>
    <w:rsid w:val="005D5222"/>
    <w:rsid w:val="005E2213"/>
    <w:rsid w:val="005E4F1C"/>
    <w:rsid w:val="005E533E"/>
    <w:rsid w:val="005E6070"/>
    <w:rsid w:val="005E6307"/>
    <w:rsid w:val="005E6CBC"/>
    <w:rsid w:val="005E6E45"/>
    <w:rsid w:val="005E73C0"/>
    <w:rsid w:val="005F191C"/>
    <w:rsid w:val="005F2706"/>
    <w:rsid w:val="005F3CD0"/>
    <w:rsid w:val="005F5867"/>
    <w:rsid w:val="005F6A8F"/>
    <w:rsid w:val="005F7953"/>
    <w:rsid w:val="005F7BDD"/>
    <w:rsid w:val="00600088"/>
    <w:rsid w:val="00603DB9"/>
    <w:rsid w:val="0060523D"/>
    <w:rsid w:val="00605DA4"/>
    <w:rsid w:val="00607669"/>
    <w:rsid w:val="006077B9"/>
    <w:rsid w:val="00607AFD"/>
    <w:rsid w:val="00612D2A"/>
    <w:rsid w:val="00612F97"/>
    <w:rsid w:val="0061345D"/>
    <w:rsid w:val="006144A8"/>
    <w:rsid w:val="00616802"/>
    <w:rsid w:val="00617E12"/>
    <w:rsid w:val="00621477"/>
    <w:rsid w:val="006251EA"/>
    <w:rsid w:val="00626870"/>
    <w:rsid w:val="00630230"/>
    <w:rsid w:val="00630F2F"/>
    <w:rsid w:val="0063158F"/>
    <w:rsid w:val="00631947"/>
    <w:rsid w:val="00631D6B"/>
    <w:rsid w:val="00632065"/>
    <w:rsid w:val="006330A1"/>
    <w:rsid w:val="0063479F"/>
    <w:rsid w:val="006353F0"/>
    <w:rsid w:val="0063548B"/>
    <w:rsid w:val="006364A1"/>
    <w:rsid w:val="00637BFD"/>
    <w:rsid w:val="0064083E"/>
    <w:rsid w:val="0064092A"/>
    <w:rsid w:val="00641C4E"/>
    <w:rsid w:val="00642065"/>
    <w:rsid w:val="00642B63"/>
    <w:rsid w:val="006471CC"/>
    <w:rsid w:val="00647E9E"/>
    <w:rsid w:val="0065079F"/>
    <w:rsid w:val="0065098D"/>
    <w:rsid w:val="0065247A"/>
    <w:rsid w:val="006529E5"/>
    <w:rsid w:val="0065379F"/>
    <w:rsid w:val="006542E4"/>
    <w:rsid w:val="00656C27"/>
    <w:rsid w:val="006570EF"/>
    <w:rsid w:val="00657223"/>
    <w:rsid w:val="00657E1E"/>
    <w:rsid w:val="006608CA"/>
    <w:rsid w:val="00660BEB"/>
    <w:rsid w:val="00661C6B"/>
    <w:rsid w:val="0066247F"/>
    <w:rsid w:val="00662A33"/>
    <w:rsid w:val="006632FA"/>
    <w:rsid w:val="006647CE"/>
    <w:rsid w:val="00664EFF"/>
    <w:rsid w:val="00671FCB"/>
    <w:rsid w:val="00672839"/>
    <w:rsid w:val="00673429"/>
    <w:rsid w:val="00674E42"/>
    <w:rsid w:val="0067622B"/>
    <w:rsid w:val="006772C6"/>
    <w:rsid w:val="006775DD"/>
    <w:rsid w:val="006778C8"/>
    <w:rsid w:val="0068081D"/>
    <w:rsid w:val="00681F0C"/>
    <w:rsid w:val="00682112"/>
    <w:rsid w:val="00683BEE"/>
    <w:rsid w:val="00685895"/>
    <w:rsid w:val="00686957"/>
    <w:rsid w:val="006872BA"/>
    <w:rsid w:val="00690D5D"/>
    <w:rsid w:val="00691648"/>
    <w:rsid w:val="006917D7"/>
    <w:rsid w:val="006934A4"/>
    <w:rsid w:val="006949B9"/>
    <w:rsid w:val="00694F44"/>
    <w:rsid w:val="00694F51"/>
    <w:rsid w:val="00695342"/>
    <w:rsid w:val="006A0505"/>
    <w:rsid w:val="006A0B89"/>
    <w:rsid w:val="006A1D88"/>
    <w:rsid w:val="006A5271"/>
    <w:rsid w:val="006A7178"/>
    <w:rsid w:val="006A7E5F"/>
    <w:rsid w:val="006B08A6"/>
    <w:rsid w:val="006B1411"/>
    <w:rsid w:val="006B261B"/>
    <w:rsid w:val="006B2C90"/>
    <w:rsid w:val="006B3215"/>
    <w:rsid w:val="006B6DD0"/>
    <w:rsid w:val="006B791F"/>
    <w:rsid w:val="006C108B"/>
    <w:rsid w:val="006C1CC5"/>
    <w:rsid w:val="006C2727"/>
    <w:rsid w:val="006C2A8E"/>
    <w:rsid w:val="006C5D9B"/>
    <w:rsid w:val="006C5E2E"/>
    <w:rsid w:val="006C6C86"/>
    <w:rsid w:val="006D0458"/>
    <w:rsid w:val="006D0738"/>
    <w:rsid w:val="006D14F5"/>
    <w:rsid w:val="006D3C7D"/>
    <w:rsid w:val="006D4AC9"/>
    <w:rsid w:val="006D542C"/>
    <w:rsid w:val="006D5726"/>
    <w:rsid w:val="006D5D5F"/>
    <w:rsid w:val="006E2FB9"/>
    <w:rsid w:val="006E46C5"/>
    <w:rsid w:val="006E6317"/>
    <w:rsid w:val="006E6F4F"/>
    <w:rsid w:val="006F2BE7"/>
    <w:rsid w:val="006F2CF0"/>
    <w:rsid w:val="006F306C"/>
    <w:rsid w:val="006F32D4"/>
    <w:rsid w:val="006F338A"/>
    <w:rsid w:val="006F3753"/>
    <w:rsid w:val="006F3797"/>
    <w:rsid w:val="006F4092"/>
    <w:rsid w:val="006F4BF6"/>
    <w:rsid w:val="006F63A5"/>
    <w:rsid w:val="006F7087"/>
    <w:rsid w:val="0070142B"/>
    <w:rsid w:val="0070276E"/>
    <w:rsid w:val="00702F8F"/>
    <w:rsid w:val="0070392E"/>
    <w:rsid w:val="00706547"/>
    <w:rsid w:val="00707E89"/>
    <w:rsid w:val="007103CE"/>
    <w:rsid w:val="007115E1"/>
    <w:rsid w:val="007116F2"/>
    <w:rsid w:val="00711A36"/>
    <w:rsid w:val="00713469"/>
    <w:rsid w:val="007147C9"/>
    <w:rsid w:val="00714C1C"/>
    <w:rsid w:val="00715101"/>
    <w:rsid w:val="0071529C"/>
    <w:rsid w:val="007168E6"/>
    <w:rsid w:val="007172AD"/>
    <w:rsid w:val="00722907"/>
    <w:rsid w:val="00722B1B"/>
    <w:rsid w:val="0072416F"/>
    <w:rsid w:val="00724849"/>
    <w:rsid w:val="00724916"/>
    <w:rsid w:val="00726543"/>
    <w:rsid w:val="00727338"/>
    <w:rsid w:val="00727C94"/>
    <w:rsid w:val="007311F6"/>
    <w:rsid w:val="00731EAE"/>
    <w:rsid w:val="00735033"/>
    <w:rsid w:val="00735328"/>
    <w:rsid w:val="0073555A"/>
    <w:rsid w:val="0073685B"/>
    <w:rsid w:val="00737912"/>
    <w:rsid w:val="0074165F"/>
    <w:rsid w:val="00742C70"/>
    <w:rsid w:val="00744A50"/>
    <w:rsid w:val="007463CB"/>
    <w:rsid w:val="007472B5"/>
    <w:rsid w:val="0074784E"/>
    <w:rsid w:val="00750B0C"/>
    <w:rsid w:val="00752142"/>
    <w:rsid w:val="007523F9"/>
    <w:rsid w:val="007573E8"/>
    <w:rsid w:val="00757523"/>
    <w:rsid w:val="00760A95"/>
    <w:rsid w:val="00760C4E"/>
    <w:rsid w:val="00761385"/>
    <w:rsid w:val="007617E7"/>
    <w:rsid w:val="00764B57"/>
    <w:rsid w:val="00764D44"/>
    <w:rsid w:val="00764DE4"/>
    <w:rsid w:val="0076517F"/>
    <w:rsid w:val="00765B1A"/>
    <w:rsid w:val="00765D3E"/>
    <w:rsid w:val="007662BA"/>
    <w:rsid w:val="0076687B"/>
    <w:rsid w:val="007673EB"/>
    <w:rsid w:val="00772860"/>
    <w:rsid w:val="00774965"/>
    <w:rsid w:val="0077607D"/>
    <w:rsid w:val="00776FE2"/>
    <w:rsid w:val="00777257"/>
    <w:rsid w:val="00780FD7"/>
    <w:rsid w:val="007843F2"/>
    <w:rsid w:val="00787A08"/>
    <w:rsid w:val="0079039C"/>
    <w:rsid w:val="0079417B"/>
    <w:rsid w:val="00796912"/>
    <w:rsid w:val="00796CA7"/>
    <w:rsid w:val="007A0A12"/>
    <w:rsid w:val="007A0A85"/>
    <w:rsid w:val="007A132D"/>
    <w:rsid w:val="007A3D2D"/>
    <w:rsid w:val="007A5CCF"/>
    <w:rsid w:val="007A6C05"/>
    <w:rsid w:val="007B0D68"/>
    <w:rsid w:val="007B251D"/>
    <w:rsid w:val="007B46B0"/>
    <w:rsid w:val="007B46C4"/>
    <w:rsid w:val="007B4F58"/>
    <w:rsid w:val="007B528D"/>
    <w:rsid w:val="007B5BEF"/>
    <w:rsid w:val="007B69AD"/>
    <w:rsid w:val="007B77D1"/>
    <w:rsid w:val="007C06F5"/>
    <w:rsid w:val="007C161B"/>
    <w:rsid w:val="007C1CD9"/>
    <w:rsid w:val="007C215C"/>
    <w:rsid w:val="007C35AF"/>
    <w:rsid w:val="007C361D"/>
    <w:rsid w:val="007C4B84"/>
    <w:rsid w:val="007C5622"/>
    <w:rsid w:val="007C5E7D"/>
    <w:rsid w:val="007C68F4"/>
    <w:rsid w:val="007C76B5"/>
    <w:rsid w:val="007C7C4D"/>
    <w:rsid w:val="007C7CDD"/>
    <w:rsid w:val="007D004F"/>
    <w:rsid w:val="007D0B38"/>
    <w:rsid w:val="007D305C"/>
    <w:rsid w:val="007D4E98"/>
    <w:rsid w:val="007D5440"/>
    <w:rsid w:val="007D6842"/>
    <w:rsid w:val="007D7003"/>
    <w:rsid w:val="007E068A"/>
    <w:rsid w:val="007E1F39"/>
    <w:rsid w:val="007E2A39"/>
    <w:rsid w:val="007E3535"/>
    <w:rsid w:val="007E3DFF"/>
    <w:rsid w:val="007E3E25"/>
    <w:rsid w:val="007E7A41"/>
    <w:rsid w:val="007F1017"/>
    <w:rsid w:val="007F177D"/>
    <w:rsid w:val="007F1E4B"/>
    <w:rsid w:val="007F47AF"/>
    <w:rsid w:val="007F4A3F"/>
    <w:rsid w:val="007F4A61"/>
    <w:rsid w:val="007F5DBD"/>
    <w:rsid w:val="007F61C2"/>
    <w:rsid w:val="00800134"/>
    <w:rsid w:val="00805142"/>
    <w:rsid w:val="00805248"/>
    <w:rsid w:val="00807A8B"/>
    <w:rsid w:val="00810405"/>
    <w:rsid w:val="00811383"/>
    <w:rsid w:val="00812149"/>
    <w:rsid w:val="00812299"/>
    <w:rsid w:val="008125E9"/>
    <w:rsid w:val="00812CAC"/>
    <w:rsid w:val="00813597"/>
    <w:rsid w:val="00814CC3"/>
    <w:rsid w:val="00815BF5"/>
    <w:rsid w:val="00815FFB"/>
    <w:rsid w:val="00816036"/>
    <w:rsid w:val="008166EF"/>
    <w:rsid w:val="00816793"/>
    <w:rsid w:val="00816FF2"/>
    <w:rsid w:val="00820A2B"/>
    <w:rsid w:val="00825751"/>
    <w:rsid w:val="008264EB"/>
    <w:rsid w:val="00831275"/>
    <w:rsid w:val="008313EB"/>
    <w:rsid w:val="008322AC"/>
    <w:rsid w:val="00833B05"/>
    <w:rsid w:val="00834A78"/>
    <w:rsid w:val="00835412"/>
    <w:rsid w:val="008362B4"/>
    <w:rsid w:val="00837BC5"/>
    <w:rsid w:val="00840CA2"/>
    <w:rsid w:val="00841857"/>
    <w:rsid w:val="00842599"/>
    <w:rsid w:val="00842F8C"/>
    <w:rsid w:val="008431CD"/>
    <w:rsid w:val="0084374F"/>
    <w:rsid w:val="00843792"/>
    <w:rsid w:val="008438AC"/>
    <w:rsid w:val="00847418"/>
    <w:rsid w:val="00847DF5"/>
    <w:rsid w:val="00850D08"/>
    <w:rsid w:val="00851A0D"/>
    <w:rsid w:val="00851F92"/>
    <w:rsid w:val="00852E91"/>
    <w:rsid w:val="0085309D"/>
    <w:rsid w:val="00855F36"/>
    <w:rsid w:val="00856083"/>
    <w:rsid w:val="00856897"/>
    <w:rsid w:val="00856E9A"/>
    <w:rsid w:val="00857223"/>
    <w:rsid w:val="0086075D"/>
    <w:rsid w:val="00861C03"/>
    <w:rsid w:val="00862061"/>
    <w:rsid w:val="00862502"/>
    <w:rsid w:val="008626AF"/>
    <w:rsid w:val="008645CD"/>
    <w:rsid w:val="008660D4"/>
    <w:rsid w:val="00871017"/>
    <w:rsid w:val="00871FA9"/>
    <w:rsid w:val="00872107"/>
    <w:rsid w:val="008728E9"/>
    <w:rsid w:val="00873F36"/>
    <w:rsid w:val="00874ECE"/>
    <w:rsid w:val="0087558B"/>
    <w:rsid w:val="008757E5"/>
    <w:rsid w:val="00876176"/>
    <w:rsid w:val="008773F3"/>
    <w:rsid w:val="0087787E"/>
    <w:rsid w:val="00877925"/>
    <w:rsid w:val="00877A34"/>
    <w:rsid w:val="00882003"/>
    <w:rsid w:val="0088280C"/>
    <w:rsid w:val="00882874"/>
    <w:rsid w:val="00882CEC"/>
    <w:rsid w:val="00883787"/>
    <w:rsid w:val="0088458D"/>
    <w:rsid w:val="00886CD2"/>
    <w:rsid w:val="008909A8"/>
    <w:rsid w:val="00891171"/>
    <w:rsid w:val="00891B83"/>
    <w:rsid w:val="00892A36"/>
    <w:rsid w:val="00893239"/>
    <w:rsid w:val="00894489"/>
    <w:rsid w:val="0089542B"/>
    <w:rsid w:val="008963A5"/>
    <w:rsid w:val="008A02A6"/>
    <w:rsid w:val="008A3363"/>
    <w:rsid w:val="008A3371"/>
    <w:rsid w:val="008A3C3E"/>
    <w:rsid w:val="008A4DA2"/>
    <w:rsid w:val="008A6F83"/>
    <w:rsid w:val="008A77A7"/>
    <w:rsid w:val="008A79DE"/>
    <w:rsid w:val="008B1757"/>
    <w:rsid w:val="008B7032"/>
    <w:rsid w:val="008B7D7E"/>
    <w:rsid w:val="008B7E53"/>
    <w:rsid w:val="008C004B"/>
    <w:rsid w:val="008C1E15"/>
    <w:rsid w:val="008C3E77"/>
    <w:rsid w:val="008C6517"/>
    <w:rsid w:val="008C7ECB"/>
    <w:rsid w:val="008D0E6E"/>
    <w:rsid w:val="008D2518"/>
    <w:rsid w:val="008D4755"/>
    <w:rsid w:val="008D4C3D"/>
    <w:rsid w:val="008D4DBA"/>
    <w:rsid w:val="008E0A0B"/>
    <w:rsid w:val="008E0D3C"/>
    <w:rsid w:val="008E1B9E"/>
    <w:rsid w:val="008E2DB7"/>
    <w:rsid w:val="008E35A3"/>
    <w:rsid w:val="008E38A4"/>
    <w:rsid w:val="008E3907"/>
    <w:rsid w:val="008E4318"/>
    <w:rsid w:val="008E55AB"/>
    <w:rsid w:val="008F120A"/>
    <w:rsid w:val="008F27E0"/>
    <w:rsid w:val="008F48EB"/>
    <w:rsid w:val="008F4947"/>
    <w:rsid w:val="008F4C02"/>
    <w:rsid w:val="008F4F0B"/>
    <w:rsid w:val="008F5286"/>
    <w:rsid w:val="008F7890"/>
    <w:rsid w:val="00900528"/>
    <w:rsid w:val="00900C9F"/>
    <w:rsid w:val="00901E3B"/>
    <w:rsid w:val="00902CC8"/>
    <w:rsid w:val="009046C4"/>
    <w:rsid w:val="0090622B"/>
    <w:rsid w:val="009062A5"/>
    <w:rsid w:val="009071C2"/>
    <w:rsid w:val="00907ABE"/>
    <w:rsid w:val="00911272"/>
    <w:rsid w:val="009135D6"/>
    <w:rsid w:val="00914C77"/>
    <w:rsid w:val="00917F4D"/>
    <w:rsid w:val="00920004"/>
    <w:rsid w:val="00921211"/>
    <w:rsid w:val="00922DC5"/>
    <w:rsid w:val="0092369B"/>
    <w:rsid w:val="00924B4E"/>
    <w:rsid w:val="00927DBC"/>
    <w:rsid w:val="00930610"/>
    <w:rsid w:val="00931025"/>
    <w:rsid w:val="0093138D"/>
    <w:rsid w:val="0093473A"/>
    <w:rsid w:val="00934F4C"/>
    <w:rsid w:val="00936795"/>
    <w:rsid w:val="00936FA3"/>
    <w:rsid w:val="00937F5C"/>
    <w:rsid w:val="00940CB1"/>
    <w:rsid w:val="009429A2"/>
    <w:rsid w:val="00942EB0"/>
    <w:rsid w:val="00943028"/>
    <w:rsid w:val="00943527"/>
    <w:rsid w:val="0094501C"/>
    <w:rsid w:val="00945B15"/>
    <w:rsid w:val="0094682E"/>
    <w:rsid w:val="0094747E"/>
    <w:rsid w:val="009510A2"/>
    <w:rsid w:val="00953257"/>
    <w:rsid w:val="00955171"/>
    <w:rsid w:val="009556F8"/>
    <w:rsid w:val="0095619B"/>
    <w:rsid w:val="00961DDB"/>
    <w:rsid w:val="00962CB9"/>
    <w:rsid w:val="00964312"/>
    <w:rsid w:val="00965B8A"/>
    <w:rsid w:val="00965E94"/>
    <w:rsid w:val="0096695C"/>
    <w:rsid w:val="009717AC"/>
    <w:rsid w:val="0097342B"/>
    <w:rsid w:val="009743D5"/>
    <w:rsid w:val="0098003D"/>
    <w:rsid w:val="00981B29"/>
    <w:rsid w:val="009833DD"/>
    <w:rsid w:val="0098346F"/>
    <w:rsid w:val="00983E57"/>
    <w:rsid w:val="009843C2"/>
    <w:rsid w:val="009852F5"/>
    <w:rsid w:val="0098675D"/>
    <w:rsid w:val="009900FE"/>
    <w:rsid w:val="00993F63"/>
    <w:rsid w:val="00993F7C"/>
    <w:rsid w:val="0099670D"/>
    <w:rsid w:val="009967E6"/>
    <w:rsid w:val="00996B1A"/>
    <w:rsid w:val="009970A5"/>
    <w:rsid w:val="00997351"/>
    <w:rsid w:val="00997382"/>
    <w:rsid w:val="009A1C10"/>
    <w:rsid w:val="009A2763"/>
    <w:rsid w:val="009A5B36"/>
    <w:rsid w:val="009A61A7"/>
    <w:rsid w:val="009A7F10"/>
    <w:rsid w:val="009B19A4"/>
    <w:rsid w:val="009B3E26"/>
    <w:rsid w:val="009B41CC"/>
    <w:rsid w:val="009B631F"/>
    <w:rsid w:val="009B7E97"/>
    <w:rsid w:val="009C4138"/>
    <w:rsid w:val="009C6CEA"/>
    <w:rsid w:val="009C78DC"/>
    <w:rsid w:val="009C7B85"/>
    <w:rsid w:val="009D107F"/>
    <w:rsid w:val="009D3905"/>
    <w:rsid w:val="009D49F2"/>
    <w:rsid w:val="009D4B2C"/>
    <w:rsid w:val="009D5B91"/>
    <w:rsid w:val="009D679D"/>
    <w:rsid w:val="009D792E"/>
    <w:rsid w:val="009E0DFE"/>
    <w:rsid w:val="009E36A8"/>
    <w:rsid w:val="009E3A53"/>
    <w:rsid w:val="009E4C07"/>
    <w:rsid w:val="009E7712"/>
    <w:rsid w:val="009E777E"/>
    <w:rsid w:val="009F00A6"/>
    <w:rsid w:val="009F090B"/>
    <w:rsid w:val="009F23B6"/>
    <w:rsid w:val="009F55FD"/>
    <w:rsid w:val="009F71FA"/>
    <w:rsid w:val="009F73F9"/>
    <w:rsid w:val="00A00CB3"/>
    <w:rsid w:val="00A01184"/>
    <w:rsid w:val="00A017F2"/>
    <w:rsid w:val="00A01955"/>
    <w:rsid w:val="00A022C9"/>
    <w:rsid w:val="00A03D43"/>
    <w:rsid w:val="00A04380"/>
    <w:rsid w:val="00A04915"/>
    <w:rsid w:val="00A062EA"/>
    <w:rsid w:val="00A06A9C"/>
    <w:rsid w:val="00A070CD"/>
    <w:rsid w:val="00A10B7B"/>
    <w:rsid w:val="00A11CD0"/>
    <w:rsid w:val="00A1257A"/>
    <w:rsid w:val="00A13948"/>
    <w:rsid w:val="00A13DC4"/>
    <w:rsid w:val="00A14635"/>
    <w:rsid w:val="00A1555B"/>
    <w:rsid w:val="00A155C5"/>
    <w:rsid w:val="00A16AD8"/>
    <w:rsid w:val="00A174E6"/>
    <w:rsid w:val="00A21CF3"/>
    <w:rsid w:val="00A225AF"/>
    <w:rsid w:val="00A23D73"/>
    <w:rsid w:val="00A27AC4"/>
    <w:rsid w:val="00A27AEC"/>
    <w:rsid w:val="00A31EB6"/>
    <w:rsid w:val="00A320DB"/>
    <w:rsid w:val="00A34B6B"/>
    <w:rsid w:val="00A34D69"/>
    <w:rsid w:val="00A35D16"/>
    <w:rsid w:val="00A37BCD"/>
    <w:rsid w:val="00A40452"/>
    <w:rsid w:val="00A40C40"/>
    <w:rsid w:val="00A438CD"/>
    <w:rsid w:val="00A43C59"/>
    <w:rsid w:val="00A44AF0"/>
    <w:rsid w:val="00A45131"/>
    <w:rsid w:val="00A4597D"/>
    <w:rsid w:val="00A47D4C"/>
    <w:rsid w:val="00A504FD"/>
    <w:rsid w:val="00A50ECD"/>
    <w:rsid w:val="00A518F3"/>
    <w:rsid w:val="00A52729"/>
    <w:rsid w:val="00A531FA"/>
    <w:rsid w:val="00A53675"/>
    <w:rsid w:val="00A5615C"/>
    <w:rsid w:val="00A564D7"/>
    <w:rsid w:val="00A569B6"/>
    <w:rsid w:val="00A56B6A"/>
    <w:rsid w:val="00A57261"/>
    <w:rsid w:val="00A574AF"/>
    <w:rsid w:val="00A578DC"/>
    <w:rsid w:val="00A64958"/>
    <w:rsid w:val="00A6725B"/>
    <w:rsid w:val="00A6731E"/>
    <w:rsid w:val="00A70605"/>
    <w:rsid w:val="00A71D68"/>
    <w:rsid w:val="00A73134"/>
    <w:rsid w:val="00A74AA8"/>
    <w:rsid w:val="00A75722"/>
    <w:rsid w:val="00A75D0A"/>
    <w:rsid w:val="00A7655C"/>
    <w:rsid w:val="00A76C79"/>
    <w:rsid w:val="00A777B2"/>
    <w:rsid w:val="00A829BE"/>
    <w:rsid w:val="00A85361"/>
    <w:rsid w:val="00A86E8B"/>
    <w:rsid w:val="00A87164"/>
    <w:rsid w:val="00A87D15"/>
    <w:rsid w:val="00A87D56"/>
    <w:rsid w:val="00A90539"/>
    <w:rsid w:val="00A90E80"/>
    <w:rsid w:val="00A91559"/>
    <w:rsid w:val="00A91F99"/>
    <w:rsid w:val="00A929D5"/>
    <w:rsid w:val="00A92D33"/>
    <w:rsid w:val="00A93072"/>
    <w:rsid w:val="00A93953"/>
    <w:rsid w:val="00A94150"/>
    <w:rsid w:val="00A959D8"/>
    <w:rsid w:val="00A97F4E"/>
    <w:rsid w:val="00AA04D3"/>
    <w:rsid w:val="00AA0A69"/>
    <w:rsid w:val="00AA113D"/>
    <w:rsid w:val="00AA3908"/>
    <w:rsid w:val="00AA420F"/>
    <w:rsid w:val="00AA47D1"/>
    <w:rsid w:val="00AA6C7D"/>
    <w:rsid w:val="00AA76BD"/>
    <w:rsid w:val="00AA7FD6"/>
    <w:rsid w:val="00AB042A"/>
    <w:rsid w:val="00AB0AC0"/>
    <w:rsid w:val="00AB14DC"/>
    <w:rsid w:val="00AB17F1"/>
    <w:rsid w:val="00AB2D34"/>
    <w:rsid w:val="00AB3430"/>
    <w:rsid w:val="00AB3F64"/>
    <w:rsid w:val="00AB4532"/>
    <w:rsid w:val="00AB4AD1"/>
    <w:rsid w:val="00AB5FCE"/>
    <w:rsid w:val="00AB7933"/>
    <w:rsid w:val="00AB7CFA"/>
    <w:rsid w:val="00AC1DE8"/>
    <w:rsid w:val="00AC3A1A"/>
    <w:rsid w:val="00AC462E"/>
    <w:rsid w:val="00AC582C"/>
    <w:rsid w:val="00AC5B48"/>
    <w:rsid w:val="00AD1F44"/>
    <w:rsid w:val="00AD3DBA"/>
    <w:rsid w:val="00AD479D"/>
    <w:rsid w:val="00AD6502"/>
    <w:rsid w:val="00AD766F"/>
    <w:rsid w:val="00AE01DC"/>
    <w:rsid w:val="00AE29B5"/>
    <w:rsid w:val="00AE5348"/>
    <w:rsid w:val="00AE6002"/>
    <w:rsid w:val="00AE630D"/>
    <w:rsid w:val="00AE6B27"/>
    <w:rsid w:val="00AE70F1"/>
    <w:rsid w:val="00AE775E"/>
    <w:rsid w:val="00AE7F99"/>
    <w:rsid w:val="00AF05F0"/>
    <w:rsid w:val="00AF1315"/>
    <w:rsid w:val="00AF19BF"/>
    <w:rsid w:val="00AF2DC3"/>
    <w:rsid w:val="00B00421"/>
    <w:rsid w:val="00B01F17"/>
    <w:rsid w:val="00B027AF"/>
    <w:rsid w:val="00B033E5"/>
    <w:rsid w:val="00B034A1"/>
    <w:rsid w:val="00B03A63"/>
    <w:rsid w:val="00B05109"/>
    <w:rsid w:val="00B10199"/>
    <w:rsid w:val="00B101B2"/>
    <w:rsid w:val="00B114E5"/>
    <w:rsid w:val="00B140DA"/>
    <w:rsid w:val="00B14A6B"/>
    <w:rsid w:val="00B16FF6"/>
    <w:rsid w:val="00B201A4"/>
    <w:rsid w:val="00B2111A"/>
    <w:rsid w:val="00B213A6"/>
    <w:rsid w:val="00B22BEE"/>
    <w:rsid w:val="00B238A6"/>
    <w:rsid w:val="00B23E01"/>
    <w:rsid w:val="00B23E6B"/>
    <w:rsid w:val="00B24DF6"/>
    <w:rsid w:val="00B302F0"/>
    <w:rsid w:val="00B32711"/>
    <w:rsid w:val="00B34533"/>
    <w:rsid w:val="00B34FE2"/>
    <w:rsid w:val="00B35559"/>
    <w:rsid w:val="00B357D8"/>
    <w:rsid w:val="00B358D2"/>
    <w:rsid w:val="00B37BFC"/>
    <w:rsid w:val="00B40058"/>
    <w:rsid w:val="00B40358"/>
    <w:rsid w:val="00B409F9"/>
    <w:rsid w:val="00B41295"/>
    <w:rsid w:val="00B41614"/>
    <w:rsid w:val="00B41E18"/>
    <w:rsid w:val="00B42851"/>
    <w:rsid w:val="00B42F80"/>
    <w:rsid w:val="00B435CB"/>
    <w:rsid w:val="00B43FF2"/>
    <w:rsid w:val="00B44AFD"/>
    <w:rsid w:val="00B47EB2"/>
    <w:rsid w:val="00B50DB8"/>
    <w:rsid w:val="00B50DDC"/>
    <w:rsid w:val="00B51B8E"/>
    <w:rsid w:val="00B53654"/>
    <w:rsid w:val="00B5373F"/>
    <w:rsid w:val="00B53905"/>
    <w:rsid w:val="00B54146"/>
    <w:rsid w:val="00B546CD"/>
    <w:rsid w:val="00B54B5B"/>
    <w:rsid w:val="00B5562E"/>
    <w:rsid w:val="00B55776"/>
    <w:rsid w:val="00B55DE5"/>
    <w:rsid w:val="00B566B8"/>
    <w:rsid w:val="00B57000"/>
    <w:rsid w:val="00B577CA"/>
    <w:rsid w:val="00B60939"/>
    <w:rsid w:val="00B60AFD"/>
    <w:rsid w:val="00B62715"/>
    <w:rsid w:val="00B6448F"/>
    <w:rsid w:val="00B7044C"/>
    <w:rsid w:val="00B70C86"/>
    <w:rsid w:val="00B73C9E"/>
    <w:rsid w:val="00B74B63"/>
    <w:rsid w:val="00B81805"/>
    <w:rsid w:val="00B818A4"/>
    <w:rsid w:val="00B81B9A"/>
    <w:rsid w:val="00B83288"/>
    <w:rsid w:val="00B84117"/>
    <w:rsid w:val="00B84167"/>
    <w:rsid w:val="00B84E2D"/>
    <w:rsid w:val="00B85AA2"/>
    <w:rsid w:val="00B86165"/>
    <w:rsid w:val="00B8649C"/>
    <w:rsid w:val="00B87F0A"/>
    <w:rsid w:val="00B91D6A"/>
    <w:rsid w:val="00B92D0B"/>
    <w:rsid w:val="00B94945"/>
    <w:rsid w:val="00B954D5"/>
    <w:rsid w:val="00B97186"/>
    <w:rsid w:val="00B975DA"/>
    <w:rsid w:val="00BA322D"/>
    <w:rsid w:val="00BA42B8"/>
    <w:rsid w:val="00BB0BDD"/>
    <w:rsid w:val="00BB2A73"/>
    <w:rsid w:val="00BB4ACC"/>
    <w:rsid w:val="00BB5C55"/>
    <w:rsid w:val="00BB703E"/>
    <w:rsid w:val="00BB7405"/>
    <w:rsid w:val="00BC2F8C"/>
    <w:rsid w:val="00BC3631"/>
    <w:rsid w:val="00BC40F7"/>
    <w:rsid w:val="00BC7804"/>
    <w:rsid w:val="00BD0C33"/>
    <w:rsid w:val="00BD1952"/>
    <w:rsid w:val="00BD1B0C"/>
    <w:rsid w:val="00BD3055"/>
    <w:rsid w:val="00BD3101"/>
    <w:rsid w:val="00BD414B"/>
    <w:rsid w:val="00BD4311"/>
    <w:rsid w:val="00BD5388"/>
    <w:rsid w:val="00BD68A3"/>
    <w:rsid w:val="00BD6938"/>
    <w:rsid w:val="00BD6CF3"/>
    <w:rsid w:val="00BE2180"/>
    <w:rsid w:val="00BE21F2"/>
    <w:rsid w:val="00BE3028"/>
    <w:rsid w:val="00BE330F"/>
    <w:rsid w:val="00BE39A6"/>
    <w:rsid w:val="00BE4275"/>
    <w:rsid w:val="00BE43F7"/>
    <w:rsid w:val="00BE6E98"/>
    <w:rsid w:val="00BE72BA"/>
    <w:rsid w:val="00BE7E0B"/>
    <w:rsid w:val="00BF051F"/>
    <w:rsid w:val="00BF0B4B"/>
    <w:rsid w:val="00BF0E45"/>
    <w:rsid w:val="00BF0F95"/>
    <w:rsid w:val="00BF2433"/>
    <w:rsid w:val="00BF5166"/>
    <w:rsid w:val="00BF5301"/>
    <w:rsid w:val="00BF5AE2"/>
    <w:rsid w:val="00BF61C9"/>
    <w:rsid w:val="00BF6C94"/>
    <w:rsid w:val="00BF6EA2"/>
    <w:rsid w:val="00C00424"/>
    <w:rsid w:val="00C0145A"/>
    <w:rsid w:val="00C01500"/>
    <w:rsid w:val="00C01EF2"/>
    <w:rsid w:val="00C06AD9"/>
    <w:rsid w:val="00C0749C"/>
    <w:rsid w:val="00C105A0"/>
    <w:rsid w:val="00C10F8F"/>
    <w:rsid w:val="00C1144D"/>
    <w:rsid w:val="00C12715"/>
    <w:rsid w:val="00C12C14"/>
    <w:rsid w:val="00C14C3D"/>
    <w:rsid w:val="00C166F0"/>
    <w:rsid w:val="00C200AA"/>
    <w:rsid w:val="00C20944"/>
    <w:rsid w:val="00C20A4F"/>
    <w:rsid w:val="00C20C94"/>
    <w:rsid w:val="00C2379F"/>
    <w:rsid w:val="00C237ED"/>
    <w:rsid w:val="00C24632"/>
    <w:rsid w:val="00C25418"/>
    <w:rsid w:val="00C25D9C"/>
    <w:rsid w:val="00C2778B"/>
    <w:rsid w:val="00C3127D"/>
    <w:rsid w:val="00C31649"/>
    <w:rsid w:val="00C31CE6"/>
    <w:rsid w:val="00C31E28"/>
    <w:rsid w:val="00C3406D"/>
    <w:rsid w:val="00C35218"/>
    <w:rsid w:val="00C40385"/>
    <w:rsid w:val="00C4136C"/>
    <w:rsid w:val="00C422A2"/>
    <w:rsid w:val="00C42741"/>
    <w:rsid w:val="00C44412"/>
    <w:rsid w:val="00C446B2"/>
    <w:rsid w:val="00C45244"/>
    <w:rsid w:val="00C45A7A"/>
    <w:rsid w:val="00C475AA"/>
    <w:rsid w:val="00C52D36"/>
    <w:rsid w:val="00C5790D"/>
    <w:rsid w:val="00C60969"/>
    <w:rsid w:val="00C61E6F"/>
    <w:rsid w:val="00C645CE"/>
    <w:rsid w:val="00C64634"/>
    <w:rsid w:val="00C65576"/>
    <w:rsid w:val="00C65BDE"/>
    <w:rsid w:val="00C66095"/>
    <w:rsid w:val="00C66165"/>
    <w:rsid w:val="00C662CA"/>
    <w:rsid w:val="00C714DB"/>
    <w:rsid w:val="00C7151A"/>
    <w:rsid w:val="00C71669"/>
    <w:rsid w:val="00C71F59"/>
    <w:rsid w:val="00C71F60"/>
    <w:rsid w:val="00C72241"/>
    <w:rsid w:val="00C72503"/>
    <w:rsid w:val="00C750C8"/>
    <w:rsid w:val="00C7560F"/>
    <w:rsid w:val="00C80A0E"/>
    <w:rsid w:val="00C8213F"/>
    <w:rsid w:val="00C845B7"/>
    <w:rsid w:val="00C8546C"/>
    <w:rsid w:val="00C86DB5"/>
    <w:rsid w:val="00C8797A"/>
    <w:rsid w:val="00C879CC"/>
    <w:rsid w:val="00C900B8"/>
    <w:rsid w:val="00C90C71"/>
    <w:rsid w:val="00C910A8"/>
    <w:rsid w:val="00C931CF"/>
    <w:rsid w:val="00C937B7"/>
    <w:rsid w:val="00C938CF"/>
    <w:rsid w:val="00C9624D"/>
    <w:rsid w:val="00C969DA"/>
    <w:rsid w:val="00C97ACA"/>
    <w:rsid w:val="00C97D55"/>
    <w:rsid w:val="00CA2C77"/>
    <w:rsid w:val="00CA3251"/>
    <w:rsid w:val="00CA444F"/>
    <w:rsid w:val="00CA5245"/>
    <w:rsid w:val="00CA5E7E"/>
    <w:rsid w:val="00CA61E8"/>
    <w:rsid w:val="00CA6875"/>
    <w:rsid w:val="00CA71F4"/>
    <w:rsid w:val="00CA7B09"/>
    <w:rsid w:val="00CB035A"/>
    <w:rsid w:val="00CB054B"/>
    <w:rsid w:val="00CB21D0"/>
    <w:rsid w:val="00CB2AAF"/>
    <w:rsid w:val="00CB2F2A"/>
    <w:rsid w:val="00CB41A8"/>
    <w:rsid w:val="00CB5B1A"/>
    <w:rsid w:val="00CB6B22"/>
    <w:rsid w:val="00CB7F5F"/>
    <w:rsid w:val="00CC1B39"/>
    <w:rsid w:val="00CC3584"/>
    <w:rsid w:val="00CC422B"/>
    <w:rsid w:val="00CC442E"/>
    <w:rsid w:val="00CC6D5C"/>
    <w:rsid w:val="00CD345B"/>
    <w:rsid w:val="00CD37A8"/>
    <w:rsid w:val="00CD6ADC"/>
    <w:rsid w:val="00CD7862"/>
    <w:rsid w:val="00CE1611"/>
    <w:rsid w:val="00CE2795"/>
    <w:rsid w:val="00CE2B78"/>
    <w:rsid w:val="00CE4228"/>
    <w:rsid w:val="00CE5E2C"/>
    <w:rsid w:val="00CE6274"/>
    <w:rsid w:val="00CF0F12"/>
    <w:rsid w:val="00CF2B8D"/>
    <w:rsid w:val="00CF2F27"/>
    <w:rsid w:val="00CF3109"/>
    <w:rsid w:val="00CF456B"/>
    <w:rsid w:val="00CF5A22"/>
    <w:rsid w:val="00CF62F8"/>
    <w:rsid w:val="00CF6357"/>
    <w:rsid w:val="00CF78FF"/>
    <w:rsid w:val="00D0060A"/>
    <w:rsid w:val="00D00E64"/>
    <w:rsid w:val="00D0262E"/>
    <w:rsid w:val="00D0742F"/>
    <w:rsid w:val="00D10EE3"/>
    <w:rsid w:val="00D110BD"/>
    <w:rsid w:val="00D12327"/>
    <w:rsid w:val="00D12B62"/>
    <w:rsid w:val="00D13675"/>
    <w:rsid w:val="00D141E1"/>
    <w:rsid w:val="00D16D9C"/>
    <w:rsid w:val="00D170CF"/>
    <w:rsid w:val="00D17D6C"/>
    <w:rsid w:val="00D20268"/>
    <w:rsid w:val="00D2031F"/>
    <w:rsid w:val="00D20342"/>
    <w:rsid w:val="00D22CE5"/>
    <w:rsid w:val="00D25782"/>
    <w:rsid w:val="00D2754D"/>
    <w:rsid w:val="00D27B27"/>
    <w:rsid w:val="00D27D9E"/>
    <w:rsid w:val="00D33BE9"/>
    <w:rsid w:val="00D357FF"/>
    <w:rsid w:val="00D36911"/>
    <w:rsid w:val="00D36C53"/>
    <w:rsid w:val="00D409F1"/>
    <w:rsid w:val="00D41152"/>
    <w:rsid w:val="00D424C7"/>
    <w:rsid w:val="00D42957"/>
    <w:rsid w:val="00D43B2A"/>
    <w:rsid w:val="00D45ECC"/>
    <w:rsid w:val="00D47330"/>
    <w:rsid w:val="00D47575"/>
    <w:rsid w:val="00D50234"/>
    <w:rsid w:val="00D513A9"/>
    <w:rsid w:val="00D5193C"/>
    <w:rsid w:val="00D540DA"/>
    <w:rsid w:val="00D54223"/>
    <w:rsid w:val="00D5517F"/>
    <w:rsid w:val="00D56AF3"/>
    <w:rsid w:val="00D6157E"/>
    <w:rsid w:val="00D61644"/>
    <w:rsid w:val="00D62D3B"/>
    <w:rsid w:val="00D6364E"/>
    <w:rsid w:val="00D64665"/>
    <w:rsid w:val="00D65495"/>
    <w:rsid w:val="00D701CC"/>
    <w:rsid w:val="00D70519"/>
    <w:rsid w:val="00D70F16"/>
    <w:rsid w:val="00D73880"/>
    <w:rsid w:val="00D7579F"/>
    <w:rsid w:val="00D76A44"/>
    <w:rsid w:val="00D76DB1"/>
    <w:rsid w:val="00D76DF6"/>
    <w:rsid w:val="00D81458"/>
    <w:rsid w:val="00D815EF"/>
    <w:rsid w:val="00D817F0"/>
    <w:rsid w:val="00D82314"/>
    <w:rsid w:val="00D87DC9"/>
    <w:rsid w:val="00D87FB5"/>
    <w:rsid w:val="00D91923"/>
    <w:rsid w:val="00D9220E"/>
    <w:rsid w:val="00D93753"/>
    <w:rsid w:val="00D958F6"/>
    <w:rsid w:val="00D95C11"/>
    <w:rsid w:val="00D95F30"/>
    <w:rsid w:val="00D96743"/>
    <w:rsid w:val="00D9776D"/>
    <w:rsid w:val="00DA07B4"/>
    <w:rsid w:val="00DA0D0D"/>
    <w:rsid w:val="00DA3167"/>
    <w:rsid w:val="00DA34E6"/>
    <w:rsid w:val="00DA36F8"/>
    <w:rsid w:val="00DA4DC3"/>
    <w:rsid w:val="00DA77A5"/>
    <w:rsid w:val="00DA7FBC"/>
    <w:rsid w:val="00DB1472"/>
    <w:rsid w:val="00DB484F"/>
    <w:rsid w:val="00DB4AE1"/>
    <w:rsid w:val="00DB5092"/>
    <w:rsid w:val="00DC019B"/>
    <w:rsid w:val="00DC04F6"/>
    <w:rsid w:val="00DC0C26"/>
    <w:rsid w:val="00DC0FE3"/>
    <w:rsid w:val="00DC3C57"/>
    <w:rsid w:val="00DC5501"/>
    <w:rsid w:val="00DC6661"/>
    <w:rsid w:val="00DC7D2C"/>
    <w:rsid w:val="00DD14A1"/>
    <w:rsid w:val="00DD273C"/>
    <w:rsid w:val="00DD27C3"/>
    <w:rsid w:val="00DD2AD7"/>
    <w:rsid w:val="00DD3F28"/>
    <w:rsid w:val="00DD4537"/>
    <w:rsid w:val="00DD4E15"/>
    <w:rsid w:val="00DE0ED6"/>
    <w:rsid w:val="00DE1AD2"/>
    <w:rsid w:val="00DE3138"/>
    <w:rsid w:val="00DE37F8"/>
    <w:rsid w:val="00DE4CEE"/>
    <w:rsid w:val="00DE4FCB"/>
    <w:rsid w:val="00DE7832"/>
    <w:rsid w:val="00DF18FC"/>
    <w:rsid w:val="00DF3053"/>
    <w:rsid w:val="00DF511F"/>
    <w:rsid w:val="00DF5D2B"/>
    <w:rsid w:val="00DF73C7"/>
    <w:rsid w:val="00DF77DD"/>
    <w:rsid w:val="00E00E8E"/>
    <w:rsid w:val="00E05630"/>
    <w:rsid w:val="00E06DBB"/>
    <w:rsid w:val="00E07760"/>
    <w:rsid w:val="00E07B92"/>
    <w:rsid w:val="00E10149"/>
    <w:rsid w:val="00E101C8"/>
    <w:rsid w:val="00E11F1D"/>
    <w:rsid w:val="00E12354"/>
    <w:rsid w:val="00E127FE"/>
    <w:rsid w:val="00E13727"/>
    <w:rsid w:val="00E16372"/>
    <w:rsid w:val="00E1720C"/>
    <w:rsid w:val="00E20717"/>
    <w:rsid w:val="00E20E4D"/>
    <w:rsid w:val="00E20ED6"/>
    <w:rsid w:val="00E21358"/>
    <w:rsid w:val="00E2161C"/>
    <w:rsid w:val="00E2249B"/>
    <w:rsid w:val="00E22A0D"/>
    <w:rsid w:val="00E238EB"/>
    <w:rsid w:val="00E23C1C"/>
    <w:rsid w:val="00E2771E"/>
    <w:rsid w:val="00E300FF"/>
    <w:rsid w:val="00E34948"/>
    <w:rsid w:val="00E3699D"/>
    <w:rsid w:val="00E37569"/>
    <w:rsid w:val="00E41B3D"/>
    <w:rsid w:val="00E41E30"/>
    <w:rsid w:val="00E43D70"/>
    <w:rsid w:val="00E455AF"/>
    <w:rsid w:val="00E458F6"/>
    <w:rsid w:val="00E464E8"/>
    <w:rsid w:val="00E466EB"/>
    <w:rsid w:val="00E466F3"/>
    <w:rsid w:val="00E47B2C"/>
    <w:rsid w:val="00E51560"/>
    <w:rsid w:val="00E520A1"/>
    <w:rsid w:val="00E52FB8"/>
    <w:rsid w:val="00E53211"/>
    <w:rsid w:val="00E54347"/>
    <w:rsid w:val="00E545BF"/>
    <w:rsid w:val="00E54F30"/>
    <w:rsid w:val="00E55424"/>
    <w:rsid w:val="00E55BB5"/>
    <w:rsid w:val="00E57D18"/>
    <w:rsid w:val="00E62EB4"/>
    <w:rsid w:val="00E632EF"/>
    <w:rsid w:val="00E65E79"/>
    <w:rsid w:val="00E66BA2"/>
    <w:rsid w:val="00E67416"/>
    <w:rsid w:val="00E70FE1"/>
    <w:rsid w:val="00E718B6"/>
    <w:rsid w:val="00E723BA"/>
    <w:rsid w:val="00E73581"/>
    <w:rsid w:val="00E74139"/>
    <w:rsid w:val="00E75E75"/>
    <w:rsid w:val="00E7695A"/>
    <w:rsid w:val="00E77DD9"/>
    <w:rsid w:val="00E833F7"/>
    <w:rsid w:val="00E83BDF"/>
    <w:rsid w:val="00E83F68"/>
    <w:rsid w:val="00E85FEC"/>
    <w:rsid w:val="00E86FA2"/>
    <w:rsid w:val="00E87A1D"/>
    <w:rsid w:val="00E92342"/>
    <w:rsid w:val="00E926A5"/>
    <w:rsid w:val="00E92DBF"/>
    <w:rsid w:val="00E93F54"/>
    <w:rsid w:val="00E942BB"/>
    <w:rsid w:val="00E9648D"/>
    <w:rsid w:val="00E97417"/>
    <w:rsid w:val="00EA0076"/>
    <w:rsid w:val="00EA17C3"/>
    <w:rsid w:val="00EA1B53"/>
    <w:rsid w:val="00EA2CAA"/>
    <w:rsid w:val="00EA2FF1"/>
    <w:rsid w:val="00EA3864"/>
    <w:rsid w:val="00EA6034"/>
    <w:rsid w:val="00EA64AC"/>
    <w:rsid w:val="00EA7496"/>
    <w:rsid w:val="00EA7F5F"/>
    <w:rsid w:val="00EB12B1"/>
    <w:rsid w:val="00EB15B6"/>
    <w:rsid w:val="00EB1AE9"/>
    <w:rsid w:val="00EB21D1"/>
    <w:rsid w:val="00EB2A71"/>
    <w:rsid w:val="00EB3CD3"/>
    <w:rsid w:val="00EB4916"/>
    <w:rsid w:val="00EB5C8D"/>
    <w:rsid w:val="00EB6372"/>
    <w:rsid w:val="00EB6B00"/>
    <w:rsid w:val="00EB6B74"/>
    <w:rsid w:val="00EB7CD5"/>
    <w:rsid w:val="00EC00C9"/>
    <w:rsid w:val="00EC00F6"/>
    <w:rsid w:val="00EC02A3"/>
    <w:rsid w:val="00EC2572"/>
    <w:rsid w:val="00EC2649"/>
    <w:rsid w:val="00EC30DB"/>
    <w:rsid w:val="00EC5421"/>
    <w:rsid w:val="00EC7C27"/>
    <w:rsid w:val="00ED18C4"/>
    <w:rsid w:val="00ED25FD"/>
    <w:rsid w:val="00ED2B90"/>
    <w:rsid w:val="00ED57EA"/>
    <w:rsid w:val="00ED60B1"/>
    <w:rsid w:val="00ED7758"/>
    <w:rsid w:val="00EE07D3"/>
    <w:rsid w:val="00EE0829"/>
    <w:rsid w:val="00EE090D"/>
    <w:rsid w:val="00EE1AB7"/>
    <w:rsid w:val="00EE1F53"/>
    <w:rsid w:val="00EE22AF"/>
    <w:rsid w:val="00EE2F29"/>
    <w:rsid w:val="00EE4C5D"/>
    <w:rsid w:val="00EE747F"/>
    <w:rsid w:val="00EF0171"/>
    <w:rsid w:val="00EF0639"/>
    <w:rsid w:val="00EF1B1F"/>
    <w:rsid w:val="00EF1B25"/>
    <w:rsid w:val="00EF2640"/>
    <w:rsid w:val="00EF28E0"/>
    <w:rsid w:val="00EF4747"/>
    <w:rsid w:val="00EF4AFD"/>
    <w:rsid w:val="00EF4BF8"/>
    <w:rsid w:val="00EF78C9"/>
    <w:rsid w:val="00EF7C73"/>
    <w:rsid w:val="00F00203"/>
    <w:rsid w:val="00F02253"/>
    <w:rsid w:val="00F02B8B"/>
    <w:rsid w:val="00F032FB"/>
    <w:rsid w:val="00F03C2E"/>
    <w:rsid w:val="00F04A66"/>
    <w:rsid w:val="00F050F8"/>
    <w:rsid w:val="00F0516C"/>
    <w:rsid w:val="00F05A48"/>
    <w:rsid w:val="00F05E17"/>
    <w:rsid w:val="00F05EBB"/>
    <w:rsid w:val="00F060E6"/>
    <w:rsid w:val="00F067A2"/>
    <w:rsid w:val="00F1263A"/>
    <w:rsid w:val="00F12E1C"/>
    <w:rsid w:val="00F13124"/>
    <w:rsid w:val="00F13E69"/>
    <w:rsid w:val="00F169ED"/>
    <w:rsid w:val="00F17B78"/>
    <w:rsid w:val="00F17CE9"/>
    <w:rsid w:val="00F2067E"/>
    <w:rsid w:val="00F23844"/>
    <w:rsid w:val="00F24837"/>
    <w:rsid w:val="00F256D0"/>
    <w:rsid w:val="00F2575F"/>
    <w:rsid w:val="00F25C3E"/>
    <w:rsid w:val="00F25D0F"/>
    <w:rsid w:val="00F27565"/>
    <w:rsid w:val="00F310D4"/>
    <w:rsid w:val="00F310E2"/>
    <w:rsid w:val="00F310F5"/>
    <w:rsid w:val="00F319E8"/>
    <w:rsid w:val="00F31D5A"/>
    <w:rsid w:val="00F33803"/>
    <w:rsid w:val="00F33C64"/>
    <w:rsid w:val="00F33DE9"/>
    <w:rsid w:val="00F349AA"/>
    <w:rsid w:val="00F35679"/>
    <w:rsid w:val="00F3619A"/>
    <w:rsid w:val="00F40AAA"/>
    <w:rsid w:val="00F40BA7"/>
    <w:rsid w:val="00F4286F"/>
    <w:rsid w:val="00F442AA"/>
    <w:rsid w:val="00F4455D"/>
    <w:rsid w:val="00F44658"/>
    <w:rsid w:val="00F44706"/>
    <w:rsid w:val="00F46CB6"/>
    <w:rsid w:val="00F47C9D"/>
    <w:rsid w:val="00F47DE8"/>
    <w:rsid w:val="00F530FE"/>
    <w:rsid w:val="00F5339A"/>
    <w:rsid w:val="00F542C1"/>
    <w:rsid w:val="00F542D3"/>
    <w:rsid w:val="00F55012"/>
    <w:rsid w:val="00F556BD"/>
    <w:rsid w:val="00F556D6"/>
    <w:rsid w:val="00F559FD"/>
    <w:rsid w:val="00F55E73"/>
    <w:rsid w:val="00F55EDA"/>
    <w:rsid w:val="00F57A11"/>
    <w:rsid w:val="00F60092"/>
    <w:rsid w:val="00F61610"/>
    <w:rsid w:val="00F6233B"/>
    <w:rsid w:val="00F63B76"/>
    <w:rsid w:val="00F65F4B"/>
    <w:rsid w:val="00F66207"/>
    <w:rsid w:val="00F6757C"/>
    <w:rsid w:val="00F6785A"/>
    <w:rsid w:val="00F70C9D"/>
    <w:rsid w:val="00F70E08"/>
    <w:rsid w:val="00F7177B"/>
    <w:rsid w:val="00F73F18"/>
    <w:rsid w:val="00F74AC9"/>
    <w:rsid w:val="00F74CD9"/>
    <w:rsid w:val="00F74F55"/>
    <w:rsid w:val="00F76814"/>
    <w:rsid w:val="00F80A7B"/>
    <w:rsid w:val="00F80E5D"/>
    <w:rsid w:val="00F8113A"/>
    <w:rsid w:val="00F82049"/>
    <w:rsid w:val="00F830D1"/>
    <w:rsid w:val="00F8474E"/>
    <w:rsid w:val="00F851CE"/>
    <w:rsid w:val="00F85A84"/>
    <w:rsid w:val="00F878FF"/>
    <w:rsid w:val="00F87B95"/>
    <w:rsid w:val="00F90892"/>
    <w:rsid w:val="00F91219"/>
    <w:rsid w:val="00F92399"/>
    <w:rsid w:val="00F94ECE"/>
    <w:rsid w:val="00F97A78"/>
    <w:rsid w:val="00FA0B20"/>
    <w:rsid w:val="00FA1075"/>
    <w:rsid w:val="00FA14C9"/>
    <w:rsid w:val="00FA1DB5"/>
    <w:rsid w:val="00FA24E7"/>
    <w:rsid w:val="00FA4D42"/>
    <w:rsid w:val="00FA4EDE"/>
    <w:rsid w:val="00FA6AA5"/>
    <w:rsid w:val="00FA760C"/>
    <w:rsid w:val="00FB1079"/>
    <w:rsid w:val="00FB2FCB"/>
    <w:rsid w:val="00FC1074"/>
    <w:rsid w:val="00FC12A2"/>
    <w:rsid w:val="00FC1884"/>
    <w:rsid w:val="00FC371D"/>
    <w:rsid w:val="00FC5F0B"/>
    <w:rsid w:val="00FC6AEC"/>
    <w:rsid w:val="00FD0169"/>
    <w:rsid w:val="00FD2100"/>
    <w:rsid w:val="00FD2D7D"/>
    <w:rsid w:val="00FD436C"/>
    <w:rsid w:val="00FD446D"/>
    <w:rsid w:val="00FD58D5"/>
    <w:rsid w:val="00FD5EEF"/>
    <w:rsid w:val="00FD632B"/>
    <w:rsid w:val="00FD6394"/>
    <w:rsid w:val="00FD7E84"/>
    <w:rsid w:val="00FE0E6C"/>
    <w:rsid w:val="00FE1011"/>
    <w:rsid w:val="00FE17E7"/>
    <w:rsid w:val="00FE4660"/>
    <w:rsid w:val="00FE70C3"/>
    <w:rsid w:val="00FE7CF5"/>
    <w:rsid w:val="00FF0DC1"/>
    <w:rsid w:val="00FF3613"/>
    <w:rsid w:val="00FF376A"/>
    <w:rsid w:val="00FF3DCF"/>
    <w:rsid w:val="00FF492C"/>
    <w:rsid w:val="00FF4A21"/>
    <w:rsid w:val="00FF5AA3"/>
    <w:rsid w:val="00FF5AD8"/>
    <w:rsid w:val="00FF61A5"/>
    <w:rsid w:val="00FF7A6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table of figures"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
    <w:basedOn w:val="DefaultParagraphFont"/>
    <w:link w:val="ListParagraph"/>
    <w:uiPriority w:val="34"/>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70392E"/>
    <w:rPr>
      <w:rFonts w:ascii="Arial Narrow" w:hAnsi="Arial Narrow"/>
      <w:b/>
      <w:sz w:val="20"/>
      <w:szCs w:val="16"/>
    </w:rPr>
  </w:style>
  <w:style w:type="paragraph" w:customStyle="1" w:styleId="Tabletext">
    <w:name w:val="Table text"/>
    <w:basedOn w:val="Normal"/>
    <w:link w:val="TabletextChar"/>
    <w:uiPriority w:val="99"/>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99"/>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2"/>
      </w:numPr>
      <w:spacing w:after="0"/>
    </w:pPr>
    <w:rPr>
      <w:szCs w:val="24"/>
    </w:rPr>
  </w:style>
  <w:style w:type="paragraph" w:customStyle="1" w:styleId="TableName">
    <w:name w:val="TableName"/>
    <w:basedOn w:val="Normal"/>
    <w:qFormat/>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uiPriority w:val="99"/>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basedOn w:val="Normal"/>
    <w:qFormat/>
    <w:rsid w:val="005C236E"/>
    <w:pPr>
      <w:keepNext/>
      <w:numPr>
        <w:numId w:val="1"/>
      </w:numPr>
      <w:spacing w:before="240" w:after="120"/>
      <w:outlineLvl w:val="0"/>
    </w:pPr>
    <w:rPr>
      <w:rFonts w:asciiTheme="minorHAnsi" w:hAnsiTheme="minorHAnsi"/>
      <w:b/>
      <w:bCs/>
      <w:sz w:val="32"/>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styleId="FootnoteText">
    <w:name w:val="footnote text"/>
    <w:basedOn w:val="Normal"/>
    <w:link w:val="FootnoteTextChar"/>
    <w:uiPriority w:val="99"/>
    <w:unhideWhenUsed/>
    <w:rsid w:val="0098346F"/>
    <w:pPr>
      <w:widowControl/>
      <w:jc w:val="left"/>
    </w:pPr>
    <w:rPr>
      <w:rFonts w:asciiTheme="minorHAnsi" w:eastAsiaTheme="minorEastAsia" w:hAnsiTheme="minorHAnsi" w:cstheme="minorBidi"/>
      <w:snapToGrid/>
      <w:sz w:val="18"/>
      <w:szCs w:val="20"/>
      <w:lang w:eastAsia="en-AU"/>
    </w:rPr>
  </w:style>
  <w:style w:type="character" w:customStyle="1" w:styleId="FootnoteTextChar">
    <w:name w:val="Footnote Text Char"/>
    <w:basedOn w:val="DefaultParagraphFont"/>
    <w:link w:val="FootnoteText"/>
    <w:uiPriority w:val="99"/>
    <w:rsid w:val="0098346F"/>
    <w:rPr>
      <w:rFonts w:asciiTheme="minorHAnsi" w:eastAsiaTheme="minorEastAsia" w:hAnsiTheme="minorHAnsi" w:cstheme="minorBidi"/>
      <w:sz w:val="18"/>
    </w:rPr>
  </w:style>
  <w:style w:type="character" w:styleId="FootnoteReference">
    <w:name w:val="footnote reference"/>
    <w:basedOn w:val="DefaultParagraphFont"/>
    <w:uiPriority w:val="99"/>
    <w:unhideWhenUsed/>
    <w:rsid w:val="0098346F"/>
    <w:rPr>
      <w:vertAlign w:val="superscript"/>
    </w:rPr>
  </w:style>
  <w:style w:type="paragraph" w:customStyle="1" w:styleId="tabletext0">
    <w:name w:val="table text"/>
    <w:basedOn w:val="Normal"/>
    <w:uiPriority w:val="99"/>
    <w:rsid w:val="00BE6E98"/>
    <w:pPr>
      <w:keepNext/>
      <w:widowControl/>
      <w:jc w:val="left"/>
    </w:pPr>
    <w:rPr>
      <w:rFonts w:ascii="Arial" w:hAnsi="Arial"/>
      <w:snapToGrid/>
      <w:color w:val="000000"/>
      <w:sz w:val="20"/>
      <w:szCs w:val="20"/>
      <w:lang w:eastAsia="en-AU"/>
    </w:rPr>
  </w:style>
  <w:style w:type="paragraph" w:customStyle="1" w:styleId="tablenotes">
    <w:name w:val="table notes"/>
    <w:basedOn w:val="BodyText2"/>
    <w:uiPriority w:val="99"/>
    <w:rsid w:val="00BE6E98"/>
    <w:pPr>
      <w:spacing w:after="0" w:line="240" w:lineRule="auto"/>
    </w:pPr>
    <w:rPr>
      <w:rFonts w:ascii="Arial" w:hAnsi="Arial" w:cs="Times New Roman"/>
      <w:sz w:val="20"/>
      <w:szCs w:val="20"/>
    </w:rPr>
  </w:style>
  <w:style w:type="paragraph" w:styleId="BodyText2">
    <w:name w:val="Body Text 2"/>
    <w:basedOn w:val="Normal"/>
    <w:link w:val="BodyText2Char"/>
    <w:semiHidden/>
    <w:unhideWhenUsed/>
    <w:rsid w:val="00BE6E98"/>
    <w:pPr>
      <w:spacing w:after="120" w:line="480" w:lineRule="auto"/>
    </w:pPr>
  </w:style>
  <w:style w:type="character" w:customStyle="1" w:styleId="BodyText2Char">
    <w:name w:val="Body Text 2 Char"/>
    <w:basedOn w:val="DefaultParagraphFont"/>
    <w:link w:val="BodyText2"/>
    <w:semiHidden/>
    <w:rsid w:val="00BE6E98"/>
    <w:rPr>
      <w:rFonts w:ascii="Calibri" w:hAnsi="Calibri" w:cs="Arial"/>
      <w:snapToGrid w:val="0"/>
      <w:sz w:val="24"/>
      <w:szCs w:val="22"/>
      <w:lang w:eastAsia="en-US"/>
    </w:rPr>
  </w:style>
  <w:style w:type="paragraph" w:customStyle="1" w:styleId="Tablefootnote">
    <w:name w:val="Table footnote"/>
    <w:basedOn w:val="Normal"/>
    <w:qFormat/>
    <w:rsid w:val="00A062EA"/>
    <w:pPr>
      <w:adjustRightInd w:val="0"/>
      <w:spacing w:after="200"/>
      <w:contextualSpacing/>
      <w:jc w:val="left"/>
      <w:textAlignment w:val="baseline"/>
    </w:pPr>
    <w:rPr>
      <w:rFonts w:asciiTheme="minorHAnsi" w:eastAsia="Calibri" w:hAnsiTheme="minorHAnsi" w:cs="Times New Roman"/>
      <w:snapToGrid/>
      <w:sz w:val="18"/>
      <w:szCs w:val="18"/>
    </w:rPr>
  </w:style>
  <w:style w:type="paragraph" w:styleId="BodyText3">
    <w:name w:val="Body Text 3"/>
    <w:basedOn w:val="Normal"/>
    <w:link w:val="BodyText3Char"/>
    <w:semiHidden/>
    <w:unhideWhenUsed/>
    <w:rsid w:val="006F338A"/>
    <w:pPr>
      <w:spacing w:after="120"/>
    </w:pPr>
    <w:rPr>
      <w:sz w:val="16"/>
      <w:szCs w:val="16"/>
    </w:rPr>
  </w:style>
  <w:style w:type="character" w:customStyle="1" w:styleId="BodyText3Char">
    <w:name w:val="Body Text 3 Char"/>
    <w:basedOn w:val="DefaultParagraphFont"/>
    <w:link w:val="BodyText3"/>
    <w:semiHidden/>
    <w:rsid w:val="006F338A"/>
    <w:rPr>
      <w:rFonts w:ascii="Calibri" w:hAnsi="Calibri" w:cs="Arial"/>
      <w:snapToGrid w:val="0"/>
      <w:sz w:val="16"/>
      <w:szCs w:val="16"/>
      <w:lang w:eastAsia="en-US"/>
    </w:rPr>
  </w:style>
  <w:style w:type="paragraph" w:customStyle="1" w:styleId="bulletpointstyle">
    <w:name w:val="bullet point style"/>
    <w:basedOn w:val="Normal"/>
    <w:link w:val="bulletpointstyleChar"/>
    <w:uiPriority w:val="99"/>
    <w:qFormat/>
    <w:rsid w:val="00374F7A"/>
    <w:pPr>
      <w:widowControl/>
      <w:tabs>
        <w:tab w:val="num" w:pos="720"/>
      </w:tabs>
      <w:ind w:left="720" w:hanging="360"/>
    </w:pPr>
    <w:rPr>
      <w:rFonts w:ascii="Times New Roman" w:hAnsi="Times New Roman" w:cs="Times New Roman"/>
      <w:snapToGrid/>
      <w:szCs w:val="24"/>
    </w:rPr>
  </w:style>
  <w:style w:type="character" w:customStyle="1" w:styleId="bulletpointstyleChar">
    <w:name w:val="bullet point style Char"/>
    <w:basedOn w:val="DefaultParagraphFont"/>
    <w:link w:val="bulletpointstyle"/>
    <w:uiPriority w:val="99"/>
    <w:rsid w:val="00374F7A"/>
    <w:rPr>
      <w:sz w:val="24"/>
      <w:szCs w:val="24"/>
      <w:lang w:eastAsia="en-US"/>
    </w:rPr>
  </w:style>
  <w:style w:type="paragraph" w:customStyle="1" w:styleId="TableText1">
    <w:name w:val="TableText"/>
    <w:basedOn w:val="Normal"/>
    <w:link w:val="TableTextChar0"/>
    <w:qFormat/>
    <w:rsid w:val="008A02A6"/>
    <w:pPr>
      <w:keepNext/>
      <w:widowControl/>
      <w:spacing w:before="40" w:after="40"/>
      <w:jc w:val="left"/>
    </w:pPr>
    <w:rPr>
      <w:rFonts w:ascii="Arial Narrow" w:hAnsi="Arial Narrow" w:cs="Arial Narrow"/>
      <w:snapToGrid/>
      <w:sz w:val="20"/>
      <w:szCs w:val="20"/>
    </w:rPr>
  </w:style>
  <w:style w:type="character" w:customStyle="1" w:styleId="TableTextChar0">
    <w:name w:val="TableText Char"/>
    <w:basedOn w:val="DefaultParagraphFont"/>
    <w:link w:val="TableText1"/>
    <w:uiPriority w:val="3"/>
    <w:rsid w:val="008A02A6"/>
    <w:rPr>
      <w:rFonts w:ascii="Arial Narrow" w:hAnsi="Arial Narrow" w:cs="Arial Narrow"/>
      <w:lang w:eastAsia="en-US"/>
    </w:rPr>
  </w:style>
  <w:style w:type="paragraph" w:customStyle="1" w:styleId="TableHeadingRow">
    <w:name w:val="TableHeadingRow"/>
    <w:basedOn w:val="Normal"/>
    <w:uiPriority w:val="3"/>
    <w:rsid w:val="008A02A6"/>
    <w:pPr>
      <w:keepNext/>
      <w:widowControl/>
      <w:spacing w:before="20" w:after="20"/>
      <w:jc w:val="left"/>
    </w:pPr>
    <w:rPr>
      <w:rFonts w:cstheme="minorHAnsi"/>
      <w:b/>
      <w:snapToGrid/>
      <w:sz w:val="20"/>
      <w:szCs w:val="20"/>
    </w:rPr>
  </w:style>
  <w:style w:type="paragraph" w:customStyle="1" w:styleId="Table-bodytext">
    <w:name w:val="Table - body text"/>
    <w:basedOn w:val="Normal"/>
    <w:link w:val="Table-bodytextChar"/>
    <w:rsid w:val="00EE1AB7"/>
    <w:pPr>
      <w:adjustRightInd w:val="0"/>
      <w:jc w:val="center"/>
      <w:textAlignment w:val="baseline"/>
    </w:pPr>
    <w:rPr>
      <w:rFonts w:asciiTheme="minorHAnsi" w:hAnsiTheme="minorHAnsi"/>
      <w:snapToGrid/>
      <w:sz w:val="20"/>
      <w:szCs w:val="24"/>
    </w:rPr>
  </w:style>
  <w:style w:type="character" w:customStyle="1" w:styleId="Table-bodytextChar">
    <w:name w:val="Table - body text Char"/>
    <w:basedOn w:val="DefaultParagraphFont"/>
    <w:link w:val="Table-bodytext"/>
    <w:rsid w:val="00EE1AB7"/>
    <w:rPr>
      <w:rFonts w:asciiTheme="minorHAnsi" w:hAnsiTheme="minorHAnsi" w:cs="Arial"/>
      <w:szCs w:val="24"/>
      <w:lang w:eastAsia="en-US"/>
    </w:rPr>
  </w:style>
  <w:style w:type="paragraph" w:customStyle="1" w:styleId="Table-columnheadings">
    <w:name w:val="Table - column headings"/>
    <w:basedOn w:val="Table-bodytext"/>
    <w:rsid w:val="00EE1AB7"/>
    <w:rPr>
      <w:rFonts w:ascii="Calibri" w:hAnsi="Calibri"/>
      <w:b/>
      <w:bCs/>
    </w:rPr>
  </w:style>
  <w:style w:type="paragraph" w:customStyle="1" w:styleId="Table-bodytextLEFT">
    <w:name w:val="Table - body text LEFT"/>
    <w:basedOn w:val="Table-bodytext"/>
    <w:rsid w:val="00A5615C"/>
    <w:pPr>
      <w:jc w:val="left"/>
    </w:pPr>
    <w:rPr>
      <w:rFonts w:ascii="Calibri" w:hAnsi="Calibri"/>
    </w:rPr>
  </w:style>
  <w:style w:type="paragraph" w:styleId="TableofFigures">
    <w:name w:val="table of figures"/>
    <w:basedOn w:val="Normal"/>
    <w:next w:val="Normal"/>
    <w:uiPriority w:val="99"/>
    <w:unhideWhenUsed/>
    <w:rsid w:val="00223A77"/>
    <w:pPr>
      <w:widowControl/>
    </w:pPr>
    <w:rPr>
      <w:rFonts w:asciiTheme="minorHAnsi" w:eastAsiaTheme="minorHAnsi" w:hAnsiTheme="minorHAnsi" w:cstheme="minorBidi"/>
      <w:snapToGrid/>
      <w:sz w:val="22"/>
    </w:rPr>
  </w:style>
  <w:style w:type="table" w:customStyle="1" w:styleId="Summarybox2">
    <w:name w:val="Summary box2"/>
    <w:basedOn w:val="TableNormal"/>
    <w:next w:val="TableGrid"/>
    <w:uiPriority w:val="39"/>
    <w:rsid w:val="00223A77"/>
    <w:pPr>
      <w:spacing w:after="120" w:line="360" w:lineRule="auto"/>
      <w:jc w:val="both"/>
    </w:pPr>
    <w:rPr>
      <w:rFonts w:ascii="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Snormal">
    <w:name w:val="PBS normal"/>
    <w:basedOn w:val="Normal"/>
    <w:link w:val="PBSnormalChar"/>
    <w:qFormat/>
    <w:rsid w:val="00223A77"/>
    <w:pPr>
      <w:widowControl/>
      <w:spacing w:before="120" w:after="120" w:line="360" w:lineRule="auto"/>
    </w:pPr>
    <w:rPr>
      <w:rFonts w:ascii="Arial" w:hAnsi="Arial" w:cs="Times New Roman"/>
      <w:snapToGrid/>
      <w:sz w:val="22"/>
      <w:szCs w:val="20"/>
      <w:lang w:eastAsia="en-AU"/>
    </w:rPr>
  </w:style>
  <w:style w:type="character" w:customStyle="1" w:styleId="PBSnormalChar">
    <w:name w:val="PBS normal Char"/>
    <w:link w:val="PBSnormal"/>
    <w:rsid w:val="00223A77"/>
    <w:rPr>
      <w:rFonts w:ascii="Arial" w:hAnsi="Arial"/>
      <w:sz w:val="22"/>
    </w:rPr>
  </w:style>
  <w:style w:type="table" w:customStyle="1" w:styleId="Summarybox4">
    <w:name w:val="Summary box4"/>
    <w:basedOn w:val="TableNormal"/>
    <w:next w:val="TableGrid"/>
    <w:uiPriority w:val="39"/>
    <w:rsid w:val="00223A77"/>
    <w:pPr>
      <w:spacing w:after="120" w:line="360" w:lineRule="auto"/>
      <w:jc w:val="both"/>
    </w:pPr>
    <w:rPr>
      <w:rFonts w:ascii="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3">
    <w:name w:val="Summary box3"/>
    <w:basedOn w:val="TableNormal"/>
    <w:next w:val="TableGrid"/>
    <w:uiPriority w:val="39"/>
    <w:rsid w:val="00223A77"/>
    <w:pPr>
      <w:spacing w:after="120" w:line="360" w:lineRule="auto"/>
      <w:jc w:val="both"/>
    </w:pPr>
    <w:rPr>
      <w:rFonts w:ascii="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idance">
    <w:name w:val="Guidance"/>
    <w:basedOn w:val="Normal"/>
    <w:next w:val="Normal"/>
    <w:link w:val="GuidanceChar"/>
    <w:rsid w:val="00223A77"/>
    <w:pPr>
      <w:widowControl/>
      <w:spacing w:after="240" w:line="300" w:lineRule="auto"/>
    </w:pPr>
    <w:rPr>
      <w:rFonts w:ascii="Times New Roman" w:hAnsi="Times New Roman" w:cs="Times New Roman"/>
      <w:i/>
      <w:snapToGrid/>
      <w:kern w:val="24"/>
      <w:szCs w:val="24"/>
      <w:lang w:val="en-US" w:eastAsia="ja-JP"/>
    </w:rPr>
  </w:style>
  <w:style w:type="character" w:customStyle="1" w:styleId="GuidanceChar">
    <w:name w:val="Guidance Char"/>
    <w:basedOn w:val="DefaultParagraphFont"/>
    <w:link w:val="Guidance"/>
    <w:rsid w:val="00223A77"/>
    <w:rPr>
      <w:i/>
      <w:kern w:val="24"/>
      <w:sz w:val="24"/>
      <w:szCs w:val="24"/>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table of figures"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
    <w:basedOn w:val="DefaultParagraphFont"/>
    <w:link w:val="ListParagraph"/>
    <w:uiPriority w:val="34"/>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70392E"/>
    <w:rPr>
      <w:rFonts w:ascii="Arial Narrow" w:hAnsi="Arial Narrow"/>
      <w:b/>
      <w:sz w:val="20"/>
      <w:szCs w:val="16"/>
    </w:rPr>
  </w:style>
  <w:style w:type="paragraph" w:customStyle="1" w:styleId="Tabletext">
    <w:name w:val="Table text"/>
    <w:basedOn w:val="Normal"/>
    <w:link w:val="TabletextChar"/>
    <w:uiPriority w:val="99"/>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99"/>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2"/>
      </w:numPr>
      <w:spacing w:after="0"/>
    </w:pPr>
    <w:rPr>
      <w:szCs w:val="24"/>
    </w:rPr>
  </w:style>
  <w:style w:type="paragraph" w:customStyle="1" w:styleId="TableName">
    <w:name w:val="TableName"/>
    <w:basedOn w:val="Normal"/>
    <w:qFormat/>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uiPriority w:val="99"/>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basedOn w:val="Normal"/>
    <w:qFormat/>
    <w:rsid w:val="005C236E"/>
    <w:pPr>
      <w:keepNext/>
      <w:numPr>
        <w:numId w:val="1"/>
      </w:numPr>
      <w:spacing w:before="240" w:after="120"/>
      <w:outlineLvl w:val="0"/>
    </w:pPr>
    <w:rPr>
      <w:rFonts w:asciiTheme="minorHAnsi" w:hAnsiTheme="minorHAnsi"/>
      <w:b/>
      <w:bCs/>
      <w:sz w:val="32"/>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styleId="FootnoteText">
    <w:name w:val="footnote text"/>
    <w:basedOn w:val="Normal"/>
    <w:link w:val="FootnoteTextChar"/>
    <w:uiPriority w:val="99"/>
    <w:unhideWhenUsed/>
    <w:rsid w:val="0098346F"/>
    <w:pPr>
      <w:widowControl/>
      <w:jc w:val="left"/>
    </w:pPr>
    <w:rPr>
      <w:rFonts w:asciiTheme="minorHAnsi" w:eastAsiaTheme="minorEastAsia" w:hAnsiTheme="minorHAnsi" w:cstheme="minorBidi"/>
      <w:snapToGrid/>
      <w:sz w:val="18"/>
      <w:szCs w:val="20"/>
      <w:lang w:eastAsia="en-AU"/>
    </w:rPr>
  </w:style>
  <w:style w:type="character" w:customStyle="1" w:styleId="FootnoteTextChar">
    <w:name w:val="Footnote Text Char"/>
    <w:basedOn w:val="DefaultParagraphFont"/>
    <w:link w:val="FootnoteText"/>
    <w:uiPriority w:val="99"/>
    <w:rsid w:val="0098346F"/>
    <w:rPr>
      <w:rFonts w:asciiTheme="minorHAnsi" w:eastAsiaTheme="minorEastAsia" w:hAnsiTheme="minorHAnsi" w:cstheme="minorBidi"/>
      <w:sz w:val="18"/>
    </w:rPr>
  </w:style>
  <w:style w:type="character" w:styleId="FootnoteReference">
    <w:name w:val="footnote reference"/>
    <w:basedOn w:val="DefaultParagraphFont"/>
    <w:uiPriority w:val="99"/>
    <w:unhideWhenUsed/>
    <w:rsid w:val="0098346F"/>
    <w:rPr>
      <w:vertAlign w:val="superscript"/>
    </w:rPr>
  </w:style>
  <w:style w:type="paragraph" w:customStyle="1" w:styleId="tabletext0">
    <w:name w:val="table text"/>
    <w:basedOn w:val="Normal"/>
    <w:uiPriority w:val="99"/>
    <w:rsid w:val="00BE6E98"/>
    <w:pPr>
      <w:keepNext/>
      <w:widowControl/>
      <w:jc w:val="left"/>
    </w:pPr>
    <w:rPr>
      <w:rFonts w:ascii="Arial" w:hAnsi="Arial"/>
      <w:snapToGrid/>
      <w:color w:val="000000"/>
      <w:sz w:val="20"/>
      <w:szCs w:val="20"/>
      <w:lang w:eastAsia="en-AU"/>
    </w:rPr>
  </w:style>
  <w:style w:type="paragraph" w:customStyle="1" w:styleId="tablenotes">
    <w:name w:val="table notes"/>
    <w:basedOn w:val="BodyText2"/>
    <w:uiPriority w:val="99"/>
    <w:rsid w:val="00BE6E98"/>
    <w:pPr>
      <w:spacing w:after="0" w:line="240" w:lineRule="auto"/>
    </w:pPr>
    <w:rPr>
      <w:rFonts w:ascii="Arial" w:hAnsi="Arial" w:cs="Times New Roman"/>
      <w:sz w:val="20"/>
      <w:szCs w:val="20"/>
    </w:rPr>
  </w:style>
  <w:style w:type="paragraph" w:styleId="BodyText2">
    <w:name w:val="Body Text 2"/>
    <w:basedOn w:val="Normal"/>
    <w:link w:val="BodyText2Char"/>
    <w:semiHidden/>
    <w:unhideWhenUsed/>
    <w:rsid w:val="00BE6E98"/>
    <w:pPr>
      <w:spacing w:after="120" w:line="480" w:lineRule="auto"/>
    </w:pPr>
  </w:style>
  <w:style w:type="character" w:customStyle="1" w:styleId="BodyText2Char">
    <w:name w:val="Body Text 2 Char"/>
    <w:basedOn w:val="DefaultParagraphFont"/>
    <w:link w:val="BodyText2"/>
    <w:semiHidden/>
    <w:rsid w:val="00BE6E98"/>
    <w:rPr>
      <w:rFonts w:ascii="Calibri" w:hAnsi="Calibri" w:cs="Arial"/>
      <w:snapToGrid w:val="0"/>
      <w:sz w:val="24"/>
      <w:szCs w:val="22"/>
      <w:lang w:eastAsia="en-US"/>
    </w:rPr>
  </w:style>
  <w:style w:type="paragraph" w:customStyle="1" w:styleId="Tablefootnote">
    <w:name w:val="Table footnote"/>
    <w:basedOn w:val="Normal"/>
    <w:qFormat/>
    <w:rsid w:val="00A062EA"/>
    <w:pPr>
      <w:adjustRightInd w:val="0"/>
      <w:spacing w:after="200"/>
      <w:contextualSpacing/>
      <w:jc w:val="left"/>
      <w:textAlignment w:val="baseline"/>
    </w:pPr>
    <w:rPr>
      <w:rFonts w:asciiTheme="minorHAnsi" w:eastAsia="Calibri" w:hAnsiTheme="minorHAnsi" w:cs="Times New Roman"/>
      <w:snapToGrid/>
      <w:sz w:val="18"/>
      <w:szCs w:val="18"/>
    </w:rPr>
  </w:style>
  <w:style w:type="paragraph" w:styleId="BodyText3">
    <w:name w:val="Body Text 3"/>
    <w:basedOn w:val="Normal"/>
    <w:link w:val="BodyText3Char"/>
    <w:semiHidden/>
    <w:unhideWhenUsed/>
    <w:rsid w:val="006F338A"/>
    <w:pPr>
      <w:spacing w:after="120"/>
    </w:pPr>
    <w:rPr>
      <w:sz w:val="16"/>
      <w:szCs w:val="16"/>
    </w:rPr>
  </w:style>
  <w:style w:type="character" w:customStyle="1" w:styleId="BodyText3Char">
    <w:name w:val="Body Text 3 Char"/>
    <w:basedOn w:val="DefaultParagraphFont"/>
    <w:link w:val="BodyText3"/>
    <w:semiHidden/>
    <w:rsid w:val="006F338A"/>
    <w:rPr>
      <w:rFonts w:ascii="Calibri" w:hAnsi="Calibri" w:cs="Arial"/>
      <w:snapToGrid w:val="0"/>
      <w:sz w:val="16"/>
      <w:szCs w:val="16"/>
      <w:lang w:eastAsia="en-US"/>
    </w:rPr>
  </w:style>
  <w:style w:type="paragraph" w:customStyle="1" w:styleId="bulletpointstyle">
    <w:name w:val="bullet point style"/>
    <w:basedOn w:val="Normal"/>
    <w:link w:val="bulletpointstyleChar"/>
    <w:uiPriority w:val="99"/>
    <w:qFormat/>
    <w:rsid w:val="00374F7A"/>
    <w:pPr>
      <w:widowControl/>
      <w:tabs>
        <w:tab w:val="num" w:pos="720"/>
      </w:tabs>
      <w:ind w:left="720" w:hanging="360"/>
    </w:pPr>
    <w:rPr>
      <w:rFonts w:ascii="Times New Roman" w:hAnsi="Times New Roman" w:cs="Times New Roman"/>
      <w:snapToGrid/>
      <w:szCs w:val="24"/>
    </w:rPr>
  </w:style>
  <w:style w:type="character" w:customStyle="1" w:styleId="bulletpointstyleChar">
    <w:name w:val="bullet point style Char"/>
    <w:basedOn w:val="DefaultParagraphFont"/>
    <w:link w:val="bulletpointstyle"/>
    <w:uiPriority w:val="99"/>
    <w:rsid w:val="00374F7A"/>
    <w:rPr>
      <w:sz w:val="24"/>
      <w:szCs w:val="24"/>
      <w:lang w:eastAsia="en-US"/>
    </w:rPr>
  </w:style>
  <w:style w:type="paragraph" w:customStyle="1" w:styleId="TableText1">
    <w:name w:val="TableText"/>
    <w:basedOn w:val="Normal"/>
    <w:link w:val="TableTextChar0"/>
    <w:qFormat/>
    <w:rsid w:val="008A02A6"/>
    <w:pPr>
      <w:keepNext/>
      <w:widowControl/>
      <w:spacing w:before="40" w:after="40"/>
      <w:jc w:val="left"/>
    </w:pPr>
    <w:rPr>
      <w:rFonts w:ascii="Arial Narrow" w:hAnsi="Arial Narrow" w:cs="Arial Narrow"/>
      <w:snapToGrid/>
      <w:sz w:val="20"/>
      <w:szCs w:val="20"/>
    </w:rPr>
  </w:style>
  <w:style w:type="character" w:customStyle="1" w:styleId="TableTextChar0">
    <w:name w:val="TableText Char"/>
    <w:basedOn w:val="DefaultParagraphFont"/>
    <w:link w:val="TableText1"/>
    <w:uiPriority w:val="3"/>
    <w:rsid w:val="008A02A6"/>
    <w:rPr>
      <w:rFonts w:ascii="Arial Narrow" w:hAnsi="Arial Narrow" w:cs="Arial Narrow"/>
      <w:lang w:eastAsia="en-US"/>
    </w:rPr>
  </w:style>
  <w:style w:type="paragraph" w:customStyle="1" w:styleId="TableHeadingRow">
    <w:name w:val="TableHeadingRow"/>
    <w:basedOn w:val="Normal"/>
    <w:uiPriority w:val="3"/>
    <w:rsid w:val="008A02A6"/>
    <w:pPr>
      <w:keepNext/>
      <w:widowControl/>
      <w:spacing w:before="20" w:after="20"/>
      <w:jc w:val="left"/>
    </w:pPr>
    <w:rPr>
      <w:rFonts w:cstheme="minorHAnsi"/>
      <w:b/>
      <w:snapToGrid/>
      <w:sz w:val="20"/>
      <w:szCs w:val="20"/>
    </w:rPr>
  </w:style>
  <w:style w:type="paragraph" w:customStyle="1" w:styleId="Table-bodytext">
    <w:name w:val="Table - body text"/>
    <w:basedOn w:val="Normal"/>
    <w:link w:val="Table-bodytextChar"/>
    <w:rsid w:val="00EE1AB7"/>
    <w:pPr>
      <w:adjustRightInd w:val="0"/>
      <w:jc w:val="center"/>
      <w:textAlignment w:val="baseline"/>
    </w:pPr>
    <w:rPr>
      <w:rFonts w:asciiTheme="minorHAnsi" w:hAnsiTheme="minorHAnsi"/>
      <w:snapToGrid/>
      <w:sz w:val="20"/>
      <w:szCs w:val="24"/>
    </w:rPr>
  </w:style>
  <w:style w:type="character" w:customStyle="1" w:styleId="Table-bodytextChar">
    <w:name w:val="Table - body text Char"/>
    <w:basedOn w:val="DefaultParagraphFont"/>
    <w:link w:val="Table-bodytext"/>
    <w:rsid w:val="00EE1AB7"/>
    <w:rPr>
      <w:rFonts w:asciiTheme="minorHAnsi" w:hAnsiTheme="minorHAnsi" w:cs="Arial"/>
      <w:szCs w:val="24"/>
      <w:lang w:eastAsia="en-US"/>
    </w:rPr>
  </w:style>
  <w:style w:type="paragraph" w:customStyle="1" w:styleId="Table-columnheadings">
    <w:name w:val="Table - column headings"/>
    <w:basedOn w:val="Table-bodytext"/>
    <w:rsid w:val="00EE1AB7"/>
    <w:rPr>
      <w:rFonts w:ascii="Calibri" w:hAnsi="Calibri"/>
      <w:b/>
      <w:bCs/>
    </w:rPr>
  </w:style>
  <w:style w:type="paragraph" w:customStyle="1" w:styleId="Table-bodytextLEFT">
    <w:name w:val="Table - body text LEFT"/>
    <w:basedOn w:val="Table-bodytext"/>
    <w:rsid w:val="00A5615C"/>
    <w:pPr>
      <w:jc w:val="left"/>
    </w:pPr>
    <w:rPr>
      <w:rFonts w:ascii="Calibri" w:hAnsi="Calibri"/>
    </w:rPr>
  </w:style>
  <w:style w:type="paragraph" w:styleId="TableofFigures">
    <w:name w:val="table of figures"/>
    <w:basedOn w:val="Normal"/>
    <w:next w:val="Normal"/>
    <w:uiPriority w:val="99"/>
    <w:unhideWhenUsed/>
    <w:rsid w:val="00223A77"/>
    <w:pPr>
      <w:widowControl/>
    </w:pPr>
    <w:rPr>
      <w:rFonts w:asciiTheme="minorHAnsi" w:eastAsiaTheme="minorHAnsi" w:hAnsiTheme="minorHAnsi" w:cstheme="minorBidi"/>
      <w:snapToGrid/>
      <w:sz w:val="22"/>
    </w:rPr>
  </w:style>
  <w:style w:type="table" w:customStyle="1" w:styleId="Summarybox2">
    <w:name w:val="Summary box2"/>
    <w:basedOn w:val="TableNormal"/>
    <w:next w:val="TableGrid"/>
    <w:uiPriority w:val="39"/>
    <w:rsid w:val="00223A77"/>
    <w:pPr>
      <w:spacing w:after="120" w:line="360" w:lineRule="auto"/>
      <w:jc w:val="both"/>
    </w:pPr>
    <w:rPr>
      <w:rFonts w:ascii="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Snormal">
    <w:name w:val="PBS normal"/>
    <w:basedOn w:val="Normal"/>
    <w:link w:val="PBSnormalChar"/>
    <w:qFormat/>
    <w:rsid w:val="00223A77"/>
    <w:pPr>
      <w:widowControl/>
      <w:spacing w:before="120" w:after="120" w:line="360" w:lineRule="auto"/>
    </w:pPr>
    <w:rPr>
      <w:rFonts w:ascii="Arial" w:hAnsi="Arial" w:cs="Times New Roman"/>
      <w:snapToGrid/>
      <w:sz w:val="22"/>
      <w:szCs w:val="20"/>
      <w:lang w:eastAsia="en-AU"/>
    </w:rPr>
  </w:style>
  <w:style w:type="character" w:customStyle="1" w:styleId="PBSnormalChar">
    <w:name w:val="PBS normal Char"/>
    <w:link w:val="PBSnormal"/>
    <w:rsid w:val="00223A77"/>
    <w:rPr>
      <w:rFonts w:ascii="Arial" w:hAnsi="Arial"/>
      <w:sz w:val="22"/>
    </w:rPr>
  </w:style>
  <w:style w:type="table" w:customStyle="1" w:styleId="Summarybox4">
    <w:name w:val="Summary box4"/>
    <w:basedOn w:val="TableNormal"/>
    <w:next w:val="TableGrid"/>
    <w:uiPriority w:val="39"/>
    <w:rsid w:val="00223A77"/>
    <w:pPr>
      <w:spacing w:after="120" w:line="360" w:lineRule="auto"/>
      <w:jc w:val="both"/>
    </w:pPr>
    <w:rPr>
      <w:rFonts w:ascii="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3">
    <w:name w:val="Summary box3"/>
    <w:basedOn w:val="TableNormal"/>
    <w:next w:val="TableGrid"/>
    <w:uiPriority w:val="39"/>
    <w:rsid w:val="00223A77"/>
    <w:pPr>
      <w:spacing w:after="120" w:line="360" w:lineRule="auto"/>
      <w:jc w:val="both"/>
    </w:pPr>
    <w:rPr>
      <w:rFonts w:ascii="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idance">
    <w:name w:val="Guidance"/>
    <w:basedOn w:val="Normal"/>
    <w:next w:val="Normal"/>
    <w:link w:val="GuidanceChar"/>
    <w:rsid w:val="00223A77"/>
    <w:pPr>
      <w:widowControl/>
      <w:spacing w:after="240" w:line="300" w:lineRule="auto"/>
    </w:pPr>
    <w:rPr>
      <w:rFonts w:ascii="Times New Roman" w:hAnsi="Times New Roman" w:cs="Times New Roman"/>
      <w:i/>
      <w:snapToGrid/>
      <w:kern w:val="24"/>
      <w:szCs w:val="24"/>
      <w:lang w:val="en-US" w:eastAsia="ja-JP"/>
    </w:rPr>
  </w:style>
  <w:style w:type="character" w:customStyle="1" w:styleId="GuidanceChar">
    <w:name w:val="Guidance Char"/>
    <w:basedOn w:val="DefaultParagraphFont"/>
    <w:link w:val="Guidance"/>
    <w:rsid w:val="00223A77"/>
    <w:rPr>
      <w:i/>
      <w:kern w:val="24"/>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50538">
      <w:bodyDiv w:val="1"/>
      <w:marLeft w:val="0"/>
      <w:marRight w:val="0"/>
      <w:marTop w:val="0"/>
      <w:marBottom w:val="0"/>
      <w:divBdr>
        <w:top w:val="none" w:sz="0" w:space="0" w:color="auto"/>
        <w:left w:val="none" w:sz="0" w:space="0" w:color="auto"/>
        <w:bottom w:val="none" w:sz="0" w:space="0" w:color="auto"/>
        <w:right w:val="none" w:sz="0" w:space="0" w:color="auto"/>
      </w:divBdr>
    </w:div>
    <w:div w:id="364067685">
      <w:bodyDiv w:val="1"/>
      <w:marLeft w:val="0"/>
      <w:marRight w:val="0"/>
      <w:marTop w:val="0"/>
      <w:marBottom w:val="0"/>
      <w:divBdr>
        <w:top w:val="none" w:sz="0" w:space="0" w:color="auto"/>
        <w:left w:val="none" w:sz="0" w:space="0" w:color="auto"/>
        <w:bottom w:val="none" w:sz="0" w:space="0" w:color="auto"/>
        <w:right w:val="none" w:sz="0" w:space="0" w:color="auto"/>
      </w:divBdr>
    </w:div>
    <w:div w:id="429737360">
      <w:bodyDiv w:val="1"/>
      <w:marLeft w:val="0"/>
      <w:marRight w:val="0"/>
      <w:marTop w:val="0"/>
      <w:marBottom w:val="0"/>
      <w:divBdr>
        <w:top w:val="none" w:sz="0" w:space="0" w:color="auto"/>
        <w:left w:val="none" w:sz="0" w:space="0" w:color="auto"/>
        <w:bottom w:val="none" w:sz="0" w:space="0" w:color="auto"/>
        <w:right w:val="none" w:sz="0" w:space="0" w:color="auto"/>
      </w:divBdr>
    </w:div>
    <w:div w:id="188240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75245-085E-4534-B9AF-4DDAE2439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9270</Words>
  <Characters>53861</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2018-06-20T02:58:00Z</dcterms:created>
  <dcterms:modified xsi:type="dcterms:W3CDTF">2018-06-20T02:59:00Z</dcterms:modified>
</cp:coreProperties>
</file>