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CFB" w:rsidRPr="00B27427" w:rsidRDefault="00FA3ADC" w:rsidP="009B0BFD">
      <w:pPr>
        <w:pStyle w:val="Title"/>
        <w:ind w:left="720" w:hanging="720"/>
        <w:rPr>
          <w:szCs w:val="36"/>
          <w:highlight w:val="yellow"/>
        </w:rPr>
      </w:pPr>
      <w:r w:rsidRPr="00B27427">
        <w:rPr>
          <w:szCs w:val="36"/>
        </w:rPr>
        <w:t>4.01</w:t>
      </w:r>
      <w:r w:rsidR="007C0F57" w:rsidRPr="00B27427">
        <w:rPr>
          <w:szCs w:val="36"/>
        </w:rPr>
        <w:tab/>
      </w:r>
      <w:r w:rsidR="000F1BC9" w:rsidRPr="00B27427">
        <w:rPr>
          <w:szCs w:val="36"/>
        </w:rPr>
        <w:t>TENOFOVIR</w:t>
      </w:r>
      <w:r w:rsidR="00716259" w:rsidRPr="00B27427">
        <w:rPr>
          <w:szCs w:val="36"/>
        </w:rPr>
        <w:t xml:space="preserve"> </w:t>
      </w:r>
      <w:r w:rsidR="000F1BC9" w:rsidRPr="00B27427">
        <w:rPr>
          <w:szCs w:val="36"/>
        </w:rPr>
        <w:t>with</w:t>
      </w:r>
      <w:r w:rsidR="00716259" w:rsidRPr="00B27427">
        <w:rPr>
          <w:szCs w:val="36"/>
        </w:rPr>
        <w:t xml:space="preserve"> </w:t>
      </w:r>
      <w:r w:rsidR="000F1BC9" w:rsidRPr="00B27427">
        <w:rPr>
          <w:szCs w:val="36"/>
        </w:rPr>
        <w:t>EMTRICITABINE,</w:t>
      </w:r>
      <w:r w:rsidR="008A50F1" w:rsidRPr="00B27427">
        <w:rPr>
          <w:szCs w:val="36"/>
        </w:rPr>
        <w:t xml:space="preserve"> </w:t>
      </w:r>
      <w:r w:rsidR="00761EE2" w:rsidRPr="00B27427">
        <w:rPr>
          <w:szCs w:val="36"/>
        </w:rPr>
        <w:br/>
      </w:r>
      <w:r w:rsidRPr="00B27427">
        <w:rPr>
          <w:szCs w:val="36"/>
        </w:rPr>
        <w:t>Tablet containing tenofovir disoproxil fumarate</w:t>
      </w:r>
      <w:r w:rsidR="00E0136C" w:rsidRPr="00B27427">
        <w:rPr>
          <w:szCs w:val="36"/>
        </w:rPr>
        <w:t xml:space="preserve"> 300 </w:t>
      </w:r>
      <w:r w:rsidRPr="00B27427">
        <w:rPr>
          <w:szCs w:val="36"/>
        </w:rPr>
        <w:t>mg with emtricitabine 200 mg,</w:t>
      </w:r>
      <w:r w:rsidR="00761EE2" w:rsidRPr="00B27427">
        <w:rPr>
          <w:szCs w:val="36"/>
        </w:rPr>
        <w:t xml:space="preserve"> </w:t>
      </w:r>
      <w:r w:rsidR="00761EE2" w:rsidRPr="00B27427">
        <w:rPr>
          <w:szCs w:val="36"/>
        </w:rPr>
        <w:br/>
      </w:r>
      <w:r w:rsidRPr="00B27427">
        <w:rPr>
          <w:szCs w:val="36"/>
        </w:rPr>
        <w:t>Truvada®, Gilead Sciences Pty Ltd</w:t>
      </w:r>
      <w:r w:rsidR="001D02DA" w:rsidRPr="00B27427">
        <w:rPr>
          <w:szCs w:val="36"/>
        </w:rPr>
        <w:t>.</w:t>
      </w:r>
      <w:r w:rsidR="00761EE2" w:rsidRPr="00B27427">
        <w:rPr>
          <w:szCs w:val="36"/>
        </w:rPr>
        <w:br/>
      </w:r>
      <w:r w:rsidR="008A50F1" w:rsidRPr="00B27427">
        <w:rPr>
          <w:szCs w:val="36"/>
        </w:rPr>
        <w:br/>
      </w:r>
      <w:r w:rsidR="000F1BC9" w:rsidRPr="00B27427">
        <w:rPr>
          <w:szCs w:val="36"/>
        </w:rPr>
        <w:t>Tablet containing tenofovir disoproxil maleate 300 mg with emtricitabine 200 mg</w:t>
      </w:r>
      <w:r w:rsidR="003E1103" w:rsidRPr="00B27427">
        <w:rPr>
          <w:szCs w:val="36"/>
        </w:rPr>
        <w:t>,</w:t>
      </w:r>
      <w:r w:rsidR="008A50F1" w:rsidRPr="00B27427">
        <w:rPr>
          <w:szCs w:val="36"/>
        </w:rPr>
        <w:t xml:space="preserve"> </w:t>
      </w:r>
      <w:r w:rsidR="008A50F1" w:rsidRPr="00B27427">
        <w:rPr>
          <w:szCs w:val="36"/>
        </w:rPr>
        <w:br/>
      </w:r>
      <w:r w:rsidR="000F1BC9" w:rsidRPr="00B27427">
        <w:rPr>
          <w:szCs w:val="36"/>
        </w:rPr>
        <w:t>Tenofovir Disoproxil Emtricitabine Mylan 300/200</w:t>
      </w:r>
      <w:r w:rsidR="0004240E" w:rsidRPr="00B27427">
        <w:rPr>
          <w:szCs w:val="36"/>
          <w:vertAlign w:val="superscript"/>
        </w:rPr>
        <w:t>®</w:t>
      </w:r>
      <w:r w:rsidR="00716259" w:rsidRPr="00B27427">
        <w:rPr>
          <w:szCs w:val="36"/>
        </w:rPr>
        <w:t xml:space="preserve">, </w:t>
      </w:r>
      <w:r w:rsidR="000F1BC9" w:rsidRPr="00B27427">
        <w:rPr>
          <w:szCs w:val="36"/>
        </w:rPr>
        <w:br/>
        <w:t>Alphapharm Pty Ltd</w:t>
      </w:r>
      <w:r w:rsidR="001D02DA" w:rsidRPr="00B27427">
        <w:rPr>
          <w:szCs w:val="36"/>
        </w:rPr>
        <w:t>.</w:t>
      </w:r>
      <w:r w:rsidR="00BF63AF" w:rsidRPr="00B27427">
        <w:rPr>
          <w:szCs w:val="36"/>
        </w:rPr>
        <w:t xml:space="preserve"> (trading as Mylan</w:t>
      </w:r>
      <w:proofErr w:type="gramStart"/>
      <w:r w:rsidR="00BF63AF" w:rsidRPr="00B27427">
        <w:rPr>
          <w:szCs w:val="36"/>
        </w:rPr>
        <w:t>)</w:t>
      </w:r>
      <w:proofErr w:type="gramEnd"/>
      <w:r w:rsidR="009B0BFD" w:rsidRPr="00B27427">
        <w:rPr>
          <w:szCs w:val="36"/>
        </w:rPr>
        <w:br/>
      </w:r>
      <w:r w:rsidR="009B0BFD" w:rsidRPr="00B27427">
        <w:rPr>
          <w:szCs w:val="36"/>
        </w:rPr>
        <w:br/>
      </w:r>
      <w:r w:rsidR="00F25CFB" w:rsidRPr="00B27427">
        <w:rPr>
          <w:szCs w:val="36"/>
        </w:rPr>
        <w:t xml:space="preserve">Tablet containing tenofovir disoproxil phosphate 291 mg with emtricitabine 200 mg, </w:t>
      </w:r>
      <w:r w:rsidR="00F25CFB" w:rsidRPr="00B27427">
        <w:rPr>
          <w:szCs w:val="36"/>
        </w:rPr>
        <w:br/>
        <w:t>Tenofovir EMT GH®, Generic Health Pty Ltd.</w:t>
      </w:r>
    </w:p>
    <w:p w:rsidR="002D2D91" w:rsidRPr="00B27427" w:rsidRDefault="002D2D91" w:rsidP="00F25CFB"/>
    <w:p w:rsidR="00761EE2" w:rsidRPr="00B27427" w:rsidRDefault="00761EE2" w:rsidP="00761EE2"/>
    <w:p w:rsidR="00E15627" w:rsidRPr="00B27427" w:rsidRDefault="00CE10C4" w:rsidP="00805808">
      <w:pPr>
        <w:pStyle w:val="PBACHeading1"/>
      </w:pPr>
      <w:r w:rsidRPr="00B27427">
        <w:t xml:space="preserve">Purpose of </w:t>
      </w:r>
      <w:r w:rsidR="0004240E" w:rsidRPr="00B27427">
        <w:t>Application</w:t>
      </w:r>
    </w:p>
    <w:p w:rsidR="008A50F1" w:rsidRPr="00B27427" w:rsidRDefault="008A50F1" w:rsidP="00E15627"/>
    <w:p w:rsidR="00F20960" w:rsidRPr="00B27427" w:rsidRDefault="00FA3ADC" w:rsidP="00C27B58">
      <w:pPr>
        <w:pStyle w:val="ListParagraph"/>
        <w:numPr>
          <w:ilvl w:val="1"/>
          <w:numId w:val="5"/>
        </w:numPr>
        <w:rPr>
          <w:szCs w:val="24"/>
        </w:rPr>
      </w:pPr>
      <w:r w:rsidRPr="00B27427">
        <w:rPr>
          <w:szCs w:val="24"/>
        </w:rPr>
        <w:t xml:space="preserve">At its July 2017 meeting, the PBAC considered and deferred two applications for formulations of tenofovir with emtricitabine for Human Immunodeficiency Virus (HIV) Pre-exposure prophylaxis (PrEP), and requested additional analyses </w:t>
      </w:r>
      <w:r w:rsidR="00914FB4" w:rsidRPr="00B27427">
        <w:rPr>
          <w:szCs w:val="24"/>
        </w:rPr>
        <w:t>for the cost-effectiveness model developed</w:t>
      </w:r>
      <w:r w:rsidRPr="00B27427">
        <w:rPr>
          <w:szCs w:val="24"/>
        </w:rPr>
        <w:t xml:space="preserve"> by the Kirby Institute, which was provided as part of both applications.</w:t>
      </w:r>
    </w:p>
    <w:p w:rsidR="00F20960" w:rsidRPr="00B27427" w:rsidRDefault="00F20960" w:rsidP="00F20960">
      <w:pPr>
        <w:pStyle w:val="ListParagraph"/>
        <w:rPr>
          <w:szCs w:val="24"/>
        </w:rPr>
      </w:pPr>
    </w:p>
    <w:p w:rsidR="00EF44A0" w:rsidRPr="00B27427" w:rsidRDefault="00F20960" w:rsidP="00C27B58">
      <w:pPr>
        <w:pStyle w:val="ListParagraph"/>
        <w:numPr>
          <w:ilvl w:val="1"/>
          <w:numId w:val="5"/>
        </w:numPr>
        <w:rPr>
          <w:szCs w:val="24"/>
        </w:rPr>
      </w:pPr>
      <w:r w:rsidRPr="00B27427">
        <w:rPr>
          <w:szCs w:val="24"/>
        </w:rPr>
        <w:t xml:space="preserve">The </w:t>
      </w:r>
      <w:r w:rsidR="00FA3ADC" w:rsidRPr="00B27427">
        <w:rPr>
          <w:szCs w:val="24"/>
        </w:rPr>
        <w:t xml:space="preserve">PBAC Secretariat engaged with the Kirby Institute to obtain these analyses on behalf of the PBAC. The outcomes of these additional analyses are presented </w:t>
      </w:r>
      <w:r w:rsidR="002945DB" w:rsidRPr="00B27427">
        <w:rPr>
          <w:szCs w:val="24"/>
        </w:rPr>
        <w:t>below.</w:t>
      </w:r>
    </w:p>
    <w:p w:rsidR="00BF63AF" w:rsidRPr="00B27427" w:rsidRDefault="00BF63AF" w:rsidP="00BF63AF">
      <w:pPr>
        <w:pStyle w:val="ListParagraph"/>
        <w:rPr>
          <w:szCs w:val="24"/>
        </w:rPr>
      </w:pPr>
    </w:p>
    <w:p w:rsidR="00BF63AF" w:rsidRPr="00B27427" w:rsidRDefault="00BF63AF" w:rsidP="00C27B58">
      <w:pPr>
        <w:pStyle w:val="ListParagraph"/>
        <w:numPr>
          <w:ilvl w:val="1"/>
          <w:numId w:val="5"/>
        </w:numPr>
        <w:rPr>
          <w:szCs w:val="24"/>
        </w:rPr>
      </w:pPr>
      <w:r w:rsidRPr="00B27427">
        <w:rPr>
          <w:szCs w:val="24"/>
        </w:rPr>
        <w:t>Subsequent to the deferral of the Truvada</w:t>
      </w:r>
      <w:r w:rsidRPr="00B27427">
        <w:rPr>
          <w:szCs w:val="24"/>
          <w:vertAlign w:val="superscript"/>
        </w:rPr>
        <w:t>®</w:t>
      </w:r>
      <w:r w:rsidRPr="00B27427">
        <w:rPr>
          <w:szCs w:val="24"/>
        </w:rPr>
        <w:t xml:space="preserve"> and Alphapharm brands, Generic Health Pty Ltd made a submission to the PBAC for its brand of tenofovir with emtricitabine for PrEP</w:t>
      </w:r>
      <w:r w:rsidR="00755E22" w:rsidRPr="00B27427">
        <w:rPr>
          <w:szCs w:val="24"/>
        </w:rPr>
        <w:t>, which is PBS listed for the treatment of HIV infection</w:t>
      </w:r>
      <w:r w:rsidRPr="00B27427">
        <w:rPr>
          <w:szCs w:val="24"/>
        </w:rPr>
        <w:t xml:space="preserve">. </w:t>
      </w:r>
    </w:p>
    <w:p w:rsidR="00106B7F" w:rsidRPr="00B27427" w:rsidRDefault="00106B7F" w:rsidP="00C27B58">
      <w:pPr>
        <w:pStyle w:val="NoSpacing"/>
        <w:rPr>
          <w:rFonts w:asciiTheme="minorHAnsi" w:hAnsiTheme="minorHAnsi"/>
          <w:sz w:val="24"/>
          <w:szCs w:val="24"/>
        </w:rPr>
      </w:pPr>
    </w:p>
    <w:p w:rsidR="00BF63AF" w:rsidRPr="00B27427" w:rsidRDefault="00BF63AF" w:rsidP="00C27B58">
      <w:pPr>
        <w:pStyle w:val="NoSpacing"/>
        <w:rPr>
          <w:rFonts w:asciiTheme="minorHAnsi" w:hAnsiTheme="minorHAnsi"/>
          <w:sz w:val="24"/>
          <w:szCs w:val="24"/>
        </w:rPr>
      </w:pPr>
    </w:p>
    <w:p w:rsidR="00962223" w:rsidRPr="00B27427" w:rsidRDefault="006A12A5" w:rsidP="00805808">
      <w:pPr>
        <w:pStyle w:val="PBACHeading1"/>
      </w:pPr>
      <w:r w:rsidRPr="00B27427">
        <w:t>Requested listing</w:t>
      </w:r>
    </w:p>
    <w:p w:rsidR="00953494" w:rsidRPr="00B27427" w:rsidRDefault="00953494" w:rsidP="00431698"/>
    <w:p w:rsidR="0097305B" w:rsidRPr="00B27427" w:rsidRDefault="006624DE" w:rsidP="0097305B">
      <w:pPr>
        <w:pStyle w:val="ListParagraph"/>
        <w:numPr>
          <w:ilvl w:val="1"/>
          <w:numId w:val="5"/>
        </w:numPr>
        <w:rPr>
          <w:szCs w:val="24"/>
        </w:rPr>
      </w:pPr>
      <w:r w:rsidRPr="00B27427">
        <w:rPr>
          <w:szCs w:val="24"/>
        </w:rPr>
        <w:t xml:space="preserve">The </w:t>
      </w:r>
      <w:r w:rsidR="00953494" w:rsidRPr="00B27427">
        <w:rPr>
          <w:szCs w:val="24"/>
        </w:rPr>
        <w:t>PBAC</w:t>
      </w:r>
      <w:r w:rsidRPr="00B27427">
        <w:rPr>
          <w:szCs w:val="24"/>
        </w:rPr>
        <w:t xml:space="preserve"> </w:t>
      </w:r>
      <w:r w:rsidR="00B272F8" w:rsidRPr="00B27427">
        <w:rPr>
          <w:szCs w:val="24"/>
        </w:rPr>
        <w:t xml:space="preserve">advised </w:t>
      </w:r>
      <w:r w:rsidR="00563E01" w:rsidRPr="00B27427">
        <w:rPr>
          <w:szCs w:val="24"/>
        </w:rPr>
        <w:t xml:space="preserve">at its July 2017 meeting that it was appropriate for an eligible </w:t>
      </w:r>
      <w:r w:rsidR="00563E01" w:rsidRPr="00B27427">
        <w:rPr>
          <w:szCs w:val="24"/>
        </w:rPr>
        <w:lastRenderedPageBreak/>
        <w:t xml:space="preserve">population to include medium and high risk individuals as defined in the PrEP guidelines published by the Australasian Society for HIV, Viral Hepatitis and Sexual Health Medicine (ASHM). </w:t>
      </w:r>
      <w:r w:rsidR="0097305B" w:rsidRPr="00B27427">
        <w:rPr>
          <w:szCs w:val="24"/>
        </w:rPr>
        <w:t>The</w:t>
      </w:r>
      <w:r w:rsidR="00563E01" w:rsidRPr="00B27427">
        <w:rPr>
          <w:szCs w:val="24"/>
        </w:rPr>
        <w:t xml:space="preserve"> listing</w:t>
      </w:r>
      <w:r w:rsidR="0097305B" w:rsidRPr="00B27427">
        <w:rPr>
          <w:szCs w:val="24"/>
        </w:rPr>
        <w:t xml:space="preserve"> requested</w:t>
      </w:r>
      <w:r w:rsidR="00563E01" w:rsidRPr="00B27427">
        <w:rPr>
          <w:szCs w:val="24"/>
        </w:rPr>
        <w:t xml:space="preserve"> in the</w:t>
      </w:r>
      <w:r w:rsidR="005134D9" w:rsidRPr="00B27427">
        <w:rPr>
          <w:szCs w:val="24"/>
        </w:rPr>
        <w:t xml:space="preserve"> July 2017</w:t>
      </w:r>
      <w:r w:rsidR="00563E01" w:rsidRPr="00B27427">
        <w:rPr>
          <w:szCs w:val="24"/>
        </w:rPr>
        <w:t xml:space="preserve"> Truvada® submission (item 7.08)</w:t>
      </w:r>
      <w:r w:rsidR="005134D9" w:rsidRPr="00B27427">
        <w:rPr>
          <w:szCs w:val="24"/>
        </w:rPr>
        <w:t>,</w:t>
      </w:r>
      <w:r w:rsidR="00563E01" w:rsidRPr="00B27427">
        <w:rPr>
          <w:szCs w:val="24"/>
        </w:rPr>
        <w:t xml:space="preserve"> </w:t>
      </w:r>
      <w:r w:rsidR="0097305B" w:rsidRPr="00B27427">
        <w:rPr>
          <w:szCs w:val="24"/>
        </w:rPr>
        <w:t>and a summary of the</w:t>
      </w:r>
      <w:r w:rsidR="005134D9" w:rsidRPr="00B27427">
        <w:rPr>
          <w:szCs w:val="24"/>
        </w:rPr>
        <w:t xml:space="preserve"> HIV</w:t>
      </w:r>
      <w:r w:rsidR="0097305B" w:rsidRPr="00B27427">
        <w:rPr>
          <w:szCs w:val="24"/>
        </w:rPr>
        <w:t xml:space="preserve"> risk criteria for eligibility for PrEP from the ASHM Guidelines</w:t>
      </w:r>
      <w:r w:rsidR="005134D9" w:rsidRPr="00B27427">
        <w:rPr>
          <w:szCs w:val="24"/>
        </w:rPr>
        <w:t>,</w:t>
      </w:r>
      <w:r w:rsidR="0097305B" w:rsidRPr="00B27427">
        <w:rPr>
          <w:szCs w:val="24"/>
        </w:rPr>
        <w:t xml:space="preserve"> </w:t>
      </w:r>
      <w:r w:rsidR="005134D9" w:rsidRPr="00B27427">
        <w:rPr>
          <w:szCs w:val="24"/>
        </w:rPr>
        <w:t>are</w:t>
      </w:r>
      <w:r w:rsidR="0097305B" w:rsidRPr="00B27427">
        <w:rPr>
          <w:szCs w:val="24"/>
        </w:rPr>
        <w:t xml:space="preserve"> presented </w:t>
      </w:r>
      <w:r w:rsidR="00563E01" w:rsidRPr="00B27427">
        <w:rPr>
          <w:szCs w:val="24"/>
        </w:rPr>
        <w:t>below.</w:t>
      </w:r>
      <w:r w:rsidR="0035551D" w:rsidRPr="00B27427">
        <w:rPr>
          <w:szCs w:val="24"/>
        </w:rPr>
        <w:t xml:space="preserve"> For ease of reference, all brands requesting reimbursement of tenofovir with emtricitabine for PrEP at time of PBAC consideration are included in the requested listing below</w:t>
      </w:r>
      <w:r w:rsidR="00D753EB" w:rsidRPr="00B27427">
        <w:rPr>
          <w:szCs w:val="24"/>
        </w:rPr>
        <w:t>.</w:t>
      </w:r>
      <w:r w:rsidR="0097305B" w:rsidRPr="00B27427">
        <w:rPr>
          <w:szCs w:val="24"/>
        </w:rPr>
        <w:t xml:space="preserve"> The risk criteria presented in the ASHM Guidelines </w:t>
      </w:r>
      <w:r w:rsidR="005134D9" w:rsidRPr="00B27427">
        <w:rPr>
          <w:szCs w:val="24"/>
        </w:rPr>
        <w:t>are</w:t>
      </w:r>
      <w:r w:rsidR="00D753EB" w:rsidRPr="00B27427">
        <w:rPr>
          <w:szCs w:val="24"/>
        </w:rPr>
        <w:t xml:space="preserve"> based on sexual and/</w:t>
      </w:r>
      <w:r w:rsidR="0097305B" w:rsidRPr="00B27427">
        <w:rPr>
          <w:szCs w:val="24"/>
        </w:rPr>
        <w:t>or drug injecting activity (based on behaviour, not identity) over the last 3 months, and likely activity in the next 3 months (indicating sustained risk). The criteria apply to men who have sex with men (MSM), trans and gender diverse people, heterosexual people and people who inject drugs (PWID).</w:t>
      </w:r>
      <w:r w:rsidR="00EC514A">
        <w:rPr>
          <w:szCs w:val="24"/>
        </w:rPr>
        <w:t xml:space="preserve"> </w:t>
      </w:r>
    </w:p>
    <w:p w:rsidR="005579D6" w:rsidRPr="00B27427" w:rsidRDefault="005579D6" w:rsidP="00431698">
      <w:pPr>
        <w:pStyle w:val="ListParagraph"/>
      </w:pPr>
    </w:p>
    <w:p w:rsidR="00FA1478" w:rsidRPr="00B27427" w:rsidRDefault="00FA1478" w:rsidP="005579D6"/>
    <w:tbl>
      <w:tblPr>
        <w:tblW w:w="5010" w:type="pct"/>
        <w:tblCellMar>
          <w:left w:w="28" w:type="dxa"/>
          <w:right w:w="28" w:type="dxa"/>
        </w:tblCellMar>
        <w:tblLook w:val="0000" w:firstRow="0" w:lastRow="0" w:firstColumn="0" w:lastColumn="0" w:noHBand="0" w:noVBand="0"/>
      </w:tblPr>
      <w:tblGrid>
        <w:gridCol w:w="8"/>
        <w:gridCol w:w="1938"/>
        <w:gridCol w:w="1343"/>
        <w:gridCol w:w="733"/>
        <w:gridCol w:w="892"/>
        <w:gridCol w:w="1776"/>
        <w:gridCol w:w="2410"/>
      </w:tblGrid>
      <w:tr w:rsidR="00286B09" w:rsidRPr="00B27427" w:rsidTr="00286B09">
        <w:trPr>
          <w:cantSplit/>
          <w:trHeight w:val="463"/>
        </w:trPr>
        <w:tc>
          <w:tcPr>
            <w:tcW w:w="1807" w:type="pct"/>
            <w:gridSpan w:val="3"/>
            <w:tcBorders>
              <w:bottom w:val="single" w:sz="4" w:space="0" w:color="auto"/>
            </w:tcBorders>
            <w:vAlign w:val="center"/>
          </w:tcPr>
          <w:p w:rsidR="00286B09" w:rsidRPr="00B27427" w:rsidRDefault="00286B09" w:rsidP="00140F95">
            <w:pPr>
              <w:pStyle w:val="TableText0"/>
              <w:rPr>
                <w:b/>
              </w:rPr>
            </w:pPr>
            <w:r w:rsidRPr="00B27427">
              <w:rPr>
                <w:b/>
              </w:rPr>
              <w:t>Name, Restriction,</w:t>
            </w:r>
          </w:p>
          <w:p w:rsidR="00286B09" w:rsidRPr="00B27427" w:rsidRDefault="00286B09" w:rsidP="00140F95">
            <w:pPr>
              <w:pStyle w:val="TableText0"/>
              <w:rPr>
                <w:b/>
              </w:rPr>
            </w:pPr>
            <w:r w:rsidRPr="00B27427">
              <w:rPr>
                <w:b/>
              </w:rPr>
              <w:t>Manner of administration and form</w:t>
            </w:r>
          </w:p>
        </w:tc>
        <w:tc>
          <w:tcPr>
            <w:tcW w:w="403" w:type="pct"/>
            <w:tcBorders>
              <w:bottom w:val="single" w:sz="4" w:space="0" w:color="auto"/>
            </w:tcBorders>
            <w:vAlign w:val="center"/>
          </w:tcPr>
          <w:p w:rsidR="00286B09" w:rsidRPr="00B27427" w:rsidRDefault="00286B09" w:rsidP="00140F95">
            <w:pPr>
              <w:pStyle w:val="TableText0"/>
              <w:rPr>
                <w:b/>
              </w:rPr>
            </w:pPr>
            <w:r w:rsidRPr="00B27427">
              <w:rPr>
                <w:b/>
              </w:rPr>
              <w:t>Max.</w:t>
            </w:r>
          </w:p>
          <w:p w:rsidR="00286B09" w:rsidRPr="00B27427" w:rsidRDefault="00286B09" w:rsidP="00140F95">
            <w:pPr>
              <w:pStyle w:val="TableText0"/>
              <w:rPr>
                <w:b/>
              </w:rPr>
            </w:pPr>
            <w:r w:rsidRPr="00B27427">
              <w:rPr>
                <w:b/>
              </w:rPr>
              <w:t xml:space="preserve">Qty </w:t>
            </w:r>
          </w:p>
        </w:tc>
        <w:tc>
          <w:tcPr>
            <w:tcW w:w="490" w:type="pct"/>
            <w:tcBorders>
              <w:bottom w:val="single" w:sz="4" w:space="0" w:color="auto"/>
            </w:tcBorders>
            <w:vAlign w:val="center"/>
          </w:tcPr>
          <w:p w:rsidR="00286B09" w:rsidRPr="00B27427" w:rsidRDefault="00286B09" w:rsidP="00140F95">
            <w:pPr>
              <w:pStyle w:val="TableText0"/>
              <w:rPr>
                <w:b/>
              </w:rPr>
            </w:pPr>
            <w:r w:rsidRPr="00B27427">
              <w:rPr>
                <w:b/>
              </w:rPr>
              <w:t>№.of</w:t>
            </w:r>
          </w:p>
          <w:p w:rsidR="00286B09" w:rsidRPr="00B27427" w:rsidRDefault="00286B09" w:rsidP="00140F95">
            <w:pPr>
              <w:pStyle w:val="TableText0"/>
              <w:rPr>
                <w:b/>
              </w:rPr>
            </w:pPr>
            <w:r w:rsidRPr="00B27427">
              <w:rPr>
                <w:b/>
              </w:rPr>
              <w:t>Rpts</w:t>
            </w:r>
          </w:p>
        </w:tc>
        <w:tc>
          <w:tcPr>
            <w:tcW w:w="2300" w:type="pct"/>
            <w:gridSpan w:val="2"/>
            <w:tcBorders>
              <w:bottom w:val="single" w:sz="4" w:space="0" w:color="auto"/>
            </w:tcBorders>
            <w:vAlign w:val="center"/>
          </w:tcPr>
          <w:p w:rsidR="00286B09" w:rsidRPr="00B27427" w:rsidRDefault="00286B09" w:rsidP="00140F95">
            <w:pPr>
              <w:pStyle w:val="TableText0"/>
              <w:rPr>
                <w:b/>
              </w:rPr>
            </w:pPr>
            <w:r w:rsidRPr="00B27427">
              <w:rPr>
                <w:b/>
              </w:rPr>
              <w:t>Proprietary Name and Manufacturer</w:t>
            </w:r>
          </w:p>
        </w:tc>
      </w:tr>
      <w:tr w:rsidR="00286B09" w:rsidRPr="00B27427" w:rsidTr="00286B09">
        <w:trPr>
          <w:cantSplit/>
          <w:trHeight w:val="567"/>
        </w:trPr>
        <w:tc>
          <w:tcPr>
            <w:tcW w:w="1807" w:type="pct"/>
            <w:gridSpan w:val="3"/>
            <w:vAlign w:val="center"/>
          </w:tcPr>
          <w:p w:rsidR="00286B09" w:rsidRPr="00B27427" w:rsidRDefault="00286B09" w:rsidP="00140F95">
            <w:pPr>
              <w:keepNext/>
              <w:spacing w:before="40" w:after="40"/>
              <w:rPr>
                <w:rFonts w:ascii="Arial Narrow" w:eastAsia="Calibri" w:hAnsi="Arial Narrow"/>
                <w:smallCaps/>
                <w:sz w:val="20"/>
              </w:rPr>
            </w:pPr>
            <w:r w:rsidRPr="00B27427">
              <w:rPr>
                <w:rFonts w:ascii="Arial Narrow" w:eastAsia="Calibri" w:hAnsi="Arial Narrow"/>
                <w:smallCaps/>
                <w:sz w:val="20"/>
              </w:rPr>
              <w:t>TENOFOVIR DISOPROXIL FUMARATE 300 MG + EMTRICITABINE 200 MG</w:t>
            </w:r>
          </w:p>
          <w:p w:rsidR="00286B09" w:rsidRPr="00B27427" w:rsidRDefault="00286B09" w:rsidP="00140F95">
            <w:pPr>
              <w:pStyle w:val="TableText0"/>
              <w:rPr>
                <w:rFonts w:eastAsia="Calibri"/>
              </w:rPr>
            </w:pPr>
            <w:r w:rsidRPr="00B27427">
              <w:rPr>
                <w:rFonts w:eastAsia="Calibri"/>
              </w:rPr>
              <w:t>ORAL TABLET, 30</w:t>
            </w:r>
          </w:p>
          <w:p w:rsidR="00286B09" w:rsidRPr="00B27427" w:rsidRDefault="00286B09" w:rsidP="00140F95">
            <w:pPr>
              <w:pStyle w:val="TableText0"/>
              <w:rPr>
                <w:rFonts w:eastAsia="Calibri"/>
              </w:rPr>
            </w:pPr>
          </w:p>
          <w:p w:rsidR="00286B09" w:rsidRPr="00B27427" w:rsidRDefault="00286B09" w:rsidP="00563E01">
            <w:pPr>
              <w:keepNext/>
              <w:spacing w:before="40" w:after="40"/>
              <w:rPr>
                <w:rFonts w:ascii="Arial Narrow" w:eastAsia="Calibri" w:hAnsi="Arial Narrow" w:cs="Arial"/>
                <w:smallCaps/>
                <w:sz w:val="20"/>
                <w:szCs w:val="22"/>
                <w:lang w:eastAsia="en-US"/>
              </w:rPr>
            </w:pPr>
            <w:r w:rsidRPr="00B27427">
              <w:rPr>
                <w:rFonts w:ascii="Arial Narrow" w:eastAsia="Calibri" w:hAnsi="Arial Narrow" w:cs="Arial"/>
                <w:smallCaps/>
                <w:sz w:val="20"/>
                <w:szCs w:val="22"/>
                <w:lang w:eastAsia="en-US"/>
              </w:rPr>
              <w:t>TENOFOVIR DISOPROXIL MALEATE 300 MG + EMTRICITABINE 200 MG</w:t>
            </w:r>
          </w:p>
          <w:p w:rsidR="00A53F16" w:rsidRPr="00B27427" w:rsidRDefault="00286B09" w:rsidP="00563E01">
            <w:pPr>
              <w:pStyle w:val="TableText0"/>
              <w:rPr>
                <w:rFonts w:eastAsia="Calibri" w:cs="Arial"/>
              </w:rPr>
            </w:pPr>
            <w:r w:rsidRPr="00B27427">
              <w:rPr>
                <w:rFonts w:eastAsia="Calibri" w:cs="Arial"/>
              </w:rPr>
              <w:t>ORAL TABLET, 30</w:t>
            </w:r>
          </w:p>
          <w:p w:rsidR="00A044F5" w:rsidRPr="00B27427" w:rsidRDefault="00A044F5" w:rsidP="00563E01">
            <w:pPr>
              <w:pStyle w:val="TableText0"/>
              <w:rPr>
                <w:rFonts w:eastAsia="Calibri" w:cs="Arial"/>
              </w:rPr>
            </w:pPr>
          </w:p>
          <w:p w:rsidR="00A044F5" w:rsidRPr="00B27427" w:rsidRDefault="00A044F5" w:rsidP="00563E01">
            <w:pPr>
              <w:pStyle w:val="TableText0"/>
              <w:rPr>
                <w:rFonts w:eastAsia="Calibri" w:cs="Arial"/>
              </w:rPr>
            </w:pPr>
            <w:r w:rsidRPr="00B27427">
              <w:rPr>
                <w:rFonts w:eastAsia="Calibri" w:cs="Arial"/>
              </w:rPr>
              <w:t>TENOFOVIR DISOPROXIL PHOSPHATE 291 MG + EMTRICITABINE 200 MG</w:t>
            </w:r>
          </w:p>
          <w:p w:rsidR="00A044F5" w:rsidRPr="00B27427" w:rsidRDefault="00A044F5" w:rsidP="00563E01">
            <w:pPr>
              <w:pStyle w:val="TableText0"/>
              <w:rPr>
                <w:rFonts w:eastAsia="Calibri" w:cs="Arial"/>
              </w:rPr>
            </w:pPr>
            <w:r w:rsidRPr="00B27427">
              <w:rPr>
                <w:rFonts w:eastAsia="Calibri" w:cs="Arial"/>
              </w:rPr>
              <w:t>ORAL TABLET, 30</w:t>
            </w:r>
          </w:p>
          <w:p w:rsidR="00A044F5" w:rsidRPr="00B27427" w:rsidRDefault="00A044F5" w:rsidP="00563E01">
            <w:pPr>
              <w:pStyle w:val="TableText0"/>
              <w:rPr>
                <w:rFonts w:eastAsia="Calibri" w:cs="Arial"/>
              </w:rPr>
            </w:pPr>
          </w:p>
        </w:tc>
        <w:tc>
          <w:tcPr>
            <w:tcW w:w="403" w:type="pct"/>
          </w:tcPr>
          <w:p w:rsidR="00286B09" w:rsidRPr="00B27427" w:rsidRDefault="00286B09" w:rsidP="00563E01">
            <w:pPr>
              <w:keepNext/>
              <w:spacing w:before="40" w:after="40"/>
              <w:rPr>
                <w:rFonts w:ascii="Arial Narrow" w:eastAsia="Calibri" w:hAnsi="Arial Narrow"/>
                <w:sz w:val="20"/>
              </w:rPr>
            </w:pPr>
          </w:p>
          <w:p w:rsidR="00286B09" w:rsidRPr="00B27427" w:rsidRDefault="00286B09" w:rsidP="00563E01">
            <w:pPr>
              <w:pStyle w:val="TableText0"/>
              <w:rPr>
                <w:rFonts w:eastAsia="Calibri"/>
              </w:rPr>
            </w:pPr>
            <w:r w:rsidRPr="00B27427">
              <w:rPr>
                <w:rFonts w:eastAsia="Calibri"/>
              </w:rPr>
              <w:t>1</w:t>
            </w:r>
          </w:p>
          <w:p w:rsidR="00286B09" w:rsidRPr="00B27427" w:rsidRDefault="00286B09" w:rsidP="00563E01">
            <w:pPr>
              <w:pStyle w:val="TableText0"/>
              <w:rPr>
                <w:rFonts w:eastAsia="Calibri"/>
              </w:rPr>
            </w:pPr>
          </w:p>
          <w:p w:rsidR="00286B09" w:rsidRPr="00B27427" w:rsidRDefault="00286B09" w:rsidP="00563E01">
            <w:pPr>
              <w:pStyle w:val="TableText0"/>
              <w:rPr>
                <w:rFonts w:eastAsia="Calibri"/>
              </w:rPr>
            </w:pPr>
          </w:p>
          <w:p w:rsidR="00286B09" w:rsidRPr="00B27427" w:rsidRDefault="00286B09" w:rsidP="00563E01">
            <w:pPr>
              <w:pStyle w:val="TableText0"/>
              <w:rPr>
                <w:rFonts w:eastAsia="Calibri"/>
              </w:rPr>
            </w:pPr>
          </w:p>
          <w:p w:rsidR="00286B09" w:rsidRPr="00B27427" w:rsidRDefault="00286B09" w:rsidP="00563E01">
            <w:pPr>
              <w:pStyle w:val="TableText0"/>
              <w:rPr>
                <w:rFonts w:eastAsia="Calibri"/>
              </w:rPr>
            </w:pPr>
            <w:r w:rsidRPr="00B27427">
              <w:rPr>
                <w:rFonts w:eastAsia="Calibri"/>
              </w:rPr>
              <w:t>1</w:t>
            </w:r>
          </w:p>
          <w:p w:rsidR="00A044F5" w:rsidRPr="00B27427" w:rsidRDefault="00A044F5" w:rsidP="00563E01">
            <w:pPr>
              <w:pStyle w:val="TableText0"/>
              <w:rPr>
                <w:rFonts w:eastAsia="Calibri"/>
              </w:rPr>
            </w:pPr>
          </w:p>
          <w:p w:rsidR="00A044F5" w:rsidRPr="00B27427" w:rsidRDefault="00A044F5" w:rsidP="00563E01">
            <w:pPr>
              <w:pStyle w:val="TableText0"/>
              <w:rPr>
                <w:rFonts w:eastAsia="Calibri"/>
              </w:rPr>
            </w:pPr>
          </w:p>
          <w:p w:rsidR="00A044F5" w:rsidRPr="00B27427" w:rsidRDefault="00A044F5" w:rsidP="00563E01">
            <w:pPr>
              <w:pStyle w:val="TableText0"/>
              <w:rPr>
                <w:rFonts w:eastAsia="Calibri"/>
              </w:rPr>
            </w:pPr>
            <w:r w:rsidRPr="00B27427">
              <w:rPr>
                <w:rFonts w:eastAsia="Calibri"/>
              </w:rPr>
              <w:t>1</w:t>
            </w:r>
          </w:p>
          <w:p w:rsidR="00A53F16" w:rsidRPr="00B27427" w:rsidRDefault="00A53F16" w:rsidP="00563E01">
            <w:pPr>
              <w:pStyle w:val="TableText0"/>
            </w:pPr>
          </w:p>
        </w:tc>
        <w:tc>
          <w:tcPr>
            <w:tcW w:w="490" w:type="pct"/>
          </w:tcPr>
          <w:p w:rsidR="00286B09" w:rsidRPr="00B27427" w:rsidRDefault="00286B09" w:rsidP="00563E01">
            <w:pPr>
              <w:keepNext/>
              <w:spacing w:before="40" w:after="40"/>
              <w:rPr>
                <w:rFonts w:ascii="Arial Narrow" w:eastAsia="Calibri" w:hAnsi="Arial Narrow"/>
                <w:sz w:val="20"/>
              </w:rPr>
            </w:pPr>
          </w:p>
          <w:p w:rsidR="00286B09" w:rsidRPr="00B27427" w:rsidRDefault="00286B09" w:rsidP="00563E01">
            <w:pPr>
              <w:pStyle w:val="TableText0"/>
              <w:rPr>
                <w:rFonts w:eastAsia="Calibri"/>
              </w:rPr>
            </w:pPr>
            <w:r w:rsidRPr="00B27427">
              <w:rPr>
                <w:rFonts w:eastAsia="Calibri"/>
              </w:rPr>
              <w:t>2</w:t>
            </w:r>
          </w:p>
          <w:p w:rsidR="00286B09" w:rsidRPr="00B27427" w:rsidRDefault="00286B09" w:rsidP="00563E01">
            <w:pPr>
              <w:pStyle w:val="TableText0"/>
              <w:rPr>
                <w:rFonts w:eastAsia="Calibri"/>
              </w:rPr>
            </w:pPr>
          </w:p>
          <w:p w:rsidR="00286B09" w:rsidRPr="00B27427" w:rsidRDefault="00286B09" w:rsidP="00563E01">
            <w:pPr>
              <w:pStyle w:val="TableText0"/>
              <w:rPr>
                <w:rFonts w:eastAsia="Calibri"/>
              </w:rPr>
            </w:pPr>
          </w:p>
          <w:p w:rsidR="00286B09" w:rsidRPr="00B27427" w:rsidRDefault="00286B09" w:rsidP="00563E01">
            <w:pPr>
              <w:pStyle w:val="TableText0"/>
              <w:rPr>
                <w:rFonts w:eastAsia="Calibri"/>
              </w:rPr>
            </w:pPr>
          </w:p>
          <w:p w:rsidR="00286B09" w:rsidRPr="00B27427" w:rsidRDefault="00286B09" w:rsidP="00563E01">
            <w:pPr>
              <w:pStyle w:val="TableText0"/>
              <w:rPr>
                <w:rFonts w:eastAsia="Calibri"/>
              </w:rPr>
            </w:pPr>
            <w:r w:rsidRPr="00B27427">
              <w:rPr>
                <w:rFonts w:eastAsia="Calibri"/>
              </w:rPr>
              <w:t>2</w:t>
            </w:r>
          </w:p>
          <w:p w:rsidR="00A044F5" w:rsidRPr="00B27427" w:rsidRDefault="00A044F5" w:rsidP="00563E01">
            <w:pPr>
              <w:pStyle w:val="TableText0"/>
              <w:rPr>
                <w:rFonts w:eastAsia="Calibri"/>
              </w:rPr>
            </w:pPr>
          </w:p>
          <w:p w:rsidR="00A044F5" w:rsidRPr="00B27427" w:rsidRDefault="00A044F5" w:rsidP="00563E01">
            <w:pPr>
              <w:pStyle w:val="TableText0"/>
              <w:rPr>
                <w:rFonts w:eastAsia="Calibri"/>
              </w:rPr>
            </w:pPr>
          </w:p>
          <w:p w:rsidR="00A044F5" w:rsidRPr="00B27427" w:rsidRDefault="00A044F5" w:rsidP="00563E01">
            <w:pPr>
              <w:pStyle w:val="TableText0"/>
              <w:rPr>
                <w:rFonts w:eastAsia="Calibri"/>
              </w:rPr>
            </w:pPr>
            <w:r w:rsidRPr="00B27427">
              <w:rPr>
                <w:rFonts w:eastAsia="Calibri"/>
              </w:rPr>
              <w:t>2</w:t>
            </w:r>
          </w:p>
          <w:p w:rsidR="00A53F16" w:rsidRPr="00B27427" w:rsidRDefault="00A53F16" w:rsidP="00563E01">
            <w:pPr>
              <w:pStyle w:val="TableText0"/>
            </w:pPr>
          </w:p>
        </w:tc>
        <w:tc>
          <w:tcPr>
            <w:tcW w:w="976" w:type="pct"/>
          </w:tcPr>
          <w:p w:rsidR="00286B09" w:rsidRPr="00B27427" w:rsidRDefault="00286B09" w:rsidP="00563E01">
            <w:pPr>
              <w:pStyle w:val="TableText0"/>
              <w:rPr>
                <w:rFonts w:eastAsia="Calibri"/>
              </w:rPr>
            </w:pPr>
          </w:p>
          <w:p w:rsidR="00286B09" w:rsidRPr="00B27427" w:rsidRDefault="00286B09" w:rsidP="00563E01">
            <w:pPr>
              <w:pStyle w:val="TableText0"/>
              <w:rPr>
                <w:rFonts w:eastAsia="Calibri"/>
              </w:rPr>
            </w:pPr>
            <w:r w:rsidRPr="00B27427">
              <w:rPr>
                <w:rFonts w:eastAsia="Calibri"/>
              </w:rPr>
              <w:t>TRUVADA®</w:t>
            </w:r>
          </w:p>
          <w:p w:rsidR="00286B09" w:rsidRPr="00B27427" w:rsidRDefault="00286B09" w:rsidP="00563E01">
            <w:pPr>
              <w:pStyle w:val="TableText0"/>
              <w:rPr>
                <w:rFonts w:eastAsia="Calibri"/>
              </w:rPr>
            </w:pPr>
          </w:p>
          <w:p w:rsidR="00286B09" w:rsidRPr="00B27427" w:rsidRDefault="00286B09" w:rsidP="00563E01">
            <w:pPr>
              <w:pStyle w:val="TableText0"/>
              <w:rPr>
                <w:rFonts w:eastAsia="Calibri"/>
              </w:rPr>
            </w:pPr>
          </w:p>
          <w:p w:rsidR="00A53F16" w:rsidRPr="00B27427" w:rsidRDefault="00286B09" w:rsidP="00563E01">
            <w:pPr>
              <w:pStyle w:val="TableText0"/>
            </w:pPr>
            <w:r w:rsidRPr="00B27427">
              <w:t>Tenofovir Disoproxil Emtricitabine Mylan 300/200®</w:t>
            </w:r>
          </w:p>
          <w:p w:rsidR="00A044F5" w:rsidRPr="00B27427" w:rsidRDefault="00A044F5" w:rsidP="00563E01">
            <w:pPr>
              <w:pStyle w:val="TableText0"/>
            </w:pPr>
          </w:p>
          <w:p w:rsidR="00A044F5" w:rsidRPr="00B27427" w:rsidRDefault="00A044F5" w:rsidP="00563E01">
            <w:pPr>
              <w:pStyle w:val="TableText0"/>
            </w:pPr>
            <w:r w:rsidRPr="00B27427">
              <w:t>Tenofovir EMT GH</w:t>
            </w:r>
            <w:r w:rsidRPr="00B27427">
              <w:rPr>
                <w:vertAlign w:val="superscript"/>
              </w:rPr>
              <w:t>®</w:t>
            </w:r>
          </w:p>
        </w:tc>
        <w:tc>
          <w:tcPr>
            <w:tcW w:w="1324" w:type="pct"/>
          </w:tcPr>
          <w:p w:rsidR="00286B09" w:rsidRPr="00B27427" w:rsidRDefault="00286B09" w:rsidP="00563E01">
            <w:pPr>
              <w:pStyle w:val="TableText0"/>
              <w:rPr>
                <w:rFonts w:eastAsia="Calibri"/>
              </w:rPr>
            </w:pPr>
          </w:p>
          <w:p w:rsidR="00286B09" w:rsidRPr="00B27427" w:rsidRDefault="00286B09" w:rsidP="00286B09">
            <w:pPr>
              <w:pStyle w:val="TableText0"/>
              <w:rPr>
                <w:rFonts w:eastAsia="Calibri"/>
              </w:rPr>
            </w:pPr>
            <w:r w:rsidRPr="00B27427">
              <w:rPr>
                <w:rFonts w:eastAsia="Calibri"/>
              </w:rPr>
              <w:t>Gilead Sciences Pty Ltd</w:t>
            </w:r>
          </w:p>
          <w:p w:rsidR="00286B09" w:rsidRPr="00B27427" w:rsidRDefault="00286B09" w:rsidP="00286B09">
            <w:pPr>
              <w:pStyle w:val="TableText0"/>
              <w:rPr>
                <w:rFonts w:eastAsia="Calibri"/>
              </w:rPr>
            </w:pPr>
          </w:p>
          <w:p w:rsidR="00286B09" w:rsidRPr="00B27427" w:rsidRDefault="00286B09" w:rsidP="00286B09">
            <w:pPr>
              <w:pStyle w:val="TableText0"/>
              <w:rPr>
                <w:rFonts w:eastAsia="Calibri"/>
              </w:rPr>
            </w:pPr>
          </w:p>
          <w:p w:rsidR="00286B09" w:rsidRPr="00B27427" w:rsidRDefault="00286B09" w:rsidP="00286B09">
            <w:pPr>
              <w:pStyle w:val="TableText0"/>
              <w:rPr>
                <w:rFonts w:eastAsia="Calibri"/>
              </w:rPr>
            </w:pPr>
            <w:r w:rsidRPr="00B27427">
              <w:rPr>
                <w:rFonts w:eastAsia="Calibri"/>
              </w:rPr>
              <w:t>Alphapharm Pty Ltd (trading as Mylan Australia)</w:t>
            </w:r>
          </w:p>
          <w:p w:rsidR="00A53F16" w:rsidRPr="00B27427" w:rsidRDefault="00A53F16" w:rsidP="00286B09">
            <w:pPr>
              <w:pStyle w:val="TableText0"/>
            </w:pPr>
          </w:p>
          <w:p w:rsidR="00A044F5" w:rsidRPr="00B27427" w:rsidRDefault="00A044F5" w:rsidP="00286B09">
            <w:pPr>
              <w:pStyle w:val="TableText0"/>
            </w:pPr>
          </w:p>
          <w:p w:rsidR="00A044F5" w:rsidRPr="00B27427" w:rsidRDefault="00A044F5" w:rsidP="00286B09">
            <w:pPr>
              <w:pStyle w:val="TableText0"/>
            </w:pPr>
            <w:r w:rsidRPr="00B27427">
              <w:t>Generic Health Pty Ltd</w:t>
            </w:r>
          </w:p>
        </w:tc>
      </w:tr>
      <w:tr w:rsidR="00563E01" w:rsidRPr="00B27427" w:rsidTr="00286B09">
        <w:tblPrEx>
          <w:tblCellMar>
            <w:left w:w="108" w:type="dxa"/>
            <w:right w:w="108" w:type="dxa"/>
          </w:tblCellMar>
        </w:tblPrEx>
        <w:trPr>
          <w:gridBefore w:val="1"/>
          <w:wBefore w:w="4" w:type="pct"/>
          <w:cantSplit/>
          <w:trHeight w:val="360"/>
        </w:trPr>
        <w:tc>
          <w:tcPr>
            <w:tcW w:w="1065" w:type="pct"/>
            <w:tcBorders>
              <w:top w:val="single" w:sz="4" w:space="0" w:color="auto"/>
              <w:left w:val="single" w:sz="4" w:space="0" w:color="auto"/>
              <w:bottom w:val="single" w:sz="4" w:space="0" w:color="auto"/>
              <w:right w:val="single" w:sz="4" w:space="0" w:color="auto"/>
            </w:tcBorders>
          </w:tcPr>
          <w:p w:rsidR="00563E01" w:rsidRPr="00B27427" w:rsidRDefault="00563E01" w:rsidP="00140F95">
            <w:pPr>
              <w:pStyle w:val="TableText0"/>
            </w:pPr>
            <w:r w:rsidRPr="00B27427">
              <w:rPr>
                <w:rFonts w:eastAsia="Calibri"/>
              </w:rPr>
              <w:t>Category / Program:</w:t>
            </w:r>
          </w:p>
        </w:tc>
        <w:tc>
          <w:tcPr>
            <w:tcW w:w="3931" w:type="pct"/>
            <w:gridSpan w:val="5"/>
            <w:tcBorders>
              <w:top w:val="single" w:sz="4" w:space="0" w:color="auto"/>
              <w:left w:val="single" w:sz="4" w:space="0" w:color="auto"/>
              <w:bottom w:val="single" w:sz="4" w:space="0" w:color="auto"/>
              <w:right w:val="single" w:sz="4" w:space="0" w:color="auto"/>
            </w:tcBorders>
          </w:tcPr>
          <w:p w:rsidR="00563E01" w:rsidRPr="00B27427" w:rsidRDefault="00563E01" w:rsidP="00140F95">
            <w:pPr>
              <w:pStyle w:val="TableText0"/>
            </w:pPr>
            <w:r w:rsidRPr="00B27427">
              <w:rPr>
                <w:rFonts w:eastAsia="Calibri"/>
              </w:rPr>
              <w:t>General Schedule</w:t>
            </w:r>
          </w:p>
        </w:tc>
      </w:tr>
      <w:tr w:rsidR="00563E01" w:rsidRPr="00B27427" w:rsidTr="00286B09">
        <w:tblPrEx>
          <w:tblCellMar>
            <w:left w:w="108" w:type="dxa"/>
            <w:right w:w="108" w:type="dxa"/>
          </w:tblCellMar>
        </w:tblPrEx>
        <w:trPr>
          <w:gridBefore w:val="1"/>
          <w:wBefore w:w="4" w:type="pct"/>
          <w:cantSplit/>
          <w:trHeight w:val="360"/>
        </w:trPr>
        <w:tc>
          <w:tcPr>
            <w:tcW w:w="1065" w:type="pct"/>
            <w:tcBorders>
              <w:top w:val="single" w:sz="4" w:space="0" w:color="auto"/>
              <w:left w:val="single" w:sz="4" w:space="0" w:color="auto"/>
              <w:bottom w:val="single" w:sz="4" w:space="0" w:color="auto"/>
              <w:right w:val="single" w:sz="4" w:space="0" w:color="auto"/>
            </w:tcBorders>
          </w:tcPr>
          <w:p w:rsidR="00563E01" w:rsidRPr="00B27427" w:rsidRDefault="00563E01" w:rsidP="00140F95">
            <w:pPr>
              <w:pStyle w:val="TableText0"/>
              <w:rPr>
                <w:rFonts w:ascii="Times" w:eastAsia="Times New Roman" w:hAnsi="Times" w:cs="Times New Roman"/>
                <w:szCs w:val="20"/>
              </w:rPr>
            </w:pPr>
            <w:r w:rsidRPr="00B27427">
              <w:rPr>
                <w:rFonts w:eastAsia="Calibri"/>
              </w:rPr>
              <w:t>PBS Indication:</w:t>
            </w:r>
          </w:p>
        </w:tc>
        <w:tc>
          <w:tcPr>
            <w:tcW w:w="3931" w:type="pct"/>
            <w:gridSpan w:val="5"/>
            <w:tcBorders>
              <w:top w:val="single" w:sz="4" w:space="0" w:color="auto"/>
              <w:left w:val="single" w:sz="4" w:space="0" w:color="auto"/>
              <w:bottom w:val="single" w:sz="4" w:space="0" w:color="auto"/>
              <w:right w:val="single" w:sz="4" w:space="0" w:color="auto"/>
            </w:tcBorders>
          </w:tcPr>
          <w:p w:rsidR="00563E01" w:rsidRPr="00B27427" w:rsidRDefault="00563E01" w:rsidP="00140F95">
            <w:pPr>
              <w:pStyle w:val="TableText0"/>
            </w:pPr>
            <w:r w:rsidRPr="00B27427">
              <w:rPr>
                <w:rFonts w:eastAsia="Calibri"/>
              </w:rPr>
              <w:t>Pre-exposure prophylaxis against HIV in adults at medium to high risk of infection</w:t>
            </w:r>
          </w:p>
        </w:tc>
      </w:tr>
      <w:tr w:rsidR="00563E01" w:rsidRPr="00B27427" w:rsidTr="00286B09">
        <w:tblPrEx>
          <w:tblCellMar>
            <w:left w:w="108" w:type="dxa"/>
            <w:right w:w="108" w:type="dxa"/>
          </w:tblCellMar>
        </w:tblPrEx>
        <w:trPr>
          <w:gridBefore w:val="1"/>
          <w:wBefore w:w="4" w:type="pct"/>
          <w:cantSplit/>
          <w:trHeight w:val="360"/>
        </w:trPr>
        <w:tc>
          <w:tcPr>
            <w:tcW w:w="1065" w:type="pct"/>
            <w:tcBorders>
              <w:top w:val="single" w:sz="4" w:space="0" w:color="auto"/>
              <w:left w:val="single" w:sz="4" w:space="0" w:color="auto"/>
              <w:bottom w:val="single" w:sz="4" w:space="0" w:color="auto"/>
              <w:right w:val="single" w:sz="4" w:space="0" w:color="auto"/>
            </w:tcBorders>
          </w:tcPr>
          <w:p w:rsidR="00563E01" w:rsidRPr="00B27427" w:rsidRDefault="00563E01" w:rsidP="00140F95">
            <w:pPr>
              <w:pStyle w:val="TableText0"/>
            </w:pPr>
            <w:r w:rsidRPr="00B27427">
              <w:rPr>
                <w:rFonts w:eastAsia="Calibri"/>
              </w:rPr>
              <w:t>Restriction:</w:t>
            </w:r>
          </w:p>
        </w:tc>
        <w:tc>
          <w:tcPr>
            <w:tcW w:w="3931" w:type="pct"/>
            <w:gridSpan w:val="5"/>
            <w:tcBorders>
              <w:top w:val="single" w:sz="4" w:space="0" w:color="auto"/>
              <w:left w:val="single" w:sz="4" w:space="0" w:color="auto"/>
              <w:bottom w:val="single" w:sz="4" w:space="0" w:color="auto"/>
              <w:right w:val="single" w:sz="4" w:space="0" w:color="auto"/>
            </w:tcBorders>
          </w:tcPr>
          <w:p w:rsidR="00563E01" w:rsidRPr="00B27427" w:rsidRDefault="00B216AD" w:rsidP="00140F95">
            <w:pPr>
              <w:pStyle w:val="TableText0"/>
            </w:pPr>
            <w:r w:rsidRPr="00B27427">
              <w:rPr>
                <w:rFonts w:eastAsia="Calibri"/>
              </w:rPr>
              <w:t>Authority Required (STREAMLINED)</w:t>
            </w:r>
          </w:p>
        </w:tc>
      </w:tr>
      <w:tr w:rsidR="00563E01" w:rsidRPr="00B27427" w:rsidTr="00286B09">
        <w:tblPrEx>
          <w:tblCellMar>
            <w:left w:w="108" w:type="dxa"/>
            <w:right w:w="108" w:type="dxa"/>
          </w:tblCellMar>
        </w:tblPrEx>
        <w:trPr>
          <w:gridBefore w:val="1"/>
          <w:wBefore w:w="4" w:type="pct"/>
          <w:cantSplit/>
          <w:trHeight w:val="360"/>
        </w:trPr>
        <w:tc>
          <w:tcPr>
            <w:tcW w:w="1065" w:type="pct"/>
            <w:tcBorders>
              <w:top w:val="single" w:sz="4" w:space="0" w:color="auto"/>
              <w:left w:val="single" w:sz="4" w:space="0" w:color="auto"/>
              <w:bottom w:val="single" w:sz="4" w:space="0" w:color="auto"/>
              <w:right w:val="single" w:sz="4" w:space="0" w:color="auto"/>
            </w:tcBorders>
          </w:tcPr>
          <w:p w:rsidR="00563E01" w:rsidRPr="00B27427" w:rsidRDefault="00563E01" w:rsidP="00140F95">
            <w:pPr>
              <w:pStyle w:val="TableText0"/>
            </w:pPr>
            <w:r w:rsidRPr="00B27427">
              <w:rPr>
                <w:rFonts w:eastAsia="Calibri"/>
              </w:rPr>
              <w:t>Treatment criteria:</w:t>
            </w:r>
          </w:p>
        </w:tc>
        <w:tc>
          <w:tcPr>
            <w:tcW w:w="3931" w:type="pct"/>
            <w:gridSpan w:val="5"/>
            <w:tcBorders>
              <w:top w:val="single" w:sz="4" w:space="0" w:color="auto"/>
              <w:left w:val="single" w:sz="4" w:space="0" w:color="auto"/>
              <w:bottom w:val="single" w:sz="4" w:space="0" w:color="auto"/>
              <w:right w:val="single" w:sz="4" w:space="0" w:color="auto"/>
            </w:tcBorders>
          </w:tcPr>
          <w:p w:rsidR="00563E01" w:rsidRPr="00B27427" w:rsidRDefault="00563E01" w:rsidP="00140F95">
            <w:pPr>
              <w:pStyle w:val="TableText0"/>
            </w:pPr>
            <w:r w:rsidRPr="00B27427">
              <w:rPr>
                <w:rFonts w:eastAsia="Calibri"/>
              </w:rPr>
              <w:t>Must be treated by a prescriber who is registered with a PrEP Prescriber Program</w:t>
            </w:r>
          </w:p>
        </w:tc>
      </w:tr>
      <w:tr w:rsidR="00563E01" w:rsidRPr="00B27427" w:rsidTr="00286B09">
        <w:tblPrEx>
          <w:tblCellMar>
            <w:left w:w="108" w:type="dxa"/>
            <w:right w:w="108" w:type="dxa"/>
          </w:tblCellMar>
        </w:tblPrEx>
        <w:trPr>
          <w:gridBefore w:val="1"/>
          <w:wBefore w:w="4" w:type="pct"/>
          <w:cantSplit/>
          <w:trHeight w:val="360"/>
        </w:trPr>
        <w:tc>
          <w:tcPr>
            <w:tcW w:w="1065" w:type="pct"/>
            <w:tcBorders>
              <w:top w:val="single" w:sz="4" w:space="0" w:color="auto"/>
              <w:left w:val="single" w:sz="4" w:space="0" w:color="auto"/>
              <w:bottom w:val="single" w:sz="4" w:space="0" w:color="auto"/>
              <w:right w:val="single" w:sz="4" w:space="0" w:color="auto"/>
            </w:tcBorders>
          </w:tcPr>
          <w:p w:rsidR="00563E01" w:rsidRPr="00B27427" w:rsidRDefault="00563E01" w:rsidP="00140F95">
            <w:pPr>
              <w:pStyle w:val="TableText0"/>
              <w:rPr>
                <w:rFonts w:ascii="Times" w:eastAsia="Times New Roman" w:hAnsi="Times" w:cs="Times New Roman"/>
                <w:szCs w:val="20"/>
              </w:rPr>
            </w:pPr>
            <w:r w:rsidRPr="00B27427">
              <w:rPr>
                <w:rFonts w:eastAsia="Calibri"/>
              </w:rPr>
              <w:t>Clinical criteria:</w:t>
            </w:r>
          </w:p>
        </w:tc>
        <w:tc>
          <w:tcPr>
            <w:tcW w:w="3931" w:type="pct"/>
            <w:gridSpan w:val="5"/>
            <w:tcBorders>
              <w:top w:val="single" w:sz="4" w:space="0" w:color="auto"/>
              <w:left w:val="single" w:sz="4" w:space="0" w:color="auto"/>
              <w:bottom w:val="single" w:sz="4" w:space="0" w:color="auto"/>
              <w:right w:val="single" w:sz="4" w:space="0" w:color="auto"/>
            </w:tcBorders>
          </w:tcPr>
          <w:p w:rsidR="00563E01" w:rsidRPr="00B27427" w:rsidRDefault="00563E01" w:rsidP="00140F95">
            <w:pPr>
              <w:rPr>
                <w:rFonts w:ascii="Arial Narrow" w:hAnsi="Arial Narrow"/>
                <w:sz w:val="20"/>
              </w:rPr>
            </w:pPr>
            <w:r w:rsidRPr="00B27427">
              <w:rPr>
                <w:rFonts w:ascii="Arial Narrow" w:hAnsi="Arial Narrow"/>
                <w:sz w:val="20"/>
              </w:rPr>
              <w:t>Patient must be at medium to high risk of HIV infection, as defined by updated Australian Society for HIV Medicine Guidelines.</w:t>
            </w:r>
            <w:r w:rsidR="00EC514A">
              <w:rPr>
                <w:rFonts w:ascii="Arial Narrow" w:hAnsi="Arial Narrow"/>
                <w:sz w:val="20"/>
              </w:rPr>
              <w:t xml:space="preserve"> </w:t>
            </w:r>
          </w:p>
          <w:p w:rsidR="00A53F16" w:rsidRPr="00B27427" w:rsidRDefault="00A53F16" w:rsidP="00140F95">
            <w:pPr>
              <w:rPr>
                <w:rFonts w:ascii="Arial Narrow" w:hAnsi="Arial Narrow"/>
                <w:sz w:val="20"/>
              </w:rPr>
            </w:pPr>
          </w:p>
          <w:p w:rsidR="00563E01" w:rsidRPr="00B27427" w:rsidRDefault="00563E01" w:rsidP="00140F95">
            <w:pPr>
              <w:rPr>
                <w:rFonts w:ascii="Arial Narrow" w:hAnsi="Arial Narrow"/>
                <w:sz w:val="20"/>
              </w:rPr>
            </w:pPr>
            <w:r w:rsidRPr="00B27427">
              <w:rPr>
                <w:rFonts w:ascii="Arial Narrow" w:hAnsi="Arial Narrow"/>
                <w:sz w:val="20"/>
              </w:rPr>
              <w:t>AND</w:t>
            </w:r>
          </w:p>
          <w:p w:rsidR="00A53F16" w:rsidRPr="00B27427" w:rsidRDefault="00A53F16" w:rsidP="00140F95">
            <w:pPr>
              <w:rPr>
                <w:rFonts w:ascii="Arial Narrow" w:hAnsi="Arial Narrow"/>
                <w:sz w:val="20"/>
              </w:rPr>
            </w:pPr>
          </w:p>
          <w:p w:rsidR="00563E01" w:rsidRPr="00B27427" w:rsidRDefault="00563E01" w:rsidP="00140F95">
            <w:pPr>
              <w:rPr>
                <w:rFonts w:ascii="Arial Narrow" w:hAnsi="Arial Narrow"/>
                <w:sz w:val="20"/>
              </w:rPr>
            </w:pPr>
            <w:r w:rsidRPr="00B27427">
              <w:rPr>
                <w:rFonts w:ascii="Arial Narrow" w:hAnsi="Arial Narrow"/>
                <w:sz w:val="20"/>
              </w:rPr>
              <w:t>Patient must return a negative HIV test prior to initiating treatment</w:t>
            </w:r>
          </w:p>
          <w:p w:rsidR="00A53F16" w:rsidRPr="00B27427" w:rsidRDefault="00A53F16" w:rsidP="00140F95">
            <w:pPr>
              <w:rPr>
                <w:rFonts w:ascii="Arial Narrow" w:hAnsi="Arial Narrow"/>
                <w:sz w:val="20"/>
              </w:rPr>
            </w:pPr>
          </w:p>
          <w:p w:rsidR="00563E01" w:rsidRPr="00B27427" w:rsidRDefault="00563E01" w:rsidP="00140F95">
            <w:pPr>
              <w:rPr>
                <w:rFonts w:ascii="Arial Narrow" w:hAnsi="Arial Narrow"/>
                <w:sz w:val="20"/>
              </w:rPr>
            </w:pPr>
            <w:r w:rsidRPr="00B27427">
              <w:rPr>
                <w:rFonts w:ascii="Arial Narrow" w:hAnsi="Arial Narrow"/>
                <w:sz w:val="20"/>
              </w:rPr>
              <w:t>AND</w:t>
            </w:r>
          </w:p>
          <w:p w:rsidR="00A53F16" w:rsidRPr="00B27427" w:rsidRDefault="00A53F16" w:rsidP="00140F95">
            <w:pPr>
              <w:rPr>
                <w:rFonts w:ascii="Arial Narrow" w:hAnsi="Arial Narrow"/>
                <w:sz w:val="20"/>
              </w:rPr>
            </w:pPr>
          </w:p>
          <w:p w:rsidR="00563E01" w:rsidRPr="00B27427" w:rsidRDefault="00563E01" w:rsidP="00140F95">
            <w:pPr>
              <w:pStyle w:val="TableText0"/>
            </w:pPr>
            <w:r w:rsidRPr="00B27427">
              <w:t>Patient must continue to return negative HIV tests at 3 monthly intervals throughout treatment.</w:t>
            </w:r>
          </w:p>
        </w:tc>
      </w:tr>
      <w:tr w:rsidR="00563E01" w:rsidRPr="00B27427" w:rsidTr="00286B09">
        <w:tblPrEx>
          <w:tblCellMar>
            <w:left w:w="108" w:type="dxa"/>
            <w:right w:w="108" w:type="dxa"/>
          </w:tblCellMar>
        </w:tblPrEx>
        <w:trPr>
          <w:gridBefore w:val="1"/>
          <w:wBefore w:w="4" w:type="pct"/>
          <w:cantSplit/>
          <w:trHeight w:val="360"/>
        </w:trPr>
        <w:tc>
          <w:tcPr>
            <w:tcW w:w="1065" w:type="pct"/>
            <w:tcBorders>
              <w:top w:val="single" w:sz="4" w:space="0" w:color="auto"/>
              <w:left w:val="single" w:sz="4" w:space="0" w:color="auto"/>
              <w:bottom w:val="single" w:sz="4" w:space="0" w:color="auto"/>
              <w:right w:val="single" w:sz="4" w:space="0" w:color="auto"/>
            </w:tcBorders>
          </w:tcPr>
          <w:p w:rsidR="00563E01" w:rsidRPr="00B27427" w:rsidRDefault="00563E01" w:rsidP="00140F95">
            <w:pPr>
              <w:pStyle w:val="TableText0"/>
              <w:rPr>
                <w:rFonts w:ascii="Times" w:eastAsia="Times New Roman" w:hAnsi="Times" w:cs="Times New Roman"/>
                <w:szCs w:val="20"/>
              </w:rPr>
            </w:pPr>
            <w:r w:rsidRPr="00B27427">
              <w:rPr>
                <w:rFonts w:eastAsia="Calibri"/>
              </w:rPr>
              <w:t>Population criteria:</w:t>
            </w:r>
          </w:p>
        </w:tc>
        <w:tc>
          <w:tcPr>
            <w:tcW w:w="3931" w:type="pct"/>
            <w:gridSpan w:val="5"/>
            <w:tcBorders>
              <w:top w:val="single" w:sz="4" w:space="0" w:color="auto"/>
              <w:left w:val="single" w:sz="4" w:space="0" w:color="auto"/>
              <w:bottom w:val="single" w:sz="4" w:space="0" w:color="auto"/>
              <w:right w:val="single" w:sz="4" w:space="0" w:color="auto"/>
            </w:tcBorders>
          </w:tcPr>
          <w:p w:rsidR="00563E01" w:rsidRPr="00B27427" w:rsidRDefault="00563E01" w:rsidP="00140F95">
            <w:pPr>
              <w:pStyle w:val="TableText0"/>
            </w:pPr>
            <w:r w:rsidRPr="00B27427">
              <w:rPr>
                <w:rFonts w:eastAsia="Calibri"/>
              </w:rPr>
              <w:t>Patient must be 18 years or older</w:t>
            </w:r>
          </w:p>
        </w:tc>
      </w:tr>
    </w:tbl>
    <w:p w:rsidR="00C77E8B" w:rsidRPr="00B27427" w:rsidRDefault="00C77E8B" w:rsidP="00C77E8B"/>
    <w:p w:rsidR="003404E8" w:rsidRPr="00B27427" w:rsidRDefault="003404E8" w:rsidP="001C1D77">
      <w:pPr>
        <w:pStyle w:val="Caption"/>
      </w:pPr>
      <w:r w:rsidRPr="00B27427">
        <w:lastRenderedPageBreak/>
        <w:t xml:space="preserve">Table </w:t>
      </w:r>
      <w:fldSimple w:instr=" SEQ Table \* ARABIC ">
        <w:r w:rsidR="003C3871" w:rsidRPr="00B27427">
          <w:t>1</w:t>
        </w:r>
      </w:fldSimple>
      <w:r w:rsidRPr="00B27427">
        <w:t>: Risk criteria for MSM to identify their eligibility for PrEP</w:t>
      </w:r>
    </w:p>
    <w:tbl>
      <w:tblPr>
        <w:tblStyle w:val="TableGridbeth1"/>
        <w:tblW w:w="5000" w:type="pct"/>
        <w:tblLayout w:type="fixed"/>
        <w:tblLook w:val="04A0" w:firstRow="1" w:lastRow="0" w:firstColumn="1" w:lastColumn="0" w:noHBand="0" w:noVBand="1"/>
      </w:tblPr>
      <w:tblGrid>
        <w:gridCol w:w="5185"/>
        <w:gridCol w:w="645"/>
        <w:gridCol w:w="3412"/>
      </w:tblGrid>
      <w:tr w:rsidR="003404E8" w:rsidRPr="00B27427" w:rsidTr="003404E8">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404E8" w:rsidRPr="00B27427" w:rsidRDefault="003404E8" w:rsidP="001C1D77">
            <w:pPr>
              <w:keepNext/>
              <w:spacing w:after="160"/>
              <w:rPr>
                <w:rFonts w:ascii="Arial Narrow" w:hAnsi="Arial Narrow"/>
                <w:sz w:val="20"/>
                <w:szCs w:val="20"/>
                <w:lang w:val="en-AU"/>
              </w:rPr>
            </w:pPr>
            <w:r w:rsidRPr="00B27427">
              <w:rPr>
                <w:rFonts w:ascii="Arial Narrow" w:hAnsi="Arial Narrow"/>
                <w:sz w:val="20"/>
                <w:szCs w:val="20"/>
                <w:lang w:val="en-AU"/>
              </w:rPr>
              <w:t>A. High risk – recommend prescribing daily PrEP if the patient acknowledges</w:t>
            </w:r>
          </w:p>
        </w:tc>
      </w:tr>
      <w:tr w:rsidR="003404E8" w:rsidRPr="00B27427" w:rsidTr="003404E8">
        <w:tc>
          <w:tcPr>
            <w:tcW w:w="2805" w:type="pct"/>
            <w:tcBorders>
              <w:top w:val="single" w:sz="4" w:space="0" w:color="auto"/>
              <w:left w:val="single" w:sz="4" w:space="0" w:color="auto"/>
              <w:bottom w:val="single" w:sz="4" w:space="0" w:color="auto"/>
              <w:right w:val="single" w:sz="4" w:space="0" w:color="auto"/>
            </w:tcBorders>
            <w:hideMark/>
          </w:tcPr>
          <w:p w:rsidR="003404E8" w:rsidRPr="00B27427" w:rsidRDefault="003404E8" w:rsidP="001C1D77">
            <w:pPr>
              <w:keepNext/>
              <w:rPr>
                <w:rFonts w:ascii="Arial Narrow" w:hAnsi="Arial Narrow"/>
                <w:sz w:val="20"/>
                <w:szCs w:val="20"/>
                <w:lang w:val="en-AU"/>
              </w:rPr>
            </w:pPr>
            <w:r w:rsidRPr="00B27427">
              <w:rPr>
                <w:rFonts w:ascii="Arial Narrow" w:hAnsi="Arial Narrow"/>
                <w:sz w:val="20"/>
                <w:szCs w:val="20"/>
                <w:lang w:val="en-AU"/>
              </w:rPr>
              <w:t>Having had any of the following in the last 3 months:</w:t>
            </w:r>
          </w:p>
          <w:p w:rsidR="003404E8" w:rsidRPr="00B27427" w:rsidRDefault="003404E8" w:rsidP="001C1D77">
            <w:pPr>
              <w:pStyle w:val="ListParagraph"/>
              <w:keepNext/>
              <w:widowControl/>
              <w:numPr>
                <w:ilvl w:val="0"/>
                <w:numId w:val="16"/>
              </w:numPr>
              <w:ind w:left="360"/>
              <w:jc w:val="left"/>
              <w:rPr>
                <w:rFonts w:ascii="Arial Narrow" w:hAnsi="Arial Narrow"/>
                <w:sz w:val="20"/>
                <w:lang w:val="en-AU"/>
              </w:rPr>
            </w:pPr>
            <w:r w:rsidRPr="00B27427">
              <w:rPr>
                <w:rFonts w:ascii="Arial Narrow" w:hAnsi="Arial Narrow"/>
                <w:sz w:val="20"/>
                <w:lang w:val="en-AU"/>
              </w:rPr>
              <w:t>At least one episode of condomless anal intercourse (CLAI) with a regular HIV+ partner (not on treatment and/or detectable viral load)</w:t>
            </w:r>
          </w:p>
          <w:p w:rsidR="003404E8" w:rsidRPr="00B27427" w:rsidRDefault="003404E8" w:rsidP="001C1D77">
            <w:pPr>
              <w:pStyle w:val="ListParagraph"/>
              <w:keepNext/>
              <w:widowControl/>
              <w:numPr>
                <w:ilvl w:val="0"/>
                <w:numId w:val="16"/>
              </w:numPr>
              <w:ind w:left="360"/>
              <w:jc w:val="left"/>
              <w:rPr>
                <w:rFonts w:ascii="Arial Narrow" w:hAnsi="Arial Narrow"/>
                <w:sz w:val="20"/>
                <w:lang w:val="en-AU"/>
              </w:rPr>
            </w:pPr>
            <w:r w:rsidRPr="00B27427">
              <w:rPr>
                <w:rFonts w:ascii="Arial Narrow" w:hAnsi="Arial Narrow"/>
                <w:sz w:val="20"/>
                <w:lang w:val="en-AU"/>
              </w:rPr>
              <w:t>At least</w:t>
            </w:r>
            <w:r w:rsidRPr="000D1A61">
              <w:rPr>
                <w:rFonts w:ascii="Arial Narrow" w:hAnsi="Arial Narrow"/>
                <w:sz w:val="20"/>
                <w:lang w:val="en-AU"/>
              </w:rPr>
              <w:t xml:space="preserve"> one</w:t>
            </w:r>
            <w:r w:rsidRPr="00B27427">
              <w:rPr>
                <w:rFonts w:ascii="Arial Narrow" w:hAnsi="Arial Narrow"/>
                <w:sz w:val="20"/>
                <w:lang w:val="en-AU"/>
              </w:rPr>
              <w:t xml:space="preserve"> episode of receptive CLAI with any casual HIV + male partner or a male partner of unknown status</w:t>
            </w:r>
          </w:p>
          <w:p w:rsidR="003404E8" w:rsidRPr="00B27427" w:rsidRDefault="003404E8" w:rsidP="001C1D77">
            <w:pPr>
              <w:pStyle w:val="ListParagraph"/>
              <w:keepNext/>
              <w:widowControl/>
              <w:numPr>
                <w:ilvl w:val="0"/>
                <w:numId w:val="16"/>
              </w:numPr>
              <w:ind w:left="360"/>
              <w:jc w:val="left"/>
              <w:rPr>
                <w:rFonts w:ascii="Arial Narrow" w:hAnsi="Arial Narrow"/>
                <w:sz w:val="20"/>
                <w:lang w:val="en-AU"/>
              </w:rPr>
            </w:pPr>
            <w:r w:rsidRPr="00B27427">
              <w:rPr>
                <w:rFonts w:ascii="Arial Narrow" w:hAnsi="Arial Narrow"/>
                <w:sz w:val="20"/>
                <w:lang w:val="en-AU"/>
              </w:rPr>
              <w:t>Rectal gonorrhoea, rectal chlamydia or infectious syphilis diagnosis (during the last 3 months or at screening for PrEP)</w:t>
            </w:r>
          </w:p>
          <w:p w:rsidR="003404E8" w:rsidRPr="00B27427" w:rsidRDefault="003404E8" w:rsidP="001C1D77">
            <w:pPr>
              <w:pStyle w:val="ListParagraph"/>
              <w:keepNext/>
              <w:widowControl/>
              <w:numPr>
                <w:ilvl w:val="0"/>
                <w:numId w:val="16"/>
              </w:numPr>
              <w:ind w:left="360"/>
              <w:jc w:val="left"/>
              <w:rPr>
                <w:rFonts w:ascii="Arial Narrow" w:hAnsi="Arial Narrow"/>
                <w:sz w:val="20"/>
                <w:lang w:val="en-AU"/>
              </w:rPr>
            </w:pPr>
            <w:r w:rsidRPr="00B27427">
              <w:rPr>
                <w:rFonts w:ascii="Arial Narrow" w:hAnsi="Arial Narrow"/>
                <w:sz w:val="20"/>
                <w:lang w:val="en-AU"/>
              </w:rPr>
              <w:t>Methamphetamine use, which may increase the risk of HIV acquisition</w:t>
            </w:r>
          </w:p>
        </w:tc>
        <w:tc>
          <w:tcPr>
            <w:tcW w:w="349" w:type="pct"/>
            <w:tcBorders>
              <w:top w:val="single" w:sz="4" w:space="0" w:color="auto"/>
              <w:left w:val="single" w:sz="4" w:space="0" w:color="auto"/>
              <w:bottom w:val="single" w:sz="4" w:space="0" w:color="auto"/>
              <w:right w:val="single" w:sz="4" w:space="0" w:color="auto"/>
            </w:tcBorders>
            <w:hideMark/>
          </w:tcPr>
          <w:p w:rsidR="003404E8" w:rsidRPr="00B27427" w:rsidRDefault="003404E8" w:rsidP="001C1D77">
            <w:pPr>
              <w:keepNext/>
              <w:spacing w:after="160"/>
              <w:rPr>
                <w:rFonts w:ascii="Arial Narrow" w:hAnsi="Arial Narrow"/>
                <w:sz w:val="20"/>
                <w:szCs w:val="20"/>
                <w:lang w:val="en-AU"/>
              </w:rPr>
            </w:pPr>
            <w:r w:rsidRPr="00B27427">
              <w:rPr>
                <w:rFonts w:ascii="Arial Narrow" w:hAnsi="Arial Narrow"/>
                <w:sz w:val="20"/>
                <w:szCs w:val="20"/>
                <w:lang w:val="en-AU"/>
              </w:rPr>
              <w:t>AND</w:t>
            </w:r>
          </w:p>
        </w:tc>
        <w:tc>
          <w:tcPr>
            <w:tcW w:w="1846" w:type="pct"/>
            <w:tcBorders>
              <w:top w:val="single" w:sz="4" w:space="0" w:color="auto"/>
              <w:left w:val="single" w:sz="4" w:space="0" w:color="auto"/>
              <w:bottom w:val="single" w:sz="4" w:space="0" w:color="auto"/>
              <w:right w:val="single" w:sz="4" w:space="0" w:color="auto"/>
            </w:tcBorders>
            <w:hideMark/>
          </w:tcPr>
          <w:p w:rsidR="003404E8" w:rsidRPr="00B27427" w:rsidRDefault="003404E8" w:rsidP="001C1D77">
            <w:pPr>
              <w:keepNext/>
              <w:rPr>
                <w:rFonts w:ascii="Arial Narrow" w:hAnsi="Arial Narrow"/>
                <w:sz w:val="20"/>
                <w:szCs w:val="20"/>
                <w:lang w:val="en-AU"/>
              </w:rPr>
            </w:pPr>
            <w:r w:rsidRPr="00B27427">
              <w:rPr>
                <w:rFonts w:ascii="Arial Narrow" w:hAnsi="Arial Narrow"/>
                <w:sz w:val="20"/>
                <w:szCs w:val="20"/>
                <w:lang w:val="en-AU"/>
              </w:rPr>
              <w:t>Being likely to have in the next 3 months</w:t>
            </w:r>
          </w:p>
          <w:p w:rsidR="003404E8" w:rsidRPr="00B27427" w:rsidRDefault="003404E8" w:rsidP="001C1D77">
            <w:pPr>
              <w:keepNext/>
              <w:rPr>
                <w:rFonts w:ascii="Arial Narrow" w:hAnsi="Arial Narrow"/>
                <w:sz w:val="20"/>
                <w:szCs w:val="20"/>
                <w:lang w:val="en-AU"/>
              </w:rPr>
            </w:pPr>
            <w:r w:rsidRPr="00B27427">
              <w:rPr>
                <w:rFonts w:ascii="Arial Narrow" w:hAnsi="Arial Narrow"/>
                <w:sz w:val="20"/>
                <w:szCs w:val="20"/>
                <w:lang w:val="en-AU"/>
              </w:rPr>
              <w:t>(indicating sustained risk):</w:t>
            </w:r>
          </w:p>
          <w:p w:rsidR="003404E8" w:rsidRPr="00B27427" w:rsidRDefault="003404E8" w:rsidP="001C1D77">
            <w:pPr>
              <w:pStyle w:val="ListParagraph"/>
              <w:keepNext/>
              <w:widowControl/>
              <w:numPr>
                <w:ilvl w:val="0"/>
                <w:numId w:val="18"/>
              </w:numPr>
              <w:ind w:left="360"/>
              <w:jc w:val="left"/>
              <w:rPr>
                <w:rFonts w:ascii="Arial Narrow" w:hAnsi="Arial Narrow"/>
                <w:sz w:val="20"/>
                <w:lang w:val="en-AU"/>
              </w:rPr>
            </w:pPr>
            <w:r w:rsidRPr="00B27427">
              <w:rPr>
                <w:rFonts w:ascii="Arial Narrow" w:hAnsi="Arial Narrow"/>
                <w:sz w:val="20"/>
                <w:lang w:val="en-AU"/>
              </w:rPr>
              <w:t>Multiple events of CLAI, with or without sharing intravenous drug equipment</w:t>
            </w:r>
          </w:p>
        </w:tc>
      </w:tr>
      <w:tr w:rsidR="003404E8" w:rsidRPr="00B27427" w:rsidTr="003404E8">
        <w:tc>
          <w:tcPr>
            <w:tcW w:w="5000" w:type="pct"/>
            <w:gridSpan w:val="3"/>
            <w:tcBorders>
              <w:top w:val="single" w:sz="4" w:space="0" w:color="auto"/>
              <w:left w:val="single" w:sz="4" w:space="0" w:color="auto"/>
              <w:bottom w:val="single" w:sz="4" w:space="0" w:color="auto"/>
              <w:right w:val="single" w:sz="4" w:space="0" w:color="auto"/>
            </w:tcBorders>
            <w:hideMark/>
          </w:tcPr>
          <w:p w:rsidR="003404E8" w:rsidRPr="00B27427" w:rsidRDefault="003404E8" w:rsidP="001C1D77">
            <w:pPr>
              <w:keepNext/>
              <w:spacing w:after="160"/>
              <w:rPr>
                <w:rFonts w:ascii="Arial Narrow" w:hAnsi="Arial Narrow"/>
                <w:b/>
                <w:sz w:val="20"/>
                <w:szCs w:val="20"/>
                <w:lang w:val="en-AU"/>
              </w:rPr>
            </w:pPr>
            <w:r w:rsidRPr="00B27427">
              <w:rPr>
                <w:rFonts w:ascii="Arial Narrow" w:hAnsi="Arial Narrow"/>
                <w:b/>
                <w:sz w:val="20"/>
                <w:szCs w:val="20"/>
                <w:lang w:val="en-AU"/>
              </w:rPr>
              <w:t>B. Medium risk – consider prescribing daily PrEP, based on case by case approach if discussion reveals</w:t>
            </w:r>
          </w:p>
        </w:tc>
      </w:tr>
      <w:tr w:rsidR="003404E8" w:rsidRPr="00B27427" w:rsidTr="003404E8">
        <w:tc>
          <w:tcPr>
            <w:tcW w:w="2805" w:type="pct"/>
            <w:tcBorders>
              <w:top w:val="single" w:sz="4" w:space="0" w:color="auto"/>
              <w:left w:val="single" w:sz="4" w:space="0" w:color="auto"/>
              <w:bottom w:val="single" w:sz="4" w:space="0" w:color="auto"/>
              <w:right w:val="single" w:sz="4" w:space="0" w:color="auto"/>
            </w:tcBorders>
            <w:hideMark/>
          </w:tcPr>
          <w:p w:rsidR="003404E8" w:rsidRPr="00B27427" w:rsidRDefault="003404E8" w:rsidP="001C1D77">
            <w:pPr>
              <w:keepNext/>
              <w:rPr>
                <w:rFonts w:ascii="Arial Narrow" w:hAnsi="Arial Narrow"/>
                <w:sz w:val="20"/>
                <w:szCs w:val="20"/>
                <w:lang w:val="en-AU"/>
              </w:rPr>
            </w:pPr>
            <w:r w:rsidRPr="00B27427">
              <w:rPr>
                <w:rFonts w:ascii="Arial Narrow" w:hAnsi="Arial Narrow"/>
                <w:sz w:val="20"/>
                <w:szCs w:val="20"/>
                <w:lang w:val="en-AU"/>
              </w:rPr>
              <w:t>Having had any of the following in the last 3 months</w:t>
            </w:r>
          </w:p>
          <w:p w:rsidR="003404E8" w:rsidRPr="00B27427" w:rsidRDefault="003404E8" w:rsidP="001C1D77">
            <w:pPr>
              <w:pStyle w:val="ListParagraph"/>
              <w:keepNext/>
              <w:widowControl/>
              <w:numPr>
                <w:ilvl w:val="0"/>
                <w:numId w:val="18"/>
              </w:numPr>
              <w:ind w:left="360"/>
              <w:jc w:val="left"/>
              <w:rPr>
                <w:rFonts w:ascii="Arial Narrow" w:hAnsi="Arial Narrow"/>
                <w:sz w:val="20"/>
                <w:lang w:val="en-AU"/>
              </w:rPr>
            </w:pPr>
            <w:r w:rsidRPr="00B27427">
              <w:rPr>
                <w:rFonts w:ascii="Arial Narrow" w:hAnsi="Arial Narrow"/>
                <w:sz w:val="20"/>
                <w:lang w:val="en-AU"/>
              </w:rPr>
              <w:t>More than one episode of anal intercourse when proper condom use was not achieved (e.g. condom slipped off or broke) where the serostatus of partner was no known, or was HIV+ and not on treatment with a detectable viral load</w:t>
            </w:r>
          </w:p>
          <w:p w:rsidR="003404E8" w:rsidRPr="00B27427" w:rsidRDefault="003404E8" w:rsidP="001C1D77">
            <w:pPr>
              <w:pStyle w:val="ListParagraph"/>
              <w:keepNext/>
              <w:widowControl/>
              <w:numPr>
                <w:ilvl w:val="0"/>
                <w:numId w:val="18"/>
              </w:numPr>
              <w:ind w:left="360"/>
              <w:jc w:val="left"/>
              <w:rPr>
                <w:rFonts w:ascii="Arial Narrow" w:hAnsi="Arial Narrow"/>
                <w:sz w:val="20"/>
                <w:lang w:val="en-AU"/>
              </w:rPr>
            </w:pPr>
            <w:r w:rsidRPr="00B27427">
              <w:rPr>
                <w:rFonts w:ascii="Arial Narrow" w:hAnsi="Arial Narrow"/>
                <w:sz w:val="20"/>
                <w:lang w:val="en-AU"/>
              </w:rPr>
              <w:t>(if patient uncircumcised) more than one episode of insertive CLAI where the serostatus of partner was not known, or was HIV + and not on treatment or with a detectable viral load</w:t>
            </w:r>
          </w:p>
        </w:tc>
        <w:tc>
          <w:tcPr>
            <w:tcW w:w="349" w:type="pct"/>
            <w:tcBorders>
              <w:top w:val="single" w:sz="4" w:space="0" w:color="auto"/>
              <w:left w:val="single" w:sz="4" w:space="0" w:color="auto"/>
              <w:bottom w:val="single" w:sz="4" w:space="0" w:color="auto"/>
              <w:right w:val="single" w:sz="4" w:space="0" w:color="auto"/>
            </w:tcBorders>
            <w:hideMark/>
          </w:tcPr>
          <w:p w:rsidR="003404E8" w:rsidRPr="00B27427" w:rsidRDefault="003404E8" w:rsidP="001C1D77">
            <w:pPr>
              <w:keepNext/>
              <w:spacing w:after="160"/>
              <w:rPr>
                <w:rFonts w:ascii="Arial Narrow" w:hAnsi="Arial Narrow"/>
                <w:sz w:val="20"/>
                <w:szCs w:val="20"/>
                <w:lang w:val="en-AU"/>
              </w:rPr>
            </w:pPr>
            <w:r w:rsidRPr="00B27427">
              <w:rPr>
                <w:rFonts w:ascii="Arial Narrow" w:hAnsi="Arial Narrow"/>
                <w:sz w:val="20"/>
                <w:szCs w:val="20"/>
                <w:lang w:val="en-AU"/>
              </w:rPr>
              <w:t>AND</w:t>
            </w:r>
          </w:p>
        </w:tc>
        <w:tc>
          <w:tcPr>
            <w:tcW w:w="1846" w:type="pct"/>
            <w:tcBorders>
              <w:top w:val="single" w:sz="4" w:space="0" w:color="auto"/>
              <w:left w:val="single" w:sz="4" w:space="0" w:color="auto"/>
              <w:bottom w:val="single" w:sz="4" w:space="0" w:color="auto"/>
              <w:right w:val="single" w:sz="4" w:space="0" w:color="auto"/>
            </w:tcBorders>
            <w:hideMark/>
          </w:tcPr>
          <w:p w:rsidR="003404E8" w:rsidRPr="00B27427" w:rsidRDefault="003404E8" w:rsidP="001C1D77">
            <w:pPr>
              <w:keepNext/>
              <w:rPr>
                <w:rFonts w:ascii="Arial Narrow" w:hAnsi="Arial Narrow"/>
                <w:sz w:val="20"/>
                <w:szCs w:val="20"/>
                <w:lang w:val="en-AU"/>
              </w:rPr>
            </w:pPr>
            <w:r w:rsidRPr="00B27427">
              <w:rPr>
                <w:rFonts w:ascii="Arial Narrow" w:hAnsi="Arial Narrow"/>
                <w:sz w:val="20"/>
                <w:szCs w:val="20"/>
                <w:lang w:val="en-AU"/>
              </w:rPr>
              <w:t>Being likely to have in the next 3 months</w:t>
            </w:r>
          </w:p>
          <w:p w:rsidR="003404E8" w:rsidRPr="00B27427" w:rsidRDefault="003404E8" w:rsidP="001C1D77">
            <w:pPr>
              <w:keepNext/>
              <w:rPr>
                <w:rFonts w:ascii="Arial Narrow" w:hAnsi="Arial Narrow"/>
                <w:sz w:val="20"/>
                <w:szCs w:val="20"/>
                <w:lang w:val="en-AU"/>
              </w:rPr>
            </w:pPr>
            <w:r w:rsidRPr="00B27427">
              <w:rPr>
                <w:rFonts w:ascii="Arial Narrow" w:hAnsi="Arial Narrow"/>
                <w:sz w:val="20"/>
                <w:szCs w:val="20"/>
                <w:lang w:val="en-AU"/>
              </w:rPr>
              <w:t>(indicating sustained risk)</w:t>
            </w:r>
          </w:p>
          <w:p w:rsidR="003404E8" w:rsidRPr="00B27427" w:rsidRDefault="003404E8" w:rsidP="001C1D77">
            <w:pPr>
              <w:pStyle w:val="ListParagraph"/>
              <w:keepNext/>
              <w:widowControl/>
              <w:numPr>
                <w:ilvl w:val="0"/>
                <w:numId w:val="18"/>
              </w:numPr>
              <w:ind w:left="360"/>
              <w:jc w:val="left"/>
              <w:rPr>
                <w:rFonts w:ascii="Arial Narrow" w:hAnsi="Arial Narrow"/>
                <w:sz w:val="20"/>
                <w:lang w:val="en-AU"/>
              </w:rPr>
            </w:pPr>
            <w:r w:rsidRPr="00B27427">
              <w:rPr>
                <w:rFonts w:ascii="Arial Narrow" w:hAnsi="Arial Narrow"/>
                <w:sz w:val="20"/>
                <w:lang w:val="en-AU"/>
              </w:rPr>
              <w:t>Multiple events of CLAI, with or without sharing intravenous drug equipment</w:t>
            </w:r>
          </w:p>
        </w:tc>
      </w:tr>
      <w:tr w:rsidR="003404E8" w:rsidRPr="00B27427" w:rsidTr="003404E8">
        <w:tc>
          <w:tcPr>
            <w:tcW w:w="5000" w:type="pct"/>
            <w:gridSpan w:val="3"/>
            <w:tcBorders>
              <w:top w:val="single" w:sz="4" w:space="0" w:color="auto"/>
              <w:left w:val="single" w:sz="4" w:space="0" w:color="auto"/>
              <w:bottom w:val="single" w:sz="4" w:space="0" w:color="auto"/>
              <w:right w:val="single" w:sz="4" w:space="0" w:color="auto"/>
            </w:tcBorders>
          </w:tcPr>
          <w:p w:rsidR="003404E8" w:rsidRPr="00B27427" w:rsidRDefault="003404E8" w:rsidP="001C1D77">
            <w:pPr>
              <w:keepNext/>
              <w:ind w:right="-489"/>
              <w:jc w:val="both"/>
              <w:rPr>
                <w:rFonts w:ascii="Arial Narrow" w:hAnsi="Arial Narrow" w:cstheme="majorHAnsi"/>
                <w:b/>
                <w:sz w:val="20"/>
                <w:szCs w:val="20"/>
                <w:lang w:val="en-AU"/>
              </w:rPr>
            </w:pPr>
            <w:r w:rsidRPr="00B27427">
              <w:rPr>
                <w:rFonts w:ascii="Arial Narrow" w:hAnsi="Arial Narrow" w:cstheme="majorHAnsi"/>
                <w:b/>
                <w:sz w:val="20"/>
                <w:szCs w:val="20"/>
                <w:lang w:val="en-AU"/>
              </w:rPr>
              <w:t>Case by case approach</w:t>
            </w:r>
          </w:p>
          <w:p w:rsidR="003404E8" w:rsidRPr="00B27427" w:rsidRDefault="003404E8" w:rsidP="001C1D77">
            <w:pPr>
              <w:keepNext/>
              <w:spacing w:after="160"/>
              <w:rPr>
                <w:rFonts w:ascii="Arial Narrow" w:hAnsi="Arial Narrow"/>
                <w:sz w:val="20"/>
                <w:szCs w:val="20"/>
                <w:lang w:val="en-AU"/>
              </w:rPr>
            </w:pPr>
            <w:r w:rsidRPr="00B27427">
              <w:rPr>
                <w:rFonts w:ascii="Arial Narrow" w:eastAsia="Times New Roman" w:hAnsi="Arial Narrow"/>
                <w:sz w:val="20"/>
                <w:szCs w:val="20"/>
                <w:lang w:val="en-AU"/>
              </w:rPr>
              <w:t>Based on a complete sexual and alcohol and other drug-using history and the personal circumstances of the patient, if the clinician is of the opinion that the patient is likely to be at high risk of HIV, then PrEP prescription may be considered despite the absence of reported high- or medium-risk factors above.</w:t>
            </w:r>
          </w:p>
        </w:tc>
      </w:tr>
    </w:tbl>
    <w:p w:rsidR="003404E8" w:rsidRPr="00B27427" w:rsidRDefault="003404E8" w:rsidP="001C1D77">
      <w:pPr>
        <w:keepNext/>
      </w:pPr>
      <w:r w:rsidRPr="00B27427">
        <w:rPr>
          <w:rFonts w:ascii="Arial Narrow" w:eastAsia="Calibri" w:hAnsi="Arial Narrow" w:cs="Arial"/>
          <w:sz w:val="18"/>
          <w:szCs w:val="20"/>
          <w:lang w:eastAsia="en-US"/>
        </w:rPr>
        <w:t xml:space="preserve">Source: Wright, Edwina, et al. Australasian Society for HIV, Viral Hepatitis, and Sexual Health Medicine - HIV Pre-Exposure Prophylaxis: clinical guidelines. Journal of Virus Eradication, 2017; 3: 168-184. </w:t>
      </w:r>
      <w:proofErr w:type="gramStart"/>
      <w:r w:rsidRPr="00B27427">
        <w:rPr>
          <w:rFonts w:ascii="Arial Narrow" w:eastAsia="Calibri" w:hAnsi="Arial Narrow" w:cs="Arial"/>
          <w:sz w:val="18"/>
          <w:szCs w:val="20"/>
          <w:lang w:eastAsia="en-US"/>
        </w:rPr>
        <w:t>Accessed 5 July 2017.</w:t>
      </w:r>
      <w:proofErr w:type="gramEnd"/>
      <w:r w:rsidRPr="00B27427">
        <w:rPr>
          <w:rFonts w:ascii="Arial Narrow" w:eastAsia="Calibri" w:hAnsi="Arial Narrow" w:cs="Arial"/>
          <w:sz w:val="18"/>
          <w:szCs w:val="20"/>
          <w:lang w:eastAsia="en-US"/>
        </w:rPr>
        <w:t xml:space="preserve"> Open access, available at </w:t>
      </w:r>
      <w:hyperlink r:id="rId9" w:history="1">
        <w:r w:rsidRPr="00B27427">
          <w:rPr>
            <w:rStyle w:val="Hyperlink"/>
            <w:rFonts w:ascii="Arial Narrow" w:eastAsia="Calibri" w:hAnsi="Arial Narrow" w:cs="Arial"/>
            <w:sz w:val="18"/>
            <w:szCs w:val="20"/>
            <w:lang w:eastAsia="en-US"/>
          </w:rPr>
          <w:t>http://viruseradication.com/journal-details/Australasian_Society_for_HIV,_Viral_Hepatitis_and_Sexual_Health_Medicine_HIV_pre-exposure_prophylaxis:_clinical_guidelines/</w:t>
        </w:r>
      </w:hyperlink>
      <w:r w:rsidRPr="00B27427">
        <w:rPr>
          <w:rFonts w:ascii="Arial Narrow" w:eastAsia="Calibri" w:hAnsi="Arial Narrow" w:cs="Arial"/>
          <w:sz w:val="18"/>
          <w:szCs w:val="20"/>
          <w:lang w:eastAsia="en-US"/>
        </w:rPr>
        <w:t xml:space="preserve"> </w:t>
      </w:r>
    </w:p>
    <w:p w:rsidR="003404E8" w:rsidRPr="00B27427" w:rsidRDefault="003404E8" w:rsidP="00C77E8B"/>
    <w:p w:rsidR="00B40549" w:rsidRPr="00B27427" w:rsidRDefault="00B40549" w:rsidP="00B40549">
      <w:pPr>
        <w:pStyle w:val="ListParagraph"/>
        <w:numPr>
          <w:ilvl w:val="1"/>
          <w:numId w:val="5"/>
        </w:numPr>
        <w:rPr>
          <w:szCs w:val="24"/>
        </w:rPr>
      </w:pPr>
      <w:r w:rsidRPr="00B27427">
        <w:rPr>
          <w:szCs w:val="24"/>
        </w:rPr>
        <w:t>The PBAC</w:t>
      </w:r>
      <w:r w:rsidR="00286B09" w:rsidRPr="00B27427">
        <w:rPr>
          <w:szCs w:val="24"/>
        </w:rPr>
        <w:t xml:space="preserve"> </w:t>
      </w:r>
      <w:r w:rsidRPr="00B27427">
        <w:rPr>
          <w:szCs w:val="24"/>
        </w:rPr>
        <w:t xml:space="preserve">considered </w:t>
      </w:r>
      <w:r w:rsidR="00454BC2" w:rsidRPr="00B27427">
        <w:rPr>
          <w:szCs w:val="24"/>
        </w:rPr>
        <w:t xml:space="preserve">at its July 2017 meeting </w:t>
      </w:r>
      <w:r w:rsidRPr="00B27427">
        <w:rPr>
          <w:szCs w:val="24"/>
        </w:rPr>
        <w:t>that tenofovir with emtricitabine for PrEP should be listed as a General Schedule item to ensure widest access and sho</w:t>
      </w:r>
      <w:r w:rsidR="005838C1" w:rsidRPr="00B27427">
        <w:rPr>
          <w:szCs w:val="24"/>
        </w:rPr>
        <w:t>uld include provision for nurse</w:t>
      </w:r>
      <w:r w:rsidRPr="00B27427">
        <w:rPr>
          <w:szCs w:val="24"/>
        </w:rPr>
        <w:t xml:space="preserve"> practitioner prescribing.</w:t>
      </w:r>
    </w:p>
    <w:p w:rsidR="00006DB8" w:rsidRPr="00B27427" w:rsidRDefault="00006DB8" w:rsidP="00D753EB"/>
    <w:p w:rsidR="00006DB8" w:rsidRPr="00B27427" w:rsidRDefault="00006DB8" w:rsidP="00006DB8">
      <w:pPr>
        <w:pStyle w:val="ListParagraph"/>
        <w:numPr>
          <w:ilvl w:val="1"/>
          <w:numId w:val="5"/>
        </w:numPr>
        <w:rPr>
          <w:szCs w:val="24"/>
        </w:rPr>
      </w:pPr>
      <w:r w:rsidRPr="00B27427">
        <w:rPr>
          <w:szCs w:val="24"/>
        </w:rPr>
        <w:t>The PBAC considered at its July 2017 meeting that the proposed maximum quantity and number of repeats</w:t>
      </w:r>
      <w:r w:rsidR="003E5616" w:rsidRPr="00B27427">
        <w:rPr>
          <w:szCs w:val="24"/>
        </w:rPr>
        <w:t>,</w:t>
      </w:r>
      <w:r w:rsidRPr="00B27427">
        <w:rPr>
          <w:szCs w:val="24"/>
        </w:rPr>
        <w:t xml:space="preserve"> which provides for up to 3 months' treatment</w:t>
      </w:r>
      <w:r w:rsidR="003E5616" w:rsidRPr="00B27427">
        <w:rPr>
          <w:szCs w:val="24"/>
        </w:rPr>
        <w:t>,</w:t>
      </w:r>
      <w:r w:rsidRPr="00B27427">
        <w:rPr>
          <w:szCs w:val="24"/>
        </w:rPr>
        <w:t xml:space="preserve"> is appropriate and reflects the need for frequent review of patient circumstances, including their risk profile and HIV infection status. The PBAC noted the increase in the reported cases of sexually transmitted infections (STIs) in the clinical studies of PrEP and considered in clinical practice</w:t>
      </w:r>
      <w:r w:rsidR="000958ED">
        <w:rPr>
          <w:szCs w:val="24"/>
        </w:rPr>
        <w:t>,</w:t>
      </w:r>
      <w:r w:rsidRPr="00B27427">
        <w:rPr>
          <w:szCs w:val="24"/>
        </w:rPr>
        <w:t xml:space="preserve"> the requirement of a medical practitioner visit every 3 months to obtain a prescription for </w:t>
      </w:r>
      <w:r w:rsidR="003E5616" w:rsidRPr="00B27427">
        <w:rPr>
          <w:szCs w:val="24"/>
        </w:rPr>
        <w:t>tenofovir with emtricitabine</w:t>
      </w:r>
      <w:r w:rsidRPr="00B27427">
        <w:rPr>
          <w:szCs w:val="24"/>
        </w:rPr>
        <w:t xml:space="preserve"> is likely to increase monitoring for STIs and result in earlier diagnosis.</w:t>
      </w:r>
    </w:p>
    <w:p w:rsidR="00006DB8" w:rsidRPr="00B27427" w:rsidRDefault="00006DB8" w:rsidP="00006DB8">
      <w:pPr>
        <w:pStyle w:val="ListParagraph"/>
        <w:rPr>
          <w:szCs w:val="24"/>
        </w:rPr>
      </w:pPr>
    </w:p>
    <w:p w:rsidR="001C1D77" w:rsidRDefault="00E372C1" w:rsidP="00E372C1">
      <w:pPr>
        <w:pStyle w:val="ListParagraph"/>
        <w:ind w:left="709"/>
        <w:rPr>
          <w:i/>
        </w:rPr>
      </w:pPr>
      <w:r w:rsidRPr="00B27427">
        <w:rPr>
          <w:i/>
        </w:rPr>
        <w:t>For more detail</w:t>
      </w:r>
      <w:r w:rsidR="002D2D91" w:rsidRPr="00B27427">
        <w:rPr>
          <w:i/>
        </w:rPr>
        <w:t xml:space="preserve"> on PBAC’s view, see section 5</w:t>
      </w:r>
      <w:r w:rsidRPr="00B27427">
        <w:rPr>
          <w:i/>
        </w:rPr>
        <w:t xml:space="preserve"> PBAC outcome.</w:t>
      </w:r>
    </w:p>
    <w:p w:rsidR="00E372C1" w:rsidRPr="001C1D77" w:rsidRDefault="001C1D77" w:rsidP="001C1D77">
      <w:pPr>
        <w:rPr>
          <w:rFonts w:cs="Arial"/>
          <w:i/>
          <w:snapToGrid w:val="0"/>
          <w:szCs w:val="20"/>
          <w:lang w:eastAsia="en-US"/>
        </w:rPr>
      </w:pPr>
      <w:r>
        <w:rPr>
          <w:i/>
        </w:rPr>
        <w:br w:type="page"/>
      </w:r>
    </w:p>
    <w:p w:rsidR="00914FB4" w:rsidRPr="00B27427" w:rsidRDefault="00914FB4" w:rsidP="00914FB4">
      <w:pPr>
        <w:pStyle w:val="ListParagraph"/>
        <w:rPr>
          <w:szCs w:val="24"/>
        </w:rPr>
      </w:pPr>
    </w:p>
    <w:p w:rsidR="00914FB4" w:rsidRPr="00B27427" w:rsidRDefault="00914FB4" w:rsidP="00914FB4">
      <w:pPr>
        <w:pStyle w:val="PBACHeading1"/>
      </w:pPr>
      <w:r w:rsidRPr="00B27427">
        <w:t>Background</w:t>
      </w:r>
    </w:p>
    <w:p w:rsidR="002560D8" w:rsidRPr="00B27427" w:rsidRDefault="002560D8" w:rsidP="0014295D">
      <w:pPr>
        <w:pStyle w:val="ListParagraph"/>
        <w:rPr>
          <w:szCs w:val="24"/>
        </w:rPr>
      </w:pPr>
    </w:p>
    <w:p w:rsidR="00B24218" w:rsidRPr="00B27427" w:rsidRDefault="00B24218" w:rsidP="00B24218">
      <w:pPr>
        <w:pStyle w:val="ListParagraph"/>
        <w:numPr>
          <w:ilvl w:val="1"/>
          <w:numId w:val="5"/>
        </w:numPr>
        <w:rPr>
          <w:szCs w:val="24"/>
        </w:rPr>
      </w:pPr>
      <w:r w:rsidRPr="00B27427">
        <w:rPr>
          <w:szCs w:val="24"/>
        </w:rPr>
        <w:t xml:space="preserve">The Truvada® brand of tenofovir with emtricitabine </w:t>
      </w:r>
      <w:r w:rsidR="00454BC2" w:rsidRPr="00B27427">
        <w:rPr>
          <w:szCs w:val="24"/>
        </w:rPr>
        <w:t>was recommended by the PBAC in November 2005 and PBS listed on 1 April 2006 for the treatment of HIV infection</w:t>
      </w:r>
      <w:r w:rsidR="000958ED">
        <w:rPr>
          <w:szCs w:val="24"/>
        </w:rPr>
        <w:t>.</w:t>
      </w:r>
      <w:r w:rsidR="00454BC2" w:rsidRPr="00B27427">
        <w:rPr>
          <w:szCs w:val="24"/>
        </w:rPr>
        <w:t xml:space="preserve"> This brand of tenofovir with emtricitabine </w:t>
      </w:r>
      <w:r w:rsidRPr="00B27427">
        <w:rPr>
          <w:szCs w:val="24"/>
        </w:rPr>
        <w:t>was TGA registered for use ‘in combination with safer sex practices for pre-exposure prophylaxis (PrEP) to reduce the risk of sexually acquired HIV-1 in adu</w:t>
      </w:r>
      <w:r w:rsidR="00D753EB" w:rsidRPr="00B27427">
        <w:rPr>
          <w:szCs w:val="24"/>
        </w:rPr>
        <w:t>lts at high risk’ on 6 May 2016</w:t>
      </w:r>
      <w:r w:rsidR="00944BCE" w:rsidRPr="00B27427">
        <w:rPr>
          <w:szCs w:val="24"/>
        </w:rPr>
        <w:t>. The</w:t>
      </w:r>
      <w:r w:rsidR="00431698" w:rsidRPr="00B27427">
        <w:rPr>
          <w:szCs w:val="24"/>
        </w:rPr>
        <w:t xml:space="preserve"> PBAC previously considered submissions for </w:t>
      </w:r>
      <w:r w:rsidR="000C7E48" w:rsidRPr="00B27427">
        <w:rPr>
          <w:szCs w:val="24"/>
        </w:rPr>
        <w:t xml:space="preserve">PrEP for </w:t>
      </w:r>
      <w:r w:rsidR="00431698" w:rsidRPr="00B27427">
        <w:rPr>
          <w:szCs w:val="24"/>
        </w:rPr>
        <w:t xml:space="preserve">the Truvada® brand at its July 2016 and July 2017 meetings. </w:t>
      </w:r>
    </w:p>
    <w:p w:rsidR="00B24218" w:rsidRPr="00B27427" w:rsidRDefault="00B24218" w:rsidP="00B24218">
      <w:pPr>
        <w:pStyle w:val="ListParagraph"/>
        <w:rPr>
          <w:szCs w:val="24"/>
        </w:rPr>
      </w:pPr>
    </w:p>
    <w:p w:rsidR="00B24218" w:rsidRPr="00B27427" w:rsidRDefault="00B24218" w:rsidP="00B24218">
      <w:pPr>
        <w:pStyle w:val="ListParagraph"/>
        <w:numPr>
          <w:ilvl w:val="1"/>
          <w:numId w:val="5"/>
        </w:numPr>
        <w:rPr>
          <w:szCs w:val="24"/>
        </w:rPr>
      </w:pPr>
      <w:r w:rsidRPr="00B27427">
        <w:rPr>
          <w:szCs w:val="24"/>
        </w:rPr>
        <w:t>The Tenofovir Disoproxil Emtricitabine Mylan 300/200</w:t>
      </w:r>
      <w:r w:rsidRPr="00B27427">
        <w:rPr>
          <w:szCs w:val="24"/>
          <w:vertAlign w:val="superscript"/>
        </w:rPr>
        <w:t>®</w:t>
      </w:r>
      <w:r w:rsidRPr="00B27427">
        <w:rPr>
          <w:szCs w:val="24"/>
        </w:rPr>
        <w:t xml:space="preserve"> brand of tenofovir with emtricitabine was TGA registered on 10 April 2017 for:</w:t>
      </w:r>
    </w:p>
    <w:p w:rsidR="00B24218" w:rsidRPr="00B27427" w:rsidRDefault="00B24218" w:rsidP="00B24218"/>
    <w:p w:rsidR="00B24218" w:rsidRPr="00B27427" w:rsidRDefault="00B24218" w:rsidP="00B24218">
      <w:pPr>
        <w:pStyle w:val="ListParagraph"/>
        <w:numPr>
          <w:ilvl w:val="0"/>
          <w:numId w:val="15"/>
        </w:numPr>
        <w:rPr>
          <w:szCs w:val="24"/>
        </w:rPr>
      </w:pPr>
      <w:r w:rsidRPr="00B27427">
        <w:rPr>
          <w:szCs w:val="24"/>
        </w:rPr>
        <w:t>the treatment of HIV infected adults over the age of 18 years, in combination with other antiretroviral agents; and</w:t>
      </w:r>
    </w:p>
    <w:p w:rsidR="00B24218" w:rsidRPr="00B27427" w:rsidRDefault="00B24218" w:rsidP="00B24218">
      <w:pPr>
        <w:pStyle w:val="ListParagraph"/>
        <w:numPr>
          <w:ilvl w:val="0"/>
          <w:numId w:val="15"/>
        </w:numPr>
        <w:rPr>
          <w:szCs w:val="24"/>
        </w:rPr>
      </w:pPr>
      <w:proofErr w:type="gramStart"/>
      <w:r w:rsidRPr="00B27427">
        <w:rPr>
          <w:szCs w:val="24"/>
        </w:rPr>
        <w:t>in</w:t>
      </w:r>
      <w:proofErr w:type="gramEnd"/>
      <w:r w:rsidRPr="00B27427">
        <w:rPr>
          <w:szCs w:val="24"/>
        </w:rPr>
        <w:t xml:space="preserve"> combination with safer sex practices for pre-exposure prophylaxis (PrEP) to reduce the risk of sexually acquired HIV-1 in adults at high risk.</w:t>
      </w:r>
    </w:p>
    <w:p w:rsidR="00B24218" w:rsidRPr="00B27427" w:rsidRDefault="00B24218" w:rsidP="00431698">
      <w:pPr>
        <w:ind w:left="720"/>
        <w:jc w:val="both"/>
      </w:pPr>
    </w:p>
    <w:p w:rsidR="00B24218" w:rsidRPr="00B27427" w:rsidRDefault="00B24218" w:rsidP="00431698">
      <w:pPr>
        <w:ind w:left="720"/>
        <w:jc w:val="both"/>
      </w:pPr>
      <w:r w:rsidRPr="00B27427">
        <w:t>This brand of tenofovir with emtricitabine was PBS listed on 1 August 2017 for the treatment of HIV infection.</w:t>
      </w:r>
      <w:r w:rsidR="00431698" w:rsidRPr="00B27427">
        <w:t xml:space="preserve"> The PBAC </w:t>
      </w:r>
      <w:r w:rsidR="000C7E48" w:rsidRPr="00B27427">
        <w:t xml:space="preserve">previously </w:t>
      </w:r>
      <w:r w:rsidR="00431698" w:rsidRPr="00B27427">
        <w:t xml:space="preserve">considered a </w:t>
      </w:r>
      <w:r w:rsidR="00C03E9C" w:rsidRPr="00B27427">
        <w:t xml:space="preserve">minor </w:t>
      </w:r>
      <w:r w:rsidR="00431698" w:rsidRPr="00B27427">
        <w:t xml:space="preserve">submission for this brand of tenofovir with emtricitabine </w:t>
      </w:r>
      <w:r w:rsidR="00D1077A" w:rsidRPr="00B27427">
        <w:t xml:space="preserve">for PrEP </w:t>
      </w:r>
      <w:r w:rsidR="00431698" w:rsidRPr="00B27427">
        <w:t xml:space="preserve">at </w:t>
      </w:r>
      <w:r w:rsidR="000958ED">
        <w:t xml:space="preserve">its </w:t>
      </w:r>
      <w:r w:rsidR="00431698" w:rsidRPr="00B27427">
        <w:t>July 2017 meeting.</w:t>
      </w:r>
    </w:p>
    <w:p w:rsidR="00BF63AF" w:rsidRPr="00B27427" w:rsidRDefault="00BF63AF" w:rsidP="00431698">
      <w:pPr>
        <w:ind w:left="720"/>
        <w:jc w:val="both"/>
      </w:pPr>
    </w:p>
    <w:p w:rsidR="00BF63AF" w:rsidRPr="00B27427" w:rsidRDefault="00BF63AF" w:rsidP="00BF63AF">
      <w:pPr>
        <w:pStyle w:val="ListParagraph"/>
        <w:numPr>
          <w:ilvl w:val="1"/>
          <w:numId w:val="5"/>
        </w:numPr>
        <w:rPr>
          <w:szCs w:val="24"/>
        </w:rPr>
      </w:pPr>
      <w:r w:rsidRPr="00B27427">
        <w:rPr>
          <w:szCs w:val="24"/>
        </w:rPr>
        <w:t>The Tenofovir EMT GH® brand of tenofovir with emtricitabine was TGA registered on 31 January 2017 for:</w:t>
      </w:r>
    </w:p>
    <w:p w:rsidR="00BF63AF" w:rsidRPr="00B27427" w:rsidRDefault="00BF63AF" w:rsidP="00BF63AF">
      <w:pPr>
        <w:pStyle w:val="ListParagraph"/>
        <w:rPr>
          <w:szCs w:val="24"/>
          <w:highlight w:val="yellow"/>
        </w:rPr>
      </w:pPr>
    </w:p>
    <w:p w:rsidR="00BF63AF" w:rsidRPr="00B27427" w:rsidRDefault="00BF63AF" w:rsidP="00BF63AF">
      <w:pPr>
        <w:pStyle w:val="ListParagraph"/>
        <w:numPr>
          <w:ilvl w:val="0"/>
          <w:numId w:val="15"/>
        </w:numPr>
      </w:pPr>
      <w:r w:rsidRPr="00B27427">
        <w:t>The treatment of HIV infected adults over the age of 18 years, in combination with other anti-retroviral agents; and</w:t>
      </w:r>
    </w:p>
    <w:p w:rsidR="00BF63AF" w:rsidRPr="00B27427" w:rsidRDefault="00BF63AF" w:rsidP="00BF63AF">
      <w:pPr>
        <w:pStyle w:val="ListParagraph"/>
        <w:numPr>
          <w:ilvl w:val="0"/>
          <w:numId w:val="15"/>
        </w:numPr>
      </w:pPr>
      <w:r w:rsidRPr="00B27427">
        <w:t>In combination with safer sex practices for pre-exposure prophylaxis (PrEP) to reduce the risk of sexually acquired HIV-1 in adults at high risk.</w:t>
      </w:r>
    </w:p>
    <w:p w:rsidR="00BF63AF" w:rsidRPr="00B27427" w:rsidRDefault="00BF63AF" w:rsidP="00BF63AF">
      <w:pPr>
        <w:ind w:left="720"/>
      </w:pPr>
    </w:p>
    <w:p w:rsidR="00BF63AF" w:rsidRPr="00B27427" w:rsidRDefault="00BF63AF" w:rsidP="00BF63AF">
      <w:pPr>
        <w:ind w:left="720"/>
        <w:jc w:val="both"/>
      </w:pPr>
      <w:r w:rsidRPr="00B27427">
        <w:t xml:space="preserve">This brand of tenofovir with emtricitabine was PBS listed on 1 August 2017 for the treatment of HIV infection, as an additional brand. </w:t>
      </w:r>
    </w:p>
    <w:p w:rsidR="00914FB4" w:rsidRPr="00B27427" w:rsidRDefault="00914FB4" w:rsidP="00D753EB"/>
    <w:p w:rsidR="00914FB4" w:rsidRPr="00B27427" w:rsidRDefault="00914FB4" w:rsidP="00914FB4">
      <w:pPr>
        <w:pStyle w:val="ListParagraph"/>
        <w:numPr>
          <w:ilvl w:val="1"/>
          <w:numId w:val="5"/>
        </w:numPr>
        <w:rPr>
          <w:szCs w:val="24"/>
        </w:rPr>
      </w:pPr>
      <w:r w:rsidRPr="00B27427">
        <w:rPr>
          <w:szCs w:val="24"/>
        </w:rPr>
        <w:t>Key aspects of the PBAC’s consideration of PrEP at its July 2017 meeting included:</w:t>
      </w:r>
    </w:p>
    <w:p w:rsidR="00914FB4" w:rsidRPr="00B27427" w:rsidRDefault="00914FB4" w:rsidP="00914FB4"/>
    <w:p w:rsidR="00914FB4" w:rsidRPr="00B27427" w:rsidRDefault="00914FB4" w:rsidP="00914FB4">
      <w:pPr>
        <w:pStyle w:val="ListParagraph"/>
        <w:widowControl/>
        <w:numPr>
          <w:ilvl w:val="0"/>
          <w:numId w:val="31"/>
        </w:numPr>
        <w:spacing w:before="120" w:after="160"/>
        <w:contextualSpacing w:val="0"/>
      </w:pPr>
      <w:r w:rsidRPr="00B27427">
        <w:t>The PBAC reaffirmed it accepted standard of care (SOC), as a combination of other safe sex practices, as the appropriate comparator.</w:t>
      </w:r>
    </w:p>
    <w:p w:rsidR="00914FB4" w:rsidRPr="00B27427" w:rsidRDefault="00914FB4" w:rsidP="00914FB4">
      <w:pPr>
        <w:pStyle w:val="ListParagraph"/>
        <w:widowControl/>
        <w:numPr>
          <w:ilvl w:val="0"/>
          <w:numId w:val="31"/>
        </w:numPr>
        <w:spacing w:before="120" w:after="160"/>
        <w:contextualSpacing w:val="0"/>
      </w:pPr>
      <w:r w:rsidRPr="00B27427">
        <w:t>The PBAC accepted, based on the evidence presented in the submissions, that tenofovir with emtricitabine as PrEP appeared to be effective in reducing the transmission of HIV.</w:t>
      </w:r>
    </w:p>
    <w:p w:rsidR="00914FB4" w:rsidRPr="00B27427" w:rsidRDefault="00A50F96" w:rsidP="00914FB4">
      <w:pPr>
        <w:pStyle w:val="ListParagraph"/>
        <w:widowControl/>
        <w:numPr>
          <w:ilvl w:val="0"/>
          <w:numId w:val="31"/>
        </w:numPr>
        <w:spacing w:before="120" w:after="160"/>
        <w:contextualSpacing w:val="0"/>
      </w:pPr>
      <w:r w:rsidRPr="00B27427">
        <w:lastRenderedPageBreak/>
        <w:t>The PBAC reaffirmed its previous advice that it considered the claim of non-inferior comparative safety was not strongly supported by the available data, however given the duration of experience with tenofovir with emtricitabine</w:t>
      </w:r>
      <w:r w:rsidR="00B721AA" w:rsidRPr="00B27427">
        <w:t xml:space="preserve"> for the treatment of HIV</w:t>
      </w:r>
      <w:r w:rsidRPr="00B27427">
        <w:t>, that the claim of non-inferior comparative safety was probably reasonable.</w:t>
      </w:r>
    </w:p>
    <w:p w:rsidR="00A50F96" w:rsidRPr="00B27427" w:rsidRDefault="00A50F96" w:rsidP="00914FB4">
      <w:pPr>
        <w:pStyle w:val="ListParagraph"/>
        <w:widowControl/>
        <w:numPr>
          <w:ilvl w:val="0"/>
          <w:numId w:val="31"/>
        </w:numPr>
        <w:spacing w:before="120" w:after="160"/>
        <w:contextualSpacing w:val="0"/>
      </w:pPr>
      <w:r w:rsidRPr="00B27427">
        <w:t xml:space="preserve">The PBAC considered that the economic model developed by the Kirby Institute assessing the cost-effectiveness of PrEP in MSM was more likely to </w:t>
      </w:r>
      <w:r w:rsidR="0007769F" w:rsidRPr="00B27427">
        <w:t xml:space="preserve">accurately </w:t>
      </w:r>
      <w:r w:rsidRPr="00B27427">
        <w:t xml:space="preserve">predict HIV incidence and prevalence than the economic model provided in the Truvada® submission given the </w:t>
      </w:r>
      <w:r w:rsidR="00EF1EEA" w:rsidRPr="00B27427">
        <w:t xml:space="preserve">modelling and </w:t>
      </w:r>
      <w:r w:rsidRPr="00B27427">
        <w:t>calibration approach</w:t>
      </w:r>
      <w:r w:rsidR="00EF1EEA" w:rsidRPr="00B27427">
        <w:t>es</w:t>
      </w:r>
      <w:r w:rsidRPr="00B27427">
        <w:t xml:space="preserve"> used</w:t>
      </w:r>
      <w:r w:rsidR="00B721AA" w:rsidRPr="00B27427">
        <w:t>.</w:t>
      </w:r>
      <w:r w:rsidRPr="00B27427">
        <w:t xml:space="preserve"> </w:t>
      </w:r>
      <w:r w:rsidR="00EF1EEA" w:rsidRPr="00B27427">
        <w:t>I</w:t>
      </w:r>
      <w:r w:rsidR="00B721AA" w:rsidRPr="00B27427">
        <w:t>n addition</w:t>
      </w:r>
      <w:r w:rsidR="00EF1EEA" w:rsidRPr="00B27427">
        <w:t>,</w:t>
      </w:r>
      <w:r w:rsidRPr="00B27427">
        <w:t xml:space="preserve"> the shorter </w:t>
      </w:r>
      <w:r w:rsidR="00EF1EEA" w:rsidRPr="00B27427">
        <w:t>time horizon for the Kirby model</w:t>
      </w:r>
      <w:r w:rsidRPr="00B27427">
        <w:t xml:space="preserve"> (14 years vs. 20 years) </w:t>
      </w:r>
      <w:r w:rsidR="00EF1EEA" w:rsidRPr="00B27427">
        <w:t>reduced the</w:t>
      </w:r>
      <w:r w:rsidRPr="00B27427">
        <w:t xml:space="preserve"> uncertainty</w:t>
      </w:r>
      <w:r w:rsidR="00EF1EEA" w:rsidRPr="00B27427">
        <w:t xml:space="preserve"> associated with the estimates</w:t>
      </w:r>
      <w:r w:rsidRPr="00B27427">
        <w:t>.</w:t>
      </w:r>
    </w:p>
    <w:p w:rsidR="00FA1478" w:rsidRPr="00B27427" w:rsidRDefault="00FA1478" w:rsidP="00431698">
      <w:pPr>
        <w:spacing w:before="120"/>
      </w:pPr>
    </w:p>
    <w:p w:rsidR="00006DB8" w:rsidRPr="00B27427" w:rsidRDefault="00006DB8" w:rsidP="00006DB8">
      <w:pPr>
        <w:pStyle w:val="ListParagraph"/>
        <w:numPr>
          <w:ilvl w:val="1"/>
          <w:numId w:val="5"/>
        </w:numPr>
      </w:pPr>
      <w:r w:rsidRPr="00B27427">
        <w:t xml:space="preserve">The results for the Kirby model were presented for a number of scenarios based on different uptake in individuals at high, medium or low risk of infection. The uptake scenarios ranged from 30-0-0 (30% uptake in high risk, 0% in medium risk, 0% in low risk; 8.4% overall uptake) to 90-90-90 (90% overall uptake). </w:t>
      </w:r>
      <w:r w:rsidR="003E5616" w:rsidRPr="00B27427">
        <w:t>T</w:t>
      </w:r>
      <w:r w:rsidRPr="00B27427">
        <w:t>he PBAC noted</w:t>
      </w:r>
      <w:r w:rsidR="004E6048" w:rsidRPr="00B27427">
        <w:t xml:space="preserve"> in July 2017</w:t>
      </w:r>
      <w:r w:rsidRPr="00B27427">
        <w:t xml:space="preserve"> that only two of the scenarios presented considered use</w:t>
      </w:r>
      <w:r w:rsidR="003E5616" w:rsidRPr="00B27427">
        <w:t xml:space="preserve"> only</w:t>
      </w:r>
      <w:r w:rsidRPr="00B27427">
        <w:t xml:space="preserve"> in individuals at high and medium risk of infection</w:t>
      </w:r>
      <w:r w:rsidR="003E5616" w:rsidRPr="00B27427">
        <w:t xml:space="preserve">. </w:t>
      </w:r>
      <w:r w:rsidRPr="00B27427">
        <w:t>Further, both of the scenarios assumed 90% uptake in high risk individuals and the PBAC considered that this level of uptake was unlikely to be achieved in clinical practice. The PBAC considered alternative scenarios assuming lower uptake in medium and high risk individuals would be informative.</w:t>
      </w:r>
      <w:r w:rsidR="00EC514A">
        <w:t xml:space="preserve"> </w:t>
      </w:r>
    </w:p>
    <w:p w:rsidR="00006DB8" w:rsidRPr="00B27427" w:rsidRDefault="00006DB8" w:rsidP="00006DB8">
      <w:pPr>
        <w:pStyle w:val="ListParagraph"/>
      </w:pPr>
    </w:p>
    <w:p w:rsidR="00006DB8" w:rsidRPr="00B27427" w:rsidRDefault="00C01803" w:rsidP="00006DB8">
      <w:pPr>
        <w:pStyle w:val="ListParagraph"/>
        <w:numPr>
          <w:ilvl w:val="1"/>
          <w:numId w:val="5"/>
        </w:numPr>
      </w:pPr>
      <w:r w:rsidRPr="00B27427">
        <w:t xml:space="preserve">For the Kirby model, the annual PrEP cost required for the cost per QALY gained to be $30,000, $60,000 </w:t>
      </w:r>
      <w:r w:rsidR="00D1077A" w:rsidRPr="00B27427">
        <w:t>or</w:t>
      </w:r>
      <w:r w:rsidRPr="00B27427">
        <w:t xml:space="preserve"> $90,000 was presented.</w:t>
      </w:r>
      <w:r w:rsidR="00006DB8" w:rsidRPr="00B27427">
        <w:t xml:space="preserve"> </w:t>
      </w:r>
      <w:r w:rsidR="00547EC0" w:rsidRPr="00B27427">
        <w:t>In July 2017, t</w:t>
      </w:r>
      <w:r w:rsidR="00006DB8" w:rsidRPr="00B27427">
        <w:t>he PBAC</w:t>
      </w:r>
      <w:r w:rsidR="00074260" w:rsidRPr="00B27427">
        <w:t xml:space="preserve"> </w:t>
      </w:r>
      <w:r w:rsidR="00006DB8" w:rsidRPr="00B27427">
        <w:t>recalled that the threshold of incremental QALYs gained for treatments with large opportunity costs, such as population preventative interventions including lipid-lowering, anti-hypertensive drugs and vaccines</w:t>
      </w:r>
      <w:r w:rsidR="008B6846">
        <w:t>,</w:t>
      </w:r>
      <w:r w:rsidR="00006DB8" w:rsidRPr="00B27427">
        <w:t xml:space="preserve"> was at the lower end of the ICER range that PBAC has accepted because these treatments typically have a high opportunity cost. Though not completely analogous to a vaccination program such as against Human Papillomavirus (HPV), the PBAC considered that subsidisation of PrEP, like the HPV vaccine, would provide both direct benefits to the treated individual and wider benefits to society with reductions in the prevalence of HIV infection over time.</w:t>
      </w:r>
      <w:r w:rsidR="00EC514A">
        <w:t xml:space="preserve"> </w:t>
      </w:r>
      <w:r w:rsidR="00006DB8" w:rsidRPr="00B27427">
        <w:t>The PBAC considered that the acceptable ICER for PrEP should be at the low end of the range previously accepted for these other population preventative interventions with large opportunity costs.</w:t>
      </w:r>
      <w:r w:rsidR="00547EC0" w:rsidRPr="00B27427">
        <w:t xml:space="preserve"> Th</w:t>
      </w:r>
      <w:r w:rsidR="00C03E9C" w:rsidRPr="00B27427">
        <w:t>us the</w:t>
      </w:r>
      <w:r w:rsidR="00547EC0" w:rsidRPr="00B27427">
        <w:t xml:space="preserve"> PBAC considered alternative scenarios considering </w:t>
      </w:r>
      <w:r w:rsidR="005005CC" w:rsidRPr="00B27427">
        <w:t>ICER</w:t>
      </w:r>
      <w:r w:rsidR="00547EC0" w:rsidRPr="00B27427">
        <w:t xml:space="preserve"> thresholds</w:t>
      </w:r>
      <w:r w:rsidR="00624883" w:rsidRPr="00B27427">
        <w:t xml:space="preserve"> below </w:t>
      </w:r>
      <w:r w:rsidR="005005CC" w:rsidRPr="00B27427">
        <w:t>$</w:t>
      </w:r>
      <w:r w:rsidR="00624883" w:rsidRPr="00B27427">
        <w:t>30</w:t>
      </w:r>
      <w:r w:rsidR="005005CC" w:rsidRPr="00B27427">
        <w:t xml:space="preserve">,000 per QALY gained </w:t>
      </w:r>
      <w:r w:rsidR="00547EC0" w:rsidRPr="00B27427">
        <w:t>would be informative.</w:t>
      </w:r>
    </w:p>
    <w:p w:rsidR="00A61778" w:rsidRPr="00B27427" w:rsidRDefault="00A61778" w:rsidP="00006DB8">
      <w:pPr>
        <w:rPr>
          <w:u w:val="single"/>
        </w:rPr>
      </w:pPr>
    </w:p>
    <w:p w:rsidR="00E372C1" w:rsidRPr="00B27427" w:rsidRDefault="00E372C1" w:rsidP="00E372C1">
      <w:pPr>
        <w:pStyle w:val="ListParagraph"/>
        <w:ind w:left="709"/>
        <w:rPr>
          <w:i/>
        </w:rPr>
      </w:pPr>
      <w:r w:rsidRPr="00B27427">
        <w:rPr>
          <w:i/>
        </w:rPr>
        <w:t xml:space="preserve">For more detail on PBAC’s view, see section </w:t>
      </w:r>
      <w:r w:rsidR="002D2D91" w:rsidRPr="00B27427">
        <w:rPr>
          <w:i/>
        </w:rPr>
        <w:t>5</w:t>
      </w:r>
      <w:r w:rsidRPr="00B27427">
        <w:rPr>
          <w:i/>
        </w:rPr>
        <w:t xml:space="preserve"> PBAC outcome.</w:t>
      </w:r>
    </w:p>
    <w:p w:rsidR="00A61778" w:rsidRDefault="00A61778" w:rsidP="00006DB8">
      <w:pPr>
        <w:rPr>
          <w:u w:val="single"/>
        </w:rPr>
      </w:pPr>
    </w:p>
    <w:p w:rsidR="00C83E21" w:rsidRDefault="00C83E21" w:rsidP="00006DB8">
      <w:pPr>
        <w:rPr>
          <w:u w:val="single"/>
        </w:rPr>
      </w:pPr>
    </w:p>
    <w:p w:rsidR="00C83E21" w:rsidRPr="00B27427" w:rsidRDefault="00C83E21" w:rsidP="00006DB8">
      <w:pPr>
        <w:rPr>
          <w:u w:val="single"/>
        </w:rPr>
      </w:pPr>
    </w:p>
    <w:p w:rsidR="00006DB8" w:rsidRPr="00B27427" w:rsidRDefault="00006DB8" w:rsidP="00006DB8">
      <w:pPr>
        <w:pStyle w:val="PBACHeading1"/>
      </w:pPr>
      <w:r w:rsidRPr="00B27427">
        <w:lastRenderedPageBreak/>
        <w:t>Consideration of the evidence</w:t>
      </w:r>
    </w:p>
    <w:p w:rsidR="00C77E8B" w:rsidRPr="00B27427" w:rsidRDefault="00C77E8B" w:rsidP="001C36B5">
      <w:pPr>
        <w:jc w:val="both"/>
        <w:rPr>
          <w:b/>
          <w:sz w:val="22"/>
          <w:szCs w:val="22"/>
        </w:rPr>
      </w:pPr>
    </w:p>
    <w:p w:rsidR="002D2D91" w:rsidRPr="00B27427" w:rsidRDefault="00E372C1" w:rsidP="002D2D91">
      <w:pPr>
        <w:pStyle w:val="Heading2"/>
      </w:pPr>
      <w:r w:rsidRPr="00B27427">
        <w:t>Sponsor hearing</w:t>
      </w:r>
    </w:p>
    <w:p w:rsidR="002D2D91" w:rsidRPr="00B27427" w:rsidRDefault="002D2D91" w:rsidP="002D2D91"/>
    <w:p w:rsidR="00E372C1" w:rsidRPr="00B27427" w:rsidRDefault="00E372C1" w:rsidP="00E372C1">
      <w:pPr>
        <w:widowControl w:val="0"/>
        <w:numPr>
          <w:ilvl w:val="1"/>
          <w:numId w:val="5"/>
        </w:numPr>
        <w:spacing w:after="120"/>
        <w:jc w:val="both"/>
        <w:rPr>
          <w:rFonts w:cs="Arial"/>
          <w:bCs/>
          <w:snapToGrid w:val="0"/>
        </w:rPr>
      </w:pPr>
      <w:r w:rsidRPr="00B27427">
        <w:rPr>
          <w:rFonts w:cs="Arial"/>
          <w:bCs/>
          <w:snapToGrid w:val="0"/>
        </w:rPr>
        <w:t>There was no hearing for this ite</w:t>
      </w:r>
      <w:r w:rsidR="002D2D91" w:rsidRPr="00B27427">
        <w:rPr>
          <w:rFonts w:cs="Arial"/>
          <w:bCs/>
          <w:snapToGrid w:val="0"/>
        </w:rPr>
        <w:t>m as it was a minor submission.</w:t>
      </w:r>
    </w:p>
    <w:p w:rsidR="002D2D91" w:rsidRPr="00B27427" w:rsidRDefault="002D2D91" w:rsidP="002D2D91">
      <w:pPr>
        <w:widowControl w:val="0"/>
        <w:spacing w:after="120"/>
        <w:jc w:val="both"/>
        <w:rPr>
          <w:rFonts w:cs="Arial"/>
          <w:bCs/>
          <w:snapToGrid w:val="0"/>
          <w:highlight w:val="yellow"/>
        </w:rPr>
      </w:pPr>
    </w:p>
    <w:p w:rsidR="002D2D91" w:rsidRPr="00B27427" w:rsidRDefault="00E372C1" w:rsidP="002D2D91">
      <w:pPr>
        <w:pStyle w:val="Heading2"/>
      </w:pPr>
      <w:r w:rsidRPr="00B27427">
        <w:t>Consumer comments</w:t>
      </w:r>
    </w:p>
    <w:p w:rsidR="002D2D91" w:rsidRPr="00B27427" w:rsidRDefault="002D2D91" w:rsidP="002D2D91"/>
    <w:p w:rsidR="002D2D91" w:rsidRPr="00B27427" w:rsidRDefault="00E372C1" w:rsidP="00846F88">
      <w:pPr>
        <w:pStyle w:val="ListParagraph"/>
        <w:numPr>
          <w:ilvl w:val="1"/>
          <w:numId w:val="5"/>
        </w:numPr>
        <w:spacing w:after="120"/>
        <w:rPr>
          <w:szCs w:val="24"/>
        </w:rPr>
      </w:pPr>
      <w:r w:rsidRPr="00B27427">
        <w:rPr>
          <w:szCs w:val="24"/>
        </w:rPr>
        <w:t>The PBAC noted that no consumer comme</w:t>
      </w:r>
      <w:r w:rsidR="002D2D91" w:rsidRPr="00B27427">
        <w:rPr>
          <w:szCs w:val="24"/>
        </w:rPr>
        <w:t>nts were received for this item</w:t>
      </w:r>
      <w:r w:rsidRPr="00B27427">
        <w:rPr>
          <w:szCs w:val="24"/>
        </w:rPr>
        <w:t>.</w:t>
      </w:r>
      <w:r w:rsidR="00846F88">
        <w:rPr>
          <w:szCs w:val="24"/>
        </w:rPr>
        <w:t xml:space="preserve"> </w:t>
      </w:r>
      <w:r w:rsidR="00846F88" w:rsidRPr="00846F88">
        <w:rPr>
          <w:szCs w:val="24"/>
        </w:rPr>
        <w:t>The PBAC were reminded of the large volume of supportive consumer comments received and discussed at the July 2017 meeting.</w:t>
      </w:r>
    </w:p>
    <w:p w:rsidR="002D2D91" w:rsidRPr="00B27427" w:rsidRDefault="002D2D91" w:rsidP="002D2D91">
      <w:pPr>
        <w:spacing w:after="120"/>
        <w:rPr>
          <w:snapToGrid w:val="0"/>
        </w:rPr>
      </w:pPr>
    </w:p>
    <w:p w:rsidR="00A55FEE" w:rsidRPr="00B27427" w:rsidRDefault="00080F7C" w:rsidP="00805808">
      <w:pPr>
        <w:pStyle w:val="Heading2"/>
      </w:pPr>
      <w:r w:rsidRPr="00B27427">
        <w:t>Economic Analysis</w:t>
      </w:r>
    </w:p>
    <w:p w:rsidR="00080F7C" w:rsidRPr="00B27427" w:rsidRDefault="00080F7C" w:rsidP="00A55FEE">
      <w:pPr>
        <w:ind w:left="720" w:hanging="720"/>
        <w:jc w:val="both"/>
        <w:rPr>
          <w:rFonts w:ascii="Arial" w:hAnsi="Arial"/>
          <w:b/>
        </w:rPr>
      </w:pPr>
    </w:p>
    <w:p w:rsidR="005B7C32" w:rsidRPr="00B27427" w:rsidRDefault="001C36B5" w:rsidP="005B7C32">
      <w:pPr>
        <w:pStyle w:val="ListParagraph"/>
        <w:numPr>
          <w:ilvl w:val="1"/>
          <w:numId w:val="5"/>
        </w:numPr>
        <w:rPr>
          <w:szCs w:val="24"/>
        </w:rPr>
      </w:pPr>
      <w:r w:rsidRPr="00B27427">
        <w:rPr>
          <w:szCs w:val="24"/>
        </w:rPr>
        <w:t xml:space="preserve">The </w:t>
      </w:r>
      <w:r w:rsidR="002E73F6" w:rsidRPr="00B27427">
        <w:rPr>
          <w:szCs w:val="24"/>
        </w:rPr>
        <w:t xml:space="preserve">results for the following additional analyses were </w:t>
      </w:r>
      <w:r w:rsidRPr="00B27427">
        <w:rPr>
          <w:szCs w:val="24"/>
        </w:rPr>
        <w:t>provided by the Kirby Institute:</w:t>
      </w:r>
    </w:p>
    <w:p w:rsidR="00AE1AC9" w:rsidRPr="00B27427" w:rsidRDefault="002E73F6" w:rsidP="00851333">
      <w:pPr>
        <w:pStyle w:val="ListParagraph"/>
        <w:numPr>
          <w:ilvl w:val="0"/>
          <w:numId w:val="15"/>
        </w:numPr>
        <w:rPr>
          <w:szCs w:val="24"/>
        </w:rPr>
      </w:pPr>
      <w:r w:rsidRPr="00B27427">
        <w:rPr>
          <w:szCs w:val="24"/>
        </w:rPr>
        <w:t>U</w:t>
      </w:r>
      <w:r w:rsidR="001C36B5" w:rsidRPr="00B27427">
        <w:rPr>
          <w:szCs w:val="24"/>
        </w:rPr>
        <w:t xml:space="preserve">ptake </w:t>
      </w:r>
      <w:r w:rsidRPr="00B27427">
        <w:rPr>
          <w:szCs w:val="24"/>
        </w:rPr>
        <w:t>in</w:t>
      </w:r>
      <w:r w:rsidR="00AC04CD" w:rsidRPr="00B27427">
        <w:rPr>
          <w:szCs w:val="24"/>
        </w:rPr>
        <w:t xml:space="preserve"> 40%, 50</w:t>
      </w:r>
      <w:r w:rsidR="001C36B5" w:rsidRPr="00B27427">
        <w:rPr>
          <w:szCs w:val="24"/>
        </w:rPr>
        <w:t xml:space="preserve">%, 60%, 70% and 80% of the eligible high and medium risk </w:t>
      </w:r>
      <w:r w:rsidR="00A23E90" w:rsidRPr="00B27427">
        <w:rPr>
          <w:szCs w:val="24"/>
        </w:rPr>
        <w:t>populations</w:t>
      </w:r>
      <w:r w:rsidR="001C36B5" w:rsidRPr="00B27427">
        <w:rPr>
          <w:szCs w:val="24"/>
        </w:rPr>
        <w:t>.</w:t>
      </w:r>
      <w:r w:rsidR="00983714" w:rsidRPr="00B27427">
        <w:rPr>
          <w:szCs w:val="24"/>
        </w:rPr>
        <w:t xml:space="preserve"> </w:t>
      </w:r>
    </w:p>
    <w:p w:rsidR="00AE1AC9" w:rsidRPr="00B27427" w:rsidRDefault="001C36B5" w:rsidP="00851333">
      <w:pPr>
        <w:pStyle w:val="ListParagraph"/>
        <w:numPr>
          <w:ilvl w:val="0"/>
          <w:numId w:val="15"/>
        </w:numPr>
        <w:rPr>
          <w:szCs w:val="24"/>
        </w:rPr>
      </w:pPr>
      <w:r w:rsidRPr="00B27427">
        <w:rPr>
          <w:szCs w:val="24"/>
        </w:rPr>
        <w:t xml:space="preserve">The annual cost of PrEP </w:t>
      </w:r>
      <w:r w:rsidR="00E41AEA" w:rsidRPr="00B27427">
        <w:rPr>
          <w:szCs w:val="24"/>
        </w:rPr>
        <w:t>required for</w:t>
      </w:r>
      <w:r w:rsidR="00AC04CD" w:rsidRPr="00B27427">
        <w:rPr>
          <w:szCs w:val="24"/>
        </w:rPr>
        <w:t xml:space="preserve"> ICER</w:t>
      </w:r>
      <w:r w:rsidR="00E41AEA" w:rsidRPr="00B27427">
        <w:rPr>
          <w:szCs w:val="24"/>
        </w:rPr>
        <w:t xml:space="preserve"> threshold</w:t>
      </w:r>
      <w:r w:rsidR="00AC04CD" w:rsidRPr="00B27427">
        <w:rPr>
          <w:szCs w:val="24"/>
        </w:rPr>
        <w:t>s of $10,000, $15,000, $20,000</w:t>
      </w:r>
      <w:r w:rsidR="00E41AEA" w:rsidRPr="00B27427">
        <w:rPr>
          <w:szCs w:val="24"/>
        </w:rPr>
        <w:t xml:space="preserve"> and</w:t>
      </w:r>
      <w:r w:rsidR="00AC04CD" w:rsidRPr="00B27427">
        <w:rPr>
          <w:szCs w:val="24"/>
        </w:rPr>
        <w:t xml:space="preserve"> $25,000 per QALY</w:t>
      </w:r>
      <w:r w:rsidR="00E41AEA" w:rsidRPr="00B27427">
        <w:rPr>
          <w:szCs w:val="24"/>
        </w:rPr>
        <w:t xml:space="preserve"> gained</w:t>
      </w:r>
      <w:r w:rsidR="00AC04CD" w:rsidRPr="00B27427">
        <w:rPr>
          <w:szCs w:val="24"/>
        </w:rPr>
        <w:t>.</w:t>
      </w:r>
    </w:p>
    <w:p w:rsidR="00896BAF" w:rsidRPr="00B27427" w:rsidRDefault="00896BAF" w:rsidP="00851333">
      <w:pPr>
        <w:pStyle w:val="ListParagraph"/>
        <w:ind w:left="1080"/>
        <w:rPr>
          <w:szCs w:val="24"/>
        </w:rPr>
      </w:pPr>
    </w:p>
    <w:p w:rsidR="00750936" w:rsidRPr="00B27427" w:rsidRDefault="00750936" w:rsidP="00750936">
      <w:pPr>
        <w:pStyle w:val="ListParagraph"/>
        <w:numPr>
          <w:ilvl w:val="1"/>
          <w:numId w:val="5"/>
        </w:numPr>
        <w:rPr>
          <w:szCs w:val="24"/>
        </w:rPr>
      </w:pPr>
      <w:r w:rsidRPr="00B27427">
        <w:rPr>
          <w:szCs w:val="24"/>
        </w:rPr>
        <w:t>The Kirby Institute advised that in the process of preparing the additional analyses, an error was identified in the costing calculations for providing PrEP for the specified coverage in each scenario</w:t>
      </w:r>
      <w:r w:rsidR="00595F2A" w:rsidRPr="00B27427">
        <w:rPr>
          <w:szCs w:val="24"/>
        </w:rPr>
        <w:t>. The error</w:t>
      </w:r>
      <w:r w:rsidRPr="00B27427">
        <w:rPr>
          <w:szCs w:val="24"/>
        </w:rPr>
        <w:t xml:space="preserve"> resulted in PrEP costs and the resulting ICER being over-estimated by 10-20% in the original analysis, and the PrEP unit cost being required to meet the cost-effectiveness thresholds being underestimated by a similar margin. </w:t>
      </w:r>
      <w:r w:rsidR="00595F2A" w:rsidRPr="00B27427">
        <w:rPr>
          <w:szCs w:val="24"/>
        </w:rPr>
        <w:t xml:space="preserve">The corrected results </w:t>
      </w:r>
      <w:r w:rsidR="006E6E1A" w:rsidRPr="00B27427">
        <w:rPr>
          <w:szCs w:val="24"/>
        </w:rPr>
        <w:t>and</w:t>
      </w:r>
      <w:r w:rsidR="00595F2A" w:rsidRPr="00B27427">
        <w:rPr>
          <w:szCs w:val="24"/>
        </w:rPr>
        <w:t xml:space="preserve"> the additional results are presented in Tables </w:t>
      </w:r>
      <w:r w:rsidR="00431698" w:rsidRPr="00B27427">
        <w:rPr>
          <w:szCs w:val="24"/>
        </w:rPr>
        <w:t>2</w:t>
      </w:r>
      <w:r w:rsidR="006E6E1A" w:rsidRPr="00B27427">
        <w:rPr>
          <w:szCs w:val="24"/>
        </w:rPr>
        <w:t xml:space="preserve">, </w:t>
      </w:r>
      <w:r w:rsidR="00431698" w:rsidRPr="00B27427">
        <w:rPr>
          <w:szCs w:val="24"/>
        </w:rPr>
        <w:t xml:space="preserve">3 </w:t>
      </w:r>
      <w:r w:rsidR="00595F2A" w:rsidRPr="00B27427">
        <w:rPr>
          <w:szCs w:val="24"/>
        </w:rPr>
        <w:t xml:space="preserve">and </w:t>
      </w:r>
      <w:r w:rsidR="00431698" w:rsidRPr="00B27427">
        <w:rPr>
          <w:szCs w:val="24"/>
        </w:rPr>
        <w:t>4</w:t>
      </w:r>
      <w:r w:rsidR="00595F2A" w:rsidRPr="00B27427">
        <w:rPr>
          <w:szCs w:val="24"/>
        </w:rPr>
        <w:t>.</w:t>
      </w:r>
      <w:r w:rsidR="00214438" w:rsidRPr="00B27427">
        <w:rPr>
          <w:szCs w:val="24"/>
        </w:rPr>
        <w:t xml:space="preserve"> The results in Table </w:t>
      </w:r>
      <w:r w:rsidR="00112CC3" w:rsidRPr="00B27427">
        <w:rPr>
          <w:szCs w:val="24"/>
        </w:rPr>
        <w:t xml:space="preserve">2 </w:t>
      </w:r>
      <w:r w:rsidR="00214438" w:rsidRPr="00B27427">
        <w:rPr>
          <w:szCs w:val="24"/>
        </w:rPr>
        <w:t>are based on a monthly cost for tenofovir with emtricitabine of $788.57 (the dispensed monthly price of Truvada® at 1 January 2016) which is equivalent to an annual cost of $9,605.</w:t>
      </w:r>
    </w:p>
    <w:p w:rsidR="00833645" w:rsidRPr="00B27427" w:rsidRDefault="00833645" w:rsidP="00833645">
      <w:pPr>
        <w:rPr>
          <w:szCs w:val="22"/>
        </w:rPr>
      </w:pPr>
    </w:p>
    <w:p w:rsidR="00595F2A" w:rsidRPr="00B27427" w:rsidRDefault="00595F2A" w:rsidP="008B6846">
      <w:pPr>
        <w:pStyle w:val="Caption"/>
      </w:pPr>
      <w:r w:rsidRPr="00B27427">
        <w:lastRenderedPageBreak/>
        <w:t xml:space="preserve">Table </w:t>
      </w:r>
      <w:fldSimple w:instr=" SEQ Table \* ARABIC ">
        <w:r w:rsidR="003C3871" w:rsidRPr="00B27427">
          <w:t>2</w:t>
        </w:r>
      </w:fldSimple>
      <w:r w:rsidRPr="00B27427">
        <w:t xml:space="preserve">: </w:t>
      </w:r>
      <w:r w:rsidR="00A44A3B" w:rsidRPr="00B27427">
        <w:t>R</w:t>
      </w:r>
      <w:r w:rsidRPr="00B27427">
        <w:t>esults of Kirby Economic Model</w:t>
      </w:r>
      <w:r w:rsidR="00A44A3B" w:rsidRPr="00B27427">
        <w:t>: cost per QALY gained for different uptake scenarios</w:t>
      </w:r>
      <w:r w:rsidR="00C03E9C" w:rsidRPr="00B27427">
        <w:t xml:space="preserve"> based on an annual PrEP cost of $9,605</w:t>
      </w:r>
    </w:p>
    <w:tbl>
      <w:tblPr>
        <w:tblStyle w:val="TableGrid"/>
        <w:tblW w:w="4967" w:type="pct"/>
        <w:tblLook w:val="04A0" w:firstRow="1" w:lastRow="0" w:firstColumn="1" w:lastColumn="0" w:noHBand="0" w:noVBand="1"/>
      </w:tblPr>
      <w:tblGrid>
        <w:gridCol w:w="2179"/>
        <w:gridCol w:w="1302"/>
        <w:gridCol w:w="72"/>
        <w:gridCol w:w="1974"/>
        <w:gridCol w:w="1974"/>
        <w:gridCol w:w="1680"/>
      </w:tblGrid>
      <w:tr w:rsidR="0073252C" w:rsidRPr="00B27427" w:rsidTr="00EA43B5">
        <w:tc>
          <w:tcPr>
            <w:tcW w:w="1187" w:type="pct"/>
            <w:shd w:val="clear" w:color="auto" w:fill="auto"/>
          </w:tcPr>
          <w:p w:rsidR="0073252C" w:rsidRPr="00B27427" w:rsidRDefault="0073252C" w:rsidP="008B6846">
            <w:pPr>
              <w:keepNext/>
              <w:widowControl w:val="0"/>
              <w:rPr>
                <w:rFonts w:ascii="Arial Narrow" w:hAnsi="Arial Narrow" w:cs="Arial"/>
                <w:b/>
                <w:snapToGrid w:val="0"/>
                <w:sz w:val="20"/>
                <w:szCs w:val="20"/>
              </w:rPr>
            </w:pPr>
            <w:r w:rsidRPr="00B27427">
              <w:rPr>
                <w:rFonts w:ascii="Arial Narrow" w:hAnsi="Arial Narrow" w:cs="Arial"/>
                <w:b/>
                <w:snapToGrid w:val="0"/>
                <w:sz w:val="20"/>
                <w:szCs w:val="20"/>
              </w:rPr>
              <w:t>Scenario (uptake in high, medium and low risk)</w:t>
            </w:r>
          </w:p>
        </w:tc>
        <w:tc>
          <w:tcPr>
            <w:tcW w:w="709" w:type="pct"/>
            <w:shd w:val="clear" w:color="auto" w:fill="auto"/>
          </w:tcPr>
          <w:p w:rsidR="0073252C" w:rsidRPr="00B27427" w:rsidRDefault="0073252C" w:rsidP="008B6846">
            <w:pPr>
              <w:keepNext/>
              <w:widowControl w:val="0"/>
              <w:rPr>
                <w:rFonts w:ascii="Arial Narrow" w:hAnsi="Arial Narrow" w:cs="Arial"/>
                <w:b/>
                <w:snapToGrid w:val="0"/>
                <w:sz w:val="20"/>
                <w:szCs w:val="20"/>
              </w:rPr>
            </w:pPr>
            <w:r w:rsidRPr="00B27427">
              <w:rPr>
                <w:rFonts w:ascii="Arial Narrow" w:hAnsi="Arial Narrow" w:cs="Arial"/>
                <w:b/>
                <w:snapToGrid w:val="0"/>
                <w:sz w:val="20"/>
                <w:szCs w:val="20"/>
              </w:rPr>
              <w:t>Infections averted</w:t>
            </w:r>
          </w:p>
        </w:tc>
        <w:tc>
          <w:tcPr>
            <w:tcW w:w="1114" w:type="pct"/>
            <w:gridSpan w:val="2"/>
            <w:shd w:val="clear" w:color="auto" w:fill="auto"/>
          </w:tcPr>
          <w:p w:rsidR="0073252C" w:rsidRPr="00B27427" w:rsidRDefault="0073252C" w:rsidP="008B6846">
            <w:pPr>
              <w:keepNext/>
              <w:widowControl w:val="0"/>
              <w:rPr>
                <w:rFonts w:ascii="Arial Narrow" w:hAnsi="Arial Narrow" w:cs="Arial"/>
                <w:b/>
                <w:snapToGrid w:val="0"/>
                <w:sz w:val="20"/>
                <w:szCs w:val="20"/>
              </w:rPr>
            </w:pPr>
            <w:r w:rsidRPr="00B27427">
              <w:rPr>
                <w:rFonts w:ascii="Arial Narrow" w:hAnsi="Arial Narrow" w:cs="Arial"/>
                <w:b/>
                <w:snapToGrid w:val="0"/>
                <w:sz w:val="20"/>
                <w:szCs w:val="20"/>
              </w:rPr>
              <w:t>QALYs gained (discounted)</w:t>
            </w:r>
          </w:p>
        </w:tc>
        <w:tc>
          <w:tcPr>
            <w:tcW w:w="1075" w:type="pct"/>
            <w:shd w:val="clear" w:color="auto" w:fill="auto"/>
          </w:tcPr>
          <w:p w:rsidR="0073252C" w:rsidRPr="00B27427" w:rsidRDefault="0073252C" w:rsidP="008B6846">
            <w:pPr>
              <w:keepNext/>
              <w:widowControl w:val="0"/>
              <w:rPr>
                <w:rFonts w:ascii="Arial Narrow" w:hAnsi="Arial Narrow" w:cs="Arial"/>
                <w:b/>
                <w:snapToGrid w:val="0"/>
                <w:sz w:val="20"/>
                <w:szCs w:val="20"/>
              </w:rPr>
            </w:pPr>
            <w:r w:rsidRPr="00B27427">
              <w:rPr>
                <w:rFonts w:ascii="Arial Narrow" w:hAnsi="Arial Narrow" w:cs="Arial"/>
                <w:b/>
                <w:snapToGrid w:val="0"/>
                <w:sz w:val="20"/>
                <w:szCs w:val="20"/>
              </w:rPr>
              <w:t>Incremental costs (discounted)</w:t>
            </w:r>
          </w:p>
        </w:tc>
        <w:tc>
          <w:tcPr>
            <w:tcW w:w="915" w:type="pct"/>
            <w:shd w:val="clear" w:color="auto" w:fill="auto"/>
          </w:tcPr>
          <w:p w:rsidR="0073252C" w:rsidRPr="00B27427" w:rsidRDefault="0073252C" w:rsidP="008B6846">
            <w:pPr>
              <w:keepNext/>
              <w:widowControl w:val="0"/>
              <w:rPr>
                <w:rFonts w:ascii="Arial Narrow" w:hAnsi="Arial Narrow" w:cs="Arial"/>
                <w:b/>
                <w:snapToGrid w:val="0"/>
                <w:sz w:val="20"/>
                <w:szCs w:val="20"/>
              </w:rPr>
            </w:pPr>
            <w:r w:rsidRPr="00B27427">
              <w:rPr>
                <w:rFonts w:ascii="Arial Narrow" w:hAnsi="Arial Narrow" w:cs="Arial"/>
                <w:b/>
                <w:snapToGrid w:val="0"/>
                <w:sz w:val="20"/>
                <w:szCs w:val="20"/>
              </w:rPr>
              <w:t>Cost per QALY gained</w:t>
            </w:r>
          </w:p>
        </w:tc>
      </w:tr>
      <w:tr w:rsidR="00A44A3B" w:rsidRPr="00B27427" w:rsidTr="00EA43B5">
        <w:tc>
          <w:tcPr>
            <w:tcW w:w="5000" w:type="pct"/>
            <w:gridSpan w:val="6"/>
            <w:shd w:val="clear" w:color="auto" w:fill="auto"/>
          </w:tcPr>
          <w:p w:rsidR="00A44A3B" w:rsidRPr="00B27427" w:rsidRDefault="00A44A3B" w:rsidP="008B6846">
            <w:pPr>
              <w:keepNext/>
              <w:widowControl w:val="0"/>
              <w:rPr>
                <w:rFonts w:ascii="Arial Narrow" w:hAnsi="Arial Narrow" w:cs="Arial"/>
                <w:b/>
                <w:snapToGrid w:val="0"/>
                <w:sz w:val="20"/>
                <w:szCs w:val="20"/>
              </w:rPr>
            </w:pPr>
            <w:r w:rsidRPr="00B27427">
              <w:rPr>
                <w:rFonts w:ascii="Arial Narrow" w:hAnsi="Arial Narrow" w:cs="Arial"/>
                <w:b/>
                <w:snapToGrid w:val="0"/>
                <w:sz w:val="20"/>
                <w:szCs w:val="20"/>
              </w:rPr>
              <w:t>Uptake scenarios considered at July 2017 PBAC meeting - corrected</w:t>
            </w:r>
          </w:p>
        </w:tc>
      </w:tr>
      <w:tr w:rsidR="0073252C" w:rsidRPr="00B27427" w:rsidTr="00EA43B5">
        <w:tc>
          <w:tcPr>
            <w:tcW w:w="1187"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30-0-0</w:t>
            </w:r>
          </w:p>
        </w:tc>
        <w:tc>
          <w:tcPr>
            <w:tcW w:w="709"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4720</w:t>
            </w:r>
          </w:p>
        </w:tc>
        <w:tc>
          <w:tcPr>
            <w:tcW w:w="1114" w:type="pct"/>
            <w:gridSpan w:val="2"/>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2190</w:t>
            </w:r>
          </w:p>
        </w:tc>
        <w:tc>
          <w:tcPr>
            <w:tcW w:w="107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$145,542,900</w:t>
            </w:r>
          </w:p>
        </w:tc>
        <w:tc>
          <w:tcPr>
            <w:tcW w:w="91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$70,470</w:t>
            </w:r>
          </w:p>
        </w:tc>
      </w:tr>
      <w:tr w:rsidR="0073252C" w:rsidRPr="00B27427" w:rsidTr="00EA43B5">
        <w:tc>
          <w:tcPr>
            <w:tcW w:w="1187"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60-0-0</w:t>
            </w:r>
          </w:p>
        </w:tc>
        <w:tc>
          <w:tcPr>
            <w:tcW w:w="709"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7790</w:t>
            </w:r>
          </w:p>
        </w:tc>
        <w:tc>
          <w:tcPr>
            <w:tcW w:w="1114" w:type="pct"/>
            <w:gridSpan w:val="2"/>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3830</w:t>
            </w:r>
          </w:p>
        </w:tc>
        <w:tc>
          <w:tcPr>
            <w:tcW w:w="107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$354,446,840</w:t>
            </w:r>
          </w:p>
        </w:tc>
        <w:tc>
          <w:tcPr>
            <w:tcW w:w="91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$100,850</w:t>
            </w:r>
          </w:p>
        </w:tc>
      </w:tr>
      <w:tr w:rsidR="0073252C" w:rsidRPr="00B27427" w:rsidTr="00EA43B5">
        <w:tc>
          <w:tcPr>
            <w:tcW w:w="1187"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90-0-0</w:t>
            </w:r>
          </w:p>
        </w:tc>
        <w:tc>
          <w:tcPr>
            <w:tcW w:w="709"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9540</w:t>
            </w:r>
          </w:p>
        </w:tc>
        <w:tc>
          <w:tcPr>
            <w:tcW w:w="1114" w:type="pct"/>
            <w:gridSpan w:val="2"/>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4940</w:t>
            </w:r>
          </w:p>
        </w:tc>
        <w:tc>
          <w:tcPr>
            <w:tcW w:w="107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$607,931,070</w:t>
            </w:r>
          </w:p>
        </w:tc>
        <w:tc>
          <w:tcPr>
            <w:tcW w:w="91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$133,240</w:t>
            </w:r>
          </w:p>
        </w:tc>
      </w:tr>
      <w:tr w:rsidR="0073252C" w:rsidRPr="00B27427" w:rsidTr="00EA43B5">
        <w:tc>
          <w:tcPr>
            <w:tcW w:w="1187"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90-20-0</w:t>
            </w:r>
          </w:p>
        </w:tc>
        <w:tc>
          <w:tcPr>
            <w:tcW w:w="709"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9580</w:t>
            </w:r>
          </w:p>
        </w:tc>
        <w:tc>
          <w:tcPr>
            <w:tcW w:w="1114" w:type="pct"/>
            <w:gridSpan w:val="2"/>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4960</w:t>
            </w:r>
          </w:p>
        </w:tc>
        <w:tc>
          <w:tcPr>
            <w:tcW w:w="107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$644,440,760</w:t>
            </w:r>
          </w:p>
        </w:tc>
        <w:tc>
          <w:tcPr>
            <w:tcW w:w="91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$140,820</w:t>
            </w:r>
          </w:p>
        </w:tc>
      </w:tr>
      <w:tr w:rsidR="0073252C" w:rsidRPr="00B27427" w:rsidTr="00EA43B5">
        <w:tc>
          <w:tcPr>
            <w:tcW w:w="1187"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90-60-0</w:t>
            </w:r>
          </w:p>
        </w:tc>
        <w:tc>
          <w:tcPr>
            <w:tcW w:w="709"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9650</w:t>
            </w:r>
          </w:p>
        </w:tc>
        <w:tc>
          <w:tcPr>
            <w:tcW w:w="1114" w:type="pct"/>
            <w:gridSpan w:val="2"/>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5010</w:t>
            </w:r>
          </w:p>
        </w:tc>
        <w:tc>
          <w:tcPr>
            <w:tcW w:w="107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$720,706,150</w:t>
            </w:r>
          </w:p>
        </w:tc>
        <w:tc>
          <w:tcPr>
            <w:tcW w:w="91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$155,040</w:t>
            </w:r>
          </w:p>
        </w:tc>
      </w:tr>
      <w:tr w:rsidR="0073252C" w:rsidRPr="00B27427" w:rsidTr="00EA43B5">
        <w:tc>
          <w:tcPr>
            <w:tcW w:w="1187"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90-20-10</w:t>
            </w:r>
          </w:p>
        </w:tc>
        <w:tc>
          <w:tcPr>
            <w:tcW w:w="709"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9830</w:t>
            </w:r>
          </w:p>
        </w:tc>
        <w:tc>
          <w:tcPr>
            <w:tcW w:w="1114" w:type="pct"/>
            <w:gridSpan w:val="2"/>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5130</w:t>
            </w:r>
          </w:p>
        </w:tc>
        <w:tc>
          <w:tcPr>
            <w:tcW w:w="107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$1,015,271,360</w:t>
            </w:r>
          </w:p>
        </w:tc>
        <w:tc>
          <w:tcPr>
            <w:tcW w:w="91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$202,820</w:t>
            </w:r>
          </w:p>
        </w:tc>
      </w:tr>
      <w:tr w:rsidR="0073252C" w:rsidRPr="00B27427" w:rsidTr="00EA43B5">
        <w:tc>
          <w:tcPr>
            <w:tcW w:w="1187"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90-60-30</w:t>
            </w:r>
          </w:p>
        </w:tc>
        <w:tc>
          <w:tcPr>
            <w:tcW w:w="709"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10350</w:t>
            </w:r>
          </w:p>
        </w:tc>
        <w:tc>
          <w:tcPr>
            <w:tcW w:w="1114" w:type="pct"/>
            <w:gridSpan w:val="2"/>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5460</w:t>
            </w:r>
          </w:p>
        </w:tc>
        <w:tc>
          <w:tcPr>
            <w:tcW w:w="107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$1,805,259,340</w:t>
            </w:r>
          </w:p>
        </w:tc>
        <w:tc>
          <w:tcPr>
            <w:tcW w:w="91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$328,290</w:t>
            </w:r>
          </w:p>
        </w:tc>
      </w:tr>
      <w:tr w:rsidR="0073252C" w:rsidRPr="00B27427" w:rsidTr="00EA43B5">
        <w:tc>
          <w:tcPr>
            <w:tcW w:w="1187"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90-90-90</w:t>
            </w:r>
          </w:p>
        </w:tc>
        <w:tc>
          <w:tcPr>
            <w:tcW w:w="709"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11330</w:t>
            </w:r>
          </w:p>
        </w:tc>
        <w:tc>
          <w:tcPr>
            <w:tcW w:w="1114" w:type="pct"/>
            <w:gridSpan w:val="2"/>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6270</w:t>
            </w:r>
          </w:p>
        </w:tc>
        <w:tc>
          <w:tcPr>
            <w:tcW w:w="107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$3,964,568,070</w:t>
            </w:r>
          </w:p>
        </w:tc>
        <w:tc>
          <w:tcPr>
            <w:tcW w:w="91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$620,600</w:t>
            </w:r>
          </w:p>
        </w:tc>
      </w:tr>
      <w:tr w:rsidR="0073252C" w:rsidRPr="00B27427" w:rsidTr="00EA43B5">
        <w:tc>
          <w:tcPr>
            <w:tcW w:w="5000" w:type="pct"/>
            <w:gridSpan w:val="6"/>
            <w:shd w:val="clear" w:color="auto" w:fill="auto"/>
          </w:tcPr>
          <w:p w:rsidR="0073252C" w:rsidRPr="00B27427" w:rsidRDefault="0073252C" w:rsidP="008B6846">
            <w:pPr>
              <w:keepNext/>
              <w:widowControl w:val="0"/>
              <w:rPr>
                <w:rFonts w:ascii="Arial Narrow" w:hAnsi="Arial Narrow" w:cs="Arial"/>
                <w:b/>
                <w:snapToGrid w:val="0"/>
                <w:sz w:val="20"/>
                <w:szCs w:val="20"/>
              </w:rPr>
            </w:pPr>
            <w:r w:rsidRPr="00B27427">
              <w:rPr>
                <w:rFonts w:ascii="Arial Narrow" w:hAnsi="Arial Narrow" w:cs="Arial"/>
                <w:b/>
                <w:snapToGrid w:val="0"/>
                <w:sz w:val="20"/>
                <w:szCs w:val="20"/>
              </w:rPr>
              <w:t>Additional uptake scenarios</w:t>
            </w:r>
          </w:p>
        </w:tc>
      </w:tr>
      <w:tr w:rsidR="0073252C" w:rsidRPr="00B27427" w:rsidTr="00EA43B5">
        <w:tc>
          <w:tcPr>
            <w:tcW w:w="1187"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40-40-0</w:t>
            </w:r>
          </w:p>
        </w:tc>
        <w:tc>
          <w:tcPr>
            <w:tcW w:w="748" w:type="pct"/>
            <w:gridSpan w:val="2"/>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6060</w:t>
            </w:r>
          </w:p>
        </w:tc>
        <w:tc>
          <w:tcPr>
            <w:tcW w:w="107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2880</w:t>
            </w:r>
          </w:p>
        </w:tc>
        <w:tc>
          <w:tcPr>
            <w:tcW w:w="1075" w:type="pct"/>
            <w:shd w:val="clear" w:color="auto" w:fill="auto"/>
          </w:tcPr>
          <w:p w:rsidR="0073252C" w:rsidRPr="00B27427" w:rsidRDefault="0073252C" w:rsidP="008B6846">
            <w:pPr>
              <w:keepNext/>
              <w:jc w:val="center"/>
              <w:rPr>
                <w:rFonts w:ascii="Arial Narrow" w:hAnsi="Arial Narrow" w:cs="Arial"/>
                <w:color w:val="000000"/>
                <w:sz w:val="20"/>
                <w:szCs w:val="20"/>
              </w:rPr>
            </w:pPr>
            <w:r w:rsidRPr="00B27427">
              <w:rPr>
                <w:rFonts w:ascii="Arial Narrow" w:hAnsi="Arial Narrow" w:cs="Arial"/>
                <w:color w:val="000000"/>
                <w:sz w:val="20"/>
                <w:szCs w:val="20"/>
              </w:rPr>
              <w:t>$285,740,950</w:t>
            </w:r>
          </w:p>
        </w:tc>
        <w:tc>
          <w:tcPr>
            <w:tcW w:w="915" w:type="pct"/>
            <w:shd w:val="clear" w:color="auto" w:fill="auto"/>
          </w:tcPr>
          <w:p w:rsidR="0073252C" w:rsidRPr="00B27427" w:rsidRDefault="0073252C" w:rsidP="008B6846">
            <w:pPr>
              <w:keepNext/>
              <w:jc w:val="center"/>
              <w:rPr>
                <w:rFonts w:ascii="Arial Narrow" w:hAnsi="Arial Narrow" w:cs="Arial"/>
                <w:color w:val="000000"/>
                <w:sz w:val="20"/>
                <w:szCs w:val="20"/>
              </w:rPr>
            </w:pPr>
            <w:r w:rsidRPr="00B27427">
              <w:rPr>
                <w:rFonts w:ascii="Arial Narrow" w:hAnsi="Arial Narrow" w:cs="Arial"/>
                <w:color w:val="000000"/>
                <w:sz w:val="20"/>
                <w:szCs w:val="20"/>
              </w:rPr>
              <w:t>$104,330</w:t>
            </w:r>
          </w:p>
        </w:tc>
      </w:tr>
      <w:tr w:rsidR="0073252C" w:rsidRPr="00B27427" w:rsidTr="00EA43B5">
        <w:tc>
          <w:tcPr>
            <w:tcW w:w="1187"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50-50-0</w:t>
            </w:r>
          </w:p>
        </w:tc>
        <w:tc>
          <w:tcPr>
            <w:tcW w:w="748" w:type="pct"/>
            <w:gridSpan w:val="2"/>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7090</w:t>
            </w:r>
          </w:p>
        </w:tc>
        <w:tc>
          <w:tcPr>
            <w:tcW w:w="107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3430</w:t>
            </w:r>
          </w:p>
        </w:tc>
        <w:tc>
          <w:tcPr>
            <w:tcW w:w="1075" w:type="pct"/>
            <w:shd w:val="clear" w:color="auto" w:fill="auto"/>
          </w:tcPr>
          <w:p w:rsidR="0073252C" w:rsidRPr="00B27427" w:rsidRDefault="0073252C" w:rsidP="008B6846">
            <w:pPr>
              <w:keepNext/>
              <w:jc w:val="center"/>
              <w:rPr>
                <w:rFonts w:ascii="Arial Narrow" w:hAnsi="Arial Narrow" w:cs="Arial"/>
                <w:color w:val="000000"/>
                <w:sz w:val="20"/>
                <w:szCs w:val="20"/>
              </w:rPr>
            </w:pPr>
            <w:r w:rsidRPr="00B27427">
              <w:rPr>
                <w:rFonts w:ascii="Arial Narrow" w:hAnsi="Arial Narrow" w:cs="Arial"/>
                <w:color w:val="000000"/>
                <w:sz w:val="20"/>
                <w:szCs w:val="20"/>
              </w:rPr>
              <w:t>$376,715,130</w:t>
            </w:r>
          </w:p>
        </w:tc>
        <w:tc>
          <w:tcPr>
            <w:tcW w:w="915" w:type="pct"/>
            <w:shd w:val="clear" w:color="auto" w:fill="auto"/>
          </w:tcPr>
          <w:p w:rsidR="0073252C" w:rsidRPr="00B27427" w:rsidRDefault="0073252C" w:rsidP="008B6846">
            <w:pPr>
              <w:keepNext/>
              <w:jc w:val="center"/>
              <w:rPr>
                <w:rFonts w:ascii="Arial Narrow" w:hAnsi="Arial Narrow" w:cs="Arial"/>
                <w:color w:val="000000"/>
                <w:sz w:val="20"/>
                <w:szCs w:val="20"/>
              </w:rPr>
            </w:pPr>
            <w:r w:rsidRPr="00B27427">
              <w:rPr>
                <w:rFonts w:ascii="Arial Narrow" w:hAnsi="Arial Narrow" w:cs="Arial"/>
                <w:color w:val="000000"/>
                <w:sz w:val="20"/>
                <w:szCs w:val="20"/>
              </w:rPr>
              <w:t>$115,730</w:t>
            </w:r>
          </w:p>
        </w:tc>
      </w:tr>
      <w:tr w:rsidR="0073252C" w:rsidRPr="00B27427" w:rsidTr="00EA43B5">
        <w:tc>
          <w:tcPr>
            <w:tcW w:w="1187"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60-60-0</w:t>
            </w:r>
          </w:p>
        </w:tc>
        <w:tc>
          <w:tcPr>
            <w:tcW w:w="748" w:type="pct"/>
            <w:gridSpan w:val="2"/>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7940</w:t>
            </w:r>
          </w:p>
        </w:tc>
        <w:tc>
          <w:tcPr>
            <w:tcW w:w="107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3920</w:t>
            </w:r>
          </w:p>
        </w:tc>
        <w:tc>
          <w:tcPr>
            <w:tcW w:w="1075" w:type="pct"/>
            <w:shd w:val="clear" w:color="auto" w:fill="auto"/>
          </w:tcPr>
          <w:p w:rsidR="0073252C" w:rsidRPr="00B27427" w:rsidRDefault="0073252C" w:rsidP="008B6846">
            <w:pPr>
              <w:keepNext/>
              <w:jc w:val="center"/>
              <w:rPr>
                <w:rFonts w:ascii="Arial Narrow" w:hAnsi="Arial Narrow" w:cs="Arial"/>
                <w:color w:val="000000"/>
                <w:sz w:val="20"/>
                <w:szCs w:val="20"/>
              </w:rPr>
            </w:pPr>
            <w:r w:rsidRPr="00B27427">
              <w:rPr>
                <w:rFonts w:ascii="Arial Narrow" w:hAnsi="Arial Narrow" w:cs="Arial"/>
                <w:color w:val="000000"/>
                <w:sz w:val="20"/>
                <w:szCs w:val="20"/>
              </w:rPr>
              <w:t>$472,352,900</w:t>
            </w:r>
          </w:p>
        </w:tc>
        <w:tc>
          <w:tcPr>
            <w:tcW w:w="915" w:type="pct"/>
            <w:shd w:val="clear" w:color="auto" w:fill="auto"/>
          </w:tcPr>
          <w:p w:rsidR="0073252C" w:rsidRPr="00B27427" w:rsidRDefault="0073252C" w:rsidP="008B6846">
            <w:pPr>
              <w:keepNext/>
              <w:jc w:val="center"/>
              <w:rPr>
                <w:rFonts w:ascii="Arial Narrow" w:hAnsi="Arial Narrow" w:cs="Arial"/>
                <w:color w:val="000000"/>
                <w:sz w:val="20"/>
                <w:szCs w:val="20"/>
              </w:rPr>
            </w:pPr>
            <w:r w:rsidRPr="00B27427">
              <w:rPr>
                <w:rFonts w:ascii="Arial Narrow" w:hAnsi="Arial Narrow" w:cs="Arial"/>
                <w:color w:val="000000"/>
                <w:sz w:val="20"/>
                <w:szCs w:val="20"/>
              </w:rPr>
              <w:t>$127,550</w:t>
            </w:r>
          </w:p>
        </w:tc>
      </w:tr>
      <w:tr w:rsidR="0073252C" w:rsidRPr="00B27427" w:rsidTr="00EA43B5">
        <w:tc>
          <w:tcPr>
            <w:tcW w:w="1187"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70-70-0</w:t>
            </w:r>
          </w:p>
        </w:tc>
        <w:tc>
          <w:tcPr>
            <w:tcW w:w="748" w:type="pct"/>
            <w:gridSpan w:val="2"/>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8650</w:t>
            </w:r>
          </w:p>
        </w:tc>
        <w:tc>
          <w:tcPr>
            <w:tcW w:w="107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4340</w:t>
            </w:r>
          </w:p>
        </w:tc>
        <w:tc>
          <w:tcPr>
            <w:tcW w:w="1075" w:type="pct"/>
            <w:shd w:val="clear" w:color="auto" w:fill="auto"/>
          </w:tcPr>
          <w:p w:rsidR="0073252C" w:rsidRPr="00B27427" w:rsidRDefault="0073252C" w:rsidP="008B6846">
            <w:pPr>
              <w:keepNext/>
              <w:jc w:val="center"/>
              <w:rPr>
                <w:rFonts w:ascii="Arial Narrow" w:hAnsi="Arial Narrow" w:cs="Arial"/>
                <w:color w:val="000000"/>
                <w:sz w:val="20"/>
                <w:szCs w:val="20"/>
              </w:rPr>
            </w:pPr>
            <w:r w:rsidRPr="00B27427">
              <w:rPr>
                <w:rFonts w:ascii="Arial Narrow" w:hAnsi="Arial Narrow" w:cs="Arial"/>
                <w:color w:val="000000"/>
                <w:sz w:val="20"/>
                <w:szCs w:val="20"/>
              </w:rPr>
              <w:t>$572,002,020</w:t>
            </w:r>
          </w:p>
        </w:tc>
        <w:tc>
          <w:tcPr>
            <w:tcW w:w="915" w:type="pct"/>
            <w:shd w:val="clear" w:color="auto" w:fill="auto"/>
          </w:tcPr>
          <w:p w:rsidR="0073252C" w:rsidRPr="00B27427" w:rsidRDefault="0073252C" w:rsidP="008B6846">
            <w:pPr>
              <w:keepNext/>
              <w:jc w:val="center"/>
              <w:rPr>
                <w:rFonts w:ascii="Arial Narrow" w:hAnsi="Arial Narrow" w:cs="Arial"/>
                <w:color w:val="000000"/>
                <w:sz w:val="20"/>
                <w:szCs w:val="20"/>
              </w:rPr>
            </w:pPr>
            <w:r w:rsidRPr="00B27427">
              <w:rPr>
                <w:rFonts w:ascii="Arial Narrow" w:hAnsi="Arial Narrow" w:cs="Arial"/>
                <w:color w:val="000000"/>
                <w:sz w:val="20"/>
                <w:szCs w:val="20"/>
              </w:rPr>
              <w:t>$139,960</w:t>
            </w:r>
          </w:p>
        </w:tc>
      </w:tr>
      <w:tr w:rsidR="0073252C" w:rsidRPr="00B27427" w:rsidTr="00EA43B5">
        <w:tc>
          <w:tcPr>
            <w:tcW w:w="1187"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80-80-0</w:t>
            </w:r>
          </w:p>
        </w:tc>
        <w:tc>
          <w:tcPr>
            <w:tcW w:w="748" w:type="pct"/>
            <w:gridSpan w:val="2"/>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9230</w:t>
            </w:r>
          </w:p>
        </w:tc>
        <w:tc>
          <w:tcPr>
            <w:tcW w:w="1075" w:type="pct"/>
            <w:shd w:val="clear" w:color="auto" w:fill="auto"/>
          </w:tcPr>
          <w:p w:rsidR="0073252C" w:rsidRPr="00B27427" w:rsidRDefault="0073252C" w:rsidP="008B6846">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4720</w:t>
            </w:r>
          </w:p>
        </w:tc>
        <w:tc>
          <w:tcPr>
            <w:tcW w:w="1075" w:type="pct"/>
            <w:shd w:val="clear" w:color="auto" w:fill="auto"/>
          </w:tcPr>
          <w:p w:rsidR="0073252C" w:rsidRPr="00B27427" w:rsidRDefault="0073252C" w:rsidP="008B6846">
            <w:pPr>
              <w:keepNext/>
              <w:jc w:val="center"/>
              <w:rPr>
                <w:rFonts w:ascii="Arial Narrow" w:hAnsi="Arial Narrow" w:cs="Arial"/>
                <w:color w:val="000000"/>
                <w:sz w:val="20"/>
                <w:szCs w:val="20"/>
              </w:rPr>
            </w:pPr>
            <w:r w:rsidRPr="00B27427">
              <w:rPr>
                <w:rFonts w:ascii="Arial Narrow" w:hAnsi="Arial Narrow" w:cs="Arial"/>
                <w:color w:val="000000"/>
                <w:sz w:val="20"/>
                <w:szCs w:val="20"/>
              </w:rPr>
              <w:t>$675,112,680</w:t>
            </w:r>
          </w:p>
        </w:tc>
        <w:tc>
          <w:tcPr>
            <w:tcW w:w="915" w:type="pct"/>
            <w:shd w:val="clear" w:color="auto" w:fill="auto"/>
          </w:tcPr>
          <w:p w:rsidR="0073252C" w:rsidRPr="00B27427" w:rsidRDefault="0073252C" w:rsidP="008B6846">
            <w:pPr>
              <w:keepNext/>
              <w:jc w:val="center"/>
              <w:rPr>
                <w:rFonts w:ascii="Arial Narrow" w:hAnsi="Arial Narrow" w:cs="Arial"/>
                <w:color w:val="000000"/>
                <w:sz w:val="20"/>
                <w:szCs w:val="20"/>
              </w:rPr>
            </w:pPr>
            <w:r w:rsidRPr="00B27427">
              <w:rPr>
                <w:rFonts w:ascii="Arial Narrow" w:hAnsi="Arial Narrow" w:cs="Arial"/>
                <w:color w:val="000000"/>
                <w:sz w:val="20"/>
                <w:szCs w:val="20"/>
              </w:rPr>
              <w:t>$152,650</w:t>
            </w:r>
          </w:p>
        </w:tc>
      </w:tr>
    </w:tbl>
    <w:p w:rsidR="00595F2A" w:rsidRPr="00B27427" w:rsidRDefault="00595F2A" w:rsidP="008B6846">
      <w:pPr>
        <w:pStyle w:val="ListParagraph"/>
        <w:keepNext/>
        <w:ind w:left="0"/>
        <w:rPr>
          <w:rFonts w:ascii="Arial Narrow" w:hAnsi="Arial Narrow"/>
          <w:sz w:val="20"/>
        </w:rPr>
      </w:pPr>
      <w:r w:rsidRPr="00B27427">
        <w:rPr>
          <w:rFonts w:ascii="Arial Narrow" w:hAnsi="Arial Narrow"/>
          <w:sz w:val="20"/>
        </w:rPr>
        <w:t xml:space="preserve">Source: Kirby Institute and the Centre for Social Research in Health (October 2017). Discussion paper: Updated Estimates of the number of people eligible for PrEP in Australia, and related cost-effectiveness. </w:t>
      </w:r>
      <w:proofErr w:type="gramStart"/>
      <w:r w:rsidRPr="00B27427">
        <w:rPr>
          <w:rFonts w:ascii="Arial Narrow" w:hAnsi="Arial Narrow"/>
          <w:sz w:val="20"/>
        </w:rPr>
        <w:t>Appendix, Table A6.</w:t>
      </w:r>
      <w:proofErr w:type="gramEnd"/>
      <w:r w:rsidRPr="00B27427">
        <w:rPr>
          <w:rFonts w:ascii="Arial Narrow" w:hAnsi="Arial Narrow"/>
          <w:sz w:val="20"/>
        </w:rPr>
        <w:t xml:space="preserve"> Source: Kirby Institute and the Centre for Social Research in Health (October 2017). Discussion paper: Updated Estimates of the number of people eligible for PrEP in Australia, and related cost-effectiveness. </w:t>
      </w:r>
      <w:proofErr w:type="gramStart"/>
      <w:r w:rsidRPr="00B27427">
        <w:rPr>
          <w:rFonts w:ascii="Arial Narrow" w:hAnsi="Arial Narrow"/>
          <w:sz w:val="20"/>
        </w:rPr>
        <w:t>A</w:t>
      </w:r>
      <w:r w:rsidR="00F47D97" w:rsidRPr="00B27427">
        <w:rPr>
          <w:rFonts w:ascii="Arial Narrow" w:hAnsi="Arial Narrow"/>
          <w:sz w:val="20"/>
        </w:rPr>
        <w:t>dd</w:t>
      </w:r>
      <w:r w:rsidRPr="00B27427">
        <w:rPr>
          <w:rFonts w:ascii="Arial Narrow" w:hAnsi="Arial Narrow"/>
          <w:sz w:val="20"/>
        </w:rPr>
        <w:t>endum, Table 3.</w:t>
      </w:r>
      <w:proofErr w:type="gramEnd"/>
      <w:r w:rsidRPr="00B27427">
        <w:rPr>
          <w:rFonts w:ascii="Arial Narrow" w:hAnsi="Arial Narrow"/>
          <w:sz w:val="20"/>
        </w:rPr>
        <w:t xml:space="preserve"> </w:t>
      </w:r>
    </w:p>
    <w:p w:rsidR="006E6E1A" w:rsidRPr="00B27427" w:rsidRDefault="006E6E1A" w:rsidP="00431698"/>
    <w:p w:rsidR="00431698" w:rsidRPr="00B27427" w:rsidRDefault="006E6E1A" w:rsidP="00431698">
      <w:pPr>
        <w:pStyle w:val="Caption"/>
      </w:pPr>
      <w:r w:rsidRPr="00B27427">
        <w:t xml:space="preserve">Table </w:t>
      </w:r>
      <w:fldSimple w:instr=" SEQ Table \* ARABIC ">
        <w:r w:rsidR="003C3871" w:rsidRPr="00B27427">
          <w:t>3</w:t>
        </w:r>
      </w:fldSimple>
      <w:r w:rsidRPr="00B27427">
        <w:t>: PrEP annual cost required for scenario to be cost-effective for a given willingness-to-pay threshold (A$ per QALY gained). For each scenario and cost-effectiveness threshold, the table shows the median value from the simulation ensemble. Corrected results for analyses considered at July 2017 meeting.</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909"/>
        <w:gridCol w:w="2721"/>
        <w:gridCol w:w="2722"/>
        <w:gridCol w:w="2720"/>
      </w:tblGrid>
      <w:tr w:rsidR="006E6E1A" w:rsidRPr="00B27427" w:rsidTr="00431698">
        <w:tc>
          <w:tcPr>
            <w:tcW w:w="501" w:type="pct"/>
            <w:vAlign w:val="bottom"/>
          </w:tcPr>
          <w:p w:rsidR="006E6E1A" w:rsidRPr="00B27427" w:rsidRDefault="006E6E1A" w:rsidP="00431698">
            <w:pPr>
              <w:keepNext/>
              <w:widowControl w:val="0"/>
              <w:rPr>
                <w:rFonts w:ascii="Arial Narrow" w:hAnsi="Arial Narrow" w:cs="Arial"/>
                <w:b/>
                <w:snapToGrid w:val="0"/>
                <w:sz w:val="20"/>
                <w:szCs w:val="20"/>
              </w:rPr>
            </w:pPr>
            <w:r w:rsidRPr="00B27427">
              <w:rPr>
                <w:rFonts w:ascii="Arial Narrow" w:hAnsi="Arial Narrow" w:cs="Arial"/>
                <w:b/>
                <w:snapToGrid w:val="0"/>
                <w:sz w:val="20"/>
                <w:szCs w:val="20"/>
              </w:rPr>
              <w:t>Scenario</w:t>
            </w:r>
          </w:p>
        </w:tc>
        <w:tc>
          <w:tcPr>
            <w:tcW w:w="1500" w:type="pct"/>
            <w:vAlign w:val="bottom"/>
          </w:tcPr>
          <w:p w:rsidR="006E6E1A" w:rsidRPr="00B27427" w:rsidRDefault="006E6E1A" w:rsidP="00431698">
            <w:pPr>
              <w:keepNext/>
              <w:widowControl w:val="0"/>
              <w:jc w:val="center"/>
              <w:rPr>
                <w:rFonts w:ascii="Arial Narrow" w:hAnsi="Arial Narrow" w:cs="Arial"/>
                <w:b/>
                <w:snapToGrid w:val="0"/>
                <w:sz w:val="20"/>
                <w:szCs w:val="20"/>
              </w:rPr>
            </w:pPr>
            <w:r w:rsidRPr="00B27427">
              <w:rPr>
                <w:rFonts w:ascii="Arial Narrow" w:hAnsi="Arial Narrow" w:cs="Arial"/>
                <w:b/>
                <w:snapToGrid w:val="0"/>
                <w:sz w:val="20"/>
                <w:szCs w:val="20"/>
              </w:rPr>
              <w:t>$30,000 per QALY gained</w:t>
            </w:r>
          </w:p>
        </w:tc>
        <w:tc>
          <w:tcPr>
            <w:tcW w:w="1500" w:type="pct"/>
            <w:vAlign w:val="bottom"/>
          </w:tcPr>
          <w:p w:rsidR="006E6E1A" w:rsidRPr="00B27427" w:rsidRDefault="006E6E1A" w:rsidP="00431698">
            <w:pPr>
              <w:keepNext/>
              <w:widowControl w:val="0"/>
              <w:jc w:val="center"/>
              <w:rPr>
                <w:rFonts w:ascii="Arial Narrow" w:hAnsi="Arial Narrow" w:cs="Arial"/>
                <w:b/>
                <w:snapToGrid w:val="0"/>
                <w:sz w:val="20"/>
                <w:szCs w:val="20"/>
              </w:rPr>
            </w:pPr>
            <w:r w:rsidRPr="00B27427">
              <w:rPr>
                <w:rFonts w:ascii="Arial Narrow" w:hAnsi="Arial Narrow" w:cs="Arial"/>
                <w:b/>
                <w:snapToGrid w:val="0"/>
                <w:sz w:val="20"/>
                <w:szCs w:val="20"/>
              </w:rPr>
              <w:t>$60,000 per QALY gained</w:t>
            </w:r>
          </w:p>
        </w:tc>
        <w:tc>
          <w:tcPr>
            <w:tcW w:w="1499" w:type="pct"/>
            <w:vAlign w:val="bottom"/>
          </w:tcPr>
          <w:p w:rsidR="006E6E1A" w:rsidRPr="00B27427" w:rsidRDefault="006E6E1A" w:rsidP="00431698">
            <w:pPr>
              <w:keepNext/>
              <w:widowControl w:val="0"/>
              <w:jc w:val="center"/>
              <w:rPr>
                <w:rFonts w:ascii="Arial Narrow" w:hAnsi="Arial Narrow" w:cs="Arial"/>
                <w:b/>
                <w:snapToGrid w:val="0"/>
                <w:sz w:val="20"/>
                <w:szCs w:val="20"/>
              </w:rPr>
            </w:pPr>
            <w:r w:rsidRPr="00B27427">
              <w:rPr>
                <w:rFonts w:ascii="Arial Narrow" w:hAnsi="Arial Narrow" w:cs="Arial"/>
                <w:b/>
                <w:snapToGrid w:val="0"/>
                <w:sz w:val="20"/>
                <w:szCs w:val="20"/>
              </w:rPr>
              <w:t>$90,000 per QALY gained</w:t>
            </w:r>
          </w:p>
        </w:tc>
      </w:tr>
      <w:tr w:rsidR="006E6E1A" w:rsidRPr="00B27427" w:rsidTr="00431698">
        <w:tc>
          <w:tcPr>
            <w:tcW w:w="501" w:type="pct"/>
          </w:tcPr>
          <w:p w:rsidR="006E6E1A" w:rsidRPr="00B27427" w:rsidRDefault="006E6E1A" w:rsidP="00431698">
            <w:pPr>
              <w:keepNext/>
              <w:widowControl w:val="0"/>
              <w:rPr>
                <w:rFonts w:ascii="Arial Narrow" w:hAnsi="Arial Narrow" w:cs="Arial"/>
                <w:snapToGrid w:val="0"/>
                <w:sz w:val="20"/>
                <w:szCs w:val="20"/>
              </w:rPr>
            </w:pPr>
            <w:r w:rsidRPr="00B27427">
              <w:rPr>
                <w:rFonts w:ascii="Arial Narrow" w:hAnsi="Arial Narrow" w:cs="Arial"/>
                <w:snapToGrid w:val="0"/>
                <w:sz w:val="20"/>
                <w:szCs w:val="20"/>
              </w:rPr>
              <w:t>30-0-0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$7,090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$9,440</w:t>
            </w:r>
          </w:p>
        </w:tc>
        <w:tc>
          <w:tcPr>
            <w:tcW w:w="1499"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$11,770</w:t>
            </w:r>
          </w:p>
        </w:tc>
      </w:tr>
      <w:tr w:rsidR="006E6E1A" w:rsidRPr="00B27427" w:rsidTr="00431698">
        <w:tc>
          <w:tcPr>
            <w:tcW w:w="501" w:type="pct"/>
          </w:tcPr>
          <w:p w:rsidR="006E6E1A" w:rsidRPr="00B27427" w:rsidRDefault="006E6E1A" w:rsidP="00431698">
            <w:pPr>
              <w:keepNext/>
              <w:widowControl w:val="0"/>
              <w:rPr>
                <w:rFonts w:ascii="Arial Narrow" w:hAnsi="Arial Narrow" w:cs="Arial"/>
                <w:snapToGrid w:val="0"/>
                <w:sz w:val="20"/>
                <w:szCs w:val="20"/>
              </w:rPr>
            </w:pPr>
            <w:r w:rsidRPr="00B27427">
              <w:rPr>
                <w:rFonts w:ascii="Arial Narrow" w:hAnsi="Arial Narrow" w:cs="Arial"/>
                <w:snapToGrid w:val="0"/>
                <w:sz w:val="20"/>
                <w:szCs w:val="20"/>
              </w:rPr>
              <w:t>60-0-0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$5,790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$7,690</w:t>
            </w:r>
          </w:p>
        </w:tc>
        <w:tc>
          <w:tcPr>
            <w:tcW w:w="1499"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$9,580</w:t>
            </w:r>
          </w:p>
        </w:tc>
      </w:tr>
      <w:tr w:rsidR="006E6E1A" w:rsidRPr="00B27427" w:rsidTr="00431698">
        <w:tc>
          <w:tcPr>
            <w:tcW w:w="501" w:type="pct"/>
          </w:tcPr>
          <w:p w:rsidR="006E6E1A" w:rsidRPr="00B27427" w:rsidRDefault="006E6E1A" w:rsidP="00431698">
            <w:pPr>
              <w:keepNext/>
              <w:widowControl w:val="0"/>
              <w:rPr>
                <w:rFonts w:ascii="Arial Narrow" w:hAnsi="Arial Narrow" w:cs="Arial"/>
                <w:snapToGrid w:val="0"/>
                <w:sz w:val="20"/>
                <w:szCs w:val="20"/>
              </w:rPr>
            </w:pPr>
            <w:r w:rsidRPr="00B27427">
              <w:rPr>
                <w:rFonts w:ascii="Arial Narrow" w:hAnsi="Arial Narrow" w:cs="Arial"/>
                <w:snapToGrid w:val="0"/>
                <w:sz w:val="20"/>
                <w:szCs w:val="20"/>
              </w:rPr>
              <w:t>90-0-0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$4,870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$6,450</w:t>
            </w:r>
          </w:p>
        </w:tc>
        <w:tc>
          <w:tcPr>
            <w:tcW w:w="1499"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$8,020</w:t>
            </w:r>
          </w:p>
        </w:tc>
      </w:tr>
      <w:tr w:rsidR="006E6E1A" w:rsidRPr="00B27427" w:rsidTr="00431698">
        <w:tc>
          <w:tcPr>
            <w:tcW w:w="501" w:type="pct"/>
          </w:tcPr>
          <w:p w:rsidR="006E6E1A" w:rsidRPr="00B27427" w:rsidRDefault="006E6E1A" w:rsidP="00431698">
            <w:pPr>
              <w:keepNext/>
              <w:widowControl w:val="0"/>
              <w:rPr>
                <w:rFonts w:ascii="Arial Narrow" w:hAnsi="Arial Narrow" w:cs="Arial"/>
                <w:snapToGrid w:val="0"/>
                <w:sz w:val="20"/>
                <w:szCs w:val="20"/>
              </w:rPr>
            </w:pPr>
            <w:r w:rsidRPr="00B27427">
              <w:rPr>
                <w:rFonts w:ascii="Arial Narrow" w:hAnsi="Arial Narrow" w:cs="Arial"/>
                <w:snapToGrid w:val="0"/>
                <w:sz w:val="20"/>
                <w:szCs w:val="20"/>
              </w:rPr>
              <w:t>90-20-0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$4,720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$6,230</w:t>
            </w:r>
          </w:p>
        </w:tc>
        <w:tc>
          <w:tcPr>
            <w:tcW w:w="1499"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$7,730</w:t>
            </w:r>
          </w:p>
        </w:tc>
      </w:tr>
      <w:tr w:rsidR="006E6E1A" w:rsidRPr="00B27427" w:rsidTr="00431698">
        <w:tc>
          <w:tcPr>
            <w:tcW w:w="501" w:type="pct"/>
          </w:tcPr>
          <w:p w:rsidR="006E6E1A" w:rsidRPr="00B27427" w:rsidRDefault="006E6E1A" w:rsidP="00431698">
            <w:pPr>
              <w:keepNext/>
              <w:widowControl w:val="0"/>
              <w:rPr>
                <w:rFonts w:ascii="Arial Narrow" w:hAnsi="Arial Narrow" w:cs="Arial"/>
                <w:snapToGrid w:val="0"/>
                <w:sz w:val="20"/>
                <w:szCs w:val="20"/>
              </w:rPr>
            </w:pPr>
            <w:r w:rsidRPr="00B27427">
              <w:rPr>
                <w:rFonts w:ascii="Arial Narrow" w:hAnsi="Arial Narrow" w:cs="Arial"/>
                <w:snapToGrid w:val="0"/>
                <w:sz w:val="20"/>
                <w:szCs w:val="20"/>
              </w:rPr>
              <w:t>90-60-0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$4,430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$5,830</w:t>
            </w:r>
          </w:p>
        </w:tc>
        <w:tc>
          <w:tcPr>
            <w:tcW w:w="1499"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$7,230</w:t>
            </w:r>
          </w:p>
        </w:tc>
      </w:tr>
      <w:tr w:rsidR="006E6E1A" w:rsidRPr="00B27427" w:rsidTr="00431698">
        <w:tc>
          <w:tcPr>
            <w:tcW w:w="501" w:type="pct"/>
          </w:tcPr>
          <w:p w:rsidR="006E6E1A" w:rsidRPr="00B27427" w:rsidRDefault="006E6E1A" w:rsidP="00431698">
            <w:pPr>
              <w:keepNext/>
              <w:widowControl w:val="0"/>
              <w:rPr>
                <w:rFonts w:ascii="Arial Narrow" w:hAnsi="Arial Narrow" w:cs="Arial"/>
                <w:snapToGrid w:val="0"/>
                <w:sz w:val="20"/>
                <w:szCs w:val="20"/>
              </w:rPr>
            </w:pPr>
            <w:r w:rsidRPr="00B27427">
              <w:rPr>
                <w:rFonts w:ascii="Arial Narrow" w:hAnsi="Arial Narrow" w:cs="Arial"/>
                <w:snapToGrid w:val="0"/>
                <w:sz w:val="20"/>
                <w:szCs w:val="20"/>
              </w:rPr>
              <w:t>90-20-10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$3,620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$4,780</w:t>
            </w:r>
          </w:p>
        </w:tc>
        <w:tc>
          <w:tcPr>
            <w:tcW w:w="1499"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$5,930</w:t>
            </w:r>
          </w:p>
        </w:tc>
      </w:tr>
      <w:tr w:rsidR="006E6E1A" w:rsidRPr="00B27427" w:rsidTr="00431698">
        <w:tc>
          <w:tcPr>
            <w:tcW w:w="501" w:type="pct"/>
          </w:tcPr>
          <w:p w:rsidR="006E6E1A" w:rsidRPr="00B27427" w:rsidRDefault="006E6E1A" w:rsidP="00431698">
            <w:pPr>
              <w:keepNext/>
              <w:widowControl w:val="0"/>
              <w:rPr>
                <w:rFonts w:ascii="Arial Narrow" w:hAnsi="Arial Narrow" w:cs="Arial"/>
                <w:snapToGrid w:val="0"/>
                <w:sz w:val="20"/>
                <w:szCs w:val="20"/>
              </w:rPr>
            </w:pPr>
            <w:r w:rsidRPr="00B27427">
              <w:rPr>
                <w:rFonts w:ascii="Arial Narrow" w:hAnsi="Arial Narrow" w:cs="Arial"/>
                <w:snapToGrid w:val="0"/>
                <w:sz w:val="20"/>
                <w:szCs w:val="20"/>
              </w:rPr>
              <w:t>90-60-30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$2,430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$3,210</w:t>
            </w:r>
          </w:p>
        </w:tc>
        <w:tc>
          <w:tcPr>
            <w:tcW w:w="1499"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$3,990</w:t>
            </w:r>
          </w:p>
        </w:tc>
      </w:tr>
      <w:tr w:rsidR="006E6E1A" w:rsidRPr="00B27427" w:rsidTr="00431698">
        <w:tc>
          <w:tcPr>
            <w:tcW w:w="501" w:type="pct"/>
          </w:tcPr>
          <w:p w:rsidR="006E6E1A" w:rsidRPr="00B27427" w:rsidRDefault="006E6E1A" w:rsidP="00431698">
            <w:pPr>
              <w:keepNext/>
              <w:widowControl w:val="0"/>
              <w:rPr>
                <w:rFonts w:ascii="Arial Narrow" w:hAnsi="Arial Narrow" w:cs="Arial"/>
                <w:snapToGrid w:val="0"/>
                <w:sz w:val="20"/>
                <w:szCs w:val="20"/>
              </w:rPr>
            </w:pPr>
            <w:r w:rsidRPr="00B27427">
              <w:rPr>
                <w:rFonts w:ascii="Arial Narrow" w:hAnsi="Arial Narrow" w:cs="Arial"/>
                <w:snapToGrid w:val="0"/>
                <w:sz w:val="20"/>
                <w:szCs w:val="20"/>
              </w:rPr>
              <w:t>90-90-90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$1,440</w:t>
            </w:r>
          </w:p>
        </w:tc>
        <w:tc>
          <w:tcPr>
            <w:tcW w:w="1500"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$1,890</w:t>
            </w:r>
          </w:p>
        </w:tc>
        <w:tc>
          <w:tcPr>
            <w:tcW w:w="1499" w:type="pct"/>
            <w:vAlign w:val="bottom"/>
          </w:tcPr>
          <w:p w:rsidR="006E6E1A" w:rsidRPr="00B27427" w:rsidRDefault="006E6E1A" w:rsidP="00431698">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$2,340</w:t>
            </w:r>
          </w:p>
        </w:tc>
      </w:tr>
    </w:tbl>
    <w:p w:rsidR="006E6E1A" w:rsidRPr="00B27427" w:rsidRDefault="006E6E1A" w:rsidP="006E6E1A">
      <w:pPr>
        <w:pStyle w:val="ListParagraph"/>
        <w:ind w:left="0"/>
        <w:rPr>
          <w:rFonts w:ascii="Arial Narrow" w:hAnsi="Arial Narrow"/>
          <w:sz w:val="20"/>
        </w:rPr>
      </w:pPr>
      <w:r w:rsidRPr="00B27427">
        <w:rPr>
          <w:rFonts w:ascii="Arial Narrow" w:hAnsi="Arial Narrow"/>
          <w:sz w:val="20"/>
        </w:rPr>
        <w:t xml:space="preserve">Source: Kirby Institute and the Centre for Social Research in Health (October 2017). Discussion paper: Updated Estimates of the number of people eligible for PrEP in Australia, and related cost-effectiveness, Table A7, p 38. </w:t>
      </w:r>
    </w:p>
    <w:p w:rsidR="00431698" w:rsidRPr="00B27427" w:rsidRDefault="00431698" w:rsidP="006E6E1A">
      <w:pPr>
        <w:pStyle w:val="ListParagraph"/>
        <w:ind w:left="0"/>
        <w:rPr>
          <w:rFonts w:ascii="Arial Narrow" w:hAnsi="Arial Narrow"/>
          <w:sz w:val="20"/>
        </w:rPr>
      </w:pPr>
    </w:p>
    <w:p w:rsidR="00B63475" w:rsidRPr="00B27427" w:rsidRDefault="00B63475" w:rsidP="00B63475">
      <w:pPr>
        <w:pStyle w:val="Caption"/>
      </w:pPr>
      <w:r w:rsidRPr="00B27427">
        <w:t xml:space="preserve">Table </w:t>
      </w:r>
      <w:fldSimple w:instr=" SEQ Table \* ARABIC ">
        <w:r w:rsidR="003C3871" w:rsidRPr="00B27427">
          <w:t>4</w:t>
        </w:r>
      </w:fldSimple>
      <w:r w:rsidRPr="00B27427">
        <w:t>: PrEP annual cost required for scenario to be cost-effective for a given willingness-to-pay threshold (A$ per QALY gained). For each scenario and cost-effectiveness threshold, the table shows the median value from the simulation ensemble.</w:t>
      </w:r>
      <w:r w:rsidR="006E6E1A" w:rsidRPr="00B27427">
        <w:t xml:space="preserve"> </w:t>
      </w:r>
      <w:proofErr w:type="gramStart"/>
      <w:r w:rsidR="006E6E1A" w:rsidRPr="00B27427">
        <w:t>Results for additional uptake scenarios and cost-effectiveness thresholds.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910"/>
        <w:gridCol w:w="1670"/>
        <w:gridCol w:w="1670"/>
        <w:gridCol w:w="1665"/>
        <w:gridCol w:w="1665"/>
        <w:gridCol w:w="1662"/>
      </w:tblGrid>
      <w:tr w:rsidR="00605B5C" w:rsidRPr="00B27427" w:rsidTr="00605B5C">
        <w:tc>
          <w:tcPr>
            <w:tcW w:w="492" w:type="pct"/>
            <w:vAlign w:val="bottom"/>
          </w:tcPr>
          <w:p w:rsidR="00605B5C" w:rsidRPr="00B27427" w:rsidRDefault="00605B5C" w:rsidP="00807CBA">
            <w:pPr>
              <w:keepNext/>
              <w:widowControl w:val="0"/>
              <w:rPr>
                <w:rFonts w:ascii="Arial Narrow" w:hAnsi="Arial Narrow" w:cs="Arial"/>
                <w:b/>
                <w:snapToGrid w:val="0"/>
                <w:sz w:val="20"/>
                <w:szCs w:val="20"/>
              </w:rPr>
            </w:pPr>
            <w:r w:rsidRPr="00B27427">
              <w:rPr>
                <w:rFonts w:ascii="Arial Narrow" w:hAnsi="Arial Narrow" w:cs="Arial"/>
                <w:b/>
                <w:snapToGrid w:val="0"/>
                <w:sz w:val="20"/>
                <w:szCs w:val="20"/>
              </w:rPr>
              <w:t>Scenario</w:t>
            </w:r>
          </w:p>
        </w:tc>
        <w:tc>
          <w:tcPr>
            <w:tcW w:w="903" w:type="pct"/>
            <w:vAlign w:val="bottom"/>
          </w:tcPr>
          <w:p w:rsidR="00605B5C" w:rsidRPr="00B27427" w:rsidRDefault="00605B5C" w:rsidP="00605B5C">
            <w:pPr>
              <w:keepNext/>
              <w:widowControl w:val="0"/>
              <w:jc w:val="center"/>
              <w:rPr>
                <w:rFonts w:ascii="Arial Narrow" w:hAnsi="Arial Narrow" w:cs="Arial"/>
                <w:b/>
                <w:snapToGrid w:val="0"/>
                <w:sz w:val="20"/>
                <w:szCs w:val="20"/>
              </w:rPr>
            </w:pPr>
            <w:r w:rsidRPr="00B27427">
              <w:rPr>
                <w:rFonts w:ascii="Arial Narrow" w:hAnsi="Arial Narrow" w:cs="Arial"/>
                <w:b/>
                <w:snapToGrid w:val="0"/>
                <w:sz w:val="20"/>
                <w:szCs w:val="20"/>
              </w:rPr>
              <w:t>$10,000/QALY</w:t>
            </w:r>
          </w:p>
        </w:tc>
        <w:tc>
          <w:tcPr>
            <w:tcW w:w="903" w:type="pct"/>
            <w:vAlign w:val="bottom"/>
          </w:tcPr>
          <w:p w:rsidR="00605B5C" w:rsidRPr="00B27427" w:rsidRDefault="00605B5C" w:rsidP="00605B5C">
            <w:pPr>
              <w:keepNext/>
              <w:widowControl w:val="0"/>
              <w:jc w:val="center"/>
              <w:rPr>
                <w:rFonts w:ascii="Arial Narrow" w:hAnsi="Arial Narrow" w:cs="Arial"/>
                <w:b/>
                <w:snapToGrid w:val="0"/>
                <w:sz w:val="20"/>
                <w:szCs w:val="20"/>
              </w:rPr>
            </w:pPr>
            <w:r w:rsidRPr="00B27427">
              <w:rPr>
                <w:rFonts w:ascii="Arial Narrow" w:hAnsi="Arial Narrow" w:cs="Arial"/>
                <w:b/>
                <w:snapToGrid w:val="0"/>
                <w:sz w:val="20"/>
                <w:szCs w:val="20"/>
              </w:rPr>
              <w:t>$15,000/QALY</w:t>
            </w:r>
          </w:p>
        </w:tc>
        <w:tc>
          <w:tcPr>
            <w:tcW w:w="901" w:type="pct"/>
            <w:vAlign w:val="bottom"/>
          </w:tcPr>
          <w:p w:rsidR="00605B5C" w:rsidRPr="00B27427" w:rsidRDefault="00605B5C" w:rsidP="00605B5C">
            <w:pPr>
              <w:keepNext/>
              <w:widowControl w:val="0"/>
              <w:jc w:val="center"/>
              <w:rPr>
                <w:rFonts w:ascii="Arial Narrow" w:hAnsi="Arial Narrow" w:cs="Arial"/>
                <w:b/>
                <w:snapToGrid w:val="0"/>
                <w:sz w:val="20"/>
                <w:szCs w:val="20"/>
              </w:rPr>
            </w:pPr>
            <w:r w:rsidRPr="00B27427">
              <w:rPr>
                <w:rFonts w:ascii="Arial Narrow" w:hAnsi="Arial Narrow" w:cs="Arial"/>
                <w:b/>
                <w:snapToGrid w:val="0"/>
                <w:sz w:val="20"/>
                <w:szCs w:val="20"/>
              </w:rPr>
              <w:t>$20,000/QALY</w:t>
            </w:r>
          </w:p>
        </w:tc>
        <w:tc>
          <w:tcPr>
            <w:tcW w:w="901" w:type="pct"/>
          </w:tcPr>
          <w:p w:rsidR="00605B5C" w:rsidRPr="00B27427" w:rsidRDefault="00605B5C" w:rsidP="00605B5C">
            <w:pPr>
              <w:keepNext/>
              <w:widowControl w:val="0"/>
              <w:jc w:val="center"/>
              <w:rPr>
                <w:rFonts w:ascii="Arial Narrow" w:hAnsi="Arial Narrow" w:cs="Arial"/>
                <w:b/>
                <w:snapToGrid w:val="0"/>
                <w:sz w:val="20"/>
                <w:szCs w:val="20"/>
              </w:rPr>
            </w:pPr>
            <w:r w:rsidRPr="00B27427">
              <w:rPr>
                <w:rFonts w:ascii="Arial Narrow" w:hAnsi="Arial Narrow" w:cs="Arial"/>
                <w:b/>
                <w:snapToGrid w:val="0"/>
                <w:sz w:val="20"/>
                <w:szCs w:val="20"/>
              </w:rPr>
              <w:t>$25,000/QALY</w:t>
            </w:r>
          </w:p>
        </w:tc>
        <w:tc>
          <w:tcPr>
            <w:tcW w:w="899" w:type="pct"/>
          </w:tcPr>
          <w:p w:rsidR="00605B5C" w:rsidRPr="00B27427" w:rsidRDefault="00605B5C" w:rsidP="00605B5C">
            <w:pPr>
              <w:keepNext/>
              <w:widowControl w:val="0"/>
              <w:jc w:val="center"/>
              <w:rPr>
                <w:rFonts w:ascii="Arial Narrow" w:hAnsi="Arial Narrow" w:cs="Arial"/>
                <w:b/>
                <w:snapToGrid w:val="0"/>
                <w:sz w:val="20"/>
                <w:szCs w:val="20"/>
              </w:rPr>
            </w:pPr>
            <w:r w:rsidRPr="00B27427">
              <w:rPr>
                <w:rFonts w:ascii="Arial Narrow" w:hAnsi="Arial Narrow" w:cs="Arial"/>
                <w:b/>
                <w:snapToGrid w:val="0"/>
                <w:sz w:val="20"/>
                <w:szCs w:val="20"/>
              </w:rPr>
              <w:t>$30,000/QALY</w:t>
            </w:r>
          </w:p>
        </w:tc>
      </w:tr>
      <w:tr w:rsidR="00605B5C" w:rsidRPr="00B27427" w:rsidTr="00605B5C">
        <w:tc>
          <w:tcPr>
            <w:tcW w:w="492" w:type="pct"/>
          </w:tcPr>
          <w:p w:rsidR="00605B5C" w:rsidRPr="00B27427" w:rsidRDefault="00605B5C" w:rsidP="00807CBA">
            <w:pPr>
              <w:keepNext/>
              <w:widowControl w:val="0"/>
              <w:rPr>
                <w:rFonts w:ascii="Arial Narrow" w:hAnsi="Arial Narrow" w:cs="Arial"/>
                <w:snapToGrid w:val="0"/>
                <w:sz w:val="20"/>
                <w:szCs w:val="20"/>
              </w:rPr>
            </w:pPr>
            <w:r w:rsidRPr="00B27427">
              <w:rPr>
                <w:rFonts w:ascii="Arial Narrow" w:hAnsi="Arial Narrow" w:cs="Arial"/>
                <w:snapToGrid w:val="0"/>
                <w:sz w:val="20"/>
                <w:szCs w:val="20"/>
              </w:rPr>
              <w:t>40-40-0</w:t>
            </w:r>
          </w:p>
        </w:tc>
        <w:tc>
          <w:tcPr>
            <w:tcW w:w="903" w:type="pct"/>
            <w:vAlign w:val="bottom"/>
          </w:tcPr>
          <w:p w:rsidR="00605B5C" w:rsidRPr="00B27427" w:rsidRDefault="00605B5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$4,450</w:t>
            </w:r>
          </w:p>
        </w:tc>
        <w:tc>
          <w:tcPr>
            <w:tcW w:w="903" w:type="pct"/>
            <w:vAlign w:val="bottom"/>
          </w:tcPr>
          <w:p w:rsidR="00605B5C" w:rsidRPr="00B27427" w:rsidRDefault="00605B5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$4,760</w:t>
            </w:r>
          </w:p>
        </w:tc>
        <w:tc>
          <w:tcPr>
            <w:tcW w:w="901" w:type="pct"/>
            <w:vAlign w:val="bottom"/>
          </w:tcPr>
          <w:p w:rsidR="00605B5C" w:rsidRPr="00B27427" w:rsidRDefault="00605B5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$5,060</w:t>
            </w:r>
          </w:p>
        </w:tc>
        <w:tc>
          <w:tcPr>
            <w:tcW w:w="901" w:type="pct"/>
          </w:tcPr>
          <w:p w:rsidR="00605B5C" w:rsidRPr="00B27427" w:rsidRDefault="00FD432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$5,370</w:t>
            </w:r>
          </w:p>
        </w:tc>
        <w:tc>
          <w:tcPr>
            <w:tcW w:w="899" w:type="pct"/>
          </w:tcPr>
          <w:p w:rsidR="00605B5C" w:rsidRPr="00B27427" w:rsidRDefault="00FD432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$5,680</w:t>
            </w:r>
          </w:p>
        </w:tc>
      </w:tr>
      <w:tr w:rsidR="00605B5C" w:rsidRPr="00B27427" w:rsidTr="00605B5C">
        <w:tc>
          <w:tcPr>
            <w:tcW w:w="492" w:type="pct"/>
          </w:tcPr>
          <w:p w:rsidR="00605B5C" w:rsidRPr="00B27427" w:rsidRDefault="00605B5C" w:rsidP="00807CBA">
            <w:pPr>
              <w:keepNext/>
              <w:widowControl w:val="0"/>
              <w:rPr>
                <w:rFonts w:ascii="Arial Narrow" w:hAnsi="Arial Narrow" w:cs="Arial"/>
                <w:snapToGrid w:val="0"/>
                <w:sz w:val="20"/>
                <w:szCs w:val="20"/>
              </w:rPr>
            </w:pPr>
            <w:r w:rsidRPr="00B27427">
              <w:rPr>
                <w:rFonts w:ascii="Arial Narrow" w:hAnsi="Arial Narrow" w:cs="Arial"/>
                <w:snapToGrid w:val="0"/>
                <w:sz w:val="20"/>
                <w:szCs w:val="20"/>
              </w:rPr>
              <w:t>50-50-0</w:t>
            </w:r>
          </w:p>
        </w:tc>
        <w:tc>
          <w:tcPr>
            <w:tcW w:w="903" w:type="pct"/>
            <w:vAlign w:val="bottom"/>
          </w:tcPr>
          <w:p w:rsidR="00605B5C" w:rsidRPr="00B27427" w:rsidRDefault="00605B5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$4,180</w:t>
            </w:r>
          </w:p>
        </w:tc>
        <w:tc>
          <w:tcPr>
            <w:tcW w:w="903" w:type="pct"/>
            <w:vAlign w:val="bottom"/>
          </w:tcPr>
          <w:p w:rsidR="00605B5C" w:rsidRPr="00B27427" w:rsidRDefault="00605B5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$4,470</w:t>
            </w:r>
          </w:p>
        </w:tc>
        <w:tc>
          <w:tcPr>
            <w:tcW w:w="901" w:type="pct"/>
            <w:vAlign w:val="bottom"/>
          </w:tcPr>
          <w:p w:rsidR="00605B5C" w:rsidRPr="00B27427" w:rsidRDefault="00605B5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$4,760</w:t>
            </w:r>
          </w:p>
        </w:tc>
        <w:tc>
          <w:tcPr>
            <w:tcW w:w="901" w:type="pct"/>
          </w:tcPr>
          <w:p w:rsidR="00605B5C" w:rsidRPr="00B27427" w:rsidRDefault="00FD432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$5,040</w:t>
            </w:r>
          </w:p>
        </w:tc>
        <w:tc>
          <w:tcPr>
            <w:tcW w:w="899" w:type="pct"/>
          </w:tcPr>
          <w:p w:rsidR="00605B5C" w:rsidRPr="00B27427" w:rsidRDefault="00FD432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$5,330</w:t>
            </w:r>
          </w:p>
        </w:tc>
      </w:tr>
      <w:tr w:rsidR="00605B5C" w:rsidRPr="00B27427" w:rsidTr="00605B5C">
        <w:tc>
          <w:tcPr>
            <w:tcW w:w="492" w:type="pct"/>
          </w:tcPr>
          <w:p w:rsidR="00605B5C" w:rsidRPr="00B27427" w:rsidRDefault="00605B5C" w:rsidP="00807CBA">
            <w:pPr>
              <w:keepNext/>
              <w:widowControl w:val="0"/>
              <w:rPr>
                <w:rFonts w:ascii="Arial Narrow" w:hAnsi="Arial Narrow" w:cs="Arial"/>
                <w:snapToGrid w:val="0"/>
                <w:sz w:val="20"/>
                <w:szCs w:val="20"/>
              </w:rPr>
            </w:pPr>
            <w:r w:rsidRPr="00B27427">
              <w:rPr>
                <w:rFonts w:ascii="Arial Narrow" w:hAnsi="Arial Narrow" w:cs="Arial"/>
                <w:snapToGrid w:val="0"/>
                <w:sz w:val="20"/>
                <w:szCs w:val="20"/>
              </w:rPr>
              <w:t>60-60-0</w:t>
            </w:r>
          </w:p>
        </w:tc>
        <w:tc>
          <w:tcPr>
            <w:tcW w:w="903" w:type="pct"/>
            <w:vAlign w:val="bottom"/>
          </w:tcPr>
          <w:p w:rsidR="00605B5C" w:rsidRPr="00B27427" w:rsidRDefault="00605B5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$3,940</w:t>
            </w:r>
          </w:p>
        </w:tc>
        <w:tc>
          <w:tcPr>
            <w:tcW w:w="903" w:type="pct"/>
            <w:vAlign w:val="bottom"/>
          </w:tcPr>
          <w:p w:rsidR="00605B5C" w:rsidRPr="00B27427" w:rsidRDefault="00605B5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$4,210</w:t>
            </w:r>
          </w:p>
        </w:tc>
        <w:tc>
          <w:tcPr>
            <w:tcW w:w="901" w:type="pct"/>
            <w:vAlign w:val="bottom"/>
          </w:tcPr>
          <w:p w:rsidR="00605B5C" w:rsidRPr="00B27427" w:rsidRDefault="00605B5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$4,480</w:t>
            </w:r>
          </w:p>
        </w:tc>
        <w:tc>
          <w:tcPr>
            <w:tcW w:w="901" w:type="pct"/>
          </w:tcPr>
          <w:p w:rsidR="00605B5C" w:rsidRPr="00B27427" w:rsidRDefault="00FD432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$4,750</w:t>
            </w:r>
          </w:p>
        </w:tc>
        <w:tc>
          <w:tcPr>
            <w:tcW w:w="899" w:type="pct"/>
          </w:tcPr>
          <w:p w:rsidR="00605B5C" w:rsidRPr="00B27427" w:rsidRDefault="00FD432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$5,020</w:t>
            </w:r>
          </w:p>
        </w:tc>
      </w:tr>
      <w:tr w:rsidR="00605B5C" w:rsidRPr="00B27427" w:rsidTr="00605B5C">
        <w:tc>
          <w:tcPr>
            <w:tcW w:w="492" w:type="pct"/>
          </w:tcPr>
          <w:p w:rsidR="00605B5C" w:rsidRPr="00B27427" w:rsidRDefault="00605B5C" w:rsidP="00807CBA">
            <w:pPr>
              <w:keepNext/>
              <w:widowControl w:val="0"/>
              <w:rPr>
                <w:rFonts w:ascii="Arial Narrow" w:hAnsi="Arial Narrow" w:cs="Arial"/>
                <w:snapToGrid w:val="0"/>
                <w:sz w:val="20"/>
                <w:szCs w:val="20"/>
              </w:rPr>
            </w:pPr>
            <w:r w:rsidRPr="00B27427">
              <w:rPr>
                <w:rFonts w:ascii="Arial Narrow" w:hAnsi="Arial Narrow" w:cs="Arial"/>
                <w:snapToGrid w:val="0"/>
                <w:sz w:val="20"/>
                <w:szCs w:val="20"/>
              </w:rPr>
              <w:t>70-70-0</w:t>
            </w:r>
          </w:p>
        </w:tc>
        <w:tc>
          <w:tcPr>
            <w:tcW w:w="903" w:type="pct"/>
            <w:vAlign w:val="bottom"/>
          </w:tcPr>
          <w:p w:rsidR="00605B5C" w:rsidRPr="00B27427" w:rsidRDefault="00605B5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$3,720</w:t>
            </w:r>
          </w:p>
        </w:tc>
        <w:tc>
          <w:tcPr>
            <w:tcW w:w="903" w:type="pct"/>
            <w:vAlign w:val="bottom"/>
          </w:tcPr>
          <w:p w:rsidR="00605B5C" w:rsidRPr="00B27427" w:rsidRDefault="00605B5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$3,970</w:t>
            </w:r>
          </w:p>
        </w:tc>
        <w:tc>
          <w:tcPr>
            <w:tcW w:w="901" w:type="pct"/>
            <w:vAlign w:val="bottom"/>
          </w:tcPr>
          <w:p w:rsidR="00605B5C" w:rsidRPr="00B27427" w:rsidRDefault="00605B5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$4,220</w:t>
            </w:r>
          </w:p>
        </w:tc>
        <w:tc>
          <w:tcPr>
            <w:tcW w:w="901" w:type="pct"/>
          </w:tcPr>
          <w:p w:rsidR="00605B5C" w:rsidRPr="00B27427" w:rsidRDefault="00FD432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$4,470</w:t>
            </w:r>
          </w:p>
        </w:tc>
        <w:tc>
          <w:tcPr>
            <w:tcW w:w="899" w:type="pct"/>
          </w:tcPr>
          <w:p w:rsidR="00605B5C" w:rsidRPr="00B27427" w:rsidRDefault="00FD432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$4,720</w:t>
            </w:r>
          </w:p>
        </w:tc>
      </w:tr>
      <w:tr w:rsidR="00605B5C" w:rsidRPr="00B27427" w:rsidTr="00605B5C">
        <w:tc>
          <w:tcPr>
            <w:tcW w:w="492" w:type="pct"/>
          </w:tcPr>
          <w:p w:rsidR="00605B5C" w:rsidRPr="00B27427" w:rsidRDefault="00605B5C" w:rsidP="00807CBA">
            <w:pPr>
              <w:keepNext/>
              <w:widowControl w:val="0"/>
              <w:rPr>
                <w:rFonts w:ascii="Arial Narrow" w:hAnsi="Arial Narrow" w:cs="Arial"/>
                <w:snapToGrid w:val="0"/>
                <w:sz w:val="20"/>
                <w:szCs w:val="20"/>
              </w:rPr>
            </w:pPr>
            <w:r w:rsidRPr="00B27427">
              <w:rPr>
                <w:rFonts w:ascii="Arial Narrow" w:hAnsi="Arial Narrow" w:cs="Arial"/>
                <w:snapToGrid w:val="0"/>
                <w:sz w:val="20"/>
                <w:szCs w:val="20"/>
              </w:rPr>
              <w:t>80-80-0</w:t>
            </w:r>
          </w:p>
        </w:tc>
        <w:tc>
          <w:tcPr>
            <w:tcW w:w="903" w:type="pct"/>
            <w:vAlign w:val="bottom"/>
          </w:tcPr>
          <w:p w:rsidR="00605B5C" w:rsidRPr="00B27427" w:rsidRDefault="00605B5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$3,510</w:t>
            </w:r>
          </w:p>
        </w:tc>
        <w:tc>
          <w:tcPr>
            <w:tcW w:w="903" w:type="pct"/>
            <w:vAlign w:val="bottom"/>
          </w:tcPr>
          <w:p w:rsidR="00605B5C" w:rsidRPr="00B27427" w:rsidRDefault="00605B5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$3,750</w:t>
            </w:r>
          </w:p>
        </w:tc>
        <w:tc>
          <w:tcPr>
            <w:tcW w:w="901" w:type="pct"/>
            <w:vAlign w:val="bottom"/>
          </w:tcPr>
          <w:p w:rsidR="00605B5C" w:rsidRPr="00B27427" w:rsidRDefault="00605B5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$3,990</w:t>
            </w:r>
          </w:p>
        </w:tc>
        <w:tc>
          <w:tcPr>
            <w:tcW w:w="901" w:type="pct"/>
          </w:tcPr>
          <w:p w:rsidR="00605B5C" w:rsidRPr="00B27427" w:rsidRDefault="00FD432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$4,220</w:t>
            </w:r>
          </w:p>
        </w:tc>
        <w:tc>
          <w:tcPr>
            <w:tcW w:w="899" w:type="pct"/>
          </w:tcPr>
          <w:p w:rsidR="00605B5C" w:rsidRPr="00B27427" w:rsidRDefault="00FD432C" w:rsidP="00807CBA">
            <w:pPr>
              <w:keepNext/>
              <w:widowControl w:val="0"/>
              <w:jc w:val="center"/>
              <w:rPr>
                <w:rFonts w:ascii="Arial Narrow" w:hAnsi="Arial Narrow" w:cs="Arial"/>
                <w:snapToGrid w:val="0"/>
                <w:sz w:val="20"/>
                <w:szCs w:val="20"/>
              </w:rPr>
            </w:pPr>
            <w:r w:rsidRPr="00B27427">
              <w:rPr>
                <w:rFonts w:ascii="Arial Narrow" w:hAnsi="Arial Narrow" w:cs="Arial"/>
                <w:snapToGrid w:val="0"/>
                <w:sz w:val="20"/>
                <w:szCs w:val="20"/>
              </w:rPr>
              <w:t>$4,460</w:t>
            </w:r>
          </w:p>
        </w:tc>
      </w:tr>
    </w:tbl>
    <w:p w:rsidR="0047430A" w:rsidRPr="00B27427" w:rsidRDefault="0047430A" w:rsidP="0047430A">
      <w:pPr>
        <w:pStyle w:val="ListParagraph"/>
        <w:ind w:left="0"/>
        <w:rPr>
          <w:rFonts w:ascii="Arial Narrow" w:hAnsi="Arial Narrow"/>
          <w:sz w:val="20"/>
        </w:rPr>
      </w:pPr>
      <w:r w:rsidRPr="00B27427">
        <w:rPr>
          <w:rFonts w:ascii="Arial Narrow" w:hAnsi="Arial Narrow"/>
          <w:sz w:val="20"/>
        </w:rPr>
        <w:t>Source: Kirby Institute and the Centre for Social Research in Health</w:t>
      </w:r>
      <w:r w:rsidR="00D73C30" w:rsidRPr="00B27427">
        <w:rPr>
          <w:rFonts w:ascii="Arial Narrow" w:hAnsi="Arial Narrow"/>
          <w:sz w:val="20"/>
        </w:rPr>
        <w:t xml:space="preserve"> (</w:t>
      </w:r>
      <w:r w:rsidR="00FD432C" w:rsidRPr="00B27427">
        <w:rPr>
          <w:rFonts w:ascii="Arial Narrow" w:hAnsi="Arial Narrow"/>
          <w:sz w:val="20"/>
        </w:rPr>
        <w:t>October</w:t>
      </w:r>
      <w:r w:rsidR="00D73C30" w:rsidRPr="00B27427">
        <w:rPr>
          <w:rFonts w:ascii="Arial Narrow" w:hAnsi="Arial Narrow"/>
          <w:sz w:val="20"/>
        </w:rPr>
        <w:t xml:space="preserve"> 2017)</w:t>
      </w:r>
      <w:r w:rsidRPr="00B27427">
        <w:rPr>
          <w:rFonts w:ascii="Arial Narrow" w:hAnsi="Arial Narrow"/>
          <w:sz w:val="20"/>
        </w:rPr>
        <w:t>. Discussion paper</w:t>
      </w:r>
      <w:r w:rsidR="00FD432C" w:rsidRPr="00B27427">
        <w:rPr>
          <w:rFonts w:ascii="Arial Narrow" w:hAnsi="Arial Narrow"/>
          <w:sz w:val="20"/>
        </w:rPr>
        <w:t xml:space="preserve"> (</w:t>
      </w:r>
      <w:proofErr w:type="spellStart"/>
      <w:r w:rsidR="00FD432C" w:rsidRPr="00B27427">
        <w:rPr>
          <w:rFonts w:ascii="Arial Narrow" w:hAnsi="Arial Narrow"/>
          <w:sz w:val="20"/>
        </w:rPr>
        <w:t>appendum</w:t>
      </w:r>
      <w:proofErr w:type="spellEnd"/>
      <w:r w:rsidR="00FD432C" w:rsidRPr="00B27427">
        <w:rPr>
          <w:rFonts w:ascii="Arial Narrow" w:hAnsi="Arial Narrow"/>
          <w:sz w:val="20"/>
        </w:rPr>
        <w:t>)</w:t>
      </w:r>
      <w:r w:rsidRPr="00B27427">
        <w:rPr>
          <w:rFonts w:ascii="Arial Narrow" w:hAnsi="Arial Narrow"/>
          <w:sz w:val="20"/>
        </w:rPr>
        <w:t>: Estimates of the number of people eligible for PrEP in Australia, and rel</w:t>
      </w:r>
      <w:r w:rsidR="00FD432C" w:rsidRPr="00B27427">
        <w:rPr>
          <w:rFonts w:ascii="Arial Narrow" w:hAnsi="Arial Narrow"/>
          <w:sz w:val="20"/>
        </w:rPr>
        <w:t>ated cost-effectiveness, Table 4</w:t>
      </w:r>
      <w:r w:rsidRPr="00B27427">
        <w:rPr>
          <w:rFonts w:ascii="Arial Narrow" w:hAnsi="Arial Narrow"/>
          <w:sz w:val="20"/>
        </w:rPr>
        <w:t xml:space="preserve">, p </w:t>
      </w:r>
      <w:r w:rsidR="00FD432C" w:rsidRPr="00B27427">
        <w:rPr>
          <w:rFonts w:ascii="Arial Narrow" w:hAnsi="Arial Narrow"/>
          <w:sz w:val="20"/>
        </w:rPr>
        <w:t>4</w:t>
      </w:r>
      <w:r w:rsidRPr="00B27427">
        <w:rPr>
          <w:rFonts w:ascii="Arial Narrow" w:hAnsi="Arial Narrow"/>
          <w:sz w:val="20"/>
        </w:rPr>
        <w:t xml:space="preserve">. </w:t>
      </w:r>
    </w:p>
    <w:p w:rsidR="003D0670" w:rsidRPr="00B27427" w:rsidRDefault="003D0670" w:rsidP="00FE5E56">
      <w:pPr>
        <w:rPr>
          <w:szCs w:val="22"/>
        </w:rPr>
      </w:pPr>
    </w:p>
    <w:p w:rsidR="00F47D97" w:rsidRPr="00B27427" w:rsidRDefault="00F47D97" w:rsidP="00250A37">
      <w:pPr>
        <w:pStyle w:val="ListParagraph"/>
        <w:numPr>
          <w:ilvl w:val="1"/>
          <w:numId w:val="5"/>
        </w:numPr>
        <w:rPr>
          <w:szCs w:val="24"/>
        </w:rPr>
      </w:pPr>
      <w:r w:rsidRPr="00B27427">
        <w:rPr>
          <w:szCs w:val="24"/>
        </w:rPr>
        <w:lastRenderedPageBreak/>
        <w:t>The ICER increases as the uptake of PrEP increases, reflecting diminishing returns as the number of individuals using PrEP increases, particularly when extended to medium and low risk individuals</w:t>
      </w:r>
      <w:r w:rsidR="001C0D7E" w:rsidRPr="00B27427">
        <w:rPr>
          <w:szCs w:val="24"/>
        </w:rPr>
        <w:t xml:space="preserve"> (Table </w:t>
      </w:r>
      <w:r w:rsidR="00112CC3" w:rsidRPr="00B27427">
        <w:rPr>
          <w:szCs w:val="24"/>
        </w:rPr>
        <w:t>2</w:t>
      </w:r>
      <w:r w:rsidR="001C0D7E" w:rsidRPr="00B27427">
        <w:rPr>
          <w:szCs w:val="24"/>
        </w:rPr>
        <w:t>)</w:t>
      </w:r>
      <w:r w:rsidRPr="00B27427">
        <w:rPr>
          <w:szCs w:val="24"/>
        </w:rPr>
        <w:t>.</w:t>
      </w:r>
    </w:p>
    <w:p w:rsidR="008614E8" w:rsidRPr="00B27427" w:rsidRDefault="008614E8" w:rsidP="00431698">
      <w:pPr>
        <w:pStyle w:val="ListParagraph"/>
        <w:rPr>
          <w:szCs w:val="24"/>
        </w:rPr>
      </w:pPr>
    </w:p>
    <w:p w:rsidR="008614E8" w:rsidRPr="00B27427" w:rsidRDefault="008614E8" w:rsidP="00250A37">
      <w:pPr>
        <w:pStyle w:val="ListParagraph"/>
        <w:numPr>
          <w:ilvl w:val="1"/>
          <w:numId w:val="5"/>
        </w:numPr>
        <w:rPr>
          <w:szCs w:val="24"/>
        </w:rPr>
      </w:pPr>
      <w:r w:rsidRPr="00B27427">
        <w:rPr>
          <w:szCs w:val="24"/>
        </w:rPr>
        <w:t>Assuming 40% uptake in high and medium risk individuals, and an annual PrEP cost of $9,605, the cost per QALY gained is $104,330. If uptake is increased to 80%, the ICER increases to $152,650 per QALY gained.</w:t>
      </w:r>
    </w:p>
    <w:p w:rsidR="008614E8" w:rsidRPr="00B27427" w:rsidRDefault="008614E8" w:rsidP="00431698">
      <w:pPr>
        <w:pStyle w:val="ListParagraph"/>
        <w:rPr>
          <w:szCs w:val="24"/>
        </w:rPr>
      </w:pPr>
    </w:p>
    <w:p w:rsidR="008614E8" w:rsidRPr="00B27427" w:rsidRDefault="003F59D7" w:rsidP="00250A37">
      <w:pPr>
        <w:pStyle w:val="ListParagraph"/>
        <w:numPr>
          <w:ilvl w:val="1"/>
          <w:numId w:val="5"/>
        </w:numPr>
        <w:rPr>
          <w:szCs w:val="24"/>
        </w:rPr>
      </w:pPr>
      <w:r w:rsidRPr="00B27427">
        <w:rPr>
          <w:szCs w:val="24"/>
        </w:rPr>
        <w:t xml:space="preserve">As noted in the July 2017 PBAC minutes the proposed eligibility criteria (see Table </w:t>
      </w:r>
      <w:r w:rsidR="00112CC3" w:rsidRPr="00B27427">
        <w:rPr>
          <w:szCs w:val="24"/>
        </w:rPr>
        <w:t>1</w:t>
      </w:r>
      <w:r w:rsidRPr="00B27427">
        <w:rPr>
          <w:szCs w:val="24"/>
        </w:rPr>
        <w:t>) rely on self-reported behaviour</w:t>
      </w:r>
      <w:r w:rsidR="00B35015" w:rsidRPr="00B27427">
        <w:rPr>
          <w:szCs w:val="24"/>
        </w:rPr>
        <w:t>. Thus there is the potential for use in</w:t>
      </w:r>
      <w:r w:rsidR="006F72E4" w:rsidRPr="00B27427">
        <w:rPr>
          <w:szCs w:val="24"/>
        </w:rPr>
        <w:t xml:space="preserve"> a proportion of</w:t>
      </w:r>
      <w:r w:rsidR="00B35015" w:rsidRPr="00B27427">
        <w:rPr>
          <w:szCs w:val="24"/>
        </w:rPr>
        <w:t xml:space="preserve"> individuals at low risk of infection.</w:t>
      </w:r>
      <w:r w:rsidRPr="00B27427">
        <w:rPr>
          <w:szCs w:val="24"/>
        </w:rPr>
        <w:t xml:space="preserve"> </w:t>
      </w:r>
      <w:r w:rsidR="008614E8" w:rsidRPr="00B27427">
        <w:rPr>
          <w:szCs w:val="24"/>
        </w:rPr>
        <w:t>The impact on the cost-effectiveness of PrEP use in low risk individuals can be assessed by comparing scenario 90-20-0 with 90-20-10</w:t>
      </w:r>
      <w:r w:rsidR="00D1077A" w:rsidRPr="00B27427">
        <w:rPr>
          <w:szCs w:val="24"/>
        </w:rPr>
        <w:t xml:space="preserve"> (i.e 10% uptake in low risk individuals)</w:t>
      </w:r>
      <w:r w:rsidR="008614E8" w:rsidRPr="00B27427">
        <w:rPr>
          <w:szCs w:val="24"/>
        </w:rPr>
        <w:t xml:space="preserve"> and scenario 90-60-0 with 90-60-30</w:t>
      </w:r>
      <w:r w:rsidR="00D1077A" w:rsidRPr="00B27427">
        <w:rPr>
          <w:szCs w:val="24"/>
        </w:rPr>
        <w:t xml:space="preserve"> (i.e 30% uptake in low risk individuals)</w:t>
      </w:r>
      <w:r w:rsidRPr="00B27427">
        <w:rPr>
          <w:szCs w:val="24"/>
        </w:rPr>
        <w:t>.</w:t>
      </w:r>
      <w:r w:rsidR="00B35015" w:rsidRPr="00B27427">
        <w:rPr>
          <w:szCs w:val="24"/>
        </w:rPr>
        <w:t xml:space="preserve"> </w:t>
      </w:r>
      <w:r w:rsidR="006F72E4" w:rsidRPr="00B27427">
        <w:rPr>
          <w:szCs w:val="24"/>
        </w:rPr>
        <w:t>Uptake of 10% in low risk individuals increase</w:t>
      </w:r>
      <w:r w:rsidR="00C03E9C" w:rsidRPr="00B27427">
        <w:rPr>
          <w:szCs w:val="24"/>
        </w:rPr>
        <w:t>s</w:t>
      </w:r>
      <w:r w:rsidR="006F72E4" w:rsidRPr="00B27427">
        <w:rPr>
          <w:szCs w:val="24"/>
        </w:rPr>
        <w:t xml:space="preserve"> the ICER by 44% ($202,820 vs $140,820). Uptake of 30% in low risk individuals increase</w:t>
      </w:r>
      <w:r w:rsidR="00C03E9C" w:rsidRPr="00B27427">
        <w:rPr>
          <w:szCs w:val="24"/>
        </w:rPr>
        <w:t>s</w:t>
      </w:r>
      <w:r w:rsidR="006F72E4" w:rsidRPr="00B27427">
        <w:rPr>
          <w:szCs w:val="24"/>
        </w:rPr>
        <w:t xml:space="preserve"> the ICER by 112% ($155,040 vs $328,290).</w:t>
      </w:r>
    </w:p>
    <w:p w:rsidR="00C760EA" w:rsidRPr="00B27427" w:rsidRDefault="00C760EA" w:rsidP="00250A37"/>
    <w:p w:rsidR="00250A37" w:rsidRPr="00B27427" w:rsidRDefault="00C760EA" w:rsidP="00D17FA5">
      <w:pPr>
        <w:pStyle w:val="ListParagraph"/>
        <w:numPr>
          <w:ilvl w:val="1"/>
          <w:numId w:val="5"/>
        </w:numPr>
        <w:rPr>
          <w:szCs w:val="24"/>
        </w:rPr>
      </w:pPr>
      <w:r w:rsidRPr="00B27427">
        <w:rPr>
          <w:szCs w:val="24"/>
        </w:rPr>
        <w:t>For the</w:t>
      </w:r>
      <w:r w:rsidR="00250A37" w:rsidRPr="00B27427">
        <w:rPr>
          <w:szCs w:val="24"/>
        </w:rPr>
        <w:t xml:space="preserve"> scenario 40-40-0 (the lowest uptake</w:t>
      </w:r>
      <w:r w:rsidR="006F72E4" w:rsidRPr="00B27427">
        <w:rPr>
          <w:szCs w:val="24"/>
        </w:rPr>
        <w:t xml:space="preserve"> assessed</w:t>
      </w:r>
      <w:r w:rsidR="00250A37" w:rsidRPr="00B27427">
        <w:rPr>
          <w:szCs w:val="24"/>
        </w:rPr>
        <w:t>), the annual cost of PrEP would need to be $4,450 for the cost per QALY gained to be $10,000, increasing to an annual cost of $5,680 for the cost per QALY</w:t>
      </w:r>
      <w:r w:rsidR="006F72E4" w:rsidRPr="00B27427">
        <w:rPr>
          <w:szCs w:val="24"/>
        </w:rPr>
        <w:t xml:space="preserve"> gained</w:t>
      </w:r>
      <w:r w:rsidR="00250A37" w:rsidRPr="00B27427">
        <w:rPr>
          <w:szCs w:val="24"/>
        </w:rPr>
        <w:t xml:space="preserve"> to be $30,000</w:t>
      </w:r>
      <w:r w:rsidR="00D1077A" w:rsidRPr="00B27427">
        <w:rPr>
          <w:szCs w:val="24"/>
        </w:rPr>
        <w:t xml:space="preserve"> (Table 4)</w:t>
      </w:r>
      <w:r w:rsidR="00250A37" w:rsidRPr="00B27427">
        <w:rPr>
          <w:szCs w:val="24"/>
        </w:rPr>
        <w:t>.</w:t>
      </w:r>
    </w:p>
    <w:p w:rsidR="00250A37" w:rsidRPr="00B27427" w:rsidRDefault="00250A37" w:rsidP="00250A37">
      <w:pPr>
        <w:pStyle w:val="ListParagraph"/>
        <w:rPr>
          <w:szCs w:val="24"/>
        </w:rPr>
      </w:pPr>
    </w:p>
    <w:p w:rsidR="000001AC" w:rsidRPr="00B27427" w:rsidRDefault="00250A37" w:rsidP="001F37DD">
      <w:pPr>
        <w:pStyle w:val="ListParagraph"/>
        <w:numPr>
          <w:ilvl w:val="1"/>
          <w:numId w:val="5"/>
        </w:numPr>
        <w:rPr>
          <w:szCs w:val="24"/>
        </w:rPr>
      </w:pPr>
      <w:r w:rsidRPr="00B27427">
        <w:rPr>
          <w:szCs w:val="24"/>
        </w:rPr>
        <w:t>For the</w:t>
      </w:r>
      <w:r w:rsidR="00C760EA" w:rsidRPr="00B27427">
        <w:rPr>
          <w:szCs w:val="24"/>
        </w:rPr>
        <w:t xml:space="preserve"> scenario </w:t>
      </w:r>
      <w:r w:rsidRPr="00B27427">
        <w:rPr>
          <w:szCs w:val="24"/>
        </w:rPr>
        <w:t>80-80-0</w:t>
      </w:r>
      <w:r w:rsidR="00C760EA" w:rsidRPr="00B27427">
        <w:rPr>
          <w:szCs w:val="24"/>
        </w:rPr>
        <w:t>, the annual PrEP cost would need to be $</w:t>
      </w:r>
      <w:r w:rsidRPr="00B27427">
        <w:rPr>
          <w:szCs w:val="24"/>
        </w:rPr>
        <w:t>3,510</w:t>
      </w:r>
      <w:r w:rsidR="00C760EA" w:rsidRPr="00B27427">
        <w:rPr>
          <w:szCs w:val="24"/>
        </w:rPr>
        <w:t xml:space="preserve"> for the cost per QALY gained to be $</w:t>
      </w:r>
      <w:r w:rsidRPr="00B27427">
        <w:rPr>
          <w:szCs w:val="24"/>
        </w:rPr>
        <w:t>10,000, increasing to an annual cost of $4,460 for the cost per QALY gained to be $30,000</w:t>
      </w:r>
      <w:r w:rsidR="00D1077A" w:rsidRPr="00B27427">
        <w:rPr>
          <w:szCs w:val="24"/>
        </w:rPr>
        <w:t xml:space="preserve"> (Table 4)</w:t>
      </w:r>
      <w:r w:rsidRPr="00B27427">
        <w:rPr>
          <w:szCs w:val="24"/>
        </w:rPr>
        <w:t>.</w:t>
      </w:r>
    </w:p>
    <w:p w:rsidR="00D1077A" w:rsidRPr="00B27427" w:rsidRDefault="00D1077A" w:rsidP="00D1077A">
      <w:pPr>
        <w:pStyle w:val="ListParagraph"/>
        <w:rPr>
          <w:szCs w:val="24"/>
        </w:rPr>
      </w:pPr>
    </w:p>
    <w:p w:rsidR="00C41AB0" w:rsidRPr="00B27427" w:rsidRDefault="00D1077A" w:rsidP="00C41AB0">
      <w:pPr>
        <w:pStyle w:val="ListParagraph"/>
        <w:numPr>
          <w:ilvl w:val="1"/>
          <w:numId w:val="5"/>
        </w:numPr>
        <w:rPr>
          <w:szCs w:val="24"/>
        </w:rPr>
      </w:pPr>
      <w:r w:rsidRPr="00B27427">
        <w:rPr>
          <w:szCs w:val="24"/>
        </w:rPr>
        <w:t xml:space="preserve">The impact of use in low risk individuals on the PrEP cost required </w:t>
      </w:r>
      <w:r w:rsidR="00C41AB0" w:rsidRPr="00B27427">
        <w:rPr>
          <w:szCs w:val="24"/>
        </w:rPr>
        <w:t>to meet</w:t>
      </w:r>
      <w:r w:rsidRPr="00B27427">
        <w:rPr>
          <w:szCs w:val="24"/>
        </w:rPr>
        <w:t xml:space="preserve"> a specific cost/QALY threshold </w:t>
      </w:r>
      <w:r w:rsidR="00C41AB0" w:rsidRPr="00B27427">
        <w:rPr>
          <w:szCs w:val="24"/>
        </w:rPr>
        <w:t>can be assessed by comparing scenario 90-20-0 with 90-20-10 (i.e 10% uptake in low risk individuals) and scenario 90-60-0 with 90-60-30 (i.e 30% uptake in low risk individuals). For a specified ICER, the annual PrEP cost needs to be reduced by 23% if there is use in 10% of low risk individuals (</w:t>
      </w:r>
      <w:proofErr w:type="spellStart"/>
      <w:r w:rsidR="00C41AB0" w:rsidRPr="00B27427">
        <w:rPr>
          <w:szCs w:val="24"/>
        </w:rPr>
        <w:t>eg</w:t>
      </w:r>
      <w:proofErr w:type="spellEnd"/>
      <w:r w:rsidR="00C41AB0" w:rsidRPr="00B27427">
        <w:rPr>
          <w:szCs w:val="24"/>
        </w:rPr>
        <w:t xml:space="preserve"> for an ICER of $30,000 the annual PrEP cost needs to be reduced from $4,720 to $3,620 if there is use in 10% of low risk individuals, Table 3). For a specified ICER, the annual PrEP cost needs to be reduced by 45% if there is use in 30% of low risk individuals (</w:t>
      </w:r>
      <w:proofErr w:type="spellStart"/>
      <w:r w:rsidR="00C41AB0" w:rsidRPr="00B27427">
        <w:rPr>
          <w:szCs w:val="24"/>
        </w:rPr>
        <w:t>eg</w:t>
      </w:r>
      <w:proofErr w:type="spellEnd"/>
      <w:r w:rsidR="00C41AB0" w:rsidRPr="00B27427">
        <w:rPr>
          <w:szCs w:val="24"/>
        </w:rPr>
        <w:t xml:space="preserve"> for an ICER of $30,000 the annual PrEP cost needs to be reduced from $</w:t>
      </w:r>
      <w:r w:rsidR="003D3D89" w:rsidRPr="00B27427">
        <w:rPr>
          <w:szCs w:val="24"/>
        </w:rPr>
        <w:t>4,430</w:t>
      </w:r>
      <w:r w:rsidR="00C41AB0" w:rsidRPr="00B27427">
        <w:rPr>
          <w:szCs w:val="24"/>
        </w:rPr>
        <w:t xml:space="preserve"> to $</w:t>
      </w:r>
      <w:r w:rsidR="003D3D89" w:rsidRPr="00B27427">
        <w:rPr>
          <w:szCs w:val="24"/>
        </w:rPr>
        <w:t>2,430</w:t>
      </w:r>
      <w:r w:rsidR="00C41AB0" w:rsidRPr="00B27427">
        <w:rPr>
          <w:szCs w:val="24"/>
        </w:rPr>
        <w:t xml:space="preserve"> if th</w:t>
      </w:r>
      <w:r w:rsidR="003D3D89" w:rsidRPr="00B27427">
        <w:rPr>
          <w:szCs w:val="24"/>
        </w:rPr>
        <w:t>ere is use in 3</w:t>
      </w:r>
      <w:r w:rsidR="00C41AB0" w:rsidRPr="00B27427">
        <w:rPr>
          <w:szCs w:val="24"/>
        </w:rPr>
        <w:t>0% of low risk individuals, Table 3).</w:t>
      </w:r>
    </w:p>
    <w:p w:rsidR="003D3D89" w:rsidRPr="00B27427" w:rsidRDefault="003D3D89" w:rsidP="003D3D89"/>
    <w:p w:rsidR="00140F95" w:rsidRPr="00B27427" w:rsidRDefault="00140F95" w:rsidP="001F37DD">
      <w:pPr>
        <w:pStyle w:val="ListParagraph"/>
        <w:numPr>
          <w:ilvl w:val="1"/>
          <w:numId w:val="5"/>
        </w:numPr>
        <w:rPr>
          <w:szCs w:val="24"/>
        </w:rPr>
      </w:pPr>
      <w:r w:rsidRPr="00B27427">
        <w:rPr>
          <w:szCs w:val="24"/>
        </w:rPr>
        <w:t xml:space="preserve">Further information on the context of these analyses is available in the relevant Public Summary Documents for tenofovir with emtricitabine </w:t>
      </w:r>
      <w:r w:rsidR="006F72E4" w:rsidRPr="00B27427">
        <w:rPr>
          <w:szCs w:val="24"/>
        </w:rPr>
        <w:t xml:space="preserve">(items 6.16 and 7.08) </w:t>
      </w:r>
      <w:r w:rsidRPr="00B27427">
        <w:rPr>
          <w:szCs w:val="24"/>
        </w:rPr>
        <w:t>from the July 2017 PBAC meeting.</w:t>
      </w:r>
      <w:r w:rsidR="00595F2A" w:rsidRPr="00B27427">
        <w:rPr>
          <w:szCs w:val="24"/>
        </w:rPr>
        <w:t xml:space="preserve"> </w:t>
      </w:r>
    </w:p>
    <w:p w:rsidR="00140F95" w:rsidRDefault="00140F95" w:rsidP="0035551D">
      <w:pPr>
        <w:rPr>
          <w:b/>
          <w:color w:val="000000" w:themeColor="text1"/>
          <w:szCs w:val="22"/>
          <w:u w:val="single"/>
        </w:rPr>
      </w:pPr>
    </w:p>
    <w:p w:rsidR="00027F50" w:rsidRDefault="00027F50" w:rsidP="0035551D">
      <w:pPr>
        <w:rPr>
          <w:b/>
          <w:color w:val="000000" w:themeColor="text1"/>
          <w:szCs w:val="22"/>
          <w:u w:val="single"/>
        </w:rPr>
      </w:pPr>
    </w:p>
    <w:p w:rsidR="00027F50" w:rsidRDefault="00027F50" w:rsidP="0035551D">
      <w:pPr>
        <w:rPr>
          <w:b/>
          <w:color w:val="000000" w:themeColor="text1"/>
          <w:szCs w:val="22"/>
          <w:u w:val="single"/>
        </w:rPr>
      </w:pPr>
    </w:p>
    <w:p w:rsidR="00027F50" w:rsidRPr="00B27427" w:rsidRDefault="00027F50" w:rsidP="0035551D">
      <w:pPr>
        <w:rPr>
          <w:b/>
          <w:color w:val="000000" w:themeColor="text1"/>
          <w:szCs w:val="22"/>
          <w:u w:val="single"/>
        </w:rPr>
      </w:pPr>
    </w:p>
    <w:p w:rsidR="00C03E9C" w:rsidRPr="00B27427" w:rsidRDefault="00C03E9C" w:rsidP="00C03E9C">
      <w:pPr>
        <w:pStyle w:val="ListParagraph"/>
        <w:numPr>
          <w:ilvl w:val="1"/>
          <w:numId w:val="5"/>
        </w:numPr>
        <w:rPr>
          <w:szCs w:val="24"/>
        </w:rPr>
      </w:pPr>
      <w:r w:rsidRPr="00B27427">
        <w:rPr>
          <w:szCs w:val="24"/>
        </w:rPr>
        <w:lastRenderedPageBreak/>
        <w:t>Generic brands have now been listed for tenofovir with emtricitabine. Although not a matter for the PBAC, it is noted that any PBS listings for the PrEP indication will be subject to price disclosure from the time tenofovir with emtricitabine moved to the F2 formulary (1 August 2017).</w:t>
      </w:r>
    </w:p>
    <w:p w:rsidR="00345AC5" w:rsidRPr="00B27427" w:rsidRDefault="00345AC5" w:rsidP="00345AC5">
      <w:pPr>
        <w:pStyle w:val="ListParagraph"/>
        <w:rPr>
          <w:color w:val="000000" w:themeColor="text1"/>
          <w:szCs w:val="24"/>
        </w:rPr>
      </w:pPr>
    </w:p>
    <w:p w:rsidR="001C0D7E" w:rsidRPr="00B27427" w:rsidRDefault="001C0D7E" w:rsidP="001C0D7E">
      <w:pPr>
        <w:pStyle w:val="Heading2"/>
        <w:rPr>
          <w:szCs w:val="28"/>
        </w:rPr>
      </w:pPr>
      <w:r w:rsidRPr="00B27427">
        <w:rPr>
          <w:szCs w:val="28"/>
        </w:rPr>
        <w:t>Estimated PBS usage &amp; financial implications</w:t>
      </w:r>
    </w:p>
    <w:p w:rsidR="001C0D7E" w:rsidRPr="00B27427" w:rsidRDefault="001C0D7E" w:rsidP="00345AC5">
      <w:pPr>
        <w:pStyle w:val="ListParagraph"/>
        <w:rPr>
          <w:color w:val="000000" w:themeColor="text1"/>
          <w:szCs w:val="24"/>
        </w:rPr>
      </w:pPr>
    </w:p>
    <w:p w:rsidR="001238AD" w:rsidRPr="00B27427" w:rsidRDefault="009167D6" w:rsidP="001437CB">
      <w:pPr>
        <w:pStyle w:val="ListParagraph"/>
        <w:numPr>
          <w:ilvl w:val="1"/>
          <w:numId w:val="5"/>
        </w:numPr>
        <w:rPr>
          <w:color w:val="000000" w:themeColor="text1"/>
          <w:szCs w:val="24"/>
        </w:rPr>
      </w:pPr>
      <w:r w:rsidRPr="00B27427">
        <w:rPr>
          <w:color w:val="000000" w:themeColor="text1"/>
          <w:szCs w:val="24"/>
        </w:rPr>
        <w:t>The total number of person years of PrEP by calendar year as estimated from the Kirby model are presented in Table 5. The</w:t>
      </w:r>
      <w:r w:rsidR="001238AD" w:rsidRPr="00B27427">
        <w:rPr>
          <w:color w:val="000000" w:themeColor="text1"/>
          <w:szCs w:val="24"/>
        </w:rPr>
        <w:t>se estimates are based on:</w:t>
      </w:r>
    </w:p>
    <w:p w:rsidR="001238AD" w:rsidRPr="00B27427" w:rsidRDefault="001238AD" w:rsidP="009F313C">
      <w:pPr>
        <w:pStyle w:val="ListParagraph"/>
        <w:widowControl/>
        <w:numPr>
          <w:ilvl w:val="0"/>
          <w:numId w:val="31"/>
        </w:numPr>
        <w:spacing w:before="120" w:after="160"/>
        <w:contextualSpacing w:val="0"/>
        <w:rPr>
          <w:color w:val="000000" w:themeColor="text1"/>
          <w:szCs w:val="24"/>
        </w:rPr>
      </w:pPr>
      <w:r w:rsidRPr="00B27427">
        <w:rPr>
          <w:color w:val="000000" w:themeColor="text1"/>
          <w:szCs w:val="24"/>
        </w:rPr>
        <w:t>A</w:t>
      </w:r>
      <w:r w:rsidR="009167D6" w:rsidRPr="00B27427">
        <w:rPr>
          <w:color w:val="000000" w:themeColor="text1"/>
          <w:szCs w:val="24"/>
        </w:rPr>
        <w:t xml:space="preserve"> </w:t>
      </w:r>
      <w:r w:rsidR="009167D6" w:rsidRPr="00B27427">
        <w:t>total</w:t>
      </w:r>
      <w:r w:rsidR="009167D6" w:rsidRPr="00B27427">
        <w:rPr>
          <w:color w:val="000000" w:themeColor="text1"/>
          <w:szCs w:val="24"/>
        </w:rPr>
        <w:t xml:space="preserve"> </w:t>
      </w:r>
      <w:r w:rsidRPr="00B27427">
        <w:rPr>
          <w:color w:val="000000" w:themeColor="text1"/>
          <w:szCs w:val="24"/>
        </w:rPr>
        <w:t xml:space="preserve">gay male population in 2015 of 123,600 individuals, of which 38,200, 5,100 and 80,300 are </w:t>
      </w:r>
      <w:r w:rsidR="00A554C7" w:rsidRPr="00B27427">
        <w:rPr>
          <w:color w:val="000000" w:themeColor="text1"/>
          <w:szCs w:val="24"/>
        </w:rPr>
        <w:t>high</w:t>
      </w:r>
      <w:r w:rsidRPr="00B27427">
        <w:rPr>
          <w:color w:val="000000" w:themeColor="text1"/>
          <w:szCs w:val="24"/>
        </w:rPr>
        <w:t xml:space="preserve">, medium and </w:t>
      </w:r>
      <w:r w:rsidR="00A554C7" w:rsidRPr="00B27427">
        <w:rPr>
          <w:color w:val="000000" w:themeColor="text1"/>
          <w:szCs w:val="24"/>
        </w:rPr>
        <w:t xml:space="preserve">low </w:t>
      </w:r>
      <w:r w:rsidRPr="00B27427">
        <w:rPr>
          <w:color w:val="000000" w:themeColor="text1"/>
          <w:szCs w:val="24"/>
        </w:rPr>
        <w:t>risk, respectively</w:t>
      </w:r>
      <w:r w:rsidR="001074DF" w:rsidRPr="00B27427">
        <w:rPr>
          <w:color w:val="000000" w:themeColor="text1"/>
          <w:szCs w:val="24"/>
        </w:rPr>
        <w:t>;</w:t>
      </w:r>
    </w:p>
    <w:p w:rsidR="00C03E9C" w:rsidRPr="00B27427" w:rsidRDefault="001074DF" w:rsidP="009F313C">
      <w:pPr>
        <w:pStyle w:val="ListParagraph"/>
        <w:widowControl/>
        <w:numPr>
          <w:ilvl w:val="0"/>
          <w:numId w:val="31"/>
        </w:numPr>
        <w:spacing w:before="120" w:after="160"/>
        <w:contextualSpacing w:val="0"/>
        <w:rPr>
          <w:color w:val="000000" w:themeColor="text1"/>
          <w:szCs w:val="24"/>
        </w:rPr>
      </w:pPr>
      <w:r w:rsidRPr="00B27427">
        <w:rPr>
          <w:color w:val="000000" w:themeColor="text1"/>
          <w:szCs w:val="24"/>
        </w:rPr>
        <w:t>19,067 MSM living with HIV in 2016 and hence not eligible for PrEP;</w:t>
      </w:r>
    </w:p>
    <w:p w:rsidR="00A268E3" w:rsidRPr="00B27427" w:rsidRDefault="00A268E3" w:rsidP="001238AD">
      <w:pPr>
        <w:pStyle w:val="ListParagraph"/>
        <w:widowControl/>
        <w:numPr>
          <w:ilvl w:val="0"/>
          <w:numId w:val="31"/>
        </w:numPr>
        <w:spacing w:before="120" w:after="160"/>
        <w:contextualSpacing w:val="0"/>
        <w:rPr>
          <w:color w:val="000000" w:themeColor="text1"/>
          <w:szCs w:val="24"/>
        </w:rPr>
      </w:pPr>
      <w:r w:rsidRPr="00B27427">
        <w:rPr>
          <w:color w:val="000000" w:themeColor="text1"/>
          <w:szCs w:val="24"/>
        </w:rPr>
        <w:t xml:space="preserve">Uptake as specified in Table 5 ranging from 40% in high and medium risk individuals to 80% in high and medium risk individuals; </w:t>
      </w:r>
    </w:p>
    <w:p w:rsidR="003D3D89" w:rsidRPr="00B27427" w:rsidRDefault="009167D6" w:rsidP="001238AD">
      <w:pPr>
        <w:pStyle w:val="ListParagraph"/>
        <w:widowControl/>
        <w:numPr>
          <w:ilvl w:val="0"/>
          <w:numId w:val="31"/>
        </w:numPr>
        <w:spacing w:before="120" w:after="160"/>
        <w:contextualSpacing w:val="0"/>
        <w:rPr>
          <w:color w:val="000000" w:themeColor="text1"/>
          <w:szCs w:val="24"/>
        </w:rPr>
      </w:pPr>
      <w:r w:rsidRPr="00B27427">
        <w:rPr>
          <w:color w:val="000000" w:themeColor="text1"/>
          <w:szCs w:val="24"/>
        </w:rPr>
        <w:t>90% adherence with PrEP</w:t>
      </w:r>
      <w:r w:rsidR="001238AD" w:rsidRPr="00B27427">
        <w:rPr>
          <w:color w:val="000000" w:themeColor="text1"/>
          <w:szCs w:val="24"/>
        </w:rPr>
        <w:t xml:space="preserve">; </w:t>
      </w:r>
      <w:r w:rsidR="00A268E3" w:rsidRPr="00B27427">
        <w:rPr>
          <w:color w:val="000000" w:themeColor="text1"/>
          <w:szCs w:val="24"/>
        </w:rPr>
        <w:t>and</w:t>
      </w:r>
    </w:p>
    <w:p w:rsidR="001074DF" w:rsidRPr="00B27427" w:rsidRDefault="008A423C" w:rsidP="001238AD">
      <w:pPr>
        <w:pStyle w:val="ListParagraph"/>
        <w:widowControl/>
        <w:numPr>
          <w:ilvl w:val="0"/>
          <w:numId w:val="31"/>
        </w:numPr>
        <w:spacing w:before="120" w:after="160"/>
        <w:contextualSpacing w:val="0"/>
        <w:rPr>
          <w:color w:val="000000" w:themeColor="text1"/>
          <w:szCs w:val="24"/>
        </w:rPr>
      </w:pPr>
      <w:r w:rsidRPr="00B27427">
        <w:rPr>
          <w:color w:val="000000" w:themeColor="text1"/>
          <w:szCs w:val="24"/>
        </w:rPr>
        <w:t>Scale up of th</w:t>
      </w:r>
      <w:r w:rsidR="001074DF" w:rsidRPr="00B27427">
        <w:rPr>
          <w:color w:val="000000" w:themeColor="text1"/>
          <w:szCs w:val="24"/>
        </w:rPr>
        <w:t>e PrEP program over three years.</w:t>
      </w:r>
    </w:p>
    <w:p w:rsidR="00381C49" w:rsidRPr="00B27427" w:rsidRDefault="00381C49" w:rsidP="00381C49">
      <w:pPr>
        <w:spacing w:before="120" w:after="160"/>
        <w:rPr>
          <w:color w:val="000000" w:themeColor="text1"/>
        </w:rPr>
        <w:sectPr w:rsidR="00381C49" w:rsidRPr="00B27427" w:rsidSect="00C27B58">
          <w:headerReference w:type="even" r:id="rId10"/>
          <w:headerReference w:type="default" r:id="rId11"/>
          <w:footerReference w:type="even" r:id="rId12"/>
          <w:footerReference w:type="default" r:id="rId13"/>
          <w:footerReference w:type="first" r:id="rId14"/>
          <w:pgSz w:w="11906" w:h="16838" w:code="9"/>
          <w:pgMar w:top="1440" w:right="1440" w:bottom="1440" w:left="1440" w:header="1440" w:footer="1440" w:gutter="0"/>
          <w:pgNumType w:start="1"/>
          <w:cols w:space="708"/>
          <w:docGrid w:linePitch="360"/>
        </w:sectPr>
      </w:pPr>
    </w:p>
    <w:p w:rsidR="001A0A0E" w:rsidRPr="00B27427" w:rsidRDefault="001A0A0E" w:rsidP="001A0A0E">
      <w:pPr>
        <w:pStyle w:val="Caption"/>
      </w:pPr>
      <w:proofErr w:type="gramStart"/>
      <w:r w:rsidRPr="00B27427">
        <w:lastRenderedPageBreak/>
        <w:t xml:space="preserve">Table </w:t>
      </w:r>
      <w:fldSimple w:instr=" SEQ Table \* ARABIC ">
        <w:r w:rsidR="003C3871" w:rsidRPr="00B27427">
          <w:t>5</w:t>
        </w:r>
      </w:fldSimple>
      <w:r w:rsidRPr="00B27427">
        <w:t>: Total number of person-years of PrEP use each year.</w:t>
      </w:r>
      <w:proofErr w:type="gramEnd"/>
      <w:r w:rsidRPr="00B27427">
        <w:t xml:space="preserve"> Median and range for the 50 model simulations for the number of person-years HIV-negative gay men take PrEP each year accounting for coverage, adherence (90%), a 3-year scale-up to reach the specified coverage, and population growth.</w:t>
      </w:r>
    </w:p>
    <w:tbl>
      <w:tblPr>
        <w:tblStyle w:val="TableGrid"/>
        <w:tblW w:w="5000" w:type="pct"/>
        <w:jc w:val="center"/>
        <w:tblLook w:val="04A0" w:firstRow="1" w:lastRow="0" w:firstColumn="1" w:lastColumn="0" w:noHBand="0" w:noVBand="1"/>
      </w:tblPr>
      <w:tblGrid>
        <w:gridCol w:w="1808"/>
        <w:gridCol w:w="1372"/>
        <w:gridCol w:w="1375"/>
        <w:gridCol w:w="1375"/>
        <w:gridCol w:w="1375"/>
        <w:gridCol w:w="1375"/>
        <w:gridCol w:w="1375"/>
        <w:gridCol w:w="1375"/>
        <w:gridCol w:w="1375"/>
        <w:gridCol w:w="1369"/>
      </w:tblGrid>
      <w:tr w:rsidR="00381C49" w:rsidRPr="00B27427" w:rsidTr="00381C49">
        <w:trPr>
          <w:jc w:val="center"/>
        </w:trPr>
        <w:tc>
          <w:tcPr>
            <w:tcW w:w="638" w:type="pct"/>
          </w:tcPr>
          <w:p w:rsidR="00381C49" w:rsidRPr="00B27427" w:rsidRDefault="00381C49" w:rsidP="00381C49">
            <w:pPr>
              <w:keepNext/>
              <w:widowControl w:val="0"/>
              <w:spacing w:line="360" w:lineRule="auto"/>
              <w:rPr>
                <w:rFonts w:ascii="Arial Narrow" w:hAnsi="Arial Narrow" w:cs="Arial"/>
                <w:b/>
                <w:snapToGrid w:val="0"/>
                <w:sz w:val="18"/>
                <w:szCs w:val="18"/>
              </w:rPr>
            </w:pPr>
            <w:r w:rsidRPr="00B27427">
              <w:rPr>
                <w:rFonts w:ascii="Arial Narrow" w:hAnsi="Arial Narrow" w:cs="Arial"/>
                <w:b/>
                <w:snapToGrid w:val="0"/>
                <w:sz w:val="18"/>
                <w:szCs w:val="18"/>
              </w:rPr>
              <w:t>PrEP usage scenario</w:t>
            </w:r>
          </w:p>
        </w:tc>
        <w:tc>
          <w:tcPr>
            <w:tcW w:w="484" w:type="pct"/>
          </w:tcPr>
          <w:p w:rsidR="00381C49" w:rsidRPr="00B27427" w:rsidRDefault="00381C49" w:rsidP="00381C49">
            <w:pPr>
              <w:keepNext/>
              <w:widowControl w:val="0"/>
              <w:spacing w:line="360" w:lineRule="auto"/>
              <w:jc w:val="center"/>
              <w:rPr>
                <w:rFonts w:ascii="Arial Narrow" w:hAnsi="Arial Narrow" w:cs="Arial"/>
                <w:b/>
                <w:snapToGrid w:val="0"/>
                <w:sz w:val="18"/>
                <w:szCs w:val="18"/>
              </w:rPr>
            </w:pPr>
            <w:r w:rsidRPr="00B27427">
              <w:rPr>
                <w:rFonts w:ascii="Arial Narrow" w:hAnsi="Arial Narrow" w:cs="Arial"/>
                <w:b/>
                <w:snapToGrid w:val="0"/>
                <w:sz w:val="18"/>
                <w:szCs w:val="18"/>
              </w:rPr>
              <w:t>2016</w:t>
            </w:r>
          </w:p>
        </w:tc>
        <w:tc>
          <w:tcPr>
            <w:tcW w:w="485" w:type="pct"/>
          </w:tcPr>
          <w:p w:rsidR="00381C49" w:rsidRPr="00B27427" w:rsidRDefault="00381C49" w:rsidP="00381C49">
            <w:pPr>
              <w:keepNext/>
              <w:widowControl w:val="0"/>
              <w:spacing w:line="360" w:lineRule="auto"/>
              <w:jc w:val="center"/>
              <w:rPr>
                <w:rFonts w:ascii="Arial Narrow" w:hAnsi="Arial Narrow" w:cs="Arial"/>
                <w:b/>
                <w:snapToGrid w:val="0"/>
                <w:sz w:val="18"/>
                <w:szCs w:val="18"/>
              </w:rPr>
            </w:pPr>
            <w:r w:rsidRPr="00B27427">
              <w:rPr>
                <w:rFonts w:ascii="Arial Narrow" w:hAnsi="Arial Narrow" w:cs="Arial"/>
                <w:b/>
                <w:snapToGrid w:val="0"/>
                <w:sz w:val="18"/>
                <w:szCs w:val="18"/>
              </w:rPr>
              <w:t>2017</w:t>
            </w:r>
          </w:p>
        </w:tc>
        <w:tc>
          <w:tcPr>
            <w:tcW w:w="485" w:type="pct"/>
          </w:tcPr>
          <w:p w:rsidR="00381C49" w:rsidRPr="00B27427" w:rsidRDefault="00381C49" w:rsidP="00381C49">
            <w:pPr>
              <w:keepNext/>
              <w:widowControl w:val="0"/>
              <w:spacing w:line="360" w:lineRule="auto"/>
              <w:jc w:val="center"/>
              <w:rPr>
                <w:rFonts w:ascii="Arial Narrow" w:hAnsi="Arial Narrow" w:cs="Arial"/>
                <w:b/>
                <w:snapToGrid w:val="0"/>
                <w:sz w:val="18"/>
                <w:szCs w:val="18"/>
              </w:rPr>
            </w:pPr>
            <w:r w:rsidRPr="00B27427">
              <w:rPr>
                <w:rFonts w:ascii="Arial Narrow" w:hAnsi="Arial Narrow" w:cs="Arial"/>
                <w:b/>
                <w:snapToGrid w:val="0"/>
                <w:sz w:val="18"/>
                <w:szCs w:val="18"/>
              </w:rPr>
              <w:t>2018</w:t>
            </w:r>
          </w:p>
        </w:tc>
        <w:tc>
          <w:tcPr>
            <w:tcW w:w="485" w:type="pct"/>
          </w:tcPr>
          <w:p w:rsidR="00381C49" w:rsidRPr="00B27427" w:rsidRDefault="00381C49" w:rsidP="00381C49">
            <w:pPr>
              <w:keepNext/>
              <w:widowControl w:val="0"/>
              <w:spacing w:line="360" w:lineRule="auto"/>
              <w:jc w:val="center"/>
              <w:rPr>
                <w:rFonts w:ascii="Arial Narrow" w:hAnsi="Arial Narrow" w:cs="Arial"/>
                <w:b/>
                <w:snapToGrid w:val="0"/>
                <w:sz w:val="18"/>
                <w:szCs w:val="18"/>
              </w:rPr>
            </w:pPr>
            <w:r w:rsidRPr="00B27427">
              <w:rPr>
                <w:rFonts w:ascii="Arial Narrow" w:hAnsi="Arial Narrow" w:cs="Arial"/>
                <w:b/>
                <w:snapToGrid w:val="0"/>
                <w:sz w:val="18"/>
                <w:szCs w:val="18"/>
              </w:rPr>
              <w:t>2019</w:t>
            </w:r>
          </w:p>
        </w:tc>
        <w:tc>
          <w:tcPr>
            <w:tcW w:w="485" w:type="pct"/>
          </w:tcPr>
          <w:p w:rsidR="00381C49" w:rsidRPr="00B27427" w:rsidRDefault="00381C49" w:rsidP="00381C49">
            <w:pPr>
              <w:keepNext/>
              <w:widowControl w:val="0"/>
              <w:spacing w:line="360" w:lineRule="auto"/>
              <w:jc w:val="center"/>
              <w:rPr>
                <w:rFonts w:ascii="Arial Narrow" w:hAnsi="Arial Narrow" w:cs="Arial"/>
                <w:b/>
                <w:snapToGrid w:val="0"/>
                <w:sz w:val="18"/>
                <w:szCs w:val="18"/>
              </w:rPr>
            </w:pPr>
            <w:r w:rsidRPr="00B27427">
              <w:rPr>
                <w:rFonts w:ascii="Arial Narrow" w:hAnsi="Arial Narrow" w:cs="Arial"/>
                <w:b/>
                <w:snapToGrid w:val="0"/>
                <w:sz w:val="18"/>
                <w:szCs w:val="18"/>
              </w:rPr>
              <w:t>2020</w:t>
            </w:r>
          </w:p>
        </w:tc>
        <w:tc>
          <w:tcPr>
            <w:tcW w:w="485" w:type="pct"/>
          </w:tcPr>
          <w:p w:rsidR="00381C49" w:rsidRPr="00B27427" w:rsidRDefault="00381C49" w:rsidP="00381C49">
            <w:pPr>
              <w:keepNext/>
              <w:widowControl w:val="0"/>
              <w:tabs>
                <w:tab w:val="left" w:pos="376"/>
                <w:tab w:val="center" w:pos="582"/>
              </w:tabs>
              <w:spacing w:line="360" w:lineRule="auto"/>
              <w:rPr>
                <w:rFonts w:ascii="Arial Narrow" w:hAnsi="Arial Narrow" w:cs="Arial"/>
                <w:b/>
                <w:snapToGrid w:val="0"/>
                <w:sz w:val="18"/>
                <w:szCs w:val="18"/>
              </w:rPr>
            </w:pPr>
            <w:r w:rsidRPr="00B27427">
              <w:rPr>
                <w:rFonts w:ascii="Arial Narrow" w:hAnsi="Arial Narrow" w:cs="Arial"/>
                <w:b/>
                <w:snapToGrid w:val="0"/>
                <w:sz w:val="18"/>
                <w:szCs w:val="18"/>
              </w:rPr>
              <w:tab/>
            </w:r>
            <w:r w:rsidRPr="00B27427">
              <w:rPr>
                <w:rFonts w:ascii="Arial Narrow" w:hAnsi="Arial Narrow" w:cs="Arial"/>
                <w:b/>
                <w:snapToGrid w:val="0"/>
                <w:sz w:val="18"/>
                <w:szCs w:val="18"/>
              </w:rPr>
              <w:tab/>
              <w:t>2021</w:t>
            </w:r>
          </w:p>
        </w:tc>
        <w:tc>
          <w:tcPr>
            <w:tcW w:w="485" w:type="pct"/>
            <w:vAlign w:val="center"/>
          </w:tcPr>
          <w:p w:rsidR="00381C49" w:rsidRPr="00B27427" w:rsidRDefault="00381C49" w:rsidP="00381C49">
            <w:pPr>
              <w:keepNext/>
              <w:widowControl w:val="0"/>
              <w:spacing w:line="360" w:lineRule="auto"/>
              <w:jc w:val="center"/>
              <w:rPr>
                <w:rFonts w:ascii="Arial Narrow" w:hAnsi="Arial Narrow" w:cs="Arial"/>
                <w:b/>
                <w:snapToGrid w:val="0"/>
                <w:sz w:val="18"/>
                <w:szCs w:val="18"/>
              </w:rPr>
            </w:pPr>
            <w:r w:rsidRPr="00B27427">
              <w:rPr>
                <w:rFonts w:ascii="Arial Narrow" w:hAnsi="Arial Narrow" w:cs="Arial"/>
                <w:b/>
                <w:snapToGrid w:val="0"/>
                <w:sz w:val="18"/>
                <w:szCs w:val="18"/>
              </w:rPr>
              <w:t>2022</w:t>
            </w:r>
          </w:p>
        </w:tc>
        <w:tc>
          <w:tcPr>
            <w:tcW w:w="485" w:type="pct"/>
            <w:vAlign w:val="center"/>
          </w:tcPr>
          <w:p w:rsidR="00381C49" w:rsidRPr="00B27427" w:rsidRDefault="00381C49" w:rsidP="00381C49">
            <w:pPr>
              <w:keepNext/>
              <w:widowControl w:val="0"/>
              <w:spacing w:line="360" w:lineRule="auto"/>
              <w:jc w:val="center"/>
              <w:rPr>
                <w:rFonts w:ascii="Arial Narrow" w:hAnsi="Arial Narrow" w:cs="Arial"/>
                <w:b/>
                <w:snapToGrid w:val="0"/>
                <w:sz w:val="18"/>
                <w:szCs w:val="18"/>
              </w:rPr>
            </w:pPr>
            <w:r w:rsidRPr="00B27427">
              <w:rPr>
                <w:rFonts w:ascii="Arial Narrow" w:hAnsi="Arial Narrow" w:cs="Arial"/>
                <w:b/>
                <w:snapToGrid w:val="0"/>
                <w:sz w:val="18"/>
                <w:szCs w:val="18"/>
              </w:rPr>
              <w:t>2023</w:t>
            </w:r>
          </w:p>
        </w:tc>
        <w:tc>
          <w:tcPr>
            <w:tcW w:w="485" w:type="pct"/>
            <w:vAlign w:val="center"/>
          </w:tcPr>
          <w:p w:rsidR="00381C49" w:rsidRPr="00B27427" w:rsidRDefault="00381C49" w:rsidP="00381C49">
            <w:pPr>
              <w:keepNext/>
              <w:widowControl w:val="0"/>
              <w:spacing w:line="360" w:lineRule="auto"/>
              <w:jc w:val="center"/>
              <w:rPr>
                <w:rFonts w:ascii="Arial Narrow" w:hAnsi="Arial Narrow" w:cs="Arial"/>
                <w:b/>
                <w:snapToGrid w:val="0"/>
                <w:sz w:val="18"/>
                <w:szCs w:val="18"/>
              </w:rPr>
            </w:pPr>
            <w:r w:rsidRPr="00B27427">
              <w:rPr>
                <w:rFonts w:ascii="Arial Narrow" w:hAnsi="Arial Narrow" w:cs="Arial"/>
                <w:b/>
                <w:snapToGrid w:val="0"/>
                <w:sz w:val="18"/>
                <w:szCs w:val="18"/>
              </w:rPr>
              <w:t>2024</w:t>
            </w:r>
          </w:p>
        </w:tc>
      </w:tr>
      <w:tr w:rsidR="00381C49" w:rsidRPr="00B27427" w:rsidTr="00381C49">
        <w:trPr>
          <w:jc w:val="center"/>
        </w:trPr>
        <w:tc>
          <w:tcPr>
            <w:tcW w:w="638" w:type="pct"/>
            <w:vAlign w:val="center"/>
          </w:tcPr>
          <w:p w:rsidR="00381C49" w:rsidRPr="00B27427" w:rsidRDefault="00381C49" w:rsidP="00381C49">
            <w:pPr>
              <w:keepNext/>
              <w:widowControl w:val="0"/>
              <w:spacing w:line="360" w:lineRule="auto"/>
              <w:rPr>
                <w:rFonts w:ascii="Arial Narrow" w:hAnsi="Arial Narrow" w:cs="Arial"/>
                <w:snapToGrid w:val="0"/>
                <w:sz w:val="18"/>
                <w:szCs w:val="18"/>
              </w:rPr>
            </w:pPr>
            <w:r w:rsidRPr="00B27427">
              <w:rPr>
                <w:rFonts w:ascii="Arial Narrow" w:hAnsi="Arial Narrow" w:cs="Arial"/>
                <w:snapToGrid w:val="0"/>
                <w:sz w:val="18"/>
                <w:szCs w:val="18"/>
              </w:rPr>
              <w:t>Scenario 40-40-0</w:t>
            </w:r>
          </w:p>
        </w:tc>
        <w:tc>
          <w:tcPr>
            <w:tcW w:w="484"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 1,850</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 (1,150- 2,680)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 5,120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(3,000- 7,360)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 8,470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(4,920-12,200)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10,620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(6,160-15,290)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10,830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(6,290-15,580)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11,050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(6,420-15,880)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11,274</w:t>
            </w:r>
          </w:p>
          <w:p w:rsidR="00E85FBC" w:rsidRPr="00B27427" w:rsidRDefault="00121DA9" w:rsidP="00235B86">
            <w:pPr>
              <w:keepNext/>
              <w:widowControl w:val="0"/>
              <w:rPr>
                <w:rFonts w:ascii="Arial Narrow" w:hAnsi="Arial Narrow" w:cs="Arial"/>
                <w:snapToGrid w:val="0"/>
                <w:sz w:val="18"/>
                <w:szCs w:val="18"/>
              </w:rPr>
            </w:pPr>
            <w:r w:rsidRPr="00B27427">
              <w:rPr>
                <w:rFonts w:ascii="Arial Narrow" w:hAnsi="Arial Narrow" w:cs="Arial"/>
                <w:snapToGrid w:val="0"/>
                <w:sz w:val="18"/>
                <w:szCs w:val="18"/>
              </w:rPr>
              <w:t>(N/A)</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11,503</w:t>
            </w:r>
          </w:p>
          <w:p w:rsidR="00E85FBC" w:rsidRPr="00B27427" w:rsidRDefault="00121DA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(N/A)</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11,737</w:t>
            </w:r>
          </w:p>
          <w:p w:rsidR="000B60F6" w:rsidRPr="00B27427" w:rsidRDefault="00121DA9" w:rsidP="00235B86">
            <w:pPr>
              <w:keepNext/>
              <w:widowControl w:val="0"/>
              <w:rPr>
                <w:rFonts w:ascii="Arial Narrow" w:hAnsi="Arial Narrow" w:cs="Arial"/>
                <w:snapToGrid w:val="0"/>
                <w:sz w:val="18"/>
                <w:szCs w:val="18"/>
              </w:rPr>
            </w:pPr>
            <w:r w:rsidRPr="00B27427">
              <w:rPr>
                <w:rFonts w:ascii="Arial Narrow" w:hAnsi="Arial Narrow" w:cs="Arial"/>
                <w:snapToGrid w:val="0"/>
                <w:sz w:val="18"/>
                <w:szCs w:val="18"/>
              </w:rPr>
              <w:t>(N/A)</w:t>
            </w:r>
          </w:p>
        </w:tc>
      </w:tr>
      <w:tr w:rsidR="00381C49" w:rsidRPr="00B27427" w:rsidTr="00381C49">
        <w:trPr>
          <w:jc w:val="center"/>
        </w:trPr>
        <w:tc>
          <w:tcPr>
            <w:tcW w:w="638" w:type="pct"/>
            <w:vAlign w:val="center"/>
          </w:tcPr>
          <w:p w:rsidR="00381C49" w:rsidRPr="00B27427" w:rsidRDefault="00381C49" w:rsidP="00381C49">
            <w:pPr>
              <w:keepNext/>
              <w:widowControl w:val="0"/>
              <w:spacing w:line="360" w:lineRule="auto"/>
              <w:rPr>
                <w:rFonts w:ascii="Arial Narrow" w:hAnsi="Arial Narrow" w:cs="Arial"/>
                <w:snapToGrid w:val="0"/>
                <w:sz w:val="18"/>
                <w:szCs w:val="18"/>
              </w:rPr>
            </w:pPr>
            <w:r w:rsidRPr="00B27427">
              <w:rPr>
                <w:rFonts w:ascii="Arial Narrow" w:hAnsi="Arial Narrow" w:cs="Arial"/>
                <w:snapToGrid w:val="0"/>
                <w:sz w:val="18"/>
                <w:szCs w:val="18"/>
              </w:rPr>
              <w:t>Scenario 50-50-0</w:t>
            </w:r>
          </w:p>
        </w:tc>
        <w:tc>
          <w:tcPr>
            <w:tcW w:w="484"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 2,200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(1,340- 3,170)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 6,330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(3,700- 9,100)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10,580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(6,140-15,230)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13,330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(7,730-19,170)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13,610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(7,910-19,560)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13,910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(8,090-19,970)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14,217</w:t>
            </w:r>
          </w:p>
          <w:p w:rsidR="00E85FBC" w:rsidRPr="00B27427" w:rsidRDefault="00121DA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(N/A)</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14,530</w:t>
            </w:r>
          </w:p>
          <w:p w:rsidR="00E85FBC" w:rsidRPr="00B27427" w:rsidRDefault="00121DA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(N/A)</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14,850</w:t>
            </w:r>
          </w:p>
          <w:p w:rsidR="000B60F6" w:rsidRPr="00B27427" w:rsidRDefault="00121DA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(N/A)</w:t>
            </w:r>
          </w:p>
        </w:tc>
      </w:tr>
      <w:tr w:rsidR="00381C49" w:rsidRPr="00B27427" w:rsidTr="00381C49">
        <w:trPr>
          <w:jc w:val="center"/>
        </w:trPr>
        <w:tc>
          <w:tcPr>
            <w:tcW w:w="638" w:type="pct"/>
            <w:vAlign w:val="center"/>
          </w:tcPr>
          <w:p w:rsidR="00381C49" w:rsidRPr="00B27427" w:rsidRDefault="00381C49" w:rsidP="00381C49">
            <w:pPr>
              <w:keepNext/>
              <w:widowControl w:val="0"/>
              <w:spacing w:line="360" w:lineRule="auto"/>
              <w:rPr>
                <w:rFonts w:ascii="Arial Narrow" w:hAnsi="Arial Narrow" w:cs="Arial"/>
                <w:snapToGrid w:val="0"/>
                <w:sz w:val="18"/>
                <w:szCs w:val="18"/>
              </w:rPr>
            </w:pPr>
            <w:r w:rsidRPr="00B27427">
              <w:rPr>
                <w:rFonts w:ascii="Arial Narrow" w:hAnsi="Arial Narrow" w:cs="Arial"/>
                <w:snapToGrid w:val="0"/>
                <w:sz w:val="18"/>
                <w:szCs w:val="18"/>
              </w:rPr>
              <w:t>Scenario 60-60-0</w:t>
            </w:r>
          </w:p>
        </w:tc>
        <w:tc>
          <w:tcPr>
            <w:tcW w:w="484"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 2,540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(1,540- 3,650)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 7,540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(4,400-10,830)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12,700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(7,370-18,270)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16,050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(9,310-23,070)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16,420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(9,540-23,570)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16,810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(9,780-24,090)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17,209</w:t>
            </w:r>
          </w:p>
          <w:p w:rsidR="00E85FBC" w:rsidRPr="00B27427" w:rsidRDefault="00121DA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(N/A)</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17,618</w:t>
            </w:r>
          </w:p>
          <w:p w:rsidR="000B60F6" w:rsidRPr="00B27427" w:rsidRDefault="00121DA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(N/A)</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18,036</w:t>
            </w:r>
          </w:p>
          <w:p w:rsidR="000B60F6" w:rsidRPr="00B27427" w:rsidRDefault="00121DA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(N/A)</w:t>
            </w:r>
          </w:p>
        </w:tc>
      </w:tr>
      <w:tr w:rsidR="00381C49" w:rsidRPr="00B27427" w:rsidTr="00381C49">
        <w:trPr>
          <w:jc w:val="center"/>
        </w:trPr>
        <w:tc>
          <w:tcPr>
            <w:tcW w:w="638" w:type="pct"/>
            <w:vAlign w:val="center"/>
          </w:tcPr>
          <w:p w:rsidR="00381C49" w:rsidRPr="00B27427" w:rsidRDefault="00381C49" w:rsidP="00381C49">
            <w:pPr>
              <w:keepNext/>
              <w:widowControl w:val="0"/>
              <w:spacing w:line="360" w:lineRule="auto"/>
              <w:rPr>
                <w:rFonts w:ascii="Arial Narrow" w:hAnsi="Arial Narrow" w:cs="Arial"/>
                <w:snapToGrid w:val="0"/>
                <w:sz w:val="18"/>
                <w:szCs w:val="18"/>
              </w:rPr>
            </w:pPr>
            <w:r w:rsidRPr="00B27427">
              <w:rPr>
                <w:rFonts w:ascii="Arial Narrow" w:hAnsi="Arial Narrow" w:cs="Arial"/>
                <w:snapToGrid w:val="0"/>
                <w:sz w:val="18"/>
                <w:szCs w:val="18"/>
              </w:rPr>
              <w:t>Scenario 70-70-0</w:t>
            </w:r>
          </w:p>
        </w:tc>
        <w:tc>
          <w:tcPr>
            <w:tcW w:w="484"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 2,890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(1,740- 4,140)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 8,750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(5,100-12,570)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14,830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(8,610-21,320)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18,790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(10,900-27,000)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19,260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(11,190-27,620)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19,730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(11,480-28,250)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20,211</w:t>
            </w:r>
          </w:p>
          <w:p w:rsidR="00E85FBC" w:rsidRPr="00B27427" w:rsidRDefault="00121DA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(N/A)</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20,705</w:t>
            </w:r>
          </w:p>
          <w:p w:rsidR="000B60F6" w:rsidRPr="00B27427" w:rsidRDefault="00121DA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(N/A)</w:t>
            </w:r>
          </w:p>
        </w:tc>
        <w:tc>
          <w:tcPr>
            <w:tcW w:w="485" w:type="pct"/>
            <w:vAlign w:val="center"/>
          </w:tcPr>
          <w:p w:rsidR="00235B86"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21,210</w:t>
            </w:r>
          </w:p>
          <w:p w:rsidR="000B60F6" w:rsidRPr="00B27427" w:rsidRDefault="00121DA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(N/A)</w:t>
            </w:r>
          </w:p>
        </w:tc>
      </w:tr>
      <w:tr w:rsidR="00381C49" w:rsidRPr="00B27427" w:rsidTr="00381C49">
        <w:trPr>
          <w:jc w:val="center"/>
        </w:trPr>
        <w:tc>
          <w:tcPr>
            <w:tcW w:w="638" w:type="pct"/>
            <w:vAlign w:val="center"/>
          </w:tcPr>
          <w:p w:rsidR="00381C49" w:rsidRPr="00B27427" w:rsidRDefault="00381C49" w:rsidP="00381C49">
            <w:pPr>
              <w:keepNext/>
              <w:widowControl w:val="0"/>
              <w:spacing w:line="360" w:lineRule="auto"/>
              <w:rPr>
                <w:rFonts w:ascii="Arial Narrow" w:hAnsi="Arial Narrow" w:cs="Arial"/>
                <w:snapToGrid w:val="0"/>
                <w:sz w:val="18"/>
                <w:szCs w:val="18"/>
              </w:rPr>
            </w:pPr>
            <w:r w:rsidRPr="00B27427">
              <w:rPr>
                <w:rFonts w:ascii="Arial Narrow" w:hAnsi="Arial Narrow" w:cs="Arial"/>
                <w:snapToGrid w:val="0"/>
                <w:sz w:val="18"/>
                <w:szCs w:val="18"/>
              </w:rPr>
              <w:t>Scenario 80-80-0</w:t>
            </w:r>
          </w:p>
        </w:tc>
        <w:tc>
          <w:tcPr>
            <w:tcW w:w="484"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 3,240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(1,930- 4,630)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 9,960</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(5,800-14,310)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16,960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(9,840-24,380)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21,550</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(12,510-30,940)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22,110</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(12,850-31,680)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 xml:space="preserve">22,680 </w:t>
            </w:r>
          </w:p>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(13,200-32,430)</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23,265</w:t>
            </w:r>
          </w:p>
          <w:p w:rsidR="00E85FBC" w:rsidRPr="00B27427" w:rsidRDefault="00121DA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(N/A)</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23,864</w:t>
            </w:r>
          </w:p>
          <w:p w:rsidR="000B60F6" w:rsidRPr="00B27427" w:rsidRDefault="00121DA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(N/A)</w:t>
            </w:r>
          </w:p>
        </w:tc>
        <w:tc>
          <w:tcPr>
            <w:tcW w:w="485" w:type="pct"/>
            <w:vAlign w:val="center"/>
          </w:tcPr>
          <w:p w:rsidR="00381C49" w:rsidRPr="00B27427" w:rsidRDefault="00381C4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24,480</w:t>
            </w:r>
          </w:p>
          <w:p w:rsidR="00235B86" w:rsidRPr="00B27427" w:rsidRDefault="00121DA9" w:rsidP="00381C49">
            <w:pPr>
              <w:keepNext/>
              <w:widowControl w:val="0"/>
              <w:rPr>
                <w:rFonts w:ascii="Arial Narrow" w:hAnsi="Arial Narrow" w:cs="Arial"/>
                <w:snapToGrid w:val="0"/>
                <w:sz w:val="18"/>
                <w:szCs w:val="18"/>
              </w:rPr>
            </w:pPr>
            <w:r w:rsidRPr="00B27427">
              <w:rPr>
                <w:rFonts w:ascii="Arial Narrow" w:hAnsi="Arial Narrow" w:cs="Arial"/>
                <w:snapToGrid w:val="0"/>
                <w:sz w:val="18"/>
                <w:szCs w:val="18"/>
              </w:rPr>
              <w:t>(N/A)</w:t>
            </w:r>
          </w:p>
        </w:tc>
      </w:tr>
    </w:tbl>
    <w:p w:rsidR="003D3D89" w:rsidRPr="00B27427" w:rsidRDefault="009167D6" w:rsidP="009167D6">
      <w:pPr>
        <w:pStyle w:val="ListParagraph"/>
        <w:ind w:left="0"/>
        <w:rPr>
          <w:rFonts w:ascii="Arial Narrow" w:hAnsi="Arial Narrow"/>
          <w:sz w:val="20"/>
        </w:rPr>
      </w:pPr>
      <w:r w:rsidRPr="00B27427">
        <w:rPr>
          <w:rFonts w:ascii="Arial Narrow" w:hAnsi="Arial Narrow"/>
          <w:sz w:val="20"/>
        </w:rPr>
        <w:t>Source: Kirby Institute and the Centre for Social Research in Health (October 2017). Discussion paper (</w:t>
      </w:r>
      <w:proofErr w:type="spellStart"/>
      <w:r w:rsidRPr="00B27427">
        <w:rPr>
          <w:rFonts w:ascii="Arial Narrow" w:hAnsi="Arial Narrow"/>
          <w:sz w:val="20"/>
        </w:rPr>
        <w:t>appendum</w:t>
      </w:r>
      <w:proofErr w:type="spellEnd"/>
      <w:r w:rsidRPr="00B27427">
        <w:rPr>
          <w:rFonts w:ascii="Arial Narrow" w:hAnsi="Arial Narrow"/>
          <w:sz w:val="20"/>
        </w:rPr>
        <w:t>): Estimates of the number of people eligible for PrEP in Australia, and related cost-effectiveness, Table 2, p 3.</w:t>
      </w:r>
      <w:r w:rsidR="000B60F6" w:rsidRPr="00B27427">
        <w:rPr>
          <w:rFonts w:ascii="Arial Narrow" w:hAnsi="Arial Narrow"/>
          <w:sz w:val="20"/>
        </w:rPr>
        <w:t xml:space="preserve"> Person-years of PrEP in 2022-2024</w:t>
      </w:r>
      <w:r w:rsidR="00C30FB3" w:rsidRPr="00B27427">
        <w:rPr>
          <w:rFonts w:ascii="Arial Narrow" w:hAnsi="Arial Narrow"/>
          <w:sz w:val="20"/>
        </w:rPr>
        <w:t xml:space="preserve"> estimated by the PBAC Secretariat and</w:t>
      </w:r>
      <w:r w:rsidR="000B60F6" w:rsidRPr="00B27427">
        <w:rPr>
          <w:rFonts w:ascii="Arial Narrow" w:hAnsi="Arial Narrow"/>
          <w:sz w:val="20"/>
        </w:rPr>
        <w:t xml:space="preserve"> assume annual growth is the same as for 2020 to 2021 (i.e. 2.0% for 40% uptake, 2.2% for 50% uptake, 2.4% for 60% uptake, 2.4% for 70% uptake and 2.6% for 80% uptake).</w:t>
      </w:r>
      <w:r w:rsidR="00C30FB3" w:rsidRPr="00B27427">
        <w:rPr>
          <w:rFonts w:ascii="Arial Narrow" w:hAnsi="Arial Narrow"/>
          <w:sz w:val="20"/>
        </w:rPr>
        <w:t xml:space="preserve"> Ranges not estimated for period 2022-2024.</w:t>
      </w:r>
    </w:p>
    <w:p w:rsidR="003D3D89" w:rsidRPr="00B27427" w:rsidRDefault="003D3D89" w:rsidP="00FC084B"/>
    <w:p w:rsidR="00381C49" w:rsidRPr="00B27427" w:rsidRDefault="00381C49" w:rsidP="00FC084B">
      <w:pPr>
        <w:sectPr w:rsidR="00381C49" w:rsidRPr="00B27427" w:rsidSect="00732EAF">
          <w:pgSz w:w="16838" w:h="11906" w:orient="landscape" w:code="9"/>
          <w:pgMar w:top="1440" w:right="1440" w:bottom="1440" w:left="1440" w:header="1440" w:footer="1440" w:gutter="0"/>
          <w:cols w:space="708"/>
          <w:docGrid w:linePitch="360"/>
        </w:sectPr>
      </w:pPr>
    </w:p>
    <w:p w:rsidR="003D3D89" w:rsidRPr="00B27427" w:rsidRDefault="008A423C" w:rsidP="009167D6">
      <w:pPr>
        <w:pStyle w:val="ListParagraph"/>
        <w:numPr>
          <w:ilvl w:val="1"/>
          <w:numId w:val="5"/>
        </w:numPr>
      </w:pPr>
      <w:r w:rsidRPr="00B27427">
        <w:lastRenderedPageBreak/>
        <w:t xml:space="preserve">From 2019 onwards (following the assumed 3 year scale up period), there are approximately 11,000 person years of </w:t>
      </w:r>
      <w:r w:rsidR="001074DF" w:rsidRPr="00B27427">
        <w:t xml:space="preserve">PrEP based on </w:t>
      </w:r>
      <w:r w:rsidRPr="00B27427">
        <w:t xml:space="preserve">uptake of 40% in high and medium risk individuals and 22,000 person years of </w:t>
      </w:r>
      <w:r w:rsidR="001074DF" w:rsidRPr="00B27427">
        <w:t>PrEP based on</w:t>
      </w:r>
      <w:r w:rsidRPr="00B27427">
        <w:t xml:space="preserve"> uptake of 80% (Table 5).</w:t>
      </w:r>
    </w:p>
    <w:p w:rsidR="001074DF" w:rsidRPr="00B27427" w:rsidRDefault="001074DF" w:rsidP="001074DF">
      <w:pPr>
        <w:pStyle w:val="ListParagraph"/>
      </w:pPr>
    </w:p>
    <w:p w:rsidR="00483FA1" w:rsidRPr="00B27427" w:rsidRDefault="00BE6B7B" w:rsidP="00483FA1">
      <w:pPr>
        <w:pStyle w:val="ListParagraph"/>
        <w:numPr>
          <w:ilvl w:val="1"/>
          <w:numId w:val="5"/>
        </w:numPr>
      </w:pPr>
      <w:r w:rsidRPr="00B27427">
        <w:t>The assumed adherence of 90% may be high given in clinical practice i</w:t>
      </w:r>
      <w:r w:rsidR="00A268E3" w:rsidRPr="00B27427">
        <w:t>ntermittent use of PrEP is likely in a proportion of individuals</w:t>
      </w:r>
      <w:r w:rsidRPr="00B27427">
        <w:t>. Intermittent PrEP use would reduce the total use</w:t>
      </w:r>
      <w:r w:rsidR="00A268E3" w:rsidRPr="00B27427">
        <w:t xml:space="preserve"> </w:t>
      </w:r>
      <w:r w:rsidRPr="00B27427">
        <w:t xml:space="preserve">and hence cost of PrEP. </w:t>
      </w:r>
      <w:r w:rsidR="00A268E3" w:rsidRPr="00B27427">
        <w:t xml:space="preserve">Conversely, use </w:t>
      </w:r>
      <w:r w:rsidRPr="00B27427">
        <w:t>in low risk individuals would increase the total use and costs of PrEP.</w:t>
      </w:r>
      <w:r w:rsidR="001074DF" w:rsidRPr="00B27427">
        <w:t xml:space="preserve"> </w:t>
      </w:r>
    </w:p>
    <w:p w:rsidR="00855CA8" w:rsidRPr="00B27427" w:rsidRDefault="00855CA8" w:rsidP="008B018E"/>
    <w:p w:rsidR="00E372C1" w:rsidRPr="00B27427" w:rsidRDefault="00E372C1" w:rsidP="00E372C1">
      <w:pPr>
        <w:pStyle w:val="ListParagraph"/>
        <w:ind w:left="709"/>
        <w:rPr>
          <w:i/>
        </w:rPr>
      </w:pPr>
      <w:r w:rsidRPr="00B27427">
        <w:rPr>
          <w:i/>
        </w:rPr>
        <w:t>For more detail</w:t>
      </w:r>
      <w:r w:rsidR="002D2D91" w:rsidRPr="00B27427">
        <w:rPr>
          <w:i/>
        </w:rPr>
        <w:t xml:space="preserve"> on PBAC’s view, see section 5</w:t>
      </w:r>
      <w:r w:rsidRPr="00B27427">
        <w:rPr>
          <w:i/>
        </w:rPr>
        <w:t xml:space="preserve"> PBAC outcome.</w:t>
      </w:r>
    </w:p>
    <w:p w:rsidR="00E372C1" w:rsidRPr="00B27427" w:rsidRDefault="00E372C1">
      <w:pPr>
        <w:rPr>
          <w:rFonts w:cstheme="minorBidi"/>
          <w:color w:val="000000" w:themeColor="text1"/>
        </w:rPr>
      </w:pPr>
    </w:p>
    <w:p w:rsidR="00E372C1" w:rsidRPr="00B27427" w:rsidRDefault="00E372C1" w:rsidP="003D42B8">
      <w:pPr>
        <w:pStyle w:val="PBACHeading1"/>
        <w:spacing w:after="120"/>
      </w:pPr>
      <w:r w:rsidRPr="00B27427">
        <w:t>PBAC Outcome</w:t>
      </w:r>
    </w:p>
    <w:p w:rsidR="00B90F06" w:rsidRPr="00B27427" w:rsidRDefault="00E372C1" w:rsidP="00AD4F73">
      <w:pPr>
        <w:pStyle w:val="ListParagraph"/>
        <w:numPr>
          <w:ilvl w:val="1"/>
          <w:numId w:val="5"/>
        </w:numPr>
        <w:spacing w:after="120"/>
        <w:rPr>
          <w:bCs/>
          <w:szCs w:val="24"/>
          <w:lang w:eastAsia="en-AU"/>
        </w:rPr>
      </w:pPr>
      <w:r w:rsidRPr="00B27427">
        <w:rPr>
          <w:bCs/>
        </w:rPr>
        <w:t xml:space="preserve">The </w:t>
      </w:r>
      <w:r w:rsidR="00AD4F73" w:rsidRPr="00AD4F73">
        <w:rPr>
          <w:bCs/>
        </w:rPr>
        <w:t>PBAC recommended the listing of tenofovir with emtricitabine for human immunodeficiency virus (HIV) pre-exposure prophylaxis (PrEP). The PBAC was satisfied that tenofovir with emtricitabine provides, for some patients, a significant reduction in the risk of sexually-acquired HIV when used in combination with the promotion of other safe sex practices, compared with the promotion of other safe sex practices alone. The PBAC's recommendation for listing was based on, among other matters, its assessment of the cost-effectiveness of PrEP based on the model developed by the Kirby Institute.</w:t>
      </w:r>
    </w:p>
    <w:p w:rsidR="00C64F3C" w:rsidRPr="00B27427" w:rsidRDefault="00B27427" w:rsidP="00E372C1">
      <w:pPr>
        <w:widowControl w:val="0"/>
        <w:numPr>
          <w:ilvl w:val="1"/>
          <w:numId w:val="5"/>
        </w:numPr>
        <w:spacing w:after="120"/>
        <w:jc w:val="both"/>
        <w:rPr>
          <w:rFonts w:cs="Arial"/>
          <w:bCs/>
          <w:snapToGrid w:val="0"/>
        </w:rPr>
      </w:pPr>
      <w:r w:rsidRPr="00B27427">
        <w:rPr>
          <w:rFonts w:cs="Arial"/>
          <w:bCs/>
          <w:snapToGrid w:val="0"/>
        </w:rPr>
        <w:t xml:space="preserve">In response to </w:t>
      </w:r>
      <w:r w:rsidR="00755E22" w:rsidRPr="00B27427">
        <w:rPr>
          <w:rFonts w:cs="Arial"/>
          <w:bCs/>
          <w:snapToGrid w:val="0"/>
        </w:rPr>
        <w:t xml:space="preserve">the request </w:t>
      </w:r>
      <w:r w:rsidRPr="00B27427">
        <w:rPr>
          <w:rFonts w:cs="Arial"/>
          <w:bCs/>
          <w:snapToGrid w:val="0"/>
        </w:rPr>
        <w:t xml:space="preserve">from </w:t>
      </w:r>
      <w:r w:rsidR="00755E22" w:rsidRPr="00B27427">
        <w:rPr>
          <w:rFonts w:cs="Arial"/>
          <w:bCs/>
          <w:snapToGrid w:val="0"/>
        </w:rPr>
        <w:t xml:space="preserve">the Minister (delegate) under section 101(3) of the </w:t>
      </w:r>
      <w:r w:rsidR="00755E22" w:rsidRPr="00B27427">
        <w:rPr>
          <w:rFonts w:cs="Arial"/>
          <w:bCs/>
          <w:i/>
          <w:snapToGrid w:val="0"/>
        </w:rPr>
        <w:t xml:space="preserve">National Health Act 1953 </w:t>
      </w:r>
      <w:r w:rsidR="00755E22" w:rsidRPr="00B27427">
        <w:rPr>
          <w:rFonts w:cs="Arial"/>
          <w:bCs/>
          <w:snapToGrid w:val="0"/>
        </w:rPr>
        <w:t xml:space="preserve">(‘the Act’), the PBAC considered the price or range of prices at which it considered treatment with tenofovir with emtricitabine as PrEP would be acceptably cost-effective for the purposes of the Act. </w:t>
      </w:r>
      <w:r w:rsidRPr="00B27427">
        <w:rPr>
          <w:rFonts w:cs="Arial"/>
          <w:bCs/>
          <w:snapToGrid w:val="0"/>
        </w:rPr>
        <w:t xml:space="preserve">The </w:t>
      </w:r>
      <w:r w:rsidR="00755E22" w:rsidRPr="00B27427">
        <w:rPr>
          <w:rFonts w:cs="Arial"/>
          <w:bCs/>
          <w:snapToGrid w:val="0"/>
        </w:rPr>
        <w:t xml:space="preserve">PBAC advised that the maximum price it would consider to be acceptably cost-effective, noting the price and </w:t>
      </w:r>
      <w:r w:rsidR="002E00CD" w:rsidRPr="00B27427">
        <w:rPr>
          <w:rFonts w:cs="Arial"/>
          <w:bCs/>
          <w:snapToGrid w:val="0"/>
        </w:rPr>
        <w:t xml:space="preserve">incremental </w:t>
      </w:r>
      <w:r w:rsidR="00387ED7" w:rsidRPr="00B27427">
        <w:rPr>
          <w:rFonts w:cs="Arial"/>
          <w:bCs/>
          <w:snapToGrid w:val="0"/>
        </w:rPr>
        <w:t>cost-effectiveness ratios</w:t>
      </w:r>
      <w:r w:rsidR="002E00CD" w:rsidRPr="00B27427">
        <w:rPr>
          <w:rFonts w:cs="Arial"/>
          <w:bCs/>
          <w:snapToGrid w:val="0"/>
        </w:rPr>
        <w:t xml:space="preserve"> (ICERs)</w:t>
      </w:r>
      <w:r w:rsidR="00387ED7" w:rsidRPr="00B27427">
        <w:rPr>
          <w:rFonts w:cs="Arial"/>
          <w:bCs/>
          <w:snapToGrid w:val="0"/>
        </w:rPr>
        <w:t xml:space="preserve"> </w:t>
      </w:r>
      <w:r w:rsidR="00755E22" w:rsidRPr="00B27427">
        <w:rPr>
          <w:rFonts w:cs="Arial"/>
          <w:bCs/>
          <w:snapToGrid w:val="0"/>
        </w:rPr>
        <w:t>of other large population preventive interventions such as lipid lowering medicines and vaccines on the National Immunisation Program (NIP)</w:t>
      </w:r>
      <w:r w:rsidR="00C64F3C" w:rsidRPr="00B27427">
        <w:rPr>
          <w:rFonts w:cs="Arial"/>
          <w:bCs/>
          <w:snapToGrid w:val="0"/>
        </w:rPr>
        <w:t xml:space="preserve"> would be an annual treatment cost of $2,500 per patient per year. </w:t>
      </w:r>
      <w:r w:rsidR="00387ED7" w:rsidRPr="00B27427">
        <w:rPr>
          <w:rFonts w:cs="Arial"/>
          <w:bCs/>
          <w:snapToGrid w:val="0"/>
        </w:rPr>
        <w:t>This is equivalent to a</w:t>
      </w:r>
      <w:r w:rsidR="00C64F3C" w:rsidRPr="00B27427">
        <w:rPr>
          <w:rFonts w:cs="Arial"/>
          <w:bCs/>
          <w:snapToGrid w:val="0"/>
        </w:rPr>
        <w:t xml:space="preserve"> DPMQ </w:t>
      </w:r>
      <w:r w:rsidR="00387ED7" w:rsidRPr="00B27427">
        <w:rPr>
          <w:rFonts w:cs="Arial"/>
          <w:bCs/>
          <w:snapToGrid w:val="0"/>
        </w:rPr>
        <w:t>of approximately</w:t>
      </w:r>
      <w:r w:rsidR="00C64F3C" w:rsidRPr="00B27427">
        <w:rPr>
          <w:rFonts w:cs="Arial"/>
          <w:bCs/>
          <w:snapToGrid w:val="0"/>
        </w:rPr>
        <w:t xml:space="preserve"> $205</w:t>
      </w:r>
      <w:r w:rsidR="00AE59F6" w:rsidRPr="00B27427">
        <w:rPr>
          <w:rFonts w:cs="Arial"/>
          <w:bCs/>
          <w:snapToGrid w:val="0"/>
        </w:rPr>
        <w:t xml:space="preserve"> per pack of 30 tablets</w:t>
      </w:r>
      <w:r w:rsidR="00C64F3C" w:rsidRPr="00B27427">
        <w:rPr>
          <w:rFonts w:cs="Arial"/>
          <w:bCs/>
          <w:snapToGrid w:val="0"/>
        </w:rPr>
        <w:t xml:space="preserve">. </w:t>
      </w:r>
    </w:p>
    <w:p w:rsidR="00387ED7" w:rsidRPr="00B27427" w:rsidRDefault="00387ED7" w:rsidP="002E00CD">
      <w:pPr>
        <w:widowControl w:val="0"/>
        <w:numPr>
          <w:ilvl w:val="1"/>
          <w:numId w:val="5"/>
        </w:numPr>
        <w:spacing w:after="120"/>
        <w:jc w:val="both"/>
        <w:rPr>
          <w:rFonts w:cs="Arial"/>
          <w:bCs/>
          <w:snapToGrid w:val="0"/>
        </w:rPr>
      </w:pPr>
      <w:r w:rsidRPr="00B27427">
        <w:rPr>
          <w:rFonts w:cs="Arial"/>
          <w:bCs/>
          <w:snapToGrid w:val="0"/>
        </w:rPr>
        <w:t>The PBAC noted the cost-effectiveness of PrEP was dependent on the extent of uptake</w:t>
      </w:r>
      <w:r w:rsidR="002E00CD" w:rsidRPr="00B27427">
        <w:rPr>
          <w:rFonts w:cs="Arial"/>
          <w:bCs/>
          <w:snapToGrid w:val="0"/>
        </w:rPr>
        <w:t xml:space="preserve"> and the risk profile of the individuals </w:t>
      </w:r>
      <w:r w:rsidR="00B27427" w:rsidRPr="00B27427">
        <w:rPr>
          <w:rFonts w:cs="Arial"/>
          <w:bCs/>
          <w:snapToGrid w:val="0"/>
        </w:rPr>
        <w:t xml:space="preserve">who use </w:t>
      </w:r>
      <w:r w:rsidR="002E00CD" w:rsidRPr="00B27427">
        <w:rPr>
          <w:rFonts w:cs="Arial"/>
          <w:bCs/>
          <w:snapToGrid w:val="0"/>
        </w:rPr>
        <w:t>PrEP. Specifically, as demonstrated in Table 2 above, the ICER increases as the uptake of PrEP increases, reflecting diminishing returns as the number of individuals using PrEP increases, particularly when extended to medium and low risk individuals.</w:t>
      </w:r>
    </w:p>
    <w:p w:rsidR="00C926CB" w:rsidRPr="00B27427" w:rsidRDefault="00031005" w:rsidP="0052442F">
      <w:pPr>
        <w:widowControl w:val="0"/>
        <w:numPr>
          <w:ilvl w:val="1"/>
          <w:numId w:val="5"/>
        </w:numPr>
        <w:spacing w:after="120"/>
        <w:jc w:val="both"/>
        <w:rPr>
          <w:rFonts w:cs="Arial"/>
          <w:bCs/>
          <w:snapToGrid w:val="0"/>
        </w:rPr>
      </w:pPr>
      <w:r w:rsidRPr="00B27427">
        <w:rPr>
          <w:rFonts w:cs="Arial"/>
          <w:bCs/>
          <w:snapToGrid w:val="0"/>
        </w:rPr>
        <w:t>Regarding the likely uptake of PrEP, t</w:t>
      </w:r>
      <w:r w:rsidR="00C926CB" w:rsidRPr="00B27427">
        <w:rPr>
          <w:rFonts w:cs="Arial"/>
          <w:bCs/>
          <w:snapToGrid w:val="0"/>
        </w:rPr>
        <w:t xml:space="preserve">he PBAC noted evidence of substantial awareness and familiarity of PrEP amongst sexually active gay </w:t>
      </w:r>
      <w:r w:rsidR="003D42B8" w:rsidRPr="00B27427">
        <w:rPr>
          <w:rFonts w:cs="Arial"/>
          <w:bCs/>
          <w:snapToGrid w:val="0"/>
        </w:rPr>
        <w:t>men;</w:t>
      </w:r>
      <w:r w:rsidR="00F009A9" w:rsidRPr="00B27427">
        <w:rPr>
          <w:rFonts w:cs="Arial"/>
          <w:bCs/>
          <w:snapToGrid w:val="0"/>
        </w:rPr>
        <w:t xml:space="preserve"> </w:t>
      </w:r>
      <w:r w:rsidR="006153AA" w:rsidRPr="00B27427">
        <w:rPr>
          <w:rFonts w:cs="Arial"/>
          <w:bCs/>
          <w:snapToGrid w:val="0"/>
        </w:rPr>
        <w:t xml:space="preserve">however </w:t>
      </w:r>
      <w:r w:rsidR="007175DC" w:rsidRPr="00B27427">
        <w:rPr>
          <w:rFonts w:cs="Arial"/>
          <w:bCs/>
          <w:snapToGrid w:val="0"/>
        </w:rPr>
        <w:t xml:space="preserve">a </w:t>
      </w:r>
      <w:r w:rsidR="003D42B8" w:rsidRPr="00B27427">
        <w:rPr>
          <w:rFonts w:cs="Arial"/>
          <w:bCs/>
          <w:snapToGrid w:val="0"/>
        </w:rPr>
        <w:t>reasonable</w:t>
      </w:r>
      <w:r w:rsidR="007175DC" w:rsidRPr="00B27427">
        <w:rPr>
          <w:rFonts w:cs="Arial"/>
          <w:bCs/>
          <w:snapToGrid w:val="0"/>
        </w:rPr>
        <w:t xml:space="preserve"> proportion of the total (approximately 3</w:t>
      </w:r>
      <w:r w:rsidRPr="00B27427">
        <w:rPr>
          <w:rFonts w:cs="Arial"/>
          <w:bCs/>
          <w:snapToGrid w:val="0"/>
        </w:rPr>
        <w:t>0</w:t>
      </w:r>
      <w:r w:rsidR="007175DC" w:rsidRPr="00B27427">
        <w:rPr>
          <w:rFonts w:cs="Arial"/>
          <w:bCs/>
          <w:snapToGrid w:val="0"/>
        </w:rPr>
        <w:t xml:space="preserve">%) of that population </w:t>
      </w:r>
      <w:r w:rsidR="003D42B8" w:rsidRPr="00B27427">
        <w:rPr>
          <w:rFonts w:cs="Arial"/>
          <w:bCs/>
          <w:snapToGrid w:val="0"/>
        </w:rPr>
        <w:t xml:space="preserve">did not </w:t>
      </w:r>
      <w:r w:rsidR="003D42B8" w:rsidRPr="00B27427">
        <w:rPr>
          <w:rFonts w:cs="Arial"/>
          <w:bCs/>
          <w:snapToGrid w:val="0"/>
        </w:rPr>
        <w:lastRenderedPageBreak/>
        <w:t>indicate a willingness</w:t>
      </w:r>
      <w:r w:rsidR="007175DC" w:rsidRPr="00B27427">
        <w:rPr>
          <w:rFonts w:cs="Arial"/>
          <w:bCs/>
          <w:snapToGrid w:val="0"/>
        </w:rPr>
        <w:t xml:space="preserve"> to use PrEP</w:t>
      </w:r>
      <w:r w:rsidR="007175DC" w:rsidRPr="00B27427">
        <w:rPr>
          <w:vertAlign w:val="superscript"/>
        </w:rPr>
        <w:footnoteReference w:id="1"/>
      </w:r>
      <w:proofErr w:type="gramStart"/>
      <w:r w:rsidR="00B4631B" w:rsidRPr="00B27427">
        <w:rPr>
          <w:rFonts w:cs="Arial"/>
          <w:bCs/>
          <w:snapToGrid w:val="0"/>
          <w:vertAlign w:val="superscript"/>
        </w:rPr>
        <w:t>,</w:t>
      </w:r>
      <w:r w:rsidR="00BE3686" w:rsidRPr="00B27427">
        <w:rPr>
          <w:rStyle w:val="FootnoteReference"/>
          <w:rFonts w:cs="Arial"/>
          <w:bCs/>
          <w:snapToGrid w:val="0"/>
        </w:rPr>
        <w:footnoteReference w:id="2"/>
      </w:r>
      <w:r w:rsidR="007175DC" w:rsidRPr="00B27427">
        <w:rPr>
          <w:rFonts w:cs="Arial"/>
          <w:bCs/>
          <w:snapToGrid w:val="0"/>
        </w:rPr>
        <w:t>.</w:t>
      </w:r>
      <w:proofErr w:type="gramEnd"/>
      <w:r w:rsidR="007175DC" w:rsidRPr="00B27427">
        <w:rPr>
          <w:rFonts w:cs="Arial"/>
          <w:bCs/>
          <w:snapToGrid w:val="0"/>
        </w:rPr>
        <w:t xml:space="preserve"> The PBAC considered that individuals at higher risk of acquiring HIV were more likely to be willing to use PrEP.</w:t>
      </w:r>
    </w:p>
    <w:p w:rsidR="00B1571D" w:rsidRPr="00B27427" w:rsidRDefault="00C926CB" w:rsidP="00926A11">
      <w:pPr>
        <w:widowControl w:val="0"/>
        <w:numPr>
          <w:ilvl w:val="1"/>
          <w:numId w:val="5"/>
        </w:numPr>
        <w:spacing w:after="120"/>
        <w:jc w:val="both"/>
        <w:rPr>
          <w:rFonts w:cs="Arial"/>
          <w:bCs/>
          <w:snapToGrid w:val="0"/>
        </w:rPr>
      </w:pPr>
      <w:r w:rsidRPr="00B27427">
        <w:rPr>
          <w:rFonts w:cs="Arial"/>
          <w:bCs/>
          <w:snapToGrid w:val="0"/>
        </w:rPr>
        <w:t xml:space="preserve">The </w:t>
      </w:r>
      <w:r w:rsidR="00E05417" w:rsidRPr="00B27427">
        <w:rPr>
          <w:rFonts w:cs="Arial"/>
          <w:bCs/>
          <w:snapToGrid w:val="0"/>
        </w:rPr>
        <w:t xml:space="preserve">PBAC noted an update on the uptake of PrEP in </w:t>
      </w:r>
      <w:r w:rsidR="0052442F" w:rsidRPr="00B27427">
        <w:rPr>
          <w:rFonts w:cs="Arial"/>
          <w:bCs/>
          <w:snapToGrid w:val="0"/>
        </w:rPr>
        <w:t xml:space="preserve">the </w:t>
      </w:r>
      <w:r w:rsidR="00E05417" w:rsidRPr="00B27427">
        <w:rPr>
          <w:rFonts w:cs="Arial"/>
          <w:bCs/>
          <w:snapToGrid w:val="0"/>
        </w:rPr>
        <w:t>state-based trials</w:t>
      </w:r>
      <w:r w:rsidR="0035551D" w:rsidRPr="00B27427">
        <w:rPr>
          <w:rStyle w:val="FootnoteReference"/>
          <w:rFonts w:cs="Arial"/>
          <w:bCs/>
          <w:snapToGrid w:val="0"/>
        </w:rPr>
        <w:footnoteReference w:id="3"/>
      </w:r>
      <w:r w:rsidR="00E05417" w:rsidRPr="00B27427">
        <w:rPr>
          <w:rFonts w:cs="Arial"/>
          <w:bCs/>
          <w:snapToGrid w:val="0"/>
        </w:rPr>
        <w:t xml:space="preserve"> and demonstration projects, and that </w:t>
      </w:r>
      <w:r w:rsidR="00B1571D" w:rsidRPr="00B27427">
        <w:rPr>
          <w:rFonts w:cs="Arial"/>
          <w:bCs/>
          <w:snapToGrid w:val="0"/>
        </w:rPr>
        <w:t>as at November 2017</w:t>
      </w:r>
      <w:r w:rsidR="00B27427">
        <w:rPr>
          <w:rFonts w:cs="Arial"/>
          <w:bCs/>
          <w:snapToGrid w:val="0"/>
        </w:rPr>
        <w:t>,</w:t>
      </w:r>
      <w:r w:rsidR="00B1571D" w:rsidRPr="00B27427">
        <w:rPr>
          <w:rFonts w:cs="Arial"/>
          <w:bCs/>
          <w:snapToGrid w:val="0"/>
        </w:rPr>
        <w:t xml:space="preserve"> </w:t>
      </w:r>
      <w:r w:rsidR="00E05417" w:rsidRPr="00B27427">
        <w:rPr>
          <w:rFonts w:cs="Arial"/>
          <w:bCs/>
          <w:snapToGrid w:val="0"/>
        </w:rPr>
        <w:t xml:space="preserve">approximately 14,000 people were enrolled and on treatment </w:t>
      </w:r>
      <w:r w:rsidR="0052442F" w:rsidRPr="00B27427">
        <w:rPr>
          <w:rFonts w:cs="Arial"/>
          <w:bCs/>
          <w:snapToGrid w:val="0"/>
        </w:rPr>
        <w:t>and that this</w:t>
      </w:r>
      <w:r w:rsidR="00B1571D" w:rsidRPr="00B27427">
        <w:rPr>
          <w:rFonts w:cs="Arial"/>
          <w:bCs/>
          <w:snapToGrid w:val="0"/>
        </w:rPr>
        <w:t xml:space="preserve"> represented</w:t>
      </w:r>
      <w:r w:rsidR="00E05417" w:rsidRPr="00B27427">
        <w:rPr>
          <w:rFonts w:cs="Arial"/>
          <w:bCs/>
          <w:snapToGrid w:val="0"/>
        </w:rPr>
        <w:t xml:space="preserve"> approximately half </w:t>
      </w:r>
      <w:r w:rsidR="0052442F" w:rsidRPr="00B27427">
        <w:rPr>
          <w:rFonts w:cs="Arial"/>
          <w:bCs/>
          <w:snapToGrid w:val="0"/>
        </w:rPr>
        <w:t xml:space="preserve">of </w:t>
      </w:r>
      <w:r w:rsidR="00E05417" w:rsidRPr="00B27427">
        <w:rPr>
          <w:rFonts w:cs="Arial"/>
          <w:bCs/>
          <w:snapToGrid w:val="0"/>
        </w:rPr>
        <w:t>the estimated MSM population at high risk of sexually-acquired HIV</w:t>
      </w:r>
      <w:r w:rsidR="00FF5CA9" w:rsidRPr="00B27427">
        <w:rPr>
          <w:rFonts w:cs="Arial"/>
          <w:bCs/>
          <w:snapToGrid w:val="0"/>
        </w:rPr>
        <w:t xml:space="preserve">. </w:t>
      </w:r>
      <w:r w:rsidR="00572F26" w:rsidRPr="00B27427">
        <w:rPr>
          <w:rFonts w:cs="Arial"/>
          <w:bCs/>
          <w:snapToGrid w:val="0"/>
        </w:rPr>
        <w:t>These projects are continuing to recruit with 85% uptake considered the likely maximum enrolment.</w:t>
      </w:r>
      <w:r w:rsidR="00285D5A" w:rsidRPr="00B27427">
        <w:rPr>
          <w:rFonts w:cs="Arial"/>
          <w:bCs/>
          <w:snapToGrid w:val="0"/>
        </w:rPr>
        <w:t xml:space="preserve"> The PBAC noted that </w:t>
      </w:r>
      <w:r w:rsidR="00B27427" w:rsidRPr="00B27427">
        <w:rPr>
          <w:rFonts w:cs="Arial"/>
          <w:bCs/>
          <w:snapToGrid w:val="0"/>
        </w:rPr>
        <w:t xml:space="preserve">State and Territory Communicable Disease programs </w:t>
      </w:r>
      <w:r w:rsidR="00B27427">
        <w:rPr>
          <w:rFonts w:cs="Arial"/>
          <w:bCs/>
          <w:snapToGrid w:val="0"/>
        </w:rPr>
        <w:t xml:space="preserve">and established community groups have successfully run </w:t>
      </w:r>
      <w:r w:rsidR="00285D5A" w:rsidRPr="00B27427">
        <w:rPr>
          <w:rFonts w:cs="Arial"/>
          <w:bCs/>
          <w:snapToGrid w:val="0"/>
        </w:rPr>
        <w:t>comprehensive health promotion tools and education campaigns over the past sev</w:t>
      </w:r>
      <w:r w:rsidR="00846F88">
        <w:rPr>
          <w:rFonts w:cs="Arial"/>
          <w:bCs/>
          <w:snapToGrid w:val="0"/>
        </w:rPr>
        <w:t>eral years</w:t>
      </w:r>
      <w:r w:rsidR="00B27427">
        <w:rPr>
          <w:rFonts w:cs="Arial"/>
          <w:bCs/>
          <w:snapToGrid w:val="0"/>
        </w:rPr>
        <w:t xml:space="preserve">. The PBAC </w:t>
      </w:r>
      <w:r w:rsidR="00285D5A" w:rsidRPr="00B27427">
        <w:rPr>
          <w:rFonts w:cs="Arial"/>
          <w:bCs/>
          <w:snapToGrid w:val="0"/>
        </w:rPr>
        <w:t xml:space="preserve">considered that these programs and the high awareness of PrEP in the target population </w:t>
      </w:r>
      <w:r w:rsidR="003507CF">
        <w:rPr>
          <w:rFonts w:cs="Arial"/>
          <w:bCs/>
          <w:snapToGrid w:val="0"/>
        </w:rPr>
        <w:t xml:space="preserve">would deliver </w:t>
      </w:r>
      <w:r w:rsidR="00285D5A" w:rsidRPr="00B27427">
        <w:rPr>
          <w:rFonts w:cs="Arial"/>
          <w:bCs/>
          <w:snapToGrid w:val="0"/>
        </w:rPr>
        <w:t xml:space="preserve">an ongoing consistency in prescribing practice and consumer uptake as </w:t>
      </w:r>
      <w:r w:rsidR="003507CF">
        <w:rPr>
          <w:rFonts w:cs="Arial"/>
          <w:bCs/>
          <w:snapToGrid w:val="0"/>
        </w:rPr>
        <w:t xml:space="preserve">the medicine </w:t>
      </w:r>
      <w:r w:rsidR="00285D5A" w:rsidRPr="00B27427">
        <w:rPr>
          <w:rFonts w:cs="Arial"/>
          <w:bCs/>
          <w:snapToGrid w:val="0"/>
        </w:rPr>
        <w:t>transition</w:t>
      </w:r>
      <w:r w:rsidR="003507CF">
        <w:rPr>
          <w:rFonts w:cs="Arial"/>
          <w:bCs/>
          <w:snapToGrid w:val="0"/>
        </w:rPr>
        <w:t>ed</w:t>
      </w:r>
      <w:r w:rsidR="00285D5A" w:rsidRPr="00B27427">
        <w:rPr>
          <w:rFonts w:cs="Arial"/>
          <w:bCs/>
          <w:snapToGrid w:val="0"/>
        </w:rPr>
        <w:t xml:space="preserve"> from State access programs to PBS supply.</w:t>
      </w:r>
    </w:p>
    <w:p w:rsidR="005A1B2F" w:rsidRPr="00B27427" w:rsidRDefault="005A1B2F" w:rsidP="00AD4F73">
      <w:pPr>
        <w:pStyle w:val="ListParagraph"/>
        <w:numPr>
          <w:ilvl w:val="1"/>
          <w:numId w:val="5"/>
        </w:numPr>
        <w:spacing w:after="120"/>
        <w:rPr>
          <w:bCs/>
          <w:szCs w:val="24"/>
          <w:lang w:eastAsia="en-AU"/>
        </w:rPr>
      </w:pPr>
      <w:r w:rsidRPr="00B27427">
        <w:rPr>
          <w:bCs/>
        </w:rPr>
        <w:t xml:space="preserve">The </w:t>
      </w:r>
      <w:r w:rsidR="00AD4F73" w:rsidRPr="00AD4F73">
        <w:rPr>
          <w:bCs/>
        </w:rPr>
        <w:t>PBAC noted in the PrEPx demonstration project only a small proportion of individuals (3.4%) were enrolled based on clinician discretion. The Committee further noted that in the PrEP projects in NSW, Victoria and Queensland there has been no decrease in sexually transmitte</w:t>
      </w:r>
      <w:r w:rsidR="00AD4F73">
        <w:rPr>
          <w:bCs/>
        </w:rPr>
        <w:t>d infections (STIs) at baseline</w:t>
      </w:r>
      <w:r w:rsidR="00AD4F73" w:rsidRPr="00AD4F73">
        <w:rPr>
          <w:bCs/>
        </w:rPr>
        <w:t>, suggesting that the projects are continuing to recruit high-risk individuals. Overall, with PrEP access through the PBS, the PBAC considered that there was a risk of some use of PrEP in low risk individuals, or of adoption of higher risk behaviour among previously low and medium risk individuals, but that the extent of use in these individuals would be relatively low.</w:t>
      </w:r>
    </w:p>
    <w:p w:rsidR="00AD4F73" w:rsidRDefault="00572F26" w:rsidP="00AD4F73">
      <w:pPr>
        <w:widowControl w:val="0"/>
        <w:numPr>
          <w:ilvl w:val="1"/>
          <w:numId w:val="5"/>
        </w:numPr>
        <w:spacing w:after="120"/>
        <w:jc w:val="both"/>
        <w:rPr>
          <w:rFonts w:cs="Arial"/>
          <w:bCs/>
          <w:snapToGrid w:val="0"/>
        </w:rPr>
      </w:pPr>
      <w:r w:rsidRPr="00AD4F73">
        <w:rPr>
          <w:rFonts w:cs="Arial"/>
          <w:bCs/>
          <w:snapToGrid w:val="0"/>
        </w:rPr>
        <w:t xml:space="preserve">The </w:t>
      </w:r>
      <w:r w:rsidR="00AD4F73" w:rsidRPr="00AD4F73">
        <w:rPr>
          <w:rFonts w:cs="Arial"/>
          <w:bCs/>
          <w:snapToGrid w:val="0"/>
        </w:rPr>
        <w:t xml:space="preserve">PBAC considered the impact of a number of uptake scenarios on the cost-effectiveness of PrEP. The PBAC noted with 80% uptake in high and medium risk individuals (80-80-0) the annual cost of tenofovir with emtricitabine would need to be $3,750 per patient for the ICER to be $15,000 per QALY gained. If there was 10% use in low risk individuals, the annual cost would need to be reduced by 23% (to $2,888 per patient) for the ICER to remain at $15,000 per QALY gained. The PBAC considered an uptake scenario of 60-60-30 as a likely extreme scenario, and noted for this scenario the ICER would be between $15,000 and $30,000 per QALY gained resulting in an annual PrEP cost between $2,316 ($4,210 x 0.55) and $2,464 ($4,480 x 0.55). Overall, the PBAC advised that tenofovir with emtricitabine for PrEP is likely to </w:t>
      </w:r>
      <w:r w:rsidR="00AD4F73" w:rsidRPr="00AD4F73">
        <w:rPr>
          <w:rFonts w:cs="Arial"/>
          <w:bCs/>
          <w:snapToGrid w:val="0"/>
        </w:rPr>
        <w:lastRenderedPageBreak/>
        <w:t>be acceptably cost-effective if the annual treatment cost did not exceed $2,500 per patient.</w:t>
      </w:r>
    </w:p>
    <w:p w:rsidR="00E4406B" w:rsidRPr="00AD4F73" w:rsidRDefault="003507CF" w:rsidP="00AD4F73">
      <w:pPr>
        <w:widowControl w:val="0"/>
        <w:numPr>
          <w:ilvl w:val="1"/>
          <w:numId w:val="5"/>
        </w:numPr>
        <w:spacing w:after="120"/>
        <w:jc w:val="both"/>
        <w:rPr>
          <w:rFonts w:cs="Arial"/>
          <w:bCs/>
          <w:snapToGrid w:val="0"/>
        </w:rPr>
      </w:pPr>
      <w:r w:rsidRPr="00AD4F73">
        <w:rPr>
          <w:rFonts w:cs="Arial"/>
          <w:bCs/>
          <w:snapToGrid w:val="0"/>
        </w:rPr>
        <w:t>T</w:t>
      </w:r>
      <w:r w:rsidR="00E4406B" w:rsidRPr="00AD4F73">
        <w:rPr>
          <w:rFonts w:cs="Arial"/>
          <w:bCs/>
          <w:snapToGrid w:val="0"/>
        </w:rPr>
        <w:t>he PBAC noted that</w:t>
      </w:r>
      <w:r w:rsidR="00B4631B" w:rsidRPr="00AD4F73">
        <w:rPr>
          <w:rFonts w:cs="Arial"/>
          <w:bCs/>
          <w:snapToGrid w:val="0"/>
        </w:rPr>
        <w:t xml:space="preserve"> some</w:t>
      </w:r>
      <w:r w:rsidR="00E4406B" w:rsidRPr="00AD4F73">
        <w:rPr>
          <w:rFonts w:cs="Arial"/>
          <w:bCs/>
          <w:snapToGrid w:val="0"/>
        </w:rPr>
        <w:t xml:space="preserve"> individuals not enrolled in state-based PrEP demonstration </w:t>
      </w:r>
      <w:r w:rsidR="0052442F" w:rsidRPr="00AD4F73">
        <w:rPr>
          <w:rFonts w:cs="Arial"/>
          <w:bCs/>
          <w:snapToGrid w:val="0"/>
        </w:rPr>
        <w:t>projects</w:t>
      </w:r>
      <w:r w:rsidR="00E4406B" w:rsidRPr="00AD4F73">
        <w:rPr>
          <w:rFonts w:cs="Arial"/>
          <w:bCs/>
          <w:snapToGrid w:val="0"/>
        </w:rPr>
        <w:t xml:space="preserve"> are </w:t>
      </w:r>
      <w:r w:rsidR="009450FB" w:rsidRPr="00AD4F73">
        <w:rPr>
          <w:rFonts w:cs="Arial"/>
          <w:bCs/>
          <w:snapToGrid w:val="0"/>
        </w:rPr>
        <w:t xml:space="preserve">privately </w:t>
      </w:r>
      <w:r w:rsidR="00E4406B" w:rsidRPr="00AD4F73">
        <w:rPr>
          <w:rFonts w:cs="Arial"/>
          <w:bCs/>
          <w:snapToGrid w:val="0"/>
        </w:rPr>
        <w:t>accessing PrEP</w:t>
      </w:r>
      <w:r w:rsidR="009450FB" w:rsidRPr="00AD4F73">
        <w:rPr>
          <w:rFonts w:cs="Arial"/>
          <w:bCs/>
          <w:snapToGrid w:val="0"/>
        </w:rPr>
        <w:t xml:space="preserve">, primarily </w:t>
      </w:r>
      <w:r w:rsidR="00E4406B" w:rsidRPr="00AD4F73">
        <w:rPr>
          <w:rFonts w:cs="Arial"/>
          <w:bCs/>
          <w:snapToGrid w:val="0"/>
        </w:rPr>
        <w:t xml:space="preserve">from outside Australia under personal importation provisions permitted in the </w:t>
      </w:r>
      <w:r w:rsidR="00E4406B" w:rsidRPr="00AD4F73">
        <w:rPr>
          <w:rFonts w:cs="Arial"/>
          <w:bCs/>
          <w:i/>
          <w:snapToGrid w:val="0"/>
        </w:rPr>
        <w:t>Therapeutic Goods Regulations 1990</w:t>
      </w:r>
      <w:r w:rsidR="009450FB" w:rsidRPr="00AD4F73">
        <w:rPr>
          <w:rFonts w:cs="Arial"/>
          <w:bCs/>
          <w:i/>
          <w:snapToGrid w:val="0"/>
        </w:rPr>
        <w:t xml:space="preserve">, </w:t>
      </w:r>
      <w:r w:rsidR="009450FB" w:rsidRPr="00AD4F73">
        <w:rPr>
          <w:rFonts w:cs="Arial"/>
          <w:bCs/>
          <w:snapToGrid w:val="0"/>
        </w:rPr>
        <w:t>at a price that is lower than that requested by any of the sponsor companies</w:t>
      </w:r>
      <w:r w:rsidR="00E4406B" w:rsidRPr="00AD4F73">
        <w:rPr>
          <w:rFonts w:cs="Arial"/>
          <w:bCs/>
          <w:snapToGrid w:val="0"/>
        </w:rPr>
        <w:t>.</w:t>
      </w:r>
      <w:r w:rsidR="00055888" w:rsidRPr="00AD4F73">
        <w:rPr>
          <w:rFonts w:cs="Arial"/>
          <w:bCs/>
          <w:snapToGrid w:val="0"/>
        </w:rPr>
        <w:t xml:space="preserve"> The PBAC </w:t>
      </w:r>
      <w:r w:rsidR="009450FB" w:rsidRPr="00AD4F73">
        <w:rPr>
          <w:rFonts w:cs="Arial"/>
          <w:bCs/>
          <w:snapToGrid w:val="0"/>
        </w:rPr>
        <w:t xml:space="preserve">also </w:t>
      </w:r>
      <w:r w:rsidR="00055888" w:rsidRPr="00AD4F73">
        <w:rPr>
          <w:rFonts w:cs="Arial"/>
          <w:bCs/>
          <w:snapToGrid w:val="0"/>
        </w:rPr>
        <w:t>noted that since generic brands of tenofovir with emtricitabine</w:t>
      </w:r>
      <w:r w:rsidR="009450FB" w:rsidRPr="00AD4F73">
        <w:rPr>
          <w:rFonts w:cs="Arial"/>
          <w:bCs/>
          <w:snapToGrid w:val="0"/>
        </w:rPr>
        <w:t xml:space="preserve"> are listed on the PBS</w:t>
      </w:r>
      <w:r w:rsidR="00055888" w:rsidRPr="00AD4F73">
        <w:rPr>
          <w:rFonts w:cs="Arial"/>
          <w:bCs/>
          <w:snapToGrid w:val="0"/>
        </w:rPr>
        <w:t xml:space="preserve">, </w:t>
      </w:r>
      <w:r w:rsidR="009450FB" w:rsidRPr="00AD4F73">
        <w:rPr>
          <w:rFonts w:cs="Arial"/>
          <w:bCs/>
          <w:snapToGrid w:val="0"/>
        </w:rPr>
        <w:t xml:space="preserve">the drug </w:t>
      </w:r>
      <w:r w:rsidR="00055888" w:rsidRPr="00AD4F73">
        <w:rPr>
          <w:rFonts w:cs="Arial"/>
          <w:bCs/>
          <w:snapToGrid w:val="0"/>
        </w:rPr>
        <w:t>is subject to price disclosure</w:t>
      </w:r>
      <w:r w:rsidR="009450FB" w:rsidRPr="00AD4F73">
        <w:rPr>
          <w:rFonts w:cs="Arial"/>
          <w:bCs/>
          <w:snapToGrid w:val="0"/>
        </w:rPr>
        <w:t xml:space="preserve"> and the price will reduce over</w:t>
      </w:r>
      <w:r w:rsidRPr="00AD4F73">
        <w:rPr>
          <w:rFonts w:cs="Arial"/>
          <w:bCs/>
          <w:snapToGrid w:val="0"/>
        </w:rPr>
        <w:t xml:space="preserve"> </w:t>
      </w:r>
      <w:r w:rsidR="009450FB" w:rsidRPr="00AD4F73">
        <w:rPr>
          <w:rFonts w:cs="Arial"/>
          <w:bCs/>
          <w:snapToGrid w:val="0"/>
        </w:rPr>
        <w:t>time</w:t>
      </w:r>
      <w:r w:rsidR="00055888" w:rsidRPr="00AD4F73">
        <w:rPr>
          <w:rFonts w:cs="Arial"/>
          <w:bCs/>
          <w:snapToGrid w:val="0"/>
        </w:rPr>
        <w:t xml:space="preserve">, however the magnitude of </w:t>
      </w:r>
      <w:r w:rsidR="009450FB" w:rsidRPr="00AD4F73">
        <w:rPr>
          <w:rFonts w:cs="Arial"/>
          <w:bCs/>
          <w:snapToGrid w:val="0"/>
        </w:rPr>
        <w:t xml:space="preserve">the </w:t>
      </w:r>
      <w:r w:rsidR="00055888" w:rsidRPr="00AD4F73">
        <w:rPr>
          <w:rFonts w:cs="Arial"/>
          <w:bCs/>
          <w:snapToGrid w:val="0"/>
        </w:rPr>
        <w:t xml:space="preserve">price reductions </w:t>
      </w:r>
      <w:r w:rsidR="009450FB" w:rsidRPr="00AD4F73">
        <w:rPr>
          <w:rFonts w:cs="Arial"/>
          <w:bCs/>
          <w:snapToGrid w:val="0"/>
        </w:rPr>
        <w:t>cannot be determined prospectively.</w:t>
      </w:r>
    </w:p>
    <w:p w:rsidR="007175DC" w:rsidRPr="001B6D85" w:rsidRDefault="00E4406B" w:rsidP="00F318C2">
      <w:pPr>
        <w:pStyle w:val="ListParagraph"/>
        <w:numPr>
          <w:ilvl w:val="1"/>
          <w:numId w:val="5"/>
        </w:numPr>
        <w:spacing w:after="120"/>
        <w:rPr>
          <w:bCs/>
        </w:rPr>
      </w:pPr>
      <w:r w:rsidRPr="001B6D85">
        <w:rPr>
          <w:bCs/>
        </w:rPr>
        <w:t>The PBAC noted the estimate</w:t>
      </w:r>
      <w:r w:rsidR="004B2FC1">
        <w:rPr>
          <w:bCs/>
        </w:rPr>
        <w:t>d</w:t>
      </w:r>
      <w:r w:rsidRPr="001B6D85">
        <w:rPr>
          <w:bCs/>
        </w:rPr>
        <w:t xml:space="preserve"> extent of use for the financial forecasts was based on the number of HIV negative individuals at high or medium risk of infection, and the uptake</w:t>
      </w:r>
      <w:r w:rsidR="009450FB" w:rsidRPr="001B6D85">
        <w:rPr>
          <w:bCs/>
        </w:rPr>
        <w:t xml:space="preserve"> (40-80%)</w:t>
      </w:r>
      <w:r w:rsidRPr="001B6D85">
        <w:rPr>
          <w:bCs/>
        </w:rPr>
        <w:t xml:space="preserve"> and adherence </w:t>
      </w:r>
      <w:r w:rsidR="009450FB" w:rsidRPr="001B6D85">
        <w:rPr>
          <w:bCs/>
        </w:rPr>
        <w:t xml:space="preserve">(90%) </w:t>
      </w:r>
      <w:r w:rsidRPr="001B6D85">
        <w:rPr>
          <w:bCs/>
        </w:rPr>
        <w:t>with PrE</w:t>
      </w:r>
      <w:r w:rsidR="004B2FC1">
        <w:rPr>
          <w:bCs/>
        </w:rPr>
        <w:t>P. Based on the uptake in s</w:t>
      </w:r>
      <w:r w:rsidRPr="001B6D85">
        <w:rPr>
          <w:bCs/>
        </w:rPr>
        <w:t>tate</w:t>
      </w:r>
      <w:r w:rsidR="004B2FC1">
        <w:rPr>
          <w:bCs/>
        </w:rPr>
        <w:t>-</w:t>
      </w:r>
      <w:r w:rsidRPr="001B6D85">
        <w:rPr>
          <w:bCs/>
        </w:rPr>
        <w:t xml:space="preserve">based </w:t>
      </w:r>
      <w:r w:rsidR="009450FB" w:rsidRPr="001B6D85">
        <w:rPr>
          <w:bCs/>
        </w:rPr>
        <w:t>projects</w:t>
      </w:r>
      <w:r w:rsidRPr="001B6D85">
        <w:rPr>
          <w:bCs/>
        </w:rPr>
        <w:t xml:space="preserve"> and the proportion indicating a willingness to use PrEP</w:t>
      </w:r>
      <w:r w:rsidR="00003685" w:rsidRPr="001B6D85">
        <w:rPr>
          <w:bCs/>
        </w:rPr>
        <w:t>, the PBAC considered the uptake of PrEP was likely to be in the order of 60-70% of eligible individuals (</w:t>
      </w:r>
      <w:r w:rsidR="003507CF" w:rsidRPr="001B6D85">
        <w:rPr>
          <w:bCs/>
        </w:rPr>
        <w:t>i.e.</w:t>
      </w:r>
      <w:r w:rsidR="00003685" w:rsidRPr="001B6D85">
        <w:rPr>
          <w:bCs/>
        </w:rPr>
        <w:t xml:space="preserve"> approximately 16,000 to 19,000 individuals in 2019, Table </w:t>
      </w:r>
      <w:r w:rsidR="00C30FB3" w:rsidRPr="001B6D85">
        <w:rPr>
          <w:bCs/>
        </w:rPr>
        <w:t>5</w:t>
      </w:r>
      <w:r w:rsidR="00003685" w:rsidRPr="001B6D85">
        <w:rPr>
          <w:bCs/>
        </w:rPr>
        <w:t xml:space="preserve">). The PBAC noted </w:t>
      </w:r>
      <w:r w:rsidR="00982C42" w:rsidRPr="001B6D85">
        <w:rPr>
          <w:bCs/>
        </w:rPr>
        <w:t>the</w:t>
      </w:r>
      <w:r w:rsidR="00003685" w:rsidRPr="001B6D85">
        <w:rPr>
          <w:bCs/>
        </w:rPr>
        <w:t>s</w:t>
      </w:r>
      <w:r w:rsidR="00982C42" w:rsidRPr="001B6D85">
        <w:rPr>
          <w:bCs/>
        </w:rPr>
        <w:t>e estimates</w:t>
      </w:r>
      <w:r w:rsidR="00003685" w:rsidRPr="001B6D85">
        <w:rPr>
          <w:bCs/>
        </w:rPr>
        <w:t xml:space="preserve"> did not consider use in low risk individuals </w:t>
      </w:r>
      <w:r w:rsidR="00D753EB" w:rsidRPr="001B6D85">
        <w:rPr>
          <w:bCs/>
        </w:rPr>
        <w:t xml:space="preserve">and </w:t>
      </w:r>
      <w:r w:rsidR="00003685" w:rsidRPr="001B6D85">
        <w:rPr>
          <w:bCs/>
        </w:rPr>
        <w:t xml:space="preserve">considered that </w:t>
      </w:r>
      <w:r w:rsidR="00982C42" w:rsidRPr="001B6D85">
        <w:rPr>
          <w:bCs/>
        </w:rPr>
        <w:t xml:space="preserve">use in these individuals is likely to be relatively low. </w:t>
      </w:r>
      <w:r w:rsidR="009450FB" w:rsidRPr="001B6D85">
        <w:rPr>
          <w:bCs/>
        </w:rPr>
        <w:t>The PBAC also noted that these estimates did not consider</w:t>
      </w:r>
      <w:r w:rsidR="00982C42" w:rsidRPr="001B6D85">
        <w:rPr>
          <w:bCs/>
        </w:rPr>
        <w:t xml:space="preserve"> intermittent use in high and medium risk individuals </w:t>
      </w:r>
      <w:r w:rsidR="009450FB" w:rsidRPr="001B6D85">
        <w:rPr>
          <w:bCs/>
        </w:rPr>
        <w:t xml:space="preserve">and that this </w:t>
      </w:r>
      <w:r w:rsidR="00982C42" w:rsidRPr="001B6D85">
        <w:rPr>
          <w:bCs/>
        </w:rPr>
        <w:t>will reduce the</w:t>
      </w:r>
      <w:r w:rsidR="009450FB" w:rsidRPr="001B6D85">
        <w:rPr>
          <w:bCs/>
        </w:rPr>
        <w:t xml:space="preserve"> extent of use</w:t>
      </w:r>
      <w:r w:rsidR="00982C42" w:rsidRPr="001B6D85">
        <w:rPr>
          <w:bCs/>
        </w:rPr>
        <w:t>.</w:t>
      </w:r>
      <w:r w:rsidR="007175DC" w:rsidRPr="001B6D85">
        <w:rPr>
          <w:bCs/>
        </w:rPr>
        <w:t xml:space="preserve"> The Committee </w:t>
      </w:r>
      <w:r w:rsidR="00982C42" w:rsidRPr="001B6D85">
        <w:rPr>
          <w:bCs/>
        </w:rPr>
        <w:t>recalled from the July 201</w:t>
      </w:r>
      <w:r w:rsidR="009450FB" w:rsidRPr="001B6D85">
        <w:rPr>
          <w:bCs/>
        </w:rPr>
        <w:t>7</w:t>
      </w:r>
      <w:r w:rsidR="00982C42" w:rsidRPr="001B6D85">
        <w:rPr>
          <w:bCs/>
        </w:rPr>
        <w:t xml:space="preserve"> PBAC </w:t>
      </w:r>
      <w:r w:rsidR="009450FB" w:rsidRPr="001B6D85">
        <w:rPr>
          <w:bCs/>
        </w:rPr>
        <w:t>meeting</w:t>
      </w:r>
      <w:r w:rsidR="00982C42" w:rsidRPr="001B6D85">
        <w:rPr>
          <w:bCs/>
        </w:rPr>
        <w:t xml:space="preserve"> there was clinical evidence demonstrating the efficacy of intermittent PrEP regimens and </w:t>
      </w:r>
      <w:r w:rsidR="007175DC" w:rsidRPr="001B6D85">
        <w:rPr>
          <w:bCs/>
        </w:rPr>
        <w:t>considered there would be substantial fluidity in the use of PrEP</w:t>
      </w:r>
      <w:r w:rsidR="009450FB" w:rsidRPr="001B6D85">
        <w:rPr>
          <w:bCs/>
        </w:rPr>
        <w:t xml:space="preserve"> with</w:t>
      </w:r>
      <w:r w:rsidR="007175DC" w:rsidRPr="001B6D85">
        <w:rPr>
          <w:bCs/>
        </w:rPr>
        <w:t xml:space="preserve"> many individuals likely to start and stop PrEP as their risk profile changed over time.</w:t>
      </w:r>
      <w:r w:rsidR="00EC514A">
        <w:rPr>
          <w:bCs/>
        </w:rPr>
        <w:t xml:space="preserve"> </w:t>
      </w:r>
      <w:r w:rsidR="00F318C2" w:rsidRPr="001B6D85">
        <w:rPr>
          <w:bCs/>
        </w:rPr>
        <w:t>Overall, t</w:t>
      </w:r>
      <w:r w:rsidR="00F318C2" w:rsidRPr="001B6D85">
        <w:rPr>
          <w:bCs/>
          <w:szCs w:val="24"/>
          <w:lang w:eastAsia="en-AU"/>
        </w:rPr>
        <w:t>he PBAC advised that it considered the Kirby scenario 60-60-0 (Table 5) to be the best available estimate of the uptake and use of PrEP based on the totality of the available evidence.</w:t>
      </w:r>
    </w:p>
    <w:p w:rsidR="009450FB" w:rsidRPr="00B27427" w:rsidRDefault="00FF4011" w:rsidP="009450FB">
      <w:pPr>
        <w:widowControl w:val="0"/>
        <w:numPr>
          <w:ilvl w:val="1"/>
          <w:numId w:val="5"/>
        </w:numPr>
        <w:spacing w:after="120"/>
        <w:jc w:val="both"/>
        <w:rPr>
          <w:rFonts w:cs="Arial"/>
          <w:bCs/>
          <w:snapToGrid w:val="0"/>
        </w:rPr>
      </w:pPr>
      <w:r w:rsidRPr="00B27427">
        <w:rPr>
          <w:rFonts w:cs="Arial"/>
          <w:bCs/>
          <w:snapToGrid w:val="0"/>
        </w:rPr>
        <w:t xml:space="preserve">The PBAC reaffirmed its </w:t>
      </w:r>
      <w:r w:rsidR="00E16018" w:rsidRPr="00B27427">
        <w:rPr>
          <w:rFonts w:cs="Arial"/>
          <w:bCs/>
          <w:snapToGrid w:val="0"/>
        </w:rPr>
        <w:t>position</w:t>
      </w:r>
      <w:r w:rsidRPr="00B27427">
        <w:rPr>
          <w:rFonts w:cs="Arial"/>
          <w:bCs/>
          <w:snapToGrid w:val="0"/>
        </w:rPr>
        <w:t xml:space="preserve"> that</w:t>
      </w:r>
      <w:r w:rsidR="00E16018" w:rsidRPr="00B27427">
        <w:rPr>
          <w:rFonts w:cs="Arial"/>
          <w:bCs/>
          <w:snapToGrid w:val="0"/>
        </w:rPr>
        <w:t xml:space="preserve"> it was appropriate for </w:t>
      </w:r>
      <w:r w:rsidR="003507CF">
        <w:rPr>
          <w:rFonts w:cs="Arial"/>
          <w:bCs/>
          <w:snapToGrid w:val="0"/>
        </w:rPr>
        <w:t xml:space="preserve">the ASHM PrEP guidelines to be used as the basis for defining </w:t>
      </w:r>
      <w:r w:rsidR="00E16018" w:rsidRPr="00B27427">
        <w:rPr>
          <w:rFonts w:cs="Arial"/>
          <w:bCs/>
          <w:snapToGrid w:val="0"/>
        </w:rPr>
        <w:t xml:space="preserve">medium and </w:t>
      </w:r>
      <w:r w:rsidR="003507CF" w:rsidRPr="00B27427">
        <w:rPr>
          <w:rFonts w:cs="Arial"/>
          <w:bCs/>
          <w:snapToGrid w:val="0"/>
        </w:rPr>
        <w:t>high-risk</w:t>
      </w:r>
      <w:r w:rsidR="00E16018" w:rsidRPr="00B27427">
        <w:rPr>
          <w:rFonts w:cs="Arial"/>
          <w:bCs/>
          <w:snapToGrid w:val="0"/>
        </w:rPr>
        <w:t xml:space="preserve"> individuals and that patients should return a negative HI</w:t>
      </w:r>
      <w:r w:rsidR="00EE2B41" w:rsidRPr="00B27427">
        <w:rPr>
          <w:rFonts w:cs="Arial"/>
          <w:bCs/>
          <w:snapToGrid w:val="0"/>
        </w:rPr>
        <w:t xml:space="preserve">V test prior to commencing PrEP. </w:t>
      </w:r>
      <w:r w:rsidR="009450FB" w:rsidRPr="00B27427">
        <w:rPr>
          <w:rFonts w:cs="Arial"/>
          <w:bCs/>
          <w:snapToGrid w:val="0"/>
        </w:rPr>
        <w:t xml:space="preserve">The PBAC noted that some trials reported a decrease in the use of other safe sex practices, including condom use, and reiterated that PrEP should be used as part of a comprehensive approach to HIV and STI risk </w:t>
      </w:r>
      <w:r w:rsidR="003507CF" w:rsidRPr="00B27427">
        <w:rPr>
          <w:rFonts w:cs="Arial"/>
          <w:bCs/>
          <w:snapToGrid w:val="0"/>
        </w:rPr>
        <w:t>reduction that</w:t>
      </w:r>
      <w:r w:rsidR="009450FB" w:rsidRPr="00B27427">
        <w:rPr>
          <w:rFonts w:cs="Arial"/>
          <w:bCs/>
          <w:snapToGrid w:val="0"/>
        </w:rPr>
        <w:t xml:space="preserve"> should include continued use of other safe sex practices.</w:t>
      </w:r>
      <w:r w:rsidR="00285D5A" w:rsidRPr="00B27427">
        <w:rPr>
          <w:rFonts w:cs="Arial"/>
          <w:bCs/>
          <w:snapToGrid w:val="0"/>
        </w:rPr>
        <w:t xml:space="preserve"> The PBAC also noted that the experience of the Australian PrEP programs to date provide evidence that those individuals self-reporting for PrEP assessment are meeting the eligibility criteria </w:t>
      </w:r>
      <w:r w:rsidR="003507CF">
        <w:rPr>
          <w:rFonts w:cs="Arial"/>
          <w:bCs/>
          <w:snapToGrid w:val="0"/>
        </w:rPr>
        <w:t xml:space="preserve">that </w:t>
      </w:r>
      <w:r w:rsidR="00846F88">
        <w:rPr>
          <w:rFonts w:cs="Arial"/>
          <w:bCs/>
          <w:snapToGrid w:val="0"/>
        </w:rPr>
        <w:t>is</w:t>
      </w:r>
      <w:r w:rsidR="00285D5A" w:rsidRPr="00B27427">
        <w:rPr>
          <w:rFonts w:cs="Arial"/>
          <w:bCs/>
          <w:snapToGrid w:val="0"/>
        </w:rPr>
        <w:t xml:space="preserve"> considered appropriate.</w:t>
      </w:r>
    </w:p>
    <w:p w:rsidR="00A7793E" w:rsidRPr="00B27427" w:rsidRDefault="00EE2B41" w:rsidP="009450FB">
      <w:pPr>
        <w:widowControl w:val="0"/>
        <w:numPr>
          <w:ilvl w:val="1"/>
          <w:numId w:val="5"/>
        </w:numPr>
        <w:spacing w:after="120"/>
        <w:jc w:val="both"/>
        <w:rPr>
          <w:rFonts w:cs="Arial"/>
          <w:bCs/>
          <w:snapToGrid w:val="0"/>
        </w:rPr>
      </w:pPr>
      <w:r w:rsidRPr="00B27427">
        <w:rPr>
          <w:rFonts w:cs="Arial"/>
          <w:bCs/>
          <w:snapToGrid w:val="0"/>
        </w:rPr>
        <w:t xml:space="preserve">The Committee advised it was appropriate for up to three months’ supply to be accessed at a time for PrEP and </w:t>
      </w:r>
      <w:proofErr w:type="gramStart"/>
      <w:r w:rsidRPr="00B27427">
        <w:rPr>
          <w:rFonts w:cs="Arial"/>
          <w:bCs/>
          <w:snapToGrid w:val="0"/>
        </w:rPr>
        <w:t>that individuals</w:t>
      </w:r>
      <w:proofErr w:type="gramEnd"/>
      <w:r w:rsidRPr="00B27427">
        <w:rPr>
          <w:rFonts w:cs="Arial"/>
          <w:bCs/>
          <w:snapToGrid w:val="0"/>
        </w:rPr>
        <w:t xml:space="preserve"> should continue to return a negative HIV test before each new three month supply of PrEP.</w:t>
      </w:r>
      <w:r w:rsidR="00982C42" w:rsidRPr="00B27427">
        <w:rPr>
          <w:rFonts w:cs="Arial"/>
          <w:bCs/>
          <w:snapToGrid w:val="0"/>
        </w:rPr>
        <w:t xml:space="preserve"> While not a matter related to the listing of PrEP, the PBAC noted that the requirement for patients to return negative HIV tests at regular intervals may present an opportunity for increased </w:t>
      </w:r>
      <w:r w:rsidR="00982C42" w:rsidRPr="00B27427">
        <w:rPr>
          <w:rFonts w:cs="Arial"/>
          <w:bCs/>
          <w:snapToGrid w:val="0"/>
        </w:rPr>
        <w:lastRenderedPageBreak/>
        <w:t xml:space="preserve">broader sexual health monitoring among people receiving PrEP, which may </w:t>
      </w:r>
      <w:r w:rsidR="009450FB" w:rsidRPr="00B27427">
        <w:rPr>
          <w:rFonts w:cs="Arial"/>
          <w:bCs/>
          <w:snapToGrid w:val="0"/>
        </w:rPr>
        <w:t>result in</w:t>
      </w:r>
      <w:r w:rsidR="00982C42" w:rsidRPr="00B27427">
        <w:rPr>
          <w:rFonts w:cs="Arial"/>
          <w:bCs/>
          <w:snapToGrid w:val="0"/>
        </w:rPr>
        <w:t xml:space="preserve"> earlier detection</w:t>
      </w:r>
      <w:r w:rsidR="00AD4F73">
        <w:rPr>
          <w:rFonts w:cs="Arial"/>
          <w:bCs/>
          <w:snapToGrid w:val="0"/>
        </w:rPr>
        <w:t xml:space="preserve"> and treatment</w:t>
      </w:r>
      <w:r w:rsidR="00982C42" w:rsidRPr="00B27427">
        <w:rPr>
          <w:rFonts w:cs="Arial"/>
          <w:bCs/>
          <w:snapToGrid w:val="0"/>
        </w:rPr>
        <w:t xml:space="preserve"> of other </w:t>
      </w:r>
      <w:r w:rsidR="00B4631B" w:rsidRPr="00B27427">
        <w:rPr>
          <w:rFonts w:cs="Arial"/>
          <w:bCs/>
          <w:snapToGrid w:val="0"/>
        </w:rPr>
        <w:t>STIs</w:t>
      </w:r>
      <w:r w:rsidR="00982C42" w:rsidRPr="00B27427">
        <w:rPr>
          <w:rFonts w:cs="Arial"/>
          <w:bCs/>
          <w:snapToGrid w:val="0"/>
        </w:rPr>
        <w:t>.</w:t>
      </w:r>
    </w:p>
    <w:p w:rsidR="00CA171C" w:rsidRPr="00B27427" w:rsidRDefault="00B06F94" w:rsidP="009450FB">
      <w:pPr>
        <w:widowControl w:val="0"/>
        <w:numPr>
          <w:ilvl w:val="1"/>
          <w:numId w:val="5"/>
        </w:numPr>
        <w:spacing w:after="120"/>
        <w:jc w:val="both"/>
        <w:rPr>
          <w:rFonts w:cs="Arial"/>
          <w:bCs/>
          <w:snapToGrid w:val="0"/>
        </w:rPr>
      </w:pPr>
      <w:r w:rsidRPr="00B27427">
        <w:rPr>
          <w:rFonts w:cs="Arial"/>
          <w:bCs/>
          <w:snapToGrid w:val="0"/>
        </w:rPr>
        <w:t xml:space="preserve">The PBAC considered the appropriateness of the requested restriction with regard to the need for prescribers to be enrolled in a PrEP prescriber program. The PBAC noted that no such prescriber program currently exists, nor is there any certainty that such a program will exist in the future, and therefore did not recommend that such a requirement be included in the restriction at this time. </w:t>
      </w:r>
    </w:p>
    <w:p w:rsidR="00982C42" w:rsidRPr="00B27427" w:rsidRDefault="00982C42" w:rsidP="009450FB">
      <w:pPr>
        <w:widowControl w:val="0"/>
        <w:numPr>
          <w:ilvl w:val="1"/>
          <w:numId w:val="5"/>
        </w:numPr>
        <w:spacing w:after="120"/>
        <w:jc w:val="both"/>
        <w:rPr>
          <w:rFonts w:cs="Arial"/>
          <w:bCs/>
          <w:snapToGrid w:val="0"/>
        </w:rPr>
      </w:pPr>
      <w:r w:rsidRPr="00B27427">
        <w:rPr>
          <w:rFonts w:cs="Arial"/>
          <w:bCs/>
          <w:snapToGrid w:val="0"/>
        </w:rPr>
        <w:t xml:space="preserve">The PBAC noted that this recommendation applies only to tenofovir with emtricitabine in the form of tenofovir disoproxil </w:t>
      </w:r>
      <w:r w:rsidR="00B4631B" w:rsidRPr="00B27427">
        <w:rPr>
          <w:rFonts w:cs="Arial"/>
          <w:bCs/>
          <w:snapToGrid w:val="0"/>
        </w:rPr>
        <w:t>(</w:t>
      </w:r>
      <w:r w:rsidRPr="00B27427">
        <w:rPr>
          <w:rFonts w:cs="Arial"/>
          <w:bCs/>
          <w:snapToGrid w:val="0"/>
        </w:rPr>
        <w:t>and</w:t>
      </w:r>
      <w:r w:rsidR="00B4631B" w:rsidRPr="00B27427">
        <w:rPr>
          <w:rFonts w:cs="Arial"/>
          <w:bCs/>
          <w:snapToGrid w:val="0"/>
        </w:rPr>
        <w:t xml:space="preserve"> its</w:t>
      </w:r>
      <w:r w:rsidRPr="00B27427">
        <w:rPr>
          <w:rFonts w:cs="Arial"/>
          <w:bCs/>
          <w:snapToGrid w:val="0"/>
        </w:rPr>
        <w:t xml:space="preserve"> various salts</w:t>
      </w:r>
      <w:r w:rsidR="00B4631B" w:rsidRPr="00B27427">
        <w:rPr>
          <w:rFonts w:cs="Arial"/>
          <w:bCs/>
          <w:snapToGrid w:val="0"/>
        </w:rPr>
        <w:t>)</w:t>
      </w:r>
      <w:r w:rsidRPr="00B27427">
        <w:rPr>
          <w:rFonts w:cs="Arial"/>
          <w:bCs/>
          <w:snapToGrid w:val="0"/>
        </w:rPr>
        <w:t>, and not to products containing tenofovir alafenamide.</w:t>
      </w:r>
    </w:p>
    <w:p w:rsidR="00E372C1" w:rsidRPr="00B27427" w:rsidRDefault="00E372C1" w:rsidP="00E372C1">
      <w:pPr>
        <w:widowControl w:val="0"/>
        <w:numPr>
          <w:ilvl w:val="1"/>
          <w:numId w:val="5"/>
        </w:numPr>
        <w:spacing w:after="120"/>
        <w:jc w:val="both"/>
        <w:rPr>
          <w:rFonts w:cs="Arial"/>
          <w:bCs/>
          <w:snapToGrid w:val="0"/>
        </w:rPr>
      </w:pPr>
      <w:r w:rsidRPr="00B27427">
        <w:rPr>
          <w:rFonts w:cs="Arial"/>
          <w:bCs/>
          <w:snapToGrid w:val="0"/>
        </w:rPr>
        <w:t xml:space="preserve">The PBAC advised that </w:t>
      </w:r>
      <w:r w:rsidR="00FF4011" w:rsidRPr="00B27427">
        <w:rPr>
          <w:rFonts w:cs="Arial"/>
          <w:bCs/>
          <w:snapToGrid w:val="0"/>
        </w:rPr>
        <w:t>tenofovir with emtricitabine for PrEP is suitable</w:t>
      </w:r>
      <w:r w:rsidRPr="00B27427">
        <w:rPr>
          <w:rFonts w:cs="Arial"/>
          <w:bCs/>
          <w:snapToGrid w:val="0"/>
        </w:rPr>
        <w:t xml:space="preserve"> for prescribing by nurse practitioners</w:t>
      </w:r>
      <w:r w:rsidR="00E16018" w:rsidRPr="00B27427">
        <w:rPr>
          <w:rFonts w:cs="Arial"/>
          <w:bCs/>
          <w:snapToGrid w:val="0"/>
        </w:rPr>
        <w:t>, however that the Section 100 listings for treatment of HIV infection should remain restricted to medical practitioners</w:t>
      </w:r>
      <w:r w:rsidR="00EE2B41" w:rsidRPr="00B27427">
        <w:rPr>
          <w:rFonts w:cs="Arial"/>
          <w:bCs/>
          <w:snapToGrid w:val="0"/>
        </w:rPr>
        <w:t>, noting that patients receiving tenofovir with emtricitabine for treatment of HIV infection are able to access substantially longer supply through the relevant Section 100 listings</w:t>
      </w:r>
      <w:r w:rsidRPr="00B27427">
        <w:rPr>
          <w:rFonts w:cs="Arial"/>
          <w:bCs/>
          <w:snapToGrid w:val="0"/>
        </w:rPr>
        <w:t>.</w:t>
      </w:r>
      <w:r w:rsidR="00EC514A">
        <w:rPr>
          <w:rFonts w:cs="Arial"/>
          <w:bCs/>
          <w:snapToGrid w:val="0"/>
        </w:rPr>
        <w:t xml:space="preserve"> </w:t>
      </w:r>
    </w:p>
    <w:p w:rsidR="00E372C1" w:rsidRPr="00B27427" w:rsidRDefault="00E372C1" w:rsidP="00E372C1">
      <w:pPr>
        <w:widowControl w:val="0"/>
        <w:numPr>
          <w:ilvl w:val="1"/>
          <w:numId w:val="5"/>
        </w:numPr>
        <w:spacing w:after="120"/>
        <w:jc w:val="both"/>
        <w:rPr>
          <w:rFonts w:cs="Arial"/>
          <w:bCs/>
          <w:snapToGrid w:val="0"/>
        </w:rPr>
      </w:pPr>
      <w:r w:rsidRPr="00B27427">
        <w:rPr>
          <w:rFonts w:cs="Arial"/>
          <w:bCs/>
          <w:snapToGrid w:val="0"/>
        </w:rPr>
        <w:t>The PBAC recommended that the Early Supply</w:t>
      </w:r>
      <w:r w:rsidR="00FF4011" w:rsidRPr="00B27427">
        <w:rPr>
          <w:rFonts w:cs="Arial"/>
          <w:bCs/>
          <w:snapToGrid w:val="0"/>
        </w:rPr>
        <w:t xml:space="preserve"> Rule should</w:t>
      </w:r>
      <w:r w:rsidRPr="00B27427">
        <w:rPr>
          <w:rFonts w:cs="Arial"/>
          <w:bCs/>
          <w:snapToGrid w:val="0"/>
        </w:rPr>
        <w:t xml:space="preserve"> apply</w:t>
      </w:r>
      <w:r w:rsidR="00230D3B" w:rsidRPr="00B27427">
        <w:rPr>
          <w:rFonts w:cs="Arial"/>
          <w:bCs/>
          <w:snapToGrid w:val="0"/>
        </w:rPr>
        <w:t>, similar to existing listings for tenofovir with emtricitabine for the treatment of HIV infection</w:t>
      </w:r>
      <w:r w:rsidRPr="00B27427">
        <w:rPr>
          <w:rFonts w:cs="Arial"/>
          <w:bCs/>
          <w:snapToGrid w:val="0"/>
        </w:rPr>
        <w:t xml:space="preserve">. </w:t>
      </w:r>
    </w:p>
    <w:p w:rsidR="00E16018" w:rsidRPr="00B27427" w:rsidRDefault="00E372C1" w:rsidP="00E16018">
      <w:pPr>
        <w:widowControl w:val="0"/>
        <w:numPr>
          <w:ilvl w:val="1"/>
          <w:numId w:val="5"/>
        </w:numPr>
        <w:spacing w:after="120"/>
        <w:jc w:val="both"/>
        <w:rPr>
          <w:rFonts w:cs="Arial"/>
          <w:b/>
          <w:bCs/>
          <w:snapToGrid w:val="0"/>
        </w:rPr>
      </w:pPr>
      <w:r w:rsidRPr="00B27427">
        <w:rPr>
          <w:rFonts w:cs="Arial"/>
          <w:bCs/>
          <w:snapToGrid w:val="0"/>
        </w:rPr>
        <w:t>The PBA</w:t>
      </w:r>
      <w:r w:rsidR="00E16018" w:rsidRPr="00B27427">
        <w:rPr>
          <w:rFonts w:cs="Arial"/>
          <w:bCs/>
          <w:snapToGrid w:val="0"/>
        </w:rPr>
        <w:t xml:space="preserve">C noted that this submission </w:t>
      </w:r>
      <w:r w:rsidRPr="00B27427">
        <w:rPr>
          <w:rFonts w:cs="Arial"/>
          <w:bCs/>
          <w:snapToGrid w:val="0"/>
        </w:rPr>
        <w:t>is not eligible for an Independent Review</w:t>
      </w:r>
      <w:r w:rsidR="00E16018" w:rsidRPr="00B27427">
        <w:rPr>
          <w:rFonts w:cs="Arial"/>
          <w:bCs/>
          <w:snapToGrid w:val="0"/>
        </w:rPr>
        <w:t xml:space="preserve"> as it received a positive recommendation</w:t>
      </w:r>
      <w:r w:rsidRPr="00B27427">
        <w:rPr>
          <w:rFonts w:cs="Arial"/>
          <w:bCs/>
          <w:snapToGrid w:val="0"/>
        </w:rPr>
        <w:t xml:space="preserve">. </w:t>
      </w:r>
    </w:p>
    <w:p w:rsidR="00E16018" w:rsidRPr="00B27427" w:rsidRDefault="00E16018" w:rsidP="00E16018">
      <w:pPr>
        <w:widowControl w:val="0"/>
        <w:spacing w:after="120"/>
        <w:ind w:left="720"/>
        <w:jc w:val="both"/>
        <w:rPr>
          <w:rFonts w:cs="Arial"/>
          <w:b/>
          <w:bCs/>
          <w:snapToGrid w:val="0"/>
          <w:highlight w:val="yellow"/>
        </w:rPr>
      </w:pPr>
    </w:p>
    <w:p w:rsidR="00E372C1" w:rsidRPr="00B27427" w:rsidRDefault="00E372C1" w:rsidP="002D2D91">
      <w:pPr>
        <w:widowControl w:val="0"/>
        <w:spacing w:after="120"/>
        <w:jc w:val="both"/>
        <w:outlineLvl w:val="1"/>
        <w:rPr>
          <w:rFonts w:cs="Arial"/>
          <w:b/>
          <w:bCs/>
          <w:snapToGrid w:val="0"/>
        </w:rPr>
      </w:pPr>
      <w:r w:rsidRPr="00B27427">
        <w:rPr>
          <w:rFonts w:cs="Arial"/>
          <w:b/>
          <w:bCs/>
          <w:snapToGrid w:val="0"/>
        </w:rPr>
        <w:t>Outcome</w:t>
      </w:r>
      <w:proofErr w:type="gramStart"/>
      <w:r w:rsidRPr="00B27427">
        <w:rPr>
          <w:rFonts w:cs="Arial"/>
          <w:b/>
          <w:bCs/>
          <w:snapToGrid w:val="0"/>
        </w:rPr>
        <w:t>:</w:t>
      </w:r>
      <w:proofErr w:type="gramEnd"/>
      <w:r w:rsidR="002D2D91" w:rsidRPr="00B27427">
        <w:rPr>
          <w:rFonts w:cs="Arial"/>
          <w:b/>
          <w:bCs/>
          <w:snapToGrid w:val="0"/>
        </w:rPr>
        <w:br/>
      </w:r>
      <w:r w:rsidR="00E16018" w:rsidRPr="00B27427">
        <w:rPr>
          <w:rFonts w:cs="Arial"/>
          <w:bCs/>
          <w:snapToGrid w:val="0"/>
        </w:rPr>
        <w:t>Recommended</w:t>
      </w:r>
    </w:p>
    <w:p w:rsidR="00E372C1" w:rsidRPr="00B27427" w:rsidRDefault="00E372C1" w:rsidP="00E372C1">
      <w:pPr>
        <w:widowControl w:val="0"/>
        <w:jc w:val="both"/>
        <w:rPr>
          <w:rFonts w:cs="Arial"/>
          <w:b/>
          <w:bCs/>
          <w:snapToGrid w:val="0"/>
        </w:rPr>
      </w:pPr>
    </w:p>
    <w:p w:rsidR="00EA5DE7" w:rsidRDefault="00EA5DE7" w:rsidP="00EA5DE7">
      <w:pPr>
        <w:tabs>
          <w:tab w:val="left" w:pos="3465"/>
        </w:tabs>
        <w:jc w:val="both"/>
        <w:rPr>
          <w:rFonts w:cs="Arial"/>
          <w:b/>
          <w:bCs/>
          <w:snapToGrid w:val="0"/>
        </w:rPr>
      </w:pPr>
    </w:p>
    <w:p w:rsidR="00EA5DE7" w:rsidRDefault="00EA5DE7" w:rsidP="00EA5DE7">
      <w:pPr>
        <w:tabs>
          <w:tab w:val="left" w:pos="3465"/>
        </w:tabs>
        <w:jc w:val="both"/>
        <w:rPr>
          <w:rFonts w:cs="Arial"/>
          <w:b/>
          <w:bCs/>
          <w:snapToGrid w:val="0"/>
        </w:rPr>
      </w:pPr>
    </w:p>
    <w:p w:rsidR="00EA5DE7" w:rsidRDefault="00EA5DE7" w:rsidP="00EA5DE7">
      <w:pPr>
        <w:tabs>
          <w:tab w:val="left" w:pos="3465"/>
        </w:tabs>
        <w:jc w:val="both"/>
        <w:rPr>
          <w:rFonts w:cs="Arial"/>
          <w:b/>
          <w:bCs/>
          <w:snapToGrid w:val="0"/>
        </w:rPr>
      </w:pPr>
    </w:p>
    <w:p w:rsidR="00EA5DE7" w:rsidRDefault="00EA5DE7" w:rsidP="00EA5DE7">
      <w:pPr>
        <w:tabs>
          <w:tab w:val="left" w:pos="3465"/>
        </w:tabs>
        <w:jc w:val="both"/>
        <w:rPr>
          <w:rFonts w:cs="Arial"/>
          <w:b/>
          <w:bCs/>
          <w:snapToGrid w:val="0"/>
        </w:rPr>
      </w:pPr>
    </w:p>
    <w:p w:rsidR="00EA5DE7" w:rsidRDefault="00EA5DE7" w:rsidP="00EA5DE7">
      <w:pPr>
        <w:tabs>
          <w:tab w:val="left" w:pos="3465"/>
        </w:tabs>
        <w:jc w:val="both"/>
        <w:rPr>
          <w:rFonts w:cs="Arial"/>
          <w:b/>
          <w:bCs/>
          <w:snapToGrid w:val="0"/>
        </w:rPr>
      </w:pPr>
    </w:p>
    <w:p w:rsidR="00EA5DE7" w:rsidRDefault="00EA5DE7" w:rsidP="00EA5DE7">
      <w:pPr>
        <w:tabs>
          <w:tab w:val="left" w:pos="3465"/>
        </w:tabs>
        <w:jc w:val="both"/>
        <w:rPr>
          <w:rFonts w:cs="Arial"/>
          <w:b/>
          <w:bCs/>
          <w:snapToGrid w:val="0"/>
        </w:rPr>
      </w:pPr>
    </w:p>
    <w:p w:rsidR="00EA5DE7" w:rsidRDefault="00EA5DE7" w:rsidP="00EA5DE7">
      <w:pPr>
        <w:tabs>
          <w:tab w:val="left" w:pos="3465"/>
        </w:tabs>
        <w:jc w:val="both"/>
        <w:rPr>
          <w:rFonts w:cs="Arial"/>
          <w:b/>
          <w:bCs/>
          <w:snapToGrid w:val="0"/>
        </w:rPr>
      </w:pPr>
    </w:p>
    <w:p w:rsidR="00EA5DE7" w:rsidRDefault="00EA5DE7" w:rsidP="00EA5DE7">
      <w:pPr>
        <w:tabs>
          <w:tab w:val="left" w:pos="3465"/>
        </w:tabs>
        <w:jc w:val="both"/>
        <w:rPr>
          <w:rFonts w:cs="Arial"/>
          <w:b/>
          <w:bCs/>
          <w:snapToGrid w:val="0"/>
        </w:rPr>
      </w:pPr>
    </w:p>
    <w:p w:rsidR="00EA5DE7" w:rsidRDefault="00EA5DE7" w:rsidP="00EA5DE7">
      <w:pPr>
        <w:tabs>
          <w:tab w:val="left" w:pos="3465"/>
        </w:tabs>
        <w:jc w:val="both"/>
        <w:rPr>
          <w:rFonts w:cs="Arial"/>
          <w:b/>
          <w:bCs/>
          <w:snapToGrid w:val="0"/>
        </w:rPr>
      </w:pPr>
    </w:p>
    <w:p w:rsidR="00EA5DE7" w:rsidRDefault="00EA5DE7" w:rsidP="00EA5DE7">
      <w:pPr>
        <w:tabs>
          <w:tab w:val="left" w:pos="3465"/>
        </w:tabs>
        <w:jc w:val="both"/>
        <w:rPr>
          <w:rFonts w:cs="Arial"/>
          <w:b/>
          <w:bCs/>
          <w:snapToGrid w:val="0"/>
        </w:rPr>
      </w:pPr>
    </w:p>
    <w:p w:rsidR="001B6D85" w:rsidRDefault="001B6D85" w:rsidP="00EA5DE7">
      <w:pPr>
        <w:tabs>
          <w:tab w:val="left" w:pos="3465"/>
        </w:tabs>
        <w:jc w:val="both"/>
        <w:rPr>
          <w:rFonts w:cs="Arial"/>
          <w:b/>
          <w:bCs/>
          <w:snapToGrid w:val="0"/>
        </w:rPr>
      </w:pPr>
    </w:p>
    <w:p w:rsidR="00EA5DE7" w:rsidRDefault="00EA5DE7" w:rsidP="00EA5DE7">
      <w:pPr>
        <w:tabs>
          <w:tab w:val="left" w:pos="3465"/>
        </w:tabs>
        <w:jc w:val="both"/>
        <w:rPr>
          <w:rFonts w:cs="Arial"/>
          <w:b/>
          <w:bCs/>
          <w:snapToGrid w:val="0"/>
        </w:rPr>
      </w:pPr>
    </w:p>
    <w:p w:rsidR="00EA5DE7" w:rsidRDefault="00EA5DE7" w:rsidP="00EA5DE7">
      <w:pPr>
        <w:tabs>
          <w:tab w:val="left" w:pos="3465"/>
        </w:tabs>
        <w:jc w:val="both"/>
        <w:rPr>
          <w:rFonts w:cs="Arial"/>
          <w:b/>
          <w:bCs/>
          <w:snapToGrid w:val="0"/>
        </w:rPr>
      </w:pPr>
    </w:p>
    <w:p w:rsidR="00EE2B41" w:rsidRPr="00B27427" w:rsidRDefault="00EA5DE7" w:rsidP="00EA5DE7">
      <w:pPr>
        <w:tabs>
          <w:tab w:val="left" w:pos="3465"/>
        </w:tabs>
        <w:jc w:val="both"/>
      </w:pPr>
      <w:r>
        <w:tab/>
      </w:r>
    </w:p>
    <w:p w:rsidR="009450FB" w:rsidRPr="00B27427" w:rsidRDefault="009450FB" w:rsidP="00E372C1">
      <w:pPr>
        <w:widowControl w:val="0"/>
        <w:jc w:val="both"/>
        <w:rPr>
          <w:rFonts w:cs="Arial"/>
          <w:bCs/>
          <w:snapToGrid w:val="0"/>
          <w:highlight w:val="yellow"/>
        </w:rPr>
      </w:pPr>
    </w:p>
    <w:p w:rsidR="00E372C1" w:rsidRPr="00B27427" w:rsidRDefault="00E372C1" w:rsidP="002D2D91">
      <w:pPr>
        <w:pStyle w:val="PBACHeading1"/>
      </w:pPr>
      <w:r w:rsidRPr="00B27427">
        <w:lastRenderedPageBreak/>
        <w:t>Recommended listing</w:t>
      </w:r>
    </w:p>
    <w:p w:rsidR="00620129" w:rsidRPr="00EA5DE7" w:rsidRDefault="00E372C1" w:rsidP="00EA5DE7">
      <w:pPr>
        <w:widowControl w:val="0"/>
        <w:numPr>
          <w:ilvl w:val="1"/>
          <w:numId w:val="5"/>
        </w:numPr>
        <w:spacing w:after="120"/>
        <w:jc w:val="both"/>
        <w:rPr>
          <w:rFonts w:cs="Arial"/>
          <w:b/>
          <w:bCs/>
          <w:snapToGrid w:val="0"/>
        </w:rPr>
      </w:pPr>
      <w:r w:rsidRPr="00B27427">
        <w:rPr>
          <w:rFonts w:cs="Arial"/>
          <w:bCs/>
          <w:snapToGrid w:val="0"/>
        </w:rPr>
        <w:t>Add new item:</w:t>
      </w:r>
    </w:p>
    <w:p w:rsidR="00360008" w:rsidRPr="00B27427" w:rsidRDefault="00360008" w:rsidP="00360008">
      <w:pPr>
        <w:rPr>
          <w:rFonts w:cs="Arial"/>
          <w:b/>
          <w:bCs/>
          <w:snapToGrid w:val="0"/>
        </w:rPr>
      </w:pPr>
    </w:p>
    <w:tbl>
      <w:tblPr>
        <w:tblW w:w="5010" w:type="pct"/>
        <w:tblCellMar>
          <w:left w:w="28" w:type="dxa"/>
          <w:right w:w="28" w:type="dxa"/>
        </w:tblCellMar>
        <w:tblLook w:val="0000" w:firstRow="0" w:lastRow="0" w:firstColumn="0" w:lastColumn="0" w:noHBand="0" w:noVBand="0"/>
      </w:tblPr>
      <w:tblGrid>
        <w:gridCol w:w="27"/>
        <w:gridCol w:w="3263"/>
        <w:gridCol w:w="848"/>
        <w:gridCol w:w="710"/>
        <w:gridCol w:w="142"/>
        <w:gridCol w:w="992"/>
        <w:gridCol w:w="1702"/>
        <w:gridCol w:w="1416"/>
      </w:tblGrid>
      <w:tr w:rsidR="00360008" w:rsidRPr="00B27427" w:rsidTr="00160C27">
        <w:trPr>
          <w:cantSplit/>
          <w:trHeight w:val="463"/>
        </w:trPr>
        <w:tc>
          <w:tcPr>
            <w:tcW w:w="2274" w:type="pct"/>
            <w:gridSpan w:val="3"/>
            <w:tcBorders>
              <w:bottom w:val="single" w:sz="4" w:space="0" w:color="auto"/>
            </w:tcBorders>
            <w:vAlign w:val="center"/>
          </w:tcPr>
          <w:p w:rsidR="00360008" w:rsidRPr="00B27427" w:rsidRDefault="00360008" w:rsidP="00160C27">
            <w:pPr>
              <w:pStyle w:val="TableText0"/>
              <w:rPr>
                <w:b/>
              </w:rPr>
            </w:pPr>
            <w:r w:rsidRPr="00B27427">
              <w:rPr>
                <w:b/>
              </w:rPr>
              <w:t>Name</w:t>
            </w:r>
            <w:r w:rsidR="00160C27" w:rsidRPr="00B27427">
              <w:rPr>
                <w:b/>
              </w:rPr>
              <w:t xml:space="preserve">, </w:t>
            </w:r>
            <w:r w:rsidRPr="00B27427">
              <w:rPr>
                <w:b/>
              </w:rPr>
              <w:t>Manner of administration and form</w:t>
            </w:r>
          </w:p>
        </w:tc>
        <w:tc>
          <w:tcPr>
            <w:tcW w:w="390" w:type="pct"/>
            <w:tcBorders>
              <w:bottom w:val="single" w:sz="4" w:space="0" w:color="auto"/>
            </w:tcBorders>
            <w:vAlign w:val="center"/>
          </w:tcPr>
          <w:p w:rsidR="00360008" w:rsidRPr="00B27427" w:rsidRDefault="00360008" w:rsidP="00360008">
            <w:pPr>
              <w:pStyle w:val="TableText0"/>
              <w:rPr>
                <w:b/>
              </w:rPr>
            </w:pPr>
            <w:r w:rsidRPr="00B27427">
              <w:rPr>
                <w:b/>
              </w:rPr>
              <w:t>Max.</w:t>
            </w:r>
          </w:p>
          <w:p w:rsidR="00360008" w:rsidRPr="00B27427" w:rsidRDefault="00360008" w:rsidP="00360008">
            <w:pPr>
              <w:pStyle w:val="TableText0"/>
              <w:rPr>
                <w:b/>
              </w:rPr>
            </w:pPr>
            <w:r w:rsidRPr="00B27427">
              <w:rPr>
                <w:b/>
              </w:rPr>
              <w:t>Qty</w:t>
            </w:r>
          </w:p>
        </w:tc>
        <w:tc>
          <w:tcPr>
            <w:tcW w:w="623" w:type="pct"/>
            <w:gridSpan w:val="2"/>
            <w:tcBorders>
              <w:bottom w:val="single" w:sz="4" w:space="0" w:color="auto"/>
            </w:tcBorders>
            <w:vAlign w:val="center"/>
          </w:tcPr>
          <w:p w:rsidR="00360008" w:rsidRPr="00B27427" w:rsidRDefault="00360008" w:rsidP="00360008">
            <w:pPr>
              <w:pStyle w:val="TableText0"/>
              <w:rPr>
                <w:b/>
              </w:rPr>
            </w:pPr>
            <w:r w:rsidRPr="00B27427">
              <w:rPr>
                <w:b/>
              </w:rPr>
              <w:t>№.of</w:t>
            </w:r>
          </w:p>
          <w:p w:rsidR="00360008" w:rsidRPr="00B27427" w:rsidRDefault="00360008" w:rsidP="00360008">
            <w:pPr>
              <w:pStyle w:val="TableText0"/>
              <w:rPr>
                <w:b/>
              </w:rPr>
            </w:pPr>
            <w:r w:rsidRPr="00B27427">
              <w:rPr>
                <w:b/>
              </w:rPr>
              <w:t>Rpts</w:t>
            </w:r>
          </w:p>
        </w:tc>
        <w:tc>
          <w:tcPr>
            <w:tcW w:w="1713" w:type="pct"/>
            <w:gridSpan w:val="2"/>
            <w:tcBorders>
              <w:bottom w:val="single" w:sz="4" w:space="0" w:color="auto"/>
            </w:tcBorders>
            <w:vAlign w:val="center"/>
          </w:tcPr>
          <w:p w:rsidR="00360008" w:rsidRPr="00B27427" w:rsidRDefault="00360008" w:rsidP="00360008">
            <w:pPr>
              <w:pStyle w:val="TableText0"/>
              <w:rPr>
                <w:b/>
              </w:rPr>
            </w:pPr>
            <w:r w:rsidRPr="00B27427">
              <w:rPr>
                <w:b/>
              </w:rPr>
              <w:t>Proprietary Name and Manufacturer</w:t>
            </w:r>
          </w:p>
        </w:tc>
      </w:tr>
      <w:tr w:rsidR="00360008" w:rsidRPr="00B27427" w:rsidTr="00360008">
        <w:tblPrEx>
          <w:tblCellMar>
            <w:left w:w="108" w:type="dxa"/>
            <w:right w:w="108" w:type="dxa"/>
          </w:tblCellMar>
        </w:tblPrEx>
        <w:trPr>
          <w:gridBefore w:val="1"/>
          <w:wBefore w:w="15" w:type="pct"/>
          <w:cantSplit/>
          <w:trHeight w:val="577"/>
        </w:trPr>
        <w:tc>
          <w:tcPr>
            <w:tcW w:w="2259" w:type="pct"/>
            <w:gridSpan w:val="2"/>
            <w:vAlign w:val="center"/>
          </w:tcPr>
          <w:p w:rsidR="00360008" w:rsidRPr="00B27427" w:rsidRDefault="00360008" w:rsidP="00360008">
            <w:pPr>
              <w:keepNext/>
              <w:spacing w:before="40" w:after="40"/>
              <w:rPr>
                <w:rFonts w:ascii="Arial Narrow" w:eastAsia="Calibri" w:hAnsi="Arial Narrow"/>
                <w:smallCaps/>
                <w:sz w:val="20"/>
              </w:rPr>
            </w:pPr>
            <w:r w:rsidRPr="00B27427">
              <w:rPr>
                <w:rFonts w:ascii="Arial Narrow" w:eastAsia="Calibri" w:hAnsi="Arial Narrow"/>
                <w:smallCaps/>
                <w:sz w:val="20"/>
              </w:rPr>
              <w:t>TENOFOVIR DISOPROXIL FUMARATE 300 MG + EMTRICITABINE 200 MG</w:t>
            </w:r>
          </w:p>
          <w:p w:rsidR="00360008" w:rsidRPr="00B27427" w:rsidRDefault="00360008" w:rsidP="00360008">
            <w:pPr>
              <w:pStyle w:val="TableText0"/>
              <w:rPr>
                <w:rFonts w:eastAsia="Calibri"/>
              </w:rPr>
            </w:pPr>
            <w:r w:rsidRPr="00B27427">
              <w:rPr>
                <w:rFonts w:eastAsia="Calibri"/>
              </w:rPr>
              <w:t>ORAL TABLET, 30</w:t>
            </w:r>
          </w:p>
          <w:p w:rsidR="00360008" w:rsidRPr="00B27427" w:rsidRDefault="00360008" w:rsidP="00360008">
            <w:pPr>
              <w:pStyle w:val="TableText0"/>
              <w:rPr>
                <w:rFonts w:eastAsia="Calibri"/>
              </w:rPr>
            </w:pPr>
          </w:p>
          <w:p w:rsidR="00360008" w:rsidRPr="00B27427" w:rsidRDefault="00360008" w:rsidP="00360008">
            <w:pPr>
              <w:keepNext/>
              <w:spacing w:before="40" w:after="40"/>
              <w:rPr>
                <w:rFonts w:ascii="Arial Narrow" w:eastAsia="Calibri" w:hAnsi="Arial Narrow" w:cs="Arial"/>
                <w:smallCaps/>
                <w:sz w:val="20"/>
                <w:szCs w:val="22"/>
                <w:lang w:eastAsia="en-US"/>
              </w:rPr>
            </w:pPr>
            <w:r w:rsidRPr="00B27427">
              <w:rPr>
                <w:rFonts w:ascii="Arial Narrow" w:eastAsia="Calibri" w:hAnsi="Arial Narrow" w:cs="Arial"/>
                <w:smallCaps/>
                <w:sz w:val="20"/>
                <w:szCs w:val="22"/>
                <w:lang w:eastAsia="en-US"/>
              </w:rPr>
              <w:t>TENOFOVIR DISOPROXIL MALEATE 300 MG + EMTRICITABINE 200 MG</w:t>
            </w:r>
          </w:p>
          <w:p w:rsidR="00360008" w:rsidRPr="00B27427" w:rsidRDefault="00360008" w:rsidP="00360008">
            <w:pPr>
              <w:pStyle w:val="TableText0"/>
              <w:rPr>
                <w:rFonts w:eastAsia="Calibri" w:cs="Arial"/>
              </w:rPr>
            </w:pPr>
            <w:r w:rsidRPr="00B27427">
              <w:rPr>
                <w:rFonts w:eastAsia="Calibri" w:cs="Arial"/>
              </w:rPr>
              <w:t>ORAL TABLET, 30</w:t>
            </w:r>
          </w:p>
          <w:p w:rsidR="00360008" w:rsidRPr="00B27427" w:rsidRDefault="00360008" w:rsidP="00360008">
            <w:pPr>
              <w:pStyle w:val="TableText0"/>
              <w:rPr>
                <w:rFonts w:eastAsia="Calibri" w:cs="Arial"/>
              </w:rPr>
            </w:pPr>
          </w:p>
          <w:p w:rsidR="00360008" w:rsidRPr="00B27427" w:rsidRDefault="00360008" w:rsidP="00360008">
            <w:pPr>
              <w:pStyle w:val="TableText0"/>
              <w:rPr>
                <w:rFonts w:eastAsia="Calibri" w:cs="Arial"/>
              </w:rPr>
            </w:pPr>
            <w:r w:rsidRPr="00B27427">
              <w:rPr>
                <w:rFonts w:eastAsia="Calibri" w:cs="Arial"/>
              </w:rPr>
              <w:t>TENOFOVIR DISOPROXIL PHOSPHATE 291 MG + EMTRICITABINE 200 MG, ORAL TABLET, 30</w:t>
            </w:r>
          </w:p>
        </w:tc>
        <w:tc>
          <w:tcPr>
            <w:tcW w:w="468" w:type="pct"/>
            <w:gridSpan w:val="2"/>
          </w:tcPr>
          <w:p w:rsidR="00360008" w:rsidRPr="00B27427" w:rsidRDefault="00360008" w:rsidP="00360008">
            <w:pPr>
              <w:keepNext/>
              <w:spacing w:before="40" w:after="40"/>
              <w:rPr>
                <w:rFonts w:ascii="Arial Narrow" w:eastAsia="Calibri" w:hAnsi="Arial Narrow"/>
                <w:sz w:val="20"/>
              </w:rPr>
            </w:pPr>
          </w:p>
          <w:p w:rsidR="00360008" w:rsidRPr="00B27427" w:rsidRDefault="00360008" w:rsidP="00360008">
            <w:pPr>
              <w:pStyle w:val="TableText0"/>
              <w:rPr>
                <w:rFonts w:eastAsia="Calibri"/>
              </w:rPr>
            </w:pPr>
            <w:r w:rsidRPr="00B27427">
              <w:rPr>
                <w:rFonts w:eastAsia="Calibri"/>
              </w:rPr>
              <w:t>1</w:t>
            </w:r>
          </w:p>
          <w:p w:rsidR="00360008" w:rsidRPr="00B27427" w:rsidRDefault="00360008" w:rsidP="00360008">
            <w:pPr>
              <w:pStyle w:val="TableText0"/>
              <w:rPr>
                <w:rFonts w:eastAsia="Calibri"/>
              </w:rPr>
            </w:pPr>
          </w:p>
          <w:p w:rsidR="00360008" w:rsidRPr="00B27427" w:rsidRDefault="00360008" w:rsidP="00360008">
            <w:pPr>
              <w:pStyle w:val="TableText0"/>
              <w:rPr>
                <w:rFonts w:eastAsia="Calibri"/>
              </w:rPr>
            </w:pPr>
          </w:p>
          <w:p w:rsidR="00360008" w:rsidRPr="00B27427" w:rsidRDefault="00360008" w:rsidP="00360008">
            <w:pPr>
              <w:pStyle w:val="TableText0"/>
              <w:rPr>
                <w:rFonts w:eastAsia="Calibri"/>
              </w:rPr>
            </w:pPr>
          </w:p>
          <w:p w:rsidR="00360008" w:rsidRPr="00B27427" w:rsidRDefault="00360008" w:rsidP="00360008">
            <w:pPr>
              <w:pStyle w:val="TableText0"/>
              <w:rPr>
                <w:rFonts w:eastAsia="Calibri"/>
              </w:rPr>
            </w:pPr>
            <w:r w:rsidRPr="00B27427">
              <w:rPr>
                <w:rFonts w:eastAsia="Calibri"/>
              </w:rPr>
              <w:t>1</w:t>
            </w:r>
          </w:p>
          <w:p w:rsidR="00360008" w:rsidRPr="00B27427" w:rsidRDefault="00360008" w:rsidP="00360008">
            <w:pPr>
              <w:pStyle w:val="TableText0"/>
            </w:pPr>
          </w:p>
          <w:p w:rsidR="00360008" w:rsidRPr="00B27427" w:rsidRDefault="00360008" w:rsidP="00360008">
            <w:pPr>
              <w:pStyle w:val="TableText0"/>
            </w:pPr>
          </w:p>
          <w:p w:rsidR="00360008" w:rsidRPr="00B27427" w:rsidRDefault="00360008" w:rsidP="00360008">
            <w:pPr>
              <w:pStyle w:val="TableText0"/>
            </w:pPr>
            <w:r w:rsidRPr="00B27427">
              <w:t>1</w:t>
            </w:r>
          </w:p>
        </w:tc>
        <w:tc>
          <w:tcPr>
            <w:tcW w:w="545" w:type="pct"/>
          </w:tcPr>
          <w:p w:rsidR="00360008" w:rsidRPr="00B27427" w:rsidRDefault="00360008" w:rsidP="00360008">
            <w:pPr>
              <w:keepNext/>
              <w:spacing w:before="40" w:after="40"/>
              <w:rPr>
                <w:rFonts w:ascii="Arial Narrow" w:eastAsia="Calibri" w:hAnsi="Arial Narrow"/>
                <w:sz w:val="20"/>
              </w:rPr>
            </w:pPr>
          </w:p>
          <w:p w:rsidR="00360008" w:rsidRPr="00B27427" w:rsidRDefault="00360008" w:rsidP="00360008">
            <w:pPr>
              <w:pStyle w:val="TableText0"/>
              <w:rPr>
                <w:rFonts w:eastAsia="Calibri"/>
              </w:rPr>
            </w:pPr>
            <w:r w:rsidRPr="00B27427">
              <w:rPr>
                <w:rFonts w:eastAsia="Calibri"/>
              </w:rPr>
              <w:t>2</w:t>
            </w:r>
          </w:p>
          <w:p w:rsidR="00360008" w:rsidRPr="00B27427" w:rsidRDefault="00360008" w:rsidP="00360008">
            <w:pPr>
              <w:pStyle w:val="TableText0"/>
              <w:rPr>
                <w:rFonts w:eastAsia="Calibri"/>
              </w:rPr>
            </w:pPr>
          </w:p>
          <w:p w:rsidR="00360008" w:rsidRPr="00B27427" w:rsidRDefault="00360008" w:rsidP="00360008">
            <w:pPr>
              <w:pStyle w:val="TableText0"/>
              <w:rPr>
                <w:rFonts w:eastAsia="Calibri"/>
              </w:rPr>
            </w:pPr>
          </w:p>
          <w:p w:rsidR="00360008" w:rsidRPr="00B27427" w:rsidRDefault="00360008" w:rsidP="00360008">
            <w:pPr>
              <w:pStyle w:val="TableText0"/>
              <w:rPr>
                <w:rFonts w:eastAsia="Calibri"/>
              </w:rPr>
            </w:pPr>
          </w:p>
          <w:p w:rsidR="00360008" w:rsidRPr="00B27427" w:rsidRDefault="00360008" w:rsidP="00360008">
            <w:pPr>
              <w:pStyle w:val="TableText0"/>
              <w:rPr>
                <w:rFonts w:eastAsia="Calibri"/>
              </w:rPr>
            </w:pPr>
            <w:r w:rsidRPr="00B27427">
              <w:rPr>
                <w:rFonts w:eastAsia="Calibri"/>
              </w:rPr>
              <w:t>2</w:t>
            </w:r>
          </w:p>
          <w:p w:rsidR="00360008" w:rsidRPr="00B27427" w:rsidRDefault="00360008" w:rsidP="00360008">
            <w:pPr>
              <w:pStyle w:val="TableText0"/>
            </w:pPr>
          </w:p>
          <w:p w:rsidR="00360008" w:rsidRPr="00B27427" w:rsidRDefault="00360008" w:rsidP="00360008">
            <w:pPr>
              <w:pStyle w:val="TableText0"/>
            </w:pPr>
          </w:p>
          <w:p w:rsidR="00360008" w:rsidRPr="00B27427" w:rsidRDefault="00360008" w:rsidP="00360008">
            <w:pPr>
              <w:pStyle w:val="TableText0"/>
            </w:pPr>
            <w:r w:rsidRPr="00B27427">
              <w:t>2</w:t>
            </w:r>
          </w:p>
        </w:tc>
        <w:tc>
          <w:tcPr>
            <w:tcW w:w="935" w:type="pct"/>
          </w:tcPr>
          <w:p w:rsidR="00360008" w:rsidRPr="00B27427" w:rsidRDefault="00360008" w:rsidP="00360008">
            <w:pPr>
              <w:pStyle w:val="TableText0"/>
              <w:rPr>
                <w:rFonts w:eastAsia="Calibri"/>
              </w:rPr>
            </w:pPr>
          </w:p>
          <w:p w:rsidR="00360008" w:rsidRPr="00B27427" w:rsidRDefault="00360008" w:rsidP="00360008">
            <w:pPr>
              <w:pStyle w:val="TableText0"/>
              <w:rPr>
                <w:rFonts w:eastAsia="Calibri"/>
              </w:rPr>
            </w:pPr>
            <w:r w:rsidRPr="00B27427">
              <w:rPr>
                <w:rFonts w:eastAsia="Calibri"/>
              </w:rPr>
              <w:t>TRUVADA®</w:t>
            </w:r>
          </w:p>
          <w:p w:rsidR="00360008" w:rsidRPr="00B27427" w:rsidRDefault="00360008" w:rsidP="00360008">
            <w:pPr>
              <w:pStyle w:val="TableText0"/>
              <w:rPr>
                <w:rFonts w:eastAsia="Calibri"/>
              </w:rPr>
            </w:pPr>
          </w:p>
          <w:p w:rsidR="00360008" w:rsidRPr="00B27427" w:rsidRDefault="00360008" w:rsidP="00360008">
            <w:pPr>
              <w:pStyle w:val="TableText0"/>
              <w:rPr>
                <w:rFonts w:eastAsia="Calibri"/>
              </w:rPr>
            </w:pPr>
          </w:p>
          <w:p w:rsidR="00360008" w:rsidRPr="00B27427" w:rsidRDefault="00360008" w:rsidP="00360008">
            <w:pPr>
              <w:pStyle w:val="TableText0"/>
            </w:pPr>
            <w:r w:rsidRPr="00B27427">
              <w:t>Tenofovir Disoproxil Emtricitabine Mylan 300/200®</w:t>
            </w:r>
          </w:p>
          <w:p w:rsidR="00360008" w:rsidRPr="00B27427" w:rsidRDefault="00360008" w:rsidP="00360008">
            <w:pPr>
              <w:pStyle w:val="TableText0"/>
            </w:pPr>
          </w:p>
          <w:p w:rsidR="00360008" w:rsidRPr="00B27427" w:rsidRDefault="00360008" w:rsidP="00360008">
            <w:pPr>
              <w:pStyle w:val="TableText0"/>
            </w:pPr>
            <w:r w:rsidRPr="00B27427">
              <w:t>Tenofovir EMT GH®</w:t>
            </w:r>
          </w:p>
        </w:tc>
        <w:tc>
          <w:tcPr>
            <w:tcW w:w="778" w:type="pct"/>
          </w:tcPr>
          <w:p w:rsidR="00360008" w:rsidRPr="00B27427" w:rsidRDefault="00360008" w:rsidP="00360008">
            <w:pPr>
              <w:pStyle w:val="TableText0"/>
              <w:rPr>
                <w:rFonts w:eastAsia="Calibri"/>
              </w:rPr>
            </w:pPr>
          </w:p>
          <w:p w:rsidR="00360008" w:rsidRPr="00B27427" w:rsidRDefault="00360008" w:rsidP="00360008">
            <w:pPr>
              <w:pStyle w:val="TableText0"/>
              <w:rPr>
                <w:rFonts w:eastAsia="Calibri"/>
              </w:rPr>
            </w:pPr>
            <w:r w:rsidRPr="00B27427">
              <w:rPr>
                <w:rFonts w:eastAsia="Calibri"/>
              </w:rPr>
              <w:t>Gilead Sciences Pty Ltd</w:t>
            </w:r>
          </w:p>
          <w:p w:rsidR="00360008" w:rsidRPr="00B27427" w:rsidRDefault="00360008" w:rsidP="00360008">
            <w:pPr>
              <w:pStyle w:val="TableText0"/>
              <w:rPr>
                <w:rFonts w:eastAsia="Calibri"/>
              </w:rPr>
            </w:pPr>
          </w:p>
          <w:p w:rsidR="00360008" w:rsidRPr="00B27427" w:rsidRDefault="00360008" w:rsidP="00360008">
            <w:pPr>
              <w:pStyle w:val="TableText0"/>
              <w:rPr>
                <w:rFonts w:eastAsia="Calibri"/>
              </w:rPr>
            </w:pPr>
            <w:r w:rsidRPr="00B27427">
              <w:rPr>
                <w:rFonts w:eastAsia="Calibri"/>
              </w:rPr>
              <w:t>Alphapharm Pty Ltd (trading as Mylan Australia)</w:t>
            </w:r>
          </w:p>
          <w:p w:rsidR="00360008" w:rsidRPr="00B27427" w:rsidRDefault="00360008" w:rsidP="00360008">
            <w:pPr>
              <w:pStyle w:val="TableText0"/>
            </w:pPr>
          </w:p>
          <w:p w:rsidR="00360008" w:rsidRPr="00B27427" w:rsidRDefault="00360008" w:rsidP="00360008">
            <w:pPr>
              <w:pStyle w:val="TableText0"/>
            </w:pPr>
            <w:r w:rsidRPr="00B27427">
              <w:t>Generic Health Pty Ltd</w:t>
            </w:r>
          </w:p>
        </w:tc>
      </w:tr>
      <w:tr w:rsidR="00360008" w:rsidRPr="00B27427" w:rsidTr="00360008">
        <w:tblPrEx>
          <w:tblCellMar>
            <w:left w:w="108" w:type="dxa"/>
            <w:right w:w="108" w:type="dxa"/>
          </w:tblCellMar>
        </w:tblPrEx>
        <w:trPr>
          <w:gridBefore w:val="1"/>
          <w:wBefore w:w="15" w:type="pct"/>
          <w:cantSplit/>
          <w:trHeight w:val="360"/>
        </w:trPr>
        <w:tc>
          <w:tcPr>
            <w:tcW w:w="4985" w:type="pct"/>
            <w:gridSpan w:val="7"/>
            <w:tcBorders>
              <w:bottom w:val="single" w:sz="4" w:space="0" w:color="auto"/>
            </w:tcBorders>
          </w:tcPr>
          <w:p w:rsidR="00360008" w:rsidRPr="00B27427" w:rsidRDefault="00360008" w:rsidP="00360008">
            <w:pPr>
              <w:jc w:val="both"/>
              <w:rPr>
                <w:rFonts w:ascii="Arial" w:hAnsi="Arial"/>
                <w:sz w:val="20"/>
              </w:rPr>
            </w:pPr>
          </w:p>
        </w:tc>
      </w:tr>
      <w:tr w:rsidR="00360008" w:rsidRPr="00B27427" w:rsidTr="00360008">
        <w:tblPrEx>
          <w:tblCellMar>
            <w:left w:w="108" w:type="dxa"/>
            <w:right w:w="108" w:type="dxa"/>
          </w:tblCellMar>
        </w:tblPrEx>
        <w:trPr>
          <w:gridBefore w:val="1"/>
          <w:wBefore w:w="15" w:type="pct"/>
          <w:cantSplit/>
          <w:trHeight w:val="360"/>
        </w:trPr>
        <w:tc>
          <w:tcPr>
            <w:tcW w:w="1793" w:type="pct"/>
            <w:tcBorders>
              <w:top w:val="single" w:sz="4" w:space="0" w:color="auto"/>
              <w:left w:val="single" w:sz="4" w:space="0" w:color="auto"/>
              <w:bottom w:val="single" w:sz="4" w:space="0" w:color="auto"/>
              <w:right w:val="single" w:sz="4" w:space="0" w:color="auto"/>
            </w:tcBorders>
          </w:tcPr>
          <w:p w:rsidR="00360008" w:rsidRPr="00B27427" w:rsidRDefault="00360008" w:rsidP="00360008">
            <w:pPr>
              <w:jc w:val="both"/>
              <w:rPr>
                <w:rFonts w:cs="Arial"/>
                <w:b/>
                <w:sz w:val="20"/>
                <w:szCs w:val="20"/>
              </w:rPr>
            </w:pPr>
            <w:r w:rsidRPr="00B27427">
              <w:rPr>
                <w:rFonts w:cs="Arial"/>
                <w:b/>
                <w:sz w:val="20"/>
                <w:szCs w:val="20"/>
              </w:rPr>
              <w:t>Category/Program</w:t>
            </w:r>
            <w:r w:rsidR="00160C27" w:rsidRPr="00B27427">
              <w:rPr>
                <w:rFonts w:cs="Arial"/>
                <w:b/>
                <w:sz w:val="20"/>
                <w:szCs w:val="20"/>
              </w:rPr>
              <w:t>:</w:t>
            </w:r>
          </w:p>
        </w:tc>
        <w:tc>
          <w:tcPr>
            <w:tcW w:w="3192" w:type="pct"/>
            <w:gridSpan w:val="6"/>
            <w:tcBorders>
              <w:top w:val="single" w:sz="4" w:space="0" w:color="auto"/>
              <w:left w:val="single" w:sz="4" w:space="0" w:color="auto"/>
              <w:bottom w:val="single" w:sz="4" w:space="0" w:color="auto"/>
              <w:right w:val="single" w:sz="4" w:space="0" w:color="auto"/>
            </w:tcBorders>
          </w:tcPr>
          <w:p w:rsidR="00360008" w:rsidRPr="00B27427" w:rsidRDefault="00360008" w:rsidP="00360008">
            <w:pPr>
              <w:rPr>
                <w:sz w:val="20"/>
              </w:rPr>
            </w:pPr>
            <w:r w:rsidRPr="00B27427">
              <w:rPr>
                <w:sz w:val="20"/>
              </w:rPr>
              <w:t>General Schedule</w:t>
            </w:r>
          </w:p>
        </w:tc>
      </w:tr>
      <w:tr w:rsidR="00ED0FCF" w:rsidRPr="00B27427" w:rsidTr="00360008">
        <w:tblPrEx>
          <w:tblCellMar>
            <w:left w:w="108" w:type="dxa"/>
            <w:right w:w="108" w:type="dxa"/>
          </w:tblCellMar>
        </w:tblPrEx>
        <w:trPr>
          <w:gridBefore w:val="1"/>
          <w:wBefore w:w="15" w:type="pct"/>
          <w:cantSplit/>
          <w:trHeight w:val="360"/>
        </w:trPr>
        <w:tc>
          <w:tcPr>
            <w:tcW w:w="1793" w:type="pct"/>
            <w:tcBorders>
              <w:top w:val="single" w:sz="4" w:space="0" w:color="auto"/>
              <w:left w:val="single" w:sz="4" w:space="0" w:color="auto"/>
              <w:bottom w:val="single" w:sz="4" w:space="0" w:color="auto"/>
              <w:right w:val="single" w:sz="4" w:space="0" w:color="auto"/>
            </w:tcBorders>
          </w:tcPr>
          <w:p w:rsidR="00ED0FCF" w:rsidRPr="00B27427" w:rsidRDefault="00ED0FCF" w:rsidP="00360008">
            <w:pPr>
              <w:jc w:val="both"/>
              <w:rPr>
                <w:rFonts w:cs="Arial"/>
                <w:b/>
                <w:sz w:val="20"/>
                <w:szCs w:val="20"/>
              </w:rPr>
            </w:pPr>
            <w:r w:rsidRPr="00ED0FCF">
              <w:rPr>
                <w:rFonts w:cs="Arial"/>
                <w:b/>
                <w:sz w:val="20"/>
                <w:szCs w:val="20"/>
              </w:rPr>
              <w:t>Prescriber type:</w:t>
            </w:r>
          </w:p>
        </w:tc>
        <w:tc>
          <w:tcPr>
            <w:tcW w:w="3192" w:type="pct"/>
            <w:gridSpan w:val="6"/>
            <w:tcBorders>
              <w:top w:val="single" w:sz="4" w:space="0" w:color="auto"/>
              <w:left w:val="single" w:sz="4" w:space="0" w:color="auto"/>
              <w:bottom w:val="single" w:sz="4" w:space="0" w:color="auto"/>
              <w:right w:val="single" w:sz="4" w:space="0" w:color="auto"/>
            </w:tcBorders>
          </w:tcPr>
          <w:p w:rsidR="00ED0FCF" w:rsidRPr="00B27427" w:rsidRDefault="00ED0FCF" w:rsidP="00ED0FCF">
            <w:pPr>
              <w:spacing w:before="40" w:after="40"/>
              <w:rPr>
                <w:sz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05813">
              <w:rPr>
                <w:rFonts w:ascii="Arial Narrow" w:hAnsi="Arial Narrow" w:cs="Arial"/>
                <w:sz w:val="20"/>
                <w:szCs w:val="20"/>
              </w:rPr>
            </w:r>
            <w:r w:rsidR="0030581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0" w:name="Check3"/>
            <w:r>
              <w:rPr>
                <w:rFonts w:ascii="Arial Narrow" w:hAnsi="Arial Narrow" w:cs="Arial"/>
                <w:sz w:val="20"/>
                <w:szCs w:val="20"/>
              </w:rPr>
              <w:instrText xml:space="preserve"> FORMCHECKBOX </w:instrText>
            </w:r>
            <w:r w:rsidR="00305813">
              <w:rPr>
                <w:rFonts w:ascii="Arial Narrow" w:hAnsi="Arial Narrow" w:cs="Arial"/>
                <w:sz w:val="20"/>
                <w:szCs w:val="20"/>
              </w:rPr>
            </w:r>
            <w:r w:rsidR="00305813">
              <w:rPr>
                <w:rFonts w:ascii="Arial Narrow" w:hAnsi="Arial Narrow" w:cs="Arial"/>
                <w:sz w:val="20"/>
                <w:szCs w:val="20"/>
              </w:rPr>
              <w:fldChar w:fldCharType="separate"/>
            </w:r>
            <w:r>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p>
          <w:p w:rsidR="00ED0FCF" w:rsidRPr="00B27427" w:rsidRDefault="00ED0FCF" w:rsidP="00ED0FCF">
            <w:pPr>
              <w:rPr>
                <w:sz w:val="20"/>
              </w:rPr>
            </w:pPr>
          </w:p>
        </w:tc>
      </w:tr>
      <w:tr w:rsidR="00360008" w:rsidRPr="00B27427" w:rsidTr="00360008">
        <w:tblPrEx>
          <w:tblCellMar>
            <w:left w:w="108" w:type="dxa"/>
            <w:right w:w="108" w:type="dxa"/>
          </w:tblCellMar>
        </w:tblPrEx>
        <w:trPr>
          <w:gridBefore w:val="1"/>
          <w:wBefore w:w="15" w:type="pct"/>
          <w:cantSplit/>
          <w:trHeight w:val="360"/>
        </w:trPr>
        <w:tc>
          <w:tcPr>
            <w:tcW w:w="1793" w:type="pct"/>
            <w:tcBorders>
              <w:top w:val="single" w:sz="4" w:space="0" w:color="auto"/>
              <w:left w:val="single" w:sz="4" w:space="0" w:color="auto"/>
              <w:bottom w:val="single" w:sz="4" w:space="0" w:color="auto"/>
              <w:right w:val="single" w:sz="4" w:space="0" w:color="auto"/>
            </w:tcBorders>
          </w:tcPr>
          <w:p w:rsidR="00360008" w:rsidRPr="00B27427" w:rsidRDefault="00360008" w:rsidP="00360008">
            <w:pPr>
              <w:jc w:val="both"/>
              <w:rPr>
                <w:rFonts w:cs="Arial"/>
                <w:b/>
                <w:sz w:val="20"/>
                <w:szCs w:val="20"/>
              </w:rPr>
            </w:pPr>
            <w:r w:rsidRPr="00B27427">
              <w:rPr>
                <w:rFonts w:cs="Arial"/>
                <w:b/>
                <w:sz w:val="20"/>
                <w:szCs w:val="20"/>
              </w:rPr>
              <w:t>Condition:</w:t>
            </w:r>
          </w:p>
        </w:tc>
        <w:tc>
          <w:tcPr>
            <w:tcW w:w="3192" w:type="pct"/>
            <w:gridSpan w:val="6"/>
            <w:tcBorders>
              <w:top w:val="single" w:sz="4" w:space="0" w:color="auto"/>
              <w:left w:val="single" w:sz="4" w:space="0" w:color="auto"/>
              <w:bottom w:val="single" w:sz="4" w:space="0" w:color="auto"/>
              <w:right w:val="single" w:sz="4" w:space="0" w:color="auto"/>
            </w:tcBorders>
          </w:tcPr>
          <w:p w:rsidR="00360008" w:rsidRPr="00B27427" w:rsidRDefault="00360008" w:rsidP="00360008">
            <w:pPr>
              <w:rPr>
                <w:sz w:val="20"/>
              </w:rPr>
            </w:pPr>
            <w:r w:rsidRPr="00B27427">
              <w:rPr>
                <w:sz w:val="20"/>
              </w:rPr>
              <w:t>Pre-exposure prophylaxis (PrEP) against human immunodeficiency virus (HIV) infection</w:t>
            </w:r>
          </w:p>
        </w:tc>
      </w:tr>
      <w:tr w:rsidR="00360008" w:rsidRPr="00B27427" w:rsidTr="00360008">
        <w:tblPrEx>
          <w:tblCellMar>
            <w:left w:w="108" w:type="dxa"/>
            <w:right w:w="108" w:type="dxa"/>
          </w:tblCellMar>
        </w:tblPrEx>
        <w:trPr>
          <w:gridBefore w:val="1"/>
          <w:wBefore w:w="15" w:type="pct"/>
          <w:cantSplit/>
          <w:trHeight w:val="360"/>
        </w:trPr>
        <w:tc>
          <w:tcPr>
            <w:tcW w:w="1793" w:type="pct"/>
            <w:tcBorders>
              <w:top w:val="single" w:sz="4" w:space="0" w:color="auto"/>
              <w:left w:val="single" w:sz="4" w:space="0" w:color="auto"/>
              <w:bottom w:val="single" w:sz="4" w:space="0" w:color="auto"/>
              <w:right w:val="single" w:sz="4" w:space="0" w:color="auto"/>
            </w:tcBorders>
          </w:tcPr>
          <w:p w:rsidR="00360008" w:rsidRPr="00B27427" w:rsidRDefault="00360008" w:rsidP="00360008">
            <w:pPr>
              <w:jc w:val="both"/>
              <w:rPr>
                <w:rFonts w:cs="Arial"/>
                <w:b/>
                <w:sz w:val="20"/>
                <w:szCs w:val="20"/>
              </w:rPr>
            </w:pPr>
            <w:r w:rsidRPr="00B27427">
              <w:rPr>
                <w:rFonts w:cs="Arial"/>
                <w:b/>
                <w:sz w:val="20"/>
                <w:szCs w:val="20"/>
              </w:rPr>
              <w:t>PBS Indication:</w:t>
            </w:r>
          </w:p>
        </w:tc>
        <w:tc>
          <w:tcPr>
            <w:tcW w:w="3192" w:type="pct"/>
            <w:gridSpan w:val="6"/>
            <w:tcBorders>
              <w:top w:val="single" w:sz="4" w:space="0" w:color="auto"/>
              <w:left w:val="single" w:sz="4" w:space="0" w:color="auto"/>
              <w:bottom w:val="single" w:sz="4" w:space="0" w:color="auto"/>
              <w:right w:val="single" w:sz="4" w:space="0" w:color="auto"/>
            </w:tcBorders>
          </w:tcPr>
          <w:p w:rsidR="00360008" w:rsidRPr="00B27427" w:rsidRDefault="00360008" w:rsidP="00360008">
            <w:pPr>
              <w:rPr>
                <w:sz w:val="20"/>
              </w:rPr>
            </w:pPr>
            <w:r w:rsidRPr="00B27427">
              <w:rPr>
                <w:sz w:val="20"/>
              </w:rPr>
              <w:t>Pre-exposure prophylaxis (PrEP) against human immunodeficiency virus (HIV) infection</w:t>
            </w:r>
          </w:p>
        </w:tc>
      </w:tr>
      <w:tr w:rsidR="00360008" w:rsidRPr="00B27427" w:rsidTr="00360008">
        <w:tblPrEx>
          <w:tblCellMar>
            <w:left w:w="108" w:type="dxa"/>
            <w:right w:w="108" w:type="dxa"/>
          </w:tblCellMar>
        </w:tblPrEx>
        <w:trPr>
          <w:gridBefore w:val="1"/>
          <w:wBefore w:w="15" w:type="pct"/>
          <w:cantSplit/>
          <w:trHeight w:val="360"/>
        </w:trPr>
        <w:tc>
          <w:tcPr>
            <w:tcW w:w="1793" w:type="pct"/>
            <w:tcBorders>
              <w:top w:val="single" w:sz="4" w:space="0" w:color="auto"/>
              <w:left w:val="single" w:sz="4" w:space="0" w:color="auto"/>
              <w:bottom w:val="single" w:sz="4" w:space="0" w:color="auto"/>
              <w:right w:val="single" w:sz="4" w:space="0" w:color="auto"/>
            </w:tcBorders>
          </w:tcPr>
          <w:p w:rsidR="00360008" w:rsidRPr="00B27427" w:rsidRDefault="00360008" w:rsidP="00360008">
            <w:pPr>
              <w:jc w:val="both"/>
              <w:rPr>
                <w:rFonts w:cs="Arial"/>
                <w:b/>
                <w:sz w:val="20"/>
                <w:szCs w:val="20"/>
              </w:rPr>
            </w:pPr>
            <w:r w:rsidRPr="00B27427">
              <w:rPr>
                <w:rFonts w:cs="Arial"/>
                <w:b/>
                <w:sz w:val="20"/>
                <w:szCs w:val="20"/>
              </w:rPr>
              <w:t>Restriction:</w:t>
            </w:r>
          </w:p>
          <w:p w:rsidR="00360008" w:rsidRPr="00B27427" w:rsidRDefault="00360008" w:rsidP="00360008">
            <w:pPr>
              <w:rPr>
                <w:rFonts w:cs="Arial"/>
                <w:sz w:val="20"/>
                <w:szCs w:val="20"/>
              </w:rPr>
            </w:pPr>
          </w:p>
        </w:tc>
        <w:tc>
          <w:tcPr>
            <w:tcW w:w="3192" w:type="pct"/>
            <w:gridSpan w:val="6"/>
            <w:tcBorders>
              <w:top w:val="single" w:sz="4" w:space="0" w:color="auto"/>
              <w:left w:val="single" w:sz="4" w:space="0" w:color="auto"/>
              <w:bottom w:val="single" w:sz="4" w:space="0" w:color="auto"/>
              <w:right w:val="single" w:sz="4" w:space="0" w:color="auto"/>
            </w:tcBorders>
          </w:tcPr>
          <w:p w:rsidR="00360008" w:rsidRPr="00B27427" w:rsidRDefault="00360008" w:rsidP="00360008">
            <w:pPr>
              <w:spacing w:line="360" w:lineRule="auto"/>
              <w:rPr>
                <w:rFonts w:cs="Arial"/>
                <w:sz w:val="20"/>
                <w:szCs w:val="20"/>
              </w:rPr>
            </w:pPr>
            <w:r w:rsidRPr="00B27427">
              <w:rPr>
                <w:rFonts w:cs="Arial"/>
                <w:sz w:val="20"/>
                <w:szCs w:val="20"/>
              </w:rPr>
              <w:fldChar w:fldCharType="begin">
                <w:ffData>
                  <w:name w:val="Check1"/>
                  <w:enabled/>
                  <w:calcOnExit w:val="0"/>
                  <w:checkBox>
                    <w:sizeAuto/>
                    <w:default w:val="0"/>
                  </w:checkBox>
                </w:ffData>
              </w:fldChar>
            </w:r>
            <w:r w:rsidRPr="00B27427">
              <w:rPr>
                <w:rFonts w:cs="Arial"/>
                <w:sz w:val="20"/>
                <w:szCs w:val="20"/>
              </w:rPr>
              <w:instrText xml:space="preserve"> FORMCHECKBOX </w:instrText>
            </w:r>
            <w:r w:rsidR="00305813">
              <w:rPr>
                <w:rFonts w:cs="Arial"/>
                <w:sz w:val="20"/>
                <w:szCs w:val="20"/>
              </w:rPr>
            </w:r>
            <w:r w:rsidR="00305813">
              <w:rPr>
                <w:rFonts w:cs="Arial"/>
                <w:sz w:val="20"/>
                <w:szCs w:val="20"/>
              </w:rPr>
              <w:fldChar w:fldCharType="separate"/>
            </w:r>
            <w:r w:rsidRPr="00B27427">
              <w:rPr>
                <w:rFonts w:cs="Arial"/>
                <w:sz w:val="20"/>
                <w:szCs w:val="20"/>
              </w:rPr>
              <w:fldChar w:fldCharType="end"/>
            </w:r>
            <w:r w:rsidRPr="00B27427">
              <w:rPr>
                <w:rFonts w:cs="Arial"/>
                <w:sz w:val="20"/>
                <w:szCs w:val="20"/>
              </w:rPr>
              <w:t>Restricted benefit</w:t>
            </w:r>
          </w:p>
          <w:p w:rsidR="00360008" w:rsidRPr="00B27427" w:rsidRDefault="00360008" w:rsidP="00360008">
            <w:pPr>
              <w:spacing w:line="360" w:lineRule="auto"/>
              <w:rPr>
                <w:rFonts w:cs="Arial"/>
                <w:sz w:val="20"/>
                <w:szCs w:val="20"/>
              </w:rPr>
            </w:pPr>
            <w:r w:rsidRPr="00B27427">
              <w:rPr>
                <w:rFonts w:cs="Arial"/>
                <w:sz w:val="20"/>
                <w:szCs w:val="20"/>
              </w:rPr>
              <w:fldChar w:fldCharType="begin">
                <w:ffData>
                  <w:name w:val=""/>
                  <w:enabled/>
                  <w:calcOnExit w:val="0"/>
                  <w:checkBox>
                    <w:sizeAuto/>
                    <w:default w:val="0"/>
                  </w:checkBox>
                </w:ffData>
              </w:fldChar>
            </w:r>
            <w:r w:rsidRPr="00B27427">
              <w:rPr>
                <w:rFonts w:cs="Arial"/>
                <w:sz w:val="20"/>
                <w:szCs w:val="20"/>
              </w:rPr>
              <w:instrText xml:space="preserve"> FORMCHECKBOX </w:instrText>
            </w:r>
            <w:r w:rsidR="00305813">
              <w:rPr>
                <w:rFonts w:cs="Arial"/>
                <w:sz w:val="20"/>
                <w:szCs w:val="20"/>
              </w:rPr>
            </w:r>
            <w:r w:rsidR="00305813">
              <w:rPr>
                <w:rFonts w:cs="Arial"/>
                <w:sz w:val="20"/>
                <w:szCs w:val="20"/>
              </w:rPr>
              <w:fldChar w:fldCharType="separate"/>
            </w:r>
            <w:r w:rsidRPr="00B27427">
              <w:rPr>
                <w:rFonts w:cs="Arial"/>
                <w:sz w:val="20"/>
                <w:szCs w:val="20"/>
              </w:rPr>
              <w:fldChar w:fldCharType="end"/>
            </w:r>
            <w:r w:rsidRPr="00B27427">
              <w:rPr>
                <w:rFonts w:cs="Arial"/>
                <w:sz w:val="20"/>
                <w:szCs w:val="20"/>
              </w:rPr>
              <w:t>Authority Required - In Writing</w:t>
            </w:r>
          </w:p>
          <w:p w:rsidR="00360008" w:rsidRPr="00B27427" w:rsidRDefault="00360008" w:rsidP="00360008">
            <w:pPr>
              <w:spacing w:line="360" w:lineRule="auto"/>
              <w:rPr>
                <w:rFonts w:cs="Arial"/>
                <w:sz w:val="20"/>
                <w:szCs w:val="20"/>
              </w:rPr>
            </w:pPr>
            <w:r w:rsidRPr="00B27427">
              <w:rPr>
                <w:rFonts w:cs="Arial"/>
                <w:sz w:val="20"/>
                <w:szCs w:val="20"/>
              </w:rPr>
              <w:fldChar w:fldCharType="begin">
                <w:ffData>
                  <w:name w:val="Check3"/>
                  <w:enabled/>
                  <w:calcOnExit w:val="0"/>
                  <w:checkBox>
                    <w:sizeAuto/>
                    <w:default w:val="0"/>
                  </w:checkBox>
                </w:ffData>
              </w:fldChar>
            </w:r>
            <w:r w:rsidRPr="00B27427">
              <w:rPr>
                <w:rFonts w:cs="Arial"/>
                <w:sz w:val="20"/>
                <w:szCs w:val="20"/>
              </w:rPr>
              <w:instrText xml:space="preserve"> FORMCHECKBOX </w:instrText>
            </w:r>
            <w:r w:rsidR="00305813">
              <w:rPr>
                <w:rFonts w:cs="Arial"/>
                <w:sz w:val="20"/>
                <w:szCs w:val="20"/>
              </w:rPr>
            </w:r>
            <w:r w:rsidR="00305813">
              <w:rPr>
                <w:rFonts w:cs="Arial"/>
                <w:sz w:val="20"/>
                <w:szCs w:val="20"/>
              </w:rPr>
              <w:fldChar w:fldCharType="separate"/>
            </w:r>
            <w:r w:rsidRPr="00B27427">
              <w:rPr>
                <w:rFonts w:cs="Arial"/>
                <w:sz w:val="20"/>
                <w:szCs w:val="20"/>
              </w:rPr>
              <w:fldChar w:fldCharType="end"/>
            </w:r>
            <w:r w:rsidRPr="00B27427">
              <w:rPr>
                <w:rFonts w:cs="Arial"/>
                <w:sz w:val="20"/>
                <w:szCs w:val="20"/>
              </w:rPr>
              <w:t>Authority Required - Telephone</w:t>
            </w:r>
          </w:p>
          <w:p w:rsidR="00360008" w:rsidRPr="00B27427" w:rsidRDefault="00360008" w:rsidP="00360008">
            <w:pPr>
              <w:spacing w:line="360" w:lineRule="auto"/>
              <w:rPr>
                <w:rFonts w:cs="Arial"/>
                <w:sz w:val="20"/>
                <w:szCs w:val="20"/>
              </w:rPr>
            </w:pPr>
            <w:r w:rsidRPr="00B27427">
              <w:rPr>
                <w:rFonts w:cs="Arial"/>
                <w:sz w:val="20"/>
                <w:szCs w:val="20"/>
              </w:rPr>
              <w:fldChar w:fldCharType="begin">
                <w:ffData>
                  <w:name w:val=""/>
                  <w:enabled/>
                  <w:calcOnExit w:val="0"/>
                  <w:checkBox>
                    <w:sizeAuto/>
                    <w:default w:val="0"/>
                  </w:checkBox>
                </w:ffData>
              </w:fldChar>
            </w:r>
            <w:r w:rsidRPr="00B27427">
              <w:rPr>
                <w:rFonts w:cs="Arial"/>
                <w:sz w:val="20"/>
                <w:szCs w:val="20"/>
              </w:rPr>
              <w:instrText xml:space="preserve"> FORMCHECKBOX </w:instrText>
            </w:r>
            <w:r w:rsidR="00305813">
              <w:rPr>
                <w:rFonts w:cs="Arial"/>
                <w:sz w:val="20"/>
                <w:szCs w:val="20"/>
              </w:rPr>
            </w:r>
            <w:r w:rsidR="00305813">
              <w:rPr>
                <w:rFonts w:cs="Arial"/>
                <w:sz w:val="20"/>
                <w:szCs w:val="20"/>
              </w:rPr>
              <w:fldChar w:fldCharType="separate"/>
            </w:r>
            <w:r w:rsidRPr="00B27427">
              <w:rPr>
                <w:rFonts w:cs="Arial"/>
                <w:sz w:val="20"/>
                <w:szCs w:val="20"/>
              </w:rPr>
              <w:fldChar w:fldCharType="end"/>
            </w:r>
            <w:r w:rsidRPr="00B27427">
              <w:rPr>
                <w:rFonts w:cs="Arial"/>
                <w:sz w:val="20"/>
                <w:szCs w:val="20"/>
              </w:rPr>
              <w:t>Authority Required – Emergency</w:t>
            </w:r>
          </w:p>
          <w:p w:rsidR="00360008" w:rsidRPr="00B27427" w:rsidRDefault="00360008" w:rsidP="00360008">
            <w:pPr>
              <w:spacing w:line="360" w:lineRule="auto"/>
              <w:rPr>
                <w:rFonts w:cs="Arial"/>
                <w:sz w:val="20"/>
                <w:szCs w:val="20"/>
              </w:rPr>
            </w:pPr>
            <w:r w:rsidRPr="00B27427">
              <w:rPr>
                <w:rFonts w:cs="Arial"/>
                <w:sz w:val="20"/>
                <w:szCs w:val="20"/>
              </w:rPr>
              <w:fldChar w:fldCharType="begin">
                <w:ffData>
                  <w:name w:val="Check5"/>
                  <w:enabled/>
                  <w:calcOnExit w:val="0"/>
                  <w:checkBox>
                    <w:sizeAuto/>
                    <w:default w:val="0"/>
                  </w:checkBox>
                </w:ffData>
              </w:fldChar>
            </w:r>
            <w:r w:rsidRPr="00B27427">
              <w:rPr>
                <w:rFonts w:cs="Arial"/>
                <w:sz w:val="20"/>
                <w:szCs w:val="20"/>
              </w:rPr>
              <w:instrText xml:space="preserve"> FORMCHECKBOX </w:instrText>
            </w:r>
            <w:r w:rsidR="00305813">
              <w:rPr>
                <w:rFonts w:cs="Arial"/>
                <w:sz w:val="20"/>
                <w:szCs w:val="20"/>
              </w:rPr>
            </w:r>
            <w:r w:rsidR="00305813">
              <w:rPr>
                <w:rFonts w:cs="Arial"/>
                <w:sz w:val="20"/>
                <w:szCs w:val="20"/>
              </w:rPr>
              <w:fldChar w:fldCharType="separate"/>
            </w:r>
            <w:r w:rsidRPr="00B27427">
              <w:rPr>
                <w:rFonts w:cs="Arial"/>
                <w:sz w:val="20"/>
                <w:szCs w:val="20"/>
              </w:rPr>
              <w:fldChar w:fldCharType="end"/>
            </w:r>
            <w:r w:rsidRPr="00B27427">
              <w:rPr>
                <w:rFonts w:cs="Arial"/>
                <w:sz w:val="20"/>
                <w:szCs w:val="20"/>
              </w:rPr>
              <w:t>Authority Required - Electronic</w:t>
            </w:r>
          </w:p>
          <w:p w:rsidR="00360008" w:rsidRPr="00B27427" w:rsidRDefault="00360008" w:rsidP="00360008">
            <w:pPr>
              <w:spacing w:line="360" w:lineRule="auto"/>
              <w:rPr>
                <w:sz w:val="20"/>
              </w:rPr>
            </w:pPr>
            <w:r w:rsidRPr="00B27427">
              <w:rPr>
                <w:rFonts w:cs="Arial"/>
                <w:sz w:val="20"/>
                <w:szCs w:val="20"/>
              </w:rPr>
              <w:fldChar w:fldCharType="begin">
                <w:ffData>
                  <w:name w:val="Check5"/>
                  <w:enabled/>
                  <w:calcOnExit w:val="0"/>
                  <w:checkBox>
                    <w:sizeAuto/>
                    <w:default w:val="1"/>
                  </w:checkBox>
                </w:ffData>
              </w:fldChar>
            </w:r>
            <w:bookmarkStart w:id="1" w:name="Check5"/>
            <w:r w:rsidRPr="00B27427">
              <w:rPr>
                <w:rFonts w:cs="Arial"/>
                <w:sz w:val="20"/>
                <w:szCs w:val="20"/>
              </w:rPr>
              <w:instrText xml:space="preserve"> FORMCHECKBOX </w:instrText>
            </w:r>
            <w:r w:rsidR="00305813">
              <w:rPr>
                <w:rFonts w:cs="Arial"/>
                <w:sz w:val="20"/>
                <w:szCs w:val="20"/>
              </w:rPr>
            </w:r>
            <w:r w:rsidR="00305813">
              <w:rPr>
                <w:rFonts w:cs="Arial"/>
                <w:sz w:val="20"/>
                <w:szCs w:val="20"/>
              </w:rPr>
              <w:fldChar w:fldCharType="separate"/>
            </w:r>
            <w:r w:rsidRPr="00B27427">
              <w:rPr>
                <w:rFonts w:cs="Arial"/>
                <w:sz w:val="20"/>
                <w:szCs w:val="20"/>
              </w:rPr>
              <w:fldChar w:fldCharType="end"/>
            </w:r>
            <w:bookmarkEnd w:id="1"/>
            <w:r w:rsidRPr="00B27427">
              <w:rPr>
                <w:rFonts w:cs="Arial"/>
                <w:sz w:val="20"/>
                <w:szCs w:val="20"/>
              </w:rPr>
              <w:t>Streamlined</w:t>
            </w:r>
          </w:p>
        </w:tc>
      </w:tr>
      <w:tr w:rsidR="00360008" w:rsidRPr="00B27427" w:rsidTr="00360008">
        <w:tblPrEx>
          <w:tblCellMar>
            <w:left w:w="108" w:type="dxa"/>
            <w:right w:w="108" w:type="dxa"/>
          </w:tblCellMar>
        </w:tblPrEx>
        <w:trPr>
          <w:gridBefore w:val="1"/>
          <w:wBefore w:w="15" w:type="pct"/>
          <w:cantSplit/>
          <w:trHeight w:val="360"/>
        </w:trPr>
        <w:tc>
          <w:tcPr>
            <w:tcW w:w="1793" w:type="pct"/>
            <w:tcBorders>
              <w:top w:val="single" w:sz="4" w:space="0" w:color="auto"/>
              <w:left w:val="single" w:sz="4" w:space="0" w:color="auto"/>
              <w:bottom w:val="single" w:sz="4" w:space="0" w:color="auto"/>
              <w:right w:val="single" w:sz="4" w:space="0" w:color="auto"/>
            </w:tcBorders>
          </w:tcPr>
          <w:p w:rsidR="00360008" w:rsidRPr="00B27427" w:rsidRDefault="00360008" w:rsidP="00360008">
            <w:pPr>
              <w:jc w:val="both"/>
              <w:rPr>
                <w:rFonts w:cs="Arial"/>
                <w:b/>
                <w:sz w:val="20"/>
                <w:szCs w:val="20"/>
              </w:rPr>
            </w:pPr>
            <w:r w:rsidRPr="00B27427">
              <w:rPr>
                <w:rFonts w:cs="Arial"/>
                <w:b/>
                <w:sz w:val="20"/>
                <w:szCs w:val="20"/>
              </w:rPr>
              <w:t>Clinical criteria:</w:t>
            </w:r>
          </w:p>
          <w:p w:rsidR="00360008" w:rsidRPr="00B27427" w:rsidRDefault="00360008" w:rsidP="00360008">
            <w:pPr>
              <w:jc w:val="both"/>
              <w:rPr>
                <w:rFonts w:cs="Arial"/>
                <w:i/>
                <w:sz w:val="20"/>
                <w:szCs w:val="20"/>
              </w:rPr>
            </w:pPr>
          </w:p>
          <w:p w:rsidR="00360008" w:rsidRPr="00B27427" w:rsidRDefault="00360008" w:rsidP="00360008">
            <w:pPr>
              <w:jc w:val="both"/>
              <w:rPr>
                <w:rFonts w:cs="Arial"/>
                <w:sz w:val="20"/>
                <w:szCs w:val="20"/>
              </w:rPr>
            </w:pPr>
          </w:p>
        </w:tc>
        <w:tc>
          <w:tcPr>
            <w:tcW w:w="3192" w:type="pct"/>
            <w:gridSpan w:val="6"/>
            <w:tcBorders>
              <w:top w:val="single" w:sz="4" w:space="0" w:color="auto"/>
              <w:left w:val="single" w:sz="4" w:space="0" w:color="auto"/>
              <w:bottom w:val="single" w:sz="4" w:space="0" w:color="auto"/>
              <w:right w:val="single" w:sz="4" w:space="0" w:color="auto"/>
            </w:tcBorders>
          </w:tcPr>
          <w:p w:rsidR="00360008" w:rsidRPr="00B27427" w:rsidRDefault="00360008" w:rsidP="00360008">
            <w:pPr>
              <w:rPr>
                <w:rFonts w:cs="Arial"/>
                <w:sz w:val="20"/>
                <w:szCs w:val="20"/>
              </w:rPr>
            </w:pPr>
          </w:p>
          <w:p w:rsidR="00360008" w:rsidRPr="00B27427" w:rsidRDefault="00360008" w:rsidP="00360008">
            <w:pPr>
              <w:rPr>
                <w:rFonts w:cs="Arial"/>
                <w:sz w:val="20"/>
                <w:szCs w:val="20"/>
              </w:rPr>
            </w:pPr>
            <w:r w:rsidRPr="00B27427">
              <w:rPr>
                <w:rFonts w:cs="Arial"/>
                <w:sz w:val="20"/>
                <w:szCs w:val="20"/>
              </w:rPr>
              <w:t>The treatment must be for patients at medium to high risk of HIV infection, as defined by the Australasian Society for HIV, Viral Hepatitis and Sexual Health Medicine (ASHM) Guidelines;</w:t>
            </w:r>
          </w:p>
          <w:p w:rsidR="00360008" w:rsidRPr="00B27427" w:rsidRDefault="00360008" w:rsidP="00360008">
            <w:pPr>
              <w:rPr>
                <w:rFonts w:cs="Arial"/>
                <w:sz w:val="20"/>
                <w:szCs w:val="20"/>
              </w:rPr>
            </w:pPr>
          </w:p>
          <w:p w:rsidR="00360008" w:rsidRPr="00B27427" w:rsidRDefault="00360008" w:rsidP="00360008">
            <w:pPr>
              <w:rPr>
                <w:rFonts w:cs="Arial"/>
                <w:sz w:val="20"/>
                <w:szCs w:val="20"/>
              </w:rPr>
            </w:pPr>
            <w:r w:rsidRPr="00B27427">
              <w:rPr>
                <w:rFonts w:cs="Arial"/>
                <w:sz w:val="20"/>
                <w:szCs w:val="20"/>
              </w:rPr>
              <w:t>AND</w:t>
            </w:r>
          </w:p>
          <w:p w:rsidR="00360008" w:rsidRPr="00B27427" w:rsidRDefault="00360008" w:rsidP="00360008">
            <w:pPr>
              <w:rPr>
                <w:rFonts w:cs="Arial"/>
                <w:sz w:val="20"/>
                <w:szCs w:val="20"/>
              </w:rPr>
            </w:pPr>
          </w:p>
          <w:p w:rsidR="00360008" w:rsidRPr="00B27427" w:rsidRDefault="00360008" w:rsidP="00360008">
            <w:pPr>
              <w:rPr>
                <w:rFonts w:cs="Arial"/>
                <w:sz w:val="20"/>
                <w:szCs w:val="20"/>
              </w:rPr>
            </w:pPr>
            <w:r w:rsidRPr="00B27427">
              <w:rPr>
                <w:rFonts w:cs="Arial"/>
                <w:sz w:val="20"/>
                <w:szCs w:val="20"/>
              </w:rPr>
              <w:t>Patient must have a negative HIV test result prior to treatment with PBS-subsidised therapy with this drug.</w:t>
            </w:r>
          </w:p>
          <w:p w:rsidR="00360008" w:rsidRPr="00B27427" w:rsidRDefault="00360008" w:rsidP="00360008">
            <w:pPr>
              <w:rPr>
                <w:rFonts w:cs="Arial"/>
                <w:sz w:val="20"/>
                <w:szCs w:val="20"/>
              </w:rPr>
            </w:pPr>
          </w:p>
        </w:tc>
      </w:tr>
      <w:tr w:rsidR="00360008" w:rsidRPr="00B27427" w:rsidTr="00360008">
        <w:tblPrEx>
          <w:tblCellMar>
            <w:left w:w="108" w:type="dxa"/>
            <w:right w:w="108" w:type="dxa"/>
          </w:tblCellMar>
        </w:tblPrEx>
        <w:trPr>
          <w:gridBefore w:val="1"/>
          <w:wBefore w:w="15" w:type="pct"/>
          <w:cantSplit/>
          <w:trHeight w:val="360"/>
        </w:trPr>
        <w:tc>
          <w:tcPr>
            <w:tcW w:w="1793" w:type="pct"/>
            <w:tcBorders>
              <w:top w:val="single" w:sz="4" w:space="0" w:color="auto"/>
              <w:left w:val="single" w:sz="4" w:space="0" w:color="auto"/>
              <w:bottom w:val="single" w:sz="4" w:space="0" w:color="auto"/>
              <w:right w:val="single" w:sz="4" w:space="0" w:color="auto"/>
            </w:tcBorders>
          </w:tcPr>
          <w:p w:rsidR="00360008" w:rsidRPr="00B27427" w:rsidRDefault="00360008" w:rsidP="00160C27">
            <w:pPr>
              <w:jc w:val="both"/>
              <w:rPr>
                <w:rFonts w:cs="Arial"/>
                <w:b/>
                <w:sz w:val="20"/>
                <w:szCs w:val="20"/>
              </w:rPr>
            </w:pPr>
            <w:r w:rsidRPr="00B27427">
              <w:rPr>
                <w:rFonts w:cs="Arial"/>
                <w:b/>
                <w:sz w:val="20"/>
                <w:szCs w:val="20"/>
              </w:rPr>
              <w:t>Population criteria:</w:t>
            </w:r>
          </w:p>
        </w:tc>
        <w:tc>
          <w:tcPr>
            <w:tcW w:w="3192" w:type="pct"/>
            <w:gridSpan w:val="6"/>
            <w:tcBorders>
              <w:top w:val="single" w:sz="4" w:space="0" w:color="auto"/>
              <w:left w:val="single" w:sz="4" w:space="0" w:color="auto"/>
              <w:bottom w:val="single" w:sz="4" w:space="0" w:color="auto"/>
              <w:right w:val="single" w:sz="4" w:space="0" w:color="auto"/>
            </w:tcBorders>
          </w:tcPr>
          <w:p w:rsidR="00360008" w:rsidRPr="00B27427" w:rsidRDefault="00360008" w:rsidP="00160C27">
            <w:pPr>
              <w:rPr>
                <w:rFonts w:cs="Arial"/>
                <w:sz w:val="20"/>
                <w:szCs w:val="20"/>
              </w:rPr>
            </w:pPr>
            <w:r w:rsidRPr="00B27427">
              <w:rPr>
                <w:rFonts w:cs="Arial"/>
                <w:sz w:val="20"/>
                <w:szCs w:val="20"/>
              </w:rPr>
              <w:t>Patient must be 18 years or older.</w:t>
            </w:r>
          </w:p>
        </w:tc>
      </w:tr>
      <w:tr w:rsidR="00360008" w:rsidRPr="00B27427" w:rsidTr="00360008">
        <w:tblPrEx>
          <w:tblCellMar>
            <w:left w:w="108" w:type="dxa"/>
            <w:right w:w="108" w:type="dxa"/>
          </w:tblCellMar>
        </w:tblPrEx>
        <w:trPr>
          <w:gridBefore w:val="1"/>
          <w:wBefore w:w="15" w:type="pct"/>
          <w:cantSplit/>
          <w:trHeight w:val="360"/>
        </w:trPr>
        <w:tc>
          <w:tcPr>
            <w:tcW w:w="1793" w:type="pct"/>
            <w:tcBorders>
              <w:top w:val="single" w:sz="4" w:space="0" w:color="auto"/>
              <w:left w:val="single" w:sz="4" w:space="0" w:color="auto"/>
              <w:bottom w:val="single" w:sz="4" w:space="0" w:color="auto"/>
              <w:right w:val="single" w:sz="4" w:space="0" w:color="auto"/>
            </w:tcBorders>
          </w:tcPr>
          <w:p w:rsidR="00360008" w:rsidRPr="00B27427" w:rsidRDefault="00160C27" w:rsidP="00360008">
            <w:pPr>
              <w:jc w:val="both"/>
              <w:rPr>
                <w:rFonts w:cs="Arial"/>
                <w:b/>
                <w:sz w:val="20"/>
                <w:szCs w:val="20"/>
              </w:rPr>
            </w:pPr>
            <w:r w:rsidRPr="00B27427">
              <w:rPr>
                <w:rFonts w:cs="Arial"/>
                <w:b/>
                <w:sz w:val="20"/>
                <w:szCs w:val="20"/>
              </w:rPr>
              <w:t>Administrative advice:</w:t>
            </w:r>
          </w:p>
          <w:p w:rsidR="00360008" w:rsidRPr="00B27427" w:rsidRDefault="00360008" w:rsidP="00360008">
            <w:pPr>
              <w:jc w:val="both"/>
              <w:rPr>
                <w:rFonts w:cs="Arial"/>
                <w:i/>
                <w:sz w:val="20"/>
                <w:szCs w:val="20"/>
              </w:rPr>
            </w:pPr>
          </w:p>
        </w:tc>
        <w:tc>
          <w:tcPr>
            <w:tcW w:w="3192" w:type="pct"/>
            <w:gridSpan w:val="6"/>
            <w:tcBorders>
              <w:top w:val="single" w:sz="4" w:space="0" w:color="auto"/>
              <w:left w:val="single" w:sz="4" w:space="0" w:color="auto"/>
              <w:bottom w:val="single" w:sz="4" w:space="0" w:color="auto"/>
              <w:right w:val="single" w:sz="4" w:space="0" w:color="auto"/>
            </w:tcBorders>
          </w:tcPr>
          <w:p w:rsidR="00360008" w:rsidRPr="00B27427" w:rsidRDefault="00360008" w:rsidP="00360008">
            <w:pPr>
              <w:rPr>
                <w:rFonts w:cs="Arial"/>
                <w:sz w:val="20"/>
                <w:szCs w:val="20"/>
              </w:rPr>
            </w:pPr>
            <w:r w:rsidRPr="00B27427">
              <w:rPr>
                <w:rFonts w:cs="Arial"/>
                <w:sz w:val="20"/>
                <w:szCs w:val="20"/>
              </w:rPr>
              <w:t xml:space="preserve">No increase in the maximum quantity or number of units may be authorised. </w:t>
            </w:r>
          </w:p>
          <w:p w:rsidR="00360008" w:rsidRPr="00B27427" w:rsidRDefault="00360008" w:rsidP="00360008">
            <w:pPr>
              <w:rPr>
                <w:rFonts w:cs="Arial"/>
                <w:sz w:val="20"/>
                <w:szCs w:val="20"/>
              </w:rPr>
            </w:pPr>
          </w:p>
          <w:p w:rsidR="00360008" w:rsidRPr="00B27427" w:rsidRDefault="00360008" w:rsidP="00360008">
            <w:pPr>
              <w:rPr>
                <w:rFonts w:cs="Arial"/>
                <w:sz w:val="20"/>
                <w:szCs w:val="20"/>
              </w:rPr>
            </w:pPr>
            <w:r w:rsidRPr="00B27427">
              <w:rPr>
                <w:rFonts w:cs="Arial"/>
                <w:sz w:val="20"/>
                <w:szCs w:val="20"/>
              </w:rPr>
              <w:t>No increase in the maximum number of repeats may be authorised.</w:t>
            </w:r>
          </w:p>
        </w:tc>
      </w:tr>
    </w:tbl>
    <w:p w:rsidR="00027F50" w:rsidRPr="00C07617" w:rsidRDefault="00027F50" w:rsidP="00027F50">
      <w:pPr>
        <w:ind w:left="426"/>
        <w:rPr>
          <w:b/>
          <w:sz w:val="32"/>
        </w:rPr>
      </w:pPr>
      <w:r w:rsidRPr="00C07617">
        <w:rPr>
          <w:b/>
          <w:sz w:val="32"/>
        </w:rPr>
        <w:lastRenderedPageBreak/>
        <w:t>9</w:t>
      </w:r>
      <w:r w:rsidRPr="00C07617">
        <w:rPr>
          <w:b/>
          <w:sz w:val="32"/>
        </w:rPr>
        <w:tab/>
        <w:t>Context for Decision</w:t>
      </w:r>
    </w:p>
    <w:p w:rsidR="00027F50" w:rsidRDefault="00027F50" w:rsidP="00027F50">
      <w:pPr>
        <w:ind w:left="426"/>
        <w:jc w:val="both"/>
        <w:rPr>
          <w:rFonts w:cs="Arial"/>
        </w:rPr>
      </w:pPr>
    </w:p>
    <w:p w:rsidR="00027F50" w:rsidRPr="00C07617" w:rsidRDefault="00027F50" w:rsidP="00027F50">
      <w:pPr>
        <w:ind w:left="426"/>
        <w:jc w:val="both"/>
        <w:rPr>
          <w:rFonts w:cs="Arial"/>
        </w:rPr>
      </w:pPr>
      <w:r w:rsidRPr="00C07617">
        <w:rPr>
          <w:rFonts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27F50" w:rsidRDefault="00027F50" w:rsidP="00027F50">
      <w:pPr>
        <w:ind w:left="426"/>
        <w:jc w:val="both"/>
        <w:rPr>
          <w:rFonts w:ascii="Arial" w:hAnsi="Arial" w:cs="Arial"/>
          <w:sz w:val="22"/>
        </w:rPr>
      </w:pPr>
    </w:p>
    <w:p w:rsidR="00027F50" w:rsidRDefault="00027F50" w:rsidP="00027F50">
      <w:pPr>
        <w:ind w:left="426"/>
        <w:jc w:val="both"/>
        <w:rPr>
          <w:rFonts w:ascii="Arial" w:hAnsi="Arial" w:cs="Arial"/>
          <w:sz w:val="22"/>
        </w:rPr>
      </w:pPr>
    </w:p>
    <w:p w:rsidR="00027F50" w:rsidRPr="00C07617" w:rsidRDefault="00027F50" w:rsidP="00027F50">
      <w:pPr>
        <w:ind w:left="426"/>
        <w:rPr>
          <w:b/>
          <w:sz w:val="32"/>
        </w:rPr>
      </w:pPr>
      <w:r w:rsidRPr="00C07617">
        <w:rPr>
          <w:b/>
          <w:sz w:val="32"/>
        </w:rPr>
        <w:t>10</w:t>
      </w:r>
      <w:r w:rsidRPr="00C07617">
        <w:rPr>
          <w:b/>
          <w:sz w:val="32"/>
        </w:rPr>
        <w:tab/>
        <w:t xml:space="preserve"> </w:t>
      </w:r>
      <w:r>
        <w:rPr>
          <w:b/>
          <w:sz w:val="32"/>
        </w:rPr>
        <w:t>Sponsor’s Comment</w:t>
      </w:r>
    </w:p>
    <w:p w:rsidR="00027F50" w:rsidRDefault="00027F50" w:rsidP="00027F50">
      <w:pPr>
        <w:spacing w:after="120"/>
        <w:ind w:left="426"/>
        <w:jc w:val="both"/>
        <w:rPr>
          <w:rFonts w:cs="Arial"/>
          <w:bCs/>
          <w:highlight w:val="yellow"/>
          <w:lang w:val="en-GB"/>
        </w:rPr>
      </w:pPr>
    </w:p>
    <w:p w:rsidR="00305813" w:rsidRDefault="00305813" w:rsidP="00027F50">
      <w:pPr>
        <w:spacing w:after="120"/>
        <w:ind w:left="426"/>
        <w:jc w:val="both"/>
        <w:rPr>
          <w:rFonts w:cs="Arial"/>
          <w:bCs/>
          <w:lang w:val="en-GB"/>
        </w:rPr>
      </w:pPr>
      <w:r>
        <w:rPr>
          <w:rFonts w:cs="Arial"/>
          <w:b/>
          <w:bCs/>
          <w:lang w:val="en-GB"/>
        </w:rPr>
        <w:t>Gilead Sciences Pty Ltd</w:t>
      </w:r>
    </w:p>
    <w:p w:rsidR="00305813" w:rsidRDefault="00305813" w:rsidP="00027F50">
      <w:pPr>
        <w:spacing w:after="120"/>
        <w:ind w:left="426"/>
        <w:jc w:val="both"/>
        <w:rPr>
          <w:rFonts w:cs="Arial"/>
          <w:bCs/>
          <w:lang w:val="en-GB"/>
        </w:rPr>
      </w:pPr>
      <w:r w:rsidRPr="00305813">
        <w:rPr>
          <w:rFonts w:cs="Arial"/>
          <w:bCs/>
          <w:lang w:val="en-GB"/>
        </w:rPr>
        <w:t xml:space="preserve">Gilead welcomes the PBAC’s decision to recommend PBS listing of </w:t>
      </w:r>
      <w:proofErr w:type="spellStart"/>
      <w:r w:rsidRPr="00305813">
        <w:rPr>
          <w:rFonts w:cs="Arial"/>
          <w:bCs/>
          <w:lang w:val="en-GB"/>
        </w:rPr>
        <w:t>Truvada</w:t>
      </w:r>
      <w:proofErr w:type="spellEnd"/>
      <w:r w:rsidRPr="00305813">
        <w:rPr>
          <w:rFonts w:cs="Arial"/>
          <w:bCs/>
          <w:lang w:val="en-GB"/>
        </w:rPr>
        <w:t xml:space="preserve"> (</w:t>
      </w:r>
      <w:proofErr w:type="spellStart"/>
      <w:r w:rsidRPr="00305813">
        <w:rPr>
          <w:rFonts w:cs="Arial"/>
          <w:bCs/>
          <w:lang w:val="en-GB"/>
        </w:rPr>
        <w:t>tenofovir</w:t>
      </w:r>
      <w:proofErr w:type="spellEnd"/>
      <w:r w:rsidRPr="00305813">
        <w:rPr>
          <w:rFonts w:cs="Arial"/>
          <w:bCs/>
          <w:lang w:val="en-GB"/>
        </w:rPr>
        <w:t xml:space="preserve"> with </w:t>
      </w:r>
      <w:proofErr w:type="spellStart"/>
      <w:r w:rsidRPr="00305813">
        <w:rPr>
          <w:rFonts w:cs="Arial"/>
          <w:bCs/>
          <w:lang w:val="en-GB"/>
        </w:rPr>
        <w:t>emtricitabine</w:t>
      </w:r>
      <w:proofErr w:type="spellEnd"/>
      <w:r w:rsidRPr="00305813">
        <w:rPr>
          <w:rFonts w:cs="Arial"/>
          <w:bCs/>
          <w:lang w:val="en-GB"/>
        </w:rPr>
        <w:t>) for pre-exposure prophylaxis against HIV infection</w:t>
      </w:r>
      <w:r>
        <w:rPr>
          <w:rFonts w:cs="Arial"/>
          <w:bCs/>
          <w:lang w:val="en-GB"/>
        </w:rPr>
        <w:t>.</w:t>
      </w:r>
    </w:p>
    <w:p w:rsidR="00305813" w:rsidRDefault="00305813" w:rsidP="00027F50">
      <w:pPr>
        <w:spacing w:after="120"/>
        <w:ind w:left="426"/>
        <w:jc w:val="both"/>
        <w:rPr>
          <w:rFonts w:cs="Arial"/>
          <w:b/>
          <w:bCs/>
          <w:lang w:val="en-GB"/>
        </w:rPr>
      </w:pPr>
    </w:p>
    <w:p w:rsidR="00305813" w:rsidRPr="00305813" w:rsidRDefault="00305813" w:rsidP="00027F50">
      <w:pPr>
        <w:spacing w:after="120"/>
        <w:ind w:left="426"/>
        <w:jc w:val="both"/>
        <w:rPr>
          <w:rFonts w:cs="Arial"/>
          <w:b/>
          <w:bCs/>
          <w:lang w:val="en-GB"/>
        </w:rPr>
      </w:pPr>
      <w:proofErr w:type="spellStart"/>
      <w:r>
        <w:rPr>
          <w:rFonts w:cs="Arial"/>
          <w:b/>
          <w:bCs/>
          <w:lang w:val="en-GB"/>
        </w:rPr>
        <w:t>Alphapharm</w:t>
      </w:r>
      <w:proofErr w:type="spellEnd"/>
      <w:r>
        <w:rPr>
          <w:rFonts w:cs="Arial"/>
          <w:b/>
          <w:bCs/>
          <w:lang w:val="en-GB"/>
        </w:rPr>
        <w:t xml:space="preserve"> Pty Ltd</w:t>
      </w:r>
      <w:r w:rsidRPr="00305813">
        <w:rPr>
          <w:rFonts w:cs="Arial"/>
          <w:b/>
          <w:bCs/>
          <w:lang w:val="en-GB"/>
        </w:rPr>
        <w:t xml:space="preserve"> (trading as Mylan)</w:t>
      </w:r>
      <w:bookmarkStart w:id="2" w:name="_GoBack"/>
      <w:bookmarkEnd w:id="2"/>
    </w:p>
    <w:p w:rsidR="00027F50" w:rsidRDefault="00027F50" w:rsidP="00027F50">
      <w:pPr>
        <w:spacing w:after="120"/>
        <w:ind w:left="426"/>
        <w:jc w:val="both"/>
        <w:rPr>
          <w:rFonts w:cs="Arial"/>
          <w:bCs/>
        </w:rPr>
      </w:pPr>
      <w:r w:rsidRPr="00C07617">
        <w:rPr>
          <w:rFonts w:cs="Arial"/>
          <w:bCs/>
        </w:rPr>
        <w:t>The sponsor had no comment.</w:t>
      </w:r>
    </w:p>
    <w:p w:rsidR="00305813" w:rsidRDefault="00305813" w:rsidP="00027F50">
      <w:pPr>
        <w:spacing w:after="120"/>
        <w:ind w:left="426"/>
        <w:jc w:val="both"/>
        <w:rPr>
          <w:rFonts w:cs="Arial"/>
          <w:b/>
          <w:bCs/>
        </w:rPr>
      </w:pPr>
    </w:p>
    <w:p w:rsidR="00305813" w:rsidRPr="00305813" w:rsidRDefault="00305813" w:rsidP="00027F50">
      <w:pPr>
        <w:spacing w:after="120"/>
        <w:ind w:left="426"/>
        <w:jc w:val="both"/>
        <w:rPr>
          <w:rFonts w:cs="Arial"/>
          <w:b/>
          <w:bCs/>
        </w:rPr>
      </w:pPr>
      <w:r>
        <w:rPr>
          <w:rFonts w:cs="Arial"/>
          <w:b/>
          <w:bCs/>
        </w:rPr>
        <w:t>Generic Health Pty Ltd</w:t>
      </w:r>
    </w:p>
    <w:p w:rsidR="00305813" w:rsidRDefault="00305813" w:rsidP="00305813">
      <w:pPr>
        <w:spacing w:after="120"/>
        <w:ind w:left="426"/>
        <w:jc w:val="both"/>
        <w:rPr>
          <w:rFonts w:cs="Arial"/>
          <w:bCs/>
        </w:rPr>
      </w:pPr>
      <w:r w:rsidRPr="00C07617">
        <w:rPr>
          <w:rFonts w:cs="Arial"/>
          <w:bCs/>
        </w:rPr>
        <w:t>The sponsor had no comment.</w:t>
      </w:r>
    </w:p>
    <w:p w:rsidR="006D3EEC" w:rsidRPr="00B27427" w:rsidRDefault="006D3EEC">
      <w:pPr>
        <w:rPr>
          <w:rFonts w:cstheme="minorBidi"/>
          <w:color w:val="000000" w:themeColor="text1"/>
        </w:rPr>
      </w:pPr>
    </w:p>
    <w:sectPr w:rsidR="006D3EEC" w:rsidRPr="00B27427" w:rsidSect="00732EAF">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8ED" w:rsidRDefault="000958ED">
      <w:r>
        <w:separator/>
      </w:r>
    </w:p>
    <w:p w:rsidR="000958ED" w:rsidRDefault="000958ED"/>
  </w:endnote>
  <w:endnote w:type="continuationSeparator" w:id="0">
    <w:p w:rsidR="000958ED" w:rsidRDefault="000958ED">
      <w:r>
        <w:continuationSeparator/>
      </w:r>
    </w:p>
    <w:p w:rsidR="000958ED" w:rsidRDefault="00095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958ED" w:rsidTr="005A3173">
      <w:trPr>
        <w:trHeight w:val="151"/>
      </w:trPr>
      <w:tc>
        <w:tcPr>
          <w:tcW w:w="2250" w:type="pct"/>
          <w:tcBorders>
            <w:top w:val="nil"/>
            <w:left w:val="nil"/>
            <w:bottom w:val="single" w:sz="4" w:space="0" w:color="4F81BD"/>
            <w:right w:val="nil"/>
          </w:tcBorders>
        </w:tcPr>
        <w:p w:rsidR="000958ED" w:rsidRPr="005A3173" w:rsidRDefault="000958E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958ED" w:rsidRPr="005A3173" w:rsidRDefault="000958E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958ED" w:rsidRPr="005A3173" w:rsidRDefault="000958ED" w:rsidP="005A3173">
          <w:pPr>
            <w:pStyle w:val="Header"/>
            <w:spacing w:line="276" w:lineRule="auto"/>
            <w:rPr>
              <w:rFonts w:ascii="Calibri" w:eastAsia="MS Gothic" w:hAnsi="Calibri"/>
              <w:b/>
              <w:bCs/>
              <w:color w:val="4F81BD"/>
            </w:rPr>
          </w:pPr>
        </w:p>
      </w:tc>
    </w:tr>
    <w:tr w:rsidR="000958ED" w:rsidTr="005A3173">
      <w:trPr>
        <w:trHeight w:val="150"/>
      </w:trPr>
      <w:tc>
        <w:tcPr>
          <w:tcW w:w="2250" w:type="pct"/>
          <w:tcBorders>
            <w:top w:val="single" w:sz="4" w:space="0" w:color="4F81BD"/>
            <w:left w:val="nil"/>
            <w:bottom w:val="nil"/>
            <w:right w:val="nil"/>
          </w:tcBorders>
        </w:tcPr>
        <w:p w:rsidR="000958ED" w:rsidRPr="005A3173" w:rsidRDefault="000958ED" w:rsidP="005A3173">
          <w:pPr>
            <w:pStyle w:val="Header"/>
            <w:spacing w:line="276" w:lineRule="auto"/>
            <w:rPr>
              <w:rFonts w:ascii="Calibri" w:eastAsia="MS Gothic" w:hAnsi="Calibri"/>
              <w:b/>
              <w:bCs/>
              <w:color w:val="4F81BD"/>
            </w:rPr>
          </w:pPr>
        </w:p>
      </w:tc>
      <w:tc>
        <w:tcPr>
          <w:tcW w:w="0" w:type="auto"/>
          <w:vMerge/>
          <w:vAlign w:val="center"/>
          <w:hideMark/>
        </w:tcPr>
        <w:p w:rsidR="000958ED" w:rsidRPr="005A3173" w:rsidRDefault="000958ED" w:rsidP="005A3173">
          <w:pPr>
            <w:rPr>
              <w:rFonts w:ascii="Calibri" w:hAnsi="Calibri"/>
              <w:color w:val="365F91"/>
              <w:sz w:val="22"/>
              <w:szCs w:val="22"/>
            </w:rPr>
          </w:pPr>
        </w:p>
      </w:tc>
      <w:tc>
        <w:tcPr>
          <w:tcW w:w="2250" w:type="pct"/>
          <w:tcBorders>
            <w:top w:val="single" w:sz="4" w:space="0" w:color="4F81BD"/>
            <w:left w:val="nil"/>
            <w:bottom w:val="nil"/>
            <w:right w:val="nil"/>
          </w:tcBorders>
        </w:tcPr>
        <w:p w:rsidR="000958ED" w:rsidRPr="005A3173" w:rsidRDefault="000958ED" w:rsidP="005A3173">
          <w:pPr>
            <w:pStyle w:val="Header"/>
            <w:spacing w:line="276" w:lineRule="auto"/>
            <w:rPr>
              <w:rFonts w:ascii="Calibri" w:eastAsia="MS Gothic" w:hAnsi="Calibri"/>
              <w:b/>
              <w:bCs/>
              <w:color w:val="4F81BD"/>
            </w:rPr>
          </w:pPr>
        </w:p>
      </w:tc>
    </w:tr>
  </w:tbl>
  <w:p w:rsidR="000958ED" w:rsidRDefault="000958E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58ED" w:rsidRDefault="000958ED">
    <w:pPr>
      <w:pStyle w:val="Footer"/>
    </w:pPr>
  </w:p>
  <w:p w:rsidR="000958ED" w:rsidRDefault="000958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327278"/>
      <w:docPartObj>
        <w:docPartGallery w:val="Page Numbers (Bottom of Page)"/>
        <w:docPartUnique/>
      </w:docPartObj>
    </w:sdtPr>
    <w:sdtEndPr>
      <w:rPr>
        <w:noProof/>
      </w:rPr>
    </w:sdtEndPr>
    <w:sdtContent>
      <w:p w:rsidR="000958ED" w:rsidRDefault="000958ED">
        <w:pPr>
          <w:pStyle w:val="Footer"/>
          <w:jc w:val="center"/>
        </w:pPr>
        <w:r w:rsidRPr="00D84F45">
          <w:fldChar w:fldCharType="begin"/>
        </w:r>
        <w:r w:rsidRPr="00D84F45">
          <w:instrText xml:space="preserve"> PAGE   \* MERGEFORMAT </w:instrText>
        </w:r>
        <w:r w:rsidRPr="00D84F45">
          <w:fldChar w:fldCharType="separate"/>
        </w:r>
        <w:r w:rsidR="00305813">
          <w:rPr>
            <w:noProof/>
          </w:rPr>
          <w:t>16</w:t>
        </w:r>
        <w:r w:rsidRPr="00D84F45">
          <w:rPr>
            <w:noProof/>
          </w:rPr>
          <w:fldChar w:fldCharType="end"/>
        </w:r>
      </w:p>
    </w:sdtContent>
  </w:sdt>
  <w:p w:rsidR="000958ED" w:rsidRPr="009C5C36" w:rsidRDefault="000958ED" w:rsidP="00FA3ADC">
    <w:pPr>
      <w:widowControl w:val="0"/>
      <w:tabs>
        <w:tab w:val="center" w:pos="4513"/>
        <w:tab w:val="right" w:pos="9026"/>
      </w:tabs>
      <w:ind w:left="360"/>
      <w:jc w:val="center"/>
      <w:rPr>
        <w:rFonts w:ascii="Arial" w:hAnsi="Arial" w:cs="Arial"/>
        <w:noProof/>
        <w:snapToGrid w:val="0"/>
        <w:sz w:val="20"/>
        <w:szCs w:val="20"/>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958ED" w:rsidTr="005A3173">
      <w:trPr>
        <w:trHeight w:val="151"/>
      </w:trPr>
      <w:tc>
        <w:tcPr>
          <w:tcW w:w="2250" w:type="pct"/>
          <w:tcBorders>
            <w:top w:val="nil"/>
            <w:left w:val="nil"/>
            <w:bottom w:val="single" w:sz="4" w:space="0" w:color="4F81BD"/>
            <w:right w:val="nil"/>
          </w:tcBorders>
        </w:tcPr>
        <w:p w:rsidR="000958ED" w:rsidRPr="005A3173" w:rsidRDefault="000958E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958ED" w:rsidRPr="005A3173" w:rsidRDefault="000958E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958ED" w:rsidRPr="005A3173" w:rsidRDefault="000958ED" w:rsidP="005A3173">
          <w:pPr>
            <w:pStyle w:val="Header"/>
            <w:spacing w:line="276" w:lineRule="auto"/>
            <w:rPr>
              <w:rFonts w:ascii="Calibri" w:eastAsia="MS Gothic" w:hAnsi="Calibri"/>
              <w:b/>
              <w:bCs/>
              <w:color w:val="4F81BD"/>
            </w:rPr>
          </w:pPr>
        </w:p>
      </w:tc>
    </w:tr>
    <w:tr w:rsidR="000958ED" w:rsidTr="005A3173">
      <w:trPr>
        <w:trHeight w:val="150"/>
      </w:trPr>
      <w:tc>
        <w:tcPr>
          <w:tcW w:w="2250" w:type="pct"/>
          <w:tcBorders>
            <w:top w:val="single" w:sz="4" w:space="0" w:color="4F81BD"/>
            <w:left w:val="nil"/>
            <w:bottom w:val="nil"/>
            <w:right w:val="nil"/>
          </w:tcBorders>
        </w:tcPr>
        <w:p w:rsidR="000958ED" w:rsidRPr="005A3173" w:rsidRDefault="000958ED" w:rsidP="005A3173">
          <w:pPr>
            <w:pStyle w:val="Header"/>
            <w:spacing w:line="276" w:lineRule="auto"/>
            <w:rPr>
              <w:rFonts w:ascii="Calibri" w:eastAsia="MS Gothic" w:hAnsi="Calibri"/>
              <w:b/>
              <w:bCs/>
              <w:color w:val="4F81BD"/>
            </w:rPr>
          </w:pPr>
        </w:p>
      </w:tc>
      <w:tc>
        <w:tcPr>
          <w:tcW w:w="0" w:type="auto"/>
          <w:vMerge/>
          <w:vAlign w:val="center"/>
          <w:hideMark/>
        </w:tcPr>
        <w:p w:rsidR="000958ED" w:rsidRPr="005A3173" w:rsidRDefault="000958ED" w:rsidP="005A3173">
          <w:pPr>
            <w:rPr>
              <w:rFonts w:ascii="Calibri" w:hAnsi="Calibri"/>
              <w:color w:val="365F91"/>
              <w:sz w:val="22"/>
              <w:szCs w:val="22"/>
            </w:rPr>
          </w:pPr>
        </w:p>
      </w:tc>
      <w:tc>
        <w:tcPr>
          <w:tcW w:w="2250" w:type="pct"/>
          <w:tcBorders>
            <w:top w:val="single" w:sz="4" w:space="0" w:color="4F81BD"/>
            <w:left w:val="nil"/>
            <w:bottom w:val="nil"/>
            <w:right w:val="nil"/>
          </w:tcBorders>
        </w:tcPr>
        <w:p w:rsidR="000958ED" w:rsidRPr="005A3173" w:rsidRDefault="000958E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958ED" w:rsidTr="005A3173">
      <w:trPr>
        <w:trHeight w:val="151"/>
      </w:trPr>
      <w:tc>
        <w:tcPr>
          <w:tcW w:w="2250" w:type="pct"/>
          <w:tcBorders>
            <w:top w:val="nil"/>
            <w:left w:val="nil"/>
            <w:bottom w:val="single" w:sz="4" w:space="0" w:color="4F81BD"/>
            <w:right w:val="nil"/>
          </w:tcBorders>
        </w:tcPr>
        <w:p w:rsidR="000958ED" w:rsidRPr="005A3173" w:rsidRDefault="000958E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958ED" w:rsidRPr="005A3173" w:rsidRDefault="000958E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958ED" w:rsidRPr="005A3173" w:rsidRDefault="000958ED" w:rsidP="005A3173">
          <w:pPr>
            <w:pStyle w:val="Header"/>
            <w:spacing w:line="276" w:lineRule="auto"/>
            <w:rPr>
              <w:rFonts w:ascii="Calibri" w:eastAsia="MS Gothic" w:hAnsi="Calibri"/>
              <w:b/>
              <w:bCs/>
              <w:color w:val="4F81BD"/>
            </w:rPr>
          </w:pPr>
        </w:p>
      </w:tc>
    </w:tr>
    <w:tr w:rsidR="000958ED" w:rsidTr="005A3173">
      <w:trPr>
        <w:trHeight w:val="150"/>
      </w:trPr>
      <w:tc>
        <w:tcPr>
          <w:tcW w:w="2250" w:type="pct"/>
          <w:tcBorders>
            <w:top w:val="single" w:sz="4" w:space="0" w:color="4F81BD"/>
            <w:left w:val="nil"/>
            <w:bottom w:val="nil"/>
            <w:right w:val="nil"/>
          </w:tcBorders>
        </w:tcPr>
        <w:p w:rsidR="000958ED" w:rsidRPr="005A3173" w:rsidRDefault="000958ED" w:rsidP="005A3173">
          <w:pPr>
            <w:pStyle w:val="Header"/>
            <w:spacing w:line="276" w:lineRule="auto"/>
            <w:rPr>
              <w:rFonts w:ascii="Calibri" w:eastAsia="MS Gothic" w:hAnsi="Calibri"/>
              <w:b/>
              <w:bCs/>
              <w:color w:val="4F81BD"/>
            </w:rPr>
          </w:pPr>
        </w:p>
      </w:tc>
      <w:tc>
        <w:tcPr>
          <w:tcW w:w="0" w:type="auto"/>
          <w:vMerge/>
          <w:vAlign w:val="center"/>
          <w:hideMark/>
        </w:tcPr>
        <w:p w:rsidR="000958ED" w:rsidRPr="005A3173" w:rsidRDefault="000958ED" w:rsidP="005A3173">
          <w:pPr>
            <w:rPr>
              <w:rFonts w:ascii="Calibri" w:hAnsi="Calibri"/>
              <w:color w:val="365F91"/>
              <w:sz w:val="22"/>
              <w:szCs w:val="22"/>
            </w:rPr>
          </w:pPr>
        </w:p>
      </w:tc>
      <w:tc>
        <w:tcPr>
          <w:tcW w:w="2250" w:type="pct"/>
          <w:tcBorders>
            <w:top w:val="single" w:sz="4" w:space="0" w:color="4F81BD"/>
            <w:left w:val="nil"/>
            <w:bottom w:val="nil"/>
            <w:right w:val="nil"/>
          </w:tcBorders>
        </w:tcPr>
        <w:p w:rsidR="000958ED" w:rsidRPr="005A3173" w:rsidRDefault="000958ED" w:rsidP="005A3173">
          <w:pPr>
            <w:pStyle w:val="Header"/>
            <w:spacing w:line="276" w:lineRule="auto"/>
            <w:rPr>
              <w:rFonts w:ascii="Calibri" w:eastAsia="MS Gothic" w:hAnsi="Calibri"/>
              <w:b/>
              <w:bCs/>
              <w:color w:val="4F81BD"/>
            </w:rPr>
          </w:pPr>
        </w:p>
      </w:tc>
    </w:tr>
  </w:tbl>
  <w:p w:rsidR="000958ED" w:rsidRPr="007C0F57" w:rsidRDefault="000958E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958ED" w:rsidRPr="007C0F57" w:rsidRDefault="000958ED" w:rsidP="007C0F57">
    <w:pPr>
      <w:pStyle w:val="Footer"/>
      <w:jc w:val="center"/>
      <w:rPr>
        <w:b/>
        <w:i/>
        <w:sz w:val="20"/>
        <w:szCs w:val="20"/>
      </w:rPr>
    </w:pPr>
    <w:r w:rsidRPr="007C0F57">
      <w:rPr>
        <w:b/>
        <w:i/>
        <w:sz w:val="20"/>
        <w:szCs w:val="20"/>
      </w:rPr>
      <w:t>Commercial-in-Confidence</w:t>
    </w:r>
  </w:p>
  <w:p w:rsidR="000958ED" w:rsidRDefault="000958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8ED" w:rsidRDefault="000958ED">
      <w:r>
        <w:separator/>
      </w:r>
    </w:p>
    <w:p w:rsidR="000958ED" w:rsidRDefault="000958ED"/>
  </w:footnote>
  <w:footnote w:type="continuationSeparator" w:id="0">
    <w:p w:rsidR="000958ED" w:rsidRDefault="000958ED">
      <w:r>
        <w:continuationSeparator/>
      </w:r>
    </w:p>
    <w:p w:rsidR="000958ED" w:rsidRDefault="000958ED"/>
  </w:footnote>
  <w:footnote w:id="1">
    <w:p w:rsidR="000958ED" w:rsidRPr="00BE3686" w:rsidRDefault="000958ED">
      <w:pPr>
        <w:pStyle w:val="FootnoteText"/>
      </w:pPr>
      <w:r w:rsidRPr="00BE3686">
        <w:rPr>
          <w:rStyle w:val="FootnoteReference"/>
        </w:rPr>
        <w:footnoteRef/>
      </w:r>
      <w:r w:rsidRPr="00BE3686">
        <w:t xml:space="preserve"> Holt M, Lea T, Schmidt H, </w:t>
      </w:r>
      <w:r w:rsidRPr="00451B99">
        <w:rPr>
          <w:i/>
        </w:rPr>
        <w:t>et al</w:t>
      </w:r>
      <w:r>
        <w:t>,</w:t>
      </w:r>
      <w:r w:rsidRPr="00BE3686">
        <w:t xml:space="preserve"> Willingness to use and have sex with men taking HIV pre-exposure prophylaxis (PrEP): results of online surveys of Australian gay and bisexual men, 2011–2015 Sex </w:t>
      </w:r>
      <w:proofErr w:type="spellStart"/>
      <w:r w:rsidRPr="00BE3686">
        <w:t>Transm</w:t>
      </w:r>
      <w:proofErr w:type="spellEnd"/>
      <w:r w:rsidRPr="00BE3686">
        <w:t xml:space="preserve"> Infect 2017</w:t>
      </w:r>
      <w:proofErr w:type="gramStart"/>
      <w:r w:rsidRPr="00BE3686">
        <w:t>;93:438</w:t>
      </w:r>
      <w:proofErr w:type="gramEnd"/>
      <w:r w:rsidRPr="00BE3686">
        <w:t>-444.</w:t>
      </w:r>
    </w:p>
  </w:footnote>
  <w:footnote w:id="2">
    <w:p w:rsidR="000958ED" w:rsidRDefault="000958ED">
      <w:pPr>
        <w:pStyle w:val="FootnoteText"/>
      </w:pPr>
      <w:r>
        <w:rPr>
          <w:rStyle w:val="FootnoteReference"/>
        </w:rPr>
        <w:footnoteRef/>
      </w:r>
      <w:r>
        <w:t xml:space="preserve"> </w:t>
      </w:r>
      <w:proofErr w:type="spellStart"/>
      <w:r w:rsidRPr="00BE3686">
        <w:t>Prestage</w:t>
      </w:r>
      <w:proofErr w:type="spellEnd"/>
      <w:r w:rsidRPr="00BE3686">
        <w:t xml:space="preserve"> G, Maher L et al 2017, ‘Why are some gay and bisexual men eligible for PrEP but not taking it?’, Australasian HIV &amp; AIDS Conference Report of Proceedings, National Convention Centre, Canberra, Australia. </w:t>
      </w:r>
      <w:hyperlink r:id="rId1" w:history="1">
        <w:r w:rsidRPr="00AD4F73">
          <w:rPr>
            <w:rStyle w:val="Hyperlink"/>
          </w:rPr>
          <w:t>Conference abstract available online</w:t>
        </w:r>
      </w:hyperlink>
      <w:r w:rsidRPr="00BE3686">
        <w:t>.</w:t>
      </w:r>
    </w:p>
  </w:footnote>
  <w:footnote w:id="3">
    <w:p w:rsidR="000958ED" w:rsidRPr="00BE3686" w:rsidRDefault="000958ED">
      <w:pPr>
        <w:pStyle w:val="FootnoteText"/>
      </w:pPr>
      <w:r w:rsidRPr="00BE3686">
        <w:rPr>
          <w:rStyle w:val="FootnoteReference"/>
        </w:rPr>
        <w:footnoteRef/>
      </w:r>
      <w:r w:rsidRPr="00BE3686">
        <w:t xml:space="preserve"> </w:t>
      </w:r>
      <w:proofErr w:type="gramStart"/>
      <w:r>
        <w:t>Australasian Society for HIV, Viral Hepatitis and Sexual Health Medicine (ASHM), 2017 Australasian HIV &amp; AIDS Conference Key Learnings Report, pg. 8.</w:t>
      </w:r>
      <w:proofErr w:type="gramEnd"/>
      <w:r>
        <w:t xml:space="preserve"> Available online at </w:t>
      </w:r>
      <w:hyperlink r:id="rId2" w:history="1">
        <w:r w:rsidRPr="003D6949">
          <w:rPr>
            <w:rStyle w:val="Hyperlink"/>
          </w:rPr>
          <w:t>http://www.hivaidsconference.com.au/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958ED" w:rsidRPr="008E0D90" w:rsidTr="00A06225">
      <w:trPr>
        <w:trHeight w:val="151"/>
      </w:trPr>
      <w:tc>
        <w:tcPr>
          <w:tcW w:w="2389" w:type="pct"/>
          <w:tcBorders>
            <w:top w:val="nil"/>
            <w:left w:val="nil"/>
            <w:bottom w:val="single" w:sz="4" w:space="0" w:color="4F81BD"/>
            <w:right w:val="nil"/>
          </w:tcBorders>
        </w:tcPr>
        <w:p w:rsidR="000958ED" w:rsidRPr="00A06225" w:rsidRDefault="000958ED">
          <w:pPr>
            <w:pStyle w:val="Header"/>
            <w:spacing w:line="276" w:lineRule="auto"/>
            <w:rPr>
              <w:rFonts w:ascii="Cambria" w:eastAsia="MS Gothic" w:hAnsi="Cambria"/>
              <w:b/>
              <w:bCs/>
              <w:color w:val="4F81BD"/>
            </w:rPr>
          </w:pPr>
        </w:p>
      </w:tc>
      <w:tc>
        <w:tcPr>
          <w:tcW w:w="333" w:type="pct"/>
          <w:vMerge w:val="restart"/>
          <w:noWrap/>
          <w:vAlign w:val="center"/>
          <w:hideMark/>
        </w:tcPr>
        <w:p w:rsidR="000958ED" w:rsidRPr="00A06225" w:rsidRDefault="000958E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958ED" w:rsidRPr="00A06225" w:rsidRDefault="000958ED">
          <w:pPr>
            <w:pStyle w:val="Header"/>
            <w:spacing w:line="276" w:lineRule="auto"/>
            <w:rPr>
              <w:rFonts w:ascii="Cambria" w:eastAsia="MS Gothic" w:hAnsi="Cambria"/>
              <w:b/>
              <w:bCs/>
              <w:color w:val="4F81BD"/>
            </w:rPr>
          </w:pPr>
        </w:p>
      </w:tc>
    </w:tr>
    <w:tr w:rsidR="000958ED" w:rsidRPr="008E0D90" w:rsidTr="00A06225">
      <w:trPr>
        <w:trHeight w:val="150"/>
      </w:trPr>
      <w:tc>
        <w:tcPr>
          <w:tcW w:w="2389" w:type="pct"/>
          <w:tcBorders>
            <w:top w:val="single" w:sz="4" w:space="0" w:color="4F81BD"/>
            <w:left w:val="nil"/>
            <w:bottom w:val="nil"/>
            <w:right w:val="nil"/>
          </w:tcBorders>
        </w:tcPr>
        <w:p w:rsidR="000958ED" w:rsidRPr="00A06225" w:rsidRDefault="000958ED">
          <w:pPr>
            <w:pStyle w:val="Header"/>
            <w:spacing w:line="276" w:lineRule="auto"/>
            <w:rPr>
              <w:rFonts w:ascii="Cambria" w:eastAsia="MS Gothic" w:hAnsi="Cambria"/>
              <w:b/>
              <w:bCs/>
              <w:color w:val="4F81BD"/>
            </w:rPr>
          </w:pPr>
        </w:p>
      </w:tc>
      <w:tc>
        <w:tcPr>
          <w:tcW w:w="0" w:type="auto"/>
          <w:vMerge/>
          <w:vAlign w:val="center"/>
          <w:hideMark/>
        </w:tcPr>
        <w:p w:rsidR="000958ED" w:rsidRPr="00A06225" w:rsidRDefault="000958ED">
          <w:pPr>
            <w:rPr>
              <w:rFonts w:ascii="Cambria" w:hAnsi="Cambria"/>
              <w:color w:val="4F81BD"/>
              <w:sz w:val="22"/>
              <w:szCs w:val="22"/>
            </w:rPr>
          </w:pPr>
        </w:p>
      </w:tc>
      <w:tc>
        <w:tcPr>
          <w:tcW w:w="2278" w:type="pct"/>
          <w:tcBorders>
            <w:top w:val="single" w:sz="4" w:space="0" w:color="4F81BD"/>
            <w:left w:val="nil"/>
            <w:bottom w:val="nil"/>
            <w:right w:val="nil"/>
          </w:tcBorders>
        </w:tcPr>
        <w:p w:rsidR="000958ED" w:rsidRPr="00A06225" w:rsidRDefault="000958ED">
          <w:pPr>
            <w:pStyle w:val="Header"/>
            <w:spacing w:line="276" w:lineRule="auto"/>
            <w:rPr>
              <w:rFonts w:ascii="Cambria" w:eastAsia="MS Gothic" w:hAnsi="Cambria"/>
              <w:b/>
              <w:bCs/>
              <w:color w:val="4F81BD"/>
            </w:rPr>
          </w:pPr>
        </w:p>
      </w:tc>
    </w:tr>
  </w:tbl>
  <w:p w:rsidR="000958ED" w:rsidRDefault="000958ED">
    <w:pPr>
      <w:pStyle w:val="Header"/>
    </w:pPr>
  </w:p>
  <w:p w:rsidR="000958ED" w:rsidRDefault="000958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ED" w:rsidRDefault="00027F50" w:rsidP="00E372C1">
    <w:pPr>
      <w:pStyle w:val="Header"/>
      <w:ind w:left="360"/>
      <w:jc w:val="center"/>
      <w:rPr>
        <w:rFonts w:cs="Arial"/>
        <w:i/>
        <w:color w:val="808080"/>
        <w:sz w:val="22"/>
      </w:rPr>
    </w:pPr>
    <w:r>
      <w:rPr>
        <w:rFonts w:cs="Arial"/>
        <w:i/>
        <w:color w:val="808080"/>
        <w:sz w:val="22"/>
      </w:rPr>
      <w:t>Public Summary Document</w:t>
    </w:r>
    <w:r w:rsidR="000958ED" w:rsidRPr="00F90A91">
      <w:rPr>
        <w:rFonts w:cs="Arial"/>
        <w:i/>
        <w:color w:val="808080"/>
        <w:sz w:val="22"/>
      </w:rPr>
      <w:t xml:space="preserve"> – </w:t>
    </w:r>
    <w:r w:rsidR="000958ED">
      <w:rPr>
        <w:rFonts w:cs="Arial"/>
        <w:i/>
        <w:color w:val="808080"/>
        <w:sz w:val="22"/>
      </w:rPr>
      <w:t>December 2017</w:t>
    </w:r>
    <w:r w:rsidR="000958ED" w:rsidRPr="00F90A91">
      <w:rPr>
        <w:rFonts w:cs="Arial"/>
        <w:i/>
        <w:color w:val="808080"/>
        <w:sz w:val="22"/>
      </w:rPr>
      <w:t xml:space="preserve"> PBAC Meeting</w:t>
    </w:r>
  </w:p>
  <w:p w:rsidR="00027F50" w:rsidRPr="00F90A91" w:rsidRDefault="00027F50" w:rsidP="00E372C1">
    <w:pPr>
      <w:pStyle w:val="Header"/>
      <w:ind w:left="360"/>
      <w:jc w:val="center"/>
      <w:rPr>
        <w:rFonts w:cs="Arial"/>
        <w:i/>
        <w:color w:val="808080"/>
        <w:sz w:val="22"/>
      </w:rPr>
    </w:pPr>
  </w:p>
  <w:p w:rsidR="000958ED" w:rsidRPr="009C5C36" w:rsidRDefault="000958ED" w:rsidP="009C5C36">
    <w:pPr>
      <w:widowControl w:val="0"/>
      <w:tabs>
        <w:tab w:val="center" w:pos="4513"/>
        <w:tab w:val="right" w:pos="9026"/>
      </w:tabs>
      <w:ind w:left="360"/>
      <w:jc w:val="center"/>
      <w:rPr>
        <w:rFonts w:ascii="Arial" w:hAnsi="Arial" w:cs="Arial"/>
        <w:i/>
        <w:snapToGrid w:val="0"/>
        <w:color w:val="808080"/>
        <w:sz w:val="22"/>
        <w:szCs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9A12950"/>
    <w:multiLevelType w:val="multilevel"/>
    <w:tmpl w:val="2FAC4A16"/>
    <w:lvl w:ilvl="0">
      <w:start w:val="1"/>
      <w:numFmt w:val="decimal"/>
      <w:lvlText w:val="%1"/>
      <w:lvlJc w:val="left"/>
      <w:pPr>
        <w:ind w:left="720" w:hanging="720"/>
      </w:pPr>
      <w:rPr>
        <w:rFonts w:hint="default"/>
        <w:b/>
      </w:rPr>
    </w:lvl>
    <w:lvl w:ilvl="1">
      <w:start w:val="6"/>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1145C85"/>
    <w:multiLevelType w:val="hybridMultilevel"/>
    <w:tmpl w:val="4B0694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84E6825"/>
    <w:multiLevelType w:val="multilevel"/>
    <w:tmpl w:val="CD4684C6"/>
    <w:lvl w:ilvl="0">
      <w:start w:val="1"/>
      <w:numFmt w:val="decimal"/>
      <w:lvlText w:val="%1"/>
      <w:lvlJc w:val="left"/>
      <w:pPr>
        <w:ind w:left="432" w:hanging="432"/>
      </w:pPr>
      <w:rPr>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DF00026"/>
    <w:multiLevelType w:val="hybridMultilevel"/>
    <w:tmpl w:val="F732E300"/>
    <w:lvl w:ilvl="0" w:tplc="0608B14C">
      <w:start w:val="1"/>
      <w:numFmt w:val="bullet"/>
      <w:lvlText w:val=""/>
      <w:lvlJc w:val="left"/>
      <w:pPr>
        <w:ind w:left="1080" w:hanging="360"/>
      </w:pPr>
      <w:rPr>
        <w:rFonts w:ascii="Symbol" w:hAnsi="Symbol" w:hint="default"/>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2F772073"/>
    <w:multiLevelType w:val="hybridMultilevel"/>
    <w:tmpl w:val="0EB487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817385"/>
    <w:multiLevelType w:val="hybridMultilevel"/>
    <w:tmpl w:val="E88603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52D2B95"/>
    <w:multiLevelType w:val="hybridMultilevel"/>
    <w:tmpl w:val="556434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37A14CCF"/>
    <w:multiLevelType w:val="hybridMultilevel"/>
    <w:tmpl w:val="E0C21B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491594"/>
    <w:multiLevelType w:val="hybridMultilevel"/>
    <w:tmpl w:val="AD8C449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3F872E9"/>
    <w:multiLevelType w:val="hybridMultilevel"/>
    <w:tmpl w:val="2A5EA8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653604AE"/>
    <w:multiLevelType w:val="hybridMultilevel"/>
    <w:tmpl w:val="96F60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6BA43147"/>
    <w:multiLevelType w:val="hybridMultilevel"/>
    <w:tmpl w:val="BE125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DB21894"/>
    <w:multiLevelType w:val="hybridMultilevel"/>
    <w:tmpl w:val="BE5ECD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nsid w:val="70CC1E6E"/>
    <w:multiLevelType w:val="hybridMultilevel"/>
    <w:tmpl w:val="4AF066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84D033C"/>
    <w:multiLevelType w:val="multilevel"/>
    <w:tmpl w:val="5202672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7"/>
  </w:num>
  <w:num w:numId="4">
    <w:abstractNumId w:val="23"/>
  </w:num>
  <w:num w:numId="5">
    <w:abstractNumId w:val="32"/>
  </w:num>
  <w:num w:numId="6">
    <w:abstractNumId w:val="9"/>
  </w:num>
  <w:num w:numId="7">
    <w:abstractNumId w:val="21"/>
  </w:num>
  <w:num w:numId="8">
    <w:abstractNumId w:val="4"/>
  </w:num>
  <w:num w:numId="9">
    <w:abstractNumId w:val="18"/>
  </w:num>
  <w:num w:numId="10">
    <w:abstractNumId w:val="16"/>
  </w:num>
  <w:num w:numId="11">
    <w:abstractNumId w:val="13"/>
  </w:num>
  <w:num w:numId="12">
    <w:abstractNumId w:val="1"/>
  </w:num>
  <w:num w:numId="13">
    <w:abstractNumId w:val="0"/>
  </w:num>
  <w:num w:numId="14">
    <w:abstractNumId w:val="32"/>
  </w:num>
  <w:num w:numId="15">
    <w:abstractNumId w:val="14"/>
  </w:num>
  <w:num w:numId="16">
    <w:abstractNumId w:val="20"/>
  </w:num>
  <w:num w:numId="17">
    <w:abstractNumId w:val="28"/>
  </w:num>
  <w:num w:numId="18">
    <w:abstractNumId w:val="30"/>
  </w:num>
  <w:num w:numId="19">
    <w:abstractNumId w:val="5"/>
  </w:num>
  <w:num w:numId="20">
    <w:abstractNumId w:val="29"/>
  </w:num>
  <w:num w:numId="21">
    <w:abstractNumId w:val="31"/>
  </w:num>
  <w:num w:numId="22">
    <w:abstractNumId w:val="12"/>
  </w:num>
  <w:num w:numId="23">
    <w:abstractNumId w:val="25"/>
  </w:num>
  <w:num w:numId="24">
    <w:abstractNumId w:val="6"/>
  </w:num>
  <w:num w:numId="25">
    <w:abstractNumId w:val="32"/>
  </w:num>
  <w:num w:numId="26">
    <w:abstractNumId w:val="32"/>
  </w:num>
  <w:num w:numId="27">
    <w:abstractNumId w:val="17"/>
  </w:num>
  <w:num w:numId="28">
    <w:abstractNumId w:val="26"/>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9"/>
  </w:num>
  <w:num w:numId="32">
    <w:abstractNumId w:val="8"/>
  </w:num>
  <w:num w:numId="33">
    <w:abstractNumId w:val="27"/>
  </w:num>
  <w:num w:numId="34">
    <w:abstractNumId w:val="24"/>
  </w:num>
  <w:num w:numId="35">
    <w:abstractNumId w:val="2"/>
  </w:num>
  <w:num w:numId="36">
    <w:abstractNumId w:val="11"/>
  </w:num>
  <w:num w:numId="37">
    <w:abstractNumId w:val="15"/>
  </w:num>
  <w:num w:numId="38">
    <w:abstractNumId w:val="32"/>
  </w:num>
  <w:num w:numId="39">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1AC"/>
    <w:rsid w:val="000025AD"/>
    <w:rsid w:val="00003685"/>
    <w:rsid w:val="0000460B"/>
    <w:rsid w:val="00006DB8"/>
    <w:rsid w:val="000211B1"/>
    <w:rsid w:val="0002464A"/>
    <w:rsid w:val="00025C49"/>
    <w:rsid w:val="000271F4"/>
    <w:rsid w:val="00027F50"/>
    <w:rsid w:val="00031005"/>
    <w:rsid w:val="0003106B"/>
    <w:rsid w:val="00037A42"/>
    <w:rsid w:val="000421A1"/>
    <w:rsid w:val="0004240E"/>
    <w:rsid w:val="00045E26"/>
    <w:rsid w:val="00046077"/>
    <w:rsid w:val="00050B9B"/>
    <w:rsid w:val="000514B5"/>
    <w:rsid w:val="00055888"/>
    <w:rsid w:val="00060E64"/>
    <w:rsid w:val="000633E5"/>
    <w:rsid w:val="00066755"/>
    <w:rsid w:val="00070685"/>
    <w:rsid w:val="00074260"/>
    <w:rsid w:val="00074977"/>
    <w:rsid w:val="00077143"/>
    <w:rsid w:val="00077382"/>
    <w:rsid w:val="0007769F"/>
    <w:rsid w:val="00080F7C"/>
    <w:rsid w:val="00087E18"/>
    <w:rsid w:val="00090896"/>
    <w:rsid w:val="00091458"/>
    <w:rsid w:val="000958ED"/>
    <w:rsid w:val="000969AD"/>
    <w:rsid w:val="000A4F55"/>
    <w:rsid w:val="000B02B4"/>
    <w:rsid w:val="000B1FBB"/>
    <w:rsid w:val="000B558D"/>
    <w:rsid w:val="000B568A"/>
    <w:rsid w:val="000B5889"/>
    <w:rsid w:val="000B60F6"/>
    <w:rsid w:val="000B7624"/>
    <w:rsid w:val="000C6996"/>
    <w:rsid w:val="000C7E48"/>
    <w:rsid w:val="000D1A61"/>
    <w:rsid w:val="000D23BA"/>
    <w:rsid w:val="000E681E"/>
    <w:rsid w:val="000F1BC9"/>
    <w:rsid w:val="000F4E6A"/>
    <w:rsid w:val="000F7056"/>
    <w:rsid w:val="00100D3E"/>
    <w:rsid w:val="00106B7F"/>
    <w:rsid w:val="001074DF"/>
    <w:rsid w:val="001107BF"/>
    <w:rsid w:val="00111FB7"/>
    <w:rsid w:val="00112CC3"/>
    <w:rsid w:val="00121DA9"/>
    <w:rsid w:val="001238AD"/>
    <w:rsid w:val="0012417C"/>
    <w:rsid w:val="001279D2"/>
    <w:rsid w:val="00136D53"/>
    <w:rsid w:val="00140F95"/>
    <w:rsid w:val="00142395"/>
    <w:rsid w:val="00142714"/>
    <w:rsid w:val="0014295D"/>
    <w:rsid w:val="001437CB"/>
    <w:rsid w:val="00144AC7"/>
    <w:rsid w:val="001452ED"/>
    <w:rsid w:val="001461E2"/>
    <w:rsid w:val="00147D64"/>
    <w:rsid w:val="001525A7"/>
    <w:rsid w:val="00154CB3"/>
    <w:rsid w:val="00160C27"/>
    <w:rsid w:val="001705A3"/>
    <w:rsid w:val="00170885"/>
    <w:rsid w:val="00175376"/>
    <w:rsid w:val="001759B1"/>
    <w:rsid w:val="001803D7"/>
    <w:rsid w:val="001830CE"/>
    <w:rsid w:val="0018643B"/>
    <w:rsid w:val="001868DA"/>
    <w:rsid w:val="00187CB7"/>
    <w:rsid w:val="00191569"/>
    <w:rsid w:val="00196307"/>
    <w:rsid w:val="001A0A0E"/>
    <w:rsid w:val="001A33EA"/>
    <w:rsid w:val="001B017F"/>
    <w:rsid w:val="001B114C"/>
    <w:rsid w:val="001B5129"/>
    <w:rsid w:val="001B6D85"/>
    <w:rsid w:val="001C0D7E"/>
    <w:rsid w:val="001C1195"/>
    <w:rsid w:val="001C1D77"/>
    <w:rsid w:val="001C36B5"/>
    <w:rsid w:val="001C3D3B"/>
    <w:rsid w:val="001D02DA"/>
    <w:rsid w:val="001D37F9"/>
    <w:rsid w:val="001E2787"/>
    <w:rsid w:val="001E563A"/>
    <w:rsid w:val="001F16E0"/>
    <w:rsid w:val="001F1B30"/>
    <w:rsid w:val="001F37DD"/>
    <w:rsid w:val="00205561"/>
    <w:rsid w:val="00213CFB"/>
    <w:rsid w:val="00214438"/>
    <w:rsid w:val="002164D2"/>
    <w:rsid w:val="002301BE"/>
    <w:rsid w:val="00230D3B"/>
    <w:rsid w:val="00235427"/>
    <w:rsid w:val="00235B86"/>
    <w:rsid w:val="00250A37"/>
    <w:rsid w:val="002560D8"/>
    <w:rsid w:val="00256393"/>
    <w:rsid w:val="002578CD"/>
    <w:rsid w:val="00271BA1"/>
    <w:rsid w:val="00273109"/>
    <w:rsid w:val="002762FA"/>
    <w:rsid w:val="00277505"/>
    <w:rsid w:val="00281380"/>
    <w:rsid w:val="00285D5A"/>
    <w:rsid w:val="00286B09"/>
    <w:rsid w:val="0029458F"/>
    <w:rsid w:val="002945DB"/>
    <w:rsid w:val="0029569B"/>
    <w:rsid w:val="002A104C"/>
    <w:rsid w:val="002A4960"/>
    <w:rsid w:val="002B1AE6"/>
    <w:rsid w:val="002B30F8"/>
    <w:rsid w:val="002C212F"/>
    <w:rsid w:val="002C26BE"/>
    <w:rsid w:val="002D2CAD"/>
    <w:rsid w:val="002D2D91"/>
    <w:rsid w:val="002E00CD"/>
    <w:rsid w:val="002E3153"/>
    <w:rsid w:val="002E72CA"/>
    <w:rsid w:val="002E73F6"/>
    <w:rsid w:val="002F4C6E"/>
    <w:rsid w:val="002F56D6"/>
    <w:rsid w:val="00300AD6"/>
    <w:rsid w:val="00300F8B"/>
    <w:rsid w:val="00305813"/>
    <w:rsid w:val="003073B7"/>
    <w:rsid w:val="0031493D"/>
    <w:rsid w:val="00326E79"/>
    <w:rsid w:val="003367EF"/>
    <w:rsid w:val="003404E8"/>
    <w:rsid w:val="00340B70"/>
    <w:rsid w:val="00341159"/>
    <w:rsid w:val="00341AE4"/>
    <w:rsid w:val="00342A7C"/>
    <w:rsid w:val="00345243"/>
    <w:rsid w:val="0034562C"/>
    <w:rsid w:val="00345AC5"/>
    <w:rsid w:val="003507CF"/>
    <w:rsid w:val="00351BEF"/>
    <w:rsid w:val="0035551D"/>
    <w:rsid w:val="00360008"/>
    <w:rsid w:val="0036044B"/>
    <w:rsid w:val="0036147E"/>
    <w:rsid w:val="00361FDD"/>
    <w:rsid w:val="00363034"/>
    <w:rsid w:val="0036336C"/>
    <w:rsid w:val="00376ED0"/>
    <w:rsid w:val="00381C49"/>
    <w:rsid w:val="00382EE9"/>
    <w:rsid w:val="003872CF"/>
    <w:rsid w:val="00387ED7"/>
    <w:rsid w:val="00391B31"/>
    <w:rsid w:val="0039588A"/>
    <w:rsid w:val="0039782C"/>
    <w:rsid w:val="003A5B4A"/>
    <w:rsid w:val="003B2396"/>
    <w:rsid w:val="003B23C5"/>
    <w:rsid w:val="003B2A75"/>
    <w:rsid w:val="003C2653"/>
    <w:rsid w:val="003C3871"/>
    <w:rsid w:val="003D0670"/>
    <w:rsid w:val="003D3D89"/>
    <w:rsid w:val="003D42B8"/>
    <w:rsid w:val="003D4AC4"/>
    <w:rsid w:val="003D5471"/>
    <w:rsid w:val="003D63B7"/>
    <w:rsid w:val="003E1103"/>
    <w:rsid w:val="003E468B"/>
    <w:rsid w:val="003E5616"/>
    <w:rsid w:val="003E7989"/>
    <w:rsid w:val="003F59D7"/>
    <w:rsid w:val="003F5C8C"/>
    <w:rsid w:val="00420A73"/>
    <w:rsid w:val="00431698"/>
    <w:rsid w:val="0043255F"/>
    <w:rsid w:val="004425A4"/>
    <w:rsid w:val="0044562D"/>
    <w:rsid w:val="004465BD"/>
    <w:rsid w:val="00451B99"/>
    <w:rsid w:val="00454BC2"/>
    <w:rsid w:val="004573ED"/>
    <w:rsid w:val="00466ADA"/>
    <w:rsid w:val="0047430A"/>
    <w:rsid w:val="00476245"/>
    <w:rsid w:val="00482309"/>
    <w:rsid w:val="00483FA1"/>
    <w:rsid w:val="00485940"/>
    <w:rsid w:val="004A0C66"/>
    <w:rsid w:val="004A1C8F"/>
    <w:rsid w:val="004A2484"/>
    <w:rsid w:val="004A5A85"/>
    <w:rsid w:val="004A7D7F"/>
    <w:rsid w:val="004B2FC1"/>
    <w:rsid w:val="004B5640"/>
    <w:rsid w:val="004B6575"/>
    <w:rsid w:val="004C1BD7"/>
    <w:rsid w:val="004C691D"/>
    <w:rsid w:val="004C7940"/>
    <w:rsid w:val="004D4F56"/>
    <w:rsid w:val="004D55FF"/>
    <w:rsid w:val="004E15DC"/>
    <w:rsid w:val="004E6048"/>
    <w:rsid w:val="004E692D"/>
    <w:rsid w:val="004E7ED3"/>
    <w:rsid w:val="005005CC"/>
    <w:rsid w:val="005005F5"/>
    <w:rsid w:val="00501554"/>
    <w:rsid w:val="005134D9"/>
    <w:rsid w:val="00513CC7"/>
    <w:rsid w:val="00514CD7"/>
    <w:rsid w:val="00520A2A"/>
    <w:rsid w:val="0052442F"/>
    <w:rsid w:val="00524EFA"/>
    <w:rsid w:val="005319B2"/>
    <w:rsid w:val="00532C74"/>
    <w:rsid w:val="0053338E"/>
    <w:rsid w:val="00534E2E"/>
    <w:rsid w:val="00537411"/>
    <w:rsid w:val="0054095D"/>
    <w:rsid w:val="00544552"/>
    <w:rsid w:val="00547EC0"/>
    <w:rsid w:val="005579D6"/>
    <w:rsid w:val="00563E01"/>
    <w:rsid w:val="0057027F"/>
    <w:rsid w:val="00572F26"/>
    <w:rsid w:val="0057678E"/>
    <w:rsid w:val="005771B2"/>
    <w:rsid w:val="00577D4C"/>
    <w:rsid w:val="00581932"/>
    <w:rsid w:val="0058384D"/>
    <w:rsid w:val="005838C1"/>
    <w:rsid w:val="00585330"/>
    <w:rsid w:val="00586B16"/>
    <w:rsid w:val="00587500"/>
    <w:rsid w:val="00595F2A"/>
    <w:rsid w:val="005963BB"/>
    <w:rsid w:val="005A1B2F"/>
    <w:rsid w:val="005A3173"/>
    <w:rsid w:val="005A3223"/>
    <w:rsid w:val="005A3DA3"/>
    <w:rsid w:val="005A52C4"/>
    <w:rsid w:val="005B25D9"/>
    <w:rsid w:val="005B7C32"/>
    <w:rsid w:val="005D03AB"/>
    <w:rsid w:val="005D5017"/>
    <w:rsid w:val="005F7425"/>
    <w:rsid w:val="0060116C"/>
    <w:rsid w:val="00601A91"/>
    <w:rsid w:val="00602BA3"/>
    <w:rsid w:val="00603465"/>
    <w:rsid w:val="00605B5C"/>
    <w:rsid w:val="006107E4"/>
    <w:rsid w:val="00613A44"/>
    <w:rsid w:val="00614159"/>
    <w:rsid w:val="006153AA"/>
    <w:rsid w:val="00617C00"/>
    <w:rsid w:val="00620129"/>
    <w:rsid w:val="00624883"/>
    <w:rsid w:val="006263BF"/>
    <w:rsid w:val="0062748A"/>
    <w:rsid w:val="00630A2C"/>
    <w:rsid w:val="00651169"/>
    <w:rsid w:val="00653D69"/>
    <w:rsid w:val="00655D85"/>
    <w:rsid w:val="006617D0"/>
    <w:rsid w:val="006624DE"/>
    <w:rsid w:val="00670A76"/>
    <w:rsid w:val="006711AA"/>
    <w:rsid w:val="00672B57"/>
    <w:rsid w:val="00675622"/>
    <w:rsid w:val="00676CDF"/>
    <w:rsid w:val="006906DB"/>
    <w:rsid w:val="00690C11"/>
    <w:rsid w:val="006A12A5"/>
    <w:rsid w:val="006B07D9"/>
    <w:rsid w:val="006B0D94"/>
    <w:rsid w:val="006B485D"/>
    <w:rsid w:val="006B71B2"/>
    <w:rsid w:val="006C259D"/>
    <w:rsid w:val="006C708E"/>
    <w:rsid w:val="006D24E1"/>
    <w:rsid w:val="006D3EEC"/>
    <w:rsid w:val="006D6EC7"/>
    <w:rsid w:val="006E6E1A"/>
    <w:rsid w:val="006E70D9"/>
    <w:rsid w:val="006F5125"/>
    <w:rsid w:val="006F57A5"/>
    <w:rsid w:val="006F5F67"/>
    <w:rsid w:val="006F72E4"/>
    <w:rsid w:val="00700C65"/>
    <w:rsid w:val="0070421B"/>
    <w:rsid w:val="007068EA"/>
    <w:rsid w:val="007136F7"/>
    <w:rsid w:val="00716259"/>
    <w:rsid w:val="007174BB"/>
    <w:rsid w:val="007175DC"/>
    <w:rsid w:val="0072001A"/>
    <w:rsid w:val="0073252C"/>
    <w:rsid w:val="00732DEB"/>
    <w:rsid w:val="00732EAF"/>
    <w:rsid w:val="00735E18"/>
    <w:rsid w:val="0074329F"/>
    <w:rsid w:val="00750936"/>
    <w:rsid w:val="00752BA9"/>
    <w:rsid w:val="0075316F"/>
    <w:rsid w:val="00755360"/>
    <w:rsid w:val="00755E22"/>
    <w:rsid w:val="00761EE2"/>
    <w:rsid w:val="00763268"/>
    <w:rsid w:val="00763F97"/>
    <w:rsid w:val="0076420C"/>
    <w:rsid w:val="007652B4"/>
    <w:rsid w:val="007753C2"/>
    <w:rsid w:val="007838B8"/>
    <w:rsid w:val="0079184A"/>
    <w:rsid w:val="007A0EA4"/>
    <w:rsid w:val="007A1D34"/>
    <w:rsid w:val="007A7B54"/>
    <w:rsid w:val="007C0F57"/>
    <w:rsid w:val="007C3648"/>
    <w:rsid w:val="007C40B6"/>
    <w:rsid w:val="007C729F"/>
    <w:rsid w:val="007D35D8"/>
    <w:rsid w:val="007D4440"/>
    <w:rsid w:val="007E1D28"/>
    <w:rsid w:val="007E4504"/>
    <w:rsid w:val="007F13DA"/>
    <w:rsid w:val="007F243E"/>
    <w:rsid w:val="007F2641"/>
    <w:rsid w:val="007F273E"/>
    <w:rsid w:val="007F3BD4"/>
    <w:rsid w:val="007F7C36"/>
    <w:rsid w:val="00803E7C"/>
    <w:rsid w:val="00805808"/>
    <w:rsid w:val="00806796"/>
    <w:rsid w:val="00807CBA"/>
    <w:rsid w:val="00807F1D"/>
    <w:rsid w:val="00812C6C"/>
    <w:rsid w:val="00814C9C"/>
    <w:rsid w:val="00814E76"/>
    <w:rsid w:val="008151D6"/>
    <w:rsid w:val="00826690"/>
    <w:rsid w:val="008266BE"/>
    <w:rsid w:val="00826F6D"/>
    <w:rsid w:val="00833645"/>
    <w:rsid w:val="008357F4"/>
    <w:rsid w:val="00846F88"/>
    <w:rsid w:val="00851333"/>
    <w:rsid w:val="00852AE4"/>
    <w:rsid w:val="00854260"/>
    <w:rsid w:val="00855CA8"/>
    <w:rsid w:val="00856265"/>
    <w:rsid w:val="00856DDD"/>
    <w:rsid w:val="008614E8"/>
    <w:rsid w:val="00863E68"/>
    <w:rsid w:val="0087620B"/>
    <w:rsid w:val="00882085"/>
    <w:rsid w:val="00883188"/>
    <w:rsid w:val="00887FC8"/>
    <w:rsid w:val="0089107F"/>
    <w:rsid w:val="00896BAF"/>
    <w:rsid w:val="00897D58"/>
    <w:rsid w:val="008A1956"/>
    <w:rsid w:val="008A33FC"/>
    <w:rsid w:val="008A423C"/>
    <w:rsid w:val="008A4937"/>
    <w:rsid w:val="008A50F1"/>
    <w:rsid w:val="008B018E"/>
    <w:rsid w:val="008B6846"/>
    <w:rsid w:val="008C7694"/>
    <w:rsid w:val="008D1B5C"/>
    <w:rsid w:val="008D3C82"/>
    <w:rsid w:val="008D447E"/>
    <w:rsid w:val="008D749F"/>
    <w:rsid w:val="008D7A41"/>
    <w:rsid w:val="008E3680"/>
    <w:rsid w:val="008E5870"/>
    <w:rsid w:val="008F1434"/>
    <w:rsid w:val="008F2F0B"/>
    <w:rsid w:val="008F7355"/>
    <w:rsid w:val="008F7A2A"/>
    <w:rsid w:val="009067B7"/>
    <w:rsid w:val="00910FAB"/>
    <w:rsid w:val="00912E65"/>
    <w:rsid w:val="00914FB4"/>
    <w:rsid w:val="009167D6"/>
    <w:rsid w:val="0092139B"/>
    <w:rsid w:val="00926A11"/>
    <w:rsid w:val="00930937"/>
    <w:rsid w:val="00933E6C"/>
    <w:rsid w:val="00942160"/>
    <w:rsid w:val="00942A71"/>
    <w:rsid w:val="00944BCE"/>
    <w:rsid w:val="009450FB"/>
    <w:rsid w:val="009469DA"/>
    <w:rsid w:val="0095146F"/>
    <w:rsid w:val="00953494"/>
    <w:rsid w:val="009602C5"/>
    <w:rsid w:val="00961650"/>
    <w:rsid w:val="00962223"/>
    <w:rsid w:val="00964DE3"/>
    <w:rsid w:val="00971534"/>
    <w:rsid w:val="0097305B"/>
    <w:rsid w:val="00974C21"/>
    <w:rsid w:val="00982C42"/>
    <w:rsid w:val="00983714"/>
    <w:rsid w:val="00990BA9"/>
    <w:rsid w:val="00996250"/>
    <w:rsid w:val="009967A8"/>
    <w:rsid w:val="009A2D81"/>
    <w:rsid w:val="009A2E36"/>
    <w:rsid w:val="009B0BFD"/>
    <w:rsid w:val="009B0F67"/>
    <w:rsid w:val="009B140C"/>
    <w:rsid w:val="009B7203"/>
    <w:rsid w:val="009B79AF"/>
    <w:rsid w:val="009C5C36"/>
    <w:rsid w:val="009C703C"/>
    <w:rsid w:val="009D3CAA"/>
    <w:rsid w:val="009E4603"/>
    <w:rsid w:val="009E759E"/>
    <w:rsid w:val="009F30B9"/>
    <w:rsid w:val="009F313C"/>
    <w:rsid w:val="009F4E46"/>
    <w:rsid w:val="009F5B65"/>
    <w:rsid w:val="009F5F2E"/>
    <w:rsid w:val="00A00D86"/>
    <w:rsid w:val="00A044F5"/>
    <w:rsid w:val="00A058CA"/>
    <w:rsid w:val="00A06225"/>
    <w:rsid w:val="00A128E6"/>
    <w:rsid w:val="00A23E90"/>
    <w:rsid w:val="00A24339"/>
    <w:rsid w:val="00A268E3"/>
    <w:rsid w:val="00A37C8D"/>
    <w:rsid w:val="00A44A3B"/>
    <w:rsid w:val="00A47443"/>
    <w:rsid w:val="00A50F96"/>
    <w:rsid w:val="00A515DF"/>
    <w:rsid w:val="00A5273B"/>
    <w:rsid w:val="00A53A9D"/>
    <w:rsid w:val="00A53F16"/>
    <w:rsid w:val="00A554C7"/>
    <w:rsid w:val="00A55FEE"/>
    <w:rsid w:val="00A61778"/>
    <w:rsid w:val="00A61FBF"/>
    <w:rsid w:val="00A62C1A"/>
    <w:rsid w:val="00A6426D"/>
    <w:rsid w:val="00A67EA2"/>
    <w:rsid w:val="00A70622"/>
    <w:rsid w:val="00A70977"/>
    <w:rsid w:val="00A77613"/>
    <w:rsid w:val="00A7793E"/>
    <w:rsid w:val="00A8390C"/>
    <w:rsid w:val="00A928BD"/>
    <w:rsid w:val="00AA4D1C"/>
    <w:rsid w:val="00AC04CD"/>
    <w:rsid w:val="00AC193C"/>
    <w:rsid w:val="00AC466C"/>
    <w:rsid w:val="00AC5206"/>
    <w:rsid w:val="00AD322B"/>
    <w:rsid w:val="00AD4F73"/>
    <w:rsid w:val="00AD522E"/>
    <w:rsid w:val="00AE11A5"/>
    <w:rsid w:val="00AE13E2"/>
    <w:rsid w:val="00AE1AC9"/>
    <w:rsid w:val="00AE59F6"/>
    <w:rsid w:val="00AF23DE"/>
    <w:rsid w:val="00AF68CC"/>
    <w:rsid w:val="00B00885"/>
    <w:rsid w:val="00B00B45"/>
    <w:rsid w:val="00B01501"/>
    <w:rsid w:val="00B03B6D"/>
    <w:rsid w:val="00B06F94"/>
    <w:rsid w:val="00B1059E"/>
    <w:rsid w:val="00B13385"/>
    <w:rsid w:val="00B1571D"/>
    <w:rsid w:val="00B17428"/>
    <w:rsid w:val="00B205AA"/>
    <w:rsid w:val="00B216AD"/>
    <w:rsid w:val="00B22E84"/>
    <w:rsid w:val="00B234BC"/>
    <w:rsid w:val="00B24218"/>
    <w:rsid w:val="00B25F75"/>
    <w:rsid w:val="00B272F8"/>
    <w:rsid w:val="00B27427"/>
    <w:rsid w:val="00B31223"/>
    <w:rsid w:val="00B35015"/>
    <w:rsid w:val="00B40549"/>
    <w:rsid w:val="00B43E90"/>
    <w:rsid w:val="00B4631B"/>
    <w:rsid w:val="00B467DC"/>
    <w:rsid w:val="00B50E0F"/>
    <w:rsid w:val="00B56118"/>
    <w:rsid w:val="00B63475"/>
    <w:rsid w:val="00B6773F"/>
    <w:rsid w:val="00B71114"/>
    <w:rsid w:val="00B721AA"/>
    <w:rsid w:val="00B76725"/>
    <w:rsid w:val="00B801BA"/>
    <w:rsid w:val="00B85CF0"/>
    <w:rsid w:val="00B90F06"/>
    <w:rsid w:val="00B97086"/>
    <w:rsid w:val="00BA7D4E"/>
    <w:rsid w:val="00BB69F5"/>
    <w:rsid w:val="00BB7EC3"/>
    <w:rsid w:val="00BC20E1"/>
    <w:rsid w:val="00BC260E"/>
    <w:rsid w:val="00BC4B9A"/>
    <w:rsid w:val="00BC79A5"/>
    <w:rsid w:val="00BD1E04"/>
    <w:rsid w:val="00BD784C"/>
    <w:rsid w:val="00BE3686"/>
    <w:rsid w:val="00BE6B7B"/>
    <w:rsid w:val="00BE78BE"/>
    <w:rsid w:val="00BF4CB6"/>
    <w:rsid w:val="00BF63AF"/>
    <w:rsid w:val="00BF7047"/>
    <w:rsid w:val="00C00DA7"/>
    <w:rsid w:val="00C01803"/>
    <w:rsid w:val="00C03E9C"/>
    <w:rsid w:val="00C12768"/>
    <w:rsid w:val="00C27B58"/>
    <w:rsid w:val="00C3004D"/>
    <w:rsid w:val="00C30FB3"/>
    <w:rsid w:val="00C35996"/>
    <w:rsid w:val="00C41AB0"/>
    <w:rsid w:val="00C508D1"/>
    <w:rsid w:val="00C5342C"/>
    <w:rsid w:val="00C55E7E"/>
    <w:rsid w:val="00C603D4"/>
    <w:rsid w:val="00C6256A"/>
    <w:rsid w:val="00C64F3C"/>
    <w:rsid w:val="00C67039"/>
    <w:rsid w:val="00C6791E"/>
    <w:rsid w:val="00C7584D"/>
    <w:rsid w:val="00C760EA"/>
    <w:rsid w:val="00C777AB"/>
    <w:rsid w:val="00C77E8B"/>
    <w:rsid w:val="00C83E21"/>
    <w:rsid w:val="00C87C7C"/>
    <w:rsid w:val="00C91449"/>
    <w:rsid w:val="00C926CB"/>
    <w:rsid w:val="00C92D10"/>
    <w:rsid w:val="00C93729"/>
    <w:rsid w:val="00CA171C"/>
    <w:rsid w:val="00CA4F14"/>
    <w:rsid w:val="00CB4D2B"/>
    <w:rsid w:val="00CC20F3"/>
    <w:rsid w:val="00CC2F12"/>
    <w:rsid w:val="00CD2C7A"/>
    <w:rsid w:val="00CE0468"/>
    <w:rsid w:val="00CE10C4"/>
    <w:rsid w:val="00CE27B5"/>
    <w:rsid w:val="00CE70CC"/>
    <w:rsid w:val="00D01241"/>
    <w:rsid w:val="00D0321E"/>
    <w:rsid w:val="00D1077A"/>
    <w:rsid w:val="00D1455A"/>
    <w:rsid w:val="00D17FA5"/>
    <w:rsid w:val="00D30EEE"/>
    <w:rsid w:val="00D3138B"/>
    <w:rsid w:val="00D3280C"/>
    <w:rsid w:val="00D3406A"/>
    <w:rsid w:val="00D433F4"/>
    <w:rsid w:val="00D469B2"/>
    <w:rsid w:val="00D5235C"/>
    <w:rsid w:val="00D71339"/>
    <w:rsid w:val="00D73C30"/>
    <w:rsid w:val="00D741EB"/>
    <w:rsid w:val="00D753EB"/>
    <w:rsid w:val="00D81AB4"/>
    <w:rsid w:val="00D83605"/>
    <w:rsid w:val="00D84934"/>
    <w:rsid w:val="00D84F45"/>
    <w:rsid w:val="00D85BF6"/>
    <w:rsid w:val="00D91271"/>
    <w:rsid w:val="00D95728"/>
    <w:rsid w:val="00DA2CB5"/>
    <w:rsid w:val="00DA4BAC"/>
    <w:rsid w:val="00DB5C0A"/>
    <w:rsid w:val="00DD1AF7"/>
    <w:rsid w:val="00DD4B47"/>
    <w:rsid w:val="00DE0361"/>
    <w:rsid w:val="00DE1D6B"/>
    <w:rsid w:val="00DE5FE9"/>
    <w:rsid w:val="00DE6D27"/>
    <w:rsid w:val="00DF217D"/>
    <w:rsid w:val="00DF26A7"/>
    <w:rsid w:val="00E00921"/>
    <w:rsid w:val="00E0136C"/>
    <w:rsid w:val="00E01B86"/>
    <w:rsid w:val="00E05417"/>
    <w:rsid w:val="00E065F8"/>
    <w:rsid w:val="00E155D5"/>
    <w:rsid w:val="00E15627"/>
    <w:rsid w:val="00E16018"/>
    <w:rsid w:val="00E164B3"/>
    <w:rsid w:val="00E16910"/>
    <w:rsid w:val="00E16F57"/>
    <w:rsid w:val="00E20DBC"/>
    <w:rsid w:val="00E20E08"/>
    <w:rsid w:val="00E30AFB"/>
    <w:rsid w:val="00E372C1"/>
    <w:rsid w:val="00E41AEA"/>
    <w:rsid w:val="00E4406B"/>
    <w:rsid w:val="00E45F17"/>
    <w:rsid w:val="00E536CB"/>
    <w:rsid w:val="00E614A5"/>
    <w:rsid w:val="00E65E54"/>
    <w:rsid w:val="00E75D98"/>
    <w:rsid w:val="00E80155"/>
    <w:rsid w:val="00E848C0"/>
    <w:rsid w:val="00E85FBC"/>
    <w:rsid w:val="00E91B96"/>
    <w:rsid w:val="00E941A1"/>
    <w:rsid w:val="00E95CE3"/>
    <w:rsid w:val="00E96655"/>
    <w:rsid w:val="00EA04A2"/>
    <w:rsid w:val="00EA2825"/>
    <w:rsid w:val="00EA4354"/>
    <w:rsid w:val="00EA43B5"/>
    <w:rsid w:val="00EA5DE7"/>
    <w:rsid w:val="00EB5088"/>
    <w:rsid w:val="00EB7A4B"/>
    <w:rsid w:val="00EC514A"/>
    <w:rsid w:val="00ED0FCF"/>
    <w:rsid w:val="00ED1644"/>
    <w:rsid w:val="00ED2593"/>
    <w:rsid w:val="00EE2B41"/>
    <w:rsid w:val="00EE6F65"/>
    <w:rsid w:val="00EF1EEA"/>
    <w:rsid w:val="00EF1FB9"/>
    <w:rsid w:val="00EF44A0"/>
    <w:rsid w:val="00EF4FED"/>
    <w:rsid w:val="00F009A9"/>
    <w:rsid w:val="00F01DAA"/>
    <w:rsid w:val="00F050BD"/>
    <w:rsid w:val="00F05657"/>
    <w:rsid w:val="00F20960"/>
    <w:rsid w:val="00F23AD1"/>
    <w:rsid w:val="00F25578"/>
    <w:rsid w:val="00F258E5"/>
    <w:rsid w:val="00F25CFB"/>
    <w:rsid w:val="00F25FAF"/>
    <w:rsid w:val="00F300BC"/>
    <w:rsid w:val="00F308BF"/>
    <w:rsid w:val="00F318C2"/>
    <w:rsid w:val="00F32687"/>
    <w:rsid w:val="00F3334E"/>
    <w:rsid w:val="00F4619B"/>
    <w:rsid w:val="00F47D97"/>
    <w:rsid w:val="00F50EC4"/>
    <w:rsid w:val="00F5363A"/>
    <w:rsid w:val="00F57A6D"/>
    <w:rsid w:val="00F625E0"/>
    <w:rsid w:val="00F638CC"/>
    <w:rsid w:val="00F64CC1"/>
    <w:rsid w:val="00F8247A"/>
    <w:rsid w:val="00F9629A"/>
    <w:rsid w:val="00F9746D"/>
    <w:rsid w:val="00FA1478"/>
    <w:rsid w:val="00FA397A"/>
    <w:rsid w:val="00FA3ADC"/>
    <w:rsid w:val="00FA5883"/>
    <w:rsid w:val="00FA6055"/>
    <w:rsid w:val="00FA6C3A"/>
    <w:rsid w:val="00FB1453"/>
    <w:rsid w:val="00FB322F"/>
    <w:rsid w:val="00FB442F"/>
    <w:rsid w:val="00FB67B0"/>
    <w:rsid w:val="00FC084B"/>
    <w:rsid w:val="00FC1898"/>
    <w:rsid w:val="00FC1929"/>
    <w:rsid w:val="00FC5B46"/>
    <w:rsid w:val="00FD432C"/>
    <w:rsid w:val="00FE00C2"/>
    <w:rsid w:val="00FE0E94"/>
    <w:rsid w:val="00FE5E56"/>
    <w:rsid w:val="00FF00BD"/>
    <w:rsid w:val="00FF106E"/>
    <w:rsid w:val="00FF1E31"/>
    <w:rsid w:val="00FF1ED4"/>
    <w:rsid w:val="00FF2801"/>
    <w:rsid w:val="00FF4011"/>
    <w:rsid w:val="00FF5CA9"/>
    <w:rsid w:val="00FF73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81C49"/>
    <w:rPr>
      <w:rFonts w:asciiTheme="minorHAnsi" w:hAnsiTheme="minorHAnsi"/>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uiPriority w:val="1"/>
    <w:qFormat/>
    <w:rsid w:val="00805808"/>
    <w:pPr>
      <w:keepNext/>
      <w:outlineLvl w:val="1"/>
    </w:pPr>
    <w:rPr>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72"/>
    <w:qFormat/>
    <w:rsid w:val="00111FB7"/>
    <w:pPr>
      <w:widowControl w:val="0"/>
      <w:ind w:left="720"/>
      <w:contextualSpacing/>
      <w:jc w:val="both"/>
    </w:pPr>
    <w:rPr>
      <w:rFonts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3E1103"/>
    <w:pPr>
      <w:spacing w:after="300"/>
      <w:contextualSpacing/>
      <w:outlineLvl w:val="0"/>
    </w:pPr>
    <w:rPr>
      <w:rFonts w:eastAsiaTheme="majorEastAsia" w:cstheme="majorBidi"/>
      <w:b/>
      <w:spacing w:val="5"/>
      <w:kern w:val="28"/>
      <w:sz w:val="36"/>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3E1103"/>
    <w:rPr>
      <w:rFonts w:asciiTheme="minorHAnsi" w:eastAsiaTheme="majorEastAsia" w:hAnsiTheme="minorHAnsi" w:cstheme="majorBidi"/>
      <w:b/>
      <w:spacing w:val="5"/>
      <w:kern w:val="28"/>
      <w:sz w:val="36"/>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rsid w:val="00111FB7"/>
    <w:rPr>
      <w:rFonts w:asciiTheme="minorHAnsi" w:hAnsiTheme="minorHAnsi" w:cs="Arial"/>
      <w:snapToGrid w:val="0"/>
      <w:sz w:val="24"/>
      <w:lang w:eastAsia="en-US"/>
    </w:rPr>
  </w:style>
  <w:style w:type="paragraph" w:customStyle="1" w:styleId="PBACHeading1">
    <w:name w:val="PBAC Heading 1"/>
    <w:qFormat/>
    <w:rsid w:val="00805808"/>
    <w:pPr>
      <w:numPr>
        <w:numId w:val="14"/>
      </w:numPr>
      <w:outlineLvl w:val="0"/>
    </w:pPr>
    <w:rPr>
      <w:rFonts w:asciiTheme="minorHAnsi" w:hAnsiTheme="minorHAnsi" w:cs="Arial"/>
      <w:b/>
      <w:snapToGrid w:val="0"/>
      <w:sz w:val="32"/>
      <w:szCs w:val="22"/>
      <w:lang w:eastAsia="en-US"/>
    </w:rPr>
  </w:style>
  <w:style w:type="paragraph" w:styleId="FootnoteText">
    <w:name w:val="footnote text"/>
    <w:basedOn w:val="Normal"/>
    <w:link w:val="FootnoteTextChar"/>
    <w:rsid w:val="00CC2F12"/>
    <w:rPr>
      <w:sz w:val="20"/>
      <w:szCs w:val="20"/>
    </w:rPr>
  </w:style>
  <w:style w:type="character" w:customStyle="1" w:styleId="FootnoteTextChar">
    <w:name w:val="Footnote Text Char"/>
    <w:basedOn w:val="DefaultParagraphFont"/>
    <w:link w:val="FootnoteText"/>
    <w:rsid w:val="00CC2F12"/>
  </w:style>
  <w:style w:type="character" w:styleId="FootnoteReference">
    <w:name w:val="footnote reference"/>
    <w:basedOn w:val="DefaultParagraphFont"/>
    <w:rsid w:val="00CC2F12"/>
    <w:rPr>
      <w:vertAlign w:val="superscript"/>
    </w:rPr>
  </w:style>
  <w:style w:type="table" w:customStyle="1" w:styleId="TableGridbeth1">
    <w:name w:val="Table Gridbeth1"/>
    <w:basedOn w:val="TableNormal"/>
    <w:next w:val="TableGrid"/>
    <w:uiPriority w:val="59"/>
    <w:rsid w:val="001705A3"/>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080F7C"/>
    <w:pPr>
      <w:keepNext/>
      <w:spacing w:before="120" w:after="40"/>
    </w:pPr>
    <w:rPr>
      <w:rFonts w:ascii="Arial Narrow" w:eastAsiaTheme="minorHAnsi" w:hAnsi="Arial Narrow" w:cstheme="minorBidi"/>
      <w:b/>
      <w:iCs/>
      <w:sz w:val="20"/>
      <w:szCs w:val="18"/>
      <w:lang w:eastAsia="en-US"/>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080F7C"/>
    <w:rPr>
      <w:rFonts w:ascii="Arial Narrow" w:eastAsiaTheme="minorHAnsi" w:hAnsi="Arial Narrow" w:cstheme="minorBidi"/>
      <w:b/>
      <w:iCs/>
      <w:szCs w:val="18"/>
      <w:lang w:eastAsia="en-US"/>
    </w:rPr>
  </w:style>
  <w:style w:type="paragraph" w:styleId="Revision">
    <w:name w:val="Revision"/>
    <w:hidden/>
    <w:uiPriority w:val="71"/>
    <w:rsid w:val="00E00921"/>
    <w:rPr>
      <w:sz w:val="24"/>
      <w:szCs w:val="24"/>
    </w:rPr>
  </w:style>
  <w:style w:type="paragraph" w:customStyle="1" w:styleId="Compact">
    <w:name w:val="Compact"/>
    <w:basedOn w:val="Normal"/>
    <w:rsid w:val="00A61FBF"/>
    <w:pPr>
      <w:spacing w:before="36" w:after="36" w:line="276" w:lineRule="auto"/>
    </w:pPr>
    <w:rPr>
      <w:rFonts w:ascii="Arial" w:eastAsiaTheme="minorHAnsi" w:hAnsi="Arial" w:cstheme="minorBidi"/>
      <w:sz w:val="22"/>
      <w:szCs w:val="22"/>
      <w:lang w:val="en-US" w:eastAsia="en-US"/>
    </w:rPr>
  </w:style>
  <w:style w:type="table" w:customStyle="1" w:styleId="PlainTable21">
    <w:name w:val="Plain Table 21"/>
    <w:basedOn w:val="TableNormal"/>
    <w:uiPriority w:val="42"/>
    <w:rsid w:val="00A2433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ulletLast">
    <w:name w:val="Bullet Last"/>
    <w:basedOn w:val="Normal"/>
    <w:qFormat/>
    <w:rsid w:val="00A24339"/>
    <w:pPr>
      <w:numPr>
        <w:numId w:val="28"/>
      </w:numPr>
      <w:spacing w:after="240"/>
      <w:ind w:left="357" w:hanging="357"/>
    </w:pPr>
    <w:rPr>
      <w:rFonts w:eastAsiaTheme="minorHAnsi" w:cstheme="minorBidi"/>
      <w:sz w:val="22"/>
      <w:szCs w:val="22"/>
      <w:lang w:eastAsia="en-US"/>
    </w:rPr>
  </w:style>
  <w:style w:type="paragraph" w:customStyle="1" w:styleId="TableText0">
    <w:name w:val="Table Text"/>
    <w:basedOn w:val="Normal"/>
    <w:qFormat/>
    <w:rsid w:val="00563E01"/>
    <w:pPr>
      <w:keepNext/>
      <w:spacing w:before="40" w:after="40"/>
    </w:pPr>
    <w:rPr>
      <w:rFonts w:ascii="Arial Narrow" w:eastAsiaTheme="minorHAnsi" w:hAnsi="Arial Narrow" w:cstheme="minorBidi"/>
      <w:sz w:val="20"/>
      <w:szCs w:val="22"/>
      <w:lang w:eastAsia="en-US"/>
    </w:rPr>
  </w:style>
  <w:style w:type="character" w:styleId="FollowedHyperlink">
    <w:name w:val="FollowedHyperlink"/>
    <w:basedOn w:val="DefaultParagraphFont"/>
    <w:rsid w:val="00AD4F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81C49"/>
    <w:rPr>
      <w:rFonts w:asciiTheme="minorHAnsi" w:hAnsiTheme="minorHAnsi"/>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uiPriority w:val="1"/>
    <w:qFormat/>
    <w:rsid w:val="00805808"/>
    <w:pPr>
      <w:keepNext/>
      <w:outlineLvl w:val="1"/>
    </w:pPr>
    <w:rPr>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72"/>
    <w:qFormat/>
    <w:rsid w:val="00111FB7"/>
    <w:pPr>
      <w:widowControl w:val="0"/>
      <w:ind w:left="720"/>
      <w:contextualSpacing/>
      <w:jc w:val="both"/>
    </w:pPr>
    <w:rPr>
      <w:rFonts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3E1103"/>
    <w:pPr>
      <w:spacing w:after="300"/>
      <w:contextualSpacing/>
      <w:outlineLvl w:val="0"/>
    </w:pPr>
    <w:rPr>
      <w:rFonts w:eastAsiaTheme="majorEastAsia" w:cstheme="majorBidi"/>
      <w:b/>
      <w:spacing w:val="5"/>
      <w:kern w:val="28"/>
      <w:sz w:val="36"/>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3E1103"/>
    <w:rPr>
      <w:rFonts w:asciiTheme="minorHAnsi" w:eastAsiaTheme="majorEastAsia" w:hAnsiTheme="minorHAnsi" w:cstheme="majorBidi"/>
      <w:b/>
      <w:spacing w:val="5"/>
      <w:kern w:val="28"/>
      <w:sz w:val="36"/>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rsid w:val="00111FB7"/>
    <w:rPr>
      <w:rFonts w:asciiTheme="minorHAnsi" w:hAnsiTheme="minorHAnsi" w:cs="Arial"/>
      <w:snapToGrid w:val="0"/>
      <w:sz w:val="24"/>
      <w:lang w:eastAsia="en-US"/>
    </w:rPr>
  </w:style>
  <w:style w:type="paragraph" w:customStyle="1" w:styleId="PBACHeading1">
    <w:name w:val="PBAC Heading 1"/>
    <w:qFormat/>
    <w:rsid w:val="00805808"/>
    <w:pPr>
      <w:numPr>
        <w:numId w:val="14"/>
      </w:numPr>
      <w:outlineLvl w:val="0"/>
    </w:pPr>
    <w:rPr>
      <w:rFonts w:asciiTheme="minorHAnsi" w:hAnsiTheme="minorHAnsi" w:cs="Arial"/>
      <w:b/>
      <w:snapToGrid w:val="0"/>
      <w:sz w:val="32"/>
      <w:szCs w:val="22"/>
      <w:lang w:eastAsia="en-US"/>
    </w:rPr>
  </w:style>
  <w:style w:type="paragraph" w:styleId="FootnoteText">
    <w:name w:val="footnote text"/>
    <w:basedOn w:val="Normal"/>
    <w:link w:val="FootnoteTextChar"/>
    <w:rsid w:val="00CC2F12"/>
    <w:rPr>
      <w:sz w:val="20"/>
      <w:szCs w:val="20"/>
    </w:rPr>
  </w:style>
  <w:style w:type="character" w:customStyle="1" w:styleId="FootnoteTextChar">
    <w:name w:val="Footnote Text Char"/>
    <w:basedOn w:val="DefaultParagraphFont"/>
    <w:link w:val="FootnoteText"/>
    <w:rsid w:val="00CC2F12"/>
  </w:style>
  <w:style w:type="character" w:styleId="FootnoteReference">
    <w:name w:val="footnote reference"/>
    <w:basedOn w:val="DefaultParagraphFont"/>
    <w:rsid w:val="00CC2F12"/>
    <w:rPr>
      <w:vertAlign w:val="superscript"/>
    </w:rPr>
  </w:style>
  <w:style w:type="table" w:customStyle="1" w:styleId="TableGridbeth1">
    <w:name w:val="Table Gridbeth1"/>
    <w:basedOn w:val="TableNormal"/>
    <w:next w:val="TableGrid"/>
    <w:uiPriority w:val="59"/>
    <w:rsid w:val="001705A3"/>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080F7C"/>
    <w:pPr>
      <w:keepNext/>
      <w:spacing w:before="120" w:after="40"/>
    </w:pPr>
    <w:rPr>
      <w:rFonts w:ascii="Arial Narrow" w:eastAsiaTheme="minorHAnsi" w:hAnsi="Arial Narrow" w:cstheme="minorBidi"/>
      <w:b/>
      <w:iCs/>
      <w:sz w:val="20"/>
      <w:szCs w:val="18"/>
      <w:lang w:eastAsia="en-US"/>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080F7C"/>
    <w:rPr>
      <w:rFonts w:ascii="Arial Narrow" w:eastAsiaTheme="minorHAnsi" w:hAnsi="Arial Narrow" w:cstheme="minorBidi"/>
      <w:b/>
      <w:iCs/>
      <w:szCs w:val="18"/>
      <w:lang w:eastAsia="en-US"/>
    </w:rPr>
  </w:style>
  <w:style w:type="paragraph" w:styleId="Revision">
    <w:name w:val="Revision"/>
    <w:hidden/>
    <w:uiPriority w:val="71"/>
    <w:rsid w:val="00E00921"/>
    <w:rPr>
      <w:sz w:val="24"/>
      <w:szCs w:val="24"/>
    </w:rPr>
  </w:style>
  <w:style w:type="paragraph" w:customStyle="1" w:styleId="Compact">
    <w:name w:val="Compact"/>
    <w:basedOn w:val="Normal"/>
    <w:rsid w:val="00A61FBF"/>
    <w:pPr>
      <w:spacing w:before="36" w:after="36" w:line="276" w:lineRule="auto"/>
    </w:pPr>
    <w:rPr>
      <w:rFonts w:ascii="Arial" w:eastAsiaTheme="minorHAnsi" w:hAnsi="Arial" w:cstheme="minorBidi"/>
      <w:sz w:val="22"/>
      <w:szCs w:val="22"/>
      <w:lang w:val="en-US" w:eastAsia="en-US"/>
    </w:rPr>
  </w:style>
  <w:style w:type="table" w:customStyle="1" w:styleId="PlainTable21">
    <w:name w:val="Plain Table 21"/>
    <w:basedOn w:val="TableNormal"/>
    <w:uiPriority w:val="42"/>
    <w:rsid w:val="00A2433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ulletLast">
    <w:name w:val="Bullet Last"/>
    <w:basedOn w:val="Normal"/>
    <w:qFormat/>
    <w:rsid w:val="00A24339"/>
    <w:pPr>
      <w:numPr>
        <w:numId w:val="28"/>
      </w:numPr>
      <w:spacing w:after="240"/>
      <w:ind w:left="357" w:hanging="357"/>
    </w:pPr>
    <w:rPr>
      <w:rFonts w:eastAsiaTheme="minorHAnsi" w:cstheme="minorBidi"/>
      <w:sz w:val="22"/>
      <w:szCs w:val="22"/>
      <w:lang w:eastAsia="en-US"/>
    </w:rPr>
  </w:style>
  <w:style w:type="paragraph" w:customStyle="1" w:styleId="TableText0">
    <w:name w:val="Table Text"/>
    <w:basedOn w:val="Normal"/>
    <w:qFormat/>
    <w:rsid w:val="00563E01"/>
    <w:pPr>
      <w:keepNext/>
      <w:spacing w:before="40" w:after="40"/>
    </w:pPr>
    <w:rPr>
      <w:rFonts w:ascii="Arial Narrow" w:eastAsiaTheme="minorHAnsi" w:hAnsi="Arial Narrow" w:cstheme="minorBidi"/>
      <w:sz w:val="20"/>
      <w:szCs w:val="22"/>
      <w:lang w:eastAsia="en-US"/>
    </w:rPr>
  </w:style>
  <w:style w:type="character" w:styleId="FollowedHyperlink">
    <w:name w:val="FollowedHyperlink"/>
    <w:basedOn w:val="DefaultParagraphFont"/>
    <w:rsid w:val="00AD4F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91974586">
      <w:bodyDiv w:val="1"/>
      <w:marLeft w:val="0"/>
      <w:marRight w:val="0"/>
      <w:marTop w:val="0"/>
      <w:marBottom w:val="0"/>
      <w:divBdr>
        <w:top w:val="none" w:sz="0" w:space="0" w:color="auto"/>
        <w:left w:val="none" w:sz="0" w:space="0" w:color="auto"/>
        <w:bottom w:val="none" w:sz="0" w:space="0" w:color="auto"/>
        <w:right w:val="none" w:sz="0" w:space="0" w:color="auto"/>
      </w:divBdr>
      <w:divsChild>
        <w:div w:id="1615794929">
          <w:marLeft w:val="360"/>
          <w:marRight w:val="0"/>
          <w:marTop w:val="200"/>
          <w:marBottom w:val="0"/>
          <w:divBdr>
            <w:top w:val="none" w:sz="0" w:space="0" w:color="auto"/>
            <w:left w:val="none" w:sz="0" w:space="0" w:color="auto"/>
            <w:bottom w:val="none" w:sz="0" w:space="0" w:color="auto"/>
            <w:right w:val="none" w:sz="0" w:space="0" w:color="auto"/>
          </w:divBdr>
        </w:div>
      </w:divsChild>
    </w:div>
    <w:div w:id="160333899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viruseradication.com/journal-details/Australasian_Society_for_HIV,_Viral_Hepatitis_and_Sexual_Health_Medicine_HIV_pre-exposure_prophylaxis:_clinical_guidelines/"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hivaidsconference.com.au/" TargetMode="External"/><Relationship Id="rId1" Type="http://schemas.openxmlformats.org/officeDocument/2006/relationships/hyperlink" Target="https://az659834.vo.msecnd.net/eventsairaueprod/production-ashm-public/813d9e259f1c45ada2538bf91b1826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B3060-E6BE-4081-9F3D-6F501FF2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5179</Words>
  <Characters>28407</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2018-02-12T03:51:00Z</dcterms:created>
  <dcterms:modified xsi:type="dcterms:W3CDTF">2018-04-04T21:42:00Z</dcterms:modified>
</cp:coreProperties>
</file>